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9D983" w14:textId="77777777" w:rsidR="0015674E" w:rsidRPr="00616403" w:rsidRDefault="0015674E" w:rsidP="0015674E">
      <w:pPr>
        <w:spacing w:line="360" w:lineRule="auto"/>
        <w:jc w:val="center"/>
        <w:rPr>
          <w:b/>
          <w:caps/>
          <w:sz w:val="36"/>
          <w:szCs w:val="36"/>
        </w:rPr>
      </w:pPr>
      <w:bookmarkStart w:id="0" w:name="_GoBack"/>
      <w:bookmarkEnd w:id="0"/>
    </w:p>
    <w:p w14:paraId="1E6A31A3" w14:textId="05E6D557" w:rsidR="0015674E" w:rsidRDefault="003B358E" w:rsidP="0015674E">
      <w:pPr>
        <w:spacing w:line="360" w:lineRule="auto"/>
        <w:jc w:val="center"/>
        <w:rPr>
          <w:b/>
          <w:sz w:val="36"/>
          <w:szCs w:val="36"/>
        </w:rPr>
      </w:pPr>
      <w:r>
        <w:rPr>
          <w:b/>
          <w:sz w:val="36"/>
          <w:szCs w:val="36"/>
        </w:rPr>
        <w:t>Supporting Statement</w:t>
      </w:r>
      <w:r w:rsidR="00B74F5E" w:rsidRPr="00616403">
        <w:rPr>
          <w:b/>
          <w:sz w:val="36"/>
          <w:szCs w:val="36"/>
        </w:rPr>
        <w:t xml:space="preserve"> for OMB Clearance for</w:t>
      </w:r>
      <w:r w:rsidR="0015674E" w:rsidRPr="00616403">
        <w:rPr>
          <w:b/>
          <w:sz w:val="36"/>
          <w:szCs w:val="36"/>
        </w:rPr>
        <w:t xml:space="preserve"> </w:t>
      </w:r>
      <w:r w:rsidR="007F7272" w:rsidRPr="00616403">
        <w:rPr>
          <w:b/>
          <w:sz w:val="36"/>
          <w:szCs w:val="36"/>
        </w:rPr>
        <w:br/>
      </w:r>
      <w:r w:rsidR="00430A85">
        <w:rPr>
          <w:b/>
          <w:sz w:val="36"/>
          <w:szCs w:val="36"/>
        </w:rPr>
        <w:t xml:space="preserve">Third </w:t>
      </w:r>
      <w:r w:rsidR="00870057">
        <w:rPr>
          <w:b/>
          <w:sz w:val="36"/>
          <w:szCs w:val="36"/>
        </w:rPr>
        <w:t>National Survey of WIC Participants (NSWP-III)</w:t>
      </w:r>
    </w:p>
    <w:p w14:paraId="08463E55" w14:textId="09D1FC5A" w:rsidR="007B7F77" w:rsidRPr="00616403" w:rsidRDefault="007B7F77" w:rsidP="0015674E">
      <w:pPr>
        <w:spacing w:line="360" w:lineRule="auto"/>
        <w:jc w:val="center"/>
        <w:rPr>
          <w:b/>
          <w:sz w:val="36"/>
          <w:szCs w:val="36"/>
        </w:rPr>
      </w:pPr>
      <w:r>
        <w:rPr>
          <w:b/>
          <w:sz w:val="36"/>
          <w:szCs w:val="36"/>
        </w:rPr>
        <w:t>0584-NEW</w:t>
      </w:r>
    </w:p>
    <w:p w14:paraId="6AFEF2C9" w14:textId="77777777" w:rsidR="00AD0371" w:rsidRPr="00616403" w:rsidRDefault="00AD0371" w:rsidP="0015674E">
      <w:pPr>
        <w:spacing w:line="360" w:lineRule="auto"/>
        <w:jc w:val="center"/>
        <w:rPr>
          <w:b/>
          <w:caps/>
          <w:sz w:val="36"/>
          <w:szCs w:val="36"/>
        </w:rPr>
      </w:pPr>
    </w:p>
    <w:p w14:paraId="51B4E82D" w14:textId="77777777" w:rsidR="0015674E" w:rsidRPr="00616403" w:rsidRDefault="0015674E" w:rsidP="0015674E">
      <w:pPr>
        <w:spacing w:line="360" w:lineRule="auto"/>
        <w:jc w:val="center"/>
        <w:rPr>
          <w:b/>
          <w:sz w:val="36"/>
          <w:szCs w:val="36"/>
        </w:rPr>
      </w:pPr>
      <w:r w:rsidRPr="00616403">
        <w:rPr>
          <w:b/>
          <w:sz w:val="36"/>
          <w:szCs w:val="36"/>
        </w:rPr>
        <w:t>Part A</w:t>
      </w:r>
    </w:p>
    <w:p w14:paraId="243BFA90" w14:textId="77777777" w:rsidR="0015674E" w:rsidRPr="00616403" w:rsidRDefault="0015674E" w:rsidP="0015674E">
      <w:pPr>
        <w:spacing w:line="360" w:lineRule="auto"/>
        <w:jc w:val="center"/>
        <w:rPr>
          <w:b/>
          <w:sz w:val="36"/>
          <w:szCs w:val="36"/>
        </w:rPr>
      </w:pPr>
    </w:p>
    <w:p w14:paraId="2C083597" w14:textId="77777777" w:rsidR="0015674E" w:rsidRPr="00616403" w:rsidRDefault="0015674E" w:rsidP="0015674E">
      <w:pPr>
        <w:spacing w:line="360" w:lineRule="auto"/>
        <w:jc w:val="center"/>
        <w:rPr>
          <w:b/>
          <w:sz w:val="36"/>
          <w:szCs w:val="36"/>
        </w:rPr>
      </w:pPr>
    </w:p>
    <w:p w14:paraId="51FC9C13" w14:textId="035526B8" w:rsidR="0015674E" w:rsidRPr="00616403" w:rsidRDefault="00EB69F3" w:rsidP="0015674E">
      <w:pPr>
        <w:spacing w:line="360" w:lineRule="auto"/>
        <w:jc w:val="center"/>
        <w:rPr>
          <w:b/>
          <w:sz w:val="36"/>
          <w:szCs w:val="36"/>
        </w:rPr>
      </w:pPr>
      <w:r>
        <w:rPr>
          <w:b/>
          <w:sz w:val="36"/>
          <w:szCs w:val="36"/>
        </w:rPr>
        <w:t>September 1</w:t>
      </w:r>
      <w:r w:rsidR="00843EAC">
        <w:rPr>
          <w:b/>
          <w:sz w:val="36"/>
          <w:szCs w:val="36"/>
        </w:rPr>
        <w:t>8</w:t>
      </w:r>
      <w:r w:rsidR="00325601">
        <w:rPr>
          <w:b/>
          <w:sz w:val="36"/>
          <w:szCs w:val="36"/>
        </w:rPr>
        <w:t>, 2018</w:t>
      </w:r>
    </w:p>
    <w:p w14:paraId="62FC63E9" w14:textId="77777777" w:rsidR="0015674E" w:rsidRPr="00616403" w:rsidRDefault="0015674E" w:rsidP="0015674E">
      <w:pPr>
        <w:spacing w:line="360" w:lineRule="auto"/>
        <w:rPr>
          <w:b/>
          <w:sz w:val="36"/>
          <w:szCs w:val="36"/>
        </w:rPr>
      </w:pPr>
    </w:p>
    <w:p w14:paraId="0791C7C7" w14:textId="77777777" w:rsidR="0015674E" w:rsidRPr="00616403" w:rsidRDefault="0015674E" w:rsidP="0015674E">
      <w:pPr>
        <w:spacing w:line="320" w:lineRule="atLeast"/>
        <w:jc w:val="center"/>
        <w:rPr>
          <w:szCs w:val="24"/>
        </w:rPr>
      </w:pPr>
    </w:p>
    <w:p w14:paraId="7EA9C081" w14:textId="77777777" w:rsidR="0015674E" w:rsidRPr="00616403" w:rsidRDefault="0015674E" w:rsidP="0015674E">
      <w:pPr>
        <w:spacing w:line="320" w:lineRule="atLeast"/>
        <w:jc w:val="center"/>
        <w:rPr>
          <w:szCs w:val="24"/>
        </w:rPr>
      </w:pPr>
    </w:p>
    <w:p w14:paraId="514B234D" w14:textId="77777777" w:rsidR="0015674E" w:rsidRPr="00616403" w:rsidRDefault="0015674E" w:rsidP="0015674E">
      <w:pPr>
        <w:spacing w:line="320" w:lineRule="atLeast"/>
        <w:jc w:val="center"/>
        <w:rPr>
          <w:szCs w:val="24"/>
        </w:rPr>
      </w:pPr>
    </w:p>
    <w:p w14:paraId="4A96265A" w14:textId="77777777" w:rsidR="0015674E" w:rsidRPr="00616403" w:rsidRDefault="0015674E" w:rsidP="0015674E">
      <w:pPr>
        <w:spacing w:line="320" w:lineRule="atLeast"/>
        <w:jc w:val="center"/>
        <w:rPr>
          <w:szCs w:val="24"/>
        </w:rPr>
      </w:pPr>
    </w:p>
    <w:p w14:paraId="7D4A1B51" w14:textId="77777777" w:rsidR="0015674E" w:rsidRPr="00616403" w:rsidRDefault="0015674E" w:rsidP="0015674E">
      <w:pPr>
        <w:spacing w:line="320" w:lineRule="atLeast"/>
        <w:jc w:val="center"/>
        <w:rPr>
          <w:szCs w:val="24"/>
        </w:rPr>
      </w:pPr>
    </w:p>
    <w:p w14:paraId="1F06DD5A" w14:textId="77777777" w:rsidR="0015674E" w:rsidRPr="00616403" w:rsidRDefault="0015674E" w:rsidP="0015674E">
      <w:pPr>
        <w:spacing w:line="320" w:lineRule="atLeast"/>
        <w:jc w:val="center"/>
        <w:rPr>
          <w:szCs w:val="24"/>
        </w:rPr>
      </w:pPr>
    </w:p>
    <w:p w14:paraId="656680F6" w14:textId="77777777" w:rsidR="0015674E" w:rsidRPr="00616403" w:rsidRDefault="0015674E" w:rsidP="0015674E">
      <w:pPr>
        <w:spacing w:line="320" w:lineRule="atLeast"/>
        <w:jc w:val="center"/>
        <w:rPr>
          <w:szCs w:val="24"/>
        </w:rPr>
      </w:pPr>
    </w:p>
    <w:p w14:paraId="286E5135" w14:textId="77777777" w:rsidR="0015674E" w:rsidRPr="00DC675C" w:rsidRDefault="00DC675C" w:rsidP="00DC675C">
      <w:pPr>
        <w:spacing w:line="240" w:lineRule="auto"/>
        <w:jc w:val="center"/>
        <w:rPr>
          <w:b/>
          <w:sz w:val="36"/>
          <w:szCs w:val="36"/>
        </w:rPr>
      </w:pPr>
      <w:r>
        <w:rPr>
          <w:b/>
          <w:sz w:val="36"/>
          <w:szCs w:val="36"/>
        </w:rPr>
        <w:t>United States Department of Agriculture</w:t>
      </w:r>
    </w:p>
    <w:p w14:paraId="2B2E310D" w14:textId="77777777" w:rsidR="00BB32D5" w:rsidRDefault="00BB32D5" w:rsidP="00BB32D5">
      <w:pPr>
        <w:spacing w:line="240" w:lineRule="auto"/>
        <w:jc w:val="center"/>
        <w:rPr>
          <w:b/>
          <w:sz w:val="36"/>
          <w:szCs w:val="36"/>
        </w:rPr>
      </w:pPr>
      <w:r w:rsidRPr="00535599">
        <w:rPr>
          <w:b/>
          <w:sz w:val="36"/>
          <w:szCs w:val="36"/>
        </w:rPr>
        <w:t>Food and Nutrition Service</w:t>
      </w:r>
    </w:p>
    <w:p w14:paraId="5F22DF22" w14:textId="77777777" w:rsidR="00707C29" w:rsidRPr="007437A0" w:rsidRDefault="00707C29" w:rsidP="00707C29">
      <w:pPr>
        <w:spacing w:line="240" w:lineRule="auto"/>
        <w:jc w:val="center"/>
        <w:rPr>
          <w:b/>
          <w:sz w:val="36"/>
          <w:szCs w:val="36"/>
        </w:rPr>
      </w:pPr>
      <w:r w:rsidRPr="007437A0">
        <w:rPr>
          <w:b/>
          <w:sz w:val="36"/>
          <w:szCs w:val="36"/>
        </w:rPr>
        <w:t>3101 Park Center Drive</w:t>
      </w:r>
    </w:p>
    <w:p w14:paraId="57D702FA" w14:textId="77777777" w:rsidR="00707C29" w:rsidRPr="007437A0" w:rsidRDefault="00707C29" w:rsidP="00707C29">
      <w:pPr>
        <w:spacing w:line="240" w:lineRule="auto"/>
        <w:jc w:val="center"/>
        <w:rPr>
          <w:b/>
          <w:sz w:val="36"/>
          <w:szCs w:val="36"/>
        </w:rPr>
      </w:pPr>
      <w:r w:rsidRPr="007437A0">
        <w:rPr>
          <w:b/>
          <w:sz w:val="36"/>
          <w:szCs w:val="36"/>
        </w:rPr>
        <w:t>Alexandria, Virginia 22302</w:t>
      </w:r>
    </w:p>
    <w:p w14:paraId="6E9A12AD" w14:textId="54B675D3" w:rsidR="00707C29" w:rsidRDefault="00707C29" w:rsidP="00707C29">
      <w:pPr>
        <w:spacing w:line="240" w:lineRule="auto"/>
        <w:jc w:val="center"/>
        <w:rPr>
          <w:b/>
          <w:sz w:val="36"/>
          <w:szCs w:val="36"/>
        </w:rPr>
      </w:pPr>
      <w:r w:rsidRPr="007437A0">
        <w:rPr>
          <w:b/>
          <w:sz w:val="36"/>
          <w:szCs w:val="36"/>
        </w:rPr>
        <w:t xml:space="preserve"> </w:t>
      </w:r>
      <w:r>
        <w:rPr>
          <w:b/>
          <w:sz w:val="36"/>
          <w:szCs w:val="36"/>
        </w:rPr>
        <w:t>Karen Castellanos-Brown</w:t>
      </w:r>
    </w:p>
    <w:p w14:paraId="27CB593B" w14:textId="5C73C81C" w:rsidR="00707C29" w:rsidRDefault="00707C29" w:rsidP="00707C29">
      <w:pPr>
        <w:spacing w:line="240" w:lineRule="auto"/>
        <w:jc w:val="center"/>
        <w:rPr>
          <w:b/>
          <w:sz w:val="36"/>
          <w:szCs w:val="36"/>
        </w:rPr>
      </w:pPr>
      <w:r>
        <w:rPr>
          <w:b/>
          <w:sz w:val="36"/>
          <w:szCs w:val="36"/>
        </w:rPr>
        <w:t>Office of Policy Support</w:t>
      </w:r>
      <w:r w:rsidRPr="007437A0">
        <w:rPr>
          <w:b/>
          <w:sz w:val="36"/>
          <w:szCs w:val="36"/>
        </w:rPr>
        <w:br/>
        <w:t>Telephone: 703-305-2</w:t>
      </w:r>
      <w:r>
        <w:rPr>
          <w:b/>
          <w:sz w:val="36"/>
          <w:szCs w:val="36"/>
        </w:rPr>
        <w:t>017</w:t>
      </w:r>
    </w:p>
    <w:p w14:paraId="7E4DEBF5" w14:textId="77777777" w:rsidR="00707C29" w:rsidRPr="00535599" w:rsidRDefault="00707C29" w:rsidP="00BB32D5">
      <w:pPr>
        <w:spacing w:line="240" w:lineRule="auto"/>
        <w:jc w:val="center"/>
        <w:rPr>
          <w:b/>
          <w:sz w:val="36"/>
          <w:szCs w:val="36"/>
        </w:rPr>
      </w:pPr>
    </w:p>
    <w:p w14:paraId="615AC306" w14:textId="77777777" w:rsidR="00A67D54" w:rsidRDefault="00A67D54" w:rsidP="00A67D54">
      <w:pPr>
        <w:spacing w:line="240" w:lineRule="auto"/>
        <w:rPr>
          <w:b/>
          <w:sz w:val="36"/>
          <w:szCs w:val="36"/>
        </w:rPr>
        <w:sectPr w:rsidR="00A67D54" w:rsidSect="000D618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p>
    <w:p w14:paraId="5992AD9B" w14:textId="77777777" w:rsidR="00BE3D55" w:rsidRPr="00AF7464" w:rsidRDefault="00BE3D55" w:rsidP="00BE3D55">
      <w:pPr>
        <w:pStyle w:val="TC-TableofContentsHeading"/>
        <w:spacing w:after="0"/>
        <w:ind w:left="0"/>
        <w:jc w:val="left"/>
        <w:rPr>
          <w:rFonts w:ascii="Times New Roman" w:hAnsi="Times New Roman"/>
        </w:rPr>
      </w:pPr>
      <w:bookmarkStart w:id="1" w:name="_Toc454266198"/>
      <w:bookmarkStart w:id="2" w:name="_Toc339621277"/>
      <w:bookmarkStart w:id="3" w:name="_Toc339617093"/>
      <w:bookmarkStart w:id="4" w:name="_Toc339616922"/>
      <w:bookmarkEnd w:id="1"/>
      <w:r w:rsidRPr="00AF7464">
        <w:rPr>
          <w:rFonts w:ascii="Times New Roman" w:hAnsi="Times New Roman"/>
        </w:rPr>
        <w:lastRenderedPageBreak/>
        <w:t>Table of Contents</w:t>
      </w:r>
      <w:r w:rsidRPr="00AF7464">
        <w:rPr>
          <w:rFonts w:ascii="Times New Roman" w:hAnsi="Times New Roman"/>
          <w:b w:val="0"/>
          <w:szCs w:val="24"/>
          <w:u w:val="single"/>
        </w:rPr>
        <w:fldChar w:fldCharType="begin"/>
      </w:r>
      <w:r w:rsidRPr="00AF7464">
        <w:rPr>
          <w:rFonts w:ascii="Times New Roman" w:hAnsi="Times New Roman"/>
          <w:szCs w:val="24"/>
          <w:u w:val="single"/>
        </w:rPr>
        <w:instrText xml:space="preserve"> TOC \o "1-3" \h \z \u </w:instrText>
      </w:r>
      <w:r w:rsidRPr="00AF7464">
        <w:rPr>
          <w:rFonts w:ascii="Times New Roman" w:hAnsi="Times New Roman"/>
          <w:b w:val="0"/>
          <w:szCs w:val="24"/>
          <w:u w:val="single"/>
        </w:rPr>
        <w:fldChar w:fldCharType="separate"/>
      </w:r>
    </w:p>
    <w:p w14:paraId="08951A7C" w14:textId="77777777" w:rsidR="00066280" w:rsidRDefault="00066280" w:rsidP="00BE3D55">
      <w:pPr>
        <w:pStyle w:val="TOC1"/>
        <w:spacing w:line="240" w:lineRule="auto"/>
        <w:ind w:left="1152"/>
        <w:rPr>
          <w:rFonts w:eastAsiaTheme="minorEastAsia"/>
          <w:szCs w:val="24"/>
        </w:rPr>
      </w:pPr>
    </w:p>
    <w:p w14:paraId="6B1AF217" w14:textId="0730570A" w:rsidR="00BE3D55" w:rsidRPr="00066280" w:rsidRDefault="00066280" w:rsidP="007F6664">
      <w:pPr>
        <w:pStyle w:val="TOC1"/>
        <w:tabs>
          <w:tab w:val="clear" w:pos="8208"/>
          <w:tab w:val="clear" w:pos="8640"/>
          <w:tab w:val="right" w:leader="dot" w:pos="9360"/>
        </w:tabs>
        <w:spacing w:line="240" w:lineRule="auto"/>
        <w:ind w:left="1152" w:right="0"/>
        <w:rPr>
          <w:rFonts w:eastAsiaTheme="minorEastAsia"/>
          <w:b/>
          <w:szCs w:val="24"/>
        </w:rPr>
      </w:pPr>
      <w:r w:rsidRPr="00066280">
        <w:rPr>
          <w:rFonts w:eastAsiaTheme="minorEastAsia"/>
          <w:b/>
          <w:szCs w:val="24"/>
        </w:rPr>
        <w:t>Section</w:t>
      </w:r>
      <w:r w:rsidRPr="00066280">
        <w:rPr>
          <w:rFonts w:eastAsiaTheme="minorEastAsia"/>
          <w:b/>
          <w:szCs w:val="24"/>
        </w:rPr>
        <w:tab/>
        <w:t>Content</w:t>
      </w:r>
      <w:r w:rsidRPr="00066280">
        <w:rPr>
          <w:rFonts w:eastAsiaTheme="minorEastAsia"/>
          <w:b/>
          <w:szCs w:val="24"/>
        </w:rPr>
        <w:tab/>
        <w:t>Page Number</w:t>
      </w:r>
    </w:p>
    <w:p w14:paraId="140840D5" w14:textId="77777777" w:rsidR="00066280" w:rsidRDefault="00066280" w:rsidP="007F6664">
      <w:pPr>
        <w:pStyle w:val="TOC1"/>
        <w:tabs>
          <w:tab w:val="clear" w:pos="8208"/>
          <w:tab w:val="clear" w:pos="8640"/>
          <w:tab w:val="right" w:leader="dot" w:pos="9360"/>
        </w:tabs>
        <w:spacing w:line="240" w:lineRule="auto"/>
        <w:ind w:left="1152" w:right="0"/>
        <w:rPr>
          <w:rFonts w:eastAsiaTheme="minorEastAsia"/>
          <w:b/>
          <w:szCs w:val="24"/>
        </w:rPr>
      </w:pPr>
    </w:p>
    <w:p w14:paraId="03C653F2" w14:textId="19E9D72F"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b/>
          <w:szCs w:val="24"/>
        </w:rPr>
        <w:t xml:space="preserve">Part A: </w:t>
      </w:r>
      <w:r w:rsidR="0097312E">
        <w:rPr>
          <w:rFonts w:eastAsiaTheme="minorEastAsia"/>
          <w:b/>
          <w:szCs w:val="24"/>
        </w:rPr>
        <w:tab/>
      </w:r>
      <w:r w:rsidRPr="00AF7464">
        <w:rPr>
          <w:rFonts w:eastAsiaTheme="minorEastAsia"/>
          <w:b/>
          <w:szCs w:val="24"/>
        </w:rPr>
        <w:t>Justification</w:t>
      </w:r>
      <w:r w:rsidRPr="00AF7464">
        <w:rPr>
          <w:rFonts w:eastAsiaTheme="minorEastAsia"/>
          <w:szCs w:val="24"/>
        </w:rPr>
        <w:tab/>
      </w:r>
      <w:r w:rsidR="00904D31">
        <w:rPr>
          <w:rFonts w:eastAsiaTheme="minorEastAsia"/>
          <w:szCs w:val="24"/>
        </w:rPr>
        <w:t>6</w:t>
      </w:r>
    </w:p>
    <w:p w14:paraId="6A8F1A7E" w14:textId="77777777" w:rsidR="00BE3D55" w:rsidRPr="00AF7464" w:rsidRDefault="00BE3D55" w:rsidP="000B3F62">
      <w:pPr>
        <w:pStyle w:val="TOC1"/>
        <w:tabs>
          <w:tab w:val="clear" w:pos="8208"/>
          <w:tab w:val="clear" w:pos="8640"/>
          <w:tab w:val="right" w:leader="dot" w:pos="9360"/>
        </w:tabs>
        <w:spacing w:line="240" w:lineRule="auto"/>
        <w:ind w:left="1152" w:right="0" w:hanging="1440"/>
        <w:rPr>
          <w:rFonts w:eastAsiaTheme="minorEastAsia"/>
          <w:szCs w:val="24"/>
        </w:rPr>
      </w:pPr>
    </w:p>
    <w:p w14:paraId="0EF83ABA" w14:textId="3AF0EE3B"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w:t>
      </w:r>
      <w:r w:rsidRPr="00AF7464">
        <w:rPr>
          <w:rFonts w:eastAsiaTheme="minorEastAsia"/>
          <w:szCs w:val="24"/>
        </w:rPr>
        <w:tab/>
        <w:t>Circumstances That Make the Collection of Information Necessary</w:t>
      </w:r>
      <w:r w:rsidRPr="00AF7464">
        <w:rPr>
          <w:rFonts w:eastAsiaTheme="minorEastAsia"/>
          <w:szCs w:val="24"/>
        </w:rPr>
        <w:tab/>
      </w:r>
      <w:r w:rsidR="00904D31">
        <w:rPr>
          <w:rFonts w:eastAsiaTheme="minorEastAsia"/>
          <w:szCs w:val="24"/>
        </w:rPr>
        <w:t>6</w:t>
      </w:r>
    </w:p>
    <w:p w14:paraId="63F1BB13" w14:textId="74BB21A7"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A.2</w:t>
      </w:r>
      <w:r w:rsidRPr="00AF7464">
        <w:rPr>
          <w:rFonts w:eastAsiaTheme="minorEastAsia"/>
          <w:szCs w:val="24"/>
        </w:rPr>
        <w:tab/>
        <w:t>Purpose and Use of the Information</w:t>
      </w:r>
      <w:r w:rsidRPr="00AF7464">
        <w:rPr>
          <w:rFonts w:eastAsiaTheme="minorEastAsia"/>
          <w:szCs w:val="24"/>
        </w:rPr>
        <w:tab/>
      </w:r>
      <w:r w:rsidR="0061050C">
        <w:rPr>
          <w:rFonts w:eastAsiaTheme="minorEastAsia"/>
          <w:szCs w:val="24"/>
        </w:rPr>
        <w:t>10</w:t>
      </w:r>
    </w:p>
    <w:p w14:paraId="4BA2A902" w14:textId="4A070871"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 xml:space="preserve">A.3 </w:t>
      </w:r>
      <w:r w:rsidRPr="00AF7464">
        <w:rPr>
          <w:rFonts w:eastAsiaTheme="minorEastAsia"/>
          <w:szCs w:val="24"/>
        </w:rPr>
        <w:tab/>
        <w:t>Use of Information Technology and Burden Reduction..</w:t>
      </w:r>
      <w:r w:rsidRPr="00AF7464">
        <w:rPr>
          <w:rFonts w:eastAsiaTheme="minorEastAsia"/>
          <w:szCs w:val="24"/>
        </w:rPr>
        <w:tab/>
      </w:r>
      <w:r w:rsidR="00904D31">
        <w:rPr>
          <w:rFonts w:eastAsiaTheme="minorEastAsia"/>
          <w:szCs w:val="24"/>
        </w:rPr>
        <w:t>1</w:t>
      </w:r>
      <w:r w:rsidR="0061050C">
        <w:rPr>
          <w:rFonts w:eastAsiaTheme="minorEastAsia"/>
          <w:szCs w:val="24"/>
        </w:rPr>
        <w:t>8</w:t>
      </w:r>
    </w:p>
    <w:p w14:paraId="3A3A9B27" w14:textId="0ADBC2BA"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 xml:space="preserve">A.4 </w:t>
      </w:r>
      <w:r w:rsidRPr="00AF7464">
        <w:rPr>
          <w:rFonts w:eastAsiaTheme="minorEastAsia"/>
          <w:szCs w:val="24"/>
        </w:rPr>
        <w:tab/>
        <w:t>Efforts to Identify Duplication and Use of Similar Information.</w:t>
      </w:r>
      <w:r w:rsidRPr="00AF7464">
        <w:rPr>
          <w:rFonts w:eastAsiaTheme="minorEastAsia"/>
          <w:szCs w:val="24"/>
        </w:rPr>
        <w:tab/>
      </w:r>
      <w:r w:rsidR="00904D31">
        <w:rPr>
          <w:rFonts w:eastAsiaTheme="minorEastAsia"/>
          <w:szCs w:val="24"/>
        </w:rPr>
        <w:t>1</w:t>
      </w:r>
      <w:r w:rsidR="0061050C">
        <w:rPr>
          <w:rFonts w:eastAsiaTheme="minorEastAsia"/>
          <w:szCs w:val="24"/>
        </w:rPr>
        <w:t>9</w:t>
      </w:r>
    </w:p>
    <w:p w14:paraId="755EF072" w14:textId="2BCA0DB9"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 xml:space="preserve">A.5 </w:t>
      </w:r>
      <w:r w:rsidRPr="00AF7464">
        <w:rPr>
          <w:rFonts w:eastAsiaTheme="minorEastAsia"/>
          <w:szCs w:val="24"/>
        </w:rPr>
        <w:tab/>
        <w:t>Impact on Small Businesses or Other Small Entities.</w:t>
      </w:r>
      <w:r w:rsidRPr="00AF7464">
        <w:rPr>
          <w:rFonts w:eastAsiaTheme="minorEastAsia"/>
          <w:szCs w:val="24"/>
        </w:rPr>
        <w:tab/>
      </w:r>
      <w:r w:rsidR="00904D31">
        <w:rPr>
          <w:rFonts w:eastAsiaTheme="minorEastAsia"/>
          <w:szCs w:val="24"/>
        </w:rPr>
        <w:t>1</w:t>
      </w:r>
      <w:r w:rsidR="0061050C">
        <w:rPr>
          <w:rFonts w:eastAsiaTheme="minorEastAsia"/>
          <w:szCs w:val="24"/>
        </w:rPr>
        <w:t>9</w:t>
      </w:r>
    </w:p>
    <w:p w14:paraId="563B37FA" w14:textId="017D35DF"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A.6</w:t>
      </w:r>
      <w:r w:rsidRPr="00AF7464">
        <w:rPr>
          <w:rFonts w:eastAsiaTheme="minorEastAsia"/>
          <w:szCs w:val="24"/>
        </w:rPr>
        <w:tab/>
        <w:t>Consequence of Collecting the Information Less Frequently.</w:t>
      </w:r>
      <w:r w:rsidRPr="00AF7464">
        <w:rPr>
          <w:rFonts w:eastAsiaTheme="minorEastAsia"/>
          <w:szCs w:val="24"/>
        </w:rPr>
        <w:tab/>
      </w:r>
      <w:r w:rsidR="0061050C">
        <w:rPr>
          <w:rFonts w:eastAsiaTheme="minorEastAsia"/>
          <w:szCs w:val="24"/>
        </w:rPr>
        <w:t>20</w:t>
      </w:r>
    </w:p>
    <w:p w14:paraId="38DF67AF" w14:textId="79E3AEA8"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A.7</w:t>
      </w:r>
      <w:r w:rsidRPr="00AF7464">
        <w:rPr>
          <w:rFonts w:eastAsiaTheme="minorEastAsia"/>
          <w:szCs w:val="24"/>
        </w:rPr>
        <w:tab/>
        <w:t>Special Circumstances Relating to the Guidelines of 5 CFR 1320.</w:t>
      </w:r>
      <w:r w:rsidRPr="00AF7464">
        <w:rPr>
          <w:rFonts w:eastAsiaTheme="minorEastAsia"/>
          <w:szCs w:val="24"/>
        </w:rPr>
        <w:tab/>
      </w:r>
      <w:r w:rsidR="0061050C">
        <w:rPr>
          <w:rFonts w:eastAsiaTheme="minorEastAsia"/>
          <w:szCs w:val="24"/>
        </w:rPr>
        <w:t>20</w:t>
      </w:r>
    </w:p>
    <w:p w14:paraId="6D9973B2" w14:textId="2EB06748"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A.8</w:t>
      </w:r>
      <w:r w:rsidRPr="00AF7464">
        <w:rPr>
          <w:rFonts w:eastAsiaTheme="minorEastAsia"/>
          <w:szCs w:val="24"/>
        </w:rPr>
        <w:tab/>
        <w:t>Comments in Response to Federal Register Notice and Efforts to Consult Outside Agency</w:t>
      </w:r>
      <w:r w:rsidRPr="00AF7464">
        <w:rPr>
          <w:rFonts w:eastAsiaTheme="minorEastAsia"/>
          <w:szCs w:val="24"/>
        </w:rPr>
        <w:tab/>
      </w:r>
      <w:r w:rsidR="00AD60A9">
        <w:rPr>
          <w:rFonts w:eastAsiaTheme="minorEastAsia"/>
          <w:szCs w:val="24"/>
        </w:rPr>
        <w:t>2</w:t>
      </w:r>
      <w:r w:rsidR="0061050C">
        <w:rPr>
          <w:rFonts w:eastAsiaTheme="minorEastAsia"/>
          <w:szCs w:val="24"/>
        </w:rPr>
        <w:t>1</w:t>
      </w:r>
    </w:p>
    <w:p w14:paraId="32F86CAD" w14:textId="45EB10CB"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A.9</w:t>
      </w:r>
      <w:r w:rsidRPr="00AF7464">
        <w:rPr>
          <w:rFonts w:eastAsiaTheme="minorEastAsia"/>
          <w:szCs w:val="24"/>
        </w:rPr>
        <w:tab/>
        <w:t>Explanation of Any Payment or Gift to Respondents</w:t>
      </w:r>
      <w:r w:rsidRPr="00AF7464">
        <w:rPr>
          <w:rFonts w:eastAsiaTheme="minorEastAsia"/>
          <w:szCs w:val="24"/>
        </w:rPr>
        <w:tab/>
      </w:r>
      <w:r w:rsidR="00AD60A9">
        <w:rPr>
          <w:rFonts w:eastAsiaTheme="minorEastAsia"/>
          <w:szCs w:val="24"/>
        </w:rPr>
        <w:t>2</w:t>
      </w:r>
      <w:r w:rsidR="00716C8E">
        <w:rPr>
          <w:rFonts w:eastAsiaTheme="minorEastAsia"/>
          <w:szCs w:val="24"/>
        </w:rPr>
        <w:t>4</w:t>
      </w:r>
    </w:p>
    <w:p w14:paraId="7F6DE9CF" w14:textId="5F811E40"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A.10</w:t>
      </w:r>
      <w:r w:rsidRPr="00AF7464">
        <w:rPr>
          <w:rFonts w:eastAsiaTheme="minorEastAsia"/>
          <w:szCs w:val="24"/>
        </w:rPr>
        <w:tab/>
        <w:t>Assurance of Confidentiality Provided to Respondents.</w:t>
      </w:r>
      <w:r w:rsidRPr="00AF7464">
        <w:rPr>
          <w:rFonts w:eastAsiaTheme="minorEastAsia"/>
          <w:szCs w:val="24"/>
        </w:rPr>
        <w:tab/>
      </w:r>
      <w:r w:rsidR="00716C8E">
        <w:rPr>
          <w:rFonts w:eastAsiaTheme="minorEastAsia"/>
          <w:szCs w:val="24"/>
        </w:rPr>
        <w:t>29</w:t>
      </w:r>
    </w:p>
    <w:p w14:paraId="36AF968C" w14:textId="7CD3AD5D"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A.11</w:t>
      </w:r>
      <w:r w:rsidRPr="00AF7464">
        <w:rPr>
          <w:rFonts w:eastAsiaTheme="minorEastAsia"/>
          <w:szCs w:val="24"/>
        </w:rPr>
        <w:tab/>
        <w:t>Justification for Sensitive Questions</w:t>
      </w:r>
      <w:r w:rsidRPr="00AF7464">
        <w:rPr>
          <w:rFonts w:eastAsiaTheme="minorEastAsia"/>
          <w:szCs w:val="24"/>
        </w:rPr>
        <w:tab/>
      </w:r>
      <w:r w:rsidR="0061050C">
        <w:rPr>
          <w:rFonts w:eastAsiaTheme="minorEastAsia"/>
          <w:szCs w:val="24"/>
        </w:rPr>
        <w:t>3</w:t>
      </w:r>
      <w:r w:rsidR="00716C8E">
        <w:rPr>
          <w:rFonts w:eastAsiaTheme="minorEastAsia"/>
          <w:szCs w:val="24"/>
        </w:rPr>
        <w:t>0</w:t>
      </w:r>
    </w:p>
    <w:p w14:paraId="092F4584" w14:textId="4DE034FC"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A.12</w:t>
      </w:r>
      <w:r w:rsidRPr="00AF7464">
        <w:rPr>
          <w:rFonts w:eastAsiaTheme="minorEastAsia"/>
          <w:szCs w:val="24"/>
        </w:rPr>
        <w:tab/>
        <w:t>Estimates of Annualized Burden Hours and Costs</w:t>
      </w:r>
      <w:r w:rsidRPr="00AF7464">
        <w:rPr>
          <w:rFonts w:eastAsiaTheme="minorEastAsia"/>
          <w:szCs w:val="24"/>
        </w:rPr>
        <w:tab/>
      </w:r>
      <w:r w:rsidR="00150517">
        <w:rPr>
          <w:rFonts w:eastAsiaTheme="minorEastAsia"/>
          <w:szCs w:val="24"/>
        </w:rPr>
        <w:t>3</w:t>
      </w:r>
      <w:r w:rsidR="00716C8E">
        <w:rPr>
          <w:rFonts w:eastAsiaTheme="minorEastAsia"/>
          <w:szCs w:val="24"/>
        </w:rPr>
        <w:t>2</w:t>
      </w:r>
    </w:p>
    <w:p w14:paraId="758A8575" w14:textId="57AFD97D" w:rsidR="00BE3D55" w:rsidRPr="00AF7464" w:rsidRDefault="00BE3D55" w:rsidP="000B3F62">
      <w:pPr>
        <w:pStyle w:val="TOC1"/>
        <w:tabs>
          <w:tab w:val="clear" w:pos="1440"/>
          <w:tab w:val="clear" w:pos="8208"/>
          <w:tab w:val="clear" w:pos="8640"/>
          <w:tab w:val="left" w:pos="9090"/>
          <w:tab w:val="right" w:leader="dot" w:pos="9360"/>
        </w:tabs>
        <w:spacing w:line="240" w:lineRule="auto"/>
        <w:ind w:left="1170" w:right="0" w:hanging="1170"/>
        <w:rPr>
          <w:rFonts w:eastAsiaTheme="minorEastAsia"/>
          <w:szCs w:val="24"/>
        </w:rPr>
      </w:pPr>
      <w:r w:rsidRPr="00AF7464">
        <w:rPr>
          <w:rFonts w:eastAsiaTheme="minorEastAsia"/>
          <w:szCs w:val="24"/>
        </w:rPr>
        <w:t>A.13</w:t>
      </w:r>
      <w:r w:rsidRPr="00AF7464">
        <w:rPr>
          <w:rFonts w:eastAsiaTheme="minorEastAsia"/>
          <w:szCs w:val="24"/>
        </w:rPr>
        <w:tab/>
        <w:t>Estimates of Other Total Annual Cost Burden to Respondents and Record Keepers</w:t>
      </w:r>
      <w:r w:rsidR="000B3F62" w:rsidRPr="00AF7464">
        <w:rPr>
          <w:rFonts w:eastAsiaTheme="minorEastAsia"/>
          <w:szCs w:val="24"/>
        </w:rPr>
        <w:tab/>
      </w:r>
      <w:r w:rsidR="00150517">
        <w:rPr>
          <w:rFonts w:eastAsiaTheme="minorEastAsia"/>
          <w:szCs w:val="24"/>
        </w:rPr>
        <w:t>3</w:t>
      </w:r>
      <w:r w:rsidR="00716C8E">
        <w:rPr>
          <w:rFonts w:eastAsiaTheme="minorEastAsia"/>
          <w:szCs w:val="24"/>
        </w:rPr>
        <w:t>4</w:t>
      </w:r>
    </w:p>
    <w:p w14:paraId="5E2ED5A9" w14:textId="7A783F42" w:rsidR="00BE3D55" w:rsidRPr="00AF7464" w:rsidRDefault="00BE3D55" w:rsidP="000B3F62">
      <w:pPr>
        <w:pStyle w:val="TOC1"/>
        <w:tabs>
          <w:tab w:val="clear" w:pos="1440"/>
          <w:tab w:val="clear" w:pos="8208"/>
          <w:tab w:val="clear" w:pos="8640"/>
          <w:tab w:val="left" w:pos="9090"/>
          <w:tab w:val="right" w:leader="dot" w:pos="9360"/>
        </w:tabs>
        <w:spacing w:line="240" w:lineRule="auto"/>
        <w:ind w:left="1152" w:right="0"/>
        <w:rPr>
          <w:rFonts w:eastAsiaTheme="minorEastAsia"/>
          <w:szCs w:val="24"/>
        </w:rPr>
      </w:pPr>
      <w:r w:rsidRPr="00AF7464">
        <w:rPr>
          <w:rFonts w:eastAsiaTheme="minorEastAsia"/>
          <w:szCs w:val="24"/>
        </w:rPr>
        <w:t>A.14</w:t>
      </w:r>
      <w:r w:rsidRPr="00AF7464">
        <w:rPr>
          <w:rFonts w:eastAsiaTheme="minorEastAsia"/>
          <w:szCs w:val="24"/>
        </w:rPr>
        <w:tab/>
        <w:t>Annualized Cost to the Federal Government</w:t>
      </w:r>
      <w:r w:rsidR="00331331">
        <w:rPr>
          <w:rFonts w:eastAsiaTheme="minorEastAsia"/>
          <w:szCs w:val="24"/>
        </w:rPr>
        <w:t>………………………………………</w:t>
      </w:r>
      <w:r w:rsidR="00FE2C6B" w:rsidRPr="00FE2C6B">
        <w:rPr>
          <w:rFonts w:eastAsiaTheme="minorEastAsia"/>
          <w:szCs w:val="24"/>
        </w:rPr>
        <w:t xml:space="preserve"> </w:t>
      </w:r>
      <w:r w:rsidR="00FE2C6B" w:rsidRPr="00FE2C6B">
        <w:rPr>
          <w:rFonts w:eastAsiaTheme="minorEastAsia"/>
          <w:szCs w:val="24"/>
        </w:rPr>
        <w:tab/>
      </w:r>
      <w:r w:rsidRPr="00AF7464">
        <w:rPr>
          <w:rFonts w:eastAsiaTheme="minorEastAsia"/>
          <w:szCs w:val="24"/>
        </w:rPr>
        <w:tab/>
      </w:r>
      <w:r w:rsidR="00150517">
        <w:rPr>
          <w:rFonts w:eastAsiaTheme="minorEastAsia"/>
          <w:szCs w:val="24"/>
        </w:rPr>
        <w:t>3</w:t>
      </w:r>
      <w:r w:rsidR="00716C8E">
        <w:rPr>
          <w:rFonts w:eastAsiaTheme="minorEastAsia"/>
          <w:szCs w:val="24"/>
        </w:rPr>
        <w:t>4</w:t>
      </w:r>
    </w:p>
    <w:p w14:paraId="45C78D7C" w14:textId="3A07DE82"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A.15</w:t>
      </w:r>
      <w:r w:rsidRPr="00AF7464">
        <w:rPr>
          <w:rFonts w:eastAsiaTheme="minorEastAsia"/>
          <w:szCs w:val="24"/>
        </w:rPr>
        <w:tab/>
        <w:t>Explanation for Program Changes or Adjustments.</w:t>
      </w:r>
      <w:r w:rsidRPr="00AF7464">
        <w:rPr>
          <w:rFonts w:eastAsiaTheme="minorEastAsia"/>
          <w:szCs w:val="24"/>
        </w:rPr>
        <w:tab/>
      </w:r>
      <w:r w:rsidR="00AD60A9">
        <w:rPr>
          <w:rFonts w:eastAsiaTheme="minorEastAsia"/>
          <w:szCs w:val="24"/>
        </w:rPr>
        <w:t>3</w:t>
      </w:r>
      <w:r w:rsidR="00716C8E">
        <w:rPr>
          <w:rFonts w:eastAsiaTheme="minorEastAsia"/>
          <w:szCs w:val="24"/>
        </w:rPr>
        <w:t>6</w:t>
      </w:r>
    </w:p>
    <w:p w14:paraId="138BA6C4" w14:textId="41A26251"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A.16</w:t>
      </w:r>
      <w:r w:rsidRPr="00AF7464">
        <w:rPr>
          <w:rFonts w:eastAsiaTheme="minorEastAsia"/>
          <w:szCs w:val="24"/>
        </w:rPr>
        <w:tab/>
        <w:t>Plans for Tabulation and Publication and Project Time Schedule.</w:t>
      </w:r>
      <w:r w:rsidRPr="00AF7464">
        <w:rPr>
          <w:rFonts w:eastAsiaTheme="minorEastAsia"/>
          <w:szCs w:val="24"/>
        </w:rPr>
        <w:tab/>
      </w:r>
      <w:r w:rsidR="00AD60A9">
        <w:rPr>
          <w:rFonts w:eastAsiaTheme="minorEastAsia"/>
          <w:szCs w:val="24"/>
        </w:rPr>
        <w:t>3</w:t>
      </w:r>
      <w:r w:rsidR="00716C8E">
        <w:rPr>
          <w:rFonts w:eastAsiaTheme="minorEastAsia"/>
          <w:szCs w:val="24"/>
        </w:rPr>
        <w:t>6</w:t>
      </w:r>
    </w:p>
    <w:p w14:paraId="6F896313" w14:textId="7179BDBA"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A.17</w:t>
      </w:r>
      <w:r w:rsidRPr="00AF7464">
        <w:rPr>
          <w:rFonts w:eastAsiaTheme="minorEastAsia"/>
          <w:szCs w:val="24"/>
        </w:rPr>
        <w:tab/>
        <w:t>Reason(s) Display of OMB Expiration Date is Inappropriate.</w:t>
      </w:r>
      <w:r w:rsidRPr="00AF7464">
        <w:rPr>
          <w:rFonts w:eastAsiaTheme="minorEastAsia"/>
          <w:szCs w:val="24"/>
        </w:rPr>
        <w:tab/>
      </w:r>
      <w:r w:rsidR="00AD60A9">
        <w:rPr>
          <w:rFonts w:eastAsiaTheme="minorEastAsia"/>
          <w:szCs w:val="24"/>
        </w:rPr>
        <w:t>3</w:t>
      </w:r>
      <w:r w:rsidR="00716C8E">
        <w:rPr>
          <w:rFonts w:eastAsiaTheme="minorEastAsia"/>
          <w:szCs w:val="24"/>
        </w:rPr>
        <w:t>7</w:t>
      </w:r>
    </w:p>
    <w:p w14:paraId="04AAC0C0" w14:textId="75CADF29" w:rsidR="00BE3D55" w:rsidRPr="00AF7464" w:rsidRDefault="00BE3D55" w:rsidP="000B3F62">
      <w:pPr>
        <w:pStyle w:val="TOC1"/>
        <w:tabs>
          <w:tab w:val="clear" w:pos="8208"/>
          <w:tab w:val="clear" w:pos="8640"/>
          <w:tab w:val="right" w:leader="dot" w:pos="9360"/>
        </w:tabs>
        <w:spacing w:line="240" w:lineRule="auto"/>
        <w:ind w:left="1152" w:right="0"/>
        <w:rPr>
          <w:rFonts w:eastAsiaTheme="minorEastAsia"/>
          <w:szCs w:val="24"/>
        </w:rPr>
      </w:pPr>
      <w:r w:rsidRPr="00AF7464">
        <w:rPr>
          <w:rFonts w:eastAsiaTheme="minorEastAsia"/>
          <w:szCs w:val="24"/>
        </w:rPr>
        <w:t>A.18</w:t>
      </w:r>
      <w:r w:rsidRPr="00AF7464">
        <w:rPr>
          <w:rFonts w:eastAsiaTheme="minorEastAsia"/>
          <w:szCs w:val="24"/>
        </w:rPr>
        <w:tab/>
        <w:t>Exceptions to Certification for Paperwork Reduction Act Submission.</w:t>
      </w:r>
      <w:r w:rsidRPr="00AF7464">
        <w:rPr>
          <w:rFonts w:eastAsiaTheme="minorEastAsia"/>
          <w:szCs w:val="24"/>
        </w:rPr>
        <w:tab/>
      </w:r>
      <w:r w:rsidR="00AD60A9">
        <w:rPr>
          <w:rFonts w:eastAsiaTheme="minorEastAsia"/>
          <w:szCs w:val="24"/>
        </w:rPr>
        <w:t>3</w:t>
      </w:r>
      <w:r w:rsidR="0061050C">
        <w:rPr>
          <w:rFonts w:eastAsiaTheme="minorEastAsia"/>
          <w:szCs w:val="24"/>
        </w:rPr>
        <w:t>8</w:t>
      </w:r>
    </w:p>
    <w:p w14:paraId="25B12825" w14:textId="6DBBAAC6" w:rsidR="004B186B" w:rsidRPr="00616403" w:rsidRDefault="00BE3D55" w:rsidP="00ED0EB5">
      <w:pPr>
        <w:spacing w:line="240" w:lineRule="auto"/>
        <w:rPr>
          <w:b/>
          <w:bCs/>
        </w:rPr>
      </w:pPr>
      <w:r w:rsidRPr="00AF7464">
        <w:rPr>
          <w:b/>
          <w:bCs/>
          <w:szCs w:val="24"/>
        </w:rPr>
        <w:fldChar w:fldCharType="end"/>
      </w:r>
      <w:r w:rsidR="00A26D94">
        <w:rPr>
          <w:b/>
        </w:rPr>
        <w:br/>
      </w:r>
      <w:bookmarkStart w:id="5" w:name="_Toc282506022"/>
      <w:bookmarkStart w:id="6" w:name="_Toc339621280"/>
      <w:bookmarkEnd w:id="2"/>
      <w:bookmarkEnd w:id="3"/>
      <w:bookmarkEnd w:id="4"/>
      <w:r w:rsidR="004B186B" w:rsidRPr="00616403">
        <w:rPr>
          <w:b/>
          <w:bCs/>
        </w:rPr>
        <w:t>Tables</w:t>
      </w:r>
    </w:p>
    <w:p w14:paraId="2CED0D9D" w14:textId="0261F1F7" w:rsidR="00675792" w:rsidRDefault="00675792" w:rsidP="000B3F62">
      <w:pPr>
        <w:pStyle w:val="TOC1"/>
        <w:tabs>
          <w:tab w:val="clear" w:pos="8208"/>
          <w:tab w:val="clear" w:pos="8640"/>
          <w:tab w:val="left" w:leader="dot" w:pos="9090"/>
          <w:tab w:val="left" w:pos="9360"/>
        </w:tabs>
        <w:spacing w:line="240" w:lineRule="auto"/>
        <w:ind w:left="1170" w:right="0" w:hanging="1170"/>
      </w:pPr>
      <w:r w:rsidRPr="00EB3886">
        <w:t xml:space="preserve">Table A1. </w:t>
      </w:r>
      <w:r>
        <w:t xml:space="preserve">  NSWP-III Expert Panel Consultations</w:t>
      </w:r>
      <w:r w:rsidRPr="00EB3886">
        <w:rPr>
          <w:webHidden/>
        </w:rPr>
        <w:tab/>
      </w:r>
      <w:r w:rsidR="004E4EF3">
        <w:t>2</w:t>
      </w:r>
      <w:r w:rsidR="00716C8E">
        <w:t>3</w:t>
      </w:r>
    </w:p>
    <w:p w14:paraId="38C0B7AB" w14:textId="592D21EB" w:rsidR="007141CD" w:rsidRDefault="007141CD" w:rsidP="007141CD">
      <w:pPr>
        <w:pStyle w:val="TOC1"/>
        <w:tabs>
          <w:tab w:val="clear" w:pos="8208"/>
          <w:tab w:val="clear" w:pos="8640"/>
          <w:tab w:val="left" w:leader="dot" w:pos="9090"/>
          <w:tab w:val="left" w:pos="9360"/>
        </w:tabs>
        <w:spacing w:line="240" w:lineRule="auto"/>
        <w:ind w:left="0" w:right="0" w:firstLine="0"/>
        <w:rPr>
          <w:webHidden/>
        </w:rPr>
      </w:pPr>
      <w:r w:rsidRPr="00074363">
        <w:t>Table A</w:t>
      </w:r>
      <w:r w:rsidR="00B07E8E">
        <w:t>2</w:t>
      </w:r>
      <w:r w:rsidRPr="00074363">
        <w:t xml:space="preserve">.   </w:t>
      </w:r>
      <w:r>
        <w:t>Annualized Cost to Federal Government</w:t>
      </w:r>
      <w:r w:rsidR="00C10DA8">
        <w:t xml:space="preserve"> for FNS Regional Offices</w:t>
      </w:r>
      <w:r w:rsidRPr="00074363">
        <w:rPr>
          <w:webHidden/>
        </w:rPr>
        <w:tab/>
      </w:r>
      <w:r w:rsidR="00AD60A9">
        <w:rPr>
          <w:webHidden/>
        </w:rPr>
        <w:t>3</w:t>
      </w:r>
      <w:r w:rsidR="00716C8E">
        <w:rPr>
          <w:webHidden/>
        </w:rPr>
        <w:t>5</w:t>
      </w:r>
    </w:p>
    <w:p w14:paraId="2ACD752F" w14:textId="16FEA1B2" w:rsidR="00B07E8E" w:rsidRPr="00074363" w:rsidRDefault="00B07E8E" w:rsidP="000B3F62">
      <w:pPr>
        <w:pStyle w:val="TOC1"/>
        <w:tabs>
          <w:tab w:val="clear" w:pos="8208"/>
          <w:tab w:val="clear" w:pos="8640"/>
          <w:tab w:val="left" w:leader="dot" w:pos="9090"/>
          <w:tab w:val="left" w:pos="9360"/>
        </w:tabs>
        <w:spacing w:line="240" w:lineRule="auto"/>
        <w:ind w:left="0" w:right="0" w:firstLine="0"/>
        <w:rPr>
          <w:rFonts w:eastAsiaTheme="minorEastAsia"/>
          <w:sz w:val="22"/>
          <w:szCs w:val="22"/>
        </w:rPr>
      </w:pPr>
      <w:r w:rsidRPr="00074363">
        <w:t>Table A</w:t>
      </w:r>
      <w:r>
        <w:t>3</w:t>
      </w:r>
      <w:r w:rsidRPr="00074363">
        <w:t xml:space="preserve">.   </w:t>
      </w:r>
      <w:r w:rsidR="00463E16">
        <w:t>Estimated Study Timeline</w:t>
      </w:r>
      <w:r w:rsidRPr="00074363">
        <w:rPr>
          <w:webHidden/>
        </w:rPr>
        <w:tab/>
      </w:r>
      <w:r w:rsidR="00AD60A9">
        <w:rPr>
          <w:webHidden/>
        </w:rPr>
        <w:t>3</w:t>
      </w:r>
      <w:r w:rsidR="00716C8E">
        <w:rPr>
          <w:webHidden/>
        </w:rPr>
        <w:t>7</w:t>
      </w:r>
    </w:p>
    <w:p w14:paraId="307040EA" w14:textId="77777777" w:rsidR="00675792" w:rsidRPr="00616403" w:rsidRDefault="00675792" w:rsidP="004B186B">
      <w:pPr>
        <w:spacing w:line="240" w:lineRule="auto"/>
      </w:pPr>
    </w:p>
    <w:p w14:paraId="75585C0C" w14:textId="6BBCCDC6" w:rsidR="005D5F75" w:rsidRDefault="005D5F75" w:rsidP="00696736">
      <w:bookmarkStart w:id="7" w:name="_Hlk497878057"/>
      <w:r>
        <w:rPr>
          <w:b/>
          <w:bCs/>
        </w:rPr>
        <w:t>Appendix A Study Background and Regulatory Information</w:t>
      </w:r>
    </w:p>
    <w:p w14:paraId="45572F40" w14:textId="5CEA35E9" w:rsidR="00A969FC" w:rsidRDefault="00A969FC" w:rsidP="00A969FC">
      <w:pPr>
        <w:pStyle w:val="L1-FlLSp12"/>
        <w:tabs>
          <w:tab w:val="left" w:pos="1800"/>
        </w:tabs>
        <w:spacing w:line="240" w:lineRule="auto"/>
      </w:pPr>
      <w:r>
        <w:t>Appendix A</w:t>
      </w:r>
      <w:r w:rsidR="00C5190B">
        <w:t>1</w:t>
      </w:r>
      <w:r>
        <w:t>.</w:t>
      </w:r>
      <w:r>
        <w:tab/>
      </w:r>
      <w:bookmarkStart w:id="8" w:name="_Hlk488216242"/>
      <w:r>
        <w:t>Improper Payment Elimination and Recovery Improvement Act of 2012</w:t>
      </w:r>
      <w:bookmarkEnd w:id="8"/>
    </w:p>
    <w:p w14:paraId="1F3AFE30" w14:textId="62CD6BF0" w:rsidR="001B362A" w:rsidRDefault="001B362A" w:rsidP="001B362A">
      <w:pPr>
        <w:pStyle w:val="L1-FlLSp12"/>
        <w:tabs>
          <w:tab w:val="left" w:pos="1800"/>
        </w:tabs>
        <w:spacing w:line="240" w:lineRule="auto"/>
        <w:ind w:left="1800" w:hanging="1800"/>
      </w:pPr>
      <w:r>
        <w:t>Appendix A2.</w:t>
      </w:r>
      <w:r>
        <w:tab/>
      </w:r>
      <w:r w:rsidRPr="001B362A">
        <w:t>2009 Executive Order 13520—Reducing Improper Payments</w:t>
      </w:r>
    </w:p>
    <w:p w14:paraId="46994AD1" w14:textId="68E9E866" w:rsidR="001B362A" w:rsidRDefault="00EE04E2" w:rsidP="001B362A">
      <w:pPr>
        <w:pStyle w:val="L1-FlLSp12"/>
        <w:tabs>
          <w:tab w:val="left" w:pos="1800"/>
        </w:tabs>
        <w:spacing w:line="240" w:lineRule="auto"/>
        <w:ind w:left="1800" w:hanging="1800"/>
      </w:pPr>
      <w:r>
        <w:t>Appendix A</w:t>
      </w:r>
      <w:r w:rsidR="001B362A">
        <w:t>3</w:t>
      </w:r>
      <w:r>
        <w:t>.</w:t>
      </w:r>
      <w:r>
        <w:tab/>
      </w:r>
      <w:r w:rsidR="001B362A">
        <w:t>(OIG) FY 2014 Compliance Improper Payment Requirements</w:t>
      </w:r>
    </w:p>
    <w:p w14:paraId="5EAEF4E1" w14:textId="59365E29" w:rsidR="00EE04E2" w:rsidRDefault="001B362A" w:rsidP="001B362A">
      <w:pPr>
        <w:pStyle w:val="L1-FlLSp12"/>
        <w:tabs>
          <w:tab w:val="left" w:pos="1800"/>
        </w:tabs>
        <w:spacing w:line="240" w:lineRule="auto"/>
        <w:ind w:left="1800" w:hanging="1800"/>
      </w:pPr>
      <w:r>
        <w:t>Appendix A4.</w:t>
      </w:r>
      <w:r>
        <w:tab/>
        <w:t>M-</w:t>
      </w:r>
      <w:r w:rsidR="006F10BD">
        <w:t>18</w:t>
      </w:r>
      <w:r>
        <w:t>-</w:t>
      </w:r>
      <w:r w:rsidR="006F10BD">
        <w:t xml:space="preserve">20 </w:t>
      </w:r>
      <w:r>
        <w:t xml:space="preserve">– Appendix C to Circular No. A-123, Requirements for </w:t>
      </w:r>
      <w:r w:rsidR="00FA3B39">
        <w:t xml:space="preserve">Payment Integrity Improvement </w:t>
      </w:r>
    </w:p>
    <w:p w14:paraId="6E0E323E" w14:textId="4E508C17" w:rsidR="005D7AC8" w:rsidRDefault="005D7AC8" w:rsidP="005D7AC8">
      <w:pPr>
        <w:pStyle w:val="L1-FlLSp12"/>
        <w:tabs>
          <w:tab w:val="left" w:pos="1800"/>
        </w:tabs>
        <w:spacing w:line="240" w:lineRule="auto"/>
      </w:pPr>
      <w:r w:rsidRPr="00E3349A">
        <w:t>Appendix A</w:t>
      </w:r>
      <w:r w:rsidR="001B362A">
        <w:t>5</w:t>
      </w:r>
      <w:r w:rsidRPr="00E3349A">
        <w:t>.</w:t>
      </w:r>
      <w:r w:rsidRPr="00E3349A">
        <w:tab/>
        <w:t xml:space="preserve">NSWP-III Research </w:t>
      </w:r>
      <w:r w:rsidR="00BB0F18" w:rsidRPr="00E3349A">
        <w:t>Questions</w:t>
      </w:r>
      <w:r w:rsidRPr="00E3349A">
        <w:t xml:space="preserve"> and Objectives</w:t>
      </w:r>
    </w:p>
    <w:p w14:paraId="7A12AC25" w14:textId="031B21C1" w:rsidR="00B47CFA" w:rsidRDefault="005A7302" w:rsidP="009F3C4F">
      <w:pPr>
        <w:pStyle w:val="L1-FlLSp12"/>
        <w:tabs>
          <w:tab w:val="left" w:pos="1800"/>
        </w:tabs>
        <w:spacing w:line="240" w:lineRule="auto"/>
      </w:pPr>
      <w:r>
        <w:t>Appendix A</w:t>
      </w:r>
      <w:r w:rsidR="001B362A">
        <w:t>6</w:t>
      </w:r>
      <w:r w:rsidR="00EE3E5D">
        <w:t>.</w:t>
      </w:r>
      <w:r w:rsidR="009F3C4F">
        <w:tab/>
      </w:r>
      <w:bookmarkStart w:id="9" w:name="_Hlk497147319"/>
      <w:bookmarkStart w:id="10" w:name="_Hlk497147158"/>
      <w:r w:rsidR="009F3C4F" w:rsidRPr="009F3C4F">
        <w:t>C</w:t>
      </w:r>
      <w:r w:rsidR="00775024">
        <w:t xml:space="preserve">ode of </w:t>
      </w:r>
      <w:r w:rsidR="009F3C4F" w:rsidRPr="009F3C4F">
        <w:t>F</w:t>
      </w:r>
      <w:r w:rsidR="00775024">
        <w:t xml:space="preserve">ederal </w:t>
      </w:r>
      <w:r w:rsidR="009F3C4F" w:rsidRPr="009F3C4F">
        <w:t>R</w:t>
      </w:r>
      <w:r w:rsidR="00775024">
        <w:t>egulations</w:t>
      </w:r>
      <w:r w:rsidR="009F3C4F" w:rsidRPr="009F3C4F">
        <w:t xml:space="preserve">. §215.11 </w:t>
      </w:r>
      <w:bookmarkEnd w:id="9"/>
      <w:r w:rsidR="009F3C4F" w:rsidRPr="009F3C4F">
        <w:t xml:space="preserve">Special </w:t>
      </w:r>
      <w:r w:rsidR="007B7F77">
        <w:t>R</w:t>
      </w:r>
      <w:r w:rsidR="009F3C4F" w:rsidRPr="009F3C4F">
        <w:t>esponsibilities of State</w:t>
      </w:r>
    </w:p>
    <w:p w14:paraId="45DEEC8D" w14:textId="42EAA2F5" w:rsidR="009F3C4F" w:rsidRDefault="00B47CFA" w:rsidP="00B47CFA">
      <w:pPr>
        <w:pStyle w:val="L1-FlLSp12"/>
        <w:tabs>
          <w:tab w:val="left" w:pos="1800"/>
        </w:tabs>
        <w:spacing w:line="240" w:lineRule="auto"/>
        <w:ind w:left="1800" w:hanging="1800"/>
      </w:pPr>
      <w:r>
        <w:tab/>
      </w:r>
      <w:r>
        <w:tab/>
      </w:r>
      <w:r w:rsidR="007B7F77">
        <w:t>A</w:t>
      </w:r>
      <w:r w:rsidR="009F3C4F" w:rsidRPr="009F3C4F">
        <w:t>gencies.</w:t>
      </w:r>
    </w:p>
    <w:p w14:paraId="4EE3B2E9" w14:textId="3E7A738A" w:rsidR="009B07C1" w:rsidRDefault="005A7302" w:rsidP="005D7AC8">
      <w:pPr>
        <w:pStyle w:val="L1-FlLSp12"/>
        <w:tabs>
          <w:tab w:val="left" w:pos="1800"/>
        </w:tabs>
        <w:spacing w:line="240" w:lineRule="auto"/>
      </w:pPr>
      <w:bookmarkStart w:id="11" w:name="_Hlk487806248"/>
      <w:bookmarkEnd w:id="10"/>
      <w:r>
        <w:t>Appendix A</w:t>
      </w:r>
      <w:r w:rsidR="001B362A">
        <w:t>7</w:t>
      </w:r>
      <w:r w:rsidR="00EE3E5D">
        <w:t>.</w:t>
      </w:r>
      <w:r w:rsidR="009B07C1">
        <w:tab/>
      </w:r>
      <w:r w:rsidR="00775024" w:rsidRPr="009F3C4F">
        <w:t>C</w:t>
      </w:r>
      <w:r w:rsidR="00775024">
        <w:t xml:space="preserve">ode of </w:t>
      </w:r>
      <w:r w:rsidR="00775024" w:rsidRPr="009F3C4F">
        <w:t>F</w:t>
      </w:r>
      <w:r w:rsidR="00775024">
        <w:t xml:space="preserve">ederal </w:t>
      </w:r>
      <w:r w:rsidR="00775024" w:rsidRPr="009F3C4F">
        <w:t>R</w:t>
      </w:r>
      <w:r w:rsidR="00775024">
        <w:t>egulations</w:t>
      </w:r>
      <w:r w:rsidR="009B07C1" w:rsidRPr="009B07C1">
        <w:t xml:space="preserve">. §246.7 Certification of </w:t>
      </w:r>
      <w:r w:rsidR="007B7F77">
        <w:t>P</w:t>
      </w:r>
      <w:r w:rsidR="007B7F77" w:rsidRPr="009B07C1">
        <w:t>articipants</w:t>
      </w:r>
    </w:p>
    <w:bookmarkEnd w:id="11"/>
    <w:p w14:paraId="233D1928" w14:textId="5FA83618" w:rsidR="00B47CFA" w:rsidRDefault="005A7302" w:rsidP="00B47CFA">
      <w:pPr>
        <w:pStyle w:val="L1-FlLSp12"/>
        <w:tabs>
          <w:tab w:val="left" w:pos="1800"/>
        </w:tabs>
        <w:spacing w:line="240" w:lineRule="auto"/>
        <w:ind w:left="1800" w:hanging="1800"/>
        <w:rPr>
          <w:szCs w:val="24"/>
        </w:rPr>
      </w:pPr>
      <w:r w:rsidRPr="00E3349A">
        <w:t>Appendix A</w:t>
      </w:r>
      <w:r w:rsidR="001B362A">
        <w:t>8</w:t>
      </w:r>
      <w:r w:rsidRPr="00E3349A">
        <w:t>.</w:t>
      </w:r>
      <w:r w:rsidRPr="00E3349A">
        <w:tab/>
        <w:t>Contractor Confidentiality Form</w:t>
      </w:r>
      <w:r w:rsidRPr="00E3349A">
        <w:tab/>
      </w:r>
    </w:p>
    <w:p w14:paraId="68DB1FE0" w14:textId="1F1765C7" w:rsidR="008F2FDC" w:rsidRDefault="00553973" w:rsidP="00B47CFA">
      <w:pPr>
        <w:pStyle w:val="L1-FlLSp12"/>
        <w:tabs>
          <w:tab w:val="left" w:pos="1800"/>
        </w:tabs>
        <w:spacing w:line="240" w:lineRule="auto"/>
        <w:ind w:left="1800" w:hanging="1800"/>
      </w:pPr>
      <w:r>
        <w:rPr>
          <w:szCs w:val="24"/>
        </w:rPr>
        <w:t>Appendix A9.</w:t>
      </w:r>
      <w:r>
        <w:rPr>
          <w:szCs w:val="24"/>
        </w:rPr>
        <w:tab/>
      </w:r>
      <w:r w:rsidRPr="00382968">
        <w:rPr>
          <w:szCs w:val="24"/>
        </w:rPr>
        <w:t>Section 28 of the Richard B Russel</w:t>
      </w:r>
      <w:r w:rsidR="0019196A">
        <w:rPr>
          <w:szCs w:val="24"/>
        </w:rPr>
        <w:t>l</w:t>
      </w:r>
      <w:r w:rsidRPr="00382968">
        <w:rPr>
          <w:szCs w:val="24"/>
        </w:rPr>
        <w:t xml:space="preserve"> National School Lunch Act as </w:t>
      </w:r>
      <w:r>
        <w:rPr>
          <w:szCs w:val="24"/>
        </w:rPr>
        <w:t>a</w:t>
      </w:r>
      <w:r w:rsidRPr="00382968">
        <w:rPr>
          <w:szCs w:val="24"/>
        </w:rPr>
        <w:t xml:space="preserve">mended by </w:t>
      </w:r>
      <w:r>
        <w:rPr>
          <w:szCs w:val="24"/>
        </w:rPr>
        <w:t xml:space="preserve">the </w:t>
      </w:r>
      <w:r w:rsidRPr="00382968">
        <w:rPr>
          <w:szCs w:val="24"/>
        </w:rPr>
        <w:t>Healthy, Hunger-Free Kids Act of 2010 (HHFKA)</w:t>
      </w:r>
    </w:p>
    <w:p w14:paraId="004CF745" w14:textId="77777777" w:rsidR="00553973" w:rsidRDefault="00553973" w:rsidP="005D7AC8">
      <w:pPr>
        <w:pStyle w:val="L1-FlLSp12"/>
        <w:tabs>
          <w:tab w:val="left" w:pos="1800"/>
        </w:tabs>
        <w:spacing w:line="240" w:lineRule="auto"/>
      </w:pPr>
    </w:p>
    <w:bookmarkEnd w:id="7"/>
    <w:p w14:paraId="424FE8D9" w14:textId="1CCEFABD" w:rsidR="005D5F75" w:rsidRPr="005D5F75" w:rsidRDefault="005D5F75" w:rsidP="005D7AC8">
      <w:pPr>
        <w:pStyle w:val="L1-FlLSp12"/>
        <w:tabs>
          <w:tab w:val="left" w:pos="1800"/>
        </w:tabs>
        <w:spacing w:line="240" w:lineRule="auto"/>
        <w:rPr>
          <w:b/>
        </w:rPr>
      </w:pPr>
      <w:r w:rsidRPr="005D5F75">
        <w:rPr>
          <w:b/>
        </w:rPr>
        <w:t>Append</w:t>
      </w:r>
      <w:r w:rsidR="008F2FDC">
        <w:rPr>
          <w:b/>
        </w:rPr>
        <w:t>i</w:t>
      </w:r>
      <w:r w:rsidRPr="005D5F75">
        <w:rPr>
          <w:b/>
        </w:rPr>
        <w:t xml:space="preserve">x B. Survey Instruments </w:t>
      </w:r>
    </w:p>
    <w:p w14:paraId="5DAC2561" w14:textId="77777777" w:rsidR="005D5F75" w:rsidRDefault="005D5F75" w:rsidP="005D7AC8">
      <w:pPr>
        <w:pStyle w:val="L1-FlLSp12"/>
        <w:tabs>
          <w:tab w:val="left" w:pos="1800"/>
        </w:tabs>
        <w:spacing w:line="240" w:lineRule="auto"/>
      </w:pPr>
    </w:p>
    <w:p w14:paraId="51B1267D" w14:textId="38606E5F" w:rsidR="005D7AC8" w:rsidRDefault="005D7AC8" w:rsidP="005D7AC8">
      <w:pPr>
        <w:pStyle w:val="L1-FlLSp12"/>
        <w:tabs>
          <w:tab w:val="left" w:pos="1800"/>
        </w:tabs>
        <w:spacing w:line="240" w:lineRule="auto"/>
      </w:pPr>
      <w:bookmarkStart w:id="12" w:name="_Hlk497878132"/>
      <w:r w:rsidRPr="00E3349A">
        <w:t>Appendix B1.</w:t>
      </w:r>
      <w:r w:rsidR="005C5FB6">
        <w:t>a</w:t>
      </w:r>
      <w:r w:rsidRPr="00E3349A">
        <w:tab/>
        <w:t>State Agency Survey</w:t>
      </w:r>
    </w:p>
    <w:p w14:paraId="2368564A" w14:textId="6AB789CA" w:rsidR="005C5FB6" w:rsidRPr="00E3349A" w:rsidRDefault="005C5FB6" w:rsidP="005D7AC8">
      <w:pPr>
        <w:pStyle w:val="L1-FlLSp12"/>
        <w:tabs>
          <w:tab w:val="left" w:pos="1800"/>
        </w:tabs>
        <w:spacing w:line="240" w:lineRule="auto"/>
      </w:pPr>
      <w:r>
        <w:t>Appendix B1.b</w:t>
      </w:r>
      <w:r>
        <w:tab/>
        <w:t>State Agency Survey – Screenshots</w:t>
      </w:r>
    </w:p>
    <w:p w14:paraId="141E6E91" w14:textId="41A866CB" w:rsidR="005D7AC8" w:rsidRDefault="005D7AC8" w:rsidP="005D7AC8">
      <w:pPr>
        <w:pStyle w:val="L1-FlLSp12"/>
        <w:tabs>
          <w:tab w:val="left" w:pos="1800"/>
        </w:tabs>
        <w:spacing w:line="240" w:lineRule="auto"/>
      </w:pPr>
      <w:r w:rsidRPr="00E3349A">
        <w:t>Appendix B2.</w:t>
      </w:r>
      <w:r w:rsidR="005C5FB6">
        <w:t>a</w:t>
      </w:r>
      <w:r w:rsidRPr="00E3349A">
        <w:tab/>
        <w:t>Local Agency Survey</w:t>
      </w:r>
    </w:p>
    <w:p w14:paraId="53AF3268" w14:textId="6DE63AFF" w:rsidR="005C5FB6" w:rsidRPr="00E3349A" w:rsidRDefault="005C5FB6" w:rsidP="005D7AC8">
      <w:pPr>
        <w:pStyle w:val="L1-FlLSp12"/>
        <w:tabs>
          <w:tab w:val="left" w:pos="1800"/>
        </w:tabs>
        <w:spacing w:line="240" w:lineRule="auto"/>
      </w:pPr>
      <w:r>
        <w:t>Appendix B2.b</w:t>
      </w:r>
      <w:r>
        <w:tab/>
        <w:t>Local Agency Survey - Screenshots</w:t>
      </w:r>
    </w:p>
    <w:p w14:paraId="6E846C64" w14:textId="5E6F811A" w:rsidR="005D7AC8" w:rsidRPr="00E3349A" w:rsidRDefault="005D7AC8" w:rsidP="005D7AC8">
      <w:pPr>
        <w:pStyle w:val="L1-FlLSp12"/>
        <w:tabs>
          <w:tab w:val="left" w:pos="1800"/>
        </w:tabs>
        <w:spacing w:line="240" w:lineRule="auto"/>
      </w:pPr>
      <w:r w:rsidRPr="00E3349A">
        <w:t>Appendix B3.a</w:t>
      </w:r>
      <w:r w:rsidRPr="00E3349A">
        <w:tab/>
        <w:t>Certification Survey Version A (Adult)-English</w:t>
      </w:r>
    </w:p>
    <w:p w14:paraId="693F2F9D" w14:textId="76B8A247" w:rsidR="005D7AC8" w:rsidRPr="00E3349A" w:rsidRDefault="005D7AC8" w:rsidP="005D7AC8">
      <w:pPr>
        <w:pStyle w:val="L1-FlLSp12"/>
        <w:tabs>
          <w:tab w:val="left" w:pos="1800"/>
        </w:tabs>
        <w:spacing w:line="240" w:lineRule="auto"/>
      </w:pPr>
      <w:r w:rsidRPr="00E3349A">
        <w:t>Appendix B3.b</w:t>
      </w:r>
      <w:r w:rsidRPr="00E3349A">
        <w:tab/>
        <w:t>Certification Survey Version B (Infant/Child)-English</w:t>
      </w:r>
    </w:p>
    <w:p w14:paraId="38127A78" w14:textId="243663D9" w:rsidR="005D7AC8" w:rsidRPr="00E3349A" w:rsidRDefault="005D7AC8" w:rsidP="005D7AC8">
      <w:pPr>
        <w:pStyle w:val="L1-FlLSp12"/>
        <w:tabs>
          <w:tab w:val="left" w:pos="1800"/>
        </w:tabs>
        <w:spacing w:line="240" w:lineRule="auto"/>
      </w:pPr>
      <w:r w:rsidRPr="00E3349A">
        <w:t>Appendix B3.c</w:t>
      </w:r>
      <w:r w:rsidRPr="00E3349A">
        <w:tab/>
        <w:t>Certification Survey Version A (Adult)-Spanish</w:t>
      </w:r>
    </w:p>
    <w:p w14:paraId="37F11EAB" w14:textId="55A13E98" w:rsidR="005D7AC8" w:rsidRPr="00E3349A" w:rsidRDefault="005D7AC8" w:rsidP="005D7AC8">
      <w:pPr>
        <w:pStyle w:val="L1-FlLSp12"/>
        <w:tabs>
          <w:tab w:val="left" w:pos="1800"/>
        </w:tabs>
        <w:spacing w:line="240" w:lineRule="auto"/>
      </w:pPr>
      <w:r w:rsidRPr="00E3349A">
        <w:t>Appendix B3.d</w:t>
      </w:r>
      <w:r w:rsidRPr="00E3349A">
        <w:tab/>
        <w:t>Certification Survey Version B (Infant/Child)-Spanish</w:t>
      </w:r>
    </w:p>
    <w:p w14:paraId="38324E21" w14:textId="25EB20FE" w:rsidR="005D7AC8" w:rsidRPr="00E3349A" w:rsidRDefault="005D7AC8" w:rsidP="005D7AC8">
      <w:pPr>
        <w:pStyle w:val="L1-FlLSp12"/>
        <w:tabs>
          <w:tab w:val="left" w:pos="1800"/>
        </w:tabs>
        <w:spacing w:line="240" w:lineRule="auto"/>
      </w:pPr>
      <w:r w:rsidRPr="00E3349A">
        <w:t>Appendix B4.a</w:t>
      </w:r>
      <w:r w:rsidRPr="00E3349A">
        <w:tab/>
        <w:t>Denied Applicant Survey Version A (Adult)-English</w:t>
      </w:r>
    </w:p>
    <w:p w14:paraId="7CEC10D1" w14:textId="485D6699" w:rsidR="005D7AC8" w:rsidRPr="00E3349A" w:rsidRDefault="005D7AC8" w:rsidP="005D7AC8">
      <w:pPr>
        <w:pStyle w:val="L1-FlLSp12"/>
        <w:tabs>
          <w:tab w:val="left" w:pos="1800"/>
        </w:tabs>
        <w:spacing w:line="240" w:lineRule="auto"/>
      </w:pPr>
      <w:r w:rsidRPr="00E3349A">
        <w:t>Appendix B4.b</w:t>
      </w:r>
      <w:r w:rsidRPr="00E3349A">
        <w:tab/>
        <w:t>Denied Applicant Survey Version B (Infant/Child)-English</w:t>
      </w:r>
    </w:p>
    <w:p w14:paraId="074E110C" w14:textId="4235C982" w:rsidR="005D7AC8" w:rsidRPr="00E3349A" w:rsidRDefault="005D7AC8" w:rsidP="005D7AC8">
      <w:pPr>
        <w:pStyle w:val="L1-FlLSp12"/>
        <w:tabs>
          <w:tab w:val="left" w:pos="1800"/>
        </w:tabs>
        <w:spacing w:line="240" w:lineRule="auto"/>
      </w:pPr>
      <w:r w:rsidRPr="00E3349A">
        <w:t>Appendix B4.c</w:t>
      </w:r>
      <w:r w:rsidRPr="00E3349A">
        <w:tab/>
        <w:t>Denied Applicant Survey:</w:t>
      </w:r>
      <w:r w:rsidR="009F70CA" w:rsidRPr="00E3349A">
        <w:t xml:space="preserve"> </w:t>
      </w:r>
      <w:r w:rsidRPr="00E3349A">
        <w:t>Version A (Adult)-Spanish</w:t>
      </w:r>
    </w:p>
    <w:p w14:paraId="58F0BB38" w14:textId="24805679" w:rsidR="005D7AC8" w:rsidRPr="00E3349A" w:rsidRDefault="005D7AC8" w:rsidP="005D7AC8">
      <w:pPr>
        <w:pStyle w:val="L1-FlLSp12"/>
        <w:tabs>
          <w:tab w:val="left" w:pos="1800"/>
        </w:tabs>
        <w:spacing w:line="240" w:lineRule="auto"/>
      </w:pPr>
      <w:r w:rsidRPr="00E3349A">
        <w:t>Appendix B4.d</w:t>
      </w:r>
      <w:r w:rsidRPr="00E3349A">
        <w:tab/>
        <w:t>Denied Applicant Survey Version B (Infant/Child)-Spanish </w:t>
      </w:r>
    </w:p>
    <w:p w14:paraId="264B4696" w14:textId="6A82160E" w:rsidR="005D7AC8" w:rsidRPr="00E3349A" w:rsidRDefault="005D7AC8" w:rsidP="005D7AC8">
      <w:pPr>
        <w:pStyle w:val="L1-FlLSp12"/>
        <w:tabs>
          <w:tab w:val="left" w:pos="1800"/>
        </w:tabs>
        <w:spacing w:line="240" w:lineRule="auto"/>
      </w:pPr>
      <w:r w:rsidRPr="00E3349A">
        <w:t>Appendix B5.a</w:t>
      </w:r>
      <w:r w:rsidRPr="00E3349A">
        <w:tab/>
        <w:t>Program Experiences Survey Version A (Adult)-English</w:t>
      </w:r>
    </w:p>
    <w:p w14:paraId="30DFA9E8" w14:textId="1B94F679" w:rsidR="005D7AC8" w:rsidRPr="00E3349A" w:rsidRDefault="005D7AC8" w:rsidP="005D7AC8">
      <w:pPr>
        <w:pStyle w:val="L1-FlLSp12"/>
        <w:tabs>
          <w:tab w:val="left" w:pos="1800"/>
        </w:tabs>
        <w:spacing w:line="240" w:lineRule="auto"/>
      </w:pPr>
      <w:r w:rsidRPr="00E3349A">
        <w:t>Appendix B5.b</w:t>
      </w:r>
      <w:r w:rsidRPr="00E3349A">
        <w:tab/>
        <w:t>Program Experiences Survey Version B (Infant/Child)-English</w:t>
      </w:r>
    </w:p>
    <w:p w14:paraId="0F85F2B7" w14:textId="3CC03C33" w:rsidR="005D7AC8" w:rsidRPr="00E3349A" w:rsidRDefault="005D7AC8" w:rsidP="005D7AC8">
      <w:pPr>
        <w:pStyle w:val="L1-FlLSp12"/>
        <w:tabs>
          <w:tab w:val="left" w:pos="1800"/>
        </w:tabs>
        <w:spacing w:line="240" w:lineRule="auto"/>
      </w:pPr>
      <w:r w:rsidRPr="00E3349A">
        <w:t>Appendix B5.c</w:t>
      </w:r>
      <w:r w:rsidRPr="00E3349A">
        <w:tab/>
        <w:t>Program Experiences Survey Version A (Adult)-Spanish</w:t>
      </w:r>
    </w:p>
    <w:p w14:paraId="20BD0A42" w14:textId="35D24BDE" w:rsidR="005D7AC8" w:rsidRPr="00E3349A" w:rsidRDefault="005D7AC8" w:rsidP="005D7AC8">
      <w:pPr>
        <w:pStyle w:val="L1-FlLSp12"/>
        <w:tabs>
          <w:tab w:val="left" w:pos="1800"/>
        </w:tabs>
        <w:spacing w:line="240" w:lineRule="auto"/>
      </w:pPr>
      <w:r w:rsidRPr="00E3349A">
        <w:t>Appendix B5.d</w:t>
      </w:r>
      <w:r w:rsidRPr="00E3349A">
        <w:tab/>
        <w:t>Program Experiences Survey Version B (Infant/Child)-Spanish</w:t>
      </w:r>
    </w:p>
    <w:p w14:paraId="0F3F4D29" w14:textId="5FB5473B" w:rsidR="005D7AC8" w:rsidRPr="00E3349A" w:rsidRDefault="005D7AC8" w:rsidP="005D7AC8">
      <w:pPr>
        <w:pStyle w:val="L1-FlLSp12"/>
        <w:tabs>
          <w:tab w:val="left" w:pos="1800"/>
        </w:tabs>
        <w:spacing w:line="240" w:lineRule="auto"/>
      </w:pPr>
      <w:r w:rsidRPr="00E3349A">
        <w:t>Appendix B6.a</w:t>
      </w:r>
      <w:r w:rsidRPr="00E3349A">
        <w:tab/>
        <w:t>Former WIC Participant Case Study Interview Guide-English</w:t>
      </w:r>
    </w:p>
    <w:p w14:paraId="0A7FE6CE" w14:textId="487A9C7E" w:rsidR="005D7AC8" w:rsidRPr="00E3349A" w:rsidRDefault="005D7AC8" w:rsidP="005D7AC8">
      <w:pPr>
        <w:pStyle w:val="L1-FlLSp12"/>
        <w:tabs>
          <w:tab w:val="left" w:pos="1800"/>
        </w:tabs>
        <w:spacing w:line="240" w:lineRule="auto"/>
      </w:pPr>
      <w:r w:rsidRPr="00E3349A">
        <w:t>Appendix B6.b</w:t>
      </w:r>
      <w:r w:rsidRPr="00E3349A">
        <w:tab/>
        <w:t>Former WIC Participant Case Study Interview Guide-Spanish</w:t>
      </w:r>
    </w:p>
    <w:p w14:paraId="06A5FA87" w14:textId="7D7C24AA" w:rsidR="0051208B" w:rsidRPr="00E3349A" w:rsidRDefault="0051208B" w:rsidP="00AA3FA5">
      <w:pPr>
        <w:pStyle w:val="L1-FlLSp12"/>
        <w:tabs>
          <w:tab w:val="left" w:pos="1800"/>
        </w:tabs>
        <w:spacing w:line="240" w:lineRule="auto"/>
      </w:pPr>
      <w:r>
        <w:t>Appendix B</w:t>
      </w:r>
      <w:r w:rsidR="00110984">
        <w:t>7.</w:t>
      </w:r>
      <w:r w:rsidR="005A7302">
        <w:t>a</w:t>
      </w:r>
      <w:r>
        <w:tab/>
      </w:r>
      <w:r w:rsidRPr="0051208B">
        <w:t>Denied Applicant Log Request Email</w:t>
      </w:r>
    </w:p>
    <w:p w14:paraId="00F3CCAC" w14:textId="77777777" w:rsidR="00C92BEC" w:rsidRDefault="005A7302" w:rsidP="005A7302">
      <w:pPr>
        <w:pStyle w:val="L1-FlLSp12"/>
        <w:tabs>
          <w:tab w:val="left" w:pos="1800"/>
        </w:tabs>
        <w:spacing w:line="240" w:lineRule="auto"/>
      </w:pPr>
      <w:r w:rsidRPr="00E3349A">
        <w:t>Appendix B7</w:t>
      </w:r>
      <w:r>
        <w:t>.b</w:t>
      </w:r>
      <w:r w:rsidRPr="00E3349A">
        <w:tab/>
        <w:t>Denied Applicant Log</w:t>
      </w:r>
    </w:p>
    <w:p w14:paraId="00C30C7C" w14:textId="0ACA2B41" w:rsidR="005A7302" w:rsidRDefault="00C92BEC" w:rsidP="005A7302">
      <w:pPr>
        <w:pStyle w:val="L1-FlLSp12"/>
        <w:tabs>
          <w:tab w:val="left" w:pos="1800"/>
        </w:tabs>
        <w:spacing w:line="240" w:lineRule="auto"/>
      </w:pPr>
      <w:r>
        <w:t>Appendix B7.c</w:t>
      </w:r>
      <w:r>
        <w:tab/>
        <w:t>Denied Applicant Log Request Reminder</w:t>
      </w:r>
      <w:r w:rsidR="00C3365D">
        <w:t xml:space="preserve"> Email</w:t>
      </w:r>
    </w:p>
    <w:p w14:paraId="32F675D8" w14:textId="422EC84C" w:rsidR="00C3365D" w:rsidRDefault="00C3365D" w:rsidP="005A7302">
      <w:pPr>
        <w:pStyle w:val="L1-FlLSp12"/>
        <w:tabs>
          <w:tab w:val="left" w:pos="1800"/>
        </w:tabs>
        <w:spacing w:line="240" w:lineRule="auto"/>
      </w:pPr>
      <w:bookmarkStart w:id="13" w:name="_Hlk502846756"/>
      <w:r>
        <w:t>Appendix B7.d</w:t>
      </w:r>
      <w:r>
        <w:tab/>
        <w:t>Denied Applicant Log Request Reminder Telephone Script</w:t>
      </w:r>
    </w:p>
    <w:p w14:paraId="077AFCB5" w14:textId="29903A88" w:rsidR="0093495C" w:rsidRDefault="0093495C" w:rsidP="005A7302">
      <w:pPr>
        <w:pStyle w:val="L1-FlLSp12"/>
        <w:tabs>
          <w:tab w:val="left" w:pos="1800"/>
        </w:tabs>
        <w:spacing w:line="240" w:lineRule="auto"/>
      </w:pPr>
      <w:bookmarkStart w:id="14" w:name="_Hlk499542523"/>
      <w:bookmarkEnd w:id="13"/>
      <w:r>
        <w:t>Appendix B8</w:t>
      </w:r>
      <w:r>
        <w:tab/>
        <w:t>State Agency Administrative Data Request Email</w:t>
      </w:r>
    </w:p>
    <w:bookmarkEnd w:id="12"/>
    <w:bookmarkEnd w:id="14"/>
    <w:p w14:paraId="6834F954" w14:textId="77777777" w:rsidR="005D5F75" w:rsidRDefault="005D5F75" w:rsidP="001D70AE">
      <w:pPr>
        <w:pStyle w:val="L1-FlLSp12"/>
        <w:tabs>
          <w:tab w:val="left" w:pos="1620"/>
          <w:tab w:val="left" w:pos="1800"/>
        </w:tabs>
        <w:spacing w:line="240" w:lineRule="auto"/>
      </w:pPr>
    </w:p>
    <w:p w14:paraId="534DEB46" w14:textId="6BB7E534" w:rsidR="005D5F75" w:rsidRPr="005D5F75" w:rsidRDefault="005D5F75" w:rsidP="001D70AE">
      <w:pPr>
        <w:pStyle w:val="L1-FlLSp12"/>
        <w:tabs>
          <w:tab w:val="left" w:pos="1620"/>
          <w:tab w:val="left" w:pos="1800"/>
        </w:tabs>
        <w:spacing w:line="240" w:lineRule="auto"/>
        <w:rPr>
          <w:b/>
        </w:rPr>
      </w:pPr>
      <w:r w:rsidRPr="005D5F75">
        <w:rPr>
          <w:b/>
        </w:rPr>
        <w:t xml:space="preserve">Appendix C. Recruitment Materials </w:t>
      </w:r>
    </w:p>
    <w:p w14:paraId="6F47C6FA" w14:textId="77777777" w:rsidR="005D5F75" w:rsidRDefault="005D5F75" w:rsidP="001D70AE">
      <w:pPr>
        <w:pStyle w:val="L1-FlLSp12"/>
        <w:tabs>
          <w:tab w:val="left" w:pos="1620"/>
          <w:tab w:val="left" w:pos="1800"/>
        </w:tabs>
        <w:spacing w:line="240" w:lineRule="auto"/>
      </w:pPr>
    </w:p>
    <w:p w14:paraId="75BABF5A" w14:textId="279FDB19" w:rsidR="00F43570" w:rsidRDefault="00F43570" w:rsidP="00F43570">
      <w:pPr>
        <w:pStyle w:val="L1-FlLSp12"/>
        <w:tabs>
          <w:tab w:val="left" w:pos="1620"/>
          <w:tab w:val="left" w:pos="1800"/>
        </w:tabs>
        <w:spacing w:line="240" w:lineRule="auto"/>
      </w:pPr>
      <w:r>
        <w:t>Appendix C1</w:t>
      </w:r>
      <w:r w:rsidR="00A4330D">
        <w:tab/>
      </w:r>
      <w:r w:rsidR="00A4330D">
        <w:tab/>
      </w:r>
      <w:r>
        <w:t xml:space="preserve">Notification Email to </w:t>
      </w:r>
      <w:r w:rsidR="00C10DA8">
        <w:t xml:space="preserve">FNS </w:t>
      </w:r>
      <w:r>
        <w:t>Regional Offices</w:t>
      </w:r>
      <w:r>
        <w:tab/>
      </w:r>
      <w:r>
        <w:tab/>
      </w:r>
      <w:r>
        <w:tab/>
      </w:r>
      <w:r>
        <w:tab/>
      </w:r>
      <w:r>
        <w:tab/>
      </w:r>
    </w:p>
    <w:p w14:paraId="184BC36D" w14:textId="160F9C88" w:rsidR="00F43570" w:rsidRDefault="00F43570" w:rsidP="00F43570">
      <w:pPr>
        <w:pStyle w:val="L1-FlLSp12"/>
        <w:tabs>
          <w:tab w:val="left" w:pos="1620"/>
          <w:tab w:val="left" w:pos="1800"/>
        </w:tabs>
        <w:spacing w:line="240" w:lineRule="auto"/>
      </w:pPr>
      <w:r>
        <w:t>Appendix C2</w:t>
      </w:r>
      <w:r>
        <w:tab/>
      </w:r>
      <w:r w:rsidR="00A4330D">
        <w:tab/>
      </w:r>
      <w:r>
        <w:t>Letter to State Agencies from Regional Offices</w:t>
      </w:r>
      <w:r>
        <w:tab/>
      </w:r>
      <w:r>
        <w:tab/>
      </w:r>
      <w:r>
        <w:tab/>
      </w:r>
      <w:r>
        <w:tab/>
      </w:r>
      <w:r>
        <w:tab/>
      </w:r>
    </w:p>
    <w:p w14:paraId="2D94FD72" w14:textId="643B9CB2" w:rsidR="00F43570" w:rsidRDefault="00F43570" w:rsidP="00F43570">
      <w:pPr>
        <w:pStyle w:val="L1-FlLSp12"/>
        <w:tabs>
          <w:tab w:val="left" w:pos="1620"/>
          <w:tab w:val="left" w:pos="1800"/>
        </w:tabs>
        <w:spacing w:line="240" w:lineRule="auto"/>
      </w:pPr>
      <w:r>
        <w:t>Appendix</w:t>
      </w:r>
      <w:r w:rsidR="00A4330D">
        <w:t xml:space="preserve"> C</w:t>
      </w:r>
      <w:r>
        <w:t>3</w:t>
      </w:r>
      <w:r>
        <w:tab/>
      </w:r>
      <w:r w:rsidR="00A4330D">
        <w:tab/>
      </w:r>
      <w:r>
        <w:t>State Agency Survey Invitation Email</w:t>
      </w:r>
      <w:r>
        <w:tab/>
      </w:r>
      <w:r>
        <w:tab/>
      </w:r>
      <w:r>
        <w:tab/>
      </w:r>
      <w:r>
        <w:tab/>
      </w:r>
      <w:r>
        <w:tab/>
      </w:r>
    </w:p>
    <w:p w14:paraId="47CBD7E1" w14:textId="0AE4A39C" w:rsidR="00F43570" w:rsidRDefault="00A4330D" w:rsidP="00F43570">
      <w:pPr>
        <w:pStyle w:val="L1-FlLSp12"/>
        <w:tabs>
          <w:tab w:val="left" w:pos="1620"/>
          <w:tab w:val="left" w:pos="1800"/>
        </w:tabs>
        <w:spacing w:line="240" w:lineRule="auto"/>
      </w:pPr>
      <w:r>
        <w:t>Appendix C</w:t>
      </w:r>
      <w:r w:rsidR="00F43570">
        <w:t>4</w:t>
      </w:r>
      <w:r w:rsidR="00F43570">
        <w:tab/>
      </w:r>
      <w:r>
        <w:tab/>
      </w:r>
      <w:r w:rsidR="00F43570">
        <w:t>State Agency Survey Invitation Letter with Instrument</w:t>
      </w:r>
      <w:r w:rsidR="00F43570">
        <w:tab/>
      </w:r>
      <w:r w:rsidR="00F43570">
        <w:tab/>
      </w:r>
      <w:r w:rsidR="00F43570">
        <w:tab/>
      </w:r>
      <w:r w:rsidR="00F43570">
        <w:tab/>
      </w:r>
    </w:p>
    <w:p w14:paraId="7225A7EE" w14:textId="3A5E562A" w:rsidR="00F43570" w:rsidRDefault="00A4330D" w:rsidP="00F43570">
      <w:pPr>
        <w:pStyle w:val="L1-FlLSp12"/>
        <w:tabs>
          <w:tab w:val="left" w:pos="1620"/>
          <w:tab w:val="left" w:pos="1800"/>
        </w:tabs>
        <w:spacing w:line="240" w:lineRule="auto"/>
      </w:pPr>
      <w:r>
        <w:t>Appendix C5</w:t>
      </w:r>
      <w:r>
        <w:tab/>
      </w:r>
      <w:r>
        <w:tab/>
      </w:r>
      <w:r w:rsidR="00F43570">
        <w:t>State Agency Survey Reminder Email</w:t>
      </w:r>
      <w:r w:rsidR="00F43570">
        <w:tab/>
      </w:r>
      <w:r w:rsidR="00F43570">
        <w:tab/>
      </w:r>
      <w:r w:rsidR="00F43570">
        <w:tab/>
      </w:r>
      <w:r w:rsidR="00F43570">
        <w:tab/>
      </w:r>
      <w:r w:rsidR="00F43570">
        <w:tab/>
      </w:r>
    </w:p>
    <w:p w14:paraId="29A84375" w14:textId="2E4B55B1" w:rsidR="00F43570" w:rsidRDefault="00A4330D" w:rsidP="00F43570">
      <w:pPr>
        <w:pStyle w:val="L1-FlLSp12"/>
        <w:tabs>
          <w:tab w:val="left" w:pos="1620"/>
          <w:tab w:val="left" w:pos="1800"/>
        </w:tabs>
        <w:spacing w:line="240" w:lineRule="auto"/>
      </w:pPr>
      <w:r>
        <w:t>Appendix C6</w:t>
      </w:r>
      <w:r>
        <w:tab/>
      </w:r>
      <w:r>
        <w:tab/>
      </w:r>
      <w:r w:rsidR="00F43570">
        <w:t>State Agency Survey Reminder Telephone Script</w:t>
      </w:r>
      <w:r w:rsidR="00F43570">
        <w:tab/>
      </w:r>
      <w:r w:rsidR="00F43570">
        <w:tab/>
      </w:r>
      <w:r w:rsidR="00F43570">
        <w:tab/>
      </w:r>
      <w:r w:rsidR="00F43570">
        <w:tab/>
      </w:r>
    </w:p>
    <w:p w14:paraId="3730ABDB" w14:textId="6C70EE21" w:rsidR="00F43570" w:rsidRDefault="00A4330D" w:rsidP="00F43570">
      <w:pPr>
        <w:pStyle w:val="L1-FlLSp12"/>
        <w:tabs>
          <w:tab w:val="left" w:pos="1620"/>
          <w:tab w:val="left" w:pos="1800"/>
        </w:tabs>
        <w:spacing w:line="240" w:lineRule="auto"/>
      </w:pPr>
      <w:r>
        <w:t>Appendix C7</w:t>
      </w:r>
      <w:r>
        <w:tab/>
      </w:r>
      <w:r>
        <w:tab/>
      </w:r>
      <w:r w:rsidR="00F43570">
        <w:t>Local Agency Survey Invitation Email</w:t>
      </w:r>
      <w:r w:rsidR="00F43570">
        <w:tab/>
      </w:r>
      <w:r w:rsidR="00F43570">
        <w:tab/>
      </w:r>
      <w:r w:rsidR="00F43570">
        <w:tab/>
      </w:r>
      <w:r w:rsidR="00F43570">
        <w:tab/>
      </w:r>
      <w:r w:rsidR="00F43570">
        <w:tab/>
      </w:r>
    </w:p>
    <w:p w14:paraId="613DCDEB" w14:textId="7BBCF79E" w:rsidR="00F43570" w:rsidRDefault="00A4330D" w:rsidP="00F43570">
      <w:pPr>
        <w:pStyle w:val="L1-FlLSp12"/>
        <w:tabs>
          <w:tab w:val="left" w:pos="1620"/>
          <w:tab w:val="left" w:pos="1800"/>
        </w:tabs>
        <w:spacing w:line="240" w:lineRule="auto"/>
      </w:pPr>
      <w:r>
        <w:t>Appendix C8</w:t>
      </w:r>
      <w:r>
        <w:tab/>
      </w:r>
      <w:r>
        <w:tab/>
      </w:r>
      <w:r w:rsidR="00F43570">
        <w:t>Local Agency Survey Invitation Letter with Instrument</w:t>
      </w:r>
      <w:r w:rsidR="00F43570">
        <w:tab/>
      </w:r>
      <w:r w:rsidR="00F43570">
        <w:tab/>
      </w:r>
      <w:r w:rsidR="00F43570">
        <w:tab/>
      </w:r>
      <w:r w:rsidR="00F43570">
        <w:tab/>
      </w:r>
    </w:p>
    <w:p w14:paraId="1B1196A7" w14:textId="11C2D3C2" w:rsidR="00F43570" w:rsidRDefault="00A4330D" w:rsidP="00F43570">
      <w:pPr>
        <w:pStyle w:val="L1-FlLSp12"/>
        <w:tabs>
          <w:tab w:val="left" w:pos="1620"/>
          <w:tab w:val="left" w:pos="1800"/>
        </w:tabs>
        <w:spacing w:line="240" w:lineRule="auto"/>
      </w:pPr>
      <w:r>
        <w:t>Appendix C9</w:t>
      </w:r>
      <w:r>
        <w:tab/>
      </w:r>
      <w:r>
        <w:tab/>
      </w:r>
      <w:r w:rsidR="00F43570">
        <w:t>Local Agency Survey Reminder Email</w:t>
      </w:r>
      <w:r w:rsidR="00F43570">
        <w:tab/>
      </w:r>
      <w:r w:rsidR="00F43570">
        <w:tab/>
      </w:r>
      <w:r w:rsidR="00F43570">
        <w:tab/>
      </w:r>
      <w:r w:rsidR="00F43570">
        <w:tab/>
      </w:r>
      <w:r w:rsidR="00F43570">
        <w:tab/>
      </w:r>
    </w:p>
    <w:p w14:paraId="0CCD35D3" w14:textId="741AE31A" w:rsidR="00F43570" w:rsidRDefault="00A4330D" w:rsidP="00F43570">
      <w:pPr>
        <w:pStyle w:val="L1-FlLSp12"/>
        <w:tabs>
          <w:tab w:val="left" w:pos="1620"/>
          <w:tab w:val="left" w:pos="1800"/>
        </w:tabs>
        <w:spacing w:line="240" w:lineRule="auto"/>
      </w:pPr>
      <w:r>
        <w:t>Appendix C10</w:t>
      </w:r>
      <w:r>
        <w:tab/>
      </w:r>
      <w:r>
        <w:tab/>
      </w:r>
      <w:r w:rsidR="00F43570">
        <w:t>Local Agency Survey Reminder Telephone Script</w:t>
      </w:r>
      <w:r w:rsidR="00F43570">
        <w:tab/>
      </w:r>
      <w:r w:rsidR="00F43570">
        <w:tab/>
      </w:r>
      <w:r w:rsidR="00F43570">
        <w:tab/>
      </w:r>
      <w:r w:rsidR="00F43570">
        <w:tab/>
      </w:r>
    </w:p>
    <w:p w14:paraId="37969920" w14:textId="6331A064" w:rsidR="00F43570" w:rsidRDefault="00A4330D" w:rsidP="00F43570">
      <w:pPr>
        <w:pStyle w:val="L1-FlLSp12"/>
        <w:tabs>
          <w:tab w:val="left" w:pos="1620"/>
          <w:tab w:val="left" w:pos="1800"/>
        </w:tabs>
        <w:spacing w:line="240" w:lineRule="auto"/>
      </w:pPr>
      <w:r>
        <w:t>Appendix C11.a</w:t>
      </w:r>
      <w:r>
        <w:tab/>
      </w:r>
      <w:r>
        <w:tab/>
      </w:r>
      <w:r w:rsidR="00F43570">
        <w:t>Certification Survey Recruitment Telephone Script-English</w:t>
      </w:r>
      <w:r w:rsidR="00F43570">
        <w:tab/>
      </w:r>
      <w:r w:rsidR="00F43570">
        <w:tab/>
      </w:r>
      <w:r w:rsidR="00F43570">
        <w:tab/>
      </w:r>
    </w:p>
    <w:p w14:paraId="277D2051" w14:textId="34973C4F" w:rsidR="00F43570" w:rsidRDefault="00A4330D" w:rsidP="00F43570">
      <w:pPr>
        <w:pStyle w:val="L1-FlLSp12"/>
        <w:tabs>
          <w:tab w:val="left" w:pos="1620"/>
          <w:tab w:val="left" w:pos="1800"/>
        </w:tabs>
        <w:spacing w:line="240" w:lineRule="auto"/>
      </w:pPr>
      <w:r>
        <w:t>Appendix C11.b</w:t>
      </w:r>
      <w:r>
        <w:tab/>
      </w:r>
      <w:r>
        <w:tab/>
      </w:r>
      <w:r w:rsidR="00F43570">
        <w:t>Certification Survey Recruitment Telephone Script-Spanish</w:t>
      </w:r>
      <w:r w:rsidR="00F43570">
        <w:tab/>
      </w:r>
      <w:r w:rsidR="00F43570">
        <w:tab/>
      </w:r>
      <w:r w:rsidR="00F43570">
        <w:tab/>
      </w:r>
    </w:p>
    <w:p w14:paraId="064D860A" w14:textId="5D85E260" w:rsidR="00F43570" w:rsidRDefault="00A4330D" w:rsidP="00F43570">
      <w:pPr>
        <w:pStyle w:val="L1-FlLSp12"/>
        <w:tabs>
          <w:tab w:val="left" w:pos="1620"/>
          <w:tab w:val="left" w:pos="1800"/>
        </w:tabs>
        <w:spacing w:line="240" w:lineRule="auto"/>
      </w:pPr>
      <w:r>
        <w:t>Appendix C12.a</w:t>
      </w:r>
      <w:r>
        <w:tab/>
      </w:r>
      <w:r>
        <w:tab/>
      </w:r>
      <w:r w:rsidR="00F43570">
        <w:t>Certification Survey Recruitment In-Person Script-English </w:t>
      </w:r>
      <w:r w:rsidR="00F43570">
        <w:tab/>
      </w:r>
      <w:r w:rsidR="00F43570">
        <w:tab/>
      </w:r>
      <w:r w:rsidR="00F43570">
        <w:tab/>
      </w:r>
    </w:p>
    <w:p w14:paraId="671BF377" w14:textId="0DC8BE72" w:rsidR="00F43570" w:rsidRDefault="00A4330D" w:rsidP="00F43570">
      <w:pPr>
        <w:pStyle w:val="L1-FlLSp12"/>
        <w:tabs>
          <w:tab w:val="left" w:pos="1620"/>
          <w:tab w:val="left" w:pos="1800"/>
        </w:tabs>
        <w:spacing w:line="240" w:lineRule="auto"/>
      </w:pPr>
      <w:r>
        <w:t>Appendix C12.b</w:t>
      </w:r>
      <w:r>
        <w:tab/>
      </w:r>
      <w:r>
        <w:tab/>
      </w:r>
      <w:r w:rsidR="00F43570">
        <w:t>Certification Survey Recruitment In-Person Script-Spanish</w:t>
      </w:r>
      <w:r w:rsidR="00F43570">
        <w:tab/>
      </w:r>
      <w:r w:rsidR="00F43570">
        <w:tab/>
      </w:r>
      <w:r w:rsidR="00F43570">
        <w:tab/>
      </w:r>
    </w:p>
    <w:p w14:paraId="36580129" w14:textId="01318F1E" w:rsidR="00F43570" w:rsidRDefault="00A4330D" w:rsidP="00F43570">
      <w:pPr>
        <w:pStyle w:val="L1-FlLSp12"/>
        <w:tabs>
          <w:tab w:val="left" w:pos="1620"/>
          <w:tab w:val="left" w:pos="1800"/>
        </w:tabs>
        <w:spacing w:line="240" w:lineRule="auto"/>
      </w:pPr>
      <w:r>
        <w:t>Appendix C13.a</w:t>
      </w:r>
      <w:r>
        <w:tab/>
      </w:r>
      <w:r>
        <w:tab/>
      </w:r>
      <w:r w:rsidR="00F43570">
        <w:t>Text Message Reminder for Scheduled Certification Survey-English</w:t>
      </w:r>
      <w:r w:rsidR="00F43570">
        <w:tab/>
      </w:r>
      <w:r w:rsidR="00F43570">
        <w:tab/>
      </w:r>
    </w:p>
    <w:p w14:paraId="69314F12" w14:textId="4FFAD98F" w:rsidR="00F43570" w:rsidRDefault="00A4330D" w:rsidP="00F43570">
      <w:pPr>
        <w:pStyle w:val="L1-FlLSp12"/>
        <w:tabs>
          <w:tab w:val="left" w:pos="1620"/>
          <w:tab w:val="left" w:pos="1800"/>
        </w:tabs>
        <w:spacing w:line="240" w:lineRule="auto"/>
      </w:pPr>
      <w:r>
        <w:t>Appendix C13.b</w:t>
      </w:r>
      <w:r>
        <w:tab/>
      </w:r>
      <w:r>
        <w:tab/>
      </w:r>
      <w:r w:rsidR="00F43570">
        <w:t>Text Message Reminder for Scheduled Certification Survey-Spanish</w:t>
      </w:r>
      <w:r w:rsidR="00F43570">
        <w:tab/>
      </w:r>
      <w:r w:rsidR="00F43570">
        <w:tab/>
      </w:r>
    </w:p>
    <w:p w14:paraId="23B342D4" w14:textId="415F6E35" w:rsidR="00F43570" w:rsidRDefault="00A4330D" w:rsidP="00F43570">
      <w:pPr>
        <w:pStyle w:val="L1-FlLSp12"/>
        <w:tabs>
          <w:tab w:val="left" w:pos="1620"/>
          <w:tab w:val="left" w:pos="1800"/>
        </w:tabs>
        <w:spacing w:line="240" w:lineRule="auto"/>
      </w:pPr>
      <w:r>
        <w:t>Appendix C14.a</w:t>
      </w:r>
      <w:r>
        <w:tab/>
      </w:r>
      <w:r>
        <w:tab/>
      </w:r>
      <w:r w:rsidR="00F43570">
        <w:t>Telephone Reminder for Scheduled Certification Survey-English</w:t>
      </w:r>
      <w:r w:rsidR="00F43570">
        <w:tab/>
      </w:r>
      <w:r w:rsidR="00F43570">
        <w:tab/>
      </w:r>
    </w:p>
    <w:p w14:paraId="2F1777F6" w14:textId="058E4903" w:rsidR="00F43570" w:rsidRDefault="00A4330D" w:rsidP="00F43570">
      <w:pPr>
        <w:pStyle w:val="L1-FlLSp12"/>
        <w:tabs>
          <w:tab w:val="left" w:pos="1620"/>
          <w:tab w:val="left" w:pos="1800"/>
        </w:tabs>
        <w:spacing w:line="240" w:lineRule="auto"/>
      </w:pPr>
      <w:r>
        <w:t>Appendix C14.b</w:t>
      </w:r>
      <w:r>
        <w:tab/>
      </w:r>
      <w:r>
        <w:tab/>
      </w:r>
      <w:r w:rsidR="00F43570">
        <w:t>Telephone Reminder for Scheduled Certification Survey-Spanish</w:t>
      </w:r>
      <w:r w:rsidR="00F43570">
        <w:tab/>
      </w:r>
      <w:r w:rsidR="00F43570">
        <w:tab/>
      </w:r>
    </w:p>
    <w:p w14:paraId="3261F401" w14:textId="0B38818C" w:rsidR="00F43570" w:rsidRDefault="00A4330D" w:rsidP="00F43570">
      <w:pPr>
        <w:pStyle w:val="L1-FlLSp12"/>
        <w:tabs>
          <w:tab w:val="left" w:pos="1620"/>
          <w:tab w:val="left" w:pos="1800"/>
        </w:tabs>
        <w:spacing w:line="240" w:lineRule="auto"/>
      </w:pPr>
      <w:r>
        <w:t>Appendix C15.a</w:t>
      </w:r>
      <w:r>
        <w:tab/>
      </w:r>
      <w:r>
        <w:tab/>
      </w:r>
      <w:r w:rsidR="00F43570">
        <w:t>Denied WIC Applicant Survey Recruitment Telephone Script-English</w:t>
      </w:r>
      <w:r w:rsidR="00F43570">
        <w:tab/>
      </w:r>
      <w:r w:rsidR="00F43570">
        <w:tab/>
      </w:r>
    </w:p>
    <w:p w14:paraId="72DAA9D2" w14:textId="2D26954E" w:rsidR="00F43570" w:rsidRDefault="00A4330D" w:rsidP="00F43570">
      <w:pPr>
        <w:pStyle w:val="L1-FlLSp12"/>
        <w:tabs>
          <w:tab w:val="left" w:pos="1620"/>
          <w:tab w:val="left" w:pos="1800"/>
        </w:tabs>
        <w:spacing w:line="240" w:lineRule="auto"/>
      </w:pPr>
      <w:r>
        <w:t>Appendix C15.b</w:t>
      </w:r>
      <w:r>
        <w:tab/>
      </w:r>
      <w:r>
        <w:tab/>
      </w:r>
      <w:r w:rsidR="00F43570">
        <w:t>Denied WIC Applicant Survey Recruitment Telephone Script-Spanish</w:t>
      </w:r>
      <w:r w:rsidR="00F43570">
        <w:tab/>
      </w:r>
      <w:r w:rsidR="00F43570">
        <w:tab/>
      </w:r>
    </w:p>
    <w:p w14:paraId="49B1C6DD" w14:textId="75514C2B" w:rsidR="00F43570" w:rsidRDefault="00A4330D" w:rsidP="00F43570">
      <w:pPr>
        <w:pStyle w:val="L1-FlLSp12"/>
        <w:tabs>
          <w:tab w:val="left" w:pos="1620"/>
          <w:tab w:val="left" w:pos="1800"/>
        </w:tabs>
        <w:spacing w:line="240" w:lineRule="auto"/>
      </w:pPr>
      <w:r>
        <w:t>Appendix C16.a</w:t>
      </w:r>
      <w:r>
        <w:tab/>
      </w:r>
      <w:r>
        <w:tab/>
      </w:r>
      <w:r w:rsidR="00F43570">
        <w:t>Denied WIC Applicant Survey Recruitment In-Person Script-English</w:t>
      </w:r>
      <w:r w:rsidR="00F43570">
        <w:tab/>
      </w:r>
      <w:r w:rsidR="00F43570">
        <w:tab/>
      </w:r>
    </w:p>
    <w:p w14:paraId="4426E394" w14:textId="2D966EDC" w:rsidR="00F43570" w:rsidRDefault="00A4330D" w:rsidP="00F43570">
      <w:pPr>
        <w:pStyle w:val="L1-FlLSp12"/>
        <w:tabs>
          <w:tab w:val="left" w:pos="1620"/>
          <w:tab w:val="left" w:pos="1800"/>
        </w:tabs>
        <w:spacing w:line="240" w:lineRule="auto"/>
      </w:pPr>
      <w:r>
        <w:t>Appendix C16.b</w:t>
      </w:r>
      <w:r>
        <w:tab/>
      </w:r>
      <w:r>
        <w:tab/>
      </w:r>
      <w:r w:rsidR="00F43570">
        <w:t>Denied WIC Applicant Survey Recruitment In-Person Script-Spanish</w:t>
      </w:r>
      <w:r w:rsidR="00F43570">
        <w:tab/>
      </w:r>
      <w:r w:rsidR="00F43570">
        <w:tab/>
      </w:r>
    </w:p>
    <w:p w14:paraId="22F56FB2" w14:textId="71634BC4" w:rsidR="00F43570" w:rsidRDefault="00A4330D" w:rsidP="00F43570">
      <w:pPr>
        <w:pStyle w:val="L1-FlLSp12"/>
        <w:tabs>
          <w:tab w:val="left" w:pos="1620"/>
          <w:tab w:val="left" w:pos="1800"/>
        </w:tabs>
        <w:spacing w:line="240" w:lineRule="auto"/>
      </w:pPr>
      <w:r>
        <w:t>Appendix C17.a</w:t>
      </w:r>
      <w:r>
        <w:tab/>
      </w:r>
      <w:r>
        <w:tab/>
      </w:r>
      <w:r w:rsidR="00F43570">
        <w:t>Text Message Reminder for Scheduled Denied Applicant Survey-English</w:t>
      </w:r>
      <w:r w:rsidR="00F43570">
        <w:tab/>
      </w:r>
    </w:p>
    <w:p w14:paraId="3CCACBB8" w14:textId="0927D2E9" w:rsidR="00F43570" w:rsidRDefault="00A4330D" w:rsidP="00F43570">
      <w:pPr>
        <w:pStyle w:val="L1-FlLSp12"/>
        <w:tabs>
          <w:tab w:val="left" w:pos="1620"/>
          <w:tab w:val="left" w:pos="1800"/>
        </w:tabs>
        <w:spacing w:line="240" w:lineRule="auto"/>
      </w:pPr>
      <w:r>
        <w:t>Appendix C17.b</w:t>
      </w:r>
      <w:r>
        <w:tab/>
      </w:r>
      <w:r>
        <w:tab/>
      </w:r>
      <w:r w:rsidR="00F43570">
        <w:t>Text Message Reminder for Scheduled Denied Applicant Survey-Spanish</w:t>
      </w:r>
      <w:r w:rsidR="00F43570">
        <w:tab/>
      </w:r>
    </w:p>
    <w:p w14:paraId="4AF61355" w14:textId="37B25273" w:rsidR="00F43570" w:rsidRDefault="00A4330D" w:rsidP="00F43570">
      <w:pPr>
        <w:pStyle w:val="L1-FlLSp12"/>
        <w:tabs>
          <w:tab w:val="left" w:pos="1620"/>
          <w:tab w:val="left" w:pos="1800"/>
        </w:tabs>
        <w:spacing w:line="240" w:lineRule="auto"/>
      </w:pPr>
      <w:r>
        <w:t>Appendix C18.a</w:t>
      </w:r>
      <w:r>
        <w:tab/>
      </w:r>
      <w:r>
        <w:tab/>
      </w:r>
      <w:r w:rsidR="00F43570">
        <w:t>Telephone Reminder for Scheduled Denied Applicant Survey-English</w:t>
      </w:r>
      <w:r w:rsidR="00F43570">
        <w:tab/>
      </w:r>
      <w:r w:rsidR="00F43570">
        <w:tab/>
      </w:r>
    </w:p>
    <w:p w14:paraId="77649B87" w14:textId="1FC6E7B7" w:rsidR="00F43570" w:rsidRDefault="00A4330D" w:rsidP="00A4330D">
      <w:pPr>
        <w:pStyle w:val="L1-FlLSp12"/>
        <w:tabs>
          <w:tab w:val="left" w:pos="1620"/>
          <w:tab w:val="left" w:pos="1800"/>
        </w:tabs>
        <w:spacing w:line="240" w:lineRule="auto"/>
      </w:pPr>
      <w:r>
        <w:t>Appendix C1</w:t>
      </w:r>
      <w:r w:rsidR="00325EC0">
        <w:t>8</w:t>
      </w:r>
      <w:r>
        <w:t>.b</w:t>
      </w:r>
      <w:r>
        <w:tab/>
      </w:r>
      <w:r>
        <w:tab/>
      </w:r>
      <w:r w:rsidR="00F43570">
        <w:t>Telephone Reminder for Scheduled Denied Applicant Survey-Spanish</w:t>
      </w:r>
      <w:r w:rsidR="00F43570">
        <w:tab/>
      </w:r>
      <w:r w:rsidR="00F43570">
        <w:tab/>
      </w:r>
    </w:p>
    <w:p w14:paraId="74B6CF4B" w14:textId="08170D44" w:rsidR="001D70AE" w:rsidRPr="00E3349A" w:rsidRDefault="001D70AE" w:rsidP="001D70AE">
      <w:pPr>
        <w:pStyle w:val="L1-FlLSp12"/>
        <w:tabs>
          <w:tab w:val="left" w:pos="1620"/>
          <w:tab w:val="left" w:pos="1800"/>
        </w:tabs>
        <w:spacing w:line="240" w:lineRule="auto"/>
      </w:pPr>
      <w:r w:rsidRPr="00E3349A">
        <w:t>Appendix C19.a</w:t>
      </w:r>
      <w:r w:rsidRPr="00E3349A">
        <w:tab/>
      </w:r>
      <w:r w:rsidRPr="00E3349A">
        <w:tab/>
        <w:t>Program Experiences Survey Invitation Telephone Script-English</w:t>
      </w:r>
    </w:p>
    <w:p w14:paraId="243B75FF" w14:textId="217B3F13" w:rsidR="001D70AE" w:rsidRDefault="001D70AE" w:rsidP="001D70AE">
      <w:pPr>
        <w:pStyle w:val="L1-FlLSp12"/>
        <w:tabs>
          <w:tab w:val="left" w:pos="1620"/>
          <w:tab w:val="left" w:pos="1800"/>
        </w:tabs>
        <w:spacing w:line="240" w:lineRule="auto"/>
      </w:pPr>
      <w:r w:rsidRPr="00E3349A">
        <w:t>Appendix C19.b</w:t>
      </w:r>
      <w:r w:rsidRPr="00E3349A">
        <w:tab/>
      </w:r>
      <w:r w:rsidRPr="00E3349A">
        <w:tab/>
        <w:t>Program Experiences Survey Invitation Telephone Script-Spanish</w:t>
      </w:r>
    </w:p>
    <w:p w14:paraId="7BEB2174" w14:textId="77777777" w:rsidR="00317B3A" w:rsidRDefault="00317B3A" w:rsidP="00317B3A">
      <w:pPr>
        <w:pStyle w:val="L1-FlLSp12"/>
        <w:tabs>
          <w:tab w:val="left" w:pos="1620"/>
          <w:tab w:val="left" w:pos="1800"/>
        </w:tabs>
        <w:spacing w:line="240" w:lineRule="auto"/>
      </w:pPr>
      <w:r>
        <w:t>Appendix C20.a</w:t>
      </w:r>
      <w:r>
        <w:tab/>
      </w:r>
      <w:r>
        <w:tab/>
        <w:t>Program Experiences Survey Invitation Letter-English</w:t>
      </w:r>
    </w:p>
    <w:p w14:paraId="066F6A49" w14:textId="77777777" w:rsidR="00317B3A" w:rsidRDefault="00317B3A" w:rsidP="00317B3A">
      <w:pPr>
        <w:pStyle w:val="L1-FlLSp12"/>
        <w:tabs>
          <w:tab w:val="left" w:pos="1620"/>
          <w:tab w:val="left" w:pos="1800"/>
        </w:tabs>
        <w:spacing w:line="240" w:lineRule="auto"/>
      </w:pPr>
      <w:r>
        <w:t>Appendix C20.b</w:t>
      </w:r>
      <w:r>
        <w:tab/>
      </w:r>
      <w:r>
        <w:tab/>
        <w:t>Program Experiences Survey Invitation Letter-Spanish</w:t>
      </w:r>
    </w:p>
    <w:p w14:paraId="7B4D31D5" w14:textId="77777777" w:rsidR="00317B3A" w:rsidRDefault="00317B3A" w:rsidP="00317B3A">
      <w:pPr>
        <w:pStyle w:val="L1-FlLSp12"/>
        <w:tabs>
          <w:tab w:val="left" w:pos="1620"/>
          <w:tab w:val="left" w:pos="1800"/>
        </w:tabs>
        <w:spacing w:line="240" w:lineRule="auto"/>
      </w:pPr>
      <w:r>
        <w:t>Appendix C21.a</w:t>
      </w:r>
      <w:r>
        <w:tab/>
      </w:r>
      <w:r>
        <w:tab/>
        <w:t>Program Experiences Survey Invitation Email-English</w:t>
      </w:r>
    </w:p>
    <w:p w14:paraId="102F89AE" w14:textId="4B1944C2" w:rsidR="00317B3A" w:rsidRPr="00E3349A" w:rsidRDefault="00317B3A" w:rsidP="001D70AE">
      <w:pPr>
        <w:pStyle w:val="L1-FlLSp12"/>
        <w:tabs>
          <w:tab w:val="left" w:pos="1620"/>
          <w:tab w:val="left" w:pos="1800"/>
        </w:tabs>
        <w:spacing w:line="240" w:lineRule="auto"/>
      </w:pPr>
      <w:r>
        <w:t>Appendix C21.b</w:t>
      </w:r>
      <w:r>
        <w:tab/>
      </w:r>
      <w:r>
        <w:tab/>
        <w:t>Program Experiences Survey Invitation Email-Spanish</w:t>
      </w:r>
    </w:p>
    <w:p w14:paraId="67771290" w14:textId="3AA519FC" w:rsidR="00964FFF" w:rsidRDefault="00964FFF" w:rsidP="00964FFF">
      <w:pPr>
        <w:pStyle w:val="L1-FlLSp12"/>
        <w:tabs>
          <w:tab w:val="left" w:pos="1620"/>
          <w:tab w:val="left" w:pos="1800"/>
        </w:tabs>
        <w:spacing w:line="240" w:lineRule="auto"/>
      </w:pPr>
      <w:r w:rsidRPr="00E3349A">
        <w:t>Appendix C22.a</w:t>
      </w:r>
      <w:r w:rsidRPr="00E3349A">
        <w:tab/>
      </w:r>
      <w:r w:rsidRPr="00E3349A">
        <w:tab/>
        <w:t>Program</w:t>
      </w:r>
      <w:r>
        <w:t xml:space="preserve"> Experiences Survey </w:t>
      </w:r>
      <w:r w:rsidR="00C10DA8">
        <w:t xml:space="preserve">Invitation </w:t>
      </w:r>
      <w:r>
        <w:t>In-Person Script-English</w:t>
      </w:r>
    </w:p>
    <w:p w14:paraId="5E0FFC7F" w14:textId="0567B171" w:rsidR="00964FFF" w:rsidRDefault="00964FFF" w:rsidP="00964FFF">
      <w:pPr>
        <w:pStyle w:val="L1-FlLSp12"/>
        <w:tabs>
          <w:tab w:val="left" w:pos="1620"/>
          <w:tab w:val="left" w:pos="1800"/>
        </w:tabs>
        <w:spacing w:line="240" w:lineRule="auto"/>
      </w:pPr>
      <w:r>
        <w:t>Appendix C22.b</w:t>
      </w:r>
      <w:r>
        <w:tab/>
      </w:r>
      <w:r>
        <w:tab/>
        <w:t xml:space="preserve">Program Experiences Survey </w:t>
      </w:r>
      <w:r w:rsidR="007B7F77">
        <w:t xml:space="preserve">Invitation </w:t>
      </w:r>
      <w:r>
        <w:t>In-Person Script-Spanish</w:t>
      </w:r>
    </w:p>
    <w:p w14:paraId="26567A57" w14:textId="77777777" w:rsidR="00964FFF" w:rsidRDefault="00964FFF" w:rsidP="00964FFF">
      <w:pPr>
        <w:pStyle w:val="L1-FlLSp12"/>
        <w:tabs>
          <w:tab w:val="left" w:pos="1620"/>
          <w:tab w:val="left" w:pos="1800"/>
        </w:tabs>
        <w:spacing w:line="240" w:lineRule="auto"/>
        <w:ind w:left="1800" w:hanging="1800"/>
      </w:pPr>
      <w:r>
        <w:t>Appendix C23.a</w:t>
      </w:r>
      <w:r>
        <w:tab/>
      </w:r>
      <w:r>
        <w:tab/>
        <w:t>Former WIC Participant Case Study Interview Invitation Telephone Script-English</w:t>
      </w:r>
    </w:p>
    <w:p w14:paraId="5EA02C27" w14:textId="148B3259" w:rsidR="00964FFF" w:rsidRDefault="00964FFF" w:rsidP="00964FFF">
      <w:pPr>
        <w:pStyle w:val="L1-FlLSp12"/>
        <w:tabs>
          <w:tab w:val="left" w:pos="1620"/>
          <w:tab w:val="left" w:pos="1800"/>
        </w:tabs>
        <w:spacing w:line="240" w:lineRule="auto"/>
        <w:ind w:left="1800" w:hanging="1800"/>
      </w:pPr>
      <w:r>
        <w:t>Appendix C23.b</w:t>
      </w:r>
      <w:r>
        <w:tab/>
      </w:r>
      <w:r>
        <w:tab/>
        <w:t>Former WIC Participant Case Study Interview Invitation Telephone Script-Spanish</w:t>
      </w:r>
    </w:p>
    <w:p w14:paraId="0404ACBC" w14:textId="77777777" w:rsidR="00306AF4" w:rsidRDefault="00306AF4" w:rsidP="00306AF4">
      <w:pPr>
        <w:pStyle w:val="L1-FlLSp12"/>
        <w:tabs>
          <w:tab w:val="left" w:pos="1620"/>
          <w:tab w:val="left" w:pos="1800"/>
        </w:tabs>
        <w:spacing w:line="240" w:lineRule="auto"/>
        <w:ind w:left="1800" w:hanging="1800"/>
      </w:pPr>
      <w:r>
        <w:t>Appendix C24</w:t>
      </w:r>
      <w:r>
        <w:tab/>
      </w:r>
      <w:r>
        <w:tab/>
        <w:t>WIC Administrative Data Request to States from Regions</w:t>
      </w:r>
    </w:p>
    <w:p w14:paraId="426363DD" w14:textId="77777777" w:rsidR="00306AF4" w:rsidRDefault="00306AF4" w:rsidP="00306AF4">
      <w:pPr>
        <w:pStyle w:val="L1-FlLSp12"/>
        <w:tabs>
          <w:tab w:val="left" w:pos="1620"/>
          <w:tab w:val="left" w:pos="1800"/>
        </w:tabs>
        <w:spacing w:line="240" w:lineRule="auto"/>
        <w:ind w:left="1800" w:hanging="1800"/>
      </w:pPr>
      <w:r>
        <w:t>Appendix C25</w:t>
      </w:r>
      <w:r>
        <w:tab/>
      </w:r>
      <w:r>
        <w:tab/>
        <w:t>State Agency Administrative Data Request Reminder Email</w:t>
      </w:r>
    </w:p>
    <w:p w14:paraId="79FAFEA2" w14:textId="77777777" w:rsidR="00306AF4" w:rsidRDefault="00306AF4" w:rsidP="00306AF4">
      <w:pPr>
        <w:pStyle w:val="L1-FlLSp12"/>
        <w:tabs>
          <w:tab w:val="left" w:pos="1620"/>
          <w:tab w:val="left" w:pos="1800"/>
        </w:tabs>
        <w:spacing w:line="240" w:lineRule="auto"/>
        <w:ind w:left="1800" w:hanging="1800"/>
      </w:pPr>
      <w:r>
        <w:t>Appendix C26</w:t>
      </w:r>
      <w:r>
        <w:tab/>
      </w:r>
      <w:r>
        <w:tab/>
        <w:t>State Agency Administrative Data Request Reminder Telephone Script</w:t>
      </w:r>
    </w:p>
    <w:p w14:paraId="3B173F33" w14:textId="77777777" w:rsidR="00306AF4" w:rsidRDefault="00306AF4" w:rsidP="00306AF4">
      <w:pPr>
        <w:pStyle w:val="L1-FlLSp12"/>
        <w:tabs>
          <w:tab w:val="left" w:pos="1620"/>
          <w:tab w:val="left" w:pos="1800"/>
        </w:tabs>
        <w:spacing w:line="240" w:lineRule="auto"/>
      </w:pPr>
    </w:p>
    <w:p w14:paraId="0C84D7BF" w14:textId="08E0F73A" w:rsidR="005D5F75" w:rsidRPr="000F1B22" w:rsidRDefault="005D5F75" w:rsidP="007C2BE3">
      <w:pPr>
        <w:pStyle w:val="L1-FlLSp12"/>
        <w:spacing w:line="240" w:lineRule="auto"/>
        <w:rPr>
          <w:b/>
        </w:rPr>
      </w:pPr>
      <w:r w:rsidRPr="000F1B22">
        <w:rPr>
          <w:b/>
        </w:rPr>
        <w:t>Appendix D. Communications Materials</w:t>
      </w:r>
    </w:p>
    <w:p w14:paraId="709BD13B" w14:textId="77777777" w:rsidR="000F1B22" w:rsidRDefault="000F1B22" w:rsidP="00696736">
      <w:pPr>
        <w:pStyle w:val="L1-FlLSp12"/>
        <w:tabs>
          <w:tab w:val="left" w:pos="1800"/>
        </w:tabs>
        <w:spacing w:line="240" w:lineRule="auto"/>
      </w:pPr>
    </w:p>
    <w:p w14:paraId="7E28453D" w14:textId="77777777" w:rsidR="00551B8E" w:rsidRDefault="00551B8E" w:rsidP="00551B8E">
      <w:pPr>
        <w:pStyle w:val="L1-FlLSp12"/>
        <w:tabs>
          <w:tab w:val="left" w:pos="1800"/>
        </w:tabs>
        <w:spacing w:line="240" w:lineRule="auto"/>
      </w:pPr>
      <w:r>
        <w:t>Appendix D1</w:t>
      </w:r>
      <w:r>
        <w:tab/>
        <w:t>Study Description for State and Local WIC Agencies</w:t>
      </w:r>
      <w:r>
        <w:tab/>
      </w:r>
      <w:r>
        <w:tab/>
      </w:r>
      <w:r>
        <w:tab/>
      </w:r>
      <w:r>
        <w:tab/>
      </w:r>
    </w:p>
    <w:p w14:paraId="69F521BB" w14:textId="128EBA5A" w:rsidR="00551B8E" w:rsidRDefault="00551B8E" w:rsidP="00551B8E">
      <w:pPr>
        <w:pStyle w:val="L1-FlLSp12"/>
        <w:tabs>
          <w:tab w:val="left" w:pos="1800"/>
        </w:tabs>
        <w:spacing w:line="240" w:lineRule="auto"/>
      </w:pPr>
      <w:r>
        <w:t>Appendix D2</w:t>
      </w:r>
      <w:r>
        <w:tab/>
        <w:t>State Agency Survey Thank You Letter</w:t>
      </w:r>
      <w:r>
        <w:tab/>
      </w:r>
      <w:r>
        <w:tab/>
      </w:r>
      <w:r>
        <w:tab/>
      </w:r>
      <w:r>
        <w:tab/>
      </w:r>
    </w:p>
    <w:p w14:paraId="7C1BE469" w14:textId="14184595" w:rsidR="00551B8E" w:rsidRDefault="00551B8E" w:rsidP="00551B8E">
      <w:pPr>
        <w:pStyle w:val="L1-FlLSp12"/>
        <w:tabs>
          <w:tab w:val="left" w:pos="1800"/>
        </w:tabs>
        <w:spacing w:line="240" w:lineRule="auto"/>
      </w:pPr>
      <w:r>
        <w:t>Appendix D3</w:t>
      </w:r>
      <w:r>
        <w:tab/>
        <w:t>Certification End Date Verification Email</w:t>
      </w:r>
      <w:r>
        <w:tab/>
      </w:r>
      <w:r>
        <w:tab/>
      </w:r>
      <w:r>
        <w:tab/>
      </w:r>
      <w:r>
        <w:tab/>
      </w:r>
    </w:p>
    <w:p w14:paraId="55169C69" w14:textId="3B048FD9" w:rsidR="00551B8E" w:rsidRDefault="00551B8E" w:rsidP="00551B8E">
      <w:pPr>
        <w:pStyle w:val="L1-FlLSp12"/>
        <w:tabs>
          <w:tab w:val="left" w:pos="1800"/>
        </w:tabs>
        <w:spacing w:line="240" w:lineRule="auto"/>
      </w:pPr>
      <w:r>
        <w:t>Appendix D4</w:t>
      </w:r>
      <w:r>
        <w:tab/>
        <w:t>Certification End Date Verification Reminder Telephone Script</w:t>
      </w:r>
      <w:r>
        <w:tab/>
      </w:r>
      <w:r>
        <w:tab/>
      </w:r>
      <w:r>
        <w:tab/>
      </w:r>
    </w:p>
    <w:p w14:paraId="48CF0E3A" w14:textId="6149C07B" w:rsidR="00551B8E" w:rsidRDefault="00551B8E" w:rsidP="00551B8E">
      <w:pPr>
        <w:pStyle w:val="L1-FlLSp12"/>
        <w:tabs>
          <w:tab w:val="left" w:pos="1800"/>
        </w:tabs>
        <w:spacing w:line="240" w:lineRule="auto"/>
      </w:pPr>
      <w:r>
        <w:t>Appendix D5</w:t>
      </w:r>
      <w:r>
        <w:tab/>
        <w:t>Local Agency Survey Thank You Letter</w:t>
      </w:r>
      <w:r>
        <w:tab/>
      </w:r>
      <w:r>
        <w:tab/>
      </w:r>
      <w:r>
        <w:tab/>
      </w:r>
      <w:r>
        <w:tab/>
      </w:r>
    </w:p>
    <w:p w14:paraId="673B555E" w14:textId="59B67C65" w:rsidR="005D7AC8" w:rsidRPr="00E3349A" w:rsidRDefault="005D7AC8" w:rsidP="00696736">
      <w:pPr>
        <w:pStyle w:val="L1-FlLSp12"/>
        <w:tabs>
          <w:tab w:val="left" w:pos="1800"/>
        </w:tabs>
        <w:spacing w:line="240" w:lineRule="auto"/>
      </w:pPr>
      <w:r w:rsidRPr="00E3349A">
        <w:t>Appendix D</w:t>
      </w:r>
      <w:r w:rsidR="003E693C" w:rsidRPr="00E3349A">
        <w:t>6</w:t>
      </w:r>
      <w:r w:rsidRPr="00E3349A">
        <w:t>.a</w:t>
      </w:r>
      <w:r w:rsidRPr="00E3349A">
        <w:tab/>
        <w:t>Certification Survey Information Letter from State Agencies-English</w:t>
      </w:r>
    </w:p>
    <w:p w14:paraId="6A46EA89" w14:textId="3D52F9DE" w:rsidR="005D7AC8" w:rsidRPr="00E3349A" w:rsidRDefault="005D7AC8" w:rsidP="00696736">
      <w:pPr>
        <w:pStyle w:val="L1-FlLSp12"/>
        <w:tabs>
          <w:tab w:val="left" w:pos="1800"/>
        </w:tabs>
        <w:spacing w:line="240" w:lineRule="auto"/>
      </w:pPr>
      <w:r w:rsidRPr="00E3349A">
        <w:t>Appendix D</w:t>
      </w:r>
      <w:r w:rsidR="003E693C" w:rsidRPr="00E3349A">
        <w:t>6</w:t>
      </w:r>
      <w:r w:rsidRPr="00E3349A">
        <w:t>.b</w:t>
      </w:r>
      <w:r w:rsidRPr="00E3349A">
        <w:tab/>
        <w:t>Certification Survey Information Letter from State Agencies-Spanish</w:t>
      </w:r>
    </w:p>
    <w:p w14:paraId="3DA07F7B" w14:textId="5E8595F1" w:rsidR="005D7AC8" w:rsidRPr="00E3349A" w:rsidRDefault="005D7AC8" w:rsidP="00696736">
      <w:pPr>
        <w:pStyle w:val="L1-FlLSp12"/>
        <w:tabs>
          <w:tab w:val="left" w:pos="1800"/>
        </w:tabs>
        <w:spacing w:line="240" w:lineRule="auto"/>
      </w:pPr>
      <w:r w:rsidRPr="00E3349A">
        <w:t>Appendix D</w:t>
      </w:r>
      <w:r w:rsidR="003E693C" w:rsidRPr="00E3349A">
        <w:t>7</w:t>
      </w:r>
      <w:r w:rsidRPr="00E3349A">
        <w:t>.a</w:t>
      </w:r>
      <w:r w:rsidRPr="00E3349A">
        <w:tab/>
        <w:t>Participant Consent Form-Certification Survey-English</w:t>
      </w:r>
    </w:p>
    <w:p w14:paraId="5147793C" w14:textId="5A88E199" w:rsidR="005D7AC8" w:rsidRPr="00E3349A" w:rsidRDefault="005D7AC8" w:rsidP="00696736">
      <w:pPr>
        <w:pStyle w:val="L1-FlLSp12"/>
        <w:tabs>
          <w:tab w:val="left" w:pos="1800"/>
        </w:tabs>
        <w:spacing w:line="240" w:lineRule="auto"/>
      </w:pPr>
      <w:r w:rsidRPr="00E3349A">
        <w:t>Appendix D</w:t>
      </w:r>
      <w:r w:rsidR="003E693C" w:rsidRPr="00E3349A">
        <w:t>7</w:t>
      </w:r>
      <w:r w:rsidRPr="00E3349A">
        <w:t>.b</w:t>
      </w:r>
      <w:r w:rsidRPr="00E3349A">
        <w:tab/>
        <w:t>Participant Consent Form-Certification Survey-Spanish</w:t>
      </w:r>
    </w:p>
    <w:p w14:paraId="3E02CDAF" w14:textId="702DD522" w:rsidR="005D7AC8" w:rsidRPr="00E3349A" w:rsidRDefault="005D7AC8" w:rsidP="00696736">
      <w:pPr>
        <w:pStyle w:val="L1-FlLSp12"/>
        <w:tabs>
          <w:tab w:val="left" w:pos="1800"/>
        </w:tabs>
        <w:spacing w:line="240" w:lineRule="auto"/>
      </w:pPr>
      <w:r w:rsidRPr="00E3349A">
        <w:t>Appendix D</w:t>
      </w:r>
      <w:r w:rsidR="003E693C" w:rsidRPr="00E3349A">
        <w:t>8</w:t>
      </w:r>
      <w:r w:rsidRPr="00E3349A">
        <w:t>.a</w:t>
      </w:r>
      <w:r w:rsidRPr="00E3349A">
        <w:tab/>
        <w:t>Denied WIC Applicant Information Letter from State Agencies-English</w:t>
      </w:r>
    </w:p>
    <w:p w14:paraId="0C999914" w14:textId="58AE1392" w:rsidR="005D7AC8" w:rsidRPr="00E3349A" w:rsidRDefault="005D7AC8" w:rsidP="00696736">
      <w:pPr>
        <w:pStyle w:val="L1-FlLSp12"/>
        <w:tabs>
          <w:tab w:val="left" w:pos="1800"/>
        </w:tabs>
        <w:spacing w:line="240" w:lineRule="auto"/>
      </w:pPr>
      <w:r w:rsidRPr="00E3349A">
        <w:t>Appendix D</w:t>
      </w:r>
      <w:r w:rsidR="003E693C" w:rsidRPr="00E3349A">
        <w:t>8</w:t>
      </w:r>
      <w:r w:rsidRPr="00E3349A">
        <w:t>.b</w:t>
      </w:r>
      <w:r w:rsidRPr="00E3349A">
        <w:tab/>
        <w:t>Denied WIC Applicant Information Letter from State Agencies-Spanish</w:t>
      </w:r>
    </w:p>
    <w:p w14:paraId="7B925A52" w14:textId="6C39DEA9" w:rsidR="005D7AC8" w:rsidRPr="00E3349A" w:rsidRDefault="005D7AC8" w:rsidP="00696736">
      <w:pPr>
        <w:pStyle w:val="L1-FlLSp12"/>
        <w:tabs>
          <w:tab w:val="left" w:pos="1800"/>
        </w:tabs>
        <w:spacing w:line="240" w:lineRule="auto"/>
      </w:pPr>
      <w:r w:rsidRPr="00E3349A">
        <w:t>Appendix D</w:t>
      </w:r>
      <w:r w:rsidR="003E693C" w:rsidRPr="00E3349A">
        <w:t>9</w:t>
      </w:r>
      <w:r w:rsidRPr="00E3349A">
        <w:t>.a</w:t>
      </w:r>
      <w:r w:rsidRPr="00E3349A">
        <w:tab/>
      </w:r>
      <w:r w:rsidR="00304B44" w:rsidRPr="00E3349A">
        <w:t>Participant Consent Form-</w:t>
      </w:r>
      <w:r w:rsidRPr="00E3349A">
        <w:t>Denied Applicant Survey-English</w:t>
      </w:r>
    </w:p>
    <w:p w14:paraId="389FF5A0" w14:textId="3C5445C9" w:rsidR="005D7AC8" w:rsidRDefault="005D7AC8" w:rsidP="00696736">
      <w:pPr>
        <w:pStyle w:val="L1-FlLSp12"/>
        <w:tabs>
          <w:tab w:val="left" w:pos="1800"/>
        </w:tabs>
        <w:spacing w:line="240" w:lineRule="auto"/>
      </w:pPr>
      <w:r w:rsidRPr="00E3349A">
        <w:t>Appendix D</w:t>
      </w:r>
      <w:r w:rsidR="003E693C" w:rsidRPr="00E3349A">
        <w:t>9</w:t>
      </w:r>
      <w:r w:rsidRPr="00E3349A">
        <w:t>.b</w:t>
      </w:r>
      <w:r w:rsidRPr="00E3349A">
        <w:tab/>
      </w:r>
      <w:r w:rsidR="00304B44" w:rsidRPr="00E3349A">
        <w:t>Participant Consent Form-</w:t>
      </w:r>
      <w:r w:rsidRPr="00E3349A">
        <w:t>Denied Applicant Survey-Spanish</w:t>
      </w:r>
    </w:p>
    <w:p w14:paraId="0DFE08E8" w14:textId="77777777" w:rsidR="00317B3A" w:rsidRDefault="00317B3A" w:rsidP="00317B3A">
      <w:pPr>
        <w:pStyle w:val="L1-FlLSp12"/>
        <w:tabs>
          <w:tab w:val="left" w:pos="1800"/>
        </w:tabs>
        <w:spacing w:line="240" w:lineRule="auto"/>
      </w:pPr>
      <w:r>
        <w:t>Appendix D10.a</w:t>
      </w:r>
      <w:r>
        <w:tab/>
        <w:t>Program Experiences Survey Invitation Postcard-English</w:t>
      </w:r>
    </w:p>
    <w:p w14:paraId="65A85CAF" w14:textId="77777777" w:rsidR="00317B3A" w:rsidRDefault="00317B3A" w:rsidP="00317B3A">
      <w:pPr>
        <w:pStyle w:val="L1-FlLSp12"/>
        <w:tabs>
          <w:tab w:val="left" w:pos="1800"/>
        </w:tabs>
        <w:spacing w:line="240" w:lineRule="auto"/>
      </w:pPr>
      <w:r>
        <w:t>Appendix D10.b</w:t>
      </w:r>
      <w:r>
        <w:tab/>
        <w:t>Program Experiences Survey Invitation Postcard-Spanish</w:t>
      </w:r>
    </w:p>
    <w:p w14:paraId="06F88C74" w14:textId="77777777" w:rsidR="00317B3A" w:rsidRDefault="00317B3A" w:rsidP="00317B3A">
      <w:pPr>
        <w:pStyle w:val="L1-FlLSp12"/>
        <w:tabs>
          <w:tab w:val="left" w:pos="1800"/>
        </w:tabs>
        <w:spacing w:line="240" w:lineRule="auto"/>
      </w:pPr>
      <w:r>
        <w:t>Appendix D11.a</w:t>
      </w:r>
      <w:r>
        <w:tab/>
        <w:t>Participant Information Brochure-English</w:t>
      </w:r>
    </w:p>
    <w:p w14:paraId="0805FCAD" w14:textId="083100AE" w:rsidR="00317B3A" w:rsidRPr="00E3349A" w:rsidRDefault="00317B3A" w:rsidP="00317B3A">
      <w:pPr>
        <w:pStyle w:val="L1-FlLSp12"/>
        <w:tabs>
          <w:tab w:val="left" w:pos="1800"/>
        </w:tabs>
        <w:spacing w:line="240" w:lineRule="auto"/>
      </w:pPr>
      <w:r>
        <w:t>Appendix D11.b</w:t>
      </w:r>
      <w:r>
        <w:tab/>
        <w:t>Participant Information Brochure-Spanish</w:t>
      </w:r>
    </w:p>
    <w:p w14:paraId="267B01DA" w14:textId="77777777" w:rsidR="009762B7" w:rsidRDefault="009762B7" w:rsidP="009762B7">
      <w:pPr>
        <w:pStyle w:val="L1-FlLSp12"/>
        <w:tabs>
          <w:tab w:val="left" w:pos="1800"/>
        </w:tabs>
        <w:spacing w:line="240" w:lineRule="auto"/>
      </w:pPr>
      <w:r>
        <w:t>Appendix D12.a</w:t>
      </w:r>
      <w:r>
        <w:tab/>
        <w:t>Program Experiences Survey Thank You Letter and Visa Debit Card-English</w:t>
      </w:r>
    </w:p>
    <w:p w14:paraId="5802C722" w14:textId="77777777" w:rsidR="009762B7" w:rsidRDefault="009762B7" w:rsidP="009762B7">
      <w:pPr>
        <w:pStyle w:val="L1-FlLSp12"/>
        <w:tabs>
          <w:tab w:val="left" w:pos="1800"/>
        </w:tabs>
        <w:spacing w:line="240" w:lineRule="auto"/>
      </w:pPr>
      <w:r>
        <w:t>Appendix D12.b</w:t>
      </w:r>
      <w:r>
        <w:tab/>
        <w:t>Program Experiences Survey Thank You Letter and Visa Debit Card-Spanish</w:t>
      </w:r>
    </w:p>
    <w:p w14:paraId="7D9E535E" w14:textId="15E53183" w:rsidR="009762B7" w:rsidRDefault="009762B7" w:rsidP="009762B7">
      <w:pPr>
        <w:pStyle w:val="L1-FlLSp12"/>
        <w:tabs>
          <w:tab w:val="left" w:pos="1800"/>
        </w:tabs>
        <w:spacing w:line="240" w:lineRule="auto"/>
        <w:ind w:left="1800" w:hanging="1800"/>
      </w:pPr>
      <w:r>
        <w:t>Appendix D13.a</w:t>
      </w:r>
      <w:r>
        <w:tab/>
        <w:t xml:space="preserve">Former WIC Participant Case Study Interview Thank You Letter and </w:t>
      </w:r>
      <w:r w:rsidR="00C10DA8">
        <w:t xml:space="preserve">Visa Debit </w:t>
      </w:r>
      <w:r>
        <w:t>Card-English</w:t>
      </w:r>
    </w:p>
    <w:p w14:paraId="3DF12C31" w14:textId="338B4C6F" w:rsidR="009762B7" w:rsidRDefault="009762B7" w:rsidP="0067216F">
      <w:pPr>
        <w:pStyle w:val="L1-FlLSp12"/>
        <w:tabs>
          <w:tab w:val="left" w:pos="1800"/>
        </w:tabs>
        <w:spacing w:line="240" w:lineRule="auto"/>
        <w:ind w:left="1800" w:hanging="1800"/>
      </w:pPr>
      <w:r>
        <w:t>Appendix D13.b</w:t>
      </w:r>
      <w:r>
        <w:tab/>
        <w:t xml:space="preserve">Former WIC Participant Case Study Interview Thank You Letter and </w:t>
      </w:r>
      <w:r w:rsidR="00C10DA8">
        <w:t xml:space="preserve">Visa Debit </w:t>
      </w:r>
      <w:r>
        <w:t>Card-Spanish</w:t>
      </w:r>
    </w:p>
    <w:p w14:paraId="29E2BE6A" w14:textId="3A7331E7" w:rsidR="0067216F" w:rsidRPr="007C2BE3" w:rsidRDefault="0067216F" w:rsidP="007C2BE3">
      <w:pPr>
        <w:pStyle w:val="L1-FlLSp12"/>
        <w:spacing w:line="240" w:lineRule="auto"/>
        <w:rPr>
          <w:b/>
        </w:rPr>
      </w:pPr>
      <w:bookmarkStart w:id="15" w:name="_Hlk497878510"/>
    </w:p>
    <w:p w14:paraId="39791ECC" w14:textId="58EC8AE3" w:rsidR="005D5F75" w:rsidRPr="005D5F75" w:rsidRDefault="005D5F75" w:rsidP="007C2BE3">
      <w:pPr>
        <w:pStyle w:val="L1-FlLSp12"/>
        <w:spacing w:line="240" w:lineRule="auto"/>
        <w:rPr>
          <w:b/>
        </w:rPr>
      </w:pPr>
      <w:r w:rsidRPr="005D5F75">
        <w:rPr>
          <w:b/>
        </w:rPr>
        <w:t xml:space="preserve">Appendix E. Requirements for Office of Management and Budget Review </w:t>
      </w:r>
    </w:p>
    <w:p w14:paraId="769F50D2" w14:textId="77777777" w:rsidR="005D5F75" w:rsidRDefault="005D5F75" w:rsidP="00696736">
      <w:pPr>
        <w:pStyle w:val="L1-FlLSp12"/>
        <w:tabs>
          <w:tab w:val="left" w:pos="1800"/>
        </w:tabs>
        <w:spacing w:line="240" w:lineRule="auto"/>
      </w:pPr>
    </w:p>
    <w:p w14:paraId="22BC56A6" w14:textId="723DAEA9" w:rsidR="005D7AC8" w:rsidRPr="00E3349A" w:rsidRDefault="00E37A97" w:rsidP="00696736">
      <w:pPr>
        <w:pStyle w:val="L1-FlLSp12"/>
        <w:tabs>
          <w:tab w:val="left" w:pos="1800"/>
        </w:tabs>
        <w:spacing w:line="240" w:lineRule="auto"/>
      </w:pPr>
      <w:r w:rsidRPr="00E3349A">
        <w:t>Appendix E</w:t>
      </w:r>
      <w:r w:rsidR="001D70AE" w:rsidRPr="00E3349A">
        <w:t>1.1</w:t>
      </w:r>
      <w:r w:rsidR="005D7AC8" w:rsidRPr="00E3349A">
        <w:tab/>
        <w:t xml:space="preserve">Federal Register 60-Day Notice Public Comment </w:t>
      </w:r>
      <w:r w:rsidR="001D70AE" w:rsidRPr="00E3349A">
        <w:t>1</w:t>
      </w:r>
    </w:p>
    <w:p w14:paraId="5F4620C0" w14:textId="2DB2E644" w:rsidR="001D70AE" w:rsidRDefault="001D70AE" w:rsidP="00696736">
      <w:pPr>
        <w:pStyle w:val="L1-FlLSp12"/>
        <w:tabs>
          <w:tab w:val="left" w:pos="1800"/>
        </w:tabs>
        <w:spacing w:line="240" w:lineRule="auto"/>
      </w:pPr>
      <w:r w:rsidRPr="00E3349A">
        <w:t>Appendix E1.2</w:t>
      </w:r>
      <w:r w:rsidRPr="00E3349A">
        <w:tab/>
        <w:t>Federal Register 60-Day Notice Public Comment 2</w:t>
      </w:r>
    </w:p>
    <w:p w14:paraId="433884FC" w14:textId="1D2ADA90" w:rsidR="00F43570" w:rsidRPr="00E3349A" w:rsidRDefault="00F43570" w:rsidP="00696736">
      <w:pPr>
        <w:pStyle w:val="L1-FlLSp12"/>
        <w:tabs>
          <w:tab w:val="left" w:pos="1800"/>
        </w:tabs>
        <w:spacing w:line="240" w:lineRule="auto"/>
      </w:pPr>
      <w:r>
        <w:t>Appendix E1.3</w:t>
      </w:r>
      <w:r w:rsidRPr="00F43570">
        <w:tab/>
        <w:t xml:space="preserve">Federal Register 60-Day Notice Public Comment </w:t>
      </w:r>
      <w:r>
        <w:t>3</w:t>
      </w:r>
    </w:p>
    <w:p w14:paraId="2E54ED81" w14:textId="0C48CE3C" w:rsidR="005D7AC8" w:rsidRPr="00E3349A" w:rsidRDefault="00E37A97" w:rsidP="00696736">
      <w:pPr>
        <w:pStyle w:val="L1-FlLSp12"/>
        <w:tabs>
          <w:tab w:val="left" w:pos="1800"/>
        </w:tabs>
        <w:spacing w:line="240" w:lineRule="auto"/>
      </w:pPr>
      <w:r w:rsidRPr="00E3349A">
        <w:t>Appendix E</w:t>
      </w:r>
      <w:r w:rsidR="001D70AE" w:rsidRPr="00E3349A">
        <w:t>2.1</w:t>
      </w:r>
      <w:r w:rsidR="005D7AC8" w:rsidRPr="00E3349A">
        <w:tab/>
        <w:t xml:space="preserve">Federal Register 60-Day Notice: FNS’s Response to Public Comment </w:t>
      </w:r>
      <w:r w:rsidR="001D70AE" w:rsidRPr="00E3349A">
        <w:t>1</w:t>
      </w:r>
    </w:p>
    <w:p w14:paraId="57A8634A" w14:textId="1B9088AF" w:rsidR="001D70AE" w:rsidRDefault="001D70AE" w:rsidP="001D70AE">
      <w:pPr>
        <w:pStyle w:val="L1-FlLSp12"/>
        <w:tabs>
          <w:tab w:val="left" w:pos="1800"/>
        </w:tabs>
        <w:spacing w:line="240" w:lineRule="auto"/>
      </w:pPr>
      <w:r w:rsidRPr="00E3349A">
        <w:t>Appendix E2.2</w:t>
      </w:r>
      <w:r w:rsidRPr="00E3349A">
        <w:tab/>
      </w:r>
      <w:bookmarkStart w:id="16" w:name="_Hlk497863004"/>
      <w:r w:rsidRPr="00E3349A">
        <w:t>Federal Register 60-Day Notice: FNS’s Response to Public Comment 2</w:t>
      </w:r>
    </w:p>
    <w:bookmarkEnd w:id="16"/>
    <w:p w14:paraId="041B88CF" w14:textId="75CD6244" w:rsidR="001D70AE" w:rsidRPr="00E3349A" w:rsidRDefault="00E43573" w:rsidP="00696736">
      <w:pPr>
        <w:pStyle w:val="L1-FlLSp12"/>
        <w:tabs>
          <w:tab w:val="left" w:pos="1800"/>
        </w:tabs>
        <w:spacing w:line="240" w:lineRule="auto"/>
      </w:pPr>
      <w:r>
        <w:t xml:space="preserve">Appendix </w:t>
      </w:r>
      <w:r w:rsidR="00F43570">
        <w:t>E2.3</w:t>
      </w:r>
      <w:r>
        <w:tab/>
      </w:r>
      <w:r w:rsidRPr="00E43573">
        <w:t xml:space="preserve">Federal Register 60-Day Notice: FNS’s Response to Public Comment </w:t>
      </w:r>
      <w:r>
        <w:t>3</w:t>
      </w:r>
    </w:p>
    <w:p w14:paraId="28D8057F" w14:textId="42523795" w:rsidR="006A4729" w:rsidRDefault="005D7AC8" w:rsidP="00BF30D1">
      <w:pPr>
        <w:pStyle w:val="L1-FlLSp12"/>
        <w:tabs>
          <w:tab w:val="left" w:pos="1800"/>
        </w:tabs>
        <w:spacing w:line="240" w:lineRule="auto"/>
      </w:pPr>
      <w:r w:rsidRPr="00E3349A">
        <w:t>App</w:t>
      </w:r>
      <w:r w:rsidR="00E37A97" w:rsidRPr="00E3349A">
        <w:t>endix E</w:t>
      </w:r>
      <w:r w:rsidR="001D70AE" w:rsidRPr="00E3349A">
        <w:t>3</w:t>
      </w:r>
      <w:r w:rsidRPr="00E3349A">
        <w:t>.</w:t>
      </w:r>
      <w:r w:rsidR="00153183">
        <w:t>1</w:t>
      </w:r>
      <w:r w:rsidRPr="00E3349A">
        <w:tab/>
      </w:r>
      <w:bookmarkStart w:id="17" w:name="_Hlk497874426"/>
      <w:r w:rsidRPr="00E3349A">
        <w:t>National Agricultural Sta</w:t>
      </w:r>
      <w:r w:rsidR="00696736" w:rsidRPr="00E3349A">
        <w:t>tistics Service (NASS) Comments</w:t>
      </w:r>
      <w:bookmarkEnd w:id="17"/>
    </w:p>
    <w:p w14:paraId="2BE553FD" w14:textId="7D5089A4" w:rsidR="00153183" w:rsidRPr="00E3349A" w:rsidRDefault="00153183" w:rsidP="00BF30D1">
      <w:pPr>
        <w:pStyle w:val="L1-FlLSp12"/>
        <w:tabs>
          <w:tab w:val="left" w:pos="1800"/>
        </w:tabs>
        <w:spacing w:line="240" w:lineRule="auto"/>
      </w:pPr>
      <w:r>
        <w:t>Appendix E3.2</w:t>
      </w:r>
      <w:r>
        <w:tab/>
        <w:t xml:space="preserve">Response to </w:t>
      </w:r>
      <w:r w:rsidRPr="00153183">
        <w:t>National Agricultural Statistics Service (NASS) Comments</w:t>
      </w:r>
    </w:p>
    <w:p w14:paraId="7F0885EA" w14:textId="3FCF2D80" w:rsidR="00964FFF" w:rsidRPr="00E3349A" w:rsidRDefault="00964FFF" w:rsidP="00964FFF">
      <w:pPr>
        <w:pStyle w:val="L1-FlLSp12"/>
        <w:tabs>
          <w:tab w:val="left" w:pos="1800"/>
        </w:tabs>
        <w:spacing w:line="240" w:lineRule="auto"/>
      </w:pPr>
      <w:r w:rsidRPr="00E3349A">
        <w:t>Appendix E</w:t>
      </w:r>
      <w:r w:rsidR="00E3349A">
        <w:t>4</w:t>
      </w:r>
      <w:r w:rsidRPr="00E3349A">
        <w:t>.</w:t>
      </w:r>
      <w:r w:rsidRPr="00E3349A">
        <w:tab/>
        <w:t>Estimates of Respondent Burden</w:t>
      </w:r>
    </w:p>
    <w:p w14:paraId="05065CD2" w14:textId="3C402A41" w:rsidR="00964FFF" w:rsidRDefault="00964FFF" w:rsidP="00964FFF">
      <w:pPr>
        <w:pStyle w:val="L1-FlLSp12"/>
        <w:tabs>
          <w:tab w:val="left" w:pos="1800"/>
        </w:tabs>
        <w:spacing w:line="240" w:lineRule="auto"/>
      </w:pPr>
      <w:r w:rsidRPr="00E3349A">
        <w:t>Appendix E</w:t>
      </w:r>
      <w:r w:rsidR="00E3349A">
        <w:t>5</w:t>
      </w:r>
      <w:r w:rsidRPr="00E3349A">
        <w:t>.</w:t>
      </w:r>
      <w:r w:rsidRPr="00E3349A">
        <w:tab/>
        <w:t>Annualized Cost to Respondents</w:t>
      </w:r>
    </w:p>
    <w:bookmarkEnd w:id="15"/>
    <w:p w14:paraId="04A1C60D" w14:textId="77777777" w:rsidR="00EE3E5D" w:rsidRDefault="00EE3E5D" w:rsidP="00964FFF">
      <w:pPr>
        <w:pStyle w:val="L1-FlLSp12"/>
        <w:tabs>
          <w:tab w:val="left" w:pos="1800"/>
        </w:tabs>
        <w:spacing w:line="240" w:lineRule="auto"/>
      </w:pPr>
    </w:p>
    <w:p w14:paraId="163B1840" w14:textId="1CE31289" w:rsidR="00964FFF" w:rsidRDefault="00CE007F" w:rsidP="00BF30D1">
      <w:pPr>
        <w:pStyle w:val="L1-FlLSp12"/>
        <w:tabs>
          <w:tab w:val="left" w:pos="1800"/>
        </w:tabs>
        <w:spacing w:line="240" w:lineRule="auto"/>
        <w:rPr>
          <w:b/>
        </w:rPr>
      </w:pPr>
      <w:r w:rsidRPr="008F2FDC">
        <w:rPr>
          <w:b/>
        </w:rPr>
        <w:t>Appendix F</w:t>
      </w:r>
      <w:r w:rsidR="006F69A5">
        <w:rPr>
          <w:b/>
        </w:rPr>
        <w:t>1</w:t>
      </w:r>
      <w:r w:rsidRPr="008F2FDC">
        <w:rPr>
          <w:b/>
        </w:rPr>
        <w:t>.</w:t>
      </w:r>
      <w:r w:rsidRPr="008F2FDC">
        <w:rPr>
          <w:b/>
        </w:rPr>
        <w:tab/>
        <w:t>Pre</w:t>
      </w:r>
      <w:r w:rsidR="008923BD">
        <w:rPr>
          <w:b/>
        </w:rPr>
        <w:t>-T</w:t>
      </w:r>
      <w:r w:rsidRPr="008F2FDC">
        <w:rPr>
          <w:b/>
        </w:rPr>
        <w:t>est Memorandum</w:t>
      </w:r>
    </w:p>
    <w:p w14:paraId="4E4AD162" w14:textId="4CF531F5" w:rsidR="006F69A5" w:rsidRDefault="006F69A5" w:rsidP="00BF30D1">
      <w:pPr>
        <w:pStyle w:val="L1-FlLSp12"/>
        <w:tabs>
          <w:tab w:val="left" w:pos="1800"/>
        </w:tabs>
        <w:spacing w:line="240" w:lineRule="auto"/>
        <w:rPr>
          <w:b/>
        </w:rPr>
      </w:pPr>
    </w:p>
    <w:p w14:paraId="758A6F39" w14:textId="5D71BDEA" w:rsidR="006F69A5" w:rsidRDefault="006F69A5" w:rsidP="00BF30D1">
      <w:pPr>
        <w:pStyle w:val="L1-FlLSp12"/>
        <w:tabs>
          <w:tab w:val="left" w:pos="1800"/>
        </w:tabs>
        <w:spacing w:line="240" w:lineRule="auto"/>
        <w:rPr>
          <w:b/>
        </w:rPr>
      </w:pPr>
      <w:r>
        <w:rPr>
          <w:b/>
        </w:rPr>
        <w:t>Appendix F2.</w:t>
      </w:r>
      <w:r>
        <w:rPr>
          <w:b/>
        </w:rPr>
        <w:tab/>
        <w:t>Pre-Test Revisions Summary</w:t>
      </w:r>
    </w:p>
    <w:p w14:paraId="71109D2D" w14:textId="14D455B9" w:rsidR="00990702" w:rsidRDefault="00990702" w:rsidP="00BF30D1">
      <w:pPr>
        <w:pStyle w:val="L1-FlLSp12"/>
        <w:tabs>
          <w:tab w:val="left" w:pos="1800"/>
        </w:tabs>
        <w:spacing w:line="240" w:lineRule="auto"/>
        <w:rPr>
          <w:b/>
        </w:rPr>
      </w:pPr>
    </w:p>
    <w:p w14:paraId="58104519" w14:textId="1C8610D4" w:rsidR="00FA4BD9" w:rsidRDefault="00990702" w:rsidP="00990702">
      <w:pPr>
        <w:pStyle w:val="L1-FlLSp12"/>
        <w:tabs>
          <w:tab w:val="left" w:pos="1800"/>
        </w:tabs>
        <w:spacing w:after="240" w:line="240" w:lineRule="auto"/>
        <w:rPr>
          <w:b/>
        </w:rPr>
      </w:pPr>
      <w:r>
        <w:rPr>
          <w:b/>
        </w:rPr>
        <w:t>Appendix G.</w:t>
      </w:r>
      <w:r>
        <w:rPr>
          <w:b/>
        </w:rPr>
        <w:tab/>
        <w:t>NSWP-III General Data Collection Procedures</w:t>
      </w:r>
    </w:p>
    <w:p w14:paraId="7A902EE5" w14:textId="5E4045A4" w:rsidR="00B40772" w:rsidRDefault="00B40772" w:rsidP="00B40772">
      <w:pPr>
        <w:pStyle w:val="L1-FlLSp12"/>
        <w:tabs>
          <w:tab w:val="left" w:pos="1800"/>
        </w:tabs>
        <w:spacing w:after="240" w:line="240" w:lineRule="auto"/>
        <w:rPr>
          <w:b/>
        </w:rPr>
      </w:pPr>
      <w:bookmarkStart w:id="18" w:name="_Hlk499628062"/>
      <w:r>
        <w:rPr>
          <w:b/>
        </w:rPr>
        <w:t xml:space="preserve">Appendix </w:t>
      </w:r>
      <w:r w:rsidR="00990702">
        <w:rPr>
          <w:b/>
        </w:rPr>
        <w:t>H</w:t>
      </w:r>
      <w:r>
        <w:rPr>
          <w:b/>
        </w:rPr>
        <w:t>.</w:t>
      </w:r>
      <w:r>
        <w:rPr>
          <w:b/>
        </w:rPr>
        <w:tab/>
      </w:r>
      <w:r w:rsidR="00C20E6F">
        <w:rPr>
          <w:b/>
        </w:rPr>
        <w:t>Institutional Review Board Approval Letter</w:t>
      </w:r>
    </w:p>
    <w:bookmarkEnd w:id="18"/>
    <w:p w14:paraId="5EFBA5F9" w14:textId="77777777" w:rsidR="00FA4BD9" w:rsidRPr="008F2FDC" w:rsidRDefault="00FA4BD9" w:rsidP="00BF30D1">
      <w:pPr>
        <w:pStyle w:val="L1-FlLSp12"/>
        <w:tabs>
          <w:tab w:val="left" w:pos="1800"/>
        </w:tabs>
        <w:spacing w:line="240" w:lineRule="auto"/>
        <w:rPr>
          <w:b/>
        </w:rPr>
        <w:sectPr w:rsidR="00FA4BD9" w:rsidRPr="008F2FDC" w:rsidSect="00A2072C">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389DBAD9" w14:textId="27D178B8" w:rsidR="001C167F" w:rsidRPr="00D7496B" w:rsidRDefault="0015674E" w:rsidP="004A43A6">
      <w:pPr>
        <w:pStyle w:val="Heading1"/>
        <w:tabs>
          <w:tab w:val="clear" w:pos="1152"/>
          <w:tab w:val="left" w:pos="540"/>
        </w:tabs>
        <w:ind w:left="0" w:firstLine="0"/>
        <w:rPr>
          <w:rFonts w:ascii="Times New Roman" w:hAnsi="Times New Roman"/>
          <w:bCs/>
          <w:color w:val="auto"/>
          <w:sz w:val="24"/>
          <w:szCs w:val="24"/>
        </w:rPr>
      </w:pPr>
      <w:bookmarkStart w:id="19" w:name="_Toc454265298"/>
      <w:bookmarkStart w:id="20" w:name="_Toc454265597"/>
      <w:bookmarkStart w:id="21" w:name="_Toc454265674"/>
      <w:bookmarkStart w:id="22" w:name="_Toc454266165"/>
      <w:bookmarkStart w:id="23" w:name="_Toc454266199"/>
      <w:bookmarkStart w:id="24" w:name="_Toc454266626"/>
      <w:r w:rsidRPr="00D7496B">
        <w:rPr>
          <w:rFonts w:ascii="Times New Roman" w:hAnsi="Times New Roman"/>
          <w:bCs/>
          <w:color w:val="auto"/>
          <w:sz w:val="24"/>
          <w:szCs w:val="24"/>
        </w:rPr>
        <w:t>PART A</w:t>
      </w:r>
      <w:bookmarkEnd w:id="5"/>
      <w:bookmarkEnd w:id="6"/>
      <w:r w:rsidR="00BA2603" w:rsidRPr="00D7496B">
        <w:rPr>
          <w:rFonts w:ascii="Times New Roman" w:hAnsi="Times New Roman"/>
          <w:bCs/>
          <w:color w:val="auto"/>
          <w:sz w:val="24"/>
          <w:szCs w:val="24"/>
        </w:rPr>
        <w:t>: Justification</w:t>
      </w:r>
      <w:bookmarkEnd w:id="19"/>
      <w:bookmarkEnd w:id="20"/>
      <w:bookmarkEnd w:id="21"/>
      <w:bookmarkEnd w:id="22"/>
      <w:bookmarkEnd w:id="23"/>
      <w:bookmarkEnd w:id="24"/>
    </w:p>
    <w:p w14:paraId="1615EE6D" w14:textId="77777777" w:rsidR="009C6C6E" w:rsidRPr="00D7496B" w:rsidRDefault="0015674E" w:rsidP="00D44C5A">
      <w:pPr>
        <w:pStyle w:val="Heading2"/>
        <w:tabs>
          <w:tab w:val="clear" w:pos="1152"/>
          <w:tab w:val="left" w:pos="720"/>
        </w:tabs>
        <w:spacing w:after="0" w:line="240" w:lineRule="auto"/>
        <w:ind w:left="720" w:hanging="720"/>
        <w:rPr>
          <w:rFonts w:ascii="Times New Roman" w:hAnsi="Times New Roman"/>
          <w:color w:val="auto"/>
          <w:sz w:val="24"/>
          <w:szCs w:val="24"/>
        </w:rPr>
      </w:pPr>
      <w:bookmarkStart w:id="25" w:name="_Toc339621281"/>
      <w:bookmarkStart w:id="26" w:name="_Toc454265299"/>
      <w:bookmarkStart w:id="27" w:name="_Toc454265598"/>
      <w:bookmarkStart w:id="28" w:name="_Toc454265675"/>
      <w:bookmarkStart w:id="29" w:name="_Toc454266166"/>
      <w:bookmarkStart w:id="30" w:name="_Toc454266200"/>
      <w:bookmarkStart w:id="31" w:name="_Toc454266627"/>
      <w:bookmarkStart w:id="32" w:name="_Toc282506023"/>
      <w:r w:rsidRPr="00D7496B">
        <w:rPr>
          <w:rFonts w:ascii="Times New Roman" w:hAnsi="Times New Roman"/>
          <w:color w:val="auto"/>
          <w:sz w:val="24"/>
          <w:szCs w:val="24"/>
        </w:rPr>
        <w:t>A.1</w:t>
      </w:r>
      <w:r w:rsidRPr="00D7496B">
        <w:rPr>
          <w:rFonts w:ascii="Times New Roman" w:hAnsi="Times New Roman"/>
          <w:color w:val="auto"/>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5"/>
      <w:bookmarkEnd w:id="26"/>
      <w:bookmarkEnd w:id="27"/>
      <w:bookmarkEnd w:id="28"/>
      <w:bookmarkEnd w:id="29"/>
      <w:bookmarkEnd w:id="30"/>
      <w:bookmarkEnd w:id="31"/>
      <w:r w:rsidR="00D44C5A" w:rsidRPr="00D7496B">
        <w:rPr>
          <w:rFonts w:ascii="Times New Roman" w:hAnsi="Times New Roman"/>
          <w:color w:val="auto"/>
          <w:sz w:val="24"/>
          <w:szCs w:val="24"/>
        </w:rPr>
        <w:br/>
      </w:r>
    </w:p>
    <w:p w14:paraId="307DF274" w14:textId="65C8B1DC" w:rsidR="00EE1DC6" w:rsidRDefault="00997E90" w:rsidP="008C69A6">
      <w:pPr>
        <w:ind w:firstLine="720"/>
        <w:rPr>
          <w:szCs w:val="24"/>
        </w:rPr>
      </w:pPr>
      <w:r w:rsidRPr="00D70FD8">
        <w:rPr>
          <w:szCs w:val="24"/>
        </w:rPr>
        <w:t xml:space="preserve">A primary objective of the Third National Survey of WIC Participants (NSWP-III) is to provide </w:t>
      </w:r>
      <w:r w:rsidR="00FC4D9E" w:rsidRPr="00D70FD8">
        <w:rPr>
          <w:szCs w:val="24"/>
        </w:rPr>
        <w:t>the U.S. Department of Agriculture (USDA) Food and Nutrition Service (</w:t>
      </w:r>
      <w:r w:rsidRPr="00D70FD8">
        <w:rPr>
          <w:szCs w:val="24"/>
        </w:rPr>
        <w:t>FNS</w:t>
      </w:r>
      <w:r w:rsidR="00FC4D9E" w:rsidRPr="00D70FD8">
        <w:rPr>
          <w:szCs w:val="24"/>
        </w:rPr>
        <w:t>)</w:t>
      </w:r>
      <w:r w:rsidRPr="00D70FD8">
        <w:rPr>
          <w:szCs w:val="24"/>
        </w:rPr>
        <w:t xml:space="preserve"> with </w:t>
      </w:r>
      <w:r w:rsidRPr="0029465F">
        <w:rPr>
          <w:szCs w:val="24"/>
        </w:rPr>
        <w:t>nationally representative estimates of improper payments</w:t>
      </w:r>
      <w:r w:rsidRPr="00D70FD8">
        <w:rPr>
          <w:szCs w:val="24"/>
        </w:rPr>
        <w:t xml:space="preserve"> from the </w:t>
      </w:r>
      <w:r w:rsidR="00FC4D9E" w:rsidRPr="00D70FD8">
        <w:rPr>
          <w:szCs w:val="24"/>
        </w:rPr>
        <w:t>Special Supplemental Program for Women, Infants, and Children (</w:t>
      </w:r>
      <w:r w:rsidRPr="00D70FD8">
        <w:rPr>
          <w:szCs w:val="24"/>
        </w:rPr>
        <w:t>WIC</w:t>
      </w:r>
      <w:r w:rsidR="00FC4D9E" w:rsidRPr="00D70FD8">
        <w:rPr>
          <w:szCs w:val="24"/>
        </w:rPr>
        <w:t>)</w:t>
      </w:r>
      <w:r w:rsidR="005412E3">
        <w:rPr>
          <w:szCs w:val="24"/>
        </w:rPr>
        <w:t xml:space="preserve">. The </w:t>
      </w:r>
      <w:bookmarkStart w:id="33" w:name="_Hlk497865103"/>
      <w:r w:rsidR="005412E3" w:rsidRPr="006B7EB1">
        <w:rPr>
          <w:szCs w:val="24"/>
        </w:rPr>
        <w:t>Improper Payments Elimination and Recovery Improvement A</w:t>
      </w:r>
      <w:r w:rsidR="005412E3">
        <w:rPr>
          <w:szCs w:val="24"/>
        </w:rPr>
        <w:t xml:space="preserve">ct (IPERIA) of 2012 </w:t>
      </w:r>
      <w:r w:rsidR="005412E3" w:rsidRPr="00EE1DC6">
        <w:rPr>
          <w:szCs w:val="24"/>
        </w:rPr>
        <w:t xml:space="preserve">(P.L. 112-248) </w:t>
      </w:r>
      <w:bookmarkEnd w:id="33"/>
      <w:r w:rsidR="005412E3">
        <w:rPr>
          <w:szCs w:val="24"/>
        </w:rPr>
        <w:t>(Appendix A1</w:t>
      </w:r>
      <w:r w:rsidR="005412E3" w:rsidRPr="006B7EB1">
        <w:rPr>
          <w:szCs w:val="24"/>
        </w:rPr>
        <w:t>)</w:t>
      </w:r>
      <w:r w:rsidR="00B47CFA">
        <w:rPr>
          <w:szCs w:val="24"/>
        </w:rPr>
        <w:t>;</w:t>
      </w:r>
      <w:r w:rsidR="006B7EB1" w:rsidRPr="006B7EB1">
        <w:rPr>
          <w:szCs w:val="24"/>
        </w:rPr>
        <w:t xml:space="preserve"> 2009 Executive Order 13520 - Reducing Improper Payments (Appendix </w:t>
      </w:r>
      <w:r w:rsidR="006B7EB1">
        <w:rPr>
          <w:szCs w:val="24"/>
        </w:rPr>
        <w:t>A</w:t>
      </w:r>
      <w:r w:rsidR="005412E3">
        <w:rPr>
          <w:szCs w:val="24"/>
        </w:rPr>
        <w:t>2</w:t>
      </w:r>
      <w:r w:rsidR="006B7EB1" w:rsidRPr="006B7EB1">
        <w:rPr>
          <w:szCs w:val="24"/>
        </w:rPr>
        <w:t>);</w:t>
      </w:r>
      <w:r w:rsidR="005412E3">
        <w:rPr>
          <w:szCs w:val="24"/>
        </w:rPr>
        <w:t xml:space="preserve"> </w:t>
      </w:r>
      <w:r w:rsidR="006B7EB1" w:rsidRPr="006B7EB1">
        <w:rPr>
          <w:szCs w:val="24"/>
        </w:rPr>
        <w:t>the Office of Inspector General (OIG) USDA FY 2014 Compliance with Improper Pa</w:t>
      </w:r>
      <w:r w:rsidR="006B7EB1">
        <w:rPr>
          <w:szCs w:val="24"/>
        </w:rPr>
        <w:t>yments Requirements (Appendix A</w:t>
      </w:r>
      <w:r w:rsidR="005412E3">
        <w:rPr>
          <w:szCs w:val="24"/>
        </w:rPr>
        <w:t>3</w:t>
      </w:r>
      <w:r w:rsidR="006B7EB1" w:rsidRPr="006B7EB1">
        <w:rPr>
          <w:szCs w:val="24"/>
        </w:rPr>
        <w:t xml:space="preserve">); and the Requirements for </w:t>
      </w:r>
      <w:r w:rsidR="003849ED">
        <w:rPr>
          <w:szCs w:val="24"/>
        </w:rPr>
        <w:t xml:space="preserve">Payment Integrity Improvement </w:t>
      </w:r>
      <w:r w:rsidR="006B7EB1">
        <w:rPr>
          <w:szCs w:val="24"/>
        </w:rPr>
        <w:t>(Appendix A</w:t>
      </w:r>
      <w:r w:rsidR="005412E3">
        <w:rPr>
          <w:szCs w:val="24"/>
        </w:rPr>
        <w:t>4</w:t>
      </w:r>
      <w:r w:rsidR="006B7EB1" w:rsidRPr="006B7EB1">
        <w:rPr>
          <w:szCs w:val="24"/>
        </w:rPr>
        <w:t xml:space="preserve">) set forth the priority, mandate, and requirements for FNS to identify, estimate, and reduce erroneous payments in </w:t>
      </w:r>
      <w:r w:rsidR="00EE1DC6">
        <w:rPr>
          <w:szCs w:val="24"/>
        </w:rPr>
        <w:t>WIC</w:t>
      </w:r>
      <w:r w:rsidRPr="00D70FD8">
        <w:rPr>
          <w:szCs w:val="24"/>
        </w:rPr>
        <w:t>.</w:t>
      </w:r>
      <w:r w:rsidR="005412E3">
        <w:rPr>
          <w:szCs w:val="24"/>
        </w:rPr>
        <w:t xml:space="preserve"> NSWP-III will enable FNS to provide the required information. </w:t>
      </w:r>
    </w:p>
    <w:p w14:paraId="7373E8E0" w14:textId="44566ED9" w:rsidR="007F7272" w:rsidRDefault="00997E90" w:rsidP="008C69A6">
      <w:pPr>
        <w:ind w:firstLine="720"/>
        <w:rPr>
          <w:color w:val="000000"/>
          <w:szCs w:val="24"/>
        </w:rPr>
      </w:pPr>
      <w:r w:rsidRPr="00D70FD8">
        <w:rPr>
          <w:szCs w:val="24"/>
        </w:rPr>
        <w:t xml:space="preserve">NSWP-III builds on three previous </w:t>
      </w:r>
      <w:r w:rsidR="002379EA">
        <w:rPr>
          <w:szCs w:val="24"/>
        </w:rPr>
        <w:t xml:space="preserve">FNS </w:t>
      </w:r>
      <w:r w:rsidRPr="00D70FD8">
        <w:rPr>
          <w:szCs w:val="24"/>
        </w:rPr>
        <w:t>studies and reports that span several decades</w:t>
      </w:r>
      <w:r w:rsidR="004F2E9B" w:rsidRPr="00D70FD8">
        <w:t>:</w:t>
      </w:r>
      <w:r w:rsidR="000B3F62" w:rsidRPr="00D70FD8">
        <w:t xml:space="preserve"> </w:t>
      </w:r>
      <w:r w:rsidR="004F2E9B" w:rsidRPr="00D70FD8">
        <w:rPr>
          <w:szCs w:val="24"/>
        </w:rPr>
        <w:t>the WIC Income Verification Study (WIV, 1992)</w:t>
      </w:r>
      <w:r w:rsidR="00EE1DC6">
        <w:rPr>
          <w:rStyle w:val="FootnoteReference"/>
          <w:szCs w:val="24"/>
        </w:rPr>
        <w:footnoteReference w:id="2"/>
      </w:r>
      <w:r w:rsidR="00B02485">
        <w:rPr>
          <w:szCs w:val="24"/>
        </w:rPr>
        <w:t xml:space="preserve"> (OMB No.: </w:t>
      </w:r>
      <w:r w:rsidR="00B96D9F" w:rsidRPr="00B96D9F">
        <w:rPr>
          <w:szCs w:val="24"/>
        </w:rPr>
        <w:t>0584-0371</w:t>
      </w:r>
      <w:r w:rsidR="00FC6CFF">
        <w:rPr>
          <w:szCs w:val="24"/>
        </w:rPr>
        <w:t xml:space="preserve"> WIC Income Verification, expire</w:t>
      </w:r>
      <w:r w:rsidR="00FA57F3">
        <w:rPr>
          <w:szCs w:val="24"/>
        </w:rPr>
        <w:t>d</w:t>
      </w:r>
      <w:r w:rsidR="00FC6CFF">
        <w:rPr>
          <w:szCs w:val="24"/>
        </w:rPr>
        <w:t xml:space="preserve"> March 31, 1989</w:t>
      </w:r>
      <w:r w:rsidR="00B02485">
        <w:rPr>
          <w:szCs w:val="24"/>
        </w:rPr>
        <w:t>)</w:t>
      </w:r>
      <w:r w:rsidR="004F2E9B" w:rsidRPr="00D70FD8">
        <w:rPr>
          <w:szCs w:val="24"/>
        </w:rPr>
        <w:t>; the National Survey of WIC Participants (NSWP, 2001)</w:t>
      </w:r>
      <w:r w:rsidR="00EE1DC6">
        <w:rPr>
          <w:rStyle w:val="FootnoteReference"/>
          <w:szCs w:val="24"/>
        </w:rPr>
        <w:footnoteReference w:id="3"/>
      </w:r>
      <w:r w:rsidR="00EE1DC6" w:rsidRPr="00EE1DC6">
        <w:rPr>
          <w:szCs w:val="24"/>
        </w:rPr>
        <w:t xml:space="preserve"> </w:t>
      </w:r>
      <w:r w:rsidR="00B96D9F">
        <w:rPr>
          <w:szCs w:val="24"/>
        </w:rPr>
        <w:t>(OMB No.: 0584-0484</w:t>
      </w:r>
      <w:r w:rsidR="00FC6CFF">
        <w:rPr>
          <w:szCs w:val="24"/>
        </w:rPr>
        <w:t xml:space="preserve"> National Survey of WIC Participants and Their Local Agencies, expire</w:t>
      </w:r>
      <w:r w:rsidR="00FA57F3">
        <w:rPr>
          <w:szCs w:val="24"/>
        </w:rPr>
        <w:t>d</w:t>
      </w:r>
      <w:r w:rsidR="00FC6CFF">
        <w:rPr>
          <w:szCs w:val="24"/>
        </w:rPr>
        <w:t xml:space="preserve"> October 31, 200</w:t>
      </w:r>
      <w:r w:rsidR="003713C7">
        <w:rPr>
          <w:szCs w:val="24"/>
        </w:rPr>
        <w:t>0</w:t>
      </w:r>
      <w:r w:rsidR="00B96D9F">
        <w:rPr>
          <w:szCs w:val="24"/>
        </w:rPr>
        <w:t>)</w:t>
      </w:r>
      <w:r w:rsidR="004F2E9B" w:rsidRPr="00D70FD8">
        <w:rPr>
          <w:szCs w:val="24"/>
        </w:rPr>
        <w:t>; and the National Survey of WIC Participants: II (NSWP-II, 2012)</w:t>
      </w:r>
      <w:r w:rsidR="00EE1DC6">
        <w:rPr>
          <w:rStyle w:val="FootnoteReference"/>
          <w:szCs w:val="24"/>
        </w:rPr>
        <w:footnoteReference w:id="4"/>
      </w:r>
      <w:r w:rsidR="00B96D9F">
        <w:rPr>
          <w:szCs w:val="24"/>
        </w:rPr>
        <w:t xml:space="preserve"> </w:t>
      </w:r>
      <w:r w:rsidR="00B96D9F" w:rsidRPr="00B96D9F">
        <w:rPr>
          <w:szCs w:val="24"/>
        </w:rPr>
        <w:t>(OMB No.: 0584-0484</w:t>
      </w:r>
      <w:r w:rsidR="003713C7">
        <w:rPr>
          <w:szCs w:val="24"/>
        </w:rPr>
        <w:t xml:space="preserve"> National Survey of WIC Participants and Their Local Agencies, discontinued June 30, 2012</w:t>
      </w:r>
      <w:r w:rsidR="00B96D9F" w:rsidRPr="00B96D9F">
        <w:rPr>
          <w:szCs w:val="24"/>
        </w:rPr>
        <w:t>)</w:t>
      </w:r>
      <w:r w:rsidR="004F2E9B" w:rsidRPr="00D70FD8">
        <w:rPr>
          <w:szCs w:val="24"/>
        </w:rPr>
        <w:t>.</w:t>
      </w:r>
      <w:r w:rsidRPr="00D70FD8">
        <w:rPr>
          <w:szCs w:val="24"/>
        </w:rPr>
        <w:t xml:space="preserve"> </w:t>
      </w:r>
      <w:r w:rsidR="00E660D9">
        <w:rPr>
          <w:szCs w:val="24"/>
        </w:rPr>
        <w:t xml:space="preserve">FNS uses the surveys conducted every decade and </w:t>
      </w:r>
      <w:r w:rsidR="00E660D9" w:rsidRPr="00E660D9">
        <w:rPr>
          <w:szCs w:val="24"/>
        </w:rPr>
        <w:t xml:space="preserve">aging </w:t>
      </w:r>
      <w:r w:rsidR="00E660D9">
        <w:rPr>
          <w:szCs w:val="24"/>
        </w:rPr>
        <w:t xml:space="preserve">models </w:t>
      </w:r>
      <w:r w:rsidR="00E660D9" w:rsidRPr="00E660D9">
        <w:rPr>
          <w:szCs w:val="24"/>
        </w:rPr>
        <w:t xml:space="preserve">in interim years between </w:t>
      </w:r>
      <w:r w:rsidR="00E660D9">
        <w:rPr>
          <w:szCs w:val="24"/>
        </w:rPr>
        <w:t>the surveys to produce the annual improper payment estimates required by IPERIA</w:t>
      </w:r>
      <w:r w:rsidR="004F1DE9">
        <w:rPr>
          <w:szCs w:val="24"/>
        </w:rPr>
        <w:t xml:space="preserve">. </w:t>
      </w:r>
      <w:r w:rsidR="00E660D9">
        <w:rPr>
          <w:szCs w:val="24"/>
        </w:rPr>
        <w:t xml:space="preserve">Therefore, </w:t>
      </w:r>
      <w:r w:rsidR="000E47FD" w:rsidRPr="00D70FD8">
        <w:rPr>
          <w:szCs w:val="24"/>
        </w:rPr>
        <w:t xml:space="preserve">FNS seeks OMB clearance of new data collections to update these estimates. </w:t>
      </w:r>
    </w:p>
    <w:p w14:paraId="73672F1F" w14:textId="72A6AFC1" w:rsidR="00EE1DC6" w:rsidRDefault="00EE1DC6" w:rsidP="003A0B95">
      <w:pPr>
        <w:ind w:firstLine="720"/>
        <w:rPr>
          <w:szCs w:val="24"/>
        </w:rPr>
      </w:pPr>
      <w:r w:rsidRPr="00EE1DC6">
        <w:rPr>
          <w:szCs w:val="24"/>
        </w:rPr>
        <w:t xml:space="preserve">The study </w:t>
      </w:r>
      <w:r w:rsidR="00B47CFA">
        <w:rPr>
          <w:szCs w:val="24"/>
        </w:rPr>
        <w:t xml:space="preserve">also </w:t>
      </w:r>
      <w:r w:rsidRPr="00EE1DC6">
        <w:rPr>
          <w:szCs w:val="24"/>
        </w:rPr>
        <w:t xml:space="preserve">will investigate potential WIC State agency (SA) and/or local agency (LA) characteristics that may correlate with any observed errors and will assess WIC participants’ reasons for satisfaction or dissatisfaction with the program. Examining factors that may affect improper payments and participation in the program will inform FNS’s continuing efforts to improve the WIC program and reduce or eliminate payment errors. </w:t>
      </w:r>
    </w:p>
    <w:p w14:paraId="41913C19" w14:textId="564C1269" w:rsidR="006C7094" w:rsidRPr="003A0B95" w:rsidRDefault="006C7094" w:rsidP="006C7094">
      <w:pPr>
        <w:ind w:firstLine="720"/>
        <w:rPr>
          <w:szCs w:val="24"/>
        </w:rPr>
      </w:pPr>
      <w:r w:rsidRPr="003A0B95">
        <w:rPr>
          <w:szCs w:val="24"/>
        </w:rPr>
        <w:t xml:space="preserve">NSWP-III </w:t>
      </w:r>
      <w:r w:rsidR="00B47CFA" w:rsidRPr="009103BB">
        <w:rPr>
          <w:szCs w:val="24"/>
        </w:rPr>
        <w:t xml:space="preserve">also </w:t>
      </w:r>
      <w:r w:rsidRPr="009103BB">
        <w:rPr>
          <w:szCs w:val="24"/>
        </w:rPr>
        <w:t xml:space="preserve">will pilot an alternative methodology </w:t>
      </w:r>
      <w:r w:rsidR="00392D4F" w:rsidRPr="009103BB">
        <w:rPr>
          <w:szCs w:val="24"/>
        </w:rPr>
        <w:t xml:space="preserve">that has the potential to </w:t>
      </w:r>
      <w:r w:rsidR="00FA57F3" w:rsidRPr="009103BB">
        <w:rPr>
          <w:szCs w:val="24"/>
        </w:rPr>
        <w:t>generate annual</w:t>
      </w:r>
      <w:r w:rsidRPr="009103BB">
        <w:rPr>
          <w:szCs w:val="24"/>
        </w:rPr>
        <w:t xml:space="preserve"> estimates of improper payments that could be used in the future</w:t>
      </w:r>
      <w:r w:rsidR="00392D4F" w:rsidRPr="009103BB">
        <w:rPr>
          <w:szCs w:val="24"/>
        </w:rPr>
        <w:t xml:space="preserve"> with lower annual burden</w:t>
      </w:r>
      <w:r w:rsidRPr="009103BB">
        <w:rPr>
          <w:szCs w:val="24"/>
        </w:rPr>
        <w:t xml:space="preserve">. A </w:t>
      </w:r>
      <w:r w:rsidRPr="00A61282">
        <w:rPr>
          <w:szCs w:val="24"/>
        </w:rPr>
        <w:t>pilot study will be</w:t>
      </w:r>
      <w:r w:rsidRPr="009103BB">
        <w:rPr>
          <w:szCs w:val="24"/>
        </w:rPr>
        <w:t xml:space="preserve"> conducted in </w:t>
      </w:r>
      <w:r w:rsidR="007D670B" w:rsidRPr="009103BB">
        <w:rPr>
          <w:szCs w:val="24"/>
        </w:rPr>
        <w:t xml:space="preserve">Year 2 </w:t>
      </w:r>
      <w:r w:rsidR="00392D4F" w:rsidRPr="009103BB">
        <w:rPr>
          <w:szCs w:val="24"/>
        </w:rPr>
        <w:t xml:space="preserve">and </w:t>
      </w:r>
      <w:r w:rsidR="007D670B" w:rsidRPr="009103BB">
        <w:rPr>
          <w:szCs w:val="24"/>
        </w:rPr>
        <w:t>Year 3</w:t>
      </w:r>
      <w:r w:rsidRPr="009103BB">
        <w:rPr>
          <w:szCs w:val="24"/>
        </w:rPr>
        <w:t xml:space="preserve">, using the same Certification Survey and Denied Applicant Surveys proposed for the </w:t>
      </w:r>
      <w:r w:rsidR="007D670B" w:rsidRPr="009103BB">
        <w:rPr>
          <w:szCs w:val="24"/>
        </w:rPr>
        <w:t>Year 1</w:t>
      </w:r>
      <w:r w:rsidRPr="009103BB">
        <w:rPr>
          <w:szCs w:val="24"/>
        </w:rPr>
        <w:t xml:space="preserve"> data collection</w:t>
      </w:r>
      <w:r w:rsidR="00392D4F" w:rsidRPr="009103BB">
        <w:rPr>
          <w:szCs w:val="24"/>
        </w:rPr>
        <w:t xml:space="preserve">. </w:t>
      </w:r>
      <w:r w:rsidRPr="009103BB">
        <w:rPr>
          <w:szCs w:val="24"/>
        </w:rPr>
        <w:t>FNS seeks</w:t>
      </w:r>
      <w:r w:rsidR="00CF0E3D">
        <w:rPr>
          <w:szCs w:val="24"/>
        </w:rPr>
        <w:t xml:space="preserve"> </w:t>
      </w:r>
      <w:r w:rsidRPr="009103BB">
        <w:rPr>
          <w:szCs w:val="24"/>
        </w:rPr>
        <w:t xml:space="preserve">clearance to collect data in </w:t>
      </w:r>
      <w:r w:rsidR="007D670B" w:rsidRPr="009103BB">
        <w:rPr>
          <w:szCs w:val="24"/>
        </w:rPr>
        <w:t xml:space="preserve">Year 3 </w:t>
      </w:r>
      <w:r w:rsidRPr="009103BB">
        <w:rPr>
          <w:szCs w:val="24"/>
        </w:rPr>
        <w:t xml:space="preserve">should the </w:t>
      </w:r>
      <w:r w:rsidR="0071578E" w:rsidRPr="009103BB">
        <w:rPr>
          <w:szCs w:val="24"/>
        </w:rPr>
        <w:t xml:space="preserve">currently contracted </w:t>
      </w:r>
      <w:r w:rsidR="007D670B" w:rsidRPr="009103BB">
        <w:rPr>
          <w:szCs w:val="24"/>
        </w:rPr>
        <w:t>Year 2</w:t>
      </w:r>
      <w:r w:rsidR="0071578E" w:rsidRPr="009103BB">
        <w:rPr>
          <w:szCs w:val="24"/>
        </w:rPr>
        <w:t xml:space="preserve"> data collection for the alternative method be successfully completed; </w:t>
      </w:r>
      <w:r w:rsidRPr="009103BB">
        <w:rPr>
          <w:szCs w:val="24"/>
        </w:rPr>
        <w:t xml:space="preserve">2 years of additional clearance will allow FNS sufficient time to request clearance for subsequent </w:t>
      </w:r>
      <w:r w:rsidR="00C207EF" w:rsidRPr="009103BB">
        <w:rPr>
          <w:szCs w:val="24"/>
        </w:rPr>
        <w:t xml:space="preserve">8 </w:t>
      </w:r>
      <w:r w:rsidRPr="009103BB">
        <w:rPr>
          <w:szCs w:val="24"/>
        </w:rPr>
        <w:t>years without interruption of the method (which requires annual data collection)</w:t>
      </w:r>
      <w:r w:rsidR="004F1DE9" w:rsidRPr="009103BB">
        <w:rPr>
          <w:szCs w:val="24"/>
        </w:rPr>
        <w:t xml:space="preserve">. </w:t>
      </w:r>
      <w:r w:rsidR="00742BBB" w:rsidRPr="009103BB">
        <w:rPr>
          <w:szCs w:val="24"/>
        </w:rPr>
        <w:t>The study objectives and research questions that FNS seeks to answer with the data collected from these studies and the pilot alternative methodology</w:t>
      </w:r>
      <w:r w:rsidR="00742BBB">
        <w:rPr>
          <w:szCs w:val="24"/>
        </w:rPr>
        <w:t xml:space="preserve"> are listed in Appendix A5.</w:t>
      </w:r>
      <w:r w:rsidRPr="003A0B95" w:rsidDel="005D5861">
        <w:rPr>
          <w:szCs w:val="24"/>
        </w:rPr>
        <w:t xml:space="preserve"> </w:t>
      </w:r>
    </w:p>
    <w:p w14:paraId="253159F1" w14:textId="24BE1241" w:rsidR="006C7094" w:rsidRDefault="00392D4F" w:rsidP="006C7094">
      <w:pPr>
        <w:ind w:firstLine="720"/>
      </w:pPr>
      <w:r w:rsidRPr="00392D4F">
        <w:t>This alternative method mirrors the approach of the American Community Sur</w:t>
      </w:r>
      <w:r>
        <w:t xml:space="preserve">vey (U.S. Census Bureau, 2014) </w:t>
      </w:r>
      <w:r w:rsidRPr="00392D4F">
        <w:t>in which the total sampling frame is partitioned into subframes which are rotated annually. To test the feasibility of this method for updating the diennial estimates of improper payments, the study team will create a “Next Decade Update” sample following a plan like that adopted for the ACS. The study team will first allocate the same 30 primary sampling units (PSUs) used in the “main study” sample for</w:t>
      </w:r>
      <w:r w:rsidR="007D670B">
        <w:t xml:space="preserve"> Year 1</w:t>
      </w:r>
      <w:r w:rsidRPr="00392D4F">
        <w:t xml:space="preserve"> data collection into 10 panels of three PSUs each and rotate one panel into the sample per year for the next 10 years</w:t>
      </w:r>
      <w:r w:rsidR="004F1DE9">
        <w:t xml:space="preserve">. </w:t>
      </w:r>
      <w:r w:rsidRPr="00392D4F">
        <w:t xml:space="preserve">This approach will spread the burden of participating in the Certification and Denied Applicant Surveys both across States and over time. States and PSUs will have the same odds of being selected for the Next Decade Update sample as they will for the </w:t>
      </w:r>
      <w:r w:rsidR="007D670B">
        <w:t>Year 1</w:t>
      </w:r>
      <w:r w:rsidRPr="00392D4F">
        <w:t xml:space="preserve"> sample. Certification and Denied Applicant Surveys will take place in each PSU selected for the Next Decade Update sample in one of the 10 years. For estimation purposes, each panel of three PSUs in the Next Decade Update sample will be aligned with a panel of three PSUs from the </w:t>
      </w:r>
      <w:r w:rsidR="007D670B">
        <w:t>Year 1</w:t>
      </w:r>
      <w:r w:rsidRPr="00392D4F">
        <w:t xml:space="preserve"> sample. Then the estimation procedures developed for </w:t>
      </w:r>
      <w:r w:rsidR="007D670B">
        <w:t>Year 1</w:t>
      </w:r>
      <w:r w:rsidRPr="00392D4F">
        <w:t xml:space="preserve"> will simply be rerun on the dataset obtained by adding interviewed post-</w:t>
      </w:r>
      <w:r w:rsidR="007D670B">
        <w:t>Year 1</w:t>
      </w:r>
      <w:r w:rsidRPr="00392D4F">
        <w:t xml:space="preserve"> panels to the </w:t>
      </w:r>
      <w:r w:rsidR="007D670B">
        <w:t>Year 1</w:t>
      </w:r>
      <w:r w:rsidRPr="00392D4F">
        <w:t xml:space="preserve"> sample and removing the matched </w:t>
      </w:r>
      <w:r w:rsidR="007D670B">
        <w:t>Year 1</w:t>
      </w:r>
      <w:r w:rsidRPr="00392D4F">
        <w:t xml:space="preserve"> panels. </w:t>
      </w:r>
    </w:p>
    <w:p w14:paraId="352F1A5C" w14:textId="5E29E4DA" w:rsidR="003A0B95" w:rsidRDefault="006C7094" w:rsidP="006C7094">
      <w:pPr>
        <w:ind w:firstLine="720"/>
      </w:pPr>
      <w:r w:rsidRPr="00EA2A02">
        <w:t xml:space="preserve">The main benefit </w:t>
      </w:r>
      <w:r>
        <w:t xml:space="preserve">of continuous data collection is that </w:t>
      </w:r>
      <w:r w:rsidRPr="00EA2A02">
        <w:t>annual updates to improper payment estimates</w:t>
      </w:r>
      <w:r w:rsidR="00A16742">
        <w:t xml:space="preserve"> would be more sensitive to systematic changes in error rates triggered by changes in </w:t>
      </w:r>
      <w:r w:rsidR="00DB06F2">
        <w:t xml:space="preserve">eligibility rules, policies of programs whose participants are adjunctively income </w:t>
      </w:r>
      <w:r w:rsidR="006E12E9">
        <w:t>eligible</w:t>
      </w:r>
      <w:r w:rsidR="00DB06F2">
        <w:t xml:space="preserve"> (such as Medicaid, SNAP), </w:t>
      </w:r>
      <w:r w:rsidR="00A16742">
        <w:t>econom</w:t>
      </w:r>
      <w:r w:rsidR="00DB06F2">
        <w:t>ic trends affecting household income (e.g., a shift from wages to self-employment income)</w:t>
      </w:r>
      <w:r w:rsidRPr="00EA2A02">
        <w:t xml:space="preserve">. </w:t>
      </w:r>
      <w:r w:rsidR="00A16742">
        <w:t xml:space="preserve">Even if the current approach of “aging” estimates with a synthetic model can be marginally improved, it can only reflect systematic changes in the error rates due to the second of these two potential causes.  Additionally, </w:t>
      </w:r>
      <w:r w:rsidR="00067B14">
        <w:t>the</w:t>
      </w:r>
      <w:r w:rsidR="00067B14" w:rsidRPr="00EA2A02">
        <w:t xml:space="preserve"> </w:t>
      </w:r>
      <w:r w:rsidRPr="00EA2A02">
        <w:t>survey-based updates may be more reliable than the synthetic estimates using the aging model</w:t>
      </w:r>
      <w:r>
        <w:t xml:space="preserve"> as done in previous years</w:t>
      </w:r>
      <w:r w:rsidRPr="00EA2A02">
        <w:t xml:space="preserve">. </w:t>
      </w:r>
      <w:r>
        <w:t>T</w:t>
      </w:r>
      <w:r w:rsidRPr="00EA2A02">
        <w:t xml:space="preserve">he costs of launching a new effort every </w:t>
      </w:r>
      <w:r>
        <w:t>10th</w:t>
      </w:r>
      <w:r w:rsidRPr="00EA2A02">
        <w:t xml:space="preserve"> year </w:t>
      </w:r>
      <w:r>
        <w:t xml:space="preserve">may also be </w:t>
      </w:r>
      <w:r w:rsidRPr="00EA2A02">
        <w:t>higher than what would be required to keep an operation continuously in the field, and additional savings in sampling, data processing</w:t>
      </w:r>
      <w:r>
        <w:t>,</w:t>
      </w:r>
      <w:r w:rsidRPr="00EA2A02">
        <w:t xml:space="preserve"> and analysis would be realized by repeating the same process annually instead of starting anew</w:t>
      </w:r>
      <w:r>
        <w:t xml:space="preserve">. </w:t>
      </w:r>
      <w:r w:rsidR="00142957">
        <w:t xml:space="preserve">The study will assess the outcomes of the </w:t>
      </w:r>
      <w:r w:rsidR="00142957" w:rsidRPr="009103BB">
        <w:t>pilot to determine if the pilot improves</w:t>
      </w:r>
      <w:r w:rsidR="00142957">
        <w:t xml:space="preserve"> efficiency and precision while reducing cost.</w:t>
      </w:r>
      <w:r w:rsidR="00142957">
        <w:rPr>
          <w:rStyle w:val="FootnoteReference"/>
        </w:rPr>
        <w:footnoteReference w:id="5"/>
      </w:r>
      <w:r w:rsidR="00142957">
        <w:t xml:space="preserve"> </w:t>
      </w:r>
    </w:p>
    <w:p w14:paraId="4A80566B" w14:textId="404903F2" w:rsidR="00455DC3" w:rsidRDefault="00067B14" w:rsidP="00067B14">
      <w:pPr>
        <w:ind w:firstLine="720"/>
      </w:pPr>
      <w:r w:rsidRPr="00692576">
        <w:t xml:space="preserve">FNS views the “pilot” of this alternative methodology as a </w:t>
      </w:r>
      <w:r w:rsidRPr="00692576">
        <w:rPr>
          <w:b/>
        </w:rPr>
        <w:t>feasibility study</w:t>
      </w:r>
      <w:r w:rsidRPr="00692576">
        <w:t xml:space="preserve"> whose goal is to inform FNS decision-making about whether to replace the current decennial data collection with an annual data collection</w:t>
      </w:r>
      <w:r>
        <w:t xml:space="preserve"> that uses a rotating panel design</w:t>
      </w:r>
      <w:r w:rsidR="00AD421E">
        <w:t xml:space="preserve"> as the basis for improper payment estimates</w:t>
      </w:r>
      <w:r w:rsidRPr="00692576">
        <w:t xml:space="preserve">.  That is, FNS would like to compare two options. Under </w:t>
      </w:r>
      <w:r>
        <w:t>the first option,</w:t>
      </w:r>
      <w:r w:rsidRPr="00692576">
        <w:t xml:space="preserve"> FNS would continue the current approach of conducting a decennial data collection to produce empirical estimates of improper payments that </w:t>
      </w:r>
      <w:r w:rsidR="00455DC3">
        <w:t xml:space="preserve">are </w:t>
      </w:r>
      <w:r w:rsidRPr="00692576">
        <w:t xml:space="preserve">updated annually for the subsequent nine years using a synthetic aging model (and no new data collection). Under </w:t>
      </w:r>
      <w:r>
        <w:t>the second option,</w:t>
      </w:r>
      <w:r w:rsidRPr="00692576">
        <w:t xml:space="preserve"> </w:t>
      </w:r>
      <w:r>
        <w:t xml:space="preserve">a “rotating panel design,” </w:t>
      </w:r>
      <w:r w:rsidRPr="00692576">
        <w:t xml:space="preserve">FNS would replace the decennial data collection with the alternative methodology (to be tested in Years 2 and 3) described above.  Annual estimates of improper payments for the first decade would combine: (1) estimates from the annual data collection from </w:t>
      </w:r>
      <w:r>
        <w:t>Year 2</w:t>
      </w:r>
      <w:r w:rsidRPr="00692576">
        <w:t xml:space="preserve"> and beyond from the “Next Decade Update” sample with (2) estimates from the aging model applied to all or part of the </w:t>
      </w:r>
      <w:r>
        <w:t>Year 1 (</w:t>
      </w:r>
      <w:r w:rsidRPr="00692576">
        <w:t>2019</w:t>
      </w:r>
      <w:r>
        <w:t>)</w:t>
      </w:r>
      <w:r w:rsidRPr="00692576">
        <w:t xml:space="preserve"> </w:t>
      </w:r>
      <w:r w:rsidR="00455DC3">
        <w:t xml:space="preserve">decennial </w:t>
      </w:r>
      <w:r w:rsidRPr="00692576">
        <w:t xml:space="preserve">collection. Starting in 2029 and each successive year, </w:t>
      </w:r>
      <w:r>
        <w:t>this method</w:t>
      </w:r>
      <w:r w:rsidRPr="00692576">
        <w:t xml:space="preserve"> would consist of blended data from each year over the prior decade</w:t>
      </w:r>
      <w:r>
        <w:t xml:space="preserve">. </w:t>
      </w:r>
    </w:p>
    <w:p w14:paraId="48042B4A" w14:textId="38802AE7" w:rsidR="00067B14" w:rsidRPr="00692576" w:rsidRDefault="00067B14" w:rsidP="00067B14">
      <w:pPr>
        <w:ind w:firstLine="720"/>
      </w:pPr>
      <w:r w:rsidRPr="00692576">
        <w:t xml:space="preserve">The feasibility study will address the following questions: </w:t>
      </w:r>
    </w:p>
    <w:p w14:paraId="62FD9E1B" w14:textId="2E529459" w:rsidR="00067B14" w:rsidRPr="00692576" w:rsidRDefault="00067B14" w:rsidP="00067B14">
      <w:pPr>
        <w:ind w:firstLine="720"/>
      </w:pPr>
      <w:r w:rsidRPr="00692576">
        <w:t xml:space="preserve">1. Are the </w:t>
      </w:r>
      <w:r w:rsidR="00AD421E">
        <w:t xml:space="preserve">expected </w:t>
      </w:r>
      <w:r w:rsidRPr="00692576">
        <w:t xml:space="preserve">costs of </w:t>
      </w:r>
      <w:r>
        <w:t>the rotating panel design</w:t>
      </w:r>
      <w:r w:rsidRPr="00692576">
        <w:t xml:space="preserve"> </w:t>
      </w:r>
      <w:r>
        <w:t xml:space="preserve">(annual data collection over 10 years) </w:t>
      </w:r>
      <w:r w:rsidRPr="00692576">
        <w:t xml:space="preserve">higher or lower than the </w:t>
      </w:r>
      <w:r w:rsidR="00AD421E">
        <w:t xml:space="preserve">expected </w:t>
      </w:r>
      <w:r w:rsidRPr="00692576">
        <w:t xml:space="preserve">costs of </w:t>
      </w:r>
      <w:r>
        <w:t>the current approach</w:t>
      </w:r>
      <w:r w:rsidRPr="00692576">
        <w:t xml:space="preserve"> (data collection once per decade)? How much is the difference in </w:t>
      </w:r>
      <w:r w:rsidR="00AD421E">
        <w:t xml:space="preserve">expected </w:t>
      </w:r>
      <w:r w:rsidRPr="00692576">
        <w:t>costs?</w:t>
      </w:r>
    </w:p>
    <w:p w14:paraId="36A7650D" w14:textId="083D76B6" w:rsidR="00067B14" w:rsidRPr="00692576" w:rsidRDefault="00067B14" w:rsidP="00067B14">
      <w:pPr>
        <w:ind w:firstLine="720"/>
      </w:pPr>
      <w:r w:rsidRPr="00692576">
        <w:t xml:space="preserve">2. </w:t>
      </w:r>
      <w:r w:rsidR="005C49FC">
        <w:t xml:space="preserve">To what extent are estimates predicted by the aging model biased relative to actual estimates obtained in 2009 (NSWP-II) and Year 1 of the current study? </w:t>
      </w:r>
      <w:r w:rsidRPr="00692576">
        <w:t xml:space="preserve">How much does this bias contribute beyond sampling error to total mean square error?  </w:t>
      </w:r>
      <w:r w:rsidR="005C49FC">
        <w:t>(Note that n</w:t>
      </w:r>
      <w:r w:rsidRPr="00692576">
        <w:t xml:space="preserve">o comparable measurements are </w:t>
      </w:r>
      <w:r w:rsidR="00C466DF">
        <w:t>feasi</w:t>
      </w:r>
      <w:r w:rsidRPr="00692576">
        <w:t xml:space="preserve">ble for </w:t>
      </w:r>
      <w:r>
        <w:t>the rotating panel design</w:t>
      </w:r>
      <w:r w:rsidRPr="00692576">
        <w:t xml:space="preserve">, but logically, this bias has to be smaller than </w:t>
      </w:r>
      <w:r>
        <w:t>applying an aging model</w:t>
      </w:r>
      <w:r w:rsidRPr="00692576">
        <w:t xml:space="preserve">, so if bias is an important part of total mean square error </w:t>
      </w:r>
      <w:r>
        <w:t>under the current approach</w:t>
      </w:r>
      <w:r w:rsidRPr="00692576">
        <w:t xml:space="preserve">, that will be an argument in favor of </w:t>
      </w:r>
      <w:r>
        <w:t>adopting the alternative rotating panel design</w:t>
      </w:r>
      <w:r w:rsidRPr="00692576">
        <w:t>.</w:t>
      </w:r>
      <w:r w:rsidR="005C49FC">
        <w:t>)</w:t>
      </w:r>
    </w:p>
    <w:p w14:paraId="310FEA6B" w14:textId="3713A737" w:rsidR="00067B14" w:rsidRPr="003A0B95" w:rsidRDefault="00067B14" w:rsidP="00067B14">
      <w:pPr>
        <w:ind w:firstLine="720"/>
        <w:rPr>
          <w:szCs w:val="24"/>
        </w:rPr>
      </w:pPr>
      <w:r w:rsidRPr="00692576">
        <w:t xml:space="preserve">3. From an operational standpoint, how feasibly can FNS (via oversight of a contractor) implement </w:t>
      </w:r>
      <w:r>
        <w:t>the rotating panel design</w:t>
      </w:r>
      <w:r w:rsidRPr="00692576">
        <w:t xml:space="preserve">? What are the logistical or operational advantages and disadvantages of </w:t>
      </w:r>
      <w:r>
        <w:t>this design</w:t>
      </w:r>
      <w:r w:rsidRPr="00692576">
        <w:t xml:space="preserve"> rela</w:t>
      </w:r>
      <w:r>
        <w:t>tive to the current FNS approach</w:t>
      </w:r>
      <w:r w:rsidRPr="00692576">
        <w:t>?</w:t>
      </w:r>
      <w:r w:rsidR="00AD421E">
        <w:t xml:space="preserve"> Maintaining a program of recurring data collection could simplify procurement, oversight, and obtaining data from States for sampling.</w:t>
      </w:r>
    </w:p>
    <w:p w14:paraId="3381D940" w14:textId="7257D517" w:rsidR="007C7D98" w:rsidRDefault="0015674E" w:rsidP="007C2BE3">
      <w:pPr>
        <w:pStyle w:val="L1-FlLSp12"/>
        <w:ind w:left="720" w:hanging="720"/>
      </w:pPr>
      <w:bookmarkStart w:id="34" w:name="_Toc339621282"/>
      <w:bookmarkStart w:id="35" w:name="_Toc454265301"/>
      <w:bookmarkStart w:id="36" w:name="_Toc454265600"/>
      <w:bookmarkStart w:id="37" w:name="_Toc454265677"/>
      <w:bookmarkStart w:id="38" w:name="_Toc454266168"/>
      <w:bookmarkStart w:id="39" w:name="_Toc454266202"/>
      <w:bookmarkStart w:id="40" w:name="_Toc454266629"/>
      <w:bookmarkEnd w:id="32"/>
      <w:r w:rsidRPr="00DD45C5">
        <w:rPr>
          <w:b/>
          <w:szCs w:val="24"/>
        </w:rPr>
        <w:t>A.2</w:t>
      </w:r>
      <w:r w:rsidRPr="00DD45C5">
        <w:rPr>
          <w:b/>
          <w:szCs w:val="24"/>
        </w:rPr>
        <w:tab/>
        <w:t>Indicate how, by whom, how frequently, and for what purpose the information is to be used. Except for a new collection, indicate the actual use the agency has made of the information received from the current collection.</w:t>
      </w:r>
      <w:bookmarkEnd w:id="34"/>
      <w:bookmarkEnd w:id="35"/>
      <w:bookmarkEnd w:id="36"/>
      <w:bookmarkEnd w:id="37"/>
      <w:bookmarkEnd w:id="38"/>
      <w:bookmarkEnd w:id="39"/>
      <w:bookmarkEnd w:id="40"/>
    </w:p>
    <w:p w14:paraId="33F27982" w14:textId="77777777" w:rsidR="00854743" w:rsidRPr="007C2BE3" w:rsidRDefault="00854743" w:rsidP="007C2BE3">
      <w:pPr>
        <w:pStyle w:val="L1-FlLSp12"/>
      </w:pPr>
    </w:p>
    <w:p w14:paraId="5473A447" w14:textId="5D2775E7" w:rsidR="00CE72F5" w:rsidRPr="00D7496B" w:rsidRDefault="001C244F" w:rsidP="009D5B7F">
      <w:pPr>
        <w:pStyle w:val="Default"/>
        <w:widowControl w:val="0"/>
        <w:spacing w:line="480" w:lineRule="auto"/>
        <w:ind w:firstLine="720"/>
        <w:rPr>
          <w:rFonts w:ascii="Times New Roman" w:hAnsi="Times New Roman" w:cs="Times New Roman"/>
        </w:rPr>
      </w:pPr>
      <w:r>
        <w:rPr>
          <w:rFonts w:ascii="Times New Roman" w:hAnsi="Times New Roman" w:cs="Times New Roman"/>
        </w:rPr>
        <w:t>T</w:t>
      </w:r>
      <w:r w:rsidR="009C6C6E" w:rsidRPr="009C6C6E">
        <w:rPr>
          <w:rFonts w:ascii="Times New Roman" w:hAnsi="Times New Roman" w:cs="Times New Roman"/>
        </w:rPr>
        <w:t>he</w:t>
      </w:r>
      <w:r w:rsidR="009C6C6E" w:rsidRPr="00D7496B">
        <w:rPr>
          <w:rFonts w:ascii="Times New Roman" w:hAnsi="Times New Roman" w:cs="Times New Roman"/>
        </w:rPr>
        <w:t xml:space="preserve"> following </w:t>
      </w:r>
      <w:r w:rsidR="00487E63" w:rsidRPr="00D7496B">
        <w:rPr>
          <w:rFonts w:ascii="Times New Roman" w:hAnsi="Times New Roman" w:cs="Times New Roman"/>
        </w:rPr>
        <w:t xml:space="preserve">new </w:t>
      </w:r>
      <w:r w:rsidR="009C6C6E" w:rsidRPr="00D7496B">
        <w:rPr>
          <w:rFonts w:ascii="Times New Roman" w:hAnsi="Times New Roman" w:cs="Times New Roman"/>
        </w:rPr>
        <w:t>data collections are planned</w:t>
      </w:r>
      <w:r w:rsidR="00C540D2" w:rsidRPr="00D7496B">
        <w:rPr>
          <w:rFonts w:ascii="Times New Roman" w:hAnsi="Times New Roman" w:cs="Times New Roman"/>
        </w:rPr>
        <w:t xml:space="preserve"> for </w:t>
      </w:r>
      <w:r w:rsidR="007D670B">
        <w:rPr>
          <w:rFonts w:ascii="Times New Roman" w:hAnsi="Times New Roman" w:cs="Times New Roman"/>
        </w:rPr>
        <w:t>Year 1</w:t>
      </w:r>
      <w:r w:rsidR="009C6C6E" w:rsidRPr="00D7496B">
        <w:rPr>
          <w:rFonts w:ascii="Times New Roman" w:hAnsi="Times New Roman" w:cs="Times New Roman"/>
        </w:rPr>
        <w:t>: (1) a</w:t>
      </w:r>
      <w:r w:rsidR="00F15A08" w:rsidRPr="00D7496B">
        <w:rPr>
          <w:rFonts w:ascii="Times New Roman" w:hAnsi="Times New Roman" w:cs="Times New Roman"/>
        </w:rPr>
        <w:t xml:space="preserve"> State Agency Survey with 90 agenc</w:t>
      </w:r>
      <w:r w:rsidR="008127A7" w:rsidRPr="00D7496B">
        <w:rPr>
          <w:rFonts w:ascii="Times New Roman" w:hAnsi="Times New Roman" w:cs="Times New Roman"/>
        </w:rPr>
        <w:t>y directors</w:t>
      </w:r>
      <w:r w:rsidR="00F15A08" w:rsidRPr="00D7496B">
        <w:rPr>
          <w:rFonts w:ascii="Times New Roman" w:hAnsi="Times New Roman" w:cs="Times New Roman"/>
        </w:rPr>
        <w:t xml:space="preserve">, including </w:t>
      </w:r>
      <w:r w:rsidR="00487E63" w:rsidRPr="00D7496B">
        <w:rPr>
          <w:rFonts w:ascii="Times New Roman" w:hAnsi="Times New Roman" w:cs="Times New Roman"/>
        </w:rPr>
        <w:t xml:space="preserve">the SAs in the </w:t>
      </w:r>
      <w:r w:rsidR="00F15A08" w:rsidRPr="00D7496B">
        <w:rPr>
          <w:rFonts w:ascii="Times New Roman" w:hAnsi="Times New Roman" w:cs="Times New Roman"/>
        </w:rPr>
        <w:t xml:space="preserve">50 States and the District of Columbia, the 34 Indian Tribal Organizations (ITOs), and </w:t>
      </w:r>
      <w:r w:rsidR="00487E63" w:rsidRPr="00D7496B">
        <w:rPr>
          <w:rFonts w:ascii="Times New Roman" w:hAnsi="Times New Roman" w:cs="Times New Roman"/>
        </w:rPr>
        <w:t xml:space="preserve">the </w:t>
      </w:r>
      <w:r w:rsidR="00F15A08" w:rsidRPr="00D7496B">
        <w:rPr>
          <w:rFonts w:ascii="Times New Roman" w:hAnsi="Times New Roman" w:cs="Times New Roman"/>
        </w:rPr>
        <w:t xml:space="preserve">5 U.S. Territories; (2) a Local </w:t>
      </w:r>
      <w:r w:rsidR="004B7BAA" w:rsidRPr="00D7496B">
        <w:rPr>
          <w:rFonts w:ascii="Times New Roman" w:hAnsi="Times New Roman" w:cs="Times New Roman"/>
        </w:rPr>
        <w:t xml:space="preserve">Agency Survey with </w:t>
      </w:r>
      <w:r w:rsidR="00487E63" w:rsidRPr="00D7496B">
        <w:rPr>
          <w:rFonts w:ascii="Times New Roman" w:hAnsi="Times New Roman" w:cs="Times New Roman"/>
        </w:rPr>
        <w:t>a nationally representative sample of</w:t>
      </w:r>
      <w:r w:rsidR="001A24C5">
        <w:rPr>
          <w:rFonts w:ascii="Times New Roman" w:hAnsi="Times New Roman" w:cs="Times New Roman"/>
        </w:rPr>
        <w:t xml:space="preserve"> 7</w:t>
      </w:r>
      <w:r w:rsidR="00404F1D">
        <w:rPr>
          <w:rFonts w:ascii="Times New Roman" w:hAnsi="Times New Roman" w:cs="Times New Roman"/>
        </w:rPr>
        <w:t>7</w:t>
      </w:r>
      <w:r w:rsidR="001A24C5">
        <w:rPr>
          <w:rFonts w:ascii="Times New Roman" w:hAnsi="Times New Roman" w:cs="Times New Roman"/>
        </w:rPr>
        <w:t xml:space="preserve">2 </w:t>
      </w:r>
      <w:r w:rsidR="00487E63" w:rsidRPr="00D7496B">
        <w:rPr>
          <w:rFonts w:ascii="Times New Roman" w:hAnsi="Times New Roman" w:cs="Times New Roman"/>
        </w:rPr>
        <w:t>LA</w:t>
      </w:r>
      <w:r w:rsidR="008127A7" w:rsidRPr="00D7496B">
        <w:rPr>
          <w:rFonts w:ascii="Times New Roman" w:hAnsi="Times New Roman" w:cs="Times New Roman"/>
        </w:rPr>
        <w:t xml:space="preserve"> directors</w:t>
      </w:r>
      <w:r w:rsidR="00F15A08" w:rsidRPr="00D7496B">
        <w:rPr>
          <w:rFonts w:ascii="Times New Roman" w:hAnsi="Times New Roman" w:cs="Times New Roman"/>
        </w:rPr>
        <w:t xml:space="preserve">; (3) a </w:t>
      </w:r>
      <w:r w:rsidR="009C6C6E" w:rsidRPr="00D7496B">
        <w:rPr>
          <w:rFonts w:ascii="Times New Roman" w:hAnsi="Times New Roman" w:cs="Times New Roman"/>
        </w:rPr>
        <w:t>Certi</w:t>
      </w:r>
      <w:r w:rsidR="004B7BAA" w:rsidRPr="00D7496B">
        <w:rPr>
          <w:rFonts w:ascii="Times New Roman" w:hAnsi="Times New Roman" w:cs="Times New Roman"/>
        </w:rPr>
        <w:t xml:space="preserve">fication Survey with </w:t>
      </w:r>
      <w:r w:rsidR="00487E63" w:rsidRPr="00D7496B">
        <w:rPr>
          <w:rFonts w:ascii="Times New Roman" w:hAnsi="Times New Roman" w:cs="Times New Roman"/>
        </w:rPr>
        <w:t xml:space="preserve">a nationally representative sample of </w:t>
      </w:r>
      <w:r w:rsidR="004B7BAA" w:rsidRPr="00D7496B">
        <w:rPr>
          <w:rFonts w:ascii="Times New Roman" w:hAnsi="Times New Roman" w:cs="Times New Roman"/>
        </w:rPr>
        <w:t>1,6</w:t>
      </w:r>
      <w:r w:rsidR="009C6C6E" w:rsidRPr="00D7496B">
        <w:rPr>
          <w:rFonts w:ascii="Times New Roman" w:hAnsi="Times New Roman" w:cs="Times New Roman"/>
        </w:rPr>
        <w:t xml:space="preserve">00 recently certified WIC participants; </w:t>
      </w:r>
      <w:r w:rsidR="00F15A08" w:rsidRPr="00D7496B">
        <w:rPr>
          <w:rFonts w:ascii="Times New Roman" w:hAnsi="Times New Roman" w:cs="Times New Roman"/>
        </w:rPr>
        <w:t xml:space="preserve">(4) </w:t>
      </w:r>
      <w:r w:rsidR="009C6C6E" w:rsidRPr="00D7496B">
        <w:rPr>
          <w:rFonts w:ascii="Times New Roman" w:hAnsi="Times New Roman" w:cs="Times New Roman"/>
        </w:rPr>
        <w:t>a Program E</w:t>
      </w:r>
      <w:r w:rsidR="004B7BAA" w:rsidRPr="00D7496B">
        <w:rPr>
          <w:rFonts w:ascii="Times New Roman" w:hAnsi="Times New Roman" w:cs="Times New Roman"/>
        </w:rPr>
        <w:t>xperiences Survey with 2,0</w:t>
      </w:r>
      <w:r w:rsidR="009C6C6E" w:rsidRPr="00D7496B">
        <w:rPr>
          <w:rFonts w:ascii="Times New Roman" w:hAnsi="Times New Roman" w:cs="Times New Roman"/>
        </w:rPr>
        <w:t>00 curr</w:t>
      </w:r>
      <w:r w:rsidR="00F15A08" w:rsidRPr="00D7496B">
        <w:rPr>
          <w:rFonts w:ascii="Times New Roman" w:hAnsi="Times New Roman" w:cs="Times New Roman"/>
        </w:rPr>
        <w:t>ent WIC program participants</w:t>
      </w:r>
      <w:r w:rsidR="00DD45C5">
        <w:rPr>
          <w:rStyle w:val="FootnoteReference"/>
          <w:rFonts w:ascii="Times New Roman" w:hAnsi="Times New Roman" w:cs="Times New Roman"/>
        </w:rPr>
        <w:footnoteReference w:id="6"/>
      </w:r>
      <w:r w:rsidR="00F15A08" w:rsidRPr="00D7496B">
        <w:rPr>
          <w:rFonts w:ascii="Times New Roman" w:hAnsi="Times New Roman" w:cs="Times New Roman"/>
        </w:rPr>
        <w:t xml:space="preserve">; </w:t>
      </w:r>
      <w:r w:rsidR="00FA1948" w:rsidRPr="00D7496B">
        <w:rPr>
          <w:rFonts w:ascii="Times New Roman" w:hAnsi="Times New Roman" w:cs="Times New Roman"/>
        </w:rPr>
        <w:t xml:space="preserve">(5) a Denied Applicant Survey with a sample of 192 WIC applicants who did not qualify for the program; </w:t>
      </w:r>
      <w:r w:rsidR="00F15A08" w:rsidRPr="00D7496B">
        <w:rPr>
          <w:rFonts w:ascii="Times New Roman" w:hAnsi="Times New Roman" w:cs="Times New Roman"/>
        </w:rPr>
        <w:t xml:space="preserve">and </w:t>
      </w:r>
      <w:r w:rsidR="009C6C6E" w:rsidRPr="00D7496B">
        <w:rPr>
          <w:rFonts w:ascii="Times New Roman" w:hAnsi="Times New Roman" w:cs="Times New Roman"/>
        </w:rPr>
        <w:t>(</w:t>
      </w:r>
      <w:r w:rsidR="00FA1948" w:rsidRPr="00D7496B">
        <w:rPr>
          <w:rFonts w:ascii="Times New Roman" w:hAnsi="Times New Roman" w:cs="Times New Roman"/>
        </w:rPr>
        <w:t>6</w:t>
      </w:r>
      <w:r w:rsidR="009C6C6E" w:rsidRPr="00D7496B">
        <w:rPr>
          <w:rFonts w:ascii="Times New Roman" w:hAnsi="Times New Roman" w:cs="Times New Roman"/>
        </w:rPr>
        <w:t xml:space="preserve">) </w:t>
      </w:r>
      <w:r w:rsidR="00F15A08" w:rsidRPr="00D7496B">
        <w:rPr>
          <w:rFonts w:ascii="Times New Roman" w:hAnsi="Times New Roman" w:cs="Times New Roman"/>
        </w:rPr>
        <w:t xml:space="preserve">a </w:t>
      </w:r>
      <w:r w:rsidR="009C6C6E" w:rsidRPr="00D7496B">
        <w:rPr>
          <w:rFonts w:ascii="Times New Roman" w:hAnsi="Times New Roman" w:cs="Times New Roman"/>
        </w:rPr>
        <w:t>Form</w:t>
      </w:r>
      <w:r w:rsidR="004B7BAA" w:rsidRPr="00D7496B">
        <w:rPr>
          <w:rFonts w:ascii="Times New Roman" w:hAnsi="Times New Roman" w:cs="Times New Roman"/>
        </w:rPr>
        <w:t>er Participant Case Study with 125</w:t>
      </w:r>
      <w:r w:rsidR="009C6C6E" w:rsidRPr="00D7496B">
        <w:rPr>
          <w:rFonts w:ascii="Times New Roman" w:hAnsi="Times New Roman" w:cs="Times New Roman"/>
        </w:rPr>
        <w:t xml:space="preserve"> inactive WIC program participants who have stopped redeeming WIC benefits</w:t>
      </w:r>
      <w:r w:rsidR="00F15A08" w:rsidRPr="00D7496B">
        <w:rPr>
          <w:rFonts w:ascii="Times New Roman" w:hAnsi="Times New Roman" w:cs="Times New Roman"/>
        </w:rPr>
        <w:t>.</w:t>
      </w:r>
      <w:r w:rsidR="005D5861" w:rsidRPr="00634B09">
        <w:rPr>
          <w:rStyle w:val="FootnoteReference"/>
          <w:rFonts w:ascii="Times New Roman" w:eastAsiaTheme="minorEastAsia" w:hAnsi="Times New Roman"/>
        </w:rPr>
        <w:footnoteReference w:id="7"/>
      </w:r>
      <w:r w:rsidR="009C6C6E" w:rsidRPr="00D7496B">
        <w:rPr>
          <w:rFonts w:ascii="Times New Roman" w:hAnsi="Times New Roman" w:cs="Times New Roman"/>
        </w:rPr>
        <w:t xml:space="preserve"> </w:t>
      </w:r>
    </w:p>
    <w:p w14:paraId="7B68E614" w14:textId="2C558CB8" w:rsidR="00FB732C" w:rsidRPr="00D7496B" w:rsidRDefault="00646D3C" w:rsidP="00963D94">
      <w:pPr>
        <w:ind w:firstLine="720"/>
        <w:rPr>
          <w:szCs w:val="24"/>
        </w:rPr>
      </w:pPr>
      <w:r w:rsidRPr="00D7496B">
        <w:rPr>
          <w:szCs w:val="24"/>
        </w:rPr>
        <w:t>In addition, NSWP-III will pilot a new methodology</w:t>
      </w:r>
      <w:r w:rsidR="00CE72F5" w:rsidRPr="00D7496B">
        <w:rPr>
          <w:szCs w:val="24"/>
        </w:rPr>
        <w:t xml:space="preserve"> in </w:t>
      </w:r>
      <w:r w:rsidR="007D670B">
        <w:rPr>
          <w:szCs w:val="24"/>
        </w:rPr>
        <w:t>Years 2</w:t>
      </w:r>
      <w:r w:rsidR="00C540D2" w:rsidRPr="00D7496B">
        <w:rPr>
          <w:szCs w:val="24"/>
        </w:rPr>
        <w:t xml:space="preserve"> and </w:t>
      </w:r>
      <w:r w:rsidR="007D670B">
        <w:rPr>
          <w:szCs w:val="24"/>
        </w:rPr>
        <w:t>3</w:t>
      </w:r>
      <w:r w:rsidRPr="00D7496B">
        <w:rPr>
          <w:szCs w:val="24"/>
        </w:rPr>
        <w:t xml:space="preserve"> for future annual estimates of improper payments in WIC.</w:t>
      </w:r>
      <w:bookmarkStart w:id="41" w:name="_Toc454266170"/>
      <w:r w:rsidR="00CE72F5" w:rsidRPr="00D7496B">
        <w:rPr>
          <w:szCs w:val="24"/>
        </w:rPr>
        <w:t xml:space="preserve"> Each year</w:t>
      </w:r>
      <w:r w:rsidR="00CE72F5" w:rsidRPr="009103BB">
        <w:rPr>
          <w:szCs w:val="24"/>
        </w:rPr>
        <w:t xml:space="preserve">, the pilot </w:t>
      </w:r>
      <w:r w:rsidR="00EE7D75" w:rsidRPr="009103BB">
        <w:rPr>
          <w:szCs w:val="24"/>
        </w:rPr>
        <w:t>“</w:t>
      </w:r>
      <w:r w:rsidR="00EE7D75">
        <w:rPr>
          <w:szCs w:val="24"/>
        </w:rPr>
        <w:t xml:space="preserve">Next Decade Update” </w:t>
      </w:r>
      <w:r w:rsidR="00CE72F5" w:rsidRPr="00D7496B">
        <w:rPr>
          <w:szCs w:val="24"/>
        </w:rPr>
        <w:t>study will collect information from</w:t>
      </w:r>
      <w:r w:rsidR="003B6ED1">
        <w:rPr>
          <w:szCs w:val="24"/>
        </w:rPr>
        <w:t xml:space="preserve"> </w:t>
      </w:r>
      <w:r w:rsidR="00CE72F5" w:rsidRPr="00D7496B">
        <w:rPr>
          <w:szCs w:val="24"/>
        </w:rPr>
        <w:t>1</w:t>
      </w:r>
      <w:r w:rsidR="00EE7D75">
        <w:rPr>
          <w:szCs w:val="24"/>
        </w:rPr>
        <w:t>6</w:t>
      </w:r>
      <w:r w:rsidR="00CE72F5" w:rsidRPr="00D7496B">
        <w:rPr>
          <w:szCs w:val="24"/>
        </w:rPr>
        <w:t xml:space="preserve">0 recently certified WIC participants and 19 </w:t>
      </w:r>
      <w:r w:rsidR="00DE0FA3" w:rsidRPr="00D7496B">
        <w:rPr>
          <w:szCs w:val="24"/>
        </w:rPr>
        <w:t xml:space="preserve">denied </w:t>
      </w:r>
      <w:r w:rsidR="00CE72F5" w:rsidRPr="00D7496B">
        <w:rPr>
          <w:szCs w:val="24"/>
        </w:rPr>
        <w:t>WIC applicants.</w:t>
      </w:r>
      <w:r w:rsidR="00406C61" w:rsidRPr="00D7496B">
        <w:rPr>
          <w:szCs w:val="24"/>
        </w:rPr>
        <w:t xml:space="preserve"> </w:t>
      </w:r>
    </w:p>
    <w:p w14:paraId="7F6F33E4" w14:textId="292ABFDD" w:rsidR="008A6038" w:rsidRPr="00D7496B" w:rsidRDefault="008A6038" w:rsidP="00963D94">
      <w:pPr>
        <w:ind w:firstLine="720"/>
        <w:rPr>
          <w:szCs w:val="24"/>
        </w:rPr>
      </w:pPr>
      <w:bookmarkStart w:id="42" w:name="_Hlk497147260"/>
      <w:bookmarkStart w:id="43" w:name="_Hlk497147185"/>
      <w:r w:rsidRPr="00D7496B">
        <w:rPr>
          <w:szCs w:val="24"/>
        </w:rPr>
        <w:t>State and local WIC agency directors</w:t>
      </w:r>
      <w:bookmarkEnd w:id="42"/>
      <w:r w:rsidRPr="00D7496B">
        <w:rPr>
          <w:szCs w:val="24"/>
        </w:rPr>
        <w:t xml:space="preserve"> are required to cooperate in the surveys</w:t>
      </w:r>
      <w:r w:rsidR="009F3C4F">
        <w:rPr>
          <w:szCs w:val="24"/>
        </w:rPr>
        <w:t xml:space="preserve"> </w:t>
      </w:r>
      <w:bookmarkEnd w:id="43"/>
      <w:r w:rsidR="00D66E3B">
        <w:rPr>
          <w:szCs w:val="24"/>
        </w:rPr>
        <w:t xml:space="preserve">as specified in </w:t>
      </w:r>
      <w:r w:rsidR="002F529F">
        <w:rPr>
          <w:szCs w:val="24"/>
        </w:rPr>
        <w:t>the Code of Federal Regulations § 215.11</w:t>
      </w:r>
      <w:r w:rsidR="00382968">
        <w:rPr>
          <w:szCs w:val="24"/>
        </w:rPr>
        <w:t xml:space="preserve"> and </w:t>
      </w:r>
      <w:r w:rsidR="00382968" w:rsidRPr="00382968">
        <w:rPr>
          <w:szCs w:val="24"/>
        </w:rPr>
        <w:t>Section 28 of the Richard B Russe</w:t>
      </w:r>
      <w:r w:rsidR="009D5EAB">
        <w:rPr>
          <w:szCs w:val="24"/>
        </w:rPr>
        <w:t>l</w:t>
      </w:r>
      <w:r w:rsidR="00382968" w:rsidRPr="00382968">
        <w:rPr>
          <w:szCs w:val="24"/>
        </w:rPr>
        <w:t xml:space="preserve">l National School Lunch Act as </w:t>
      </w:r>
      <w:r w:rsidR="00382968">
        <w:rPr>
          <w:szCs w:val="24"/>
        </w:rPr>
        <w:t>a</w:t>
      </w:r>
      <w:r w:rsidR="00382968" w:rsidRPr="00382968">
        <w:rPr>
          <w:szCs w:val="24"/>
        </w:rPr>
        <w:t xml:space="preserve">mended by </w:t>
      </w:r>
      <w:r w:rsidR="00382968">
        <w:rPr>
          <w:szCs w:val="24"/>
        </w:rPr>
        <w:t xml:space="preserve">the </w:t>
      </w:r>
      <w:bookmarkStart w:id="44" w:name="_Hlk499114702"/>
      <w:r w:rsidR="00382968" w:rsidRPr="00382968">
        <w:rPr>
          <w:szCs w:val="24"/>
        </w:rPr>
        <w:t xml:space="preserve">Healthy, Hunger-Free Kids Act of 2010 </w:t>
      </w:r>
      <w:bookmarkEnd w:id="44"/>
      <w:r w:rsidR="00382968" w:rsidRPr="00382968">
        <w:rPr>
          <w:szCs w:val="24"/>
        </w:rPr>
        <w:t>(HHFKA)</w:t>
      </w:r>
      <w:r w:rsidR="004F1DE9">
        <w:rPr>
          <w:szCs w:val="24"/>
        </w:rPr>
        <w:t xml:space="preserve"> </w:t>
      </w:r>
      <w:r w:rsidR="009F3C4F">
        <w:rPr>
          <w:szCs w:val="24"/>
        </w:rPr>
        <w:t>(Appendi</w:t>
      </w:r>
      <w:r w:rsidR="00382968">
        <w:rPr>
          <w:szCs w:val="24"/>
        </w:rPr>
        <w:t>ces</w:t>
      </w:r>
      <w:r w:rsidR="009F3C4F">
        <w:rPr>
          <w:szCs w:val="24"/>
        </w:rPr>
        <w:t xml:space="preserve"> </w:t>
      </w:r>
      <w:r w:rsidR="00E81DD0">
        <w:rPr>
          <w:szCs w:val="24"/>
        </w:rPr>
        <w:t>A</w:t>
      </w:r>
      <w:r w:rsidR="00382968">
        <w:rPr>
          <w:szCs w:val="24"/>
        </w:rPr>
        <w:t xml:space="preserve">6 and </w:t>
      </w:r>
      <w:r w:rsidR="009D5EAB">
        <w:rPr>
          <w:szCs w:val="24"/>
        </w:rPr>
        <w:t>A</w:t>
      </w:r>
      <w:r w:rsidR="00382968" w:rsidRPr="00382968">
        <w:rPr>
          <w:rStyle w:val="CommentReference"/>
          <w:rFonts w:eastAsiaTheme="minorHAnsi"/>
          <w:sz w:val="24"/>
          <w:szCs w:val="24"/>
        </w:rPr>
        <w:t>9</w:t>
      </w:r>
      <w:r w:rsidR="009F3C4F">
        <w:rPr>
          <w:szCs w:val="24"/>
        </w:rPr>
        <w:t>)</w:t>
      </w:r>
      <w:r w:rsidRPr="00D7496B">
        <w:rPr>
          <w:szCs w:val="24"/>
        </w:rPr>
        <w:t xml:space="preserve">. </w:t>
      </w:r>
      <w:r w:rsidR="00EB5194" w:rsidRPr="00EB5194">
        <w:rPr>
          <w:szCs w:val="24"/>
        </w:rPr>
        <w:t>FNS interprets this mandate to mean that information collections from WIC SAs</w:t>
      </w:r>
      <w:r w:rsidR="00EB5194">
        <w:rPr>
          <w:szCs w:val="24"/>
        </w:rPr>
        <w:t xml:space="preserve"> and LAs</w:t>
      </w:r>
      <w:r w:rsidR="00EB5194" w:rsidRPr="00EB5194">
        <w:rPr>
          <w:szCs w:val="24"/>
        </w:rPr>
        <w:t xml:space="preserve">, who receive Federal program funding, are mandatory. </w:t>
      </w:r>
      <w:r w:rsidR="00B02485">
        <w:rPr>
          <w:szCs w:val="24"/>
        </w:rPr>
        <w:t xml:space="preserve">However, State and local programs will not be penalized for non-participation. </w:t>
      </w:r>
      <w:r w:rsidRPr="00D7496B">
        <w:rPr>
          <w:szCs w:val="24"/>
        </w:rPr>
        <w:t>Participation by current and former WIC program participants and recently denied WIC applicants is voluntary</w:t>
      </w:r>
      <w:r w:rsidR="00045D37" w:rsidRPr="00D7496B">
        <w:rPr>
          <w:szCs w:val="24"/>
        </w:rPr>
        <w:t xml:space="preserve"> and will not impact receipt of any benefits. The information collected from this study may be shared with other departments within the USDA and the government (as determined by FNS).</w:t>
      </w:r>
    </w:p>
    <w:p w14:paraId="47BE0C93" w14:textId="5163AB4A" w:rsidR="00A61CFB" w:rsidRPr="00D7496B" w:rsidRDefault="009C6C6E" w:rsidP="009D5B7F">
      <w:pPr>
        <w:widowControl w:val="0"/>
        <w:ind w:firstLine="720"/>
        <w:rPr>
          <w:rFonts w:eastAsiaTheme="minorEastAsia"/>
          <w:szCs w:val="24"/>
        </w:rPr>
      </w:pPr>
      <w:r w:rsidRPr="005025A1">
        <w:rPr>
          <w:b/>
        </w:rPr>
        <w:t>State Agency</w:t>
      </w:r>
      <w:r w:rsidR="005A7D08" w:rsidRPr="005025A1">
        <w:rPr>
          <w:b/>
        </w:rPr>
        <w:t xml:space="preserve"> Survey</w:t>
      </w:r>
      <w:bookmarkEnd w:id="41"/>
      <w:r w:rsidR="00D7496B" w:rsidRPr="005025A1">
        <w:rPr>
          <w:b/>
          <w:szCs w:val="24"/>
        </w:rPr>
        <w:t xml:space="preserve">. </w:t>
      </w:r>
      <w:r w:rsidR="00997E90" w:rsidRPr="00D7496B">
        <w:rPr>
          <w:rFonts w:eastAsiaTheme="minorEastAsia"/>
          <w:szCs w:val="24"/>
        </w:rPr>
        <w:t xml:space="preserve">Federal guidelines grant SAs substantial authority to determine the State’s WIC Program operations and procedures, including providing guidance to LAs on implementing procedures to determine an applicant’s eligibility, negotiating and determining food options, establishing application and payment procedures, and establishing program data </w:t>
      </w:r>
      <w:r w:rsidR="00997E90" w:rsidRPr="007C5A72">
        <w:rPr>
          <w:rFonts w:eastAsiaTheme="minorEastAsia"/>
        </w:rPr>
        <w:t>management systems and procedures. The State</w:t>
      </w:r>
      <w:r w:rsidR="00997E90">
        <w:rPr>
          <w:rFonts w:eastAsiaTheme="minorEastAsia"/>
        </w:rPr>
        <w:t xml:space="preserve"> Agency</w:t>
      </w:r>
      <w:r w:rsidR="00997E90" w:rsidRPr="007C5A72">
        <w:rPr>
          <w:rFonts w:eastAsiaTheme="minorEastAsia"/>
        </w:rPr>
        <w:t xml:space="preserve"> </w:t>
      </w:r>
      <w:r w:rsidR="00997E90" w:rsidRPr="00E3349A">
        <w:rPr>
          <w:rFonts w:eastAsiaTheme="minorEastAsia"/>
        </w:rPr>
        <w:t>Survey</w:t>
      </w:r>
      <w:r w:rsidR="00A61CFB" w:rsidRPr="00E3349A">
        <w:rPr>
          <w:rFonts w:eastAsiaTheme="minorEastAsia"/>
        </w:rPr>
        <w:t xml:space="preserve"> (Appendix </w:t>
      </w:r>
      <w:r w:rsidR="0058623B" w:rsidRPr="00E3349A">
        <w:rPr>
          <w:rFonts w:eastAsiaTheme="minorEastAsia"/>
        </w:rPr>
        <w:t>B</w:t>
      </w:r>
      <w:r w:rsidR="00A61CFB" w:rsidRPr="00E3349A">
        <w:rPr>
          <w:rFonts w:eastAsiaTheme="minorEastAsia"/>
        </w:rPr>
        <w:t>1</w:t>
      </w:r>
      <w:r w:rsidR="00766413">
        <w:rPr>
          <w:rFonts w:eastAsiaTheme="minorEastAsia"/>
        </w:rPr>
        <w:t>.a and B1.b (version with screen shots)</w:t>
      </w:r>
      <w:r w:rsidR="00A61CFB" w:rsidRPr="00E3349A">
        <w:rPr>
          <w:rFonts w:eastAsiaTheme="minorEastAsia"/>
        </w:rPr>
        <w:t>)</w:t>
      </w:r>
      <w:r w:rsidR="00997E90" w:rsidRPr="00E3349A">
        <w:rPr>
          <w:rFonts w:eastAsiaTheme="minorEastAsia"/>
        </w:rPr>
        <w:t xml:space="preserve"> is designed</w:t>
      </w:r>
      <w:r w:rsidR="00997E90" w:rsidRPr="007C5A72">
        <w:rPr>
          <w:rFonts w:eastAsiaTheme="minorEastAsia"/>
        </w:rPr>
        <w:t xml:space="preserve"> to </w:t>
      </w:r>
      <w:r w:rsidR="00997E90" w:rsidRPr="00D7496B">
        <w:rPr>
          <w:rFonts w:eastAsiaTheme="minorEastAsia"/>
          <w:szCs w:val="24"/>
        </w:rPr>
        <w:t xml:space="preserve">identify </w:t>
      </w:r>
      <w:r w:rsidR="00400001" w:rsidRPr="00D7496B">
        <w:rPr>
          <w:rFonts w:eastAsiaTheme="minorEastAsia"/>
          <w:szCs w:val="24"/>
        </w:rPr>
        <w:t xml:space="preserve">certification-related </w:t>
      </w:r>
      <w:r w:rsidR="00997E90" w:rsidRPr="00D7496B">
        <w:rPr>
          <w:rFonts w:eastAsiaTheme="minorEastAsia"/>
          <w:szCs w:val="24"/>
        </w:rPr>
        <w:t xml:space="preserve">policies and practices that each WIC SA has established under these discretionary powers and to enable comparisons of their potential effects. </w:t>
      </w:r>
      <w:r w:rsidR="00C43178" w:rsidRPr="00D7496B">
        <w:rPr>
          <w:rFonts w:eastAsiaTheme="minorEastAsia"/>
          <w:szCs w:val="24"/>
        </w:rPr>
        <w:t xml:space="preserve">The data collection from this survey will be used to determine the association between SA policies and the national certification error rate. </w:t>
      </w:r>
      <w:r w:rsidR="00997E90" w:rsidRPr="00D7496B">
        <w:rPr>
          <w:rFonts w:eastAsiaTheme="minorEastAsia"/>
          <w:szCs w:val="24"/>
        </w:rPr>
        <w:t>The State Agency Survey was created by incorporating and modifying questions from NSWP-II. Some questions are new to the NSWP-III survey</w:t>
      </w:r>
      <w:r w:rsidR="00B62826">
        <w:rPr>
          <w:rFonts w:eastAsiaTheme="minorEastAsia"/>
          <w:szCs w:val="24"/>
        </w:rPr>
        <w:t>;</w:t>
      </w:r>
      <w:r w:rsidR="00997E90" w:rsidRPr="00D7496B">
        <w:rPr>
          <w:rFonts w:eastAsiaTheme="minorEastAsia"/>
          <w:szCs w:val="24"/>
        </w:rPr>
        <w:t xml:space="preserve"> some NSWP-II questions have been dropped due to changes in the program since the prior study was conducted, and other questions have been dropped because they were outside the scope of research questions detailed in the </w:t>
      </w:r>
      <w:r w:rsidR="00DE69E3" w:rsidRPr="00D7496B">
        <w:rPr>
          <w:rFonts w:eastAsiaTheme="minorEastAsia"/>
          <w:szCs w:val="24"/>
        </w:rPr>
        <w:t xml:space="preserve">NSWP-III </w:t>
      </w:r>
      <w:r w:rsidR="00997E90" w:rsidRPr="00D7496B">
        <w:rPr>
          <w:rFonts w:eastAsiaTheme="minorEastAsia"/>
          <w:szCs w:val="24"/>
        </w:rPr>
        <w:t>Performance Work Statement (PWS).</w:t>
      </w:r>
      <w:r w:rsidR="00B424BF" w:rsidRPr="00D7496B">
        <w:rPr>
          <w:rFonts w:eastAsiaTheme="minorEastAsia"/>
          <w:szCs w:val="24"/>
        </w:rPr>
        <w:t xml:space="preserve"> The State Agency Survey will be administered </w:t>
      </w:r>
      <w:r w:rsidR="000E47FD" w:rsidRPr="00D7496B">
        <w:rPr>
          <w:rFonts w:eastAsiaTheme="minorEastAsia"/>
          <w:szCs w:val="24"/>
        </w:rPr>
        <w:t>on</w:t>
      </w:r>
      <w:r w:rsidR="00414A84" w:rsidRPr="00D7496B">
        <w:rPr>
          <w:rFonts w:eastAsiaTheme="minorEastAsia"/>
          <w:szCs w:val="24"/>
        </w:rPr>
        <w:t>e time</w:t>
      </w:r>
      <w:r w:rsidR="000E47FD" w:rsidRPr="00D7496B">
        <w:rPr>
          <w:rFonts w:eastAsiaTheme="minorEastAsia"/>
          <w:szCs w:val="24"/>
        </w:rPr>
        <w:t xml:space="preserve"> </w:t>
      </w:r>
      <w:r w:rsidR="00B424BF" w:rsidRPr="00D7496B">
        <w:rPr>
          <w:rFonts w:eastAsiaTheme="minorEastAsia"/>
          <w:szCs w:val="24"/>
        </w:rPr>
        <w:t xml:space="preserve">to the </w:t>
      </w:r>
      <w:r w:rsidR="00DE69E3" w:rsidRPr="00D7496B">
        <w:rPr>
          <w:rFonts w:eastAsiaTheme="minorEastAsia"/>
          <w:szCs w:val="24"/>
        </w:rPr>
        <w:t>SA</w:t>
      </w:r>
      <w:r w:rsidR="00B424BF" w:rsidRPr="00D7496B">
        <w:rPr>
          <w:rFonts w:eastAsiaTheme="minorEastAsia"/>
          <w:szCs w:val="24"/>
        </w:rPr>
        <w:t xml:space="preserve"> directors of the 50 States, including the District of Columbia, 34 ITOs, and 5 U.S. Territories. </w:t>
      </w:r>
      <w:r w:rsidR="009263ED" w:rsidRPr="00D7496B">
        <w:rPr>
          <w:rFonts w:eastAsiaTheme="minorEastAsia"/>
          <w:szCs w:val="24"/>
        </w:rPr>
        <w:t xml:space="preserve">The instrument will </w:t>
      </w:r>
      <w:r w:rsidR="009263ED" w:rsidRPr="005A551C">
        <w:rPr>
          <w:rFonts w:eastAsiaTheme="minorEastAsia"/>
          <w:szCs w:val="24"/>
        </w:rPr>
        <w:t xml:space="preserve">be administered </w:t>
      </w:r>
      <w:r w:rsidR="004B421E">
        <w:rPr>
          <w:rFonts w:eastAsiaTheme="minorEastAsia"/>
          <w:szCs w:val="24"/>
        </w:rPr>
        <w:t>by</w:t>
      </w:r>
      <w:r w:rsidR="009263ED" w:rsidRPr="005A551C">
        <w:rPr>
          <w:rFonts w:eastAsiaTheme="minorEastAsia"/>
          <w:szCs w:val="24"/>
        </w:rPr>
        <w:t xml:space="preserve"> email</w:t>
      </w:r>
      <w:r w:rsidR="001130FD" w:rsidRPr="00D7496B">
        <w:rPr>
          <w:rFonts w:eastAsiaTheme="minorEastAsia"/>
          <w:szCs w:val="24"/>
        </w:rPr>
        <w:t xml:space="preserve"> </w:t>
      </w:r>
      <w:r w:rsidR="004B421E">
        <w:rPr>
          <w:rFonts w:eastAsiaTheme="minorEastAsia"/>
          <w:szCs w:val="24"/>
        </w:rPr>
        <w:t>that includes an</w:t>
      </w:r>
      <w:r w:rsidR="001130FD" w:rsidRPr="00D7496B">
        <w:rPr>
          <w:rFonts w:eastAsiaTheme="minorEastAsia"/>
          <w:szCs w:val="24"/>
        </w:rPr>
        <w:t xml:space="preserve"> online survey link.</w:t>
      </w:r>
      <w:r w:rsidR="003E7649" w:rsidRPr="00D7496B">
        <w:rPr>
          <w:rFonts w:eastAsiaTheme="minorEastAsia"/>
          <w:szCs w:val="24"/>
        </w:rPr>
        <w:t xml:space="preserve"> </w:t>
      </w:r>
      <w:bookmarkStart w:id="45" w:name="_Hlk497577161"/>
      <w:r w:rsidR="00796705">
        <w:rPr>
          <w:rFonts w:eastAsiaTheme="minorEastAsia"/>
          <w:szCs w:val="24"/>
        </w:rPr>
        <w:t xml:space="preserve">The </w:t>
      </w:r>
      <w:r w:rsidR="00E13911">
        <w:rPr>
          <w:rFonts w:eastAsiaTheme="minorEastAsia"/>
          <w:szCs w:val="24"/>
        </w:rPr>
        <w:t xml:space="preserve">online </w:t>
      </w:r>
      <w:r w:rsidR="00796705">
        <w:rPr>
          <w:rFonts w:eastAsiaTheme="minorEastAsia"/>
          <w:szCs w:val="24"/>
        </w:rPr>
        <w:t>survey will be programmed with skip patterns and</w:t>
      </w:r>
      <w:r w:rsidR="00E13911">
        <w:rPr>
          <w:rFonts w:eastAsiaTheme="minorEastAsia"/>
          <w:szCs w:val="24"/>
        </w:rPr>
        <w:t xml:space="preserve"> auto-filling where applicable. </w:t>
      </w:r>
      <w:bookmarkEnd w:id="45"/>
      <w:r w:rsidR="003E7649" w:rsidRPr="00D7496B">
        <w:rPr>
          <w:rFonts w:eastAsiaTheme="minorEastAsia"/>
          <w:szCs w:val="24"/>
        </w:rPr>
        <w:t>The respondent will be expected to complete the State Agency Survey</w:t>
      </w:r>
      <w:r w:rsidR="001D0CE1" w:rsidRPr="00D7496B">
        <w:rPr>
          <w:rFonts w:eastAsiaTheme="minorEastAsia"/>
          <w:szCs w:val="24"/>
        </w:rPr>
        <w:t>, administered by FNS,</w:t>
      </w:r>
      <w:r w:rsidR="003E7649" w:rsidRPr="00D7496B">
        <w:rPr>
          <w:rFonts w:eastAsiaTheme="minorEastAsia"/>
          <w:szCs w:val="24"/>
        </w:rPr>
        <w:t xml:space="preserve"> using </w:t>
      </w:r>
      <w:r w:rsidR="004B421E">
        <w:rPr>
          <w:rFonts w:eastAsiaTheme="minorEastAsia"/>
          <w:szCs w:val="24"/>
        </w:rPr>
        <w:t>the web link provided</w:t>
      </w:r>
      <w:r w:rsidR="003E7649" w:rsidRPr="00D7496B">
        <w:rPr>
          <w:rFonts w:eastAsiaTheme="minorEastAsia"/>
          <w:szCs w:val="24"/>
        </w:rPr>
        <w:t>.</w:t>
      </w:r>
      <w:r w:rsidR="00766413">
        <w:rPr>
          <w:rFonts w:eastAsiaTheme="minorEastAsia"/>
          <w:szCs w:val="24"/>
        </w:rPr>
        <w:t xml:space="preserve"> </w:t>
      </w:r>
      <w:bookmarkStart w:id="46" w:name="_Hlk497869867"/>
      <w:r w:rsidR="00766413">
        <w:rPr>
          <w:rFonts w:eastAsiaTheme="minorEastAsia"/>
          <w:szCs w:val="24"/>
        </w:rPr>
        <w:t>The respondent will be mailed a hard-copy of the survey with the option to complete by hand and return by mail or fax. The estimated time to complete the hardcopy and online version is not expected to differ</w:t>
      </w:r>
      <w:bookmarkEnd w:id="46"/>
      <w:r w:rsidR="004F1DE9">
        <w:rPr>
          <w:rFonts w:eastAsiaTheme="minorEastAsia"/>
          <w:szCs w:val="24"/>
        </w:rPr>
        <w:t xml:space="preserve">. </w:t>
      </w:r>
      <w:r w:rsidR="00606D18" w:rsidRPr="00D7496B">
        <w:rPr>
          <w:rFonts w:eastAsiaTheme="minorEastAsia"/>
          <w:szCs w:val="24"/>
        </w:rPr>
        <w:t>FNS will provide contact information for S</w:t>
      </w:r>
      <w:r w:rsidR="00111807" w:rsidRPr="00D7496B">
        <w:rPr>
          <w:rFonts w:eastAsiaTheme="minorEastAsia"/>
          <w:szCs w:val="24"/>
        </w:rPr>
        <w:t>A</w:t>
      </w:r>
      <w:r w:rsidR="00606D18" w:rsidRPr="00D7496B">
        <w:rPr>
          <w:rFonts w:eastAsiaTheme="minorEastAsia"/>
          <w:szCs w:val="24"/>
        </w:rPr>
        <w:t xml:space="preserve"> directors. </w:t>
      </w:r>
    </w:p>
    <w:p w14:paraId="38738D2C" w14:textId="60058E0C" w:rsidR="00930546" w:rsidRPr="00BE20BE" w:rsidRDefault="009C6C6E" w:rsidP="009D5B7F">
      <w:pPr>
        <w:widowControl w:val="0"/>
        <w:ind w:firstLine="720"/>
        <w:rPr>
          <w:rFonts w:eastAsiaTheme="minorEastAsia"/>
        </w:rPr>
      </w:pPr>
      <w:r w:rsidRPr="005025A1">
        <w:rPr>
          <w:b/>
        </w:rPr>
        <w:t>Local Agency Survey</w:t>
      </w:r>
      <w:r w:rsidR="00D7496B" w:rsidRPr="005025A1">
        <w:rPr>
          <w:rFonts w:eastAsia="Calibri"/>
          <w:b/>
          <w:szCs w:val="24"/>
        </w:rPr>
        <w:t xml:space="preserve">. </w:t>
      </w:r>
      <w:r w:rsidR="00256ED2" w:rsidRPr="00D7496B">
        <w:rPr>
          <w:rFonts w:eastAsia="Calibri"/>
          <w:szCs w:val="24"/>
        </w:rPr>
        <w:t xml:space="preserve">The </w:t>
      </w:r>
      <w:r w:rsidR="00687859" w:rsidRPr="00D7496B">
        <w:rPr>
          <w:rFonts w:eastAsia="Calibri"/>
          <w:szCs w:val="24"/>
        </w:rPr>
        <w:t xml:space="preserve">purpose of the </w:t>
      </w:r>
      <w:r w:rsidR="00256ED2" w:rsidRPr="00D7496B">
        <w:rPr>
          <w:rFonts w:eastAsia="Calibri"/>
          <w:szCs w:val="24"/>
        </w:rPr>
        <w:t xml:space="preserve">Local Agency Survey </w:t>
      </w:r>
      <w:r w:rsidR="00687859" w:rsidRPr="00D7496B">
        <w:rPr>
          <w:rFonts w:eastAsia="Calibri"/>
          <w:szCs w:val="24"/>
        </w:rPr>
        <w:t xml:space="preserve">is to </w:t>
      </w:r>
      <w:r w:rsidR="00F11CAD">
        <w:rPr>
          <w:rFonts w:eastAsia="Calibri"/>
          <w:szCs w:val="24"/>
        </w:rPr>
        <w:t>examine</w:t>
      </w:r>
      <w:r w:rsidR="00694428">
        <w:rPr>
          <w:rFonts w:eastAsia="Calibri"/>
        </w:rPr>
        <w:t xml:space="preserve"> </w:t>
      </w:r>
      <w:r w:rsidR="00256ED2" w:rsidRPr="00D7496B">
        <w:rPr>
          <w:rFonts w:eastAsia="Calibri"/>
          <w:szCs w:val="24"/>
        </w:rPr>
        <w:t xml:space="preserve">the infrastructure of the WIC agency, including </w:t>
      </w:r>
      <w:r w:rsidR="00694428">
        <w:rPr>
          <w:rFonts w:eastAsia="Calibri"/>
        </w:rPr>
        <w:t>the</w:t>
      </w:r>
      <w:r w:rsidR="00256ED2" w:rsidRPr="007C5A72">
        <w:rPr>
          <w:rFonts w:eastAsia="Calibri"/>
        </w:rPr>
        <w:t xml:space="preserve"> </w:t>
      </w:r>
      <w:r w:rsidR="00256ED2" w:rsidRPr="00D7496B">
        <w:rPr>
          <w:rFonts w:eastAsia="Calibri"/>
          <w:szCs w:val="24"/>
        </w:rPr>
        <w:t>structure of the agency, clinics and sites under the LA, income eligibility procedures, certification procedures, and food instrument or food distribution procedures</w:t>
      </w:r>
      <w:r w:rsidR="00A2072C">
        <w:rPr>
          <w:rFonts w:eastAsia="Calibri"/>
          <w:szCs w:val="24"/>
        </w:rPr>
        <w:t xml:space="preserve"> </w:t>
      </w:r>
      <w:r w:rsidR="00256ED2" w:rsidRPr="00D7496B">
        <w:rPr>
          <w:rFonts w:eastAsia="Calibri"/>
          <w:szCs w:val="24"/>
        </w:rPr>
        <w:t xml:space="preserve">at their sites. These questions will </w:t>
      </w:r>
      <w:r w:rsidR="00694428">
        <w:rPr>
          <w:rFonts w:eastAsia="Calibri"/>
        </w:rPr>
        <w:t xml:space="preserve">determine what kind of </w:t>
      </w:r>
      <w:r w:rsidR="00256ED2" w:rsidRPr="00D7496B">
        <w:rPr>
          <w:rFonts w:eastAsia="Calibri"/>
          <w:szCs w:val="24"/>
        </w:rPr>
        <w:t xml:space="preserve">heterogeneity </w:t>
      </w:r>
      <w:r w:rsidR="00694428">
        <w:rPr>
          <w:rFonts w:eastAsia="Calibri"/>
        </w:rPr>
        <w:t xml:space="preserve">exists </w:t>
      </w:r>
      <w:r w:rsidR="00256ED2" w:rsidRPr="00D7496B">
        <w:rPr>
          <w:rFonts w:eastAsia="Calibri"/>
          <w:szCs w:val="24"/>
        </w:rPr>
        <w:t xml:space="preserve">in </w:t>
      </w:r>
      <w:r w:rsidR="00694428">
        <w:rPr>
          <w:rFonts w:eastAsia="Calibri"/>
        </w:rPr>
        <w:t xml:space="preserve">these </w:t>
      </w:r>
      <w:r w:rsidR="00694428" w:rsidRPr="00295145">
        <w:rPr>
          <w:rFonts w:eastAsia="Calibri"/>
        </w:rPr>
        <w:t>kinds of</w:t>
      </w:r>
      <w:r w:rsidR="00256ED2" w:rsidRPr="00295145">
        <w:rPr>
          <w:rFonts w:eastAsia="Calibri"/>
          <w:szCs w:val="24"/>
        </w:rPr>
        <w:t xml:space="preserve"> </w:t>
      </w:r>
      <w:r w:rsidR="00BC401B" w:rsidRPr="00295145">
        <w:rPr>
          <w:rFonts w:eastAsia="Calibri"/>
          <w:szCs w:val="24"/>
        </w:rPr>
        <w:t xml:space="preserve">certification-related </w:t>
      </w:r>
      <w:r w:rsidR="00256ED2" w:rsidRPr="00295145">
        <w:rPr>
          <w:rFonts w:eastAsia="Calibri"/>
          <w:szCs w:val="24"/>
        </w:rPr>
        <w:t xml:space="preserve">policies and practices across the nation. The Local Agency </w:t>
      </w:r>
      <w:r w:rsidR="00256ED2" w:rsidRPr="00E3349A">
        <w:rPr>
          <w:rFonts w:eastAsia="Calibri"/>
          <w:szCs w:val="24"/>
        </w:rPr>
        <w:t xml:space="preserve">Survey </w:t>
      </w:r>
      <w:r w:rsidR="00930546" w:rsidRPr="00E3349A">
        <w:rPr>
          <w:rFonts w:eastAsiaTheme="minorEastAsia"/>
          <w:szCs w:val="24"/>
        </w:rPr>
        <w:t xml:space="preserve">(Appendix </w:t>
      </w:r>
      <w:r w:rsidR="0058623B" w:rsidRPr="00E3349A">
        <w:rPr>
          <w:rFonts w:eastAsiaTheme="minorEastAsia"/>
          <w:szCs w:val="24"/>
        </w:rPr>
        <w:t>B</w:t>
      </w:r>
      <w:r w:rsidR="00930546" w:rsidRPr="00E3349A">
        <w:rPr>
          <w:rFonts w:eastAsiaTheme="minorEastAsia"/>
          <w:szCs w:val="24"/>
        </w:rPr>
        <w:t>2</w:t>
      </w:r>
      <w:r w:rsidR="00766413">
        <w:rPr>
          <w:rFonts w:eastAsiaTheme="minorEastAsia"/>
          <w:szCs w:val="24"/>
        </w:rPr>
        <w:t>.a and B2.b (version with screenshots)</w:t>
      </w:r>
      <w:r w:rsidR="00930546" w:rsidRPr="00E3349A">
        <w:rPr>
          <w:rFonts w:eastAsiaTheme="minorEastAsia"/>
          <w:szCs w:val="24"/>
        </w:rPr>
        <w:t>)</w:t>
      </w:r>
      <w:r w:rsidR="00930546" w:rsidRPr="00295145">
        <w:rPr>
          <w:rFonts w:eastAsiaTheme="minorEastAsia"/>
          <w:szCs w:val="24"/>
        </w:rPr>
        <w:t xml:space="preserve"> </w:t>
      </w:r>
      <w:r w:rsidR="00256ED2" w:rsidRPr="00295145">
        <w:rPr>
          <w:rFonts w:eastAsia="Calibri"/>
          <w:szCs w:val="24"/>
        </w:rPr>
        <w:t>was</w:t>
      </w:r>
      <w:r w:rsidR="00256ED2" w:rsidRPr="00D7496B">
        <w:rPr>
          <w:rFonts w:eastAsia="Calibri"/>
          <w:szCs w:val="24"/>
        </w:rPr>
        <w:t xml:space="preserve"> created by incorporating and modifying questions from NSWP-II. Some questions are new to the NSWP-III survey</w:t>
      </w:r>
      <w:r w:rsidR="00B62826">
        <w:rPr>
          <w:rFonts w:eastAsia="Calibri"/>
          <w:szCs w:val="24"/>
        </w:rPr>
        <w:t>;</w:t>
      </w:r>
      <w:r w:rsidR="00256ED2" w:rsidRPr="00D7496B">
        <w:rPr>
          <w:rFonts w:eastAsia="Calibri"/>
          <w:szCs w:val="24"/>
        </w:rPr>
        <w:t xml:space="preserve"> </w:t>
      </w:r>
      <w:r w:rsidR="00256ED2" w:rsidRPr="00D7496B">
        <w:rPr>
          <w:rFonts w:eastAsiaTheme="minorEastAsia"/>
          <w:szCs w:val="24"/>
        </w:rPr>
        <w:t xml:space="preserve">some NSWP-II questions have been dropped due to changes in the program since the prior study was </w:t>
      </w:r>
      <w:r w:rsidR="00256ED2">
        <w:rPr>
          <w:rFonts w:eastAsiaTheme="minorEastAsia"/>
        </w:rPr>
        <w:t>conducted,</w:t>
      </w:r>
      <w:r w:rsidR="00256ED2">
        <w:rPr>
          <w:rFonts w:eastAsia="Calibri"/>
        </w:rPr>
        <w:t xml:space="preserve"> </w:t>
      </w:r>
      <w:r w:rsidR="00256ED2">
        <w:rPr>
          <w:rFonts w:eastAsiaTheme="minorEastAsia"/>
        </w:rPr>
        <w:t>and other questions have been dropped because they were outside the scope of research questions detailed in the PWS.</w:t>
      </w:r>
      <w:r w:rsidR="00B424BF">
        <w:rPr>
          <w:rFonts w:eastAsiaTheme="minorEastAsia"/>
        </w:rPr>
        <w:t xml:space="preserve"> </w:t>
      </w:r>
      <w:r w:rsidR="00B424BF" w:rsidRPr="00B424BF">
        <w:rPr>
          <w:rFonts w:eastAsiaTheme="minorEastAsia"/>
        </w:rPr>
        <w:t>The Local</w:t>
      </w:r>
      <w:r w:rsidR="000B3F62">
        <w:rPr>
          <w:rFonts w:eastAsiaTheme="minorEastAsia"/>
        </w:rPr>
        <w:t xml:space="preserve"> </w:t>
      </w:r>
      <w:r w:rsidR="00B424BF" w:rsidRPr="00B424BF">
        <w:rPr>
          <w:rFonts w:eastAsiaTheme="minorEastAsia"/>
        </w:rPr>
        <w:t>Agency Survey</w:t>
      </w:r>
      <w:r w:rsidR="00B424BF">
        <w:rPr>
          <w:rFonts w:eastAsiaTheme="minorEastAsia"/>
        </w:rPr>
        <w:t xml:space="preserve"> will be a</w:t>
      </w:r>
      <w:r w:rsidR="00A9257E">
        <w:rPr>
          <w:rFonts w:eastAsiaTheme="minorEastAsia"/>
        </w:rPr>
        <w:t>dministered</w:t>
      </w:r>
      <w:r w:rsidR="00B424BF">
        <w:rPr>
          <w:rFonts w:eastAsiaTheme="minorEastAsia"/>
        </w:rPr>
        <w:t xml:space="preserve"> </w:t>
      </w:r>
      <w:r w:rsidR="00414A84">
        <w:rPr>
          <w:rFonts w:eastAsiaTheme="minorEastAsia"/>
        </w:rPr>
        <w:t xml:space="preserve">one time </w:t>
      </w:r>
      <w:r w:rsidR="00B424BF">
        <w:rPr>
          <w:rFonts w:eastAsiaTheme="minorEastAsia"/>
        </w:rPr>
        <w:t xml:space="preserve">to </w:t>
      </w:r>
      <w:r w:rsidR="000E47FD">
        <w:rPr>
          <w:rFonts w:eastAsiaTheme="minorEastAsia"/>
        </w:rPr>
        <w:t xml:space="preserve">a nationally representative sample of </w:t>
      </w:r>
      <w:r w:rsidR="00111807">
        <w:rPr>
          <w:rFonts w:eastAsiaTheme="minorEastAsia"/>
        </w:rPr>
        <w:t>LAs</w:t>
      </w:r>
      <w:r w:rsidR="000E47FD">
        <w:rPr>
          <w:rFonts w:eastAsiaTheme="minorEastAsia"/>
        </w:rPr>
        <w:t xml:space="preserve"> </w:t>
      </w:r>
      <w:r w:rsidR="000E47FD" w:rsidRPr="00FA1948">
        <w:rPr>
          <w:rFonts w:eastAsiaTheme="minorEastAsia"/>
        </w:rPr>
        <w:t xml:space="preserve">from the </w:t>
      </w:r>
      <w:r w:rsidR="00E71C0E" w:rsidRPr="00FA1948">
        <w:rPr>
          <w:rFonts w:eastAsiaTheme="minorEastAsia"/>
        </w:rPr>
        <w:t>50 States, the District of Columbia, 34 ITOs, and 5 U.S. Territories</w:t>
      </w:r>
      <w:r w:rsidR="00B424BF" w:rsidRPr="00FA1948">
        <w:rPr>
          <w:rFonts w:eastAsiaTheme="minorEastAsia"/>
        </w:rPr>
        <w:t>.</w:t>
      </w:r>
      <w:r w:rsidR="00A9257E" w:rsidRPr="00FA1948">
        <w:rPr>
          <w:rFonts w:eastAsiaTheme="minorEastAsia"/>
        </w:rPr>
        <w:t xml:space="preserve"> </w:t>
      </w:r>
      <w:r w:rsidR="00A9257E" w:rsidRPr="00BF30D1">
        <w:rPr>
          <w:rFonts w:eastAsiaTheme="minorEastAsia"/>
        </w:rPr>
        <w:t xml:space="preserve">The instrument will be administered </w:t>
      </w:r>
      <w:r w:rsidR="00BF30D1">
        <w:rPr>
          <w:rFonts w:eastAsiaTheme="minorEastAsia"/>
        </w:rPr>
        <w:t xml:space="preserve">by </w:t>
      </w:r>
      <w:r w:rsidR="00A9257E">
        <w:rPr>
          <w:rFonts w:eastAsiaTheme="minorEastAsia"/>
        </w:rPr>
        <w:t xml:space="preserve">email </w:t>
      </w:r>
      <w:r w:rsidR="00BF30D1">
        <w:rPr>
          <w:rFonts w:eastAsiaTheme="minorEastAsia"/>
        </w:rPr>
        <w:t xml:space="preserve">that will include an </w:t>
      </w:r>
      <w:r w:rsidR="00A9257E">
        <w:rPr>
          <w:rFonts w:eastAsiaTheme="minorEastAsia"/>
        </w:rPr>
        <w:t xml:space="preserve">online survey link </w:t>
      </w:r>
      <w:r w:rsidR="00BF30D1">
        <w:rPr>
          <w:rFonts w:eastAsiaTheme="minorEastAsia"/>
        </w:rPr>
        <w:t>(</w:t>
      </w:r>
      <w:r w:rsidR="00A9257E">
        <w:rPr>
          <w:rFonts w:eastAsiaTheme="minorEastAsia"/>
        </w:rPr>
        <w:t xml:space="preserve">a </w:t>
      </w:r>
      <w:r w:rsidR="00A9257E" w:rsidRPr="00BF30D1">
        <w:rPr>
          <w:rFonts w:eastAsiaTheme="minorEastAsia"/>
        </w:rPr>
        <w:t>paper</w:t>
      </w:r>
      <w:r w:rsidR="00A9257E">
        <w:rPr>
          <w:rFonts w:eastAsiaTheme="minorEastAsia"/>
        </w:rPr>
        <w:t xml:space="preserve"> version will be mailed</w:t>
      </w:r>
      <w:r w:rsidR="00BF30D1">
        <w:rPr>
          <w:rFonts w:eastAsiaTheme="minorEastAsia"/>
        </w:rPr>
        <w:t xml:space="preserve"> for reference purposes</w:t>
      </w:r>
      <w:r w:rsidR="004B421E">
        <w:rPr>
          <w:rFonts w:eastAsiaTheme="minorEastAsia"/>
        </w:rPr>
        <w:t xml:space="preserve"> only</w:t>
      </w:r>
      <w:r w:rsidR="00BF30D1">
        <w:rPr>
          <w:rFonts w:eastAsiaTheme="minorEastAsia"/>
        </w:rPr>
        <w:t>)</w:t>
      </w:r>
      <w:r w:rsidR="00A9257E" w:rsidRPr="00BF30D1">
        <w:rPr>
          <w:rFonts w:eastAsiaTheme="minorEastAsia"/>
        </w:rPr>
        <w:t>.</w:t>
      </w:r>
      <w:r w:rsidR="00A9257E">
        <w:rPr>
          <w:rFonts w:eastAsiaTheme="minorEastAsia"/>
        </w:rPr>
        <w:t xml:space="preserve"> </w:t>
      </w:r>
      <w:r w:rsidR="00324B5B">
        <w:rPr>
          <w:rFonts w:eastAsiaTheme="minorEastAsia"/>
          <w:szCs w:val="24"/>
        </w:rPr>
        <w:t xml:space="preserve">The online survey will be programmed with skip patterns and auto-filling where applicable. </w:t>
      </w:r>
      <w:r w:rsidR="00A9257E">
        <w:rPr>
          <w:rFonts w:eastAsiaTheme="minorEastAsia"/>
        </w:rPr>
        <w:t>The respondent will be expected to complete the Local Agency Survey</w:t>
      </w:r>
      <w:r w:rsidR="001D0CE1">
        <w:rPr>
          <w:rFonts w:eastAsiaTheme="minorEastAsia"/>
        </w:rPr>
        <w:t>,</w:t>
      </w:r>
      <w:r w:rsidR="00A9257E">
        <w:rPr>
          <w:rFonts w:eastAsiaTheme="minorEastAsia"/>
        </w:rPr>
        <w:t xml:space="preserve"> </w:t>
      </w:r>
      <w:r w:rsidR="001D0CE1">
        <w:rPr>
          <w:rFonts w:eastAsiaTheme="minorEastAsia"/>
        </w:rPr>
        <w:t xml:space="preserve">administered by FNS, </w:t>
      </w:r>
      <w:r w:rsidR="00A9257E">
        <w:rPr>
          <w:rFonts w:eastAsiaTheme="minorEastAsia"/>
        </w:rPr>
        <w:t xml:space="preserve">using </w:t>
      </w:r>
      <w:r w:rsidR="00BF30D1">
        <w:rPr>
          <w:rFonts w:eastAsiaTheme="minorEastAsia"/>
        </w:rPr>
        <w:t>the web link provided</w:t>
      </w:r>
      <w:r w:rsidR="00A9257E" w:rsidRPr="00BF30D1">
        <w:rPr>
          <w:rFonts w:eastAsiaTheme="minorEastAsia"/>
        </w:rPr>
        <w:t>.</w:t>
      </w:r>
      <w:r w:rsidR="00606D18" w:rsidRPr="00BF30D1">
        <w:rPr>
          <w:rFonts w:eastAsiaTheme="minorEastAsia"/>
        </w:rPr>
        <w:t xml:space="preserve"> </w:t>
      </w:r>
      <w:r w:rsidR="00766413" w:rsidRPr="00766413">
        <w:rPr>
          <w:rFonts w:eastAsiaTheme="minorEastAsia"/>
        </w:rPr>
        <w:t>The respondent will be mailed a hard-copy of the survey with the option to complete by hand and return by mail or fax. The estimated time to complete the hardcopy and online version is not expected to differ</w:t>
      </w:r>
      <w:r w:rsidR="00766413">
        <w:rPr>
          <w:rFonts w:eastAsiaTheme="minorEastAsia"/>
        </w:rPr>
        <w:t>.</w:t>
      </w:r>
    </w:p>
    <w:p w14:paraId="252EFC5B" w14:textId="691069FA" w:rsidR="00256ED2" w:rsidRDefault="009C6C6E" w:rsidP="00D7496B">
      <w:pPr>
        <w:ind w:firstLine="720"/>
        <w:rPr>
          <w:rFonts w:eastAsiaTheme="minorEastAsia"/>
        </w:rPr>
      </w:pPr>
      <w:r w:rsidRPr="005025A1">
        <w:rPr>
          <w:b/>
        </w:rPr>
        <w:t>Certification Survey</w:t>
      </w:r>
      <w:r w:rsidR="00D7496B" w:rsidRPr="005025A1">
        <w:rPr>
          <w:rFonts w:eastAsiaTheme="minorEastAsia"/>
          <w:b/>
        </w:rPr>
        <w:t xml:space="preserve">. </w:t>
      </w:r>
      <w:r w:rsidR="00256ED2" w:rsidRPr="007C5A72">
        <w:rPr>
          <w:rFonts w:eastAsiaTheme="minorEastAsia"/>
        </w:rPr>
        <w:t>The Certification Survey’s</w:t>
      </w:r>
      <w:r w:rsidR="003A5577">
        <w:rPr>
          <w:rFonts w:eastAsiaTheme="minorEastAsia"/>
        </w:rPr>
        <w:t xml:space="preserve"> </w:t>
      </w:r>
      <w:r w:rsidR="00256ED2" w:rsidRPr="007C5A72">
        <w:rPr>
          <w:rFonts w:eastAsiaTheme="minorEastAsia"/>
        </w:rPr>
        <w:t xml:space="preserve">purpose is to meet the objective of calculating improper payment rates </w:t>
      </w:r>
      <w:r w:rsidR="00256ED2">
        <w:rPr>
          <w:rFonts w:eastAsiaTheme="minorEastAsia"/>
        </w:rPr>
        <w:t xml:space="preserve">due to certification error </w:t>
      </w:r>
      <w:r w:rsidR="00256ED2" w:rsidRPr="007C5A72">
        <w:rPr>
          <w:rFonts w:eastAsiaTheme="minorEastAsia"/>
        </w:rPr>
        <w:t xml:space="preserve">in WIC. Data from the survey, </w:t>
      </w:r>
      <w:r w:rsidR="00256ED2" w:rsidRPr="00E62B8C">
        <w:rPr>
          <w:rFonts w:eastAsiaTheme="minorEastAsia"/>
        </w:rPr>
        <w:t>combined with State administrative data on</w:t>
      </w:r>
      <w:r w:rsidR="00256ED2" w:rsidRPr="007C5A72">
        <w:rPr>
          <w:rFonts w:eastAsiaTheme="minorEastAsia"/>
        </w:rPr>
        <w:t xml:space="preserve"> WIC participants</w:t>
      </w:r>
      <w:r w:rsidR="00256ED2">
        <w:rPr>
          <w:rFonts w:eastAsiaTheme="minorEastAsia"/>
        </w:rPr>
        <w:t xml:space="preserve"> and redemptions of food instruments</w:t>
      </w:r>
      <w:r w:rsidR="00256ED2" w:rsidRPr="007C5A72">
        <w:rPr>
          <w:rFonts w:eastAsiaTheme="minorEastAsia"/>
        </w:rPr>
        <w:t xml:space="preserve">, will allow </w:t>
      </w:r>
      <w:r w:rsidR="00AF7464">
        <w:rPr>
          <w:rFonts w:eastAsiaTheme="minorEastAsia"/>
        </w:rPr>
        <w:t>FNS</w:t>
      </w:r>
      <w:r w:rsidR="00256ED2" w:rsidRPr="007C5A72">
        <w:rPr>
          <w:rFonts w:eastAsiaTheme="minorEastAsia"/>
        </w:rPr>
        <w:t xml:space="preserve"> to estimate </w:t>
      </w:r>
      <w:r w:rsidR="00256ED2">
        <w:rPr>
          <w:rFonts w:eastAsiaTheme="minorEastAsia"/>
        </w:rPr>
        <w:t xml:space="preserve">rates of </w:t>
      </w:r>
      <w:r w:rsidR="00256ED2" w:rsidRPr="007C5A72">
        <w:rPr>
          <w:rFonts w:eastAsiaTheme="minorEastAsia"/>
        </w:rPr>
        <w:t>case error and improper payments in a nationally representative sample as well as for each of the five certification categories (pregnant women, breastfeeding women, non-breastfeeding postpartum women, infants, and children). The Certification Survey has been adapted from NSWP-II’s Certification Survey to maintain as much comparability as possible while balancing the need to reflect current certification regulations</w:t>
      </w:r>
      <w:r w:rsidR="00535100">
        <w:rPr>
          <w:rFonts w:eastAsiaTheme="minorEastAsia"/>
        </w:rPr>
        <w:t xml:space="preserve"> </w:t>
      </w:r>
      <w:r w:rsidR="00535100">
        <w:rPr>
          <w:rFonts w:eastAsiaTheme="minorEastAsia"/>
          <w:szCs w:val="24"/>
        </w:rPr>
        <w:t>(</w:t>
      </w:r>
      <w:r w:rsidR="00801760">
        <w:rPr>
          <w:rFonts w:eastAsiaTheme="minorEastAsia"/>
          <w:szCs w:val="24"/>
        </w:rPr>
        <w:t xml:space="preserve">Code of Federal Regulations </w:t>
      </w:r>
      <w:r w:rsidR="00236395">
        <w:rPr>
          <w:rFonts w:eastAsiaTheme="minorEastAsia"/>
          <w:szCs w:val="24"/>
        </w:rPr>
        <w:t xml:space="preserve">246.7 Certification of Participants; </w:t>
      </w:r>
      <w:r w:rsidR="00535100">
        <w:rPr>
          <w:rFonts w:eastAsiaTheme="minorEastAsia"/>
          <w:szCs w:val="24"/>
        </w:rPr>
        <w:t xml:space="preserve">Appendix </w:t>
      </w:r>
      <w:r w:rsidR="00E81DD0">
        <w:rPr>
          <w:rFonts w:eastAsiaTheme="minorEastAsia"/>
          <w:szCs w:val="24"/>
        </w:rPr>
        <w:t>A</w:t>
      </w:r>
      <w:r w:rsidR="00153183">
        <w:rPr>
          <w:rFonts w:eastAsiaTheme="minorEastAsia"/>
          <w:szCs w:val="24"/>
        </w:rPr>
        <w:t>7</w:t>
      </w:r>
      <w:r w:rsidR="009D5EAB">
        <w:rPr>
          <w:rFonts w:eastAsiaTheme="minorEastAsia"/>
          <w:szCs w:val="24"/>
        </w:rPr>
        <w:t>)</w:t>
      </w:r>
      <w:r w:rsidR="00256ED2" w:rsidRPr="007C5A72">
        <w:rPr>
          <w:rFonts w:eastAsiaTheme="minorEastAsia"/>
        </w:rPr>
        <w:t>.</w:t>
      </w:r>
      <w:r w:rsidR="00BC401B">
        <w:t xml:space="preserve"> </w:t>
      </w:r>
      <w:r w:rsidR="003A5577" w:rsidRPr="003A5577">
        <w:rPr>
          <w:rFonts w:eastAsiaTheme="minorEastAsia"/>
        </w:rPr>
        <w:t>The Certification Survey will be condu</w:t>
      </w:r>
      <w:r w:rsidR="003A5577">
        <w:rPr>
          <w:rFonts w:eastAsiaTheme="minorEastAsia"/>
        </w:rPr>
        <w:t xml:space="preserve">cted with </w:t>
      </w:r>
      <w:r w:rsidR="000A72B3">
        <w:rPr>
          <w:rFonts w:eastAsiaTheme="minorEastAsia"/>
        </w:rPr>
        <w:t xml:space="preserve">a nationally representative sample of </w:t>
      </w:r>
      <w:r w:rsidR="003A5577">
        <w:rPr>
          <w:rFonts w:eastAsiaTheme="minorEastAsia"/>
        </w:rPr>
        <w:t xml:space="preserve">current </w:t>
      </w:r>
      <w:r w:rsidR="003A5577" w:rsidRPr="003A5577">
        <w:rPr>
          <w:rFonts w:eastAsiaTheme="minorEastAsia"/>
        </w:rPr>
        <w:t>WIC participants certified</w:t>
      </w:r>
      <w:r w:rsidR="00E86426">
        <w:rPr>
          <w:rFonts w:eastAsiaTheme="minorEastAsia"/>
        </w:rPr>
        <w:t xml:space="preserve"> within the 6 weeks </w:t>
      </w:r>
      <w:r w:rsidR="000A72B3">
        <w:rPr>
          <w:rFonts w:eastAsiaTheme="minorEastAsia"/>
        </w:rPr>
        <w:t>prior to data collection</w:t>
      </w:r>
      <w:r w:rsidR="003A5577" w:rsidRPr="003A5577">
        <w:rPr>
          <w:rFonts w:eastAsiaTheme="minorEastAsia"/>
        </w:rPr>
        <w:t xml:space="preserve">. </w:t>
      </w:r>
      <w:r w:rsidR="00625D0F">
        <w:rPr>
          <w:rFonts w:eastAsiaTheme="minorEastAsia"/>
        </w:rPr>
        <w:t xml:space="preserve">Sampled respondents will complete the </w:t>
      </w:r>
      <w:r w:rsidR="006F7AE6">
        <w:rPr>
          <w:rFonts w:eastAsiaTheme="minorEastAsia"/>
        </w:rPr>
        <w:t xml:space="preserve">in-person </w:t>
      </w:r>
      <w:r w:rsidR="00625D0F">
        <w:rPr>
          <w:rFonts w:eastAsiaTheme="minorEastAsia"/>
        </w:rPr>
        <w:t xml:space="preserve">survey </w:t>
      </w:r>
      <w:r w:rsidR="003A5577">
        <w:rPr>
          <w:rFonts w:eastAsiaTheme="minorEastAsia"/>
        </w:rPr>
        <w:t xml:space="preserve">one time in </w:t>
      </w:r>
      <w:r w:rsidR="003A5577" w:rsidRPr="00E3349A">
        <w:rPr>
          <w:rFonts w:eastAsiaTheme="minorEastAsia"/>
        </w:rPr>
        <w:t>English</w:t>
      </w:r>
      <w:r w:rsidR="004B4A8B" w:rsidRPr="00E3349A">
        <w:rPr>
          <w:rFonts w:eastAsiaTheme="minorEastAsia"/>
        </w:rPr>
        <w:t xml:space="preserve"> (Appendi</w:t>
      </w:r>
      <w:r w:rsidR="00361868" w:rsidRPr="00E3349A">
        <w:rPr>
          <w:rFonts w:eastAsiaTheme="minorEastAsia"/>
        </w:rPr>
        <w:t>ces B3</w:t>
      </w:r>
      <w:r w:rsidR="003F3787" w:rsidRPr="00E3349A">
        <w:rPr>
          <w:rFonts w:eastAsiaTheme="minorEastAsia"/>
        </w:rPr>
        <w:t>.</w:t>
      </w:r>
      <w:r w:rsidR="00361868" w:rsidRPr="00E3349A">
        <w:rPr>
          <w:rFonts w:eastAsiaTheme="minorEastAsia"/>
        </w:rPr>
        <w:t xml:space="preserve">a </w:t>
      </w:r>
      <w:r w:rsidR="0058623B" w:rsidRPr="00E3349A">
        <w:rPr>
          <w:rFonts w:eastAsiaTheme="minorEastAsia"/>
        </w:rPr>
        <w:t>or B3</w:t>
      </w:r>
      <w:r w:rsidR="003F3787" w:rsidRPr="00E3349A">
        <w:rPr>
          <w:rFonts w:eastAsiaTheme="minorEastAsia"/>
        </w:rPr>
        <w:t>.</w:t>
      </w:r>
      <w:r w:rsidR="0058623B" w:rsidRPr="00E3349A">
        <w:rPr>
          <w:rFonts w:eastAsiaTheme="minorEastAsia"/>
        </w:rPr>
        <w:t>b</w:t>
      </w:r>
      <w:r w:rsidR="004B4A8B" w:rsidRPr="00E3349A">
        <w:rPr>
          <w:rFonts w:eastAsiaTheme="minorEastAsia"/>
        </w:rPr>
        <w:t>)</w:t>
      </w:r>
      <w:r w:rsidR="003A5577" w:rsidRPr="00E3349A">
        <w:rPr>
          <w:rFonts w:eastAsiaTheme="minorEastAsia"/>
        </w:rPr>
        <w:t xml:space="preserve"> or Spanish</w:t>
      </w:r>
      <w:r w:rsidR="004B4A8B" w:rsidRPr="00E3349A">
        <w:rPr>
          <w:rFonts w:eastAsiaTheme="minorEastAsia"/>
        </w:rPr>
        <w:t xml:space="preserve"> (Appendi</w:t>
      </w:r>
      <w:r w:rsidR="00361868" w:rsidRPr="00E3349A">
        <w:rPr>
          <w:rFonts w:eastAsiaTheme="minorEastAsia"/>
        </w:rPr>
        <w:t>ces</w:t>
      </w:r>
      <w:r w:rsidR="004B4A8B" w:rsidRPr="00E3349A">
        <w:rPr>
          <w:rFonts w:eastAsiaTheme="minorEastAsia"/>
        </w:rPr>
        <w:t xml:space="preserve"> </w:t>
      </w:r>
      <w:r w:rsidR="0058623B" w:rsidRPr="00E3349A">
        <w:rPr>
          <w:rFonts w:eastAsiaTheme="minorEastAsia"/>
        </w:rPr>
        <w:t>B3</w:t>
      </w:r>
      <w:r w:rsidR="003F3787" w:rsidRPr="00E3349A">
        <w:rPr>
          <w:rFonts w:eastAsiaTheme="minorEastAsia"/>
        </w:rPr>
        <w:t>.</w:t>
      </w:r>
      <w:r w:rsidR="0058623B" w:rsidRPr="00E3349A">
        <w:rPr>
          <w:rFonts w:eastAsiaTheme="minorEastAsia"/>
        </w:rPr>
        <w:t>c or B3</w:t>
      </w:r>
      <w:r w:rsidR="003F3787" w:rsidRPr="00E3349A">
        <w:rPr>
          <w:rFonts w:eastAsiaTheme="minorEastAsia"/>
        </w:rPr>
        <w:t>.</w:t>
      </w:r>
      <w:r w:rsidR="00361868" w:rsidRPr="00E3349A">
        <w:rPr>
          <w:rFonts w:eastAsiaTheme="minorEastAsia"/>
        </w:rPr>
        <w:t>d</w:t>
      </w:r>
      <w:r w:rsidR="004B4A8B" w:rsidRPr="00E3349A">
        <w:rPr>
          <w:rFonts w:eastAsiaTheme="minorEastAsia"/>
        </w:rPr>
        <w:t>)</w:t>
      </w:r>
      <w:r w:rsidR="003A5577" w:rsidRPr="00E3349A">
        <w:rPr>
          <w:rFonts w:eastAsiaTheme="minorEastAsia"/>
        </w:rPr>
        <w:t>, as app</w:t>
      </w:r>
      <w:r w:rsidR="003A5577">
        <w:rPr>
          <w:rFonts w:eastAsiaTheme="minorEastAsia"/>
        </w:rPr>
        <w:t xml:space="preserve">ropriate. </w:t>
      </w:r>
      <w:bookmarkStart w:id="47" w:name="_Hlk497591040"/>
      <w:r w:rsidR="00875F1C" w:rsidRPr="00875F1C">
        <w:rPr>
          <w:rFonts w:eastAsiaTheme="minorEastAsia"/>
        </w:rPr>
        <w:t>The Certifi</w:t>
      </w:r>
      <w:r w:rsidR="002F25D9">
        <w:rPr>
          <w:rFonts w:eastAsiaTheme="minorEastAsia"/>
        </w:rPr>
        <w:t xml:space="preserve">cation Survey has two versions. </w:t>
      </w:r>
      <w:r w:rsidR="00875F1C" w:rsidRPr="00875F1C">
        <w:rPr>
          <w:rFonts w:eastAsiaTheme="minorEastAsia"/>
        </w:rPr>
        <w:t>Version A (</w:t>
      </w:r>
      <w:r w:rsidR="002F25D9">
        <w:rPr>
          <w:rFonts w:eastAsiaTheme="minorEastAsia"/>
        </w:rPr>
        <w:t xml:space="preserve">Appendices B3.a and B3.c) </w:t>
      </w:r>
      <w:r w:rsidR="00875F1C" w:rsidRPr="00875F1C">
        <w:rPr>
          <w:rFonts w:eastAsiaTheme="minorEastAsia"/>
        </w:rPr>
        <w:t>is used when the sampled participant is a pregnant, breastfeeding or postpartum, non-breastfeeding woman</w:t>
      </w:r>
      <w:r w:rsidR="004F1DE9">
        <w:rPr>
          <w:rFonts w:eastAsiaTheme="minorEastAsia"/>
        </w:rPr>
        <w:t xml:space="preserve">. </w:t>
      </w:r>
      <w:r w:rsidR="00875F1C" w:rsidRPr="00875F1C">
        <w:rPr>
          <w:rFonts w:eastAsiaTheme="minorEastAsia"/>
        </w:rPr>
        <w:t xml:space="preserve">Version B </w:t>
      </w:r>
      <w:r w:rsidR="002F25D9">
        <w:rPr>
          <w:rFonts w:eastAsiaTheme="minorEastAsia"/>
        </w:rPr>
        <w:t xml:space="preserve">(Appendices B3.b and B3.d) </w:t>
      </w:r>
      <w:r w:rsidR="00875F1C" w:rsidRPr="00875F1C">
        <w:rPr>
          <w:rFonts w:eastAsiaTheme="minorEastAsia"/>
        </w:rPr>
        <w:t xml:space="preserve">is used when the participant is an infant or child. The survey respondent for Version B is the adult applicant who sought WIC certification for the infant or child. </w:t>
      </w:r>
      <w:bookmarkEnd w:id="47"/>
      <w:r w:rsidR="00E61D70">
        <w:rPr>
          <w:rFonts w:eastAsiaTheme="minorEastAsia"/>
        </w:rPr>
        <w:t>The Certification Survey</w:t>
      </w:r>
      <w:r w:rsidR="00BC401B">
        <w:rPr>
          <w:rFonts w:eastAsiaTheme="minorEastAsia"/>
        </w:rPr>
        <w:t>, administered by FNS,</w:t>
      </w:r>
      <w:r w:rsidR="00E61D70">
        <w:rPr>
          <w:rFonts w:eastAsiaTheme="minorEastAsia"/>
        </w:rPr>
        <w:t xml:space="preserve"> will take place </w:t>
      </w:r>
      <w:r w:rsidR="00E61D70" w:rsidRPr="00E61D70">
        <w:rPr>
          <w:rFonts w:eastAsiaTheme="minorEastAsia"/>
        </w:rPr>
        <w:t>in the respondent’s home or at an alternate location, if preferred.</w:t>
      </w:r>
    </w:p>
    <w:p w14:paraId="16940514" w14:textId="0FABCF07" w:rsidR="000632BE" w:rsidRPr="00DE69E3" w:rsidRDefault="000632BE" w:rsidP="009D5B7F">
      <w:pPr>
        <w:widowControl w:val="0"/>
        <w:ind w:firstLine="720"/>
        <w:rPr>
          <w:rFonts w:eastAsiaTheme="minorEastAsia"/>
          <w:szCs w:val="24"/>
        </w:rPr>
      </w:pPr>
      <w:r>
        <w:rPr>
          <w:rFonts w:eastAsiaTheme="minorEastAsia"/>
        </w:rPr>
        <w:t>The Certification Survey is used to determine whether or not a WIC participant who was recently certified by a</w:t>
      </w:r>
      <w:r w:rsidR="00260897">
        <w:rPr>
          <w:rFonts w:eastAsiaTheme="minorEastAsia"/>
        </w:rPr>
        <w:t>n LA</w:t>
      </w:r>
      <w:r>
        <w:rPr>
          <w:rFonts w:eastAsiaTheme="minorEastAsia"/>
        </w:rPr>
        <w:t xml:space="preserve"> appropriately met eligibility criteria for the WIC program. To qualify for WIC, applicants must (a) provide proof of their identity</w:t>
      </w:r>
      <w:r w:rsidR="00260897">
        <w:rPr>
          <w:rFonts w:eastAsiaTheme="minorEastAsia"/>
        </w:rPr>
        <w:t>,</w:t>
      </w:r>
      <w:r>
        <w:rPr>
          <w:rFonts w:eastAsiaTheme="minorEastAsia"/>
        </w:rPr>
        <w:t xml:space="preserve"> (b) provide proof of residence within the State in which they are applying for WIC</w:t>
      </w:r>
      <w:r w:rsidR="00260897">
        <w:rPr>
          <w:rFonts w:eastAsiaTheme="minorEastAsia"/>
        </w:rPr>
        <w:t>,</w:t>
      </w:r>
      <w:r>
        <w:rPr>
          <w:rFonts w:eastAsiaTheme="minorEastAsia"/>
        </w:rPr>
        <w:t xml:space="preserve"> (c) meet income eligibility </w:t>
      </w:r>
      <w:r w:rsidRPr="00DE69E3">
        <w:rPr>
          <w:rFonts w:eastAsiaTheme="minorEastAsia"/>
          <w:szCs w:val="24"/>
        </w:rPr>
        <w:t>requirements</w:t>
      </w:r>
      <w:r w:rsidR="00260897" w:rsidRPr="00DE69E3">
        <w:rPr>
          <w:rFonts w:eastAsiaTheme="minorEastAsia"/>
          <w:szCs w:val="24"/>
        </w:rPr>
        <w:t>,</w:t>
      </w:r>
      <w:r w:rsidRPr="00DE69E3">
        <w:rPr>
          <w:rFonts w:eastAsiaTheme="minorEastAsia"/>
          <w:szCs w:val="24"/>
        </w:rPr>
        <w:t xml:space="preserve"> </w:t>
      </w:r>
      <w:r w:rsidR="00302F5C">
        <w:rPr>
          <w:rFonts w:eastAsiaTheme="minorEastAsia"/>
          <w:szCs w:val="24"/>
        </w:rPr>
        <w:t>(d)</w:t>
      </w:r>
      <w:r w:rsidR="00302F5C" w:rsidRPr="00302F5C">
        <w:t xml:space="preserve"> </w:t>
      </w:r>
      <w:r w:rsidR="00302F5C" w:rsidRPr="00302F5C">
        <w:rPr>
          <w:rFonts w:eastAsiaTheme="minorEastAsia"/>
          <w:szCs w:val="24"/>
        </w:rPr>
        <w:t>have at least one of the medical or dietary conditions on the State's list of WIC nutrition risk criteria</w:t>
      </w:r>
      <w:r w:rsidR="00302F5C">
        <w:rPr>
          <w:rFonts w:eastAsiaTheme="minorEastAsia"/>
          <w:szCs w:val="24"/>
        </w:rPr>
        <w:t>,</w:t>
      </w:r>
      <w:r w:rsidR="00302F5C">
        <w:rPr>
          <w:rStyle w:val="FootnoteReference"/>
          <w:rFonts w:eastAsiaTheme="minorEastAsia"/>
        </w:rPr>
        <w:footnoteReference w:id="8"/>
      </w:r>
      <w:r w:rsidR="00302F5C">
        <w:rPr>
          <w:rFonts w:eastAsiaTheme="minorEastAsia"/>
          <w:szCs w:val="24"/>
        </w:rPr>
        <w:t xml:space="preserve"> </w:t>
      </w:r>
      <w:r w:rsidRPr="00DE69E3">
        <w:rPr>
          <w:rFonts w:eastAsiaTheme="minorEastAsia"/>
          <w:szCs w:val="24"/>
        </w:rPr>
        <w:t>and (</w:t>
      </w:r>
      <w:r w:rsidR="00302F5C">
        <w:rPr>
          <w:rFonts w:eastAsiaTheme="minorEastAsia"/>
          <w:szCs w:val="24"/>
        </w:rPr>
        <w:t>e</w:t>
      </w:r>
      <w:r w:rsidRPr="00DE69E3">
        <w:rPr>
          <w:rFonts w:eastAsiaTheme="minorEastAsia"/>
          <w:szCs w:val="24"/>
        </w:rPr>
        <w:t xml:space="preserve">) meet criteria for one of </w:t>
      </w:r>
      <w:r w:rsidR="0048731B" w:rsidRPr="00DE69E3">
        <w:rPr>
          <w:rFonts w:eastAsiaTheme="minorEastAsia"/>
          <w:szCs w:val="24"/>
        </w:rPr>
        <w:t xml:space="preserve">the </w:t>
      </w:r>
      <w:r w:rsidRPr="00DE69E3">
        <w:rPr>
          <w:rFonts w:eastAsiaTheme="minorEastAsia"/>
          <w:szCs w:val="24"/>
        </w:rPr>
        <w:t xml:space="preserve">five categories of </w:t>
      </w:r>
      <w:r w:rsidR="0048731B" w:rsidRPr="00DE69E3">
        <w:rPr>
          <w:rFonts w:eastAsiaTheme="minorEastAsia"/>
          <w:szCs w:val="24"/>
        </w:rPr>
        <w:t xml:space="preserve">eligible </w:t>
      </w:r>
      <w:r w:rsidRPr="00DE69E3">
        <w:rPr>
          <w:rFonts w:eastAsiaTheme="minorEastAsia"/>
          <w:szCs w:val="24"/>
        </w:rPr>
        <w:t>participants</w:t>
      </w:r>
      <w:r w:rsidR="00B02485">
        <w:rPr>
          <w:rFonts w:eastAsiaTheme="minorEastAsia"/>
          <w:szCs w:val="24"/>
        </w:rPr>
        <w:t xml:space="preserve"> </w:t>
      </w:r>
      <w:bookmarkStart w:id="48" w:name="_Hlk487805212"/>
      <w:r w:rsidR="00B02485">
        <w:rPr>
          <w:rFonts w:eastAsiaTheme="minorEastAsia"/>
          <w:szCs w:val="24"/>
        </w:rPr>
        <w:t xml:space="preserve">(Appendix </w:t>
      </w:r>
      <w:r w:rsidR="00E81DD0">
        <w:rPr>
          <w:rFonts w:eastAsiaTheme="minorEastAsia"/>
          <w:szCs w:val="24"/>
        </w:rPr>
        <w:t>A</w:t>
      </w:r>
      <w:r w:rsidR="005A7302">
        <w:rPr>
          <w:rFonts w:eastAsiaTheme="minorEastAsia"/>
          <w:szCs w:val="24"/>
        </w:rPr>
        <w:t>4</w:t>
      </w:r>
      <w:r w:rsidR="00B02485">
        <w:rPr>
          <w:rFonts w:eastAsiaTheme="minorEastAsia"/>
          <w:szCs w:val="24"/>
        </w:rPr>
        <w:t>)</w:t>
      </w:r>
      <w:bookmarkEnd w:id="48"/>
      <w:r w:rsidRPr="00DE69E3">
        <w:rPr>
          <w:rFonts w:eastAsiaTheme="minorEastAsia"/>
          <w:szCs w:val="24"/>
        </w:rPr>
        <w:t xml:space="preserve">: </w:t>
      </w:r>
    </w:p>
    <w:p w14:paraId="479397D2" w14:textId="77777777" w:rsidR="0048731B" w:rsidRPr="00DE69E3" w:rsidRDefault="0048731B" w:rsidP="00811F5C">
      <w:pPr>
        <w:pStyle w:val="ListParagraph"/>
        <w:widowControl w:val="0"/>
        <w:numPr>
          <w:ilvl w:val="0"/>
          <w:numId w:val="8"/>
        </w:numPr>
        <w:rPr>
          <w:rFonts w:ascii="Times New Roman" w:eastAsiaTheme="minorEastAsia" w:hAnsi="Times New Roman" w:cs="Times New Roman"/>
          <w:sz w:val="24"/>
          <w:szCs w:val="24"/>
        </w:rPr>
      </w:pPr>
      <w:r w:rsidRPr="00DE69E3">
        <w:rPr>
          <w:rFonts w:ascii="Times New Roman" w:eastAsiaTheme="minorEastAsia" w:hAnsi="Times New Roman" w:cs="Times New Roman"/>
          <w:sz w:val="24"/>
          <w:szCs w:val="24"/>
        </w:rPr>
        <w:t>Pregnant (includes up to 6 weeks after birth of an infant or end of a pregnancy)</w:t>
      </w:r>
    </w:p>
    <w:p w14:paraId="04343F0A" w14:textId="77777777" w:rsidR="0048731B" w:rsidRPr="00DE69E3" w:rsidRDefault="0048731B" w:rsidP="00811F5C">
      <w:pPr>
        <w:pStyle w:val="ListParagraph"/>
        <w:numPr>
          <w:ilvl w:val="0"/>
          <w:numId w:val="8"/>
        </w:numPr>
        <w:rPr>
          <w:rFonts w:ascii="Times New Roman" w:eastAsiaTheme="minorEastAsia" w:hAnsi="Times New Roman" w:cs="Times New Roman"/>
          <w:sz w:val="24"/>
          <w:szCs w:val="24"/>
        </w:rPr>
      </w:pPr>
      <w:r w:rsidRPr="00DE69E3">
        <w:rPr>
          <w:rFonts w:ascii="Times New Roman" w:eastAsiaTheme="minorEastAsia" w:hAnsi="Times New Roman" w:cs="Times New Roman"/>
          <w:sz w:val="24"/>
          <w:szCs w:val="24"/>
        </w:rPr>
        <w:t>Breastfeeding (a postpartum woman who is breastfeeding up to 1 year after birth of an infant)</w:t>
      </w:r>
    </w:p>
    <w:p w14:paraId="63631DC0" w14:textId="77777777" w:rsidR="0048731B" w:rsidRPr="00DE69E3" w:rsidRDefault="0048731B" w:rsidP="00811F5C">
      <w:pPr>
        <w:pStyle w:val="ListParagraph"/>
        <w:numPr>
          <w:ilvl w:val="0"/>
          <w:numId w:val="8"/>
        </w:numPr>
        <w:rPr>
          <w:rFonts w:ascii="Times New Roman" w:eastAsiaTheme="minorEastAsia" w:hAnsi="Times New Roman" w:cs="Times New Roman"/>
          <w:sz w:val="24"/>
          <w:szCs w:val="24"/>
        </w:rPr>
      </w:pPr>
      <w:r w:rsidRPr="00DE69E3">
        <w:rPr>
          <w:rFonts w:ascii="Times New Roman" w:eastAsiaTheme="minorEastAsia" w:hAnsi="Times New Roman" w:cs="Times New Roman"/>
          <w:sz w:val="24"/>
          <w:szCs w:val="24"/>
        </w:rPr>
        <w:t>Non-breastfeeding women (a postpartum or previously pregnant woman who is not breastfeeding, up to 6 months after the end of a pregnancy)</w:t>
      </w:r>
    </w:p>
    <w:p w14:paraId="6C7934A6" w14:textId="77777777" w:rsidR="0048731B" w:rsidRPr="00DE69E3" w:rsidRDefault="0048731B" w:rsidP="00811F5C">
      <w:pPr>
        <w:pStyle w:val="ListParagraph"/>
        <w:numPr>
          <w:ilvl w:val="0"/>
          <w:numId w:val="8"/>
        </w:numPr>
        <w:rPr>
          <w:rFonts w:ascii="Times New Roman" w:eastAsiaTheme="minorEastAsia" w:hAnsi="Times New Roman" w:cs="Times New Roman"/>
          <w:sz w:val="24"/>
          <w:szCs w:val="24"/>
        </w:rPr>
      </w:pPr>
      <w:r w:rsidRPr="00DE69E3">
        <w:rPr>
          <w:rFonts w:ascii="Times New Roman" w:eastAsiaTheme="minorEastAsia" w:hAnsi="Times New Roman" w:cs="Times New Roman"/>
          <w:sz w:val="24"/>
          <w:szCs w:val="24"/>
        </w:rPr>
        <w:t>Infant (includes birth up to the last day of the month in which the first birthday falls)</w:t>
      </w:r>
    </w:p>
    <w:p w14:paraId="00E5C5B6" w14:textId="0F32EE9B" w:rsidR="0048731B" w:rsidRPr="00DE69E3" w:rsidRDefault="0048731B" w:rsidP="00811F5C">
      <w:pPr>
        <w:pStyle w:val="ListParagraph"/>
        <w:numPr>
          <w:ilvl w:val="0"/>
          <w:numId w:val="8"/>
        </w:numPr>
        <w:rPr>
          <w:rFonts w:ascii="Times New Roman" w:eastAsiaTheme="minorEastAsia" w:hAnsi="Times New Roman" w:cs="Times New Roman"/>
          <w:sz w:val="24"/>
          <w:szCs w:val="24"/>
        </w:rPr>
      </w:pPr>
      <w:r w:rsidRPr="00DE69E3">
        <w:rPr>
          <w:rFonts w:ascii="Times New Roman" w:eastAsiaTheme="minorEastAsia" w:hAnsi="Times New Roman" w:cs="Times New Roman"/>
          <w:sz w:val="24"/>
          <w:szCs w:val="24"/>
        </w:rPr>
        <w:t>Child (more than 12 months of age up to the last day of the month in which the fifth birthday falls)</w:t>
      </w:r>
      <w:r w:rsidR="00BE49ED">
        <w:rPr>
          <w:rFonts w:ascii="Times New Roman" w:eastAsiaTheme="minorEastAsia" w:hAnsi="Times New Roman" w:cs="Times New Roman"/>
          <w:sz w:val="24"/>
          <w:szCs w:val="24"/>
        </w:rPr>
        <w:t>.</w:t>
      </w:r>
    </w:p>
    <w:p w14:paraId="09DE7EE8" w14:textId="732B0AB9" w:rsidR="0048731B" w:rsidRDefault="0048731B" w:rsidP="00D978FE">
      <w:pPr>
        <w:ind w:firstLine="720"/>
        <w:rPr>
          <w:rFonts w:eastAsiaTheme="minorEastAsia"/>
        </w:rPr>
      </w:pPr>
      <w:r>
        <w:rPr>
          <w:rFonts w:eastAsiaTheme="minorEastAsia"/>
        </w:rPr>
        <w:t>The survey includes questions that ask WIC participants (or, for an infant or child participant, the parent or guardian) to document their identity and residency; show documentation of their household income; and, for infant or child participants, to report their child’s date of birth (to determine whether the infant/child met the age-based category criteria). The Certification Survey does not ask women WIC participants to document their pregnancy or breastfeeding status.</w:t>
      </w:r>
    </w:p>
    <w:p w14:paraId="37B74F11" w14:textId="40CF285D" w:rsidR="0048731B" w:rsidRDefault="0048731B" w:rsidP="0048731B">
      <w:pPr>
        <w:ind w:firstLine="720"/>
        <w:rPr>
          <w:rFonts w:eastAsiaTheme="minorEastAsia"/>
        </w:rPr>
      </w:pPr>
      <w:r>
        <w:rPr>
          <w:rFonts w:eastAsiaTheme="minorEastAsia"/>
        </w:rPr>
        <w:t>The study will use the results of the Certification Survey to identify instances of WIC participants (i.e., cases) who do not appear to have met eligibility criteria</w:t>
      </w:r>
      <w:r w:rsidR="00C57D3B">
        <w:rPr>
          <w:rFonts w:eastAsiaTheme="minorEastAsia"/>
        </w:rPr>
        <w:t>. T</w:t>
      </w:r>
      <w:r>
        <w:rPr>
          <w:rFonts w:eastAsiaTheme="minorEastAsia"/>
        </w:rPr>
        <w:t>hese cases will then be used to estimate the national number and rate of “</w:t>
      </w:r>
      <w:r w:rsidR="003E4DA0">
        <w:rPr>
          <w:rFonts w:eastAsiaTheme="minorEastAsia"/>
        </w:rPr>
        <w:t xml:space="preserve">improperly certified </w:t>
      </w:r>
      <w:r>
        <w:rPr>
          <w:rFonts w:eastAsiaTheme="minorEastAsia"/>
        </w:rPr>
        <w:t xml:space="preserve">case errors.” </w:t>
      </w:r>
      <w:r w:rsidR="00571778">
        <w:rPr>
          <w:rFonts w:eastAsiaTheme="minorEastAsia"/>
        </w:rPr>
        <w:t xml:space="preserve">By combining data from the Certification Survey with extant data on </w:t>
      </w:r>
      <w:r>
        <w:rPr>
          <w:rFonts w:eastAsiaTheme="minorEastAsia"/>
        </w:rPr>
        <w:t xml:space="preserve">WIC participants’ redemptions of food instruments (or </w:t>
      </w:r>
      <w:r w:rsidR="00571778">
        <w:rPr>
          <w:rFonts w:eastAsiaTheme="minorEastAsia"/>
        </w:rPr>
        <w:t>for States using Electronic Benefit Transfer</w:t>
      </w:r>
      <w:r w:rsidR="00C57D3B">
        <w:rPr>
          <w:rFonts w:eastAsiaTheme="minorEastAsia"/>
        </w:rPr>
        <w:t xml:space="preserve"> [</w:t>
      </w:r>
      <w:r w:rsidR="00571778">
        <w:rPr>
          <w:rFonts w:eastAsiaTheme="minorEastAsia"/>
        </w:rPr>
        <w:t>EBT</w:t>
      </w:r>
      <w:r w:rsidR="00C57D3B">
        <w:rPr>
          <w:rFonts w:eastAsiaTheme="minorEastAsia"/>
        </w:rPr>
        <w:t>]</w:t>
      </w:r>
      <w:r w:rsidR="00571778">
        <w:rPr>
          <w:rFonts w:eastAsiaTheme="minorEastAsia"/>
        </w:rPr>
        <w:t xml:space="preserve"> systems, transaction data), the study will estimate the national dollar error amount and rate.</w:t>
      </w:r>
    </w:p>
    <w:p w14:paraId="1812F1CF" w14:textId="5A236A4F" w:rsidR="00066280" w:rsidRPr="00D7496B" w:rsidRDefault="00066280" w:rsidP="009D5B7F">
      <w:pPr>
        <w:widowControl w:val="0"/>
        <w:ind w:firstLine="720"/>
      </w:pPr>
      <w:r w:rsidRPr="005025A1">
        <w:rPr>
          <w:b/>
        </w:rPr>
        <w:t>Denied Applicant Survey</w:t>
      </w:r>
      <w:r w:rsidR="00D7496B" w:rsidRPr="005025A1">
        <w:rPr>
          <w:b/>
        </w:rPr>
        <w:t>.</w:t>
      </w:r>
      <w:r w:rsidR="00D7496B">
        <w:t xml:space="preserve"> </w:t>
      </w:r>
      <w:r w:rsidRPr="007C5A72">
        <w:rPr>
          <w:rFonts w:eastAsiaTheme="minorEastAsia"/>
        </w:rPr>
        <w:t>The purpose of the Denied Applicant Survey</w:t>
      </w:r>
      <w:r>
        <w:rPr>
          <w:rFonts w:eastAsiaTheme="minorEastAsia"/>
        </w:rPr>
        <w:t xml:space="preserve"> </w:t>
      </w:r>
      <w:r w:rsidRPr="007C5A72">
        <w:rPr>
          <w:rFonts w:eastAsiaTheme="minorEastAsia"/>
        </w:rPr>
        <w:t>is to determine whether WIC applicants who were deemed ineligible were correctly or erroneously denied WIC benefits. The survey data will inform the estimation of the rate and</w:t>
      </w:r>
      <w:bookmarkStart w:id="49" w:name="_Hlk497855562"/>
      <w:r w:rsidRPr="007C5A72">
        <w:rPr>
          <w:rFonts w:eastAsiaTheme="minorEastAsia"/>
        </w:rPr>
        <w:t xml:space="preserve"> associated dollar cost of underpayments due to erroneous denials. </w:t>
      </w:r>
      <w:bookmarkEnd w:id="49"/>
      <w:r w:rsidRPr="007C5A72">
        <w:rPr>
          <w:rFonts w:eastAsiaTheme="minorEastAsia"/>
        </w:rPr>
        <w:t xml:space="preserve">An additional purpose is to </w:t>
      </w:r>
      <w:r>
        <w:rPr>
          <w:rFonts w:eastAsiaTheme="minorEastAsia"/>
        </w:rPr>
        <w:t>determine</w:t>
      </w:r>
      <w:r w:rsidRPr="007C5A72">
        <w:rPr>
          <w:rFonts w:eastAsiaTheme="minorEastAsia"/>
        </w:rPr>
        <w:t xml:space="preserve"> the </w:t>
      </w:r>
      <w:r>
        <w:rPr>
          <w:rFonts w:eastAsiaTheme="minorEastAsia"/>
        </w:rPr>
        <w:t xml:space="preserve">most common </w:t>
      </w:r>
      <w:r w:rsidRPr="007C5A72">
        <w:rPr>
          <w:rFonts w:eastAsiaTheme="minorEastAsia"/>
        </w:rPr>
        <w:t>reasons applicants were correctly or erroneously denied WIC benefits. To achieve these objectives, the NSWP-III Denied Applicant Survey</w:t>
      </w:r>
      <w:r>
        <w:rPr>
          <w:rFonts w:eastAsiaTheme="minorEastAsia"/>
        </w:rPr>
        <w:t xml:space="preserve"> largely</w:t>
      </w:r>
      <w:r w:rsidRPr="007C5A72">
        <w:rPr>
          <w:rFonts w:eastAsiaTheme="minorEastAsia"/>
        </w:rPr>
        <w:t xml:space="preserve"> mirrors the Certification Survey</w:t>
      </w:r>
      <w:r w:rsidR="00D10B69">
        <w:rPr>
          <w:rFonts w:eastAsiaTheme="minorEastAsia"/>
        </w:rPr>
        <w:t>,</w:t>
      </w:r>
      <w:r w:rsidRPr="007C5A72">
        <w:rPr>
          <w:rFonts w:eastAsiaTheme="minorEastAsia"/>
        </w:rPr>
        <w:t xml:space="preserve"> with appropriate modifications to introductory language and question stems—for example, referring to the applicant’s “date of application” rather than “date of certification.”</w:t>
      </w:r>
      <w:r>
        <w:rPr>
          <w:rFonts w:eastAsiaTheme="minorEastAsia"/>
        </w:rPr>
        <w:t xml:space="preserve"> The Denied Applicant</w:t>
      </w:r>
      <w:r w:rsidRPr="003A5577">
        <w:rPr>
          <w:rFonts w:eastAsiaTheme="minorEastAsia"/>
        </w:rPr>
        <w:t xml:space="preserve"> Survey will be condu</w:t>
      </w:r>
      <w:r>
        <w:rPr>
          <w:rFonts w:eastAsiaTheme="minorEastAsia"/>
        </w:rPr>
        <w:t xml:space="preserve">cted with </w:t>
      </w:r>
      <w:r w:rsidRPr="00C20FFA">
        <w:rPr>
          <w:rFonts w:eastAsiaTheme="minorEastAsia"/>
        </w:rPr>
        <w:t xml:space="preserve">applicants who were denied WIC benefits </w:t>
      </w:r>
      <w:r>
        <w:rPr>
          <w:rFonts w:eastAsiaTheme="minorEastAsia"/>
        </w:rPr>
        <w:t>up to</w:t>
      </w:r>
      <w:r w:rsidRPr="00C20FFA">
        <w:rPr>
          <w:rFonts w:eastAsiaTheme="minorEastAsia"/>
        </w:rPr>
        <w:t xml:space="preserve"> </w:t>
      </w:r>
      <w:r w:rsidR="00DD4C92">
        <w:rPr>
          <w:rFonts w:eastAsiaTheme="minorEastAsia"/>
        </w:rPr>
        <w:t>3</w:t>
      </w:r>
      <w:r w:rsidRPr="00C20FFA">
        <w:rPr>
          <w:rFonts w:eastAsiaTheme="minorEastAsia"/>
        </w:rPr>
        <w:t xml:space="preserve"> months prior to the </w:t>
      </w:r>
      <w:r>
        <w:rPr>
          <w:rFonts w:eastAsiaTheme="minorEastAsia"/>
        </w:rPr>
        <w:t xml:space="preserve">start of data collection. Surveys will be completed one </w:t>
      </w:r>
      <w:r w:rsidRPr="00E3349A">
        <w:rPr>
          <w:rFonts w:eastAsiaTheme="minorEastAsia"/>
        </w:rPr>
        <w:t xml:space="preserve">time in English </w:t>
      </w:r>
      <w:r w:rsidR="000B557A" w:rsidRPr="00E3349A">
        <w:rPr>
          <w:rFonts w:eastAsiaTheme="minorEastAsia"/>
        </w:rPr>
        <w:t>(Appendices B4</w:t>
      </w:r>
      <w:r w:rsidR="003F3787" w:rsidRPr="00E3349A">
        <w:rPr>
          <w:rFonts w:eastAsiaTheme="minorEastAsia"/>
        </w:rPr>
        <w:t>.</w:t>
      </w:r>
      <w:r w:rsidR="000B557A" w:rsidRPr="00E3349A">
        <w:rPr>
          <w:rFonts w:eastAsiaTheme="minorEastAsia"/>
        </w:rPr>
        <w:t>a or B4</w:t>
      </w:r>
      <w:r w:rsidR="003F3787" w:rsidRPr="00E3349A">
        <w:rPr>
          <w:rFonts w:eastAsiaTheme="minorEastAsia"/>
        </w:rPr>
        <w:t>.</w:t>
      </w:r>
      <w:r w:rsidR="000B557A" w:rsidRPr="00E3349A">
        <w:rPr>
          <w:rFonts w:eastAsiaTheme="minorEastAsia"/>
        </w:rPr>
        <w:t xml:space="preserve">b) </w:t>
      </w:r>
      <w:r w:rsidRPr="00E3349A">
        <w:rPr>
          <w:rFonts w:eastAsiaTheme="minorEastAsia"/>
        </w:rPr>
        <w:t>or Spanish</w:t>
      </w:r>
      <w:r w:rsidR="000B557A" w:rsidRPr="00E3349A">
        <w:rPr>
          <w:rFonts w:eastAsiaTheme="minorEastAsia"/>
        </w:rPr>
        <w:t xml:space="preserve"> (Appendices B4</w:t>
      </w:r>
      <w:r w:rsidR="003F3787" w:rsidRPr="00E3349A">
        <w:rPr>
          <w:rFonts w:eastAsiaTheme="minorEastAsia"/>
        </w:rPr>
        <w:t>.</w:t>
      </w:r>
      <w:r w:rsidR="000B557A" w:rsidRPr="00E3349A">
        <w:rPr>
          <w:rFonts w:eastAsiaTheme="minorEastAsia"/>
        </w:rPr>
        <w:t>c or B4</w:t>
      </w:r>
      <w:r w:rsidR="003F3787" w:rsidRPr="00E3349A">
        <w:rPr>
          <w:rFonts w:eastAsiaTheme="minorEastAsia"/>
        </w:rPr>
        <w:t>.</w:t>
      </w:r>
      <w:r w:rsidR="000B557A" w:rsidRPr="00E3349A">
        <w:rPr>
          <w:rFonts w:eastAsiaTheme="minorEastAsia"/>
        </w:rPr>
        <w:t>d)</w:t>
      </w:r>
      <w:r w:rsidRPr="00E3349A">
        <w:rPr>
          <w:rFonts w:eastAsiaTheme="minorEastAsia"/>
        </w:rPr>
        <w:t>, as appro</w:t>
      </w:r>
      <w:r>
        <w:rPr>
          <w:rFonts w:eastAsiaTheme="minorEastAsia"/>
        </w:rPr>
        <w:t>priate</w:t>
      </w:r>
      <w:r w:rsidR="00236395">
        <w:rPr>
          <w:rFonts w:eastAsiaTheme="minorEastAsia"/>
        </w:rPr>
        <w:t>.</w:t>
      </w:r>
      <w:r w:rsidR="00236395" w:rsidRPr="00236395">
        <w:t xml:space="preserve"> </w:t>
      </w:r>
      <w:r w:rsidR="00236395" w:rsidRPr="00236395">
        <w:rPr>
          <w:rFonts w:eastAsiaTheme="minorEastAsia"/>
        </w:rPr>
        <w:t xml:space="preserve">The </w:t>
      </w:r>
      <w:r w:rsidR="00236395">
        <w:rPr>
          <w:rFonts w:eastAsiaTheme="minorEastAsia"/>
        </w:rPr>
        <w:t>Denied Applicant</w:t>
      </w:r>
      <w:r w:rsidR="00236395" w:rsidRPr="00236395">
        <w:rPr>
          <w:rFonts w:eastAsiaTheme="minorEastAsia"/>
        </w:rPr>
        <w:t xml:space="preserve"> Survey has two versions. Version A</w:t>
      </w:r>
      <w:r w:rsidR="00236395">
        <w:rPr>
          <w:rFonts w:eastAsiaTheme="minorEastAsia"/>
        </w:rPr>
        <w:t xml:space="preserve"> (Appendices B4.a and B4</w:t>
      </w:r>
      <w:r w:rsidR="00236395" w:rsidRPr="00236395">
        <w:rPr>
          <w:rFonts w:eastAsiaTheme="minorEastAsia"/>
        </w:rPr>
        <w:t xml:space="preserve">.c) is used when the sampled participant is a pregnant, breastfeeding or postpartum, non-breastfeeding </w:t>
      </w:r>
      <w:r w:rsidR="00236395">
        <w:rPr>
          <w:rFonts w:eastAsiaTheme="minorEastAsia"/>
        </w:rPr>
        <w:t>woman</w:t>
      </w:r>
      <w:r w:rsidR="004F1DE9">
        <w:rPr>
          <w:rFonts w:eastAsiaTheme="minorEastAsia"/>
        </w:rPr>
        <w:t xml:space="preserve">. </w:t>
      </w:r>
      <w:r w:rsidR="00236395">
        <w:rPr>
          <w:rFonts w:eastAsiaTheme="minorEastAsia"/>
        </w:rPr>
        <w:t>Version B (Appendices B4.b and B4</w:t>
      </w:r>
      <w:r w:rsidR="00236395" w:rsidRPr="00236395">
        <w:rPr>
          <w:rFonts w:eastAsiaTheme="minorEastAsia"/>
        </w:rPr>
        <w:t>.d) is used when the participant is an infant or child. The survey respondent for Version B is the adult applicant who sought WIC certification for the infant or child</w:t>
      </w:r>
      <w:r w:rsidR="004F1DE9">
        <w:rPr>
          <w:rFonts w:eastAsiaTheme="minorEastAsia"/>
        </w:rPr>
        <w:t xml:space="preserve">. </w:t>
      </w:r>
      <w:r>
        <w:rPr>
          <w:rFonts w:eastAsiaTheme="minorEastAsia"/>
        </w:rPr>
        <w:t xml:space="preserve">The Denied Applicant Survey will take place </w:t>
      </w:r>
      <w:r w:rsidRPr="00E61D70">
        <w:rPr>
          <w:rFonts w:eastAsiaTheme="minorEastAsia"/>
        </w:rPr>
        <w:t>in the respondent’s home or at an alternate location, if preferred.</w:t>
      </w:r>
    </w:p>
    <w:p w14:paraId="664C4A6E" w14:textId="306DF522" w:rsidR="00066280" w:rsidRDefault="00066280" w:rsidP="00066280">
      <w:pPr>
        <w:ind w:firstLine="720"/>
        <w:rPr>
          <w:rFonts w:eastAsiaTheme="minorEastAsia"/>
        </w:rPr>
      </w:pPr>
      <w:r>
        <w:rPr>
          <w:rFonts w:eastAsiaTheme="minorEastAsia"/>
        </w:rPr>
        <w:t xml:space="preserve">Similar to the use of data from the Certification Survey, data from the Denied Applicant Survey will be used to identify applicants who appear to have met eligibility criteria but were denied WIC. These cases will then be </w:t>
      </w:r>
      <w:r w:rsidR="00DD4C92">
        <w:rPr>
          <w:rFonts w:eastAsiaTheme="minorEastAsia"/>
        </w:rPr>
        <w:t>included in</w:t>
      </w:r>
      <w:r>
        <w:rPr>
          <w:rFonts w:eastAsiaTheme="minorEastAsia"/>
        </w:rPr>
        <w:t xml:space="preserve"> </w:t>
      </w:r>
      <w:r w:rsidR="00DD4C92">
        <w:rPr>
          <w:rFonts w:eastAsiaTheme="minorEastAsia"/>
        </w:rPr>
        <w:t>estimates</w:t>
      </w:r>
      <w:r>
        <w:rPr>
          <w:rFonts w:eastAsiaTheme="minorEastAsia"/>
        </w:rPr>
        <w:t xml:space="preserve"> </w:t>
      </w:r>
      <w:r w:rsidR="00DD4C92" w:rsidRPr="00DD4C92">
        <w:rPr>
          <w:rFonts w:eastAsiaTheme="minorEastAsia"/>
        </w:rPr>
        <w:t xml:space="preserve">of improper payments as instances of “erroneously denied case errors” </w:t>
      </w:r>
      <w:r w:rsidR="005C49EF">
        <w:rPr>
          <w:rFonts w:eastAsiaTheme="minorEastAsia"/>
        </w:rPr>
        <w:t>and associated dollar error</w:t>
      </w:r>
      <w:r w:rsidR="00DD4C92">
        <w:rPr>
          <w:rFonts w:eastAsiaTheme="minorEastAsia"/>
        </w:rPr>
        <w:t xml:space="preserve"> of such underpayments</w:t>
      </w:r>
      <w:r w:rsidR="005C49EF">
        <w:rPr>
          <w:rFonts w:eastAsiaTheme="minorEastAsia"/>
        </w:rPr>
        <w:t xml:space="preserve">, </w:t>
      </w:r>
      <w:r w:rsidR="00F77E59">
        <w:rPr>
          <w:rFonts w:eastAsiaTheme="minorEastAsia"/>
        </w:rPr>
        <w:t xml:space="preserve">using extant data and a similar method </w:t>
      </w:r>
      <w:r w:rsidR="00D10B69">
        <w:rPr>
          <w:rFonts w:eastAsiaTheme="minorEastAsia"/>
        </w:rPr>
        <w:t>to</w:t>
      </w:r>
      <w:r w:rsidR="00F77E59">
        <w:rPr>
          <w:rFonts w:eastAsiaTheme="minorEastAsia"/>
        </w:rPr>
        <w:t xml:space="preserve"> </w:t>
      </w:r>
      <w:r w:rsidR="00D10B69">
        <w:rPr>
          <w:rFonts w:eastAsiaTheme="minorEastAsia"/>
        </w:rPr>
        <w:t>that</w:t>
      </w:r>
      <w:r w:rsidR="00F77E59">
        <w:rPr>
          <w:rFonts w:eastAsiaTheme="minorEastAsia"/>
        </w:rPr>
        <w:t xml:space="preserve"> described for the Certification Survey.</w:t>
      </w:r>
    </w:p>
    <w:p w14:paraId="0D870064" w14:textId="1F2FB9C5" w:rsidR="00EF4EE5" w:rsidRDefault="009C6C6E" w:rsidP="009D5B7F">
      <w:pPr>
        <w:widowControl w:val="0"/>
        <w:ind w:firstLine="720"/>
        <w:rPr>
          <w:rFonts w:eastAsiaTheme="minorEastAsia"/>
        </w:rPr>
      </w:pPr>
      <w:r w:rsidRPr="005025A1">
        <w:rPr>
          <w:b/>
        </w:rPr>
        <w:t>Program Experiences Survey</w:t>
      </w:r>
      <w:r w:rsidR="009412E4" w:rsidRPr="005025A1">
        <w:rPr>
          <w:rFonts w:eastAsiaTheme="minorEastAsia"/>
          <w:b/>
        </w:rPr>
        <w:t>.</w:t>
      </w:r>
      <w:r w:rsidR="009412E4" w:rsidRPr="009412E4">
        <w:rPr>
          <w:rFonts w:eastAsiaTheme="minorEastAsia"/>
          <w:b/>
          <w:i/>
        </w:rPr>
        <w:t xml:space="preserve"> </w:t>
      </w:r>
      <w:r w:rsidR="00256ED2" w:rsidRPr="007C5A72">
        <w:rPr>
          <w:rFonts w:eastAsiaTheme="minorEastAsia"/>
        </w:rPr>
        <w:t xml:space="preserve">The Program Experiences Survey will collect data </w:t>
      </w:r>
      <w:r w:rsidR="00A2072C">
        <w:rPr>
          <w:rFonts w:eastAsiaTheme="minorEastAsia"/>
        </w:rPr>
        <w:t>from</w:t>
      </w:r>
      <w:r w:rsidR="00256ED2" w:rsidRPr="007C5A72">
        <w:rPr>
          <w:rFonts w:eastAsiaTheme="minorEastAsia"/>
        </w:rPr>
        <w:t xml:space="preserve"> </w:t>
      </w:r>
      <w:r w:rsidR="00BA1E02">
        <w:rPr>
          <w:rFonts w:eastAsiaTheme="minorEastAsia"/>
        </w:rPr>
        <w:t xml:space="preserve">a nationally representative sample of WIC participants on their </w:t>
      </w:r>
      <w:r w:rsidR="00256ED2" w:rsidRPr="007C5A72">
        <w:rPr>
          <w:rFonts w:eastAsiaTheme="minorEastAsia"/>
        </w:rPr>
        <w:t xml:space="preserve">program experiences, participation in other programs, food security, and other characteristics not available from </w:t>
      </w:r>
      <w:r w:rsidR="00BA1E02">
        <w:rPr>
          <w:rFonts w:eastAsiaTheme="minorEastAsia"/>
        </w:rPr>
        <w:t xml:space="preserve">other </w:t>
      </w:r>
      <w:r w:rsidR="00256ED2" w:rsidRPr="007C5A72">
        <w:rPr>
          <w:rFonts w:eastAsiaTheme="minorEastAsia"/>
        </w:rPr>
        <w:t>administrative data. The Program Experiences Survey was created by incorporating and modifying questions from NSWP-II. Some questions are new to the NSWP-III survey.</w:t>
      </w:r>
      <w:r w:rsidR="00665B22">
        <w:rPr>
          <w:rFonts w:eastAsiaTheme="minorEastAsia"/>
        </w:rPr>
        <w:t xml:space="preserve"> The </w:t>
      </w:r>
      <w:r w:rsidR="00665B22" w:rsidRPr="007C5A72">
        <w:rPr>
          <w:rFonts w:eastAsiaTheme="minorEastAsia"/>
        </w:rPr>
        <w:t xml:space="preserve">Program Experiences </w:t>
      </w:r>
      <w:r w:rsidR="00665B22" w:rsidRPr="00E3349A">
        <w:rPr>
          <w:rFonts w:eastAsiaTheme="minorEastAsia"/>
        </w:rPr>
        <w:t xml:space="preserve">Survey will be conducted </w:t>
      </w:r>
      <w:r w:rsidR="00BA1E02" w:rsidRPr="00E3349A">
        <w:rPr>
          <w:rFonts w:eastAsiaTheme="minorEastAsia"/>
        </w:rPr>
        <w:t xml:space="preserve">one time </w:t>
      </w:r>
      <w:r w:rsidR="00665B22" w:rsidRPr="00E3349A">
        <w:rPr>
          <w:rFonts w:eastAsiaTheme="minorEastAsia"/>
        </w:rPr>
        <w:t xml:space="preserve">with </w:t>
      </w:r>
      <w:r w:rsidR="00EF4EE5" w:rsidRPr="00E3349A">
        <w:rPr>
          <w:rFonts w:eastAsiaTheme="minorEastAsia"/>
        </w:rPr>
        <w:t>current WIC participants</w:t>
      </w:r>
      <w:r w:rsidR="00BA1E02" w:rsidRPr="00E3349A">
        <w:rPr>
          <w:rFonts w:eastAsiaTheme="minorEastAsia"/>
        </w:rPr>
        <w:t xml:space="preserve"> in the study sample</w:t>
      </w:r>
      <w:r w:rsidR="00D10B69" w:rsidRPr="00E3349A">
        <w:rPr>
          <w:rFonts w:eastAsiaTheme="minorEastAsia"/>
        </w:rPr>
        <w:t>,</w:t>
      </w:r>
      <w:r w:rsidR="00EF4EE5" w:rsidRPr="00E3349A">
        <w:rPr>
          <w:rFonts w:eastAsiaTheme="minorEastAsia"/>
        </w:rPr>
        <w:t xml:space="preserve"> in English</w:t>
      </w:r>
      <w:r w:rsidR="00360EE0" w:rsidRPr="00E3349A">
        <w:rPr>
          <w:rFonts w:eastAsiaTheme="minorEastAsia"/>
        </w:rPr>
        <w:t xml:space="preserve"> (Appendi</w:t>
      </w:r>
      <w:r w:rsidR="00C235DD" w:rsidRPr="00E3349A">
        <w:rPr>
          <w:rFonts w:eastAsiaTheme="minorEastAsia"/>
        </w:rPr>
        <w:t>ces B5</w:t>
      </w:r>
      <w:r w:rsidR="003F3787" w:rsidRPr="00E3349A">
        <w:rPr>
          <w:rFonts w:eastAsiaTheme="minorEastAsia"/>
        </w:rPr>
        <w:t>.</w:t>
      </w:r>
      <w:r w:rsidR="00C235DD" w:rsidRPr="00E3349A">
        <w:rPr>
          <w:rFonts w:eastAsiaTheme="minorEastAsia"/>
        </w:rPr>
        <w:t>a or B5</w:t>
      </w:r>
      <w:r w:rsidR="003F3787" w:rsidRPr="00E3349A">
        <w:rPr>
          <w:rFonts w:eastAsiaTheme="minorEastAsia"/>
        </w:rPr>
        <w:t>.</w:t>
      </w:r>
      <w:r w:rsidR="00C235DD" w:rsidRPr="00E3349A">
        <w:rPr>
          <w:rFonts w:eastAsiaTheme="minorEastAsia"/>
        </w:rPr>
        <w:t>b</w:t>
      </w:r>
      <w:r w:rsidR="00360EE0" w:rsidRPr="00E3349A">
        <w:rPr>
          <w:rFonts w:eastAsiaTheme="minorEastAsia"/>
        </w:rPr>
        <w:t>)</w:t>
      </w:r>
      <w:r w:rsidR="00EF4EE5" w:rsidRPr="00E3349A">
        <w:rPr>
          <w:rFonts w:eastAsiaTheme="minorEastAsia"/>
        </w:rPr>
        <w:t xml:space="preserve"> or Spanish</w:t>
      </w:r>
      <w:r w:rsidR="00360EE0" w:rsidRPr="00E3349A">
        <w:rPr>
          <w:rFonts w:eastAsiaTheme="minorEastAsia"/>
        </w:rPr>
        <w:t xml:space="preserve"> (Appendix </w:t>
      </w:r>
      <w:r w:rsidR="00C235DD" w:rsidRPr="00E3349A">
        <w:rPr>
          <w:rFonts w:eastAsiaTheme="minorEastAsia"/>
        </w:rPr>
        <w:t>B5</w:t>
      </w:r>
      <w:r w:rsidR="003F3787" w:rsidRPr="00E3349A">
        <w:rPr>
          <w:rFonts w:eastAsiaTheme="minorEastAsia"/>
        </w:rPr>
        <w:t>.</w:t>
      </w:r>
      <w:r w:rsidR="00C235DD" w:rsidRPr="00E3349A">
        <w:rPr>
          <w:rFonts w:eastAsiaTheme="minorEastAsia"/>
        </w:rPr>
        <w:t>c or B5</w:t>
      </w:r>
      <w:r w:rsidR="003F3787" w:rsidRPr="00E3349A">
        <w:rPr>
          <w:rFonts w:eastAsiaTheme="minorEastAsia"/>
        </w:rPr>
        <w:t>.</w:t>
      </w:r>
      <w:r w:rsidR="00C235DD" w:rsidRPr="00E3349A">
        <w:rPr>
          <w:rFonts w:eastAsiaTheme="minorEastAsia"/>
        </w:rPr>
        <w:t>d</w:t>
      </w:r>
      <w:r w:rsidR="00360EE0" w:rsidRPr="00E3349A">
        <w:rPr>
          <w:rFonts w:eastAsiaTheme="minorEastAsia"/>
        </w:rPr>
        <w:t>)</w:t>
      </w:r>
      <w:r w:rsidR="00EF4EE5" w:rsidRPr="00E3349A">
        <w:rPr>
          <w:rFonts w:eastAsiaTheme="minorEastAsia"/>
        </w:rPr>
        <w:t xml:space="preserve">, as appropriate. </w:t>
      </w:r>
      <w:r w:rsidR="00236395" w:rsidRPr="00875F1C">
        <w:rPr>
          <w:rFonts w:eastAsiaTheme="minorEastAsia"/>
        </w:rPr>
        <w:t xml:space="preserve">The </w:t>
      </w:r>
      <w:r w:rsidR="00236395">
        <w:rPr>
          <w:rFonts w:eastAsiaTheme="minorEastAsia"/>
        </w:rPr>
        <w:t xml:space="preserve">survey has two versions. </w:t>
      </w:r>
      <w:r w:rsidR="00236395" w:rsidRPr="00875F1C">
        <w:rPr>
          <w:rFonts w:eastAsiaTheme="minorEastAsia"/>
        </w:rPr>
        <w:t>Version A (</w:t>
      </w:r>
      <w:r w:rsidR="00AA5F2A">
        <w:rPr>
          <w:rFonts w:eastAsiaTheme="minorEastAsia"/>
        </w:rPr>
        <w:t>Appendices B5.a and B5</w:t>
      </w:r>
      <w:r w:rsidR="00236395">
        <w:rPr>
          <w:rFonts w:eastAsiaTheme="minorEastAsia"/>
        </w:rPr>
        <w:t xml:space="preserve">.c) </w:t>
      </w:r>
      <w:r w:rsidR="00236395" w:rsidRPr="00875F1C">
        <w:rPr>
          <w:rFonts w:eastAsiaTheme="minorEastAsia"/>
        </w:rPr>
        <w:t>is used when the sampled participant is a pregnant, breastfeeding or postpartum, non-breastfeeding woman</w:t>
      </w:r>
      <w:r w:rsidR="004F1DE9">
        <w:rPr>
          <w:rFonts w:eastAsiaTheme="minorEastAsia"/>
        </w:rPr>
        <w:t xml:space="preserve">. </w:t>
      </w:r>
      <w:r w:rsidR="00236395" w:rsidRPr="00875F1C">
        <w:rPr>
          <w:rFonts w:eastAsiaTheme="minorEastAsia"/>
        </w:rPr>
        <w:t xml:space="preserve">Version B </w:t>
      </w:r>
      <w:r w:rsidR="00AA5F2A">
        <w:rPr>
          <w:rFonts w:eastAsiaTheme="minorEastAsia"/>
        </w:rPr>
        <w:t>(Appendices B5</w:t>
      </w:r>
      <w:r w:rsidR="00236395">
        <w:rPr>
          <w:rFonts w:eastAsiaTheme="minorEastAsia"/>
        </w:rPr>
        <w:t xml:space="preserve">.b </w:t>
      </w:r>
      <w:r w:rsidR="00AA5F2A">
        <w:rPr>
          <w:rFonts w:eastAsiaTheme="minorEastAsia"/>
        </w:rPr>
        <w:t>and B5</w:t>
      </w:r>
      <w:r w:rsidR="00236395">
        <w:rPr>
          <w:rFonts w:eastAsiaTheme="minorEastAsia"/>
        </w:rPr>
        <w:t xml:space="preserve">.d) </w:t>
      </w:r>
      <w:r w:rsidR="00236395" w:rsidRPr="00875F1C">
        <w:rPr>
          <w:rFonts w:eastAsiaTheme="minorEastAsia"/>
        </w:rPr>
        <w:t xml:space="preserve">is used when the participant is an infant or child. The survey respondent for Version B is the adult applicant who sought WIC certification for the infant or child. </w:t>
      </w:r>
      <w:r w:rsidR="00EF4EE5" w:rsidRPr="00E3349A">
        <w:rPr>
          <w:rFonts w:eastAsiaTheme="minorEastAsia"/>
        </w:rPr>
        <w:t xml:space="preserve">The </w:t>
      </w:r>
      <w:r w:rsidR="00FA39EC" w:rsidRPr="00E3349A">
        <w:rPr>
          <w:rFonts w:eastAsiaTheme="minorEastAsia"/>
        </w:rPr>
        <w:t>Program</w:t>
      </w:r>
      <w:r w:rsidR="00FA39EC" w:rsidRPr="007C5A72">
        <w:rPr>
          <w:rFonts w:eastAsiaTheme="minorEastAsia"/>
        </w:rPr>
        <w:t xml:space="preserve"> Experiences</w:t>
      </w:r>
      <w:r w:rsidR="00306208">
        <w:rPr>
          <w:rFonts w:eastAsiaTheme="minorEastAsia"/>
        </w:rPr>
        <w:t xml:space="preserve"> Survey</w:t>
      </w:r>
      <w:r w:rsidR="00EF4EE5">
        <w:rPr>
          <w:rFonts w:eastAsiaTheme="minorEastAsia"/>
        </w:rPr>
        <w:t xml:space="preserve"> will take place </w:t>
      </w:r>
      <w:r w:rsidR="00EF4EE5" w:rsidRPr="00E61D70">
        <w:rPr>
          <w:rFonts w:eastAsiaTheme="minorEastAsia"/>
        </w:rPr>
        <w:t xml:space="preserve">in the respondent’s home </w:t>
      </w:r>
      <w:r w:rsidR="00EF4EE5">
        <w:rPr>
          <w:rFonts w:eastAsiaTheme="minorEastAsia"/>
        </w:rPr>
        <w:t>(</w:t>
      </w:r>
      <w:r w:rsidR="00EF4EE5" w:rsidRPr="00E61D70">
        <w:rPr>
          <w:rFonts w:eastAsiaTheme="minorEastAsia"/>
        </w:rPr>
        <w:t>or at an alternate location</w:t>
      </w:r>
      <w:r w:rsidR="00EF4EE5">
        <w:rPr>
          <w:rFonts w:eastAsiaTheme="minorEastAsia"/>
        </w:rPr>
        <w:t>, if preferred) or by telephone.</w:t>
      </w:r>
    </w:p>
    <w:p w14:paraId="0F26B940" w14:textId="14FB58E8" w:rsidR="00BA1E02" w:rsidRDefault="00BA1E02" w:rsidP="00EF4EE5">
      <w:pPr>
        <w:ind w:firstLine="720"/>
        <w:rPr>
          <w:rFonts w:eastAsiaTheme="minorEastAsia"/>
        </w:rPr>
      </w:pPr>
      <w:r>
        <w:rPr>
          <w:rFonts w:eastAsiaTheme="minorEastAsia"/>
        </w:rPr>
        <w:t xml:space="preserve">Data will be aggregated across the sample and for each of the five WIC categories in the sample to produce nationally representative estimates of key indicators of participants’ program experiences (e.g., satisfaction with food packages, WIC staff, certification procedures, </w:t>
      </w:r>
      <w:r w:rsidR="00672109">
        <w:rPr>
          <w:rFonts w:eastAsiaTheme="minorEastAsia"/>
        </w:rPr>
        <w:t xml:space="preserve">and </w:t>
      </w:r>
      <w:r>
        <w:rPr>
          <w:rFonts w:eastAsiaTheme="minorEastAsia"/>
        </w:rPr>
        <w:t xml:space="preserve">services provided), level of food security, </w:t>
      </w:r>
      <w:r w:rsidR="00C57D3B">
        <w:rPr>
          <w:rFonts w:eastAsiaTheme="minorEastAsia"/>
        </w:rPr>
        <w:t xml:space="preserve">and </w:t>
      </w:r>
      <w:r>
        <w:rPr>
          <w:rFonts w:eastAsiaTheme="minorEastAsia"/>
        </w:rPr>
        <w:t xml:space="preserve">co-participation in other assistance programs. </w:t>
      </w:r>
    </w:p>
    <w:p w14:paraId="486DB6E3" w14:textId="146519F9" w:rsidR="0016349E" w:rsidRDefault="00CE593F" w:rsidP="007B317E">
      <w:pPr>
        <w:rPr>
          <w:rFonts w:eastAsiaTheme="minorEastAsia"/>
        </w:rPr>
      </w:pPr>
      <w:r>
        <w:tab/>
      </w:r>
      <w:r w:rsidR="000307C4" w:rsidRPr="005025A1">
        <w:rPr>
          <w:b/>
        </w:rPr>
        <w:t>Former WIC Participants Case Study</w:t>
      </w:r>
      <w:r w:rsidRPr="00CE593F">
        <w:rPr>
          <w:b/>
          <w:i/>
        </w:rPr>
        <w:t>.</w:t>
      </w:r>
      <w:r>
        <w:t xml:space="preserve"> </w:t>
      </w:r>
      <w:r w:rsidR="00256ED2" w:rsidRPr="007C5A72">
        <w:t xml:space="preserve">The Former WIC Participants Case Study consists of </w:t>
      </w:r>
      <w:r w:rsidR="00BA1E02">
        <w:t xml:space="preserve">a </w:t>
      </w:r>
      <w:r w:rsidR="00256ED2" w:rsidRPr="007C5A72">
        <w:t xml:space="preserve">qualitative </w:t>
      </w:r>
      <w:r w:rsidR="00BA1E02">
        <w:t xml:space="preserve">semi-structured </w:t>
      </w:r>
      <w:r w:rsidR="00256ED2" w:rsidRPr="007C5A72">
        <w:t>interview</w:t>
      </w:r>
      <w:r w:rsidR="00BA1E02">
        <w:t xml:space="preserve"> with a purposive sample of inactive WIC participants (i.e., those who have stopped redeeming WIC benefits prior to the end of their certification period) and i</w:t>
      </w:r>
      <w:r w:rsidR="00256ED2" w:rsidRPr="007C5A72">
        <w:t>s designed to examine the barriers and facilitators to WIC program retention.</w:t>
      </w:r>
      <w:r w:rsidR="00B24F42" w:rsidRPr="00EE026A">
        <w:rPr>
          <w:rStyle w:val="FootnoteReference"/>
        </w:rPr>
        <w:footnoteReference w:id="9"/>
      </w:r>
      <w:r w:rsidR="00B24F42" w:rsidRPr="00B24F42">
        <w:rPr>
          <w:rFonts w:eastAsiaTheme="minorEastAsia"/>
          <w:vertAlign w:val="superscript"/>
        </w:rPr>
        <w:t>,</w:t>
      </w:r>
      <w:r w:rsidR="00D14EC3" w:rsidRPr="0047412A">
        <w:rPr>
          <w:color w:val="000000"/>
          <w:szCs w:val="24"/>
          <w:vertAlign w:val="superscript"/>
        </w:rPr>
        <w:footnoteReference w:id="10"/>
      </w:r>
      <w:r w:rsidR="00256ED2" w:rsidRPr="00AC79AA">
        <w:t xml:space="preserve"> </w:t>
      </w:r>
      <w:r w:rsidR="00256ED2" w:rsidRPr="007C5A72">
        <w:t xml:space="preserve">The instrument also seeks to determine reasons </w:t>
      </w:r>
      <w:r w:rsidR="00256ED2">
        <w:t>why a participant stopped redeeming benefits within their period</w:t>
      </w:r>
      <w:r w:rsidR="00256ED2" w:rsidRPr="007C5A72">
        <w:t xml:space="preserve"> of eligibility</w:t>
      </w:r>
      <w:r w:rsidR="00256ED2">
        <w:t>.</w:t>
      </w:r>
      <w:r w:rsidR="00F34524" w:rsidRPr="00EE026A">
        <w:rPr>
          <w:rStyle w:val="FootnoteReference"/>
        </w:rPr>
        <w:t xml:space="preserve"> </w:t>
      </w:r>
      <w:r w:rsidR="004D7416">
        <w:rPr>
          <w:rFonts w:eastAsiaTheme="minorEastAsia"/>
        </w:rPr>
        <w:t xml:space="preserve">The </w:t>
      </w:r>
      <w:r w:rsidR="004D7416" w:rsidRPr="007C5A72">
        <w:t xml:space="preserve">Former WIC Participants Case Study </w:t>
      </w:r>
      <w:r w:rsidR="004D7416">
        <w:t xml:space="preserve">interviews </w:t>
      </w:r>
      <w:r w:rsidR="004D7416" w:rsidRPr="003A5577">
        <w:rPr>
          <w:rFonts w:eastAsiaTheme="minorEastAsia"/>
        </w:rPr>
        <w:t>will be condu</w:t>
      </w:r>
      <w:r w:rsidR="004D7416">
        <w:rPr>
          <w:rFonts w:eastAsiaTheme="minorEastAsia"/>
        </w:rPr>
        <w:t xml:space="preserve">cted with </w:t>
      </w:r>
      <w:r w:rsidR="004D7416" w:rsidRPr="004D7416">
        <w:rPr>
          <w:rFonts w:eastAsiaTheme="minorEastAsia"/>
        </w:rPr>
        <w:t xml:space="preserve">former WIC participants who are not </w:t>
      </w:r>
      <w:r w:rsidR="00BA1E02">
        <w:rPr>
          <w:rFonts w:eastAsiaTheme="minorEastAsia"/>
        </w:rPr>
        <w:t>using WIC benefits or services</w:t>
      </w:r>
      <w:r w:rsidR="004D7416" w:rsidRPr="004D7416">
        <w:rPr>
          <w:rFonts w:eastAsiaTheme="minorEastAsia"/>
        </w:rPr>
        <w:t xml:space="preserve">, </w:t>
      </w:r>
      <w:r w:rsidR="00BA1E02">
        <w:rPr>
          <w:rFonts w:eastAsiaTheme="minorEastAsia"/>
        </w:rPr>
        <w:t>even though they have not yet reached the end of their certification period or otherwise remain eligible for WIC</w:t>
      </w:r>
      <w:r w:rsidR="004D7416" w:rsidRPr="004D7416">
        <w:rPr>
          <w:rFonts w:eastAsiaTheme="minorEastAsia"/>
        </w:rPr>
        <w:t>.</w:t>
      </w:r>
      <w:r w:rsidR="004D7416">
        <w:rPr>
          <w:rFonts w:eastAsiaTheme="minorEastAsia"/>
        </w:rPr>
        <w:t xml:space="preserve"> </w:t>
      </w:r>
      <w:r w:rsidR="00C540D2">
        <w:rPr>
          <w:rFonts w:eastAsiaTheme="minorEastAsia"/>
        </w:rPr>
        <w:t>Interviews</w:t>
      </w:r>
      <w:r w:rsidR="004D7416">
        <w:rPr>
          <w:rFonts w:eastAsiaTheme="minorEastAsia"/>
        </w:rPr>
        <w:t xml:space="preserve"> will be completed </w:t>
      </w:r>
      <w:r w:rsidR="00C540D2">
        <w:rPr>
          <w:rFonts w:eastAsiaTheme="minorEastAsia"/>
        </w:rPr>
        <w:t xml:space="preserve">by </w:t>
      </w:r>
      <w:r w:rsidR="00C540D2" w:rsidRPr="00E3349A">
        <w:rPr>
          <w:rFonts w:eastAsiaTheme="minorEastAsia"/>
        </w:rPr>
        <w:t xml:space="preserve">telephone, </w:t>
      </w:r>
      <w:r w:rsidR="004D7416" w:rsidRPr="00E3349A">
        <w:rPr>
          <w:rFonts w:eastAsiaTheme="minorEastAsia"/>
        </w:rPr>
        <w:t>one time</w:t>
      </w:r>
      <w:r w:rsidR="00C540D2" w:rsidRPr="00E3349A">
        <w:rPr>
          <w:rFonts w:eastAsiaTheme="minorEastAsia"/>
        </w:rPr>
        <w:t>, and</w:t>
      </w:r>
      <w:r w:rsidR="004D7416" w:rsidRPr="00E3349A">
        <w:rPr>
          <w:rFonts w:eastAsiaTheme="minorEastAsia"/>
        </w:rPr>
        <w:t xml:space="preserve"> in English </w:t>
      </w:r>
      <w:r w:rsidR="009F3E06" w:rsidRPr="00E3349A">
        <w:rPr>
          <w:rFonts w:eastAsiaTheme="minorEastAsia"/>
        </w:rPr>
        <w:t xml:space="preserve">(Appendix </w:t>
      </w:r>
      <w:r w:rsidR="001B042C" w:rsidRPr="00E3349A">
        <w:rPr>
          <w:rFonts w:eastAsiaTheme="minorEastAsia"/>
        </w:rPr>
        <w:t>B6a</w:t>
      </w:r>
      <w:r w:rsidR="009F3E06" w:rsidRPr="00E3349A">
        <w:rPr>
          <w:rFonts w:eastAsiaTheme="minorEastAsia"/>
        </w:rPr>
        <w:t xml:space="preserve">) </w:t>
      </w:r>
      <w:r w:rsidR="004D7416" w:rsidRPr="00E3349A">
        <w:rPr>
          <w:rFonts w:eastAsiaTheme="minorEastAsia"/>
        </w:rPr>
        <w:t>or Spanish</w:t>
      </w:r>
      <w:r w:rsidR="009F3E06" w:rsidRPr="00E3349A">
        <w:rPr>
          <w:rFonts w:eastAsiaTheme="minorEastAsia"/>
        </w:rPr>
        <w:t xml:space="preserve"> (Appendix </w:t>
      </w:r>
      <w:r w:rsidR="001B042C" w:rsidRPr="00E3349A">
        <w:rPr>
          <w:rFonts w:eastAsiaTheme="minorEastAsia"/>
        </w:rPr>
        <w:t>B6b</w:t>
      </w:r>
      <w:r w:rsidR="009F3E06" w:rsidRPr="00E3349A">
        <w:rPr>
          <w:rFonts w:eastAsiaTheme="minorEastAsia"/>
        </w:rPr>
        <w:t>)</w:t>
      </w:r>
      <w:r w:rsidR="004D7416" w:rsidRPr="00E3349A">
        <w:rPr>
          <w:rFonts w:eastAsiaTheme="minorEastAsia"/>
        </w:rPr>
        <w:t>, as appropriate</w:t>
      </w:r>
      <w:r w:rsidR="00C540D2" w:rsidRPr="00E3349A">
        <w:rPr>
          <w:rFonts w:eastAsiaTheme="minorEastAsia"/>
        </w:rPr>
        <w:t>.</w:t>
      </w:r>
    </w:p>
    <w:p w14:paraId="25F06CBF" w14:textId="3D97D36C" w:rsidR="00D8139A" w:rsidRPr="00D8139A" w:rsidRDefault="005771AB" w:rsidP="00220020">
      <w:pPr>
        <w:pStyle w:val="BodyText"/>
        <w:spacing w:after="0" w:line="480" w:lineRule="auto"/>
        <w:rPr>
          <w:rFonts w:ascii="Times New Roman" w:hAnsi="Times New Roman" w:cs="Times New Roman"/>
          <w:sz w:val="24"/>
          <w:szCs w:val="24"/>
        </w:rPr>
      </w:pPr>
      <w:r>
        <w:rPr>
          <w:rFonts w:eastAsiaTheme="minorEastAsia"/>
        </w:rPr>
        <w:tab/>
      </w:r>
      <w:r w:rsidR="00662894">
        <w:rPr>
          <w:rFonts w:ascii="Times New Roman" w:eastAsiaTheme="minorEastAsia" w:hAnsi="Times New Roman" w:cs="Times New Roman"/>
          <w:b/>
          <w:sz w:val="24"/>
          <w:szCs w:val="24"/>
        </w:rPr>
        <w:t>Administrative</w:t>
      </w:r>
      <w:r w:rsidRPr="00D8139A">
        <w:rPr>
          <w:rFonts w:ascii="Times New Roman" w:eastAsiaTheme="minorEastAsia" w:hAnsi="Times New Roman" w:cs="Times New Roman"/>
          <w:b/>
          <w:sz w:val="24"/>
          <w:szCs w:val="24"/>
        </w:rPr>
        <w:t xml:space="preserve"> Data</w:t>
      </w:r>
      <w:r w:rsidR="00D8139A" w:rsidRPr="00D8139A">
        <w:rPr>
          <w:rFonts w:ascii="Times New Roman" w:eastAsiaTheme="minorEastAsia" w:hAnsi="Times New Roman" w:cs="Times New Roman"/>
          <w:b/>
          <w:sz w:val="24"/>
          <w:szCs w:val="24"/>
        </w:rPr>
        <w:t>.</w:t>
      </w:r>
      <w:r w:rsidR="004477C4">
        <w:rPr>
          <w:rFonts w:ascii="Times New Roman" w:eastAsia="Calibri" w:hAnsi="Times New Roman" w:cs="Times New Roman"/>
          <w:sz w:val="24"/>
          <w:szCs w:val="24"/>
        </w:rPr>
        <w:t xml:space="preserve"> Administrative data will be collected from the 20 States included in the sampling frame. T</w:t>
      </w:r>
      <w:r w:rsidR="00D8139A" w:rsidRPr="00D8139A">
        <w:rPr>
          <w:rFonts w:ascii="Times New Roman" w:hAnsi="Times New Roman" w:cs="Times New Roman"/>
          <w:sz w:val="24"/>
          <w:szCs w:val="24"/>
        </w:rPr>
        <w:t xml:space="preserve">he research team will request </w:t>
      </w:r>
      <w:r w:rsidR="00D8139A">
        <w:rPr>
          <w:rFonts w:ascii="Times New Roman" w:hAnsi="Times New Roman" w:cs="Times New Roman"/>
          <w:sz w:val="24"/>
          <w:szCs w:val="24"/>
        </w:rPr>
        <w:t>State administrative data</w:t>
      </w:r>
      <w:r w:rsidR="00D8139A" w:rsidRPr="00D8139A">
        <w:rPr>
          <w:rFonts w:ascii="Times New Roman" w:hAnsi="Times New Roman" w:cs="Times New Roman"/>
          <w:sz w:val="24"/>
          <w:szCs w:val="24"/>
        </w:rPr>
        <w:t xml:space="preserve"> for WIC participants certified within a given reference period, their most recent certification dates and participant categories, along with address, telephone, and other contact information. The data elements will be used for final sample selection as well as contact information for selected participants.</w:t>
      </w:r>
      <w:r w:rsidR="00D8139A">
        <w:rPr>
          <w:rFonts w:ascii="Times New Roman" w:hAnsi="Times New Roman" w:cs="Times New Roman"/>
          <w:sz w:val="24"/>
          <w:szCs w:val="24"/>
        </w:rPr>
        <w:t xml:space="preserve"> </w:t>
      </w:r>
      <w:r w:rsidR="00D8139A" w:rsidRPr="00D8139A">
        <w:rPr>
          <w:rFonts w:ascii="Times New Roman" w:hAnsi="Times New Roman" w:cs="Times New Roman"/>
          <w:sz w:val="24"/>
          <w:szCs w:val="24"/>
        </w:rPr>
        <w:t xml:space="preserve">Consistent with the approach used in NSWP–II, the research team will provide estimates for both pre- and post-infant formula rebate certification and dollar error rates. State redemption and rebate data will be used for this purpose. </w:t>
      </w:r>
      <w:r w:rsidR="001A1240" w:rsidRPr="001A1240">
        <w:rPr>
          <w:rFonts w:ascii="Times New Roman" w:hAnsi="Times New Roman" w:cs="Times New Roman"/>
          <w:sz w:val="24"/>
          <w:szCs w:val="24"/>
        </w:rPr>
        <w:t xml:space="preserve">The State Agency Survey will include a section that examines rebates for infant foods (such as infant cereal). </w:t>
      </w:r>
      <w:r w:rsidR="00D8139A" w:rsidRPr="00D8139A">
        <w:rPr>
          <w:rFonts w:ascii="Times New Roman" w:hAnsi="Times New Roman" w:cs="Times New Roman"/>
          <w:sz w:val="24"/>
          <w:szCs w:val="24"/>
        </w:rPr>
        <w:t>Data collected from these sources will be used to calculate a national estimate of annual improper payments including specific data on items that are not infant formula rebates</w:t>
      </w:r>
      <w:bookmarkStart w:id="50" w:name="_Hlk499539349"/>
      <w:r w:rsidR="00D8139A" w:rsidRPr="00D8139A">
        <w:rPr>
          <w:rFonts w:ascii="Times New Roman" w:hAnsi="Times New Roman" w:cs="Times New Roman"/>
          <w:sz w:val="24"/>
          <w:szCs w:val="24"/>
        </w:rPr>
        <w:t xml:space="preserve">. </w:t>
      </w:r>
      <w:r w:rsidR="004477C4">
        <w:rPr>
          <w:rFonts w:ascii="Times New Roman" w:hAnsi="Times New Roman" w:cs="Times New Roman"/>
          <w:sz w:val="24"/>
          <w:szCs w:val="24"/>
        </w:rPr>
        <w:t xml:space="preserve">The FNS Regional Offices will send an initial overview of the administrative data requests to the selected States within their Region (Appendix </w:t>
      </w:r>
      <w:r w:rsidR="00F63C49">
        <w:rPr>
          <w:rFonts w:ascii="Times New Roman" w:hAnsi="Times New Roman" w:cs="Times New Roman"/>
          <w:sz w:val="24"/>
          <w:szCs w:val="24"/>
        </w:rPr>
        <w:t>C24</w:t>
      </w:r>
      <w:r w:rsidR="004477C4">
        <w:rPr>
          <w:rFonts w:ascii="Times New Roman" w:hAnsi="Times New Roman" w:cs="Times New Roman"/>
          <w:sz w:val="24"/>
          <w:szCs w:val="24"/>
        </w:rPr>
        <w:t>). Then,</w:t>
      </w:r>
      <w:r w:rsidR="005F1078">
        <w:rPr>
          <w:rFonts w:ascii="Times New Roman" w:hAnsi="Times New Roman" w:cs="Times New Roman"/>
          <w:sz w:val="24"/>
          <w:szCs w:val="24"/>
        </w:rPr>
        <w:t xml:space="preserve"> approximately one week later,</w:t>
      </w:r>
      <w:r w:rsidR="004477C4">
        <w:rPr>
          <w:rFonts w:ascii="Times New Roman" w:hAnsi="Times New Roman" w:cs="Times New Roman"/>
          <w:sz w:val="24"/>
          <w:szCs w:val="24"/>
        </w:rPr>
        <w:t xml:space="preserve"> the</w:t>
      </w:r>
      <w:r w:rsidR="005F1078">
        <w:rPr>
          <w:rFonts w:ascii="Times New Roman" w:hAnsi="Times New Roman" w:cs="Times New Roman"/>
          <w:sz w:val="24"/>
          <w:szCs w:val="24"/>
        </w:rPr>
        <w:t xml:space="preserve"> contractor will send more detailed instructions regarding the data request (Appendix </w:t>
      </w:r>
      <w:r w:rsidR="00F63C49">
        <w:rPr>
          <w:rFonts w:ascii="Times New Roman" w:hAnsi="Times New Roman" w:cs="Times New Roman"/>
          <w:sz w:val="24"/>
          <w:szCs w:val="24"/>
        </w:rPr>
        <w:t>B8</w:t>
      </w:r>
      <w:r w:rsidR="005F1078">
        <w:rPr>
          <w:rFonts w:ascii="Times New Roman" w:hAnsi="Times New Roman" w:cs="Times New Roman"/>
          <w:sz w:val="24"/>
          <w:szCs w:val="24"/>
        </w:rPr>
        <w:t xml:space="preserve">). </w:t>
      </w:r>
    </w:p>
    <w:bookmarkEnd w:id="50"/>
    <w:p w14:paraId="5100D0BC" w14:textId="31F492A5" w:rsidR="00D8139A" w:rsidRPr="003F7C54" w:rsidRDefault="003F7C54" w:rsidP="003F7C54">
      <w:pPr>
        <w:pStyle w:val="BodyText"/>
        <w:spacing w:after="0" w:line="480" w:lineRule="auto"/>
        <w:rPr>
          <w:rFonts w:ascii="Times New Roman" w:hAnsi="Times New Roman" w:cs="Times New Roman"/>
          <w:b/>
          <w:sz w:val="24"/>
          <w:szCs w:val="24"/>
        </w:rPr>
      </w:pPr>
      <w:r>
        <w:rPr>
          <w:rFonts w:ascii="Times New Roman" w:hAnsi="Times New Roman" w:cs="Times New Roman"/>
          <w:sz w:val="24"/>
          <w:szCs w:val="24"/>
        </w:rPr>
        <w:tab/>
      </w:r>
      <w:r w:rsidRPr="003F7C54">
        <w:rPr>
          <w:rFonts w:ascii="Times New Roman" w:hAnsi="Times New Roman" w:cs="Times New Roman"/>
          <w:b/>
          <w:sz w:val="24"/>
          <w:szCs w:val="24"/>
        </w:rPr>
        <w:t xml:space="preserve">Alternative Methodology </w:t>
      </w:r>
      <w:r w:rsidRPr="009103BB">
        <w:rPr>
          <w:rFonts w:ascii="Times New Roman" w:hAnsi="Times New Roman" w:cs="Times New Roman"/>
          <w:b/>
          <w:sz w:val="24"/>
          <w:szCs w:val="24"/>
        </w:rPr>
        <w:t>Pilot.</w:t>
      </w:r>
      <w:r w:rsidRPr="003F7C54">
        <w:rPr>
          <w:rFonts w:ascii="Times New Roman" w:hAnsi="Times New Roman" w:cs="Times New Roman"/>
          <w:b/>
          <w:sz w:val="24"/>
          <w:szCs w:val="24"/>
        </w:rPr>
        <w:t xml:space="preserve"> </w:t>
      </w:r>
      <w:r w:rsidRPr="003F7C54">
        <w:rPr>
          <w:rFonts w:ascii="Times New Roman" w:eastAsia="Times New Roman" w:hAnsi="Times New Roman" w:cs="Times New Roman"/>
          <w:color w:val="000000"/>
          <w:sz w:val="24"/>
          <w:szCs w:val="24"/>
        </w:rPr>
        <w:t>The procedures</w:t>
      </w:r>
      <w:r>
        <w:rPr>
          <w:rFonts w:ascii="Times New Roman" w:eastAsia="Times New Roman" w:hAnsi="Times New Roman" w:cs="Times New Roman"/>
          <w:color w:val="000000"/>
          <w:sz w:val="24"/>
          <w:szCs w:val="24"/>
        </w:rPr>
        <w:t xml:space="preserve"> for the alternative pilot</w:t>
      </w:r>
      <w:r w:rsidRPr="003F7C54">
        <w:rPr>
          <w:rFonts w:ascii="Times New Roman" w:eastAsia="Times New Roman" w:hAnsi="Times New Roman" w:cs="Times New Roman"/>
          <w:color w:val="000000"/>
          <w:sz w:val="24"/>
          <w:szCs w:val="24"/>
        </w:rPr>
        <w:t xml:space="preserve"> </w:t>
      </w:r>
      <w:r w:rsidR="00F61E1F">
        <w:rPr>
          <w:rFonts w:ascii="Times New Roman" w:eastAsia="Times New Roman" w:hAnsi="Times New Roman" w:cs="Times New Roman"/>
          <w:color w:val="000000"/>
          <w:sz w:val="24"/>
          <w:szCs w:val="24"/>
        </w:rPr>
        <w:t xml:space="preserve">conducted in </w:t>
      </w:r>
      <w:r w:rsidR="007D670B">
        <w:rPr>
          <w:rFonts w:ascii="Times New Roman" w:eastAsia="Times New Roman" w:hAnsi="Times New Roman" w:cs="Times New Roman"/>
          <w:color w:val="000000"/>
          <w:sz w:val="24"/>
          <w:szCs w:val="24"/>
        </w:rPr>
        <w:t>Years 2 and 3</w:t>
      </w:r>
      <w:r w:rsidR="00F61E1F">
        <w:rPr>
          <w:rFonts w:ascii="Times New Roman" w:eastAsia="Times New Roman" w:hAnsi="Times New Roman" w:cs="Times New Roman"/>
          <w:color w:val="000000"/>
          <w:sz w:val="24"/>
          <w:szCs w:val="24"/>
        </w:rPr>
        <w:t xml:space="preserve"> </w:t>
      </w:r>
      <w:r w:rsidRPr="003F7C54">
        <w:rPr>
          <w:rFonts w:ascii="Times New Roman" w:eastAsia="Times New Roman" w:hAnsi="Times New Roman" w:cs="Times New Roman"/>
          <w:color w:val="000000"/>
          <w:sz w:val="24"/>
          <w:szCs w:val="24"/>
        </w:rPr>
        <w:t>would largely mir</w:t>
      </w:r>
      <w:r>
        <w:rPr>
          <w:rFonts w:ascii="Times New Roman" w:eastAsia="Times New Roman" w:hAnsi="Times New Roman" w:cs="Times New Roman"/>
          <w:color w:val="000000"/>
          <w:sz w:val="24"/>
          <w:szCs w:val="24"/>
        </w:rPr>
        <w:t xml:space="preserve">ror those proposed for the </w:t>
      </w:r>
      <w:r w:rsidR="007D670B">
        <w:rPr>
          <w:rFonts w:ascii="Times New Roman" w:eastAsia="Times New Roman" w:hAnsi="Times New Roman" w:cs="Times New Roman"/>
          <w:color w:val="000000"/>
          <w:sz w:val="24"/>
          <w:szCs w:val="24"/>
        </w:rPr>
        <w:t>Year 1</w:t>
      </w:r>
      <w:r>
        <w:rPr>
          <w:rFonts w:ascii="Times New Roman" w:eastAsia="Times New Roman" w:hAnsi="Times New Roman" w:cs="Times New Roman"/>
          <w:color w:val="000000"/>
          <w:sz w:val="24"/>
          <w:szCs w:val="24"/>
        </w:rPr>
        <w:t xml:space="preserve"> </w:t>
      </w:r>
      <w:r w:rsidRPr="003F7C54">
        <w:rPr>
          <w:rFonts w:ascii="Times New Roman" w:eastAsia="Times New Roman" w:hAnsi="Times New Roman" w:cs="Times New Roman"/>
          <w:color w:val="000000"/>
          <w:sz w:val="24"/>
          <w:szCs w:val="24"/>
        </w:rPr>
        <w:t>Certification Survey and Denied Applicant Survey; the data collection ins</w:t>
      </w:r>
      <w:r w:rsidR="00601723">
        <w:rPr>
          <w:rFonts w:ascii="Times New Roman" w:eastAsia="Times New Roman" w:hAnsi="Times New Roman" w:cs="Times New Roman"/>
          <w:color w:val="000000"/>
          <w:sz w:val="24"/>
          <w:szCs w:val="24"/>
        </w:rPr>
        <w:t>truments and recruiting materials developed for the</w:t>
      </w:r>
      <w:r w:rsidR="007D670B">
        <w:rPr>
          <w:rFonts w:ascii="Times New Roman" w:eastAsia="Times New Roman" w:hAnsi="Times New Roman" w:cs="Times New Roman"/>
          <w:color w:val="000000"/>
          <w:sz w:val="24"/>
          <w:szCs w:val="24"/>
        </w:rPr>
        <w:t xml:space="preserve"> Year 1</w:t>
      </w:r>
      <w:r w:rsidR="00601723">
        <w:rPr>
          <w:rFonts w:ascii="Times New Roman" w:eastAsia="Times New Roman" w:hAnsi="Times New Roman" w:cs="Times New Roman"/>
          <w:color w:val="000000"/>
          <w:sz w:val="24"/>
          <w:szCs w:val="24"/>
        </w:rPr>
        <w:t xml:space="preserve"> </w:t>
      </w:r>
      <w:r w:rsidRPr="003F7C54">
        <w:rPr>
          <w:rFonts w:ascii="Times New Roman" w:eastAsia="Times New Roman" w:hAnsi="Times New Roman" w:cs="Times New Roman"/>
          <w:color w:val="000000"/>
          <w:sz w:val="24"/>
          <w:szCs w:val="24"/>
        </w:rPr>
        <w:t>Certification Survey and Denied Applicant Survey</w:t>
      </w:r>
      <w:r w:rsidR="00601723">
        <w:rPr>
          <w:rFonts w:ascii="Times New Roman" w:eastAsia="Times New Roman" w:hAnsi="Times New Roman" w:cs="Times New Roman"/>
          <w:color w:val="000000"/>
          <w:sz w:val="24"/>
          <w:szCs w:val="24"/>
        </w:rPr>
        <w:t xml:space="preserve"> (Appendices</w:t>
      </w:r>
      <w:r w:rsidR="00136DF8">
        <w:rPr>
          <w:rFonts w:ascii="Times New Roman" w:eastAsia="Times New Roman" w:hAnsi="Times New Roman" w:cs="Times New Roman"/>
          <w:color w:val="000000"/>
          <w:sz w:val="24"/>
          <w:szCs w:val="24"/>
        </w:rPr>
        <w:t xml:space="preserve"> B3.a-d and B4.a-d</w:t>
      </w:r>
      <w:r w:rsidR="00601723">
        <w:rPr>
          <w:rFonts w:ascii="Times New Roman" w:eastAsia="Times New Roman" w:hAnsi="Times New Roman" w:cs="Times New Roman"/>
          <w:color w:val="000000"/>
          <w:sz w:val="24"/>
          <w:szCs w:val="24"/>
        </w:rPr>
        <w:t>)</w:t>
      </w:r>
      <w:r w:rsidRPr="003F7C54">
        <w:rPr>
          <w:rFonts w:ascii="Times New Roman" w:eastAsia="Times New Roman" w:hAnsi="Times New Roman" w:cs="Times New Roman"/>
          <w:color w:val="000000"/>
          <w:sz w:val="24"/>
          <w:szCs w:val="24"/>
        </w:rPr>
        <w:t xml:space="preserve"> will be used again in subsequent years, thus saving the cost of developing these materials and the effort for FNS to review them.</w:t>
      </w:r>
      <w:r w:rsidR="00C94D66">
        <w:rPr>
          <w:rFonts w:ascii="Times New Roman" w:eastAsia="Times New Roman" w:hAnsi="Times New Roman" w:cs="Times New Roman"/>
          <w:color w:val="000000"/>
          <w:sz w:val="24"/>
          <w:szCs w:val="24"/>
        </w:rPr>
        <w:t xml:space="preserve"> In addition, the same sample drawn for the data collection efforts in </w:t>
      </w:r>
      <w:r w:rsidR="007D670B">
        <w:rPr>
          <w:rFonts w:ascii="Times New Roman" w:eastAsia="Times New Roman" w:hAnsi="Times New Roman" w:cs="Times New Roman"/>
          <w:color w:val="000000"/>
          <w:sz w:val="24"/>
          <w:szCs w:val="24"/>
        </w:rPr>
        <w:t>Year 1</w:t>
      </w:r>
      <w:r w:rsidR="00C94D66">
        <w:rPr>
          <w:rFonts w:ascii="Times New Roman" w:eastAsia="Times New Roman" w:hAnsi="Times New Roman" w:cs="Times New Roman"/>
          <w:color w:val="000000"/>
          <w:sz w:val="24"/>
          <w:szCs w:val="24"/>
        </w:rPr>
        <w:t xml:space="preserve"> will be used during pilot data collection in </w:t>
      </w:r>
      <w:r w:rsidR="007D670B">
        <w:rPr>
          <w:rFonts w:ascii="Times New Roman" w:eastAsia="Times New Roman" w:hAnsi="Times New Roman" w:cs="Times New Roman"/>
          <w:color w:val="000000"/>
          <w:sz w:val="24"/>
          <w:szCs w:val="24"/>
        </w:rPr>
        <w:t>Years 2 and 3</w:t>
      </w:r>
      <w:r w:rsidR="00C94D66">
        <w:rPr>
          <w:rFonts w:ascii="Times New Roman" w:eastAsia="Times New Roman" w:hAnsi="Times New Roman" w:cs="Times New Roman"/>
          <w:color w:val="000000"/>
          <w:sz w:val="24"/>
          <w:szCs w:val="24"/>
        </w:rPr>
        <w:t xml:space="preserve">. </w:t>
      </w:r>
    </w:p>
    <w:p w14:paraId="6C8A8B1E" w14:textId="77777777" w:rsidR="0015674E" w:rsidRPr="00AE755E"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51" w:name="_Toc339621283"/>
      <w:bookmarkStart w:id="52" w:name="_Toc454265303"/>
      <w:bookmarkStart w:id="53" w:name="_Toc454265602"/>
      <w:bookmarkStart w:id="54" w:name="_Toc454265679"/>
      <w:bookmarkStart w:id="55" w:name="_Toc454266174"/>
      <w:bookmarkStart w:id="56" w:name="_Toc454266204"/>
      <w:bookmarkStart w:id="57" w:name="_Toc454266631"/>
      <w:r w:rsidRPr="00AE755E">
        <w:rPr>
          <w:rFonts w:ascii="Times New Roman" w:hAnsi="Times New Roman"/>
          <w:color w:val="auto"/>
          <w:sz w:val="24"/>
          <w:szCs w:val="24"/>
        </w:rPr>
        <w:t xml:space="preserve">A.3 </w:t>
      </w:r>
      <w:r w:rsidRPr="00AE755E">
        <w:rPr>
          <w:rFonts w:ascii="Times New Roman" w:hAnsi="Times New Roman"/>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51"/>
      <w:bookmarkEnd w:id="52"/>
      <w:bookmarkEnd w:id="53"/>
      <w:bookmarkEnd w:id="54"/>
      <w:bookmarkEnd w:id="55"/>
      <w:bookmarkEnd w:id="56"/>
      <w:bookmarkEnd w:id="57"/>
      <w:r w:rsidRPr="00AE755E">
        <w:rPr>
          <w:rFonts w:ascii="Times New Roman" w:hAnsi="Times New Roman"/>
          <w:color w:val="auto"/>
          <w:sz w:val="24"/>
          <w:szCs w:val="24"/>
        </w:rPr>
        <w:t xml:space="preserve"> </w:t>
      </w:r>
    </w:p>
    <w:p w14:paraId="1A07F6C3" w14:textId="77777777" w:rsidR="00B638F5" w:rsidRPr="00AE755E" w:rsidRDefault="00B638F5" w:rsidP="00B638F5">
      <w:pPr>
        <w:pStyle w:val="L1-FlLSp12"/>
        <w:rPr>
          <w:szCs w:val="24"/>
        </w:rPr>
      </w:pPr>
    </w:p>
    <w:p w14:paraId="0D2897E1" w14:textId="47D7E463" w:rsidR="0015674E" w:rsidRPr="00616403" w:rsidRDefault="006766D9" w:rsidP="009D5B7F">
      <w:pPr>
        <w:pStyle w:val="L1-FlLSp12"/>
        <w:widowControl w:val="0"/>
        <w:tabs>
          <w:tab w:val="clear" w:pos="1152"/>
          <w:tab w:val="left" w:pos="720"/>
        </w:tabs>
        <w:spacing w:line="480" w:lineRule="auto"/>
      </w:pPr>
      <w:r w:rsidRPr="00AE755E">
        <w:rPr>
          <w:szCs w:val="24"/>
        </w:rPr>
        <w:tab/>
      </w:r>
      <w:r w:rsidR="005C36F8" w:rsidRPr="00AE755E">
        <w:rPr>
          <w:szCs w:val="24"/>
        </w:rPr>
        <w:t>FNS is committed to complying with the E-Government Act</w:t>
      </w:r>
      <w:r w:rsidR="008879C5" w:rsidRPr="00AE755E">
        <w:rPr>
          <w:szCs w:val="24"/>
        </w:rPr>
        <w:t xml:space="preserve"> of</w:t>
      </w:r>
      <w:r w:rsidR="005C36F8" w:rsidRPr="00AE755E">
        <w:rPr>
          <w:szCs w:val="24"/>
        </w:rPr>
        <w:t xml:space="preserve"> 2002 to promote the use of technology. The </w:t>
      </w:r>
      <w:r w:rsidR="004246D9" w:rsidRPr="00AE755E">
        <w:rPr>
          <w:szCs w:val="24"/>
        </w:rPr>
        <w:t>State Agency Survey</w:t>
      </w:r>
      <w:r w:rsidR="00DB4D2E">
        <w:rPr>
          <w:szCs w:val="24"/>
        </w:rPr>
        <w:t xml:space="preserve"> and administrative data submission</w:t>
      </w:r>
      <w:r w:rsidR="004246D9" w:rsidRPr="00AE755E">
        <w:rPr>
          <w:szCs w:val="24"/>
        </w:rPr>
        <w:t xml:space="preserve"> completed by</w:t>
      </w:r>
      <w:r w:rsidR="00256ED2" w:rsidRPr="00AE755E">
        <w:rPr>
          <w:szCs w:val="24"/>
        </w:rPr>
        <w:t xml:space="preserve"> S</w:t>
      </w:r>
      <w:r w:rsidR="00CB7CF1" w:rsidRPr="00AE755E">
        <w:rPr>
          <w:szCs w:val="24"/>
        </w:rPr>
        <w:t>A</w:t>
      </w:r>
      <w:r w:rsidR="00D03628" w:rsidRPr="00AE755E">
        <w:rPr>
          <w:szCs w:val="24"/>
        </w:rPr>
        <w:t xml:space="preserve"> directors </w:t>
      </w:r>
      <w:r w:rsidR="00DB4D2E">
        <w:rPr>
          <w:szCs w:val="24"/>
        </w:rPr>
        <w:t xml:space="preserve">will be completed electronically (n=110). </w:t>
      </w:r>
      <w:r w:rsidR="004246D9" w:rsidRPr="00AE755E">
        <w:rPr>
          <w:szCs w:val="24"/>
        </w:rPr>
        <w:t>Local</w:t>
      </w:r>
      <w:r w:rsidR="004246D9">
        <w:rPr>
          <w:szCs w:val="24"/>
        </w:rPr>
        <w:t xml:space="preserve"> Agency Survey completed by</w:t>
      </w:r>
      <w:r w:rsidR="00256ED2" w:rsidRPr="00256ED2">
        <w:rPr>
          <w:szCs w:val="24"/>
        </w:rPr>
        <w:t xml:space="preserve"> </w:t>
      </w:r>
      <w:r w:rsidR="00CB7CF1">
        <w:rPr>
          <w:szCs w:val="24"/>
        </w:rPr>
        <w:t>LA</w:t>
      </w:r>
      <w:r w:rsidR="00256ED2" w:rsidRPr="00256ED2">
        <w:rPr>
          <w:szCs w:val="24"/>
        </w:rPr>
        <w:t xml:space="preserve"> directors </w:t>
      </w:r>
      <w:r w:rsidR="00D03628" w:rsidRPr="00256ED2">
        <w:rPr>
          <w:szCs w:val="24"/>
        </w:rPr>
        <w:t xml:space="preserve">will be </w:t>
      </w:r>
      <w:r w:rsidR="001B0AAE">
        <w:rPr>
          <w:szCs w:val="24"/>
        </w:rPr>
        <w:t>administered via web</w:t>
      </w:r>
      <w:r w:rsidR="00DB4D2E">
        <w:rPr>
          <w:szCs w:val="24"/>
        </w:rPr>
        <w:t xml:space="preserve"> and</w:t>
      </w:r>
      <w:r w:rsidR="002973EF">
        <w:rPr>
          <w:szCs w:val="24"/>
        </w:rPr>
        <w:t xml:space="preserve"> </w:t>
      </w:r>
      <w:r w:rsidR="00DB4D2E">
        <w:rPr>
          <w:szCs w:val="24"/>
        </w:rPr>
        <w:t>a</w:t>
      </w:r>
      <w:r w:rsidR="001D7D42">
        <w:rPr>
          <w:szCs w:val="24"/>
        </w:rPr>
        <w:t xml:space="preserve">ll responses (n = </w:t>
      </w:r>
      <w:r w:rsidR="00D32AFC">
        <w:rPr>
          <w:szCs w:val="24"/>
        </w:rPr>
        <w:t>772</w:t>
      </w:r>
      <w:r w:rsidR="001D7D42">
        <w:rPr>
          <w:szCs w:val="24"/>
        </w:rPr>
        <w:t>) are expected to electronic.</w:t>
      </w:r>
      <w:r w:rsidR="00D32AFC">
        <w:rPr>
          <w:szCs w:val="24"/>
        </w:rPr>
        <w:t xml:space="preserve"> </w:t>
      </w:r>
      <w:r w:rsidR="00256ED2" w:rsidRPr="00256ED2">
        <w:rPr>
          <w:szCs w:val="24"/>
        </w:rPr>
        <w:t>The</w:t>
      </w:r>
      <w:r w:rsidR="00256ED2">
        <w:rPr>
          <w:szCs w:val="24"/>
        </w:rPr>
        <w:t xml:space="preserve"> Certification Survey and Denied Applicant Survey will be conducted in</w:t>
      </w:r>
      <w:r w:rsidR="00CB7CF1">
        <w:rPr>
          <w:szCs w:val="24"/>
        </w:rPr>
        <w:t xml:space="preserve"> </w:t>
      </w:r>
      <w:r w:rsidR="00256ED2">
        <w:rPr>
          <w:szCs w:val="24"/>
        </w:rPr>
        <w:t>person</w:t>
      </w:r>
      <w:r w:rsidR="00924F99">
        <w:rPr>
          <w:szCs w:val="24"/>
        </w:rPr>
        <w:t>,</w:t>
      </w:r>
      <w:r w:rsidR="00256ED2">
        <w:rPr>
          <w:szCs w:val="24"/>
        </w:rPr>
        <w:t xml:space="preserve"> </w:t>
      </w:r>
      <w:r w:rsidR="000307C4">
        <w:rPr>
          <w:szCs w:val="24"/>
        </w:rPr>
        <w:t>with recently certified WIC participants and recently denied WIC applicants</w:t>
      </w:r>
      <w:r w:rsidR="00924F99">
        <w:rPr>
          <w:szCs w:val="24"/>
        </w:rPr>
        <w:t>,</w:t>
      </w:r>
      <w:r w:rsidR="000307C4">
        <w:rPr>
          <w:szCs w:val="24"/>
        </w:rPr>
        <w:t xml:space="preserve"> </w:t>
      </w:r>
      <w:r w:rsidR="00B039B3">
        <w:rPr>
          <w:szCs w:val="24"/>
        </w:rPr>
        <w:t xml:space="preserve">by a trained interviewer </w:t>
      </w:r>
      <w:r w:rsidR="00256ED2">
        <w:rPr>
          <w:szCs w:val="24"/>
        </w:rPr>
        <w:t xml:space="preserve">using </w:t>
      </w:r>
      <w:r w:rsidR="00B17699" w:rsidRPr="00007E55">
        <w:t>Computer Assist</w:t>
      </w:r>
      <w:r w:rsidR="00B17699">
        <w:t>ed Personal Interviewing (CAPI)</w:t>
      </w:r>
      <w:r w:rsidR="00256ED2">
        <w:rPr>
          <w:szCs w:val="24"/>
        </w:rPr>
        <w:t xml:space="preserve"> </w:t>
      </w:r>
      <w:r w:rsidR="00B039B3">
        <w:rPr>
          <w:szCs w:val="24"/>
        </w:rPr>
        <w:t>(</w:t>
      </w:r>
      <w:r w:rsidR="00F30701">
        <w:rPr>
          <w:szCs w:val="24"/>
        </w:rPr>
        <w:t xml:space="preserve">these </w:t>
      </w:r>
      <w:r w:rsidR="00B039B3">
        <w:rPr>
          <w:szCs w:val="24"/>
        </w:rPr>
        <w:t>surveys must take place in</w:t>
      </w:r>
      <w:r w:rsidR="00CB7CF1">
        <w:rPr>
          <w:szCs w:val="24"/>
        </w:rPr>
        <w:t xml:space="preserve"> </w:t>
      </w:r>
      <w:r w:rsidR="00B039B3">
        <w:rPr>
          <w:szCs w:val="24"/>
        </w:rPr>
        <w:t>person because respondents must show the trained interviewer documentation of identity, residency</w:t>
      </w:r>
      <w:r w:rsidR="00CB7CF1">
        <w:rPr>
          <w:szCs w:val="24"/>
        </w:rPr>
        <w:t>,</w:t>
      </w:r>
      <w:r w:rsidR="00B039B3">
        <w:rPr>
          <w:szCs w:val="24"/>
        </w:rPr>
        <w:t xml:space="preserve"> and income)</w:t>
      </w:r>
      <w:r w:rsidR="00F30701">
        <w:rPr>
          <w:szCs w:val="24"/>
        </w:rPr>
        <w:t>.</w:t>
      </w:r>
      <w:r w:rsidR="00B039B3">
        <w:rPr>
          <w:szCs w:val="24"/>
        </w:rPr>
        <w:t xml:space="preserve"> </w:t>
      </w:r>
      <w:r w:rsidR="00DD4C92" w:rsidRPr="00DD4C92">
        <w:rPr>
          <w:szCs w:val="24"/>
        </w:rPr>
        <w:t>The expected</w:t>
      </w:r>
      <w:r w:rsidR="00DD4C92">
        <w:rPr>
          <w:szCs w:val="24"/>
        </w:rPr>
        <w:t xml:space="preserve"> number of electronic responses</w:t>
      </w:r>
      <w:r w:rsidR="00DD4C92" w:rsidRPr="00DD4C92">
        <w:rPr>
          <w:szCs w:val="24"/>
        </w:rPr>
        <w:t xml:space="preserve"> for the Certification Survey is 1,600 in </w:t>
      </w:r>
      <w:r w:rsidR="007D670B">
        <w:rPr>
          <w:szCs w:val="24"/>
        </w:rPr>
        <w:t>Year 1</w:t>
      </w:r>
      <w:r w:rsidR="00DD4C92" w:rsidRPr="00DD4C92">
        <w:rPr>
          <w:szCs w:val="24"/>
        </w:rPr>
        <w:t>, 1</w:t>
      </w:r>
      <w:r w:rsidR="00845F7F">
        <w:rPr>
          <w:szCs w:val="24"/>
        </w:rPr>
        <w:t>6</w:t>
      </w:r>
      <w:r w:rsidR="00DD4C92" w:rsidRPr="00DD4C92">
        <w:rPr>
          <w:szCs w:val="24"/>
        </w:rPr>
        <w:t xml:space="preserve">0 in </w:t>
      </w:r>
      <w:r w:rsidR="007D670B">
        <w:rPr>
          <w:szCs w:val="24"/>
        </w:rPr>
        <w:t>Year 2</w:t>
      </w:r>
      <w:r w:rsidR="00DD4C92" w:rsidRPr="00DD4C92">
        <w:rPr>
          <w:szCs w:val="24"/>
        </w:rPr>
        <w:t xml:space="preserve"> and 1</w:t>
      </w:r>
      <w:r w:rsidR="00845F7F">
        <w:rPr>
          <w:szCs w:val="24"/>
        </w:rPr>
        <w:t>6</w:t>
      </w:r>
      <w:r w:rsidR="00DD4C92" w:rsidRPr="00DD4C92">
        <w:rPr>
          <w:szCs w:val="24"/>
        </w:rPr>
        <w:t xml:space="preserve">0 in </w:t>
      </w:r>
      <w:r w:rsidR="007D670B">
        <w:rPr>
          <w:szCs w:val="24"/>
        </w:rPr>
        <w:t>Year 3</w:t>
      </w:r>
      <w:r w:rsidR="00DD4C92" w:rsidRPr="00DD4C92">
        <w:rPr>
          <w:szCs w:val="24"/>
        </w:rPr>
        <w:t xml:space="preserve"> for a total of 1,9</w:t>
      </w:r>
      <w:r w:rsidR="00845F7F">
        <w:rPr>
          <w:szCs w:val="24"/>
        </w:rPr>
        <w:t>2</w:t>
      </w:r>
      <w:r w:rsidR="00DD4C92" w:rsidRPr="00DD4C92">
        <w:rPr>
          <w:szCs w:val="24"/>
        </w:rPr>
        <w:t xml:space="preserve">0; the expected number of electronic responses for the Denied Applicant survey is 192 in </w:t>
      </w:r>
      <w:r w:rsidR="007D670B">
        <w:rPr>
          <w:szCs w:val="24"/>
        </w:rPr>
        <w:t>Year 1</w:t>
      </w:r>
      <w:r w:rsidR="00DD4C92" w:rsidRPr="00DD4C92">
        <w:rPr>
          <w:szCs w:val="24"/>
        </w:rPr>
        <w:t xml:space="preserve">, 19 in </w:t>
      </w:r>
      <w:r w:rsidR="007D670B">
        <w:rPr>
          <w:szCs w:val="24"/>
        </w:rPr>
        <w:t>Year 2</w:t>
      </w:r>
      <w:r w:rsidR="007D670B" w:rsidRPr="00DD4C92">
        <w:rPr>
          <w:szCs w:val="24"/>
        </w:rPr>
        <w:t xml:space="preserve"> </w:t>
      </w:r>
      <w:r w:rsidR="00DD4C92" w:rsidRPr="00DD4C92">
        <w:rPr>
          <w:szCs w:val="24"/>
        </w:rPr>
        <w:t xml:space="preserve">and 19 in </w:t>
      </w:r>
      <w:r w:rsidR="007D670B">
        <w:rPr>
          <w:szCs w:val="24"/>
        </w:rPr>
        <w:t>Year 3</w:t>
      </w:r>
      <w:r w:rsidR="007D670B" w:rsidRPr="00DD4C92">
        <w:rPr>
          <w:szCs w:val="24"/>
        </w:rPr>
        <w:t xml:space="preserve"> </w:t>
      </w:r>
      <w:r w:rsidR="00DD4C92" w:rsidRPr="00DD4C92">
        <w:rPr>
          <w:szCs w:val="24"/>
        </w:rPr>
        <w:t xml:space="preserve">for a total of 230. </w:t>
      </w:r>
      <w:r w:rsidR="00256ED2">
        <w:rPr>
          <w:szCs w:val="24"/>
        </w:rPr>
        <w:t>The Program Experiences Survey</w:t>
      </w:r>
      <w:r w:rsidR="000307C4">
        <w:rPr>
          <w:szCs w:val="24"/>
        </w:rPr>
        <w:t xml:space="preserve"> will be administered to current WIC participants</w:t>
      </w:r>
      <w:r w:rsidR="00A33C07">
        <w:rPr>
          <w:szCs w:val="24"/>
        </w:rPr>
        <w:t xml:space="preserve"> </w:t>
      </w:r>
      <w:r w:rsidR="000307C4">
        <w:rPr>
          <w:szCs w:val="24"/>
        </w:rPr>
        <w:t>either in</w:t>
      </w:r>
      <w:r w:rsidR="00CB7CF1">
        <w:rPr>
          <w:szCs w:val="24"/>
        </w:rPr>
        <w:t xml:space="preserve"> </w:t>
      </w:r>
      <w:r w:rsidR="000307C4">
        <w:rPr>
          <w:szCs w:val="24"/>
        </w:rPr>
        <w:t xml:space="preserve">person </w:t>
      </w:r>
      <w:r w:rsidR="00B039B3">
        <w:rPr>
          <w:szCs w:val="24"/>
        </w:rPr>
        <w:t xml:space="preserve">by a trained interviewer </w:t>
      </w:r>
      <w:r w:rsidR="00A33C07">
        <w:rPr>
          <w:szCs w:val="24"/>
        </w:rPr>
        <w:t xml:space="preserve">using </w:t>
      </w:r>
      <w:r w:rsidR="00B17699">
        <w:rPr>
          <w:szCs w:val="24"/>
        </w:rPr>
        <w:t>CAPI</w:t>
      </w:r>
      <w:r w:rsidR="00F30701">
        <w:rPr>
          <w:szCs w:val="24"/>
        </w:rPr>
        <w:t>,</w:t>
      </w:r>
      <w:r w:rsidR="00A33C07">
        <w:rPr>
          <w:szCs w:val="24"/>
        </w:rPr>
        <w:t xml:space="preserve"> </w:t>
      </w:r>
      <w:r w:rsidR="000307C4">
        <w:rPr>
          <w:szCs w:val="24"/>
        </w:rPr>
        <w:t xml:space="preserve">or by </w:t>
      </w:r>
      <w:r w:rsidR="000307C4" w:rsidRPr="000307C4">
        <w:rPr>
          <w:szCs w:val="24"/>
        </w:rPr>
        <w:t xml:space="preserve">telephone </w:t>
      </w:r>
      <w:r w:rsidR="0018004C" w:rsidRPr="000307C4">
        <w:rPr>
          <w:szCs w:val="24"/>
        </w:rPr>
        <w:t xml:space="preserve">using </w:t>
      </w:r>
      <w:r w:rsidR="00BB04ED" w:rsidRPr="000307C4">
        <w:rPr>
          <w:szCs w:val="24"/>
        </w:rPr>
        <w:t>computer-assisted telephone interviewing (</w:t>
      </w:r>
      <w:r w:rsidR="0018004C" w:rsidRPr="000307C4">
        <w:rPr>
          <w:szCs w:val="24"/>
        </w:rPr>
        <w:t>CATI</w:t>
      </w:r>
      <w:r w:rsidR="00BB04ED" w:rsidRPr="000307C4">
        <w:rPr>
          <w:szCs w:val="24"/>
        </w:rPr>
        <w:t>)</w:t>
      </w:r>
      <w:r w:rsidR="0018004C" w:rsidRPr="000307C4">
        <w:rPr>
          <w:szCs w:val="24"/>
        </w:rPr>
        <w:t xml:space="preserve"> software</w:t>
      </w:r>
      <w:r w:rsidR="00D03628" w:rsidRPr="000307C4">
        <w:rPr>
          <w:szCs w:val="24"/>
        </w:rPr>
        <w:t xml:space="preserve">. </w:t>
      </w:r>
      <w:r w:rsidR="00AC6731">
        <w:rPr>
          <w:szCs w:val="24"/>
        </w:rPr>
        <w:t xml:space="preserve">All responses are expected to </w:t>
      </w:r>
      <w:r w:rsidR="009C4773">
        <w:rPr>
          <w:szCs w:val="24"/>
        </w:rPr>
        <w:t xml:space="preserve">be </w:t>
      </w:r>
      <w:r w:rsidR="00AC6731">
        <w:rPr>
          <w:szCs w:val="24"/>
        </w:rPr>
        <w:t xml:space="preserve">electronic (n = </w:t>
      </w:r>
      <w:r w:rsidR="00751001">
        <w:rPr>
          <w:szCs w:val="24"/>
        </w:rPr>
        <w:t>2</w:t>
      </w:r>
      <w:r w:rsidR="00AC6731">
        <w:rPr>
          <w:szCs w:val="24"/>
        </w:rPr>
        <w:t>,</w:t>
      </w:r>
      <w:r w:rsidR="00751001">
        <w:rPr>
          <w:szCs w:val="24"/>
        </w:rPr>
        <w:t>0</w:t>
      </w:r>
      <w:r w:rsidR="00AC6731">
        <w:rPr>
          <w:szCs w:val="24"/>
        </w:rPr>
        <w:t>00). T</w:t>
      </w:r>
      <w:r w:rsidR="000307C4">
        <w:rPr>
          <w:szCs w:val="24"/>
        </w:rPr>
        <w:t xml:space="preserve">he </w:t>
      </w:r>
      <w:r w:rsidR="000307C4" w:rsidRPr="000307C4">
        <w:rPr>
          <w:szCs w:val="24"/>
        </w:rPr>
        <w:t>Former WIC Participants Case Study</w:t>
      </w:r>
      <w:r w:rsidR="000307C4">
        <w:rPr>
          <w:szCs w:val="24"/>
        </w:rPr>
        <w:t xml:space="preserve"> interviews will be conducted </w:t>
      </w:r>
      <w:r w:rsidR="00CB7CF1">
        <w:rPr>
          <w:szCs w:val="24"/>
        </w:rPr>
        <w:t>by telephone, using CATI software</w:t>
      </w:r>
      <w:r w:rsidR="00924F99">
        <w:rPr>
          <w:szCs w:val="24"/>
        </w:rPr>
        <w:t>,</w:t>
      </w:r>
      <w:r w:rsidR="000307C4">
        <w:rPr>
          <w:szCs w:val="24"/>
        </w:rPr>
        <w:t xml:space="preserve"> </w:t>
      </w:r>
      <w:r w:rsidR="00924F99">
        <w:rPr>
          <w:szCs w:val="24"/>
        </w:rPr>
        <w:t xml:space="preserve">with WIC participants </w:t>
      </w:r>
      <w:r w:rsidR="000307C4">
        <w:rPr>
          <w:szCs w:val="24"/>
        </w:rPr>
        <w:t>who have</w:t>
      </w:r>
      <w:r w:rsidR="000307C4" w:rsidRPr="000307C4">
        <w:rPr>
          <w:szCs w:val="24"/>
        </w:rPr>
        <w:t xml:space="preserve"> stopped redeeming benefits within their period of eligibility.</w:t>
      </w:r>
      <w:r w:rsidR="000307C4">
        <w:rPr>
          <w:szCs w:val="24"/>
        </w:rPr>
        <w:t xml:space="preserve"> </w:t>
      </w:r>
      <w:r w:rsidR="00AC6731">
        <w:rPr>
          <w:szCs w:val="24"/>
        </w:rPr>
        <w:t xml:space="preserve">Responses will be qualitative notes from the interviewer. None of these responses are considered electronic. </w:t>
      </w:r>
      <w:r w:rsidR="000307C4" w:rsidRPr="00A33C07">
        <w:rPr>
          <w:szCs w:val="24"/>
        </w:rPr>
        <w:t>Al</w:t>
      </w:r>
      <w:r w:rsidR="00A33C07" w:rsidRPr="00A33C07">
        <w:rPr>
          <w:szCs w:val="24"/>
        </w:rPr>
        <w:t>l respondents</w:t>
      </w:r>
      <w:r w:rsidR="000307C4" w:rsidRPr="00A33C07">
        <w:rPr>
          <w:szCs w:val="24"/>
        </w:rPr>
        <w:t xml:space="preserve"> </w:t>
      </w:r>
      <w:r w:rsidR="007F254B" w:rsidRPr="00A33C07">
        <w:rPr>
          <w:szCs w:val="24"/>
        </w:rPr>
        <w:t xml:space="preserve">will be contacted by telephone using </w:t>
      </w:r>
      <w:r w:rsidR="005144FE" w:rsidRPr="00A33C07">
        <w:rPr>
          <w:szCs w:val="24"/>
        </w:rPr>
        <w:t>CATI</w:t>
      </w:r>
      <w:r w:rsidR="007F254B" w:rsidRPr="00A33C07">
        <w:rPr>
          <w:szCs w:val="24"/>
        </w:rPr>
        <w:t xml:space="preserve"> </w:t>
      </w:r>
      <w:r w:rsidR="000D6E31">
        <w:rPr>
          <w:szCs w:val="24"/>
        </w:rPr>
        <w:t xml:space="preserve">software </w:t>
      </w:r>
      <w:r w:rsidR="007F254B" w:rsidRPr="00A33C07">
        <w:rPr>
          <w:szCs w:val="24"/>
        </w:rPr>
        <w:t xml:space="preserve">to encourage and remind them to </w:t>
      </w:r>
      <w:r w:rsidR="005144FE" w:rsidRPr="00A33C07">
        <w:rPr>
          <w:szCs w:val="24"/>
        </w:rPr>
        <w:t>participate in data collection</w:t>
      </w:r>
      <w:r w:rsidR="00A33C07" w:rsidRPr="00A33C07">
        <w:rPr>
          <w:szCs w:val="24"/>
        </w:rPr>
        <w:t>; select respondents will be contacted by email and mail</w:t>
      </w:r>
      <w:r w:rsidR="00A33C07" w:rsidRPr="008857EF">
        <w:rPr>
          <w:szCs w:val="24"/>
        </w:rPr>
        <w:t xml:space="preserve">. </w:t>
      </w:r>
      <w:r w:rsidR="009F7CA1">
        <w:rPr>
          <w:szCs w:val="24"/>
        </w:rPr>
        <w:t xml:space="preserve">Therefore, </w:t>
      </w:r>
      <w:r w:rsidR="009F7CA1" w:rsidRPr="009F7CA1">
        <w:rPr>
          <w:szCs w:val="24"/>
        </w:rPr>
        <w:t xml:space="preserve">approximately 98 percent of </w:t>
      </w:r>
      <w:r w:rsidR="009F7CA1">
        <w:rPr>
          <w:szCs w:val="24"/>
        </w:rPr>
        <w:t xml:space="preserve">these </w:t>
      </w:r>
      <w:r w:rsidR="009F7CA1" w:rsidRPr="009F7CA1">
        <w:rPr>
          <w:szCs w:val="24"/>
        </w:rPr>
        <w:t>responses are to be submitted electronically</w:t>
      </w:r>
      <w:r w:rsidR="009F7CA1">
        <w:rPr>
          <w:szCs w:val="24"/>
        </w:rPr>
        <w:t xml:space="preserve"> (5,0</w:t>
      </w:r>
      <w:r w:rsidR="00845F7F">
        <w:rPr>
          <w:szCs w:val="24"/>
        </w:rPr>
        <w:t>3</w:t>
      </w:r>
      <w:r w:rsidR="009F7CA1">
        <w:rPr>
          <w:szCs w:val="24"/>
        </w:rPr>
        <w:t xml:space="preserve">2 of 5,137). </w:t>
      </w:r>
      <w:r w:rsidR="00C511C2">
        <w:rPr>
          <w:szCs w:val="24"/>
        </w:rPr>
        <w:t xml:space="preserve">Of the total responses </w:t>
      </w:r>
      <w:r w:rsidR="00D32AFC">
        <w:rPr>
          <w:szCs w:val="24"/>
        </w:rPr>
        <w:t>(n=</w:t>
      </w:r>
      <w:r w:rsidR="00845F7F">
        <w:rPr>
          <w:szCs w:val="24"/>
        </w:rPr>
        <w:t>47,779</w:t>
      </w:r>
      <w:r w:rsidR="00D32AFC">
        <w:rPr>
          <w:szCs w:val="24"/>
        </w:rPr>
        <w:t>) for this information collection</w:t>
      </w:r>
      <w:r w:rsidR="00D32AFC">
        <w:rPr>
          <w:rStyle w:val="FootnoteReference"/>
          <w:szCs w:val="24"/>
        </w:rPr>
        <w:footnoteReference w:id="11"/>
      </w:r>
      <w:r w:rsidR="00D32AFC">
        <w:rPr>
          <w:szCs w:val="24"/>
        </w:rPr>
        <w:t xml:space="preserve">, </w:t>
      </w:r>
      <w:r w:rsidR="00813313">
        <w:rPr>
          <w:szCs w:val="24"/>
        </w:rPr>
        <w:t xml:space="preserve">77 </w:t>
      </w:r>
      <w:r w:rsidR="00D32AFC">
        <w:rPr>
          <w:szCs w:val="24"/>
        </w:rPr>
        <w:t>percent (n=36,</w:t>
      </w:r>
      <w:r w:rsidR="00813313">
        <w:rPr>
          <w:szCs w:val="24"/>
        </w:rPr>
        <w:t xml:space="preserve">999 </w:t>
      </w:r>
      <w:r w:rsidR="00D32AFC">
        <w:rPr>
          <w:szCs w:val="24"/>
        </w:rPr>
        <w:t>responses) use information technology</w:t>
      </w:r>
      <w:r w:rsidR="004F1DE9">
        <w:rPr>
          <w:szCs w:val="24"/>
        </w:rPr>
        <w:t xml:space="preserve">. </w:t>
      </w:r>
    </w:p>
    <w:p w14:paraId="69573820"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58" w:name="_Toc339621284"/>
      <w:bookmarkStart w:id="59" w:name="_Toc454265304"/>
      <w:bookmarkStart w:id="60" w:name="_Toc454265603"/>
      <w:bookmarkStart w:id="61" w:name="_Toc454265680"/>
      <w:bookmarkStart w:id="62" w:name="_Toc454266175"/>
      <w:bookmarkStart w:id="63" w:name="_Toc454266205"/>
      <w:bookmarkStart w:id="64" w:name="_Toc454266632"/>
      <w:r w:rsidRPr="00616403">
        <w:rPr>
          <w:rFonts w:ascii="Times New Roman" w:hAnsi="Times New Roman"/>
          <w:color w:val="auto"/>
          <w:sz w:val="24"/>
          <w:szCs w:val="24"/>
        </w:rPr>
        <w:t xml:space="preserve">A.4 </w:t>
      </w:r>
      <w:r w:rsidRPr="00616403">
        <w:rPr>
          <w:rFonts w:ascii="Times New Roman" w:hAnsi="Times New Roman"/>
          <w:color w:val="auto"/>
          <w:sz w:val="24"/>
          <w:szCs w:val="24"/>
        </w:rPr>
        <w:tab/>
        <w:t>Describe efforts to identify duplication. Show specifically why any similar information already available cannot be used or modified for use for the purpose described in item 2 above.</w:t>
      </w:r>
      <w:bookmarkEnd w:id="58"/>
      <w:bookmarkEnd w:id="59"/>
      <w:bookmarkEnd w:id="60"/>
      <w:bookmarkEnd w:id="61"/>
      <w:bookmarkEnd w:id="62"/>
      <w:bookmarkEnd w:id="63"/>
      <w:bookmarkEnd w:id="64"/>
    </w:p>
    <w:p w14:paraId="521115F7" w14:textId="77777777" w:rsidR="00CA7A45" w:rsidRPr="00616403" w:rsidRDefault="00CA7A45" w:rsidP="00BF7811">
      <w:pPr>
        <w:pStyle w:val="L1-FlLSp12"/>
        <w:spacing w:line="240" w:lineRule="auto"/>
        <w:rPr>
          <w:szCs w:val="24"/>
        </w:rPr>
      </w:pPr>
    </w:p>
    <w:p w14:paraId="1B06AC8F" w14:textId="7C606D58" w:rsidR="0015674E" w:rsidRPr="00616403" w:rsidRDefault="006766D9" w:rsidP="00044B1D">
      <w:pPr>
        <w:pStyle w:val="L1-FlLSp12"/>
        <w:tabs>
          <w:tab w:val="clear" w:pos="1152"/>
          <w:tab w:val="left" w:pos="720"/>
        </w:tabs>
        <w:spacing w:line="480" w:lineRule="auto"/>
      </w:pPr>
      <w:r>
        <w:rPr>
          <w:szCs w:val="24"/>
        </w:rPr>
        <w:tab/>
      </w:r>
      <w:r w:rsidR="004E0368">
        <w:rPr>
          <w:szCs w:val="24"/>
        </w:rPr>
        <w:t xml:space="preserve">There is no similar information collection. </w:t>
      </w:r>
      <w:r w:rsidR="00CA7A45" w:rsidRPr="00616403">
        <w:rPr>
          <w:szCs w:val="24"/>
        </w:rPr>
        <w:t xml:space="preserve">Every effort has been made to avoid duplication. FNS has reviewed USDA reporting requirements, </w:t>
      </w:r>
      <w:r w:rsidR="002C3182" w:rsidRPr="00616403">
        <w:rPr>
          <w:szCs w:val="24"/>
        </w:rPr>
        <w:t>State</w:t>
      </w:r>
      <w:r w:rsidR="00CA7A45" w:rsidRPr="00616403">
        <w:rPr>
          <w:szCs w:val="24"/>
        </w:rPr>
        <w:t xml:space="preserve"> administrative agency reporting requirements, and special studies by other </w:t>
      </w:r>
      <w:r w:rsidR="001D0D30" w:rsidRPr="00616403">
        <w:rPr>
          <w:szCs w:val="24"/>
        </w:rPr>
        <w:t>G</w:t>
      </w:r>
      <w:r w:rsidR="00CA7A45" w:rsidRPr="00616403">
        <w:rPr>
          <w:szCs w:val="24"/>
        </w:rPr>
        <w:t>overnment and private agencies</w:t>
      </w:r>
      <w:r w:rsidR="00FB791D">
        <w:rPr>
          <w:szCs w:val="24"/>
        </w:rPr>
        <w:t>,</w:t>
      </w:r>
      <w:r w:rsidR="00D04304">
        <w:rPr>
          <w:szCs w:val="24"/>
        </w:rPr>
        <w:t xml:space="preserve"> and none of these sources provide the necessary data</w:t>
      </w:r>
      <w:r w:rsidR="00CA7A45" w:rsidRPr="00616403">
        <w:rPr>
          <w:szCs w:val="24"/>
        </w:rPr>
        <w:t xml:space="preserve">. </w:t>
      </w:r>
    </w:p>
    <w:p w14:paraId="6A16993A"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65" w:name="_Toc282506027"/>
      <w:bookmarkStart w:id="66" w:name="_Toc339621285"/>
      <w:bookmarkStart w:id="67" w:name="_Toc454265305"/>
      <w:bookmarkStart w:id="68" w:name="_Toc454265604"/>
      <w:bookmarkStart w:id="69" w:name="_Toc454265681"/>
      <w:bookmarkStart w:id="70" w:name="_Toc454266176"/>
      <w:bookmarkStart w:id="71" w:name="_Toc454266206"/>
      <w:bookmarkStart w:id="72" w:name="_Toc454266633"/>
      <w:r w:rsidRPr="00616403">
        <w:rPr>
          <w:rFonts w:ascii="Times New Roman" w:hAnsi="Times New Roman"/>
          <w:color w:val="auto"/>
          <w:sz w:val="24"/>
          <w:szCs w:val="24"/>
        </w:rPr>
        <w:t xml:space="preserve">A.5 </w:t>
      </w:r>
      <w:r w:rsidRPr="00616403">
        <w:rPr>
          <w:rFonts w:ascii="Times New Roman" w:hAnsi="Times New Roman"/>
          <w:color w:val="auto"/>
          <w:sz w:val="24"/>
          <w:szCs w:val="24"/>
        </w:rPr>
        <w:tab/>
      </w:r>
      <w:bookmarkEnd w:id="65"/>
      <w:r w:rsidRPr="00616403">
        <w:rPr>
          <w:rFonts w:ascii="Times New Roman" w:hAnsi="Times New Roman"/>
          <w:color w:val="auto"/>
          <w:sz w:val="24"/>
          <w:szCs w:val="24"/>
        </w:rPr>
        <w:t>If the collection of information impacts small businesses or other small entities, describe any methods used to minimize burden.</w:t>
      </w:r>
      <w:bookmarkEnd w:id="66"/>
      <w:bookmarkEnd w:id="67"/>
      <w:bookmarkEnd w:id="68"/>
      <w:bookmarkEnd w:id="69"/>
      <w:bookmarkEnd w:id="70"/>
      <w:bookmarkEnd w:id="71"/>
      <w:bookmarkEnd w:id="72"/>
      <w:r w:rsidR="00B32A54" w:rsidRPr="00616403">
        <w:rPr>
          <w:rFonts w:ascii="Times New Roman" w:hAnsi="Times New Roman"/>
          <w:color w:val="auto"/>
          <w:sz w:val="24"/>
          <w:szCs w:val="24"/>
        </w:rPr>
        <w:br/>
      </w:r>
    </w:p>
    <w:p w14:paraId="051F1231" w14:textId="16BE69A1" w:rsidR="005771AB" w:rsidRDefault="005F1929" w:rsidP="007C2BE3">
      <w:pPr>
        <w:pStyle w:val="P1-StandPara"/>
        <w:spacing w:line="480" w:lineRule="auto"/>
        <w:ind w:firstLine="720"/>
      </w:pPr>
      <w:r w:rsidRPr="005F1929">
        <w:rPr>
          <w:rFonts w:ascii="CG Times" w:hAnsi="CG Times"/>
        </w:rPr>
        <w:t>This information collection has been held to the minimum required for the intended use.</w:t>
      </w:r>
      <w:r w:rsidR="00924F99">
        <w:rPr>
          <w:rFonts w:ascii="CG Times" w:hAnsi="CG Times"/>
        </w:rPr>
        <w:t xml:space="preserve"> </w:t>
      </w:r>
      <w:r w:rsidR="00776A45">
        <w:rPr>
          <w:rFonts w:ascii="CG Times" w:hAnsi="CG Times"/>
        </w:rPr>
        <w:t>T</w:t>
      </w:r>
      <w:r w:rsidR="008A5F8E" w:rsidRPr="00616E6B">
        <w:rPr>
          <w:szCs w:val="24"/>
        </w:rPr>
        <w:t xml:space="preserve">he requirements for this information collection </w:t>
      </w:r>
      <w:r w:rsidR="00776A45">
        <w:rPr>
          <w:szCs w:val="24"/>
        </w:rPr>
        <w:t>are not expected to</w:t>
      </w:r>
      <w:r w:rsidR="008A5F8E" w:rsidRPr="00616E6B">
        <w:rPr>
          <w:szCs w:val="24"/>
        </w:rPr>
        <w:t xml:space="preserve"> adversely impact small busin</w:t>
      </w:r>
      <w:r w:rsidR="008A5F8E">
        <w:rPr>
          <w:szCs w:val="24"/>
        </w:rPr>
        <w:t>esses or other small entities</w:t>
      </w:r>
      <w:r w:rsidR="00F8198E">
        <w:rPr>
          <w:szCs w:val="24"/>
        </w:rPr>
        <w:t>. Specifically, the local WIC agencies included in this information collection are not considered small entities because they receive program funds to operate their agencies.</w:t>
      </w:r>
    </w:p>
    <w:p w14:paraId="37C0EB60"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73" w:name="_Toc282506028"/>
      <w:bookmarkStart w:id="74" w:name="_Toc339621286"/>
      <w:bookmarkStart w:id="75" w:name="_Toc454265306"/>
      <w:bookmarkStart w:id="76" w:name="_Toc454265605"/>
      <w:bookmarkStart w:id="77" w:name="_Toc454265682"/>
      <w:bookmarkStart w:id="78" w:name="_Toc454266177"/>
      <w:bookmarkStart w:id="79" w:name="_Toc454266207"/>
      <w:bookmarkStart w:id="80" w:name="_Toc454266634"/>
      <w:r w:rsidRPr="00616403">
        <w:rPr>
          <w:rFonts w:ascii="Times New Roman" w:hAnsi="Times New Roman"/>
          <w:color w:val="auto"/>
          <w:sz w:val="24"/>
          <w:szCs w:val="24"/>
        </w:rPr>
        <w:t>A.6</w:t>
      </w:r>
      <w:r w:rsidRPr="00616403">
        <w:rPr>
          <w:rFonts w:ascii="Times New Roman" w:hAnsi="Times New Roman"/>
          <w:color w:val="auto"/>
          <w:sz w:val="24"/>
          <w:szCs w:val="24"/>
        </w:rPr>
        <w:tab/>
      </w:r>
      <w:bookmarkEnd w:id="73"/>
      <w:r w:rsidRPr="00616403">
        <w:rPr>
          <w:rFonts w:ascii="Times New Roman" w:hAnsi="Times New Roman"/>
          <w:color w:val="auto"/>
          <w:sz w:val="24"/>
          <w:szCs w:val="24"/>
        </w:rPr>
        <w:t>Describe the consequence to Federal program or policy activities if the collection is not conducted or is conducted less frequently, as well as any technical or legal obstacles to reducing burden.</w:t>
      </w:r>
      <w:bookmarkEnd w:id="74"/>
      <w:bookmarkEnd w:id="75"/>
      <w:bookmarkEnd w:id="76"/>
      <w:bookmarkEnd w:id="77"/>
      <w:bookmarkEnd w:id="78"/>
      <w:bookmarkEnd w:id="79"/>
      <w:bookmarkEnd w:id="80"/>
    </w:p>
    <w:p w14:paraId="7F12A0E1" w14:textId="77777777" w:rsidR="00861A6C" w:rsidRPr="00616403" w:rsidRDefault="00861A6C" w:rsidP="00861A6C">
      <w:pPr>
        <w:pStyle w:val="L1-FlLSp12"/>
        <w:rPr>
          <w:highlight w:val="yellow"/>
        </w:rPr>
      </w:pPr>
    </w:p>
    <w:p w14:paraId="08B2E43C" w14:textId="6A43FC43" w:rsidR="000321CE" w:rsidRDefault="00596C1C" w:rsidP="00473754">
      <w:pPr>
        <w:pStyle w:val="L1-FlLSp12"/>
        <w:tabs>
          <w:tab w:val="clear" w:pos="1152"/>
          <w:tab w:val="left" w:pos="720"/>
        </w:tabs>
        <w:spacing w:line="480" w:lineRule="auto"/>
        <w:ind w:right="-90"/>
        <w:rPr>
          <w:szCs w:val="24"/>
        </w:rPr>
      </w:pPr>
      <w:r>
        <w:rPr>
          <w:szCs w:val="24"/>
        </w:rPr>
        <w:tab/>
      </w:r>
      <w:r w:rsidR="000B22E5" w:rsidRPr="00656E17">
        <w:rPr>
          <w:szCs w:val="24"/>
        </w:rPr>
        <w:t xml:space="preserve">All data collection for the proposed study will </w:t>
      </w:r>
      <w:r w:rsidR="000B22E5" w:rsidRPr="000321CE">
        <w:rPr>
          <w:szCs w:val="24"/>
        </w:rPr>
        <w:t xml:space="preserve">be conducted once during </w:t>
      </w:r>
      <w:r w:rsidR="00DE69E3">
        <w:rPr>
          <w:szCs w:val="24"/>
        </w:rPr>
        <w:t xml:space="preserve">each year: </w:t>
      </w:r>
      <w:r w:rsidR="007D670B">
        <w:rPr>
          <w:szCs w:val="24"/>
        </w:rPr>
        <w:t xml:space="preserve">Year 1 </w:t>
      </w:r>
      <w:r w:rsidR="00F93270" w:rsidRPr="000321CE">
        <w:rPr>
          <w:szCs w:val="24"/>
        </w:rPr>
        <w:t>(primary data collection)</w:t>
      </w:r>
      <w:r w:rsidR="00933BE6" w:rsidRPr="000321CE">
        <w:rPr>
          <w:szCs w:val="24"/>
        </w:rPr>
        <w:t xml:space="preserve">, </w:t>
      </w:r>
      <w:r w:rsidR="007D670B">
        <w:rPr>
          <w:szCs w:val="24"/>
        </w:rPr>
        <w:t>Ye</w:t>
      </w:r>
      <w:r w:rsidR="007D670B" w:rsidRPr="009103BB">
        <w:rPr>
          <w:szCs w:val="24"/>
        </w:rPr>
        <w:t xml:space="preserve">ar 2 </w:t>
      </w:r>
      <w:r w:rsidR="00F93270" w:rsidRPr="009103BB">
        <w:rPr>
          <w:szCs w:val="24"/>
        </w:rPr>
        <w:t>(</w:t>
      </w:r>
      <w:r w:rsidR="00FF5B67" w:rsidRPr="009103BB">
        <w:rPr>
          <w:szCs w:val="24"/>
        </w:rPr>
        <w:t xml:space="preserve">first year </w:t>
      </w:r>
      <w:r w:rsidR="00662A0D" w:rsidRPr="009103BB">
        <w:rPr>
          <w:szCs w:val="24"/>
        </w:rPr>
        <w:t xml:space="preserve">of alternative methodology </w:t>
      </w:r>
      <w:r w:rsidR="00F93270" w:rsidRPr="009103BB">
        <w:rPr>
          <w:szCs w:val="24"/>
        </w:rPr>
        <w:t xml:space="preserve">data collection), and </w:t>
      </w:r>
      <w:r w:rsidR="007D670B" w:rsidRPr="009103BB">
        <w:rPr>
          <w:szCs w:val="24"/>
        </w:rPr>
        <w:t>Year 3</w:t>
      </w:r>
      <w:r w:rsidR="00FF5B67" w:rsidRPr="009103BB">
        <w:rPr>
          <w:szCs w:val="24"/>
        </w:rPr>
        <w:t xml:space="preserve"> </w:t>
      </w:r>
      <w:r w:rsidR="00F93270" w:rsidRPr="009103BB">
        <w:rPr>
          <w:szCs w:val="24"/>
        </w:rPr>
        <w:t>(</w:t>
      </w:r>
      <w:r w:rsidR="00FF5B67" w:rsidRPr="009103BB">
        <w:rPr>
          <w:szCs w:val="24"/>
        </w:rPr>
        <w:t xml:space="preserve">second year </w:t>
      </w:r>
      <w:r w:rsidR="00662A0D" w:rsidRPr="009103BB">
        <w:rPr>
          <w:szCs w:val="24"/>
        </w:rPr>
        <w:t xml:space="preserve">of alternative </w:t>
      </w:r>
      <w:r w:rsidR="00F93270" w:rsidRPr="009103BB">
        <w:rPr>
          <w:szCs w:val="24"/>
        </w:rPr>
        <w:t>methodology data collection).</w:t>
      </w:r>
      <w:r w:rsidR="00F26A59" w:rsidRPr="007C2BE3">
        <w:rPr>
          <w:rStyle w:val="FootnoteReference"/>
        </w:rPr>
        <w:t xml:space="preserve"> </w:t>
      </w:r>
      <w:r w:rsidR="000B22E5" w:rsidRPr="009103BB">
        <w:rPr>
          <w:szCs w:val="24"/>
        </w:rPr>
        <w:t xml:space="preserve">Without this effort, which </w:t>
      </w:r>
      <w:r w:rsidR="00BC6DE9" w:rsidRPr="009103BB">
        <w:rPr>
          <w:szCs w:val="24"/>
        </w:rPr>
        <w:t>is</w:t>
      </w:r>
      <w:r w:rsidR="000B3F62" w:rsidRPr="009103BB">
        <w:rPr>
          <w:szCs w:val="24"/>
        </w:rPr>
        <w:t xml:space="preserve"> </w:t>
      </w:r>
      <w:r w:rsidR="00BC6DE9" w:rsidRPr="009103BB">
        <w:rPr>
          <w:szCs w:val="24"/>
        </w:rPr>
        <w:t xml:space="preserve">designed </w:t>
      </w:r>
      <w:r w:rsidR="000B22E5" w:rsidRPr="009103BB">
        <w:rPr>
          <w:szCs w:val="24"/>
        </w:rPr>
        <w:t xml:space="preserve">to address the research questions with the minimum possible burden, FNS will not have the information necessary </w:t>
      </w:r>
      <w:r w:rsidR="000952A9" w:rsidRPr="009103BB">
        <w:rPr>
          <w:szCs w:val="24"/>
        </w:rPr>
        <w:t>to (1) provide USDA with national estimates of certification-related errors and improper payments for use in USDA’s required reporting under IPERIA</w:t>
      </w:r>
      <w:r w:rsidR="00BC6DE9" w:rsidRPr="009103BB">
        <w:rPr>
          <w:szCs w:val="24"/>
        </w:rPr>
        <w:t>, with the required precision</w:t>
      </w:r>
      <w:r w:rsidR="005E6F62" w:rsidRPr="009103BB">
        <w:rPr>
          <w:szCs w:val="24"/>
        </w:rPr>
        <w:t>;</w:t>
      </w:r>
      <w:r w:rsidR="000952A9" w:rsidRPr="009103BB">
        <w:rPr>
          <w:szCs w:val="24"/>
        </w:rPr>
        <w:t xml:space="preserve"> </w:t>
      </w:r>
      <w:r w:rsidR="001F0EB8" w:rsidRPr="009103BB">
        <w:rPr>
          <w:szCs w:val="24"/>
        </w:rPr>
        <w:t xml:space="preserve">(2) pilot </w:t>
      </w:r>
      <w:r w:rsidR="001F0EB8" w:rsidRPr="001F0EB8">
        <w:rPr>
          <w:szCs w:val="24"/>
        </w:rPr>
        <w:t xml:space="preserve">a new methodology for the NSWP series that provides </w:t>
      </w:r>
      <w:r w:rsidR="001F0EB8">
        <w:rPr>
          <w:szCs w:val="24"/>
        </w:rPr>
        <w:t xml:space="preserve">annual estimates of improper payments </w:t>
      </w:r>
      <w:r w:rsidR="001F0EB8" w:rsidRPr="001F0EB8">
        <w:rPr>
          <w:szCs w:val="24"/>
        </w:rPr>
        <w:t>with greater efficiency and reduced cost</w:t>
      </w:r>
      <w:r w:rsidR="001F0EB8">
        <w:rPr>
          <w:szCs w:val="24"/>
        </w:rPr>
        <w:t>;</w:t>
      </w:r>
      <w:r w:rsidR="001F0EB8" w:rsidRPr="001F0EB8" w:rsidDel="00E96266">
        <w:rPr>
          <w:szCs w:val="24"/>
        </w:rPr>
        <w:t xml:space="preserve"> </w:t>
      </w:r>
      <w:r w:rsidR="000952A9">
        <w:rPr>
          <w:szCs w:val="24"/>
        </w:rPr>
        <w:t xml:space="preserve">(3) </w:t>
      </w:r>
      <w:r w:rsidR="001F0EB8">
        <w:rPr>
          <w:szCs w:val="24"/>
        </w:rPr>
        <w:t>p</w:t>
      </w:r>
      <w:r w:rsidR="001F0EB8" w:rsidRPr="001F0EB8">
        <w:rPr>
          <w:szCs w:val="24"/>
        </w:rPr>
        <w:t xml:space="preserve">rovide nationally representative information on the certification policies and operations of </w:t>
      </w:r>
      <w:r w:rsidR="00354EB2">
        <w:rPr>
          <w:szCs w:val="24"/>
        </w:rPr>
        <w:t>SAs, LAs</w:t>
      </w:r>
      <w:r w:rsidR="001F0EB8" w:rsidRPr="001F0EB8">
        <w:rPr>
          <w:szCs w:val="24"/>
        </w:rPr>
        <w:t xml:space="preserve"> and service delivery sites</w:t>
      </w:r>
      <w:r w:rsidR="001F0EB8">
        <w:rPr>
          <w:szCs w:val="24"/>
        </w:rPr>
        <w:t xml:space="preserve">; (4) </w:t>
      </w:r>
      <w:r w:rsidR="000952A9">
        <w:rPr>
          <w:szCs w:val="24"/>
        </w:rPr>
        <w:t xml:space="preserve">assess </w:t>
      </w:r>
      <w:r w:rsidR="000952A9" w:rsidRPr="000952A9">
        <w:rPr>
          <w:szCs w:val="24"/>
        </w:rPr>
        <w:t xml:space="preserve">State and local WIC </w:t>
      </w:r>
      <w:r w:rsidR="00564610">
        <w:rPr>
          <w:szCs w:val="24"/>
        </w:rPr>
        <w:t>a</w:t>
      </w:r>
      <w:r w:rsidR="00564610" w:rsidRPr="000952A9">
        <w:rPr>
          <w:szCs w:val="24"/>
        </w:rPr>
        <w:t xml:space="preserve">gencies’ </w:t>
      </w:r>
      <w:r w:rsidR="000952A9" w:rsidRPr="000952A9">
        <w:rPr>
          <w:szCs w:val="24"/>
        </w:rPr>
        <w:t>certification-related policies and operations in order to better understand both the policies and their po</w:t>
      </w:r>
      <w:r w:rsidR="000952A9">
        <w:rPr>
          <w:szCs w:val="24"/>
        </w:rPr>
        <w:t>tential associations with error</w:t>
      </w:r>
      <w:r w:rsidR="005E6F62">
        <w:rPr>
          <w:szCs w:val="24"/>
        </w:rPr>
        <w:t>;</w:t>
      </w:r>
      <w:r w:rsidR="000952A9">
        <w:rPr>
          <w:szCs w:val="24"/>
        </w:rPr>
        <w:t xml:space="preserve"> (5) </w:t>
      </w:r>
      <w:r w:rsidR="001F0EB8">
        <w:rPr>
          <w:szCs w:val="24"/>
        </w:rPr>
        <w:t>p</w:t>
      </w:r>
      <w:r w:rsidR="001F0EB8" w:rsidRPr="001F0EB8">
        <w:rPr>
          <w:szCs w:val="24"/>
        </w:rPr>
        <w:t xml:space="preserve">rovide nationally representative descriptions and analyses </w:t>
      </w:r>
      <w:r w:rsidR="001F0EB8">
        <w:rPr>
          <w:szCs w:val="24"/>
        </w:rPr>
        <w:t xml:space="preserve">to </w:t>
      </w:r>
      <w:r w:rsidR="000952A9">
        <w:rPr>
          <w:szCs w:val="24"/>
        </w:rPr>
        <w:t>understand p</w:t>
      </w:r>
      <w:r w:rsidR="000952A9" w:rsidRPr="000952A9">
        <w:rPr>
          <w:szCs w:val="24"/>
        </w:rPr>
        <w:t xml:space="preserve">articipants’ experiences with </w:t>
      </w:r>
      <w:r w:rsidR="001F0EB8">
        <w:rPr>
          <w:szCs w:val="24"/>
        </w:rPr>
        <w:t xml:space="preserve">the </w:t>
      </w:r>
      <w:r w:rsidR="000952A9" w:rsidRPr="000952A9">
        <w:rPr>
          <w:szCs w:val="24"/>
        </w:rPr>
        <w:t>WIC</w:t>
      </w:r>
      <w:r w:rsidR="001F0EB8">
        <w:rPr>
          <w:szCs w:val="24"/>
        </w:rPr>
        <w:t xml:space="preserve"> program; </w:t>
      </w:r>
      <w:r w:rsidR="0086685A">
        <w:rPr>
          <w:szCs w:val="24"/>
        </w:rPr>
        <w:t xml:space="preserve">and </w:t>
      </w:r>
      <w:r w:rsidR="001F0EB8">
        <w:rPr>
          <w:szCs w:val="24"/>
        </w:rPr>
        <w:t>(6)</w:t>
      </w:r>
      <w:r w:rsidR="008B0297">
        <w:rPr>
          <w:szCs w:val="24"/>
        </w:rPr>
        <w:t xml:space="preserve"> </w:t>
      </w:r>
      <w:r w:rsidR="001F0EB8">
        <w:rPr>
          <w:szCs w:val="24"/>
        </w:rPr>
        <w:t xml:space="preserve">understand </w:t>
      </w:r>
      <w:r w:rsidR="001F0EB8" w:rsidRPr="001F0EB8">
        <w:rPr>
          <w:szCs w:val="24"/>
        </w:rPr>
        <w:t>barriers and facilitators to WIC program retention</w:t>
      </w:r>
      <w:r w:rsidR="001F0EB8">
        <w:rPr>
          <w:szCs w:val="24"/>
        </w:rPr>
        <w:t>.</w:t>
      </w:r>
    </w:p>
    <w:p w14:paraId="51EA7516" w14:textId="2E37B2DC" w:rsidR="0015674E" w:rsidRPr="00616403" w:rsidRDefault="0015674E" w:rsidP="00CA7A45">
      <w:pPr>
        <w:pStyle w:val="Heading2"/>
        <w:tabs>
          <w:tab w:val="clear" w:pos="1152"/>
          <w:tab w:val="left" w:pos="720"/>
        </w:tabs>
        <w:spacing w:after="0" w:line="240" w:lineRule="auto"/>
        <w:ind w:left="720" w:hanging="720"/>
        <w:rPr>
          <w:rFonts w:ascii="Times New Roman" w:hAnsi="Times New Roman"/>
          <w:color w:val="auto"/>
          <w:sz w:val="24"/>
          <w:szCs w:val="24"/>
        </w:rPr>
      </w:pPr>
      <w:bookmarkStart w:id="81" w:name="_Toc282506029"/>
      <w:bookmarkStart w:id="82" w:name="_Toc339621287"/>
      <w:bookmarkStart w:id="83" w:name="_Toc454265307"/>
      <w:bookmarkStart w:id="84" w:name="_Toc454265606"/>
      <w:bookmarkStart w:id="85" w:name="_Toc454265683"/>
      <w:bookmarkStart w:id="86" w:name="_Toc454266178"/>
      <w:bookmarkStart w:id="87" w:name="_Toc454266208"/>
      <w:bookmarkStart w:id="88" w:name="_Toc454266635"/>
      <w:r w:rsidRPr="00616403">
        <w:rPr>
          <w:rFonts w:ascii="Times New Roman" w:hAnsi="Times New Roman"/>
          <w:color w:val="auto"/>
          <w:sz w:val="24"/>
          <w:szCs w:val="24"/>
        </w:rPr>
        <w:t>A.7</w:t>
      </w:r>
      <w:r w:rsidRPr="00616403">
        <w:rPr>
          <w:rFonts w:ascii="Times New Roman" w:hAnsi="Times New Roman"/>
          <w:color w:val="auto"/>
          <w:sz w:val="24"/>
          <w:szCs w:val="24"/>
        </w:rPr>
        <w:tab/>
      </w:r>
      <w:bookmarkEnd w:id="81"/>
      <w:r w:rsidRPr="00616403">
        <w:rPr>
          <w:rFonts w:ascii="Times New Roman" w:hAnsi="Times New Roman"/>
          <w:color w:val="auto"/>
          <w:sz w:val="24"/>
          <w:szCs w:val="24"/>
        </w:rPr>
        <w:t>Explain any special circumstances that would cause an information collection to be conducted in a manner:</w:t>
      </w:r>
      <w:bookmarkEnd w:id="82"/>
      <w:bookmarkEnd w:id="83"/>
      <w:bookmarkEnd w:id="84"/>
      <w:bookmarkEnd w:id="85"/>
      <w:bookmarkEnd w:id="86"/>
      <w:bookmarkEnd w:id="87"/>
      <w:bookmarkEnd w:id="88"/>
    </w:p>
    <w:p w14:paraId="2A9ABC0A" w14:textId="3D1F2B07" w:rsidR="0015674E" w:rsidRDefault="0015674E" w:rsidP="00811F5C">
      <w:pPr>
        <w:pStyle w:val="P1-StandPara"/>
        <w:numPr>
          <w:ilvl w:val="0"/>
          <w:numId w:val="6"/>
        </w:numPr>
        <w:spacing w:line="240" w:lineRule="auto"/>
        <w:rPr>
          <w:b/>
          <w:szCs w:val="24"/>
        </w:rPr>
      </w:pPr>
      <w:r w:rsidRPr="00616403">
        <w:rPr>
          <w:b/>
          <w:szCs w:val="24"/>
        </w:rPr>
        <w:t>requiring respondents to report information to the agency more often than quarterly;</w:t>
      </w:r>
    </w:p>
    <w:p w14:paraId="6FC271F9" w14:textId="77777777" w:rsidR="00220020" w:rsidRDefault="00220020" w:rsidP="00220020">
      <w:pPr>
        <w:pStyle w:val="P1-StandPara"/>
        <w:spacing w:line="240" w:lineRule="auto"/>
        <w:ind w:left="1080" w:firstLine="0"/>
        <w:rPr>
          <w:b/>
          <w:szCs w:val="24"/>
        </w:rPr>
      </w:pPr>
    </w:p>
    <w:p w14:paraId="766A413F" w14:textId="36287BE2" w:rsidR="00220020" w:rsidRDefault="00220020" w:rsidP="00220020">
      <w:pPr>
        <w:pStyle w:val="P1-StandPara"/>
        <w:spacing w:line="480" w:lineRule="auto"/>
        <w:ind w:left="1080" w:firstLine="0"/>
        <w:rPr>
          <w:szCs w:val="24"/>
        </w:rPr>
      </w:pPr>
      <w:r w:rsidRPr="00220020">
        <w:rPr>
          <w:szCs w:val="24"/>
        </w:rPr>
        <w:t xml:space="preserve">If any sampled WIC </w:t>
      </w:r>
      <w:r w:rsidR="00423218">
        <w:rPr>
          <w:szCs w:val="24"/>
        </w:rPr>
        <w:t>LAs</w:t>
      </w:r>
      <w:r w:rsidR="00662894">
        <w:rPr>
          <w:szCs w:val="24"/>
        </w:rPr>
        <w:t xml:space="preserve"> </w:t>
      </w:r>
      <w:r w:rsidRPr="00220020">
        <w:rPr>
          <w:szCs w:val="24"/>
        </w:rPr>
        <w:t xml:space="preserve">do not track denied applicants in administrative data, this subset of </w:t>
      </w:r>
      <w:r w:rsidR="00423218">
        <w:rPr>
          <w:szCs w:val="24"/>
        </w:rPr>
        <w:t>LAs</w:t>
      </w:r>
      <w:r w:rsidRPr="00220020">
        <w:rPr>
          <w:szCs w:val="24"/>
        </w:rPr>
        <w:t xml:space="preserve"> may be asked by email (Appendix B7.a) to maintain and provide logs of denied applicants (Appendix B7.b) with participant names, application categories and dates, contact information, language (if non-English), and reasons for denial. Because denial rates are expected to be low, this subset of </w:t>
      </w:r>
      <w:r w:rsidR="00423218">
        <w:rPr>
          <w:szCs w:val="24"/>
        </w:rPr>
        <w:t>LAs</w:t>
      </w:r>
      <w:r w:rsidRPr="00220020">
        <w:rPr>
          <w:szCs w:val="24"/>
        </w:rPr>
        <w:t xml:space="preserve"> will be asked to compile this information prior to the start of data collection to ensure that a</w:t>
      </w:r>
      <w:r w:rsidR="00C92BEC">
        <w:rPr>
          <w:szCs w:val="24"/>
        </w:rPr>
        <w:t xml:space="preserve"> </w:t>
      </w:r>
      <w:r w:rsidRPr="00220020">
        <w:rPr>
          <w:szCs w:val="24"/>
        </w:rPr>
        <w:t>sufficient number of respondents are available to meet sample targets. It is estimated that one-third (n=20) of the 60 LAs will need to maintain a log of denied applicants.</w:t>
      </w:r>
      <w:r w:rsidR="00090FEC" w:rsidRPr="00090FEC">
        <w:t xml:space="preserve"> </w:t>
      </w:r>
      <w:r w:rsidR="00090FEC" w:rsidRPr="00090FEC">
        <w:rPr>
          <w:szCs w:val="24"/>
        </w:rPr>
        <w:t>These LA directors will be emailed (</w:t>
      </w:r>
      <w:r w:rsidR="00317B3A">
        <w:rPr>
          <w:szCs w:val="24"/>
        </w:rPr>
        <w:t>Appendix B7.</w:t>
      </w:r>
      <w:r w:rsidR="00024BE2">
        <w:rPr>
          <w:szCs w:val="24"/>
        </w:rPr>
        <w:t>c</w:t>
      </w:r>
      <w:r w:rsidR="00090FEC" w:rsidRPr="00090FEC">
        <w:rPr>
          <w:szCs w:val="24"/>
        </w:rPr>
        <w:t>) and called (Appendix</w:t>
      </w:r>
      <w:r w:rsidR="00317B3A">
        <w:rPr>
          <w:szCs w:val="24"/>
        </w:rPr>
        <w:t xml:space="preserve"> B7.d</w:t>
      </w:r>
      <w:r w:rsidR="00090FEC" w:rsidRPr="00090FEC">
        <w:rPr>
          <w:szCs w:val="24"/>
        </w:rPr>
        <w:t>) up to five times to verify this essential information.</w:t>
      </w:r>
    </w:p>
    <w:p w14:paraId="0D2C8674" w14:textId="77777777" w:rsidR="0015674E" w:rsidRPr="000321CE" w:rsidRDefault="0015674E" w:rsidP="00811F5C">
      <w:pPr>
        <w:pStyle w:val="P1-StandPara"/>
        <w:numPr>
          <w:ilvl w:val="0"/>
          <w:numId w:val="6"/>
        </w:numPr>
        <w:spacing w:line="240" w:lineRule="auto"/>
        <w:rPr>
          <w:b/>
          <w:szCs w:val="24"/>
        </w:rPr>
      </w:pPr>
      <w:r w:rsidRPr="000321CE">
        <w:rPr>
          <w:b/>
          <w:szCs w:val="24"/>
        </w:rPr>
        <w:t>requiring respondents to prepare a written response to a collection of information in fewer than 30 days after receipt of it;</w:t>
      </w:r>
    </w:p>
    <w:p w14:paraId="002EDA2D" w14:textId="77777777" w:rsidR="0015674E" w:rsidRPr="00616403" w:rsidRDefault="0015674E" w:rsidP="00811F5C">
      <w:pPr>
        <w:pStyle w:val="P1-StandPara"/>
        <w:numPr>
          <w:ilvl w:val="0"/>
          <w:numId w:val="6"/>
        </w:numPr>
        <w:spacing w:line="240" w:lineRule="auto"/>
        <w:rPr>
          <w:b/>
          <w:szCs w:val="24"/>
        </w:rPr>
      </w:pPr>
      <w:r w:rsidRPr="000321CE">
        <w:rPr>
          <w:b/>
          <w:szCs w:val="24"/>
        </w:rPr>
        <w:t>requiring respondents to submit more than an original and</w:t>
      </w:r>
      <w:r w:rsidRPr="00616403">
        <w:rPr>
          <w:b/>
          <w:szCs w:val="24"/>
        </w:rPr>
        <w:t xml:space="preserve"> two copies of any document;</w:t>
      </w:r>
    </w:p>
    <w:p w14:paraId="20748F25" w14:textId="77777777" w:rsidR="0015674E" w:rsidRPr="00616403" w:rsidRDefault="0015674E" w:rsidP="00811F5C">
      <w:pPr>
        <w:pStyle w:val="P1-StandPara"/>
        <w:numPr>
          <w:ilvl w:val="0"/>
          <w:numId w:val="6"/>
        </w:numPr>
        <w:spacing w:line="240" w:lineRule="auto"/>
        <w:rPr>
          <w:b/>
          <w:szCs w:val="24"/>
        </w:rPr>
      </w:pPr>
      <w:r w:rsidRPr="00616403">
        <w:rPr>
          <w:b/>
          <w:szCs w:val="24"/>
        </w:rPr>
        <w:t>requiring respondents to retain records, other than health, medical, government contract, grant-in-aid, or tax records for more than three years;</w:t>
      </w:r>
    </w:p>
    <w:p w14:paraId="32A44B05" w14:textId="77777777" w:rsidR="0015674E" w:rsidRPr="00616403" w:rsidRDefault="0015674E" w:rsidP="00811F5C">
      <w:pPr>
        <w:pStyle w:val="P1-StandPara"/>
        <w:numPr>
          <w:ilvl w:val="0"/>
          <w:numId w:val="6"/>
        </w:numPr>
        <w:spacing w:line="240" w:lineRule="auto"/>
        <w:rPr>
          <w:b/>
          <w:szCs w:val="24"/>
        </w:rPr>
      </w:pPr>
      <w:r w:rsidRPr="00616403">
        <w:rPr>
          <w:b/>
          <w:szCs w:val="24"/>
        </w:rPr>
        <w:t>in connection with a statistical survey, that is not designed to produce valid and reliable results that can be generalized to the universe of study;</w:t>
      </w:r>
    </w:p>
    <w:p w14:paraId="63DED91A" w14:textId="77777777" w:rsidR="0015674E" w:rsidRPr="00616403" w:rsidRDefault="0015674E" w:rsidP="00811F5C">
      <w:pPr>
        <w:pStyle w:val="P1-StandPara"/>
        <w:numPr>
          <w:ilvl w:val="0"/>
          <w:numId w:val="6"/>
        </w:numPr>
        <w:spacing w:line="240" w:lineRule="auto"/>
        <w:rPr>
          <w:b/>
          <w:szCs w:val="24"/>
        </w:rPr>
      </w:pPr>
      <w:r w:rsidRPr="00616403">
        <w:rPr>
          <w:b/>
          <w:szCs w:val="24"/>
        </w:rPr>
        <w:t>requiring the use of a statistical data classification that has not been reviewed and approved by OMB;</w:t>
      </w:r>
    </w:p>
    <w:p w14:paraId="773BB5ED" w14:textId="77777777" w:rsidR="0015674E" w:rsidRPr="00616403" w:rsidRDefault="0015674E" w:rsidP="00811F5C">
      <w:pPr>
        <w:pStyle w:val="P1-StandPara"/>
        <w:numPr>
          <w:ilvl w:val="0"/>
          <w:numId w:val="6"/>
        </w:numPr>
        <w:spacing w:line="240" w:lineRule="auto"/>
        <w:rPr>
          <w:b/>
          <w:szCs w:val="24"/>
        </w:rPr>
      </w:pPr>
      <w:r w:rsidRPr="00616403">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8BF2C20" w14:textId="77777777" w:rsidR="0015674E" w:rsidRPr="000321CE" w:rsidRDefault="0015674E" w:rsidP="00811F5C">
      <w:pPr>
        <w:pStyle w:val="P1-StandPara"/>
        <w:numPr>
          <w:ilvl w:val="0"/>
          <w:numId w:val="6"/>
        </w:numPr>
        <w:spacing w:line="240" w:lineRule="auto"/>
        <w:rPr>
          <w:b/>
          <w:szCs w:val="24"/>
        </w:rPr>
      </w:pPr>
      <w:r w:rsidRPr="00616403">
        <w:rPr>
          <w:b/>
          <w:szCs w:val="24"/>
        </w:rPr>
        <w:t xml:space="preserve">requiring respondents to submit proprietary trade secret, or other confidential information unless the agency can demonstrate that it has instituted procedures to protect the information's confidentiality </w:t>
      </w:r>
      <w:r w:rsidRPr="000321CE">
        <w:rPr>
          <w:b/>
          <w:szCs w:val="24"/>
        </w:rPr>
        <w:t>to the extent permitted by law.</w:t>
      </w:r>
    </w:p>
    <w:p w14:paraId="690C982C" w14:textId="77777777" w:rsidR="00CA7A45" w:rsidRPr="000321CE" w:rsidRDefault="00CA7A45" w:rsidP="00CA7A45">
      <w:pPr>
        <w:pStyle w:val="P1-StandPara"/>
        <w:spacing w:line="240" w:lineRule="auto"/>
        <w:ind w:firstLine="0"/>
        <w:rPr>
          <w:b/>
          <w:szCs w:val="24"/>
        </w:rPr>
      </w:pPr>
    </w:p>
    <w:p w14:paraId="04A1E3DE" w14:textId="606A1285" w:rsidR="00B25B64" w:rsidRPr="00616403" w:rsidRDefault="00CA7A45" w:rsidP="00F46402">
      <w:pPr>
        <w:pStyle w:val="P1-StandPara"/>
        <w:spacing w:line="480" w:lineRule="auto"/>
        <w:ind w:firstLine="720"/>
        <w:rPr>
          <w:szCs w:val="24"/>
        </w:rPr>
      </w:pPr>
      <w:r w:rsidRPr="000321CE">
        <w:rPr>
          <w:szCs w:val="24"/>
        </w:rPr>
        <w:t xml:space="preserve">There are no </w:t>
      </w:r>
      <w:r w:rsidR="00A34F4F">
        <w:rPr>
          <w:szCs w:val="24"/>
        </w:rPr>
        <w:t xml:space="preserve">other </w:t>
      </w:r>
      <w:r w:rsidRPr="000321CE">
        <w:rPr>
          <w:szCs w:val="24"/>
        </w:rPr>
        <w:t>special circumstances</w:t>
      </w:r>
      <w:r w:rsidR="00564610">
        <w:rPr>
          <w:szCs w:val="24"/>
        </w:rPr>
        <w:t xml:space="preserve"> similar to those described above</w:t>
      </w:r>
      <w:r w:rsidRPr="000321CE">
        <w:rPr>
          <w:szCs w:val="24"/>
        </w:rPr>
        <w:t xml:space="preserve">. </w:t>
      </w:r>
      <w:bookmarkStart w:id="89" w:name="_Hlk488117913"/>
      <w:r w:rsidRPr="000321CE">
        <w:rPr>
          <w:szCs w:val="24"/>
        </w:rPr>
        <w:t xml:space="preserve">This collection of information </w:t>
      </w:r>
      <w:r w:rsidR="001D0D30" w:rsidRPr="000321CE">
        <w:rPr>
          <w:szCs w:val="24"/>
        </w:rPr>
        <w:t xml:space="preserve">will be </w:t>
      </w:r>
      <w:r w:rsidRPr="000321CE">
        <w:rPr>
          <w:szCs w:val="24"/>
        </w:rPr>
        <w:t>conducted in a manner consistent with the guidelines in the Code of Federal Regulations, 5 CFR 1320.</w:t>
      </w:r>
      <w:bookmarkStart w:id="90" w:name="_Toc282506030"/>
      <w:bookmarkStart w:id="91" w:name="_Toc339621288"/>
      <w:bookmarkEnd w:id="89"/>
    </w:p>
    <w:p w14:paraId="51AF81C8"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92" w:name="_Toc454265308"/>
      <w:bookmarkStart w:id="93" w:name="_Toc454265607"/>
      <w:bookmarkStart w:id="94" w:name="_Toc454265684"/>
      <w:bookmarkStart w:id="95" w:name="_Toc454266179"/>
      <w:bookmarkStart w:id="96" w:name="_Toc454266209"/>
      <w:bookmarkStart w:id="97" w:name="_Toc454266636"/>
      <w:r w:rsidRPr="00616403">
        <w:rPr>
          <w:rFonts w:ascii="Times New Roman" w:hAnsi="Times New Roman"/>
          <w:color w:val="auto"/>
          <w:sz w:val="24"/>
          <w:szCs w:val="24"/>
        </w:rPr>
        <w:t>A.8</w:t>
      </w:r>
      <w:r w:rsidRPr="00616403">
        <w:rPr>
          <w:rFonts w:ascii="Times New Roman" w:hAnsi="Times New Roman"/>
          <w:color w:val="auto"/>
          <w:sz w:val="24"/>
          <w:szCs w:val="24"/>
        </w:rPr>
        <w:tab/>
      </w:r>
      <w:bookmarkEnd w:id="90"/>
      <w:r w:rsidRPr="00616403">
        <w:rPr>
          <w:rFonts w:ascii="Times New Roman" w:hAnsi="Times New Roman"/>
          <w:color w:val="auto"/>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91"/>
      <w:bookmarkEnd w:id="92"/>
      <w:bookmarkEnd w:id="93"/>
      <w:bookmarkEnd w:id="94"/>
      <w:bookmarkEnd w:id="95"/>
      <w:bookmarkEnd w:id="96"/>
      <w:bookmarkEnd w:id="97"/>
    </w:p>
    <w:p w14:paraId="5512B018" w14:textId="77777777" w:rsidR="005E3DE7" w:rsidRPr="00616403" w:rsidRDefault="005E3DE7" w:rsidP="005E3DE7">
      <w:pPr>
        <w:pStyle w:val="L1-FlLSp12"/>
        <w:rPr>
          <w:szCs w:val="24"/>
        </w:rPr>
      </w:pPr>
    </w:p>
    <w:p w14:paraId="48FA6BC6" w14:textId="7FCB5857" w:rsidR="005225FC" w:rsidRPr="001240E7" w:rsidRDefault="005225FC" w:rsidP="00504A81">
      <w:pPr>
        <w:pStyle w:val="Heading31"/>
        <w:spacing w:after="0" w:line="480" w:lineRule="auto"/>
      </w:pPr>
      <w:bookmarkStart w:id="98" w:name="_Toc454266180"/>
      <w:r w:rsidRPr="001240E7">
        <w:t>Federal Registe</w:t>
      </w:r>
      <w:r w:rsidR="00F80B33">
        <w:t xml:space="preserve">r </w:t>
      </w:r>
      <w:r w:rsidR="00D23F34">
        <w:t>N</w:t>
      </w:r>
      <w:r w:rsidRPr="001240E7">
        <w:t xml:space="preserve">otice and </w:t>
      </w:r>
      <w:r w:rsidR="00D23F34">
        <w:t>C</w:t>
      </w:r>
      <w:r w:rsidRPr="001240E7">
        <w:t>omments</w:t>
      </w:r>
      <w:bookmarkEnd w:id="98"/>
    </w:p>
    <w:p w14:paraId="2ABF47A0" w14:textId="46477DB0" w:rsidR="00FA4BD9" w:rsidRDefault="00780251" w:rsidP="00DE261C">
      <w:pPr>
        <w:pStyle w:val="L1-FlLSp12"/>
        <w:tabs>
          <w:tab w:val="clear" w:pos="1152"/>
          <w:tab w:val="left" w:pos="720"/>
        </w:tabs>
        <w:spacing w:line="480" w:lineRule="auto"/>
        <w:rPr>
          <w:szCs w:val="24"/>
        </w:rPr>
      </w:pPr>
      <w:r>
        <w:rPr>
          <w:szCs w:val="24"/>
        </w:rPr>
        <w:tab/>
      </w:r>
      <w:r w:rsidR="005E3DE7" w:rsidRPr="00C77826">
        <w:rPr>
          <w:szCs w:val="24"/>
        </w:rPr>
        <w:t xml:space="preserve">Notice </w:t>
      </w:r>
      <w:r w:rsidR="005E3DE7" w:rsidRPr="00E3349A">
        <w:rPr>
          <w:szCs w:val="24"/>
        </w:rPr>
        <w:t xml:space="preserve">of this study was published in the </w:t>
      </w:r>
      <w:r w:rsidR="005E3DE7" w:rsidRPr="00E3349A">
        <w:rPr>
          <w:i/>
          <w:szCs w:val="24"/>
        </w:rPr>
        <w:t>Federal Register</w:t>
      </w:r>
      <w:r w:rsidR="00C77826" w:rsidRPr="00E3349A">
        <w:rPr>
          <w:szCs w:val="24"/>
        </w:rPr>
        <w:t xml:space="preserve"> (Volume </w:t>
      </w:r>
      <w:r w:rsidR="00537426" w:rsidRPr="00E3349A">
        <w:rPr>
          <w:szCs w:val="24"/>
        </w:rPr>
        <w:t>8181</w:t>
      </w:r>
      <w:r w:rsidR="00C77826" w:rsidRPr="00E3349A">
        <w:rPr>
          <w:szCs w:val="24"/>
        </w:rPr>
        <w:t>, No.</w:t>
      </w:r>
      <w:r w:rsidR="00537426" w:rsidRPr="00E3349A">
        <w:rPr>
          <w:szCs w:val="24"/>
        </w:rPr>
        <w:t xml:space="preserve"> 174</w:t>
      </w:r>
      <w:r w:rsidR="00AD676A" w:rsidRPr="00E3349A">
        <w:rPr>
          <w:szCs w:val="24"/>
        </w:rPr>
        <w:t xml:space="preserve">, </w:t>
      </w:r>
      <w:r w:rsidR="005E3C43" w:rsidRPr="00E3349A">
        <w:rPr>
          <w:szCs w:val="24"/>
        </w:rPr>
        <w:t>p</w:t>
      </w:r>
      <w:r w:rsidR="00AD676A" w:rsidRPr="00E3349A">
        <w:rPr>
          <w:szCs w:val="24"/>
        </w:rPr>
        <w:t>age</w:t>
      </w:r>
      <w:r w:rsidR="005E3C43" w:rsidRPr="00E3349A">
        <w:rPr>
          <w:szCs w:val="24"/>
        </w:rPr>
        <w:t>s</w:t>
      </w:r>
      <w:r w:rsidR="00AD676A" w:rsidRPr="00E3349A">
        <w:rPr>
          <w:szCs w:val="24"/>
        </w:rPr>
        <w:t xml:space="preserve"> </w:t>
      </w:r>
      <w:r w:rsidR="00537426" w:rsidRPr="00E3349A">
        <w:rPr>
          <w:szCs w:val="24"/>
        </w:rPr>
        <w:t>62072 - 62076</w:t>
      </w:r>
      <w:r w:rsidR="00AD676A" w:rsidRPr="00E3349A">
        <w:rPr>
          <w:szCs w:val="24"/>
        </w:rPr>
        <w:t>)</w:t>
      </w:r>
      <w:r w:rsidR="005E3DE7" w:rsidRPr="00E3349A">
        <w:rPr>
          <w:szCs w:val="24"/>
        </w:rPr>
        <w:t xml:space="preserve"> on</w:t>
      </w:r>
      <w:r w:rsidR="00F1366A" w:rsidRPr="00E3349A">
        <w:rPr>
          <w:szCs w:val="24"/>
        </w:rPr>
        <w:t xml:space="preserve"> </w:t>
      </w:r>
      <w:r w:rsidR="00537426" w:rsidRPr="00E3349A">
        <w:rPr>
          <w:szCs w:val="24"/>
        </w:rPr>
        <w:t>September 8</w:t>
      </w:r>
      <w:r w:rsidR="00C77826" w:rsidRPr="00E3349A">
        <w:rPr>
          <w:szCs w:val="24"/>
        </w:rPr>
        <w:t>, 201</w:t>
      </w:r>
      <w:r w:rsidR="00537426" w:rsidRPr="00E3349A">
        <w:rPr>
          <w:szCs w:val="24"/>
        </w:rPr>
        <w:t>6</w:t>
      </w:r>
      <w:r w:rsidR="005E3DE7" w:rsidRPr="00E3349A">
        <w:rPr>
          <w:szCs w:val="24"/>
        </w:rPr>
        <w:t xml:space="preserve">. </w:t>
      </w:r>
      <w:r w:rsidR="00604991">
        <w:rPr>
          <w:szCs w:val="24"/>
        </w:rPr>
        <w:t>The public comment period ended on November 7</w:t>
      </w:r>
      <w:r w:rsidR="00236395">
        <w:rPr>
          <w:szCs w:val="24"/>
        </w:rPr>
        <w:t>,</w:t>
      </w:r>
      <w:r w:rsidR="00604991">
        <w:rPr>
          <w:szCs w:val="24"/>
        </w:rPr>
        <w:t xml:space="preserve"> 2016</w:t>
      </w:r>
      <w:r w:rsidR="004F1DE9">
        <w:rPr>
          <w:szCs w:val="24"/>
        </w:rPr>
        <w:t xml:space="preserve">. </w:t>
      </w:r>
      <w:r w:rsidR="007F31A7" w:rsidRPr="00E3349A">
        <w:rPr>
          <w:szCs w:val="24"/>
        </w:rPr>
        <w:t xml:space="preserve">There were </w:t>
      </w:r>
      <w:r w:rsidR="00D70FD8" w:rsidRPr="00E3349A">
        <w:rPr>
          <w:szCs w:val="24"/>
        </w:rPr>
        <w:t>2</w:t>
      </w:r>
      <w:r w:rsidR="008A5F8E" w:rsidRPr="00E3349A">
        <w:rPr>
          <w:szCs w:val="24"/>
        </w:rPr>
        <w:t xml:space="preserve"> </w:t>
      </w:r>
      <w:r w:rsidR="000B3F62" w:rsidRPr="00E3349A">
        <w:rPr>
          <w:szCs w:val="24"/>
        </w:rPr>
        <w:t>p</w:t>
      </w:r>
      <w:r w:rsidR="00FF0C0B" w:rsidRPr="00E3349A">
        <w:rPr>
          <w:szCs w:val="24"/>
        </w:rPr>
        <w:t xml:space="preserve">ublic </w:t>
      </w:r>
      <w:r w:rsidR="000B3F62" w:rsidRPr="00E3349A">
        <w:rPr>
          <w:szCs w:val="24"/>
        </w:rPr>
        <w:t>c</w:t>
      </w:r>
      <w:r w:rsidR="00FF0C0B" w:rsidRPr="00E3349A">
        <w:rPr>
          <w:szCs w:val="24"/>
        </w:rPr>
        <w:t xml:space="preserve">omments </w:t>
      </w:r>
      <w:r w:rsidR="005726E2" w:rsidRPr="00E3349A">
        <w:rPr>
          <w:szCs w:val="24"/>
        </w:rPr>
        <w:t>received</w:t>
      </w:r>
      <w:r w:rsidR="00C77826" w:rsidRPr="00E3349A">
        <w:rPr>
          <w:szCs w:val="24"/>
        </w:rPr>
        <w:t xml:space="preserve"> (Appendi</w:t>
      </w:r>
      <w:r w:rsidR="0005153E" w:rsidRPr="00E3349A">
        <w:rPr>
          <w:szCs w:val="24"/>
        </w:rPr>
        <w:t>ces</w:t>
      </w:r>
      <w:r w:rsidR="00C77826" w:rsidRPr="00E3349A">
        <w:rPr>
          <w:szCs w:val="24"/>
        </w:rPr>
        <w:t xml:space="preserve"> </w:t>
      </w:r>
      <w:r w:rsidR="000C6709" w:rsidRPr="00E3349A">
        <w:rPr>
          <w:szCs w:val="24"/>
        </w:rPr>
        <w:t>E</w:t>
      </w:r>
      <w:r w:rsidR="0005153E" w:rsidRPr="00E3349A">
        <w:rPr>
          <w:szCs w:val="24"/>
        </w:rPr>
        <w:t>1.1 and E1.2</w:t>
      </w:r>
      <w:r w:rsidR="0046611F" w:rsidRPr="00E3349A">
        <w:rPr>
          <w:szCs w:val="24"/>
        </w:rPr>
        <w:t xml:space="preserve">). </w:t>
      </w:r>
      <w:r w:rsidR="003B5DF3" w:rsidRPr="00E3349A">
        <w:rPr>
          <w:szCs w:val="24"/>
        </w:rPr>
        <w:t>Comments</w:t>
      </w:r>
      <w:r w:rsidR="0046611F" w:rsidRPr="00E3349A">
        <w:rPr>
          <w:szCs w:val="24"/>
        </w:rPr>
        <w:t xml:space="preserve"> </w:t>
      </w:r>
      <w:r w:rsidR="003B5DF3" w:rsidRPr="00E3349A">
        <w:rPr>
          <w:szCs w:val="24"/>
        </w:rPr>
        <w:t>in response to the notice</w:t>
      </w:r>
      <w:r w:rsidR="0046611F" w:rsidRPr="00E3349A">
        <w:rPr>
          <w:szCs w:val="24"/>
        </w:rPr>
        <w:t xml:space="preserve"> </w:t>
      </w:r>
      <w:r w:rsidR="003B5DF3" w:rsidRPr="00E3349A">
        <w:rPr>
          <w:szCs w:val="24"/>
        </w:rPr>
        <w:t>include</w:t>
      </w:r>
      <w:r w:rsidR="0046611F" w:rsidRPr="00E3349A">
        <w:rPr>
          <w:szCs w:val="24"/>
        </w:rPr>
        <w:t>d</w:t>
      </w:r>
      <w:r w:rsidR="003B5DF3" w:rsidRPr="00E3349A">
        <w:rPr>
          <w:szCs w:val="24"/>
        </w:rPr>
        <w:t xml:space="preserve"> </w:t>
      </w:r>
      <w:r w:rsidR="00B25279">
        <w:rPr>
          <w:szCs w:val="24"/>
        </w:rPr>
        <w:t xml:space="preserve">those </w:t>
      </w:r>
      <w:r w:rsidR="004C6215">
        <w:rPr>
          <w:szCs w:val="24"/>
        </w:rPr>
        <w:t>from the</w:t>
      </w:r>
      <w:r w:rsidR="0005279D" w:rsidRPr="00E3349A">
        <w:rPr>
          <w:szCs w:val="24"/>
        </w:rPr>
        <w:t xml:space="preserve"> Academy of Nutrition and Dietetics</w:t>
      </w:r>
      <w:r w:rsidR="004C6215">
        <w:rPr>
          <w:szCs w:val="24"/>
        </w:rPr>
        <w:t xml:space="preserve"> expressing their support and recommendations to enhance the quality of the information collection, including utilizing web surveys and ensuring the survey questions are clear (Appendix E1.1). FNS responded by explaining that the study will use a mix of data collection methods to ensure the study collects high quality data with the upmost integrity</w:t>
      </w:r>
      <w:r w:rsidR="00503FA8">
        <w:rPr>
          <w:szCs w:val="24"/>
        </w:rPr>
        <w:t xml:space="preserve"> (Appendix E2.1)</w:t>
      </w:r>
      <w:r w:rsidR="004C6215">
        <w:rPr>
          <w:szCs w:val="24"/>
        </w:rPr>
        <w:t xml:space="preserve">. FNS also noted that the data collection instruments will be pre-tested to ensure </w:t>
      </w:r>
      <w:r w:rsidR="00503FA8">
        <w:rPr>
          <w:szCs w:val="24"/>
        </w:rPr>
        <w:t>they are appropriate in duration and content</w:t>
      </w:r>
      <w:r w:rsidR="004F1DE9">
        <w:rPr>
          <w:szCs w:val="24"/>
        </w:rPr>
        <w:t xml:space="preserve">. </w:t>
      </w:r>
      <w:r w:rsidR="00503FA8">
        <w:rPr>
          <w:szCs w:val="24"/>
        </w:rPr>
        <w:t xml:space="preserve">The </w:t>
      </w:r>
      <w:r w:rsidR="0005279D" w:rsidRPr="00E3349A">
        <w:rPr>
          <w:szCs w:val="24"/>
        </w:rPr>
        <w:t>letter</w:t>
      </w:r>
      <w:r w:rsidR="00503FA8">
        <w:rPr>
          <w:szCs w:val="24"/>
        </w:rPr>
        <w:t xml:space="preserve"> from Gerald Schatz</w:t>
      </w:r>
      <w:r w:rsidR="0005279D" w:rsidRPr="00E3349A">
        <w:rPr>
          <w:szCs w:val="24"/>
        </w:rPr>
        <w:t xml:space="preserve"> </w:t>
      </w:r>
      <w:r w:rsidR="00503FA8" w:rsidRPr="00E3349A">
        <w:rPr>
          <w:szCs w:val="24"/>
        </w:rPr>
        <w:t>request</w:t>
      </w:r>
      <w:r w:rsidR="00503FA8">
        <w:rPr>
          <w:szCs w:val="24"/>
        </w:rPr>
        <w:t>ed</w:t>
      </w:r>
      <w:r w:rsidR="00503FA8" w:rsidRPr="00E3349A">
        <w:rPr>
          <w:szCs w:val="24"/>
        </w:rPr>
        <w:t xml:space="preserve"> </w:t>
      </w:r>
      <w:r w:rsidR="0005279D" w:rsidRPr="00E3349A">
        <w:rPr>
          <w:szCs w:val="24"/>
        </w:rPr>
        <w:t xml:space="preserve">additional information </w:t>
      </w:r>
      <w:r w:rsidR="00503FA8">
        <w:rPr>
          <w:szCs w:val="24"/>
        </w:rPr>
        <w:t xml:space="preserve">regarding the study, including copies of the information collection (Appendix E1.2). </w:t>
      </w:r>
      <w:r w:rsidR="00C77826" w:rsidRPr="00E3349A">
        <w:rPr>
          <w:szCs w:val="24"/>
        </w:rPr>
        <w:t>FNS respon</w:t>
      </w:r>
      <w:r w:rsidR="00CE73BB" w:rsidRPr="00E3349A">
        <w:rPr>
          <w:szCs w:val="24"/>
        </w:rPr>
        <w:t>d</w:t>
      </w:r>
      <w:r w:rsidR="00C77826" w:rsidRPr="00E3349A">
        <w:rPr>
          <w:szCs w:val="24"/>
        </w:rPr>
        <w:t>e</w:t>
      </w:r>
      <w:r w:rsidR="00CE73BB" w:rsidRPr="00E3349A">
        <w:rPr>
          <w:szCs w:val="24"/>
        </w:rPr>
        <w:t>d</w:t>
      </w:r>
      <w:r w:rsidR="00C77826" w:rsidRPr="00E3349A">
        <w:rPr>
          <w:szCs w:val="24"/>
        </w:rPr>
        <w:t xml:space="preserve"> </w:t>
      </w:r>
      <w:r w:rsidR="00503FA8">
        <w:rPr>
          <w:szCs w:val="24"/>
        </w:rPr>
        <w:t xml:space="preserve">that additional information regarding the study along with a 30-day comment period will become available once the information collection is submitted to OMB </w:t>
      </w:r>
      <w:r w:rsidR="00CE73BB" w:rsidRPr="00E3349A">
        <w:rPr>
          <w:szCs w:val="24"/>
        </w:rPr>
        <w:t>(Appendix E2.2)</w:t>
      </w:r>
      <w:r w:rsidR="004F1DE9">
        <w:rPr>
          <w:szCs w:val="24"/>
        </w:rPr>
        <w:t xml:space="preserve">. </w:t>
      </w:r>
    </w:p>
    <w:p w14:paraId="4A0569B7" w14:textId="218E8964" w:rsidR="00A73BAF" w:rsidRPr="007C2BE3" w:rsidRDefault="00FA4BD9" w:rsidP="007C2BE3">
      <w:pPr>
        <w:pStyle w:val="CommentText"/>
        <w:spacing w:after="0" w:line="480" w:lineRule="auto"/>
        <w:rPr>
          <w:rFonts w:ascii="Times New Roman" w:hAnsi="Times New Roman"/>
          <w:sz w:val="24"/>
        </w:rPr>
      </w:pPr>
      <w:r w:rsidRPr="007C2BE3">
        <w:rPr>
          <w:sz w:val="24"/>
        </w:rPr>
        <w:tab/>
      </w:r>
      <w:r w:rsidR="00604991" w:rsidRPr="007C2BE3">
        <w:rPr>
          <w:rFonts w:ascii="Times New Roman" w:hAnsi="Times New Roman"/>
          <w:sz w:val="24"/>
        </w:rPr>
        <w:t>Due to circumstance</w:t>
      </w:r>
      <w:r w:rsidR="00207A6A">
        <w:rPr>
          <w:rFonts w:ascii="Times New Roman" w:hAnsi="Times New Roman"/>
          <w:sz w:val="24"/>
        </w:rPr>
        <w:t>s</w:t>
      </w:r>
      <w:r w:rsidR="00604991" w:rsidRPr="007C2BE3">
        <w:rPr>
          <w:rFonts w:ascii="Times New Roman" w:hAnsi="Times New Roman"/>
          <w:sz w:val="24"/>
        </w:rPr>
        <w:t xml:space="preserve"> which delayed the submission of the full information collection request package within a year of the publication of the original notice, FNS republished the notice for public comment in the Federal Register (Volume 82, No. 186, pages 44986-44992) on September 27, 2017</w:t>
      </w:r>
      <w:r w:rsidR="004F1DE9" w:rsidRPr="007C2BE3">
        <w:rPr>
          <w:rFonts w:ascii="Times New Roman" w:hAnsi="Times New Roman"/>
          <w:sz w:val="24"/>
        </w:rPr>
        <w:t xml:space="preserve">. </w:t>
      </w:r>
      <w:r w:rsidR="00604991" w:rsidRPr="007C2BE3">
        <w:rPr>
          <w:rFonts w:ascii="Times New Roman" w:hAnsi="Times New Roman"/>
          <w:sz w:val="24"/>
        </w:rPr>
        <w:t xml:space="preserve">The public comment period ended on </w:t>
      </w:r>
      <w:r w:rsidR="003B245F" w:rsidRPr="007C2BE3">
        <w:rPr>
          <w:rFonts w:ascii="Times New Roman" w:hAnsi="Times New Roman"/>
          <w:sz w:val="24"/>
        </w:rPr>
        <w:t xml:space="preserve">November </w:t>
      </w:r>
      <w:r w:rsidR="00604991" w:rsidRPr="007C2BE3">
        <w:rPr>
          <w:rFonts w:ascii="Times New Roman" w:hAnsi="Times New Roman"/>
          <w:sz w:val="24"/>
        </w:rPr>
        <w:t>27, 2017</w:t>
      </w:r>
      <w:r w:rsidR="004F1DE9" w:rsidRPr="007C2BE3">
        <w:rPr>
          <w:rFonts w:ascii="Times New Roman" w:hAnsi="Times New Roman"/>
          <w:sz w:val="24"/>
        </w:rPr>
        <w:t xml:space="preserve">. </w:t>
      </w:r>
      <w:r w:rsidR="003B245F" w:rsidRPr="007C2BE3">
        <w:rPr>
          <w:rFonts w:ascii="Times New Roman" w:hAnsi="Times New Roman"/>
          <w:sz w:val="24"/>
        </w:rPr>
        <w:t>One comment was received from the Academy of Nutrition and Dietetics (Appendix E1.3) requesting the survey instruments. FNS responded that the instruments will become available once the package is submitted to OMB, and comments can be submitted during the 30-day notice period (Appendix E2.3).</w:t>
      </w:r>
      <w:r w:rsidR="00DF051D" w:rsidRPr="00DF051D">
        <w:rPr>
          <w:rFonts w:ascii="Times New Roman" w:hAnsi="Times New Roman" w:cs="Times New Roman"/>
          <w:sz w:val="24"/>
          <w:szCs w:val="24"/>
        </w:rPr>
        <w:t xml:space="preserve"> On June 21, 2018, commenters requesting copies of study instruments were emailed </w:t>
      </w:r>
      <w:r w:rsidR="007C08FD">
        <w:rPr>
          <w:rFonts w:ascii="Times New Roman" w:hAnsi="Times New Roman" w:cs="Times New Roman"/>
          <w:sz w:val="24"/>
          <w:szCs w:val="24"/>
        </w:rPr>
        <w:t>a link to them</w:t>
      </w:r>
      <w:r w:rsidR="00DF051D" w:rsidRPr="00DF051D">
        <w:rPr>
          <w:rFonts w:ascii="Times New Roman" w:hAnsi="Times New Roman" w:cs="Times New Roman"/>
          <w:sz w:val="24"/>
          <w:szCs w:val="24"/>
        </w:rPr>
        <w:t xml:space="preserve">, offering an opportunity to review and comment. No responses </w:t>
      </w:r>
      <w:r w:rsidR="00DF051D">
        <w:rPr>
          <w:rFonts w:ascii="Times New Roman" w:hAnsi="Times New Roman" w:cs="Times New Roman"/>
          <w:sz w:val="24"/>
          <w:szCs w:val="24"/>
        </w:rPr>
        <w:t>were</w:t>
      </w:r>
      <w:r w:rsidR="00DF051D" w:rsidRPr="00DF051D">
        <w:rPr>
          <w:rFonts w:ascii="Times New Roman" w:hAnsi="Times New Roman" w:cs="Times New Roman"/>
          <w:sz w:val="24"/>
          <w:szCs w:val="24"/>
        </w:rPr>
        <w:t xml:space="preserve"> received. </w:t>
      </w:r>
    </w:p>
    <w:p w14:paraId="057DE9A6" w14:textId="32532208" w:rsidR="00854743" w:rsidRDefault="008C4563" w:rsidP="00854743">
      <w:pPr>
        <w:pStyle w:val="Heading31"/>
        <w:spacing w:after="0"/>
        <w:rPr>
          <w:szCs w:val="24"/>
        </w:rPr>
      </w:pPr>
      <w:bookmarkStart w:id="99" w:name="_Toc454266181"/>
      <w:r w:rsidRPr="00533A13">
        <w:t xml:space="preserve">Consultations </w:t>
      </w:r>
      <w:r w:rsidR="00D23F34">
        <w:t>O</w:t>
      </w:r>
      <w:r w:rsidRPr="00533A13">
        <w:t xml:space="preserve">utside the </w:t>
      </w:r>
      <w:r w:rsidR="00D23F34">
        <w:t>A</w:t>
      </w:r>
      <w:r w:rsidRPr="00533A13">
        <w:t>gency</w:t>
      </w:r>
      <w:bookmarkStart w:id="100" w:name="_Toc282506031"/>
      <w:bookmarkStart w:id="101" w:name="_Toc339621289"/>
      <w:bookmarkStart w:id="102" w:name="_Toc454265309"/>
      <w:bookmarkStart w:id="103" w:name="_Toc454265608"/>
      <w:bookmarkStart w:id="104" w:name="_Toc454265685"/>
      <w:bookmarkStart w:id="105" w:name="_Toc454266182"/>
      <w:bookmarkStart w:id="106" w:name="_Toc454266210"/>
      <w:bookmarkStart w:id="107" w:name="_Toc454266637"/>
      <w:bookmarkEnd w:id="99"/>
    </w:p>
    <w:p w14:paraId="6EB93F7B" w14:textId="77777777" w:rsidR="00854743" w:rsidRPr="007C2BE3" w:rsidRDefault="00854743" w:rsidP="007C2BE3">
      <w:pPr>
        <w:pStyle w:val="Heading31"/>
        <w:spacing w:after="0"/>
      </w:pPr>
    </w:p>
    <w:p w14:paraId="79F66FA4" w14:textId="56D77D49" w:rsidR="00707714" w:rsidRDefault="008627ED" w:rsidP="00843EAC">
      <w:pPr>
        <w:ind w:firstLine="720"/>
        <w:rPr>
          <w:b/>
        </w:rPr>
      </w:pPr>
      <w:r>
        <w:rPr>
          <w:szCs w:val="24"/>
        </w:rPr>
        <w:t xml:space="preserve">NSWP-III </w:t>
      </w:r>
      <w:r w:rsidR="008E2465">
        <w:t xml:space="preserve">convened an expert panel to </w:t>
      </w:r>
      <w:r w:rsidR="008E2465">
        <w:rPr>
          <w:szCs w:val="24"/>
        </w:rPr>
        <w:t>r</w:t>
      </w:r>
      <w:r w:rsidR="008E2465" w:rsidRPr="008E2465">
        <w:rPr>
          <w:szCs w:val="24"/>
        </w:rPr>
        <w:t>eview the draft recruitment materials and the draft data collection instruments</w:t>
      </w:r>
      <w:r w:rsidR="008E2465">
        <w:rPr>
          <w:szCs w:val="24"/>
        </w:rPr>
        <w:t>. Five</w:t>
      </w:r>
      <w:r w:rsidR="008E2465" w:rsidRPr="008907B7">
        <w:rPr>
          <w:szCs w:val="24"/>
        </w:rPr>
        <w:t xml:space="preserve"> </w:t>
      </w:r>
      <w:r w:rsidR="008E2465">
        <w:rPr>
          <w:szCs w:val="24"/>
        </w:rPr>
        <w:t>experts</w:t>
      </w:r>
      <w:r w:rsidR="008E2465" w:rsidRPr="008907B7">
        <w:rPr>
          <w:szCs w:val="24"/>
        </w:rPr>
        <w:t xml:space="preserve"> </w:t>
      </w:r>
      <w:r w:rsidR="00B1757E">
        <w:rPr>
          <w:szCs w:val="24"/>
        </w:rPr>
        <w:t xml:space="preserve">from the </w:t>
      </w:r>
      <w:r w:rsidR="008E2465">
        <w:rPr>
          <w:szCs w:val="24"/>
        </w:rPr>
        <w:t xml:space="preserve">WIC program </w:t>
      </w:r>
      <w:r w:rsidR="00790396">
        <w:rPr>
          <w:szCs w:val="24"/>
        </w:rPr>
        <w:t xml:space="preserve">or </w:t>
      </w:r>
      <w:r w:rsidR="00B1757E">
        <w:rPr>
          <w:szCs w:val="24"/>
        </w:rPr>
        <w:t xml:space="preserve">with </w:t>
      </w:r>
      <w:r w:rsidR="008E2465">
        <w:rPr>
          <w:szCs w:val="24"/>
        </w:rPr>
        <w:t>research e</w:t>
      </w:r>
      <w:r w:rsidR="008E2465" w:rsidRPr="008E2465">
        <w:rPr>
          <w:szCs w:val="24"/>
        </w:rPr>
        <w:t>xperience</w:t>
      </w:r>
      <w:r w:rsidR="008E2465">
        <w:rPr>
          <w:szCs w:val="24"/>
        </w:rPr>
        <w:t xml:space="preserve"> and knowledge of IPERIA </w:t>
      </w:r>
      <w:r w:rsidR="008E2465" w:rsidRPr="008907B7">
        <w:rPr>
          <w:szCs w:val="24"/>
        </w:rPr>
        <w:t>were consulted</w:t>
      </w:r>
      <w:r w:rsidR="004A3D4D">
        <w:rPr>
          <w:szCs w:val="24"/>
        </w:rPr>
        <w:t xml:space="preserve"> (see Table A1)</w:t>
      </w:r>
      <w:r w:rsidR="008E2465">
        <w:rPr>
          <w:szCs w:val="24"/>
        </w:rPr>
        <w:t xml:space="preserve">. Feedback was incorporated into the revised </w:t>
      </w:r>
      <w:r w:rsidR="008E2465" w:rsidRPr="008E2465">
        <w:rPr>
          <w:szCs w:val="24"/>
        </w:rPr>
        <w:t>rec</w:t>
      </w:r>
      <w:r w:rsidR="008E2465">
        <w:rPr>
          <w:szCs w:val="24"/>
        </w:rPr>
        <w:t>ruitment materials and the revised</w:t>
      </w:r>
      <w:r w:rsidR="008E2465" w:rsidRPr="008E2465">
        <w:rPr>
          <w:szCs w:val="24"/>
        </w:rPr>
        <w:t xml:space="preserve"> data collection instruments</w:t>
      </w:r>
      <w:r w:rsidR="008E2465">
        <w:rPr>
          <w:szCs w:val="24"/>
        </w:rPr>
        <w:t>.</w:t>
      </w:r>
      <w:bookmarkStart w:id="108" w:name="_Hlk485625148"/>
      <w:r w:rsidR="003B7D07">
        <w:rPr>
          <w:szCs w:val="24"/>
        </w:rPr>
        <w:t xml:space="preserve"> There were no major </w:t>
      </w:r>
      <w:r w:rsidR="001C071E">
        <w:rPr>
          <w:szCs w:val="24"/>
        </w:rPr>
        <w:t xml:space="preserve">issues raised during these consultations. </w:t>
      </w:r>
    </w:p>
    <w:p w14:paraId="40E212EB" w14:textId="173F7EF6" w:rsidR="004A3D4D" w:rsidRPr="007C2BE3" w:rsidRDefault="004A3D4D" w:rsidP="009E6215">
      <w:pPr>
        <w:ind w:firstLine="720"/>
        <w:rPr>
          <w:b/>
          <w:sz w:val="26"/>
        </w:rPr>
      </w:pPr>
      <w:r w:rsidRPr="007C2BE3">
        <w:rPr>
          <w:b/>
        </w:rPr>
        <w:t>Table A1.</w:t>
      </w:r>
      <w:r w:rsidRPr="007C2BE3">
        <w:rPr>
          <w:b/>
        </w:rPr>
        <w:tab/>
        <w:t>NSWP-III Expert Panel Consultations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39"/>
        <w:gridCol w:w="2634"/>
        <w:gridCol w:w="1419"/>
        <w:gridCol w:w="1807"/>
      </w:tblGrid>
      <w:tr w:rsidR="0022046D" w:rsidRPr="00FE3A74" w14:paraId="48B3E543" w14:textId="5E8436BF" w:rsidTr="000D31F3">
        <w:tc>
          <w:tcPr>
            <w:tcW w:w="1758" w:type="dxa"/>
            <w:shd w:val="clear" w:color="auto" w:fill="BDD6EE" w:themeFill="accent1" w:themeFillTint="66"/>
            <w:vAlign w:val="bottom"/>
          </w:tcPr>
          <w:p w14:paraId="79F8B6ED" w14:textId="77777777" w:rsidR="000E0C93" w:rsidRPr="006C5542" w:rsidRDefault="000E0C93" w:rsidP="000E0C93">
            <w:pPr>
              <w:pStyle w:val="TH-TableHeading"/>
              <w:rPr>
                <w:rFonts w:ascii="Arial Narrow" w:hAnsi="Arial Narrow"/>
                <w:caps/>
                <w:sz w:val="24"/>
                <w:szCs w:val="24"/>
              </w:rPr>
            </w:pPr>
            <w:bookmarkStart w:id="109" w:name="_Toc339621326"/>
            <w:r w:rsidRPr="006C5542">
              <w:rPr>
                <w:rFonts w:ascii="Arial Narrow" w:hAnsi="Arial Narrow"/>
                <w:caps/>
                <w:sz w:val="24"/>
                <w:szCs w:val="24"/>
              </w:rPr>
              <w:t>Name</w:t>
            </w:r>
            <w:bookmarkEnd w:id="109"/>
          </w:p>
        </w:tc>
        <w:tc>
          <w:tcPr>
            <w:tcW w:w="1747" w:type="dxa"/>
            <w:shd w:val="clear" w:color="auto" w:fill="BDD6EE" w:themeFill="accent1" w:themeFillTint="66"/>
            <w:vAlign w:val="bottom"/>
          </w:tcPr>
          <w:p w14:paraId="558E9171" w14:textId="1E948A50" w:rsidR="000E0C93" w:rsidRPr="006C5542" w:rsidRDefault="000E0C93" w:rsidP="000E0C93">
            <w:pPr>
              <w:pStyle w:val="TH-TableHeading"/>
              <w:rPr>
                <w:rFonts w:ascii="Arial Narrow" w:hAnsi="Arial Narrow"/>
                <w:caps/>
                <w:sz w:val="24"/>
                <w:szCs w:val="24"/>
              </w:rPr>
            </w:pPr>
            <w:r w:rsidRPr="006C5542">
              <w:rPr>
                <w:rFonts w:ascii="Arial Narrow" w:hAnsi="Arial Narrow"/>
                <w:caps/>
                <w:sz w:val="24"/>
                <w:szCs w:val="24"/>
              </w:rPr>
              <w:t>TITLE</w:t>
            </w:r>
          </w:p>
        </w:tc>
        <w:tc>
          <w:tcPr>
            <w:tcW w:w="2646" w:type="dxa"/>
            <w:shd w:val="clear" w:color="auto" w:fill="BDD6EE" w:themeFill="accent1" w:themeFillTint="66"/>
            <w:vAlign w:val="bottom"/>
          </w:tcPr>
          <w:p w14:paraId="596E72E4" w14:textId="6D8570D7" w:rsidR="000E0C93" w:rsidRPr="006C5542" w:rsidRDefault="000E0C93" w:rsidP="000E0C93">
            <w:pPr>
              <w:pStyle w:val="TH-TableHeading"/>
              <w:rPr>
                <w:rFonts w:ascii="Arial Narrow" w:hAnsi="Arial Narrow"/>
                <w:caps/>
                <w:sz w:val="24"/>
                <w:szCs w:val="24"/>
              </w:rPr>
            </w:pPr>
            <w:bookmarkStart w:id="110" w:name="_Toc339621327"/>
            <w:r w:rsidRPr="006C5542">
              <w:rPr>
                <w:rFonts w:ascii="Arial Narrow" w:hAnsi="Arial Narrow"/>
                <w:caps/>
                <w:sz w:val="24"/>
                <w:szCs w:val="24"/>
              </w:rPr>
              <w:t>Affiliation</w:t>
            </w:r>
            <w:bookmarkEnd w:id="110"/>
          </w:p>
        </w:tc>
        <w:tc>
          <w:tcPr>
            <w:tcW w:w="1388" w:type="dxa"/>
            <w:shd w:val="clear" w:color="auto" w:fill="BDD6EE" w:themeFill="accent1" w:themeFillTint="66"/>
            <w:vAlign w:val="bottom"/>
          </w:tcPr>
          <w:p w14:paraId="7D3A82AB" w14:textId="3346DEDE" w:rsidR="000E0C93" w:rsidRPr="006C5542" w:rsidRDefault="000E0C93" w:rsidP="000E0C93">
            <w:pPr>
              <w:pStyle w:val="TH-TableHeading"/>
              <w:rPr>
                <w:rFonts w:ascii="Arial Narrow" w:hAnsi="Arial Narrow"/>
                <w:caps/>
                <w:sz w:val="24"/>
                <w:szCs w:val="24"/>
              </w:rPr>
            </w:pPr>
            <w:bookmarkStart w:id="111" w:name="_Toc339621328"/>
            <w:r w:rsidRPr="006C5542">
              <w:rPr>
                <w:rFonts w:ascii="Arial Narrow" w:hAnsi="Arial Narrow"/>
                <w:caps/>
                <w:sz w:val="24"/>
                <w:szCs w:val="24"/>
              </w:rPr>
              <w:t>Telephone Number</w:t>
            </w:r>
            <w:bookmarkEnd w:id="111"/>
          </w:p>
        </w:tc>
        <w:tc>
          <w:tcPr>
            <w:tcW w:w="1811" w:type="dxa"/>
            <w:shd w:val="clear" w:color="auto" w:fill="BDD6EE" w:themeFill="accent1" w:themeFillTint="66"/>
            <w:vAlign w:val="bottom"/>
          </w:tcPr>
          <w:p w14:paraId="113531C1" w14:textId="19E95EC3" w:rsidR="000E0C93" w:rsidRPr="006C5542" w:rsidRDefault="000E0C93" w:rsidP="000E0C93">
            <w:pPr>
              <w:pStyle w:val="TH-TableHeading"/>
              <w:rPr>
                <w:rFonts w:ascii="Arial Narrow" w:hAnsi="Arial Narrow"/>
                <w:caps/>
                <w:sz w:val="24"/>
                <w:szCs w:val="24"/>
              </w:rPr>
            </w:pPr>
            <w:r w:rsidRPr="006C5542">
              <w:rPr>
                <w:rFonts w:ascii="Arial Narrow" w:hAnsi="Arial Narrow"/>
                <w:caps/>
                <w:sz w:val="24"/>
                <w:szCs w:val="24"/>
              </w:rPr>
              <w:t>YEARs CONSULTED</w:t>
            </w:r>
          </w:p>
        </w:tc>
      </w:tr>
      <w:tr w:rsidR="000E0C93" w:rsidRPr="00FE3A74" w14:paraId="088F078F" w14:textId="40C26FF6" w:rsidTr="00071B2B">
        <w:tc>
          <w:tcPr>
            <w:tcW w:w="1758" w:type="dxa"/>
          </w:tcPr>
          <w:p w14:paraId="386F2105" w14:textId="1AD3AB6D" w:rsidR="000E0C93" w:rsidRPr="006C5542" w:rsidRDefault="000E0C93" w:rsidP="000E0C93">
            <w:pPr>
              <w:pStyle w:val="TX-TableText"/>
              <w:spacing w:before="60" w:after="60" w:line="240" w:lineRule="auto"/>
              <w:rPr>
                <w:rFonts w:ascii="Arial Narrow" w:hAnsi="Arial Narrow"/>
                <w:highlight w:val="yellow"/>
              </w:rPr>
            </w:pPr>
            <w:r w:rsidRPr="006C5542">
              <w:rPr>
                <w:rFonts w:ascii="Arial Narrow" w:hAnsi="Arial Narrow"/>
              </w:rPr>
              <w:t>Donna Hines</w:t>
            </w:r>
          </w:p>
        </w:tc>
        <w:tc>
          <w:tcPr>
            <w:tcW w:w="1747" w:type="dxa"/>
          </w:tcPr>
          <w:p w14:paraId="1A5282F4" w14:textId="4D88C06A" w:rsidR="000E0C93" w:rsidRPr="006C5542" w:rsidRDefault="000E0C93" w:rsidP="000E0C93">
            <w:pPr>
              <w:spacing w:before="40" w:line="240" w:lineRule="auto"/>
              <w:rPr>
                <w:rFonts w:ascii="Arial Narrow" w:hAnsi="Arial Narrow"/>
                <w:sz w:val="20"/>
              </w:rPr>
            </w:pPr>
            <w:r w:rsidRPr="006C5542">
              <w:rPr>
                <w:rFonts w:ascii="Arial Narrow" w:hAnsi="Arial Narrow"/>
                <w:sz w:val="20"/>
              </w:rPr>
              <w:t>Retired Ch</w:t>
            </w:r>
            <w:r w:rsidR="00E173BD" w:rsidRPr="006C5542">
              <w:rPr>
                <w:rFonts w:ascii="Arial Narrow" w:hAnsi="Arial Narrow"/>
                <w:sz w:val="20"/>
              </w:rPr>
              <w:t>ief Policy Branch</w:t>
            </w:r>
          </w:p>
        </w:tc>
        <w:tc>
          <w:tcPr>
            <w:tcW w:w="2646" w:type="dxa"/>
          </w:tcPr>
          <w:p w14:paraId="6A767EB7" w14:textId="3A2DC56D" w:rsidR="000E0C93" w:rsidRPr="006C5542" w:rsidRDefault="00E173BD" w:rsidP="000E0C93">
            <w:pPr>
              <w:spacing w:before="40" w:line="240" w:lineRule="auto"/>
              <w:rPr>
                <w:rFonts w:ascii="Arial Narrow" w:hAnsi="Arial Narrow"/>
                <w:sz w:val="20"/>
              </w:rPr>
            </w:pPr>
            <w:r w:rsidRPr="006C5542">
              <w:rPr>
                <w:rFonts w:ascii="Arial Narrow" w:hAnsi="Arial Narrow"/>
                <w:sz w:val="20"/>
              </w:rPr>
              <w:t>Supplemental Food Programs Division, USDA, Food and Nutrition Service</w:t>
            </w:r>
          </w:p>
        </w:tc>
        <w:tc>
          <w:tcPr>
            <w:tcW w:w="1388" w:type="dxa"/>
          </w:tcPr>
          <w:p w14:paraId="5EE81589" w14:textId="1E206CD0" w:rsidR="000E0C93" w:rsidRPr="006C5542" w:rsidRDefault="00E173BD" w:rsidP="000E0C93">
            <w:pPr>
              <w:pStyle w:val="TX-TableText"/>
              <w:spacing w:before="60" w:after="60" w:line="240" w:lineRule="auto"/>
              <w:rPr>
                <w:rFonts w:ascii="Arial Narrow" w:hAnsi="Arial Narrow"/>
                <w:highlight w:val="yellow"/>
              </w:rPr>
            </w:pPr>
            <w:r w:rsidRPr="006C5542">
              <w:rPr>
                <w:rFonts w:ascii="Arial Narrow" w:hAnsi="Arial Narrow"/>
              </w:rPr>
              <w:t>(336) 620-4020</w:t>
            </w:r>
          </w:p>
        </w:tc>
        <w:tc>
          <w:tcPr>
            <w:tcW w:w="1811" w:type="dxa"/>
          </w:tcPr>
          <w:p w14:paraId="7E4E08B4" w14:textId="1F1D24DD" w:rsidR="000E0C93" w:rsidRPr="006C5542" w:rsidRDefault="000E0C93" w:rsidP="000E0C93">
            <w:pPr>
              <w:pStyle w:val="TX-TableText"/>
              <w:spacing w:before="60" w:after="60" w:line="240" w:lineRule="auto"/>
              <w:rPr>
                <w:rFonts w:ascii="Arial Narrow" w:hAnsi="Arial Narrow"/>
              </w:rPr>
            </w:pPr>
            <w:r w:rsidRPr="006C5542">
              <w:rPr>
                <w:rFonts w:ascii="Arial Narrow" w:hAnsi="Arial Narrow"/>
              </w:rPr>
              <w:t>2015, 2016</w:t>
            </w:r>
          </w:p>
        </w:tc>
      </w:tr>
      <w:tr w:rsidR="000E0C93" w:rsidRPr="00FE3A74" w14:paraId="4A579924" w14:textId="12B0E784" w:rsidTr="00071B2B">
        <w:tc>
          <w:tcPr>
            <w:tcW w:w="1758" w:type="dxa"/>
          </w:tcPr>
          <w:p w14:paraId="7221A3CE" w14:textId="45643FE7" w:rsidR="000E0C93" w:rsidRPr="006C5542" w:rsidRDefault="000E0C93" w:rsidP="000E0C93">
            <w:pPr>
              <w:pStyle w:val="TX-TableText"/>
              <w:spacing w:before="60" w:after="60" w:line="240" w:lineRule="auto"/>
              <w:rPr>
                <w:rFonts w:ascii="Arial Narrow" w:hAnsi="Arial Narrow"/>
                <w:highlight w:val="yellow"/>
              </w:rPr>
            </w:pPr>
            <w:r w:rsidRPr="006C5542">
              <w:rPr>
                <w:rFonts w:ascii="Arial Narrow" w:hAnsi="Arial Narrow"/>
              </w:rPr>
              <w:t>Mindy Jossefides</w:t>
            </w:r>
          </w:p>
        </w:tc>
        <w:tc>
          <w:tcPr>
            <w:tcW w:w="1747" w:type="dxa"/>
          </w:tcPr>
          <w:p w14:paraId="0F961225" w14:textId="45B2A5C5" w:rsidR="000E0C93" w:rsidRPr="006C5542" w:rsidRDefault="00E173BD" w:rsidP="000E0C93">
            <w:pPr>
              <w:pStyle w:val="TX-TableText"/>
              <w:spacing w:before="60" w:after="60" w:line="240" w:lineRule="auto"/>
              <w:rPr>
                <w:rFonts w:ascii="Arial Narrow" w:hAnsi="Arial Narrow"/>
                <w:highlight w:val="yellow"/>
              </w:rPr>
            </w:pPr>
            <w:r w:rsidRPr="006C5542">
              <w:rPr>
                <w:rFonts w:ascii="Arial Narrow" w:hAnsi="Arial Narrow"/>
              </w:rPr>
              <w:t>WIC Director</w:t>
            </w:r>
          </w:p>
        </w:tc>
        <w:tc>
          <w:tcPr>
            <w:tcW w:w="2646" w:type="dxa"/>
          </w:tcPr>
          <w:p w14:paraId="0B42D61C" w14:textId="5C1793D9" w:rsidR="000E0C93" w:rsidRPr="006C5542" w:rsidRDefault="00E173BD" w:rsidP="00B64435">
            <w:pPr>
              <w:spacing w:before="40" w:line="240" w:lineRule="auto"/>
              <w:ind w:right="-185"/>
              <w:rPr>
                <w:rFonts w:ascii="Arial Narrow" w:hAnsi="Arial Narrow"/>
                <w:sz w:val="20"/>
              </w:rPr>
            </w:pPr>
            <w:r w:rsidRPr="006C5542">
              <w:rPr>
                <w:rFonts w:ascii="Arial Narrow" w:hAnsi="Arial Narrow"/>
                <w:sz w:val="20"/>
              </w:rPr>
              <w:t>Inter Tribal Council of Arizona, Inc.</w:t>
            </w:r>
          </w:p>
        </w:tc>
        <w:tc>
          <w:tcPr>
            <w:tcW w:w="1388" w:type="dxa"/>
          </w:tcPr>
          <w:p w14:paraId="1E1C9A49" w14:textId="7055932C" w:rsidR="000E0C93" w:rsidRPr="006C5542" w:rsidRDefault="00E173BD" w:rsidP="000E0C93">
            <w:pPr>
              <w:pStyle w:val="TX-TableText"/>
              <w:spacing w:before="60" w:after="60" w:line="240" w:lineRule="auto"/>
              <w:rPr>
                <w:rFonts w:ascii="Arial Narrow" w:hAnsi="Arial Narrow"/>
                <w:highlight w:val="yellow"/>
              </w:rPr>
            </w:pPr>
            <w:r w:rsidRPr="006C5542">
              <w:rPr>
                <w:rFonts w:ascii="Arial Narrow" w:hAnsi="Arial Narrow"/>
              </w:rPr>
              <w:t>(602) 258-4822</w:t>
            </w:r>
          </w:p>
        </w:tc>
        <w:tc>
          <w:tcPr>
            <w:tcW w:w="1811" w:type="dxa"/>
          </w:tcPr>
          <w:p w14:paraId="27AE6BD3" w14:textId="6FA3350D" w:rsidR="000E0C93" w:rsidRPr="006C5542" w:rsidRDefault="000E0C93" w:rsidP="000E0C93">
            <w:pPr>
              <w:pStyle w:val="TX-TableText"/>
              <w:spacing w:before="60" w:after="60" w:line="240" w:lineRule="auto"/>
              <w:rPr>
                <w:rFonts w:ascii="Arial Narrow" w:hAnsi="Arial Narrow"/>
              </w:rPr>
            </w:pPr>
            <w:r w:rsidRPr="006C5542">
              <w:rPr>
                <w:rFonts w:ascii="Arial Narrow" w:hAnsi="Arial Narrow"/>
              </w:rPr>
              <w:t>2015, 2016</w:t>
            </w:r>
          </w:p>
        </w:tc>
      </w:tr>
      <w:tr w:rsidR="000E0C93" w:rsidRPr="00FE3A74" w14:paraId="15B21027" w14:textId="696B5252" w:rsidTr="00071B2B">
        <w:tc>
          <w:tcPr>
            <w:tcW w:w="1758" w:type="dxa"/>
          </w:tcPr>
          <w:p w14:paraId="1D9AE3E1" w14:textId="31F44973" w:rsidR="000E0C93" w:rsidRPr="006C5542" w:rsidRDefault="000E0C93" w:rsidP="000E0C93">
            <w:pPr>
              <w:pStyle w:val="TX-TableText"/>
              <w:spacing w:before="60" w:after="60" w:line="240" w:lineRule="auto"/>
              <w:rPr>
                <w:rFonts w:ascii="Arial Narrow" w:hAnsi="Arial Narrow"/>
                <w:highlight w:val="yellow"/>
              </w:rPr>
            </w:pPr>
            <w:r w:rsidRPr="006C5542">
              <w:rPr>
                <w:rFonts w:ascii="Arial Narrow" w:hAnsi="Arial Narrow"/>
              </w:rPr>
              <w:t>Julie Reeder, PhD</w:t>
            </w:r>
          </w:p>
        </w:tc>
        <w:tc>
          <w:tcPr>
            <w:tcW w:w="1747" w:type="dxa"/>
          </w:tcPr>
          <w:p w14:paraId="5A24F47F" w14:textId="4DEC2E06" w:rsidR="000E0C93" w:rsidRPr="006C5542" w:rsidRDefault="00E173BD" w:rsidP="000E0C93">
            <w:pPr>
              <w:spacing w:before="40" w:line="240" w:lineRule="auto"/>
              <w:rPr>
                <w:rFonts w:ascii="Arial Narrow" w:hAnsi="Arial Narrow"/>
                <w:sz w:val="20"/>
              </w:rPr>
            </w:pPr>
            <w:r w:rsidRPr="006C5542">
              <w:rPr>
                <w:rFonts w:ascii="Arial Narrow" w:hAnsi="Arial Narrow"/>
                <w:sz w:val="20"/>
              </w:rPr>
              <w:t>Senior Analyst</w:t>
            </w:r>
          </w:p>
        </w:tc>
        <w:tc>
          <w:tcPr>
            <w:tcW w:w="2646" w:type="dxa"/>
          </w:tcPr>
          <w:p w14:paraId="56C48A19" w14:textId="51CC4F8A" w:rsidR="000E0C93" w:rsidRPr="006C5542" w:rsidRDefault="00E173BD" w:rsidP="000E0C93">
            <w:pPr>
              <w:spacing w:before="40" w:line="240" w:lineRule="auto"/>
              <w:rPr>
                <w:rFonts w:ascii="Arial Narrow" w:hAnsi="Arial Narrow"/>
                <w:sz w:val="20"/>
              </w:rPr>
            </w:pPr>
            <w:r w:rsidRPr="006C5542">
              <w:rPr>
                <w:rFonts w:ascii="Arial Narrow" w:hAnsi="Arial Narrow"/>
                <w:sz w:val="20"/>
              </w:rPr>
              <w:t>Oregon WIC Program</w:t>
            </w:r>
          </w:p>
        </w:tc>
        <w:tc>
          <w:tcPr>
            <w:tcW w:w="1388" w:type="dxa"/>
          </w:tcPr>
          <w:p w14:paraId="4CF2B261" w14:textId="44CE8475" w:rsidR="000E0C93" w:rsidRPr="006C5542" w:rsidRDefault="00E173BD" w:rsidP="000E0C93">
            <w:pPr>
              <w:pStyle w:val="TX-TableText"/>
              <w:spacing w:before="60" w:after="60" w:line="240" w:lineRule="auto"/>
              <w:rPr>
                <w:rFonts w:ascii="Arial Narrow" w:hAnsi="Arial Narrow"/>
                <w:highlight w:val="yellow"/>
              </w:rPr>
            </w:pPr>
            <w:r w:rsidRPr="006C5542">
              <w:rPr>
                <w:rFonts w:ascii="Arial Narrow" w:hAnsi="Arial Narrow"/>
              </w:rPr>
              <w:t>(971) 673-0040</w:t>
            </w:r>
          </w:p>
        </w:tc>
        <w:tc>
          <w:tcPr>
            <w:tcW w:w="1811" w:type="dxa"/>
          </w:tcPr>
          <w:p w14:paraId="5541F75E" w14:textId="63372097" w:rsidR="000E0C93" w:rsidRPr="006C5542" w:rsidRDefault="000E0C93" w:rsidP="000E0C93">
            <w:pPr>
              <w:pStyle w:val="TX-TableText"/>
              <w:spacing w:before="60" w:after="60" w:line="240" w:lineRule="auto"/>
              <w:rPr>
                <w:rFonts w:ascii="Arial Narrow" w:hAnsi="Arial Narrow"/>
              </w:rPr>
            </w:pPr>
            <w:r w:rsidRPr="006C5542">
              <w:rPr>
                <w:rFonts w:ascii="Arial Narrow" w:hAnsi="Arial Narrow"/>
              </w:rPr>
              <w:t>2015, 2016</w:t>
            </w:r>
          </w:p>
        </w:tc>
      </w:tr>
      <w:tr w:rsidR="000E0C93" w:rsidRPr="00FE3A74" w14:paraId="21524B78" w14:textId="5EBBBA59" w:rsidTr="00071B2B">
        <w:tc>
          <w:tcPr>
            <w:tcW w:w="1758" w:type="dxa"/>
          </w:tcPr>
          <w:p w14:paraId="6B2264A2" w14:textId="03B29407" w:rsidR="000E0C93" w:rsidRPr="006C5542" w:rsidRDefault="000E0C93" w:rsidP="000E0C93">
            <w:pPr>
              <w:pStyle w:val="TX-TableText"/>
              <w:spacing w:before="60" w:after="60" w:line="240" w:lineRule="auto"/>
              <w:rPr>
                <w:rFonts w:ascii="Arial Narrow" w:hAnsi="Arial Narrow"/>
                <w:highlight w:val="yellow"/>
              </w:rPr>
            </w:pPr>
            <w:r w:rsidRPr="006C5542">
              <w:rPr>
                <w:rFonts w:ascii="Arial Narrow" w:hAnsi="Arial Narrow"/>
              </w:rPr>
              <w:t>Jackson Sekhobo, PhD</w:t>
            </w:r>
          </w:p>
        </w:tc>
        <w:tc>
          <w:tcPr>
            <w:tcW w:w="1747" w:type="dxa"/>
          </w:tcPr>
          <w:p w14:paraId="7DCC2AE6" w14:textId="77777777" w:rsidR="00E173BD" w:rsidRPr="006C5542" w:rsidRDefault="00E173BD" w:rsidP="00E173BD">
            <w:pPr>
              <w:spacing w:before="40" w:line="240" w:lineRule="auto"/>
              <w:rPr>
                <w:rFonts w:ascii="Arial Narrow" w:hAnsi="Arial Narrow"/>
                <w:sz w:val="20"/>
              </w:rPr>
            </w:pPr>
            <w:r w:rsidRPr="006C5542">
              <w:rPr>
                <w:rFonts w:ascii="Arial Narrow" w:hAnsi="Arial Narrow"/>
                <w:sz w:val="20"/>
              </w:rPr>
              <w:t>Director</w:t>
            </w:r>
          </w:p>
          <w:p w14:paraId="217B8B19" w14:textId="6782FE74" w:rsidR="000E0C93" w:rsidRPr="006C5542" w:rsidRDefault="000E0C93" w:rsidP="00E173BD">
            <w:pPr>
              <w:spacing w:before="40" w:line="240" w:lineRule="auto"/>
              <w:rPr>
                <w:rFonts w:ascii="Arial Narrow" w:hAnsi="Arial Narrow"/>
                <w:sz w:val="20"/>
              </w:rPr>
            </w:pPr>
          </w:p>
        </w:tc>
        <w:tc>
          <w:tcPr>
            <w:tcW w:w="2646" w:type="dxa"/>
          </w:tcPr>
          <w:p w14:paraId="1CF8B59F" w14:textId="05DAC5D8" w:rsidR="00E173BD" w:rsidRPr="006C5542" w:rsidRDefault="00E173BD" w:rsidP="00B64435">
            <w:pPr>
              <w:spacing w:before="40" w:line="240" w:lineRule="auto"/>
              <w:ind w:right="-365"/>
              <w:rPr>
                <w:rFonts w:ascii="Arial Narrow" w:hAnsi="Arial Narrow"/>
                <w:sz w:val="20"/>
              </w:rPr>
            </w:pPr>
            <w:r w:rsidRPr="006C5542">
              <w:rPr>
                <w:rFonts w:ascii="Arial Narrow" w:hAnsi="Arial Narrow"/>
                <w:sz w:val="20"/>
              </w:rPr>
              <w:t>Evaluation, Research and Surveillance Unit, Div</w:t>
            </w:r>
            <w:r w:rsidR="00B64435">
              <w:rPr>
                <w:rFonts w:ascii="Arial Narrow" w:hAnsi="Arial Narrow"/>
                <w:sz w:val="20"/>
              </w:rPr>
              <w:t xml:space="preserve">. </w:t>
            </w:r>
            <w:r w:rsidRPr="006C5542">
              <w:rPr>
                <w:rFonts w:ascii="Arial Narrow" w:hAnsi="Arial Narrow"/>
                <w:sz w:val="20"/>
              </w:rPr>
              <w:t>of Nutrition</w:t>
            </w:r>
          </w:p>
          <w:p w14:paraId="1B93F575" w14:textId="448D5D5A" w:rsidR="000E0C93" w:rsidRPr="006C5542" w:rsidRDefault="00E173BD" w:rsidP="00B64435">
            <w:pPr>
              <w:spacing w:before="40" w:line="240" w:lineRule="auto"/>
              <w:rPr>
                <w:rFonts w:ascii="Arial Narrow" w:hAnsi="Arial Narrow"/>
                <w:sz w:val="20"/>
              </w:rPr>
            </w:pPr>
            <w:r w:rsidRPr="006C5542">
              <w:rPr>
                <w:rFonts w:ascii="Arial Narrow" w:hAnsi="Arial Narrow"/>
                <w:sz w:val="20"/>
              </w:rPr>
              <w:t>New York State Dept</w:t>
            </w:r>
            <w:r w:rsidR="00B64435">
              <w:rPr>
                <w:rFonts w:ascii="Arial Narrow" w:hAnsi="Arial Narrow"/>
                <w:sz w:val="20"/>
              </w:rPr>
              <w:t>.</w:t>
            </w:r>
            <w:r w:rsidRPr="006C5542">
              <w:rPr>
                <w:rFonts w:ascii="Arial Narrow" w:hAnsi="Arial Narrow"/>
                <w:sz w:val="20"/>
              </w:rPr>
              <w:t xml:space="preserve"> of Health</w:t>
            </w:r>
          </w:p>
        </w:tc>
        <w:tc>
          <w:tcPr>
            <w:tcW w:w="1388" w:type="dxa"/>
          </w:tcPr>
          <w:p w14:paraId="163C45E6" w14:textId="09E3DC2E" w:rsidR="000E0C93" w:rsidRPr="006C5542" w:rsidRDefault="00E173BD" w:rsidP="000E0C93">
            <w:pPr>
              <w:pStyle w:val="TX-TableText"/>
              <w:spacing w:before="60" w:after="60" w:line="240" w:lineRule="auto"/>
              <w:rPr>
                <w:rFonts w:ascii="Arial Narrow" w:hAnsi="Arial Narrow"/>
                <w:highlight w:val="yellow"/>
              </w:rPr>
            </w:pPr>
            <w:r w:rsidRPr="006C5542">
              <w:rPr>
                <w:rFonts w:ascii="Arial Narrow" w:hAnsi="Arial Narrow"/>
              </w:rPr>
              <w:t>(518) 402-7109</w:t>
            </w:r>
          </w:p>
        </w:tc>
        <w:tc>
          <w:tcPr>
            <w:tcW w:w="1811" w:type="dxa"/>
          </w:tcPr>
          <w:p w14:paraId="62E8C312" w14:textId="54EA3E36" w:rsidR="000E0C93" w:rsidRPr="006C5542" w:rsidRDefault="000E0C93" w:rsidP="000E0C93">
            <w:pPr>
              <w:pStyle w:val="TX-TableText"/>
              <w:spacing w:before="60" w:after="60" w:line="240" w:lineRule="auto"/>
              <w:rPr>
                <w:rFonts w:ascii="Arial Narrow" w:hAnsi="Arial Narrow"/>
              </w:rPr>
            </w:pPr>
            <w:r w:rsidRPr="006C5542">
              <w:rPr>
                <w:rFonts w:ascii="Arial Narrow" w:hAnsi="Arial Narrow"/>
              </w:rPr>
              <w:t>2015, 2016</w:t>
            </w:r>
          </w:p>
        </w:tc>
      </w:tr>
      <w:tr w:rsidR="000E0C93" w:rsidRPr="00FE3A74" w14:paraId="2093A908" w14:textId="1690621B" w:rsidTr="000D31F3">
        <w:tc>
          <w:tcPr>
            <w:tcW w:w="1758" w:type="dxa"/>
          </w:tcPr>
          <w:p w14:paraId="6D25F5EF" w14:textId="74E57C73" w:rsidR="000E0C93" w:rsidRPr="006C5542" w:rsidRDefault="000E0C93" w:rsidP="000E0C93">
            <w:pPr>
              <w:pStyle w:val="TX-TableText"/>
              <w:spacing w:before="60" w:after="60" w:line="240" w:lineRule="auto"/>
              <w:rPr>
                <w:rFonts w:ascii="Arial Narrow" w:hAnsi="Arial Narrow"/>
              </w:rPr>
            </w:pPr>
            <w:r w:rsidRPr="006C5542">
              <w:rPr>
                <w:rFonts w:ascii="Arial Narrow" w:hAnsi="Arial Narrow"/>
              </w:rPr>
              <w:t>Carol Eyermann, PhD</w:t>
            </w:r>
          </w:p>
        </w:tc>
        <w:tc>
          <w:tcPr>
            <w:tcW w:w="1747" w:type="dxa"/>
          </w:tcPr>
          <w:p w14:paraId="034D8C0F" w14:textId="77777777" w:rsidR="00E173BD" w:rsidRPr="006C5542" w:rsidRDefault="00E173BD" w:rsidP="00E173BD">
            <w:pPr>
              <w:pStyle w:val="TX-TableText"/>
              <w:spacing w:before="60" w:after="60" w:line="240" w:lineRule="auto"/>
              <w:rPr>
                <w:rFonts w:ascii="Arial Narrow" w:hAnsi="Arial Narrow"/>
              </w:rPr>
            </w:pPr>
            <w:r w:rsidRPr="006C5542">
              <w:rPr>
                <w:rFonts w:ascii="Arial Narrow" w:hAnsi="Arial Narrow"/>
              </w:rPr>
              <w:t>Senior Staff Associate</w:t>
            </w:r>
          </w:p>
          <w:p w14:paraId="6458CCA1" w14:textId="01E9425F" w:rsidR="000E0C93" w:rsidRPr="006C5542" w:rsidRDefault="000E0C93" w:rsidP="00E173BD">
            <w:pPr>
              <w:pStyle w:val="TX-TableText"/>
              <w:spacing w:before="60" w:after="60" w:line="240" w:lineRule="auto"/>
              <w:rPr>
                <w:rFonts w:ascii="Arial Narrow" w:hAnsi="Arial Narrow"/>
              </w:rPr>
            </w:pPr>
          </w:p>
        </w:tc>
        <w:tc>
          <w:tcPr>
            <w:tcW w:w="2646" w:type="dxa"/>
          </w:tcPr>
          <w:p w14:paraId="045C095C" w14:textId="77777777" w:rsidR="00E173BD" w:rsidRPr="006C5542" w:rsidRDefault="00E173BD" w:rsidP="00E173BD">
            <w:pPr>
              <w:pStyle w:val="TX-TableText"/>
              <w:spacing w:before="60" w:after="60" w:line="240" w:lineRule="auto"/>
              <w:rPr>
                <w:rFonts w:ascii="Arial Narrow" w:hAnsi="Arial Narrow"/>
              </w:rPr>
            </w:pPr>
            <w:r w:rsidRPr="006C5542">
              <w:rPr>
                <w:rFonts w:ascii="Arial Narrow" w:hAnsi="Arial Narrow"/>
              </w:rPr>
              <w:t>Internal Control Quality Assurance</w:t>
            </w:r>
          </w:p>
          <w:p w14:paraId="3DAF319A" w14:textId="59DFC39F" w:rsidR="000E0C93" w:rsidRPr="006C5542" w:rsidRDefault="00E173BD" w:rsidP="00E173BD">
            <w:pPr>
              <w:pStyle w:val="TX-TableText"/>
              <w:spacing w:before="60" w:after="60" w:line="240" w:lineRule="auto"/>
              <w:rPr>
                <w:rFonts w:ascii="Arial Narrow" w:hAnsi="Arial Narrow"/>
              </w:rPr>
            </w:pPr>
            <w:r w:rsidRPr="006C5542">
              <w:rPr>
                <w:rFonts w:ascii="Arial Narrow" w:hAnsi="Arial Narrow"/>
              </w:rPr>
              <w:t>National Science Foundation</w:t>
            </w:r>
          </w:p>
        </w:tc>
        <w:tc>
          <w:tcPr>
            <w:tcW w:w="1388" w:type="dxa"/>
          </w:tcPr>
          <w:p w14:paraId="050EB71E" w14:textId="072F616A" w:rsidR="000E0C93" w:rsidRPr="006C5542" w:rsidRDefault="00E173BD" w:rsidP="000E0C93">
            <w:pPr>
              <w:pStyle w:val="TX-TableText"/>
              <w:spacing w:before="60" w:after="60" w:line="240" w:lineRule="auto"/>
              <w:rPr>
                <w:rFonts w:ascii="Arial Narrow" w:hAnsi="Arial Narrow"/>
              </w:rPr>
            </w:pPr>
            <w:r w:rsidRPr="006C5542">
              <w:rPr>
                <w:rFonts w:ascii="Arial Narrow" w:hAnsi="Arial Narrow"/>
              </w:rPr>
              <w:t>(703) 292-2176</w:t>
            </w:r>
          </w:p>
        </w:tc>
        <w:tc>
          <w:tcPr>
            <w:tcW w:w="1811" w:type="dxa"/>
          </w:tcPr>
          <w:p w14:paraId="3C10741C" w14:textId="39617309" w:rsidR="000E0C93" w:rsidRPr="006C5542" w:rsidRDefault="000E0C93" w:rsidP="000E0C93">
            <w:pPr>
              <w:pStyle w:val="TX-TableText"/>
              <w:spacing w:before="60" w:after="60" w:line="240" w:lineRule="auto"/>
              <w:rPr>
                <w:rFonts w:ascii="Arial Narrow" w:hAnsi="Arial Narrow"/>
              </w:rPr>
            </w:pPr>
            <w:r w:rsidRPr="006C5542">
              <w:rPr>
                <w:rFonts w:ascii="Arial Narrow" w:hAnsi="Arial Narrow"/>
              </w:rPr>
              <w:t>2015, 2016</w:t>
            </w:r>
          </w:p>
        </w:tc>
      </w:tr>
    </w:tbl>
    <w:p w14:paraId="7775A4D4" w14:textId="77777777" w:rsidR="000E0C93" w:rsidRDefault="000E0C93" w:rsidP="009D5B7F">
      <w:pPr>
        <w:spacing w:line="240" w:lineRule="auto"/>
        <w:ind w:firstLine="720"/>
        <w:rPr>
          <w:szCs w:val="24"/>
        </w:rPr>
      </w:pPr>
    </w:p>
    <w:bookmarkEnd w:id="108"/>
    <w:p w14:paraId="4811197E" w14:textId="39381FDC" w:rsidR="003B7D07" w:rsidRPr="00E3349A" w:rsidRDefault="003B7D07" w:rsidP="003B7D07">
      <w:pPr>
        <w:ind w:firstLine="720"/>
        <w:rPr>
          <w:szCs w:val="24"/>
        </w:rPr>
      </w:pPr>
      <w:r>
        <w:rPr>
          <w:szCs w:val="24"/>
        </w:rPr>
        <w:t>A pre-test of the instruments and recruiting materials were conducted with 54</w:t>
      </w:r>
      <w:r w:rsidRPr="00E3349A">
        <w:rPr>
          <w:szCs w:val="24"/>
        </w:rPr>
        <w:t xml:space="preserve"> respondents</w:t>
      </w:r>
      <w:r>
        <w:rPr>
          <w:szCs w:val="24"/>
        </w:rPr>
        <w:t xml:space="preserve">, </w:t>
      </w:r>
      <w:r w:rsidRPr="00AC2EBB">
        <w:rPr>
          <w:szCs w:val="24"/>
        </w:rPr>
        <w:t>9 SA directors, 9 LA directors, 18 current WIC participants, 9 denied applica</w:t>
      </w:r>
      <w:r>
        <w:rPr>
          <w:szCs w:val="24"/>
        </w:rPr>
        <w:t>nts, and 9 former participants (</w:t>
      </w:r>
      <w:r w:rsidRPr="00AC2EBB">
        <w:rPr>
          <w:szCs w:val="24"/>
        </w:rPr>
        <w:t>OMB #</w:t>
      </w:r>
      <w:r>
        <w:rPr>
          <w:szCs w:val="24"/>
        </w:rPr>
        <w:t xml:space="preserve"> 0584-0606</w:t>
      </w:r>
      <w:r w:rsidR="00B25279">
        <w:rPr>
          <w:szCs w:val="24"/>
        </w:rPr>
        <w:t xml:space="preserve"> FNS Generic Clearance for Pre-Testing, Pilot, and Field Test Studies</w:t>
      </w:r>
      <w:r>
        <w:rPr>
          <w:szCs w:val="24"/>
        </w:rPr>
        <w:t xml:space="preserve">; approved </w:t>
      </w:r>
      <w:r w:rsidR="00B25279">
        <w:rPr>
          <w:szCs w:val="24"/>
        </w:rPr>
        <w:t>9/22</w:t>
      </w:r>
      <w:r>
        <w:rPr>
          <w:szCs w:val="24"/>
        </w:rPr>
        <w:t xml:space="preserve">/16; expires 03/31/2019) .These respondents were consulted about the </w:t>
      </w:r>
      <w:r w:rsidRPr="00E3349A">
        <w:rPr>
          <w:szCs w:val="24"/>
        </w:rPr>
        <w:t xml:space="preserve">burden, clarity of instructions, and understanding and layout of survey items of the data collection instruments and recruiting materials: </w:t>
      </w:r>
      <w:r>
        <w:rPr>
          <w:szCs w:val="24"/>
        </w:rPr>
        <w:t xml:space="preserve"> Complete</w:t>
      </w:r>
      <w:r w:rsidRPr="00AC2EBB">
        <w:rPr>
          <w:szCs w:val="24"/>
        </w:rPr>
        <w:t xml:space="preserve"> pre</w:t>
      </w:r>
      <w:r w:rsidR="008923BD">
        <w:rPr>
          <w:szCs w:val="24"/>
        </w:rPr>
        <w:t>-</w:t>
      </w:r>
      <w:r w:rsidRPr="00AC2EBB">
        <w:rPr>
          <w:szCs w:val="24"/>
        </w:rPr>
        <w:t>test results are presented in Appendix F</w:t>
      </w:r>
      <w:r w:rsidR="006F69A5">
        <w:rPr>
          <w:szCs w:val="24"/>
        </w:rPr>
        <w:t>1 and Appendix F2,</w:t>
      </w:r>
      <w:r w:rsidRPr="00AC2EBB">
        <w:rPr>
          <w:szCs w:val="24"/>
        </w:rPr>
        <w:t xml:space="preserve"> and are briefly described</w:t>
      </w:r>
      <w:r>
        <w:rPr>
          <w:szCs w:val="24"/>
        </w:rPr>
        <w:t xml:space="preserve"> in Part B Section 4 of this information collection request</w:t>
      </w:r>
      <w:r w:rsidRPr="00AC2EBB">
        <w:rPr>
          <w:szCs w:val="24"/>
        </w:rPr>
        <w:t>.</w:t>
      </w:r>
    </w:p>
    <w:p w14:paraId="4E55BF9C" w14:textId="007F4A45" w:rsidR="00B1757E" w:rsidRPr="008627ED" w:rsidRDefault="00DA15EB" w:rsidP="00B1757E">
      <w:pPr>
        <w:ind w:firstLine="720"/>
        <w:rPr>
          <w:szCs w:val="24"/>
        </w:rPr>
      </w:pPr>
      <w:r w:rsidRPr="00E3349A">
        <w:rPr>
          <w:szCs w:val="24"/>
        </w:rPr>
        <w:t xml:space="preserve">Other consultations outside the agency include review by an independent ethical and institutional review board, IntegReview. </w:t>
      </w:r>
      <w:r w:rsidR="0085683E">
        <w:rPr>
          <w:szCs w:val="24"/>
        </w:rPr>
        <w:t>Final a</w:t>
      </w:r>
      <w:r w:rsidRPr="00E3349A">
        <w:rPr>
          <w:szCs w:val="24"/>
        </w:rPr>
        <w:t xml:space="preserve">pproval was granted </w:t>
      </w:r>
      <w:r w:rsidR="00DE69E3" w:rsidRPr="00E3349A">
        <w:rPr>
          <w:szCs w:val="24"/>
        </w:rPr>
        <w:t xml:space="preserve">by IntegReview </w:t>
      </w:r>
      <w:r w:rsidRPr="00E3349A">
        <w:rPr>
          <w:szCs w:val="24"/>
        </w:rPr>
        <w:t xml:space="preserve">on </w:t>
      </w:r>
      <w:r w:rsidR="00990702">
        <w:rPr>
          <w:szCs w:val="24"/>
        </w:rPr>
        <w:t xml:space="preserve">November </w:t>
      </w:r>
      <w:r w:rsidR="00C20E6F">
        <w:rPr>
          <w:szCs w:val="24"/>
        </w:rPr>
        <w:t>21</w:t>
      </w:r>
      <w:r w:rsidR="00990702">
        <w:rPr>
          <w:szCs w:val="24"/>
        </w:rPr>
        <w:t>, 2017 (Appendix H)</w:t>
      </w:r>
      <w:r w:rsidR="006A5CC1" w:rsidRPr="00E3349A">
        <w:rPr>
          <w:szCs w:val="24"/>
        </w:rPr>
        <w:t>.</w:t>
      </w:r>
      <w:r w:rsidRPr="00E3349A">
        <w:rPr>
          <w:szCs w:val="24"/>
        </w:rPr>
        <w:t xml:space="preserve"> </w:t>
      </w:r>
      <w:r w:rsidR="00B1757E" w:rsidRPr="00E3349A">
        <w:rPr>
          <w:szCs w:val="24"/>
        </w:rPr>
        <w:t xml:space="preserve">Additionally, Appendix </w:t>
      </w:r>
      <w:r w:rsidR="00C93C0F" w:rsidRPr="00E3349A">
        <w:rPr>
          <w:szCs w:val="24"/>
        </w:rPr>
        <w:t>E</w:t>
      </w:r>
      <w:r w:rsidR="006A5CC1" w:rsidRPr="00E3349A">
        <w:rPr>
          <w:szCs w:val="24"/>
        </w:rPr>
        <w:t>3</w:t>
      </w:r>
      <w:r w:rsidR="003B245F">
        <w:rPr>
          <w:szCs w:val="24"/>
        </w:rPr>
        <w:t>.1</w:t>
      </w:r>
      <w:r w:rsidR="00B1757E" w:rsidRPr="003F3E92">
        <w:rPr>
          <w:szCs w:val="24"/>
        </w:rPr>
        <w:t xml:space="preserve"> presents the comments provided by the National Agricultural Statistics Service (NASS)</w:t>
      </w:r>
      <w:r w:rsidR="003B245F">
        <w:rPr>
          <w:szCs w:val="24"/>
        </w:rPr>
        <w:t xml:space="preserve"> and Appendix E3.2 includes the response</w:t>
      </w:r>
      <w:r w:rsidR="0085683E">
        <w:rPr>
          <w:szCs w:val="24"/>
        </w:rPr>
        <w:t>s</w:t>
      </w:r>
      <w:r w:rsidR="003B245F">
        <w:rPr>
          <w:szCs w:val="24"/>
        </w:rPr>
        <w:t xml:space="preserve"> to NASS’s comment</w:t>
      </w:r>
      <w:r w:rsidR="0085683E">
        <w:rPr>
          <w:szCs w:val="24"/>
        </w:rPr>
        <w:t>s</w:t>
      </w:r>
      <w:r w:rsidR="00B1757E" w:rsidRPr="003F3E92">
        <w:rPr>
          <w:szCs w:val="24"/>
        </w:rPr>
        <w:t>.</w:t>
      </w:r>
    </w:p>
    <w:p w14:paraId="5BA282C5" w14:textId="36589432" w:rsidR="00CA7A45" w:rsidRPr="00616403" w:rsidRDefault="0015674E" w:rsidP="00B32A54">
      <w:pPr>
        <w:pStyle w:val="Heading2"/>
        <w:tabs>
          <w:tab w:val="clear" w:pos="1152"/>
          <w:tab w:val="left" w:pos="720"/>
        </w:tabs>
        <w:spacing w:after="0" w:line="240" w:lineRule="auto"/>
        <w:ind w:left="720" w:hanging="720"/>
        <w:rPr>
          <w:rFonts w:ascii="Times New Roman" w:hAnsi="Times New Roman"/>
          <w:color w:val="auto"/>
          <w:sz w:val="24"/>
          <w:szCs w:val="24"/>
        </w:rPr>
      </w:pPr>
      <w:r w:rsidRPr="00616403">
        <w:rPr>
          <w:rFonts w:ascii="Times New Roman" w:hAnsi="Times New Roman"/>
          <w:color w:val="auto"/>
          <w:sz w:val="24"/>
          <w:szCs w:val="24"/>
        </w:rPr>
        <w:t>A.9</w:t>
      </w:r>
      <w:r w:rsidRPr="00616403">
        <w:rPr>
          <w:rFonts w:ascii="Times New Roman" w:hAnsi="Times New Roman"/>
          <w:color w:val="auto"/>
          <w:sz w:val="24"/>
          <w:szCs w:val="24"/>
        </w:rPr>
        <w:tab/>
      </w:r>
      <w:bookmarkEnd w:id="100"/>
      <w:r w:rsidRPr="00616403">
        <w:rPr>
          <w:rFonts w:ascii="Times New Roman" w:hAnsi="Times New Roman"/>
          <w:color w:val="auto"/>
          <w:sz w:val="24"/>
          <w:szCs w:val="24"/>
        </w:rPr>
        <w:t>Explain any decision to provide any payment or gift to respondents, other than remuneration of contractors or grantees.</w:t>
      </w:r>
      <w:bookmarkEnd w:id="101"/>
      <w:bookmarkEnd w:id="102"/>
      <w:bookmarkEnd w:id="103"/>
      <w:bookmarkEnd w:id="104"/>
      <w:bookmarkEnd w:id="105"/>
      <w:bookmarkEnd w:id="106"/>
      <w:bookmarkEnd w:id="107"/>
      <w:r w:rsidR="00B32A54" w:rsidRPr="00616403">
        <w:rPr>
          <w:rFonts w:ascii="Times New Roman" w:hAnsi="Times New Roman"/>
          <w:color w:val="auto"/>
          <w:sz w:val="24"/>
          <w:szCs w:val="24"/>
        </w:rPr>
        <w:br/>
      </w:r>
    </w:p>
    <w:p w14:paraId="698930B0" w14:textId="4F889287" w:rsidR="007C1901" w:rsidRPr="00EE5439" w:rsidRDefault="00F97B24" w:rsidP="007C2BE3">
      <w:pPr>
        <w:ind w:firstLine="720"/>
        <w:rPr>
          <w:szCs w:val="24"/>
        </w:rPr>
      </w:pPr>
      <w:r w:rsidRPr="004868E4">
        <w:rPr>
          <w:szCs w:val="24"/>
        </w:rPr>
        <w:t xml:space="preserve">FNS is requesting incentives for </w:t>
      </w:r>
      <w:r w:rsidR="00175984">
        <w:rPr>
          <w:szCs w:val="24"/>
        </w:rPr>
        <w:t>current and former WIC participants and WIC denied applicants</w:t>
      </w:r>
      <w:r w:rsidRPr="004868E4">
        <w:rPr>
          <w:szCs w:val="24"/>
        </w:rPr>
        <w:t xml:space="preserve"> who participate in the study. The </w:t>
      </w:r>
      <w:r>
        <w:rPr>
          <w:szCs w:val="24"/>
        </w:rPr>
        <w:t>p</w:t>
      </w:r>
      <w:r w:rsidRPr="004868E4">
        <w:rPr>
          <w:szCs w:val="24"/>
        </w:rPr>
        <w:t xml:space="preserve">ost-participation (survey completion) </w:t>
      </w:r>
      <w:r>
        <w:rPr>
          <w:szCs w:val="24"/>
        </w:rPr>
        <w:t>financial</w:t>
      </w:r>
      <w:r w:rsidRPr="004868E4">
        <w:rPr>
          <w:szCs w:val="24"/>
        </w:rPr>
        <w:t xml:space="preserve"> incentives </w:t>
      </w:r>
      <w:r>
        <w:rPr>
          <w:szCs w:val="24"/>
        </w:rPr>
        <w:t xml:space="preserve">are </w:t>
      </w:r>
      <w:r w:rsidR="00484304">
        <w:rPr>
          <w:szCs w:val="24"/>
        </w:rPr>
        <w:t xml:space="preserve">expected </w:t>
      </w:r>
      <w:r w:rsidRPr="004868E4">
        <w:rPr>
          <w:szCs w:val="24"/>
        </w:rPr>
        <w:t>to</w:t>
      </w:r>
      <w:r>
        <w:rPr>
          <w:szCs w:val="24"/>
        </w:rPr>
        <w:t xml:space="preserve"> increase sample </w:t>
      </w:r>
      <w:r w:rsidR="00484304">
        <w:rPr>
          <w:szCs w:val="24"/>
        </w:rPr>
        <w:t xml:space="preserve">size through increasing survey response rates, thus leading to increased sample </w:t>
      </w:r>
      <w:r>
        <w:rPr>
          <w:szCs w:val="24"/>
        </w:rPr>
        <w:t>representativeness</w:t>
      </w:r>
      <w:r w:rsidR="00484304">
        <w:rPr>
          <w:szCs w:val="24"/>
        </w:rPr>
        <w:t xml:space="preserve"> and a decreased likelihood of</w:t>
      </w:r>
      <w:r w:rsidR="0034799A">
        <w:rPr>
          <w:szCs w:val="24"/>
        </w:rPr>
        <w:t xml:space="preserve"> non-response bias</w:t>
      </w:r>
      <w:r>
        <w:rPr>
          <w:szCs w:val="24"/>
        </w:rPr>
        <w:t>.</w:t>
      </w:r>
      <w:r w:rsidRPr="004868E4">
        <w:rPr>
          <w:szCs w:val="24"/>
        </w:rPr>
        <w:t xml:space="preserve"> </w:t>
      </w:r>
      <w:r w:rsidR="00AA3889">
        <w:rPr>
          <w:szCs w:val="24"/>
        </w:rPr>
        <w:t xml:space="preserve">In addition, this study needs to </w:t>
      </w:r>
      <w:r w:rsidR="000232F1">
        <w:rPr>
          <w:szCs w:val="24"/>
        </w:rPr>
        <w:t xml:space="preserve">collect sufficient responses for the Certification and Denied Surveys to adhere to the IPERIA precision requirements (Appendix A4). </w:t>
      </w:r>
      <w:r>
        <w:rPr>
          <w:szCs w:val="24"/>
        </w:rPr>
        <w:t xml:space="preserve">FNS </w:t>
      </w:r>
      <w:r w:rsidR="002766F3">
        <w:rPr>
          <w:szCs w:val="24"/>
        </w:rPr>
        <w:t xml:space="preserve">is proposing </w:t>
      </w:r>
      <w:r w:rsidR="000F30D2" w:rsidRPr="000F30D2">
        <w:rPr>
          <w:szCs w:val="24"/>
        </w:rPr>
        <w:t>incentives of $25 for completing the Certification Survey, $25 for completing the Program Experiences Survey, $25 for completing the Denied Applicant Survey, and $25 for completing the Former WIC Participant Case Study interview</w:t>
      </w:r>
      <w:r w:rsidR="00963A4E">
        <w:rPr>
          <w:szCs w:val="24"/>
        </w:rPr>
        <w:t>.</w:t>
      </w:r>
      <w:r w:rsidR="000F30D2" w:rsidRPr="000F30D2">
        <w:rPr>
          <w:szCs w:val="24"/>
        </w:rPr>
        <w:t xml:space="preserve">  </w:t>
      </w:r>
      <w:r w:rsidR="00DC31F1">
        <w:rPr>
          <w:szCs w:val="24"/>
        </w:rPr>
        <w:t xml:space="preserve">The incentives </w:t>
      </w:r>
      <w:r w:rsidR="000F4953" w:rsidRPr="000F4953">
        <w:rPr>
          <w:szCs w:val="24"/>
        </w:rPr>
        <w:t xml:space="preserve">will be offered in the form of a Visa debit card. </w:t>
      </w:r>
      <w:r w:rsidR="0015142C">
        <w:rPr>
          <w:szCs w:val="24"/>
        </w:rPr>
        <w:t>T</w:t>
      </w:r>
      <w:r w:rsidR="0015142C" w:rsidRPr="00DB2564">
        <w:rPr>
          <w:szCs w:val="24"/>
        </w:rPr>
        <w:t>he proposed incentive of $25 for each survey completed is</w:t>
      </w:r>
      <w:r w:rsidR="0015142C">
        <w:rPr>
          <w:szCs w:val="24"/>
        </w:rPr>
        <w:t xml:space="preserve"> based on </w:t>
      </w:r>
      <w:r w:rsidR="00484304">
        <w:rPr>
          <w:szCs w:val="24"/>
        </w:rPr>
        <w:t xml:space="preserve">1) </w:t>
      </w:r>
      <w:r w:rsidR="0015142C" w:rsidRPr="00C64F00">
        <w:t>the time and burden on respondents</w:t>
      </w:r>
      <w:r w:rsidR="006525AA">
        <w:rPr>
          <w:szCs w:val="24"/>
        </w:rPr>
        <w:t xml:space="preserve">, </w:t>
      </w:r>
      <w:r w:rsidR="00484304">
        <w:rPr>
          <w:szCs w:val="24"/>
        </w:rPr>
        <w:t xml:space="preserve">2) </w:t>
      </w:r>
      <w:r w:rsidR="0015142C">
        <w:rPr>
          <w:szCs w:val="24"/>
        </w:rPr>
        <w:t xml:space="preserve">the $20 incentive amounts approved for </w:t>
      </w:r>
      <w:r w:rsidR="0015142C" w:rsidRPr="00DB2564">
        <w:rPr>
          <w:szCs w:val="24"/>
        </w:rPr>
        <w:t>the NSWP-II in-person surveys</w:t>
      </w:r>
      <w:r w:rsidR="0015142C">
        <w:rPr>
          <w:szCs w:val="24"/>
        </w:rPr>
        <w:t xml:space="preserve"> conducted in 2009 (</w:t>
      </w:r>
      <w:r w:rsidR="0015142C">
        <w:t>OMB No.:</w:t>
      </w:r>
      <w:r w:rsidR="0015142C" w:rsidRPr="005F1929">
        <w:t xml:space="preserve"> 0584-0484</w:t>
      </w:r>
      <w:r w:rsidR="0015142C">
        <w:rPr>
          <w:szCs w:val="24"/>
        </w:rPr>
        <w:t>) (adjusted for</w:t>
      </w:r>
      <w:r w:rsidR="0015142C" w:rsidRPr="00DB2564">
        <w:rPr>
          <w:szCs w:val="24"/>
        </w:rPr>
        <w:t xml:space="preserve"> </w:t>
      </w:r>
      <w:r w:rsidR="0015142C">
        <w:rPr>
          <w:szCs w:val="24"/>
        </w:rPr>
        <w:t>inflation)</w:t>
      </w:r>
      <w:r w:rsidR="006525AA">
        <w:t xml:space="preserve">, and </w:t>
      </w:r>
      <w:r w:rsidR="00484304">
        <w:t xml:space="preserve">3) </w:t>
      </w:r>
      <w:r w:rsidR="006525AA" w:rsidRPr="004868E4">
        <w:rPr>
          <w:szCs w:val="24"/>
        </w:rPr>
        <w:t xml:space="preserve">empirical evidence </w:t>
      </w:r>
      <w:r w:rsidR="006525AA">
        <w:rPr>
          <w:szCs w:val="24"/>
        </w:rPr>
        <w:t>from comparable respondents (</w:t>
      </w:r>
      <w:r w:rsidR="006525AA" w:rsidRPr="004868E4">
        <w:rPr>
          <w:szCs w:val="24"/>
        </w:rPr>
        <w:t xml:space="preserve">summarized </w:t>
      </w:r>
      <w:r w:rsidR="006525AA">
        <w:rPr>
          <w:szCs w:val="24"/>
        </w:rPr>
        <w:t xml:space="preserve">in the following sections </w:t>
      </w:r>
      <w:r w:rsidR="006525AA" w:rsidRPr="004868E4">
        <w:rPr>
          <w:szCs w:val="24"/>
        </w:rPr>
        <w:t>below</w:t>
      </w:r>
      <w:r w:rsidR="006525AA">
        <w:rPr>
          <w:szCs w:val="24"/>
        </w:rPr>
        <w:t>).</w:t>
      </w:r>
      <w:r w:rsidR="0015142C" w:rsidRPr="00C64F00">
        <w:t xml:space="preserve"> </w:t>
      </w:r>
    </w:p>
    <w:p w14:paraId="1EBC19E7" w14:textId="79094362" w:rsidR="00F97B24" w:rsidRPr="004E7C39" w:rsidRDefault="00D840C3" w:rsidP="009C40C5">
      <w:pPr>
        <w:ind w:firstLine="720"/>
      </w:pPr>
      <w:r w:rsidRPr="00D840C3">
        <w:rPr>
          <w:b/>
        </w:rPr>
        <w:t>Reduce respondent burden.</w:t>
      </w:r>
      <w:r w:rsidRPr="00330CD6">
        <w:rPr>
          <w:rFonts w:ascii="Calibri" w:hAnsi="Calibri"/>
          <w:sz w:val="22"/>
        </w:rPr>
        <w:t xml:space="preserve"> </w:t>
      </w:r>
      <w:r w:rsidR="003C2FB5" w:rsidRPr="003C2FB5">
        <w:t xml:space="preserve">The incentive amounts will reduce respondent burden because they can help offset the costs associated with participation, including </w:t>
      </w:r>
      <w:r w:rsidR="0015142C" w:rsidRPr="00072D33">
        <w:t>childcare that may be needed while respondents complete the surveys, cell phone and data usage costs associated with calls and texts needed to set up appointments and reminders, potential lost wages, printing or copying costs incurred to prepare income documentation, and possible transportation costs</w:t>
      </w:r>
      <w:r w:rsidR="0015142C">
        <w:t xml:space="preserve">. </w:t>
      </w:r>
      <w:r w:rsidR="003C2FB5" w:rsidRPr="003C2FB5">
        <w:rPr>
          <w:rFonts w:ascii="Calibri" w:hAnsi="Calibri"/>
          <w:szCs w:val="24"/>
        </w:rPr>
        <w:t xml:space="preserve"> </w:t>
      </w:r>
    </w:p>
    <w:p w14:paraId="092DF470" w14:textId="707FA702" w:rsidR="00BB7D31" w:rsidRPr="00DB2564" w:rsidRDefault="007A1D67" w:rsidP="00BB7D31">
      <w:pPr>
        <w:ind w:firstLine="720"/>
        <w:rPr>
          <w:szCs w:val="24"/>
        </w:rPr>
      </w:pPr>
      <w:r w:rsidRPr="00D941F2">
        <w:rPr>
          <w:b/>
        </w:rPr>
        <w:t>Improve data quality.</w:t>
      </w:r>
      <w:r w:rsidRPr="00D941F2">
        <w:t xml:space="preserve"> An incentive is essential to obtain the sample sizes needed to</w:t>
      </w:r>
      <w:r w:rsidR="002D2417" w:rsidRPr="00D941F2">
        <w:t xml:space="preserve"> fulfill the</w:t>
      </w:r>
      <w:r w:rsidRPr="00D941F2">
        <w:t xml:space="preserve"> study objectives. Telephone survey response rates have declined in recent years</w:t>
      </w:r>
      <w:r w:rsidR="005A7670">
        <w:t>.</w:t>
      </w:r>
      <w:r w:rsidR="004B392F">
        <w:rPr>
          <w:rStyle w:val="FootnoteReference"/>
        </w:rPr>
        <w:footnoteReference w:id="12"/>
      </w:r>
      <w:r w:rsidR="006D25A0" w:rsidRPr="006D25A0">
        <w:rPr>
          <w:vertAlign w:val="superscript"/>
        </w:rPr>
        <w:t>,</w:t>
      </w:r>
      <w:r w:rsidR="006D25A0">
        <w:rPr>
          <w:rStyle w:val="FootnoteReference"/>
        </w:rPr>
        <w:footnoteReference w:id="13"/>
      </w:r>
      <w:r w:rsidR="005A7670">
        <w:t xml:space="preserve"> </w:t>
      </w:r>
      <w:r w:rsidR="002D2417" w:rsidRPr="00D941F2">
        <w:t xml:space="preserve">Therefore, we are proposing that </w:t>
      </w:r>
      <w:r w:rsidR="004324CD" w:rsidRPr="00D941F2">
        <w:t>respondents to the</w:t>
      </w:r>
      <w:r w:rsidR="002D2417" w:rsidRPr="00D941F2">
        <w:t xml:space="preserve"> telephone surveys</w:t>
      </w:r>
      <w:r w:rsidR="004324CD" w:rsidRPr="00D941F2">
        <w:t xml:space="preserve"> (Program Experiences Survey and Former WIC Participant Interview) </w:t>
      </w:r>
      <w:r w:rsidR="00484304">
        <w:t xml:space="preserve">receive the incentive amount of $25 </w:t>
      </w:r>
      <w:r w:rsidR="00FB4542">
        <w:t xml:space="preserve">based on other studies with similar </w:t>
      </w:r>
      <w:r w:rsidR="005A7670">
        <w:t>burden and respondents</w:t>
      </w:r>
      <w:r w:rsidR="004324CD" w:rsidRPr="00D941F2">
        <w:t>.</w:t>
      </w:r>
      <w:r w:rsidR="00FB4542">
        <w:t xml:space="preserve"> For example, the WIC Cost Containment Study (</w:t>
      </w:r>
      <w:r w:rsidR="00236F12" w:rsidRPr="00236F12">
        <w:t>OMB Control No: 0584-0627</w:t>
      </w:r>
      <w:r w:rsidR="00236F12">
        <w:t xml:space="preserve">; </w:t>
      </w:r>
      <w:r w:rsidR="00E10F6B">
        <w:t>Expiration Date</w:t>
      </w:r>
      <w:r w:rsidR="00E10F6B" w:rsidRPr="00E10F6B">
        <w:t xml:space="preserve"> 09/30/2020</w:t>
      </w:r>
      <w:r w:rsidR="00236F12">
        <w:t>)</w:t>
      </w:r>
      <w:r w:rsidR="00236F12" w:rsidRPr="00236F12">
        <w:t xml:space="preserve"> </w:t>
      </w:r>
      <w:r w:rsidR="00236F12">
        <w:t xml:space="preserve">provided a $30 incentive to WIC participants </w:t>
      </w:r>
      <w:r w:rsidR="00802789">
        <w:t xml:space="preserve">for completion of a 30-minute telephone survey </w:t>
      </w:r>
      <w:r w:rsidR="00236F12">
        <w:t xml:space="preserve">and </w:t>
      </w:r>
      <w:r w:rsidR="00802789">
        <w:t xml:space="preserve">a $30 incentive to </w:t>
      </w:r>
      <w:r w:rsidR="00236F12">
        <w:t xml:space="preserve">former WIC participants to complete a </w:t>
      </w:r>
      <w:r w:rsidR="00802789">
        <w:t>20-</w:t>
      </w:r>
      <w:r w:rsidR="00236F12">
        <w:t>minute</w:t>
      </w:r>
      <w:r w:rsidR="005A7670">
        <w:t xml:space="preserve"> telephone</w:t>
      </w:r>
      <w:r w:rsidR="00236F12">
        <w:t xml:space="preserve"> survey.</w:t>
      </w:r>
      <w:r w:rsidR="00FB4542">
        <w:t xml:space="preserve"> </w:t>
      </w:r>
      <w:r w:rsidR="004A4D31">
        <w:t xml:space="preserve">The Program Experiences Survey and Former WIC Participant Interviews are estimated to last approximately 30 minutes. </w:t>
      </w:r>
      <w:r w:rsidR="00BB7D31" w:rsidRPr="00DB2564">
        <w:rPr>
          <w:szCs w:val="24"/>
        </w:rPr>
        <w:t>NSWP-II obtained complete data for approximately 81 percent o</w:t>
      </w:r>
      <w:r w:rsidR="00BB7D31">
        <w:rPr>
          <w:szCs w:val="24"/>
        </w:rPr>
        <w:t xml:space="preserve">f participants </w:t>
      </w:r>
      <w:r w:rsidR="005A7670">
        <w:rPr>
          <w:szCs w:val="24"/>
        </w:rPr>
        <w:t>for</w:t>
      </w:r>
      <w:r w:rsidR="00BB7D31">
        <w:rPr>
          <w:szCs w:val="24"/>
        </w:rPr>
        <w:t xml:space="preserve"> the in-person </w:t>
      </w:r>
      <w:r w:rsidR="00BB7D31" w:rsidRPr="00DB2564">
        <w:rPr>
          <w:szCs w:val="24"/>
        </w:rPr>
        <w:t>interviews</w:t>
      </w:r>
      <w:r w:rsidR="00581332">
        <w:rPr>
          <w:szCs w:val="24"/>
        </w:rPr>
        <w:t xml:space="preserve"> with these respondents receiving an incentive of $20 for completion.</w:t>
      </w:r>
      <w:r w:rsidR="00BB7D31" w:rsidRPr="00DB2564">
        <w:rPr>
          <w:szCs w:val="24"/>
        </w:rPr>
        <w:t xml:space="preserve"> </w:t>
      </w:r>
      <w:r w:rsidR="00BB7D31">
        <w:rPr>
          <w:szCs w:val="24"/>
        </w:rPr>
        <w:t>H</w:t>
      </w:r>
      <w:r w:rsidR="00BB7D31" w:rsidRPr="00DB2564">
        <w:rPr>
          <w:szCs w:val="24"/>
        </w:rPr>
        <w:t>owever,</w:t>
      </w:r>
      <w:r w:rsidR="00BB7D31">
        <w:rPr>
          <w:szCs w:val="24"/>
        </w:rPr>
        <w:t xml:space="preserve"> incentives were not provided for interviews conducted over the telephone, and</w:t>
      </w:r>
      <w:r w:rsidR="00BB7D31" w:rsidRPr="00DB2564">
        <w:rPr>
          <w:szCs w:val="24"/>
        </w:rPr>
        <w:t xml:space="preserve"> </w:t>
      </w:r>
      <w:r w:rsidR="00BB7D31">
        <w:rPr>
          <w:szCs w:val="24"/>
        </w:rPr>
        <w:t xml:space="preserve">a low response rate was </w:t>
      </w:r>
      <w:r w:rsidR="00BB7D31" w:rsidRPr="00DB2564">
        <w:rPr>
          <w:szCs w:val="24"/>
        </w:rPr>
        <w:t xml:space="preserve">experienced </w:t>
      </w:r>
      <w:r w:rsidR="00BB7D31">
        <w:rPr>
          <w:szCs w:val="24"/>
        </w:rPr>
        <w:t>f</w:t>
      </w:r>
      <w:r w:rsidR="00BB7D31" w:rsidRPr="00DB2564">
        <w:rPr>
          <w:szCs w:val="24"/>
        </w:rPr>
        <w:t>or the telephone survey</w:t>
      </w:r>
      <w:r w:rsidR="00BB7D31">
        <w:rPr>
          <w:szCs w:val="24"/>
        </w:rPr>
        <w:t>s</w:t>
      </w:r>
      <w:r w:rsidR="00BB7D31" w:rsidRPr="00DB2564">
        <w:rPr>
          <w:szCs w:val="24"/>
        </w:rPr>
        <w:t xml:space="preserve"> (an overall 51.3 percent).</w:t>
      </w:r>
      <w:r w:rsidR="00BB7D31" w:rsidRPr="00DB2564">
        <w:rPr>
          <w:szCs w:val="24"/>
          <w:vertAlign w:val="superscript"/>
        </w:rPr>
        <w:footnoteReference w:id="14"/>
      </w:r>
      <w:r w:rsidR="00BB7D31">
        <w:rPr>
          <w:szCs w:val="24"/>
        </w:rPr>
        <w:t xml:space="preserve"> NSWP-II conducted a non-response bias analysis</w:t>
      </w:r>
      <w:r w:rsidR="00AA3889">
        <w:rPr>
          <w:szCs w:val="24"/>
        </w:rPr>
        <w:t xml:space="preserve"> and noted that non-response did lead to some potential bias in the telephone survey results.</w:t>
      </w:r>
      <w:r w:rsidR="00851391">
        <w:rPr>
          <w:rStyle w:val="FootnoteReference"/>
          <w:szCs w:val="24"/>
        </w:rPr>
        <w:footnoteReference w:id="15"/>
      </w:r>
      <w:r w:rsidR="00BB7D31">
        <w:rPr>
          <w:szCs w:val="24"/>
        </w:rPr>
        <w:t xml:space="preserve"> Therefore, study authors cautioned the interpretation of the results from the telephone survey.</w:t>
      </w:r>
    </w:p>
    <w:p w14:paraId="553CA271" w14:textId="25E96579" w:rsidR="00CC04E6" w:rsidRDefault="004324CD" w:rsidP="00CC04E6">
      <w:pPr>
        <w:ind w:firstLine="720"/>
        <w:rPr>
          <w:szCs w:val="24"/>
        </w:rPr>
      </w:pPr>
      <w:r w:rsidRPr="00D941F2">
        <w:t xml:space="preserve"> </w:t>
      </w:r>
      <w:r w:rsidR="00632E73">
        <w:rPr>
          <w:b/>
          <w:szCs w:val="24"/>
        </w:rPr>
        <w:t>Improve Sample Representativeness and Reduce Non-Response Bias</w:t>
      </w:r>
      <w:r w:rsidR="00907BA9">
        <w:rPr>
          <w:b/>
          <w:szCs w:val="24"/>
        </w:rPr>
        <w:t xml:space="preserve">. </w:t>
      </w:r>
      <w:r w:rsidR="00F97B24" w:rsidRPr="005C15A5">
        <w:rPr>
          <w:szCs w:val="24"/>
        </w:rPr>
        <w:t xml:space="preserve">Providing survey participants with a monetary incentive reduces non-response bias and improves survey representativeness, especially in populations defined as being in </w:t>
      </w:r>
      <w:r w:rsidR="00F97B24">
        <w:rPr>
          <w:szCs w:val="24"/>
        </w:rPr>
        <w:t>p</w:t>
      </w:r>
      <w:r w:rsidR="00F97B24" w:rsidRPr="005C15A5">
        <w:rPr>
          <w:szCs w:val="24"/>
        </w:rPr>
        <w:t>overty.</w:t>
      </w:r>
      <w:r w:rsidR="00F97B24" w:rsidRPr="005C15A5">
        <w:rPr>
          <w:rStyle w:val="FootnoteReference"/>
          <w:szCs w:val="24"/>
        </w:rPr>
        <w:footnoteReference w:id="16"/>
      </w:r>
      <w:r w:rsidR="00F97B24" w:rsidRPr="005C15A5">
        <w:rPr>
          <w:szCs w:val="24"/>
          <w:vertAlign w:val="superscript"/>
        </w:rPr>
        <w:t>,</w:t>
      </w:r>
      <w:r w:rsidR="00F97B24" w:rsidRPr="005C15A5">
        <w:rPr>
          <w:rStyle w:val="FootnoteReference"/>
          <w:szCs w:val="24"/>
        </w:rPr>
        <w:footnoteReference w:id="17"/>
      </w:r>
      <w:r w:rsidR="00F97B24" w:rsidRPr="005C15A5">
        <w:rPr>
          <w:szCs w:val="24"/>
          <w:vertAlign w:val="superscript"/>
        </w:rPr>
        <w:t>,</w:t>
      </w:r>
      <w:r w:rsidR="00F97B24" w:rsidRPr="005C15A5">
        <w:rPr>
          <w:rStyle w:val="FootnoteReference"/>
          <w:szCs w:val="24"/>
        </w:rPr>
        <w:footnoteReference w:id="18"/>
      </w:r>
      <w:r w:rsidR="00F97B24" w:rsidRPr="005C15A5">
        <w:rPr>
          <w:szCs w:val="24"/>
          <w:vertAlign w:val="superscript"/>
        </w:rPr>
        <w:t>,</w:t>
      </w:r>
      <w:r w:rsidR="00F97B24" w:rsidRPr="005C15A5">
        <w:rPr>
          <w:szCs w:val="24"/>
          <w:vertAlign w:val="superscript"/>
        </w:rPr>
        <w:footnoteReference w:id="19"/>
      </w:r>
      <w:r w:rsidR="008B40D0">
        <w:rPr>
          <w:szCs w:val="24"/>
          <w:vertAlign w:val="superscript"/>
        </w:rPr>
        <w:t>,</w:t>
      </w:r>
      <w:r w:rsidR="00F97B24" w:rsidRPr="005C15A5">
        <w:rPr>
          <w:rStyle w:val="FootnoteReference"/>
          <w:szCs w:val="24"/>
        </w:rPr>
        <w:footnoteReference w:id="20"/>
      </w:r>
      <w:r w:rsidR="00F97B24" w:rsidRPr="005C15A5">
        <w:rPr>
          <w:szCs w:val="24"/>
          <w:vertAlign w:val="superscript"/>
        </w:rPr>
        <w:t xml:space="preserve"> </w:t>
      </w:r>
      <w:r w:rsidR="00F97B24">
        <w:rPr>
          <w:szCs w:val="24"/>
        </w:rPr>
        <w:t>Specifically, i</w:t>
      </w:r>
      <w:r w:rsidR="00F97B24" w:rsidRPr="004868E4">
        <w:rPr>
          <w:szCs w:val="24"/>
        </w:rPr>
        <w:t>ncentives can improve sample representativeness</w:t>
      </w:r>
      <w:r w:rsidR="00F97B24">
        <w:rPr>
          <w:szCs w:val="24"/>
        </w:rPr>
        <w:t xml:space="preserve"> and reduce </w:t>
      </w:r>
      <w:r w:rsidR="00F97B24" w:rsidRPr="004868E4">
        <w:rPr>
          <w:szCs w:val="24"/>
        </w:rPr>
        <w:t>non-response bias.</w:t>
      </w:r>
      <w:r w:rsidR="00F97B24" w:rsidRPr="004868E4">
        <w:rPr>
          <w:szCs w:val="24"/>
          <w:vertAlign w:val="superscript"/>
        </w:rPr>
        <w:footnoteReference w:id="21"/>
      </w:r>
      <w:r w:rsidR="00F97B24" w:rsidRPr="004868E4">
        <w:rPr>
          <w:szCs w:val="24"/>
          <w:vertAlign w:val="superscript"/>
        </w:rPr>
        <w:t>,</w:t>
      </w:r>
      <w:r w:rsidR="00F97B24" w:rsidRPr="004868E4">
        <w:rPr>
          <w:rStyle w:val="FootnoteReference"/>
          <w:szCs w:val="24"/>
        </w:rPr>
        <w:footnoteReference w:id="22"/>
      </w:r>
      <w:r w:rsidR="00F97B24" w:rsidRPr="004868E4">
        <w:rPr>
          <w:szCs w:val="24"/>
        </w:rPr>
        <w:t xml:space="preserve"> </w:t>
      </w:r>
      <w:r w:rsidR="00F97B24">
        <w:rPr>
          <w:szCs w:val="24"/>
        </w:rPr>
        <w:t xml:space="preserve">by </w:t>
      </w:r>
      <w:r w:rsidR="00F97B24" w:rsidRPr="004868E4">
        <w:rPr>
          <w:szCs w:val="24"/>
        </w:rPr>
        <w:t>encourag</w:t>
      </w:r>
      <w:r w:rsidR="00F97B24">
        <w:rPr>
          <w:szCs w:val="24"/>
        </w:rPr>
        <w:t>ing</w:t>
      </w:r>
      <w:r w:rsidR="00F97B24" w:rsidRPr="004868E4">
        <w:rPr>
          <w:szCs w:val="24"/>
        </w:rPr>
        <w:t xml:space="preserve"> those less interested in research to participate,</w:t>
      </w:r>
      <w:r w:rsidR="00F97B24" w:rsidRPr="004868E4">
        <w:rPr>
          <w:rStyle w:val="FootnoteReference"/>
          <w:szCs w:val="24"/>
        </w:rPr>
        <w:footnoteReference w:id="23"/>
      </w:r>
      <w:r w:rsidR="00F97B24" w:rsidRPr="004868E4">
        <w:rPr>
          <w:szCs w:val="24"/>
        </w:rPr>
        <w:t xml:space="preserve"> including low-income respondents</w:t>
      </w:r>
      <w:r w:rsidR="00F97B24">
        <w:rPr>
          <w:szCs w:val="24"/>
        </w:rPr>
        <w:t>.</w:t>
      </w:r>
      <w:r w:rsidR="00F97B24" w:rsidRPr="004868E4">
        <w:rPr>
          <w:rStyle w:val="FootnoteReference"/>
          <w:szCs w:val="24"/>
        </w:rPr>
        <w:footnoteReference w:id="24"/>
      </w:r>
      <w:r w:rsidR="00F97B24" w:rsidRPr="004868E4">
        <w:rPr>
          <w:szCs w:val="24"/>
        </w:rPr>
        <w:t xml:space="preserve"> Several studies provide evidence that offering incentives may improve representation for low-education, low-income, and ethnic minority subgroups. </w:t>
      </w:r>
      <w:r w:rsidR="00F97B24" w:rsidRPr="002763F6">
        <w:rPr>
          <w:szCs w:val="24"/>
        </w:rPr>
        <w:t xml:space="preserve">Response rates among minorities and those with low education are generally lower for all types of surveys, especially those conducted by mail. For example, </w:t>
      </w:r>
      <w:r w:rsidR="00F97B24">
        <w:rPr>
          <w:szCs w:val="24"/>
        </w:rPr>
        <w:t>in</w:t>
      </w:r>
      <w:r w:rsidR="00F97B24" w:rsidRPr="002763F6">
        <w:rPr>
          <w:szCs w:val="24"/>
        </w:rPr>
        <w:t xml:space="preserve"> a survey for the National Cancer Institute</w:t>
      </w:r>
      <w:r w:rsidR="00F97B24">
        <w:rPr>
          <w:szCs w:val="24"/>
        </w:rPr>
        <w:t>, t</w:t>
      </w:r>
      <w:r w:rsidR="00F97B24" w:rsidRPr="002763F6">
        <w:rPr>
          <w:szCs w:val="24"/>
        </w:rPr>
        <w:t>he sample is divided into two strata (1) high minority and (2) low minority. The response rate to the high minority strata is 12 percentage points below the low minority strata (23% vs. 35%).</w:t>
      </w:r>
      <w:r w:rsidR="00F97B24" w:rsidRPr="002763F6">
        <w:rPr>
          <w:szCs w:val="24"/>
          <w:vertAlign w:val="superscript"/>
        </w:rPr>
        <w:footnoteReference w:id="25"/>
      </w:r>
      <w:r w:rsidR="00F97B24" w:rsidRPr="002763F6">
        <w:rPr>
          <w:szCs w:val="24"/>
        </w:rPr>
        <w:t xml:space="preserve">  Similarly, when testing within household selection procedures, Olson, et al (2014) found that all procedures lead to under-representing non-whites, Hispanics, those with lower education and those in the lowest income groups.</w:t>
      </w:r>
      <w:r w:rsidR="00F97B24" w:rsidRPr="002763F6">
        <w:rPr>
          <w:szCs w:val="24"/>
          <w:vertAlign w:val="superscript"/>
        </w:rPr>
        <w:footnoteReference w:id="26"/>
      </w:r>
      <w:r w:rsidR="002013C7">
        <w:rPr>
          <w:szCs w:val="24"/>
        </w:rPr>
        <w:t xml:space="preserve"> </w:t>
      </w:r>
      <w:r w:rsidR="00F97B24" w:rsidRPr="001F5424">
        <w:rPr>
          <w:szCs w:val="24"/>
        </w:rPr>
        <w:t xml:space="preserve">The population of interest in the current study is comparable to the populations discussed above. Specifically, the current study will be recruiting </w:t>
      </w:r>
      <w:r w:rsidR="001C343B" w:rsidRPr="001F5424">
        <w:rPr>
          <w:szCs w:val="24"/>
        </w:rPr>
        <w:t xml:space="preserve">participants </w:t>
      </w:r>
      <w:r w:rsidR="00F97B24" w:rsidRPr="001F5424">
        <w:rPr>
          <w:szCs w:val="24"/>
        </w:rPr>
        <w:t>that</w:t>
      </w:r>
      <w:r w:rsidR="003F2EE3" w:rsidRPr="001F5424">
        <w:rPr>
          <w:szCs w:val="24"/>
        </w:rPr>
        <w:t xml:space="preserve"> applied</w:t>
      </w:r>
      <w:r w:rsidR="00265AED">
        <w:rPr>
          <w:szCs w:val="24"/>
        </w:rPr>
        <w:t xml:space="preserve"> for</w:t>
      </w:r>
      <w:r w:rsidR="00A12E0E" w:rsidRPr="001F5424">
        <w:rPr>
          <w:szCs w:val="24"/>
        </w:rPr>
        <w:t>,</w:t>
      </w:r>
      <w:r w:rsidR="003F2EE3" w:rsidRPr="001F5424">
        <w:rPr>
          <w:szCs w:val="24"/>
        </w:rPr>
        <w:t xml:space="preserve"> </w:t>
      </w:r>
      <w:r w:rsidR="00265AED">
        <w:rPr>
          <w:szCs w:val="24"/>
        </w:rPr>
        <w:t xml:space="preserve">are </w:t>
      </w:r>
      <w:r w:rsidR="00A12E0E" w:rsidRPr="001F5424">
        <w:rPr>
          <w:szCs w:val="24"/>
        </w:rPr>
        <w:t xml:space="preserve">currently </w:t>
      </w:r>
      <w:r w:rsidR="003F2EE3" w:rsidRPr="001F5424">
        <w:rPr>
          <w:szCs w:val="24"/>
        </w:rPr>
        <w:t>participatin</w:t>
      </w:r>
      <w:r w:rsidR="00A12E0E" w:rsidRPr="001F5424">
        <w:rPr>
          <w:szCs w:val="24"/>
        </w:rPr>
        <w:t>g</w:t>
      </w:r>
      <w:r w:rsidR="00DC026A">
        <w:rPr>
          <w:szCs w:val="24"/>
        </w:rPr>
        <w:t>,</w:t>
      </w:r>
      <w:r w:rsidR="00A12E0E" w:rsidRPr="001F5424">
        <w:rPr>
          <w:szCs w:val="24"/>
        </w:rPr>
        <w:t xml:space="preserve"> or previously participat</w:t>
      </w:r>
      <w:r w:rsidR="00DC026A">
        <w:rPr>
          <w:szCs w:val="24"/>
        </w:rPr>
        <w:t>ed</w:t>
      </w:r>
      <w:r w:rsidR="00A12E0E" w:rsidRPr="001F5424">
        <w:rPr>
          <w:szCs w:val="24"/>
        </w:rPr>
        <w:t xml:space="preserve"> in </w:t>
      </w:r>
      <w:r w:rsidR="00DC026A">
        <w:rPr>
          <w:szCs w:val="24"/>
        </w:rPr>
        <w:t xml:space="preserve">a </w:t>
      </w:r>
      <w:r w:rsidR="001F5424" w:rsidRPr="001F5424">
        <w:rPr>
          <w:szCs w:val="24"/>
        </w:rPr>
        <w:t>federal nutrition assistance program.</w:t>
      </w:r>
      <w:r w:rsidR="00CE1474" w:rsidRPr="00CE1474">
        <w:rPr>
          <w:szCs w:val="24"/>
        </w:rPr>
        <w:t xml:space="preserve"> </w:t>
      </w:r>
      <w:r w:rsidR="00CE1474">
        <w:rPr>
          <w:szCs w:val="24"/>
        </w:rPr>
        <w:t>In addition, given the</w:t>
      </w:r>
      <w:r w:rsidR="00CE1474" w:rsidRPr="007F13B1">
        <w:rPr>
          <w:szCs w:val="24"/>
        </w:rPr>
        <w:t xml:space="preserve"> sensitive nature of the survey questions and the time required in participants’ homes, incentives will be essential for</w:t>
      </w:r>
      <w:r w:rsidR="00CE1474">
        <w:rPr>
          <w:szCs w:val="24"/>
        </w:rPr>
        <w:t xml:space="preserve"> overcoming the respondents’ hesitation with responding to the survey requests.</w:t>
      </w:r>
    </w:p>
    <w:p w14:paraId="0120B875" w14:textId="25EC5F19" w:rsidR="00CC04E6" w:rsidRDefault="002D41EA" w:rsidP="00CC04E6">
      <w:pPr>
        <w:ind w:firstLine="720"/>
      </w:pPr>
      <w:r w:rsidRPr="00CC04E6">
        <w:rPr>
          <w:b/>
        </w:rPr>
        <w:t>Increase Survey Response Rates and Gain Efficiency in Data Collection</w:t>
      </w:r>
      <w:r w:rsidR="008C1D49" w:rsidRPr="00CC04E6">
        <w:rPr>
          <w:b/>
        </w:rPr>
        <w:t>.</w:t>
      </w:r>
      <w:r w:rsidR="008C1D49" w:rsidRPr="00DC026A">
        <w:rPr>
          <w:b/>
        </w:rPr>
        <w:t xml:space="preserve"> </w:t>
      </w:r>
      <w:r w:rsidR="008C1D49" w:rsidRPr="00DC026A">
        <w:t>I</w:t>
      </w:r>
      <w:r w:rsidR="00F97B24" w:rsidRPr="00DC026A">
        <w:rPr>
          <w:szCs w:val="24"/>
        </w:rPr>
        <w:t>ncentives</w:t>
      </w:r>
      <w:r w:rsidR="00F97B24" w:rsidRPr="009841D2">
        <w:rPr>
          <w:szCs w:val="24"/>
        </w:rPr>
        <w:t xml:space="preserve"> improve survey response rates and</w:t>
      </w:r>
      <w:r w:rsidR="00F97B24">
        <w:rPr>
          <w:szCs w:val="24"/>
        </w:rPr>
        <w:t xml:space="preserve"> increase efficiency in data collection. </w:t>
      </w:r>
      <w:r w:rsidR="00CE1474">
        <w:rPr>
          <w:szCs w:val="24"/>
        </w:rPr>
        <w:t>I</w:t>
      </w:r>
      <w:r w:rsidR="00F97B24" w:rsidRPr="009841D2">
        <w:rPr>
          <w:szCs w:val="24"/>
        </w:rPr>
        <w:t xml:space="preserve">ncentives reduce efforts to </w:t>
      </w:r>
      <w:r w:rsidR="00F97B24">
        <w:rPr>
          <w:szCs w:val="24"/>
        </w:rPr>
        <w:t>recruit</w:t>
      </w:r>
      <w:r w:rsidR="00F97B24" w:rsidRPr="009841D2">
        <w:rPr>
          <w:szCs w:val="24"/>
        </w:rPr>
        <w:t xml:space="preserve"> </w:t>
      </w:r>
      <w:r w:rsidR="00F97B24">
        <w:rPr>
          <w:szCs w:val="24"/>
        </w:rPr>
        <w:t>low-income</w:t>
      </w:r>
      <w:r w:rsidR="00F97B24" w:rsidRPr="009841D2">
        <w:rPr>
          <w:szCs w:val="24"/>
        </w:rPr>
        <w:t xml:space="preserve"> study participants and lower overall survey costs and time to achieve completion rates without affecting data quality.</w:t>
      </w:r>
      <w:r w:rsidR="00F97B24">
        <w:rPr>
          <w:rStyle w:val="FootnoteReference"/>
          <w:szCs w:val="24"/>
        </w:rPr>
        <w:footnoteReference w:id="27"/>
      </w:r>
      <w:r w:rsidR="00F97B24" w:rsidRPr="000A3511">
        <w:rPr>
          <w:szCs w:val="24"/>
          <w:vertAlign w:val="superscript"/>
        </w:rPr>
        <w:t>,</w:t>
      </w:r>
      <w:r w:rsidR="00F97B24">
        <w:rPr>
          <w:rStyle w:val="FootnoteReference"/>
          <w:szCs w:val="24"/>
        </w:rPr>
        <w:footnoteReference w:id="28"/>
      </w:r>
      <w:r w:rsidR="00FE2B36">
        <w:rPr>
          <w:szCs w:val="24"/>
          <w:vertAlign w:val="superscript"/>
        </w:rPr>
        <w:t xml:space="preserve"> </w:t>
      </w:r>
      <w:r w:rsidR="00F97B24" w:rsidRPr="004868E4">
        <w:rPr>
          <w:szCs w:val="24"/>
        </w:rPr>
        <w:t xml:space="preserve">In </w:t>
      </w:r>
      <w:r w:rsidR="00F97B24">
        <w:rPr>
          <w:szCs w:val="24"/>
        </w:rPr>
        <w:t xml:space="preserve">a </w:t>
      </w:r>
      <w:r w:rsidR="00F97B24" w:rsidRPr="004868E4">
        <w:rPr>
          <w:szCs w:val="24"/>
        </w:rPr>
        <w:t>meta-analysis</w:t>
      </w:r>
      <w:r w:rsidR="00265AED">
        <w:rPr>
          <w:szCs w:val="24"/>
        </w:rPr>
        <w:t>,</w:t>
      </w:r>
      <w:r w:rsidR="00F97B24" w:rsidRPr="004868E4">
        <w:rPr>
          <w:rStyle w:val="FootnoteReference"/>
          <w:szCs w:val="24"/>
        </w:rPr>
        <w:footnoteReference w:id="29"/>
      </w:r>
      <w:r w:rsidR="00F97B24" w:rsidRPr="004868E4">
        <w:rPr>
          <w:szCs w:val="24"/>
        </w:rPr>
        <w:t xml:space="preserve"> </w:t>
      </w:r>
      <w:r w:rsidR="00265AED">
        <w:rPr>
          <w:szCs w:val="24"/>
        </w:rPr>
        <w:t xml:space="preserve"> </w:t>
      </w:r>
      <w:r w:rsidR="00F97B24" w:rsidRPr="004868E4">
        <w:rPr>
          <w:szCs w:val="24"/>
        </w:rPr>
        <w:t>Mercer and colleagues</w:t>
      </w:r>
      <w:r w:rsidR="00F97B24">
        <w:rPr>
          <w:szCs w:val="24"/>
        </w:rPr>
        <w:t xml:space="preserve"> </w:t>
      </w:r>
      <w:r w:rsidR="00F97B24" w:rsidRPr="006F6F22">
        <w:rPr>
          <w:szCs w:val="24"/>
        </w:rPr>
        <w:t>estimated an improvement of 5 percentage points for surveys that promised $10 compared to no incentive. Frederickson et a</w:t>
      </w:r>
      <w:r w:rsidR="00F97B24">
        <w:rPr>
          <w:szCs w:val="24"/>
        </w:rPr>
        <w:t>l</w:t>
      </w:r>
      <w:r w:rsidR="00F97B24" w:rsidRPr="006F6F22">
        <w:rPr>
          <w:szCs w:val="24"/>
        </w:rPr>
        <w:t>. (2005)</w:t>
      </w:r>
      <w:r w:rsidR="00F97B24" w:rsidRPr="006F6F22">
        <w:rPr>
          <w:szCs w:val="24"/>
          <w:vertAlign w:val="superscript"/>
        </w:rPr>
        <w:footnoteReference w:id="30"/>
      </w:r>
      <w:r w:rsidR="00F97B24" w:rsidRPr="006F6F22">
        <w:rPr>
          <w:szCs w:val="24"/>
        </w:rPr>
        <w:t xml:space="preserve"> found a $10 contingent incentive to increase response</w:t>
      </w:r>
      <w:r w:rsidR="00F97B24">
        <w:rPr>
          <w:szCs w:val="24"/>
        </w:rPr>
        <w:t>s</w:t>
      </w:r>
      <w:r w:rsidR="00F97B24" w:rsidRPr="006F6F22">
        <w:rPr>
          <w:szCs w:val="24"/>
        </w:rPr>
        <w:t xml:space="preserve"> by 20 percentage point</w:t>
      </w:r>
      <w:r w:rsidR="00F97B24">
        <w:rPr>
          <w:szCs w:val="24"/>
        </w:rPr>
        <w:t>s</w:t>
      </w:r>
      <w:r w:rsidR="00F97B24" w:rsidRPr="00B53551">
        <w:t xml:space="preserve"> </w:t>
      </w:r>
      <w:r w:rsidR="00F97B24">
        <w:t xml:space="preserve">among Medicaid recipients, a similar population to those being recruited in this study. Children’s eligibility for Medicaid is at least 133 percent of the Federal Poverty Level (FPL), higher in many states, </w:t>
      </w:r>
      <w:r w:rsidR="00DC026A">
        <w:t xml:space="preserve">and </w:t>
      </w:r>
      <w:r w:rsidR="007123E5">
        <w:t xml:space="preserve">WIC </w:t>
      </w:r>
      <w:r w:rsidR="009A50C0">
        <w:t xml:space="preserve">income </w:t>
      </w:r>
      <w:r w:rsidR="007123E5">
        <w:t>eligibility is between 1</w:t>
      </w:r>
      <w:r w:rsidR="009A50C0">
        <w:t>00</w:t>
      </w:r>
      <w:r w:rsidR="00746658">
        <w:t xml:space="preserve">% and </w:t>
      </w:r>
      <w:r w:rsidR="007123E5">
        <w:t>18</w:t>
      </w:r>
      <w:r w:rsidR="00746658">
        <w:t>5</w:t>
      </w:r>
      <w:r w:rsidR="007123E5">
        <w:t>% FPL.</w:t>
      </w:r>
      <w:r w:rsidR="00F97B24">
        <w:t xml:space="preserve"> </w:t>
      </w:r>
    </w:p>
    <w:p w14:paraId="25BE628C" w14:textId="614498A9" w:rsidR="00C60EE9" w:rsidRDefault="00296567" w:rsidP="007C2BE3">
      <w:pPr>
        <w:ind w:firstLine="720"/>
        <w:rPr>
          <w:szCs w:val="24"/>
        </w:rPr>
      </w:pPr>
      <w:r>
        <w:rPr>
          <w:szCs w:val="24"/>
        </w:rPr>
        <w:t xml:space="preserve">To efficiently collect the required information while still ensuring the study objectives are fully met, the sampling was designed in a way for a subset (n=800) of respondents to complete both the Certification Survey and Program Experiences Survey in-person at the same </w:t>
      </w:r>
      <w:r w:rsidR="00C909B9">
        <w:rPr>
          <w:szCs w:val="24"/>
        </w:rPr>
        <w:t>setting</w:t>
      </w:r>
      <w:r>
        <w:rPr>
          <w:szCs w:val="24"/>
        </w:rPr>
        <w:t xml:space="preserve">. Therefore, minimizing costs for recruitment and follow-up reminders for these two surveys. These respondents still will receive the total incentive amount for both surveys of $50 because of the time and burden associated with participating in both surveys. </w:t>
      </w:r>
      <w:r w:rsidR="006C18B4">
        <w:rPr>
          <w:szCs w:val="24"/>
        </w:rPr>
        <w:t>Additionally, b</w:t>
      </w:r>
      <w:r w:rsidR="006C18B4" w:rsidRPr="00751001">
        <w:rPr>
          <w:szCs w:val="24"/>
        </w:rPr>
        <w:t>y providing these 800 respondents with a combined $50, the study reduces the number of unique respondents by 800. Without providing $50 to these individual respondents</w:t>
      </w:r>
      <w:r w:rsidR="006C18B4">
        <w:rPr>
          <w:szCs w:val="24"/>
        </w:rPr>
        <w:t>,</w:t>
      </w:r>
      <w:r w:rsidR="006C18B4" w:rsidRPr="00751001">
        <w:rPr>
          <w:szCs w:val="24"/>
        </w:rPr>
        <w:t xml:space="preserve"> the study would need to collect data from an additional 800 unique respondents (a wholly independent sample of </w:t>
      </w:r>
      <w:r w:rsidR="006C18B4">
        <w:rPr>
          <w:szCs w:val="24"/>
        </w:rPr>
        <w:t>Program Experiences</w:t>
      </w:r>
      <w:r w:rsidR="006C18B4" w:rsidRPr="00751001">
        <w:rPr>
          <w:szCs w:val="24"/>
        </w:rPr>
        <w:t>-only r</w:t>
      </w:r>
      <w:r w:rsidR="006C18B4">
        <w:rPr>
          <w:szCs w:val="24"/>
        </w:rPr>
        <w:t>espondents increases the total number</w:t>
      </w:r>
      <w:r w:rsidR="006C18B4" w:rsidRPr="00751001">
        <w:rPr>
          <w:szCs w:val="24"/>
        </w:rPr>
        <w:t xml:space="preserve"> of respondents by 800). Although the total number of responses is the same (2,000), asking 800 to complete </w:t>
      </w:r>
      <w:r w:rsidR="006C18B4">
        <w:rPr>
          <w:szCs w:val="24"/>
        </w:rPr>
        <w:t>both surveys reduces the number</w:t>
      </w:r>
      <w:r w:rsidR="006C18B4" w:rsidRPr="00751001">
        <w:rPr>
          <w:szCs w:val="24"/>
        </w:rPr>
        <w:t xml:space="preserve"> of unique respondents by 800</w:t>
      </w:r>
      <w:r w:rsidR="006C18B4">
        <w:rPr>
          <w:szCs w:val="24"/>
        </w:rPr>
        <w:t xml:space="preserve">. </w:t>
      </w:r>
      <w:r w:rsidR="000C2F2E" w:rsidRPr="000C2F2E">
        <w:rPr>
          <w:szCs w:val="24"/>
        </w:rPr>
        <w:t>We estimate an additional $120,000 to conduct the program experience survey over the phone at a separate time for those 800 respondents. This includes the cost of the survey call center staff scheduling, sending reminders and conducting the survey over the phone along with sending field data collectors to non-respondents to conduct the survey in-person as a last resort. In addition, there will be an additional cost of mailing the incentive to the respondent after completing the telephone interview versus providing the incentive to them in-person.</w:t>
      </w:r>
    </w:p>
    <w:p w14:paraId="390C80C0" w14:textId="65D6878C" w:rsidR="00296567" w:rsidRPr="00F103B2" w:rsidRDefault="00445342" w:rsidP="00CC04E6">
      <w:pPr>
        <w:ind w:firstLine="720"/>
      </w:pPr>
      <w:r w:rsidRPr="00F103B2">
        <w:rPr>
          <w:b/>
        </w:rPr>
        <w:t>Equity.</w:t>
      </w:r>
      <w:r w:rsidRPr="00F103B2">
        <w:t xml:space="preserve"> The incentive amounts will be offered equally to all potential survey participants. The incentives will not be targeted to specific subgroups, nor will they be used to convert refusals. Moreover, if incentives were to be offered only to the most disadvantaged households or those incurring the highest participation costs, the differing motivations to participate used would limit and bias the responses. The $25 incentive was set based on previous amounts used with similar low-income populations and evidence from research showing that incentives can minimize non-response bias, improve coverage of hard-to-reach respondents, and reduce respondent burden by covering participation costs.</w:t>
      </w:r>
    </w:p>
    <w:p w14:paraId="119A6A14" w14:textId="1A418FD0" w:rsidR="007B18AD" w:rsidRPr="007B18AD" w:rsidRDefault="007B18AD" w:rsidP="00952382">
      <w:pPr>
        <w:pStyle w:val="Body11ptCalibrDBi-IPR"/>
        <w:spacing w:after="0"/>
        <w:ind w:firstLine="720"/>
        <w:rPr>
          <w:rFonts w:ascii="Times New Roman" w:hAnsi="Times New Roman"/>
          <w:sz w:val="24"/>
        </w:rPr>
      </w:pPr>
      <w:r w:rsidRPr="00F103B2">
        <w:rPr>
          <w:rFonts w:ascii="Times New Roman" w:hAnsi="Times New Roman"/>
          <w:sz w:val="24"/>
        </w:rPr>
        <w:t>I</w:t>
      </w:r>
      <w:r w:rsidRPr="007B18AD">
        <w:rPr>
          <w:rFonts w:ascii="Times New Roman" w:hAnsi="Times New Roman"/>
          <w:sz w:val="24"/>
        </w:rPr>
        <w:t xml:space="preserve">n summary, the planned incentives for the surveys are designed to promote cooperation and improve data quality by minimizing non-response bias and to cover participant costs. If all of the other strategies to achieve high response rates are used without the planned incentives, the non-response bias will be higher, resulting in poor data quality. The likelihood of successfully addressing the research questions and fulfilling the IPERIA </w:t>
      </w:r>
      <w:r w:rsidR="006B1CDA">
        <w:rPr>
          <w:rFonts w:ascii="Times New Roman" w:hAnsi="Times New Roman"/>
          <w:sz w:val="24"/>
        </w:rPr>
        <w:t xml:space="preserve">precision </w:t>
      </w:r>
      <w:r w:rsidRPr="007B18AD">
        <w:rPr>
          <w:rFonts w:ascii="Times New Roman" w:hAnsi="Times New Roman"/>
          <w:sz w:val="24"/>
        </w:rPr>
        <w:t xml:space="preserve">requirements would </w:t>
      </w:r>
      <w:r w:rsidR="00197A62">
        <w:rPr>
          <w:rFonts w:ascii="Times New Roman" w:hAnsi="Times New Roman"/>
          <w:sz w:val="24"/>
        </w:rPr>
        <w:t xml:space="preserve">also </w:t>
      </w:r>
      <w:r w:rsidRPr="007B18AD">
        <w:rPr>
          <w:rFonts w:ascii="Times New Roman" w:hAnsi="Times New Roman"/>
          <w:sz w:val="24"/>
        </w:rPr>
        <w:t>be significantly compromised.</w:t>
      </w:r>
    </w:p>
    <w:p w14:paraId="520FD3C4" w14:textId="4B5EFEF6" w:rsidR="0015674E" w:rsidRPr="009701BA" w:rsidRDefault="0015674E" w:rsidP="009701BA">
      <w:pPr>
        <w:pStyle w:val="L1-FlLSp12"/>
        <w:spacing w:line="240" w:lineRule="auto"/>
        <w:ind w:left="720" w:hanging="720"/>
        <w:rPr>
          <w:b/>
        </w:rPr>
      </w:pPr>
      <w:bookmarkStart w:id="113" w:name="_Toc282506032"/>
      <w:bookmarkStart w:id="114" w:name="_Toc339621290"/>
      <w:bookmarkStart w:id="115" w:name="_Toc454265310"/>
      <w:bookmarkStart w:id="116" w:name="_Toc454265609"/>
      <w:bookmarkStart w:id="117" w:name="_Toc454265686"/>
      <w:bookmarkStart w:id="118" w:name="_Toc454266183"/>
      <w:bookmarkStart w:id="119" w:name="_Toc454266211"/>
      <w:bookmarkStart w:id="120" w:name="_Toc454266638"/>
      <w:r w:rsidRPr="009701BA">
        <w:rPr>
          <w:b/>
        </w:rPr>
        <w:t>A.10</w:t>
      </w:r>
      <w:r w:rsidR="008A108C">
        <w:rPr>
          <w:b/>
          <w:szCs w:val="24"/>
        </w:rPr>
        <w:t xml:space="preserve">    </w:t>
      </w:r>
      <w:bookmarkEnd w:id="113"/>
      <w:r w:rsidRPr="009701BA">
        <w:rPr>
          <w:b/>
        </w:rPr>
        <w:t>Describe any assurance of confidentiality provided to respondents and the basis for</w:t>
      </w:r>
      <w:r w:rsidR="008A108C" w:rsidRPr="009701BA">
        <w:rPr>
          <w:b/>
        </w:rPr>
        <w:t xml:space="preserve"> </w:t>
      </w:r>
      <w:r w:rsidRPr="009701BA">
        <w:rPr>
          <w:b/>
        </w:rPr>
        <w:t>the assurance in statute, regulation, or agency policy.</w:t>
      </w:r>
      <w:bookmarkEnd w:id="114"/>
      <w:bookmarkEnd w:id="115"/>
      <w:bookmarkEnd w:id="116"/>
      <w:bookmarkEnd w:id="117"/>
      <w:bookmarkEnd w:id="118"/>
      <w:bookmarkEnd w:id="119"/>
      <w:bookmarkEnd w:id="120"/>
    </w:p>
    <w:p w14:paraId="443BE1C4" w14:textId="77777777" w:rsidR="005E3DE7" w:rsidRPr="00616403" w:rsidRDefault="005E3DE7" w:rsidP="005E3DE7">
      <w:pPr>
        <w:pStyle w:val="L1-FlLSp12"/>
        <w:rPr>
          <w:szCs w:val="24"/>
        </w:rPr>
      </w:pPr>
    </w:p>
    <w:p w14:paraId="16B36B5E" w14:textId="545B7CCA" w:rsidR="00D0186E" w:rsidRDefault="00D84F3C" w:rsidP="009D5B7F">
      <w:pPr>
        <w:widowControl w:val="0"/>
        <w:ind w:firstLine="720"/>
        <w:rPr>
          <w:szCs w:val="24"/>
        </w:rPr>
      </w:pPr>
      <w:r w:rsidRPr="004C7DC5">
        <w:rPr>
          <w:szCs w:val="24"/>
        </w:rPr>
        <w:t xml:space="preserve">FNS complies with the Privacy Act </w:t>
      </w:r>
      <w:r w:rsidRPr="00524BB7">
        <w:rPr>
          <w:szCs w:val="24"/>
        </w:rPr>
        <w:t xml:space="preserve">of 1974. </w:t>
      </w:r>
      <w:r w:rsidR="00636F11" w:rsidRPr="00524BB7">
        <w:rPr>
          <w:szCs w:val="24"/>
        </w:rPr>
        <w:t>All information gathered from</w:t>
      </w:r>
      <w:r w:rsidR="00524BB7" w:rsidRPr="00524BB7">
        <w:rPr>
          <w:szCs w:val="24"/>
        </w:rPr>
        <w:t xml:space="preserve"> S</w:t>
      </w:r>
      <w:r w:rsidR="00F23F38">
        <w:rPr>
          <w:szCs w:val="24"/>
        </w:rPr>
        <w:t>A</w:t>
      </w:r>
      <w:r w:rsidR="00524BB7" w:rsidRPr="00524BB7">
        <w:rPr>
          <w:szCs w:val="24"/>
        </w:rPr>
        <w:t xml:space="preserve"> directors, </w:t>
      </w:r>
      <w:r w:rsidR="00F23F38">
        <w:rPr>
          <w:szCs w:val="24"/>
        </w:rPr>
        <w:t>LA</w:t>
      </w:r>
      <w:r w:rsidR="00524BB7" w:rsidRPr="00524BB7">
        <w:rPr>
          <w:szCs w:val="24"/>
        </w:rPr>
        <w:t xml:space="preserve"> directors, current and former participants, and recently denied applica</w:t>
      </w:r>
      <w:r w:rsidR="00F23F38">
        <w:rPr>
          <w:szCs w:val="24"/>
        </w:rPr>
        <w:t>nts</w:t>
      </w:r>
      <w:r w:rsidR="00636F11" w:rsidRPr="00524BB7">
        <w:rPr>
          <w:szCs w:val="24"/>
        </w:rPr>
        <w:t xml:space="preserve"> participating in this study is for research purposes only and </w:t>
      </w:r>
      <w:r w:rsidR="00636F11" w:rsidRPr="00524BB7">
        <w:t>will</w:t>
      </w:r>
      <w:r w:rsidR="00636F11" w:rsidRPr="00524BB7">
        <w:rPr>
          <w:szCs w:val="24"/>
        </w:rPr>
        <w:t xml:space="preserve"> be kept private to the full extent allowed by law. </w:t>
      </w:r>
      <w:r w:rsidR="00FF0C0B">
        <w:rPr>
          <w:szCs w:val="24"/>
        </w:rPr>
        <w:t xml:space="preserve">Collected data </w:t>
      </w:r>
      <w:r w:rsidR="00813289" w:rsidRPr="00946C51">
        <w:rPr>
          <w:szCs w:val="24"/>
        </w:rPr>
        <w:t xml:space="preserve">will be presented in aggregate form </w:t>
      </w:r>
      <w:r w:rsidR="0045011D">
        <w:rPr>
          <w:szCs w:val="24"/>
        </w:rPr>
        <w:t>and in a manner that</w:t>
      </w:r>
      <w:r w:rsidR="00813289" w:rsidRPr="00946C51">
        <w:rPr>
          <w:szCs w:val="24"/>
        </w:rPr>
        <w:t xml:space="preserve"> cannot be linked back to the </w:t>
      </w:r>
      <w:r w:rsidR="00813289" w:rsidRPr="00524BB7">
        <w:rPr>
          <w:szCs w:val="24"/>
        </w:rPr>
        <w:t>response of any individual.</w:t>
      </w:r>
      <w:r w:rsidRPr="00524BB7">
        <w:rPr>
          <w:szCs w:val="24"/>
        </w:rPr>
        <w:t xml:space="preserve"> </w:t>
      </w:r>
      <w:r w:rsidR="00AE46E9" w:rsidRPr="00524BB7">
        <w:rPr>
          <w:szCs w:val="24"/>
        </w:rPr>
        <w:t xml:space="preserve">All </w:t>
      </w:r>
      <w:r w:rsidR="00362942">
        <w:rPr>
          <w:szCs w:val="24"/>
        </w:rPr>
        <w:t>WIC</w:t>
      </w:r>
      <w:r w:rsidR="00524BB7" w:rsidRPr="00524BB7">
        <w:rPr>
          <w:szCs w:val="24"/>
        </w:rPr>
        <w:t xml:space="preserve"> </w:t>
      </w:r>
      <w:r w:rsidR="00524BB7" w:rsidRPr="00E3349A">
        <w:rPr>
          <w:szCs w:val="24"/>
        </w:rPr>
        <w:t xml:space="preserve">participants and recently denied </w:t>
      </w:r>
      <w:r w:rsidR="00362942" w:rsidRPr="00E3349A">
        <w:rPr>
          <w:szCs w:val="24"/>
        </w:rPr>
        <w:t xml:space="preserve">WIC </w:t>
      </w:r>
      <w:r w:rsidR="00524BB7" w:rsidRPr="00E3349A">
        <w:rPr>
          <w:szCs w:val="24"/>
        </w:rPr>
        <w:t xml:space="preserve">applicants </w:t>
      </w:r>
      <w:r w:rsidR="0045011D" w:rsidRPr="00E3349A">
        <w:rPr>
          <w:szCs w:val="24"/>
        </w:rPr>
        <w:t xml:space="preserve">in the study sample </w:t>
      </w:r>
      <w:r w:rsidR="00D50B4A" w:rsidRPr="00E3349A">
        <w:rPr>
          <w:szCs w:val="24"/>
        </w:rPr>
        <w:t xml:space="preserve">will be </w:t>
      </w:r>
      <w:r w:rsidR="0045011D" w:rsidRPr="00E3349A">
        <w:rPr>
          <w:szCs w:val="24"/>
        </w:rPr>
        <w:t>asked to gi</w:t>
      </w:r>
      <w:r w:rsidR="00DE69E3" w:rsidRPr="00E3349A">
        <w:rPr>
          <w:szCs w:val="24"/>
        </w:rPr>
        <w:t xml:space="preserve">ve </w:t>
      </w:r>
      <w:r w:rsidR="000C0256" w:rsidRPr="00E3349A">
        <w:rPr>
          <w:szCs w:val="24"/>
        </w:rPr>
        <w:t xml:space="preserve">either </w:t>
      </w:r>
      <w:r w:rsidR="00DE69E3" w:rsidRPr="00E3349A">
        <w:rPr>
          <w:szCs w:val="24"/>
        </w:rPr>
        <w:t xml:space="preserve">verbal </w:t>
      </w:r>
      <w:r w:rsidR="00DE69E3" w:rsidRPr="00430B3F">
        <w:rPr>
          <w:szCs w:val="24"/>
        </w:rPr>
        <w:t>cons</w:t>
      </w:r>
      <w:r w:rsidR="00362942" w:rsidRPr="00430B3F">
        <w:rPr>
          <w:szCs w:val="24"/>
        </w:rPr>
        <w:t xml:space="preserve">ent </w:t>
      </w:r>
      <w:r w:rsidR="00524BB7" w:rsidRPr="00430B3F">
        <w:rPr>
          <w:szCs w:val="24"/>
        </w:rPr>
        <w:t>(</w:t>
      </w:r>
      <w:r w:rsidR="00C07D86" w:rsidRPr="00430B3F">
        <w:rPr>
          <w:szCs w:val="24"/>
        </w:rPr>
        <w:t xml:space="preserve">Appendices </w:t>
      </w:r>
      <w:r w:rsidR="00473D10" w:rsidRPr="00430B3F">
        <w:rPr>
          <w:szCs w:val="24"/>
        </w:rPr>
        <w:t>C</w:t>
      </w:r>
      <w:r w:rsidR="007C305E" w:rsidRPr="00430B3F">
        <w:rPr>
          <w:szCs w:val="24"/>
        </w:rPr>
        <w:t>19</w:t>
      </w:r>
      <w:r w:rsidR="003F3787" w:rsidRPr="00430B3F">
        <w:rPr>
          <w:szCs w:val="24"/>
        </w:rPr>
        <w:t>.</w:t>
      </w:r>
      <w:r w:rsidR="007C305E" w:rsidRPr="00430B3F">
        <w:rPr>
          <w:szCs w:val="24"/>
        </w:rPr>
        <w:t xml:space="preserve">a, </w:t>
      </w:r>
      <w:r w:rsidR="00473D10" w:rsidRPr="00430B3F">
        <w:rPr>
          <w:szCs w:val="24"/>
        </w:rPr>
        <w:t>C</w:t>
      </w:r>
      <w:r w:rsidR="007C305E" w:rsidRPr="00430B3F">
        <w:rPr>
          <w:szCs w:val="24"/>
        </w:rPr>
        <w:t>19</w:t>
      </w:r>
      <w:r w:rsidR="003F3787" w:rsidRPr="00430B3F">
        <w:rPr>
          <w:szCs w:val="24"/>
        </w:rPr>
        <w:t>.</w:t>
      </w:r>
      <w:r w:rsidR="007C305E" w:rsidRPr="00430B3F">
        <w:rPr>
          <w:szCs w:val="24"/>
        </w:rPr>
        <w:t xml:space="preserve">b, </w:t>
      </w:r>
      <w:r w:rsidR="00473D10" w:rsidRPr="00430B3F">
        <w:rPr>
          <w:szCs w:val="24"/>
        </w:rPr>
        <w:t>C</w:t>
      </w:r>
      <w:r w:rsidR="007C305E" w:rsidRPr="00430B3F">
        <w:rPr>
          <w:szCs w:val="24"/>
        </w:rPr>
        <w:t>22</w:t>
      </w:r>
      <w:r w:rsidR="003F3787" w:rsidRPr="00430B3F">
        <w:rPr>
          <w:szCs w:val="24"/>
        </w:rPr>
        <w:t>.</w:t>
      </w:r>
      <w:r w:rsidR="007C305E" w:rsidRPr="00430B3F">
        <w:rPr>
          <w:szCs w:val="24"/>
        </w:rPr>
        <w:t xml:space="preserve">a, </w:t>
      </w:r>
      <w:r w:rsidR="00473D10" w:rsidRPr="00430B3F">
        <w:rPr>
          <w:szCs w:val="24"/>
        </w:rPr>
        <w:t>C</w:t>
      </w:r>
      <w:r w:rsidR="007C305E" w:rsidRPr="00430B3F">
        <w:rPr>
          <w:szCs w:val="24"/>
        </w:rPr>
        <w:t>22</w:t>
      </w:r>
      <w:r w:rsidR="003F3787" w:rsidRPr="00430B3F">
        <w:rPr>
          <w:szCs w:val="24"/>
        </w:rPr>
        <w:t>.</w:t>
      </w:r>
      <w:r w:rsidR="007C305E" w:rsidRPr="00430B3F">
        <w:rPr>
          <w:szCs w:val="24"/>
        </w:rPr>
        <w:t xml:space="preserve">b, </w:t>
      </w:r>
      <w:r w:rsidR="00473D10" w:rsidRPr="00430B3F">
        <w:rPr>
          <w:szCs w:val="24"/>
        </w:rPr>
        <w:t>C</w:t>
      </w:r>
      <w:r w:rsidR="007C305E" w:rsidRPr="00430B3F">
        <w:rPr>
          <w:szCs w:val="24"/>
        </w:rPr>
        <w:t>23</w:t>
      </w:r>
      <w:r w:rsidR="003F3787" w:rsidRPr="00430B3F">
        <w:rPr>
          <w:szCs w:val="24"/>
        </w:rPr>
        <w:t>.</w:t>
      </w:r>
      <w:r w:rsidR="007C305E" w:rsidRPr="00430B3F">
        <w:rPr>
          <w:szCs w:val="24"/>
        </w:rPr>
        <w:t>a</w:t>
      </w:r>
      <w:r w:rsidR="008E7EA3" w:rsidRPr="00430B3F">
        <w:rPr>
          <w:szCs w:val="24"/>
        </w:rPr>
        <w:t>,</w:t>
      </w:r>
      <w:r w:rsidR="007C305E" w:rsidRPr="00430B3F">
        <w:rPr>
          <w:szCs w:val="24"/>
        </w:rPr>
        <w:t xml:space="preserve"> and </w:t>
      </w:r>
      <w:r w:rsidR="00473D10" w:rsidRPr="00430B3F">
        <w:rPr>
          <w:szCs w:val="24"/>
        </w:rPr>
        <w:t>C</w:t>
      </w:r>
      <w:r w:rsidR="007C305E" w:rsidRPr="00430B3F">
        <w:rPr>
          <w:szCs w:val="24"/>
        </w:rPr>
        <w:t>23</w:t>
      </w:r>
      <w:r w:rsidR="003F3787" w:rsidRPr="00430B3F">
        <w:rPr>
          <w:szCs w:val="24"/>
        </w:rPr>
        <w:t>.</w:t>
      </w:r>
      <w:r w:rsidR="007C305E" w:rsidRPr="00430B3F">
        <w:rPr>
          <w:szCs w:val="24"/>
        </w:rPr>
        <w:t>b</w:t>
      </w:r>
      <w:r w:rsidR="00524BB7" w:rsidRPr="00430B3F">
        <w:rPr>
          <w:szCs w:val="24"/>
        </w:rPr>
        <w:t>) or</w:t>
      </w:r>
      <w:r w:rsidR="000C0256" w:rsidRPr="00430B3F">
        <w:rPr>
          <w:szCs w:val="24"/>
        </w:rPr>
        <w:t xml:space="preserve">, depending on the survey protocol, </w:t>
      </w:r>
      <w:r w:rsidR="00DE69E3" w:rsidRPr="00430B3F">
        <w:rPr>
          <w:szCs w:val="24"/>
        </w:rPr>
        <w:t>written consent</w:t>
      </w:r>
      <w:r w:rsidR="00524BB7" w:rsidRPr="00430B3F">
        <w:rPr>
          <w:szCs w:val="24"/>
        </w:rPr>
        <w:t xml:space="preserve"> (Appendices</w:t>
      </w:r>
      <w:r w:rsidR="003C65B9" w:rsidRPr="00430B3F">
        <w:rPr>
          <w:szCs w:val="24"/>
        </w:rPr>
        <w:t xml:space="preserve"> D</w:t>
      </w:r>
      <w:r w:rsidR="003F3787" w:rsidRPr="00430B3F">
        <w:rPr>
          <w:szCs w:val="24"/>
        </w:rPr>
        <w:t>7</w:t>
      </w:r>
      <w:r w:rsidR="003C65B9" w:rsidRPr="00430B3F">
        <w:rPr>
          <w:szCs w:val="24"/>
        </w:rPr>
        <w:t>a, D</w:t>
      </w:r>
      <w:r w:rsidR="003F3787" w:rsidRPr="00430B3F">
        <w:rPr>
          <w:szCs w:val="24"/>
        </w:rPr>
        <w:t>7</w:t>
      </w:r>
      <w:r w:rsidR="003C65B9" w:rsidRPr="00430B3F">
        <w:rPr>
          <w:szCs w:val="24"/>
        </w:rPr>
        <w:t>b, D</w:t>
      </w:r>
      <w:r w:rsidR="003F3787" w:rsidRPr="00430B3F">
        <w:rPr>
          <w:szCs w:val="24"/>
        </w:rPr>
        <w:t>9</w:t>
      </w:r>
      <w:r w:rsidR="003C65B9" w:rsidRPr="00430B3F">
        <w:rPr>
          <w:szCs w:val="24"/>
        </w:rPr>
        <w:t>a, or D</w:t>
      </w:r>
      <w:r w:rsidR="003F3787" w:rsidRPr="00430B3F">
        <w:rPr>
          <w:szCs w:val="24"/>
        </w:rPr>
        <w:t>9</w:t>
      </w:r>
      <w:r w:rsidR="003C65B9" w:rsidRPr="00430B3F">
        <w:rPr>
          <w:szCs w:val="24"/>
        </w:rPr>
        <w:t>b</w:t>
      </w:r>
      <w:r w:rsidR="00914F7A" w:rsidRPr="00430B3F">
        <w:rPr>
          <w:szCs w:val="24"/>
        </w:rPr>
        <w:t>)</w:t>
      </w:r>
      <w:r w:rsidR="00DE69E3" w:rsidRPr="00430B3F">
        <w:rPr>
          <w:szCs w:val="24"/>
        </w:rPr>
        <w:t xml:space="preserve"> prior to collection of any individual</w:t>
      </w:r>
      <w:r w:rsidR="00DE69E3">
        <w:rPr>
          <w:szCs w:val="24"/>
        </w:rPr>
        <w:t xml:space="preserve"> level data</w:t>
      </w:r>
      <w:r w:rsidR="0045011D">
        <w:rPr>
          <w:szCs w:val="24"/>
        </w:rPr>
        <w:t>; informed consent documents</w:t>
      </w:r>
      <w:r w:rsidR="00914F7A" w:rsidRPr="00C07D86">
        <w:rPr>
          <w:szCs w:val="24"/>
        </w:rPr>
        <w:t xml:space="preserve"> </w:t>
      </w:r>
      <w:r w:rsidR="0045011D" w:rsidRPr="00C07D86">
        <w:rPr>
          <w:szCs w:val="24"/>
        </w:rPr>
        <w:t>indicat</w:t>
      </w:r>
      <w:r w:rsidR="0045011D">
        <w:rPr>
          <w:szCs w:val="24"/>
        </w:rPr>
        <w:t>e</w:t>
      </w:r>
      <w:r w:rsidR="0045011D" w:rsidRPr="00524BB7">
        <w:rPr>
          <w:szCs w:val="24"/>
        </w:rPr>
        <w:t xml:space="preserve"> </w:t>
      </w:r>
      <w:r w:rsidR="00636F11" w:rsidRPr="00524BB7">
        <w:rPr>
          <w:szCs w:val="24"/>
        </w:rPr>
        <w:t xml:space="preserve">that their </w:t>
      </w:r>
      <w:r w:rsidRPr="00524BB7">
        <w:rPr>
          <w:szCs w:val="24"/>
        </w:rPr>
        <w:t xml:space="preserve">personal information will be kept </w:t>
      </w:r>
      <w:r w:rsidR="00636F11" w:rsidRPr="00524BB7">
        <w:rPr>
          <w:szCs w:val="24"/>
        </w:rPr>
        <w:t xml:space="preserve">private </w:t>
      </w:r>
      <w:r w:rsidRPr="00524BB7">
        <w:rPr>
          <w:szCs w:val="24"/>
        </w:rPr>
        <w:t xml:space="preserve">and that their </w:t>
      </w:r>
      <w:bookmarkStart w:id="121" w:name="_Hlk497876829"/>
      <w:r w:rsidRPr="00524BB7">
        <w:rPr>
          <w:szCs w:val="24"/>
        </w:rPr>
        <w:t xml:space="preserve">responses will only be used </w:t>
      </w:r>
      <w:r w:rsidR="00D81C0C" w:rsidRPr="00524BB7">
        <w:rPr>
          <w:szCs w:val="24"/>
        </w:rPr>
        <w:t>for</w:t>
      </w:r>
      <w:r w:rsidR="00AE46E9" w:rsidRPr="00524BB7">
        <w:rPr>
          <w:szCs w:val="24"/>
        </w:rPr>
        <w:t xml:space="preserve"> summary tabulations</w:t>
      </w:r>
      <w:r w:rsidR="000B22E5" w:rsidRPr="00524BB7">
        <w:rPr>
          <w:szCs w:val="24"/>
        </w:rPr>
        <w:t xml:space="preserve"> and </w:t>
      </w:r>
      <w:r w:rsidR="00AE4D47" w:rsidRPr="00524BB7">
        <w:rPr>
          <w:szCs w:val="24"/>
        </w:rPr>
        <w:t>statements</w:t>
      </w:r>
      <w:r w:rsidR="000B22E5" w:rsidRPr="00524BB7">
        <w:rPr>
          <w:szCs w:val="24"/>
        </w:rPr>
        <w:t xml:space="preserve"> of best practices</w:t>
      </w:r>
      <w:bookmarkEnd w:id="121"/>
      <w:r w:rsidR="00AE46E9" w:rsidRPr="00524BB7">
        <w:rPr>
          <w:szCs w:val="24"/>
        </w:rPr>
        <w:t xml:space="preserve">. </w:t>
      </w:r>
      <w:r w:rsidR="00524BB7" w:rsidRPr="00524BB7">
        <w:rPr>
          <w:szCs w:val="24"/>
        </w:rPr>
        <w:t>C</w:t>
      </w:r>
      <w:r w:rsidR="001D3B2D" w:rsidRPr="00524BB7">
        <w:rPr>
          <w:szCs w:val="24"/>
        </w:rPr>
        <w:t>onsent will be obtained prior to the collection of any data.</w:t>
      </w:r>
      <w:r w:rsidR="00AE46E9" w:rsidRPr="00524BB7">
        <w:rPr>
          <w:szCs w:val="24"/>
        </w:rPr>
        <w:t xml:space="preserve"> </w:t>
      </w:r>
      <w:r w:rsidR="00E21C27" w:rsidRPr="00524BB7">
        <w:rPr>
          <w:szCs w:val="24"/>
        </w:rPr>
        <w:t>FNS published</w:t>
      </w:r>
      <w:r w:rsidR="00E21C27" w:rsidRPr="007D037C">
        <w:rPr>
          <w:szCs w:val="24"/>
        </w:rPr>
        <w:t xml:space="preserve"> a system of record notice (SORN) titled FNS-8 USDA/FNS Studies and Reports in the </w:t>
      </w:r>
      <w:r w:rsidR="00E21C27" w:rsidRPr="007D037C">
        <w:rPr>
          <w:i/>
          <w:szCs w:val="24"/>
        </w:rPr>
        <w:t>Federal Register</w:t>
      </w:r>
      <w:r w:rsidR="00E21C27" w:rsidRPr="007D037C">
        <w:rPr>
          <w:szCs w:val="24"/>
        </w:rPr>
        <w:t xml:space="preserve"> on April 25, 1991, volume 56, pages 19078–19080, </w:t>
      </w:r>
      <w:r w:rsidR="008E7EA3">
        <w:rPr>
          <w:szCs w:val="24"/>
        </w:rPr>
        <w:t>which</w:t>
      </w:r>
      <w:r w:rsidR="008E7EA3" w:rsidRPr="007D037C">
        <w:rPr>
          <w:szCs w:val="24"/>
        </w:rPr>
        <w:t xml:space="preserve"> </w:t>
      </w:r>
      <w:r w:rsidR="00E21C27" w:rsidRPr="007D037C">
        <w:rPr>
          <w:szCs w:val="24"/>
        </w:rPr>
        <w:t>discusses the terms of protections that will be provided to respondents</w:t>
      </w:r>
      <w:r w:rsidR="00E21C27" w:rsidRPr="00524BB7">
        <w:rPr>
          <w:szCs w:val="24"/>
        </w:rPr>
        <w:t xml:space="preserve">. </w:t>
      </w:r>
      <w:r w:rsidR="00D0186E" w:rsidRPr="00D0186E">
        <w:rPr>
          <w:szCs w:val="24"/>
        </w:rPr>
        <w:t>Since the Certification Survey (Appendices B3.a, B3.b, B3.c, and B3.d)</w:t>
      </w:r>
      <w:r w:rsidR="00317B3A">
        <w:rPr>
          <w:szCs w:val="24"/>
        </w:rPr>
        <w:t>,</w:t>
      </w:r>
      <w:r w:rsidR="00D0186E" w:rsidRPr="00D0186E">
        <w:rPr>
          <w:szCs w:val="24"/>
        </w:rPr>
        <w:t xml:space="preserve"> Denied Applicant Survey (Appendices B4.a, B4.b, B4.c, and B4.d)</w:t>
      </w:r>
      <w:r w:rsidR="00317B3A">
        <w:rPr>
          <w:szCs w:val="24"/>
        </w:rPr>
        <w:t>, and Denied Applicant Log (Appendix B7.b)</w:t>
      </w:r>
      <w:r w:rsidR="00D0186E" w:rsidRPr="00D0186E">
        <w:rPr>
          <w:szCs w:val="24"/>
        </w:rPr>
        <w:t xml:space="preserve"> ask personally identifiable information, including proof of identity, proof of residency,  and date of birth, these instruments include a Privacy Act statement. </w:t>
      </w:r>
      <w:r w:rsidR="00D0186E">
        <w:rPr>
          <w:szCs w:val="24"/>
        </w:rPr>
        <w:t>This information determine</w:t>
      </w:r>
      <w:r w:rsidR="00EB5194">
        <w:rPr>
          <w:szCs w:val="24"/>
        </w:rPr>
        <w:t>s</w:t>
      </w:r>
      <w:r w:rsidR="00D0186E">
        <w:rPr>
          <w:szCs w:val="24"/>
        </w:rPr>
        <w:t xml:space="preserve"> </w:t>
      </w:r>
      <w:r w:rsidR="00EB5194">
        <w:rPr>
          <w:szCs w:val="24"/>
        </w:rPr>
        <w:t>the certification error and erroneous denials, which are necessary to calculating the improper payment rate for WIC.</w:t>
      </w:r>
    </w:p>
    <w:p w14:paraId="4850F4B1" w14:textId="0AEB5C3E" w:rsidR="0015674E" w:rsidRPr="00430B3F" w:rsidRDefault="00D84F3C" w:rsidP="009D5B7F">
      <w:pPr>
        <w:widowControl w:val="0"/>
        <w:ind w:firstLine="720"/>
        <w:rPr>
          <w:szCs w:val="24"/>
        </w:rPr>
      </w:pPr>
      <w:r w:rsidRPr="00524BB7">
        <w:rPr>
          <w:szCs w:val="24"/>
        </w:rPr>
        <w:t xml:space="preserve">To </w:t>
      </w:r>
      <w:r w:rsidR="00D81C0C" w:rsidRPr="00524BB7">
        <w:rPr>
          <w:szCs w:val="24"/>
        </w:rPr>
        <w:t>e</w:t>
      </w:r>
      <w:r w:rsidRPr="00524BB7">
        <w:rPr>
          <w:szCs w:val="24"/>
        </w:rPr>
        <w:t xml:space="preserve">nsure that personal information remains private, </w:t>
      </w:r>
      <w:r w:rsidR="00730993">
        <w:rPr>
          <w:szCs w:val="24"/>
        </w:rPr>
        <w:t xml:space="preserve">data will be </w:t>
      </w:r>
      <w:r w:rsidRPr="00524BB7">
        <w:rPr>
          <w:szCs w:val="24"/>
        </w:rPr>
        <w:t>kep</w:t>
      </w:r>
      <w:r w:rsidR="00730993">
        <w:rPr>
          <w:szCs w:val="24"/>
        </w:rPr>
        <w:t>t</w:t>
      </w:r>
      <w:r w:rsidRPr="00524BB7">
        <w:rPr>
          <w:szCs w:val="24"/>
        </w:rPr>
        <w:t xml:space="preserve"> on secure networks and data collectors </w:t>
      </w:r>
      <w:r w:rsidR="00730993" w:rsidRPr="00E3349A">
        <w:rPr>
          <w:szCs w:val="24"/>
        </w:rPr>
        <w:t xml:space="preserve">will </w:t>
      </w:r>
      <w:r w:rsidRPr="00E3349A">
        <w:rPr>
          <w:szCs w:val="24"/>
        </w:rPr>
        <w:t xml:space="preserve">sign confidentiality </w:t>
      </w:r>
      <w:r w:rsidRPr="00430B3F">
        <w:rPr>
          <w:szCs w:val="24"/>
        </w:rPr>
        <w:t xml:space="preserve">agreements </w:t>
      </w:r>
      <w:r w:rsidR="00301EA1" w:rsidRPr="00430B3F">
        <w:rPr>
          <w:szCs w:val="24"/>
        </w:rPr>
        <w:t xml:space="preserve">(Appendix </w:t>
      </w:r>
      <w:r w:rsidR="003C65B9" w:rsidRPr="00430B3F">
        <w:rPr>
          <w:szCs w:val="24"/>
        </w:rPr>
        <w:t>A</w:t>
      </w:r>
      <w:r w:rsidR="00153183">
        <w:rPr>
          <w:szCs w:val="24"/>
        </w:rPr>
        <w:t>8</w:t>
      </w:r>
      <w:r w:rsidR="003C65B9" w:rsidRPr="00430B3F">
        <w:rPr>
          <w:szCs w:val="24"/>
        </w:rPr>
        <w:t>)</w:t>
      </w:r>
      <w:r w:rsidR="00301EA1" w:rsidRPr="00430B3F">
        <w:rPr>
          <w:szCs w:val="24"/>
        </w:rPr>
        <w:t xml:space="preserve"> </w:t>
      </w:r>
      <w:r w:rsidRPr="00430B3F">
        <w:rPr>
          <w:szCs w:val="24"/>
        </w:rPr>
        <w:t>binding them to protect private information</w:t>
      </w:r>
      <w:r w:rsidR="00AE46E9" w:rsidRPr="00430B3F">
        <w:rPr>
          <w:szCs w:val="24"/>
        </w:rPr>
        <w:t>.</w:t>
      </w:r>
      <w:r w:rsidRPr="00430B3F">
        <w:rPr>
          <w:szCs w:val="24"/>
        </w:rPr>
        <w:t xml:space="preserve"> </w:t>
      </w:r>
      <w:r w:rsidR="00730993" w:rsidRPr="00430B3F">
        <w:rPr>
          <w:szCs w:val="24"/>
        </w:rPr>
        <w:t xml:space="preserve">A </w:t>
      </w:r>
      <w:r w:rsidRPr="00430B3F">
        <w:rPr>
          <w:szCs w:val="24"/>
        </w:rPr>
        <w:t xml:space="preserve">unique ID number </w:t>
      </w:r>
      <w:r w:rsidR="00730993" w:rsidRPr="00430B3F">
        <w:rPr>
          <w:szCs w:val="24"/>
        </w:rPr>
        <w:t xml:space="preserve">will be assigned </w:t>
      </w:r>
      <w:r w:rsidRPr="00430B3F">
        <w:rPr>
          <w:szCs w:val="24"/>
        </w:rPr>
        <w:t>to each respon</w:t>
      </w:r>
      <w:r w:rsidR="00D81C0C" w:rsidRPr="00430B3F">
        <w:rPr>
          <w:szCs w:val="24"/>
        </w:rPr>
        <w:t>dent</w:t>
      </w:r>
      <w:r w:rsidR="00730993" w:rsidRPr="00430B3F">
        <w:rPr>
          <w:szCs w:val="24"/>
        </w:rPr>
        <w:t xml:space="preserve"> and </w:t>
      </w:r>
      <w:r w:rsidR="0045011D" w:rsidRPr="00430B3F">
        <w:rPr>
          <w:szCs w:val="24"/>
        </w:rPr>
        <w:t>respondents’ personally identifiable information (PII)</w:t>
      </w:r>
      <w:r w:rsidR="00730993" w:rsidRPr="00430B3F">
        <w:rPr>
          <w:szCs w:val="24"/>
        </w:rPr>
        <w:t xml:space="preserve"> will be removed</w:t>
      </w:r>
      <w:r w:rsidRPr="00430B3F">
        <w:rPr>
          <w:szCs w:val="24"/>
        </w:rPr>
        <w:t xml:space="preserve">. A separate file will associate the ID number with personal information. </w:t>
      </w:r>
      <w:r w:rsidR="00DA5B89" w:rsidRPr="00DA5B89">
        <w:rPr>
          <w:szCs w:val="24"/>
        </w:rPr>
        <w:t>Any papers that include personal information will be kept in a locked storage area and destroyed after the study ends.</w:t>
      </w:r>
      <w:r w:rsidR="00DA5B89">
        <w:rPr>
          <w:szCs w:val="24"/>
        </w:rPr>
        <w:t xml:space="preserve"> </w:t>
      </w:r>
      <w:r w:rsidR="00730993" w:rsidRPr="00430B3F">
        <w:rPr>
          <w:szCs w:val="24"/>
        </w:rPr>
        <w:t xml:space="preserve">Study-related </w:t>
      </w:r>
      <w:r w:rsidRPr="00430B3F">
        <w:rPr>
          <w:szCs w:val="24"/>
        </w:rPr>
        <w:t>file</w:t>
      </w:r>
      <w:r w:rsidR="00730993" w:rsidRPr="00430B3F">
        <w:rPr>
          <w:szCs w:val="24"/>
        </w:rPr>
        <w:t>s will be kept</w:t>
      </w:r>
      <w:r w:rsidRPr="00430B3F">
        <w:rPr>
          <w:szCs w:val="24"/>
        </w:rPr>
        <w:t xml:space="preserve"> private</w:t>
      </w:r>
      <w:r w:rsidR="00730993" w:rsidRPr="00430B3F">
        <w:rPr>
          <w:szCs w:val="24"/>
        </w:rPr>
        <w:t xml:space="preserve"> and o</w:t>
      </w:r>
      <w:r w:rsidRPr="00430B3F">
        <w:rPr>
          <w:szCs w:val="24"/>
        </w:rPr>
        <w:t xml:space="preserve">nce the contract is </w:t>
      </w:r>
      <w:r w:rsidR="00362942" w:rsidRPr="00430B3F">
        <w:rPr>
          <w:szCs w:val="24"/>
        </w:rPr>
        <w:t>complete,</w:t>
      </w:r>
      <w:r w:rsidRPr="00430B3F">
        <w:rPr>
          <w:szCs w:val="24"/>
        </w:rPr>
        <w:t xml:space="preserve"> </w:t>
      </w:r>
      <w:r w:rsidR="0045011D" w:rsidRPr="00430B3F">
        <w:rPr>
          <w:szCs w:val="24"/>
        </w:rPr>
        <w:t xml:space="preserve">all </w:t>
      </w:r>
      <w:r w:rsidRPr="00430B3F">
        <w:rPr>
          <w:szCs w:val="24"/>
        </w:rPr>
        <w:t xml:space="preserve">files </w:t>
      </w:r>
      <w:r w:rsidR="00F23F38" w:rsidRPr="00430B3F">
        <w:rPr>
          <w:szCs w:val="24"/>
        </w:rPr>
        <w:t>containing</w:t>
      </w:r>
      <w:r w:rsidRPr="00430B3F">
        <w:rPr>
          <w:szCs w:val="24"/>
        </w:rPr>
        <w:t xml:space="preserve"> private information</w:t>
      </w:r>
      <w:r w:rsidR="00730993" w:rsidRPr="00430B3F">
        <w:rPr>
          <w:szCs w:val="24"/>
        </w:rPr>
        <w:t xml:space="preserve"> will be destroyed</w:t>
      </w:r>
      <w:r w:rsidR="0045011D" w:rsidRPr="00430B3F">
        <w:rPr>
          <w:szCs w:val="24"/>
        </w:rPr>
        <w:t xml:space="preserve">. Per Federal regulations, signed consent forms from study participants will be preserved for </w:t>
      </w:r>
      <w:r w:rsidR="00F23F38" w:rsidRPr="00430B3F">
        <w:rPr>
          <w:szCs w:val="24"/>
        </w:rPr>
        <w:t>3</w:t>
      </w:r>
      <w:r w:rsidR="0045011D" w:rsidRPr="00430B3F">
        <w:rPr>
          <w:szCs w:val="24"/>
        </w:rPr>
        <w:t xml:space="preserve"> years following the end of the contract and then destroyed</w:t>
      </w:r>
      <w:r w:rsidRPr="00430B3F">
        <w:rPr>
          <w:szCs w:val="24"/>
        </w:rPr>
        <w:t xml:space="preserve">. </w:t>
      </w:r>
    </w:p>
    <w:p w14:paraId="64C817FE" w14:textId="77777777" w:rsidR="006E2661" w:rsidRPr="00430B3F" w:rsidRDefault="0015674E" w:rsidP="006E2661">
      <w:pPr>
        <w:pStyle w:val="Heading2"/>
        <w:tabs>
          <w:tab w:val="clear" w:pos="1152"/>
        </w:tabs>
        <w:spacing w:after="0" w:line="240" w:lineRule="auto"/>
        <w:ind w:left="720" w:hanging="720"/>
        <w:rPr>
          <w:rFonts w:ascii="Times New Roman" w:hAnsi="Times New Roman"/>
          <w:color w:val="auto"/>
          <w:sz w:val="24"/>
          <w:szCs w:val="24"/>
        </w:rPr>
      </w:pPr>
      <w:bookmarkStart w:id="122" w:name="_Toc282506033"/>
      <w:bookmarkStart w:id="123" w:name="_Toc339621291"/>
      <w:bookmarkStart w:id="124" w:name="_Toc454265311"/>
      <w:bookmarkStart w:id="125" w:name="_Toc454265610"/>
      <w:bookmarkStart w:id="126" w:name="_Toc454265687"/>
      <w:bookmarkStart w:id="127" w:name="_Toc454266184"/>
      <w:bookmarkStart w:id="128" w:name="_Toc454266212"/>
      <w:bookmarkStart w:id="129" w:name="_Toc454266639"/>
      <w:r w:rsidRPr="00430B3F">
        <w:rPr>
          <w:rFonts w:ascii="Times New Roman" w:hAnsi="Times New Roman"/>
          <w:color w:val="auto"/>
          <w:sz w:val="24"/>
          <w:szCs w:val="24"/>
        </w:rPr>
        <w:t>A.11</w:t>
      </w:r>
      <w:bookmarkEnd w:id="122"/>
      <w:r w:rsidR="00B25B64" w:rsidRPr="00430B3F">
        <w:rPr>
          <w:rFonts w:ascii="Times New Roman" w:hAnsi="Times New Roman"/>
          <w:color w:val="auto"/>
          <w:sz w:val="24"/>
          <w:szCs w:val="24"/>
        </w:rPr>
        <w:tab/>
      </w:r>
      <w:r w:rsidRPr="00430B3F">
        <w:rPr>
          <w:rFonts w:ascii="Times New Roman" w:hAnsi="Times New Roman"/>
          <w:color w:val="auto"/>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23"/>
      <w:bookmarkEnd w:id="124"/>
      <w:bookmarkEnd w:id="125"/>
      <w:bookmarkEnd w:id="126"/>
      <w:bookmarkEnd w:id="127"/>
      <w:bookmarkEnd w:id="128"/>
      <w:bookmarkEnd w:id="129"/>
    </w:p>
    <w:p w14:paraId="6B4D687A" w14:textId="77777777" w:rsidR="006E2661" w:rsidRPr="00430B3F" w:rsidRDefault="006E2661" w:rsidP="006E2661">
      <w:pPr>
        <w:spacing w:line="240" w:lineRule="auto"/>
      </w:pPr>
    </w:p>
    <w:p w14:paraId="13ADFE2B" w14:textId="6B3E6B85" w:rsidR="007F1904" w:rsidRDefault="00AB7761" w:rsidP="009D5B7F">
      <w:pPr>
        <w:widowControl w:val="0"/>
        <w:ind w:firstLine="720"/>
      </w:pPr>
      <w:r w:rsidRPr="00430B3F">
        <w:t>T</w:t>
      </w:r>
      <w:r w:rsidR="006E2661" w:rsidRPr="00430B3F">
        <w:t xml:space="preserve">he Certification Survey </w:t>
      </w:r>
      <w:bookmarkStart w:id="130" w:name="_Hlk497853977"/>
      <w:r w:rsidRPr="00430B3F">
        <w:t>(Appendi</w:t>
      </w:r>
      <w:r w:rsidR="003C65B9" w:rsidRPr="00430B3F">
        <w:t>ces B3</w:t>
      </w:r>
      <w:r w:rsidR="003F3787" w:rsidRPr="00430B3F">
        <w:t>.</w:t>
      </w:r>
      <w:r w:rsidR="003C65B9" w:rsidRPr="00430B3F">
        <w:t>a, B3</w:t>
      </w:r>
      <w:r w:rsidR="003F3787" w:rsidRPr="00430B3F">
        <w:t>.</w:t>
      </w:r>
      <w:r w:rsidR="003C65B9" w:rsidRPr="00430B3F">
        <w:t>b, B3</w:t>
      </w:r>
      <w:r w:rsidR="003F3787" w:rsidRPr="00430B3F">
        <w:t>.</w:t>
      </w:r>
      <w:r w:rsidR="003C65B9" w:rsidRPr="00430B3F">
        <w:t>c, and B3</w:t>
      </w:r>
      <w:r w:rsidR="003F3787" w:rsidRPr="00430B3F">
        <w:t>.</w:t>
      </w:r>
      <w:r w:rsidR="003C65B9" w:rsidRPr="00430B3F">
        <w:t>d</w:t>
      </w:r>
      <w:r w:rsidRPr="00430B3F">
        <w:t xml:space="preserve">) </w:t>
      </w:r>
      <w:bookmarkEnd w:id="130"/>
      <w:r w:rsidR="006E2661" w:rsidRPr="00430B3F">
        <w:t>and Denied Applicant Survey</w:t>
      </w:r>
      <w:r w:rsidRPr="00430B3F">
        <w:t xml:space="preserve"> </w:t>
      </w:r>
      <w:bookmarkStart w:id="131" w:name="_Hlk497854003"/>
      <w:r w:rsidRPr="00430B3F">
        <w:t>(Appendi</w:t>
      </w:r>
      <w:r w:rsidR="003C65B9" w:rsidRPr="00430B3F">
        <w:t>ces B4</w:t>
      </w:r>
      <w:r w:rsidR="003F3787" w:rsidRPr="00430B3F">
        <w:t>.</w:t>
      </w:r>
      <w:r w:rsidR="003C65B9" w:rsidRPr="00430B3F">
        <w:t>a, B4</w:t>
      </w:r>
      <w:r w:rsidR="003F3787" w:rsidRPr="00430B3F">
        <w:t>.</w:t>
      </w:r>
      <w:r w:rsidR="003C65B9" w:rsidRPr="00430B3F">
        <w:t>b, B4</w:t>
      </w:r>
      <w:r w:rsidR="003F3787" w:rsidRPr="00430B3F">
        <w:t>.</w:t>
      </w:r>
      <w:r w:rsidR="003C65B9" w:rsidRPr="00430B3F">
        <w:t>c, and B4</w:t>
      </w:r>
      <w:r w:rsidR="003F3787" w:rsidRPr="00430B3F">
        <w:t>.</w:t>
      </w:r>
      <w:r w:rsidR="003C65B9" w:rsidRPr="00430B3F">
        <w:t>d</w:t>
      </w:r>
      <w:r w:rsidRPr="00430B3F">
        <w:t>)</w:t>
      </w:r>
      <w:r w:rsidR="006E2661" w:rsidRPr="00430B3F">
        <w:t xml:space="preserve"> </w:t>
      </w:r>
      <w:bookmarkEnd w:id="131"/>
      <w:r w:rsidR="00B25B64" w:rsidRPr="00430B3F">
        <w:t>contain questions of</w:t>
      </w:r>
      <w:r w:rsidR="00B25B64" w:rsidRPr="00E3349A">
        <w:t xml:space="preserve"> a sensitive nature</w:t>
      </w:r>
      <w:r w:rsidR="00B547E9" w:rsidRPr="00E3349A">
        <w:t xml:space="preserve"> about household composition</w:t>
      </w:r>
      <w:r w:rsidR="007F1904" w:rsidRPr="00E3349A">
        <w:t xml:space="preserve"> (i.e., the size of the family’s “</w:t>
      </w:r>
      <w:r w:rsidR="007F1904">
        <w:t>economic unit”)</w:t>
      </w:r>
      <w:r w:rsidR="005C2253">
        <w:t>,</w:t>
      </w:r>
      <w:r w:rsidR="00B547E9">
        <w:t xml:space="preserve"> family income, participation in public benefits programs (e.g., SNAP, TANF, Medicaid), pregnancy</w:t>
      </w:r>
      <w:r w:rsidR="005C2253">
        <w:t>,</w:t>
      </w:r>
      <w:r w:rsidR="00B547E9">
        <w:t xml:space="preserve"> and breastfeeding</w:t>
      </w:r>
      <w:r w:rsidR="00B25B64" w:rsidRPr="00FA5581">
        <w:t>.</w:t>
      </w:r>
      <w:r w:rsidR="00537F18">
        <w:t xml:space="preserve"> </w:t>
      </w:r>
      <w:r w:rsidR="00B547E9">
        <w:t>Questions about household composition and income are needed to determine whether or not a WIC participant or WIC applicant met income eligibility criteria</w:t>
      </w:r>
      <w:r w:rsidR="007F1904">
        <w:t xml:space="preserve"> (a household with a certain income may or may not meet income eligibility criteria</w:t>
      </w:r>
      <w:r w:rsidR="005C2253">
        <w:t>,</w:t>
      </w:r>
      <w:r w:rsidR="007F1904">
        <w:t xml:space="preserve"> depending on the number of persons determined to be counted as part of the household). </w:t>
      </w:r>
      <w:r w:rsidR="00B547E9">
        <w:t>Questions about pregnancy are needed to determine the appropriate number of individuals in the household at the time an individual applied for (and in the case of WIC participants, was certified for) WIC</w:t>
      </w:r>
      <w:r w:rsidR="005C2253">
        <w:t>—</w:t>
      </w:r>
      <w:r w:rsidR="00B547E9">
        <w:t>the size of the household</w:t>
      </w:r>
      <w:r w:rsidR="005C2253">
        <w:t>,</w:t>
      </w:r>
      <w:r w:rsidR="00B547E9">
        <w:t xml:space="preserve"> along with the income </w:t>
      </w:r>
      <w:r w:rsidR="001E6DA0">
        <w:t>supporting members of that household</w:t>
      </w:r>
      <w:r w:rsidR="005C2253">
        <w:t>,</w:t>
      </w:r>
      <w:r w:rsidR="001E6DA0">
        <w:t xml:space="preserve"> </w:t>
      </w:r>
      <w:r w:rsidR="00622E91">
        <w:t xml:space="preserve">are two key components of </w:t>
      </w:r>
      <w:r>
        <w:t>determining income eligibility</w:t>
      </w:r>
      <w:r w:rsidR="007F1904">
        <w:t xml:space="preserve"> (WIC allows </w:t>
      </w:r>
      <w:r w:rsidR="005C2253">
        <w:t>LAs</w:t>
      </w:r>
      <w:r w:rsidR="007F1904">
        <w:t xml:space="preserve"> to include a pregnant woman’s embryo or fetus in the household enumeration).</w:t>
      </w:r>
      <w:r w:rsidR="00DE6B69" w:rsidRPr="00DB2564">
        <w:rPr>
          <w:szCs w:val="24"/>
          <w:vertAlign w:val="superscript"/>
        </w:rPr>
        <w:footnoteReference w:id="31"/>
      </w:r>
      <w:r w:rsidR="007F1904">
        <w:t xml:space="preserve"> </w:t>
      </w:r>
    </w:p>
    <w:p w14:paraId="344EDC9D" w14:textId="6540C8B8" w:rsidR="00622E91" w:rsidRDefault="00622E91" w:rsidP="00473754">
      <w:pPr>
        <w:ind w:right="-180" w:firstLine="720"/>
      </w:pPr>
      <w:r>
        <w:t xml:space="preserve">Finally, the Denied Applicant </w:t>
      </w:r>
      <w:r w:rsidR="005C2253">
        <w:t>S</w:t>
      </w:r>
      <w:r>
        <w:t>urvey includes questions about breastfeeding status for women who applied for WIC but were denied</w:t>
      </w:r>
      <w:r w:rsidR="005C2253">
        <w:t>. T</w:t>
      </w:r>
      <w:r>
        <w:t xml:space="preserve">hese questions are necessary to determine whether or not an applicant met the eligibility criteria for the “breastfeeding, up to </w:t>
      </w:r>
      <w:r w:rsidR="005C2253">
        <w:t>1</w:t>
      </w:r>
      <w:r>
        <w:t xml:space="preserve"> year after birth of infant” or “postpartum, not breastfeeding, up to </w:t>
      </w:r>
      <w:r w:rsidR="005C2253">
        <w:t>6</w:t>
      </w:r>
      <w:r>
        <w:t xml:space="preserve"> months after the end of a pregnancy” categories. </w:t>
      </w:r>
    </w:p>
    <w:p w14:paraId="6E1B4FB8" w14:textId="12748FBC" w:rsidR="006E2661" w:rsidRDefault="003D0627" w:rsidP="00662A0D">
      <w:pPr>
        <w:ind w:firstLine="720"/>
      </w:pPr>
      <w:r w:rsidRPr="00E3349A">
        <w:t xml:space="preserve">Respondents to the Certification Survey will </w:t>
      </w:r>
      <w:r w:rsidR="00097FA5" w:rsidRPr="00E3349A">
        <w:t>receive</w:t>
      </w:r>
      <w:r w:rsidRPr="00E3349A">
        <w:t xml:space="preserve"> </w:t>
      </w:r>
      <w:r w:rsidR="00F47CC2">
        <w:t xml:space="preserve">the Certification Survey Explanation Letter from the State Agencies </w:t>
      </w:r>
      <w:r w:rsidR="00F47CC2" w:rsidRPr="00430B3F">
        <w:t>(</w:t>
      </w:r>
      <w:r w:rsidR="00F47CC2" w:rsidRPr="00430B3F">
        <w:rPr>
          <w:rFonts w:eastAsiaTheme="minorEastAsia"/>
        </w:rPr>
        <w:t>Appendices D6.a</w:t>
      </w:r>
      <w:r w:rsidR="00F47CC2">
        <w:rPr>
          <w:rFonts w:eastAsiaTheme="minorEastAsia"/>
        </w:rPr>
        <w:t xml:space="preserve"> (English version) and</w:t>
      </w:r>
      <w:r w:rsidR="00F47CC2" w:rsidRPr="00430B3F">
        <w:rPr>
          <w:rFonts w:eastAsiaTheme="minorEastAsia"/>
        </w:rPr>
        <w:t xml:space="preserve"> D6.b</w:t>
      </w:r>
      <w:r w:rsidR="00F47CC2">
        <w:rPr>
          <w:rFonts w:eastAsiaTheme="minorEastAsia"/>
        </w:rPr>
        <w:t xml:space="preserve"> (Spanish version)</w:t>
      </w:r>
      <w:r w:rsidR="00F47CC2" w:rsidRPr="00430B3F">
        <w:rPr>
          <w:rFonts w:eastAsiaTheme="minorEastAsia"/>
        </w:rPr>
        <w:t>)</w:t>
      </w:r>
      <w:r w:rsidR="00F47CC2">
        <w:t xml:space="preserve"> that describes</w:t>
      </w:r>
      <w:r w:rsidR="00097FA5" w:rsidRPr="00E3349A">
        <w:t xml:space="preserve"> the purposes of the </w:t>
      </w:r>
      <w:r w:rsidR="00097FA5" w:rsidRPr="00430B3F">
        <w:t>information. Interviewers will not conduct the Certification Survey unless the respondent provides signed informed</w:t>
      </w:r>
      <w:r w:rsidR="0033300D" w:rsidRPr="00430B3F">
        <w:t xml:space="preserve"> </w:t>
      </w:r>
      <w:r w:rsidRPr="00430B3F">
        <w:t>consent (</w:t>
      </w:r>
      <w:r w:rsidRPr="00430B3F">
        <w:rPr>
          <w:rFonts w:eastAsiaTheme="minorEastAsia"/>
        </w:rPr>
        <w:t xml:space="preserve">Appendices </w:t>
      </w:r>
      <w:r w:rsidR="005A5A00" w:rsidRPr="00430B3F">
        <w:rPr>
          <w:rFonts w:eastAsiaTheme="minorEastAsia"/>
        </w:rPr>
        <w:t>D</w:t>
      </w:r>
      <w:r w:rsidR="003F3787" w:rsidRPr="00430B3F">
        <w:rPr>
          <w:rFonts w:eastAsiaTheme="minorEastAsia"/>
        </w:rPr>
        <w:t>7.</w:t>
      </w:r>
      <w:r w:rsidR="005A5A00" w:rsidRPr="00430B3F">
        <w:rPr>
          <w:rFonts w:eastAsiaTheme="minorEastAsia"/>
        </w:rPr>
        <w:t>a or D</w:t>
      </w:r>
      <w:r w:rsidR="003F3787" w:rsidRPr="00430B3F">
        <w:rPr>
          <w:rFonts w:eastAsiaTheme="minorEastAsia"/>
        </w:rPr>
        <w:t>7.</w:t>
      </w:r>
      <w:r w:rsidR="005A5A00" w:rsidRPr="00430B3F">
        <w:rPr>
          <w:rFonts w:eastAsiaTheme="minorEastAsia"/>
        </w:rPr>
        <w:t>b)</w:t>
      </w:r>
      <w:r w:rsidR="00CC3E5B" w:rsidRPr="00430B3F">
        <w:rPr>
          <w:rFonts w:eastAsiaTheme="minorEastAsia"/>
        </w:rPr>
        <w:t>.</w:t>
      </w:r>
      <w:r w:rsidRPr="00430B3F">
        <w:t xml:space="preserve"> </w:t>
      </w:r>
      <w:r w:rsidR="00097FA5" w:rsidRPr="00430B3F">
        <w:t xml:space="preserve">Respondents to the Denied Applicant Survey will receive an explanation </w:t>
      </w:r>
      <w:r w:rsidR="00DC0F20" w:rsidRPr="00430B3F">
        <w:t>of the purpose for collecting their information</w:t>
      </w:r>
      <w:r w:rsidR="00097FA5" w:rsidRPr="00430B3F">
        <w:t xml:space="preserve"> (</w:t>
      </w:r>
      <w:r w:rsidR="00097FA5" w:rsidRPr="00430B3F">
        <w:rPr>
          <w:rFonts w:eastAsiaTheme="minorEastAsia"/>
        </w:rPr>
        <w:t xml:space="preserve">Appendices </w:t>
      </w:r>
      <w:r w:rsidR="00BC1D18" w:rsidRPr="00430B3F">
        <w:rPr>
          <w:rFonts w:eastAsiaTheme="minorEastAsia"/>
        </w:rPr>
        <w:t>D</w:t>
      </w:r>
      <w:r w:rsidR="003F3787" w:rsidRPr="00430B3F">
        <w:rPr>
          <w:rFonts w:eastAsiaTheme="minorEastAsia"/>
        </w:rPr>
        <w:t>8.</w:t>
      </w:r>
      <w:r w:rsidR="00BC1D18" w:rsidRPr="00430B3F">
        <w:rPr>
          <w:rFonts w:eastAsiaTheme="minorEastAsia"/>
        </w:rPr>
        <w:t>a</w:t>
      </w:r>
      <w:r w:rsidR="00097FA5" w:rsidRPr="00430B3F">
        <w:rPr>
          <w:rFonts w:eastAsiaTheme="minorEastAsia"/>
        </w:rPr>
        <w:t xml:space="preserve"> </w:t>
      </w:r>
      <w:r w:rsidR="00BC1D18" w:rsidRPr="00430B3F">
        <w:rPr>
          <w:rFonts w:eastAsiaTheme="minorEastAsia"/>
        </w:rPr>
        <w:t>or</w:t>
      </w:r>
      <w:r w:rsidR="00097FA5" w:rsidRPr="00430B3F">
        <w:rPr>
          <w:rFonts w:eastAsiaTheme="minorEastAsia"/>
        </w:rPr>
        <w:t xml:space="preserve"> </w:t>
      </w:r>
      <w:r w:rsidR="00BC1D18" w:rsidRPr="00430B3F">
        <w:rPr>
          <w:rFonts w:eastAsiaTheme="minorEastAsia"/>
        </w:rPr>
        <w:t>D</w:t>
      </w:r>
      <w:r w:rsidR="003F3787" w:rsidRPr="00430B3F">
        <w:rPr>
          <w:rFonts w:eastAsiaTheme="minorEastAsia"/>
        </w:rPr>
        <w:t>8.</w:t>
      </w:r>
      <w:r w:rsidR="00097FA5" w:rsidRPr="00430B3F">
        <w:rPr>
          <w:rFonts w:eastAsiaTheme="minorEastAsia"/>
        </w:rPr>
        <w:t>b)</w:t>
      </w:r>
      <w:r w:rsidR="00097FA5" w:rsidRPr="00430B3F">
        <w:t>. Interviewers will not conduct the</w:t>
      </w:r>
      <w:r w:rsidR="006C5542" w:rsidRPr="00430B3F">
        <w:t xml:space="preserve"> Denied Applicant </w:t>
      </w:r>
      <w:r w:rsidR="00097FA5" w:rsidRPr="00430B3F">
        <w:t xml:space="preserve">Survey unless the respondent </w:t>
      </w:r>
      <w:r w:rsidR="00DC0F20" w:rsidRPr="00430B3F">
        <w:t>indicates their</w:t>
      </w:r>
      <w:r w:rsidR="00097FA5" w:rsidRPr="00430B3F">
        <w:t xml:space="preserve"> informed consent</w:t>
      </w:r>
      <w:r w:rsidR="00DC0F20" w:rsidRPr="00430B3F">
        <w:t xml:space="preserve"> by signature</w:t>
      </w:r>
      <w:r w:rsidR="00097FA5" w:rsidRPr="00430B3F">
        <w:t xml:space="preserve"> (</w:t>
      </w:r>
      <w:r w:rsidR="00097FA5" w:rsidRPr="00430B3F">
        <w:rPr>
          <w:rFonts w:eastAsiaTheme="minorEastAsia"/>
        </w:rPr>
        <w:t xml:space="preserve">Appendices </w:t>
      </w:r>
      <w:r w:rsidR="00BC1D18" w:rsidRPr="00430B3F">
        <w:rPr>
          <w:rFonts w:eastAsiaTheme="minorEastAsia"/>
        </w:rPr>
        <w:t>D</w:t>
      </w:r>
      <w:r w:rsidR="003F3787" w:rsidRPr="00430B3F">
        <w:rPr>
          <w:rFonts w:eastAsiaTheme="minorEastAsia"/>
        </w:rPr>
        <w:t>9.</w:t>
      </w:r>
      <w:r w:rsidR="00097FA5" w:rsidRPr="00430B3F">
        <w:rPr>
          <w:rFonts w:eastAsiaTheme="minorEastAsia"/>
        </w:rPr>
        <w:t xml:space="preserve">a </w:t>
      </w:r>
      <w:r w:rsidR="00BC1D18" w:rsidRPr="00430B3F">
        <w:rPr>
          <w:rFonts w:eastAsiaTheme="minorEastAsia"/>
        </w:rPr>
        <w:t>or</w:t>
      </w:r>
      <w:r w:rsidR="00097FA5" w:rsidRPr="00430B3F">
        <w:rPr>
          <w:rFonts w:eastAsiaTheme="minorEastAsia"/>
        </w:rPr>
        <w:t xml:space="preserve"> </w:t>
      </w:r>
      <w:r w:rsidR="00BC1D18" w:rsidRPr="00430B3F">
        <w:rPr>
          <w:rFonts w:eastAsiaTheme="minorEastAsia"/>
        </w:rPr>
        <w:t>D</w:t>
      </w:r>
      <w:r w:rsidR="003F3787" w:rsidRPr="00430B3F">
        <w:rPr>
          <w:rFonts w:eastAsiaTheme="minorEastAsia"/>
        </w:rPr>
        <w:t>9.</w:t>
      </w:r>
      <w:r w:rsidR="00097FA5" w:rsidRPr="00430B3F">
        <w:rPr>
          <w:rFonts w:eastAsiaTheme="minorEastAsia"/>
        </w:rPr>
        <w:t>b)</w:t>
      </w:r>
      <w:r w:rsidR="00097FA5" w:rsidRPr="00430B3F">
        <w:t>.</w:t>
      </w:r>
    </w:p>
    <w:p w14:paraId="6D5801A2" w14:textId="35AEC1E9" w:rsidR="00E57D17" w:rsidRDefault="00E57D17" w:rsidP="00E57D17">
      <w:pPr>
        <w:ind w:firstLine="720"/>
      </w:pPr>
      <w:r w:rsidRPr="00E57D17">
        <w:t>The research team will safeguard privacy</w:t>
      </w:r>
      <w:r w:rsidR="00F47CC2">
        <w:t xml:space="preserve"> </w:t>
      </w:r>
      <w:r>
        <w:t>of the information collected</w:t>
      </w:r>
      <w:r w:rsidRPr="00E57D17">
        <w:t xml:space="preserve"> as follows</w:t>
      </w:r>
      <w:r w:rsidR="00F47CC2">
        <w:rPr>
          <w:rStyle w:val="FootnoteReference"/>
        </w:rPr>
        <w:footnoteReference w:id="32"/>
      </w:r>
      <w:r w:rsidRPr="00E57D17">
        <w:t xml:space="preserve">: </w:t>
      </w:r>
    </w:p>
    <w:p w14:paraId="2C554CCF" w14:textId="77777777" w:rsidR="00E57D17" w:rsidRPr="00E57D17" w:rsidRDefault="00E57D17" w:rsidP="00E57D17">
      <w:pPr>
        <w:pStyle w:val="ListParagraph"/>
        <w:numPr>
          <w:ilvl w:val="0"/>
          <w:numId w:val="14"/>
        </w:numPr>
        <w:spacing w:after="120"/>
        <w:contextualSpacing w:val="0"/>
        <w:rPr>
          <w:rFonts w:ascii="Times New Roman" w:hAnsi="Times New Roman" w:cs="Times New Roman"/>
          <w:sz w:val="24"/>
          <w:szCs w:val="24"/>
        </w:rPr>
      </w:pPr>
      <w:r w:rsidRPr="00E57D17">
        <w:rPr>
          <w:rFonts w:ascii="Times New Roman" w:hAnsi="Times New Roman" w:cs="Times New Roman"/>
          <w:sz w:val="24"/>
          <w:szCs w:val="24"/>
        </w:rPr>
        <w:t xml:space="preserve">Only the interviewer and members of the research team will see the responses. </w:t>
      </w:r>
    </w:p>
    <w:p w14:paraId="0E8E23CC" w14:textId="72FF9ACD" w:rsidR="00E57D17" w:rsidRPr="00E57D17" w:rsidRDefault="00E57D17" w:rsidP="00E57D17">
      <w:pPr>
        <w:pStyle w:val="ListParagraph"/>
        <w:numPr>
          <w:ilvl w:val="0"/>
          <w:numId w:val="14"/>
        </w:numPr>
        <w:spacing w:after="120"/>
        <w:contextualSpacing w:val="0"/>
        <w:rPr>
          <w:rFonts w:ascii="Times New Roman" w:hAnsi="Times New Roman" w:cs="Times New Roman"/>
          <w:sz w:val="24"/>
          <w:szCs w:val="24"/>
        </w:rPr>
      </w:pPr>
      <w:r w:rsidRPr="00E57D17">
        <w:rPr>
          <w:rFonts w:ascii="Times New Roman" w:hAnsi="Times New Roman" w:cs="Times New Roman"/>
          <w:sz w:val="24"/>
          <w:szCs w:val="24"/>
        </w:rPr>
        <w:t>Any papers that include personal information that identifies a respondent will be kept in a locked storage area and de</w:t>
      </w:r>
      <w:r w:rsidR="00F47CC2">
        <w:rPr>
          <w:rFonts w:ascii="Times New Roman" w:hAnsi="Times New Roman" w:cs="Times New Roman"/>
          <w:sz w:val="24"/>
          <w:szCs w:val="24"/>
        </w:rPr>
        <w:t>stroyed after the study ends.</w:t>
      </w:r>
    </w:p>
    <w:p w14:paraId="740002C8" w14:textId="77777777" w:rsidR="00E57D17" w:rsidRPr="00E57D17" w:rsidRDefault="00E57D17" w:rsidP="00E57D17">
      <w:pPr>
        <w:pStyle w:val="ListParagraph"/>
        <w:numPr>
          <w:ilvl w:val="0"/>
          <w:numId w:val="14"/>
        </w:numPr>
        <w:spacing w:after="120"/>
        <w:contextualSpacing w:val="0"/>
        <w:rPr>
          <w:rFonts w:ascii="Times New Roman" w:hAnsi="Times New Roman" w:cs="Times New Roman"/>
          <w:sz w:val="24"/>
          <w:szCs w:val="24"/>
        </w:rPr>
      </w:pPr>
      <w:r w:rsidRPr="00E57D17">
        <w:rPr>
          <w:rFonts w:ascii="Times New Roman" w:hAnsi="Times New Roman" w:cs="Times New Roman"/>
          <w:sz w:val="24"/>
          <w:szCs w:val="24"/>
        </w:rPr>
        <w:t>Any computer files with personal information that identifies a respondent will be protected by a password and stored on a secure network.</w:t>
      </w:r>
    </w:p>
    <w:p w14:paraId="54621B30" w14:textId="77777777" w:rsidR="00E57D17" w:rsidRPr="00E57D17" w:rsidRDefault="00E57D17" w:rsidP="00E57D17">
      <w:pPr>
        <w:pStyle w:val="ListParagraph"/>
        <w:numPr>
          <w:ilvl w:val="0"/>
          <w:numId w:val="14"/>
        </w:numPr>
        <w:spacing w:after="120"/>
        <w:contextualSpacing w:val="0"/>
        <w:rPr>
          <w:rFonts w:ascii="Times New Roman" w:hAnsi="Times New Roman" w:cs="Times New Roman"/>
          <w:sz w:val="24"/>
          <w:szCs w:val="24"/>
        </w:rPr>
      </w:pPr>
      <w:r w:rsidRPr="00E57D17">
        <w:rPr>
          <w:rFonts w:ascii="Times New Roman" w:hAnsi="Times New Roman" w:cs="Times New Roman"/>
          <w:sz w:val="24"/>
          <w:szCs w:val="24"/>
        </w:rPr>
        <w:t xml:space="preserve">In computer files used to analyze data and prepare study reports, names and other identifying information will be replaced with a code number. </w:t>
      </w:r>
    </w:p>
    <w:p w14:paraId="0FB708E2" w14:textId="0D761AF2" w:rsidR="00E57D17" w:rsidRPr="00E57D17" w:rsidRDefault="00E57D17" w:rsidP="00E57D17">
      <w:pPr>
        <w:pStyle w:val="ListParagraph"/>
        <w:numPr>
          <w:ilvl w:val="0"/>
          <w:numId w:val="14"/>
        </w:numPr>
        <w:spacing w:after="120"/>
        <w:contextualSpacing w:val="0"/>
        <w:rPr>
          <w:rFonts w:ascii="Times New Roman" w:hAnsi="Times New Roman" w:cs="Times New Roman"/>
          <w:sz w:val="24"/>
          <w:szCs w:val="24"/>
        </w:rPr>
      </w:pPr>
      <w:r w:rsidRPr="00E57D17">
        <w:rPr>
          <w:rFonts w:ascii="Times New Roman" w:hAnsi="Times New Roman" w:cs="Times New Roman"/>
          <w:sz w:val="24"/>
          <w:szCs w:val="24"/>
        </w:rPr>
        <w:t>Computer files that contain names or other identifying information about a respondent will be destroyed after the study ends.</w:t>
      </w:r>
    </w:p>
    <w:p w14:paraId="46FCFEB3" w14:textId="77777777" w:rsidR="008A108C" w:rsidRPr="009701BA" w:rsidRDefault="008A108C" w:rsidP="009701BA">
      <w:pPr>
        <w:pStyle w:val="Heading2"/>
        <w:tabs>
          <w:tab w:val="clear" w:pos="1152"/>
          <w:tab w:val="left" w:pos="720"/>
        </w:tabs>
        <w:spacing w:after="0" w:line="240" w:lineRule="auto"/>
        <w:ind w:left="720" w:hanging="720"/>
        <w:rPr>
          <w:rFonts w:ascii="Times New Roman" w:hAnsi="Times New Roman"/>
          <w:color w:val="auto"/>
          <w:sz w:val="24"/>
        </w:rPr>
      </w:pPr>
      <w:bookmarkStart w:id="132" w:name="_Toc282506034"/>
      <w:bookmarkStart w:id="133" w:name="_Toc339621292"/>
      <w:bookmarkStart w:id="134" w:name="_Toc454265312"/>
      <w:bookmarkStart w:id="135" w:name="_Toc454265611"/>
      <w:bookmarkStart w:id="136" w:name="_Toc454265688"/>
      <w:bookmarkStart w:id="137" w:name="_Toc454266185"/>
      <w:bookmarkStart w:id="138" w:name="_Toc454266213"/>
      <w:bookmarkStart w:id="139" w:name="_Toc454266640"/>
    </w:p>
    <w:p w14:paraId="28CE254E" w14:textId="2C213CFB" w:rsidR="0015674E" w:rsidRPr="00430B3F"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r w:rsidRPr="00430B3F">
        <w:rPr>
          <w:rFonts w:ascii="Times New Roman" w:hAnsi="Times New Roman"/>
          <w:color w:val="auto"/>
          <w:sz w:val="24"/>
          <w:szCs w:val="24"/>
        </w:rPr>
        <w:t>A.12</w:t>
      </w:r>
      <w:r w:rsidRPr="00430B3F">
        <w:rPr>
          <w:rFonts w:ascii="Times New Roman" w:hAnsi="Times New Roman"/>
          <w:color w:val="auto"/>
          <w:sz w:val="24"/>
          <w:szCs w:val="24"/>
        </w:rPr>
        <w:tab/>
      </w:r>
      <w:bookmarkEnd w:id="132"/>
      <w:r w:rsidRPr="00430B3F">
        <w:rPr>
          <w:rFonts w:ascii="Times New Roman" w:hAnsi="Times New Roman"/>
          <w:color w:val="auto"/>
          <w:sz w:val="24"/>
          <w:szCs w:val="24"/>
        </w:rPr>
        <w:t xml:space="preserve">Provide estimates of the hour burden of the collection of information. </w:t>
      </w:r>
      <w:r w:rsidR="00115277">
        <w:rPr>
          <w:rFonts w:ascii="Times New Roman" w:hAnsi="Times New Roman"/>
          <w:color w:val="auto"/>
          <w:sz w:val="24"/>
          <w:szCs w:val="24"/>
        </w:rPr>
        <w:t>Indicate the number of res</w:t>
      </w:r>
      <w:r w:rsidR="0001024C">
        <w:rPr>
          <w:rFonts w:ascii="Times New Roman" w:hAnsi="Times New Roman"/>
          <w:color w:val="auto"/>
          <w:sz w:val="24"/>
          <w:szCs w:val="24"/>
        </w:rPr>
        <w:t>p</w:t>
      </w:r>
      <w:r w:rsidR="00115277">
        <w:rPr>
          <w:rFonts w:ascii="Times New Roman" w:hAnsi="Times New Roman"/>
          <w:color w:val="auto"/>
          <w:sz w:val="24"/>
          <w:szCs w:val="24"/>
        </w:rPr>
        <w:t>ondents, frequency of response, annual hour burden, and an explanation of how the burden was estimated</w:t>
      </w:r>
      <w:r w:rsidR="004F1DE9">
        <w:rPr>
          <w:rFonts w:ascii="Times New Roman" w:hAnsi="Times New Roman"/>
          <w:color w:val="auto"/>
          <w:sz w:val="24"/>
          <w:szCs w:val="24"/>
        </w:rPr>
        <w:t xml:space="preserve">. </w:t>
      </w:r>
      <w:bookmarkEnd w:id="133"/>
      <w:bookmarkEnd w:id="134"/>
      <w:bookmarkEnd w:id="135"/>
      <w:bookmarkEnd w:id="136"/>
      <w:bookmarkEnd w:id="137"/>
      <w:bookmarkEnd w:id="138"/>
      <w:bookmarkEnd w:id="139"/>
    </w:p>
    <w:p w14:paraId="55EF7E6F" w14:textId="77777777" w:rsidR="004C01C6" w:rsidRPr="00430B3F" w:rsidRDefault="004C01C6" w:rsidP="004C01C6">
      <w:pPr>
        <w:pStyle w:val="L1-FlLSp12"/>
      </w:pPr>
    </w:p>
    <w:p w14:paraId="45E6F3BE" w14:textId="0ECECF3B" w:rsidR="00473754" w:rsidRPr="00430B3F" w:rsidRDefault="0015674E" w:rsidP="00811F5C">
      <w:pPr>
        <w:pStyle w:val="P1-StandPara"/>
        <w:numPr>
          <w:ilvl w:val="0"/>
          <w:numId w:val="9"/>
        </w:numPr>
        <w:spacing w:line="240" w:lineRule="auto"/>
        <w:ind w:left="720"/>
        <w:rPr>
          <w:b/>
          <w:szCs w:val="24"/>
        </w:rPr>
      </w:pPr>
      <w:r w:rsidRPr="00430B3F">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EF0C3C1" w14:textId="77777777" w:rsidR="00473754" w:rsidRPr="00430B3F" w:rsidRDefault="00473754" w:rsidP="00473754">
      <w:pPr>
        <w:pStyle w:val="P1-StandPara"/>
        <w:spacing w:line="240" w:lineRule="auto"/>
        <w:ind w:left="720" w:firstLine="0"/>
        <w:rPr>
          <w:b/>
          <w:szCs w:val="24"/>
        </w:rPr>
      </w:pPr>
    </w:p>
    <w:p w14:paraId="37C20483" w14:textId="5BAA7700" w:rsidR="00A02696" w:rsidRDefault="00115277" w:rsidP="00473754">
      <w:pPr>
        <w:widowControl w:val="0"/>
        <w:autoSpaceDE w:val="0"/>
        <w:autoSpaceDN w:val="0"/>
        <w:adjustRightInd w:val="0"/>
        <w:ind w:firstLine="720"/>
      </w:pPr>
      <w:r>
        <w:rPr>
          <w:szCs w:val="24"/>
        </w:rPr>
        <w:t xml:space="preserve">This is a new information collection that has a total of </w:t>
      </w:r>
      <w:r w:rsidR="00A02696">
        <w:rPr>
          <w:szCs w:val="24"/>
        </w:rPr>
        <w:t>6,</w:t>
      </w:r>
      <w:r w:rsidR="00813313">
        <w:rPr>
          <w:szCs w:val="24"/>
        </w:rPr>
        <w:t xml:space="preserve">628 </w:t>
      </w:r>
      <w:r>
        <w:rPr>
          <w:szCs w:val="24"/>
        </w:rPr>
        <w:t xml:space="preserve">respondents, </w:t>
      </w:r>
      <w:r w:rsidR="00661BFD">
        <w:rPr>
          <w:szCs w:val="24"/>
        </w:rPr>
        <w:t>47,</w:t>
      </w:r>
      <w:r w:rsidR="00813313">
        <w:rPr>
          <w:szCs w:val="24"/>
        </w:rPr>
        <w:t xml:space="preserve">779 </w:t>
      </w:r>
      <w:r>
        <w:rPr>
          <w:szCs w:val="24"/>
        </w:rPr>
        <w:t>responses, and</w:t>
      </w:r>
      <w:r w:rsidR="00A02696">
        <w:rPr>
          <w:szCs w:val="24"/>
        </w:rPr>
        <w:t xml:space="preserve"> </w:t>
      </w:r>
      <w:r w:rsidR="00661BFD">
        <w:rPr>
          <w:szCs w:val="24"/>
        </w:rPr>
        <w:t>5,</w:t>
      </w:r>
      <w:r w:rsidR="00813313">
        <w:rPr>
          <w:szCs w:val="24"/>
        </w:rPr>
        <w:t xml:space="preserve">132 </w:t>
      </w:r>
      <w:r>
        <w:rPr>
          <w:szCs w:val="24"/>
        </w:rPr>
        <w:t>burden hours</w:t>
      </w:r>
      <w:r w:rsidR="004F1DE9">
        <w:rPr>
          <w:szCs w:val="24"/>
        </w:rPr>
        <w:t xml:space="preserve">. </w:t>
      </w:r>
      <w:r w:rsidR="008E5FBD" w:rsidRPr="00430B3F">
        <w:rPr>
          <w:szCs w:val="24"/>
        </w:rPr>
        <w:t xml:space="preserve">Appendix </w:t>
      </w:r>
      <w:r w:rsidR="00BF6036" w:rsidRPr="00430B3F">
        <w:rPr>
          <w:szCs w:val="24"/>
        </w:rPr>
        <w:t>E</w:t>
      </w:r>
      <w:r w:rsidR="00964FFF" w:rsidRPr="00430B3F">
        <w:rPr>
          <w:szCs w:val="24"/>
        </w:rPr>
        <w:t>4</w:t>
      </w:r>
      <w:r w:rsidR="008E5FBD" w:rsidRPr="00430B3F">
        <w:rPr>
          <w:szCs w:val="24"/>
        </w:rPr>
        <w:t xml:space="preserve"> shows</w:t>
      </w:r>
      <w:r w:rsidR="008E5FBD" w:rsidRPr="00145CD3">
        <w:rPr>
          <w:szCs w:val="24"/>
        </w:rPr>
        <w:t xml:space="preserve"> the estimates of the respondent burden for the proposed data collection</w:t>
      </w:r>
      <w:r w:rsidR="008E5FBD">
        <w:rPr>
          <w:szCs w:val="24"/>
        </w:rPr>
        <w:t xml:space="preserve"> across all 3 years of data collection</w:t>
      </w:r>
      <w:r w:rsidR="008E5FBD" w:rsidRPr="00145CD3">
        <w:rPr>
          <w:szCs w:val="24"/>
        </w:rPr>
        <w:t xml:space="preserve">. </w:t>
      </w:r>
      <w:r w:rsidR="007F668E">
        <w:t>The pre-testing burden associated with this study was approved under OMB #0584-0606</w:t>
      </w:r>
      <w:r w:rsidR="00EF5976">
        <w:t xml:space="preserve"> FNS Generic Clearance for Pre-Testing, Pilot, and Field Test Studies</w:t>
      </w:r>
      <w:r w:rsidR="00E304A6">
        <w:t xml:space="preserve"> (approved 9/22/16)</w:t>
      </w:r>
      <w:r w:rsidR="007F668E">
        <w:t>, which approved</w:t>
      </w:r>
      <w:r w:rsidR="00136DF8">
        <w:t xml:space="preserve"> </w:t>
      </w:r>
      <w:r w:rsidR="004C74B9">
        <w:t>102</w:t>
      </w:r>
      <w:r w:rsidR="007F668E">
        <w:t xml:space="preserve"> burden hours and </w:t>
      </w:r>
      <w:r w:rsidR="004C74B9">
        <w:t>2,213</w:t>
      </w:r>
      <w:r w:rsidR="007F668E">
        <w:t xml:space="preserve"> responses; therefore, the pre-testing burden is not included in this information collection request. </w:t>
      </w:r>
    </w:p>
    <w:p w14:paraId="55A2657A" w14:textId="49C0F7B0" w:rsidR="008E5FBD" w:rsidRPr="00145CD3" w:rsidRDefault="008E5FBD" w:rsidP="00473754">
      <w:pPr>
        <w:widowControl w:val="0"/>
        <w:autoSpaceDE w:val="0"/>
        <w:autoSpaceDN w:val="0"/>
        <w:adjustRightInd w:val="0"/>
        <w:ind w:firstLine="720"/>
        <w:rPr>
          <w:szCs w:val="24"/>
        </w:rPr>
      </w:pPr>
      <w:r w:rsidRPr="00145CD3">
        <w:rPr>
          <w:szCs w:val="24"/>
        </w:rPr>
        <w:t>A summary</w:t>
      </w:r>
      <w:r w:rsidR="00A02696">
        <w:rPr>
          <w:szCs w:val="24"/>
        </w:rPr>
        <w:t xml:space="preserve"> of the burden for this study</w:t>
      </w:r>
      <w:r w:rsidRPr="00145CD3">
        <w:rPr>
          <w:szCs w:val="24"/>
        </w:rPr>
        <w:t xml:space="preserve"> appears below.</w:t>
      </w:r>
      <w:r w:rsidR="003A5D4D">
        <w:rPr>
          <w:rStyle w:val="FootnoteReference"/>
          <w:szCs w:val="24"/>
        </w:rPr>
        <w:footnoteReference w:id="33"/>
      </w:r>
      <w:r w:rsidRPr="00145CD3">
        <w:rPr>
          <w:szCs w:val="24"/>
        </w:rPr>
        <w:t xml:space="preserve"> </w:t>
      </w:r>
    </w:p>
    <w:p w14:paraId="7731A709" w14:textId="77777777" w:rsidR="00851391" w:rsidRDefault="00851391" w:rsidP="00851391">
      <w:pPr>
        <w:spacing w:line="240" w:lineRule="auto"/>
        <w:ind w:firstLine="720"/>
        <w:rPr>
          <w:szCs w:val="24"/>
        </w:rPr>
      </w:pPr>
      <w:r>
        <w:rPr>
          <w:szCs w:val="24"/>
          <w:u w:val="single"/>
        </w:rPr>
        <w:t>Estimated Number of Unique Respondents and Non-Respondents:</w:t>
      </w:r>
      <w:r>
        <w:rPr>
          <w:szCs w:val="24"/>
        </w:rPr>
        <w:t xml:space="preserve"> </w:t>
      </w:r>
    </w:p>
    <w:p w14:paraId="0D40B1CD" w14:textId="7D122D92" w:rsidR="00451CC6" w:rsidRDefault="00851391" w:rsidP="00851391">
      <w:pPr>
        <w:ind w:left="720"/>
        <w:rPr>
          <w:rFonts w:eastAsiaTheme="minorHAnsi"/>
          <w:szCs w:val="24"/>
        </w:rPr>
      </w:pPr>
      <w:r w:rsidDel="00851391">
        <w:t xml:space="preserve"> </w:t>
      </w:r>
      <w:r w:rsidR="00451CC6">
        <w:rPr>
          <w:szCs w:val="24"/>
        </w:rPr>
        <w:t>4,3</w:t>
      </w:r>
      <w:r w:rsidR="00813313">
        <w:rPr>
          <w:szCs w:val="24"/>
        </w:rPr>
        <w:t>7</w:t>
      </w:r>
      <w:r w:rsidR="00451CC6">
        <w:rPr>
          <w:szCs w:val="24"/>
        </w:rPr>
        <w:t xml:space="preserve">5 respondents (including 882 state, local and tribal government representatives and 3117 individuals in </w:t>
      </w:r>
      <w:r w:rsidR="002254CE">
        <w:rPr>
          <w:szCs w:val="24"/>
        </w:rPr>
        <w:t>Year 1</w:t>
      </w:r>
      <w:r w:rsidR="00451CC6">
        <w:rPr>
          <w:szCs w:val="24"/>
        </w:rPr>
        <w:t>; and 9 state, local and tribal government representatives and 1</w:t>
      </w:r>
      <w:r w:rsidR="00813313">
        <w:rPr>
          <w:szCs w:val="24"/>
        </w:rPr>
        <w:t>7</w:t>
      </w:r>
      <w:r w:rsidR="00451CC6">
        <w:rPr>
          <w:szCs w:val="24"/>
        </w:rPr>
        <w:t xml:space="preserve">9 individuals in both </w:t>
      </w:r>
      <w:r w:rsidR="002254CE">
        <w:rPr>
          <w:szCs w:val="24"/>
        </w:rPr>
        <w:t>Years 2 and 3</w:t>
      </w:r>
      <w:r w:rsidR="00451CC6">
        <w:rPr>
          <w:szCs w:val="24"/>
        </w:rPr>
        <w:t>) and 2,2</w:t>
      </w:r>
      <w:r w:rsidR="005124B9">
        <w:rPr>
          <w:szCs w:val="24"/>
        </w:rPr>
        <w:t>5</w:t>
      </w:r>
      <w:r w:rsidR="00451CC6">
        <w:rPr>
          <w:szCs w:val="24"/>
        </w:rPr>
        <w:t xml:space="preserve">3 non-respondents (including 264 state, local and tribal government representatives and 1893 individuals in </w:t>
      </w:r>
      <w:r w:rsidR="002254CE">
        <w:rPr>
          <w:szCs w:val="24"/>
        </w:rPr>
        <w:t>Year 1</w:t>
      </w:r>
      <w:r w:rsidR="00451CC6">
        <w:rPr>
          <w:szCs w:val="24"/>
        </w:rPr>
        <w:t xml:space="preserve">; and 3 state, local and tribal government representatives and </w:t>
      </w:r>
      <w:r w:rsidR="005124B9">
        <w:rPr>
          <w:szCs w:val="24"/>
        </w:rPr>
        <w:t>4</w:t>
      </w:r>
      <w:r w:rsidR="00451CC6">
        <w:rPr>
          <w:szCs w:val="24"/>
        </w:rPr>
        <w:t xml:space="preserve">5 individuals in both </w:t>
      </w:r>
      <w:r w:rsidR="002254CE">
        <w:rPr>
          <w:szCs w:val="24"/>
        </w:rPr>
        <w:t>Years 2 and 3)</w:t>
      </w:r>
      <w:r w:rsidR="00451CC6">
        <w:rPr>
          <w:rFonts w:eastAsiaTheme="minorHAnsi"/>
          <w:szCs w:val="24"/>
        </w:rPr>
        <w:t xml:space="preserve"> </w:t>
      </w:r>
    </w:p>
    <w:p w14:paraId="1035E0EF" w14:textId="0EE0F564" w:rsidR="008E5FBD" w:rsidRPr="00446710" w:rsidRDefault="008E5FBD" w:rsidP="008E5FBD">
      <w:pPr>
        <w:autoSpaceDE w:val="0"/>
        <w:autoSpaceDN w:val="0"/>
        <w:adjustRightInd w:val="0"/>
        <w:spacing w:line="240" w:lineRule="auto"/>
        <w:ind w:left="720"/>
        <w:rPr>
          <w:szCs w:val="24"/>
        </w:rPr>
      </w:pPr>
      <w:r w:rsidRPr="00446710">
        <w:rPr>
          <w:szCs w:val="24"/>
          <w:u w:val="single"/>
        </w:rPr>
        <w:t>Estimated Frequency of Responses per Respondent and Non-Responses per Non-Respondent:</w:t>
      </w:r>
      <w:r w:rsidRPr="00446710">
        <w:rPr>
          <w:szCs w:val="24"/>
        </w:rPr>
        <w:t xml:space="preserve"> </w:t>
      </w:r>
      <w:r w:rsidR="00661BFD">
        <w:rPr>
          <w:szCs w:val="24"/>
        </w:rPr>
        <w:t>4.9</w:t>
      </w:r>
      <w:r w:rsidRPr="00446710">
        <w:rPr>
          <w:szCs w:val="24"/>
        </w:rPr>
        <w:t xml:space="preserve"> responses per respondent and </w:t>
      </w:r>
      <w:r w:rsidR="003950F8">
        <w:rPr>
          <w:szCs w:val="24"/>
        </w:rPr>
        <w:t>11.</w:t>
      </w:r>
      <w:r w:rsidR="005124B9">
        <w:rPr>
          <w:szCs w:val="24"/>
        </w:rPr>
        <w:t>6</w:t>
      </w:r>
      <w:r w:rsidR="003950F8">
        <w:rPr>
          <w:szCs w:val="24"/>
        </w:rPr>
        <w:t xml:space="preserve"> </w:t>
      </w:r>
      <w:r w:rsidRPr="00446710">
        <w:rPr>
          <w:szCs w:val="24"/>
        </w:rPr>
        <w:t>non-responses per non-respondent</w:t>
      </w:r>
    </w:p>
    <w:p w14:paraId="7E02DBE8" w14:textId="77777777" w:rsidR="008E5FBD" w:rsidRPr="000C638E" w:rsidRDefault="008E5FBD" w:rsidP="008E5FBD">
      <w:pPr>
        <w:autoSpaceDE w:val="0"/>
        <w:autoSpaceDN w:val="0"/>
        <w:adjustRightInd w:val="0"/>
        <w:spacing w:line="240" w:lineRule="auto"/>
        <w:ind w:left="720"/>
        <w:rPr>
          <w:szCs w:val="24"/>
          <w:highlight w:val="yellow"/>
        </w:rPr>
      </w:pPr>
    </w:p>
    <w:p w14:paraId="4EBB3E21" w14:textId="7240353B" w:rsidR="008E5FBD" w:rsidRPr="000C638E" w:rsidRDefault="008E5FBD" w:rsidP="008E5FBD">
      <w:pPr>
        <w:pStyle w:val="P1-StandPara"/>
        <w:spacing w:line="240" w:lineRule="auto"/>
        <w:ind w:left="720" w:right="-86" w:firstLine="0"/>
        <w:rPr>
          <w:highlight w:val="yellow"/>
        </w:rPr>
      </w:pPr>
      <w:r w:rsidRPr="000C638E">
        <w:rPr>
          <w:u w:val="single"/>
        </w:rPr>
        <w:t>Estimated Total Annual Responses from Respondents and Non-Respondents:</w:t>
      </w:r>
      <w:r w:rsidRPr="000C638E">
        <w:t xml:space="preserve"> </w:t>
      </w:r>
      <w:r w:rsidR="003950F8">
        <w:t>47,</w:t>
      </w:r>
      <w:r w:rsidR="005124B9">
        <w:t xml:space="preserve">779 </w:t>
      </w:r>
      <w:r w:rsidRPr="000C638E">
        <w:t>(including</w:t>
      </w:r>
      <w:r w:rsidR="003950F8">
        <w:t xml:space="preserve"> 21,</w:t>
      </w:r>
      <w:r w:rsidR="005124B9">
        <w:t xml:space="preserve">541 </w:t>
      </w:r>
      <w:r w:rsidRPr="000C638E">
        <w:t xml:space="preserve">responses from respondents and </w:t>
      </w:r>
      <w:r w:rsidR="003950F8">
        <w:t>26,</w:t>
      </w:r>
      <w:r w:rsidR="005124B9">
        <w:t xml:space="preserve">238 </w:t>
      </w:r>
      <w:r w:rsidRPr="000C638E">
        <w:t>responses from non-respondents)</w:t>
      </w:r>
      <w:r w:rsidRPr="000C638E">
        <w:rPr>
          <w:highlight w:val="yellow"/>
        </w:rPr>
        <w:br/>
      </w:r>
    </w:p>
    <w:p w14:paraId="004B52BB" w14:textId="2AE17E59" w:rsidR="008E5FBD" w:rsidRPr="00FD0261" w:rsidRDefault="002254CE" w:rsidP="00811F5C">
      <w:pPr>
        <w:pStyle w:val="P1-StandPara"/>
        <w:numPr>
          <w:ilvl w:val="0"/>
          <w:numId w:val="7"/>
        </w:numPr>
        <w:spacing w:line="240" w:lineRule="auto"/>
        <w:ind w:right="-86"/>
        <w:rPr>
          <w:b/>
          <w:szCs w:val="24"/>
        </w:rPr>
      </w:pPr>
      <w:r>
        <w:t>Year 1</w:t>
      </w:r>
      <w:r w:rsidR="008E5FBD" w:rsidRPr="00FD0261">
        <w:t xml:space="preserve">: </w:t>
      </w:r>
      <w:r w:rsidR="00B8632E">
        <w:t>4</w:t>
      </w:r>
      <w:r w:rsidR="00661BFD">
        <w:t>3</w:t>
      </w:r>
      <w:r w:rsidR="00B8632E">
        <w:t>,</w:t>
      </w:r>
      <w:r w:rsidR="00661BFD">
        <w:t>925</w:t>
      </w:r>
      <w:r w:rsidR="00B8632E">
        <w:t xml:space="preserve"> </w:t>
      </w:r>
      <w:r w:rsidR="008E5FBD" w:rsidRPr="00FD0261">
        <w:t xml:space="preserve">total with </w:t>
      </w:r>
      <w:r w:rsidR="00B8632E">
        <w:t>19,</w:t>
      </w:r>
      <w:r w:rsidR="00661BFD">
        <w:t>6</w:t>
      </w:r>
      <w:r w:rsidR="00B8632E">
        <w:t xml:space="preserve">95 </w:t>
      </w:r>
      <w:r w:rsidR="008E5FBD" w:rsidRPr="00FD0261">
        <w:t>responses and</w:t>
      </w:r>
      <w:r w:rsidR="00B8632E">
        <w:t xml:space="preserve"> 24,2</w:t>
      </w:r>
      <w:r w:rsidR="00661BFD">
        <w:t>30</w:t>
      </w:r>
      <w:r w:rsidR="008E5FBD" w:rsidRPr="00FD0261">
        <w:t xml:space="preserve"> non-responses</w:t>
      </w:r>
    </w:p>
    <w:p w14:paraId="64B18222" w14:textId="079030D8" w:rsidR="008E5FBD" w:rsidRPr="00FD0261" w:rsidRDefault="002254CE" w:rsidP="00811F5C">
      <w:pPr>
        <w:pStyle w:val="P1-StandPara"/>
        <w:numPr>
          <w:ilvl w:val="0"/>
          <w:numId w:val="7"/>
        </w:numPr>
        <w:spacing w:line="240" w:lineRule="auto"/>
        <w:ind w:right="-86"/>
        <w:rPr>
          <w:b/>
          <w:szCs w:val="24"/>
        </w:rPr>
      </w:pPr>
      <w:r>
        <w:t>Year 2</w:t>
      </w:r>
      <w:r w:rsidR="008E5FBD" w:rsidRPr="00FD0261">
        <w:t xml:space="preserve">: </w:t>
      </w:r>
      <w:r w:rsidR="00B8632E">
        <w:t>1,</w:t>
      </w:r>
      <w:r w:rsidR="00D936FD">
        <w:t xml:space="preserve">927 </w:t>
      </w:r>
      <w:r w:rsidR="00FD0261" w:rsidRPr="00FD0261">
        <w:t xml:space="preserve">total with </w:t>
      </w:r>
      <w:r w:rsidR="00D936FD">
        <w:t xml:space="preserve">923 </w:t>
      </w:r>
      <w:r w:rsidR="008E5FBD" w:rsidRPr="00FD0261">
        <w:t xml:space="preserve">responses and </w:t>
      </w:r>
      <w:r w:rsidR="00D936FD">
        <w:t>1,004</w:t>
      </w:r>
      <w:r w:rsidR="00D936FD" w:rsidRPr="00FD0261">
        <w:t xml:space="preserve"> </w:t>
      </w:r>
      <w:r w:rsidR="008E5FBD" w:rsidRPr="00FD0261">
        <w:t>non-responses</w:t>
      </w:r>
    </w:p>
    <w:p w14:paraId="08DA4705" w14:textId="0B965D0F" w:rsidR="008E5FBD" w:rsidRPr="00FD0261" w:rsidRDefault="002254CE" w:rsidP="00811F5C">
      <w:pPr>
        <w:pStyle w:val="P1-StandPara"/>
        <w:numPr>
          <w:ilvl w:val="0"/>
          <w:numId w:val="7"/>
        </w:numPr>
        <w:spacing w:line="240" w:lineRule="auto"/>
        <w:ind w:right="-86"/>
        <w:rPr>
          <w:b/>
          <w:szCs w:val="24"/>
        </w:rPr>
      </w:pPr>
      <w:r>
        <w:t>Year 3</w:t>
      </w:r>
      <w:r w:rsidR="008E5FBD" w:rsidRPr="00FD0261">
        <w:t>:</w:t>
      </w:r>
      <w:r w:rsidR="008F2FDC">
        <w:t xml:space="preserve"> </w:t>
      </w:r>
      <w:r w:rsidR="00B8632E">
        <w:t>1,</w:t>
      </w:r>
      <w:r w:rsidR="00D936FD">
        <w:t xml:space="preserve">927 </w:t>
      </w:r>
      <w:r w:rsidR="00FD0261" w:rsidRPr="00FD0261">
        <w:t xml:space="preserve">total with </w:t>
      </w:r>
      <w:r w:rsidR="00D936FD">
        <w:t xml:space="preserve">923 </w:t>
      </w:r>
      <w:r w:rsidR="008E5FBD" w:rsidRPr="00FD0261">
        <w:t xml:space="preserve">responses and </w:t>
      </w:r>
      <w:r w:rsidR="00D936FD">
        <w:t xml:space="preserve">1,004 </w:t>
      </w:r>
      <w:r w:rsidR="008E5FBD" w:rsidRPr="00FD0261">
        <w:t>non-responses</w:t>
      </w:r>
    </w:p>
    <w:p w14:paraId="75C3682E" w14:textId="77777777" w:rsidR="002E15AA" w:rsidRPr="000C638E" w:rsidRDefault="002E15AA" w:rsidP="002E15AA">
      <w:pPr>
        <w:pStyle w:val="P1-StandPara"/>
        <w:spacing w:line="240" w:lineRule="auto"/>
        <w:ind w:left="1440" w:right="-86" w:firstLine="0"/>
        <w:rPr>
          <w:b/>
          <w:szCs w:val="24"/>
          <w:highlight w:val="yellow"/>
        </w:rPr>
      </w:pPr>
    </w:p>
    <w:p w14:paraId="38E34590" w14:textId="36E742FF" w:rsidR="008E5FBD" w:rsidRPr="00EB54F3" w:rsidRDefault="008E5FBD" w:rsidP="008E5FBD">
      <w:pPr>
        <w:autoSpaceDE w:val="0"/>
        <w:autoSpaceDN w:val="0"/>
        <w:adjustRightInd w:val="0"/>
        <w:spacing w:line="240" w:lineRule="auto"/>
        <w:ind w:left="720"/>
        <w:rPr>
          <w:szCs w:val="24"/>
          <w:u w:val="single"/>
        </w:rPr>
      </w:pPr>
      <w:r w:rsidRPr="00FD0261">
        <w:rPr>
          <w:szCs w:val="24"/>
          <w:u w:val="single"/>
        </w:rPr>
        <w:t>Estimated Time per Response per Respondent and Non-Respondent:</w:t>
      </w:r>
      <w:r w:rsidRPr="00FD0261">
        <w:rPr>
          <w:szCs w:val="24"/>
        </w:rPr>
        <w:t xml:space="preserve"> </w:t>
      </w:r>
      <w:r w:rsidR="003950F8">
        <w:rPr>
          <w:szCs w:val="24"/>
        </w:rPr>
        <w:t xml:space="preserve">0.11 </w:t>
      </w:r>
      <w:r w:rsidR="007A7951" w:rsidRPr="00FD0261">
        <w:rPr>
          <w:szCs w:val="24"/>
        </w:rPr>
        <w:t xml:space="preserve">hours </w:t>
      </w:r>
      <w:r w:rsidRPr="00FD0261">
        <w:rPr>
          <w:szCs w:val="24"/>
        </w:rPr>
        <w:t xml:space="preserve">(including </w:t>
      </w:r>
      <w:r w:rsidR="003950F8">
        <w:rPr>
          <w:szCs w:val="24"/>
        </w:rPr>
        <w:t>0.2</w:t>
      </w:r>
      <w:r w:rsidR="00B8632E">
        <w:rPr>
          <w:szCs w:val="24"/>
        </w:rPr>
        <w:t xml:space="preserve">1 </w:t>
      </w:r>
      <w:r w:rsidRPr="00FD0261">
        <w:rPr>
          <w:szCs w:val="24"/>
        </w:rPr>
        <w:t>hours per response per respondent and 0.02 hours per response per non-respondent)</w:t>
      </w:r>
      <w:r>
        <w:rPr>
          <w:szCs w:val="24"/>
        </w:rPr>
        <w:br/>
      </w:r>
    </w:p>
    <w:p w14:paraId="6449E371" w14:textId="69684B06" w:rsidR="006D1E88" w:rsidRPr="008E5FBD" w:rsidRDefault="008E5FBD" w:rsidP="006D1E88">
      <w:pPr>
        <w:autoSpaceDE w:val="0"/>
        <w:autoSpaceDN w:val="0"/>
        <w:adjustRightInd w:val="0"/>
        <w:spacing w:line="240" w:lineRule="auto"/>
        <w:ind w:left="720"/>
        <w:rPr>
          <w:szCs w:val="24"/>
        </w:rPr>
      </w:pPr>
      <w:r w:rsidRPr="000D75B7">
        <w:rPr>
          <w:iCs/>
          <w:u w:val="single"/>
        </w:rPr>
        <w:t>Estimated Total Annual Burden Hours on Respondents and Non-</w:t>
      </w:r>
      <w:r w:rsidRPr="00FD0261">
        <w:rPr>
          <w:iCs/>
          <w:u w:val="single"/>
        </w:rPr>
        <w:t>Respondents:</w:t>
      </w:r>
      <w:r w:rsidRPr="00FD0261">
        <w:rPr>
          <w:iCs/>
        </w:rPr>
        <w:t xml:space="preserve"> </w:t>
      </w:r>
      <w:r w:rsidR="00B8632E">
        <w:rPr>
          <w:szCs w:val="24"/>
        </w:rPr>
        <w:t>5,</w:t>
      </w:r>
      <w:r w:rsidR="00D936FD">
        <w:rPr>
          <w:szCs w:val="24"/>
        </w:rPr>
        <w:t xml:space="preserve">132 </w:t>
      </w:r>
      <w:r w:rsidR="006D1E88" w:rsidRPr="00FD0261">
        <w:rPr>
          <w:szCs w:val="24"/>
        </w:rPr>
        <w:t>hours (</w:t>
      </w:r>
      <w:r w:rsidR="00FD0261" w:rsidRPr="00FD0261">
        <w:rPr>
          <w:szCs w:val="24"/>
        </w:rPr>
        <w:t>including</w:t>
      </w:r>
      <w:r w:rsidR="00B8632E">
        <w:rPr>
          <w:szCs w:val="24"/>
        </w:rPr>
        <w:t xml:space="preserve"> 4,</w:t>
      </w:r>
      <w:r w:rsidR="00D936FD">
        <w:rPr>
          <w:szCs w:val="24"/>
        </w:rPr>
        <w:t>594</w:t>
      </w:r>
      <w:r w:rsidR="00D936FD" w:rsidRPr="00FD0261">
        <w:rPr>
          <w:szCs w:val="24"/>
        </w:rPr>
        <w:t xml:space="preserve"> </w:t>
      </w:r>
      <w:r w:rsidR="00FD0261" w:rsidRPr="00FD0261">
        <w:rPr>
          <w:szCs w:val="24"/>
        </w:rPr>
        <w:t>hours on respondents and</w:t>
      </w:r>
      <w:r w:rsidR="00B8632E">
        <w:rPr>
          <w:szCs w:val="24"/>
        </w:rPr>
        <w:t xml:space="preserve"> </w:t>
      </w:r>
      <w:r w:rsidR="00D936FD">
        <w:rPr>
          <w:szCs w:val="24"/>
        </w:rPr>
        <w:t>537</w:t>
      </w:r>
      <w:r w:rsidR="00D936FD" w:rsidRPr="00FD0261">
        <w:rPr>
          <w:szCs w:val="24"/>
        </w:rPr>
        <w:t xml:space="preserve"> </w:t>
      </w:r>
      <w:r w:rsidR="006D1E88" w:rsidRPr="00FD0261">
        <w:rPr>
          <w:szCs w:val="24"/>
        </w:rPr>
        <w:t>hours on non-respondents)</w:t>
      </w:r>
      <w:r w:rsidR="006D1E88">
        <w:rPr>
          <w:szCs w:val="24"/>
        </w:rPr>
        <w:br/>
      </w:r>
    </w:p>
    <w:p w14:paraId="7EE0F427" w14:textId="7BE7087B" w:rsidR="008E5FBD" w:rsidRPr="00865E7A" w:rsidRDefault="002254CE" w:rsidP="00811F5C">
      <w:pPr>
        <w:pStyle w:val="P1-StandPara"/>
        <w:numPr>
          <w:ilvl w:val="0"/>
          <w:numId w:val="7"/>
        </w:numPr>
        <w:spacing w:line="240" w:lineRule="auto"/>
        <w:ind w:right="-86"/>
        <w:rPr>
          <w:b/>
          <w:szCs w:val="24"/>
        </w:rPr>
      </w:pPr>
      <w:r>
        <w:t>Year 1</w:t>
      </w:r>
      <w:r w:rsidR="008E5FBD" w:rsidRPr="00865E7A">
        <w:t xml:space="preserve">: </w:t>
      </w:r>
      <w:r w:rsidR="006E18B0">
        <w:t>4,7</w:t>
      </w:r>
      <w:r w:rsidR="00661BFD">
        <w:t>16</w:t>
      </w:r>
      <w:r w:rsidR="006E18B0">
        <w:t xml:space="preserve"> </w:t>
      </w:r>
      <w:r w:rsidR="008E5FBD" w:rsidRPr="00865E7A">
        <w:t xml:space="preserve">hours total with </w:t>
      </w:r>
      <w:r w:rsidR="006E18B0">
        <w:t>4,2</w:t>
      </w:r>
      <w:r w:rsidR="00661BFD">
        <w:t xml:space="preserve">16 </w:t>
      </w:r>
      <w:r w:rsidR="008E5FBD" w:rsidRPr="00865E7A">
        <w:t xml:space="preserve">hours on respondents and </w:t>
      </w:r>
      <w:r w:rsidR="006E18B0">
        <w:t>50</w:t>
      </w:r>
      <w:r w:rsidR="00661BFD">
        <w:t>1</w:t>
      </w:r>
      <w:r w:rsidR="006E18B0">
        <w:t xml:space="preserve"> </w:t>
      </w:r>
      <w:r w:rsidR="008E5FBD" w:rsidRPr="00865E7A">
        <w:t>hours on non-respondents</w:t>
      </w:r>
    </w:p>
    <w:p w14:paraId="17036EBD" w14:textId="1215F63D" w:rsidR="008E5FBD" w:rsidRPr="00865E7A" w:rsidRDefault="002254CE" w:rsidP="00811F5C">
      <w:pPr>
        <w:pStyle w:val="P1-StandPara"/>
        <w:numPr>
          <w:ilvl w:val="0"/>
          <w:numId w:val="7"/>
        </w:numPr>
        <w:spacing w:line="240" w:lineRule="auto"/>
        <w:ind w:right="-86"/>
        <w:rPr>
          <w:b/>
          <w:szCs w:val="24"/>
        </w:rPr>
      </w:pPr>
      <w:r>
        <w:t>Year 2</w:t>
      </w:r>
      <w:r w:rsidR="008E5FBD" w:rsidRPr="00865E7A">
        <w:t xml:space="preserve">: </w:t>
      </w:r>
      <w:r w:rsidR="00D936FD">
        <w:t>20</w:t>
      </w:r>
      <w:r w:rsidR="00B8632E">
        <w:t xml:space="preserve">7 </w:t>
      </w:r>
      <w:r w:rsidR="008E5FBD" w:rsidRPr="00865E7A">
        <w:t xml:space="preserve">hours total with </w:t>
      </w:r>
      <w:r w:rsidR="006E18B0">
        <w:t>18</w:t>
      </w:r>
      <w:r w:rsidR="00D936FD">
        <w:t>9</w:t>
      </w:r>
      <w:r w:rsidR="006E18B0">
        <w:t xml:space="preserve"> hours</w:t>
      </w:r>
      <w:r w:rsidR="008E5FBD" w:rsidRPr="00865E7A">
        <w:t xml:space="preserve"> on respondents and </w:t>
      </w:r>
      <w:r w:rsidR="00B8632E">
        <w:t>1</w:t>
      </w:r>
      <w:r w:rsidR="00D936FD">
        <w:t>8</w:t>
      </w:r>
      <w:r w:rsidR="00B8632E">
        <w:t xml:space="preserve"> </w:t>
      </w:r>
      <w:r w:rsidR="008E5FBD" w:rsidRPr="00865E7A">
        <w:t>hours on non-respondents</w:t>
      </w:r>
    </w:p>
    <w:p w14:paraId="79BC08B8" w14:textId="765A2F88" w:rsidR="008E5FBD" w:rsidRPr="00865E7A" w:rsidRDefault="002254CE" w:rsidP="00811F5C">
      <w:pPr>
        <w:pStyle w:val="P1-StandPara"/>
        <w:numPr>
          <w:ilvl w:val="0"/>
          <w:numId w:val="7"/>
        </w:numPr>
        <w:spacing w:line="240" w:lineRule="auto"/>
        <w:ind w:right="-86"/>
        <w:rPr>
          <w:b/>
          <w:szCs w:val="24"/>
        </w:rPr>
      </w:pPr>
      <w:r>
        <w:t>Year 3</w:t>
      </w:r>
      <w:r w:rsidR="008E5FBD" w:rsidRPr="00865E7A">
        <w:t xml:space="preserve">: </w:t>
      </w:r>
      <w:r w:rsidR="00D936FD">
        <w:t>20</w:t>
      </w:r>
      <w:r w:rsidR="00B8632E">
        <w:t xml:space="preserve">7 </w:t>
      </w:r>
      <w:r w:rsidR="008E5FBD" w:rsidRPr="00865E7A">
        <w:t xml:space="preserve">hours total with </w:t>
      </w:r>
      <w:r w:rsidR="00B8632E">
        <w:t>18</w:t>
      </w:r>
      <w:r w:rsidR="00D936FD">
        <w:t>9</w:t>
      </w:r>
      <w:r w:rsidR="00B8632E">
        <w:t xml:space="preserve"> </w:t>
      </w:r>
      <w:r w:rsidR="008E5FBD" w:rsidRPr="00865E7A">
        <w:t xml:space="preserve">hours on respondents and </w:t>
      </w:r>
      <w:r w:rsidR="00B8632E">
        <w:t>1</w:t>
      </w:r>
      <w:r w:rsidR="00D936FD">
        <w:t>8</w:t>
      </w:r>
      <w:r w:rsidR="00B8632E">
        <w:t xml:space="preserve"> </w:t>
      </w:r>
      <w:r w:rsidR="008E5FBD" w:rsidRPr="00865E7A">
        <w:t>hours on non-respondents</w:t>
      </w:r>
    </w:p>
    <w:p w14:paraId="076A3BA1" w14:textId="11AD7ED3" w:rsidR="003D73E5" w:rsidRPr="008E5FBD" w:rsidRDefault="003D73E5" w:rsidP="00F85F86">
      <w:pPr>
        <w:pStyle w:val="P1-StandPara"/>
        <w:spacing w:line="240" w:lineRule="auto"/>
        <w:ind w:left="1080" w:firstLine="0"/>
        <w:rPr>
          <w:b/>
          <w:szCs w:val="24"/>
        </w:rPr>
      </w:pPr>
    </w:p>
    <w:p w14:paraId="3ACF408B" w14:textId="5CCACCFE" w:rsidR="00145CD3" w:rsidRPr="001D6F30" w:rsidRDefault="0015674E" w:rsidP="00811F5C">
      <w:pPr>
        <w:pStyle w:val="P1-StandPara"/>
        <w:numPr>
          <w:ilvl w:val="0"/>
          <w:numId w:val="9"/>
        </w:numPr>
        <w:spacing w:line="240" w:lineRule="auto"/>
        <w:ind w:left="720"/>
        <w:rPr>
          <w:szCs w:val="24"/>
        </w:rPr>
      </w:pPr>
      <w:r w:rsidRPr="008E5FBD">
        <w:rPr>
          <w:b/>
          <w:szCs w:val="24"/>
        </w:rPr>
        <w:t>Provide estimates of annualized cost to respondents for the hour burdens for collections of information, identifying and using appropriate wage rate categories.</w:t>
      </w:r>
      <w:r w:rsidR="008E5FBD" w:rsidRPr="008E5FBD">
        <w:rPr>
          <w:b/>
          <w:szCs w:val="24"/>
        </w:rPr>
        <w:br/>
      </w:r>
    </w:p>
    <w:p w14:paraId="3374466E" w14:textId="18658370" w:rsidR="00B40772" w:rsidRPr="00E4426B" w:rsidRDefault="00E3349A" w:rsidP="00E4426B">
      <w:pPr>
        <w:pStyle w:val="FootnoteText"/>
        <w:spacing w:line="480" w:lineRule="auto"/>
        <w:ind w:left="0" w:firstLine="720"/>
        <w:rPr>
          <w:sz w:val="24"/>
          <w:szCs w:val="24"/>
        </w:rPr>
      </w:pPr>
      <w:r w:rsidRPr="001D6F30">
        <w:rPr>
          <w:sz w:val="24"/>
          <w:szCs w:val="24"/>
        </w:rPr>
        <w:t>Appendix E5</w:t>
      </w:r>
      <w:r w:rsidR="0040321A" w:rsidRPr="001D6F30">
        <w:rPr>
          <w:sz w:val="24"/>
          <w:szCs w:val="24"/>
        </w:rPr>
        <w:t xml:space="preserve"> shows the estimated annualized cost to respondents</w:t>
      </w:r>
      <w:r w:rsidR="004E029C" w:rsidRPr="001D6F30">
        <w:rPr>
          <w:sz w:val="24"/>
          <w:szCs w:val="24"/>
        </w:rPr>
        <w:t>. The cost to SA and LA</w:t>
      </w:r>
      <w:r w:rsidR="00E4426B" w:rsidRPr="001D6F30">
        <w:rPr>
          <w:sz w:val="24"/>
          <w:szCs w:val="24"/>
        </w:rPr>
        <w:t xml:space="preserve"> </w:t>
      </w:r>
      <w:r w:rsidR="004E029C" w:rsidRPr="001D6F30">
        <w:rPr>
          <w:sz w:val="24"/>
          <w:szCs w:val="24"/>
        </w:rPr>
        <w:t xml:space="preserve">directors is based on the U.S. Department of Labor, Bureau of Labor Statistics, May 2016 National Occupational and Wage Statistics (found at </w:t>
      </w:r>
      <w:r w:rsidR="00EB5AA1" w:rsidRPr="00EB5AA1">
        <w:rPr>
          <w:sz w:val="24"/>
          <w:szCs w:val="24"/>
        </w:rPr>
        <w:t>https://www.bls.gov/oes/2016/may/oes_nat.htm</w:t>
      </w:r>
      <w:r w:rsidR="004E029C" w:rsidRPr="001D6F30">
        <w:rPr>
          <w:sz w:val="24"/>
          <w:szCs w:val="24"/>
        </w:rPr>
        <w:t>), Occupational Group 11-9051 for LA directors and Occupational Group 11-9000 for SA directors. The hourly rate for SA directors is $4</w:t>
      </w:r>
      <w:r w:rsidR="00502381" w:rsidRPr="001D6F30">
        <w:rPr>
          <w:sz w:val="24"/>
          <w:szCs w:val="24"/>
        </w:rPr>
        <w:t>6</w:t>
      </w:r>
      <w:r w:rsidR="004E029C" w:rsidRPr="001D6F30">
        <w:rPr>
          <w:sz w:val="24"/>
          <w:szCs w:val="24"/>
        </w:rPr>
        <w:t>.</w:t>
      </w:r>
      <w:r w:rsidR="00502381" w:rsidRPr="001D6F30">
        <w:rPr>
          <w:sz w:val="24"/>
          <w:szCs w:val="24"/>
        </w:rPr>
        <w:t xml:space="preserve">86 </w:t>
      </w:r>
      <w:r w:rsidR="004E029C" w:rsidRPr="001D6F30">
        <w:rPr>
          <w:sz w:val="24"/>
          <w:szCs w:val="24"/>
        </w:rPr>
        <w:t>and LA directors is $2</w:t>
      </w:r>
      <w:r w:rsidR="004C4AFE" w:rsidRPr="001D6F30">
        <w:rPr>
          <w:sz w:val="24"/>
          <w:szCs w:val="24"/>
        </w:rPr>
        <w:t>6</w:t>
      </w:r>
      <w:r w:rsidR="004E029C" w:rsidRPr="001D6F30">
        <w:rPr>
          <w:sz w:val="24"/>
          <w:szCs w:val="24"/>
        </w:rPr>
        <w:t>.</w:t>
      </w:r>
      <w:r w:rsidR="004C4AFE" w:rsidRPr="001D6F30">
        <w:rPr>
          <w:sz w:val="24"/>
          <w:szCs w:val="24"/>
        </w:rPr>
        <w:t>93</w:t>
      </w:r>
      <w:r w:rsidR="004E029C" w:rsidRPr="001D6F30">
        <w:rPr>
          <w:sz w:val="24"/>
          <w:szCs w:val="24"/>
        </w:rPr>
        <w:t>.</w:t>
      </w:r>
      <w:r w:rsidR="004E029C">
        <w:rPr>
          <w:szCs w:val="24"/>
        </w:rPr>
        <w:t xml:space="preserve"> </w:t>
      </w:r>
      <w:r w:rsidR="00B40772" w:rsidRPr="00E4426B">
        <w:rPr>
          <w:sz w:val="24"/>
          <w:szCs w:val="24"/>
        </w:rPr>
        <w:t>The estimated annualized cost for the current and former WIC participants uses the Federal minimum wage of $7.25.</w:t>
      </w:r>
      <w:r w:rsidR="00B40772" w:rsidRPr="00E4426B">
        <w:rPr>
          <w:rStyle w:val="FootnoteReference"/>
          <w:sz w:val="24"/>
          <w:szCs w:val="24"/>
        </w:rPr>
        <w:footnoteReference w:id="34"/>
      </w:r>
      <w:r w:rsidR="00B40772" w:rsidRPr="00E4426B">
        <w:rPr>
          <w:sz w:val="24"/>
          <w:szCs w:val="24"/>
        </w:rPr>
        <w:t xml:space="preserve"> </w:t>
      </w:r>
    </w:p>
    <w:p w14:paraId="0403C598" w14:textId="6674BA5E" w:rsidR="00C67FB5" w:rsidRDefault="00E724BF" w:rsidP="00C67FB5">
      <w:pPr>
        <w:widowControl w:val="0"/>
        <w:ind w:firstLine="720"/>
        <w:rPr>
          <w:szCs w:val="24"/>
        </w:rPr>
      </w:pPr>
      <w:r w:rsidRPr="00E724BF">
        <w:rPr>
          <w:szCs w:val="24"/>
        </w:rPr>
        <w:t>The total annualized</w:t>
      </w:r>
      <w:r>
        <w:rPr>
          <w:szCs w:val="24"/>
        </w:rPr>
        <w:t xml:space="preserve"> hour burden to the public </w:t>
      </w:r>
      <w:r w:rsidRPr="00FD23B7">
        <w:rPr>
          <w:szCs w:val="24"/>
        </w:rPr>
        <w:t xml:space="preserve">is </w:t>
      </w:r>
      <w:r w:rsidR="006E18B0">
        <w:rPr>
          <w:szCs w:val="24"/>
        </w:rPr>
        <w:t>5,</w:t>
      </w:r>
      <w:r w:rsidR="00D936FD">
        <w:rPr>
          <w:szCs w:val="24"/>
        </w:rPr>
        <w:t>132</w:t>
      </w:r>
      <w:r w:rsidR="00D936FD" w:rsidRPr="00FD23B7">
        <w:rPr>
          <w:szCs w:val="24"/>
        </w:rPr>
        <w:t xml:space="preserve"> </w:t>
      </w:r>
      <w:r w:rsidRPr="00FD23B7">
        <w:rPr>
          <w:szCs w:val="24"/>
        </w:rPr>
        <w:t>hours</w:t>
      </w:r>
      <w:r w:rsidRPr="00E724BF">
        <w:rPr>
          <w:szCs w:val="24"/>
        </w:rPr>
        <w:t xml:space="preserve"> and estimated annualized cost </w:t>
      </w:r>
      <w:r w:rsidRPr="00FD23B7">
        <w:rPr>
          <w:szCs w:val="24"/>
        </w:rPr>
        <w:t>is $</w:t>
      </w:r>
      <w:r w:rsidR="006E18B0">
        <w:rPr>
          <w:szCs w:val="24"/>
        </w:rPr>
        <w:t>6</w:t>
      </w:r>
      <w:r w:rsidR="00661BFD">
        <w:rPr>
          <w:szCs w:val="24"/>
        </w:rPr>
        <w:t>1</w:t>
      </w:r>
      <w:r w:rsidR="006E18B0">
        <w:rPr>
          <w:szCs w:val="24"/>
        </w:rPr>
        <w:t>,</w:t>
      </w:r>
      <w:r w:rsidR="009938B7">
        <w:rPr>
          <w:szCs w:val="24"/>
        </w:rPr>
        <w:t>988</w:t>
      </w:r>
      <w:r w:rsidR="006E18B0">
        <w:rPr>
          <w:szCs w:val="24"/>
        </w:rPr>
        <w:t>.</w:t>
      </w:r>
      <w:r w:rsidR="009938B7">
        <w:rPr>
          <w:szCs w:val="24"/>
        </w:rPr>
        <w:t>19</w:t>
      </w:r>
      <w:r w:rsidRPr="00FD23B7">
        <w:rPr>
          <w:szCs w:val="24"/>
        </w:rPr>
        <w:t>.</w:t>
      </w:r>
      <w:bookmarkStart w:id="140" w:name="_Toc282506035"/>
      <w:bookmarkStart w:id="141" w:name="_Toc339621295"/>
      <w:bookmarkStart w:id="142" w:name="_Toc454265315"/>
      <w:bookmarkStart w:id="143" w:name="_Toc454265614"/>
      <w:bookmarkStart w:id="144" w:name="_Toc454265691"/>
      <w:bookmarkStart w:id="145" w:name="_Toc454266188"/>
      <w:bookmarkStart w:id="146" w:name="_Toc454266216"/>
      <w:bookmarkStart w:id="147" w:name="_Toc454266643"/>
    </w:p>
    <w:p w14:paraId="4359E698"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r w:rsidRPr="00616403">
        <w:rPr>
          <w:rFonts w:ascii="Times New Roman" w:hAnsi="Times New Roman"/>
          <w:color w:val="auto"/>
          <w:sz w:val="24"/>
          <w:szCs w:val="24"/>
        </w:rPr>
        <w:t>A.13</w:t>
      </w:r>
      <w:r w:rsidRPr="00616403">
        <w:rPr>
          <w:rFonts w:ascii="Times New Roman" w:hAnsi="Times New Roman"/>
          <w:color w:val="auto"/>
          <w:sz w:val="24"/>
          <w:szCs w:val="24"/>
        </w:rPr>
        <w:tab/>
      </w:r>
      <w:bookmarkEnd w:id="140"/>
      <w:r w:rsidRPr="00616403">
        <w:rPr>
          <w:rFonts w:ascii="Times New Roman" w:hAnsi="Times New Roman"/>
          <w:color w:val="auto"/>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141"/>
      <w:bookmarkEnd w:id="142"/>
      <w:bookmarkEnd w:id="143"/>
      <w:bookmarkEnd w:id="144"/>
      <w:bookmarkEnd w:id="145"/>
      <w:bookmarkEnd w:id="146"/>
      <w:bookmarkEnd w:id="147"/>
    </w:p>
    <w:p w14:paraId="6AF03F8A" w14:textId="77777777" w:rsidR="0015674E" w:rsidRPr="00616403" w:rsidRDefault="0015674E" w:rsidP="0015674E">
      <w:pPr>
        <w:pStyle w:val="L1-FlLSp12"/>
        <w:spacing w:line="240" w:lineRule="auto"/>
        <w:rPr>
          <w:szCs w:val="24"/>
        </w:rPr>
      </w:pPr>
      <w:bookmarkStart w:id="148" w:name="_Toc282506036"/>
    </w:p>
    <w:p w14:paraId="1DC287AC" w14:textId="77777777" w:rsidR="0040321A" w:rsidRPr="00616403" w:rsidRDefault="00625CEF" w:rsidP="00543B25">
      <w:pPr>
        <w:pStyle w:val="L1-FlLSp12"/>
        <w:spacing w:line="480" w:lineRule="auto"/>
        <w:ind w:firstLine="720"/>
        <w:rPr>
          <w:szCs w:val="24"/>
        </w:rPr>
      </w:pPr>
      <w:r w:rsidRPr="00462112">
        <w:rPr>
          <w:szCs w:val="24"/>
        </w:rPr>
        <w:t>There are no capital/start-up or ongoing operation/maintenance costs associated with this information collection</w:t>
      </w:r>
      <w:r w:rsidR="00B25B64" w:rsidRPr="00462112">
        <w:rPr>
          <w:szCs w:val="24"/>
        </w:rPr>
        <w:t>.</w:t>
      </w:r>
    </w:p>
    <w:p w14:paraId="4ADB92BF"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49" w:name="_Toc339621296"/>
      <w:bookmarkStart w:id="150" w:name="_Toc454265316"/>
      <w:bookmarkStart w:id="151" w:name="_Toc454265615"/>
      <w:bookmarkStart w:id="152" w:name="_Toc454265692"/>
      <w:bookmarkStart w:id="153" w:name="_Toc454266189"/>
      <w:bookmarkStart w:id="154" w:name="_Toc454266217"/>
      <w:bookmarkStart w:id="155" w:name="_Toc454266644"/>
      <w:r w:rsidRPr="00616403">
        <w:rPr>
          <w:rFonts w:ascii="Times New Roman" w:hAnsi="Times New Roman"/>
          <w:color w:val="auto"/>
          <w:sz w:val="24"/>
          <w:szCs w:val="24"/>
        </w:rPr>
        <w:t>A.14</w:t>
      </w:r>
      <w:r w:rsidRPr="00616403">
        <w:rPr>
          <w:rFonts w:ascii="Times New Roman" w:hAnsi="Times New Roman"/>
          <w:color w:val="auto"/>
          <w:sz w:val="24"/>
          <w:szCs w:val="24"/>
        </w:rPr>
        <w:tab/>
      </w:r>
      <w:bookmarkEnd w:id="148"/>
      <w:r w:rsidRPr="00616403">
        <w:rPr>
          <w:rFonts w:ascii="Times New Roman" w:hAnsi="Times New Roman"/>
          <w:color w:val="auto"/>
          <w:sz w:val="24"/>
          <w:szCs w:val="24"/>
        </w:rPr>
        <w:t>Provide estimates of annualized cost to the Federal government. Also, provide a description of the method used to estimate cost and any other expense that would not have been incurred without this collection of information.</w:t>
      </w:r>
      <w:bookmarkEnd w:id="149"/>
      <w:bookmarkEnd w:id="150"/>
      <w:bookmarkEnd w:id="151"/>
      <w:bookmarkEnd w:id="152"/>
      <w:bookmarkEnd w:id="153"/>
      <w:bookmarkEnd w:id="154"/>
      <w:bookmarkEnd w:id="155"/>
    </w:p>
    <w:p w14:paraId="64998B3E" w14:textId="77777777" w:rsidR="00907661" w:rsidRPr="00616403" w:rsidRDefault="00907661" w:rsidP="00907661">
      <w:pPr>
        <w:pStyle w:val="L1-FlLSp12"/>
        <w:spacing w:line="240" w:lineRule="auto"/>
        <w:rPr>
          <w:szCs w:val="24"/>
          <w:highlight w:val="yellow"/>
        </w:rPr>
      </w:pPr>
    </w:p>
    <w:p w14:paraId="671997E1" w14:textId="6FA80F45" w:rsidR="00496753" w:rsidRDefault="00D454F2" w:rsidP="00854743">
      <w:pPr>
        <w:pStyle w:val="L1-FlLSp12"/>
        <w:tabs>
          <w:tab w:val="left" w:pos="720"/>
        </w:tabs>
        <w:spacing w:line="480" w:lineRule="auto"/>
        <w:rPr>
          <w:szCs w:val="24"/>
        </w:rPr>
      </w:pPr>
      <w:r>
        <w:rPr>
          <w:szCs w:val="24"/>
        </w:rPr>
        <w:tab/>
      </w:r>
      <w:r w:rsidR="00496753" w:rsidRPr="00496753">
        <w:rPr>
          <w:szCs w:val="24"/>
        </w:rPr>
        <w:t>The total estimated cost of the study to the Federa</w:t>
      </w:r>
      <w:r w:rsidR="00496753">
        <w:rPr>
          <w:szCs w:val="24"/>
        </w:rPr>
        <w:t>l government is $3,474,199.64,</w:t>
      </w:r>
      <w:r w:rsidR="00496753">
        <w:rPr>
          <w:rStyle w:val="FootnoteReference"/>
          <w:szCs w:val="24"/>
        </w:rPr>
        <w:footnoteReference w:id="35"/>
      </w:r>
      <w:r w:rsidR="00496753">
        <w:rPr>
          <w:szCs w:val="24"/>
        </w:rPr>
        <w:t xml:space="preserve"> </w:t>
      </w:r>
      <w:r w:rsidR="00496753" w:rsidRPr="00496753">
        <w:rPr>
          <w:szCs w:val="24"/>
        </w:rPr>
        <w:t>including contractor and Federal governme</w:t>
      </w:r>
      <w:r w:rsidR="00496753">
        <w:rPr>
          <w:szCs w:val="24"/>
        </w:rPr>
        <w:t xml:space="preserve">nt employee costs. The average </w:t>
      </w:r>
      <w:r w:rsidR="00496753" w:rsidRPr="00496753">
        <w:rPr>
          <w:szCs w:val="24"/>
        </w:rPr>
        <w:t>annual cost to the Federal government, including contractor and Federal government employee cost, is $694,839.92.</w:t>
      </w:r>
      <w:r w:rsidR="008A108C">
        <w:rPr>
          <w:rStyle w:val="FootnoteReference"/>
          <w:szCs w:val="24"/>
        </w:rPr>
        <w:footnoteReference w:id="36"/>
      </w:r>
    </w:p>
    <w:p w14:paraId="1CBF467D" w14:textId="0D458919" w:rsidR="00592E34" w:rsidRDefault="00496753" w:rsidP="00496753">
      <w:pPr>
        <w:pStyle w:val="L1-FlLSp12"/>
        <w:tabs>
          <w:tab w:val="clear" w:pos="1152"/>
          <w:tab w:val="left" w:pos="720"/>
        </w:tabs>
        <w:spacing w:line="480" w:lineRule="auto"/>
        <w:rPr>
          <w:szCs w:val="24"/>
        </w:rPr>
      </w:pPr>
      <w:r>
        <w:rPr>
          <w:szCs w:val="24"/>
        </w:rPr>
        <w:tab/>
      </w:r>
      <w:r w:rsidRPr="00496753">
        <w:rPr>
          <w:szCs w:val="24"/>
        </w:rPr>
        <w:t>The total estimated cost to t</w:t>
      </w:r>
      <w:r>
        <w:rPr>
          <w:szCs w:val="24"/>
        </w:rPr>
        <w:t>he contractor is $3,380,582.48</w:t>
      </w:r>
      <w:r w:rsidR="009575CE">
        <w:rPr>
          <w:rStyle w:val="FootnoteReference"/>
          <w:szCs w:val="24"/>
        </w:rPr>
        <w:footnoteReference w:id="37"/>
      </w:r>
      <w:r>
        <w:rPr>
          <w:szCs w:val="24"/>
        </w:rPr>
        <w:t xml:space="preserve"> </w:t>
      </w:r>
      <w:r w:rsidRPr="00496753">
        <w:rPr>
          <w:szCs w:val="24"/>
        </w:rPr>
        <w:t>over 5</w:t>
      </w:r>
      <w:r>
        <w:rPr>
          <w:szCs w:val="24"/>
        </w:rPr>
        <w:t xml:space="preserve"> years, representing an average</w:t>
      </w:r>
      <w:r w:rsidRPr="00496753">
        <w:rPr>
          <w:szCs w:val="24"/>
        </w:rPr>
        <w:t xml:space="preserve"> annualized cost of $676,116.50. This represents the contractor’s costs for labor, other direct costs, and indirect costs.</w:t>
      </w:r>
    </w:p>
    <w:p w14:paraId="789B14F9" w14:textId="4896F76C" w:rsidR="00592E34" w:rsidRDefault="00592E34" w:rsidP="001240E7">
      <w:pPr>
        <w:pStyle w:val="L1-FlLSp12"/>
        <w:tabs>
          <w:tab w:val="clear" w:pos="1152"/>
          <w:tab w:val="left" w:pos="720"/>
        </w:tabs>
        <w:spacing w:line="480" w:lineRule="auto"/>
        <w:rPr>
          <w:szCs w:val="24"/>
        </w:rPr>
      </w:pPr>
      <w:r>
        <w:rPr>
          <w:szCs w:val="24"/>
        </w:rPr>
        <w:tab/>
        <w:t>The</w:t>
      </w:r>
      <w:r w:rsidRPr="00592E34">
        <w:rPr>
          <w:szCs w:val="24"/>
        </w:rPr>
        <w:t xml:space="preserve"> total estimated cost to the Federal government for the FNS employee, social science research analyst/project officer, involved in project oversight with the study is estimated at </w:t>
      </w:r>
      <w:bookmarkStart w:id="156" w:name="_Hlk497750005"/>
      <w:r w:rsidRPr="00592E34">
        <w:rPr>
          <w:szCs w:val="24"/>
        </w:rPr>
        <w:t xml:space="preserve">$92,705.60 </w:t>
      </w:r>
      <w:bookmarkEnd w:id="156"/>
      <w:r w:rsidRPr="00592E34">
        <w:rPr>
          <w:szCs w:val="24"/>
        </w:rPr>
        <w:t>over 5 years. This represents an estimated annual cost of $18,541.12 (GS-12, step 6 at $44.57 per hour, 416 hours per year). Federal employee pay rates are based on the Office of Personnel Management (OPM) salary table for 2017 for the Washington, DC, metro area locality (for the locality pay area of Washington-Baltimore-Arlington, DC-MD-VA-WV-PA).</w:t>
      </w:r>
      <w:r w:rsidR="004014B5">
        <w:rPr>
          <w:rStyle w:val="FootnoteReference"/>
          <w:szCs w:val="24"/>
        </w:rPr>
        <w:footnoteReference w:id="38"/>
      </w:r>
      <w:r>
        <w:rPr>
          <w:szCs w:val="24"/>
        </w:rPr>
        <w:tab/>
      </w:r>
    </w:p>
    <w:p w14:paraId="717FABE7" w14:textId="1D03AB56" w:rsidR="00907661" w:rsidRDefault="00592E34" w:rsidP="001240E7">
      <w:pPr>
        <w:pStyle w:val="L1-FlLSp12"/>
        <w:tabs>
          <w:tab w:val="clear" w:pos="1152"/>
          <w:tab w:val="left" w:pos="720"/>
        </w:tabs>
        <w:spacing w:line="480" w:lineRule="auto"/>
        <w:rPr>
          <w:szCs w:val="24"/>
        </w:rPr>
      </w:pPr>
      <w:r>
        <w:rPr>
          <w:szCs w:val="24"/>
        </w:rPr>
        <w:tab/>
      </w:r>
      <w:r w:rsidR="00907661" w:rsidRPr="001C217B">
        <w:rPr>
          <w:szCs w:val="24"/>
        </w:rPr>
        <w:t xml:space="preserve">This information collection also assumes a </w:t>
      </w:r>
      <w:r w:rsidR="00907661" w:rsidRPr="00031ED5">
        <w:rPr>
          <w:szCs w:val="24"/>
        </w:rPr>
        <w:t xml:space="preserve">total of </w:t>
      </w:r>
      <w:r w:rsidR="00031ED5" w:rsidRPr="00031ED5">
        <w:rPr>
          <w:szCs w:val="24"/>
        </w:rPr>
        <w:t>14</w:t>
      </w:r>
      <w:r w:rsidR="00907661" w:rsidRPr="00031ED5">
        <w:rPr>
          <w:szCs w:val="24"/>
        </w:rPr>
        <w:t xml:space="preserve"> hours of </w:t>
      </w:r>
      <w:r w:rsidR="008268DE" w:rsidRPr="00031ED5">
        <w:rPr>
          <w:szCs w:val="24"/>
        </w:rPr>
        <w:t>F</w:t>
      </w:r>
      <w:r w:rsidR="00907661" w:rsidRPr="00031ED5">
        <w:rPr>
          <w:szCs w:val="24"/>
        </w:rPr>
        <w:t>ederal emplo</w:t>
      </w:r>
      <w:r w:rsidR="00E523B1" w:rsidRPr="00031ED5">
        <w:rPr>
          <w:szCs w:val="24"/>
        </w:rPr>
        <w:t>yee time</w:t>
      </w:r>
      <w:r w:rsidR="00AE46E9" w:rsidRPr="00031ED5">
        <w:rPr>
          <w:szCs w:val="24"/>
        </w:rPr>
        <w:t xml:space="preserve"> </w:t>
      </w:r>
      <w:r w:rsidR="00496753">
        <w:rPr>
          <w:szCs w:val="24"/>
        </w:rPr>
        <w:t xml:space="preserve">for FNS Regional Offices </w:t>
      </w:r>
      <w:r w:rsidR="00AE46E9" w:rsidRPr="00031ED5">
        <w:rPr>
          <w:szCs w:val="24"/>
        </w:rPr>
        <w:t xml:space="preserve">(estimating </w:t>
      </w:r>
      <w:r w:rsidR="00031ED5" w:rsidRPr="00031ED5">
        <w:rPr>
          <w:szCs w:val="24"/>
        </w:rPr>
        <w:t xml:space="preserve">2 </w:t>
      </w:r>
      <w:r w:rsidR="00AE46E9" w:rsidRPr="00031ED5">
        <w:rPr>
          <w:szCs w:val="24"/>
        </w:rPr>
        <w:t>hours of time with each of the seven Regional Offices</w:t>
      </w:r>
      <w:r w:rsidR="00031ED5">
        <w:rPr>
          <w:szCs w:val="24"/>
        </w:rPr>
        <w:t xml:space="preserve"> during primary data collection and </w:t>
      </w:r>
      <w:r w:rsidR="00031ED5" w:rsidRPr="004A26DA">
        <w:rPr>
          <w:szCs w:val="24"/>
        </w:rPr>
        <w:t>three</w:t>
      </w:r>
      <w:r w:rsidR="00031ED5">
        <w:rPr>
          <w:szCs w:val="24"/>
        </w:rPr>
        <w:t xml:space="preserve"> Regional Offices during </w:t>
      </w:r>
      <w:r w:rsidR="002254CE">
        <w:rPr>
          <w:szCs w:val="24"/>
        </w:rPr>
        <w:t>Years 2 and 3</w:t>
      </w:r>
      <w:r w:rsidR="00031ED5">
        <w:rPr>
          <w:szCs w:val="24"/>
        </w:rPr>
        <w:t>)</w:t>
      </w:r>
      <w:r w:rsidR="00AE46E9" w:rsidRPr="001C217B">
        <w:rPr>
          <w:szCs w:val="24"/>
        </w:rPr>
        <w:t xml:space="preserve"> to encourage participation from SA</w:t>
      </w:r>
      <w:r w:rsidR="00031ED5">
        <w:rPr>
          <w:szCs w:val="24"/>
        </w:rPr>
        <w:t xml:space="preserve"> and LA</w:t>
      </w:r>
      <w:r w:rsidR="00ED1290">
        <w:rPr>
          <w:szCs w:val="24"/>
        </w:rPr>
        <w:t xml:space="preserve"> directors and answer questions</w:t>
      </w:r>
      <w:r w:rsidR="00907661" w:rsidRPr="001C217B">
        <w:rPr>
          <w:szCs w:val="24"/>
        </w:rPr>
        <w:t xml:space="preserve"> for a </w:t>
      </w:r>
      <w:r w:rsidR="00907661" w:rsidRPr="00031ED5">
        <w:rPr>
          <w:szCs w:val="24"/>
        </w:rPr>
        <w:t xml:space="preserve">total </w:t>
      </w:r>
      <w:r w:rsidR="000242E8">
        <w:rPr>
          <w:szCs w:val="24"/>
        </w:rPr>
        <w:t xml:space="preserve">estimated cost </w:t>
      </w:r>
      <w:r w:rsidR="00907661" w:rsidRPr="00031ED5">
        <w:rPr>
          <w:szCs w:val="24"/>
        </w:rPr>
        <w:t xml:space="preserve">of </w:t>
      </w:r>
      <w:r w:rsidR="001C217B" w:rsidRPr="00031ED5">
        <w:rPr>
          <w:szCs w:val="24"/>
        </w:rPr>
        <w:t>$</w:t>
      </w:r>
      <w:r w:rsidR="004014B5">
        <w:rPr>
          <w:szCs w:val="24"/>
        </w:rPr>
        <w:t>911.56</w:t>
      </w:r>
      <w:r w:rsidR="00031ED5">
        <w:rPr>
          <w:szCs w:val="24"/>
        </w:rPr>
        <w:t xml:space="preserve"> across </w:t>
      </w:r>
      <w:r w:rsidR="00FD68D1">
        <w:rPr>
          <w:szCs w:val="24"/>
        </w:rPr>
        <w:t>3</w:t>
      </w:r>
      <w:r w:rsidR="00031ED5">
        <w:rPr>
          <w:szCs w:val="24"/>
        </w:rPr>
        <w:t xml:space="preserve"> years</w:t>
      </w:r>
      <w:r w:rsidR="00C41CDC">
        <w:rPr>
          <w:szCs w:val="24"/>
        </w:rPr>
        <w:t xml:space="preserve"> (see Table A2)</w:t>
      </w:r>
      <w:r w:rsidR="004F1DE9">
        <w:rPr>
          <w:szCs w:val="24"/>
        </w:rPr>
        <w:t xml:space="preserve">. </w:t>
      </w:r>
      <w:r w:rsidR="000242E8">
        <w:rPr>
          <w:szCs w:val="24"/>
        </w:rPr>
        <w:t>This represents an annual estimated cost of $303.85 (</w:t>
      </w:r>
      <w:r w:rsidR="000242E8" w:rsidRPr="000242E8">
        <w:rPr>
          <w:szCs w:val="24"/>
        </w:rPr>
        <w:t>G</w:t>
      </w:r>
      <w:r w:rsidR="000242E8">
        <w:rPr>
          <w:szCs w:val="24"/>
        </w:rPr>
        <w:t>S-12, step 6 at $35.06 per hour, 4.67 hours per year).</w:t>
      </w:r>
      <w:r w:rsidR="000242E8" w:rsidRPr="000242E8">
        <w:rPr>
          <w:szCs w:val="24"/>
        </w:rPr>
        <w:t xml:space="preserve"> </w:t>
      </w:r>
      <w:r w:rsidR="00907661" w:rsidRPr="001C217B">
        <w:rPr>
          <w:szCs w:val="24"/>
        </w:rPr>
        <w:t xml:space="preserve">Federal employee pay rates are based on the </w:t>
      </w:r>
      <w:r w:rsidR="000242E8">
        <w:rPr>
          <w:szCs w:val="24"/>
        </w:rPr>
        <w:t xml:space="preserve">Base </w:t>
      </w:r>
      <w:r w:rsidR="00907661" w:rsidRPr="001C217B">
        <w:rPr>
          <w:szCs w:val="24"/>
        </w:rPr>
        <w:t>General Schedule of the Office of Personnel Management (OPM) for 2</w:t>
      </w:r>
      <w:r w:rsidR="00E66E28" w:rsidRPr="001C217B">
        <w:rPr>
          <w:szCs w:val="24"/>
        </w:rPr>
        <w:t>01</w:t>
      </w:r>
      <w:r w:rsidR="00253655">
        <w:rPr>
          <w:szCs w:val="24"/>
        </w:rPr>
        <w:t>7</w:t>
      </w:r>
      <w:r w:rsidR="00907661" w:rsidRPr="001C217B">
        <w:rPr>
          <w:szCs w:val="24"/>
        </w:rPr>
        <w:t>.</w:t>
      </w:r>
      <w:r w:rsidR="004014B5">
        <w:rPr>
          <w:rStyle w:val="FootnoteReference"/>
          <w:szCs w:val="24"/>
        </w:rPr>
        <w:footnoteReference w:id="39"/>
      </w:r>
      <w:r w:rsidR="00907661" w:rsidRPr="00616403">
        <w:rPr>
          <w:szCs w:val="24"/>
        </w:rPr>
        <w:t xml:space="preserve"> </w:t>
      </w:r>
    </w:p>
    <w:p w14:paraId="043CDBC5" w14:textId="64F1A826" w:rsidR="00084E1A" w:rsidRDefault="00084E1A" w:rsidP="00084E1A">
      <w:pPr>
        <w:pStyle w:val="Tables"/>
      </w:pPr>
      <w:r w:rsidRPr="00402EF3">
        <w:t>Table A</w:t>
      </w:r>
      <w:r w:rsidR="00C41CDC">
        <w:t>2</w:t>
      </w:r>
      <w:r w:rsidRPr="00402EF3">
        <w:t>.</w:t>
      </w:r>
      <w:r w:rsidRPr="00402EF3">
        <w:tab/>
      </w:r>
      <w:r>
        <w:t xml:space="preserve">Annualized Cost to Federal Government </w:t>
      </w:r>
      <w:r w:rsidR="00496753">
        <w:t>for FNS Regional Offices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981"/>
        <w:gridCol w:w="2213"/>
        <w:gridCol w:w="1297"/>
        <w:gridCol w:w="1080"/>
        <w:gridCol w:w="1733"/>
      </w:tblGrid>
      <w:tr w:rsidR="006C35E7" w:rsidRPr="00FE3A74" w14:paraId="339B887B" w14:textId="77777777" w:rsidTr="009701BA">
        <w:tc>
          <w:tcPr>
            <w:tcW w:w="1254" w:type="dxa"/>
            <w:shd w:val="clear" w:color="auto" w:fill="BDD6EE" w:themeFill="accent1" w:themeFillTint="66"/>
            <w:vAlign w:val="center"/>
          </w:tcPr>
          <w:p w14:paraId="60B1CA89" w14:textId="21D70E5B" w:rsidR="00492FFD" w:rsidRPr="006C35E7" w:rsidRDefault="00492FFD" w:rsidP="008B274E">
            <w:pPr>
              <w:pStyle w:val="TH-TableHeading"/>
              <w:rPr>
                <w:rFonts w:asciiTheme="minorHAnsi" w:hAnsiTheme="minorHAnsi" w:cstheme="minorHAnsi"/>
                <w:caps/>
                <w:sz w:val="24"/>
                <w:szCs w:val="24"/>
              </w:rPr>
            </w:pPr>
            <w:r w:rsidRPr="006C35E7">
              <w:rPr>
                <w:rFonts w:asciiTheme="minorHAnsi" w:hAnsiTheme="minorHAnsi" w:cstheme="minorHAnsi"/>
                <w:caps/>
                <w:sz w:val="24"/>
                <w:szCs w:val="24"/>
              </w:rPr>
              <w:t>Regional Office</w:t>
            </w:r>
          </w:p>
        </w:tc>
        <w:tc>
          <w:tcPr>
            <w:tcW w:w="1981" w:type="dxa"/>
            <w:shd w:val="clear" w:color="auto" w:fill="BDD6EE" w:themeFill="accent1" w:themeFillTint="66"/>
            <w:vAlign w:val="center"/>
          </w:tcPr>
          <w:p w14:paraId="1FB3CACE" w14:textId="14142AF8" w:rsidR="00492FFD" w:rsidRPr="006C35E7" w:rsidRDefault="00492FFD" w:rsidP="008B274E">
            <w:pPr>
              <w:pStyle w:val="TH-TableHeading"/>
              <w:rPr>
                <w:rFonts w:asciiTheme="minorHAnsi" w:hAnsiTheme="minorHAnsi" w:cstheme="minorHAnsi"/>
                <w:caps/>
                <w:sz w:val="24"/>
                <w:szCs w:val="24"/>
              </w:rPr>
            </w:pPr>
            <w:r w:rsidRPr="006C35E7">
              <w:rPr>
                <w:rFonts w:asciiTheme="minorHAnsi" w:hAnsiTheme="minorHAnsi" w:cstheme="minorHAnsi"/>
                <w:caps/>
                <w:sz w:val="24"/>
                <w:szCs w:val="24"/>
              </w:rPr>
              <w:t>respondent type</w:t>
            </w:r>
          </w:p>
        </w:tc>
        <w:tc>
          <w:tcPr>
            <w:tcW w:w="2213" w:type="dxa"/>
            <w:shd w:val="clear" w:color="auto" w:fill="BDD6EE" w:themeFill="accent1" w:themeFillTint="66"/>
            <w:vAlign w:val="center"/>
          </w:tcPr>
          <w:p w14:paraId="4F77FCEE" w14:textId="7CC1AC7A" w:rsidR="00492FFD" w:rsidRPr="006C35E7" w:rsidRDefault="00492FFD" w:rsidP="008B274E">
            <w:pPr>
              <w:pStyle w:val="TH-TableHeading"/>
              <w:rPr>
                <w:rFonts w:asciiTheme="minorHAnsi" w:hAnsiTheme="minorHAnsi" w:cstheme="minorHAnsi"/>
                <w:caps/>
                <w:sz w:val="24"/>
                <w:szCs w:val="24"/>
              </w:rPr>
            </w:pPr>
            <w:r w:rsidRPr="006C35E7">
              <w:rPr>
                <w:rFonts w:asciiTheme="minorHAnsi" w:hAnsiTheme="minorHAnsi" w:cstheme="minorHAnsi"/>
                <w:caps/>
                <w:sz w:val="24"/>
                <w:szCs w:val="24"/>
              </w:rPr>
              <w:t>Burden estimate (hours)</w:t>
            </w:r>
          </w:p>
        </w:tc>
        <w:tc>
          <w:tcPr>
            <w:tcW w:w="1297" w:type="dxa"/>
            <w:shd w:val="clear" w:color="auto" w:fill="BDD6EE" w:themeFill="accent1" w:themeFillTint="66"/>
            <w:vAlign w:val="center"/>
          </w:tcPr>
          <w:p w14:paraId="41B381A8" w14:textId="3088F9C3" w:rsidR="00492FFD" w:rsidRPr="006C35E7" w:rsidRDefault="00732105" w:rsidP="00492FFD">
            <w:pPr>
              <w:pStyle w:val="TH-TableHeading"/>
              <w:rPr>
                <w:rFonts w:asciiTheme="minorHAnsi" w:hAnsiTheme="minorHAnsi" w:cstheme="minorHAnsi"/>
                <w:caps/>
                <w:sz w:val="24"/>
                <w:szCs w:val="24"/>
              </w:rPr>
            </w:pPr>
            <w:r w:rsidRPr="006C35E7">
              <w:rPr>
                <w:rFonts w:asciiTheme="minorHAnsi" w:hAnsiTheme="minorHAnsi" w:cstheme="minorHAnsi"/>
                <w:caps/>
                <w:sz w:val="24"/>
                <w:szCs w:val="24"/>
              </w:rPr>
              <w:t xml:space="preserve">number of </w:t>
            </w:r>
            <w:r w:rsidR="00492FFD" w:rsidRPr="006C35E7">
              <w:rPr>
                <w:rFonts w:asciiTheme="minorHAnsi" w:hAnsiTheme="minorHAnsi" w:cstheme="minorHAnsi"/>
                <w:caps/>
                <w:sz w:val="24"/>
                <w:szCs w:val="24"/>
              </w:rPr>
              <w:t>years</w:t>
            </w:r>
          </w:p>
        </w:tc>
        <w:tc>
          <w:tcPr>
            <w:tcW w:w="1080" w:type="dxa"/>
            <w:shd w:val="clear" w:color="auto" w:fill="BDD6EE" w:themeFill="accent1" w:themeFillTint="66"/>
            <w:vAlign w:val="center"/>
          </w:tcPr>
          <w:p w14:paraId="492F03DD" w14:textId="3336359C" w:rsidR="00492FFD" w:rsidRPr="006C35E7" w:rsidRDefault="00492FFD" w:rsidP="008B274E">
            <w:pPr>
              <w:pStyle w:val="TH-TableHeading"/>
              <w:rPr>
                <w:rFonts w:asciiTheme="minorHAnsi" w:hAnsiTheme="minorHAnsi" w:cstheme="minorHAnsi"/>
                <w:caps/>
                <w:sz w:val="24"/>
                <w:szCs w:val="24"/>
              </w:rPr>
            </w:pPr>
            <w:r w:rsidRPr="006C35E7">
              <w:rPr>
                <w:rFonts w:asciiTheme="minorHAnsi" w:hAnsiTheme="minorHAnsi" w:cstheme="minorHAnsi"/>
                <w:caps/>
                <w:sz w:val="24"/>
                <w:szCs w:val="24"/>
              </w:rPr>
              <w:t>hourly wage</w:t>
            </w:r>
          </w:p>
        </w:tc>
        <w:tc>
          <w:tcPr>
            <w:tcW w:w="1733" w:type="dxa"/>
            <w:shd w:val="clear" w:color="auto" w:fill="BDD6EE" w:themeFill="accent1" w:themeFillTint="66"/>
            <w:vAlign w:val="center"/>
          </w:tcPr>
          <w:p w14:paraId="2BB4011D" w14:textId="769141DC" w:rsidR="00492FFD" w:rsidRPr="006C35E7" w:rsidRDefault="00492FFD" w:rsidP="008B274E">
            <w:pPr>
              <w:pStyle w:val="TH-TableHeading"/>
              <w:rPr>
                <w:rFonts w:asciiTheme="minorHAnsi" w:hAnsiTheme="minorHAnsi" w:cstheme="minorHAnsi"/>
                <w:caps/>
                <w:sz w:val="24"/>
                <w:szCs w:val="24"/>
              </w:rPr>
            </w:pPr>
            <w:r w:rsidRPr="006C35E7">
              <w:rPr>
                <w:rFonts w:asciiTheme="minorHAnsi" w:hAnsiTheme="minorHAnsi" w:cstheme="minorHAnsi"/>
                <w:caps/>
                <w:sz w:val="24"/>
                <w:szCs w:val="24"/>
              </w:rPr>
              <w:t>cost to federal government</w:t>
            </w:r>
          </w:p>
        </w:tc>
      </w:tr>
      <w:tr w:rsidR="006C35E7" w:rsidRPr="00FE3A74" w14:paraId="4D7FB481" w14:textId="77777777" w:rsidTr="009701BA">
        <w:tc>
          <w:tcPr>
            <w:tcW w:w="1254" w:type="dxa"/>
            <w:vAlign w:val="center"/>
          </w:tcPr>
          <w:p w14:paraId="70CFB371" w14:textId="53AB00A7"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rPr>
              <w:t>1</w:t>
            </w:r>
          </w:p>
        </w:tc>
        <w:tc>
          <w:tcPr>
            <w:tcW w:w="1981" w:type="dxa"/>
            <w:vAlign w:val="center"/>
          </w:tcPr>
          <w:p w14:paraId="6B23F14E" w14:textId="1056FDAD" w:rsidR="00732105" w:rsidRPr="00492FFD" w:rsidRDefault="00732105" w:rsidP="00732105">
            <w:pPr>
              <w:spacing w:before="40" w:line="240" w:lineRule="auto"/>
              <w:rPr>
                <w:rFonts w:ascii="Arial Narrow" w:hAnsi="Arial Narrow"/>
                <w:sz w:val="20"/>
              </w:rPr>
            </w:pPr>
            <w:r w:rsidRPr="00492FFD">
              <w:rPr>
                <w:rFonts w:ascii="Arial Narrow" w:hAnsi="Arial Narrow"/>
                <w:sz w:val="20"/>
              </w:rPr>
              <w:t>Regional Office Director</w:t>
            </w:r>
          </w:p>
        </w:tc>
        <w:tc>
          <w:tcPr>
            <w:tcW w:w="2213" w:type="dxa"/>
            <w:vAlign w:val="center"/>
          </w:tcPr>
          <w:p w14:paraId="5CED35E5" w14:textId="744E8A72" w:rsidR="00732105" w:rsidRPr="00492FFD" w:rsidRDefault="00732105" w:rsidP="00732105">
            <w:pPr>
              <w:spacing w:before="40" w:line="240" w:lineRule="auto"/>
              <w:jc w:val="center"/>
              <w:rPr>
                <w:rFonts w:ascii="Arial Narrow" w:hAnsi="Arial Narrow"/>
                <w:sz w:val="20"/>
              </w:rPr>
            </w:pPr>
            <w:r w:rsidRPr="00492FFD">
              <w:rPr>
                <w:rFonts w:ascii="Arial Narrow" w:hAnsi="Arial Narrow"/>
                <w:sz w:val="20"/>
              </w:rPr>
              <w:t>2.00</w:t>
            </w:r>
          </w:p>
        </w:tc>
        <w:tc>
          <w:tcPr>
            <w:tcW w:w="1297" w:type="dxa"/>
            <w:vAlign w:val="center"/>
          </w:tcPr>
          <w:p w14:paraId="763B28C3" w14:textId="7BCBEA0B" w:rsidR="00732105" w:rsidRPr="00492FFD" w:rsidRDefault="00732105" w:rsidP="00732105">
            <w:pPr>
              <w:pStyle w:val="TX-TableText"/>
              <w:spacing w:before="60" w:after="60" w:line="240" w:lineRule="auto"/>
              <w:jc w:val="center"/>
              <w:rPr>
                <w:rFonts w:ascii="Arial Narrow" w:hAnsi="Arial Narrow"/>
                <w:highlight w:val="yellow"/>
              </w:rPr>
            </w:pPr>
            <w:r>
              <w:rPr>
                <w:rFonts w:ascii="Arial Narrow" w:hAnsi="Arial Narrow" w:cs="Calibri"/>
                <w:color w:val="000000"/>
              </w:rPr>
              <w:t>1.00</w:t>
            </w:r>
          </w:p>
        </w:tc>
        <w:tc>
          <w:tcPr>
            <w:tcW w:w="1080" w:type="dxa"/>
            <w:vAlign w:val="center"/>
          </w:tcPr>
          <w:p w14:paraId="13397613" w14:textId="65F15752"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cs="Calibri"/>
                <w:color w:val="000000"/>
              </w:rPr>
              <w:t>$</w:t>
            </w:r>
            <w:r w:rsidR="004014B5">
              <w:rPr>
                <w:rFonts w:ascii="Arial Narrow" w:hAnsi="Arial Narrow" w:cs="Calibri"/>
                <w:color w:val="000000"/>
              </w:rPr>
              <w:t>35.06</w:t>
            </w:r>
          </w:p>
        </w:tc>
        <w:tc>
          <w:tcPr>
            <w:tcW w:w="1733" w:type="dxa"/>
            <w:vAlign w:val="center"/>
          </w:tcPr>
          <w:p w14:paraId="1E736F40" w14:textId="5466BC27"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Pr>
                <w:rFonts w:ascii="Arial Narrow" w:hAnsi="Arial Narrow" w:cs="Calibri"/>
                <w:color w:val="000000"/>
              </w:rPr>
              <w:t>70.12</w:t>
            </w:r>
            <w:r>
              <w:rPr>
                <w:rFonts w:ascii="Arial Narrow" w:hAnsi="Arial Narrow" w:cs="Calibri"/>
                <w:color w:val="000000"/>
              </w:rPr>
              <w:t xml:space="preserve"> </w:t>
            </w:r>
          </w:p>
        </w:tc>
      </w:tr>
      <w:tr w:rsidR="006C35E7" w:rsidRPr="00FE3A74" w14:paraId="3FB6BE5D" w14:textId="77777777" w:rsidTr="009701BA">
        <w:tc>
          <w:tcPr>
            <w:tcW w:w="1254" w:type="dxa"/>
            <w:vAlign w:val="center"/>
          </w:tcPr>
          <w:p w14:paraId="373C92EE" w14:textId="7F78B1E8"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rPr>
              <w:t>2</w:t>
            </w:r>
          </w:p>
        </w:tc>
        <w:tc>
          <w:tcPr>
            <w:tcW w:w="1981" w:type="dxa"/>
            <w:vAlign w:val="center"/>
          </w:tcPr>
          <w:p w14:paraId="29DD74AD" w14:textId="619E46A4" w:rsidR="00732105" w:rsidRPr="00492FFD" w:rsidRDefault="00732105" w:rsidP="00732105">
            <w:pPr>
              <w:pStyle w:val="TX-TableText"/>
              <w:spacing w:before="60" w:after="60" w:line="240" w:lineRule="auto"/>
              <w:rPr>
                <w:rFonts w:ascii="Arial Narrow" w:hAnsi="Arial Narrow"/>
                <w:highlight w:val="yellow"/>
              </w:rPr>
            </w:pPr>
            <w:r w:rsidRPr="00492FFD">
              <w:rPr>
                <w:rFonts w:ascii="Arial Narrow" w:hAnsi="Arial Narrow"/>
              </w:rPr>
              <w:t>Regional Office Director</w:t>
            </w:r>
          </w:p>
        </w:tc>
        <w:tc>
          <w:tcPr>
            <w:tcW w:w="2213" w:type="dxa"/>
            <w:vAlign w:val="center"/>
          </w:tcPr>
          <w:p w14:paraId="2FD1DDE0" w14:textId="67BC071E" w:rsidR="00732105" w:rsidRPr="00492FFD" w:rsidRDefault="00732105" w:rsidP="00732105">
            <w:pPr>
              <w:spacing w:before="40" w:line="240" w:lineRule="auto"/>
              <w:ind w:left="-164" w:right="-185"/>
              <w:jc w:val="center"/>
              <w:rPr>
                <w:rFonts w:ascii="Arial Narrow" w:hAnsi="Arial Narrow"/>
                <w:sz w:val="20"/>
              </w:rPr>
            </w:pPr>
            <w:r w:rsidRPr="00492FFD">
              <w:rPr>
                <w:rFonts w:ascii="Arial Narrow" w:hAnsi="Arial Narrow"/>
                <w:sz w:val="20"/>
              </w:rPr>
              <w:t>2.00</w:t>
            </w:r>
          </w:p>
        </w:tc>
        <w:tc>
          <w:tcPr>
            <w:tcW w:w="1297" w:type="dxa"/>
            <w:vAlign w:val="center"/>
          </w:tcPr>
          <w:p w14:paraId="13F2D60F" w14:textId="30D0B199" w:rsidR="00732105" w:rsidRPr="00492FFD" w:rsidRDefault="00732105" w:rsidP="00732105">
            <w:pPr>
              <w:pStyle w:val="TX-TableText"/>
              <w:spacing w:before="60" w:after="60" w:line="240" w:lineRule="auto"/>
              <w:jc w:val="center"/>
              <w:rPr>
                <w:rFonts w:ascii="Arial Narrow" w:hAnsi="Arial Narrow"/>
                <w:highlight w:val="yellow"/>
              </w:rPr>
            </w:pPr>
            <w:r>
              <w:rPr>
                <w:rFonts w:ascii="Arial Narrow" w:hAnsi="Arial Narrow" w:cs="Calibri"/>
                <w:color w:val="000000"/>
              </w:rPr>
              <w:t>2.00</w:t>
            </w:r>
          </w:p>
        </w:tc>
        <w:tc>
          <w:tcPr>
            <w:tcW w:w="1080" w:type="dxa"/>
            <w:vAlign w:val="center"/>
          </w:tcPr>
          <w:p w14:paraId="2139A9BA" w14:textId="044D038E"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cs="Calibri"/>
                <w:color w:val="000000"/>
              </w:rPr>
              <w:t>$</w:t>
            </w:r>
            <w:r w:rsidR="004014B5">
              <w:rPr>
                <w:rFonts w:ascii="Arial Narrow" w:hAnsi="Arial Narrow" w:cs="Calibri"/>
                <w:color w:val="000000"/>
              </w:rPr>
              <w:t>35.06</w:t>
            </w:r>
          </w:p>
        </w:tc>
        <w:tc>
          <w:tcPr>
            <w:tcW w:w="1733" w:type="dxa"/>
            <w:vAlign w:val="center"/>
          </w:tcPr>
          <w:p w14:paraId="3C3105C2" w14:textId="513A0CA1"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Pr>
                <w:rFonts w:ascii="Arial Narrow" w:hAnsi="Arial Narrow" w:cs="Calibri"/>
                <w:color w:val="000000"/>
              </w:rPr>
              <w:t>140.24</w:t>
            </w:r>
            <w:r>
              <w:rPr>
                <w:rFonts w:ascii="Arial Narrow" w:hAnsi="Arial Narrow" w:cs="Calibri"/>
                <w:color w:val="000000"/>
              </w:rPr>
              <w:t xml:space="preserve"> </w:t>
            </w:r>
          </w:p>
        </w:tc>
      </w:tr>
      <w:tr w:rsidR="006C35E7" w:rsidRPr="00FE3A74" w14:paraId="00B4D753" w14:textId="77777777" w:rsidTr="009701BA">
        <w:tc>
          <w:tcPr>
            <w:tcW w:w="1254" w:type="dxa"/>
            <w:vAlign w:val="center"/>
          </w:tcPr>
          <w:p w14:paraId="60B1DC49" w14:textId="20783C33"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rPr>
              <w:t>3</w:t>
            </w:r>
          </w:p>
        </w:tc>
        <w:tc>
          <w:tcPr>
            <w:tcW w:w="1981" w:type="dxa"/>
            <w:vAlign w:val="center"/>
          </w:tcPr>
          <w:p w14:paraId="225CC8F1" w14:textId="5CFDF594" w:rsidR="00732105" w:rsidRPr="00492FFD" w:rsidRDefault="00732105" w:rsidP="00732105">
            <w:pPr>
              <w:spacing w:before="40" w:line="240" w:lineRule="auto"/>
              <w:rPr>
                <w:rFonts w:ascii="Arial Narrow" w:hAnsi="Arial Narrow"/>
                <w:sz w:val="20"/>
              </w:rPr>
            </w:pPr>
            <w:r w:rsidRPr="00492FFD">
              <w:rPr>
                <w:rFonts w:ascii="Arial Narrow" w:hAnsi="Arial Narrow"/>
                <w:sz w:val="20"/>
              </w:rPr>
              <w:t>Regional Office Director</w:t>
            </w:r>
          </w:p>
        </w:tc>
        <w:tc>
          <w:tcPr>
            <w:tcW w:w="2213" w:type="dxa"/>
            <w:vAlign w:val="center"/>
          </w:tcPr>
          <w:p w14:paraId="5C959905" w14:textId="15C326E1" w:rsidR="00732105" w:rsidRPr="00492FFD" w:rsidRDefault="00732105" w:rsidP="00732105">
            <w:pPr>
              <w:spacing w:before="40" w:line="240" w:lineRule="auto"/>
              <w:jc w:val="center"/>
              <w:rPr>
                <w:rFonts w:ascii="Arial Narrow" w:hAnsi="Arial Narrow"/>
                <w:sz w:val="20"/>
              </w:rPr>
            </w:pPr>
            <w:r w:rsidRPr="00492FFD">
              <w:rPr>
                <w:rFonts w:ascii="Arial Narrow" w:hAnsi="Arial Narrow"/>
                <w:sz w:val="20"/>
              </w:rPr>
              <w:t>2.00</w:t>
            </w:r>
          </w:p>
        </w:tc>
        <w:tc>
          <w:tcPr>
            <w:tcW w:w="1297" w:type="dxa"/>
            <w:vAlign w:val="center"/>
          </w:tcPr>
          <w:p w14:paraId="42F5E87C" w14:textId="3B03525B" w:rsidR="00732105" w:rsidRPr="00492FFD" w:rsidRDefault="00732105" w:rsidP="00732105">
            <w:pPr>
              <w:pStyle w:val="TX-TableText"/>
              <w:spacing w:before="60" w:after="60" w:line="240" w:lineRule="auto"/>
              <w:jc w:val="center"/>
              <w:rPr>
                <w:rFonts w:ascii="Arial Narrow" w:hAnsi="Arial Narrow"/>
                <w:highlight w:val="yellow"/>
              </w:rPr>
            </w:pPr>
            <w:r>
              <w:rPr>
                <w:rFonts w:ascii="Arial Narrow" w:hAnsi="Arial Narrow" w:cs="Calibri"/>
                <w:color w:val="000000"/>
              </w:rPr>
              <w:t>2.00</w:t>
            </w:r>
          </w:p>
        </w:tc>
        <w:tc>
          <w:tcPr>
            <w:tcW w:w="1080" w:type="dxa"/>
            <w:vAlign w:val="center"/>
          </w:tcPr>
          <w:p w14:paraId="721C3BFD" w14:textId="7920BDA2"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cs="Calibri"/>
                <w:color w:val="000000"/>
              </w:rPr>
              <w:t>$</w:t>
            </w:r>
            <w:r w:rsidR="004014B5">
              <w:rPr>
                <w:rFonts w:ascii="Arial Narrow" w:hAnsi="Arial Narrow" w:cs="Calibri"/>
                <w:color w:val="000000"/>
              </w:rPr>
              <w:t>35.06</w:t>
            </w:r>
          </w:p>
        </w:tc>
        <w:tc>
          <w:tcPr>
            <w:tcW w:w="1733" w:type="dxa"/>
            <w:vAlign w:val="center"/>
          </w:tcPr>
          <w:p w14:paraId="40365DAF" w14:textId="097B4D0C"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sidRPr="004014B5">
              <w:rPr>
                <w:rFonts w:ascii="Arial Narrow" w:hAnsi="Arial Narrow" w:cs="Calibri"/>
                <w:color w:val="000000"/>
              </w:rPr>
              <w:t>140.24</w:t>
            </w:r>
          </w:p>
        </w:tc>
      </w:tr>
      <w:tr w:rsidR="006C35E7" w:rsidRPr="00FE3A74" w14:paraId="22E9EEF3" w14:textId="77777777" w:rsidTr="009701BA">
        <w:tc>
          <w:tcPr>
            <w:tcW w:w="1254" w:type="dxa"/>
            <w:vAlign w:val="center"/>
          </w:tcPr>
          <w:p w14:paraId="34B528FA" w14:textId="23C22E2E"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rPr>
              <w:t>4</w:t>
            </w:r>
          </w:p>
        </w:tc>
        <w:tc>
          <w:tcPr>
            <w:tcW w:w="1981" w:type="dxa"/>
            <w:vAlign w:val="center"/>
          </w:tcPr>
          <w:p w14:paraId="69011762" w14:textId="213EC098" w:rsidR="00732105" w:rsidRPr="00492FFD" w:rsidRDefault="00732105" w:rsidP="00732105">
            <w:pPr>
              <w:spacing w:before="40" w:line="240" w:lineRule="auto"/>
              <w:rPr>
                <w:rFonts w:ascii="Arial Narrow" w:hAnsi="Arial Narrow"/>
                <w:sz w:val="20"/>
              </w:rPr>
            </w:pPr>
            <w:r w:rsidRPr="00492FFD">
              <w:rPr>
                <w:rFonts w:ascii="Arial Narrow" w:hAnsi="Arial Narrow"/>
                <w:sz w:val="20"/>
              </w:rPr>
              <w:t>Regional Office Director</w:t>
            </w:r>
          </w:p>
        </w:tc>
        <w:tc>
          <w:tcPr>
            <w:tcW w:w="2213" w:type="dxa"/>
            <w:vAlign w:val="center"/>
          </w:tcPr>
          <w:p w14:paraId="74C493C0" w14:textId="7F6F5DFB" w:rsidR="00732105" w:rsidRPr="00492FFD" w:rsidRDefault="00732105" w:rsidP="00732105">
            <w:pPr>
              <w:spacing w:before="40" w:line="240" w:lineRule="auto"/>
              <w:jc w:val="center"/>
              <w:rPr>
                <w:rFonts w:ascii="Arial Narrow" w:hAnsi="Arial Narrow"/>
                <w:sz w:val="20"/>
              </w:rPr>
            </w:pPr>
            <w:r w:rsidRPr="00492FFD">
              <w:rPr>
                <w:rFonts w:ascii="Arial Narrow" w:hAnsi="Arial Narrow"/>
                <w:sz w:val="20"/>
              </w:rPr>
              <w:t>2.00</w:t>
            </w:r>
          </w:p>
        </w:tc>
        <w:tc>
          <w:tcPr>
            <w:tcW w:w="1297" w:type="dxa"/>
            <w:vAlign w:val="center"/>
          </w:tcPr>
          <w:p w14:paraId="58B043F8" w14:textId="5A476C9F" w:rsidR="00732105" w:rsidRPr="00492FFD" w:rsidRDefault="00732105" w:rsidP="00732105">
            <w:pPr>
              <w:pStyle w:val="TX-TableText"/>
              <w:spacing w:before="60" w:after="60" w:line="240" w:lineRule="auto"/>
              <w:jc w:val="center"/>
              <w:rPr>
                <w:rFonts w:ascii="Arial Narrow" w:hAnsi="Arial Narrow"/>
                <w:highlight w:val="yellow"/>
              </w:rPr>
            </w:pPr>
            <w:r>
              <w:rPr>
                <w:rFonts w:ascii="Arial Narrow" w:hAnsi="Arial Narrow" w:cs="Calibri"/>
                <w:color w:val="000000"/>
              </w:rPr>
              <w:t>2.00</w:t>
            </w:r>
          </w:p>
        </w:tc>
        <w:tc>
          <w:tcPr>
            <w:tcW w:w="1080" w:type="dxa"/>
            <w:vAlign w:val="center"/>
          </w:tcPr>
          <w:p w14:paraId="34652B28" w14:textId="21EA3AB0"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cs="Calibri"/>
                <w:color w:val="000000"/>
              </w:rPr>
              <w:t>$</w:t>
            </w:r>
            <w:r w:rsidR="004014B5">
              <w:rPr>
                <w:rFonts w:ascii="Arial Narrow" w:hAnsi="Arial Narrow" w:cs="Calibri"/>
                <w:color w:val="000000"/>
              </w:rPr>
              <w:t>35.06</w:t>
            </w:r>
          </w:p>
        </w:tc>
        <w:tc>
          <w:tcPr>
            <w:tcW w:w="1733" w:type="dxa"/>
            <w:vAlign w:val="center"/>
          </w:tcPr>
          <w:p w14:paraId="2835617E" w14:textId="011EF080"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sidRPr="004014B5">
              <w:rPr>
                <w:rFonts w:ascii="Arial Narrow" w:hAnsi="Arial Narrow" w:cs="Calibri"/>
                <w:color w:val="000000"/>
              </w:rPr>
              <w:t>140.24</w:t>
            </w:r>
          </w:p>
        </w:tc>
      </w:tr>
      <w:tr w:rsidR="006C35E7" w:rsidRPr="00FE3A74" w14:paraId="01A6F2D2" w14:textId="77777777" w:rsidTr="009701BA">
        <w:tc>
          <w:tcPr>
            <w:tcW w:w="1254" w:type="dxa"/>
            <w:vAlign w:val="center"/>
          </w:tcPr>
          <w:p w14:paraId="0380A165" w14:textId="7FF242A6"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rPr>
              <w:t>5</w:t>
            </w:r>
          </w:p>
        </w:tc>
        <w:tc>
          <w:tcPr>
            <w:tcW w:w="1981" w:type="dxa"/>
            <w:vAlign w:val="center"/>
          </w:tcPr>
          <w:p w14:paraId="6AEC5482" w14:textId="4323D6D3" w:rsidR="00732105" w:rsidRPr="00492FFD" w:rsidRDefault="00732105" w:rsidP="00732105">
            <w:pPr>
              <w:pStyle w:val="TX-TableText"/>
              <w:spacing w:before="60" w:after="60" w:line="240" w:lineRule="auto"/>
              <w:rPr>
                <w:rFonts w:ascii="Arial Narrow" w:hAnsi="Arial Narrow"/>
              </w:rPr>
            </w:pPr>
            <w:r w:rsidRPr="00492FFD">
              <w:rPr>
                <w:rFonts w:ascii="Arial Narrow" w:hAnsi="Arial Narrow"/>
              </w:rPr>
              <w:t>Regional Office Director</w:t>
            </w:r>
          </w:p>
        </w:tc>
        <w:tc>
          <w:tcPr>
            <w:tcW w:w="2213" w:type="dxa"/>
            <w:vAlign w:val="center"/>
          </w:tcPr>
          <w:p w14:paraId="5EBB935E" w14:textId="50F52AF4" w:rsidR="00732105" w:rsidRPr="00492FFD" w:rsidRDefault="00732105" w:rsidP="00732105">
            <w:pPr>
              <w:pStyle w:val="TX-TableText"/>
              <w:spacing w:before="60" w:after="60" w:line="240" w:lineRule="auto"/>
              <w:jc w:val="center"/>
              <w:rPr>
                <w:rFonts w:ascii="Arial Narrow" w:hAnsi="Arial Narrow"/>
              </w:rPr>
            </w:pPr>
            <w:r w:rsidRPr="00492FFD">
              <w:rPr>
                <w:rFonts w:ascii="Arial Narrow" w:hAnsi="Arial Narrow"/>
              </w:rPr>
              <w:t>2.00</w:t>
            </w:r>
          </w:p>
        </w:tc>
        <w:tc>
          <w:tcPr>
            <w:tcW w:w="1297" w:type="dxa"/>
            <w:vAlign w:val="center"/>
          </w:tcPr>
          <w:p w14:paraId="2CE52F40" w14:textId="1404990C" w:rsidR="00732105" w:rsidRPr="00492FFD"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2.00</w:t>
            </w:r>
          </w:p>
        </w:tc>
        <w:tc>
          <w:tcPr>
            <w:tcW w:w="1080" w:type="dxa"/>
            <w:vAlign w:val="center"/>
          </w:tcPr>
          <w:p w14:paraId="5D11556A" w14:textId="4A27B9C4"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cs="Calibri"/>
                <w:color w:val="000000"/>
              </w:rPr>
              <w:t>$</w:t>
            </w:r>
            <w:r w:rsidR="004014B5">
              <w:rPr>
                <w:rFonts w:ascii="Arial Narrow" w:hAnsi="Arial Narrow" w:cs="Calibri"/>
                <w:color w:val="000000"/>
              </w:rPr>
              <w:t>35.06</w:t>
            </w:r>
          </w:p>
        </w:tc>
        <w:tc>
          <w:tcPr>
            <w:tcW w:w="1733" w:type="dxa"/>
            <w:vAlign w:val="center"/>
          </w:tcPr>
          <w:p w14:paraId="7D069C4B" w14:textId="5905F685"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sidRPr="004014B5">
              <w:rPr>
                <w:rFonts w:ascii="Arial Narrow" w:hAnsi="Arial Narrow" w:cs="Calibri"/>
                <w:color w:val="000000"/>
              </w:rPr>
              <w:t>140.24</w:t>
            </w:r>
          </w:p>
        </w:tc>
      </w:tr>
      <w:tr w:rsidR="00732105" w:rsidRPr="00FE3A74" w14:paraId="6255C9FC" w14:textId="77777777" w:rsidTr="009701BA">
        <w:tc>
          <w:tcPr>
            <w:tcW w:w="1254" w:type="dxa"/>
            <w:vAlign w:val="center"/>
          </w:tcPr>
          <w:p w14:paraId="64F5BD7D" w14:textId="6E716DAC"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rPr>
              <w:t>6</w:t>
            </w:r>
          </w:p>
        </w:tc>
        <w:tc>
          <w:tcPr>
            <w:tcW w:w="1981" w:type="dxa"/>
            <w:vAlign w:val="center"/>
          </w:tcPr>
          <w:p w14:paraId="42735015" w14:textId="3AEF999E" w:rsidR="00732105" w:rsidRPr="000B75F5" w:rsidRDefault="00732105" w:rsidP="00732105">
            <w:pPr>
              <w:pStyle w:val="TX-TableText"/>
              <w:spacing w:before="60" w:after="60" w:line="240" w:lineRule="auto"/>
              <w:rPr>
                <w:rFonts w:ascii="Arial Narrow" w:hAnsi="Arial Narrow"/>
              </w:rPr>
            </w:pPr>
            <w:r w:rsidRPr="000B75F5">
              <w:rPr>
                <w:rFonts w:ascii="Arial Narrow" w:hAnsi="Arial Narrow"/>
              </w:rPr>
              <w:t>Regional Office Director</w:t>
            </w:r>
          </w:p>
        </w:tc>
        <w:tc>
          <w:tcPr>
            <w:tcW w:w="2213" w:type="dxa"/>
            <w:vAlign w:val="center"/>
          </w:tcPr>
          <w:p w14:paraId="5CD41024" w14:textId="14E5077C" w:rsidR="00732105" w:rsidRPr="000B75F5" w:rsidRDefault="00732105" w:rsidP="00732105">
            <w:pPr>
              <w:pStyle w:val="TX-TableText"/>
              <w:spacing w:before="60" w:after="60" w:line="240" w:lineRule="auto"/>
              <w:jc w:val="center"/>
              <w:rPr>
                <w:rFonts w:ascii="Arial Narrow" w:hAnsi="Arial Narrow"/>
              </w:rPr>
            </w:pPr>
            <w:r w:rsidRPr="000B75F5">
              <w:rPr>
                <w:rFonts w:ascii="Arial Narrow" w:hAnsi="Arial Narrow"/>
              </w:rPr>
              <w:t>2.00</w:t>
            </w:r>
          </w:p>
        </w:tc>
        <w:tc>
          <w:tcPr>
            <w:tcW w:w="1297" w:type="dxa"/>
            <w:vAlign w:val="center"/>
          </w:tcPr>
          <w:p w14:paraId="4E7C1F1A" w14:textId="5AC21D11"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2.00</w:t>
            </w:r>
          </w:p>
        </w:tc>
        <w:tc>
          <w:tcPr>
            <w:tcW w:w="1080" w:type="dxa"/>
            <w:vAlign w:val="center"/>
          </w:tcPr>
          <w:p w14:paraId="0AC2031D" w14:textId="54CF2DB9"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Pr>
                <w:rFonts w:ascii="Arial Narrow" w:hAnsi="Arial Narrow" w:cs="Calibri"/>
                <w:color w:val="000000"/>
              </w:rPr>
              <w:t>35.06</w:t>
            </w:r>
          </w:p>
        </w:tc>
        <w:tc>
          <w:tcPr>
            <w:tcW w:w="1733" w:type="dxa"/>
            <w:vAlign w:val="center"/>
          </w:tcPr>
          <w:p w14:paraId="4FFE1AC5" w14:textId="741BDEDC"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sidRPr="004014B5">
              <w:rPr>
                <w:rFonts w:ascii="Arial Narrow" w:hAnsi="Arial Narrow" w:cs="Calibri"/>
                <w:color w:val="000000"/>
              </w:rPr>
              <w:t>140.24</w:t>
            </w:r>
          </w:p>
        </w:tc>
      </w:tr>
      <w:tr w:rsidR="00732105" w:rsidRPr="00FE3A74" w14:paraId="3274A68B" w14:textId="77777777" w:rsidTr="009701BA">
        <w:tc>
          <w:tcPr>
            <w:tcW w:w="1254" w:type="dxa"/>
            <w:vAlign w:val="center"/>
          </w:tcPr>
          <w:p w14:paraId="0FB53FD3" w14:textId="5318A823" w:rsidR="00732105" w:rsidRPr="00084E1A" w:rsidRDefault="00732105" w:rsidP="00732105">
            <w:pPr>
              <w:pStyle w:val="TX-TableText"/>
              <w:spacing w:before="60" w:after="60" w:line="240" w:lineRule="auto"/>
              <w:jc w:val="center"/>
              <w:rPr>
                <w:rFonts w:ascii="Arial Narrow" w:hAnsi="Arial Narrow"/>
              </w:rPr>
            </w:pPr>
            <w:r w:rsidRPr="00084E1A">
              <w:rPr>
                <w:rFonts w:ascii="Arial Narrow" w:hAnsi="Arial Narrow"/>
              </w:rPr>
              <w:t>7</w:t>
            </w:r>
          </w:p>
        </w:tc>
        <w:tc>
          <w:tcPr>
            <w:tcW w:w="1981" w:type="dxa"/>
            <w:vAlign w:val="center"/>
          </w:tcPr>
          <w:p w14:paraId="375E3055" w14:textId="6FFC35B5" w:rsidR="00732105" w:rsidRPr="000B75F5" w:rsidRDefault="00732105" w:rsidP="00732105">
            <w:pPr>
              <w:pStyle w:val="TX-TableText"/>
              <w:spacing w:before="60" w:after="60" w:line="240" w:lineRule="auto"/>
              <w:rPr>
                <w:rFonts w:ascii="Arial Narrow" w:hAnsi="Arial Narrow"/>
              </w:rPr>
            </w:pPr>
            <w:r w:rsidRPr="000B75F5">
              <w:rPr>
                <w:rFonts w:ascii="Arial Narrow" w:hAnsi="Arial Narrow"/>
              </w:rPr>
              <w:t>Regional Office Director</w:t>
            </w:r>
          </w:p>
        </w:tc>
        <w:tc>
          <w:tcPr>
            <w:tcW w:w="2213" w:type="dxa"/>
            <w:vAlign w:val="center"/>
          </w:tcPr>
          <w:p w14:paraId="33710CF0" w14:textId="39A558DD" w:rsidR="00732105" w:rsidRPr="000B75F5" w:rsidRDefault="00732105" w:rsidP="00732105">
            <w:pPr>
              <w:pStyle w:val="TX-TableText"/>
              <w:spacing w:before="60" w:after="60" w:line="240" w:lineRule="auto"/>
              <w:jc w:val="center"/>
              <w:rPr>
                <w:rFonts w:ascii="Arial Narrow" w:hAnsi="Arial Narrow"/>
              </w:rPr>
            </w:pPr>
            <w:r w:rsidRPr="000B75F5">
              <w:rPr>
                <w:rFonts w:ascii="Arial Narrow" w:hAnsi="Arial Narrow"/>
              </w:rPr>
              <w:t>2.00</w:t>
            </w:r>
          </w:p>
        </w:tc>
        <w:tc>
          <w:tcPr>
            <w:tcW w:w="1297" w:type="dxa"/>
            <w:vAlign w:val="center"/>
          </w:tcPr>
          <w:p w14:paraId="130A27C9" w14:textId="6FDFE400"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2.00</w:t>
            </w:r>
          </w:p>
        </w:tc>
        <w:tc>
          <w:tcPr>
            <w:tcW w:w="1080" w:type="dxa"/>
            <w:vAlign w:val="center"/>
          </w:tcPr>
          <w:p w14:paraId="07A50045" w14:textId="6C41859F"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Pr>
                <w:rFonts w:ascii="Arial Narrow" w:hAnsi="Arial Narrow" w:cs="Calibri"/>
                <w:color w:val="000000"/>
              </w:rPr>
              <w:t>35.06</w:t>
            </w:r>
          </w:p>
        </w:tc>
        <w:tc>
          <w:tcPr>
            <w:tcW w:w="1733" w:type="dxa"/>
            <w:vAlign w:val="center"/>
          </w:tcPr>
          <w:p w14:paraId="60081E06" w14:textId="54E6BFCA" w:rsidR="00732105" w:rsidRPr="000B75F5" w:rsidRDefault="00732105" w:rsidP="00732105">
            <w:pPr>
              <w:pStyle w:val="TX-TableText"/>
              <w:spacing w:before="60" w:after="60" w:line="240" w:lineRule="auto"/>
              <w:jc w:val="center"/>
              <w:rPr>
                <w:rFonts w:ascii="Arial Narrow" w:hAnsi="Arial Narrow"/>
              </w:rPr>
            </w:pPr>
            <w:r>
              <w:rPr>
                <w:rFonts w:ascii="Arial Narrow" w:hAnsi="Arial Narrow" w:cs="Calibri"/>
                <w:color w:val="000000"/>
              </w:rPr>
              <w:t>$</w:t>
            </w:r>
            <w:r w:rsidR="004014B5" w:rsidRPr="004014B5">
              <w:rPr>
                <w:rFonts w:ascii="Arial Narrow" w:hAnsi="Arial Narrow" w:cs="Calibri"/>
                <w:color w:val="000000"/>
              </w:rPr>
              <w:t>140.24</w:t>
            </w:r>
          </w:p>
        </w:tc>
      </w:tr>
      <w:tr w:rsidR="00732105" w:rsidRPr="00FE3A74" w14:paraId="0AC9A61E" w14:textId="77777777" w:rsidTr="009701BA">
        <w:tc>
          <w:tcPr>
            <w:tcW w:w="3235" w:type="dxa"/>
            <w:gridSpan w:val="2"/>
            <w:vAlign w:val="center"/>
          </w:tcPr>
          <w:p w14:paraId="670AB4F7" w14:textId="1AFCFEB9" w:rsidR="000B75F5" w:rsidRPr="000B75F5" w:rsidRDefault="000B75F5" w:rsidP="000B75F5">
            <w:pPr>
              <w:pStyle w:val="TX-TableText"/>
              <w:spacing w:before="60" w:after="60" w:line="240" w:lineRule="auto"/>
              <w:jc w:val="right"/>
              <w:rPr>
                <w:rFonts w:ascii="Arial Narrow" w:hAnsi="Arial Narrow"/>
                <w:b/>
              </w:rPr>
            </w:pPr>
            <w:r w:rsidRPr="000B75F5">
              <w:rPr>
                <w:rFonts w:ascii="Arial Narrow" w:hAnsi="Arial Narrow"/>
                <w:b/>
              </w:rPr>
              <w:t>TOTAL</w:t>
            </w:r>
            <w:r w:rsidR="007E7577">
              <w:rPr>
                <w:rFonts w:ascii="Arial Narrow" w:hAnsi="Arial Narrow"/>
                <w:b/>
              </w:rPr>
              <w:t xml:space="preserve"> (</w:t>
            </w:r>
            <w:r w:rsidR="007D670B">
              <w:rPr>
                <w:rFonts w:ascii="Arial Narrow" w:hAnsi="Arial Narrow"/>
                <w:b/>
              </w:rPr>
              <w:t>3 Years</w:t>
            </w:r>
            <w:r w:rsidR="007E7577">
              <w:rPr>
                <w:rFonts w:ascii="Arial Narrow" w:hAnsi="Arial Narrow"/>
                <w:b/>
              </w:rPr>
              <w:t>)</w:t>
            </w:r>
          </w:p>
        </w:tc>
        <w:tc>
          <w:tcPr>
            <w:tcW w:w="2213" w:type="dxa"/>
            <w:vAlign w:val="center"/>
          </w:tcPr>
          <w:p w14:paraId="20CD4CD0" w14:textId="25649FF8" w:rsidR="000B75F5" w:rsidRPr="000B75F5" w:rsidRDefault="000B75F5" w:rsidP="00084E1A">
            <w:pPr>
              <w:pStyle w:val="TX-TableText"/>
              <w:spacing w:before="60" w:after="60" w:line="240" w:lineRule="auto"/>
              <w:jc w:val="center"/>
              <w:rPr>
                <w:rFonts w:ascii="Arial Narrow" w:hAnsi="Arial Narrow"/>
                <w:b/>
              </w:rPr>
            </w:pPr>
            <w:r w:rsidRPr="000B75F5">
              <w:rPr>
                <w:rFonts w:ascii="Arial Narrow" w:hAnsi="Arial Narrow"/>
                <w:b/>
              </w:rPr>
              <w:t>14.00</w:t>
            </w:r>
          </w:p>
        </w:tc>
        <w:tc>
          <w:tcPr>
            <w:tcW w:w="1297" w:type="dxa"/>
            <w:vAlign w:val="center"/>
          </w:tcPr>
          <w:p w14:paraId="7F087C4F" w14:textId="77777777" w:rsidR="000B75F5" w:rsidRPr="000B75F5" w:rsidRDefault="000B75F5" w:rsidP="00084E1A">
            <w:pPr>
              <w:pStyle w:val="TX-TableText"/>
              <w:spacing w:before="60" w:after="60" w:line="240" w:lineRule="auto"/>
              <w:jc w:val="center"/>
              <w:rPr>
                <w:rFonts w:ascii="Arial Narrow" w:hAnsi="Arial Narrow"/>
                <w:b/>
              </w:rPr>
            </w:pPr>
          </w:p>
        </w:tc>
        <w:tc>
          <w:tcPr>
            <w:tcW w:w="1080" w:type="dxa"/>
            <w:vAlign w:val="center"/>
          </w:tcPr>
          <w:p w14:paraId="0395DE1C" w14:textId="77777777" w:rsidR="000B75F5" w:rsidRPr="000B75F5" w:rsidRDefault="000B75F5" w:rsidP="00084E1A">
            <w:pPr>
              <w:pStyle w:val="TX-TableText"/>
              <w:spacing w:before="60" w:after="60" w:line="240" w:lineRule="auto"/>
              <w:jc w:val="center"/>
              <w:rPr>
                <w:rFonts w:ascii="Arial Narrow" w:hAnsi="Arial Narrow"/>
                <w:b/>
              </w:rPr>
            </w:pPr>
          </w:p>
        </w:tc>
        <w:tc>
          <w:tcPr>
            <w:tcW w:w="1733" w:type="dxa"/>
            <w:vAlign w:val="center"/>
          </w:tcPr>
          <w:p w14:paraId="277691F2" w14:textId="76C4B6BA" w:rsidR="000B75F5" w:rsidRPr="000B75F5" w:rsidRDefault="00084E1A" w:rsidP="00084E1A">
            <w:pPr>
              <w:spacing w:line="240" w:lineRule="auto"/>
              <w:jc w:val="center"/>
              <w:rPr>
                <w:rFonts w:ascii="Arial Narrow" w:hAnsi="Arial Narrow" w:cs="Calibri"/>
                <w:b/>
                <w:bCs/>
                <w:color w:val="000000"/>
                <w:sz w:val="20"/>
              </w:rPr>
            </w:pPr>
            <w:r>
              <w:rPr>
                <w:rFonts w:ascii="Arial Narrow" w:hAnsi="Arial Narrow" w:cs="Calibri"/>
                <w:b/>
                <w:bCs/>
                <w:color w:val="000000"/>
                <w:sz w:val="20"/>
              </w:rPr>
              <w:fldChar w:fldCharType="begin"/>
            </w:r>
            <w:r>
              <w:rPr>
                <w:rFonts w:ascii="Arial Narrow" w:hAnsi="Arial Narrow" w:cs="Calibri"/>
                <w:b/>
                <w:bCs/>
                <w:color w:val="000000"/>
                <w:sz w:val="20"/>
              </w:rPr>
              <w:instrText xml:space="preserve"> =SUM(ABOVE) </w:instrText>
            </w:r>
            <w:r>
              <w:rPr>
                <w:rFonts w:ascii="Arial Narrow" w:hAnsi="Arial Narrow" w:cs="Calibri"/>
                <w:b/>
                <w:bCs/>
                <w:color w:val="000000"/>
                <w:sz w:val="20"/>
              </w:rPr>
              <w:fldChar w:fldCharType="separate"/>
            </w:r>
            <w:r w:rsidR="004014B5">
              <w:rPr>
                <w:rFonts w:ascii="Arial Narrow" w:hAnsi="Arial Narrow" w:cs="Calibri"/>
                <w:b/>
                <w:bCs/>
                <w:noProof/>
                <w:color w:val="000000"/>
                <w:sz w:val="20"/>
              </w:rPr>
              <w:t>$911.56</w:t>
            </w:r>
            <w:r>
              <w:rPr>
                <w:rFonts w:ascii="Arial Narrow" w:hAnsi="Arial Narrow" w:cs="Calibri"/>
                <w:b/>
                <w:bCs/>
                <w:color w:val="000000"/>
                <w:sz w:val="20"/>
              </w:rPr>
              <w:fldChar w:fldCharType="end"/>
            </w:r>
          </w:p>
        </w:tc>
      </w:tr>
    </w:tbl>
    <w:p w14:paraId="660A2AD8" w14:textId="6F52862F" w:rsidR="008B274E" w:rsidRPr="00616403" w:rsidRDefault="008B274E" w:rsidP="001240E7">
      <w:pPr>
        <w:pStyle w:val="L1-FlLSp12"/>
        <w:tabs>
          <w:tab w:val="clear" w:pos="1152"/>
          <w:tab w:val="left" w:pos="720"/>
        </w:tabs>
        <w:spacing w:line="480" w:lineRule="auto"/>
        <w:rPr>
          <w:szCs w:val="24"/>
        </w:rPr>
      </w:pPr>
    </w:p>
    <w:p w14:paraId="49F2A9B7" w14:textId="7BD3D6F3" w:rsidR="00907661" w:rsidRDefault="0015674E" w:rsidP="00907661">
      <w:pPr>
        <w:pStyle w:val="Heading2"/>
        <w:tabs>
          <w:tab w:val="clear" w:pos="1152"/>
          <w:tab w:val="left" w:pos="720"/>
        </w:tabs>
        <w:spacing w:after="0" w:line="240" w:lineRule="auto"/>
        <w:ind w:left="720" w:hanging="720"/>
        <w:rPr>
          <w:rFonts w:ascii="Times New Roman" w:hAnsi="Times New Roman"/>
          <w:color w:val="auto"/>
          <w:sz w:val="24"/>
          <w:szCs w:val="24"/>
        </w:rPr>
      </w:pPr>
      <w:bookmarkStart w:id="157" w:name="_Toc282506037"/>
      <w:bookmarkStart w:id="158" w:name="_Toc339621297"/>
      <w:bookmarkStart w:id="159" w:name="_Toc454265317"/>
      <w:bookmarkStart w:id="160" w:name="_Toc454265616"/>
      <w:bookmarkStart w:id="161" w:name="_Toc454265693"/>
      <w:bookmarkStart w:id="162" w:name="_Toc454266190"/>
      <w:bookmarkStart w:id="163" w:name="_Toc454266218"/>
      <w:bookmarkStart w:id="164" w:name="_Toc454266645"/>
      <w:r w:rsidRPr="00616403">
        <w:rPr>
          <w:rFonts w:ascii="Times New Roman" w:hAnsi="Times New Roman"/>
          <w:color w:val="auto"/>
          <w:sz w:val="24"/>
          <w:szCs w:val="24"/>
        </w:rPr>
        <w:t>A.15</w:t>
      </w:r>
      <w:r w:rsidRPr="00616403">
        <w:rPr>
          <w:rFonts w:ascii="Times New Roman" w:hAnsi="Times New Roman"/>
          <w:color w:val="auto"/>
          <w:sz w:val="24"/>
          <w:szCs w:val="24"/>
        </w:rPr>
        <w:tab/>
      </w:r>
      <w:bookmarkEnd w:id="157"/>
      <w:r w:rsidRPr="00616403">
        <w:rPr>
          <w:rFonts w:ascii="Times New Roman" w:hAnsi="Times New Roman"/>
          <w:color w:val="auto"/>
          <w:sz w:val="24"/>
          <w:szCs w:val="24"/>
        </w:rPr>
        <w:t>Explain the reasons for any program changes or adjustments reported in Items 13 or 14 of the OMB Form 83-1.</w:t>
      </w:r>
      <w:bookmarkEnd w:id="158"/>
      <w:bookmarkEnd w:id="159"/>
      <w:bookmarkEnd w:id="160"/>
      <w:bookmarkEnd w:id="161"/>
      <w:bookmarkEnd w:id="162"/>
      <w:bookmarkEnd w:id="163"/>
      <w:bookmarkEnd w:id="164"/>
    </w:p>
    <w:p w14:paraId="08EA2543" w14:textId="77777777" w:rsidR="00473754" w:rsidRPr="00473754" w:rsidRDefault="00473754" w:rsidP="002431C1">
      <w:pPr>
        <w:pStyle w:val="L1-FlLSp12"/>
        <w:spacing w:line="240" w:lineRule="auto"/>
      </w:pPr>
    </w:p>
    <w:p w14:paraId="6A0300D6" w14:textId="27843270" w:rsidR="00543B25" w:rsidRPr="00543B25" w:rsidRDefault="008216B7" w:rsidP="002320A6">
      <w:pPr>
        <w:pStyle w:val="L1-FlLSp12"/>
        <w:tabs>
          <w:tab w:val="clear" w:pos="1152"/>
          <w:tab w:val="left" w:pos="720"/>
        </w:tabs>
        <w:spacing w:line="480" w:lineRule="auto"/>
        <w:rPr>
          <w:szCs w:val="24"/>
        </w:rPr>
      </w:pPr>
      <w:r>
        <w:rPr>
          <w:szCs w:val="24"/>
        </w:rPr>
        <w:tab/>
      </w:r>
      <w:r w:rsidR="00BF352E" w:rsidRPr="00946C51">
        <w:rPr>
          <w:szCs w:val="24"/>
        </w:rPr>
        <w:t>This is a</w:t>
      </w:r>
      <w:r w:rsidR="00577526">
        <w:rPr>
          <w:szCs w:val="24"/>
        </w:rPr>
        <w:t xml:space="preserve"> new information collection </w:t>
      </w:r>
      <w:r w:rsidR="00726871">
        <w:rPr>
          <w:szCs w:val="24"/>
        </w:rPr>
        <w:t xml:space="preserve">request as a result of program changes </w:t>
      </w:r>
      <w:r w:rsidR="00577526" w:rsidRPr="00493CFC">
        <w:rPr>
          <w:szCs w:val="24"/>
        </w:rPr>
        <w:t xml:space="preserve">and will </w:t>
      </w:r>
      <w:r w:rsidR="00577526" w:rsidRPr="00EE3FBB">
        <w:rPr>
          <w:szCs w:val="24"/>
        </w:rPr>
        <w:t>add</w:t>
      </w:r>
      <w:r w:rsidR="00E41F43" w:rsidRPr="00EE3FBB">
        <w:t xml:space="preserve"> </w:t>
      </w:r>
      <w:r w:rsidR="001D6F30">
        <w:rPr>
          <w:szCs w:val="24"/>
        </w:rPr>
        <w:t>5,</w:t>
      </w:r>
      <w:r w:rsidR="00D936FD">
        <w:rPr>
          <w:szCs w:val="24"/>
        </w:rPr>
        <w:t>132</w:t>
      </w:r>
      <w:r w:rsidR="00D936FD" w:rsidRPr="00BA70F5">
        <w:rPr>
          <w:szCs w:val="24"/>
        </w:rPr>
        <w:t xml:space="preserve"> </w:t>
      </w:r>
      <w:r w:rsidR="00726871">
        <w:rPr>
          <w:szCs w:val="24"/>
        </w:rPr>
        <w:t xml:space="preserve">burden </w:t>
      </w:r>
      <w:r w:rsidR="00577526" w:rsidRPr="00BA70F5">
        <w:rPr>
          <w:szCs w:val="24"/>
        </w:rPr>
        <w:t>hours</w:t>
      </w:r>
      <w:r w:rsidR="00577526" w:rsidRPr="00EE3FBB">
        <w:rPr>
          <w:szCs w:val="24"/>
        </w:rPr>
        <w:t xml:space="preserve"> </w:t>
      </w:r>
      <w:r w:rsidR="00726871">
        <w:rPr>
          <w:szCs w:val="24"/>
        </w:rPr>
        <w:t>and</w:t>
      </w:r>
      <w:r w:rsidR="001D6F30">
        <w:rPr>
          <w:szCs w:val="24"/>
        </w:rPr>
        <w:t xml:space="preserve"> 47,</w:t>
      </w:r>
      <w:r w:rsidR="00D936FD">
        <w:rPr>
          <w:szCs w:val="24"/>
        </w:rPr>
        <w:t xml:space="preserve">779 </w:t>
      </w:r>
      <w:r w:rsidR="00726871">
        <w:rPr>
          <w:szCs w:val="24"/>
        </w:rPr>
        <w:t xml:space="preserve">responses </w:t>
      </w:r>
      <w:r w:rsidR="00577526" w:rsidRPr="00493CFC">
        <w:rPr>
          <w:szCs w:val="24"/>
        </w:rPr>
        <w:t>to OMB’s inventory</w:t>
      </w:r>
      <w:r w:rsidR="00577526">
        <w:rPr>
          <w:szCs w:val="24"/>
        </w:rPr>
        <w:t>.</w:t>
      </w:r>
    </w:p>
    <w:p w14:paraId="1D20F1B8" w14:textId="47D50A30" w:rsidR="0015674E" w:rsidRPr="00616403" w:rsidRDefault="0015674E" w:rsidP="000C77B0">
      <w:pPr>
        <w:pStyle w:val="Heading2"/>
        <w:tabs>
          <w:tab w:val="clear" w:pos="1152"/>
          <w:tab w:val="left" w:pos="720"/>
        </w:tabs>
        <w:spacing w:after="0" w:line="240" w:lineRule="auto"/>
        <w:ind w:left="720" w:hanging="720"/>
        <w:rPr>
          <w:rFonts w:eastAsia="Calibri"/>
          <w:highlight w:val="yellow"/>
        </w:rPr>
      </w:pPr>
      <w:bookmarkStart w:id="165" w:name="_Toc282506038"/>
      <w:bookmarkStart w:id="166" w:name="_Toc339621298"/>
      <w:bookmarkStart w:id="167" w:name="_Toc454265318"/>
      <w:bookmarkStart w:id="168" w:name="_Toc454265617"/>
      <w:bookmarkStart w:id="169" w:name="_Toc454265694"/>
      <w:bookmarkStart w:id="170" w:name="_Toc454266191"/>
      <w:bookmarkStart w:id="171" w:name="_Toc454266219"/>
      <w:bookmarkStart w:id="172" w:name="_Toc454266646"/>
      <w:r w:rsidRPr="00616403">
        <w:rPr>
          <w:rFonts w:ascii="Times New Roman" w:hAnsi="Times New Roman"/>
          <w:color w:val="auto"/>
          <w:sz w:val="24"/>
          <w:szCs w:val="24"/>
        </w:rPr>
        <w:t>A.16</w:t>
      </w:r>
      <w:r w:rsidRPr="00616403">
        <w:rPr>
          <w:rFonts w:ascii="Times New Roman" w:hAnsi="Times New Roman"/>
          <w:color w:val="auto"/>
          <w:sz w:val="24"/>
          <w:szCs w:val="24"/>
        </w:rPr>
        <w:tab/>
      </w:r>
      <w:bookmarkEnd w:id="165"/>
      <w:r w:rsidRPr="00616403">
        <w:rPr>
          <w:rFonts w:ascii="Times New Roman" w:hAnsi="Times New Roman"/>
          <w:color w:val="auto"/>
          <w:sz w:val="24"/>
          <w:szCs w:val="24"/>
        </w:rPr>
        <w:t>For collections of information whose results are planned to be published, outline plans for tabulation and publication.</w:t>
      </w:r>
      <w:bookmarkEnd w:id="166"/>
      <w:bookmarkEnd w:id="167"/>
      <w:bookmarkEnd w:id="168"/>
      <w:bookmarkEnd w:id="169"/>
      <w:bookmarkEnd w:id="170"/>
      <w:bookmarkEnd w:id="171"/>
      <w:bookmarkEnd w:id="172"/>
      <w:r w:rsidR="000C77B0">
        <w:rPr>
          <w:rFonts w:ascii="Times New Roman" w:hAnsi="Times New Roman"/>
          <w:color w:val="auto"/>
          <w:sz w:val="24"/>
          <w:szCs w:val="24"/>
        </w:rPr>
        <w:br/>
      </w:r>
    </w:p>
    <w:p w14:paraId="13E5E8AD" w14:textId="304E677C" w:rsidR="009857F4" w:rsidRPr="001240E7" w:rsidRDefault="009857F4" w:rsidP="00EE3FBB">
      <w:pPr>
        <w:pStyle w:val="Heading31"/>
        <w:spacing w:after="0" w:line="480" w:lineRule="auto"/>
      </w:pPr>
      <w:bookmarkStart w:id="173" w:name="_Toc454266192"/>
      <w:r w:rsidRPr="001240E7">
        <w:t xml:space="preserve">Study </w:t>
      </w:r>
      <w:r w:rsidR="00350C77">
        <w:t>T</w:t>
      </w:r>
      <w:r w:rsidRPr="001240E7">
        <w:t>imeline</w:t>
      </w:r>
      <w:bookmarkEnd w:id="173"/>
      <w:r w:rsidRPr="001240E7">
        <w:t xml:space="preserve"> </w:t>
      </w:r>
    </w:p>
    <w:p w14:paraId="3FAC242B" w14:textId="12BC1377" w:rsidR="00283EEB" w:rsidRPr="008E5B1B" w:rsidRDefault="0071731B" w:rsidP="004C01C6">
      <w:pPr>
        <w:ind w:firstLine="720"/>
        <w:rPr>
          <w:rFonts w:eastAsia="Calibri"/>
          <w:szCs w:val="24"/>
        </w:rPr>
      </w:pPr>
      <w:r w:rsidRPr="008E5B1B">
        <w:rPr>
          <w:rFonts w:eastAsia="Calibri"/>
          <w:szCs w:val="24"/>
        </w:rPr>
        <w:t>Data Collection Preparation (</w:t>
      </w:r>
      <w:r w:rsidR="00592F1F" w:rsidRPr="008E5B1B">
        <w:rPr>
          <w:rFonts w:eastAsia="Calibri"/>
          <w:szCs w:val="24"/>
        </w:rPr>
        <w:t xml:space="preserve">Sampling, </w:t>
      </w:r>
      <w:r w:rsidRPr="008E5B1B">
        <w:rPr>
          <w:rFonts w:eastAsia="Calibri"/>
          <w:szCs w:val="24"/>
        </w:rPr>
        <w:t>Recruitment, and Data Collector Training)</w:t>
      </w:r>
      <w:r w:rsidRPr="009701BA">
        <w:rPr>
          <w:rFonts w:ascii="Arial Narrow" w:eastAsia="Calibri" w:hAnsi="Arial Narrow"/>
          <w:sz w:val="22"/>
        </w:rPr>
        <w:t xml:space="preserve"> </w:t>
      </w:r>
      <w:r w:rsidR="00583AA2" w:rsidRPr="008E5B1B">
        <w:rPr>
          <w:rFonts w:eastAsia="Calibri"/>
          <w:szCs w:val="24"/>
        </w:rPr>
        <w:t xml:space="preserve">will begin </w:t>
      </w:r>
      <w:r w:rsidR="002254CE" w:rsidRPr="008E5B1B">
        <w:rPr>
          <w:rFonts w:eastAsia="Calibri"/>
          <w:szCs w:val="24"/>
        </w:rPr>
        <w:t xml:space="preserve">once OMB approval is received </w:t>
      </w:r>
      <w:r w:rsidR="002254CE" w:rsidRPr="002254CE">
        <w:rPr>
          <w:rFonts w:eastAsia="Calibri"/>
          <w:szCs w:val="24"/>
        </w:rPr>
        <w:t xml:space="preserve">until approximately 5 </w:t>
      </w:r>
      <w:r w:rsidR="002254CE" w:rsidRPr="00C4479D">
        <w:rPr>
          <w:rFonts w:eastAsia="Calibri"/>
          <w:szCs w:val="24"/>
        </w:rPr>
        <w:t xml:space="preserve">months after OMB approval. </w:t>
      </w:r>
      <w:r w:rsidR="00583AA2" w:rsidRPr="00C4479D">
        <w:rPr>
          <w:rFonts w:eastAsia="Calibri"/>
          <w:szCs w:val="24"/>
        </w:rPr>
        <w:t xml:space="preserve"> </w:t>
      </w:r>
      <w:r w:rsidR="002254CE" w:rsidRPr="00C4479D">
        <w:rPr>
          <w:rFonts w:eastAsia="Calibri"/>
          <w:szCs w:val="24"/>
        </w:rPr>
        <w:t>P</w:t>
      </w:r>
      <w:r w:rsidR="00A03BDC" w:rsidRPr="00C4479D">
        <w:rPr>
          <w:rFonts w:eastAsia="Calibri"/>
          <w:szCs w:val="24"/>
        </w:rPr>
        <w:t>rimary d</w:t>
      </w:r>
      <w:r w:rsidR="00353CD3" w:rsidRPr="00C4479D">
        <w:rPr>
          <w:rFonts w:eastAsia="Calibri"/>
          <w:szCs w:val="24"/>
        </w:rPr>
        <w:t>at</w:t>
      </w:r>
      <w:r w:rsidR="00A03BDC" w:rsidRPr="00C4479D">
        <w:rPr>
          <w:rFonts w:eastAsia="Calibri"/>
          <w:szCs w:val="24"/>
        </w:rPr>
        <w:t xml:space="preserve">a collection will begin </w:t>
      </w:r>
      <w:r w:rsidR="002254CE" w:rsidRPr="00C4479D">
        <w:rPr>
          <w:rFonts w:eastAsia="Calibri"/>
          <w:szCs w:val="24"/>
        </w:rPr>
        <w:t xml:space="preserve">approximately 6 months after OMB clearance </w:t>
      </w:r>
      <w:r w:rsidR="00353CD3" w:rsidRPr="00C4479D">
        <w:rPr>
          <w:rFonts w:eastAsia="Calibri"/>
          <w:szCs w:val="24"/>
        </w:rPr>
        <w:t xml:space="preserve">and </w:t>
      </w:r>
      <w:r w:rsidR="008268DE" w:rsidRPr="00C4479D">
        <w:rPr>
          <w:rFonts w:eastAsia="Calibri"/>
          <w:szCs w:val="24"/>
        </w:rPr>
        <w:t xml:space="preserve">continue </w:t>
      </w:r>
      <w:r w:rsidR="00353CD3" w:rsidRPr="00C4479D">
        <w:rPr>
          <w:rFonts w:eastAsia="Calibri"/>
          <w:szCs w:val="24"/>
        </w:rPr>
        <w:t>for approximately</w:t>
      </w:r>
      <w:r w:rsidR="00353CD3" w:rsidRPr="00A03BDC">
        <w:rPr>
          <w:rFonts w:eastAsia="Calibri"/>
          <w:szCs w:val="24"/>
        </w:rPr>
        <w:t xml:space="preserve"> </w:t>
      </w:r>
      <w:r w:rsidR="00A82746">
        <w:rPr>
          <w:rFonts w:eastAsia="Calibri"/>
          <w:szCs w:val="24"/>
        </w:rPr>
        <w:t>5</w:t>
      </w:r>
      <w:r w:rsidR="00FE64A1">
        <w:rPr>
          <w:rFonts w:eastAsia="Calibri"/>
          <w:szCs w:val="24"/>
        </w:rPr>
        <w:t xml:space="preserve"> months. </w:t>
      </w:r>
      <w:r w:rsidR="007F0AD0">
        <w:rPr>
          <w:rFonts w:eastAsia="Calibri"/>
          <w:szCs w:val="24"/>
        </w:rPr>
        <w:t>A data collection memorandum will be submitted to FNS at the conclusion of data collection</w:t>
      </w:r>
      <w:r w:rsidR="002254CE">
        <w:rPr>
          <w:rFonts w:eastAsia="Calibri"/>
          <w:szCs w:val="24"/>
        </w:rPr>
        <w:t xml:space="preserve"> </w:t>
      </w:r>
      <w:r w:rsidR="002254CE" w:rsidRPr="002254CE">
        <w:rPr>
          <w:rFonts w:eastAsia="Calibri"/>
          <w:szCs w:val="24"/>
        </w:rPr>
        <w:t>app</w:t>
      </w:r>
      <w:r w:rsidR="002254CE" w:rsidRPr="008E5B1B">
        <w:rPr>
          <w:rFonts w:eastAsia="Calibri"/>
          <w:szCs w:val="24"/>
        </w:rPr>
        <w:t>roximately 11 months after OMB approval</w:t>
      </w:r>
      <w:r w:rsidR="007F0AD0" w:rsidRPr="008E5B1B">
        <w:rPr>
          <w:rFonts w:eastAsia="Calibri"/>
          <w:szCs w:val="24"/>
        </w:rPr>
        <w:t xml:space="preserve">. </w:t>
      </w:r>
      <w:r w:rsidR="00AD6394" w:rsidRPr="008E5B1B">
        <w:rPr>
          <w:rFonts w:eastAsia="Calibri"/>
          <w:szCs w:val="24"/>
        </w:rPr>
        <w:t>Preparation of data files will immediately follow the completion of data collection, with analysis beginning</w:t>
      </w:r>
      <w:r w:rsidR="00D3122A" w:rsidRPr="008E5B1B">
        <w:rPr>
          <w:rFonts w:eastAsia="Calibri"/>
          <w:szCs w:val="24"/>
        </w:rPr>
        <w:t xml:space="preserve"> 11 months after clearance </w:t>
      </w:r>
      <w:r w:rsidR="00AD6394" w:rsidRPr="008E5B1B">
        <w:rPr>
          <w:rFonts w:eastAsia="Calibri"/>
          <w:szCs w:val="24"/>
        </w:rPr>
        <w:t xml:space="preserve">and will conclude </w:t>
      </w:r>
      <w:r w:rsidR="00D3122A" w:rsidRPr="008E5B1B">
        <w:rPr>
          <w:rFonts w:eastAsia="Calibri"/>
          <w:szCs w:val="24"/>
        </w:rPr>
        <w:t xml:space="preserve">approximately 24 months after OMB approval </w:t>
      </w:r>
      <w:r w:rsidR="00AD6394" w:rsidRPr="008E5B1B">
        <w:rPr>
          <w:rFonts w:eastAsia="Calibri"/>
          <w:szCs w:val="24"/>
        </w:rPr>
        <w:t xml:space="preserve"> when the</w:t>
      </w:r>
      <w:r w:rsidR="00FE64A1" w:rsidRPr="008E5B1B">
        <w:rPr>
          <w:rFonts w:eastAsia="Calibri"/>
          <w:szCs w:val="24"/>
        </w:rPr>
        <w:t xml:space="preserve"> final set of</w:t>
      </w:r>
      <w:r w:rsidR="00AD6394" w:rsidRPr="008E5B1B">
        <w:rPr>
          <w:rFonts w:eastAsia="Calibri"/>
          <w:szCs w:val="24"/>
        </w:rPr>
        <w:t xml:space="preserve"> analytic tables are delivered to FNS. Four reports will be delivered to FNS</w:t>
      </w:r>
      <w:r w:rsidR="00FE64A1" w:rsidRPr="008E5B1B">
        <w:rPr>
          <w:rFonts w:eastAsia="Calibri"/>
          <w:szCs w:val="24"/>
        </w:rPr>
        <w:t xml:space="preserve"> from </w:t>
      </w:r>
      <w:r w:rsidR="00D3122A" w:rsidRPr="008E5B1B">
        <w:rPr>
          <w:rFonts w:eastAsia="Calibri"/>
          <w:szCs w:val="24"/>
        </w:rPr>
        <w:t>32</w:t>
      </w:r>
      <w:r w:rsidR="00FE64A1" w:rsidRPr="008E5B1B">
        <w:rPr>
          <w:rFonts w:eastAsia="Calibri"/>
          <w:szCs w:val="24"/>
        </w:rPr>
        <w:t xml:space="preserve"> to </w:t>
      </w:r>
      <w:r w:rsidR="00D3122A" w:rsidRPr="008E5B1B">
        <w:rPr>
          <w:rFonts w:eastAsia="Calibri"/>
          <w:szCs w:val="24"/>
        </w:rPr>
        <w:t>35 months after clearance</w:t>
      </w:r>
      <w:r w:rsidR="00AD6394" w:rsidRPr="008E5B1B">
        <w:rPr>
          <w:rFonts w:eastAsia="Calibri"/>
          <w:szCs w:val="24"/>
        </w:rPr>
        <w:t xml:space="preserve">: Technical Report, Erroneous Payments Report, State Agency and Local WIC Agency </w:t>
      </w:r>
      <w:r w:rsidR="00FE64A1" w:rsidRPr="008E5B1B">
        <w:rPr>
          <w:rFonts w:eastAsia="Calibri"/>
          <w:szCs w:val="24"/>
        </w:rPr>
        <w:t xml:space="preserve">Characteristics </w:t>
      </w:r>
      <w:r w:rsidR="00AD6394" w:rsidRPr="008E5B1B">
        <w:rPr>
          <w:rFonts w:eastAsia="Calibri"/>
          <w:szCs w:val="24"/>
        </w:rPr>
        <w:t xml:space="preserve">Report, and Participant Characteristics Report. Final reports, data files, codebooks, and syntax will be delivered to FNS no later than </w:t>
      </w:r>
      <w:r w:rsidR="00D3122A" w:rsidRPr="008E5B1B">
        <w:rPr>
          <w:rFonts w:eastAsia="Calibri"/>
          <w:szCs w:val="24"/>
        </w:rPr>
        <w:t>36 months after OMB approval.</w:t>
      </w:r>
    </w:p>
    <w:p w14:paraId="48644632" w14:textId="51BA7583" w:rsidR="00283EEB" w:rsidRDefault="00144CEC" w:rsidP="004C01C6">
      <w:pPr>
        <w:ind w:firstLine="720"/>
        <w:rPr>
          <w:rFonts w:eastAsia="Calibri"/>
          <w:szCs w:val="24"/>
        </w:rPr>
      </w:pPr>
      <w:r w:rsidRPr="008E5B1B">
        <w:rPr>
          <w:rFonts w:eastAsia="Calibri"/>
          <w:szCs w:val="24"/>
        </w:rPr>
        <w:t>Data collection for the pilot test of the</w:t>
      </w:r>
      <w:r w:rsidR="003934AD" w:rsidRPr="008E5B1B">
        <w:rPr>
          <w:rFonts w:eastAsia="Calibri"/>
          <w:szCs w:val="24"/>
        </w:rPr>
        <w:t xml:space="preserve"> </w:t>
      </w:r>
      <w:r w:rsidR="007E6CF1" w:rsidRPr="008E5B1B">
        <w:rPr>
          <w:rFonts w:eastAsia="Calibri"/>
          <w:szCs w:val="24"/>
        </w:rPr>
        <w:t>alternative</w:t>
      </w:r>
      <w:r>
        <w:rPr>
          <w:rFonts w:eastAsia="Calibri"/>
          <w:szCs w:val="24"/>
        </w:rPr>
        <w:t xml:space="preserve"> method to produce annual estimates of improper payments will occur in approximately one and two years after the </w:t>
      </w:r>
      <w:r w:rsidR="00D3122A">
        <w:rPr>
          <w:rFonts w:eastAsia="Calibri"/>
          <w:szCs w:val="24"/>
        </w:rPr>
        <w:t>Year 1</w:t>
      </w:r>
      <w:r>
        <w:rPr>
          <w:rFonts w:eastAsia="Calibri"/>
          <w:szCs w:val="24"/>
        </w:rPr>
        <w:t xml:space="preserve"> data collection effort. The data analysis will be completed </w:t>
      </w:r>
      <w:r w:rsidR="00D3122A" w:rsidRPr="00D3122A">
        <w:rPr>
          <w:rFonts w:eastAsia="Calibri"/>
          <w:szCs w:val="24"/>
        </w:rPr>
        <w:t xml:space="preserve">approximately </w:t>
      </w:r>
      <w:r w:rsidR="00D3122A">
        <w:rPr>
          <w:rFonts w:eastAsia="Calibri"/>
          <w:szCs w:val="24"/>
        </w:rPr>
        <w:t>48</w:t>
      </w:r>
      <w:r w:rsidR="00D3122A" w:rsidRPr="00D3122A">
        <w:rPr>
          <w:rFonts w:eastAsia="Calibri"/>
          <w:szCs w:val="24"/>
        </w:rPr>
        <w:t xml:space="preserve"> months after OMB approval</w:t>
      </w:r>
      <w:r>
        <w:rPr>
          <w:rFonts w:eastAsia="Calibri"/>
          <w:szCs w:val="24"/>
        </w:rPr>
        <w:t xml:space="preserve">, the Final Memorandum of Results and Final Data Files and Documentation will be completed </w:t>
      </w:r>
      <w:r w:rsidR="00D3122A">
        <w:rPr>
          <w:rFonts w:eastAsia="Calibri"/>
          <w:szCs w:val="24"/>
        </w:rPr>
        <w:t>53 and 54 months post-OMB clearance</w:t>
      </w:r>
      <w:r>
        <w:rPr>
          <w:rFonts w:eastAsia="Calibri"/>
          <w:szCs w:val="24"/>
        </w:rPr>
        <w:t xml:space="preserve">, respectively. </w:t>
      </w:r>
    </w:p>
    <w:p w14:paraId="73C96546" w14:textId="0B104618" w:rsidR="00144CEC" w:rsidRDefault="00AD6394" w:rsidP="00144CEC">
      <w:pPr>
        <w:ind w:firstLine="720"/>
        <w:rPr>
          <w:rFonts w:eastAsia="Calibri"/>
          <w:szCs w:val="24"/>
        </w:rPr>
      </w:pPr>
      <w:r w:rsidRPr="00AD6394">
        <w:rPr>
          <w:rFonts w:eastAsia="Calibri"/>
          <w:szCs w:val="24"/>
        </w:rPr>
        <w:t>The final versions of the reports will be made available to the public via FNS’s external website (https://www.fns.usda.gov/ops/wic-studies). Please note that no State or local agency, nor any individual person who participates in the study, will be identified in these reports.</w:t>
      </w:r>
      <w:r>
        <w:rPr>
          <w:rFonts w:eastAsia="Calibri"/>
          <w:szCs w:val="24"/>
        </w:rPr>
        <w:t xml:space="preserve"> </w:t>
      </w:r>
    </w:p>
    <w:p w14:paraId="761BFD9A" w14:textId="6F752B04" w:rsidR="00353CD3" w:rsidRPr="00616403" w:rsidRDefault="00D454F2" w:rsidP="004C01C6">
      <w:pPr>
        <w:ind w:firstLine="720"/>
        <w:rPr>
          <w:rFonts w:eastAsia="Calibri"/>
          <w:szCs w:val="24"/>
        </w:rPr>
      </w:pPr>
      <w:r w:rsidRPr="009D6DC6">
        <w:rPr>
          <w:rFonts w:eastAsia="Calibri"/>
          <w:szCs w:val="24"/>
        </w:rPr>
        <w:t>The project timeline is reported in Table</w:t>
      </w:r>
      <w:r w:rsidR="00B4643C" w:rsidRPr="009D6DC6">
        <w:rPr>
          <w:rFonts w:eastAsia="Calibri"/>
          <w:szCs w:val="24"/>
        </w:rPr>
        <w:t xml:space="preserve"> A</w:t>
      </w:r>
      <w:r w:rsidR="007141CD">
        <w:rPr>
          <w:rFonts w:eastAsia="Calibri"/>
          <w:szCs w:val="24"/>
        </w:rPr>
        <w:t>3</w:t>
      </w:r>
      <w:r w:rsidR="00583AA2">
        <w:rPr>
          <w:rFonts w:eastAsia="Calibri"/>
          <w:szCs w:val="24"/>
        </w:rPr>
        <w:t>.</w:t>
      </w:r>
      <w:r w:rsidR="00B4643C" w:rsidDel="00B4643C">
        <w:rPr>
          <w:rFonts w:eastAsia="Calibri"/>
          <w:szCs w:val="24"/>
        </w:rPr>
        <w:t xml:space="preserve"> </w:t>
      </w:r>
    </w:p>
    <w:p w14:paraId="774DB623" w14:textId="6744243C" w:rsidR="00353CD3" w:rsidRDefault="007F7272" w:rsidP="006E1022">
      <w:pPr>
        <w:pStyle w:val="Tables"/>
      </w:pPr>
      <w:bookmarkStart w:id="174" w:name="_Toc454265319"/>
      <w:bookmarkStart w:id="175" w:name="_Toc454265618"/>
      <w:bookmarkStart w:id="176" w:name="_Toc454265695"/>
      <w:bookmarkStart w:id="177" w:name="_Toc454266193"/>
      <w:bookmarkStart w:id="178" w:name="_Toc454266220"/>
      <w:bookmarkStart w:id="179" w:name="_Toc454266647"/>
      <w:r w:rsidRPr="00297EDE">
        <w:t>Table A</w:t>
      </w:r>
      <w:r w:rsidR="007141CD">
        <w:t>3</w:t>
      </w:r>
      <w:r w:rsidR="00663080" w:rsidRPr="00297EDE">
        <w:t>.</w:t>
      </w:r>
      <w:r w:rsidRPr="00297EDE">
        <w:tab/>
      </w:r>
      <w:r w:rsidR="003563C4">
        <w:t xml:space="preserve">Estimated </w:t>
      </w:r>
      <w:r w:rsidR="00AD6394">
        <w:t>Study Timeline</w:t>
      </w:r>
      <w:r w:rsidR="003563C4">
        <w:t xml:space="preserve"> </w:t>
      </w:r>
      <w:bookmarkEnd w:id="174"/>
      <w:bookmarkEnd w:id="175"/>
      <w:bookmarkEnd w:id="176"/>
      <w:bookmarkEnd w:id="177"/>
      <w:bookmarkEnd w:id="178"/>
      <w:bookmarkEnd w:id="179"/>
    </w:p>
    <w:tbl>
      <w:tblPr>
        <w:tblpPr w:leftFromText="180" w:rightFromText="180" w:vertAnchor="text" w:tblpY="1"/>
        <w:tblOverlap w:val="never"/>
        <w:tblW w:w="4202" w:type="pct"/>
        <w:tblBorders>
          <w:top w:val="single" w:sz="8" w:space="0" w:color="B12732"/>
          <w:bottom w:val="single" w:sz="18" w:space="0" w:color="66706C"/>
          <w:insideH w:val="single" w:sz="4" w:space="0" w:color="A6A6A6"/>
          <w:insideV w:val="single" w:sz="4" w:space="0" w:color="A6A6A6"/>
        </w:tblBorders>
        <w:tblCellMar>
          <w:left w:w="58" w:type="dxa"/>
          <w:right w:w="58" w:type="dxa"/>
        </w:tblCellMar>
        <w:tblLook w:val="0000" w:firstRow="0" w:lastRow="0" w:firstColumn="0" w:lastColumn="0" w:noHBand="0" w:noVBand="0"/>
      </w:tblPr>
      <w:tblGrid>
        <w:gridCol w:w="4406"/>
        <w:gridCol w:w="3558"/>
      </w:tblGrid>
      <w:tr w:rsidR="003563C4" w:rsidRPr="00FD321F" w14:paraId="04EDFBCC" w14:textId="77777777" w:rsidTr="009701BA">
        <w:trPr>
          <w:trHeight w:val="360"/>
          <w:tblHeader/>
        </w:trPr>
        <w:tc>
          <w:tcPr>
            <w:tcW w:w="276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6BFB650" w14:textId="77777777" w:rsidR="003563C4" w:rsidRPr="00C96EC5" w:rsidRDefault="003563C4" w:rsidP="009701BA">
            <w:pPr>
              <w:spacing w:line="240" w:lineRule="auto"/>
              <w:jc w:val="center"/>
              <w:rPr>
                <w:rFonts w:asciiTheme="minorHAnsi" w:eastAsia="Calibri" w:hAnsiTheme="minorHAnsi" w:cstheme="minorHAnsi"/>
                <w:b/>
                <w:caps/>
                <w:szCs w:val="24"/>
              </w:rPr>
            </w:pPr>
            <w:r w:rsidRPr="00C96EC5">
              <w:rPr>
                <w:rFonts w:asciiTheme="minorHAnsi" w:eastAsia="Calibri" w:hAnsiTheme="minorHAnsi" w:cstheme="minorHAnsi"/>
                <w:b/>
                <w:caps/>
                <w:szCs w:val="24"/>
              </w:rPr>
              <w:t>Activity</w:t>
            </w:r>
          </w:p>
        </w:tc>
        <w:tc>
          <w:tcPr>
            <w:tcW w:w="2234"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3C202B0" w14:textId="565264B0" w:rsidR="003563C4" w:rsidRPr="00C96EC5" w:rsidRDefault="00D3122A" w:rsidP="009701BA">
            <w:pPr>
              <w:spacing w:line="240" w:lineRule="auto"/>
              <w:jc w:val="center"/>
              <w:rPr>
                <w:rFonts w:asciiTheme="minorHAnsi" w:eastAsia="Calibri" w:hAnsiTheme="minorHAnsi" w:cstheme="minorHAnsi"/>
                <w:b/>
                <w:caps/>
                <w:szCs w:val="24"/>
              </w:rPr>
            </w:pPr>
            <w:r w:rsidRPr="00D3122A">
              <w:rPr>
                <w:rFonts w:asciiTheme="minorHAnsi" w:eastAsia="Calibri" w:hAnsiTheme="minorHAnsi" w:cstheme="minorHAnsi"/>
                <w:b/>
                <w:caps/>
                <w:szCs w:val="24"/>
              </w:rPr>
              <w:t>COMPLETION (IN MONTHS POST-OMB APPROVAL)</w:t>
            </w:r>
          </w:p>
        </w:tc>
      </w:tr>
      <w:tr w:rsidR="00283EEB" w:rsidRPr="00FD321F" w14:paraId="5AF7FB82" w14:textId="77777777" w:rsidTr="009701B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8AC6C4" w14:textId="66C72205" w:rsidR="00283EEB" w:rsidRPr="00283EEB" w:rsidRDefault="002B5491" w:rsidP="009701BA">
            <w:pPr>
              <w:spacing w:line="240" w:lineRule="auto"/>
              <w:jc w:val="center"/>
              <w:rPr>
                <w:rFonts w:ascii="Arial Narrow" w:eastAsia="Calibri" w:hAnsi="Arial Narrow"/>
                <w:b/>
                <w:sz w:val="20"/>
              </w:rPr>
            </w:pPr>
            <w:r>
              <w:rPr>
                <w:rFonts w:ascii="Arial Narrow" w:eastAsia="Calibri" w:hAnsi="Arial Narrow"/>
                <w:b/>
                <w:color w:val="FFFFFF" w:themeColor="background1"/>
                <w:sz w:val="20"/>
              </w:rPr>
              <w:t>Primary Data Collection (</w:t>
            </w:r>
            <w:r w:rsidR="00D3122A">
              <w:rPr>
                <w:rFonts w:ascii="Arial Narrow" w:eastAsia="Calibri" w:hAnsi="Arial Narrow"/>
                <w:b/>
                <w:color w:val="FFFFFF" w:themeColor="background1"/>
                <w:sz w:val="20"/>
              </w:rPr>
              <w:t>Year 1)</w:t>
            </w:r>
          </w:p>
        </w:tc>
      </w:tr>
      <w:tr w:rsidR="003563C4" w:rsidRPr="00FD321F" w14:paraId="7730FC2E"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38E17D21" w14:textId="277F2D73" w:rsidR="003563C4" w:rsidRPr="00C96EC5" w:rsidRDefault="000232F1" w:rsidP="009701BA">
            <w:pPr>
              <w:spacing w:line="240" w:lineRule="auto"/>
              <w:rPr>
                <w:rFonts w:ascii="Arial Narrow" w:eastAsia="Calibri" w:hAnsi="Arial Narrow"/>
                <w:sz w:val="20"/>
              </w:rPr>
            </w:pPr>
            <w:r>
              <w:rPr>
                <w:rFonts w:ascii="Arial Narrow" w:eastAsia="Calibri" w:hAnsi="Arial Narrow"/>
                <w:sz w:val="20"/>
              </w:rPr>
              <w:t>Post-OMB Data Collection Preparation (</w:t>
            </w:r>
            <w:r w:rsidR="003563C4" w:rsidRPr="00C96EC5">
              <w:rPr>
                <w:rFonts w:ascii="Arial Narrow" w:eastAsia="Calibri" w:hAnsi="Arial Narrow"/>
                <w:sz w:val="20"/>
              </w:rPr>
              <w:t>Recruitment</w:t>
            </w:r>
            <w:r w:rsidR="00135F3C">
              <w:rPr>
                <w:rFonts w:ascii="Arial Narrow" w:eastAsia="Calibri" w:hAnsi="Arial Narrow"/>
                <w:sz w:val="20"/>
              </w:rPr>
              <w:t>, Sampling</w:t>
            </w:r>
            <w:r>
              <w:rPr>
                <w:rFonts w:ascii="Arial Narrow" w:eastAsia="Calibri" w:hAnsi="Arial Narrow"/>
                <w:sz w:val="20"/>
              </w:rPr>
              <w:t xml:space="preserve"> </w:t>
            </w:r>
            <w:r w:rsidR="003934AD">
              <w:rPr>
                <w:rFonts w:ascii="Arial Narrow" w:eastAsia="Calibri" w:hAnsi="Arial Narrow"/>
                <w:sz w:val="20"/>
              </w:rPr>
              <w:t xml:space="preserve"> </w:t>
            </w:r>
            <w:r w:rsidR="00934140">
              <w:rPr>
                <w:rFonts w:ascii="Arial Narrow" w:eastAsia="Calibri" w:hAnsi="Arial Narrow"/>
                <w:sz w:val="20"/>
              </w:rPr>
              <w:t>and Data Collector Training)</w:t>
            </w:r>
          </w:p>
        </w:tc>
        <w:tc>
          <w:tcPr>
            <w:tcW w:w="2234" w:type="pct"/>
            <w:tcBorders>
              <w:top w:val="single" w:sz="4" w:space="0" w:color="auto"/>
              <w:left w:val="single" w:sz="4" w:space="0" w:color="auto"/>
              <w:bottom w:val="single" w:sz="4" w:space="0" w:color="auto"/>
              <w:right w:val="single" w:sz="4" w:space="0" w:color="auto"/>
            </w:tcBorders>
            <w:vAlign w:val="center"/>
          </w:tcPr>
          <w:p w14:paraId="3D8A216C" w14:textId="0E65538F" w:rsidR="003563C4" w:rsidRPr="00C96EC5" w:rsidRDefault="00D3122A" w:rsidP="009701BA">
            <w:pPr>
              <w:spacing w:line="240" w:lineRule="auto"/>
              <w:rPr>
                <w:rFonts w:ascii="Arial Narrow" w:eastAsia="Calibri" w:hAnsi="Arial Narrow" w:cs="Calibri"/>
                <w:sz w:val="20"/>
              </w:rPr>
            </w:pPr>
            <w:r>
              <w:rPr>
                <w:rFonts w:ascii="Arial Narrow" w:eastAsia="Calibri" w:hAnsi="Arial Narrow"/>
                <w:sz w:val="20"/>
              </w:rPr>
              <w:t>5</w:t>
            </w:r>
          </w:p>
        </w:tc>
      </w:tr>
      <w:tr w:rsidR="003563C4" w:rsidRPr="00FD321F" w14:paraId="293696F3"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2D4769A6" w14:textId="752EB228" w:rsidR="003563C4" w:rsidRPr="00C96EC5" w:rsidRDefault="003563C4" w:rsidP="009701BA">
            <w:pPr>
              <w:spacing w:line="240" w:lineRule="auto"/>
              <w:rPr>
                <w:rFonts w:ascii="Arial Narrow" w:eastAsia="Calibri" w:hAnsi="Arial Narrow" w:cs="Calibri"/>
                <w:sz w:val="20"/>
              </w:rPr>
            </w:pPr>
            <w:r w:rsidRPr="00C96EC5">
              <w:rPr>
                <w:rFonts w:ascii="Arial Narrow" w:eastAsia="Calibri" w:hAnsi="Arial Narrow"/>
                <w:sz w:val="20"/>
              </w:rPr>
              <w:t>Data Collection</w:t>
            </w:r>
            <w:r w:rsidR="00C20E6F">
              <w:rPr>
                <w:rFonts w:ascii="Arial Narrow" w:eastAsia="Calibri" w:hAnsi="Arial Narrow"/>
                <w:sz w:val="20"/>
              </w:rPr>
              <w:t>*</w:t>
            </w:r>
          </w:p>
        </w:tc>
        <w:tc>
          <w:tcPr>
            <w:tcW w:w="2234" w:type="pct"/>
            <w:tcBorders>
              <w:top w:val="single" w:sz="4" w:space="0" w:color="auto"/>
              <w:left w:val="single" w:sz="4" w:space="0" w:color="auto"/>
              <w:bottom w:val="single" w:sz="4" w:space="0" w:color="auto"/>
              <w:right w:val="single" w:sz="4" w:space="0" w:color="auto"/>
            </w:tcBorders>
            <w:vAlign w:val="center"/>
          </w:tcPr>
          <w:p w14:paraId="27ACBF60" w14:textId="3A515320" w:rsidR="003563C4" w:rsidRPr="00C96EC5" w:rsidRDefault="00D3122A" w:rsidP="009701BA">
            <w:pPr>
              <w:spacing w:line="240" w:lineRule="auto"/>
              <w:rPr>
                <w:rFonts w:ascii="Arial Narrow" w:eastAsia="Calibri" w:hAnsi="Arial Narrow" w:cs="Calibri"/>
                <w:sz w:val="20"/>
              </w:rPr>
            </w:pPr>
            <w:r>
              <w:rPr>
                <w:rFonts w:ascii="Arial Narrow" w:eastAsia="Calibri" w:hAnsi="Arial Narrow" w:cs="Calibri"/>
                <w:sz w:val="20"/>
              </w:rPr>
              <w:t>11</w:t>
            </w:r>
          </w:p>
        </w:tc>
      </w:tr>
      <w:tr w:rsidR="003563C4" w:rsidRPr="00FD321F" w14:paraId="036ED80B"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1A5F810A" w14:textId="29870BB8" w:rsidR="003563C4" w:rsidRPr="00C96EC5" w:rsidRDefault="003563C4" w:rsidP="009701BA">
            <w:pPr>
              <w:spacing w:line="240" w:lineRule="auto"/>
              <w:rPr>
                <w:rFonts w:ascii="Arial Narrow" w:eastAsia="Calibri" w:hAnsi="Arial Narrow" w:cs="Calibri"/>
                <w:sz w:val="20"/>
              </w:rPr>
            </w:pPr>
            <w:r w:rsidRPr="00C96EC5">
              <w:rPr>
                <w:rFonts w:ascii="Arial Narrow" w:eastAsia="Calibri" w:hAnsi="Arial Narrow" w:cs="Calibri"/>
                <w:sz w:val="20"/>
              </w:rPr>
              <w:t>Conduct Data Analysis and Tabulations</w:t>
            </w:r>
          </w:p>
        </w:tc>
        <w:tc>
          <w:tcPr>
            <w:tcW w:w="2234" w:type="pct"/>
            <w:tcBorders>
              <w:top w:val="single" w:sz="4" w:space="0" w:color="auto"/>
              <w:left w:val="single" w:sz="4" w:space="0" w:color="auto"/>
              <w:bottom w:val="single" w:sz="4" w:space="0" w:color="auto"/>
              <w:right w:val="single" w:sz="4" w:space="0" w:color="auto"/>
            </w:tcBorders>
            <w:vAlign w:val="center"/>
          </w:tcPr>
          <w:p w14:paraId="5CE62037" w14:textId="05C1ED21" w:rsidR="003563C4" w:rsidRPr="00C96EC5" w:rsidRDefault="00D3122A" w:rsidP="009701BA">
            <w:pPr>
              <w:spacing w:line="240" w:lineRule="auto"/>
              <w:rPr>
                <w:rFonts w:ascii="Arial Narrow" w:eastAsia="Calibri" w:hAnsi="Arial Narrow" w:cs="Calibri"/>
                <w:sz w:val="20"/>
              </w:rPr>
            </w:pPr>
            <w:r>
              <w:rPr>
                <w:rFonts w:ascii="Arial Narrow" w:eastAsia="Calibri" w:hAnsi="Arial Narrow" w:cs="Calibri"/>
                <w:sz w:val="20"/>
              </w:rPr>
              <w:t>24</w:t>
            </w:r>
          </w:p>
        </w:tc>
      </w:tr>
      <w:tr w:rsidR="003563C4" w:rsidRPr="00FD321F" w14:paraId="4B3799E4"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4E62CD5A" w14:textId="77777777" w:rsidR="003563C4" w:rsidRPr="00C96EC5" w:rsidRDefault="003563C4" w:rsidP="009701BA">
            <w:pPr>
              <w:spacing w:line="240" w:lineRule="auto"/>
              <w:rPr>
                <w:rFonts w:ascii="Arial Narrow" w:eastAsia="Calibri" w:hAnsi="Arial Narrow" w:cs="Calibri"/>
                <w:sz w:val="20"/>
              </w:rPr>
            </w:pPr>
            <w:r w:rsidRPr="00C96EC5">
              <w:rPr>
                <w:rFonts w:ascii="Arial Narrow" w:eastAsia="Calibri" w:hAnsi="Arial Narrow"/>
                <w:sz w:val="20"/>
              </w:rPr>
              <w:t>Prepare Draft and Final Reports for FNS</w:t>
            </w:r>
          </w:p>
        </w:tc>
        <w:tc>
          <w:tcPr>
            <w:tcW w:w="2234" w:type="pct"/>
            <w:tcBorders>
              <w:top w:val="single" w:sz="4" w:space="0" w:color="auto"/>
              <w:left w:val="single" w:sz="4" w:space="0" w:color="auto"/>
              <w:bottom w:val="single" w:sz="4" w:space="0" w:color="auto"/>
              <w:right w:val="single" w:sz="4" w:space="0" w:color="auto"/>
            </w:tcBorders>
            <w:vAlign w:val="center"/>
          </w:tcPr>
          <w:p w14:paraId="3F6CC7BE" w14:textId="69E5D91F" w:rsidR="003563C4" w:rsidRPr="00C96EC5" w:rsidRDefault="00D3122A" w:rsidP="009701BA">
            <w:pPr>
              <w:spacing w:line="240" w:lineRule="auto"/>
              <w:rPr>
                <w:rFonts w:ascii="Arial Narrow" w:eastAsia="Calibri" w:hAnsi="Arial Narrow" w:cs="Calibri"/>
                <w:sz w:val="20"/>
              </w:rPr>
            </w:pPr>
            <w:r>
              <w:rPr>
                <w:rFonts w:ascii="Arial Narrow" w:eastAsia="Calibri" w:hAnsi="Arial Narrow" w:cs="Calibri"/>
                <w:sz w:val="20"/>
              </w:rPr>
              <w:t>32-35</w:t>
            </w:r>
          </w:p>
        </w:tc>
      </w:tr>
      <w:tr w:rsidR="003563C4" w:rsidRPr="00FD321F" w14:paraId="0BF25E2C"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2F179FD0" w14:textId="77777777" w:rsidR="003563C4" w:rsidRPr="00C96EC5" w:rsidRDefault="003563C4" w:rsidP="009701BA">
            <w:pPr>
              <w:spacing w:line="240" w:lineRule="auto"/>
              <w:ind w:left="144"/>
              <w:rPr>
                <w:rFonts w:ascii="Arial Narrow" w:eastAsia="Calibri" w:hAnsi="Arial Narrow"/>
                <w:sz w:val="20"/>
              </w:rPr>
            </w:pPr>
            <w:r w:rsidRPr="00C96EC5">
              <w:rPr>
                <w:rFonts w:ascii="Arial Narrow" w:eastAsia="Calibri" w:hAnsi="Arial Narrow"/>
                <w:sz w:val="20"/>
              </w:rPr>
              <w:t>Technical Report</w:t>
            </w:r>
          </w:p>
        </w:tc>
        <w:tc>
          <w:tcPr>
            <w:tcW w:w="2234" w:type="pct"/>
            <w:tcBorders>
              <w:top w:val="single" w:sz="4" w:space="0" w:color="auto"/>
              <w:left w:val="single" w:sz="4" w:space="0" w:color="auto"/>
              <w:bottom w:val="single" w:sz="4" w:space="0" w:color="auto"/>
              <w:right w:val="single" w:sz="4" w:space="0" w:color="auto"/>
            </w:tcBorders>
            <w:vAlign w:val="center"/>
          </w:tcPr>
          <w:p w14:paraId="385ABC30" w14:textId="7162BA51" w:rsidR="003563C4" w:rsidRPr="00C96EC5" w:rsidRDefault="00D3122A" w:rsidP="009701BA">
            <w:pPr>
              <w:spacing w:line="240" w:lineRule="auto"/>
              <w:rPr>
                <w:rFonts w:ascii="Arial Narrow" w:eastAsia="Calibri" w:hAnsi="Arial Narrow" w:cs="Calibri"/>
                <w:sz w:val="20"/>
              </w:rPr>
            </w:pPr>
            <w:r>
              <w:rPr>
                <w:rFonts w:ascii="Arial Narrow" w:eastAsia="Calibri" w:hAnsi="Arial Narrow" w:cs="Calibri"/>
                <w:sz w:val="20"/>
              </w:rPr>
              <w:t>35</w:t>
            </w:r>
          </w:p>
        </w:tc>
      </w:tr>
      <w:tr w:rsidR="003563C4" w:rsidRPr="00FD321F" w14:paraId="590A3AB7"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6C138491" w14:textId="77777777" w:rsidR="003563C4" w:rsidRPr="00C96EC5" w:rsidRDefault="003563C4" w:rsidP="009701BA">
            <w:pPr>
              <w:spacing w:line="240" w:lineRule="auto"/>
              <w:ind w:left="144"/>
              <w:rPr>
                <w:rFonts w:ascii="Arial Narrow" w:eastAsia="Calibri" w:hAnsi="Arial Narrow"/>
                <w:sz w:val="20"/>
              </w:rPr>
            </w:pPr>
            <w:r w:rsidRPr="00C96EC5">
              <w:rPr>
                <w:rFonts w:ascii="Arial Narrow" w:eastAsia="Calibri" w:hAnsi="Arial Narrow"/>
                <w:sz w:val="20"/>
              </w:rPr>
              <w:t>Erroneous Payments Report</w:t>
            </w:r>
          </w:p>
        </w:tc>
        <w:tc>
          <w:tcPr>
            <w:tcW w:w="2234" w:type="pct"/>
            <w:tcBorders>
              <w:top w:val="single" w:sz="4" w:space="0" w:color="auto"/>
              <w:left w:val="single" w:sz="4" w:space="0" w:color="auto"/>
              <w:bottom w:val="single" w:sz="4" w:space="0" w:color="auto"/>
              <w:right w:val="single" w:sz="4" w:space="0" w:color="auto"/>
            </w:tcBorders>
            <w:vAlign w:val="center"/>
          </w:tcPr>
          <w:p w14:paraId="43D18C90" w14:textId="60EB8CB0" w:rsidR="003563C4" w:rsidRPr="00C96EC5" w:rsidRDefault="00D3122A" w:rsidP="009701BA">
            <w:pPr>
              <w:spacing w:line="240" w:lineRule="auto"/>
              <w:rPr>
                <w:rFonts w:ascii="Arial Narrow" w:eastAsia="Calibri" w:hAnsi="Arial Narrow" w:cs="Calibri"/>
                <w:sz w:val="20"/>
              </w:rPr>
            </w:pPr>
            <w:r>
              <w:rPr>
                <w:rFonts w:ascii="Arial Narrow" w:eastAsia="Calibri" w:hAnsi="Arial Narrow" w:cs="Calibri"/>
                <w:sz w:val="20"/>
              </w:rPr>
              <w:t>33</w:t>
            </w:r>
          </w:p>
        </w:tc>
      </w:tr>
      <w:tr w:rsidR="003563C4" w:rsidRPr="00FD321F" w14:paraId="680B9CAA"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787B667A" w14:textId="77777777" w:rsidR="003563C4" w:rsidRPr="00C96EC5" w:rsidRDefault="003563C4" w:rsidP="009701BA">
            <w:pPr>
              <w:spacing w:line="240" w:lineRule="auto"/>
              <w:ind w:left="144"/>
              <w:rPr>
                <w:rFonts w:ascii="Arial Narrow" w:eastAsia="Calibri" w:hAnsi="Arial Narrow"/>
                <w:sz w:val="20"/>
              </w:rPr>
            </w:pPr>
            <w:r w:rsidRPr="00C96EC5">
              <w:rPr>
                <w:rFonts w:ascii="Arial Narrow" w:eastAsia="Calibri" w:hAnsi="Arial Narrow"/>
                <w:sz w:val="20"/>
              </w:rPr>
              <w:t>SA and Local WIC Agency Characteristics Report</w:t>
            </w:r>
          </w:p>
        </w:tc>
        <w:tc>
          <w:tcPr>
            <w:tcW w:w="2234" w:type="pct"/>
            <w:tcBorders>
              <w:top w:val="single" w:sz="4" w:space="0" w:color="auto"/>
              <w:left w:val="single" w:sz="4" w:space="0" w:color="auto"/>
              <w:bottom w:val="single" w:sz="4" w:space="0" w:color="auto"/>
              <w:right w:val="single" w:sz="4" w:space="0" w:color="auto"/>
            </w:tcBorders>
            <w:vAlign w:val="center"/>
          </w:tcPr>
          <w:p w14:paraId="31175B05" w14:textId="22E916AD" w:rsidR="003563C4" w:rsidRPr="00C96EC5" w:rsidRDefault="00D3122A" w:rsidP="009701BA">
            <w:pPr>
              <w:spacing w:line="240" w:lineRule="auto"/>
              <w:rPr>
                <w:rFonts w:ascii="Arial Narrow" w:eastAsia="Calibri" w:hAnsi="Arial Narrow" w:cs="Calibri"/>
                <w:sz w:val="20"/>
              </w:rPr>
            </w:pPr>
            <w:r>
              <w:rPr>
                <w:rFonts w:ascii="Arial Narrow" w:eastAsia="Calibri" w:hAnsi="Arial Narrow" w:cs="Calibri"/>
                <w:sz w:val="20"/>
              </w:rPr>
              <w:t>32</w:t>
            </w:r>
          </w:p>
        </w:tc>
      </w:tr>
      <w:tr w:rsidR="003563C4" w:rsidRPr="00FD321F" w14:paraId="4CF0A670"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20861B66" w14:textId="77777777" w:rsidR="003563C4" w:rsidRPr="00C96EC5" w:rsidRDefault="003563C4" w:rsidP="009701BA">
            <w:pPr>
              <w:spacing w:line="240" w:lineRule="auto"/>
              <w:ind w:left="144"/>
              <w:rPr>
                <w:rFonts w:ascii="Arial Narrow" w:eastAsia="Calibri" w:hAnsi="Arial Narrow"/>
                <w:sz w:val="20"/>
              </w:rPr>
            </w:pPr>
            <w:r w:rsidRPr="00C96EC5">
              <w:rPr>
                <w:rFonts w:ascii="Arial Narrow" w:eastAsia="Calibri" w:hAnsi="Arial Narrow"/>
                <w:sz w:val="20"/>
              </w:rPr>
              <w:t>Participant Characteristics Report</w:t>
            </w:r>
          </w:p>
        </w:tc>
        <w:tc>
          <w:tcPr>
            <w:tcW w:w="2234" w:type="pct"/>
            <w:tcBorders>
              <w:top w:val="single" w:sz="4" w:space="0" w:color="auto"/>
              <w:left w:val="single" w:sz="4" w:space="0" w:color="auto"/>
              <w:bottom w:val="single" w:sz="4" w:space="0" w:color="auto"/>
              <w:right w:val="single" w:sz="4" w:space="0" w:color="auto"/>
            </w:tcBorders>
            <w:vAlign w:val="center"/>
          </w:tcPr>
          <w:p w14:paraId="53D5D246" w14:textId="5288DCAD" w:rsidR="003563C4" w:rsidRPr="00C96EC5" w:rsidRDefault="00D3122A" w:rsidP="009701BA">
            <w:pPr>
              <w:spacing w:line="240" w:lineRule="auto"/>
              <w:rPr>
                <w:rFonts w:ascii="Arial Narrow" w:eastAsia="Calibri" w:hAnsi="Arial Narrow" w:cs="Calibri"/>
                <w:sz w:val="20"/>
              </w:rPr>
            </w:pPr>
            <w:r>
              <w:rPr>
                <w:rFonts w:ascii="Arial Narrow" w:eastAsia="Calibri" w:hAnsi="Arial Narrow" w:cs="Calibri"/>
                <w:sz w:val="20"/>
              </w:rPr>
              <w:t>32</w:t>
            </w:r>
          </w:p>
        </w:tc>
      </w:tr>
      <w:tr w:rsidR="003563C4" w:rsidRPr="00FD321F" w14:paraId="604EE7F0"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472DFCD1" w14:textId="77777777" w:rsidR="003563C4" w:rsidRPr="00C96EC5" w:rsidRDefault="003563C4" w:rsidP="009701BA">
            <w:pPr>
              <w:spacing w:line="240" w:lineRule="auto"/>
              <w:rPr>
                <w:rFonts w:ascii="Arial Narrow" w:eastAsia="Calibri" w:hAnsi="Arial Narrow"/>
                <w:sz w:val="20"/>
              </w:rPr>
            </w:pPr>
            <w:r w:rsidRPr="00C96EC5">
              <w:rPr>
                <w:rFonts w:ascii="Arial Narrow" w:eastAsia="Calibri" w:hAnsi="Arial Narrow"/>
                <w:sz w:val="20"/>
              </w:rPr>
              <w:t>Conduct Briefing at FNS</w:t>
            </w:r>
          </w:p>
        </w:tc>
        <w:tc>
          <w:tcPr>
            <w:tcW w:w="2234" w:type="pct"/>
            <w:tcBorders>
              <w:top w:val="single" w:sz="4" w:space="0" w:color="auto"/>
              <w:left w:val="single" w:sz="4" w:space="0" w:color="auto"/>
              <w:bottom w:val="single" w:sz="4" w:space="0" w:color="auto"/>
              <w:right w:val="single" w:sz="4" w:space="0" w:color="auto"/>
            </w:tcBorders>
            <w:vAlign w:val="center"/>
          </w:tcPr>
          <w:p w14:paraId="4A48A781" w14:textId="754236C1" w:rsidR="003563C4" w:rsidRPr="00C96EC5" w:rsidRDefault="00D3122A" w:rsidP="009701BA">
            <w:pPr>
              <w:spacing w:line="240" w:lineRule="auto"/>
              <w:rPr>
                <w:rFonts w:ascii="Arial Narrow" w:eastAsia="Calibri" w:hAnsi="Arial Narrow"/>
                <w:sz w:val="20"/>
              </w:rPr>
            </w:pPr>
            <w:r>
              <w:rPr>
                <w:rFonts w:ascii="Arial Narrow" w:eastAsia="Calibri" w:hAnsi="Arial Narrow"/>
                <w:sz w:val="20"/>
              </w:rPr>
              <w:t>34</w:t>
            </w:r>
          </w:p>
        </w:tc>
      </w:tr>
      <w:tr w:rsidR="003563C4" w:rsidRPr="00FD321F" w14:paraId="23CBA2A5"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4E24C77D" w14:textId="77777777" w:rsidR="003563C4" w:rsidRPr="00C96EC5" w:rsidRDefault="003563C4" w:rsidP="009701BA">
            <w:pPr>
              <w:spacing w:line="240" w:lineRule="auto"/>
              <w:rPr>
                <w:rFonts w:ascii="Arial Narrow" w:eastAsia="Calibri" w:hAnsi="Arial Narrow"/>
                <w:sz w:val="20"/>
              </w:rPr>
            </w:pPr>
            <w:r w:rsidRPr="00C96EC5">
              <w:rPr>
                <w:rFonts w:ascii="Arial Narrow" w:eastAsia="Calibri" w:hAnsi="Arial Narrow"/>
                <w:sz w:val="20"/>
              </w:rPr>
              <w:t>Prepare Data Files and Documentation</w:t>
            </w:r>
          </w:p>
        </w:tc>
        <w:tc>
          <w:tcPr>
            <w:tcW w:w="2234" w:type="pct"/>
            <w:tcBorders>
              <w:top w:val="single" w:sz="4" w:space="0" w:color="auto"/>
              <w:left w:val="single" w:sz="4" w:space="0" w:color="auto"/>
              <w:bottom w:val="single" w:sz="4" w:space="0" w:color="auto"/>
              <w:right w:val="single" w:sz="4" w:space="0" w:color="auto"/>
            </w:tcBorders>
            <w:vAlign w:val="center"/>
          </w:tcPr>
          <w:p w14:paraId="7405F66D" w14:textId="20175F8A" w:rsidR="003563C4" w:rsidRPr="00C96EC5" w:rsidRDefault="00D3122A" w:rsidP="009701BA">
            <w:pPr>
              <w:spacing w:line="240" w:lineRule="auto"/>
              <w:rPr>
                <w:rFonts w:ascii="Arial Narrow" w:eastAsia="Calibri" w:hAnsi="Arial Narrow"/>
                <w:sz w:val="20"/>
              </w:rPr>
            </w:pPr>
            <w:r>
              <w:rPr>
                <w:rFonts w:ascii="Arial Narrow" w:eastAsia="Calibri" w:hAnsi="Arial Narrow" w:cs="Calibri"/>
                <w:sz w:val="20"/>
              </w:rPr>
              <w:t>36</w:t>
            </w:r>
          </w:p>
        </w:tc>
      </w:tr>
      <w:tr w:rsidR="00283EEB" w:rsidRPr="00FD321F" w14:paraId="72C82AE3" w14:textId="77777777" w:rsidTr="009701BA">
        <w:trPr>
          <w:trHeight w:val="288"/>
        </w:trPr>
        <w:tc>
          <w:tcPr>
            <w:tcW w:w="5000"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251C8" w14:textId="5428D5FF" w:rsidR="00283EEB" w:rsidRPr="00283EEB" w:rsidRDefault="002B5491" w:rsidP="009701BA">
            <w:pPr>
              <w:spacing w:line="240" w:lineRule="auto"/>
              <w:jc w:val="center"/>
              <w:rPr>
                <w:rFonts w:ascii="Arial Narrow" w:eastAsia="Calibri" w:hAnsi="Arial Narrow" w:cs="Calibri"/>
                <w:b/>
                <w:color w:val="FFFFFF" w:themeColor="background1"/>
                <w:sz w:val="20"/>
              </w:rPr>
            </w:pPr>
            <w:r>
              <w:rPr>
                <w:rFonts w:ascii="Arial Narrow" w:eastAsia="Calibri" w:hAnsi="Arial Narrow" w:cs="Calibri"/>
                <w:b/>
                <w:color w:val="FFFFFF" w:themeColor="background1"/>
                <w:sz w:val="20"/>
              </w:rPr>
              <w:t>Alternative Pilot Methodology (</w:t>
            </w:r>
            <w:r w:rsidR="00D3122A">
              <w:rPr>
                <w:rFonts w:ascii="Arial Narrow" w:eastAsia="Calibri" w:hAnsi="Arial Narrow" w:cs="Calibri"/>
                <w:b/>
                <w:color w:val="FFFFFF" w:themeColor="background1"/>
                <w:sz w:val="20"/>
              </w:rPr>
              <w:t>Years 2 and 3</w:t>
            </w:r>
            <w:r>
              <w:rPr>
                <w:rFonts w:ascii="Arial Narrow" w:eastAsia="Calibri" w:hAnsi="Arial Narrow" w:cs="Calibri"/>
                <w:b/>
                <w:color w:val="FFFFFF" w:themeColor="background1"/>
                <w:sz w:val="20"/>
              </w:rPr>
              <w:t>)</w:t>
            </w:r>
          </w:p>
        </w:tc>
      </w:tr>
      <w:tr w:rsidR="00283EEB" w:rsidRPr="00FD321F" w14:paraId="255164B2"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0A209212" w14:textId="1B62DC8C" w:rsidR="00283EEB" w:rsidRPr="00C96EC5" w:rsidRDefault="00283EEB" w:rsidP="009701BA">
            <w:pPr>
              <w:spacing w:line="240" w:lineRule="auto"/>
              <w:rPr>
                <w:rFonts w:ascii="Arial Narrow" w:eastAsia="Calibri" w:hAnsi="Arial Narrow"/>
                <w:sz w:val="20"/>
              </w:rPr>
            </w:pPr>
            <w:r w:rsidRPr="00C96EC5">
              <w:rPr>
                <w:rFonts w:ascii="Arial Narrow" w:eastAsia="Calibri" w:hAnsi="Arial Narrow"/>
                <w:sz w:val="20"/>
              </w:rPr>
              <w:t>Data Collection</w:t>
            </w:r>
            <w:r w:rsidR="002B5491">
              <w:rPr>
                <w:rFonts w:ascii="Arial Narrow" w:eastAsia="Calibri" w:hAnsi="Arial Narrow"/>
                <w:sz w:val="20"/>
              </w:rPr>
              <w:t xml:space="preserve"> – </w:t>
            </w:r>
            <w:r w:rsidR="00D3122A">
              <w:rPr>
                <w:rFonts w:ascii="Arial Narrow" w:eastAsia="Calibri" w:hAnsi="Arial Narrow"/>
                <w:sz w:val="20"/>
              </w:rPr>
              <w:t>Year 2</w:t>
            </w:r>
            <w:r>
              <w:rPr>
                <w:rFonts w:ascii="Arial Narrow" w:eastAsia="Calibri" w:hAnsi="Arial Narrow"/>
                <w:sz w:val="20"/>
              </w:rPr>
              <w:t>**</w:t>
            </w:r>
          </w:p>
        </w:tc>
        <w:tc>
          <w:tcPr>
            <w:tcW w:w="2234" w:type="pct"/>
            <w:tcBorders>
              <w:top w:val="single" w:sz="4" w:space="0" w:color="auto"/>
              <w:left w:val="single" w:sz="4" w:space="0" w:color="auto"/>
              <w:bottom w:val="single" w:sz="4" w:space="0" w:color="auto"/>
              <w:right w:val="single" w:sz="4" w:space="0" w:color="auto"/>
            </w:tcBorders>
            <w:vAlign w:val="center"/>
          </w:tcPr>
          <w:p w14:paraId="1E906A79" w14:textId="547830B7" w:rsidR="00283EEB" w:rsidRDefault="00D3122A" w:rsidP="009701BA">
            <w:pPr>
              <w:spacing w:line="240" w:lineRule="auto"/>
              <w:rPr>
                <w:rFonts w:ascii="Arial Narrow" w:eastAsia="Calibri" w:hAnsi="Arial Narrow" w:cs="Calibri"/>
                <w:sz w:val="20"/>
              </w:rPr>
            </w:pPr>
            <w:r>
              <w:rPr>
                <w:rFonts w:ascii="Arial Narrow" w:eastAsia="Calibri" w:hAnsi="Arial Narrow" w:cs="Calibri"/>
                <w:sz w:val="20"/>
              </w:rPr>
              <w:t>23</w:t>
            </w:r>
          </w:p>
        </w:tc>
      </w:tr>
      <w:tr w:rsidR="00107BEC" w:rsidRPr="00FD321F" w14:paraId="5819D0D4"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1653452E" w14:textId="77F69FC2" w:rsidR="00107BEC" w:rsidRPr="00C96EC5" w:rsidRDefault="00107BEC" w:rsidP="009701BA">
            <w:pPr>
              <w:spacing w:line="240" w:lineRule="auto"/>
              <w:rPr>
                <w:rFonts w:ascii="Arial Narrow" w:eastAsia="Calibri" w:hAnsi="Arial Narrow"/>
                <w:sz w:val="20"/>
              </w:rPr>
            </w:pPr>
            <w:r>
              <w:rPr>
                <w:rFonts w:ascii="Arial Narrow" w:eastAsia="Calibri" w:hAnsi="Arial Narrow"/>
                <w:sz w:val="20"/>
              </w:rPr>
              <w:t>Data Collection – Year 3**</w:t>
            </w:r>
          </w:p>
        </w:tc>
        <w:tc>
          <w:tcPr>
            <w:tcW w:w="2234" w:type="pct"/>
            <w:tcBorders>
              <w:top w:val="single" w:sz="4" w:space="0" w:color="auto"/>
              <w:left w:val="single" w:sz="4" w:space="0" w:color="auto"/>
              <w:bottom w:val="single" w:sz="4" w:space="0" w:color="auto"/>
              <w:right w:val="single" w:sz="4" w:space="0" w:color="auto"/>
            </w:tcBorders>
            <w:vAlign w:val="center"/>
          </w:tcPr>
          <w:p w14:paraId="1391B6AD" w14:textId="3726CF7B" w:rsidR="00107BEC" w:rsidRDefault="00107BEC" w:rsidP="009701BA">
            <w:pPr>
              <w:spacing w:line="240" w:lineRule="auto"/>
              <w:rPr>
                <w:rFonts w:ascii="Arial Narrow" w:eastAsia="Calibri" w:hAnsi="Arial Narrow" w:cs="Calibri"/>
                <w:sz w:val="20"/>
              </w:rPr>
            </w:pPr>
            <w:r>
              <w:rPr>
                <w:rFonts w:ascii="Arial Narrow" w:eastAsia="Calibri" w:hAnsi="Arial Narrow" w:cs="Calibri"/>
                <w:sz w:val="20"/>
              </w:rPr>
              <w:t>35</w:t>
            </w:r>
          </w:p>
        </w:tc>
      </w:tr>
      <w:tr w:rsidR="002B5491" w:rsidRPr="00FD321F" w14:paraId="3474FD19"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4F5AEF74" w14:textId="6A73D8A9" w:rsidR="002B5491" w:rsidRPr="00C96EC5" w:rsidRDefault="002B5491" w:rsidP="009701BA">
            <w:pPr>
              <w:spacing w:line="240" w:lineRule="auto"/>
              <w:rPr>
                <w:rFonts w:ascii="Arial Narrow" w:eastAsia="Calibri" w:hAnsi="Arial Narrow"/>
                <w:sz w:val="20"/>
              </w:rPr>
            </w:pPr>
            <w:r w:rsidRPr="00C96EC5">
              <w:rPr>
                <w:rFonts w:ascii="Arial Narrow" w:eastAsia="Calibri" w:hAnsi="Arial Narrow" w:cs="Calibri"/>
                <w:sz w:val="20"/>
              </w:rPr>
              <w:t>Conduct Data Analysis and Tabulations</w:t>
            </w:r>
          </w:p>
        </w:tc>
        <w:tc>
          <w:tcPr>
            <w:tcW w:w="2234" w:type="pct"/>
            <w:tcBorders>
              <w:top w:val="single" w:sz="4" w:space="0" w:color="auto"/>
              <w:left w:val="single" w:sz="4" w:space="0" w:color="auto"/>
              <w:bottom w:val="single" w:sz="4" w:space="0" w:color="auto"/>
              <w:right w:val="single" w:sz="4" w:space="0" w:color="auto"/>
            </w:tcBorders>
            <w:vAlign w:val="center"/>
          </w:tcPr>
          <w:p w14:paraId="6EA11379" w14:textId="102C7B9F" w:rsidR="002B5491" w:rsidRDefault="00D3122A" w:rsidP="009701BA">
            <w:pPr>
              <w:spacing w:line="240" w:lineRule="auto"/>
              <w:rPr>
                <w:rFonts w:ascii="Arial Narrow" w:eastAsia="Calibri" w:hAnsi="Arial Narrow" w:cs="Calibri"/>
                <w:sz w:val="20"/>
              </w:rPr>
            </w:pPr>
            <w:r>
              <w:rPr>
                <w:rFonts w:ascii="Arial Narrow" w:eastAsia="Calibri" w:hAnsi="Arial Narrow" w:cs="Calibri"/>
                <w:sz w:val="20"/>
              </w:rPr>
              <w:t>48</w:t>
            </w:r>
          </w:p>
        </w:tc>
      </w:tr>
      <w:tr w:rsidR="002B5491" w:rsidRPr="00FD321F" w14:paraId="07C1A369"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440893BE" w14:textId="64B981BB" w:rsidR="002B5491" w:rsidRPr="00C96EC5" w:rsidRDefault="002B5491" w:rsidP="009701BA">
            <w:pPr>
              <w:spacing w:line="240" w:lineRule="auto"/>
              <w:rPr>
                <w:rFonts w:ascii="Arial Narrow" w:eastAsia="Calibri" w:hAnsi="Arial Narrow"/>
                <w:sz w:val="20"/>
              </w:rPr>
            </w:pPr>
            <w:r w:rsidRPr="00C96EC5">
              <w:rPr>
                <w:rFonts w:ascii="Arial Narrow" w:eastAsia="Calibri" w:hAnsi="Arial Narrow"/>
                <w:sz w:val="20"/>
              </w:rPr>
              <w:t>Prepare</w:t>
            </w:r>
            <w:r>
              <w:rPr>
                <w:rFonts w:ascii="Arial Narrow" w:eastAsia="Calibri" w:hAnsi="Arial Narrow"/>
                <w:sz w:val="20"/>
              </w:rPr>
              <w:t xml:space="preserve"> Draft and Final Memorandum of Results</w:t>
            </w:r>
          </w:p>
        </w:tc>
        <w:tc>
          <w:tcPr>
            <w:tcW w:w="2234" w:type="pct"/>
            <w:tcBorders>
              <w:top w:val="single" w:sz="4" w:space="0" w:color="auto"/>
              <w:left w:val="single" w:sz="4" w:space="0" w:color="auto"/>
              <w:bottom w:val="single" w:sz="4" w:space="0" w:color="auto"/>
              <w:right w:val="single" w:sz="4" w:space="0" w:color="auto"/>
            </w:tcBorders>
            <w:vAlign w:val="center"/>
          </w:tcPr>
          <w:p w14:paraId="1818BAC4" w14:textId="550B2C3B" w:rsidR="002B5491" w:rsidRDefault="00D3122A" w:rsidP="009701BA">
            <w:pPr>
              <w:spacing w:line="240" w:lineRule="auto"/>
              <w:rPr>
                <w:rFonts w:ascii="Arial Narrow" w:eastAsia="Calibri" w:hAnsi="Arial Narrow" w:cs="Calibri"/>
                <w:sz w:val="20"/>
              </w:rPr>
            </w:pPr>
            <w:r>
              <w:rPr>
                <w:rFonts w:ascii="Arial Narrow" w:eastAsia="Calibri" w:hAnsi="Arial Narrow" w:cs="Calibri"/>
                <w:sz w:val="20"/>
              </w:rPr>
              <w:t>53</w:t>
            </w:r>
          </w:p>
        </w:tc>
      </w:tr>
      <w:tr w:rsidR="002B5491" w:rsidRPr="00FD321F" w14:paraId="3B3622E9" w14:textId="77777777" w:rsidTr="009701BA">
        <w:trPr>
          <w:trHeight w:val="288"/>
        </w:trPr>
        <w:tc>
          <w:tcPr>
            <w:tcW w:w="2766" w:type="pct"/>
            <w:tcBorders>
              <w:top w:val="single" w:sz="4" w:space="0" w:color="auto"/>
              <w:left w:val="single" w:sz="4" w:space="0" w:color="auto"/>
              <w:bottom w:val="single" w:sz="4" w:space="0" w:color="auto"/>
              <w:right w:val="single" w:sz="4" w:space="0" w:color="auto"/>
            </w:tcBorders>
            <w:vAlign w:val="center"/>
          </w:tcPr>
          <w:p w14:paraId="4967EA14" w14:textId="6E8FB981" w:rsidR="002B5491" w:rsidRPr="00C96EC5" w:rsidRDefault="002B5491" w:rsidP="009701BA">
            <w:pPr>
              <w:spacing w:line="240" w:lineRule="auto"/>
              <w:rPr>
                <w:rFonts w:ascii="Arial Narrow" w:eastAsia="Calibri" w:hAnsi="Arial Narrow"/>
                <w:sz w:val="20"/>
              </w:rPr>
            </w:pPr>
            <w:r w:rsidRPr="002B5491">
              <w:rPr>
                <w:rFonts w:ascii="Arial Narrow" w:eastAsia="Calibri" w:hAnsi="Arial Narrow"/>
                <w:sz w:val="20"/>
              </w:rPr>
              <w:t>Prepare Data Files and Documentation</w:t>
            </w:r>
          </w:p>
        </w:tc>
        <w:tc>
          <w:tcPr>
            <w:tcW w:w="2234" w:type="pct"/>
            <w:tcBorders>
              <w:top w:val="single" w:sz="4" w:space="0" w:color="auto"/>
              <w:left w:val="single" w:sz="4" w:space="0" w:color="auto"/>
              <w:bottom w:val="single" w:sz="4" w:space="0" w:color="auto"/>
              <w:right w:val="single" w:sz="4" w:space="0" w:color="auto"/>
            </w:tcBorders>
            <w:vAlign w:val="center"/>
          </w:tcPr>
          <w:p w14:paraId="328BE0A7" w14:textId="14FCD484" w:rsidR="002B5491" w:rsidRDefault="00D3122A" w:rsidP="009701BA">
            <w:pPr>
              <w:spacing w:line="240" w:lineRule="auto"/>
              <w:rPr>
                <w:rFonts w:ascii="Arial Narrow" w:eastAsia="Calibri" w:hAnsi="Arial Narrow" w:cs="Calibri"/>
                <w:sz w:val="20"/>
              </w:rPr>
            </w:pPr>
            <w:r>
              <w:rPr>
                <w:rFonts w:ascii="Arial Narrow" w:eastAsia="Calibri" w:hAnsi="Arial Narrow" w:cs="Calibri"/>
                <w:sz w:val="20"/>
              </w:rPr>
              <w:t>54</w:t>
            </w:r>
          </w:p>
        </w:tc>
      </w:tr>
      <w:tr w:rsidR="00283EEB" w:rsidRPr="00FD321F" w14:paraId="118D557D" w14:textId="77777777" w:rsidTr="009701BA">
        <w:trPr>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6D73F84" w14:textId="49547E54" w:rsidR="00283EEB" w:rsidRDefault="00283EEB" w:rsidP="009701BA">
            <w:pPr>
              <w:spacing w:line="240" w:lineRule="auto"/>
              <w:rPr>
                <w:rFonts w:ascii="Arial Narrow" w:eastAsia="Calibri" w:hAnsi="Arial Narrow"/>
                <w:sz w:val="20"/>
              </w:rPr>
            </w:pPr>
            <w:r>
              <w:rPr>
                <w:rFonts w:ascii="Arial Narrow" w:eastAsia="Calibri" w:hAnsi="Arial Narrow"/>
                <w:sz w:val="20"/>
              </w:rPr>
              <w:t xml:space="preserve">*All data collection activities, including administrative data submissions, WIC SA and LA surveys, Certification Survey, Denied Applicant Survey, Program Experiences Survey, and Former WIC Participant Case Study, will occur </w:t>
            </w:r>
            <w:r w:rsidR="002B5491">
              <w:rPr>
                <w:rFonts w:ascii="Arial Narrow" w:eastAsia="Calibri" w:hAnsi="Arial Narrow"/>
                <w:sz w:val="20"/>
              </w:rPr>
              <w:t xml:space="preserve">concurrently. </w:t>
            </w:r>
          </w:p>
          <w:p w14:paraId="6AD53CE0" w14:textId="2FD7C0A2" w:rsidR="00283EEB" w:rsidRPr="00C96EC5" w:rsidRDefault="00283EEB" w:rsidP="009701BA">
            <w:pPr>
              <w:spacing w:line="240" w:lineRule="auto"/>
              <w:rPr>
                <w:rFonts w:ascii="Arial Narrow" w:eastAsia="Calibri" w:hAnsi="Arial Narrow"/>
                <w:sz w:val="20"/>
              </w:rPr>
            </w:pPr>
            <w:r>
              <w:rPr>
                <w:rFonts w:ascii="Arial Narrow" w:eastAsia="Calibri" w:hAnsi="Arial Narrow"/>
                <w:sz w:val="20"/>
              </w:rPr>
              <w:t xml:space="preserve">**All data collection activities, including Certification Survey and Denied Applicant Survey, will occur </w:t>
            </w:r>
            <w:r w:rsidR="002B5491">
              <w:rPr>
                <w:rFonts w:ascii="Arial Narrow" w:eastAsia="Calibri" w:hAnsi="Arial Narrow"/>
                <w:sz w:val="20"/>
              </w:rPr>
              <w:t xml:space="preserve">concurrently. </w:t>
            </w:r>
          </w:p>
        </w:tc>
      </w:tr>
    </w:tbl>
    <w:p w14:paraId="144529A5" w14:textId="77777777" w:rsidR="00716C8E" w:rsidRDefault="00716C8E" w:rsidP="00716C8E">
      <w:pPr>
        <w:pStyle w:val="Tables"/>
        <w:spacing w:after="120"/>
      </w:pPr>
      <w:bookmarkStart w:id="180" w:name="_Toc282506039"/>
      <w:bookmarkStart w:id="181" w:name="_Toc339621300"/>
      <w:bookmarkStart w:id="182" w:name="_Toc454265320"/>
      <w:bookmarkStart w:id="183" w:name="_Toc454265619"/>
      <w:bookmarkStart w:id="184" w:name="_Toc454265696"/>
      <w:bookmarkStart w:id="185" w:name="_Toc454266195"/>
      <w:bookmarkStart w:id="186" w:name="_Toc454266221"/>
      <w:bookmarkStart w:id="187" w:name="_Toc454266648"/>
    </w:p>
    <w:p w14:paraId="30896946"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401EEE96"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7DB3B5CC"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725253FC"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5B6CD492"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7923BFC6"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6B810DDB"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50FD7F39"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28068081"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1C7CA3B1"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74A07412"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4A91CE46"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56A3374F"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4E8DB068"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2CB57666"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488C011E"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3E13C27A"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17188F59"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244018AF" w14:textId="77777777" w:rsidR="00716C8E" w:rsidRDefault="00716C8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p>
    <w:p w14:paraId="3DCA3EEF" w14:textId="396157D7" w:rsidR="0015674E" w:rsidRPr="00616403" w:rsidRDefault="0015674E" w:rsidP="007B0FBC">
      <w:pPr>
        <w:pStyle w:val="Heading2"/>
        <w:tabs>
          <w:tab w:val="clear" w:pos="1152"/>
          <w:tab w:val="left" w:pos="720"/>
        </w:tabs>
        <w:spacing w:before="120" w:after="0" w:line="240" w:lineRule="auto"/>
        <w:ind w:left="720" w:hanging="720"/>
        <w:rPr>
          <w:rFonts w:ascii="Times New Roman" w:hAnsi="Times New Roman"/>
          <w:color w:val="auto"/>
          <w:sz w:val="24"/>
          <w:szCs w:val="24"/>
        </w:rPr>
      </w:pPr>
      <w:r w:rsidRPr="00616403">
        <w:rPr>
          <w:rFonts w:ascii="Times New Roman" w:hAnsi="Times New Roman"/>
          <w:color w:val="auto"/>
          <w:sz w:val="24"/>
          <w:szCs w:val="24"/>
        </w:rPr>
        <w:t>A.17</w:t>
      </w:r>
      <w:r w:rsidRPr="00616403">
        <w:rPr>
          <w:rFonts w:ascii="Times New Roman" w:hAnsi="Times New Roman"/>
          <w:color w:val="auto"/>
          <w:sz w:val="24"/>
          <w:szCs w:val="24"/>
        </w:rPr>
        <w:tab/>
      </w:r>
      <w:bookmarkEnd w:id="180"/>
      <w:r w:rsidRPr="00616403">
        <w:rPr>
          <w:rFonts w:ascii="Times New Roman" w:hAnsi="Times New Roman"/>
          <w:color w:val="auto"/>
          <w:sz w:val="24"/>
          <w:szCs w:val="24"/>
        </w:rPr>
        <w:t>If seeking approval to not display the expiration date for OMB approval of the information collection, explain the reasons that display would be inappropriate.</w:t>
      </w:r>
      <w:bookmarkEnd w:id="181"/>
      <w:bookmarkEnd w:id="182"/>
      <w:bookmarkEnd w:id="183"/>
      <w:bookmarkEnd w:id="184"/>
      <w:bookmarkEnd w:id="185"/>
      <w:bookmarkEnd w:id="186"/>
      <w:bookmarkEnd w:id="187"/>
    </w:p>
    <w:p w14:paraId="12DD1DDC" w14:textId="77777777" w:rsidR="0015674E" w:rsidRPr="00616403" w:rsidRDefault="0015674E" w:rsidP="0015674E">
      <w:pPr>
        <w:pStyle w:val="BodyTextIndent3"/>
        <w:widowControl/>
        <w:tabs>
          <w:tab w:val="clear" w:pos="0"/>
        </w:tabs>
        <w:suppressAutoHyphens w:val="0"/>
        <w:autoSpaceDE/>
        <w:autoSpaceDN/>
        <w:adjustRightInd/>
        <w:spacing w:line="240" w:lineRule="auto"/>
        <w:ind w:firstLine="0"/>
        <w:rPr>
          <w:bCs/>
          <w:iCs/>
          <w:sz w:val="24"/>
          <w:szCs w:val="24"/>
        </w:rPr>
      </w:pPr>
    </w:p>
    <w:p w14:paraId="47CF3BE4" w14:textId="77777777" w:rsidR="0015674E" w:rsidRPr="00616403" w:rsidRDefault="00B25B64" w:rsidP="00D913AF">
      <w:pPr>
        <w:pStyle w:val="BodyTextIndent3"/>
        <w:widowControl/>
        <w:tabs>
          <w:tab w:val="clear" w:pos="0"/>
        </w:tabs>
        <w:suppressAutoHyphens w:val="0"/>
        <w:autoSpaceDE/>
        <w:autoSpaceDN/>
        <w:adjustRightInd/>
        <w:rPr>
          <w:snapToGrid w:val="0"/>
          <w:sz w:val="24"/>
          <w:szCs w:val="24"/>
        </w:rPr>
      </w:pPr>
      <w:r w:rsidRPr="00946C51">
        <w:rPr>
          <w:snapToGrid w:val="0"/>
          <w:sz w:val="24"/>
          <w:szCs w:val="24"/>
        </w:rPr>
        <w:t>The agency plans to display the expiration date for OMB approval of the information collection on all instruments.</w:t>
      </w:r>
    </w:p>
    <w:p w14:paraId="743971CB" w14:textId="77777777" w:rsidR="0015674E" w:rsidRPr="00616403" w:rsidRDefault="0015674E" w:rsidP="002431C1">
      <w:pPr>
        <w:pStyle w:val="Heading2"/>
        <w:widowControl w:val="0"/>
        <w:tabs>
          <w:tab w:val="clear" w:pos="1152"/>
          <w:tab w:val="left" w:pos="720"/>
        </w:tabs>
        <w:spacing w:after="0" w:line="240" w:lineRule="auto"/>
        <w:ind w:left="720" w:hanging="720"/>
        <w:rPr>
          <w:rFonts w:ascii="Times New Roman" w:hAnsi="Times New Roman"/>
          <w:color w:val="auto"/>
          <w:sz w:val="24"/>
          <w:szCs w:val="24"/>
        </w:rPr>
      </w:pPr>
      <w:bookmarkStart w:id="188" w:name="_Toc282506040"/>
      <w:bookmarkStart w:id="189" w:name="_Toc339621301"/>
      <w:bookmarkStart w:id="190" w:name="_Toc454265321"/>
      <w:bookmarkStart w:id="191" w:name="_Toc454265620"/>
      <w:bookmarkStart w:id="192" w:name="_Toc454265697"/>
      <w:bookmarkStart w:id="193" w:name="_Toc454266196"/>
      <w:bookmarkStart w:id="194" w:name="_Toc454266222"/>
      <w:bookmarkStart w:id="195" w:name="_Toc454266649"/>
      <w:r w:rsidRPr="00616403">
        <w:rPr>
          <w:rFonts w:ascii="Times New Roman" w:hAnsi="Times New Roman"/>
          <w:color w:val="auto"/>
          <w:sz w:val="24"/>
          <w:szCs w:val="24"/>
        </w:rPr>
        <w:t>A.18</w:t>
      </w:r>
      <w:r w:rsidRPr="00616403">
        <w:rPr>
          <w:rFonts w:ascii="Times New Roman" w:hAnsi="Times New Roman"/>
          <w:color w:val="auto"/>
          <w:sz w:val="24"/>
          <w:szCs w:val="24"/>
        </w:rPr>
        <w:tab/>
      </w:r>
      <w:bookmarkEnd w:id="188"/>
      <w:r w:rsidRPr="00616403">
        <w:rPr>
          <w:rFonts w:ascii="Times New Roman" w:hAnsi="Times New Roman"/>
          <w:color w:val="auto"/>
          <w:sz w:val="24"/>
          <w:szCs w:val="24"/>
        </w:rPr>
        <w:t>Explain each exception to the certification statement identified in Item 19 "Certification for Paperwork Reduction Act."</w:t>
      </w:r>
      <w:bookmarkEnd w:id="189"/>
      <w:bookmarkEnd w:id="190"/>
      <w:bookmarkEnd w:id="191"/>
      <w:bookmarkEnd w:id="192"/>
      <w:bookmarkEnd w:id="193"/>
      <w:bookmarkEnd w:id="194"/>
      <w:bookmarkEnd w:id="195"/>
    </w:p>
    <w:p w14:paraId="5ACF5C06" w14:textId="77777777" w:rsidR="0015674E" w:rsidRPr="00616403" w:rsidRDefault="0015674E" w:rsidP="0015674E">
      <w:pPr>
        <w:pStyle w:val="BodyTextIndent3"/>
        <w:widowControl/>
        <w:tabs>
          <w:tab w:val="clear" w:pos="0"/>
        </w:tabs>
        <w:suppressAutoHyphens w:val="0"/>
        <w:autoSpaceDE/>
        <w:autoSpaceDN/>
        <w:adjustRightInd/>
        <w:spacing w:line="240" w:lineRule="auto"/>
        <w:ind w:firstLine="0"/>
        <w:jc w:val="both"/>
        <w:rPr>
          <w:snapToGrid w:val="0"/>
          <w:sz w:val="24"/>
          <w:szCs w:val="24"/>
        </w:rPr>
      </w:pPr>
    </w:p>
    <w:p w14:paraId="3C36EBF8" w14:textId="56142A32" w:rsidR="001C167F" w:rsidRDefault="003F2347" w:rsidP="002431C1">
      <w:pPr>
        <w:widowControl w:val="0"/>
        <w:ind w:firstLine="720"/>
        <w:rPr>
          <w:bCs/>
          <w:szCs w:val="24"/>
        </w:rPr>
      </w:pPr>
      <w:r>
        <w:rPr>
          <w:bCs/>
          <w:szCs w:val="24"/>
        </w:rPr>
        <w:t>The agency is able to certify compliance with all provisions under Item 19 of OMB Form 83-</w:t>
      </w:r>
      <w:r w:rsidR="00E4426B">
        <w:rPr>
          <w:bCs/>
          <w:szCs w:val="24"/>
        </w:rPr>
        <w:t>I</w:t>
      </w:r>
      <w:r w:rsidR="004F1DE9">
        <w:rPr>
          <w:bCs/>
          <w:szCs w:val="24"/>
        </w:rPr>
        <w:t xml:space="preserve">. </w:t>
      </w:r>
    </w:p>
    <w:sectPr w:rsidR="001C167F" w:rsidSect="00904D31">
      <w:footerReference w:type="first" r:id="rId2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81B91B" w15:done="0"/>
  <w15:commentEx w15:paraId="1775B7A5" w15:paraIdParent="3281B91B" w15:done="0"/>
  <w15:commentEx w15:paraId="79FC82AC" w15:done="0"/>
  <w15:commentEx w15:paraId="3F6B314B" w15:paraIdParent="79FC82AC" w15:done="0"/>
  <w15:commentEx w15:paraId="20BE46FD" w15:done="0"/>
  <w15:commentEx w15:paraId="5A76F1E5" w15:done="0"/>
  <w15:commentEx w15:paraId="5E7500A3" w15:paraIdParent="5A76F1E5" w15:done="0"/>
  <w15:commentEx w15:paraId="406182E8" w15:done="0"/>
  <w15:commentEx w15:paraId="3D35DEED" w15:done="0"/>
  <w15:commentEx w15:paraId="2B89183B" w15:paraIdParent="3D35DEED" w15:done="0"/>
  <w15:commentEx w15:paraId="43072F26" w15:done="0"/>
  <w15:commentEx w15:paraId="0263F5F0" w15:paraIdParent="43072F26" w15:done="0"/>
  <w15:commentEx w15:paraId="242AE6B5" w15:done="0"/>
  <w15:commentEx w15:paraId="23B80A8B" w15:paraIdParent="242AE6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81B91B" w16cid:durableId="1F3D189F"/>
  <w16cid:commentId w16cid:paraId="1775B7A5" w16cid:durableId="1F3D206A"/>
  <w16cid:commentId w16cid:paraId="79FC82AC" w16cid:durableId="1F45F68C"/>
  <w16cid:commentId w16cid:paraId="3F6B314B" w16cid:durableId="1F45F68D"/>
  <w16cid:commentId w16cid:paraId="20BE46FD" w16cid:durableId="1F45F68E"/>
  <w16cid:commentId w16cid:paraId="5A76F1E5" w16cid:durableId="1F45F68F"/>
  <w16cid:commentId w16cid:paraId="5E7500A3" w16cid:durableId="1F45F690"/>
  <w16cid:commentId w16cid:paraId="406182E8" w16cid:durableId="1F45F691"/>
  <w16cid:commentId w16cid:paraId="3D35DEED" w16cid:durableId="1F3D18A2"/>
  <w16cid:commentId w16cid:paraId="2B89183B" w16cid:durableId="1F3D1A99"/>
  <w16cid:commentId w16cid:paraId="43072F26" w16cid:durableId="1EF98B95"/>
  <w16cid:commentId w16cid:paraId="0263F5F0" w16cid:durableId="1F3D19FB"/>
  <w16cid:commentId w16cid:paraId="242AE6B5" w16cid:durableId="1F3D18A4"/>
  <w16cid:commentId w16cid:paraId="23B80A8B" w16cid:durableId="1F3D1A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A0FF7" w14:textId="77777777" w:rsidR="00036E74" w:rsidRDefault="00036E74" w:rsidP="0015674E">
      <w:pPr>
        <w:spacing w:line="240" w:lineRule="auto"/>
      </w:pPr>
      <w:r>
        <w:separator/>
      </w:r>
    </w:p>
  </w:endnote>
  <w:endnote w:type="continuationSeparator" w:id="0">
    <w:p w14:paraId="3E80C2A8" w14:textId="77777777" w:rsidR="00036E74" w:rsidRDefault="00036E74" w:rsidP="0015674E">
      <w:pPr>
        <w:spacing w:line="240" w:lineRule="auto"/>
      </w:pPr>
      <w:r>
        <w:continuationSeparator/>
      </w:r>
    </w:p>
  </w:endnote>
  <w:endnote w:type="continuationNotice" w:id="1">
    <w:p w14:paraId="7A747C5D" w14:textId="77777777" w:rsidR="00036E74" w:rsidRDefault="00036E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ato Medium">
    <w:altName w:val="Calibri"/>
    <w:charset w:val="00"/>
    <w:family w:val="swiss"/>
    <w:pitch w:val="variable"/>
    <w:sig w:usb0="00000001" w:usb1="5000E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3824B" w14:textId="77777777" w:rsidR="00C466DF" w:rsidRDefault="00C466DF" w:rsidP="00422A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A4266" w14:textId="77777777" w:rsidR="00C466DF" w:rsidRDefault="00C466DF" w:rsidP="00422A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C6294" w14:textId="77777777" w:rsidR="00C466DF" w:rsidRDefault="00C466DF" w:rsidP="007F7272">
    <w:pPr>
      <w:pStyle w:val="Footer"/>
      <w:jc w:val="center"/>
    </w:pPr>
    <w:r>
      <w:t xml:space="preserve"> A-</w:t>
    </w:r>
    <w:r>
      <w:fldChar w:fldCharType="begin"/>
    </w:r>
    <w:r>
      <w:instrText xml:space="preserve"> PAGE   \* MERGEFORMAT </w:instrText>
    </w:r>
    <w:r>
      <w:fldChar w:fldCharType="separate"/>
    </w:r>
    <w:r w:rsidR="00707C29">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B7757" w14:textId="77777777" w:rsidR="00C466DF" w:rsidRPr="00400AEE" w:rsidRDefault="00C466DF" w:rsidP="00422A4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1B51F" w14:textId="6EB626D2" w:rsidR="00C466DF" w:rsidRDefault="00C466DF" w:rsidP="007F7272">
    <w:pPr>
      <w:pStyle w:val="Footer"/>
      <w:jc w:val="center"/>
    </w:pPr>
    <w:r>
      <w:fldChar w:fldCharType="begin"/>
    </w:r>
    <w:r>
      <w:instrText xml:space="preserve"> PAGE   \* MERGEFORMAT </w:instrText>
    </w:r>
    <w:r>
      <w:fldChar w:fldCharType="separate"/>
    </w:r>
    <w:r w:rsidR="00716C8E">
      <w:rPr>
        <w:noProof/>
      </w:rPr>
      <w:t>iii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B194" w14:textId="5046B9B4" w:rsidR="00C466DF" w:rsidRPr="00627E46" w:rsidRDefault="00C466DF" w:rsidP="007F7272">
    <w:pPr>
      <w:pStyle w:val="Footer"/>
      <w:jc w:val="center"/>
    </w:pPr>
    <w:r>
      <w:fldChar w:fldCharType="begin"/>
    </w:r>
    <w:r>
      <w:instrText xml:space="preserve"> PAGE   \* MERGEFORMAT </w:instrText>
    </w:r>
    <w:r>
      <w:fldChar w:fldCharType="separate"/>
    </w:r>
    <w:r w:rsidR="00716C8E">
      <w:rPr>
        <w:noProof/>
      </w:rPr>
      <w:t>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DA4C8" w14:textId="3E781B15" w:rsidR="00C466DF" w:rsidRPr="00627E46" w:rsidRDefault="00C466DF" w:rsidP="007F7272">
    <w:pPr>
      <w:pStyle w:val="Footer"/>
      <w:jc w:val="center"/>
    </w:pPr>
    <w:r>
      <w:fldChar w:fldCharType="begin"/>
    </w:r>
    <w:r>
      <w:instrText xml:space="preserve"> PAGE   \* MERGEFORMAT </w:instrText>
    </w:r>
    <w:r>
      <w:fldChar w:fldCharType="separate"/>
    </w:r>
    <w:r w:rsidR="00716C8E">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02B68" w14:textId="77777777" w:rsidR="00036E74" w:rsidRDefault="00036E74" w:rsidP="0015674E">
      <w:pPr>
        <w:spacing w:line="240" w:lineRule="auto"/>
      </w:pPr>
      <w:r>
        <w:separator/>
      </w:r>
    </w:p>
  </w:footnote>
  <w:footnote w:type="continuationSeparator" w:id="0">
    <w:p w14:paraId="73B32A3F" w14:textId="77777777" w:rsidR="00036E74" w:rsidRDefault="00036E74" w:rsidP="0015674E">
      <w:pPr>
        <w:spacing w:line="240" w:lineRule="auto"/>
      </w:pPr>
      <w:r>
        <w:continuationSeparator/>
      </w:r>
    </w:p>
  </w:footnote>
  <w:footnote w:type="continuationNotice" w:id="1">
    <w:p w14:paraId="39F35361" w14:textId="77777777" w:rsidR="00036E74" w:rsidRDefault="00036E74">
      <w:pPr>
        <w:spacing w:line="240" w:lineRule="auto"/>
      </w:pPr>
    </w:p>
  </w:footnote>
  <w:footnote w:id="2">
    <w:p w14:paraId="0894413D" w14:textId="77777777" w:rsidR="00C466DF" w:rsidRDefault="00C466DF" w:rsidP="00EE1DC6">
      <w:pPr>
        <w:pStyle w:val="FootnoteText"/>
      </w:pPr>
      <w:r>
        <w:rPr>
          <w:rStyle w:val="FootnoteReference"/>
        </w:rPr>
        <w:footnoteRef/>
      </w:r>
      <w:r>
        <w:t xml:space="preserve"> </w:t>
      </w:r>
      <w:r w:rsidRPr="00EE1DC6">
        <w:t>U.S. Department of Agriculture, Food and Nutrition Service Office of Research and Analysis. "WIC Income Verification Study: Final Report." Alexandria, VA, 1997.</w:t>
      </w:r>
    </w:p>
  </w:footnote>
  <w:footnote w:id="3">
    <w:p w14:paraId="684901A8" w14:textId="77777777" w:rsidR="00C466DF" w:rsidRDefault="00C466DF" w:rsidP="00EE1DC6">
      <w:pPr>
        <w:pStyle w:val="FootnoteText"/>
      </w:pPr>
      <w:r>
        <w:rPr>
          <w:rStyle w:val="FootnoteReference"/>
        </w:rPr>
        <w:footnoteRef/>
      </w:r>
      <w:r>
        <w:t xml:space="preserve"> </w:t>
      </w:r>
      <w:r w:rsidRPr="00EE1DC6">
        <w:t>U.S. Department of Agriculture, Food and Nutrition Service O</w:t>
      </w:r>
      <w:r>
        <w:t xml:space="preserve">ffice of Research and Analysis. </w:t>
      </w:r>
      <w:r w:rsidRPr="00EE1DC6">
        <w:t>"National Survey of WIC Participants: Final Report," Alexandria, VA, 2001.</w:t>
      </w:r>
    </w:p>
  </w:footnote>
  <w:footnote w:id="4">
    <w:p w14:paraId="6F7824D5" w14:textId="24D2FF9E" w:rsidR="00C466DF" w:rsidRDefault="00C466DF">
      <w:pPr>
        <w:pStyle w:val="FootnoteText"/>
      </w:pPr>
      <w:r>
        <w:rPr>
          <w:rStyle w:val="FootnoteReference"/>
        </w:rPr>
        <w:footnoteRef/>
      </w:r>
      <w:r>
        <w:t xml:space="preserve"> </w:t>
      </w:r>
      <w:r w:rsidRPr="00EE1DC6">
        <w:t>U.S. Department of Agriculture, Food and Nutrition Service Office of Research</w:t>
      </w:r>
      <w:r>
        <w:t xml:space="preserve"> and Analysis. </w:t>
      </w:r>
      <w:r w:rsidRPr="00EE1DC6">
        <w:t>"National Survey of WIC Pa</w:t>
      </w:r>
      <w:r>
        <w:t>rticipants II: Technical Report.</w:t>
      </w:r>
      <w:r w:rsidRPr="00EE1DC6">
        <w:t>" Alexandria, VA, 2012.</w:t>
      </w:r>
    </w:p>
  </w:footnote>
  <w:footnote w:id="5">
    <w:p w14:paraId="50FE9BC9" w14:textId="7DF84C79" w:rsidR="00C466DF" w:rsidRDefault="00C466DF">
      <w:pPr>
        <w:pStyle w:val="FootnoteText"/>
      </w:pPr>
      <w:r>
        <w:rPr>
          <w:rStyle w:val="FootnoteReference"/>
        </w:rPr>
        <w:footnoteRef/>
      </w:r>
      <w:r>
        <w:t xml:space="preserve"> Please note that FNS will continue to utilize aging models to provide the annual improper payment estimates while piloting this alternative method. </w:t>
      </w:r>
    </w:p>
  </w:footnote>
  <w:footnote w:id="6">
    <w:p w14:paraId="03FE09B8" w14:textId="1D694373" w:rsidR="00C466DF" w:rsidRDefault="00C466DF" w:rsidP="007C2BE3">
      <w:pPr>
        <w:pStyle w:val="FootnoteText"/>
        <w:ind w:left="115" w:hanging="115"/>
      </w:pPr>
      <w:r>
        <w:rPr>
          <w:rStyle w:val="FootnoteReference"/>
        </w:rPr>
        <w:footnoteRef/>
      </w:r>
      <w:r>
        <w:t xml:space="preserve"> The study estimates that 800 respondents will complete the Program Experiences Survey in-person after the Certification Survey; 750 respondents by telephone; and 450 will complete in-person at a separate time than the Certification Survey (800+750+450=2,000 estimated respondents). </w:t>
      </w:r>
    </w:p>
  </w:footnote>
  <w:footnote w:id="7">
    <w:p w14:paraId="69AFE98C" w14:textId="43B8702F" w:rsidR="00C466DF" w:rsidRPr="00ED0EB5" w:rsidRDefault="00C466DF" w:rsidP="001C1097">
      <w:pPr>
        <w:pStyle w:val="FootnoteText"/>
        <w:tabs>
          <w:tab w:val="clear" w:pos="120"/>
          <w:tab w:val="left" w:pos="180"/>
        </w:tabs>
        <w:ind w:left="180" w:hanging="180"/>
      </w:pPr>
      <w:r w:rsidRPr="00ED0EB5">
        <w:rPr>
          <w:rStyle w:val="FootnoteReference"/>
        </w:rPr>
        <w:footnoteRef/>
      </w:r>
      <w:r w:rsidRPr="00ED0EB5">
        <w:t xml:space="preserve">  </w:t>
      </w:r>
      <w:r w:rsidRPr="00D7496B">
        <w:t>These numbers represent the estimated final sample sizes. Initial sample sizes and response rates for each of these data collection activities are discussed in Part B.</w:t>
      </w:r>
    </w:p>
  </w:footnote>
  <w:footnote w:id="8">
    <w:p w14:paraId="027C0D2A" w14:textId="6E17F050" w:rsidR="00C466DF" w:rsidRPr="00C57D3B" w:rsidRDefault="00C466DF" w:rsidP="00DD4C92">
      <w:pPr>
        <w:pStyle w:val="FootnoteText"/>
      </w:pPr>
      <w:r w:rsidRPr="005F1929">
        <w:rPr>
          <w:rStyle w:val="FootnoteReference"/>
          <w:sz w:val="24"/>
          <w:szCs w:val="24"/>
        </w:rPr>
        <w:footnoteRef/>
      </w:r>
      <w:r w:rsidRPr="005F1929">
        <w:rPr>
          <w:sz w:val="24"/>
          <w:szCs w:val="24"/>
        </w:rPr>
        <w:t xml:space="preserve"> </w:t>
      </w:r>
      <w:r w:rsidRPr="00C57D3B">
        <w:t>The Certification Survey and the NSWP-III study will not attempt to determine whether or not WIC participant met the program’s nutritional risk criteria</w:t>
      </w:r>
      <w:r>
        <w:t>.</w:t>
      </w:r>
      <w:r w:rsidRPr="00DD4C92">
        <w:t xml:space="preserve"> </w:t>
      </w:r>
      <w:r>
        <w:t xml:space="preserve">Determining whether the WIC participant meets the program’s nutritional risk criteria would require an independent assessment of nutritional risk, which would require collection of anthropometric data (height and weight) and possibly blood specimens taken from the respondents – these respondents include infants and children.  FNS determined that the burden of collecting these types of data from WIC participants was too great to be feasible.  </w:t>
      </w:r>
    </w:p>
  </w:footnote>
  <w:footnote w:id="9">
    <w:p w14:paraId="73B49883" w14:textId="77777777" w:rsidR="00C466DF" w:rsidRPr="00AE755E" w:rsidRDefault="00C466DF" w:rsidP="00C84F51">
      <w:pPr>
        <w:pStyle w:val="FootnoteText"/>
        <w:tabs>
          <w:tab w:val="clear" w:pos="120"/>
          <w:tab w:val="left" w:pos="180"/>
        </w:tabs>
        <w:ind w:left="180" w:hanging="180"/>
      </w:pPr>
      <w:r w:rsidRPr="00AE755E">
        <w:rPr>
          <w:rStyle w:val="FootnoteReference"/>
        </w:rPr>
        <w:footnoteRef/>
      </w:r>
      <w:r w:rsidRPr="00AE755E">
        <w:t xml:space="preserve"> </w:t>
      </w:r>
      <w:r w:rsidRPr="00AE755E">
        <w:tab/>
        <w:t>A “former WIC participant” is defined as a participant who remains eligible under a current certification period but who is no longer redeeming instruments or using WIC EBT funds.</w:t>
      </w:r>
      <w:r w:rsidRPr="00AE755E">
        <w:fldChar w:fldCharType="begin"/>
      </w:r>
      <w:r w:rsidRPr="00AE755E">
        <w:instrText xml:space="preserve"> ADDIN EN.CITE &lt;EndNote&gt;&lt;Cite&gt;&lt;Year&gt;2013&lt;/Year&gt;&lt;RecNum&gt;196&lt;/RecNum&gt;&lt;DisplayText&gt;(&amp;quot;Improper Payments Elimination and Recovery Improvement Act of 2012,&amp;quot; 2013)&lt;/DisplayText&gt;&lt;record&gt;&lt;rec-number&gt;196&lt;/rec-number&gt;&lt;foreign-keys&gt;&lt;key app="EN" db-id="2sxs2waphptz0oexwd7xx056xppwssdtxa2x" timestamp="1458591205"&gt;196&lt;/key&gt;&lt;/foreign-keys&gt;&lt;ref-type name="Statute"&gt;31&lt;/ref-type&gt;&lt;contributors&gt;&lt;/contributors&gt;&lt;titles&gt;&lt;title&gt;Improper Payments Elimination and Recovery Improvement Act of 2012&lt;/title&gt;&lt;/titles&gt;&lt;volume&gt;H.R. 4053&lt;/volume&gt;&lt;number&gt;Public Law 112-248&lt;/number&gt;&lt;dates&gt;&lt;year&gt;2013&lt;/year&gt;&lt;/dates&gt;&lt;pub-location&gt;U.S.&lt;/pub-location&gt;&lt;urls&gt;&lt;related-urls&gt;&lt;url&gt;https://www.gpo.gov/fdsys/pkg/PLAW-112publ248&lt;/url&gt;&lt;/related-urls&gt;&lt;/urls&gt;&lt;/record&gt;&lt;/Cite&gt;&lt;/EndNote&gt;</w:instrText>
      </w:r>
      <w:r w:rsidRPr="00AE755E">
        <w:fldChar w:fldCharType="end"/>
      </w:r>
    </w:p>
  </w:footnote>
  <w:footnote w:id="10">
    <w:p w14:paraId="58C2A034" w14:textId="7644B506" w:rsidR="00C466DF" w:rsidRPr="003E3B76" w:rsidRDefault="00C466DF" w:rsidP="00C84F51">
      <w:pPr>
        <w:pStyle w:val="FootnoteText"/>
        <w:tabs>
          <w:tab w:val="clear" w:pos="120"/>
          <w:tab w:val="left" w:pos="180"/>
        </w:tabs>
        <w:ind w:left="180" w:hanging="180"/>
      </w:pPr>
      <w:r w:rsidRPr="00AE755E">
        <w:rPr>
          <w:rStyle w:val="FootnoteReference"/>
        </w:rPr>
        <w:footnoteRef/>
      </w:r>
      <w:r w:rsidRPr="00AE755E">
        <w:t xml:space="preserve"> </w:t>
      </w:r>
      <w:r>
        <w:tab/>
      </w:r>
      <w:r w:rsidRPr="00AE755E">
        <w:t>Redemption data processing takes 30 to 60 days after the end of the month when benefits expire, depending on the State’s procedures. Therefore, there will be a lag of 45 to 90 days between the point when a participant stops participating (the end of the first month of non-participation) and when that participant is identified.</w:t>
      </w:r>
    </w:p>
  </w:footnote>
  <w:footnote w:id="11">
    <w:p w14:paraId="7322080D" w14:textId="4BDC0F0A" w:rsidR="00C466DF" w:rsidRDefault="00C466DF">
      <w:pPr>
        <w:pStyle w:val="FootnoteText"/>
      </w:pPr>
      <w:r>
        <w:rPr>
          <w:rStyle w:val="FootnoteReference"/>
        </w:rPr>
        <w:footnoteRef/>
      </w:r>
      <w:r>
        <w:t xml:space="preserve"> 21,541 responses for respondents and 26,238 responses for non-respondents yields a total of 47,779 responses. </w:t>
      </w:r>
    </w:p>
  </w:footnote>
  <w:footnote w:id="12">
    <w:p w14:paraId="6E4D8437" w14:textId="7F45DF59" w:rsidR="00C466DF" w:rsidRDefault="00C466DF">
      <w:pPr>
        <w:pStyle w:val="FootnoteText"/>
      </w:pPr>
      <w:r>
        <w:rPr>
          <w:rStyle w:val="FootnoteReference"/>
        </w:rPr>
        <w:footnoteRef/>
      </w:r>
      <w:r>
        <w:t xml:space="preserve"> </w:t>
      </w:r>
      <w:r w:rsidRPr="004B392F">
        <w:t>Brick, J. Michael and Douglas Williams. “Explaining Rising Nonresponse Rates in CrossSectional Surveys.” Annals of the American Academy of Political and Social Science, volume 645 (January 2013), pp. 36-59.</w:t>
      </w:r>
    </w:p>
  </w:footnote>
  <w:footnote w:id="13">
    <w:p w14:paraId="3C67968E" w14:textId="79C3CDE3" w:rsidR="00C466DF" w:rsidRDefault="00C466DF">
      <w:pPr>
        <w:pStyle w:val="FootnoteText"/>
      </w:pPr>
      <w:r>
        <w:rPr>
          <w:rStyle w:val="FootnoteReference"/>
        </w:rPr>
        <w:footnoteRef/>
      </w:r>
      <w:r>
        <w:t xml:space="preserve"> </w:t>
      </w:r>
      <w:r w:rsidRPr="006D25A0">
        <w:t>Curtin, Richard, Stanley Presser, and Eleanor Singer. “Changes in Telephone Survey Nonresponse over the Past Quarter Century.” Public Opinion Quarterly, vol. 69, no. 1 (2005), pp. 87-98.</w:t>
      </w:r>
    </w:p>
  </w:footnote>
  <w:footnote w:id="14">
    <w:p w14:paraId="318489FC" w14:textId="77777777" w:rsidR="00C466DF" w:rsidRDefault="00C466DF" w:rsidP="00BB7D31">
      <w:pPr>
        <w:pStyle w:val="FootnoteText"/>
        <w:tabs>
          <w:tab w:val="clear" w:pos="120"/>
          <w:tab w:val="left" w:pos="180"/>
        </w:tabs>
        <w:ind w:left="180" w:hanging="180"/>
      </w:pPr>
      <w:r w:rsidRPr="00132EDC">
        <w:rPr>
          <w:rStyle w:val="FootnoteReference"/>
          <w:szCs w:val="24"/>
        </w:rPr>
        <w:footnoteRef/>
      </w:r>
      <w:r w:rsidRPr="00132EDC">
        <w:rPr>
          <w:szCs w:val="24"/>
        </w:rPr>
        <w:t xml:space="preserve"> </w:t>
      </w:r>
      <w:bookmarkStart w:id="112" w:name="_Hlk497654035"/>
      <w:r w:rsidRPr="00403E12">
        <w:t>U.S. Department of Agriculture, Food and Nutrition Service, Office of Research and Analysis</w:t>
      </w:r>
      <w:r>
        <w:t>. (2012).</w:t>
      </w:r>
      <w:r w:rsidRPr="00403E12">
        <w:t xml:space="preserve"> </w:t>
      </w:r>
      <w:r w:rsidRPr="00D22924">
        <w:rPr>
          <w:i/>
        </w:rPr>
        <w:t>National Survey of WIC Participants II: Improper payments report</w:t>
      </w:r>
      <w:r w:rsidRPr="00403E12">
        <w:t>, by Gary Huang, et al. Project Officer: Sheku G. Kamara, Karen- Castellanos-Brown, Alexandria, VA.</w:t>
      </w:r>
      <w:r>
        <w:t xml:space="preserve"> Retrieved from: </w:t>
      </w:r>
      <w:hyperlink r:id="rId1" w:history="1">
        <w:r w:rsidRPr="0032153B">
          <w:rPr>
            <w:rStyle w:val="Hyperlink"/>
          </w:rPr>
          <w:t>http://www.fns.usda.gov/sites/default/files/NSWP-II_Vol3.pdf</w:t>
        </w:r>
      </w:hyperlink>
      <w:r>
        <w:t xml:space="preserve"> </w:t>
      </w:r>
    </w:p>
    <w:bookmarkEnd w:id="112"/>
  </w:footnote>
  <w:footnote w:id="15">
    <w:p w14:paraId="6C36EB30" w14:textId="3750A2FA" w:rsidR="00C466DF" w:rsidRDefault="00C466DF">
      <w:pPr>
        <w:pStyle w:val="FootnoteText"/>
      </w:pPr>
      <w:r>
        <w:rPr>
          <w:rStyle w:val="FootnoteReference"/>
        </w:rPr>
        <w:footnoteRef/>
      </w:r>
      <w:r>
        <w:t xml:space="preserve"> </w:t>
      </w:r>
      <w:r w:rsidRPr="00403E12">
        <w:t>U.S. Department of Agriculture, Food and Nutrition Service, Office of Research and Analysis</w:t>
      </w:r>
      <w:r>
        <w:t>. (2012).</w:t>
      </w:r>
      <w:r w:rsidRPr="00403E12">
        <w:t xml:space="preserve"> </w:t>
      </w:r>
      <w:r w:rsidRPr="00D22924">
        <w:rPr>
          <w:i/>
        </w:rPr>
        <w:t xml:space="preserve">National Survey of WIC Participants II: </w:t>
      </w:r>
      <w:r>
        <w:rPr>
          <w:i/>
        </w:rPr>
        <w:t xml:space="preserve">Technical </w:t>
      </w:r>
      <w:r w:rsidRPr="00D22924">
        <w:rPr>
          <w:i/>
        </w:rPr>
        <w:t>report</w:t>
      </w:r>
      <w:r w:rsidRPr="00403E12">
        <w:t>, by Gary Huang, et al. Project Officer: Sheku G. Kamara, Karen- Castellanos-Brown, Alexandria, VA.</w:t>
      </w:r>
      <w:r>
        <w:t xml:space="preserve"> Retrieved from: </w:t>
      </w:r>
      <w:r w:rsidRPr="00851391">
        <w:rPr>
          <w:rStyle w:val="Hyperlink"/>
        </w:rPr>
        <w:t>https://fns-prod.azureedge.net/sites/default/files/NSWP-II_Vol4.pdf</w:t>
      </w:r>
    </w:p>
  </w:footnote>
  <w:footnote w:id="16">
    <w:p w14:paraId="677B9301" w14:textId="77777777" w:rsidR="00C466DF" w:rsidRPr="003D23EF" w:rsidRDefault="00C466DF" w:rsidP="00F97B24">
      <w:pPr>
        <w:pStyle w:val="FootnoteText"/>
        <w:tabs>
          <w:tab w:val="left" w:pos="180"/>
        </w:tabs>
        <w:ind w:left="180" w:hanging="180"/>
      </w:pPr>
      <w:r w:rsidRPr="003D23EF">
        <w:rPr>
          <w:rStyle w:val="FootnoteReference"/>
        </w:rPr>
        <w:footnoteRef/>
      </w:r>
      <w:r w:rsidRPr="003D23EF">
        <w:t xml:space="preserve"> Singer E. (2002). The use of incentives to reduce non response in households surveys in: Groves R, Dillman D, Eltinge J, Little R (eds.) Survey Non Response. New York: Wiley, pp 163-177.</w:t>
      </w:r>
    </w:p>
  </w:footnote>
  <w:footnote w:id="17">
    <w:p w14:paraId="0AC38720" w14:textId="77777777" w:rsidR="00C466DF" w:rsidRPr="003D23EF" w:rsidRDefault="00C466DF" w:rsidP="00F97B24">
      <w:pPr>
        <w:pStyle w:val="FootnoteText"/>
        <w:tabs>
          <w:tab w:val="left" w:pos="180"/>
        </w:tabs>
        <w:ind w:left="180" w:hanging="180"/>
      </w:pPr>
      <w:r w:rsidRPr="003D23EF">
        <w:rPr>
          <w:rStyle w:val="FootnoteReference"/>
        </w:rPr>
        <w:footnoteRef/>
      </w:r>
      <w:r w:rsidRPr="003D23EF">
        <w:t xml:space="preserve"> James T. (1996). Results of wave 1 incentive experiment in the 1996 survey of income and program participation. Proceedings of the Survey Research Section, American Statistical Association, 834-839.</w:t>
      </w:r>
    </w:p>
  </w:footnote>
  <w:footnote w:id="18">
    <w:p w14:paraId="0A239079" w14:textId="118F8596" w:rsidR="00C466DF" w:rsidRPr="003D23EF" w:rsidRDefault="00C466DF" w:rsidP="00F97B24">
      <w:pPr>
        <w:pStyle w:val="FootnoteText"/>
        <w:tabs>
          <w:tab w:val="left" w:pos="180"/>
        </w:tabs>
        <w:ind w:left="180" w:hanging="180"/>
      </w:pPr>
      <w:r w:rsidRPr="003D23EF">
        <w:rPr>
          <w:rStyle w:val="FootnoteReference"/>
        </w:rPr>
        <w:footnoteRef/>
      </w:r>
      <w:r w:rsidRPr="003D23EF">
        <w:t xml:space="preserve"> Groves</w:t>
      </w:r>
      <w:r>
        <w:t>,</w:t>
      </w:r>
      <w:r w:rsidRPr="003D23EF">
        <w:t xml:space="preserve"> R</w:t>
      </w:r>
      <w:r>
        <w:t>.</w:t>
      </w:r>
      <w:r w:rsidRPr="003D23EF">
        <w:t>, Fowler</w:t>
      </w:r>
      <w:r>
        <w:t>,</w:t>
      </w:r>
      <w:r w:rsidRPr="003D23EF">
        <w:t xml:space="preserve"> F</w:t>
      </w:r>
      <w:r>
        <w:t>.</w:t>
      </w:r>
      <w:r w:rsidRPr="003D23EF">
        <w:t>, Couper</w:t>
      </w:r>
      <w:r>
        <w:t>,</w:t>
      </w:r>
      <w:r w:rsidRPr="003D23EF">
        <w:t xml:space="preserve"> M</w:t>
      </w:r>
      <w:r>
        <w:t>.</w:t>
      </w:r>
      <w:r w:rsidRPr="003D23EF">
        <w:t>, Lepkowski</w:t>
      </w:r>
      <w:r>
        <w:t>,</w:t>
      </w:r>
      <w:r w:rsidRPr="003D23EF">
        <w:t xml:space="preserve"> J</w:t>
      </w:r>
      <w:r>
        <w:t>.</w:t>
      </w:r>
      <w:r w:rsidRPr="003D23EF">
        <w:t xml:space="preserve">, </w:t>
      </w:r>
      <w:r>
        <w:t xml:space="preserve">&amp; </w:t>
      </w:r>
      <w:r w:rsidRPr="003D23EF">
        <w:t>Singer</w:t>
      </w:r>
      <w:r>
        <w:t>,</w:t>
      </w:r>
      <w:r w:rsidRPr="003D23EF">
        <w:t xml:space="preserve"> E. (2009) in: Survey methodology. John Wiley &amp; Sons, pp 205-206.</w:t>
      </w:r>
    </w:p>
  </w:footnote>
  <w:footnote w:id="19">
    <w:p w14:paraId="116A2E21" w14:textId="261F15AE" w:rsidR="00C466DF" w:rsidRPr="003D23EF" w:rsidRDefault="00C466DF" w:rsidP="00F97B24">
      <w:pPr>
        <w:pStyle w:val="FootnoteText"/>
        <w:tabs>
          <w:tab w:val="left" w:pos="180"/>
        </w:tabs>
        <w:ind w:left="180" w:hanging="180"/>
      </w:pPr>
      <w:r w:rsidRPr="003D23EF">
        <w:rPr>
          <w:rStyle w:val="FootnoteReference"/>
        </w:rPr>
        <w:footnoteRef/>
      </w:r>
      <w:r w:rsidRPr="003D23EF">
        <w:t xml:space="preserve"> Singer</w:t>
      </w:r>
      <w:r>
        <w:t>,</w:t>
      </w:r>
      <w:r w:rsidRPr="003D23EF">
        <w:t xml:space="preserve"> E. (2002).</w:t>
      </w:r>
      <w:r w:rsidRPr="00F26A59">
        <w:t xml:space="preserve"> </w:t>
      </w:r>
      <w:r w:rsidRPr="003D23EF">
        <w:t>The use of incentives to reduce non response in households surveys in: Groves</w:t>
      </w:r>
      <w:r>
        <w:t>,</w:t>
      </w:r>
      <w:r w:rsidRPr="003D23EF">
        <w:t xml:space="preserve"> R</w:t>
      </w:r>
      <w:r>
        <w:t>.</w:t>
      </w:r>
      <w:r w:rsidRPr="003D23EF">
        <w:t>, Dillman</w:t>
      </w:r>
      <w:r>
        <w:t>,</w:t>
      </w:r>
      <w:r w:rsidRPr="003D23EF">
        <w:t xml:space="preserve"> D</w:t>
      </w:r>
      <w:r>
        <w:t>.</w:t>
      </w:r>
      <w:r w:rsidRPr="003D23EF">
        <w:t>, Eltinge</w:t>
      </w:r>
      <w:r>
        <w:t>,</w:t>
      </w:r>
      <w:r w:rsidRPr="003D23EF">
        <w:t xml:space="preserve"> J</w:t>
      </w:r>
      <w:r>
        <w:t>.</w:t>
      </w:r>
      <w:r w:rsidRPr="003D23EF">
        <w:t xml:space="preserve">, </w:t>
      </w:r>
      <w:r>
        <w:t xml:space="preserve">&amp; </w:t>
      </w:r>
      <w:r w:rsidRPr="003D23EF">
        <w:t>Little</w:t>
      </w:r>
      <w:r>
        <w:t>,</w:t>
      </w:r>
      <w:r w:rsidRPr="003D23EF">
        <w:t xml:space="preserve"> R</w:t>
      </w:r>
      <w:r>
        <w:t>.</w:t>
      </w:r>
      <w:r w:rsidRPr="003D23EF">
        <w:t xml:space="preserve"> (eds.) Survey Non Response. New York: Wiley, pp 163-177.</w:t>
      </w:r>
    </w:p>
  </w:footnote>
  <w:footnote w:id="20">
    <w:p w14:paraId="317855FF" w14:textId="4D52F55D" w:rsidR="00C466DF" w:rsidRPr="003D23EF" w:rsidRDefault="00C466DF" w:rsidP="00F97B24">
      <w:pPr>
        <w:pStyle w:val="FootnoteText"/>
      </w:pPr>
      <w:r w:rsidRPr="003D23EF">
        <w:rPr>
          <w:rStyle w:val="FootnoteReference"/>
        </w:rPr>
        <w:footnoteRef/>
      </w:r>
      <w:r w:rsidRPr="003D23EF">
        <w:t xml:space="preserve"> Singer</w:t>
      </w:r>
      <w:r>
        <w:t>,</w:t>
      </w:r>
      <w:r w:rsidRPr="003D23EF">
        <w:t xml:space="preserve"> E</w:t>
      </w:r>
      <w:r>
        <w:t>.</w:t>
      </w:r>
      <w:r w:rsidRPr="003D23EF">
        <w:t xml:space="preserve"> and Ye</w:t>
      </w:r>
      <w:r>
        <w:t>,</w:t>
      </w:r>
      <w:r w:rsidRPr="003D23EF">
        <w:t xml:space="preserve"> C. (2013).  The use and effectives of incentives in surveys.  Annals of the American Academy of Political and Social Science, 645(1):112-141.</w:t>
      </w:r>
    </w:p>
  </w:footnote>
  <w:footnote w:id="21">
    <w:p w14:paraId="7087DF57" w14:textId="166B1C08" w:rsidR="00C466DF" w:rsidRPr="003D23EF" w:rsidRDefault="00C466DF" w:rsidP="00F97B24">
      <w:pPr>
        <w:pStyle w:val="FootnoteText"/>
        <w:tabs>
          <w:tab w:val="clear" w:pos="120"/>
          <w:tab w:val="left" w:pos="180"/>
        </w:tabs>
        <w:ind w:left="180" w:hanging="180"/>
      </w:pPr>
      <w:r w:rsidRPr="003D23EF">
        <w:rPr>
          <w:rStyle w:val="FootnoteReference"/>
        </w:rPr>
        <w:footnoteRef/>
      </w:r>
      <w:r w:rsidRPr="003D23EF">
        <w:t xml:space="preserve"> Groves, R., Singer, E., </w:t>
      </w:r>
      <w:r>
        <w:t xml:space="preserve">&amp; </w:t>
      </w:r>
      <w:r w:rsidRPr="003D23EF">
        <w:t xml:space="preserve">Corning, A. (2000). Leverage-saliency theory of survey participation: description and an illustration. </w:t>
      </w:r>
      <w:r w:rsidRPr="003D23EF">
        <w:rPr>
          <w:i/>
        </w:rPr>
        <w:t>Public Opinion Quarterly</w:t>
      </w:r>
      <w:r w:rsidRPr="003D23EF">
        <w:t>. 64(3): 299-308.</w:t>
      </w:r>
    </w:p>
  </w:footnote>
  <w:footnote w:id="22">
    <w:p w14:paraId="2790064A" w14:textId="0D2A0463" w:rsidR="00C466DF" w:rsidRPr="003D23EF" w:rsidRDefault="00C466DF" w:rsidP="00F97B24">
      <w:pPr>
        <w:pStyle w:val="FootnoteText"/>
      </w:pPr>
      <w:r w:rsidRPr="003D23EF">
        <w:rPr>
          <w:rStyle w:val="FootnoteReference"/>
        </w:rPr>
        <w:footnoteRef/>
      </w:r>
      <w:r w:rsidRPr="003D23EF">
        <w:t xml:space="preserve"> Messer</w:t>
      </w:r>
      <w:r>
        <w:t>,</w:t>
      </w:r>
      <w:r w:rsidRPr="003D23EF">
        <w:t xml:space="preserve"> B</w:t>
      </w:r>
      <w:r>
        <w:t>.</w:t>
      </w:r>
      <w:r w:rsidRPr="003D23EF">
        <w:t xml:space="preserve"> and Dillman</w:t>
      </w:r>
      <w:r>
        <w:t>,</w:t>
      </w:r>
      <w:r w:rsidRPr="003D23EF">
        <w:t xml:space="preserve"> D</w:t>
      </w:r>
      <w:r>
        <w:t>.</w:t>
      </w:r>
      <w:r w:rsidRPr="003D23EF">
        <w:t xml:space="preserve"> (2011).  Surveying the general public over the internet using address-based sampling and mail contact procedures. </w:t>
      </w:r>
      <w:r w:rsidRPr="003D23EF">
        <w:rPr>
          <w:i/>
        </w:rPr>
        <w:t>Public Opinion Quarterly</w:t>
      </w:r>
      <w:r w:rsidRPr="003D23EF">
        <w:t>, 75:429-457.</w:t>
      </w:r>
    </w:p>
  </w:footnote>
  <w:footnote w:id="23">
    <w:p w14:paraId="5B4E1E1F" w14:textId="06385FBC" w:rsidR="00C466DF" w:rsidRPr="003D23EF" w:rsidRDefault="00C466DF" w:rsidP="00F97B24">
      <w:pPr>
        <w:pStyle w:val="FootnoteText"/>
      </w:pPr>
      <w:r w:rsidRPr="003D23EF">
        <w:rPr>
          <w:rStyle w:val="FootnoteReference"/>
        </w:rPr>
        <w:footnoteRef/>
      </w:r>
      <w:r w:rsidRPr="003D23EF">
        <w:t xml:space="preserve"> Groves</w:t>
      </w:r>
      <w:r>
        <w:t>,</w:t>
      </w:r>
      <w:r w:rsidRPr="003D23EF">
        <w:t xml:space="preserve"> R</w:t>
      </w:r>
      <w:r>
        <w:t>.</w:t>
      </w:r>
      <w:r w:rsidRPr="003D23EF">
        <w:t>M</w:t>
      </w:r>
      <w:r>
        <w:t>.</w:t>
      </w:r>
      <w:r w:rsidRPr="003D23EF">
        <w:t>, Couper</w:t>
      </w:r>
      <w:r>
        <w:t>,</w:t>
      </w:r>
      <w:r w:rsidRPr="003D23EF">
        <w:t xml:space="preserve"> M</w:t>
      </w:r>
      <w:r>
        <w:t>.</w:t>
      </w:r>
      <w:r w:rsidRPr="003D23EF">
        <w:t>P</w:t>
      </w:r>
      <w:r>
        <w:t>.</w:t>
      </w:r>
      <w:r w:rsidRPr="003D23EF">
        <w:t>, Presser</w:t>
      </w:r>
      <w:r>
        <w:t>,</w:t>
      </w:r>
      <w:r w:rsidRPr="003D23EF">
        <w:t xml:space="preserve"> S</w:t>
      </w:r>
      <w:r>
        <w:t>.</w:t>
      </w:r>
      <w:r w:rsidRPr="003D23EF">
        <w:t>, Singer</w:t>
      </w:r>
      <w:r>
        <w:t>,</w:t>
      </w:r>
      <w:r w:rsidRPr="003D23EF">
        <w:t xml:space="preserve"> E</w:t>
      </w:r>
      <w:r>
        <w:t>.</w:t>
      </w:r>
      <w:r w:rsidRPr="003D23EF">
        <w:t>, Tourangeau</w:t>
      </w:r>
      <w:r>
        <w:t>,</w:t>
      </w:r>
      <w:r w:rsidRPr="003D23EF">
        <w:t xml:space="preserve"> R</w:t>
      </w:r>
      <w:r>
        <w:t>.</w:t>
      </w:r>
      <w:r w:rsidRPr="003D23EF">
        <w:t>, Acosta</w:t>
      </w:r>
      <w:r>
        <w:t>,</w:t>
      </w:r>
      <w:r w:rsidRPr="003D23EF">
        <w:t xml:space="preserve"> G</w:t>
      </w:r>
      <w:r>
        <w:t>.</w:t>
      </w:r>
      <w:r w:rsidRPr="003D23EF">
        <w:t xml:space="preserve">, </w:t>
      </w:r>
      <w:r>
        <w:t xml:space="preserve">&amp; </w:t>
      </w:r>
      <w:r w:rsidRPr="003D23EF">
        <w:t>Nelson</w:t>
      </w:r>
      <w:r>
        <w:t>,</w:t>
      </w:r>
      <w:r w:rsidRPr="003D23EF">
        <w:t xml:space="preserve"> L. (2006) Experiments in Producing Nonresponse bias.  Public Opinion Quarterly. 70(5): 720-736</w:t>
      </w:r>
    </w:p>
  </w:footnote>
  <w:footnote w:id="24">
    <w:p w14:paraId="5EE671E9" w14:textId="77777777" w:rsidR="00C466DF" w:rsidRPr="003D23EF" w:rsidRDefault="00C466DF" w:rsidP="00F97B24">
      <w:pPr>
        <w:pStyle w:val="FootnoteText"/>
      </w:pPr>
      <w:r w:rsidRPr="003D23EF">
        <w:rPr>
          <w:rStyle w:val="FootnoteReference"/>
        </w:rPr>
        <w:footnoteRef/>
      </w:r>
      <w:r w:rsidRPr="003D23EF">
        <w:t xml:space="preserve"> Singer, E., and R.A. Kulka. “Paying Respondents for Survey Participation.” In </w:t>
      </w:r>
      <w:r w:rsidRPr="003D23EF">
        <w:rPr>
          <w:i/>
        </w:rPr>
        <w:t>Studies of Welfare Populations: Data Collection and Research Issues. Panel on Data and Methods for Measuring the Effects of Changes in Social Welfare Programs,</w:t>
      </w:r>
      <w:r w:rsidRPr="003D23EF">
        <w:t xml:space="preserve"> edited by Michele Ver Ploeg, Robert A. Moffitt, and Constance F. Citro. Committee on National Statistics, Division of Behavioral and Social Sciences and Education. Washington, DC: National Academy Press, 2002, pp. 105–128.</w:t>
      </w:r>
    </w:p>
  </w:footnote>
  <w:footnote w:id="25">
    <w:p w14:paraId="49ACF201" w14:textId="18DAF876" w:rsidR="00C466DF" w:rsidRPr="003653F0" w:rsidRDefault="00C466DF" w:rsidP="00F97B24">
      <w:pPr>
        <w:pStyle w:val="FootnoteText"/>
      </w:pPr>
      <w:r>
        <w:rPr>
          <w:rStyle w:val="FootnoteReference"/>
        </w:rPr>
        <w:footnoteRef/>
      </w:r>
      <w:r>
        <w:t xml:space="preserve"> Westat. (2017). </w:t>
      </w:r>
      <w:r>
        <w:rPr>
          <w:i/>
        </w:rPr>
        <w:t>Health Information National Trends Survey 5 (HINTS 5), Cycle 1 Methodology Report</w:t>
      </w:r>
      <w:r>
        <w:t xml:space="preserve">.  Prepared for the National Institute, Bethesda Maryland.  </w:t>
      </w:r>
      <w:hyperlink r:id="rId2" w:history="1">
        <w:r w:rsidRPr="00173CBA">
          <w:rPr>
            <w:rStyle w:val="Hyperlink"/>
          </w:rPr>
          <w:t>https://hints.cancer.gov/data/methodology-reports.aspx</w:t>
        </w:r>
      </w:hyperlink>
    </w:p>
  </w:footnote>
  <w:footnote w:id="26">
    <w:p w14:paraId="0ACCDB98" w14:textId="3099C6C4" w:rsidR="00C466DF" w:rsidRPr="003653F0" w:rsidRDefault="00C466DF" w:rsidP="00F97B24">
      <w:pPr>
        <w:pStyle w:val="FootnoteText"/>
      </w:pPr>
      <w:r>
        <w:rPr>
          <w:rStyle w:val="FootnoteReference"/>
        </w:rPr>
        <w:footnoteRef/>
      </w:r>
      <w:r>
        <w:t xml:space="preserve"> Olson, K., Stange, M., and J. Smyth (2014) Assessing within-household selection methods in household mail surveys.  </w:t>
      </w:r>
      <w:r>
        <w:rPr>
          <w:i/>
        </w:rPr>
        <w:t>Public Opinion Quarterly</w:t>
      </w:r>
      <w:r>
        <w:t>, 78: 656-678.</w:t>
      </w:r>
    </w:p>
  </w:footnote>
  <w:footnote w:id="27">
    <w:p w14:paraId="701117C7" w14:textId="3D6B2B68" w:rsidR="00C466DF" w:rsidRDefault="00C466DF" w:rsidP="00F97B24">
      <w:pPr>
        <w:pStyle w:val="FootnoteText"/>
      </w:pPr>
      <w:r>
        <w:rPr>
          <w:rStyle w:val="FootnoteReference"/>
        </w:rPr>
        <w:footnoteRef/>
      </w:r>
      <w:r>
        <w:t xml:space="preserve"> </w:t>
      </w:r>
      <w:r w:rsidRPr="003D23EF">
        <w:t xml:space="preserve">Dillman, D. 2000. </w:t>
      </w:r>
      <w:r w:rsidRPr="003D23EF">
        <w:rPr>
          <w:i/>
        </w:rPr>
        <w:t>Mail and Internet Surveys: The Tailored Design Method, 2</w:t>
      </w:r>
      <w:r w:rsidRPr="003D23EF">
        <w:rPr>
          <w:i/>
          <w:vertAlign w:val="superscript"/>
        </w:rPr>
        <w:t>nd</w:t>
      </w:r>
      <w:r w:rsidRPr="003D23EF">
        <w:rPr>
          <w:i/>
        </w:rPr>
        <w:t xml:space="preserve"> Edition</w:t>
      </w:r>
      <w:r w:rsidRPr="003D23EF">
        <w:t>. John Wiley &amp; Sons: New York.</w:t>
      </w:r>
    </w:p>
  </w:footnote>
  <w:footnote w:id="28">
    <w:p w14:paraId="5ACA2B05" w14:textId="1920308F" w:rsidR="00C466DF" w:rsidRDefault="00C466DF" w:rsidP="00F97B24">
      <w:pPr>
        <w:pStyle w:val="FootnoteText"/>
      </w:pPr>
      <w:r>
        <w:rPr>
          <w:rStyle w:val="FootnoteReference"/>
        </w:rPr>
        <w:footnoteRef/>
      </w:r>
      <w:r>
        <w:t xml:space="preserve"> </w:t>
      </w:r>
      <w:r w:rsidRPr="003D23EF">
        <w:t>Singer, E. 2006. Introduction: Nonresponse Bias in Household Surveys</w:t>
      </w:r>
      <w:r>
        <w:t>.</w:t>
      </w:r>
      <w:r w:rsidRPr="003D23EF">
        <w:t xml:space="preserve"> </w:t>
      </w:r>
      <w:r w:rsidRPr="003D23EF">
        <w:rPr>
          <w:i/>
        </w:rPr>
        <w:t>Public Opinion Quarterly</w:t>
      </w:r>
      <w:r>
        <w:t>,</w:t>
      </w:r>
      <w:r w:rsidRPr="003D23EF">
        <w:t xml:space="preserve"> </w:t>
      </w:r>
      <w:r w:rsidRPr="00A92DFC">
        <w:rPr>
          <w:i/>
        </w:rPr>
        <w:t>70</w:t>
      </w:r>
      <w:r w:rsidRPr="003D23EF">
        <w:t>(5): 637-645.</w:t>
      </w:r>
    </w:p>
  </w:footnote>
  <w:footnote w:id="29">
    <w:p w14:paraId="18E1573B" w14:textId="30F3440F" w:rsidR="00C466DF" w:rsidRPr="003D23EF" w:rsidRDefault="00C466DF" w:rsidP="00F97B24">
      <w:pPr>
        <w:pStyle w:val="FootnoteText"/>
        <w:tabs>
          <w:tab w:val="clear" w:pos="120"/>
          <w:tab w:val="left" w:pos="180"/>
        </w:tabs>
        <w:ind w:left="180" w:hanging="180"/>
      </w:pPr>
      <w:r w:rsidRPr="003D23EF">
        <w:rPr>
          <w:rStyle w:val="FootnoteReference"/>
        </w:rPr>
        <w:footnoteRef/>
      </w:r>
      <w:r w:rsidRPr="003D23EF">
        <w:t xml:space="preserve"> Mercer</w:t>
      </w:r>
      <w:r>
        <w:t>,</w:t>
      </w:r>
      <w:r w:rsidRPr="003D23EF">
        <w:t xml:space="preserve"> A</w:t>
      </w:r>
      <w:r>
        <w:t>.</w:t>
      </w:r>
      <w:r w:rsidRPr="003D23EF">
        <w:t>, Caporaso</w:t>
      </w:r>
      <w:r>
        <w:t>,</w:t>
      </w:r>
      <w:r w:rsidRPr="003D23EF">
        <w:t xml:space="preserve"> A</w:t>
      </w:r>
      <w:r>
        <w:t>.</w:t>
      </w:r>
      <w:r w:rsidRPr="003D23EF">
        <w:t>, Cantor</w:t>
      </w:r>
      <w:r>
        <w:t>,</w:t>
      </w:r>
      <w:r w:rsidRPr="003D23EF">
        <w:t xml:space="preserve"> D</w:t>
      </w:r>
      <w:r>
        <w:t>.</w:t>
      </w:r>
      <w:r w:rsidRPr="003D23EF">
        <w:t xml:space="preserve">, </w:t>
      </w:r>
      <w:r>
        <w:t xml:space="preserve">&amp; </w:t>
      </w:r>
      <w:r w:rsidRPr="003D23EF">
        <w:t>Townsend</w:t>
      </w:r>
      <w:r>
        <w:t>,</w:t>
      </w:r>
      <w:r w:rsidRPr="003D23EF">
        <w:t xml:space="preserve"> R</w:t>
      </w:r>
      <w:r>
        <w:t>.</w:t>
      </w:r>
      <w:r w:rsidRPr="003D23EF">
        <w:t xml:space="preserve"> (2015).  How much gets you how much? Monetary incentives and response rates in household surveys.  </w:t>
      </w:r>
      <w:r w:rsidRPr="003D23EF">
        <w:rPr>
          <w:i/>
        </w:rPr>
        <w:t>Public Opinion Quarterly</w:t>
      </w:r>
      <w:r w:rsidRPr="003D23EF">
        <w:t>, 79:105-129.</w:t>
      </w:r>
    </w:p>
  </w:footnote>
  <w:footnote w:id="30">
    <w:p w14:paraId="17DC21F1" w14:textId="4A048902" w:rsidR="00C466DF" w:rsidRPr="000A3511" w:rsidRDefault="00C466DF" w:rsidP="00F97B24">
      <w:pPr>
        <w:pStyle w:val="FootnoteText"/>
      </w:pPr>
      <w:r w:rsidRPr="00611F6B">
        <w:rPr>
          <w:vertAlign w:val="superscript"/>
        </w:rPr>
        <w:footnoteRef/>
      </w:r>
      <w:r w:rsidRPr="00611F6B">
        <w:rPr>
          <w:vertAlign w:val="superscript"/>
        </w:rPr>
        <w:t xml:space="preserve"> </w:t>
      </w:r>
      <w:r w:rsidRPr="000A3511">
        <w:t>Fredrickson, D.D., Jones, T.I, Molgaard, C.A., Carman, C.G., Schukman, J., Dismuke, S.E.</w:t>
      </w:r>
      <w:r>
        <w:t>,</w:t>
      </w:r>
      <w:r w:rsidRPr="000A3511">
        <w:t xml:space="preserve"> and E. Ablah (2005)</w:t>
      </w:r>
      <w:r>
        <w:t>.</w:t>
      </w:r>
      <w:r w:rsidRPr="000A3511">
        <w:t xml:space="preserve"> Optimal Design Features for Surveying Low-Income Populations.  </w:t>
      </w:r>
      <w:r w:rsidRPr="00197A62">
        <w:rPr>
          <w:i/>
        </w:rPr>
        <w:t>Journal of Health Care for the Poor and Underserved</w:t>
      </w:r>
      <w:r>
        <w:t>,</w:t>
      </w:r>
      <w:r w:rsidRPr="00197A62">
        <w:t xml:space="preserve"> </w:t>
      </w:r>
      <w:r w:rsidRPr="000A3511">
        <w:t>16: 677-690.</w:t>
      </w:r>
    </w:p>
  </w:footnote>
  <w:footnote w:id="31">
    <w:p w14:paraId="23788B45" w14:textId="67A92D5D" w:rsidR="00C466DF" w:rsidRDefault="00C466DF" w:rsidP="00DE6B69">
      <w:pPr>
        <w:pStyle w:val="FootnoteText"/>
      </w:pPr>
      <w:r w:rsidRPr="00132EDC">
        <w:rPr>
          <w:rStyle w:val="FootnoteReference"/>
          <w:szCs w:val="24"/>
        </w:rPr>
        <w:footnoteRef/>
      </w:r>
      <w:r>
        <w:rPr>
          <w:szCs w:val="24"/>
        </w:rPr>
        <w:t xml:space="preserve"> 7 C.F.R. </w:t>
      </w:r>
      <w:r w:rsidRPr="00DE6B69">
        <w:rPr>
          <w:szCs w:val="24"/>
        </w:rPr>
        <w:t>§246.7 Certification of participants.</w:t>
      </w:r>
    </w:p>
  </w:footnote>
  <w:footnote w:id="32">
    <w:p w14:paraId="0C51C829" w14:textId="77777777" w:rsidR="00C466DF" w:rsidRDefault="00C466DF" w:rsidP="00F47CC2">
      <w:pPr>
        <w:pStyle w:val="FootnoteText"/>
      </w:pPr>
      <w:r>
        <w:rPr>
          <w:rStyle w:val="FootnoteReference"/>
        </w:rPr>
        <w:footnoteRef/>
      </w:r>
      <w:r>
        <w:t xml:space="preserve"> Note, p</w:t>
      </w:r>
      <w:r w:rsidRPr="00F47CC2">
        <w:t>er Federal regulations, signed consent forms from study participants will be preserved for 3 years following the end of the contract and then destroyed.</w:t>
      </w:r>
    </w:p>
  </w:footnote>
  <w:footnote w:id="33">
    <w:p w14:paraId="0AEAFFF2" w14:textId="3713C917" w:rsidR="00C466DF" w:rsidRDefault="00C466DF">
      <w:pPr>
        <w:pStyle w:val="FootnoteText"/>
      </w:pPr>
      <w:r>
        <w:rPr>
          <w:rStyle w:val="FootnoteReference"/>
        </w:rPr>
        <w:footnoteRef/>
      </w:r>
      <w:r>
        <w:t xml:space="preserve"> </w:t>
      </w:r>
      <w:r w:rsidRPr="003A5D4D">
        <w:t>Note: Totals may not sum due to rounding.</w:t>
      </w:r>
    </w:p>
  </w:footnote>
  <w:footnote w:id="34">
    <w:p w14:paraId="0EBEB51E" w14:textId="77777777" w:rsidR="00C466DF" w:rsidRDefault="00C466DF" w:rsidP="00B40772">
      <w:pPr>
        <w:pStyle w:val="FootnoteText"/>
        <w:rPr>
          <w:rFonts w:ascii="Garamond" w:hAnsi="Garamond"/>
        </w:rPr>
      </w:pPr>
      <w:r>
        <w:rPr>
          <w:rStyle w:val="FootnoteReference"/>
          <w:sz w:val="18"/>
          <w:szCs w:val="18"/>
        </w:rPr>
        <w:footnoteRef/>
      </w:r>
      <w:r>
        <w:rPr>
          <w:sz w:val="18"/>
          <w:szCs w:val="18"/>
        </w:rPr>
        <w:t xml:space="preserve"> </w:t>
      </w:r>
      <w:hyperlink r:id="rId3" w:history="1">
        <w:r>
          <w:rPr>
            <w:rStyle w:val="Hyperlink"/>
            <w:sz w:val="18"/>
            <w:szCs w:val="18"/>
          </w:rPr>
          <w:t>http://www.dol.gov/general/topic/wages/minimumwage</w:t>
        </w:r>
      </w:hyperlink>
      <w:r>
        <w:t xml:space="preserve"> </w:t>
      </w:r>
    </w:p>
  </w:footnote>
  <w:footnote w:id="35">
    <w:p w14:paraId="5A4C7412" w14:textId="5EE59947" w:rsidR="00C466DF" w:rsidRDefault="00C466DF">
      <w:pPr>
        <w:pStyle w:val="FootnoteText"/>
      </w:pPr>
      <w:r>
        <w:rPr>
          <w:rStyle w:val="FootnoteReference"/>
        </w:rPr>
        <w:footnoteRef/>
      </w:r>
      <w:r>
        <w:t xml:space="preserve"> </w:t>
      </w:r>
      <w:r w:rsidRPr="00473A9D">
        <w:rPr>
          <w:sz w:val="18"/>
          <w:szCs w:val="18"/>
        </w:rPr>
        <w:t>This amount reflects the tota</w:t>
      </w:r>
      <w:r>
        <w:rPr>
          <w:sz w:val="18"/>
          <w:szCs w:val="18"/>
        </w:rPr>
        <w:t>l</w:t>
      </w:r>
      <w:r w:rsidRPr="00473A9D">
        <w:rPr>
          <w:sz w:val="18"/>
          <w:szCs w:val="18"/>
        </w:rPr>
        <w:t xml:space="preserve"> contract value plus FNS </w:t>
      </w:r>
      <w:r>
        <w:rPr>
          <w:sz w:val="18"/>
          <w:szCs w:val="18"/>
        </w:rPr>
        <w:t xml:space="preserve">support and </w:t>
      </w:r>
      <w:r w:rsidRPr="00473A9D">
        <w:rPr>
          <w:sz w:val="18"/>
          <w:szCs w:val="18"/>
        </w:rPr>
        <w:t>oversight over the 5-year period ($</w:t>
      </w:r>
      <w:r w:rsidRPr="00D65104">
        <w:rPr>
          <w:sz w:val="18"/>
          <w:szCs w:val="18"/>
        </w:rPr>
        <w:t>3,380,582.48</w:t>
      </w:r>
      <w:r w:rsidRPr="00473A9D">
        <w:rPr>
          <w:sz w:val="18"/>
          <w:szCs w:val="18"/>
        </w:rPr>
        <w:t xml:space="preserve">+ </w:t>
      </w:r>
      <w:r w:rsidRPr="003A3723">
        <w:rPr>
          <w:sz w:val="18"/>
          <w:szCs w:val="18"/>
        </w:rPr>
        <w:t>$92,705.60</w:t>
      </w:r>
      <w:r>
        <w:rPr>
          <w:sz w:val="18"/>
          <w:szCs w:val="18"/>
        </w:rPr>
        <w:t>+$911.56</w:t>
      </w:r>
      <w:r w:rsidRPr="00F7161D">
        <w:rPr>
          <w:sz w:val="18"/>
          <w:szCs w:val="18"/>
        </w:rPr>
        <w:t>).</w:t>
      </w:r>
    </w:p>
  </w:footnote>
  <w:footnote w:id="36">
    <w:p w14:paraId="33ED9C9D" w14:textId="77777777" w:rsidR="00C466DF" w:rsidRPr="009575CE" w:rsidRDefault="00C466DF" w:rsidP="008A108C">
      <w:pPr>
        <w:pStyle w:val="FootnoteText"/>
        <w:rPr>
          <w:sz w:val="18"/>
          <w:szCs w:val="18"/>
        </w:rPr>
      </w:pPr>
      <w:r>
        <w:rPr>
          <w:rStyle w:val="FootnoteReference"/>
        </w:rPr>
        <w:footnoteRef/>
      </w:r>
      <w:r>
        <w:t xml:space="preserve"> </w:t>
      </w:r>
      <w:r w:rsidRPr="009575CE">
        <w:rPr>
          <w:sz w:val="18"/>
          <w:szCs w:val="18"/>
        </w:rPr>
        <w:t>The average annual cost is over a 5-year period.</w:t>
      </w:r>
    </w:p>
  </w:footnote>
  <w:footnote w:id="37">
    <w:p w14:paraId="47C3AF34" w14:textId="33BBE223" w:rsidR="00C466DF" w:rsidRDefault="00C466DF">
      <w:pPr>
        <w:pStyle w:val="FootnoteText"/>
      </w:pPr>
      <w:r w:rsidRPr="009575CE">
        <w:rPr>
          <w:rStyle w:val="FootnoteReference"/>
          <w:sz w:val="18"/>
          <w:szCs w:val="18"/>
        </w:rPr>
        <w:footnoteRef/>
      </w:r>
      <w:r w:rsidRPr="009575CE">
        <w:rPr>
          <w:sz w:val="18"/>
          <w:szCs w:val="18"/>
        </w:rPr>
        <w:t xml:space="preserve"> This amount is the total contract value.</w:t>
      </w:r>
    </w:p>
  </w:footnote>
  <w:footnote w:id="38">
    <w:p w14:paraId="629EC5DF" w14:textId="32F0D534" w:rsidR="00C466DF" w:rsidRDefault="00C466DF">
      <w:pPr>
        <w:pStyle w:val="FootnoteText"/>
      </w:pPr>
      <w:r>
        <w:rPr>
          <w:rStyle w:val="FootnoteReference"/>
        </w:rPr>
        <w:footnoteRef/>
      </w:r>
      <w:r>
        <w:t xml:space="preserve"> </w:t>
      </w:r>
      <w:r>
        <w:rPr>
          <w:sz w:val="18"/>
          <w:szCs w:val="18"/>
        </w:rPr>
        <w:t>Office of Personnel Management</w:t>
      </w:r>
      <w:r w:rsidRPr="00473A9D">
        <w:rPr>
          <w:sz w:val="18"/>
          <w:szCs w:val="18"/>
        </w:rPr>
        <w:t xml:space="preserve">, accessed </w:t>
      </w:r>
      <w:r>
        <w:rPr>
          <w:sz w:val="18"/>
          <w:szCs w:val="18"/>
        </w:rPr>
        <w:t>November 6</w:t>
      </w:r>
      <w:r w:rsidRPr="00473A9D">
        <w:rPr>
          <w:sz w:val="18"/>
          <w:szCs w:val="18"/>
        </w:rPr>
        <w:t xml:space="preserve">, 2017, at: </w:t>
      </w:r>
      <w:hyperlink r:id="rId4" w:history="1">
        <w:r w:rsidRPr="00473A9D">
          <w:rPr>
            <w:rStyle w:val="Hyperlink"/>
            <w:sz w:val="18"/>
            <w:szCs w:val="18"/>
          </w:rPr>
          <w:t>https://www.opm.gov/policy-data-oversight/pay-leave/salaries-wages/salary-tables/pdf/2017/DCB_h.pdf</w:t>
        </w:r>
      </w:hyperlink>
      <w:r w:rsidRPr="00473A9D">
        <w:rPr>
          <w:rStyle w:val="Hyperlink"/>
          <w:sz w:val="18"/>
          <w:szCs w:val="18"/>
        </w:rPr>
        <w:t>.</w:t>
      </w:r>
      <w:r>
        <w:rPr>
          <w:rStyle w:val="Hyperlink"/>
          <w:sz w:val="18"/>
          <w:szCs w:val="18"/>
        </w:rPr>
        <w:t xml:space="preserve"> </w:t>
      </w:r>
    </w:p>
  </w:footnote>
  <w:footnote w:id="39">
    <w:p w14:paraId="7BD22E51" w14:textId="264A020F" w:rsidR="00C466DF" w:rsidRDefault="00C466DF">
      <w:pPr>
        <w:pStyle w:val="FootnoteText"/>
      </w:pPr>
      <w:r>
        <w:rPr>
          <w:rStyle w:val="FootnoteReference"/>
        </w:rPr>
        <w:footnoteRef/>
      </w:r>
      <w:r>
        <w:t xml:space="preserve"> </w:t>
      </w:r>
      <w:r>
        <w:rPr>
          <w:sz w:val="18"/>
          <w:szCs w:val="18"/>
        </w:rPr>
        <w:t>Office of Personnel Management</w:t>
      </w:r>
      <w:r w:rsidRPr="00473A9D">
        <w:rPr>
          <w:sz w:val="18"/>
          <w:szCs w:val="18"/>
        </w:rPr>
        <w:t xml:space="preserve">, accessed </w:t>
      </w:r>
      <w:r>
        <w:rPr>
          <w:sz w:val="18"/>
          <w:szCs w:val="18"/>
        </w:rPr>
        <w:t>November 6</w:t>
      </w:r>
      <w:r w:rsidRPr="00473A9D">
        <w:rPr>
          <w:sz w:val="18"/>
          <w:szCs w:val="18"/>
        </w:rPr>
        <w:t xml:space="preserve">, 2017, at: </w:t>
      </w:r>
      <w:hyperlink r:id="rId5" w:history="1">
        <w:r w:rsidRPr="007F3393">
          <w:rPr>
            <w:rStyle w:val="Hyperlink"/>
            <w:sz w:val="18"/>
            <w:szCs w:val="18"/>
          </w:rPr>
          <w:t>https://www.opm.gov/policy-data-oversight/pay-leave/salaries-wages/salary-tables/pdf/2017/GS_h.pdf</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8A55" w14:textId="77777777" w:rsidR="00C466DF" w:rsidRDefault="00C46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0DCDB" w14:textId="77777777" w:rsidR="00C466DF" w:rsidRPr="00CB511B" w:rsidRDefault="00C466DF">
    <w:pPr>
      <w:pStyle w:val="Header"/>
      <w:rPr>
        <w:i/>
      </w:rPr>
    </w:pPr>
    <w:r w:rsidRPr="00CB511B">
      <w:rPr>
        <w:i/>
      </w:rPr>
      <w:t>Part A: Justification</w:t>
    </w:r>
  </w:p>
  <w:p w14:paraId="79458C4E" w14:textId="77777777" w:rsidR="00C466DF" w:rsidRDefault="00C466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727B6" w14:textId="77777777" w:rsidR="00C466DF" w:rsidRDefault="00C466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2ACDF" w14:textId="2FBD4AB7" w:rsidR="00C466DF" w:rsidRPr="00093C87" w:rsidRDefault="00C466DF" w:rsidP="003538C9">
    <w:pPr>
      <w:pStyle w:val="Header"/>
      <w:tabs>
        <w:tab w:val="clear" w:pos="8640"/>
        <w:tab w:val="right" w:pos="12960"/>
      </w:tabs>
      <w:spacing w:line="240" w:lineRule="auto"/>
      <w:rPr>
        <w:i/>
      </w:rPr>
    </w:pPr>
    <w:r w:rsidRPr="00CB511B">
      <w:rPr>
        <w:i/>
      </w:rPr>
      <w:t>Part A: Justification</w:t>
    </w:r>
    <w:r>
      <w:rPr>
        <w:i/>
      </w:rPr>
      <w:tab/>
    </w:r>
    <w:r>
      <w:rPr>
        <w:i/>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76BAB" w14:textId="0BE8112C" w:rsidR="00C466DF" w:rsidRPr="004E1A3F" w:rsidRDefault="00C466DF" w:rsidP="003538C9">
    <w:pPr>
      <w:pStyle w:val="Header"/>
      <w:tabs>
        <w:tab w:val="clear" w:pos="4320"/>
        <w:tab w:val="clear" w:pos="8640"/>
        <w:tab w:val="right" w:pos="9360"/>
      </w:tabs>
      <w:spacing w:line="240" w:lineRule="auto"/>
      <w:rPr>
        <w:i/>
      </w:rPr>
    </w:pPr>
    <w:r>
      <w:rPr>
        <w:i/>
      </w:rPr>
      <w:t xml:space="preserve">Part A: </w:t>
    </w:r>
    <w:r w:rsidRPr="00CB511B">
      <w:rPr>
        <w:i/>
      </w:rPr>
      <w:t>Justification</w:t>
    </w: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6DC"/>
    <w:multiLevelType w:val="hybridMultilevel"/>
    <w:tmpl w:val="54C2FB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E9727054"/>
    <w:lvl w:ilvl="0" w:tplc="B7C22CFC">
      <w:start w:val="1"/>
      <w:numFmt w:val="upperLetter"/>
      <w:lvlText w:val="%1."/>
      <w:lvlJc w:val="left"/>
      <w:pPr>
        <w:ind w:left="1080" w:hanging="360"/>
      </w:pPr>
      <w:rPr>
        <w:rFont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744A55"/>
    <w:multiLevelType w:val="hybridMultilevel"/>
    <w:tmpl w:val="BDA0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9721B"/>
    <w:multiLevelType w:val="hybridMultilevel"/>
    <w:tmpl w:val="70C0187E"/>
    <w:lvl w:ilvl="0" w:tplc="0409000F">
      <w:start w:val="1"/>
      <w:numFmt w:val="decimal"/>
      <w:lvlText w:val="%1."/>
      <w:lvlJc w:val="left"/>
      <w:pPr>
        <w:ind w:left="720" w:hanging="360"/>
      </w:pPr>
    </w:lvl>
    <w:lvl w:ilvl="1" w:tplc="56B278DE">
      <w:start w:val="9"/>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A0F20D1"/>
    <w:multiLevelType w:val="hybridMultilevel"/>
    <w:tmpl w:val="3F62F524"/>
    <w:lvl w:ilvl="0" w:tplc="09AC7664">
      <w:start w:val="1"/>
      <w:numFmt w:val="upperLetter"/>
      <w:lvlText w:val="%1."/>
      <w:lvlJc w:val="left"/>
      <w:pPr>
        <w:ind w:left="1080" w:hanging="360"/>
      </w:pPr>
      <w:rPr>
        <w:rFonts w:hint="default"/>
        <w:b/>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72DDC"/>
    <w:multiLevelType w:val="hybridMultilevel"/>
    <w:tmpl w:val="30685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73751E"/>
    <w:multiLevelType w:val="hybridMultilevel"/>
    <w:tmpl w:val="BAC010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DD4DFA"/>
    <w:multiLevelType w:val="hybridMultilevel"/>
    <w:tmpl w:val="7458E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405E99"/>
    <w:multiLevelType w:val="hybridMultilevel"/>
    <w:tmpl w:val="96F25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6"/>
  </w:num>
  <w:num w:numId="6">
    <w:abstractNumId w:val="2"/>
  </w:num>
  <w:num w:numId="7">
    <w:abstractNumId w:val="13"/>
  </w:num>
  <w:num w:numId="8">
    <w:abstractNumId w:val="0"/>
  </w:num>
  <w:num w:numId="9">
    <w:abstractNumId w:val="8"/>
  </w:num>
  <w:num w:numId="10">
    <w:abstractNumId w:val="11"/>
  </w:num>
  <w:num w:numId="11">
    <w:abstractNumId w:val="10"/>
  </w:num>
  <w:num w:numId="12">
    <w:abstractNumId w:val="4"/>
  </w:num>
  <w:num w:numId="13">
    <w:abstractNumId w:val="5"/>
  </w:num>
  <w:num w:numId="14">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mann, Allan G. EOP/OMB">
    <w15:presenceInfo w15:providerId="None" w15:userId="Beckmann, Allan G. EOP/OMB"/>
  </w15:person>
  <w15:person w15:author="Allison Magness, PhD, RD">
    <w15:presenceInfo w15:providerId="None" w15:userId="Allison Magness, PhD, RD"/>
  </w15:person>
  <w15:person w15:author="Allison Magness">
    <w15:presenceInfo w15:providerId="AD" w15:userId="S-1-5-21-2530180562-2284943630-2546815069-1812"/>
  </w15:person>
  <w15:person w15:author="Carter Epstein">
    <w15:presenceInfo w15:providerId="AD" w15:userId="S-1-5-21-4161449151-3199555679-2224323722-5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wMbAwMzSyNDUwMDdR0lEKTi0uzszPAykwrQUAO9kJ+ywAAAA="/>
  </w:docVars>
  <w:rsids>
    <w:rsidRoot w:val="0015674E"/>
    <w:rsid w:val="00000E1E"/>
    <w:rsid w:val="0000172C"/>
    <w:rsid w:val="00001B8C"/>
    <w:rsid w:val="00002555"/>
    <w:rsid w:val="0000376F"/>
    <w:rsid w:val="000043D6"/>
    <w:rsid w:val="0000475A"/>
    <w:rsid w:val="000058F2"/>
    <w:rsid w:val="00007065"/>
    <w:rsid w:val="00007325"/>
    <w:rsid w:val="0001024C"/>
    <w:rsid w:val="00010335"/>
    <w:rsid w:val="00010E50"/>
    <w:rsid w:val="00011823"/>
    <w:rsid w:val="00012209"/>
    <w:rsid w:val="00012CAD"/>
    <w:rsid w:val="00013519"/>
    <w:rsid w:val="000159B9"/>
    <w:rsid w:val="00017016"/>
    <w:rsid w:val="000174C1"/>
    <w:rsid w:val="00017D5B"/>
    <w:rsid w:val="00020167"/>
    <w:rsid w:val="00020BCD"/>
    <w:rsid w:val="00021B01"/>
    <w:rsid w:val="00022B16"/>
    <w:rsid w:val="000232F1"/>
    <w:rsid w:val="0002414B"/>
    <w:rsid w:val="000242E8"/>
    <w:rsid w:val="00024BE2"/>
    <w:rsid w:val="00026498"/>
    <w:rsid w:val="00027B01"/>
    <w:rsid w:val="000307C4"/>
    <w:rsid w:val="00031ED5"/>
    <w:rsid w:val="000321CE"/>
    <w:rsid w:val="000324A3"/>
    <w:rsid w:val="000324C8"/>
    <w:rsid w:val="00033293"/>
    <w:rsid w:val="000337A8"/>
    <w:rsid w:val="00034229"/>
    <w:rsid w:val="000342B8"/>
    <w:rsid w:val="00034566"/>
    <w:rsid w:val="00034686"/>
    <w:rsid w:val="00035D75"/>
    <w:rsid w:val="000369EA"/>
    <w:rsid w:val="00036E74"/>
    <w:rsid w:val="0003788F"/>
    <w:rsid w:val="00040AD0"/>
    <w:rsid w:val="00043046"/>
    <w:rsid w:val="000433AE"/>
    <w:rsid w:val="00043D82"/>
    <w:rsid w:val="00043DE6"/>
    <w:rsid w:val="00044B1D"/>
    <w:rsid w:val="000458A8"/>
    <w:rsid w:val="00045B1E"/>
    <w:rsid w:val="00045D37"/>
    <w:rsid w:val="000465B2"/>
    <w:rsid w:val="00050B65"/>
    <w:rsid w:val="0005153E"/>
    <w:rsid w:val="00051C49"/>
    <w:rsid w:val="0005279D"/>
    <w:rsid w:val="000536CA"/>
    <w:rsid w:val="00055877"/>
    <w:rsid w:val="000567C0"/>
    <w:rsid w:val="00056B0D"/>
    <w:rsid w:val="00056EB4"/>
    <w:rsid w:val="000578CC"/>
    <w:rsid w:val="000609D1"/>
    <w:rsid w:val="000627EF"/>
    <w:rsid w:val="00062EFC"/>
    <w:rsid w:val="000632BE"/>
    <w:rsid w:val="000633FC"/>
    <w:rsid w:val="00064AFF"/>
    <w:rsid w:val="00065350"/>
    <w:rsid w:val="00065A5D"/>
    <w:rsid w:val="00066280"/>
    <w:rsid w:val="00066745"/>
    <w:rsid w:val="00067492"/>
    <w:rsid w:val="00067858"/>
    <w:rsid w:val="00067B14"/>
    <w:rsid w:val="00070113"/>
    <w:rsid w:val="00071B2B"/>
    <w:rsid w:val="00071D03"/>
    <w:rsid w:val="00071FE1"/>
    <w:rsid w:val="00072442"/>
    <w:rsid w:val="00072C14"/>
    <w:rsid w:val="00072D33"/>
    <w:rsid w:val="00073704"/>
    <w:rsid w:val="00073B57"/>
    <w:rsid w:val="0007400C"/>
    <w:rsid w:val="00074363"/>
    <w:rsid w:val="000749B6"/>
    <w:rsid w:val="0007520C"/>
    <w:rsid w:val="00075290"/>
    <w:rsid w:val="00076A4A"/>
    <w:rsid w:val="00076C4C"/>
    <w:rsid w:val="00077893"/>
    <w:rsid w:val="00080115"/>
    <w:rsid w:val="00080598"/>
    <w:rsid w:val="00082BAA"/>
    <w:rsid w:val="00083DA8"/>
    <w:rsid w:val="00084491"/>
    <w:rsid w:val="00084E1A"/>
    <w:rsid w:val="00085B1A"/>
    <w:rsid w:val="00085DFA"/>
    <w:rsid w:val="0008642A"/>
    <w:rsid w:val="00086720"/>
    <w:rsid w:val="00090AFF"/>
    <w:rsid w:val="00090FEC"/>
    <w:rsid w:val="00091509"/>
    <w:rsid w:val="0009174F"/>
    <w:rsid w:val="00092ACE"/>
    <w:rsid w:val="00093C87"/>
    <w:rsid w:val="00094E2A"/>
    <w:rsid w:val="000952A9"/>
    <w:rsid w:val="000964A3"/>
    <w:rsid w:val="00097DBA"/>
    <w:rsid w:val="00097FA5"/>
    <w:rsid w:val="000A0145"/>
    <w:rsid w:val="000A05A8"/>
    <w:rsid w:val="000A1C40"/>
    <w:rsid w:val="000A2A13"/>
    <w:rsid w:val="000A38B3"/>
    <w:rsid w:val="000A446F"/>
    <w:rsid w:val="000A4B1B"/>
    <w:rsid w:val="000A600B"/>
    <w:rsid w:val="000A6E2A"/>
    <w:rsid w:val="000A72B3"/>
    <w:rsid w:val="000B0750"/>
    <w:rsid w:val="000B22E5"/>
    <w:rsid w:val="000B2843"/>
    <w:rsid w:val="000B33BB"/>
    <w:rsid w:val="000B3695"/>
    <w:rsid w:val="000B3F62"/>
    <w:rsid w:val="000B4383"/>
    <w:rsid w:val="000B503B"/>
    <w:rsid w:val="000B5262"/>
    <w:rsid w:val="000B557A"/>
    <w:rsid w:val="000B5953"/>
    <w:rsid w:val="000B6E03"/>
    <w:rsid w:val="000B75F5"/>
    <w:rsid w:val="000C0256"/>
    <w:rsid w:val="000C0F1B"/>
    <w:rsid w:val="000C1779"/>
    <w:rsid w:val="000C2AAA"/>
    <w:rsid w:val="000C2F2E"/>
    <w:rsid w:val="000C2FAF"/>
    <w:rsid w:val="000C3EBD"/>
    <w:rsid w:val="000C5B45"/>
    <w:rsid w:val="000C6018"/>
    <w:rsid w:val="000C638E"/>
    <w:rsid w:val="000C6709"/>
    <w:rsid w:val="000C679C"/>
    <w:rsid w:val="000C6B17"/>
    <w:rsid w:val="000C7370"/>
    <w:rsid w:val="000C7653"/>
    <w:rsid w:val="000C7754"/>
    <w:rsid w:val="000C77B0"/>
    <w:rsid w:val="000C7B0A"/>
    <w:rsid w:val="000D2F42"/>
    <w:rsid w:val="000D2FB3"/>
    <w:rsid w:val="000D31F3"/>
    <w:rsid w:val="000D35E6"/>
    <w:rsid w:val="000D4352"/>
    <w:rsid w:val="000D45DB"/>
    <w:rsid w:val="000D4B02"/>
    <w:rsid w:val="000D4B65"/>
    <w:rsid w:val="000D618D"/>
    <w:rsid w:val="000D6279"/>
    <w:rsid w:val="000D6584"/>
    <w:rsid w:val="000D6E31"/>
    <w:rsid w:val="000D75B7"/>
    <w:rsid w:val="000E0C93"/>
    <w:rsid w:val="000E1400"/>
    <w:rsid w:val="000E47D6"/>
    <w:rsid w:val="000E47FD"/>
    <w:rsid w:val="000E56B5"/>
    <w:rsid w:val="000E5CF2"/>
    <w:rsid w:val="000E6B45"/>
    <w:rsid w:val="000E789F"/>
    <w:rsid w:val="000E7E16"/>
    <w:rsid w:val="000F0A14"/>
    <w:rsid w:val="000F12E0"/>
    <w:rsid w:val="000F1B22"/>
    <w:rsid w:val="000F1DB2"/>
    <w:rsid w:val="000F2026"/>
    <w:rsid w:val="000F30D2"/>
    <w:rsid w:val="000F4531"/>
    <w:rsid w:val="000F4953"/>
    <w:rsid w:val="000F705E"/>
    <w:rsid w:val="000F7C63"/>
    <w:rsid w:val="00101292"/>
    <w:rsid w:val="0010359E"/>
    <w:rsid w:val="001036CC"/>
    <w:rsid w:val="00103D87"/>
    <w:rsid w:val="0010642D"/>
    <w:rsid w:val="0010678C"/>
    <w:rsid w:val="00107B03"/>
    <w:rsid w:val="00107BEC"/>
    <w:rsid w:val="00110984"/>
    <w:rsid w:val="001109EA"/>
    <w:rsid w:val="00110DB7"/>
    <w:rsid w:val="00111574"/>
    <w:rsid w:val="00111583"/>
    <w:rsid w:val="00111807"/>
    <w:rsid w:val="00111C98"/>
    <w:rsid w:val="00112381"/>
    <w:rsid w:val="00112F40"/>
    <w:rsid w:val="001130FD"/>
    <w:rsid w:val="001136C6"/>
    <w:rsid w:val="00113DC1"/>
    <w:rsid w:val="001143BE"/>
    <w:rsid w:val="00114CC6"/>
    <w:rsid w:val="00114E97"/>
    <w:rsid w:val="00114FC7"/>
    <w:rsid w:val="00115277"/>
    <w:rsid w:val="00115860"/>
    <w:rsid w:val="00115EE1"/>
    <w:rsid w:val="001170C0"/>
    <w:rsid w:val="001175A0"/>
    <w:rsid w:val="00117C97"/>
    <w:rsid w:val="0012168D"/>
    <w:rsid w:val="00121B8A"/>
    <w:rsid w:val="001228E8"/>
    <w:rsid w:val="001240E7"/>
    <w:rsid w:val="00124301"/>
    <w:rsid w:val="00124795"/>
    <w:rsid w:val="00124FD6"/>
    <w:rsid w:val="0012500F"/>
    <w:rsid w:val="00125F14"/>
    <w:rsid w:val="001275E0"/>
    <w:rsid w:val="0013136F"/>
    <w:rsid w:val="00132EDC"/>
    <w:rsid w:val="001339DE"/>
    <w:rsid w:val="00133AB8"/>
    <w:rsid w:val="00135DC5"/>
    <w:rsid w:val="00135E79"/>
    <w:rsid w:val="00135F3C"/>
    <w:rsid w:val="00136DF8"/>
    <w:rsid w:val="001370CB"/>
    <w:rsid w:val="00140501"/>
    <w:rsid w:val="00141BE5"/>
    <w:rsid w:val="00141EBF"/>
    <w:rsid w:val="00142957"/>
    <w:rsid w:val="00142E1D"/>
    <w:rsid w:val="0014326D"/>
    <w:rsid w:val="00143527"/>
    <w:rsid w:val="0014400C"/>
    <w:rsid w:val="00144CEC"/>
    <w:rsid w:val="00145A87"/>
    <w:rsid w:val="00145CD3"/>
    <w:rsid w:val="00147822"/>
    <w:rsid w:val="00150517"/>
    <w:rsid w:val="0015142C"/>
    <w:rsid w:val="00152D4D"/>
    <w:rsid w:val="00152F72"/>
    <w:rsid w:val="00152FAD"/>
    <w:rsid w:val="00153183"/>
    <w:rsid w:val="0015329C"/>
    <w:rsid w:val="0015452C"/>
    <w:rsid w:val="00154B1C"/>
    <w:rsid w:val="00155FBD"/>
    <w:rsid w:val="00156115"/>
    <w:rsid w:val="0015659A"/>
    <w:rsid w:val="0015674E"/>
    <w:rsid w:val="0015691B"/>
    <w:rsid w:val="001574C3"/>
    <w:rsid w:val="00157FCF"/>
    <w:rsid w:val="00161AD9"/>
    <w:rsid w:val="001629F2"/>
    <w:rsid w:val="0016349E"/>
    <w:rsid w:val="0016362C"/>
    <w:rsid w:val="001644F4"/>
    <w:rsid w:val="001647E4"/>
    <w:rsid w:val="001649F0"/>
    <w:rsid w:val="00164D0C"/>
    <w:rsid w:val="001667FA"/>
    <w:rsid w:val="00166BA5"/>
    <w:rsid w:val="00166EB9"/>
    <w:rsid w:val="0017100F"/>
    <w:rsid w:val="00171111"/>
    <w:rsid w:val="00171ECD"/>
    <w:rsid w:val="001727F6"/>
    <w:rsid w:val="0017293A"/>
    <w:rsid w:val="00173A44"/>
    <w:rsid w:val="00173C2B"/>
    <w:rsid w:val="0017534B"/>
    <w:rsid w:val="00175434"/>
    <w:rsid w:val="00175984"/>
    <w:rsid w:val="00175A87"/>
    <w:rsid w:val="00176584"/>
    <w:rsid w:val="00176B1C"/>
    <w:rsid w:val="00177133"/>
    <w:rsid w:val="0018004C"/>
    <w:rsid w:val="0018193F"/>
    <w:rsid w:val="00181C8C"/>
    <w:rsid w:val="00181D34"/>
    <w:rsid w:val="00181EE1"/>
    <w:rsid w:val="00182187"/>
    <w:rsid w:val="00182BFD"/>
    <w:rsid w:val="001835A2"/>
    <w:rsid w:val="00184022"/>
    <w:rsid w:val="00184472"/>
    <w:rsid w:val="001847ED"/>
    <w:rsid w:val="00185B9E"/>
    <w:rsid w:val="00185BAD"/>
    <w:rsid w:val="00186C49"/>
    <w:rsid w:val="001910CE"/>
    <w:rsid w:val="0019196A"/>
    <w:rsid w:val="00194591"/>
    <w:rsid w:val="00195688"/>
    <w:rsid w:val="001968D9"/>
    <w:rsid w:val="00197445"/>
    <w:rsid w:val="00197A62"/>
    <w:rsid w:val="001A0685"/>
    <w:rsid w:val="001A1240"/>
    <w:rsid w:val="001A24C5"/>
    <w:rsid w:val="001A4BB1"/>
    <w:rsid w:val="001A5EF4"/>
    <w:rsid w:val="001A6A87"/>
    <w:rsid w:val="001A724F"/>
    <w:rsid w:val="001A7358"/>
    <w:rsid w:val="001B042C"/>
    <w:rsid w:val="001B0AAE"/>
    <w:rsid w:val="001B1EF2"/>
    <w:rsid w:val="001B24BD"/>
    <w:rsid w:val="001B28D2"/>
    <w:rsid w:val="001B2F91"/>
    <w:rsid w:val="001B362A"/>
    <w:rsid w:val="001B38B6"/>
    <w:rsid w:val="001B3E26"/>
    <w:rsid w:val="001B4DC1"/>
    <w:rsid w:val="001B6D4F"/>
    <w:rsid w:val="001B794D"/>
    <w:rsid w:val="001B7CC0"/>
    <w:rsid w:val="001C05E0"/>
    <w:rsid w:val="001C071E"/>
    <w:rsid w:val="001C0C37"/>
    <w:rsid w:val="001C1097"/>
    <w:rsid w:val="001C167F"/>
    <w:rsid w:val="001C1F0E"/>
    <w:rsid w:val="001C217B"/>
    <w:rsid w:val="001C244F"/>
    <w:rsid w:val="001C343B"/>
    <w:rsid w:val="001C4ABE"/>
    <w:rsid w:val="001C5AEA"/>
    <w:rsid w:val="001C5ED5"/>
    <w:rsid w:val="001C641D"/>
    <w:rsid w:val="001C7760"/>
    <w:rsid w:val="001D0CE1"/>
    <w:rsid w:val="001D0D30"/>
    <w:rsid w:val="001D1154"/>
    <w:rsid w:val="001D177A"/>
    <w:rsid w:val="001D1A27"/>
    <w:rsid w:val="001D1FC5"/>
    <w:rsid w:val="001D2E1B"/>
    <w:rsid w:val="001D3B2D"/>
    <w:rsid w:val="001D4CD0"/>
    <w:rsid w:val="001D5194"/>
    <w:rsid w:val="001D5A52"/>
    <w:rsid w:val="001D5B9E"/>
    <w:rsid w:val="001D5C73"/>
    <w:rsid w:val="001D66AA"/>
    <w:rsid w:val="001D66C9"/>
    <w:rsid w:val="001D6F30"/>
    <w:rsid w:val="001D70AE"/>
    <w:rsid w:val="001D7D42"/>
    <w:rsid w:val="001E01EA"/>
    <w:rsid w:val="001E1317"/>
    <w:rsid w:val="001E1510"/>
    <w:rsid w:val="001E25A4"/>
    <w:rsid w:val="001E2B54"/>
    <w:rsid w:val="001E3B13"/>
    <w:rsid w:val="001E47CE"/>
    <w:rsid w:val="001E4854"/>
    <w:rsid w:val="001E48AF"/>
    <w:rsid w:val="001E4A56"/>
    <w:rsid w:val="001E5B6E"/>
    <w:rsid w:val="001E5E38"/>
    <w:rsid w:val="001E6058"/>
    <w:rsid w:val="001E6DA0"/>
    <w:rsid w:val="001E7E47"/>
    <w:rsid w:val="001F0DD8"/>
    <w:rsid w:val="001F0EB8"/>
    <w:rsid w:val="001F303E"/>
    <w:rsid w:val="001F3F01"/>
    <w:rsid w:val="001F46EB"/>
    <w:rsid w:val="001F4A1F"/>
    <w:rsid w:val="001F4F49"/>
    <w:rsid w:val="001F5424"/>
    <w:rsid w:val="001F5660"/>
    <w:rsid w:val="001F638F"/>
    <w:rsid w:val="001F63B7"/>
    <w:rsid w:val="001F670D"/>
    <w:rsid w:val="002013C7"/>
    <w:rsid w:val="002036F0"/>
    <w:rsid w:val="002038EA"/>
    <w:rsid w:val="00204216"/>
    <w:rsid w:val="0020452B"/>
    <w:rsid w:val="00204576"/>
    <w:rsid w:val="00205A84"/>
    <w:rsid w:val="00205F3B"/>
    <w:rsid w:val="00207A6A"/>
    <w:rsid w:val="00210E3D"/>
    <w:rsid w:val="0021300B"/>
    <w:rsid w:val="0021314C"/>
    <w:rsid w:val="00213181"/>
    <w:rsid w:val="0021421F"/>
    <w:rsid w:val="002143F9"/>
    <w:rsid w:val="002149D7"/>
    <w:rsid w:val="00214FB8"/>
    <w:rsid w:val="00215AB7"/>
    <w:rsid w:val="00216449"/>
    <w:rsid w:val="00216EFE"/>
    <w:rsid w:val="00220020"/>
    <w:rsid w:val="00220399"/>
    <w:rsid w:val="0022046D"/>
    <w:rsid w:val="00220A05"/>
    <w:rsid w:val="00221004"/>
    <w:rsid w:val="00221028"/>
    <w:rsid w:val="0022139E"/>
    <w:rsid w:val="00221E62"/>
    <w:rsid w:val="002227EE"/>
    <w:rsid w:val="002254CE"/>
    <w:rsid w:val="00225B03"/>
    <w:rsid w:val="00227C3B"/>
    <w:rsid w:val="0023023E"/>
    <w:rsid w:val="0023067A"/>
    <w:rsid w:val="002312D4"/>
    <w:rsid w:val="002320A6"/>
    <w:rsid w:val="002326C3"/>
    <w:rsid w:val="00233502"/>
    <w:rsid w:val="00233970"/>
    <w:rsid w:val="00233A64"/>
    <w:rsid w:val="0023416E"/>
    <w:rsid w:val="00234DA9"/>
    <w:rsid w:val="0023552B"/>
    <w:rsid w:val="00235B27"/>
    <w:rsid w:val="00236176"/>
    <w:rsid w:val="00236210"/>
    <w:rsid w:val="00236299"/>
    <w:rsid w:val="00236395"/>
    <w:rsid w:val="00236F12"/>
    <w:rsid w:val="00237057"/>
    <w:rsid w:val="002370EF"/>
    <w:rsid w:val="00237222"/>
    <w:rsid w:val="00237917"/>
    <w:rsid w:val="002379EA"/>
    <w:rsid w:val="00240395"/>
    <w:rsid w:val="00240B87"/>
    <w:rsid w:val="00241714"/>
    <w:rsid w:val="00241A90"/>
    <w:rsid w:val="00241AAC"/>
    <w:rsid w:val="002431C1"/>
    <w:rsid w:val="00243D6B"/>
    <w:rsid w:val="002444C7"/>
    <w:rsid w:val="002451AD"/>
    <w:rsid w:val="00245364"/>
    <w:rsid w:val="00245BEB"/>
    <w:rsid w:val="00245DB6"/>
    <w:rsid w:val="00246BA9"/>
    <w:rsid w:val="002474C2"/>
    <w:rsid w:val="00247968"/>
    <w:rsid w:val="00253655"/>
    <w:rsid w:val="002550F5"/>
    <w:rsid w:val="00255205"/>
    <w:rsid w:val="00256ED2"/>
    <w:rsid w:val="002579B6"/>
    <w:rsid w:val="002579CA"/>
    <w:rsid w:val="00257F45"/>
    <w:rsid w:val="00260897"/>
    <w:rsid w:val="00262D55"/>
    <w:rsid w:val="002632E1"/>
    <w:rsid w:val="002639D5"/>
    <w:rsid w:val="00264E00"/>
    <w:rsid w:val="00265AED"/>
    <w:rsid w:val="0026701E"/>
    <w:rsid w:val="00270E66"/>
    <w:rsid w:val="00272D1B"/>
    <w:rsid w:val="00272FAA"/>
    <w:rsid w:val="00273303"/>
    <w:rsid w:val="002746D2"/>
    <w:rsid w:val="00274B77"/>
    <w:rsid w:val="002751EE"/>
    <w:rsid w:val="002766F3"/>
    <w:rsid w:val="00276C3B"/>
    <w:rsid w:val="0027759A"/>
    <w:rsid w:val="002775EE"/>
    <w:rsid w:val="00277F18"/>
    <w:rsid w:val="002801E2"/>
    <w:rsid w:val="00280CFA"/>
    <w:rsid w:val="00282999"/>
    <w:rsid w:val="00283190"/>
    <w:rsid w:val="00283C66"/>
    <w:rsid w:val="00283EEB"/>
    <w:rsid w:val="00284791"/>
    <w:rsid w:val="00284B9A"/>
    <w:rsid w:val="00284C8B"/>
    <w:rsid w:val="00284FAE"/>
    <w:rsid w:val="00285736"/>
    <w:rsid w:val="00285BB1"/>
    <w:rsid w:val="00285DF8"/>
    <w:rsid w:val="00285E92"/>
    <w:rsid w:val="00286187"/>
    <w:rsid w:val="0028628D"/>
    <w:rsid w:val="00286D8C"/>
    <w:rsid w:val="00286DD2"/>
    <w:rsid w:val="00286EE8"/>
    <w:rsid w:val="002873A4"/>
    <w:rsid w:val="002912A3"/>
    <w:rsid w:val="002920BD"/>
    <w:rsid w:val="00292375"/>
    <w:rsid w:val="002932A9"/>
    <w:rsid w:val="00293E3D"/>
    <w:rsid w:val="00294114"/>
    <w:rsid w:val="0029465F"/>
    <w:rsid w:val="00295145"/>
    <w:rsid w:val="00295F11"/>
    <w:rsid w:val="00296567"/>
    <w:rsid w:val="002965D4"/>
    <w:rsid w:val="00296DD4"/>
    <w:rsid w:val="002972FF"/>
    <w:rsid w:val="002973EF"/>
    <w:rsid w:val="00297D8D"/>
    <w:rsid w:val="00297EDE"/>
    <w:rsid w:val="002A0B3A"/>
    <w:rsid w:val="002A14C4"/>
    <w:rsid w:val="002A20B2"/>
    <w:rsid w:val="002A3655"/>
    <w:rsid w:val="002A4751"/>
    <w:rsid w:val="002A5653"/>
    <w:rsid w:val="002A721D"/>
    <w:rsid w:val="002B0C99"/>
    <w:rsid w:val="002B1580"/>
    <w:rsid w:val="002B312E"/>
    <w:rsid w:val="002B4895"/>
    <w:rsid w:val="002B5491"/>
    <w:rsid w:val="002B5602"/>
    <w:rsid w:val="002B56FA"/>
    <w:rsid w:val="002B5E84"/>
    <w:rsid w:val="002B6EEA"/>
    <w:rsid w:val="002B7643"/>
    <w:rsid w:val="002B788D"/>
    <w:rsid w:val="002C0374"/>
    <w:rsid w:val="002C0543"/>
    <w:rsid w:val="002C0F66"/>
    <w:rsid w:val="002C116A"/>
    <w:rsid w:val="002C1509"/>
    <w:rsid w:val="002C1C5F"/>
    <w:rsid w:val="002C225C"/>
    <w:rsid w:val="002C3182"/>
    <w:rsid w:val="002C39AC"/>
    <w:rsid w:val="002C4313"/>
    <w:rsid w:val="002C4AE2"/>
    <w:rsid w:val="002C4F17"/>
    <w:rsid w:val="002C5095"/>
    <w:rsid w:val="002C53E3"/>
    <w:rsid w:val="002C5651"/>
    <w:rsid w:val="002C5CCA"/>
    <w:rsid w:val="002C651E"/>
    <w:rsid w:val="002C7ED4"/>
    <w:rsid w:val="002D003B"/>
    <w:rsid w:val="002D0AEB"/>
    <w:rsid w:val="002D2417"/>
    <w:rsid w:val="002D3667"/>
    <w:rsid w:val="002D3790"/>
    <w:rsid w:val="002D41EA"/>
    <w:rsid w:val="002D6847"/>
    <w:rsid w:val="002D6C08"/>
    <w:rsid w:val="002D7B12"/>
    <w:rsid w:val="002E05D1"/>
    <w:rsid w:val="002E15AA"/>
    <w:rsid w:val="002E23CE"/>
    <w:rsid w:val="002E2597"/>
    <w:rsid w:val="002E342D"/>
    <w:rsid w:val="002E3B68"/>
    <w:rsid w:val="002E3F6C"/>
    <w:rsid w:val="002E44F2"/>
    <w:rsid w:val="002E52D6"/>
    <w:rsid w:val="002E5694"/>
    <w:rsid w:val="002E6DB2"/>
    <w:rsid w:val="002E730D"/>
    <w:rsid w:val="002E73CA"/>
    <w:rsid w:val="002F00F3"/>
    <w:rsid w:val="002F017A"/>
    <w:rsid w:val="002F04A3"/>
    <w:rsid w:val="002F0A27"/>
    <w:rsid w:val="002F2367"/>
    <w:rsid w:val="002F25D9"/>
    <w:rsid w:val="002F308E"/>
    <w:rsid w:val="002F309A"/>
    <w:rsid w:val="002F3614"/>
    <w:rsid w:val="002F39D3"/>
    <w:rsid w:val="002F48A0"/>
    <w:rsid w:val="002F529F"/>
    <w:rsid w:val="002F7CB9"/>
    <w:rsid w:val="0030019B"/>
    <w:rsid w:val="003003D7"/>
    <w:rsid w:val="00300E14"/>
    <w:rsid w:val="00301EA1"/>
    <w:rsid w:val="00302F5C"/>
    <w:rsid w:val="00302FE1"/>
    <w:rsid w:val="00303459"/>
    <w:rsid w:val="0030360E"/>
    <w:rsid w:val="00303D2D"/>
    <w:rsid w:val="00304B44"/>
    <w:rsid w:val="00304C5A"/>
    <w:rsid w:val="0030508A"/>
    <w:rsid w:val="00306208"/>
    <w:rsid w:val="003062F3"/>
    <w:rsid w:val="00306382"/>
    <w:rsid w:val="00306AF4"/>
    <w:rsid w:val="00310BAC"/>
    <w:rsid w:val="00310FF6"/>
    <w:rsid w:val="003127C5"/>
    <w:rsid w:val="00312AD9"/>
    <w:rsid w:val="00312E05"/>
    <w:rsid w:val="00312E21"/>
    <w:rsid w:val="00312E27"/>
    <w:rsid w:val="00313A16"/>
    <w:rsid w:val="003147E9"/>
    <w:rsid w:val="0031649F"/>
    <w:rsid w:val="00317985"/>
    <w:rsid w:val="00317B11"/>
    <w:rsid w:val="00317B3A"/>
    <w:rsid w:val="00317E54"/>
    <w:rsid w:val="003208E6"/>
    <w:rsid w:val="00320A32"/>
    <w:rsid w:val="00320FD9"/>
    <w:rsid w:val="003214D7"/>
    <w:rsid w:val="00322B3E"/>
    <w:rsid w:val="00324575"/>
    <w:rsid w:val="0032494A"/>
    <w:rsid w:val="00324B5B"/>
    <w:rsid w:val="003253B6"/>
    <w:rsid w:val="00325601"/>
    <w:rsid w:val="00325EC0"/>
    <w:rsid w:val="00327261"/>
    <w:rsid w:val="00330652"/>
    <w:rsid w:val="00330DA2"/>
    <w:rsid w:val="00331331"/>
    <w:rsid w:val="00331493"/>
    <w:rsid w:val="0033175E"/>
    <w:rsid w:val="0033225A"/>
    <w:rsid w:val="0033300D"/>
    <w:rsid w:val="0033309A"/>
    <w:rsid w:val="003330F2"/>
    <w:rsid w:val="00333C94"/>
    <w:rsid w:val="003343A7"/>
    <w:rsid w:val="00335D96"/>
    <w:rsid w:val="003400FC"/>
    <w:rsid w:val="00340C93"/>
    <w:rsid w:val="00341EF1"/>
    <w:rsid w:val="00342FB6"/>
    <w:rsid w:val="00343238"/>
    <w:rsid w:val="0034459A"/>
    <w:rsid w:val="003445E1"/>
    <w:rsid w:val="00346798"/>
    <w:rsid w:val="00346895"/>
    <w:rsid w:val="00346990"/>
    <w:rsid w:val="0034799A"/>
    <w:rsid w:val="00350C77"/>
    <w:rsid w:val="003516D8"/>
    <w:rsid w:val="0035178F"/>
    <w:rsid w:val="00351F64"/>
    <w:rsid w:val="00352241"/>
    <w:rsid w:val="00352641"/>
    <w:rsid w:val="0035270E"/>
    <w:rsid w:val="003538C9"/>
    <w:rsid w:val="00353CD3"/>
    <w:rsid w:val="00354EB2"/>
    <w:rsid w:val="003563C4"/>
    <w:rsid w:val="00356A9F"/>
    <w:rsid w:val="00360145"/>
    <w:rsid w:val="00360E62"/>
    <w:rsid w:val="00360EE0"/>
    <w:rsid w:val="00361750"/>
    <w:rsid w:val="0036179F"/>
    <w:rsid w:val="00361868"/>
    <w:rsid w:val="00361BB0"/>
    <w:rsid w:val="00362942"/>
    <w:rsid w:val="00364EBF"/>
    <w:rsid w:val="003654CD"/>
    <w:rsid w:val="00366515"/>
    <w:rsid w:val="00366FC8"/>
    <w:rsid w:val="003703E5"/>
    <w:rsid w:val="0037109D"/>
    <w:rsid w:val="00371293"/>
    <w:rsid w:val="003713C7"/>
    <w:rsid w:val="0037143B"/>
    <w:rsid w:val="00371E5E"/>
    <w:rsid w:val="00375694"/>
    <w:rsid w:val="00376277"/>
    <w:rsid w:val="00377F5B"/>
    <w:rsid w:val="003800FE"/>
    <w:rsid w:val="00380927"/>
    <w:rsid w:val="003817C4"/>
    <w:rsid w:val="00381EA0"/>
    <w:rsid w:val="00382968"/>
    <w:rsid w:val="0038427F"/>
    <w:rsid w:val="003849ED"/>
    <w:rsid w:val="00384B5E"/>
    <w:rsid w:val="00385098"/>
    <w:rsid w:val="003859BE"/>
    <w:rsid w:val="0038640D"/>
    <w:rsid w:val="00387D9B"/>
    <w:rsid w:val="003913AA"/>
    <w:rsid w:val="0039273E"/>
    <w:rsid w:val="00392D4F"/>
    <w:rsid w:val="003932B1"/>
    <w:rsid w:val="003934AD"/>
    <w:rsid w:val="003950F8"/>
    <w:rsid w:val="00395777"/>
    <w:rsid w:val="003963C1"/>
    <w:rsid w:val="00396E40"/>
    <w:rsid w:val="00397C0A"/>
    <w:rsid w:val="003A0B95"/>
    <w:rsid w:val="003A21C9"/>
    <w:rsid w:val="003A27E5"/>
    <w:rsid w:val="003A2F75"/>
    <w:rsid w:val="003A4323"/>
    <w:rsid w:val="003A54D6"/>
    <w:rsid w:val="003A5577"/>
    <w:rsid w:val="003A59D6"/>
    <w:rsid w:val="003A5D4D"/>
    <w:rsid w:val="003A774F"/>
    <w:rsid w:val="003B0B82"/>
    <w:rsid w:val="003B1960"/>
    <w:rsid w:val="003B245F"/>
    <w:rsid w:val="003B358E"/>
    <w:rsid w:val="003B4482"/>
    <w:rsid w:val="003B47CF"/>
    <w:rsid w:val="003B4918"/>
    <w:rsid w:val="003B5C7F"/>
    <w:rsid w:val="003B5DF3"/>
    <w:rsid w:val="003B6ED1"/>
    <w:rsid w:val="003B7BDB"/>
    <w:rsid w:val="003B7C3E"/>
    <w:rsid w:val="003B7D07"/>
    <w:rsid w:val="003B7DB4"/>
    <w:rsid w:val="003C014A"/>
    <w:rsid w:val="003C0B40"/>
    <w:rsid w:val="003C107A"/>
    <w:rsid w:val="003C133E"/>
    <w:rsid w:val="003C1EC6"/>
    <w:rsid w:val="003C2FB5"/>
    <w:rsid w:val="003C361A"/>
    <w:rsid w:val="003C3B1F"/>
    <w:rsid w:val="003C475B"/>
    <w:rsid w:val="003C49B8"/>
    <w:rsid w:val="003C5EF2"/>
    <w:rsid w:val="003C6191"/>
    <w:rsid w:val="003C65B9"/>
    <w:rsid w:val="003C77FF"/>
    <w:rsid w:val="003D04DC"/>
    <w:rsid w:val="003D0627"/>
    <w:rsid w:val="003D20BE"/>
    <w:rsid w:val="003D21FE"/>
    <w:rsid w:val="003D2636"/>
    <w:rsid w:val="003D34E1"/>
    <w:rsid w:val="003D35D4"/>
    <w:rsid w:val="003D47F7"/>
    <w:rsid w:val="003D4848"/>
    <w:rsid w:val="003D4BE8"/>
    <w:rsid w:val="003D54B8"/>
    <w:rsid w:val="003D5BBC"/>
    <w:rsid w:val="003D73E5"/>
    <w:rsid w:val="003D7A50"/>
    <w:rsid w:val="003E083D"/>
    <w:rsid w:val="003E0BD8"/>
    <w:rsid w:val="003E1610"/>
    <w:rsid w:val="003E200B"/>
    <w:rsid w:val="003E3714"/>
    <w:rsid w:val="003E38B3"/>
    <w:rsid w:val="003E4D2B"/>
    <w:rsid w:val="003E4DA0"/>
    <w:rsid w:val="003E4E25"/>
    <w:rsid w:val="003E693C"/>
    <w:rsid w:val="003E7649"/>
    <w:rsid w:val="003F0A17"/>
    <w:rsid w:val="003F1348"/>
    <w:rsid w:val="003F139E"/>
    <w:rsid w:val="003F2347"/>
    <w:rsid w:val="003F27BC"/>
    <w:rsid w:val="003F2EE3"/>
    <w:rsid w:val="003F2FBC"/>
    <w:rsid w:val="003F3787"/>
    <w:rsid w:val="003F3E92"/>
    <w:rsid w:val="003F48F5"/>
    <w:rsid w:val="003F589A"/>
    <w:rsid w:val="003F5F80"/>
    <w:rsid w:val="003F6039"/>
    <w:rsid w:val="003F667E"/>
    <w:rsid w:val="003F7378"/>
    <w:rsid w:val="003F79E5"/>
    <w:rsid w:val="003F7C54"/>
    <w:rsid w:val="00400001"/>
    <w:rsid w:val="004014B5"/>
    <w:rsid w:val="00402EF3"/>
    <w:rsid w:val="0040315F"/>
    <w:rsid w:val="0040321A"/>
    <w:rsid w:val="00403E12"/>
    <w:rsid w:val="00404F1D"/>
    <w:rsid w:val="00406C61"/>
    <w:rsid w:val="004105C8"/>
    <w:rsid w:val="00410671"/>
    <w:rsid w:val="00410977"/>
    <w:rsid w:val="00411086"/>
    <w:rsid w:val="00412F08"/>
    <w:rsid w:val="0041368E"/>
    <w:rsid w:val="00414A84"/>
    <w:rsid w:val="0041512D"/>
    <w:rsid w:val="004152C1"/>
    <w:rsid w:val="00417395"/>
    <w:rsid w:val="00417734"/>
    <w:rsid w:val="00420228"/>
    <w:rsid w:val="004208EA"/>
    <w:rsid w:val="00420F41"/>
    <w:rsid w:val="0042131B"/>
    <w:rsid w:val="0042133C"/>
    <w:rsid w:val="00422A4C"/>
    <w:rsid w:val="00422B39"/>
    <w:rsid w:val="00422C47"/>
    <w:rsid w:val="00422EEB"/>
    <w:rsid w:val="00423218"/>
    <w:rsid w:val="00423B80"/>
    <w:rsid w:val="004246D9"/>
    <w:rsid w:val="00424F6F"/>
    <w:rsid w:val="004257E8"/>
    <w:rsid w:val="00425C7A"/>
    <w:rsid w:val="00430A85"/>
    <w:rsid w:val="00430B3F"/>
    <w:rsid w:val="004312F2"/>
    <w:rsid w:val="004324CD"/>
    <w:rsid w:val="00434170"/>
    <w:rsid w:val="00436B2E"/>
    <w:rsid w:val="00437AB0"/>
    <w:rsid w:val="004424A1"/>
    <w:rsid w:val="004425CC"/>
    <w:rsid w:val="004430B0"/>
    <w:rsid w:val="00443A28"/>
    <w:rsid w:val="00443C37"/>
    <w:rsid w:val="0044519C"/>
    <w:rsid w:val="00445342"/>
    <w:rsid w:val="00446710"/>
    <w:rsid w:val="00446930"/>
    <w:rsid w:val="004477C4"/>
    <w:rsid w:val="0045011D"/>
    <w:rsid w:val="004513CC"/>
    <w:rsid w:val="004517F2"/>
    <w:rsid w:val="00451C57"/>
    <w:rsid w:val="00451CC6"/>
    <w:rsid w:val="00451E60"/>
    <w:rsid w:val="004525D6"/>
    <w:rsid w:val="00452B96"/>
    <w:rsid w:val="00453B60"/>
    <w:rsid w:val="00454C31"/>
    <w:rsid w:val="0045514D"/>
    <w:rsid w:val="00455DC3"/>
    <w:rsid w:val="004563E9"/>
    <w:rsid w:val="00456EE4"/>
    <w:rsid w:val="00457025"/>
    <w:rsid w:val="004600B3"/>
    <w:rsid w:val="00460784"/>
    <w:rsid w:val="00460CF5"/>
    <w:rsid w:val="0046188B"/>
    <w:rsid w:val="00462112"/>
    <w:rsid w:val="00462BF5"/>
    <w:rsid w:val="00462C2C"/>
    <w:rsid w:val="00462CB8"/>
    <w:rsid w:val="00463693"/>
    <w:rsid w:val="00463B16"/>
    <w:rsid w:val="00463E16"/>
    <w:rsid w:val="00466003"/>
    <w:rsid w:val="0046611F"/>
    <w:rsid w:val="00466681"/>
    <w:rsid w:val="00466A04"/>
    <w:rsid w:val="00467680"/>
    <w:rsid w:val="00470D07"/>
    <w:rsid w:val="00470FBD"/>
    <w:rsid w:val="004715F7"/>
    <w:rsid w:val="0047191E"/>
    <w:rsid w:val="00471FFB"/>
    <w:rsid w:val="0047222A"/>
    <w:rsid w:val="00472772"/>
    <w:rsid w:val="0047359D"/>
    <w:rsid w:val="00473754"/>
    <w:rsid w:val="00473C58"/>
    <w:rsid w:val="00473D10"/>
    <w:rsid w:val="00473DC7"/>
    <w:rsid w:val="00474550"/>
    <w:rsid w:val="00474C47"/>
    <w:rsid w:val="0047592F"/>
    <w:rsid w:val="00477059"/>
    <w:rsid w:val="00480A5B"/>
    <w:rsid w:val="004812E6"/>
    <w:rsid w:val="00482626"/>
    <w:rsid w:val="00483879"/>
    <w:rsid w:val="00484304"/>
    <w:rsid w:val="00486061"/>
    <w:rsid w:val="004866DD"/>
    <w:rsid w:val="00486D89"/>
    <w:rsid w:val="004870BC"/>
    <w:rsid w:val="0048731B"/>
    <w:rsid w:val="00487E63"/>
    <w:rsid w:val="00490986"/>
    <w:rsid w:val="00491B04"/>
    <w:rsid w:val="00492F7F"/>
    <w:rsid w:val="00492FFD"/>
    <w:rsid w:val="00493314"/>
    <w:rsid w:val="004938F3"/>
    <w:rsid w:val="00495377"/>
    <w:rsid w:val="0049661E"/>
    <w:rsid w:val="00496753"/>
    <w:rsid w:val="00496AA0"/>
    <w:rsid w:val="004A1BA0"/>
    <w:rsid w:val="004A26DA"/>
    <w:rsid w:val="004A3D4D"/>
    <w:rsid w:val="004A43A6"/>
    <w:rsid w:val="004A4D31"/>
    <w:rsid w:val="004A4FF5"/>
    <w:rsid w:val="004A776C"/>
    <w:rsid w:val="004A77D7"/>
    <w:rsid w:val="004A788A"/>
    <w:rsid w:val="004B037C"/>
    <w:rsid w:val="004B1422"/>
    <w:rsid w:val="004B186B"/>
    <w:rsid w:val="004B192C"/>
    <w:rsid w:val="004B1D1E"/>
    <w:rsid w:val="004B2333"/>
    <w:rsid w:val="004B3525"/>
    <w:rsid w:val="004B35AB"/>
    <w:rsid w:val="004B392F"/>
    <w:rsid w:val="004B3F53"/>
    <w:rsid w:val="004B421E"/>
    <w:rsid w:val="004B4A8B"/>
    <w:rsid w:val="004B7BAA"/>
    <w:rsid w:val="004B7C66"/>
    <w:rsid w:val="004C01C6"/>
    <w:rsid w:val="004C0C24"/>
    <w:rsid w:val="004C2F63"/>
    <w:rsid w:val="004C3060"/>
    <w:rsid w:val="004C3ACA"/>
    <w:rsid w:val="004C3C4D"/>
    <w:rsid w:val="004C4AFE"/>
    <w:rsid w:val="004C5040"/>
    <w:rsid w:val="004C6215"/>
    <w:rsid w:val="004C6AED"/>
    <w:rsid w:val="004C6C3F"/>
    <w:rsid w:val="004C74B9"/>
    <w:rsid w:val="004C7BA5"/>
    <w:rsid w:val="004C7DC5"/>
    <w:rsid w:val="004D02D8"/>
    <w:rsid w:val="004D0ED0"/>
    <w:rsid w:val="004D1B6C"/>
    <w:rsid w:val="004D261C"/>
    <w:rsid w:val="004D2A8F"/>
    <w:rsid w:val="004D2BDA"/>
    <w:rsid w:val="004D2BF1"/>
    <w:rsid w:val="004D2ED0"/>
    <w:rsid w:val="004D33D6"/>
    <w:rsid w:val="004D3AA8"/>
    <w:rsid w:val="004D3B57"/>
    <w:rsid w:val="004D5620"/>
    <w:rsid w:val="004D5D5B"/>
    <w:rsid w:val="004D7416"/>
    <w:rsid w:val="004E029C"/>
    <w:rsid w:val="004E02E0"/>
    <w:rsid w:val="004E0368"/>
    <w:rsid w:val="004E0FBD"/>
    <w:rsid w:val="004E1A3F"/>
    <w:rsid w:val="004E1D52"/>
    <w:rsid w:val="004E2105"/>
    <w:rsid w:val="004E23B1"/>
    <w:rsid w:val="004E2957"/>
    <w:rsid w:val="004E489B"/>
    <w:rsid w:val="004E4EF3"/>
    <w:rsid w:val="004E7C39"/>
    <w:rsid w:val="004E7FBD"/>
    <w:rsid w:val="004F1DE9"/>
    <w:rsid w:val="004F2AE3"/>
    <w:rsid w:val="004F2E9B"/>
    <w:rsid w:val="004F32A1"/>
    <w:rsid w:val="004F50C5"/>
    <w:rsid w:val="004F6A15"/>
    <w:rsid w:val="004F7134"/>
    <w:rsid w:val="005001AF"/>
    <w:rsid w:val="00501240"/>
    <w:rsid w:val="00502381"/>
    <w:rsid w:val="005025A1"/>
    <w:rsid w:val="00502AC5"/>
    <w:rsid w:val="005036C6"/>
    <w:rsid w:val="00503E12"/>
    <w:rsid w:val="00503FA8"/>
    <w:rsid w:val="00504289"/>
    <w:rsid w:val="00504A81"/>
    <w:rsid w:val="00506567"/>
    <w:rsid w:val="00510026"/>
    <w:rsid w:val="00510181"/>
    <w:rsid w:val="0051075F"/>
    <w:rsid w:val="0051193B"/>
    <w:rsid w:val="0051208B"/>
    <w:rsid w:val="005120AC"/>
    <w:rsid w:val="005123D5"/>
    <w:rsid w:val="005124B9"/>
    <w:rsid w:val="00512EF8"/>
    <w:rsid w:val="005144FE"/>
    <w:rsid w:val="00514E50"/>
    <w:rsid w:val="00514FB7"/>
    <w:rsid w:val="0051714E"/>
    <w:rsid w:val="005174F1"/>
    <w:rsid w:val="00517D16"/>
    <w:rsid w:val="0052147A"/>
    <w:rsid w:val="00521698"/>
    <w:rsid w:val="00521EFB"/>
    <w:rsid w:val="005225FC"/>
    <w:rsid w:val="005228DE"/>
    <w:rsid w:val="00522B80"/>
    <w:rsid w:val="005230F5"/>
    <w:rsid w:val="00523423"/>
    <w:rsid w:val="0052478F"/>
    <w:rsid w:val="00524BB7"/>
    <w:rsid w:val="005250DB"/>
    <w:rsid w:val="00525DFD"/>
    <w:rsid w:val="005264E2"/>
    <w:rsid w:val="00531368"/>
    <w:rsid w:val="0053156D"/>
    <w:rsid w:val="00531EDF"/>
    <w:rsid w:val="00532C3F"/>
    <w:rsid w:val="00532CE8"/>
    <w:rsid w:val="00533A13"/>
    <w:rsid w:val="00534281"/>
    <w:rsid w:val="00534389"/>
    <w:rsid w:val="00535100"/>
    <w:rsid w:val="0053582F"/>
    <w:rsid w:val="00537426"/>
    <w:rsid w:val="00537F18"/>
    <w:rsid w:val="005412E3"/>
    <w:rsid w:val="00542B11"/>
    <w:rsid w:val="00543060"/>
    <w:rsid w:val="00543115"/>
    <w:rsid w:val="00543B25"/>
    <w:rsid w:val="00544E48"/>
    <w:rsid w:val="005450C3"/>
    <w:rsid w:val="005455FA"/>
    <w:rsid w:val="005457AB"/>
    <w:rsid w:val="005460A4"/>
    <w:rsid w:val="00546F04"/>
    <w:rsid w:val="0054742E"/>
    <w:rsid w:val="00547BAE"/>
    <w:rsid w:val="00550DCB"/>
    <w:rsid w:val="00550F01"/>
    <w:rsid w:val="00551558"/>
    <w:rsid w:val="00551B8E"/>
    <w:rsid w:val="00551E05"/>
    <w:rsid w:val="00553973"/>
    <w:rsid w:val="00553CD6"/>
    <w:rsid w:val="005557BC"/>
    <w:rsid w:val="005559EA"/>
    <w:rsid w:val="00556BDC"/>
    <w:rsid w:val="00557CB8"/>
    <w:rsid w:val="005606DA"/>
    <w:rsid w:val="00561B42"/>
    <w:rsid w:val="00562094"/>
    <w:rsid w:val="0056269E"/>
    <w:rsid w:val="005636BB"/>
    <w:rsid w:val="005636CC"/>
    <w:rsid w:val="005641AD"/>
    <w:rsid w:val="00564610"/>
    <w:rsid w:val="00565085"/>
    <w:rsid w:val="00567160"/>
    <w:rsid w:val="005679ED"/>
    <w:rsid w:val="005707E4"/>
    <w:rsid w:val="00570CFA"/>
    <w:rsid w:val="00571778"/>
    <w:rsid w:val="00571E8E"/>
    <w:rsid w:val="005726E2"/>
    <w:rsid w:val="0057322F"/>
    <w:rsid w:val="00573F3B"/>
    <w:rsid w:val="005741B2"/>
    <w:rsid w:val="00574451"/>
    <w:rsid w:val="00574FED"/>
    <w:rsid w:val="005771AB"/>
    <w:rsid w:val="00577526"/>
    <w:rsid w:val="005776ED"/>
    <w:rsid w:val="00580FF1"/>
    <w:rsid w:val="00581332"/>
    <w:rsid w:val="00581414"/>
    <w:rsid w:val="005815A2"/>
    <w:rsid w:val="00581DC4"/>
    <w:rsid w:val="00582DA7"/>
    <w:rsid w:val="0058307C"/>
    <w:rsid w:val="00583AA2"/>
    <w:rsid w:val="00583F4C"/>
    <w:rsid w:val="00585ECC"/>
    <w:rsid w:val="0058623B"/>
    <w:rsid w:val="00587954"/>
    <w:rsid w:val="00587A8F"/>
    <w:rsid w:val="00587EE5"/>
    <w:rsid w:val="00590705"/>
    <w:rsid w:val="00592001"/>
    <w:rsid w:val="005922E4"/>
    <w:rsid w:val="00592530"/>
    <w:rsid w:val="00592C80"/>
    <w:rsid w:val="00592E34"/>
    <w:rsid w:val="00592F1F"/>
    <w:rsid w:val="005962AB"/>
    <w:rsid w:val="00596C1C"/>
    <w:rsid w:val="005972D9"/>
    <w:rsid w:val="00597454"/>
    <w:rsid w:val="005A029D"/>
    <w:rsid w:val="005A0551"/>
    <w:rsid w:val="005A303B"/>
    <w:rsid w:val="005A3C58"/>
    <w:rsid w:val="005A3DBC"/>
    <w:rsid w:val="005A42BD"/>
    <w:rsid w:val="005A42DA"/>
    <w:rsid w:val="005A551C"/>
    <w:rsid w:val="005A5889"/>
    <w:rsid w:val="005A5A00"/>
    <w:rsid w:val="005A5DE3"/>
    <w:rsid w:val="005A7302"/>
    <w:rsid w:val="005A7670"/>
    <w:rsid w:val="005A7D08"/>
    <w:rsid w:val="005B146A"/>
    <w:rsid w:val="005B159A"/>
    <w:rsid w:val="005B2F41"/>
    <w:rsid w:val="005B3E85"/>
    <w:rsid w:val="005B4177"/>
    <w:rsid w:val="005B5A08"/>
    <w:rsid w:val="005B6D1B"/>
    <w:rsid w:val="005B6FEA"/>
    <w:rsid w:val="005B7206"/>
    <w:rsid w:val="005C00E9"/>
    <w:rsid w:val="005C0213"/>
    <w:rsid w:val="005C0CA5"/>
    <w:rsid w:val="005C1A20"/>
    <w:rsid w:val="005C1A63"/>
    <w:rsid w:val="005C1A74"/>
    <w:rsid w:val="005C2253"/>
    <w:rsid w:val="005C2F44"/>
    <w:rsid w:val="005C343C"/>
    <w:rsid w:val="005C36F8"/>
    <w:rsid w:val="005C49EF"/>
    <w:rsid w:val="005C49FC"/>
    <w:rsid w:val="005C5038"/>
    <w:rsid w:val="005C5098"/>
    <w:rsid w:val="005C5142"/>
    <w:rsid w:val="005C56A4"/>
    <w:rsid w:val="005C5D74"/>
    <w:rsid w:val="005C5F0F"/>
    <w:rsid w:val="005C5FB6"/>
    <w:rsid w:val="005C6172"/>
    <w:rsid w:val="005C74A0"/>
    <w:rsid w:val="005C7A06"/>
    <w:rsid w:val="005D13CC"/>
    <w:rsid w:val="005D2798"/>
    <w:rsid w:val="005D32A4"/>
    <w:rsid w:val="005D3BDD"/>
    <w:rsid w:val="005D3FF4"/>
    <w:rsid w:val="005D43BE"/>
    <w:rsid w:val="005D4BED"/>
    <w:rsid w:val="005D5861"/>
    <w:rsid w:val="005D5F75"/>
    <w:rsid w:val="005D6A5C"/>
    <w:rsid w:val="005D6D73"/>
    <w:rsid w:val="005D7AC8"/>
    <w:rsid w:val="005E141C"/>
    <w:rsid w:val="005E1CB7"/>
    <w:rsid w:val="005E33B2"/>
    <w:rsid w:val="005E3914"/>
    <w:rsid w:val="005E3C43"/>
    <w:rsid w:val="005E3DE7"/>
    <w:rsid w:val="005E402D"/>
    <w:rsid w:val="005E4BD7"/>
    <w:rsid w:val="005E4EBD"/>
    <w:rsid w:val="005E5B44"/>
    <w:rsid w:val="005E6246"/>
    <w:rsid w:val="005E6C3A"/>
    <w:rsid w:val="005E6F62"/>
    <w:rsid w:val="005E79C3"/>
    <w:rsid w:val="005F0CB0"/>
    <w:rsid w:val="005F1078"/>
    <w:rsid w:val="005F1131"/>
    <w:rsid w:val="005F1929"/>
    <w:rsid w:val="005F1B1B"/>
    <w:rsid w:val="005F2E10"/>
    <w:rsid w:val="005F3981"/>
    <w:rsid w:val="005F5489"/>
    <w:rsid w:val="005F5B51"/>
    <w:rsid w:val="005F6263"/>
    <w:rsid w:val="005F6D6B"/>
    <w:rsid w:val="005F77DD"/>
    <w:rsid w:val="005F78A8"/>
    <w:rsid w:val="00601723"/>
    <w:rsid w:val="00601C10"/>
    <w:rsid w:val="00601E3C"/>
    <w:rsid w:val="00603728"/>
    <w:rsid w:val="00603F73"/>
    <w:rsid w:val="00604991"/>
    <w:rsid w:val="00605227"/>
    <w:rsid w:val="006052BA"/>
    <w:rsid w:val="00606411"/>
    <w:rsid w:val="006067E7"/>
    <w:rsid w:val="00606A56"/>
    <w:rsid w:val="00606D18"/>
    <w:rsid w:val="00607757"/>
    <w:rsid w:val="0061050C"/>
    <w:rsid w:val="00610E1C"/>
    <w:rsid w:val="00611564"/>
    <w:rsid w:val="00613B6A"/>
    <w:rsid w:val="00616403"/>
    <w:rsid w:val="0061684B"/>
    <w:rsid w:val="00617DBE"/>
    <w:rsid w:val="00621A8D"/>
    <w:rsid w:val="00621E61"/>
    <w:rsid w:val="0062259E"/>
    <w:rsid w:val="00622804"/>
    <w:rsid w:val="00622D67"/>
    <w:rsid w:val="00622E91"/>
    <w:rsid w:val="00623180"/>
    <w:rsid w:val="006231AB"/>
    <w:rsid w:val="006236AA"/>
    <w:rsid w:val="00623A0E"/>
    <w:rsid w:val="00623C9D"/>
    <w:rsid w:val="00625517"/>
    <w:rsid w:val="0062585F"/>
    <w:rsid w:val="00625CEF"/>
    <w:rsid w:val="00625D0F"/>
    <w:rsid w:val="006263AE"/>
    <w:rsid w:val="00627461"/>
    <w:rsid w:val="00630BA1"/>
    <w:rsid w:val="006310D1"/>
    <w:rsid w:val="00631BEA"/>
    <w:rsid w:val="00631D6B"/>
    <w:rsid w:val="00632BF1"/>
    <w:rsid w:val="00632E73"/>
    <w:rsid w:val="00633441"/>
    <w:rsid w:val="00633CC4"/>
    <w:rsid w:val="00634A1D"/>
    <w:rsid w:val="00634B09"/>
    <w:rsid w:val="00634B55"/>
    <w:rsid w:val="00636F11"/>
    <w:rsid w:val="00637108"/>
    <w:rsid w:val="0063733C"/>
    <w:rsid w:val="0064053B"/>
    <w:rsid w:val="00643960"/>
    <w:rsid w:val="00644151"/>
    <w:rsid w:val="006465DE"/>
    <w:rsid w:val="00646D3C"/>
    <w:rsid w:val="00646E18"/>
    <w:rsid w:val="0064745D"/>
    <w:rsid w:val="00647831"/>
    <w:rsid w:val="00647844"/>
    <w:rsid w:val="00651CFE"/>
    <w:rsid w:val="00652459"/>
    <w:rsid w:val="006525AA"/>
    <w:rsid w:val="0065313E"/>
    <w:rsid w:val="006532C3"/>
    <w:rsid w:val="00653FF7"/>
    <w:rsid w:val="00654E96"/>
    <w:rsid w:val="00655B18"/>
    <w:rsid w:val="006562B5"/>
    <w:rsid w:val="00656E17"/>
    <w:rsid w:val="006572E6"/>
    <w:rsid w:val="00657E0C"/>
    <w:rsid w:val="006600E5"/>
    <w:rsid w:val="00660D57"/>
    <w:rsid w:val="006610DE"/>
    <w:rsid w:val="00661BFD"/>
    <w:rsid w:val="00662894"/>
    <w:rsid w:val="00662A0D"/>
    <w:rsid w:val="00662B9C"/>
    <w:rsid w:val="00662D41"/>
    <w:rsid w:val="00663080"/>
    <w:rsid w:val="00663DD7"/>
    <w:rsid w:val="00663F45"/>
    <w:rsid w:val="00665B22"/>
    <w:rsid w:val="006671A2"/>
    <w:rsid w:val="00667AD9"/>
    <w:rsid w:val="00667C62"/>
    <w:rsid w:val="00670319"/>
    <w:rsid w:val="00670AF8"/>
    <w:rsid w:val="00671666"/>
    <w:rsid w:val="00672109"/>
    <w:rsid w:val="0067216F"/>
    <w:rsid w:val="0067275E"/>
    <w:rsid w:val="006732EC"/>
    <w:rsid w:val="0067355A"/>
    <w:rsid w:val="006753FF"/>
    <w:rsid w:val="00675792"/>
    <w:rsid w:val="00675CCA"/>
    <w:rsid w:val="006766D9"/>
    <w:rsid w:val="00680FFA"/>
    <w:rsid w:val="0068271E"/>
    <w:rsid w:val="006833FF"/>
    <w:rsid w:val="00684216"/>
    <w:rsid w:val="00684D62"/>
    <w:rsid w:val="006856E0"/>
    <w:rsid w:val="006858E4"/>
    <w:rsid w:val="006872B1"/>
    <w:rsid w:val="00687859"/>
    <w:rsid w:val="00690D7F"/>
    <w:rsid w:val="00691657"/>
    <w:rsid w:val="00694428"/>
    <w:rsid w:val="00694D85"/>
    <w:rsid w:val="00695AB2"/>
    <w:rsid w:val="00695D68"/>
    <w:rsid w:val="00696736"/>
    <w:rsid w:val="00697AE5"/>
    <w:rsid w:val="00697AEB"/>
    <w:rsid w:val="006A1196"/>
    <w:rsid w:val="006A19BB"/>
    <w:rsid w:val="006A1F6F"/>
    <w:rsid w:val="006A291D"/>
    <w:rsid w:val="006A2EF9"/>
    <w:rsid w:val="006A390A"/>
    <w:rsid w:val="006A4729"/>
    <w:rsid w:val="006A51B0"/>
    <w:rsid w:val="006A5445"/>
    <w:rsid w:val="006A5CC1"/>
    <w:rsid w:val="006A60B7"/>
    <w:rsid w:val="006A6BFD"/>
    <w:rsid w:val="006B0027"/>
    <w:rsid w:val="006B18D8"/>
    <w:rsid w:val="006B1CDA"/>
    <w:rsid w:val="006B3960"/>
    <w:rsid w:val="006B3F49"/>
    <w:rsid w:val="006B3F53"/>
    <w:rsid w:val="006B7D45"/>
    <w:rsid w:val="006B7EB1"/>
    <w:rsid w:val="006C18B4"/>
    <w:rsid w:val="006C35E7"/>
    <w:rsid w:val="006C5542"/>
    <w:rsid w:val="006C6EE5"/>
    <w:rsid w:val="006C7094"/>
    <w:rsid w:val="006C7311"/>
    <w:rsid w:val="006C7B68"/>
    <w:rsid w:val="006C7E7C"/>
    <w:rsid w:val="006D110E"/>
    <w:rsid w:val="006D1E88"/>
    <w:rsid w:val="006D1EFC"/>
    <w:rsid w:val="006D25A0"/>
    <w:rsid w:val="006D3DD0"/>
    <w:rsid w:val="006D4568"/>
    <w:rsid w:val="006D56AA"/>
    <w:rsid w:val="006D5CE3"/>
    <w:rsid w:val="006D6980"/>
    <w:rsid w:val="006D6BB6"/>
    <w:rsid w:val="006D703C"/>
    <w:rsid w:val="006D738F"/>
    <w:rsid w:val="006D7B61"/>
    <w:rsid w:val="006E02BC"/>
    <w:rsid w:val="006E0A86"/>
    <w:rsid w:val="006E0FA7"/>
    <w:rsid w:val="006E1022"/>
    <w:rsid w:val="006E12E9"/>
    <w:rsid w:val="006E18B0"/>
    <w:rsid w:val="006E2253"/>
    <w:rsid w:val="006E2661"/>
    <w:rsid w:val="006E2722"/>
    <w:rsid w:val="006E2744"/>
    <w:rsid w:val="006E2A57"/>
    <w:rsid w:val="006E449C"/>
    <w:rsid w:val="006E531B"/>
    <w:rsid w:val="006E5478"/>
    <w:rsid w:val="006E55E7"/>
    <w:rsid w:val="006E62BA"/>
    <w:rsid w:val="006E7012"/>
    <w:rsid w:val="006F027A"/>
    <w:rsid w:val="006F0AFB"/>
    <w:rsid w:val="006F0C58"/>
    <w:rsid w:val="006F0DDA"/>
    <w:rsid w:val="006F10BD"/>
    <w:rsid w:val="006F1625"/>
    <w:rsid w:val="006F4D1B"/>
    <w:rsid w:val="006F69A5"/>
    <w:rsid w:val="006F7AE6"/>
    <w:rsid w:val="00700A94"/>
    <w:rsid w:val="0070151B"/>
    <w:rsid w:val="00703A2C"/>
    <w:rsid w:val="00704567"/>
    <w:rsid w:val="00705409"/>
    <w:rsid w:val="0070744E"/>
    <w:rsid w:val="00707714"/>
    <w:rsid w:val="00707C29"/>
    <w:rsid w:val="00710179"/>
    <w:rsid w:val="00710EA9"/>
    <w:rsid w:val="007113B0"/>
    <w:rsid w:val="007123E5"/>
    <w:rsid w:val="0071340D"/>
    <w:rsid w:val="00713F20"/>
    <w:rsid w:val="007141CD"/>
    <w:rsid w:val="007153BD"/>
    <w:rsid w:val="007156FC"/>
    <w:rsid w:val="0071578E"/>
    <w:rsid w:val="00715CCE"/>
    <w:rsid w:val="007164A1"/>
    <w:rsid w:val="007167AF"/>
    <w:rsid w:val="00716C8E"/>
    <w:rsid w:val="00717146"/>
    <w:rsid w:val="0071731B"/>
    <w:rsid w:val="007173DE"/>
    <w:rsid w:val="00717A67"/>
    <w:rsid w:val="00720369"/>
    <w:rsid w:val="00720CF2"/>
    <w:rsid w:val="0072137C"/>
    <w:rsid w:val="0072151D"/>
    <w:rsid w:val="00721B3E"/>
    <w:rsid w:val="00723C17"/>
    <w:rsid w:val="00724F36"/>
    <w:rsid w:val="00725240"/>
    <w:rsid w:val="007252DC"/>
    <w:rsid w:val="00725502"/>
    <w:rsid w:val="00725FE4"/>
    <w:rsid w:val="00726160"/>
    <w:rsid w:val="00726502"/>
    <w:rsid w:val="00726871"/>
    <w:rsid w:val="007270F3"/>
    <w:rsid w:val="00727287"/>
    <w:rsid w:val="00730993"/>
    <w:rsid w:val="007320EF"/>
    <w:rsid w:val="00732105"/>
    <w:rsid w:val="007322CD"/>
    <w:rsid w:val="007337A7"/>
    <w:rsid w:val="007350E1"/>
    <w:rsid w:val="007359E6"/>
    <w:rsid w:val="00736A0B"/>
    <w:rsid w:val="00736B5C"/>
    <w:rsid w:val="00740540"/>
    <w:rsid w:val="00740E86"/>
    <w:rsid w:val="007416D2"/>
    <w:rsid w:val="0074259A"/>
    <w:rsid w:val="00742BBB"/>
    <w:rsid w:val="00742FAC"/>
    <w:rsid w:val="00743DFE"/>
    <w:rsid w:val="0074500C"/>
    <w:rsid w:val="00746118"/>
    <w:rsid w:val="00746658"/>
    <w:rsid w:val="00750060"/>
    <w:rsid w:val="00750308"/>
    <w:rsid w:val="00751001"/>
    <w:rsid w:val="00751B7D"/>
    <w:rsid w:val="00751E4B"/>
    <w:rsid w:val="007521B3"/>
    <w:rsid w:val="00752427"/>
    <w:rsid w:val="00752CB6"/>
    <w:rsid w:val="00753135"/>
    <w:rsid w:val="0075352E"/>
    <w:rsid w:val="00753E8F"/>
    <w:rsid w:val="00753F46"/>
    <w:rsid w:val="0075421D"/>
    <w:rsid w:val="007559F8"/>
    <w:rsid w:val="007563DB"/>
    <w:rsid w:val="007578C5"/>
    <w:rsid w:val="00761863"/>
    <w:rsid w:val="007629C7"/>
    <w:rsid w:val="00762B94"/>
    <w:rsid w:val="00763119"/>
    <w:rsid w:val="00763573"/>
    <w:rsid w:val="007655DC"/>
    <w:rsid w:val="00766413"/>
    <w:rsid w:val="0076650A"/>
    <w:rsid w:val="0076670C"/>
    <w:rsid w:val="007673E4"/>
    <w:rsid w:val="00767689"/>
    <w:rsid w:val="007676D9"/>
    <w:rsid w:val="00767C64"/>
    <w:rsid w:val="00771315"/>
    <w:rsid w:val="007714AC"/>
    <w:rsid w:val="00771D07"/>
    <w:rsid w:val="00773A3A"/>
    <w:rsid w:val="007742D2"/>
    <w:rsid w:val="00774423"/>
    <w:rsid w:val="00774AB2"/>
    <w:rsid w:val="00774CC3"/>
    <w:rsid w:val="00775024"/>
    <w:rsid w:val="0077579E"/>
    <w:rsid w:val="007763E3"/>
    <w:rsid w:val="00776A45"/>
    <w:rsid w:val="0077793E"/>
    <w:rsid w:val="00780251"/>
    <w:rsid w:val="00780D82"/>
    <w:rsid w:val="00781859"/>
    <w:rsid w:val="007839F0"/>
    <w:rsid w:val="0078424E"/>
    <w:rsid w:val="007862A3"/>
    <w:rsid w:val="00786358"/>
    <w:rsid w:val="00787088"/>
    <w:rsid w:val="00790396"/>
    <w:rsid w:val="007907BA"/>
    <w:rsid w:val="0079174A"/>
    <w:rsid w:val="007926ED"/>
    <w:rsid w:val="0079272C"/>
    <w:rsid w:val="007927EF"/>
    <w:rsid w:val="00794EE8"/>
    <w:rsid w:val="00795305"/>
    <w:rsid w:val="007957C4"/>
    <w:rsid w:val="00795877"/>
    <w:rsid w:val="00796705"/>
    <w:rsid w:val="00796CC0"/>
    <w:rsid w:val="00797644"/>
    <w:rsid w:val="0079799E"/>
    <w:rsid w:val="007A1CF6"/>
    <w:rsid w:val="007A1D67"/>
    <w:rsid w:val="007A4CF9"/>
    <w:rsid w:val="007A510D"/>
    <w:rsid w:val="007A530E"/>
    <w:rsid w:val="007A5368"/>
    <w:rsid w:val="007A6226"/>
    <w:rsid w:val="007A62D9"/>
    <w:rsid w:val="007A7951"/>
    <w:rsid w:val="007B07E5"/>
    <w:rsid w:val="007B0DBB"/>
    <w:rsid w:val="007B0FBC"/>
    <w:rsid w:val="007B15AD"/>
    <w:rsid w:val="007B18AD"/>
    <w:rsid w:val="007B1D86"/>
    <w:rsid w:val="007B28A5"/>
    <w:rsid w:val="007B29A4"/>
    <w:rsid w:val="007B317E"/>
    <w:rsid w:val="007B371B"/>
    <w:rsid w:val="007B4D19"/>
    <w:rsid w:val="007B5C58"/>
    <w:rsid w:val="007B6124"/>
    <w:rsid w:val="007B7F77"/>
    <w:rsid w:val="007C08FD"/>
    <w:rsid w:val="007C0CB0"/>
    <w:rsid w:val="007C15F4"/>
    <w:rsid w:val="007C1901"/>
    <w:rsid w:val="007C23EC"/>
    <w:rsid w:val="007C25D4"/>
    <w:rsid w:val="007C2BE3"/>
    <w:rsid w:val="007C2C2E"/>
    <w:rsid w:val="007C305E"/>
    <w:rsid w:val="007C312E"/>
    <w:rsid w:val="007C3157"/>
    <w:rsid w:val="007C3420"/>
    <w:rsid w:val="007C39FF"/>
    <w:rsid w:val="007C50FF"/>
    <w:rsid w:val="007C5309"/>
    <w:rsid w:val="007C689D"/>
    <w:rsid w:val="007C6BF5"/>
    <w:rsid w:val="007C6F68"/>
    <w:rsid w:val="007C70BE"/>
    <w:rsid w:val="007C732C"/>
    <w:rsid w:val="007C7D98"/>
    <w:rsid w:val="007C7E09"/>
    <w:rsid w:val="007D037C"/>
    <w:rsid w:val="007D2669"/>
    <w:rsid w:val="007D28B0"/>
    <w:rsid w:val="007D3E7D"/>
    <w:rsid w:val="007D3F2F"/>
    <w:rsid w:val="007D46EE"/>
    <w:rsid w:val="007D4FFC"/>
    <w:rsid w:val="007D64DB"/>
    <w:rsid w:val="007D670B"/>
    <w:rsid w:val="007D6BC6"/>
    <w:rsid w:val="007D7D4C"/>
    <w:rsid w:val="007E096D"/>
    <w:rsid w:val="007E099B"/>
    <w:rsid w:val="007E0D27"/>
    <w:rsid w:val="007E0D4C"/>
    <w:rsid w:val="007E15E3"/>
    <w:rsid w:val="007E1E98"/>
    <w:rsid w:val="007E1ED8"/>
    <w:rsid w:val="007E25D0"/>
    <w:rsid w:val="007E4506"/>
    <w:rsid w:val="007E4AA8"/>
    <w:rsid w:val="007E4DED"/>
    <w:rsid w:val="007E4FC5"/>
    <w:rsid w:val="007E59A6"/>
    <w:rsid w:val="007E65DD"/>
    <w:rsid w:val="007E6CF1"/>
    <w:rsid w:val="007E744E"/>
    <w:rsid w:val="007E7577"/>
    <w:rsid w:val="007F0371"/>
    <w:rsid w:val="007F0AD0"/>
    <w:rsid w:val="007F13B1"/>
    <w:rsid w:val="007F1904"/>
    <w:rsid w:val="007F19A0"/>
    <w:rsid w:val="007F240B"/>
    <w:rsid w:val="007F254B"/>
    <w:rsid w:val="007F3045"/>
    <w:rsid w:val="007F31A7"/>
    <w:rsid w:val="007F3241"/>
    <w:rsid w:val="007F3442"/>
    <w:rsid w:val="007F6491"/>
    <w:rsid w:val="007F6664"/>
    <w:rsid w:val="007F668E"/>
    <w:rsid w:val="007F6861"/>
    <w:rsid w:val="007F6939"/>
    <w:rsid w:val="007F7272"/>
    <w:rsid w:val="007F7345"/>
    <w:rsid w:val="007F7543"/>
    <w:rsid w:val="007F7630"/>
    <w:rsid w:val="00801386"/>
    <w:rsid w:val="0080158D"/>
    <w:rsid w:val="008015B6"/>
    <w:rsid w:val="00801760"/>
    <w:rsid w:val="00802621"/>
    <w:rsid w:val="00802789"/>
    <w:rsid w:val="008028F4"/>
    <w:rsid w:val="00802CD3"/>
    <w:rsid w:val="00804798"/>
    <w:rsid w:val="008057E4"/>
    <w:rsid w:val="008069FD"/>
    <w:rsid w:val="00806E46"/>
    <w:rsid w:val="008108E0"/>
    <w:rsid w:val="00811F5C"/>
    <w:rsid w:val="008120EA"/>
    <w:rsid w:val="008127A7"/>
    <w:rsid w:val="00812D4F"/>
    <w:rsid w:val="00813289"/>
    <w:rsid w:val="00813313"/>
    <w:rsid w:val="008144C1"/>
    <w:rsid w:val="008158C7"/>
    <w:rsid w:val="00815981"/>
    <w:rsid w:val="00815B1F"/>
    <w:rsid w:val="0081704E"/>
    <w:rsid w:val="00817919"/>
    <w:rsid w:val="008208FC"/>
    <w:rsid w:val="008216B7"/>
    <w:rsid w:val="00821B67"/>
    <w:rsid w:val="0082254C"/>
    <w:rsid w:val="008225D9"/>
    <w:rsid w:val="00825F2B"/>
    <w:rsid w:val="008268DE"/>
    <w:rsid w:val="00827A22"/>
    <w:rsid w:val="00831CF5"/>
    <w:rsid w:val="00831F89"/>
    <w:rsid w:val="00832876"/>
    <w:rsid w:val="00832923"/>
    <w:rsid w:val="00835008"/>
    <w:rsid w:val="00835169"/>
    <w:rsid w:val="008356CC"/>
    <w:rsid w:val="00835FB8"/>
    <w:rsid w:val="00836A6E"/>
    <w:rsid w:val="0083790F"/>
    <w:rsid w:val="00840101"/>
    <w:rsid w:val="008403EA"/>
    <w:rsid w:val="00840819"/>
    <w:rsid w:val="008426D2"/>
    <w:rsid w:val="00843575"/>
    <w:rsid w:val="00843A23"/>
    <w:rsid w:val="00843EAC"/>
    <w:rsid w:val="008442FA"/>
    <w:rsid w:val="0084481A"/>
    <w:rsid w:val="00844D3E"/>
    <w:rsid w:val="00845F7F"/>
    <w:rsid w:val="00846216"/>
    <w:rsid w:val="008463D5"/>
    <w:rsid w:val="0084770D"/>
    <w:rsid w:val="00847BE4"/>
    <w:rsid w:val="00847BFD"/>
    <w:rsid w:val="00851163"/>
    <w:rsid w:val="00851391"/>
    <w:rsid w:val="00851535"/>
    <w:rsid w:val="00851666"/>
    <w:rsid w:val="0085448C"/>
    <w:rsid w:val="00854743"/>
    <w:rsid w:val="00854877"/>
    <w:rsid w:val="00855091"/>
    <w:rsid w:val="00855D6A"/>
    <w:rsid w:val="008562F4"/>
    <w:rsid w:val="0085683E"/>
    <w:rsid w:val="00857790"/>
    <w:rsid w:val="008607E9"/>
    <w:rsid w:val="00861A6C"/>
    <w:rsid w:val="008627ED"/>
    <w:rsid w:val="008639F3"/>
    <w:rsid w:val="00865E7A"/>
    <w:rsid w:val="0086685A"/>
    <w:rsid w:val="00866E42"/>
    <w:rsid w:val="008672B9"/>
    <w:rsid w:val="00867C81"/>
    <w:rsid w:val="00870057"/>
    <w:rsid w:val="00871798"/>
    <w:rsid w:val="00871CBD"/>
    <w:rsid w:val="0087314D"/>
    <w:rsid w:val="00873A52"/>
    <w:rsid w:val="0087449C"/>
    <w:rsid w:val="0087459D"/>
    <w:rsid w:val="008755AB"/>
    <w:rsid w:val="00875F1C"/>
    <w:rsid w:val="00875FF5"/>
    <w:rsid w:val="00876FD2"/>
    <w:rsid w:val="0087747C"/>
    <w:rsid w:val="00877818"/>
    <w:rsid w:val="00880DED"/>
    <w:rsid w:val="008837BA"/>
    <w:rsid w:val="008849B8"/>
    <w:rsid w:val="00884A8F"/>
    <w:rsid w:val="00884B71"/>
    <w:rsid w:val="00884CD0"/>
    <w:rsid w:val="008857EF"/>
    <w:rsid w:val="0088724B"/>
    <w:rsid w:val="008876EB"/>
    <w:rsid w:val="008879C5"/>
    <w:rsid w:val="00887F2E"/>
    <w:rsid w:val="0089195E"/>
    <w:rsid w:val="008923BD"/>
    <w:rsid w:val="008926FC"/>
    <w:rsid w:val="00892B0A"/>
    <w:rsid w:val="00892BF9"/>
    <w:rsid w:val="00893E34"/>
    <w:rsid w:val="00894829"/>
    <w:rsid w:val="00894890"/>
    <w:rsid w:val="0089526D"/>
    <w:rsid w:val="008952D3"/>
    <w:rsid w:val="0089544C"/>
    <w:rsid w:val="00895DF6"/>
    <w:rsid w:val="00895EAD"/>
    <w:rsid w:val="008977B6"/>
    <w:rsid w:val="008A01BA"/>
    <w:rsid w:val="008A0BB2"/>
    <w:rsid w:val="008A108C"/>
    <w:rsid w:val="008A1920"/>
    <w:rsid w:val="008A2246"/>
    <w:rsid w:val="008A3580"/>
    <w:rsid w:val="008A389F"/>
    <w:rsid w:val="008A3C89"/>
    <w:rsid w:val="008A47DD"/>
    <w:rsid w:val="008A4933"/>
    <w:rsid w:val="008A4D03"/>
    <w:rsid w:val="008A5E59"/>
    <w:rsid w:val="008A5F8E"/>
    <w:rsid w:val="008A6038"/>
    <w:rsid w:val="008B0297"/>
    <w:rsid w:val="008B151D"/>
    <w:rsid w:val="008B274E"/>
    <w:rsid w:val="008B2A60"/>
    <w:rsid w:val="008B2D16"/>
    <w:rsid w:val="008B308C"/>
    <w:rsid w:val="008B3974"/>
    <w:rsid w:val="008B40D0"/>
    <w:rsid w:val="008B415F"/>
    <w:rsid w:val="008B5D2C"/>
    <w:rsid w:val="008B73E4"/>
    <w:rsid w:val="008B7FF2"/>
    <w:rsid w:val="008C0109"/>
    <w:rsid w:val="008C01F0"/>
    <w:rsid w:val="008C0EF1"/>
    <w:rsid w:val="008C1D49"/>
    <w:rsid w:val="008C2527"/>
    <w:rsid w:val="008C26F9"/>
    <w:rsid w:val="008C2910"/>
    <w:rsid w:val="008C2EAA"/>
    <w:rsid w:val="008C34F8"/>
    <w:rsid w:val="008C3C76"/>
    <w:rsid w:val="008C428C"/>
    <w:rsid w:val="008C4563"/>
    <w:rsid w:val="008C507E"/>
    <w:rsid w:val="008C529D"/>
    <w:rsid w:val="008C5CE0"/>
    <w:rsid w:val="008C5D30"/>
    <w:rsid w:val="008C6147"/>
    <w:rsid w:val="008C69A6"/>
    <w:rsid w:val="008C710E"/>
    <w:rsid w:val="008D0BCC"/>
    <w:rsid w:val="008D1E47"/>
    <w:rsid w:val="008D2E0E"/>
    <w:rsid w:val="008D329F"/>
    <w:rsid w:val="008D3304"/>
    <w:rsid w:val="008D3374"/>
    <w:rsid w:val="008D6986"/>
    <w:rsid w:val="008D776C"/>
    <w:rsid w:val="008D7797"/>
    <w:rsid w:val="008E2465"/>
    <w:rsid w:val="008E3131"/>
    <w:rsid w:val="008E4C5F"/>
    <w:rsid w:val="008E5479"/>
    <w:rsid w:val="008E5511"/>
    <w:rsid w:val="008E59FF"/>
    <w:rsid w:val="008E5B1B"/>
    <w:rsid w:val="008E5FBD"/>
    <w:rsid w:val="008E62C1"/>
    <w:rsid w:val="008E64BE"/>
    <w:rsid w:val="008E6A7E"/>
    <w:rsid w:val="008E7EA3"/>
    <w:rsid w:val="008F0CAB"/>
    <w:rsid w:val="008F2AC1"/>
    <w:rsid w:val="008F2FDC"/>
    <w:rsid w:val="008F3873"/>
    <w:rsid w:val="008F3D6B"/>
    <w:rsid w:val="008F45B6"/>
    <w:rsid w:val="008F4864"/>
    <w:rsid w:val="008F55A0"/>
    <w:rsid w:val="008F5CD4"/>
    <w:rsid w:val="008F5ED1"/>
    <w:rsid w:val="008F5EF6"/>
    <w:rsid w:val="008F6A03"/>
    <w:rsid w:val="008F706F"/>
    <w:rsid w:val="00900B5C"/>
    <w:rsid w:val="00900DCA"/>
    <w:rsid w:val="0090172C"/>
    <w:rsid w:val="00901A09"/>
    <w:rsid w:val="009030C7"/>
    <w:rsid w:val="009033AA"/>
    <w:rsid w:val="00903481"/>
    <w:rsid w:val="00904A69"/>
    <w:rsid w:val="00904D31"/>
    <w:rsid w:val="00905AA1"/>
    <w:rsid w:val="00905F9F"/>
    <w:rsid w:val="0090604F"/>
    <w:rsid w:val="0090673B"/>
    <w:rsid w:val="009068F4"/>
    <w:rsid w:val="00907029"/>
    <w:rsid w:val="00907165"/>
    <w:rsid w:val="00907661"/>
    <w:rsid w:val="009079ED"/>
    <w:rsid w:val="00907BA9"/>
    <w:rsid w:val="009103BB"/>
    <w:rsid w:val="00910B4F"/>
    <w:rsid w:val="00910C16"/>
    <w:rsid w:val="00910D84"/>
    <w:rsid w:val="00911FEA"/>
    <w:rsid w:val="009124E3"/>
    <w:rsid w:val="00912B6F"/>
    <w:rsid w:val="00912E1A"/>
    <w:rsid w:val="00913582"/>
    <w:rsid w:val="009138B6"/>
    <w:rsid w:val="00914F7A"/>
    <w:rsid w:val="009150D1"/>
    <w:rsid w:val="0091578B"/>
    <w:rsid w:val="009167BC"/>
    <w:rsid w:val="009167CD"/>
    <w:rsid w:val="009175C6"/>
    <w:rsid w:val="009175FF"/>
    <w:rsid w:val="00922972"/>
    <w:rsid w:val="009231A4"/>
    <w:rsid w:val="00923230"/>
    <w:rsid w:val="009235D3"/>
    <w:rsid w:val="00924AB1"/>
    <w:rsid w:val="00924F99"/>
    <w:rsid w:val="00925336"/>
    <w:rsid w:val="009263ED"/>
    <w:rsid w:val="0092701F"/>
    <w:rsid w:val="0092726B"/>
    <w:rsid w:val="00927471"/>
    <w:rsid w:val="00927756"/>
    <w:rsid w:val="00930254"/>
    <w:rsid w:val="00930546"/>
    <w:rsid w:val="00932299"/>
    <w:rsid w:val="00932A09"/>
    <w:rsid w:val="00933009"/>
    <w:rsid w:val="00933BE6"/>
    <w:rsid w:val="00934104"/>
    <w:rsid w:val="00934140"/>
    <w:rsid w:val="00934720"/>
    <w:rsid w:val="0093495C"/>
    <w:rsid w:val="00935333"/>
    <w:rsid w:val="00935D6C"/>
    <w:rsid w:val="0093698C"/>
    <w:rsid w:val="009369B7"/>
    <w:rsid w:val="00937FA0"/>
    <w:rsid w:val="009412E4"/>
    <w:rsid w:val="00941C6D"/>
    <w:rsid w:val="009423B6"/>
    <w:rsid w:val="009436B3"/>
    <w:rsid w:val="00943848"/>
    <w:rsid w:val="00945EE9"/>
    <w:rsid w:val="00946883"/>
    <w:rsid w:val="00946A60"/>
    <w:rsid w:val="00946C51"/>
    <w:rsid w:val="00952382"/>
    <w:rsid w:val="00953CC9"/>
    <w:rsid w:val="00956A11"/>
    <w:rsid w:val="00956F6C"/>
    <w:rsid w:val="00957023"/>
    <w:rsid w:val="009575CE"/>
    <w:rsid w:val="00960FF5"/>
    <w:rsid w:val="009621CF"/>
    <w:rsid w:val="009630C3"/>
    <w:rsid w:val="00963235"/>
    <w:rsid w:val="00963589"/>
    <w:rsid w:val="009639A8"/>
    <w:rsid w:val="00963A4E"/>
    <w:rsid w:val="00963D94"/>
    <w:rsid w:val="009645FE"/>
    <w:rsid w:val="00964FFF"/>
    <w:rsid w:val="009654B8"/>
    <w:rsid w:val="00965900"/>
    <w:rsid w:val="009669ED"/>
    <w:rsid w:val="00966C8F"/>
    <w:rsid w:val="00967239"/>
    <w:rsid w:val="0096732A"/>
    <w:rsid w:val="009679A7"/>
    <w:rsid w:val="009701BA"/>
    <w:rsid w:val="009710D2"/>
    <w:rsid w:val="009713B1"/>
    <w:rsid w:val="009713FF"/>
    <w:rsid w:val="0097173A"/>
    <w:rsid w:val="00971995"/>
    <w:rsid w:val="0097214C"/>
    <w:rsid w:val="0097312E"/>
    <w:rsid w:val="00975A55"/>
    <w:rsid w:val="00976281"/>
    <w:rsid w:val="009762B7"/>
    <w:rsid w:val="00977014"/>
    <w:rsid w:val="009770C6"/>
    <w:rsid w:val="0098090A"/>
    <w:rsid w:val="00980A35"/>
    <w:rsid w:val="009811BE"/>
    <w:rsid w:val="0098177C"/>
    <w:rsid w:val="009817D1"/>
    <w:rsid w:val="00984A1D"/>
    <w:rsid w:val="00985666"/>
    <w:rsid w:val="009857F4"/>
    <w:rsid w:val="00985DCD"/>
    <w:rsid w:val="00986C9D"/>
    <w:rsid w:val="009871A3"/>
    <w:rsid w:val="00990266"/>
    <w:rsid w:val="00990702"/>
    <w:rsid w:val="00991434"/>
    <w:rsid w:val="00992375"/>
    <w:rsid w:val="00992A39"/>
    <w:rsid w:val="009930C6"/>
    <w:rsid w:val="00993847"/>
    <w:rsid w:val="009938B7"/>
    <w:rsid w:val="0099437C"/>
    <w:rsid w:val="00995D6C"/>
    <w:rsid w:val="00997A88"/>
    <w:rsid w:val="00997E90"/>
    <w:rsid w:val="00997F55"/>
    <w:rsid w:val="009A03F3"/>
    <w:rsid w:val="009A0552"/>
    <w:rsid w:val="009A0B00"/>
    <w:rsid w:val="009A1748"/>
    <w:rsid w:val="009A30C8"/>
    <w:rsid w:val="009A3E51"/>
    <w:rsid w:val="009A4F29"/>
    <w:rsid w:val="009A50C0"/>
    <w:rsid w:val="009A67E5"/>
    <w:rsid w:val="009A7494"/>
    <w:rsid w:val="009A7495"/>
    <w:rsid w:val="009A7CAD"/>
    <w:rsid w:val="009A7FBF"/>
    <w:rsid w:val="009B013B"/>
    <w:rsid w:val="009B07C1"/>
    <w:rsid w:val="009B0D33"/>
    <w:rsid w:val="009B0FF6"/>
    <w:rsid w:val="009B2ECE"/>
    <w:rsid w:val="009B3707"/>
    <w:rsid w:val="009B470E"/>
    <w:rsid w:val="009B4966"/>
    <w:rsid w:val="009B58AE"/>
    <w:rsid w:val="009B63FF"/>
    <w:rsid w:val="009B6A3A"/>
    <w:rsid w:val="009B737B"/>
    <w:rsid w:val="009C185D"/>
    <w:rsid w:val="009C1D97"/>
    <w:rsid w:val="009C251B"/>
    <w:rsid w:val="009C40C5"/>
    <w:rsid w:val="009C4472"/>
    <w:rsid w:val="009C4773"/>
    <w:rsid w:val="009C4BAC"/>
    <w:rsid w:val="009C4E69"/>
    <w:rsid w:val="009C5CC6"/>
    <w:rsid w:val="009C6127"/>
    <w:rsid w:val="009C6C6E"/>
    <w:rsid w:val="009D0EE1"/>
    <w:rsid w:val="009D14CA"/>
    <w:rsid w:val="009D168B"/>
    <w:rsid w:val="009D2BE0"/>
    <w:rsid w:val="009D3BB5"/>
    <w:rsid w:val="009D3F54"/>
    <w:rsid w:val="009D4575"/>
    <w:rsid w:val="009D5969"/>
    <w:rsid w:val="009D5B7F"/>
    <w:rsid w:val="009D5EAB"/>
    <w:rsid w:val="009D6DC6"/>
    <w:rsid w:val="009D7C71"/>
    <w:rsid w:val="009D7D25"/>
    <w:rsid w:val="009E0C03"/>
    <w:rsid w:val="009E1DBE"/>
    <w:rsid w:val="009E2AC8"/>
    <w:rsid w:val="009E3066"/>
    <w:rsid w:val="009E30D5"/>
    <w:rsid w:val="009E321F"/>
    <w:rsid w:val="009E6170"/>
    <w:rsid w:val="009E6215"/>
    <w:rsid w:val="009E6A2E"/>
    <w:rsid w:val="009E6C11"/>
    <w:rsid w:val="009E7903"/>
    <w:rsid w:val="009F05A1"/>
    <w:rsid w:val="009F16F6"/>
    <w:rsid w:val="009F203F"/>
    <w:rsid w:val="009F2263"/>
    <w:rsid w:val="009F35B0"/>
    <w:rsid w:val="009F3C4F"/>
    <w:rsid w:val="009F3E06"/>
    <w:rsid w:val="009F43AE"/>
    <w:rsid w:val="009F70CA"/>
    <w:rsid w:val="009F7B76"/>
    <w:rsid w:val="009F7CA1"/>
    <w:rsid w:val="00A01AA8"/>
    <w:rsid w:val="00A02696"/>
    <w:rsid w:val="00A03641"/>
    <w:rsid w:val="00A03BD8"/>
    <w:rsid w:val="00A03BDC"/>
    <w:rsid w:val="00A04AA8"/>
    <w:rsid w:val="00A0587C"/>
    <w:rsid w:val="00A05B38"/>
    <w:rsid w:val="00A064F7"/>
    <w:rsid w:val="00A06A46"/>
    <w:rsid w:val="00A072D8"/>
    <w:rsid w:val="00A1191D"/>
    <w:rsid w:val="00A11FF4"/>
    <w:rsid w:val="00A12AF7"/>
    <w:rsid w:val="00A12E0E"/>
    <w:rsid w:val="00A1364A"/>
    <w:rsid w:val="00A139E2"/>
    <w:rsid w:val="00A13D53"/>
    <w:rsid w:val="00A16742"/>
    <w:rsid w:val="00A16DF7"/>
    <w:rsid w:val="00A1741D"/>
    <w:rsid w:val="00A1762A"/>
    <w:rsid w:val="00A202E9"/>
    <w:rsid w:val="00A2072C"/>
    <w:rsid w:val="00A21B84"/>
    <w:rsid w:val="00A21EDB"/>
    <w:rsid w:val="00A22CE8"/>
    <w:rsid w:val="00A22EF9"/>
    <w:rsid w:val="00A23259"/>
    <w:rsid w:val="00A25A98"/>
    <w:rsid w:val="00A25E55"/>
    <w:rsid w:val="00A25E5E"/>
    <w:rsid w:val="00A26075"/>
    <w:rsid w:val="00A26775"/>
    <w:rsid w:val="00A26964"/>
    <w:rsid w:val="00A26CD4"/>
    <w:rsid w:val="00A26D94"/>
    <w:rsid w:val="00A27492"/>
    <w:rsid w:val="00A27601"/>
    <w:rsid w:val="00A27BE8"/>
    <w:rsid w:val="00A300B0"/>
    <w:rsid w:val="00A30A24"/>
    <w:rsid w:val="00A33C07"/>
    <w:rsid w:val="00A347A8"/>
    <w:rsid w:val="00A347F4"/>
    <w:rsid w:val="00A34F4F"/>
    <w:rsid w:val="00A3506E"/>
    <w:rsid w:val="00A35A7E"/>
    <w:rsid w:val="00A3693B"/>
    <w:rsid w:val="00A37CE8"/>
    <w:rsid w:val="00A37DDF"/>
    <w:rsid w:val="00A4061B"/>
    <w:rsid w:val="00A406D0"/>
    <w:rsid w:val="00A40C13"/>
    <w:rsid w:val="00A41BD4"/>
    <w:rsid w:val="00A41D38"/>
    <w:rsid w:val="00A4282D"/>
    <w:rsid w:val="00A42854"/>
    <w:rsid w:val="00A42F44"/>
    <w:rsid w:val="00A4330D"/>
    <w:rsid w:val="00A43680"/>
    <w:rsid w:val="00A45170"/>
    <w:rsid w:val="00A46EBC"/>
    <w:rsid w:val="00A51901"/>
    <w:rsid w:val="00A52B7C"/>
    <w:rsid w:val="00A53668"/>
    <w:rsid w:val="00A53908"/>
    <w:rsid w:val="00A56309"/>
    <w:rsid w:val="00A56A77"/>
    <w:rsid w:val="00A60737"/>
    <w:rsid w:val="00A6088E"/>
    <w:rsid w:val="00A60F76"/>
    <w:rsid w:val="00A61282"/>
    <w:rsid w:val="00A615AA"/>
    <w:rsid w:val="00A61C3F"/>
    <w:rsid w:val="00A61CFB"/>
    <w:rsid w:val="00A62983"/>
    <w:rsid w:val="00A62F5E"/>
    <w:rsid w:val="00A63A3C"/>
    <w:rsid w:val="00A654B0"/>
    <w:rsid w:val="00A667E6"/>
    <w:rsid w:val="00A67312"/>
    <w:rsid w:val="00A67D54"/>
    <w:rsid w:val="00A70184"/>
    <w:rsid w:val="00A70565"/>
    <w:rsid w:val="00A70EF3"/>
    <w:rsid w:val="00A71158"/>
    <w:rsid w:val="00A717B6"/>
    <w:rsid w:val="00A73BAF"/>
    <w:rsid w:val="00A73E9F"/>
    <w:rsid w:val="00A746C8"/>
    <w:rsid w:val="00A7544B"/>
    <w:rsid w:val="00A75773"/>
    <w:rsid w:val="00A82080"/>
    <w:rsid w:val="00A82746"/>
    <w:rsid w:val="00A82A90"/>
    <w:rsid w:val="00A83867"/>
    <w:rsid w:val="00A8391F"/>
    <w:rsid w:val="00A84903"/>
    <w:rsid w:val="00A85532"/>
    <w:rsid w:val="00A85BDA"/>
    <w:rsid w:val="00A85C21"/>
    <w:rsid w:val="00A86AF7"/>
    <w:rsid w:val="00A86CBE"/>
    <w:rsid w:val="00A870E6"/>
    <w:rsid w:val="00A873E3"/>
    <w:rsid w:val="00A90585"/>
    <w:rsid w:val="00A91BD3"/>
    <w:rsid w:val="00A923D1"/>
    <w:rsid w:val="00A92461"/>
    <w:rsid w:val="00A9257E"/>
    <w:rsid w:val="00A92CC5"/>
    <w:rsid w:val="00A92DFC"/>
    <w:rsid w:val="00A9321C"/>
    <w:rsid w:val="00A95EC9"/>
    <w:rsid w:val="00A969FC"/>
    <w:rsid w:val="00A972F3"/>
    <w:rsid w:val="00A974FF"/>
    <w:rsid w:val="00A97F26"/>
    <w:rsid w:val="00AA0234"/>
    <w:rsid w:val="00AA160B"/>
    <w:rsid w:val="00AA252B"/>
    <w:rsid w:val="00AA2DAE"/>
    <w:rsid w:val="00AA3193"/>
    <w:rsid w:val="00AA3889"/>
    <w:rsid w:val="00AA3FA5"/>
    <w:rsid w:val="00AA539A"/>
    <w:rsid w:val="00AA5F2A"/>
    <w:rsid w:val="00AA6384"/>
    <w:rsid w:val="00AA6A61"/>
    <w:rsid w:val="00AA7286"/>
    <w:rsid w:val="00AB0FB5"/>
    <w:rsid w:val="00AB1484"/>
    <w:rsid w:val="00AB2220"/>
    <w:rsid w:val="00AB2482"/>
    <w:rsid w:val="00AB2AED"/>
    <w:rsid w:val="00AB2F40"/>
    <w:rsid w:val="00AB3FE8"/>
    <w:rsid w:val="00AB48B5"/>
    <w:rsid w:val="00AB7509"/>
    <w:rsid w:val="00AB7761"/>
    <w:rsid w:val="00AB77FA"/>
    <w:rsid w:val="00AC1C3F"/>
    <w:rsid w:val="00AC1D9D"/>
    <w:rsid w:val="00AC266C"/>
    <w:rsid w:val="00AC45EC"/>
    <w:rsid w:val="00AC4E31"/>
    <w:rsid w:val="00AC5018"/>
    <w:rsid w:val="00AC525B"/>
    <w:rsid w:val="00AC543E"/>
    <w:rsid w:val="00AC5A1C"/>
    <w:rsid w:val="00AC5E8C"/>
    <w:rsid w:val="00AC670E"/>
    <w:rsid w:val="00AC6731"/>
    <w:rsid w:val="00AC6DCF"/>
    <w:rsid w:val="00AC7B03"/>
    <w:rsid w:val="00AC7DCF"/>
    <w:rsid w:val="00AD015C"/>
    <w:rsid w:val="00AD0371"/>
    <w:rsid w:val="00AD0523"/>
    <w:rsid w:val="00AD067B"/>
    <w:rsid w:val="00AD07E2"/>
    <w:rsid w:val="00AD0BF4"/>
    <w:rsid w:val="00AD0F17"/>
    <w:rsid w:val="00AD29B2"/>
    <w:rsid w:val="00AD2C9C"/>
    <w:rsid w:val="00AD2D2E"/>
    <w:rsid w:val="00AD2D88"/>
    <w:rsid w:val="00AD3242"/>
    <w:rsid w:val="00AD421E"/>
    <w:rsid w:val="00AD5771"/>
    <w:rsid w:val="00AD60A9"/>
    <w:rsid w:val="00AD618D"/>
    <w:rsid w:val="00AD6394"/>
    <w:rsid w:val="00AD676A"/>
    <w:rsid w:val="00AD67CF"/>
    <w:rsid w:val="00AD6BD7"/>
    <w:rsid w:val="00AD6CD8"/>
    <w:rsid w:val="00AE0136"/>
    <w:rsid w:val="00AE2381"/>
    <w:rsid w:val="00AE2EA8"/>
    <w:rsid w:val="00AE3996"/>
    <w:rsid w:val="00AE3EBA"/>
    <w:rsid w:val="00AE46E9"/>
    <w:rsid w:val="00AE4CA3"/>
    <w:rsid w:val="00AE4D47"/>
    <w:rsid w:val="00AE6736"/>
    <w:rsid w:val="00AE755E"/>
    <w:rsid w:val="00AE77FA"/>
    <w:rsid w:val="00AF098C"/>
    <w:rsid w:val="00AF15C0"/>
    <w:rsid w:val="00AF192E"/>
    <w:rsid w:val="00AF39FF"/>
    <w:rsid w:val="00AF3C48"/>
    <w:rsid w:val="00AF4C9E"/>
    <w:rsid w:val="00AF64A2"/>
    <w:rsid w:val="00AF6697"/>
    <w:rsid w:val="00AF7464"/>
    <w:rsid w:val="00B00551"/>
    <w:rsid w:val="00B02485"/>
    <w:rsid w:val="00B02577"/>
    <w:rsid w:val="00B039B3"/>
    <w:rsid w:val="00B03DB2"/>
    <w:rsid w:val="00B042BF"/>
    <w:rsid w:val="00B046E9"/>
    <w:rsid w:val="00B05229"/>
    <w:rsid w:val="00B055E8"/>
    <w:rsid w:val="00B05BC5"/>
    <w:rsid w:val="00B05DC8"/>
    <w:rsid w:val="00B071C4"/>
    <w:rsid w:val="00B07E8E"/>
    <w:rsid w:val="00B10353"/>
    <w:rsid w:val="00B105DE"/>
    <w:rsid w:val="00B10D9A"/>
    <w:rsid w:val="00B11163"/>
    <w:rsid w:val="00B11317"/>
    <w:rsid w:val="00B121CD"/>
    <w:rsid w:val="00B12F1D"/>
    <w:rsid w:val="00B139BE"/>
    <w:rsid w:val="00B13A9D"/>
    <w:rsid w:val="00B15A81"/>
    <w:rsid w:val="00B15DE7"/>
    <w:rsid w:val="00B1757E"/>
    <w:rsid w:val="00B17699"/>
    <w:rsid w:val="00B2042B"/>
    <w:rsid w:val="00B2064E"/>
    <w:rsid w:val="00B20EDA"/>
    <w:rsid w:val="00B2250D"/>
    <w:rsid w:val="00B22702"/>
    <w:rsid w:val="00B22C68"/>
    <w:rsid w:val="00B23817"/>
    <w:rsid w:val="00B24369"/>
    <w:rsid w:val="00B24F42"/>
    <w:rsid w:val="00B25279"/>
    <w:rsid w:val="00B25447"/>
    <w:rsid w:val="00B255A4"/>
    <w:rsid w:val="00B25654"/>
    <w:rsid w:val="00B2582C"/>
    <w:rsid w:val="00B25B64"/>
    <w:rsid w:val="00B26C3E"/>
    <w:rsid w:val="00B26F9D"/>
    <w:rsid w:val="00B27C5D"/>
    <w:rsid w:val="00B30D15"/>
    <w:rsid w:val="00B312D7"/>
    <w:rsid w:val="00B32A54"/>
    <w:rsid w:val="00B33923"/>
    <w:rsid w:val="00B34B47"/>
    <w:rsid w:val="00B352B8"/>
    <w:rsid w:val="00B353E0"/>
    <w:rsid w:val="00B35AA2"/>
    <w:rsid w:val="00B360CA"/>
    <w:rsid w:val="00B36DC1"/>
    <w:rsid w:val="00B3718E"/>
    <w:rsid w:val="00B375DD"/>
    <w:rsid w:val="00B40772"/>
    <w:rsid w:val="00B41ADD"/>
    <w:rsid w:val="00B41F6D"/>
    <w:rsid w:val="00B422FF"/>
    <w:rsid w:val="00B424BF"/>
    <w:rsid w:val="00B4375F"/>
    <w:rsid w:val="00B4420D"/>
    <w:rsid w:val="00B445DA"/>
    <w:rsid w:val="00B45701"/>
    <w:rsid w:val="00B4643C"/>
    <w:rsid w:val="00B46675"/>
    <w:rsid w:val="00B46FC5"/>
    <w:rsid w:val="00B4727A"/>
    <w:rsid w:val="00B472A3"/>
    <w:rsid w:val="00B47CFA"/>
    <w:rsid w:val="00B47E25"/>
    <w:rsid w:val="00B50942"/>
    <w:rsid w:val="00B51459"/>
    <w:rsid w:val="00B51D13"/>
    <w:rsid w:val="00B52532"/>
    <w:rsid w:val="00B52C2A"/>
    <w:rsid w:val="00B530A8"/>
    <w:rsid w:val="00B53320"/>
    <w:rsid w:val="00B54646"/>
    <w:rsid w:val="00B547E9"/>
    <w:rsid w:val="00B55628"/>
    <w:rsid w:val="00B55927"/>
    <w:rsid w:val="00B57A66"/>
    <w:rsid w:val="00B602C9"/>
    <w:rsid w:val="00B604E7"/>
    <w:rsid w:val="00B609F0"/>
    <w:rsid w:val="00B610AF"/>
    <w:rsid w:val="00B619D2"/>
    <w:rsid w:val="00B62826"/>
    <w:rsid w:val="00B62E2E"/>
    <w:rsid w:val="00B63858"/>
    <w:rsid w:val="00B638F5"/>
    <w:rsid w:val="00B6408B"/>
    <w:rsid w:val="00B64435"/>
    <w:rsid w:val="00B731FE"/>
    <w:rsid w:val="00B73CE2"/>
    <w:rsid w:val="00B74F5E"/>
    <w:rsid w:val="00B7505F"/>
    <w:rsid w:val="00B75A6D"/>
    <w:rsid w:val="00B776D2"/>
    <w:rsid w:val="00B77FFC"/>
    <w:rsid w:val="00B80DA3"/>
    <w:rsid w:val="00B810FD"/>
    <w:rsid w:val="00B82834"/>
    <w:rsid w:val="00B83A07"/>
    <w:rsid w:val="00B83D9F"/>
    <w:rsid w:val="00B83F75"/>
    <w:rsid w:val="00B84051"/>
    <w:rsid w:val="00B84974"/>
    <w:rsid w:val="00B8516C"/>
    <w:rsid w:val="00B853DA"/>
    <w:rsid w:val="00B8632E"/>
    <w:rsid w:val="00B87430"/>
    <w:rsid w:val="00B87477"/>
    <w:rsid w:val="00B87914"/>
    <w:rsid w:val="00B905D1"/>
    <w:rsid w:val="00B919E3"/>
    <w:rsid w:val="00B93D2A"/>
    <w:rsid w:val="00B93F5A"/>
    <w:rsid w:val="00B948F0"/>
    <w:rsid w:val="00B949CA"/>
    <w:rsid w:val="00B94F35"/>
    <w:rsid w:val="00B95B57"/>
    <w:rsid w:val="00B96D9F"/>
    <w:rsid w:val="00BA0153"/>
    <w:rsid w:val="00BA0A46"/>
    <w:rsid w:val="00BA1E02"/>
    <w:rsid w:val="00BA2603"/>
    <w:rsid w:val="00BA2FBB"/>
    <w:rsid w:val="00BA3505"/>
    <w:rsid w:val="00BA351E"/>
    <w:rsid w:val="00BA3547"/>
    <w:rsid w:val="00BA46C1"/>
    <w:rsid w:val="00BA4EDA"/>
    <w:rsid w:val="00BA5405"/>
    <w:rsid w:val="00BA6DF3"/>
    <w:rsid w:val="00BA70F5"/>
    <w:rsid w:val="00BB04ED"/>
    <w:rsid w:val="00BB0B95"/>
    <w:rsid w:val="00BB0F18"/>
    <w:rsid w:val="00BB1005"/>
    <w:rsid w:val="00BB1F1D"/>
    <w:rsid w:val="00BB2227"/>
    <w:rsid w:val="00BB294F"/>
    <w:rsid w:val="00BB32D5"/>
    <w:rsid w:val="00BB3E91"/>
    <w:rsid w:val="00BB4441"/>
    <w:rsid w:val="00BB553E"/>
    <w:rsid w:val="00BB68BE"/>
    <w:rsid w:val="00BB75F9"/>
    <w:rsid w:val="00BB7D31"/>
    <w:rsid w:val="00BC1D18"/>
    <w:rsid w:val="00BC3075"/>
    <w:rsid w:val="00BC401B"/>
    <w:rsid w:val="00BC6684"/>
    <w:rsid w:val="00BC6DE9"/>
    <w:rsid w:val="00BC7DE4"/>
    <w:rsid w:val="00BC7F37"/>
    <w:rsid w:val="00BD0005"/>
    <w:rsid w:val="00BD067A"/>
    <w:rsid w:val="00BD0F37"/>
    <w:rsid w:val="00BD13D8"/>
    <w:rsid w:val="00BD1AAE"/>
    <w:rsid w:val="00BD1DC9"/>
    <w:rsid w:val="00BD1DCF"/>
    <w:rsid w:val="00BD4468"/>
    <w:rsid w:val="00BD45BE"/>
    <w:rsid w:val="00BD5160"/>
    <w:rsid w:val="00BD6520"/>
    <w:rsid w:val="00BD6B92"/>
    <w:rsid w:val="00BD6EEF"/>
    <w:rsid w:val="00BD7617"/>
    <w:rsid w:val="00BE00BB"/>
    <w:rsid w:val="00BE087E"/>
    <w:rsid w:val="00BE13A7"/>
    <w:rsid w:val="00BE1A68"/>
    <w:rsid w:val="00BE1F02"/>
    <w:rsid w:val="00BE1F81"/>
    <w:rsid w:val="00BE20BE"/>
    <w:rsid w:val="00BE27E6"/>
    <w:rsid w:val="00BE31DC"/>
    <w:rsid w:val="00BE3898"/>
    <w:rsid w:val="00BE3D55"/>
    <w:rsid w:val="00BE49ED"/>
    <w:rsid w:val="00BE7491"/>
    <w:rsid w:val="00BE753F"/>
    <w:rsid w:val="00BF27D5"/>
    <w:rsid w:val="00BF30D1"/>
    <w:rsid w:val="00BF3249"/>
    <w:rsid w:val="00BF3368"/>
    <w:rsid w:val="00BF352E"/>
    <w:rsid w:val="00BF3C65"/>
    <w:rsid w:val="00BF43B0"/>
    <w:rsid w:val="00BF58AB"/>
    <w:rsid w:val="00BF5E16"/>
    <w:rsid w:val="00BF6036"/>
    <w:rsid w:val="00BF6910"/>
    <w:rsid w:val="00BF6AFC"/>
    <w:rsid w:val="00BF76C4"/>
    <w:rsid w:val="00BF7811"/>
    <w:rsid w:val="00C000F7"/>
    <w:rsid w:val="00C00723"/>
    <w:rsid w:val="00C0382F"/>
    <w:rsid w:val="00C03C87"/>
    <w:rsid w:val="00C04243"/>
    <w:rsid w:val="00C042B3"/>
    <w:rsid w:val="00C047DC"/>
    <w:rsid w:val="00C04CF9"/>
    <w:rsid w:val="00C0553F"/>
    <w:rsid w:val="00C07242"/>
    <w:rsid w:val="00C077EA"/>
    <w:rsid w:val="00C07D86"/>
    <w:rsid w:val="00C10659"/>
    <w:rsid w:val="00C10DA8"/>
    <w:rsid w:val="00C111A3"/>
    <w:rsid w:val="00C114C1"/>
    <w:rsid w:val="00C118A5"/>
    <w:rsid w:val="00C1315B"/>
    <w:rsid w:val="00C150DF"/>
    <w:rsid w:val="00C15919"/>
    <w:rsid w:val="00C16D04"/>
    <w:rsid w:val="00C17FD3"/>
    <w:rsid w:val="00C202ED"/>
    <w:rsid w:val="00C207EF"/>
    <w:rsid w:val="00C20E6F"/>
    <w:rsid w:val="00C20FFA"/>
    <w:rsid w:val="00C22DCF"/>
    <w:rsid w:val="00C235DD"/>
    <w:rsid w:val="00C23E89"/>
    <w:rsid w:val="00C244C0"/>
    <w:rsid w:val="00C26422"/>
    <w:rsid w:val="00C26F35"/>
    <w:rsid w:val="00C27596"/>
    <w:rsid w:val="00C27A64"/>
    <w:rsid w:val="00C304DB"/>
    <w:rsid w:val="00C31F98"/>
    <w:rsid w:val="00C3365D"/>
    <w:rsid w:val="00C33D14"/>
    <w:rsid w:val="00C34D2C"/>
    <w:rsid w:val="00C35CDC"/>
    <w:rsid w:val="00C35D96"/>
    <w:rsid w:val="00C35E28"/>
    <w:rsid w:val="00C363D2"/>
    <w:rsid w:val="00C37A24"/>
    <w:rsid w:val="00C37CFC"/>
    <w:rsid w:val="00C40E60"/>
    <w:rsid w:val="00C41A0D"/>
    <w:rsid w:val="00C41C1D"/>
    <w:rsid w:val="00C41CB1"/>
    <w:rsid w:val="00C41CDC"/>
    <w:rsid w:val="00C43178"/>
    <w:rsid w:val="00C43386"/>
    <w:rsid w:val="00C4479D"/>
    <w:rsid w:val="00C44EE2"/>
    <w:rsid w:val="00C4658F"/>
    <w:rsid w:val="00C466DF"/>
    <w:rsid w:val="00C46A1B"/>
    <w:rsid w:val="00C511C2"/>
    <w:rsid w:val="00C5190B"/>
    <w:rsid w:val="00C51DCD"/>
    <w:rsid w:val="00C5277D"/>
    <w:rsid w:val="00C531D5"/>
    <w:rsid w:val="00C536E6"/>
    <w:rsid w:val="00C53C19"/>
    <w:rsid w:val="00C540D2"/>
    <w:rsid w:val="00C55117"/>
    <w:rsid w:val="00C5682B"/>
    <w:rsid w:val="00C57662"/>
    <w:rsid w:val="00C57D3B"/>
    <w:rsid w:val="00C6036F"/>
    <w:rsid w:val="00C60EE9"/>
    <w:rsid w:val="00C631AF"/>
    <w:rsid w:val="00C63A04"/>
    <w:rsid w:val="00C64F00"/>
    <w:rsid w:val="00C65225"/>
    <w:rsid w:val="00C67862"/>
    <w:rsid w:val="00C67E05"/>
    <w:rsid w:val="00C67FB5"/>
    <w:rsid w:val="00C718F7"/>
    <w:rsid w:val="00C7248C"/>
    <w:rsid w:val="00C72BD3"/>
    <w:rsid w:val="00C72E0F"/>
    <w:rsid w:val="00C72EEC"/>
    <w:rsid w:val="00C733FA"/>
    <w:rsid w:val="00C73500"/>
    <w:rsid w:val="00C74740"/>
    <w:rsid w:val="00C74D28"/>
    <w:rsid w:val="00C75703"/>
    <w:rsid w:val="00C77826"/>
    <w:rsid w:val="00C77B61"/>
    <w:rsid w:val="00C815C5"/>
    <w:rsid w:val="00C81B06"/>
    <w:rsid w:val="00C82524"/>
    <w:rsid w:val="00C828B3"/>
    <w:rsid w:val="00C849F9"/>
    <w:rsid w:val="00C84AC4"/>
    <w:rsid w:val="00C84F51"/>
    <w:rsid w:val="00C865E4"/>
    <w:rsid w:val="00C87119"/>
    <w:rsid w:val="00C87976"/>
    <w:rsid w:val="00C909B9"/>
    <w:rsid w:val="00C91192"/>
    <w:rsid w:val="00C911E0"/>
    <w:rsid w:val="00C91DDE"/>
    <w:rsid w:val="00C91E89"/>
    <w:rsid w:val="00C92710"/>
    <w:rsid w:val="00C92BEC"/>
    <w:rsid w:val="00C93C0F"/>
    <w:rsid w:val="00C93EBB"/>
    <w:rsid w:val="00C93EDB"/>
    <w:rsid w:val="00C94741"/>
    <w:rsid w:val="00C94D66"/>
    <w:rsid w:val="00C961B3"/>
    <w:rsid w:val="00C96CA7"/>
    <w:rsid w:val="00CA1B65"/>
    <w:rsid w:val="00CA44C9"/>
    <w:rsid w:val="00CA607F"/>
    <w:rsid w:val="00CA6321"/>
    <w:rsid w:val="00CA710E"/>
    <w:rsid w:val="00CA7A45"/>
    <w:rsid w:val="00CA7F5D"/>
    <w:rsid w:val="00CB1416"/>
    <w:rsid w:val="00CB36CA"/>
    <w:rsid w:val="00CB389B"/>
    <w:rsid w:val="00CB5664"/>
    <w:rsid w:val="00CB5A7E"/>
    <w:rsid w:val="00CB6038"/>
    <w:rsid w:val="00CB624E"/>
    <w:rsid w:val="00CB6A88"/>
    <w:rsid w:val="00CB7CF1"/>
    <w:rsid w:val="00CC04E6"/>
    <w:rsid w:val="00CC0F31"/>
    <w:rsid w:val="00CC274F"/>
    <w:rsid w:val="00CC29BF"/>
    <w:rsid w:val="00CC334E"/>
    <w:rsid w:val="00CC3440"/>
    <w:rsid w:val="00CC3E5B"/>
    <w:rsid w:val="00CC6C50"/>
    <w:rsid w:val="00CC6E75"/>
    <w:rsid w:val="00CC6FBE"/>
    <w:rsid w:val="00CC7A65"/>
    <w:rsid w:val="00CC7BC0"/>
    <w:rsid w:val="00CC7ED7"/>
    <w:rsid w:val="00CD1ED5"/>
    <w:rsid w:val="00CD3F07"/>
    <w:rsid w:val="00CD4100"/>
    <w:rsid w:val="00CD63B5"/>
    <w:rsid w:val="00CE007F"/>
    <w:rsid w:val="00CE11B7"/>
    <w:rsid w:val="00CE1422"/>
    <w:rsid w:val="00CE1474"/>
    <w:rsid w:val="00CE1A27"/>
    <w:rsid w:val="00CE240F"/>
    <w:rsid w:val="00CE3F88"/>
    <w:rsid w:val="00CE40CC"/>
    <w:rsid w:val="00CE40DD"/>
    <w:rsid w:val="00CE4F5B"/>
    <w:rsid w:val="00CE4F75"/>
    <w:rsid w:val="00CE5267"/>
    <w:rsid w:val="00CE593F"/>
    <w:rsid w:val="00CE62F3"/>
    <w:rsid w:val="00CE712C"/>
    <w:rsid w:val="00CE72F5"/>
    <w:rsid w:val="00CE7382"/>
    <w:rsid w:val="00CE73BB"/>
    <w:rsid w:val="00CE7591"/>
    <w:rsid w:val="00CF006E"/>
    <w:rsid w:val="00CF086D"/>
    <w:rsid w:val="00CF0E3D"/>
    <w:rsid w:val="00CF16D1"/>
    <w:rsid w:val="00CF28C6"/>
    <w:rsid w:val="00CF2C94"/>
    <w:rsid w:val="00CF7FA1"/>
    <w:rsid w:val="00D0068B"/>
    <w:rsid w:val="00D0138B"/>
    <w:rsid w:val="00D0186E"/>
    <w:rsid w:val="00D01B2D"/>
    <w:rsid w:val="00D02479"/>
    <w:rsid w:val="00D0306D"/>
    <w:rsid w:val="00D0332A"/>
    <w:rsid w:val="00D034F7"/>
    <w:rsid w:val="00D03628"/>
    <w:rsid w:val="00D04304"/>
    <w:rsid w:val="00D04A75"/>
    <w:rsid w:val="00D04FF6"/>
    <w:rsid w:val="00D05C9F"/>
    <w:rsid w:val="00D077E5"/>
    <w:rsid w:val="00D10B69"/>
    <w:rsid w:val="00D11296"/>
    <w:rsid w:val="00D114B7"/>
    <w:rsid w:val="00D11E79"/>
    <w:rsid w:val="00D1245B"/>
    <w:rsid w:val="00D1264D"/>
    <w:rsid w:val="00D13D54"/>
    <w:rsid w:val="00D14466"/>
    <w:rsid w:val="00D14851"/>
    <w:rsid w:val="00D14EC3"/>
    <w:rsid w:val="00D153B0"/>
    <w:rsid w:val="00D15EB7"/>
    <w:rsid w:val="00D2107E"/>
    <w:rsid w:val="00D21E17"/>
    <w:rsid w:val="00D21E39"/>
    <w:rsid w:val="00D228DA"/>
    <w:rsid w:val="00D22924"/>
    <w:rsid w:val="00D23F34"/>
    <w:rsid w:val="00D2406B"/>
    <w:rsid w:val="00D24BA4"/>
    <w:rsid w:val="00D267E4"/>
    <w:rsid w:val="00D275BD"/>
    <w:rsid w:val="00D27A93"/>
    <w:rsid w:val="00D3122A"/>
    <w:rsid w:val="00D319A3"/>
    <w:rsid w:val="00D31B01"/>
    <w:rsid w:val="00D32AFC"/>
    <w:rsid w:val="00D353D3"/>
    <w:rsid w:val="00D36F0F"/>
    <w:rsid w:val="00D374FF"/>
    <w:rsid w:val="00D4068F"/>
    <w:rsid w:val="00D4359A"/>
    <w:rsid w:val="00D43EA9"/>
    <w:rsid w:val="00D43FC4"/>
    <w:rsid w:val="00D44C5A"/>
    <w:rsid w:val="00D454F2"/>
    <w:rsid w:val="00D45858"/>
    <w:rsid w:val="00D45E27"/>
    <w:rsid w:val="00D466D3"/>
    <w:rsid w:val="00D473F7"/>
    <w:rsid w:val="00D47634"/>
    <w:rsid w:val="00D478F8"/>
    <w:rsid w:val="00D4792B"/>
    <w:rsid w:val="00D47E69"/>
    <w:rsid w:val="00D47ED5"/>
    <w:rsid w:val="00D508EF"/>
    <w:rsid w:val="00D50954"/>
    <w:rsid w:val="00D50B4A"/>
    <w:rsid w:val="00D50EF4"/>
    <w:rsid w:val="00D51765"/>
    <w:rsid w:val="00D52D7A"/>
    <w:rsid w:val="00D532A4"/>
    <w:rsid w:val="00D54313"/>
    <w:rsid w:val="00D554A5"/>
    <w:rsid w:val="00D56481"/>
    <w:rsid w:val="00D56BFC"/>
    <w:rsid w:val="00D5738E"/>
    <w:rsid w:val="00D5756E"/>
    <w:rsid w:val="00D5770D"/>
    <w:rsid w:val="00D57DF9"/>
    <w:rsid w:val="00D60BE8"/>
    <w:rsid w:val="00D611C7"/>
    <w:rsid w:val="00D613A9"/>
    <w:rsid w:val="00D61AEB"/>
    <w:rsid w:val="00D63774"/>
    <w:rsid w:val="00D63C2B"/>
    <w:rsid w:val="00D64C5D"/>
    <w:rsid w:val="00D65542"/>
    <w:rsid w:val="00D6642C"/>
    <w:rsid w:val="00D668ED"/>
    <w:rsid w:val="00D66E3B"/>
    <w:rsid w:val="00D70FD8"/>
    <w:rsid w:val="00D7157C"/>
    <w:rsid w:val="00D73456"/>
    <w:rsid w:val="00D736CC"/>
    <w:rsid w:val="00D73EEF"/>
    <w:rsid w:val="00D7496B"/>
    <w:rsid w:val="00D74C30"/>
    <w:rsid w:val="00D75B68"/>
    <w:rsid w:val="00D764E8"/>
    <w:rsid w:val="00D771B6"/>
    <w:rsid w:val="00D77291"/>
    <w:rsid w:val="00D80552"/>
    <w:rsid w:val="00D81145"/>
    <w:rsid w:val="00D8139A"/>
    <w:rsid w:val="00D81C0C"/>
    <w:rsid w:val="00D8259E"/>
    <w:rsid w:val="00D83A75"/>
    <w:rsid w:val="00D840C3"/>
    <w:rsid w:val="00D84DA0"/>
    <w:rsid w:val="00D84F3C"/>
    <w:rsid w:val="00D87520"/>
    <w:rsid w:val="00D907FA"/>
    <w:rsid w:val="00D91036"/>
    <w:rsid w:val="00D913AF"/>
    <w:rsid w:val="00D916DD"/>
    <w:rsid w:val="00D91B00"/>
    <w:rsid w:val="00D91EBD"/>
    <w:rsid w:val="00D924AD"/>
    <w:rsid w:val="00D92A8C"/>
    <w:rsid w:val="00D92D4D"/>
    <w:rsid w:val="00D92D77"/>
    <w:rsid w:val="00D93105"/>
    <w:rsid w:val="00D936FD"/>
    <w:rsid w:val="00D9400B"/>
    <w:rsid w:val="00D941F2"/>
    <w:rsid w:val="00D95E96"/>
    <w:rsid w:val="00D978FE"/>
    <w:rsid w:val="00D97F5D"/>
    <w:rsid w:val="00DA019C"/>
    <w:rsid w:val="00DA15EB"/>
    <w:rsid w:val="00DA45B1"/>
    <w:rsid w:val="00DA45BE"/>
    <w:rsid w:val="00DA47DD"/>
    <w:rsid w:val="00DA5501"/>
    <w:rsid w:val="00DA5B89"/>
    <w:rsid w:val="00DA5C82"/>
    <w:rsid w:val="00DA63FF"/>
    <w:rsid w:val="00DA68E6"/>
    <w:rsid w:val="00DA7802"/>
    <w:rsid w:val="00DA7D7A"/>
    <w:rsid w:val="00DB06F2"/>
    <w:rsid w:val="00DB1099"/>
    <w:rsid w:val="00DB2564"/>
    <w:rsid w:val="00DB41DF"/>
    <w:rsid w:val="00DB42EE"/>
    <w:rsid w:val="00DB4CCD"/>
    <w:rsid w:val="00DB4D2E"/>
    <w:rsid w:val="00DB59BD"/>
    <w:rsid w:val="00DB6ACC"/>
    <w:rsid w:val="00DB734B"/>
    <w:rsid w:val="00DB7DF6"/>
    <w:rsid w:val="00DC026A"/>
    <w:rsid w:val="00DC0D32"/>
    <w:rsid w:val="00DC0F20"/>
    <w:rsid w:val="00DC1979"/>
    <w:rsid w:val="00DC1E08"/>
    <w:rsid w:val="00DC2116"/>
    <w:rsid w:val="00DC31F1"/>
    <w:rsid w:val="00DC33CF"/>
    <w:rsid w:val="00DC47BC"/>
    <w:rsid w:val="00DC5322"/>
    <w:rsid w:val="00DC6232"/>
    <w:rsid w:val="00DC675C"/>
    <w:rsid w:val="00DC6D87"/>
    <w:rsid w:val="00DC7DE4"/>
    <w:rsid w:val="00DC7F5F"/>
    <w:rsid w:val="00DD0BC5"/>
    <w:rsid w:val="00DD1F73"/>
    <w:rsid w:val="00DD1F94"/>
    <w:rsid w:val="00DD45C5"/>
    <w:rsid w:val="00DD4C92"/>
    <w:rsid w:val="00DD4F8D"/>
    <w:rsid w:val="00DD68CB"/>
    <w:rsid w:val="00DD69DD"/>
    <w:rsid w:val="00DD7E87"/>
    <w:rsid w:val="00DE0FA3"/>
    <w:rsid w:val="00DE1BD8"/>
    <w:rsid w:val="00DE261C"/>
    <w:rsid w:val="00DE317D"/>
    <w:rsid w:val="00DE4844"/>
    <w:rsid w:val="00DE5291"/>
    <w:rsid w:val="00DE5C5E"/>
    <w:rsid w:val="00DE69E3"/>
    <w:rsid w:val="00DE6B69"/>
    <w:rsid w:val="00DF0514"/>
    <w:rsid w:val="00DF051D"/>
    <w:rsid w:val="00DF1CBE"/>
    <w:rsid w:val="00DF2F4B"/>
    <w:rsid w:val="00DF3DB2"/>
    <w:rsid w:val="00DF4D7E"/>
    <w:rsid w:val="00DF50A5"/>
    <w:rsid w:val="00DF5B3E"/>
    <w:rsid w:val="00DF6332"/>
    <w:rsid w:val="00DF64AE"/>
    <w:rsid w:val="00DF65BC"/>
    <w:rsid w:val="00DF6A7C"/>
    <w:rsid w:val="00DF7E32"/>
    <w:rsid w:val="00E01D56"/>
    <w:rsid w:val="00E0304E"/>
    <w:rsid w:val="00E03139"/>
    <w:rsid w:val="00E032E7"/>
    <w:rsid w:val="00E0373C"/>
    <w:rsid w:val="00E04165"/>
    <w:rsid w:val="00E043B8"/>
    <w:rsid w:val="00E05C8D"/>
    <w:rsid w:val="00E06711"/>
    <w:rsid w:val="00E068C5"/>
    <w:rsid w:val="00E10281"/>
    <w:rsid w:val="00E102CF"/>
    <w:rsid w:val="00E108C7"/>
    <w:rsid w:val="00E10F4A"/>
    <w:rsid w:val="00E10F6B"/>
    <w:rsid w:val="00E1122C"/>
    <w:rsid w:val="00E11F9C"/>
    <w:rsid w:val="00E1255D"/>
    <w:rsid w:val="00E12618"/>
    <w:rsid w:val="00E1285F"/>
    <w:rsid w:val="00E13911"/>
    <w:rsid w:val="00E143FC"/>
    <w:rsid w:val="00E15D8B"/>
    <w:rsid w:val="00E171E7"/>
    <w:rsid w:val="00E172A2"/>
    <w:rsid w:val="00E173BD"/>
    <w:rsid w:val="00E21C27"/>
    <w:rsid w:val="00E22DFE"/>
    <w:rsid w:val="00E2373A"/>
    <w:rsid w:val="00E23D90"/>
    <w:rsid w:val="00E23F14"/>
    <w:rsid w:val="00E2574D"/>
    <w:rsid w:val="00E26942"/>
    <w:rsid w:val="00E26A69"/>
    <w:rsid w:val="00E26B30"/>
    <w:rsid w:val="00E27775"/>
    <w:rsid w:val="00E27A2D"/>
    <w:rsid w:val="00E304A6"/>
    <w:rsid w:val="00E3053F"/>
    <w:rsid w:val="00E3088A"/>
    <w:rsid w:val="00E31604"/>
    <w:rsid w:val="00E31CB4"/>
    <w:rsid w:val="00E3349A"/>
    <w:rsid w:val="00E36C23"/>
    <w:rsid w:val="00E37A97"/>
    <w:rsid w:val="00E40AB7"/>
    <w:rsid w:val="00E4170C"/>
    <w:rsid w:val="00E417F3"/>
    <w:rsid w:val="00E41F43"/>
    <w:rsid w:val="00E4223F"/>
    <w:rsid w:val="00E42264"/>
    <w:rsid w:val="00E42AC6"/>
    <w:rsid w:val="00E43573"/>
    <w:rsid w:val="00E43736"/>
    <w:rsid w:val="00E4426B"/>
    <w:rsid w:val="00E44300"/>
    <w:rsid w:val="00E4616D"/>
    <w:rsid w:val="00E469BC"/>
    <w:rsid w:val="00E46CEF"/>
    <w:rsid w:val="00E47748"/>
    <w:rsid w:val="00E50BF1"/>
    <w:rsid w:val="00E523B1"/>
    <w:rsid w:val="00E55573"/>
    <w:rsid w:val="00E561E1"/>
    <w:rsid w:val="00E579DF"/>
    <w:rsid w:val="00E57D17"/>
    <w:rsid w:val="00E608FF"/>
    <w:rsid w:val="00E60C71"/>
    <w:rsid w:val="00E61D70"/>
    <w:rsid w:val="00E62B8C"/>
    <w:rsid w:val="00E63906"/>
    <w:rsid w:val="00E63D68"/>
    <w:rsid w:val="00E656E8"/>
    <w:rsid w:val="00E660D9"/>
    <w:rsid w:val="00E664C2"/>
    <w:rsid w:val="00E664EE"/>
    <w:rsid w:val="00E667E1"/>
    <w:rsid w:val="00E66CF5"/>
    <w:rsid w:val="00E66E28"/>
    <w:rsid w:val="00E6753F"/>
    <w:rsid w:val="00E71858"/>
    <w:rsid w:val="00E71C0E"/>
    <w:rsid w:val="00E71CB1"/>
    <w:rsid w:val="00E7209B"/>
    <w:rsid w:val="00E7221A"/>
    <w:rsid w:val="00E724BF"/>
    <w:rsid w:val="00E7305D"/>
    <w:rsid w:val="00E734EA"/>
    <w:rsid w:val="00E73DB8"/>
    <w:rsid w:val="00E73FC9"/>
    <w:rsid w:val="00E74A7E"/>
    <w:rsid w:val="00E75154"/>
    <w:rsid w:val="00E755E6"/>
    <w:rsid w:val="00E759BF"/>
    <w:rsid w:val="00E7684D"/>
    <w:rsid w:val="00E7744A"/>
    <w:rsid w:val="00E77B39"/>
    <w:rsid w:val="00E80494"/>
    <w:rsid w:val="00E80F4A"/>
    <w:rsid w:val="00E818F1"/>
    <w:rsid w:val="00E81DD0"/>
    <w:rsid w:val="00E82108"/>
    <w:rsid w:val="00E82216"/>
    <w:rsid w:val="00E82579"/>
    <w:rsid w:val="00E82A17"/>
    <w:rsid w:val="00E830E7"/>
    <w:rsid w:val="00E844F0"/>
    <w:rsid w:val="00E84D74"/>
    <w:rsid w:val="00E85576"/>
    <w:rsid w:val="00E86426"/>
    <w:rsid w:val="00E87107"/>
    <w:rsid w:val="00E90232"/>
    <w:rsid w:val="00E9049D"/>
    <w:rsid w:val="00E9175C"/>
    <w:rsid w:val="00E96266"/>
    <w:rsid w:val="00E9775E"/>
    <w:rsid w:val="00EA0165"/>
    <w:rsid w:val="00EA01B7"/>
    <w:rsid w:val="00EA1C52"/>
    <w:rsid w:val="00EA4615"/>
    <w:rsid w:val="00EA4D97"/>
    <w:rsid w:val="00EA5523"/>
    <w:rsid w:val="00EA5E40"/>
    <w:rsid w:val="00EA6174"/>
    <w:rsid w:val="00EA6880"/>
    <w:rsid w:val="00EA6CAF"/>
    <w:rsid w:val="00EB0799"/>
    <w:rsid w:val="00EB1F76"/>
    <w:rsid w:val="00EB2406"/>
    <w:rsid w:val="00EB2964"/>
    <w:rsid w:val="00EB30E6"/>
    <w:rsid w:val="00EB3886"/>
    <w:rsid w:val="00EB3F03"/>
    <w:rsid w:val="00EB439A"/>
    <w:rsid w:val="00EB5194"/>
    <w:rsid w:val="00EB54F3"/>
    <w:rsid w:val="00EB5AA1"/>
    <w:rsid w:val="00EB6613"/>
    <w:rsid w:val="00EB69F3"/>
    <w:rsid w:val="00EB6AA3"/>
    <w:rsid w:val="00EB7FF1"/>
    <w:rsid w:val="00EC27BF"/>
    <w:rsid w:val="00EC2E6A"/>
    <w:rsid w:val="00EC3113"/>
    <w:rsid w:val="00EC34C8"/>
    <w:rsid w:val="00EC58E5"/>
    <w:rsid w:val="00EC61E8"/>
    <w:rsid w:val="00EC6623"/>
    <w:rsid w:val="00EC7077"/>
    <w:rsid w:val="00ED03A8"/>
    <w:rsid w:val="00ED0B99"/>
    <w:rsid w:val="00ED0EB5"/>
    <w:rsid w:val="00ED1290"/>
    <w:rsid w:val="00ED1CAB"/>
    <w:rsid w:val="00ED27E4"/>
    <w:rsid w:val="00ED29A0"/>
    <w:rsid w:val="00ED6944"/>
    <w:rsid w:val="00ED7256"/>
    <w:rsid w:val="00ED74F2"/>
    <w:rsid w:val="00EE037F"/>
    <w:rsid w:val="00EE04E2"/>
    <w:rsid w:val="00EE084F"/>
    <w:rsid w:val="00EE1DC6"/>
    <w:rsid w:val="00EE2A81"/>
    <w:rsid w:val="00EE3D11"/>
    <w:rsid w:val="00EE3E5D"/>
    <w:rsid w:val="00EE3FBB"/>
    <w:rsid w:val="00EE42AC"/>
    <w:rsid w:val="00EE4DFF"/>
    <w:rsid w:val="00EE5439"/>
    <w:rsid w:val="00EE6DDF"/>
    <w:rsid w:val="00EE70DC"/>
    <w:rsid w:val="00EE7D75"/>
    <w:rsid w:val="00EF2D15"/>
    <w:rsid w:val="00EF2F1B"/>
    <w:rsid w:val="00EF2F58"/>
    <w:rsid w:val="00EF3165"/>
    <w:rsid w:val="00EF35BF"/>
    <w:rsid w:val="00EF388A"/>
    <w:rsid w:val="00EF497E"/>
    <w:rsid w:val="00EF4EE5"/>
    <w:rsid w:val="00EF5976"/>
    <w:rsid w:val="00EF5CE6"/>
    <w:rsid w:val="00EF6610"/>
    <w:rsid w:val="00EF6706"/>
    <w:rsid w:val="00F04158"/>
    <w:rsid w:val="00F04F73"/>
    <w:rsid w:val="00F05BB7"/>
    <w:rsid w:val="00F07E17"/>
    <w:rsid w:val="00F103B2"/>
    <w:rsid w:val="00F106B4"/>
    <w:rsid w:val="00F10A34"/>
    <w:rsid w:val="00F10DEF"/>
    <w:rsid w:val="00F11CAD"/>
    <w:rsid w:val="00F1366A"/>
    <w:rsid w:val="00F15285"/>
    <w:rsid w:val="00F15A08"/>
    <w:rsid w:val="00F160DD"/>
    <w:rsid w:val="00F201FB"/>
    <w:rsid w:val="00F2101A"/>
    <w:rsid w:val="00F2104F"/>
    <w:rsid w:val="00F2156B"/>
    <w:rsid w:val="00F221C0"/>
    <w:rsid w:val="00F2240E"/>
    <w:rsid w:val="00F23F38"/>
    <w:rsid w:val="00F25426"/>
    <w:rsid w:val="00F2569A"/>
    <w:rsid w:val="00F268BD"/>
    <w:rsid w:val="00F26A59"/>
    <w:rsid w:val="00F30355"/>
    <w:rsid w:val="00F30701"/>
    <w:rsid w:val="00F3182C"/>
    <w:rsid w:val="00F31903"/>
    <w:rsid w:val="00F32BE2"/>
    <w:rsid w:val="00F32D24"/>
    <w:rsid w:val="00F34288"/>
    <w:rsid w:val="00F34524"/>
    <w:rsid w:val="00F36953"/>
    <w:rsid w:val="00F37E66"/>
    <w:rsid w:val="00F410F2"/>
    <w:rsid w:val="00F418DA"/>
    <w:rsid w:val="00F41F7B"/>
    <w:rsid w:val="00F42DB5"/>
    <w:rsid w:val="00F42E72"/>
    <w:rsid w:val="00F43570"/>
    <w:rsid w:val="00F43741"/>
    <w:rsid w:val="00F44368"/>
    <w:rsid w:val="00F44629"/>
    <w:rsid w:val="00F447B8"/>
    <w:rsid w:val="00F46402"/>
    <w:rsid w:val="00F47399"/>
    <w:rsid w:val="00F47CC2"/>
    <w:rsid w:val="00F507CE"/>
    <w:rsid w:val="00F50C22"/>
    <w:rsid w:val="00F520BD"/>
    <w:rsid w:val="00F5302C"/>
    <w:rsid w:val="00F60EBD"/>
    <w:rsid w:val="00F61E1F"/>
    <w:rsid w:val="00F62FB0"/>
    <w:rsid w:val="00F63B84"/>
    <w:rsid w:val="00F63C49"/>
    <w:rsid w:val="00F65369"/>
    <w:rsid w:val="00F65410"/>
    <w:rsid w:val="00F65830"/>
    <w:rsid w:val="00F66893"/>
    <w:rsid w:val="00F7021A"/>
    <w:rsid w:val="00F71644"/>
    <w:rsid w:val="00F71793"/>
    <w:rsid w:val="00F71BE8"/>
    <w:rsid w:val="00F72783"/>
    <w:rsid w:val="00F72D69"/>
    <w:rsid w:val="00F73C7A"/>
    <w:rsid w:val="00F77E59"/>
    <w:rsid w:val="00F80A45"/>
    <w:rsid w:val="00F80B33"/>
    <w:rsid w:val="00F80CFB"/>
    <w:rsid w:val="00F8198E"/>
    <w:rsid w:val="00F81C4A"/>
    <w:rsid w:val="00F81C83"/>
    <w:rsid w:val="00F83197"/>
    <w:rsid w:val="00F83B2F"/>
    <w:rsid w:val="00F83F25"/>
    <w:rsid w:val="00F85F86"/>
    <w:rsid w:val="00F86B69"/>
    <w:rsid w:val="00F86BB9"/>
    <w:rsid w:val="00F86DA0"/>
    <w:rsid w:val="00F87C5C"/>
    <w:rsid w:val="00F9209E"/>
    <w:rsid w:val="00F92DDC"/>
    <w:rsid w:val="00F93270"/>
    <w:rsid w:val="00F94BE0"/>
    <w:rsid w:val="00F950E1"/>
    <w:rsid w:val="00F96668"/>
    <w:rsid w:val="00F9718D"/>
    <w:rsid w:val="00F972EB"/>
    <w:rsid w:val="00F97B24"/>
    <w:rsid w:val="00FA11A8"/>
    <w:rsid w:val="00FA1758"/>
    <w:rsid w:val="00FA1948"/>
    <w:rsid w:val="00FA1C09"/>
    <w:rsid w:val="00FA39EC"/>
    <w:rsid w:val="00FA3B39"/>
    <w:rsid w:val="00FA4BD9"/>
    <w:rsid w:val="00FA545D"/>
    <w:rsid w:val="00FA5581"/>
    <w:rsid w:val="00FA57F3"/>
    <w:rsid w:val="00FA6445"/>
    <w:rsid w:val="00FA703C"/>
    <w:rsid w:val="00FB25DF"/>
    <w:rsid w:val="00FB30B7"/>
    <w:rsid w:val="00FB3D17"/>
    <w:rsid w:val="00FB3F11"/>
    <w:rsid w:val="00FB4542"/>
    <w:rsid w:val="00FB5786"/>
    <w:rsid w:val="00FB57D8"/>
    <w:rsid w:val="00FB732C"/>
    <w:rsid w:val="00FB791D"/>
    <w:rsid w:val="00FC0BCE"/>
    <w:rsid w:val="00FC0D1F"/>
    <w:rsid w:val="00FC1464"/>
    <w:rsid w:val="00FC149F"/>
    <w:rsid w:val="00FC1AAA"/>
    <w:rsid w:val="00FC20C1"/>
    <w:rsid w:val="00FC2DA0"/>
    <w:rsid w:val="00FC30AC"/>
    <w:rsid w:val="00FC31C4"/>
    <w:rsid w:val="00FC4916"/>
    <w:rsid w:val="00FC4D9E"/>
    <w:rsid w:val="00FC5088"/>
    <w:rsid w:val="00FC63DF"/>
    <w:rsid w:val="00FC6C5D"/>
    <w:rsid w:val="00FC6CFF"/>
    <w:rsid w:val="00FD0261"/>
    <w:rsid w:val="00FD026D"/>
    <w:rsid w:val="00FD1D97"/>
    <w:rsid w:val="00FD23B7"/>
    <w:rsid w:val="00FD2C85"/>
    <w:rsid w:val="00FD3379"/>
    <w:rsid w:val="00FD3546"/>
    <w:rsid w:val="00FD3E67"/>
    <w:rsid w:val="00FD45EE"/>
    <w:rsid w:val="00FD51F0"/>
    <w:rsid w:val="00FD5938"/>
    <w:rsid w:val="00FD64E6"/>
    <w:rsid w:val="00FD68D1"/>
    <w:rsid w:val="00FD6D48"/>
    <w:rsid w:val="00FE06EB"/>
    <w:rsid w:val="00FE0A21"/>
    <w:rsid w:val="00FE187C"/>
    <w:rsid w:val="00FE2157"/>
    <w:rsid w:val="00FE2B36"/>
    <w:rsid w:val="00FE2C6B"/>
    <w:rsid w:val="00FE2CDD"/>
    <w:rsid w:val="00FE3CE3"/>
    <w:rsid w:val="00FE431B"/>
    <w:rsid w:val="00FE4C3E"/>
    <w:rsid w:val="00FE5225"/>
    <w:rsid w:val="00FE64A1"/>
    <w:rsid w:val="00FE683B"/>
    <w:rsid w:val="00FE7C62"/>
    <w:rsid w:val="00FF043C"/>
    <w:rsid w:val="00FF0C0B"/>
    <w:rsid w:val="00FF19D2"/>
    <w:rsid w:val="00FF410C"/>
    <w:rsid w:val="00FF517C"/>
    <w:rsid w:val="00FF556C"/>
    <w:rsid w:val="00FF5694"/>
    <w:rsid w:val="00FF5708"/>
    <w:rsid w:val="00FF5B67"/>
    <w:rsid w:val="00FF63F3"/>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B2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4E"/>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567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5674E"/>
    <w:pPr>
      <w:outlineLvl w:val="1"/>
    </w:pPr>
    <w:rPr>
      <w:sz w:val="28"/>
    </w:rPr>
  </w:style>
  <w:style w:type="paragraph" w:styleId="Heading3">
    <w:name w:val="heading 3"/>
    <w:aliases w:val="H3-Sec. Head"/>
    <w:basedOn w:val="Heading1"/>
    <w:next w:val="L1-FlLSp12"/>
    <w:link w:val="Heading3Char"/>
    <w:qFormat/>
    <w:rsid w:val="0015674E"/>
    <w:pPr>
      <w:outlineLvl w:val="2"/>
    </w:pPr>
    <w:rPr>
      <w:color w:val="auto"/>
      <w:sz w:val="24"/>
    </w:rPr>
  </w:style>
  <w:style w:type="paragraph" w:styleId="Heading4">
    <w:name w:val="heading 4"/>
    <w:aliases w:val="H4 Sec.Heading"/>
    <w:basedOn w:val="Heading1"/>
    <w:next w:val="L1-FlLSp12"/>
    <w:link w:val="Heading4Char"/>
    <w:qFormat/>
    <w:rsid w:val="0015674E"/>
    <w:pPr>
      <w:outlineLvl w:val="3"/>
    </w:pPr>
    <w:rPr>
      <w:i/>
      <w:color w:val="auto"/>
      <w:sz w:val="24"/>
    </w:rPr>
  </w:style>
  <w:style w:type="paragraph" w:styleId="Heading5">
    <w:name w:val="heading 5"/>
    <w:basedOn w:val="Normal"/>
    <w:next w:val="Normal"/>
    <w:link w:val="Heading5Char"/>
    <w:qFormat/>
    <w:rsid w:val="0015674E"/>
    <w:pPr>
      <w:keepLines/>
      <w:spacing w:before="360" w:line="360" w:lineRule="atLeast"/>
      <w:jc w:val="center"/>
      <w:outlineLvl w:val="4"/>
    </w:pPr>
  </w:style>
  <w:style w:type="paragraph" w:styleId="Heading6">
    <w:name w:val="heading 6"/>
    <w:basedOn w:val="Normal"/>
    <w:next w:val="Normal"/>
    <w:link w:val="Heading6Char"/>
    <w:qFormat/>
    <w:rsid w:val="0015674E"/>
    <w:pPr>
      <w:keepNext/>
      <w:spacing w:before="240"/>
      <w:jc w:val="center"/>
      <w:outlineLvl w:val="5"/>
    </w:pPr>
    <w:rPr>
      <w:b/>
      <w:caps/>
    </w:rPr>
  </w:style>
  <w:style w:type="paragraph" w:styleId="Heading7">
    <w:name w:val="heading 7"/>
    <w:basedOn w:val="Normal"/>
    <w:next w:val="Normal"/>
    <w:link w:val="Heading7Char"/>
    <w:qFormat/>
    <w:rsid w:val="001567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5674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5674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5674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15674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15674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5674E"/>
    <w:rPr>
      <w:rFonts w:ascii="Times New Roman" w:eastAsia="Times New Roman" w:hAnsi="Times New Roman" w:cs="Times New Roman"/>
      <w:b/>
      <w:caps/>
      <w:sz w:val="24"/>
      <w:szCs w:val="20"/>
    </w:rPr>
  </w:style>
  <w:style w:type="character" w:customStyle="1" w:styleId="Heading7Char">
    <w:name w:val="Heading 7 Char"/>
    <w:basedOn w:val="DefaultParagraphFont"/>
    <w:link w:val="Heading7"/>
    <w:rsid w:val="0015674E"/>
    <w:rPr>
      <w:rFonts w:ascii="Times New Roman" w:eastAsia="Times New Roman" w:hAnsi="Times New Roman" w:cs="Times New Roman"/>
      <w:sz w:val="24"/>
      <w:szCs w:val="20"/>
    </w:rPr>
  </w:style>
  <w:style w:type="paragraph" w:customStyle="1" w:styleId="C1-CtrBoldHd">
    <w:name w:val="C1-Ctr BoldHd"/>
    <w:rsid w:val="0015674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5674E"/>
    <w:pPr>
      <w:keepLines/>
      <w:jc w:val="center"/>
    </w:pPr>
  </w:style>
  <w:style w:type="paragraph" w:customStyle="1" w:styleId="C3-CtrSp12">
    <w:name w:val="C3-Ctr Sp&amp;1/2"/>
    <w:basedOn w:val="Normal"/>
    <w:rsid w:val="0015674E"/>
    <w:pPr>
      <w:keepLines/>
      <w:spacing w:line="360" w:lineRule="atLeast"/>
      <w:jc w:val="center"/>
    </w:pPr>
  </w:style>
  <w:style w:type="paragraph" w:customStyle="1" w:styleId="E1-Equation">
    <w:name w:val="E1-Equation"/>
    <w:basedOn w:val="Normal"/>
    <w:rsid w:val="0015674E"/>
    <w:pPr>
      <w:tabs>
        <w:tab w:val="center" w:pos="4680"/>
        <w:tab w:val="right" w:pos="9360"/>
      </w:tabs>
    </w:pPr>
  </w:style>
  <w:style w:type="paragraph" w:customStyle="1" w:styleId="E2-Equation">
    <w:name w:val="E2-Equation"/>
    <w:basedOn w:val="Normal"/>
    <w:rsid w:val="0015674E"/>
    <w:pPr>
      <w:tabs>
        <w:tab w:val="right" w:pos="1152"/>
        <w:tab w:val="center" w:pos="1440"/>
        <w:tab w:val="left" w:pos="1728"/>
      </w:tabs>
      <w:ind w:left="1728" w:hanging="1728"/>
    </w:pPr>
  </w:style>
  <w:style w:type="paragraph" w:styleId="Footer">
    <w:name w:val="footer"/>
    <w:basedOn w:val="Normal"/>
    <w:link w:val="FooterChar"/>
    <w:uiPriority w:val="99"/>
    <w:rsid w:val="0015674E"/>
    <w:pPr>
      <w:tabs>
        <w:tab w:val="center" w:pos="4320"/>
        <w:tab w:val="right" w:pos="8640"/>
      </w:tabs>
    </w:pPr>
  </w:style>
  <w:style w:type="character" w:customStyle="1" w:styleId="FooterChar">
    <w:name w:val="Footer Char"/>
    <w:basedOn w:val="DefaultParagraphFont"/>
    <w:link w:val="Footer"/>
    <w:uiPriority w:val="99"/>
    <w:rsid w:val="0015674E"/>
    <w:rPr>
      <w:rFonts w:ascii="Times New Roman" w:eastAsia="Times New Roman" w:hAnsi="Times New Roman" w:cs="Times New Roman"/>
      <w:sz w:val="24"/>
      <w:szCs w:val="20"/>
    </w:rPr>
  </w:style>
  <w:style w:type="paragraph" w:styleId="FootnoteText">
    <w:name w:val="footnote text"/>
    <w:aliases w:val="F1,Footnote Text2,F,Footnote Text Char Char"/>
    <w:link w:val="FootnoteTextChar"/>
    <w:qFormat/>
    <w:rsid w:val="007C2BE3"/>
    <w:pPr>
      <w:widowControl w:val="0"/>
      <w:tabs>
        <w:tab w:val="left" w:pos="120"/>
      </w:tabs>
      <w:spacing w:after="0" w:line="240" w:lineRule="auto"/>
      <w:ind w:left="216" w:hanging="216"/>
    </w:pPr>
    <w:rPr>
      <w:rFonts w:ascii="Times New Roman" w:eastAsia="Times New Roman" w:hAnsi="Times New Roman" w:cs="Times New Roman"/>
      <w:sz w:val="20"/>
      <w:szCs w:val="20"/>
    </w:rPr>
  </w:style>
  <w:style w:type="character" w:customStyle="1" w:styleId="FootnoteTextChar">
    <w:name w:val="Footnote Text Char"/>
    <w:aliases w:val="F1 Char,Footnote Text2 Char,F Char,Footnote Text Char Char Char"/>
    <w:basedOn w:val="DefaultParagraphFont"/>
    <w:link w:val="FootnoteText"/>
    <w:rsid w:val="0015674E"/>
    <w:rPr>
      <w:rFonts w:ascii="Times New Roman" w:eastAsia="Times New Roman" w:hAnsi="Times New Roman" w:cs="Times New Roman"/>
      <w:sz w:val="20"/>
      <w:szCs w:val="20"/>
    </w:rPr>
  </w:style>
  <w:style w:type="paragraph" w:styleId="Header">
    <w:name w:val="header"/>
    <w:basedOn w:val="Normal"/>
    <w:link w:val="HeaderChar"/>
    <w:uiPriority w:val="99"/>
    <w:rsid w:val="0015674E"/>
    <w:pPr>
      <w:tabs>
        <w:tab w:val="center" w:pos="4320"/>
        <w:tab w:val="right" w:pos="8640"/>
      </w:tabs>
    </w:pPr>
    <w:rPr>
      <w:sz w:val="16"/>
    </w:rPr>
  </w:style>
  <w:style w:type="character" w:customStyle="1" w:styleId="HeaderChar">
    <w:name w:val="Header Char"/>
    <w:basedOn w:val="DefaultParagraphFont"/>
    <w:link w:val="Header"/>
    <w:uiPriority w:val="99"/>
    <w:rsid w:val="0015674E"/>
    <w:rPr>
      <w:rFonts w:ascii="Times New Roman" w:eastAsia="Times New Roman" w:hAnsi="Times New Roman" w:cs="Times New Roman"/>
      <w:sz w:val="16"/>
      <w:szCs w:val="20"/>
    </w:rPr>
  </w:style>
  <w:style w:type="paragraph" w:customStyle="1" w:styleId="L1-FlLSp12">
    <w:name w:val="L1-FlL Sp&amp;1/2"/>
    <w:basedOn w:val="Normal"/>
    <w:link w:val="L1-FlLSp12Char"/>
    <w:qFormat/>
    <w:rsid w:val="007C2BE3"/>
    <w:pPr>
      <w:tabs>
        <w:tab w:val="left" w:pos="1152"/>
      </w:tabs>
      <w:spacing w:line="360" w:lineRule="atLeast"/>
    </w:pPr>
  </w:style>
  <w:style w:type="paragraph" w:customStyle="1" w:styleId="N0-FlLftBullet">
    <w:name w:val="N0-Fl Lft Bullet"/>
    <w:basedOn w:val="Normal"/>
    <w:rsid w:val="0015674E"/>
    <w:pPr>
      <w:tabs>
        <w:tab w:val="left" w:pos="576"/>
      </w:tabs>
      <w:spacing w:after="240"/>
      <w:ind w:left="576" w:hanging="576"/>
    </w:pPr>
  </w:style>
  <w:style w:type="paragraph" w:customStyle="1" w:styleId="N1-1stBullet">
    <w:name w:val="N1-1st Bullet"/>
    <w:basedOn w:val="Normal"/>
    <w:link w:val="N1-1stBulletChar"/>
    <w:rsid w:val="0015674E"/>
    <w:pPr>
      <w:numPr>
        <w:numId w:val="1"/>
      </w:numPr>
      <w:spacing w:after="240"/>
    </w:pPr>
  </w:style>
  <w:style w:type="paragraph" w:customStyle="1" w:styleId="N2-2ndBullet">
    <w:name w:val="N2-2nd Bullet"/>
    <w:basedOn w:val="Normal"/>
    <w:rsid w:val="0015674E"/>
    <w:pPr>
      <w:numPr>
        <w:numId w:val="2"/>
      </w:numPr>
      <w:spacing w:after="240"/>
    </w:pPr>
  </w:style>
  <w:style w:type="paragraph" w:customStyle="1" w:styleId="N3-3rdBullet">
    <w:name w:val="N3-3rd Bullet"/>
    <w:basedOn w:val="Normal"/>
    <w:rsid w:val="0015674E"/>
    <w:pPr>
      <w:numPr>
        <w:numId w:val="3"/>
      </w:numPr>
      <w:spacing w:after="240"/>
    </w:pPr>
  </w:style>
  <w:style w:type="paragraph" w:customStyle="1" w:styleId="N4-4thBullet">
    <w:name w:val="N4-4th Bullet"/>
    <w:basedOn w:val="Normal"/>
    <w:rsid w:val="0015674E"/>
    <w:pPr>
      <w:numPr>
        <w:numId w:val="4"/>
      </w:numPr>
      <w:spacing w:after="240"/>
    </w:pPr>
  </w:style>
  <w:style w:type="paragraph" w:customStyle="1" w:styleId="N5-5thBullet">
    <w:name w:val="N5-5th Bullet"/>
    <w:basedOn w:val="Normal"/>
    <w:rsid w:val="0015674E"/>
    <w:pPr>
      <w:tabs>
        <w:tab w:val="left" w:pos="3456"/>
      </w:tabs>
      <w:spacing w:after="240"/>
      <w:ind w:left="3456" w:hanging="576"/>
    </w:pPr>
  </w:style>
  <w:style w:type="paragraph" w:customStyle="1" w:styleId="N6-DateInd">
    <w:name w:val="N6-Date Ind."/>
    <w:basedOn w:val="Normal"/>
    <w:rsid w:val="0015674E"/>
    <w:pPr>
      <w:tabs>
        <w:tab w:val="left" w:pos="4910"/>
      </w:tabs>
      <w:ind w:left="4910"/>
    </w:pPr>
  </w:style>
  <w:style w:type="paragraph" w:customStyle="1" w:styleId="N7-3Block">
    <w:name w:val="N7-3&quot; Block"/>
    <w:basedOn w:val="Normal"/>
    <w:rsid w:val="0015674E"/>
    <w:pPr>
      <w:tabs>
        <w:tab w:val="left" w:pos="1152"/>
      </w:tabs>
      <w:ind w:left="1152" w:right="1152"/>
    </w:pPr>
  </w:style>
  <w:style w:type="paragraph" w:customStyle="1" w:styleId="N8-QxQBlock">
    <w:name w:val="N8-QxQ Block"/>
    <w:basedOn w:val="Normal"/>
    <w:rsid w:val="0015674E"/>
    <w:pPr>
      <w:tabs>
        <w:tab w:val="left" w:pos="1152"/>
      </w:tabs>
      <w:spacing w:after="360" w:line="360" w:lineRule="atLeast"/>
      <w:ind w:left="1152" w:hanging="1152"/>
    </w:pPr>
  </w:style>
  <w:style w:type="paragraph" w:customStyle="1" w:styleId="P1-StandPara">
    <w:name w:val="P1-Stand Para"/>
    <w:basedOn w:val="Normal"/>
    <w:link w:val="P1-StandParaChar"/>
    <w:rsid w:val="0015674E"/>
    <w:pPr>
      <w:spacing w:line="360" w:lineRule="atLeast"/>
      <w:ind w:firstLine="1152"/>
    </w:pPr>
  </w:style>
  <w:style w:type="paragraph" w:customStyle="1" w:styleId="Q1-BestFinQ">
    <w:name w:val="Q1-Best/Fin Q"/>
    <w:basedOn w:val="Heading1"/>
    <w:rsid w:val="0015674E"/>
    <w:pPr>
      <w:spacing w:line="240" w:lineRule="atLeast"/>
    </w:pPr>
    <w:rPr>
      <w:rFonts w:cs="Times New Roman Bold"/>
      <w:color w:val="auto"/>
      <w:sz w:val="24"/>
    </w:rPr>
  </w:style>
  <w:style w:type="paragraph" w:customStyle="1" w:styleId="SH-SglSpHead">
    <w:name w:val="SH-Sgl Sp Head"/>
    <w:basedOn w:val="Heading1"/>
    <w:rsid w:val="0015674E"/>
    <w:pPr>
      <w:tabs>
        <w:tab w:val="left" w:pos="576"/>
      </w:tabs>
      <w:spacing w:line="240" w:lineRule="atLeast"/>
      <w:ind w:left="576" w:hanging="576"/>
    </w:pPr>
    <w:rPr>
      <w:b w:val="0"/>
      <w:sz w:val="24"/>
    </w:rPr>
  </w:style>
  <w:style w:type="paragraph" w:customStyle="1" w:styleId="SL-FlLftSgl">
    <w:name w:val="SL-Fl Lft Sgl"/>
    <w:basedOn w:val="Normal"/>
    <w:rsid w:val="0015674E"/>
  </w:style>
  <w:style w:type="paragraph" w:customStyle="1" w:styleId="SP-SglSpPara">
    <w:name w:val="SP-Sgl Sp Para"/>
    <w:basedOn w:val="Normal"/>
    <w:rsid w:val="0015674E"/>
    <w:pPr>
      <w:tabs>
        <w:tab w:val="left" w:pos="576"/>
      </w:tabs>
      <w:ind w:firstLine="576"/>
    </w:pPr>
  </w:style>
  <w:style w:type="paragraph" w:customStyle="1" w:styleId="T0-ChapPgHd">
    <w:name w:val="T0-Chap/Pg Hd"/>
    <w:basedOn w:val="Normal"/>
    <w:rsid w:val="0015674E"/>
    <w:pPr>
      <w:tabs>
        <w:tab w:val="left" w:pos="8640"/>
      </w:tabs>
    </w:pPr>
    <w:rPr>
      <w:rFonts w:ascii="Franklin Gothic Medium" w:hAnsi="Franklin Gothic Medium"/>
      <w:szCs w:val="24"/>
      <w:u w:val="words"/>
    </w:rPr>
  </w:style>
  <w:style w:type="paragraph" w:styleId="TOC1">
    <w:name w:val="toc 1"/>
    <w:basedOn w:val="Normal"/>
    <w:uiPriority w:val="39"/>
    <w:rsid w:val="0015674E"/>
    <w:pPr>
      <w:tabs>
        <w:tab w:val="left" w:pos="1440"/>
        <w:tab w:val="right" w:leader="dot" w:pos="8208"/>
        <w:tab w:val="left" w:pos="8640"/>
      </w:tabs>
      <w:ind w:left="1440" w:right="1800" w:hanging="1152"/>
    </w:pPr>
  </w:style>
  <w:style w:type="paragraph" w:styleId="TOC2">
    <w:name w:val="toc 2"/>
    <w:basedOn w:val="Normal"/>
    <w:uiPriority w:val="39"/>
    <w:rsid w:val="0015674E"/>
    <w:pPr>
      <w:tabs>
        <w:tab w:val="left" w:pos="2160"/>
        <w:tab w:val="right" w:leader="dot" w:pos="8208"/>
        <w:tab w:val="left" w:pos="8640"/>
      </w:tabs>
      <w:ind w:left="2160" w:right="1800" w:hanging="720"/>
    </w:pPr>
    <w:rPr>
      <w:szCs w:val="22"/>
    </w:rPr>
  </w:style>
  <w:style w:type="paragraph" w:styleId="TOC3">
    <w:name w:val="toc 3"/>
    <w:basedOn w:val="Normal"/>
    <w:uiPriority w:val="39"/>
    <w:rsid w:val="0015674E"/>
    <w:pPr>
      <w:tabs>
        <w:tab w:val="left" w:pos="3024"/>
        <w:tab w:val="right" w:leader="dot" w:pos="8208"/>
        <w:tab w:val="left" w:pos="8640"/>
      </w:tabs>
      <w:ind w:left="3024" w:right="1800" w:hanging="864"/>
    </w:pPr>
  </w:style>
  <w:style w:type="paragraph" w:styleId="TOC4">
    <w:name w:val="toc 4"/>
    <w:basedOn w:val="Normal"/>
    <w:uiPriority w:val="39"/>
    <w:rsid w:val="0015674E"/>
    <w:pPr>
      <w:tabs>
        <w:tab w:val="left" w:pos="3888"/>
        <w:tab w:val="right" w:leader="dot" w:pos="8208"/>
        <w:tab w:val="left" w:pos="8640"/>
      </w:tabs>
      <w:ind w:left="3888" w:right="1800" w:hanging="864"/>
    </w:pPr>
  </w:style>
  <w:style w:type="paragraph" w:styleId="TOC5">
    <w:name w:val="toc 5"/>
    <w:basedOn w:val="Normal"/>
    <w:semiHidden/>
    <w:rsid w:val="0015674E"/>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15674E"/>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15674E"/>
    <w:pPr>
      <w:tabs>
        <w:tab w:val="left" w:pos="2232"/>
      </w:tabs>
      <w:spacing w:line="240" w:lineRule="exact"/>
    </w:pPr>
    <w:rPr>
      <w:vanish/>
    </w:rPr>
  </w:style>
  <w:style w:type="paragraph" w:customStyle="1" w:styleId="R1-ResPara">
    <w:name w:val="R1-Res. Para"/>
    <w:basedOn w:val="Normal"/>
    <w:rsid w:val="0015674E"/>
    <w:pPr>
      <w:ind w:left="288"/>
    </w:pPr>
  </w:style>
  <w:style w:type="paragraph" w:customStyle="1" w:styleId="R2-ResBullet">
    <w:name w:val="R2-Res Bullet"/>
    <w:basedOn w:val="Normal"/>
    <w:rsid w:val="0015674E"/>
    <w:pPr>
      <w:tabs>
        <w:tab w:val="left" w:pos="720"/>
      </w:tabs>
      <w:ind w:left="720" w:hanging="432"/>
    </w:pPr>
  </w:style>
  <w:style w:type="paragraph" w:customStyle="1" w:styleId="RF-Reference">
    <w:name w:val="RF-Reference"/>
    <w:basedOn w:val="Normal"/>
    <w:rsid w:val="0015674E"/>
    <w:pPr>
      <w:spacing w:line="240" w:lineRule="exact"/>
      <w:ind w:left="216" w:hanging="216"/>
    </w:pPr>
  </w:style>
  <w:style w:type="paragraph" w:customStyle="1" w:styleId="RH-SglSpHead">
    <w:name w:val="RH-Sgl Sp Head"/>
    <w:basedOn w:val="Heading1"/>
    <w:next w:val="RL-FlLftSgl"/>
    <w:rsid w:val="0015674E"/>
    <w:pPr>
      <w:pBdr>
        <w:bottom w:val="single" w:sz="24" w:space="1" w:color="AFBED9"/>
      </w:pBdr>
      <w:spacing w:after="480" w:line="360" w:lineRule="exact"/>
    </w:pPr>
    <w:rPr>
      <w:sz w:val="36"/>
      <w:u w:color="324162"/>
    </w:rPr>
  </w:style>
  <w:style w:type="paragraph" w:customStyle="1" w:styleId="RL-FlLftSgl">
    <w:name w:val="RL-Fl Lft Sgl"/>
    <w:basedOn w:val="Heading1"/>
    <w:rsid w:val="0015674E"/>
    <w:pPr>
      <w:spacing w:after="0" w:line="240" w:lineRule="atLeast"/>
      <w:ind w:left="0" w:firstLine="0"/>
    </w:pPr>
    <w:rPr>
      <w:sz w:val="24"/>
    </w:rPr>
  </w:style>
  <w:style w:type="paragraph" w:customStyle="1" w:styleId="SU-FlLftUndln">
    <w:name w:val="SU-Fl Lft Undln"/>
    <w:basedOn w:val="Normal"/>
    <w:rsid w:val="0015674E"/>
    <w:pPr>
      <w:keepNext/>
      <w:spacing w:line="240" w:lineRule="exact"/>
    </w:pPr>
    <w:rPr>
      <w:u w:val="single"/>
    </w:rPr>
  </w:style>
  <w:style w:type="paragraph" w:customStyle="1" w:styleId="Header-1">
    <w:name w:val="Header-1"/>
    <w:basedOn w:val="Heading1"/>
    <w:rsid w:val="0015674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15674E"/>
    <w:pPr>
      <w:spacing w:after="0"/>
      <w:jc w:val="right"/>
    </w:pPr>
    <w:rPr>
      <w:sz w:val="40"/>
    </w:rPr>
  </w:style>
  <w:style w:type="character" w:styleId="PageNumber">
    <w:name w:val="page number"/>
    <w:basedOn w:val="DefaultParagraphFont"/>
    <w:rsid w:val="0015674E"/>
  </w:style>
  <w:style w:type="paragraph" w:customStyle="1" w:styleId="R0-FLLftSglBoldItalic">
    <w:name w:val="R0-FL Lft Sgl Bold Italic"/>
    <w:basedOn w:val="Heading1"/>
    <w:rsid w:val="0015674E"/>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15674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67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15674E"/>
    <w:rPr>
      <w:rFonts w:ascii="Franklin Gothic Medium" w:hAnsi="Franklin Gothic Medium"/>
    </w:rPr>
  </w:style>
  <w:style w:type="paragraph" w:customStyle="1" w:styleId="TH-TableHeading">
    <w:name w:val="TH-Table Heading"/>
    <w:basedOn w:val="Heading1"/>
    <w:rsid w:val="0015674E"/>
    <w:pPr>
      <w:spacing w:after="0" w:line="240" w:lineRule="atLeast"/>
      <w:ind w:left="0" w:firstLine="0"/>
      <w:jc w:val="center"/>
    </w:pPr>
    <w:rPr>
      <w:color w:val="auto"/>
      <w:sz w:val="20"/>
    </w:rPr>
  </w:style>
  <w:style w:type="paragraph" w:styleId="TOC6">
    <w:name w:val="toc 6"/>
    <w:semiHidden/>
    <w:rsid w:val="0015674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15674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15674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15674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15674E"/>
    <w:rPr>
      <w:rFonts w:ascii="Franklin Gothic Medium" w:hAnsi="Franklin Gothic Medium"/>
      <w:sz w:val="20"/>
    </w:rPr>
  </w:style>
  <w:style w:type="paragraph" w:styleId="ListParagraph">
    <w:name w:val="List Paragraph"/>
    <w:basedOn w:val="Normal"/>
    <w:uiPriority w:val="34"/>
    <w:qFormat/>
    <w:rsid w:val="0015674E"/>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15674E"/>
    <w:rPr>
      <w:rFonts w:ascii="Times New Roman" w:eastAsia="Times New Roman" w:hAnsi="Times New Roman" w:cs="Times New Roman"/>
      <w:sz w:val="24"/>
      <w:szCs w:val="20"/>
    </w:rPr>
  </w:style>
  <w:style w:type="paragraph" w:styleId="BodyTextIndent3">
    <w:name w:val="Body Text Indent 3"/>
    <w:basedOn w:val="Normal"/>
    <w:link w:val="BodyTextIndent3Char"/>
    <w:rsid w:val="0015674E"/>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5674E"/>
    <w:rPr>
      <w:rFonts w:ascii="Times New Roman" w:eastAsia="Times New Roman" w:hAnsi="Times New Roman" w:cs="Times New Roman"/>
    </w:rPr>
  </w:style>
  <w:style w:type="table" w:styleId="TableGrid">
    <w:name w:val="Table Grid"/>
    <w:aliases w:val="2M Table Grid"/>
    <w:basedOn w:val="TableNormal"/>
    <w:uiPriority w:val="59"/>
    <w:rsid w:val="001567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15674E"/>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15674E"/>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15674E"/>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674E"/>
    <w:rPr>
      <w:rFonts w:ascii="Tahoma" w:hAnsi="Tahoma" w:cs="Tahoma"/>
      <w:sz w:val="16"/>
      <w:szCs w:val="16"/>
    </w:rPr>
  </w:style>
  <w:style w:type="paragraph" w:styleId="BodyTextIndent2">
    <w:name w:val="Body Text Indent 2"/>
    <w:basedOn w:val="Normal"/>
    <w:link w:val="BodyTextIndent2Char"/>
    <w:uiPriority w:val="99"/>
    <w:unhideWhenUsed/>
    <w:rsid w:val="0015674E"/>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15674E"/>
  </w:style>
  <w:style w:type="character" w:customStyle="1" w:styleId="N1-1stBulletChar">
    <w:name w:val="N1-1st Bullet Char"/>
    <w:basedOn w:val="DefaultParagraphFont"/>
    <w:link w:val="N1-1stBullet"/>
    <w:locked/>
    <w:rsid w:val="0015674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5674E"/>
    <w:rPr>
      <w:sz w:val="16"/>
      <w:szCs w:val="16"/>
    </w:rPr>
  </w:style>
  <w:style w:type="paragraph" w:styleId="CommentText">
    <w:name w:val="annotation text"/>
    <w:basedOn w:val="Normal"/>
    <w:link w:val="CommentTextChar"/>
    <w:uiPriority w:val="99"/>
    <w:unhideWhenUsed/>
    <w:rsid w:val="0015674E"/>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5674E"/>
    <w:rPr>
      <w:sz w:val="20"/>
      <w:szCs w:val="20"/>
    </w:rPr>
  </w:style>
  <w:style w:type="paragraph" w:styleId="CommentSubject">
    <w:name w:val="annotation subject"/>
    <w:basedOn w:val="CommentText"/>
    <w:next w:val="CommentText"/>
    <w:link w:val="CommentSubjectChar"/>
    <w:uiPriority w:val="99"/>
    <w:semiHidden/>
    <w:unhideWhenUsed/>
    <w:rsid w:val="0015674E"/>
    <w:rPr>
      <w:b/>
      <w:bCs/>
    </w:rPr>
  </w:style>
  <w:style w:type="character" w:customStyle="1" w:styleId="CommentSubjectChar">
    <w:name w:val="Comment Subject Char"/>
    <w:basedOn w:val="CommentTextChar"/>
    <w:link w:val="CommentSubject"/>
    <w:uiPriority w:val="99"/>
    <w:semiHidden/>
    <w:rsid w:val="0015674E"/>
    <w:rPr>
      <w:b/>
      <w:bCs/>
      <w:sz w:val="20"/>
      <w:szCs w:val="20"/>
    </w:rPr>
  </w:style>
  <w:style w:type="paragraph" w:styleId="BodyTextIndent">
    <w:name w:val="Body Text Indent"/>
    <w:basedOn w:val="Normal"/>
    <w:link w:val="BodyTextIndentChar"/>
    <w:uiPriority w:val="99"/>
    <w:unhideWhenUsed/>
    <w:rsid w:val="0015674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5674E"/>
  </w:style>
  <w:style w:type="character" w:styleId="Hyperlink">
    <w:name w:val="Hyperlink"/>
    <w:basedOn w:val="DefaultParagraphFont"/>
    <w:uiPriority w:val="99"/>
    <w:rsid w:val="0015674E"/>
    <w:rPr>
      <w:rFonts w:cs="Times New Roman"/>
      <w:color w:val="0000FF"/>
      <w:u w:val="single"/>
    </w:rPr>
  </w:style>
  <w:style w:type="table" w:customStyle="1" w:styleId="LightShading-Accent11">
    <w:name w:val="Light Shading - Accent 11"/>
    <w:basedOn w:val="TableNormal"/>
    <w:uiPriority w:val="60"/>
    <w:rsid w:val="0015674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
    <w:name w:val="Body Text"/>
    <w:basedOn w:val="Normal"/>
    <w:link w:val="BodyTextChar"/>
    <w:uiPriority w:val="99"/>
    <w:unhideWhenUsed/>
    <w:rsid w:val="0015674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15674E"/>
  </w:style>
  <w:style w:type="paragraph" w:customStyle="1" w:styleId="L1-FlLfSp12">
    <w:name w:val="L1-FlLfSp&amp;1/2"/>
    <w:rsid w:val="0015674E"/>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15674E"/>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5674E"/>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5674E"/>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15674E"/>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15674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15674E"/>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15674E"/>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15674E"/>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15674E"/>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5674E"/>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15674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15674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15674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15674E"/>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15674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15674E"/>
    <w:rPr>
      <w:b/>
      <w:i/>
      <w:vanish/>
      <w:color w:val="000000"/>
    </w:rPr>
  </w:style>
  <w:style w:type="paragraph" w:customStyle="1" w:styleId="AnnotatedParagraph">
    <w:name w:val="AnnotatedParagraph"/>
    <w:basedOn w:val="Normal"/>
    <w:rsid w:val="0015674E"/>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qFormat/>
    <w:rsid w:val="0022046D"/>
    <w:rPr>
      <w:vertAlign w:val="superscript"/>
    </w:rPr>
  </w:style>
  <w:style w:type="paragraph" w:customStyle="1" w:styleId="Pa2">
    <w:name w:val="Pa2"/>
    <w:basedOn w:val="Normal"/>
    <w:next w:val="Normal"/>
    <w:uiPriority w:val="99"/>
    <w:rsid w:val="0015674E"/>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15674E"/>
    <w:rPr>
      <w:b/>
      <w:bCs/>
    </w:rPr>
  </w:style>
  <w:style w:type="paragraph" w:styleId="ListBullet">
    <w:name w:val="List Bullet"/>
    <w:basedOn w:val="Normal"/>
    <w:uiPriority w:val="99"/>
    <w:unhideWhenUsed/>
    <w:rsid w:val="0015674E"/>
    <w:pPr>
      <w:numPr>
        <w:numId w:val="5"/>
      </w:numPr>
      <w:spacing w:line="360" w:lineRule="atLeast"/>
      <w:contextualSpacing/>
      <w:jc w:val="both"/>
    </w:pPr>
    <w:rPr>
      <w:rFonts w:ascii="Arial" w:hAnsi="Arial"/>
      <w:sz w:val="20"/>
    </w:rPr>
  </w:style>
  <w:style w:type="paragraph" w:styleId="Revision">
    <w:name w:val="Revision"/>
    <w:hidden/>
    <w:uiPriority w:val="99"/>
    <w:semiHidden/>
    <w:rsid w:val="0015674E"/>
    <w:pPr>
      <w:spacing w:after="0" w:line="240" w:lineRule="auto"/>
    </w:pPr>
    <w:rPr>
      <w:rFonts w:ascii="Arial" w:eastAsia="Times New Roman" w:hAnsi="Arial" w:cs="Times New Roman"/>
      <w:sz w:val="20"/>
      <w:szCs w:val="20"/>
    </w:rPr>
  </w:style>
  <w:style w:type="paragraph" w:styleId="NoSpacing">
    <w:name w:val="No Spacing"/>
    <w:uiPriority w:val="1"/>
    <w:qFormat/>
    <w:rsid w:val="0015674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56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5674E"/>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15674E"/>
  </w:style>
  <w:style w:type="paragraph" w:customStyle="1" w:styleId="bodytextblack">
    <w:name w:val="bodytextblack"/>
    <w:basedOn w:val="Normal"/>
    <w:rsid w:val="0015674E"/>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15674E"/>
    <w:pPr>
      <w:keepLines/>
      <w:tabs>
        <w:tab w:val="clear" w:pos="1152"/>
      </w:tabs>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ja-JP"/>
    </w:rPr>
  </w:style>
  <w:style w:type="paragraph" w:customStyle="1" w:styleId="CENTERSINGLESPACE">
    <w:name w:val="CENTER SINGLE SPACE"/>
    <w:rsid w:val="0015674E"/>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15674E"/>
    <w:rPr>
      <w:sz w:val="22"/>
    </w:rPr>
  </w:style>
  <w:style w:type="character" w:styleId="FollowedHyperlink">
    <w:name w:val="FollowedHyperlink"/>
    <w:basedOn w:val="DefaultParagraphFont"/>
    <w:uiPriority w:val="99"/>
    <w:semiHidden/>
    <w:unhideWhenUsed/>
    <w:rsid w:val="0015674E"/>
    <w:rPr>
      <w:color w:val="954F72" w:themeColor="followedHyperlink"/>
      <w:u w:val="single"/>
    </w:rPr>
  </w:style>
  <w:style w:type="paragraph" w:customStyle="1" w:styleId="Default">
    <w:name w:val="Default"/>
    <w:rsid w:val="0015674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2MTableGrid1">
    <w:name w:val="2M Table Grid1"/>
    <w:basedOn w:val="TableNormal"/>
    <w:next w:val="TableGrid"/>
    <w:uiPriority w:val="39"/>
    <w:rsid w:val="00F1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
    <w:name w:val="Head4"/>
    <w:basedOn w:val="Normal"/>
    <w:link w:val="Head4Char"/>
    <w:qFormat/>
    <w:rsid w:val="001240E7"/>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volume">
    <w:name w:val="volume"/>
    <w:basedOn w:val="DefaultParagraphFont"/>
    <w:rsid w:val="0070151B"/>
  </w:style>
  <w:style w:type="character" w:customStyle="1" w:styleId="page">
    <w:name w:val="page"/>
    <w:basedOn w:val="DefaultParagraphFont"/>
    <w:rsid w:val="0070151B"/>
  </w:style>
  <w:style w:type="paragraph" w:customStyle="1" w:styleId="TableText">
    <w:name w:val="Table Text"/>
    <w:basedOn w:val="Normal"/>
    <w:link w:val="TableTextChar"/>
    <w:qFormat/>
    <w:rsid w:val="007D2669"/>
    <w:pPr>
      <w:spacing w:line="240" w:lineRule="auto"/>
    </w:pPr>
    <w:rPr>
      <w:rFonts w:ascii="Arial" w:hAnsi="Arial"/>
      <w:sz w:val="18"/>
      <w:szCs w:val="24"/>
    </w:rPr>
  </w:style>
  <w:style w:type="paragraph" w:customStyle="1" w:styleId="TableNotes">
    <w:name w:val="Table Notes"/>
    <w:link w:val="TableNotesChar"/>
    <w:qFormat/>
    <w:rsid w:val="007D2669"/>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7D2669"/>
    <w:rPr>
      <w:rFonts w:ascii="Arial" w:eastAsia="Times New Roman" w:hAnsi="Arial" w:cs="Times New Roman"/>
      <w:sz w:val="18"/>
      <w:szCs w:val="24"/>
    </w:rPr>
  </w:style>
  <w:style w:type="paragraph" w:customStyle="1" w:styleId="TableHeaderRow">
    <w:name w:val="Table Header Row"/>
    <w:link w:val="TableHeaderRowChar"/>
    <w:qFormat/>
    <w:rsid w:val="007D2669"/>
    <w:pPr>
      <w:keepNext/>
      <w:keepLines/>
      <w:spacing w:after="0" w:line="240" w:lineRule="auto"/>
    </w:pPr>
    <w:rPr>
      <w:rFonts w:asciiTheme="majorHAnsi" w:hAnsiTheme="majorHAnsi"/>
      <w:i/>
      <w:color w:val="2E74B5" w:themeColor="accent1" w:themeShade="BF"/>
      <w:szCs w:val="18"/>
    </w:rPr>
  </w:style>
  <w:style w:type="character" w:customStyle="1" w:styleId="TableHeaderRowChar">
    <w:name w:val="Table Header Row Char"/>
    <w:basedOn w:val="DefaultParagraphFont"/>
    <w:link w:val="TableHeaderRow"/>
    <w:rsid w:val="007D2669"/>
    <w:rPr>
      <w:rFonts w:asciiTheme="majorHAnsi" w:hAnsiTheme="majorHAnsi"/>
      <w:i/>
      <w:color w:val="2E74B5" w:themeColor="accent1" w:themeShade="BF"/>
      <w:szCs w:val="18"/>
    </w:rPr>
  </w:style>
  <w:style w:type="paragraph" w:customStyle="1" w:styleId="InternalTableHead">
    <w:name w:val="InternalTableHead"/>
    <w:basedOn w:val="TableHeaderRow"/>
    <w:link w:val="InternalTableHeadChar"/>
    <w:qFormat/>
    <w:rsid w:val="007D2669"/>
    <w:pPr>
      <w:spacing w:before="120"/>
    </w:pPr>
    <w:rPr>
      <w:caps/>
    </w:rPr>
  </w:style>
  <w:style w:type="character" w:customStyle="1" w:styleId="InternalTableHeadChar">
    <w:name w:val="InternalTableHead Char"/>
    <w:basedOn w:val="TableHeaderRowChar"/>
    <w:link w:val="InternalTableHead"/>
    <w:rsid w:val="007D2669"/>
    <w:rPr>
      <w:rFonts w:asciiTheme="majorHAnsi" w:hAnsiTheme="majorHAnsi"/>
      <w:i/>
      <w:caps/>
      <w:color w:val="2E74B5" w:themeColor="accent1" w:themeShade="BF"/>
      <w:szCs w:val="18"/>
    </w:rPr>
  </w:style>
  <w:style w:type="character" w:customStyle="1" w:styleId="TableNotesChar">
    <w:name w:val="Table Notes Char"/>
    <w:basedOn w:val="DefaultParagraphFont"/>
    <w:link w:val="TableNotes"/>
    <w:rsid w:val="007D2669"/>
    <w:rPr>
      <w:rFonts w:ascii="Lato Medium" w:hAnsi="Lato Medium"/>
      <w:kern w:val="16"/>
      <w:sz w:val="14"/>
    </w:rPr>
  </w:style>
  <w:style w:type="paragraph" w:customStyle="1" w:styleId="Bullets">
    <w:name w:val="Bullets"/>
    <w:basedOn w:val="BodyText"/>
    <w:rsid w:val="007B5C58"/>
    <w:pPr>
      <w:spacing w:line="264" w:lineRule="auto"/>
      <w:ind w:left="360" w:hanging="360"/>
    </w:pPr>
    <w:rPr>
      <w:rFonts w:ascii="Times New Roman" w:eastAsia="Times New Roman" w:hAnsi="Times New Roman" w:cs="Times New Roman"/>
      <w:color w:val="000000"/>
    </w:rPr>
  </w:style>
  <w:style w:type="paragraph" w:customStyle="1" w:styleId="Tables">
    <w:name w:val="Tables"/>
    <w:basedOn w:val="Heading4"/>
    <w:link w:val="TablesChar"/>
    <w:qFormat/>
    <w:rsid w:val="007A62D9"/>
    <w:pPr>
      <w:tabs>
        <w:tab w:val="left" w:pos="1260"/>
      </w:tabs>
      <w:ind w:left="1267" w:hanging="1267"/>
    </w:pPr>
    <w:rPr>
      <w:rFonts w:ascii="Times New Roman" w:hAnsi="Times New Roman"/>
      <w:i w:val="0"/>
      <w:szCs w:val="24"/>
    </w:rPr>
  </w:style>
  <w:style w:type="character" w:customStyle="1" w:styleId="TT-TableTitleChar">
    <w:name w:val="TT-Table Title Char"/>
    <w:basedOn w:val="Heading1Char"/>
    <w:link w:val="TT-TableTitle"/>
    <w:rsid w:val="00A03BDC"/>
    <w:rPr>
      <w:rFonts w:ascii="Franklin Gothic Medium" w:eastAsia="Times New Roman" w:hAnsi="Franklin Gothic Medium" w:cs="Times New Roman"/>
      <w:b w:val="0"/>
      <w:color w:val="324162"/>
      <w:sz w:val="32"/>
      <w:szCs w:val="20"/>
    </w:rPr>
  </w:style>
  <w:style w:type="character" w:customStyle="1" w:styleId="TablesChar">
    <w:name w:val="Tables Char"/>
    <w:basedOn w:val="TT-TableTitleChar"/>
    <w:link w:val="Tables"/>
    <w:rsid w:val="007A62D9"/>
    <w:rPr>
      <w:rFonts w:ascii="Times New Roman" w:eastAsia="Times New Roman" w:hAnsi="Times New Roman" w:cs="Times New Roman"/>
      <w:b/>
      <w:color w:val="324162"/>
      <w:sz w:val="24"/>
      <w:szCs w:val="24"/>
    </w:rPr>
  </w:style>
  <w:style w:type="character" w:customStyle="1" w:styleId="num">
    <w:name w:val="num"/>
    <w:basedOn w:val="DefaultParagraphFont"/>
    <w:rsid w:val="007926ED"/>
  </w:style>
  <w:style w:type="character" w:customStyle="1" w:styleId="heading">
    <w:name w:val="heading"/>
    <w:basedOn w:val="DefaultParagraphFont"/>
    <w:rsid w:val="007926ED"/>
  </w:style>
  <w:style w:type="character" w:customStyle="1" w:styleId="apple-converted-space">
    <w:name w:val="apple-converted-space"/>
    <w:basedOn w:val="DefaultParagraphFont"/>
    <w:rsid w:val="007926ED"/>
  </w:style>
  <w:style w:type="character" w:customStyle="1" w:styleId="Date1">
    <w:name w:val="Date1"/>
    <w:basedOn w:val="DefaultParagraphFont"/>
    <w:rsid w:val="007926ED"/>
  </w:style>
  <w:style w:type="paragraph" w:customStyle="1" w:styleId="Heading31">
    <w:name w:val="Heading 31"/>
    <w:basedOn w:val="Heading3"/>
    <w:link w:val="heading3Char0"/>
    <w:qFormat/>
    <w:rsid w:val="007A62D9"/>
    <w:rPr>
      <w:rFonts w:ascii="Times New Roman" w:hAnsi="Times New Roman"/>
    </w:rPr>
  </w:style>
  <w:style w:type="paragraph" w:customStyle="1" w:styleId="Datacollectioninstr">
    <w:name w:val="Data collection instr"/>
    <w:basedOn w:val="Normal"/>
    <w:next w:val="Heading4"/>
    <w:qFormat/>
    <w:rsid w:val="0016349E"/>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Head4Char">
    <w:name w:val="Head4 Char"/>
    <w:basedOn w:val="DefaultParagraphFont"/>
    <w:link w:val="Head4"/>
    <w:rsid w:val="007A62D9"/>
    <w:rPr>
      <w:rFonts w:ascii="Times New Roman" w:eastAsia="Times New Roman" w:hAnsi="Times New Roman" w:cs="Arial"/>
      <w:b/>
      <w:sz w:val="24"/>
      <w:szCs w:val="20"/>
    </w:rPr>
  </w:style>
  <w:style w:type="character" w:customStyle="1" w:styleId="heading3Char0">
    <w:name w:val="heading 3 Char"/>
    <w:basedOn w:val="Head4Char"/>
    <w:link w:val="Heading31"/>
    <w:rsid w:val="007A62D9"/>
    <w:rPr>
      <w:rFonts w:ascii="Times New Roman" w:eastAsia="Times New Roman" w:hAnsi="Times New Roman" w:cs="Times New Roman"/>
      <w:b/>
      <w:sz w:val="24"/>
      <w:szCs w:val="20"/>
    </w:rPr>
  </w:style>
  <w:style w:type="character" w:customStyle="1" w:styleId="UnresolvedMention1">
    <w:name w:val="Unresolved Mention1"/>
    <w:basedOn w:val="DefaultParagraphFont"/>
    <w:uiPriority w:val="99"/>
    <w:semiHidden/>
    <w:unhideWhenUsed/>
    <w:rsid w:val="00B83F75"/>
    <w:rPr>
      <w:color w:val="808080"/>
      <w:shd w:val="clear" w:color="auto" w:fill="E6E6E6"/>
    </w:rPr>
  </w:style>
  <w:style w:type="character" w:customStyle="1" w:styleId="UnresolvedMention2">
    <w:name w:val="Unresolved Mention2"/>
    <w:basedOn w:val="DefaultParagraphFont"/>
    <w:uiPriority w:val="99"/>
    <w:semiHidden/>
    <w:unhideWhenUsed/>
    <w:rsid w:val="00A71158"/>
    <w:rPr>
      <w:color w:val="808080"/>
      <w:shd w:val="clear" w:color="auto" w:fill="E6E6E6"/>
    </w:rPr>
  </w:style>
  <w:style w:type="character" w:customStyle="1" w:styleId="UnresolvedMention3">
    <w:name w:val="Unresolved Mention3"/>
    <w:basedOn w:val="DefaultParagraphFont"/>
    <w:uiPriority w:val="99"/>
    <w:semiHidden/>
    <w:unhideWhenUsed/>
    <w:rsid w:val="00502381"/>
    <w:rPr>
      <w:color w:val="808080"/>
      <w:shd w:val="clear" w:color="auto" w:fill="E6E6E6"/>
    </w:rPr>
  </w:style>
  <w:style w:type="character" w:customStyle="1" w:styleId="L1-FlLSp12Char">
    <w:name w:val="L1-FlL Sp&amp;1/2 Char"/>
    <w:basedOn w:val="DefaultParagraphFont"/>
    <w:link w:val="L1-FlLSp12"/>
    <w:locked/>
    <w:rsid w:val="00F97B24"/>
    <w:rPr>
      <w:rFonts w:ascii="Times New Roman" w:eastAsia="Times New Roman" w:hAnsi="Times New Roman" w:cs="Times New Roman"/>
      <w:sz w:val="24"/>
      <w:szCs w:val="20"/>
    </w:rPr>
  </w:style>
  <w:style w:type="table" w:styleId="LightShading">
    <w:name w:val="Light Shading"/>
    <w:basedOn w:val="TableNormal"/>
    <w:uiPriority w:val="60"/>
    <w:semiHidden/>
    <w:unhideWhenUsed/>
    <w:rsid w:val="00072D33"/>
    <w:pPr>
      <w:spacing w:after="0" w:line="240" w:lineRule="auto"/>
    </w:pPr>
    <w:rPr>
      <w:rFonts w:ascii="Garamond" w:eastAsia="Times New Roman" w:hAnsi="Garamond" w:cs="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11ptCalibrDBi-IPR">
    <w:name w:val="Body11ptCalibrDBi-IPR"/>
    <w:link w:val="Body11ptCalibrDBi-IPRChar"/>
    <w:qFormat/>
    <w:rsid w:val="007B18AD"/>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7B18AD"/>
    <w:rPr>
      <w:rFonts w:ascii="Calibri" w:eastAsia="Times New Roman" w:hAnsi="Calibri" w:cs="Times New Roman"/>
      <w:szCs w:val="24"/>
    </w:rPr>
  </w:style>
  <w:style w:type="character" w:customStyle="1" w:styleId="UnresolvedMention4">
    <w:name w:val="Unresolved Mention4"/>
    <w:basedOn w:val="DefaultParagraphFont"/>
    <w:uiPriority w:val="99"/>
    <w:semiHidden/>
    <w:unhideWhenUsed/>
    <w:rsid w:val="007C2BE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4E"/>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567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5674E"/>
    <w:pPr>
      <w:outlineLvl w:val="1"/>
    </w:pPr>
    <w:rPr>
      <w:sz w:val="28"/>
    </w:rPr>
  </w:style>
  <w:style w:type="paragraph" w:styleId="Heading3">
    <w:name w:val="heading 3"/>
    <w:aliases w:val="H3-Sec. Head"/>
    <w:basedOn w:val="Heading1"/>
    <w:next w:val="L1-FlLSp12"/>
    <w:link w:val="Heading3Char"/>
    <w:qFormat/>
    <w:rsid w:val="0015674E"/>
    <w:pPr>
      <w:outlineLvl w:val="2"/>
    </w:pPr>
    <w:rPr>
      <w:color w:val="auto"/>
      <w:sz w:val="24"/>
    </w:rPr>
  </w:style>
  <w:style w:type="paragraph" w:styleId="Heading4">
    <w:name w:val="heading 4"/>
    <w:aliases w:val="H4 Sec.Heading"/>
    <w:basedOn w:val="Heading1"/>
    <w:next w:val="L1-FlLSp12"/>
    <w:link w:val="Heading4Char"/>
    <w:qFormat/>
    <w:rsid w:val="0015674E"/>
    <w:pPr>
      <w:outlineLvl w:val="3"/>
    </w:pPr>
    <w:rPr>
      <w:i/>
      <w:color w:val="auto"/>
      <w:sz w:val="24"/>
    </w:rPr>
  </w:style>
  <w:style w:type="paragraph" w:styleId="Heading5">
    <w:name w:val="heading 5"/>
    <w:basedOn w:val="Normal"/>
    <w:next w:val="Normal"/>
    <w:link w:val="Heading5Char"/>
    <w:qFormat/>
    <w:rsid w:val="0015674E"/>
    <w:pPr>
      <w:keepLines/>
      <w:spacing w:before="360" w:line="360" w:lineRule="atLeast"/>
      <w:jc w:val="center"/>
      <w:outlineLvl w:val="4"/>
    </w:pPr>
  </w:style>
  <w:style w:type="paragraph" w:styleId="Heading6">
    <w:name w:val="heading 6"/>
    <w:basedOn w:val="Normal"/>
    <w:next w:val="Normal"/>
    <w:link w:val="Heading6Char"/>
    <w:qFormat/>
    <w:rsid w:val="0015674E"/>
    <w:pPr>
      <w:keepNext/>
      <w:spacing w:before="240"/>
      <w:jc w:val="center"/>
      <w:outlineLvl w:val="5"/>
    </w:pPr>
    <w:rPr>
      <w:b/>
      <w:caps/>
    </w:rPr>
  </w:style>
  <w:style w:type="paragraph" w:styleId="Heading7">
    <w:name w:val="heading 7"/>
    <w:basedOn w:val="Normal"/>
    <w:next w:val="Normal"/>
    <w:link w:val="Heading7Char"/>
    <w:qFormat/>
    <w:rsid w:val="001567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5674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5674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5674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15674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15674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5674E"/>
    <w:rPr>
      <w:rFonts w:ascii="Times New Roman" w:eastAsia="Times New Roman" w:hAnsi="Times New Roman" w:cs="Times New Roman"/>
      <w:b/>
      <w:caps/>
      <w:sz w:val="24"/>
      <w:szCs w:val="20"/>
    </w:rPr>
  </w:style>
  <w:style w:type="character" w:customStyle="1" w:styleId="Heading7Char">
    <w:name w:val="Heading 7 Char"/>
    <w:basedOn w:val="DefaultParagraphFont"/>
    <w:link w:val="Heading7"/>
    <w:rsid w:val="0015674E"/>
    <w:rPr>
      <w:rFonts w:ascii="Times New Roman" w:eastAsia="Times New Roman" w:hAnsi="Times New Roman" w:cs="Times New Roman"/>
      <w:sz w:val="24"/>
      <w:szCs w:val="20"/>
    </w:rPr>
  </w:style>
  <w:style w:type="paragraph" w:customStyle="1" w:styleId="C1-CtrBoldHd">
    <w:name w:val="C1-Ctr BoldHd"/>
    <w:rsid w:val="0015674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5674E"/>
    <w:pPr>
      <w:keepLines/>
      <w:jc w:val="center"/>
    </w:pPr>
  </w:style>
  <w:style w:type="paragraph" w:customStyle="1" w:styleId="C3-CtrSp12">
    <w:name w:val="C3-Ctr Sp&amp;1/2"/>
    <w:basedOn w:val="Normal"/>
    <w:rsid w:val="0015674E"/>
    <w:pPr>
      <w:keepLines/>
      <w:spacing w:line="360" w:lineRule="atLeast"/>
      <w:jc w:val="center"/>
    </w:pPr>
  </w:style>
  <w:style w:type="paragraph" w:customStyle="1" w:styleId="E1-Equation">
    <w:name w:val="E1-Equation"/>
    <w:basedOn w:val="Normal"/>
    <w:rsid w:val="0015674E"/>
    <w:pPr>
      <w:tabs>
        <w:tab w:val="center" w:pos="4680"/>
        <w:tab w:val="right" w:pos="9360"/>
      </w:tabs>
    </w:pPr>
  </w:style>
  <w:style w:type="paragraph" w:customStyle="1" w:styleId="E2-Equation">
    <w:name w:val="E2-Equation"/>
    <w:basedOn w:val="Normal"/>
    <w:rsid w:val="0015674E"/>
    <w:pPr>
      <w:tabs>
        <w:tab w:val="right" w:pos="1152"/>
        <w:tab w:val="center" w:pos="1440"/>
        <w:tab w:val="left" w:pos="1728"/>
      </w:tabs>
      <w:ind w:left="1728" w:hanging="1728"/>
    </w:pPr>
  </w:style>
  <w:style w:type="paragraph" w:styleId="Footer">
    <w:name w:val="footer"/>
    <w:basedOn w:val="Normal"/>
    <w:link w:val="FooterChar"/>
    <w:uiPriority w:val="99"/>
    <w:rsid w:val="0015674E"/>
    <w:pPr>
      <w:tabs>
        <w:tab w:val="center" w:pos="4320"/>
        <w:tab w:val="right" w:pos="8640"/>
      </w:tabs>
    </w:pPr>
  </w:style>
  <w:style w:type="character" w:customStyle="1" w:styleId="FooterChar">
    <w:name w:val="Footer Char"/>
    <w:basedOn w:val="DefaultParagraphFont"/>
    <w:link w:val="Footer"/>
    <w:uiPriority w:val="99"/>
    <w:rsid w:val="0015674E"/>
    <w:rPr>
      <w:rFonts w:ascii="Times New Roman" w:eastAsia="Times New Roman" w:hAnsi="Times New Roman" w:cs="Times New Roman"/>
      <w:sz w:val="24"/>
      <w:szCs w:val="20"/>
    </w:rPr>
  </w:style>
  <w:style w:type="paragraph" w:styleId="FootnoteText">
    <w:name w:val="footnote text"/>
    <w:aliases w:val="F1,Footnote Text2,F,Footnote Text Char Char"/>
    <w:link w:val="FootnoteTextChar"/>
    <w:qFormat/>
    <w:rsid w:val="007C2BE3"/>
    <w:pPr>
      <w:widowControl w:val="0"/>
      <w:tabs>
        <w:tab w:val="left" w:pos="120"/>
      </w:tabs>
      <w:spacing w:after="0" w:line="240" w:lineRule="auto"/>
      <w:ind w:left="216" w:hanging="216"/>
    </w:pPr>
    <w:rPr>
      <w:rFonts w:ascii="Times New Roman" w:eastAsia="Times New Roman" w:hAnsi="Times New Roman" w:cs="Times New Roman"/>
      <w:sz w:val="20"/>
      <w:szCs w:val="20"/>
    </w:rPr>
  </w:style>
  <w:style w:type="character" w:customStyle="1" w:styleId="FootnoteTextChar">
    <w:name w:val="Footnote Text Char"/>
    <w:aliases w:val="F1 Char,Footnote Text2 Char,F Char,Footnote Text Char Char Char"/>
    <w:basedOn w:val="DefaultParagraphFont"/>
    <w:link w:val="FootnoteText"/>
    <w:rsid w:val="0015674E"/>
    <w:rPr>
      <w:rFonts w:ascii="Times New Roman" w:eastAsia="Times New Roman" w:hAnsi="Times New Roman" w:cs="Times New Roman"/>
      <w:sz w:val="20"/>
      <w:szCs w:val="20"/>
    </w:rPr>
  </w:style>
  <w:style w:type="paragraph" w:styleId="Header">
    <w:name w:val="header"/>
    <w:basedOn w:val="Normal"/>
    <w:link w:val="HeaderChar"/>
    <w:uiPriority w:val="99"/>
    <w:rsid w:val="0015674E"/>
    <w:pPr>
      <w:tabs>
        <w:tab w:val="center" w:pos="4320"/>
        <w:tab w:val="right" w:pos="8640"/>
      </w:tabs>
    </w:pPr>
    <w:rPr>
      <w:sz w:val="16"/>
    </w:rPr>
  </w:style>
  <w:style w:type="character" w:customStyle="1" w:styleId="HeaderChar">
    <w:name w:val="Header Char"/>
    <w:basedOn w:val="DefaultParagraphFont"/>
    <w:link w:val="Header"/>
    <w:uiPriority w:val="99"/>
    <w:rsid w:val="0015674E"/>
    <w:rPr>
      <w:rFonts w:ascii="Times New Roman" w:eastAsia="Times New Roman" w:hAnsi="Times New Roman" w:cs="Times New Roman"/>
      <w:sz w:val="16"/>
      <w:szCs w:val="20"/>
    </w:rPr>
  </w:style>
  <w:style w:type="paragraph" w:customStyle="1" w:styleId="L1-FlLSp12">
    <w:name w:val="L1-FlL Sp&amp;1/2"/>
    <w:basedOn w:val="Normal"/>
    <w:link w:val="L1-FlLSp12Char"/>
    <w:qFormat/>
    <w:rsid w:val="007C2BE3"/>
    <w:pPr>
      <w:tabs>
        <w:tab w:val="left" w:pos="1152"/>
      </w:tabs>
      <w:spacing w:line="360" w:lineRule="atLeast"/>
    </w:pPr>
  </w:style>
  <w:style w:type="paragraph" w:customStyle="1" w:styleId="N0-FlLftBullet">
    <w:name w:val="N0-Fl Lft Bullet"/>
    <w:basedOn w:val="Normal"/>
    <w:rsid w:val="0015674E"/>
    <w:pPr>
      <w:tabs>
        <w:tab w:val="left" w:pos="576"/>
      </w:tabs>
      <w:spacing w:after="240"/>
      <w:ind w:left="576" w:hanging="576"/>
    </w:pPr>
  </w:style>
  <w:style w:type="paragraph" w:customStyle="1" w:styleId="N1-1stBullet">
    <w:name w:val="N1-1st Bullet"/>
    <w:basedOn w:val="Normal"/>
    <w:link w:val="N1-1stBulletChar"/>
    <w:rsid w:val="0015674E"/>
    <w:pPr>
      <w:numPr>
        <w:numId w:val="1"/>
      </w:numPr>
      <w:spacing w:after="240"/>
    </w:pPr>
  </w:style>
  <w:style w:type="paragraph" w:customStyle="1" w:styleId="N2-2ndBullet">
    <w:name w:val="N2-2nd Bullet"/>
    <w:basedOn w:val="Normal"/>
    <w:rsid w:val="0015674E"/>
    <w:pPr>
      <w:numPr>
        <w:numId w:val="2"/>
      </w:numPr>
      <w:spacing w:after="240"/>
    </w:pPr>
  </w:style>
  <w:style w:type="paragraph" w:customStyle="1" w:styleId="N3-3rdBullet">
    <w:name w:val="N3-3rd Bullet"/>
    <w:basedOn w:val="Normal"/>
    <w:rsid w:val="0015674E"/>
    <w:pPr>
      <w:numPr>
        <w:numId w:val="3"/>
      </w:numPr>
      <w:spacing w:after="240"/>
    </w:pPr>
  </w:style>
  <w:style w:type="paragraph" w:customStyle="1" w:styleId="N4-4thBullet">
    <w:name w:val="N4-4th Bullet"/>
    <w:basedOn w:val="Normal"/>
    <w:rsid w:val="0015674E"/>
    <w:pPr>
      <w:numPr>
        <w:numId w:val="4"/>
      </w:numPr>
      <w:spacing w:after="240"/>
    </w:pPr>
  </w:style>
  <w:style w:type="paragraph" w:customStyle="1" w:styleId="N5-5thBullet">
    <w:name w:val="N5-5th Bullet"/>
    <w:basedOn w:val="Normal"/>
    <w:rsid w:val="0015674E"/>
    <w:pPr>
      <w:tabs>
        <w:tab w:val="left" w:pos="3456"/>
      </w:tabs>
      <w:spacing w:after="240"/>
      <w:ind w:left="3456" w:hanging="576"/>
    </w:pPr>
  </w:style>
  <w:style w:type="paragraph" w:customStyle="1" w:styleId="N6-DateInd">
    <w:name w:val="N6-Date Ind."/>
    <w:basedOn w:val="Normal"/>
    <w:rsid w:val="0015674E"/>
    <w:pPr>
      <w:tabs>
        <w:tab w:val="left" w:pos="4910"/>
      </w:tabs>
      <w:ind w:left="4910"/>
    </w:pPr>
  </w:style>
  <w:style w:type="paragraph" w:customStyle="1" w:styleId="N7-3Block">
    <w:name w:val="N7-3&quot; Block"/>
    <w:basedOn w:val="Normal"/>
    <w:rsid w:val="0015674E"/>
    <w:pPr>
      <w:tabs>
        <w:tab w:val="left" w:pos="1152"/>
      </w:tabs>
      <w:ind w:left="1152" w:right="1152"/>
    </w:pPr>
  </w:style>
  <w:style w:type="paragraph" w:customStyle="1" w:styleId="N8-QxQBlock">
    <w:name w:val="N8-QxQ Block"/>
    <w:basedOn w:val="Normal"/>
    <w:rsid w:val="0015674E"/>
    <w:pPr>
      <w:tabs>
        <w:tab w:val="left" w:pos="1152"/>
      </w:tabs>
      <w:spacing w:after="360" w:line="360" w:lineRule="atLeast"/>
      <w:ind w:left="1152" w:hanging="1152"/>
    </w:pPr>
  </w:style>
  <w:style w:type="paragraph" w:customStyle="1" w:styleId="P1-StandPara">
    <w:name w:val="P1-Stand Para"/>
    <w:basedOn w:val="Normal"/>
    <w:link w:val="P1-StandParaChar"/>
    <w:rsid w:val="0015674E"/>
    <w:pPr>
      <w:spacing w:line="360" w:lineRule="atLeast"/>
      <w:ind w:firstLine="1152"/>
    </w:pPr>
  </w:style>
  <w:style w:type="paragraph" w:customStyle="1" w:styleId="Q1-BestFinQ">
    <w:name w:val="Q1-Best/Fin Q"/>
    <w:basedOn w:val="Heading1"/>
    <w:rsid w:val="0015674E"/>
    <w:pPr>
      <w:spacing w:line="240" w:lineRule="atLeast"/>
    </w:pPr>
    <w:rPr>
      <w:rFonts w:cs="Times New Roman Bold"/>
      <w:color w:val="auto"/>
      <w:sz w:val="24"/>
    </w:rPr>
  </w:style>
  <w:style w:type="paragraph" w:customStyle="1" w:styleId="SH-SglSpHead">
    <w:name w:val="SH-Sgl Sp Head"/>
    <w:basedOn w:val="Heading1"/>
    <w:rsid w:val="0015674E"/>
    <w:pPr>
      <w:tabs>
        <w:tab w:val="left" w:pos="576"/>
      </w:tabs>
      <w:spacing w:line="240" w:lineRule="atLeast"/>
      <w:ind w:left="576" w:hanging="576"/>
    </w:pPr>
    <w:rPr>
      <w:b w:val="0"/>
      <w:sz w:val="24"/>
    </w:rPr>
  </w:style>
  <w:style w:type="paragraph" w:customStyle="1" w:styleId="SL-FlLftSgl">
    <w:name w:val="SL-Fl Lft Sgl"/>
    <w:basedOn w:val="Normal"/>
    <w:rsid w:val="0015674E"/>
  </w:style>
  <w:style w:type="paragraph" w:customStyle="1" w:styleId="SP-SglSpPara">
    <w:name w:val="SP-Sgl Sp Para"/>
    <w:basedOn w:val="Normal"/>
    <w:rsid w:val="0015674E"/>
    <w:pPr>
      <w:tabs>
        <w:tab w:val="left" w:pos="576"/>
      </w:tabs>
      <w:ind w:firstLine="576"/>
    </w:pPr>
  </w:style>
  <w:style w:type="paragraph" w:customStyle="1" w:styleId="T0-ChapPgHd">
    <w:name w:val="T0-Chap/Pg Hd"/>
    <w:basedOn w:val="Normal"/>
    <w:rsid w:val="0015674E"/>
    <w:pPr>
      <w:tabs>
        <w:tab w:val="left" w:pos="8640"/>
      </w:tabs>
    </w:pPr>
    <w:rPr>
      <w:rFonts w:ascii="Franklin Gothic Medium" w:hAnsi="Franklin Gothic Medium"/>
      <w:szCs w:val="24"/>
      <w:u w:val="words"/>
    </w:rPr>
  </w:style>
  <w:style w:type="paragraph" w:styleId="TOC1">
    <w:name w:val="toc 1"/>
    <w:basedOn w:val="Normal"/>
    <w:uiPriority w:val="39"/>
    <w:rsid w:val="0015674E"/>
    <w:pPr>
      <w:tabs>
        <w:tab w:val="left" w:pos="1440"/>
        <w:tab w:val="right" w:leader="dot" w:pos="8208"/>
        <w:tab w:val="left" w:pos="8640"/>
      </w:tabs>
      <w:ind w:left="1440" w:right="1800" w:hanging="1152"/>
    </w:pPr>
  </w:style>
  <w:style w:type="paragraph" w:styleId="TOC2">
    <w:name w:val="toc 2"/>
    <w:basedOn w:val="Normal"/>
    <w:uiPriority w:val="39"/>
    <w:rsid w:val="0015674E"/>
    <w:pPr>
      <w:tabs>
        <w:tab w:val="left" w:pos="2160"/>
        <w:tab w:val="right" w:leader="dot" w:pos="8208"/>
        <w:tab w:val="left" w:pos="8640"/>
      </w:tabs>
      <w:ind w:left="2160" w:right="1800" w:hanging="720"/>
    </w:pPr>
    <w:rPr>
      <w:szCs w:val="22"/>
    </w:rPr>
  </w:style>
  <w:style w:type="paragraph" w:styleId="TOC3">
    <w:name w:val="toc 3"/>
    <w:basedOn w:val="Normal"/>
    <w:uiPriority w:val="39"/>
    <w:rsid w:val="0015674E"/>
    <w:pPr>
      <w:tabs>
        <w:tab w:val="left" w:pos="3024"/>
        <w:tab w:val="right" w:leader="dot" w:pos="8208"/>
        <w:tab w:val="left" w:pos="8640"/>
      </w:tabs>
      <w:ind w:left="3024" w:right="1800" w:hanging="864"/>
    </w:pPr>
  </w:style>
  <w:style w:type="paragraph" w:styleId="TOC4">
    <w:name w:val="toc 4"/>
    <w:basedOn w:val="Normal"/>
    <w:uiPriority w:val="39"/>
    <w:rsid w:val="0015674E"/>
    <w:pPr>
      <w:tabs>
        <w:tab w:val="left" w:pos="3888"/>
        <w:tab w:val="right" w:leader="dot" w:pos="8208"/>
        <w:tab w:val="left" w:pos="8640"/>
      </w:tabs>
      <w:ind w:left="3888" w:right="1800" w:hanging="864"/>
    </w:pPr>
  </w:style>
  <w:style w:type="paragraph" w:styleId="TOC5">
    <w:name w:val="toc 5"/>
    <w:basedOn w:val="Normal"/>
    <w:semiHidden/>
    <w:rsid w:val="0015674E"/>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15674E"/>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15674E"/>
    <w:pPr>
      <w:tabs>
        <w:tab w:val="left" w:pos="2232"/>
      </w:tabs>
      <w:spacing w:line="240" w:lineRule="exact"/>
    </w:pPr>
    <w:rPr>
      <w:vanish/>
    </w:rPr>
  </w:style>
  <w:style w:type="paragraph" w:customStyle="1" w:styleId="R1-ResPara">
    <w:name w:val="R1-Res. Para"/>
    <w:basedOn w:val="Normal"/>
    <w:rsid w:val="0015674E"/>
    <w:pPr>
      <w:ind w:left="288"/>
    </w:pPr>
  </w:style>
  <w:style w:type="paragraph" w:customStyle="1" w:styleId="R2-ResBullet">
    <w:name w:val="R2-Res Bullet"/>
    <w:basedOn w:val="Normal"/>
    <w:rsid w:val="0015674E"/>
    <w:pPr>
      <w:tabs>
        <w:tab w:val="left" w:pos="720"/>
      </w:tabs>
      <w:ind w:left="720" w:hanging="432"/>
    </w:pPr>
  </w:style>
  <w:style w:type="paragraph" w:customStyle="1" w:styleId="RF-Reference">
    <w:name w:val="RF-Reference"/>
    <w:basedOn w:val="Normal"/>
    <w:rsid w:val="0015674E"/>
    <w:pPr>
      <w:spacing w:line="240" w:lineRule="exact"/>
      <w:ind w:left="216" w:hanging="216"/>
    </w:pPr>
  </w:style>
  <w:style w:type="paragraph" w:customStyle="1" w:styleId="RH-SglSpHead">
    <w:name w:val="RH-Sgl Sp Head"/>
    <w:basedOn w:val="Heading1"/>
    <w:next w:val="RL-FlLftSgl"/>
    <w:rsid w:val="0015674E"/>
    <w:pPr>
      <w:pBdr>
        <w:bottom w:val="single" w:sz="24" w:space="1" w:color="AFBED9"/>
      </w:pBdr>
      <w:spacing w:after="480" w:line="360" w:lineRule="exact"/>
    </w:pPr>
    <w:rPr>
      <w:sz w:val="36"/>
      <w:u w:color="324162"/>
    </w:rPr>
  </w:style>
  <w:style w:type="paragraph" w:customStyle="1" w:styleId="RL-FlLftSgl">
    <w:name w:val="RL-Fl Lft Sgl"/>
    <w:basedOn w:val="Heading1"/>
    <w:rsid w:val="0015674E"/>
    <w:pPr>
      <w:spacing w:after="0" w:line="240" w:lineRule="atLeast"/>
      <w:ind w:left="0" w:firstLine="0"/>
    </w:pPr>
    <w:rPr>
      <w:sz w:val="24"/>
    </w:rPr>
  </w:style>
  <w:style w:type="paragraph" w:customStyle="1" w:styleId="SU-FlLftUndln">
    <w:name w:val="SU-Fl Lft Undln"/>
    <w:basedOn w:val="Normal"/>
    <w:rsid w:val="0015674E"/>
    <w:pPr>
      <w:keepNext/>
      <w:spacing w:line="240" w:lineRule="exact"/>
    </w:pPr>
    <w:rPr>
      <w:u w:val="single"/>
    </w:rPr>
  </w:style>
  <w:style w:type="paragraph" w:customStyle="1" w:styleId="Header-1">
    <w:name w:val="Header-1"/>
    <w:basedOn w:val="Heading1"/>
    <w:rsid w:val="0015674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15674E"/>
    <w:pPr>
      <w:spacing w:after="0"/>
      <w:jc w:val="right"/>
    </w:pPr>
    <w:rPr>
      <w:sz w:val="40"/>
    </w:rPr>
  </w:style>
  <w:style w:type="character" w:styleId="PageNumber">
    <w:name w:val="page number"/>
    <w:basedOn w:val="DefaultParagraphFont"/>
    <w:rsid w:val="0015674E"/>
  </w:style>
  <w:style w:type="paragraph" w:customStyle="1" w:styleId="R0-FLLftSglBoldItalic">
    <w:name w:val="R0-FL Lft Sgl Bold Italic"/>
    <w:basedOn w:val="Heading1"/>
    <w:rsid w:val="0015674E"/>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15674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67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15674E"/>
    <w:rPr>
      <w:rFonts w:ascii="Franklin Gothic Medium" w:hAnsi="Franklin Gothic Medium"/>
    </w:rPr>
  </w:style>
  <w:style w:type="paragraph" w:customStyle="1" w:styleId="TH-TableHeading">
    <w:name w:val="TH-Table Heading"/>
    <w:basedOn w:val="Heading1"/>
    <w:rsid w:val="0015674E"/>
    <w:pPr>
      <w:spacing w:after="0" w:line="240" w:lineRule="atLeast"/>
      <w:ind w:left="0" w:firstLine="0"/>
      <w:jc w:val="center"/>
    </w:pPr>
    <w:rPr>
      <w:color w:val="auto"/>
      <w:sz w:val="20"/>
    </w:rPr>
  </w:style>
  <w:style w:type="paragraph" w:styleId="TOC6">
    <w:name w:val="toc 6"/>
    <w:semiHidden/>
    <w:rsid w:val="0015674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15674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15674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15674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15674E"/>
    <w:rPr>
      <w:rFonts w:ascii="Franklin Gothic Medium" w:hAnsi="Franklin Gothic Medium"/>
      <w:sz w:val="20"/>
    </w:rPr>
  </w:style>
  <w:style w:type="paragraph" w:styleId="ListParagraph">
    <w:name w:val="List Paragraph"/>
    <w:basedOn w:val="Normal"/>
    <w:uiPriority w:val="34"/>
    <w:qFormat/>
    <w:rsid w:val="0015674E"/>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15674E"/>
    <w:rPr>
      <w:rFonts w:ascii="Times New Roman" w:eastAsia="Times New Roman" w:hAnsi="Times New Roman" w:cs="Times New Roman"/>
      <w:sz w:val="24"/>
      <w:szCs w:val="20"/>
    </w:rPr>
  </w:style>
  <w:style w:type="paragraph" w:styleId="BodyTextIndent3">
    <w:name w:val="Body Text Indent 3"/>
    <w:basedOn w:val="Normal"/>
    <w:link w:val="BodyTextIndent3Char"/>
    <w:rsid w:val="0015674E"/>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5674E"/>
    <w:rPr>
      <w:rFonts w:ascii="Times New Roman" w:eastAsia="Times New Roman" w:hAnsi="Times New Roman" w:cs="Times New Roman"/>
    </w:rPr>
  </w:style>
  <w:style w:type="table" w:styleId="TableGrid">
    <w:name w:val="Table Grid"/>
    <w:aliases w:val="2M Table Grid"/>
    <w:basedOn w:val="TableNormal"/>
    <w:uiPriority w:val="59"/>
    <w:rsid w:val="001567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15674E"/>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15674E"/>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15674E"/>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674E"/>
    <w:rPr>
      <w:rFonts w:ascii="Tahoma" w:hAnsi="Tahoma" w:cs="Tahoma"/>
      <w:sz w:val="16"/>
      <w:szCs w:val="16"/>
    </w:rPr>
  </w:style>
  <w:style w:type="paragraph" w:styleId="BodyTextIndent2">
    <w:name w:val="Body Text Indent 2"/>
    <w:basedOn w:val="Normal"/>
    <w:link w:val="BodyTextIndent2Char"/>
    <w:uiPriority w:val="99"/>
    <w:unhideWhenUsed/>
    <w:rsid w:val="0015674E"/>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15674E"/>
  </w:style>
  <w:style w:type="character" w:customStyle="1" w:styleId="N1-1stBulletChar">
    <w:name w:val="N1-1st Bullet Char"/>
    <w:basedOn w:val="DefaultParagraphFont"/>
    <w:link w:val="N1-1stBullet"/>
    <w:locked/>
    <w:rsid w:val="0015674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5674E"/>
    <w:rPr>
      <w:sz w:val="16"/>
      <w:szCs w:val="16"/>
    </w:rPr>
  </w:style>
  <w:style w:type="paragraph" w:styleId="CommentText">
    <w:name w:val="annotation text"/>
    <w:basedOn w:val="Normal"/>
    <w:link w:val="CommentTextChar"/>
    <w:uiPriority w:val="99"/>
    <w:unhideWhenUsed/>
    <w:rsid w:val="0015674E"/>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5674E"/>
    <w:rPr>
      <w:sz w:val="20"/>
      <w:szCs w:val="20"/>
    </w:rPr>
  </w:style>
  <w:style w:type="paragraph" w:styleId="CommentSubject">
    <w:name w:val="annotation subject"/>
    <w:basedOn w:val="CommentText"/>
    <w:next w:val="CommentText"/>
    <w:link w:val="CommentSubjectChar"/>
    <w:uiPriority w:val="99"/>
    <w:semiHidden/>
    <w:unhideWhenUsed/>
    <w:rsid w:val="0015674E"/>
    <w:rPr>
      <w:b/>
      <w:bCs/>
    </w:rPr>
  </w:style>
  <w:style w:type="character" w:customStyle="1" w:styleId="CommentSubjectChar">
    <w:name w:val="Comment Subject Char"/>
    <w:basedOn w:val="CommentTextChar"/>
    <w:link w:val="CommentSubject"/>
    <w:uiPriority w:val="99"/>
    <w:semiHidden/>
    <w:rsid w:val="0015674E"/>
    <w:rPr>
      <w:b/>
      <w:bCs/>
      <w:sz w:val="20"/>
      <w:szCs w:val="20"/>
    </w:rPr>
  </w:style>
  <w:style w:type="paragraph" w:styleId="BodyTextIndent">
    <w:name w:val="Body Text Indent"/>
    <w:basedOn w:val="Normal"/>
    <w:link w:val="BodyTextIndentChar"/>
    <w:uiPriority w:val="99"/>
    <w:unhideWhenUsed/>
    <w:rsid w:val="0015674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5674E"/>
  </w:style>
  <w:style w:type="character" w:styleId="Hyperlink">
    <w:name w:val="Hyperlink"/>
    <w:basedOn w:val="DefaultParagraphFont"/>
    <w:uiPriority w:val="99"/>
    <w:rsid w:val="0015674E"/>
    <w:rPr>
      <w:rFonts w:cs="Times New Roman"/>
      <w:color w:val="0000FF"/>
      <w:u w:val="single"/>
    </w:rPr>
  </w:style>
  <w:style w:type="table" w:customStyle="1" w:styleId="LightShading-Accent11">
    <w:name w:val="Light Shading - Accent 11"/>
    <w:basedOn w:val="TableNormal"/>
    <w:uiPriority w:val="60"/>
    <w:rsid w:val="0015674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
    <w:name w:val="Body Text"/>
    <w:basedOn w:val="Normal"/>
    <w:link w:val="BodyTextChar"/>
    <w:uiPriority w:val="99"/>
    <w:unhideWhenUsed/>
    <w:rsid w:val="0015674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15674E"/>
  </w:style>
  <w:style w:type="paragraph" w:customStyle="1" w:styleId="L1-FlLfSp12">
    <w:name w:val="L1-FlLfSp&amp;1/2"/>
    <w:rsid w:val="0015674E"/>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15674E"/>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5674E"/>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5674E"/>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15674E"/>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15674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15674E"/>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15674E"/>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15674E"/>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15674E"/>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5674E"/>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15674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15674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15674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15674E"/>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15674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15674E"/>
    <w:rPr>
      <w:b/>
      <w:i/>
      <w:vanish/>
      <w:color w:val="000000"/>
    </w:rPr>
  </w:style>
  <w:style w:type="paragraph" w:customStyle="1" w:styleId="AnnotatedParagraph">
    <w:name w:val="AnnotatedParagraph"/>
    <w:basedOn w:val="Normal"/>
    <w:rsid w:val="0015674E"/>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qFormat/>
    <w:rsid w:val="0022046D"/>
    <w:rPr>
      <w:vertAlign w:val="superscript"/>
    </w:rPr>
  </w:style>
  <w:style w:type="paragraph" w:customStyle="1" w:styleId="Pa2">
    <w:name w:val="Pa2"/>
    <w:basedOn w:val="Normal"/>
    <w:next w:val="Normal"/>
    <w:uiPriority w:val="99"/>
    <w:rsid w:val="0015674E"/>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15674E"/>
    <w:rPr>
      <w:b/>
      <w:bCs/>
    </w:rPr>
  </w:style>
  <w:style w:type="paragraph" w:styleId="ListBullet">
    <w:name w:val="List Bullet"/>
    <w:basedOn w:val="Normal"/>
    <w:uiPriority w:val="99"/>
    <w:unhideWhenUsed/>
    <w:rsid w:val="0015674E"/>
    <w:pPr>
      <w:numPr>
        <w:numId w:val="5"/>
      </w:numPr>
      <w:spacing w:line="360" w:lineRule="atLeast"/>
      <w:contextualSpacing/>
      <w:jc w:val="both"/>
    </w:pPr>
    <w:rPr>
      <w:rFonts w:ascii="Arial" w:hAnsi="Arial"/>
      <w:sz w:val="20"/>
    </w:rPr>
  </w:style>
  <w:style w:type="paragraph" w:styleId="Revision">
    <w:name w:val="Revision"/>
    <w:hidden/>
    <w:uiPriority w:val="99"/>
    <w:semiHidden/>
    <w:rsid w:val="0015674E"/>
    <w:pPr>
      <w:spacing w:after="0" w:line="240" w:lineRule="auto"/>
    </w:pPr>
    <w:rPr>
      <w:rFonts w:ascii="Arial" w:eastAsia="Times New Roman" w:hAnsi="Arial" w:cs="Times New Roman"/>
      <w:sz w:val="20"/>
      <w:szCs w:val="20"/>
    </w:rPr>
  </w:style>
  <w:style w:type="paragraph" w:styleId="NoSpacing">
    <w:name w:val="No Spacing"/>
    <w:uiPriority w:val="1"/>
    <w:qFormat/>
    <w:rsid w:val="0015674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56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5674E"/>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15674E"/>
  </w:style>
  <w:style w:type="paragraph" w:customStyle="1" w:styleId="bodytextblack">
    <w:name w:val="bodytextblack"/>
    <w:basedOn w:val="Normal"/>
    <w:rsid w:val="0015674E"/>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15674E"/>
    <w:pPr>
      <w:keepLines/>
      <w:tabs>
        <w:tab w:val="clear" w:pos="1152"/>
      </w:tabs>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ja-JP"/>
    </w:rPr>
  </w:style>
  <w:style w:type="paragraph" w:customStyle="1" w:styleId="CENTERSINGLESPACE">
    <w:name w:val="CENTER SINGLE SPACE"/>
    <w:rsid w:val="0015674E"/>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15674E"/>
    <w:rPr>
      <w:sz w:val="22"/>
    </w:rPr>
  </w:style>
  <w:style w:type="character" w:styleId="FollowedHyperlink">
    <w:name w:val="FollowedHyperlink"/>
    <w:basedOn w:val="DefaultParagraphFont"/>
    <w:uiPriority w:val="99"/>
    <w:semiHidden/>
    <w:unhideWhenUsed/>
    <w:rsid w:val="0015674E"/>
    <w:rPr>
      <w:color w:val="954F72" w:themeColor="followedHyperlink"/>
      <w:u w:val="single"/>
    </w:rPr>
  </w:style>
  <w:style w:type="paragraph" w:customStyle="1" w:styleId="Default">
    <w:name w:val="Default"/>
    <w:rsid w:val="0015674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2MTableGrid1">
    <w:name w:val="2M Table Grid1"/>
    <w:basedOn w:val="TableNormal"/>
    <w:next w:val="TableGrid"/>
    <w:uiPriority w:val="39"/>
    <w:rsid w:val="00F1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
    <w:name w:val="Head4"/>
    <w:basedOn w:val="Normal"/>
    <w:link w:val="Head4Char"/>
    <w:qFormat/>
    <w:rsid w:val="001240E7"/>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volume">
    <w:name w:val="volume"/>
    <w:basedOn w:val="DefaultParagraphFont"/>
    <w:rsid w:val="0070151B"/>
  </w:style>
  <w:style w:type="character" w:customStyle="1" w:styleId="page">
    <w:name w:val="page"/>
    <w:basedOn w:val="DefaultParagraphFont"/>
    <w:rsid w:val="0070151B"/>
  </w:style>
  <w:style w:type="paragraph" w:customStyle="1" w:styleId="TableText">
    <w:name w:val="Table Text"/>
    <w:basedOn w:val="Normal"/>
    <w:link w:val="TableTextChar"/>
    <w:qFormat/>
    <w:rsid w:val="007D2669"/>
    <w:pPr>
      <w:spacing w:line="240" w:lineRule="auto"/>
    </w:pPr>
    <w:rPr>
      <w:rFonts w:ascii="Arial" w:hAnsi="Arial"/>
      <w:sz w:val="18"/>
      <w:szCs w:val="24"/>
    </w:rPr>
  </w:style>
  <w:style w:type="paragraph" w:customStyle="1" w:styleId="TableNotes">
    <w:name w:val="Table Notes"/>
    <w:link w:val="TableNotesChar"/>
    <w:qFormat/>
    <w:rsid w:val="007D2669"/>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7D2669"/>
    <w:rPr>
      <w:rFonts w:ascii="Arial" w:eastAsia="Times New Roman" w:hAnsi="Arial" w:cs="Times New Roman"/>
      <w:sz w:val="18"/>
      <w:szCs w:val="24"/>
    </w:rPr>
  </w:style>
  <w:style w:type="paragraph" w:customStyle="1" w:styleId="TableHeaderRow">
    <w:name w:val="Table Header Row"/>
    <w:link w:val="TableHeaderRowChar"/>
    <w:qFormat/>
    <w:rsid w:val="007D2669"/>
    <w:pPr>
      <w:keepNext/>
      <w:keepLines/>
      <w:spacing w:after="0" w:line="240" w:lineRule="auto"/>
    </w:pPr>
    <w:rPr>
      <w:rFonts w:asciiTheme="majorHAnsi" w:hAnsiTheme="majorHAnsi"/>
      <w:i/>
      <w:color w:val="2E74B5" w:themeColor="accent1" w:themeShade="BF"/>
      <w:szCs w:val="18"/>
    </w:rPr>
  </w:style>
  <w:style w:type="character" w:customStyle="1" w:styleId="TableHeaderRowChar">
    <w:name w:val="Table Header Row Char"/>
    <w:basedOn w:val="DefaultParagraphFont"/>
    <w:link w:val="TableHeaderRow"/>
    <w:rsid w:val="007D2669"/>
    <w:rPr>
      <w:rFonts w:asciiTheme="majorHAnsi" w:hAnsiTheme="majorHAnsi"/>
      <w:i/>
      <w:color w:val="2E74B5" w:themeColor="accent1" w:themeShade="BF"/>
      <w:szCs w:val="18"/>
    </w:rPr>
  </w:style>
  <w:style w:type="paragraph" w:customStyle="1" w:styleId="InternalTableHead">
    <w:name w:val="InternalTableHead"/>
    <w:basedOn w:val="TableHeaderRow"/>
    <w:link w:val="InternalTableHeadChar"/>
    <w:qFormat/>
    <w:rsid w:val="007D2669"/>
    <w:pPr>
      <w:spacing w:before="120"/>
    </w:pPr>
    <w:rPr>
      <w:caps/>
    </w:rPr>
  </w:style>
  <w:style w:type="character" w:customStyle="1" w:styleId="InternalTableHeadChar">
    <w:name w:val="InternalTableHead Char"/>
    <w:basedOn w:val="TableHeaderRowChar"/>
    <w:link w:val="InternalTableHead"/>
    <w:rsid w:val="007D2669"/>
    <w:rPr>
      <w:rFonts w:asciiTheme="majorHAnsi" w:hAnsiTheme="majorHAnsi"/>
      <w:i/>
      <w:caps/>
      <w:color w:val="2E74B5" w:themeColor="accent1" w:themeShade="BF"/>
      <w:szCs w:val="18"/>
    </w:rPr>
  </w:style>
  <w:style w:type="character" w:customStyle="1" w:styleId="TableNotesChar">
    <w:name w:val="Table Notes Char"/>
    <w:basedOn w:val="DefaultParagraphFont"/>
    <w:link w:val="TableNotes"/>
    <w:rsid w:val="007D2669"/>
    <w:rPr>
      <w:rFonts w:ascii="Lato Medium" w:hAnsi="Lato Medium"/>
      <w:kern w:val="16"/>
      <w:sz w:val="14"/>
    </w:rPr>
  </w:style>
  <w:style w:type="paragraph" w:customStyle="1" w:styleId="Bullets">
    <w:name w:val="Bullets"/>
    <w:basedOn w:val="BodyText"/>
    <w:rsid w:val="007B5C58"/>
    <w:pPr>
      <w:spacing w:line="264" w:lineRule="auto"/>
      <w:ind w:left="360" w:hanging="360"/>
    </w:pPr>
    <w:rPr>
      <w:rFonts w:ascii="Times New Roman" w:eastAsia="Times New Roman" w:hAnsi="Times New Roman" w:cs="Times New Roman"/>
      <w:color w:val="000000"/>
    </w:rPr>
  </w:style>
  <w:style w:type="paragraph" w:customStyle="1" w:styleId="Tables">
    <w:name w:val="Tables"/>
    <w:basedOn w:val="Heading4"/>
    <w:link w:val="TablesChar"/>
    <w:qFormat/>
    <w:rsid w:val="007A62D9"/>
    <w:pPr>
      <w:tabs>
        <w:tab w:val="left" w:pos="1260"/>
      </w:tabs>
      <w:ind w:left="1267" w:hanging="1267"/>
    </w:pPr>
    <w:rPr>
      <w:rFonts w:ascii="Times New Roman" w:hAnsi="Times New Roman"/>
      <w:i w:val="0"/>
      <w:szCs w:val="24"/>
    </w:rPr>
  </w:style>
  <w:style w:type="character" w:customStyle="1" w:styleId="TT-TableTitleChar">
    <w:name w:val="TT-Table Title Char"/>
    <w:basedOn w:val="Heading1Char"/>
    <w:link w:val="TT-TableTitle"/>
    <w:rsid w:val="00A03BDC"/>
    <w:rPr>
      <w:rFonts w:ascii="Franklin Gothic Medium" w:eastAsia="Times New Roman" w:hAnsi="Franklin Gothic Medium" w:cs="Times New Roman"/>
      <w:b w:val="0"/>
      <w:color w:val="324162"/>
      <w:sz w:val="32"/>
      <w:szCs w:val="20"/>
    </w:rPr>
  </w:style>
  <w:style w:type="character" w:customStyle="1" w:styleId="TablesChar">
    <w:name w:val="Tables Char"/>
    <w:basedOn w:val="TT-TableTitleChar"/>
    <w:link w:val="Tables"/>
    <w:rsid w:val="007A62D9"/>
    <w:rPr>
      <w:rFonts w:ascii="Times New Roman" w:eastAsia="Times New Roman" w:hAnsi="Times New Roman" w:cs="Times New Roman"/>
      <w:b/>
      <w:color w:val="324162"/>
      <w:sz w:val="24"/>
      <w:szCs w:val="24"/>
    </w:rPr>
  </w:style>
  <w:style w:type="character" w:customStyle="1" w:styleId="num">
    <w:name w:val="num"/>
    <w:basedOn w:val="DefaultParagraphFont"/>
    <w:rsid w:val="007926ED"/>
  </w:style>
  <w:style w:type="character" w:customStyle="1" w:styleId="heading">
    <w:name w:val="heading"/>
    <w:basedOn w:val="DefaultParagraphFont"/>
    <w:rsid w:val="007926ED"/>
  </w:style>
  <w:style w:type="character" w:customStyle="1" w:styleId="apple-converted-space">
    <w:name w:val="apple-converted-space"/>
    <w:basedOn w:val="DefaultParagraphFont"/>
    <w:rsid w:val="007926ED"/>
  </w:style>
  <w:style w:type="character" w:customStyle="1" w:styleId="Date1">
    <w:name w:val="Date1"/>
    <w:basedOn w:val="DefaultParagraphFont"/>
    <w:rsid w:val="007926ED"/>
  </w:style>
  <w:style w:type="paragraph" w:customStyle="1" w:styleId="Heading31">
    <w:name w:val="Heading 31"/>
    <w:basedOn w:val="Heading3"/>
    <w:link w:val="heading3Char0"/>
    <w:qFormat/>
    <w:rsid w:val="007A62D9"/>
    <w:rPr>
      <w:rFonts w:ascii="Times New Roman" w:hAnsi="Times New Roman"/>
    </w:rPr>
  </w:style>
  <w:style w:type="paragraph" w:customStyle="1" w:styleId="Datacollectioninstr">
    <w:name w:val="Data collection instr"/>
    <w:basedOn w:val="Normal"/>
    <w:next w:val="Heading4"/>
    <w:qFormat/>
    <w:rsid w:val="0016349E"/>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Head4Char">
    <w:name w:val="Head4 Char"/>
    <w:basedOn w:val="DefaultParagraphFont"/>
    <w:link w:val="Head4"/>
    <w:rsid w:val="007A62D9"/>
    <w:rPr>
      <w:rFonts w:ascii="Times New Roman" w:eastAsia="Times New Roman" w:hAnsi="Times New Roman" w:cs="Arial"/>
      <w:b/>
      <w:sz w:val="24"/>
      <w:szCs w:val="20"/>
    </w:rPr>
  </w:style>
  <w:style w:type="character" w:customStyle="1" w:styleId="heading3Char0">
    <w:name w:val="heading 3 Char"/>
    <w:basedOn w:val="Head4Char"/>
    <w:link w:val="Heading31"/>
    <w:rsid w:val="007A62D9"/>
    <w:rPr>
      <w:rFonts w:ascii="Times New Roman" w:eastAsia="Times New Roman" w:hAnsi="Times New Roman" w:cs="Times New Roman"/>
      <w:b/>
      <w:sz w:val="24"/>
      <w:szCs w:val="20"/>
    </w:rPr>
  </w:style>
  <w:style w:type="character" w:customStyle="1" w:styleId="UnresolvedMention1">
    <w:name w:val="Unresolved Mention1"/>
    <w:basedOn w:val="DefaultParagraphFont"/>
    <w:uiPriority w:val="99"/>
    <w:semiHidden/>
    <w:unhideWhenUsed/>
    <w:rsid w:val="00B83F75"/>
    <w:rPr>
      <w:color w:val="808080"/>
      <w:shd w:val="clear" w:color="auto" w:fill="E6E6E6"/>
    </w:rPr>
  </w:style>
  <w:style w:type="character" w:customStyle="1" w:styleId="UnresolvedMention2">
    <w:name w:val="Unresolved Mention2"/>
    <w:basedOn w:val="DefaultParagraphFont"/>
    <w:uiPriority w:val="99"/>
    <w:semiHidden/>
    <w:unhideWhenUsed/>
    <w:rsid w:val="00A71158"/>
    <w:rPr>
      <w:color w:val="808080"/>
      <w:shd w:val="clear" w:color="auto" w:fill="E6E6E6"/>
    </w:rPr>
  </w:style>
  <w:style w:type="character" w:customStyle="1" w:styleId="UnresolvedMention3">
    <w:name w:val="Unresolved Mention3"/>
    <w:basedOn w:val="DefaultParagraphFont"/>
    <w:uiPriority w:val="99"/>
    <w:semiHidden/>
    <w:unhideWhenUsed/>
    <w:rsid w:val="00502381"/>
    <w:rPr>
      <w:color w:val="808080"/>
      <w:shd w:val="clear" w:color="auto" w:fill="E6E6E6"/>
    </w:rPr>
  </w:style>
  <w:style w:type="character" w:customStyle="1" w:styleId="L1-FlLSp12Char">
    <w:name w:val="L1-FlL Sp&amp;1/2 Char"/>
    <w:basedOn w:val="DefaultParagraphFont"/>
    <w:link w:val="L1-FlLSp12"/>
    <w:locked/>
    <w:rsid w:val="00F97B24"/>
    <w:rPr>
      <w:rFonts w:ascii="Times New Roman" w:eastAsia="Times New Roman" w:hAnsi="Times New Roman" w:cs="Times New Roman"/>
      <w:sz w:val="24"/>
      <w:szCs w:val="20"/>
    </w:rPr>
  </w:style>
  <w:style w:type="table" w:styleId="LightShading">
    <w:name w:val="Light Shading"/>
    <w:basedOn w:val="TableNormal"/>
    <w:uiPriority w:val="60"/>
    <w:semiHidden/>
    <w:unhideWhenUsed/>
    <w:rsid w:val="00072D33"/>
    <w:pPr>
      <w:spacing w:after="0" w:line="240" w:lineRule="auto"/>
    </w:pPr>
    <w:rPr>
      <w:rFonts w:ascii="Garamond" w:eastAsia="Times New Roman" w:hAnsi="Garamond" w:cs="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11ptCalibrDBi-IPR">
    <w:name w:val="Body11ptCalibrDBi-IPR"/>
    <w:link w:val="Body11ptCalibrDBi-IPRChar"/>
    <w:qFormat/>
    <w:rsid w:val="007B18AD"/>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7B18AD"/>
    <w:rPr>
      <w:rFonts w:ascii="Calibri" w:eastAsia="Times New Roman" w:hAnsi="Calibri" w:cs="Times New Roman"/>
      <w:szCs w:val="24"/>
    </w:rPr>
  </w:style>
  <w:style w:type="character" w:customStyle="1" w:styleId="UnresolvedMention4">
    <w:name w:val="Unresolved Mention4"/>
    <w:basedOn w:val="DefaultParagraphFont"/>
    <w:uiPriority w:val="99"/>
    <w:semiHidden/>
    <w:unhideWhenUsed/>
    <w:rsid w:val="007C2B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19189">
      <w:bodyDiv w:val="1"/>
      <w:marLeft w:val="0"/>
      <w:marRight w:val="0"/>
      <w:marTop w:val="0"/>
      <w:marBottom w:val="0"/>
      <w:divBdr>
        <w:top w:val="none" w:sz="0" w:space="0" w:color="auto"/>
        <w:left w:val="none" w:sz="0" w:space="0" w:color="auto"/>
        <w:bottom w:val="none" w:sz="0" w:space="0" w:color="auto"/>
        <w:right w:val="none" w:sz="0" w:space="0" w:color="auto"/>
      </w:divBdr>
    </w:div>
    <w:div w:id="187645575">
      <w:bodyDiv w:val="1"/>
      <w:marLeft w:val="0"/>
      <w:marRight w:val="0"/>
      <w:marTop w:val="0"/>
      <w:marBottom w:val="0"/>
      <w:divBdr>
        <w:top w:val="none" w:sz="0" w:space="0" w:color="auto"/>
        <w:left w:val="none" w:sz="0" w:space="0" w:color="auto"/>
        <w:bottom w:val="none" w:sz="0" w:space="0" w:color="auto"/>
        <w:right w:val="none" w:sz="0" w:space="0" w:color="auto"/>
      </w:divBdr>
    </w:div>
    <w:div w:id="315034341">
      <w:bodyDiv w:val="1"/>
      <w:marLeft w:val="0"/>
      <w:marRight w:val="0"/>
      <w:marTop w:val="0"/>
      <w:marBottom w:val="0"/>
      <w:divBdr>
        <w:top w:val="none" w:sz="0" w:space="0" w:color="auto"/>
        <w:left w:val="none" w:sz="0" w:space="0" w:color="auto"/>
        <w:bottom w:val="none" w:sz="0" w:space="0" w:color="auto"/>
        <w:right w:val="none" w:sz="0" w:space="0" w:color="auto"/>
      </w:divBdr>
    </w:div>
    <w:div w:id="317198828">
      <w:bodyDiv w:val="1"/>
      <w:marLeft w:val="0"/>
      <w:marRight w:val="0"/>
      <w:marTop w:val="0"/>
      <w:marBottom w:val="0"/>
      <w:divBdr>
        <w:top w:val="none" w:sz="0" w:space="0" w:color="auto"/>
        <w:left w:val="none" w:sz="0" w:space="0" w:color="auto"/>
        <w:bottom w:val="none" w:sz="0" w:space="0" w:color="auto"/>
        <w:right w:val="none" w:sz="0" w:space="0" w:color="auto"/>
      </w:divBdr>
    </w:div>
    <w:div w:id="323901715">
      <w:bodyDiv w:val="1"/>
      <w:marLeft w:val="0"/>
      <w:marRight w:val="0"/>
      <w:marTop w:val="0"/>
      <w:marBottom w:val="0"/>
      <w:divBdr>
        <w:top w:val="none" w:sz="0" w:space="0" w:color="auto"/>
        <w:left w:val="none" w:sz="0" w:space="0" w:color="auto"/>
        <w:bottom w:val="none" w:sz="0" w:space="0" w:color="auto"/>
        <w:right w:val="none" w:sz="0" w:space="0" w:color="auto"/>
      </w:divBdr>
    </w:div>
    <w:div w:id="347610418">
      <w:bodyDiv w:val="1"/>
      <w:marLeft w:val="0"/>
      <w:marRight w:val="0"/>
      <w:marTop w:val="0"/>
      <w:marBottom w:val="0"/>
      <w:divBdr>
        <w:top w:val="none" w:sz="0" w:space="0" w:color="auto"/>
        <w:left w:val="none" w:sz="0" w:space="0" w:color="auto"/>
        <w:bottom w:val="none" w:sz="0" w:space="0" w:color="auto"/>
        <w:right w:val="none" w:sz="0" w:space="0" w:color="auto"/>
      </w:divBdr>
    </w:div>
    <w:div w:id="381951868">
      <w:bodyDiv w:val="1"/>
      <w:marLeft w:val="0"/>
      <w:marRight w:val="0"/>
      <w:marTop w:val="0"/>
      <w:marBottom w:val="0"/>
      <w:divBdr>
        <w:top w:val="none" w:sz="0" w:space="0" w:color="auto"/>
        <w:left w:val="none" w:sz="0" w:space="0" w:color="auto"/>
        <w:bottom w:val="none" w:sz="0" w:space="0" w:color="auto"/>
        <w:right w:val="none" w:sz="0" w:space="0" w:color="auto"/>
      </w:divBdr>
    </w:div>
    <w:div w:id="439497271">
      <w:bodyDiv w:val="1"/>
      <w:marLeft w:val="0"/>
      <w:marRight w:val="0"/>
      <w:marTop w:val="0"/>
      <w:marBottom w:val="0"/>
      <w:divBdr>
        <w:top w:val="none" w:sz="0" w:space="0" w:color="auto"/>
        <w:left w:val="none" w:sz="0" w:space="0" w:color="auto"/>
        <w:bottom w:val="none" w:sz="0" w:space="0" w:color="auto"/>
        <w:right w:val="none" w:sz="0" w:space="0" w:color="auto"/>
      </w:divBdr>
    </w:div>
    <w:div w:id="460225998">
      <w:bodyDiv w:val="1"/>
      <w:marLeft w:val="0"/>
      <w:marRight w:val="0"/>
      <w:marTop w:val="0"/>
      <w:marBottom w:val="0"/>
      <w:divBdr>
        <w:top w:val="none" w:sz="0" w:space="0" w:color="auto"/>
        <w:left w:val="none" w:sz="0" w:space="0" w:color="auto"/>
        <w:bottom w:val="none" w:sz="0" w:space="0" w:color="auto"/>
        <w:right w:val="none" w:sz="0" w:space="0" w:color="auto"/>
      </w:divBdr>
    </w:div>
    <w:div w:id="591399260">
      <w:bodyDiv w:val="1"/>
      <w:marLeft w:val="0"/>
      <w:marRight w:val="0"/>
      <w:marTop w:val="0"/>
      <w:marBottom w:val="0"/>
      <w:divBdr>
        <w:top w:val="none" w:sz="0" w:space="0" w:color="auto"/>
        <w:left w:val="none" w:sz="0" w:space="0" w:color="auto"/>
        <w:bottom w:val="none" w:sz="0" w:space="0" w:color="auto"/>
        <w:right w:val="none" w:sz="0" w:space="0" w:color="auto"/>
      </w:divBdr>
    </w:div>
    <w:div w:id="741102321">
      <w:bodyDiv w:val="1"/>
      <w:marLeft w:val="0"/>
      <w:marRight w:val="0"/>
      <w:marTop w:val="0"/>
      <w:marBottom w:val="0"/>
      <w:divBdr>
        <w:top w:val="none" w:sz="0" w:space="0" w:color="auto"/>
        <w:left w:val="none" w:sz="0" w:space="0" w:color="auto"/>
        <w:bottom w:val="none" w:sz="0" w:space="0" w:color="auto"/>
        <w:right w:val="none" w:sz="0" w:space="0" w:color="auto"/>
      </w:divBdr>
    </w:div>
    <w:div w:id="748305561">
      <w:bodyDiv w:val="1"/>
      <w:marLeft w:val="0"/>
      <w:marRight w:val="0"/>
      <w:marTop w:val="0"/>
      <w:marBottom w:val="0"/>
      <w:divBdr>
        <w:top w:val="none" w:sz="0" w:space="0" w:color="auto"/>
        <w:left w:val="none" w:sz="0" w:space="0" w:color="auto"/>
        <w:bottom w:val="none" w:sz="0" w:space="0" w:color="auto"/>
        <w:right w:val="none" w:sz="0" w:space="0" w:color="auto"/>
      </w:divBdr>
    </w:div>
    <w:div w:id="840585927">
      <w:bodyDiv w:val="1"/>
      <w:marLeft w:val="0"/>
      <w:marRight w:val="0"/>
      <w:marTop w:val="0"/>
      <w:marBottom w:val="0"/>
      <w:divBdr>
        <w:top w:val="none" w:sz="0" w:space="0" w:color="auto"/>
        <w:left w:val="none" w:sz="0" w:space="0" w:color="auto"/>
        <w:bottom w:val="none" w:sz="0" w:space="0" w:color="auto"/>
        <w:right w:val="none" w:sz="0" w:space="0" w:color="auto"/>
      </w:divBdr>
    </w:div>
    <w:div w:id="966086365">
      <w:bodyDiv w:val="1"/>
      <w:marLeft w:val="0"/>
      <w:marRight w:val="0"/>
      <w:marTop w:val="0"/>
      <w:marBottom w:val="0"/>
      <w:divBdr>
        <w:top w:val="none" w:sz="0" w:space="0" w:color="auto"/>
        <w:left w:val="none" w:sz="0" w:space="0" w:color="auto"/>
        <w:bottom w:val="none" w:sz="0" w:space="0" w:color="auto"/>
        <w:right w:val="none" w:sz="0" w:space="0" w:color="auto"/>
      </w:divBdr>
    </w:div>
    <w:div w:id="969625942">
      <w:bodyDiv w:val="1"/>
      <w:marLeft w:val="0"/>
      <w:marRight w:val="0"/>
      <w:marTop w:val="0"/>
      <w:marBottom w:val="0"/>
      <w:divBdr>
        <w:top w:val="none" w:sz="0" w:space="0" w:color="auto"/>
        <w:left w:val="none" w:sz="0" w:space="0" w:color="auto"/>
        <w:bottom w:val="none" w:sz="0" w:space="0" w:color="auto"/>
        <w:right w:val="none" w:sz="0" w:space="0" w:color="auto"/>
      </w:divBdr>
    </w:div>
    <w:div w:id="988746679">
      <w:bodyDiv w:val="1"/>
      <w:marLeft w:val="0"/>
      <w:marRight w:val="0"/>
      <w:marTop w:val="0"/>
      <w:marBottom w:val="0"/>
      <w:divBdr>
        <w:top w:val="none" w:sz="0" w:space="0" w:color="auto"/>
        <w:left w:val="none" w:sz="0" w:space="0" w:color="auto"/>
        <w:bottom w:val="none" w:sz="0" w:space="0" w:color="auto"/>
        <w:right w:val="none" w:sz="0" w:space="0" w:color="auto"/>
      </w:divBdr>
    </w:div>
    <w:div w:id="1003506477">
      <w:bodyDiv w:val="1"/>
      <w:marLeft w:val="0"/>
      <w:marRight w:val="0"/>
      <w:marTop w:val="0"/>
      <w:marBottom w:val="0"/>
      <w:divBdr>
        <w:top w:val="none" w:sz="0" w:space="0" w:color="auto"/>
        <w:left w:val="none" w:sz="0" w:space="0" w:color="auto"/>
        <w:bottom w:val="none" w:sz="0" w:space="0" w:color="auto"/>
        <w:right w:val="none" w:sz="0" w:space="0" w:color="auto"/>
      </w:divBdr>
    </w:div>
    <w:div w:id="1029720768">
      <w:bodyDiv w:val="1"/>
      <w:marLeft w:val="0"/>
      <w:marRight w:val="0"/>
      <w:marTop w:val="0"/>
      <w:marBottom w:val="0"/>
      <w:divBdr>
        <w:top w:val="none" w:sz="0" w:space="0" w:color="auto"/>
        <w:left w:val="none" w:sz="0" w:space="0" w:color="auto"/>
        <w:bottom w:val="none" w:sz="0" w:space="0" w:color="auto"/>
        <w:right w:val="none" w:sz="0" w:space="0" w:color="auto"/>
      </w:divBdr>
    </w:div>
    <w:div w:id="1033774923">
      <w:bodyDiv w:val="1"/>
      <w:marLeft w:val="0"/>
      <w:marRight w:val="0"/>
      <w:marTop w:val="0"/>
      <w:marBottom w:val="0"/>
      <w:divBdr>
        <w:top w:val="none" w:sz="0" w:space="0" w:color="auto"/>
        <w:left w:val="none" w:sz="0" w:space="0" w:color="auto"/>
        <w:bottom w:val="none" w:sz="0" w:space="0" w:color="auto"/>
        <w:right w:val="none" w:sz="0" w:space="0" w:color="auto"/>
      </w:divBdr>
    </w:div>
    <w:div w:id="1107504711">
      <w:bodyDiv w:val="1"/>
      <w:marLeft w:val="0"/>
      <w:marRight w:val="0"/>
      <w:marTop w:val="0"/>
      <w:marBottom w:val="0"/>
      <w:divBdr>
        <w:top w:val="none" w:sz="0" w:space="0" w:color="auto"/>
        <w:left w:val="none" w:sz="0" w:space="0" w:color="auto"/>
        <w:bottom w:val="none" w:sz="0" w:space="0" w:color="auto"/>
        <w:right w:val="none" w:sz="0" w:space="0" w:color="auto"/>
      </w:divBdr>
    </w:div>
    <w:div w:id="1112936473">
      <w:bodyDiv w:val="1"/>
      <w:marLeft w:val="0"/>
      <w:marRight w:val="0"/>
      <w:marTop w:val="0"/>
      <w:marBottom w:val="0"/>
      <w:divBdr>
        <w:top w:val="none" w:sz="0" w:space="0" w:color="auto"/>
        <w:left w:val="none" w:sz="0" w:space="0" w:color="auto"/>
        <w:bottom w:val="none" w:sz="0" w:space="0" w:color="auto"/>
        <w:right w:val="none" w:sz="0" w:space="0" w:color="auto"/>
      </w:divBdr>
    </w:div>
    <w:div w:id="1193760236">
      <w:bodyDiv w:val="1"/>
      <w:marLeft w:val="0"/>
      <w:marRight w:val="0"/>
      <w:marTop w:val="0"/>
      <w:marBottom w:val="0"/>
      <w:divBdr>
        <w:top w:val="none" w:sz="0" w:space="0" w:color="auto"/>
        <w:left w:val="none" w:sz="0" w:space="0" w:color="auto"/>
        <w:bottom w:val="none" w:sz="0" w:space="0" w:color="auto"/>
        <w:right w:val="none" w:sz="0" w:space="0" w:color="auto"/>
      </w:divBdr>
    </w:div>
    <w:div w:id="1209219074">
      <w:bodyDiv w:val="1"/>
      <w:marLeft w:val="0"/>
      <w:marRight w:val="0"/>
      <w:marTop w:val="0"/>
      <w:marBottom w:val="0"/>
      <w:divBdr>
        <w:top w:val="none" w:sz="0" w:space="0" w:color="auto"/>
        <w:left w:val="none" w:sz="0" w:space="0" w:color="auto"/>
        <w:bottom w:val="none" w:sz="0" w:space="0" w:color="auto"/>
        <w:right w:val="none" w:sz="0" w:space="0" w:color="auto"/>
      </w:divBdr>
    </w:div>
    <w:div w:id="1211844801">
      <w:bodyDiv w:val="1"/>
      <w:marLeft w:val="0"/>
      <w:marRight w:val="0"/>
      <w:marTop w:val="0"/>
      <w:marBottom w:val="0"/>
      <w:divBdr>
        <w:top w:val="none" w:sz="0" w:space="0" w:color="auto"/>
        <w:left w:val="none" w:sz="0" w:space="0" w:color="auto"/>
        <w:bottom w:val="none" w:sz="0" w:space="0" w:color="auto"/>
        <w:right w:val="none" w:sz="0" w:space="0" w:color="auto"/>
      </w:divBdr>
      <w:divsChild>
        <w:div w:id="1808551316">
          <w:marLeft w:val="0"/>
          <w:marRight w:val="0"/>
          <w:marTop w:val="0"/>
          <w:marBottom w:val="0"/>
          <w:divBdr>
            <w:top w:val="none" w:sz="0" w:space="0" w:color="auto"/>
            <w:left w:val="none" w:sz="0" w:space="0" w:color="auto"/>
            <w:bottom w:val="none" w:sz="0" w:space="0" w:color="auto"/>
            <w:right w:val="none" w:sz="0" w:space="0" w:color="auto"/>
          </w:divBdr>
          <w:divsChild>
            <w:div w:id="1931623681">
              <w:marLeft w:val="0"/>
              <w:marRight w:val="0"/>
              <w:marTop w:val="0"/>
              <w:marBottom w:val="0"/>
              <w:divBdr>
                <w:top w:val="none" w:sz="0" w:space="0" w:color="auto"/>
                <w:left w:val="none" w:sz="0" w:space="0" w:color="auto"/>
                <w:bottom w:val="none" w:sz="0" w:space="0" w:color="auto"/>
                <w:right w:val="none" w:sz="0" w:space="0" w:color="auto"/>
              </w:divBdr>
              <w:divsChild>
                <w:div w:id="1711297878">
                  <w:marLeft w:val="0"/>
                  <w:marRight w:val="0"/>
                  <w:marTop w:val="900"/>
                  <w:marBottom w:val="0"/>
                  <w:divBdr>
                    <w:top w:val="none" w:sz="0" w:space="0" w:color="auto"/>
                    <w:left w:val="none" w:sz="0" w:space="0" w:color="auto"/>
                    <w:bottom w:val="none" w:sz="0" w:space="0" w:color="auto"/>
                    <w:right w:val="none" w:sz="0" w:space="0" w:color="auto"/>
                  </w:divBdr>
                  <w:divsChild>
                    <w:div w:id="968172115">
                      <w:marLeft w:val="0"/>
                      <w:marRight w:val="0"/>
                      <w:marTop w:val="0"/>
                      <w:marBottom w:val="0"/>
                      <w:divBdr>
                        <w:top w:val="none" w:sz="0" w:space="0" w:color="auto"/>
                        <w:left w:val="none" w:sz="0" w:space="0" w:color="auto"/>
                        <w:bottom w:val="none" w:sz="0" w:space="0" w:color="auto"/>
                        <w:right w:val="none" w:sz="0" w:space="0" w:color="auto"/>
                      </w:divBdr>
                      <w:divsChild>
                        <w:div w:id="492377474">
                          <w:marLeft w:val="0"/>
                          <w:marRight w:val="0"/>
                          <w:marTop w:val="0"/>
                          <w:marBottom w:val="0"/>
                          <w:divBdr>
                            <w:top w:val="none" w:sz="0" w:space="0" w:color="auto"/>
                            <w:left w:val="none" w:sz="0" w:space="0" w:color="auto"/>
                            <w:bottom w:val="none" w:sz="0" w:space="0" w:color="auto"/>
                            <w:right w:val="none" w:sz="0" w:space="0" w:color="auto"/>
                          </w:divBdr>
                          <w:divsChild>
                            <w:div w:id="1822960991">
                              <w:marLeft w:val="0"/>
                              <w:marRight w:val="0"/>
                              <w:marTop w:val="750"/>
                              <w:marBottom w:val="0"/>
                              <w:divBdr>
                                <w:top w:val="none" w:sz="0" w:space="0" w:color="auto"/>
                                <w:left w:val="none" w:sz="0" w:space="0" w:color="auto"/>
                                <w:bottom w:val="none" w:sz="0" w:space="0" w:color="auto"/>
                                <w:right w:val="none" w:sz="0" w:space="0" w:color="auto"/>
                              </w:divBdr>
                              <w:divsChild>
                                <w:div w:id="118844093">
                                  <w:marLeft w:val="0"/>
                                  <w:marRight w:val="0"/>
                                  <w:marTop w:val="0"/>
                                  <w:marBottom w:val="0"/>
                                  <w:divBdr>
                                    <w:top w:val="none" w:sz="0" w:space="0" w:color="auto"/>
                                    <w:left w:val="none" w:sz="0" w:space="0" w:color="auto"/>
                                    <w:bottom w:val="none" w:sz="0" w:space="0" w:color="auto"/>
                                    <w:right w:val="none" w:sz="0" w:space="0" w:color="auto"/>
                                  </w:divBdr>
                                  <w:divsChild>
                                    <w:div w:id="242221833">
                                      <w:marLeft w:val="0"/>
                                      <w:marRight w:val="0"/>
                                      <w:marTop w:val="0"/>
                                      <w:marBottom w:val="0"/>
                                      <w:divBdr>
                                        <w:top w:val="none" w:sz="0" w:space="0" w:color="auto"/>
                                        <w:left w:val="none" w:sz="0" w:space="0" w:color="auto"/>
                                        <w:bottom w:val="none" w:sz="0" w:space="0" w:color="auto"/>
                                        <w:right w:val="none" w:sz="0" w:space="0" w:color="auto"/>
                                      </w:divBdr>
                                      <w:divsChild>
                                        <w:div w:id="530457252">
                                          <w:marLeft w:val="0"/>
                                          <w:marRight w:val="0"/>
                                          <w:marTop w:val="0"/>
                                          <w:marBottom w:val="0"/>
                                          <w:divBdr>
                                            <w:top w:val="none" w:sz="0" w:space="0" w:color="auto"/>
                                            <w:left w:val="none" w:sz="0" w:space="0" w:color="auto"/>
                                            <w:bottom w:val="none" w:sz="0" w:space="0" w:color="auto"/>
                                            <w:right w:val="none" w:sz="0" w:space="0" w:color="auto"/>
                                          </w:divBdr>
                                          <w:divsChild>
                                            <w:div w:id="546455260">
                                              <w:marLeft w:val="0"/>
                                              <w:marRight w:val="0"/>
                                              <w:marTop w:val="0"/>
                                              <w:marBottom w:val="0"/>
                                              <w:divBdr>
                                                <w:top w:val="none" w:sz="0" w:space="0" w:color="auto"/>
                                                <w:left w:val="none" w:sz="0" w:space="0" w:color="auto"/>
                                                <w:bottom w:val="none" w:sz="0" w:space="0" w:color="auto"/>
                                                <w:right w:val="none" w:sz="0" w:space="0" w:color="auto"/>
                                              </w:divBdr>
                                              <w:divsChild>
                                                <w:div w:id="20859673">
                                                  <w:marLeft w:val="0"/>
                                                  <w:marRight w:val="0"/>
                                                  <w:marTop w:val="0"/>
                                                  <w:marBottom w:val="0"/>
                                                  <w:divBdr>
                                                    <w:top w:val="none" w:sz="0" w:space="0" w:color="auto"/>
                                                    <w:left w:val="none" w:sz="0" w:space="0" w:color="auto"/>
                                                    <w:bottom w:val="none" w:sz="0" w:space="0" w:color="auto"/>
                                                    <w:right w:val="none" w:sz="0" w:space="0" w:color="auto"/>
                                                  </w:divBdr>
                                                </w:div>
                                                <w:div w:id="419253900">
                                                  <w:marLeft w:val="0"/>
                                                  <w:marRight w:val="0"/>
                                                  <w:marTop w:val="0"/>
                                                  <w:marBottom w:val="0"/>
                                                  <w:divBdr>
                                                    <w:top w:val="none" w:sz="0" w:space="0" w:color="auto"/>
                                                    <w:left w:val="none" w:sz="0" w:space="0" w:color="auto"/>
                                                    <w:bottom w:val="none" w:sz="0" w:space="0" w:color="auto"/>
                                                    <w:right w:val="none" w:sz="0" w:space="0" w:color="auto"/>
                                                  </w:divBdr>
                                                </w:div>
                                                <w:div w:id="5398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380">
      <w:bodyDiv w:val="1"/>
      <w:marLeft w:val="0"/>
      <w:marRight w:val="0"/>
      <w:marTop w:val="0"/>
      <w:marBottom w:val="0"/>
      <w:divBdr>
        <w:top w:val="none" w:sz="0" w:space="0" w:color="auto"/>
        <w:left w:val="none" w:sz="0" w:space="0" w:color="auto"/>
        <w:bottom w:val="none" w:sz="0" w:space="0" w:color="auto"/>
        <w:right w:val="none" w:sz="0" w:space="0" w:color="auto"/>
      </w:divBdr>
      <w:divsChild>
        <w:div w:id="2127389648">
          <w:marLeft w:val="0"/>
          <w:marRight w:val="0"/>
          <w:marTop w:val="0"/>
          <w:marBottom w:val="0"/>
          <w:divBdr>
            <w:top w:val="none" w:sz="0" w:space="0" w:color="auto"/>
            <w:left w:val="none" w:sz="0" w:space="0" w:color="auto"/>
            <w:bottom w:val="none" w:sz="0" w:space="0" w:color="auto"/>
            <w:right w:val="none" w:sz="0" w:space="0" w:color="auto"/>
          </w:divBdr>
        </w:div>
      </w:divsChild>
    </w:div>
    <w:div w:id="1287204132">
      <w:bodyDiv w:val="1"/>
      <w:marLeft w:val="0"/>
      <w:marRight w:val="0"/>
      <w:marTop w:val="0"/>
      <w:marBottom w:val="0"/>
      <w:divBdr>
        <w:top w:val="none" w:sz="0" w:space="0" w:color="auto"/>
        <w:left w:val="none" w:sz="0" w:space="0" w:color="auto"/>
        <w:bottom w:val="none" w:sz="0" w:space="0" w:color="auto"/>
        <w:right w:val="none" w:sz="0" w:space="0" w:color="auto"/>
      </w:divBdr>
    </w:div>
    <w:div w:id="1336372463">
      <w:bodyDiv w:val="1"/>
      <w:marLeft w:val="0"/>
      <w:marRight w:val="0"/>
      <w:marTop w:val="0"/>
      <w:marBottom w:val="0"/>
      <w:divBdr>
        <w:top w:val="none" w:sz="0" w:space="0" w:color="auto"/>
        <w:left w:val="none" w:sz="0" w:space="0" w:color="auto"/>
        <w:bottom w:val="none" w:sz="0" w:space="0" w:color="auto"/>
        <w:right w:val="none" w:sz="0" w:space="0" w:color="auto"/>
      </w:divBdr>
    </w:div>
    <w:div w:id="1363552925">
      <w:bodyDiv w:val="1"/>
      <w:marLeft w:val="0"/>
      <w:marRight w:val="0"/>
      <w:marTop w:val="0"/>
      <w:marBottom w:val="0"/>
      <w:divBdr>
        <w:top w:val="none" w:sz="0" w:space="0" w:color="auto"/>
        <w:left w:val="none" w:sz="0" w:space="0" w:color="auto"/>
        <w:bottom w:val="none" w:sz="0" w:space="0" w:color="auto"/>
        <w:right w:val="none" w:sz="0" w:space="0" w:color="auto"/>
      </w:divBdr>
    </w:div>
    <w:div w:id="1366103069">
      <w:bodyDiv w:val="1"/>
      <w:marLeft w:val="0"/>
      <w:marRight w:val="0"/>
      <w:marTop w:val="0"/>
      <w:marBottom w:val="0"/>
      <w:divBdr>
        <w:top w:val="none" w:sz="0" w:space="0" w:color="auto"/>
        <w:left w:val="none" w:sz="0" w:space="0" w:color="auto"/>
        <w:bottom w:val="none" w:sz="0" w:space="0" w:color="auto"/>
        <w:right w:val="none" w:sz="0" w:space="0" w:color="auto"/>
      </w:divBdr>
    </w:div>
    <w:div w:id="1539508766">
      <w:bodyDiv w:val="1"/>
      <w:marLeft w:val="0"/>
      <w:marRight w:val="0"/>
      <w:marTop w:val="0"/>
      <w:marBottom w:val="0"/>
      <w:divBdr>
        <w:top w:val="none" w:sz="0" w:space="0" w:color="auto"/>
        <w:left w:val="none" w:sz="0" w:space="0" w:color="auto"/>
        <w:bottom w:val="none" w:sz="0" w:space="0" w:color="auto"/>
        <w:right w:val="none" w:sz="0" w:space="0" w:color="auto"/>
      </w:divBdr>
    </w:div>
    <w:div w:id="1592280765">
      <w:bodyDiv w:val="1"/>
      <w:marLeft w:val="0"/>
      <w:marRight w:val="0"/>
      <w:marTop w:val="0"/>
      <w:marBottom w:val="0"/>
      <w:divBdr>
        <w:top w:val="none" w:sz="0" w:space="0" w:color="auto"/>
        <w:left w:val="none" w:sz="0" w:space="0" w:color="auto"/>
        <w:bottom w:val="none" w:sz="0" w:space="0" w:color="auto"/>
        <w:right w:val="none" w:sz="0" w:space="0" w:color="auto"/>
      </w:divBdr>
    </w:div>
    <w:div w:id="1630087637">
      <w:bodyDiv w:val="1"/>
      <w:marLeft w:val="0"/>
      <w:marRight w:val="0"/>
      <w:marTop w:val="0"/>
      <w:marBottom w:val="0"/>
      <w:divBdr>
        <w:top w:val="none" w:sz="0" w:space="0" w:color="auto"/>
        <w:left w:val="none" w:sz="0" w:space="0" w:color="auto"/>
        <w:bottom w:val="none" w:sz="0" w:space="0" w:color="auto"/>
        <w:right w:val="none" w:sz="0" w:space="0" w:color="auto"/>
      </w:divBdr>
    </w:div>
    <w:div w:id="1655522604">
      <w:bodyDiv w:val="1"/>
      <w:marLeft w:val="0"/>
      <w:marRight w:val="0"/>
      <w:marTop w:val="0"/>
      <w:marBottom w:val="0"/>
      <w:divBdr>
        <w:top w:val="none" w:sz="0" w:space="0" w:color="auto"/>
        <w:left w:val="none" w:sz="0" w:space="0" w:color="auto"/>
        <w:bottom w:val="none" w:sz="0" w:space="0" w:color="auto"/>
        <w:right w:val="none" w:sz="0" w:space="0" w:color="auto"/>
      </w:divBdr>
    </w:div>
    <w:div w:id="1676422230">
      <w:bodyDiv w:val="1"/>
      <w:marLeft w:val="0"/>
      <w:marRight w:val="0"/>
      <w:marTop w:val="0"/>
      <w:marBottom w:val="0"/>
      <w:divBdr>
        <w:top w:val="none" w:sz="0" w:space="0" w:color="auto"/>
        <w:left w:val="none" w:sz="0" w:space="0" w:color="auto"/>
        <w:bottom w:val="none" w:sz="0" w:space="0" w:color="auto"/>
        <w:right w:val="none" w:sz="0" w:space="0" w:color="auto"/>
      </w:divBdr>
    </w:div>
    <w:div w:id="1705060337">
      <w:bodyDiv w:val="1"/>
      <w:marLeft w:val="0"/>
      <w:marRight w:val="0"/>
      <w:marTop w:val="0"/>
      <w:marBottom w:val="0"/>
      <w:divBdr>
        <w:top w:val="none" w:sz="0" w:space="0" w:color="auto"/>
        <w:left w:val="none" w:sz="0" w:space="0" w:color="auto"/>
        <w:bottom w:val="none" w:sz="0" w:space="0" w:color="auto"/>
        <w:right w:val="none" w:sz="0" w:space="0" w:color="auto"/>
      </w:divBdr>
    </w:div>
    <w:div w:id="1719935598">
      <w:bodyDiv w:val="1"/>
      <w:marLeft w:val="0"/>
      <w:marRight w:val="0"/>
      <w:marTop w:val="0"/>
      <w:marBottom w:val="0"/>
      <w:divBdr>
        <w:top w:val="none" w:sz="0" w:space="0" w:color="auto"/>
        <w:left w:val="none" w:sz="0" w:space="0" w:color="auto"/>
        <w:bottom w:val="none" w:sz="0" w:space="0" w:color="auto"/>
        <w:right w:val="none" w:sz="0" w:space="0" w:color="auto"/>
      </w:divBdr>
    </w:div>
    <w:div w:id="1728459022">
      <w:bodyDiv w:val="1"/>
      <w:marLeft w:val="0"/>
      <w:marRight w:val="0"/>
      <w:marTop w:val="0"/>
      <w:marBottom w:val="0"/>
      <w:divBdr>
        <w:top w:val="none" w:sz="0" w:space="0" w:color="auto"/>
        <w:left w:val="none" w:sz="0" w:space="0" w:color="auto"/>
        <w:bottom w:val="none" w:sz="0" w:space="0" w:color="auto"/>
        <w:right w:val="none" w:sz="0" w:space="0" w:color="auto"/>
      </w:divBdr>
    </w:div>
    <w:div w:id="1741292672">
      <w:bodyDiv w:val="1"/>
      <w:marLeft w:val="0"/>
      <w:marRight w:val="0"/>
      <w:marTop w:val="0"/>
      <w:marBottom w:val="0"/>
      <w:divBdr>
        <w:top w:val="none" w:sz="0" w:space="0" w:color="auto"/>
        <w:left w:val="none" w:sz="0" w:space="0" w:color="auto"/>
        <w:bottom w:val="none" w:sz="0" w:space="0" w:color="auto"/>
        <w:right w:val="none" w:sz="0" w:space="0" w:color="auto"/>
      </w:divBdr>
    </w:div>
    <w:div w:id="1768228606">
      <w:bodyDiv w:val="1"/>
      <w:marLeft w:val="0"/>
      <w:marRight w:val="0"/>
      <w:marTop w:val="0"/>
      <w:marBottom w:val="0"/>
      <w:divBdr>
        <w:top w:val="none" w:sz="0" w:space="0" w:color="auto"/>
        <w:left w:val="none" w:sz="0" w:space="0" w:color="auto"/>
        <w:bottom w:val="none" w:sz="0" w:space="0" w:color="auto"/>
        <w:right w:val="none" w:sz="0" w:space="0" w:color="auto"/>
      </w:divBdr>
    </w:div>
    <w:div w:id="1855848914">
      <w:bodyDiv w:val="1"/>
      <w:marLeft w:val="0"/>
      <w:marRight w:val="0"/>
      <w:marTop w:val="0"/>
      <w:marBottom w:val="0"/>
      <w:divBdr>
        <w:top w:val="none" w:sz="0" w:space="0" w:color="auto"/>
        <w:left w:val="none" w:sz="0" w:space="0" w:color="auto"/>
        <w:bottom w:val="none" w:sz="0" w:space="0" w:color="auto"/>
        <w:right w:val="none" w:sz="0" w:space="0" w:color="auto"/>
      </w:divBdr>
    </w:div>
    <w:div w:id="1943957142">
      <w:bodyDiv w:val="1"/>
      <w:marLeft w:val="0"/>
      <w:marRight w:val="0"/>
      <w:marTop w:val="0"/>
      <w:marBottom w:val="0"/>
      <w:divBdr>
        <w:top w:val="none" w:sz="0" w:space="0" w:color="auto"/>
        <w:left w:val="none" w:sz="0" w:space="0" w:color="auto"/>
        <w:bottom w:val="none" w:sz="0" w:space="0" w:color="auto"/>
        <w:right w:val="none" w:sz="0" w:space="0" w:color="auto"/>
      </w:divBdr>
    </w:div>
    <w:div w:id="1970937648">
      <w:bodyDiv w:val="1"/>
      <w:marLeft w:val="0"/>
      <w:marRight w:val="0"/>
      <w:marTop w:val="0"/>
      <w:marBottom w:val="0"/>
      <w:divBdr>
        <w:top w:val="none" w:sz="0" w:space="0" w:color="auto"/>
        <w:left w:val="none" w:sz="0" w:space="0" w:color="auto"/>
        <w:bottom w:val="none" w:sz="0" w:space="0" w:color="auto"/>
        <w:right w:val="none" w:sz="0" w:space="0" w:color="auto"/>
      </w:divBdr>
    </w:div>
    <w:div w:id="2024938501">
      <w:bodyDiv w:val="1"/>
      <w:marLeft w:val="0"/>
      <w:marRight w:val="0"/>
      <w:marTop w:val="0"/>
      <w:marBottom w:val="0"/>
      <w:divBdr>
        <w:top w:val="none" w:sz="0" w:space="0" w:color="auto"/>
        <w:left w:val="none" w:sz="0" w:space="0" w:color="auto"/>
        <w:bottom w:val="none" w:sz="0" w:space="0" w:color="auto"/>
        <w:right w:val="none" w:sz="0" w:space="0" w:color="auto"/>
      </w:divBdr>
    </w:div>
    <w:div w:id="2084525188">
      <w:bodyDiv w:val="1"/>
      <w:marLeft w:val="0"/>
      <w:marRight w:val="0"/>
      <w:marTop w:val="0"/>
      <w:marBottom w:val="0"/>
      <w:divBdr>
        <w:top w:val="none" w:sz="0" w:space="0" w:color="auto"/>
        <w:left w:val="none" w:sz="0" w:space="0" w:color="auto"/>
        <w:bottom w:val="none" w:sz="0" w:space="0" w:color="auto"/>
        <w:right w:val="none" w:sz="0" w:space="0" w:color="auto"/>
      </w:divBdr>
    </w:div>
    <w:div w:id="21338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dol.gov/general/topic/wages/minimumwage" TargetMode="External"/><Relationship Id="rId2" Type="http://schemas.openxmlformats.org/officeDocument/2006/relationships/hyperlink" Target="https://hints.cancer.gov/data/methodology-reports.aspx" TargetMode="External"/><Relationship Id="rId1" Type="http://schemas.openxmlformats.org/officeDocument/2006/relationships/hyperlink" Target="http://www.fns.usda.gov/sites/default/files/NSWP-II_Vol3.pdf" TargetMode="External"/><Relationship Id="rId5" Type="http://schemas.openxmlformats.org/officeDocument/2006/relationships/hyperlink" Target="https://www.opm.gov/policy-data-oversight/pay-leave/salaries-wages/salary-tables/pdf/2017/GS_h.pdf" TargetMode="External"/><Relationship Id="rId4" Type="http://schemas.openxmlformats.org/officeDocument/2006/relationships/hyperlink" Target="https://www.opm.gov/policy-data-oversight/pay-leave/salaries-wages/salary-tables/pdf/2017/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4" ma:contentTypeDescription="Create a new document." ma:contentTypeScope="" ma:versionID="6b1c7b9e66c745961d2a1a101ace6aba">
  <xsd:schema xmlns:xsd="http://www.w3.org/2001/XMLSchema" xmlns:xs="http://www.w3.org/2001/XMLSchema" xmlns:p="http://schemas.microsoft.com/office/2006/metadata/properties" xmlns:ns2="a2144e9c-ff06-4bcc-b725-f6568fe3790f" xmlns:ns3="5a65bf0a-6ef4-4e50-b017-f833af7c7f7b" targetNamespace="http://schemas.microsoft.com/office/2006/metadata/properties" ma:root="true" ma:fieldsID="cc3bd8375323253451db8e44882cc476" ns2:_="" ns3:_="">
    <xsd:import namespace="a2144e9c-ff06-4bcc-b725-f6568fe3790f"/>
    <xsd:import namespace="5a65bf0a-6ef4-4e50-b017-f833af7c7f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65bf0a-6ef4-4e50-b017-f833af7c7f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650B-CC6A-4E62-8325-E9F9DA30E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F704C3-3C3B-4313-B692-EAE9EDFCDD82}">
  <ds:schemaRefs>
    <ds:schemaRef ds:uri="http://schemas.microsoft.com/sharepoint/v3/contenttype/forms"/>
  </ds:schemaRefs>
</ds:datastoreItem>
</file>

<file path=customXml/itemProps3.xml><?xml version="1.0" encoding="utf-8"?>
<ds:datastoreItem xmlns:ds="http://schemas.openxmlformats.org/officeDocument/2006/customXml" ds:itemID="{8C49375D-2549-4E9F-AC9D-7D628E72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5a65bf0a-6ef4-4e50-b017-f833af7c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699AC-D6D5-4C4B-8DB0-C6539588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10488</Words>
  <Characters>59782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Magness</dc:creator>
  <cp:lastModifiedBy>SYSTEM</cp:lastModifiedBy>
  <cp:revision>2</cp:revision>
  <cp:lastPrinted>2018-09-18T17:49:00Z</cp:lastPrinted>
  <dcterms:created xsi:type="dcterms:W3CDTF">2018-09-18T21:19:00Z</dcterms:created>
  <dcterms:modified xsi:type="dcterms:W3CDTF">2018-09-18T21:19:00Z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