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EF" w:rsidRPr="00EA264D"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Supporting Statement A</w:t>
      </w:r>
      <w:r w:rsidR="003D1A94">
        <w:rPr>
          <w:sz w:val="32"/>
          <w:szCs w:val="32"/>
          <w:lang w:val="en-CA"/>
        </w:rPr>
        <w:t xml:space="preserve">                            </w:t>
      </w:r>
    </w:p>
    <w:p w:rsidR="00D55BC5" w:rsidRDefault="00D55BC5" w:rsidP="007D28AF">
      <w:pPr>
        <w:tabs>
          <w:tab w:val="center" w:pos="4680"/>
        </w:tabs>
        <w:jc w:val="center"/>
        <w:rPr>
          <w:b/>
          <w:sz w:val="32"/>
          <w:szCs w:val="32"/>
        </w:rPr>
      </w:pPr>
    </w:p>
    <w:p w:rsidR="00C140EF" w:rsidRPr="00EA264D" w:rsidRDefault="00C140EF" w:rsidP="007D28AF">
      <w:pPr>
        <w:tabs>
          <w:tab w:val="center" w:pos="4680"/>
        </w:tabs>
        <w:jc w:val="center"/>
        <w:rPr>
          <w:b/>
          <w:sz w:val="32"/>
          <w:szCs w:val="32"/>
        </w:rPr>
      </w:pPr>
      <w:r w:rsidRPr="00EA264D">
        <w:rPr>
          <w:b/>
          <w:sz w:val="32"/>
          <w:szCs w:val="32"/>
        </w:rPr>
        <w:t xml:space="preserve">30 CFR </w:t>
      </w:r>
      <w:r>
        <w:rPr>
          <w:b/>
          <w:sz w:val="32"/>
          <w:szCs w:val="32"/>
        </w:rPr>
        <w:t>772</w:t>
      </w:r>
      <w:r w:rsidR="00CB4DF5">
        <w:rPr>
          <w:b/>
          <w:sz w:val="32"/>
          <w:szCs w:val="32"/>
        </w:rPr>
        <w:t xml:space="preserve"> </w:t>
      </w:r>
      <w:r w:rsidR="00CB4DF5" w:rsidRPr="00CB4DF5">
        <w:rPr>
          <w:b/>
          <w:sz w:val="32"/>
          <w:szCs w:val="32"/>
        </w:rPr>
        <w:t>- Requirements for Coal Exploration</w:t>
      </w:r>
    </w:p>
    <w:p w:rsidR="00C140EF" w:rsidRPr="00EA264D" w:rsidRDefault="00C140EF" w:rsidP="007D2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C140EF" w:rsidRPr="00EA264D" w:rsidRDefault="00C140EF" w:rsidP="007D2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EA264D">
        <w:rPr>
          <w:b/>
          <w:bCs/>
          <w:sz w:val="32"/>
          <w:szCs w:val="32"/>
        </w:rPr>
        <w:t>OMB Control Number 1029-0</w:t>
      </w:r>
      <w:r>
        <w:rPr>
          <w:b/>
          <w:bCs/>
          <w:sz w:val="32"/>
          <w:szCs w:val="32"/>
        </w:rPr>
        <w:t>112</w:t>
      </w:r>
    </w:p>
    <w:p w:rsidR="00C140EF" w:rsidRDefault="00C140EF" w:rsidP="007D2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C140EF" w:rsidRPr="00F9457C" w:rsidRDefault="00C140EF" w:rsidP="007D2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55BC5">
        <w:rPr>
          <w:b/>
        </w:rPr>
        <w:t>Terms of Clearance</w:t>
      </w:r>
      <w:r w:rsidRPr="00F9457C">
        <w:t>:  None</w:t>
      </w:r>
    </w:p>
    <w:p w:rsidR="00C140EF" w:rsidRPr="00EA264D" w:rsidRDefault="00C140EF" w:rsidP="007D2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General Instructions</w:t>
      </w:r>
      <w:r>
        <w:t xml:space="preserve"> </w:t>
      </w: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Specific Instructions</w:t>
      </w: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Justification</w:t>
      </w:r>
    </w:p>
    <w:p w:rsidR="00D55BC5" w:rsidRDefault="00D55BC5" w:rsidP="00D55B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w:t>
      </w:r>
      <w:r w:rsidRPr="00104D90">
        <w:rPr>
          <w:b/>
          <w:i/>
        </w:rPr>
        <w:tab/>
        <w:t>Explain the circumstances that make the collection of information necessary.  Identify any legal or administrative requirements that necessitate the collection.</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2.</w:t>
      </w:r>
      <w:r w:rsidRPr="00104D90">
        <w:rPr>
          <w:b/>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3.</w:t>
      </w:r>
      <w:r w:rsidRPr="00104D90">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4.</w:t>
      </w:r>
      <w:r w:rsidRPr="00104D90">
        <w:rPr>
          <w:b/>
          <w:i/>
        </w:rPr>
        <w:tab/>
        <w:t>Describe efforts to identify duplication.  Show specifically why any similar information already available cannot be used or modified for use for the purposes described in Item 2 above.</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5.</w:t>
      </w:r>
      <w:r w:rsidRPr="00104D90">
        <w:rPr>
          <w:b/>
          <w:i/>
        </w:rPr>
        <w:tab/>
        <w:t>If the collection of information impacts small businesses or other small entities, describe any methods used to minimize burden.</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lastRenderedPageBreak/>
        <w:t>6.</w:t>
      </w:r>
      <w:r w:rsidRPr="00104D90">
        <w:rPr>
          <w:b/>
          <w:i/>
        </w:rPr>
        <w:tab/>
        <w:t>Describe the consequence to Federal program or policy activities if the collection is not conducted or is conducted less frequently, as well as any technical or legal obstacles to reducing burden.</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7.</w:t>
      </w:r>
      <w:r w:rsidRPr="00104D90">
        <w:rPr>
          <w:b/>
          <w:i/>
        </w:rPr>
        <w:tab/>
        <w:t>Explain any special circumstances that would cause an information collection to be conducted in a manner:</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report information to the agency more often than quarterly;</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prepare a written response to a collection of information in fewer than 30 days after receipt of it;</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submit more than an original and two copies of any document;</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retain records, other than health, medical, government contract, grant-in-aid, or tax records, for more than three years;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in connection with a statistical survey that is not designed to produce valid and reliable results that can be generalized to the universe of study;</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the use of a statistical data classification that has not been reviewed and approved by OMB;</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submit proprietary trade secrets, or other confidential information, unless the agency can demonstrate that it has instituted procedures to protect the information's confidentiality to the extent permitted by law.</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8.</w:t>
      </w:r>
      <w:r w:rsidRPr="00104D90">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lastRenderedPageBreak/>
        <w:t>9.</w:t>
      </w:r>
      <w:r w:rsidRPr="00104D90">
        <w:rPr>
          <w:b/>
          <w:i/>
        </w:rPr>
        <w:tab/>
        <w:t>Explain any decision to provide any payment or gift to respondents, other than remuneration of contractors or grantees.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10.</w:t>
      </w:r>
      <w:r w:rsidRPr="00104D90">
        <w:rPr>
          <w:b/>
          <w:i/>
        </w:rPr>
        <w:tab/>
        <w:t>Describe any assurance of confidentiality provided to respondents and the basis for the assurance in statute, regulation, or agency policy.</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11.</w:t>
      </w:r>
      <w:r w:rsidRPr="00104D90">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12.</w:t>
      </w:r>
      <w:r w:rsidRPr="00104D90">
        <w:rPr>
          <w:b/>
          <w:i/>
        </w:rPr>
        <w:tab/>
        <w:t>Provide estimates of the hour burden of the collection of information.  The statement should:</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If this request for approval covers more than one form, provide separate hour burden estimates for each form and aggregate the hour burdens.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13.</w:t>
      </w:r>
      <w:r w:rsidRPr="00104D90">
        <w:rPr>
          <w:b/>
          <w:i/>
        </w:rPr>
        <w:tab/>
        <w:t>Provide an estimate of the total annual non-hour cost burden to respondents or recordkeepers resulting from the collection of information.  (Do not include the cost of any hour burden already reflected in item 12.)</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14.</w:t>
      </w:r>
      <w:r w:rsidRPr="00104D90">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15.</w:t>
      </w:r>
      <w:r w:rsidRPr="00104D90">
        <w:rPr>
          <w:b/>
          <w:i/>
        </w:rPr>
        <w:tab/>
        <w:t>Explain the reasons for any program changes or adjustments in hour or cost burden.</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16.</w:t>
      </w:r>
      <w:r w:rsidRPr="00104D90">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17.</w:t>
      </w:r>
      <w:r w:rsidRPr="00104D90">
        <w:rPr>
          <w:b/>
          <w:i/>
        </w:rPr>
        <w:tab/>
        <w:t>If seeking approval to not display the expiration date for OMB approval of the information collection, explain the reasons that display would be inappropriate.</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18.</w:t>
      </w:r>
      <w:r w:rsidRPr="00104D90">
        <w:rPr>
          <w:b/>
          <w:i/>
        </w:rPr>
        <w:tab/>
        <w:t>Explain each exception to the topics of the certification statement identified in "Certification for Paperwork Reduction Act Submissions."</w:t>
      </w:r>
    </w:p>
    <w:p w:rsidR="00D55BC5" w:rsidRPr="00104D90" w:rsidRDefault="00D55BC5" w:rsidP="00D55B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C140EF" w:rsidRPr="00EA264D" w:rsidRDefault="00C140EF" w:rsidP="007D28A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C140EF" w:rsidRPr="0010148C" w:rsidRDefault="00C140EF" w:rsidP="001C7372">
      <w:pPr>
        <w:rPr>
          <w:sz w:val="25"/>
          <w:szCs w:val="25"/>
        </w:rPr>
      </w:pPr>
      <w:r>
        <w:br w:type="page"/>
      </w:r>
      <w:r w:rsidRPr="0010148C">
        <w:rPr>
          <w:b/>
          <w:bCs/>
          <w:sz w:val="25"/>
          <w:szCs w:val="25"/>
        </w:rPr>
        <w:t>Introduction</w:t>
      </w:r>
    </w:p>
    <w:p w:rsidR="00C140EF" w:rsidRPr="0010148C" w:rsidRDefault="00C140EF" w:rsidP="001C7372">
      <w:pPr>
        <w:rPr>
          <w:sz w:val="25"/>
          <w:szCs w:val="25"/>
        </w:rPr>
      </w:pPr>
    </w:p>
    <w:p w:rsidR="00C140EF" w:rsidRPr="0010148C" w:rsidRDefault="00C140EF" w:rsidP="001C7372">
      <w:pPr>
        <w:rPr>
          <w:szCs w:val="25"/>
        </w:rPr>
      </w:pPr>
      <w:r w:rsidRPr="0010148C">
        <w:rPr>
          <w:szCs w:val="25"/>
        </w:rPr>
        <w:t>We, the Office of Surface Mining Reclamation and Enforcement (</w:t>
      </w:r>
      <w:r w:rsidR="00913CF2">
        <w:rPr>
          <w:szCs w:val="25"/>
        </w:rPr>
        <w:t>OSMRE</w:t>
      </w:r>
      <w:r w:rsidRPr="0010148C">
        <w:rPr>
          <w:szCs w:val="25"/>
        </w:rPr>
        <w:t>), are submitting this information collection clearance package to request renew</w:t>
      </w:r>
      <w:r>
        <w:rPr>
          <w:szCs w:val="25"/>
        </w:rPr>
        <w:t>ed</w:t>
      </w:r>
      <w:r w:rsidRPr="0010148C">
        <w:rPr>
          <w:szCs w:val="25"/>
        </w:rPr>
        <w:t xml:space="preserve"> authority to collect information and require retention of records</w:t>
      </w:r>
      <w:r w:rsidR="00D55BC5">
        <w:rPr>
          <w:szCs w:val="25"/>
        </w:rPr>
        <w:t xml:space="preserve"> for </w:t>
      </w:r>
      <w:r w:rsidRPr="0010148C">
        <w:rPr>
          <w:szCs w:val="25"/>
        </w:rPr>
        <w:t>30 CFR 772</w:t>
      </w:r>
      <w:r w:rsidR="00D55BC5">
        <w:rPr>
          <w:szCs w:val="25"/>
        </w:rPr>
        <w:t xml:space="preserve"> - </w:t>
      </w:r>
      <w:r w:rsidRPr="00D55BC5">
        <w:rPr>
          <w:szCs w:val="25"/>
        </w:rPr>
        <w:t>Requirements for Coal Exploration</w:t>
      </w:r>
      <w:r w:rsidRPr="0010148C">
        <w:rPr>
          <w:szCs w:val="25"/>
        </w:rPr>
        <w:t xml:space="preserve">.  </w:t>
      </w:r>
    </w:p>
    <w:p w:rsidR="00C140EF" w:rsidRPr="0010148C" w:rsidRDefault="00C140EF" w:rsidP="001C7372">
      <w:pPr>
        <w:rPr>
          <w:szCs w:val="25"/>
        </w:rPr>
      </w:pPr>
    </w:p>
    <w:p w:rsidR="00C140EF" w:rsidRPr="0010148C" w:rsidRDefault="00C140EF" w:rsidP="001C7372">
      <w:pPr>
        <w:pStyle w:val="BodyText"/>
      </w:pPr>
      <w:r w:rsidRPr="0010148C">
        <w:t xml:space="preserve">The Office of Management and Budget (OMB) previously reviewed and approved collections of information and recordkeeping requirements </w:t>
      </w:r>
      <w:r w:rsidR="00D55BC5">
        <w:t>for</w:t>
      </w:r>
      <w:r w:rsidRPr="0010148C">
        <w:t xml:space="preserve"> t</w:t>
      </w:r>
      <w:r>
        <w:t xml:space="preserve">his part </w:t>
      </w:r>
      <w:r w:rsidR="00D55BC5">
        <w:t xml:space="preserve">and assigned it </w:t>
      </w:r>
      <w:r w:rsidRPr="003A7818">
        <w:t>c</w:t>
      </w:r>
      <w:r w:rsidR="00CB4DF5" w:rsidRPr="003A7818">
        <w:t>ontrol</w:t>
      </w:r>
      <w:r w:rsidRPr="003A7818">
        <w:t xml:space="preserve"> number 1029-0112.</w:t>
      </w:r>
    </w:p>
    <w:p w:rsidR="00C140EF" w:rsidRPr="0010148C" w:rsidRDefault="00C140EF" w:rsidP="001C7372">
      <w:pPr>
        <w:rPr>
          <w:szCs w:val="25"/>
        </w:rPr>
      </w:pPr>
    </w:p>
    <w:p w:rsidR="00C140EF" w:rsidRPr="0010148C" w:rsidRDefault="00C140EF" w:rsidP="001C7372">
      <w:pPr>
        <w:pStyle w:val="BodyText"/>
      </w:pPr>
      <w:r w:rsidRPr="0010148C">
        <w:t xml:space="preserve">The regulations at 30 CFR 772 implement section 512 of the Surface Mining Control and Reclamation Act of 1977 (SMCRA or the Act), 30 U.S.C. 1262, by establishing notice and permitting requirements and procedures for coal exploration operations that do not involve </w:t>
      </w:r>
      <w:r>
        <w:t>F</w:t>
      </w:r>
      <w:r w:rsidRPr="0010148C">
        <w:t>ederally</w:t>
      </w:r>
      <w:r w:rsidR="00D55BC5">
        <w:t>-</w:t>
      </w:r>
      <w:r w:rsidRPr="0010148C">
        <w:t>owned coal.  Sections 772.11, 772.12, 772.14 and 772.15 contain information collection or recordkeeping requirements.</w:t>
      </w:r>
    </w:p>
    <w:p w:rsidR="00C140EF" w:rsidRPr="0010148C" w:rsidRDefault="00C140EF" w:rsidP="001C7372">
      <w:pPr>
        <w:rPr>
          <w:szCs w:val="25"/>
        </w:rPr>
      </w:pPr>
    </w:p>
    <w:p w:rsidR="00C140EF" w:rsidRPr="0010148C" w:rsidRDefault="00C140EF" w:rsidP="00C0775D">
      <w:pPr>
        <w:rPr>
          <w:szCs w:val="25"/>
        </w:rPr>
      </w:pPr>
      <w:r w:rsidRPr="0010148C">
        <w:rPr>
          <w:szCs w:val="25"/>
        </w:rPr>
        <w:t xml:space="preserve">The currently approved information collection burden for 30 CFR 772 is </w:t>
      </w:r>
      <w:r w:rsidR="00A81CB8">
        <w:rPr>
          <w:szCs w:val="25"/>
        </w:rPr>
        <w:t>7,</w:t>
      </w:r>
      <w:r w:rsidR="001A0290">
        <w:rPr>
          <w:szCs w:val="25"/>
        </w:rPr>
        <w:t>644</w:t>
      </w:r>
      <w:r w:rsidRPr="0010148C">
        <w:rPr>
          <w:szCs w:val="25"/>
        </w:rPr>
        <w:t xml:space="preserve"> </w:t>
      </w:r>
      <w:r>
        <w:rPr>
          <w:szCs w:val="25"/>
        </w:rPr>
        <w:t xml:space="preserve">hours.  We are now </w:t>
      </w:r>
      <w:r w:rsidRPr="001A0290">
        <w:rPr>
          <w:szCs w:val="25"/>
        </w:rPr>
        <w:t xml:space="preserve">requesting </w:t>
      </w:r>
      <w:r w:rsidR="00907EB4" w:rsidRPr="001A0290">
        <w:rPr>
          <w:szCs w:val="25"/>
        </w:rPr>
        <w:t>1,</w:t>
      </w:r>
      <w:r w:rsidR="006F2AF5">
        <w:rPr>
          <w:szCs w:val="25"/>
        </w:rPr>
        <w:t>864</w:t>
      </w:r>
      <w:r w:rsidR="005174E8" w:rsidRPr="001A0290">
        <w:rPr>
          <w:szCs w:val="25"/>
        </w:rPr>
        <w:t xml:space="preserve"> </w:t>
      </w:r>
      <w:r w:rsidRPr="001A0290">
        <w:rPr>
          <w:szCs w:val="25"/>
        </w:rPr>
        <w:t xml:space="preserve">hours, a </w:t>
      </w:r>
      <w:r w:rsidR="00D45375" w:rsidRPr="001A0290">
        <w:rPr>
          <w:szCs w:val="25"/>
        </w:rPr>
        <w:t>de</w:t>
      </w:r>
      <w:r w:rsidRPr="001A0290">
        <w:rPr>
          <w:szCs w:val="25"/>
        </w:rPr>
        <w:t xml:space="preserve">crease of </w:t>
      </w:r>
      <w:r w:rsidR="00435B4D" w:rsidRPr="001A0290">
        <w:rPr>
          <w:szCs w:val="25"/>
        </w:rPr>
        <w:t>5</w:t>
      </w:r>
      <w:r w:rsidR="005174E8" w:rsidRPr="001A0290">
        <w:rPr>
          <w:szCs w:val="25"/>
        </w:rPr>
        <w:t>,</w:t>
      </w:r>
      <w:r w:rsidR="00907EB4" w:rsidRPr="001A0290">
        <w:rPr>
          <w:szCs w:val="25"/>
        </w:rPr>
        <w:t>7</w:t>
      </w:r>
      <w:r w:rsidR="006F2AF5">
        <w:rPr>
          <w:szCs w:val="25"/>
        </w:rPr>
        <w:t>8</w:t>
      </w:r>
      <w:r w:rsidR="00907EB4" w:rsidRPr="001A0290">
        <w:rPr>
          <w:szCs w:val="25"/>
        </w:rPr>
        <w:t>0</w:t>
      </w:r>
      <w:r w:rsidRPr="001A0290">
        <w:rPr>
          <w:szCs w:val="25"/>
        </w:rPr>
        <w:t xml:space="preserve"> hours.</w:t>
      </w:r>
    </w:p>
    <w:p w:rsidR="00C140EF" w:rsidRPr="0010148C" w:rsidRDefault="00C140EF" w:rsidP="001C7372">
      <w:pPr>
        <w:rPr>
          <w:szCs w:val="25"/>
        </w:rPr>
      </w:pPr>
    </w:p>
    <w:p w:rsidR="00C140EF" w:rsidRPr="0010148C" w:rsidRDefault="00C140EF" w:rsidP="001C7372">
      <w:pPr>
        <w:rPr>
          <w:szCs w:val="25"/>
        </w:rPr>
      </w:pPr>
      <w:r w:rsidRPr="0010148C">
        <w:rPr>
          <w:szCs w:val="25"/>
        </w:rPr>
        <w:t xml:space="preserve">Each section of </w:t>
      </w:r>
      <w:r w:rsidR="003A7818">
        <w:rPr>
          <w:szCs w:val="25"/>
        </w:rPr>
        <w:t>p</w:t>
      </w:r>
      <w:r w:rsidRPr="0010148C">
        <w:rPr>
          <w:szCs w:val="25"/>
        </w:rPr>
        <w:t xml:space="preserve">art 772 for which there is an information collection or recordkeeping requirement is discussed separately.  The responses to some items in the OMB instructions for the supporting statement are identical for each section; these responses appear on pages </w:t>
      </w:r>
      <w:r>
        <w:rPr>
          <w:szCs w:val="25"/>
        </w:rPr>
        <w:t>6-</w:t>
      </w:r>
      <w:r w:rsidR="003858EC">
        <w:rPr>
          <w:szCs w:val="25"/>
        </w:rPr>
        <w:t>8</w:t>
      </w:r>
      <w:r w:rsidRPr="0010148C">
        <w:rPr>
          <w:szCs w:val="25"/>
        </w:rPr>
        <w:t xml:space="preserve"> of this document.  Except as otherwise noted in the supporting statement for individual sections, the respondents and potential respondents consist of 24 </w:t>
      </w:r>
      <w:r w:rsidR="00D55BC5">
        <w:rPr>
          <w:szCs w:val="25"/>
        </w:rPr>
        <w:t>s</w:t>
      </w:r>
      <w:r w:rsidRPr="0010148C">
        <w:rPr>
          <w:szCs w:val="25"/>
        </w:rPr>
        <w:t xml:space="preserve">tate regulatory authorities and </w:t>
      </w:r>
      <w:r w:rsidRPr="003A7818">
        <w:rPr>
          <w:szCs w:val="25"/>
        </w:rPr>
        <w:t xml:space="preserve">approximately </w:t>
      </w:r>
      <w:r w:rsidR="003275D9" w:rsidRPr="003A7818">
        <w:rPr>
          <w:szCs w:val="25"/>
        </w:rPr>
        <w:t>4,229</w:t>
      </w:r>
      <w:r w:rsidRPr="003A7818">
        <w:rPr>
          <w:szCs w:val="25"/>
        </w:rPr>
        <w:t xml:space="preserve"> entities</w:t>
      </w:r>
      <w:r w:rsidRPr="00870F72">
        <w:rPr>
          <w:szCs w:val="25"/>
        </w:rPr>
        <w:t xml:space="preserve"> engaged in surface coal mining operations.</w:t>
      </w:r>
    </w:p>
    <w:p w:rsidR="00C140EF" w:rsidRPr="0010148C" w:rsidRDefault="00C140EF" w:rsidP="001C7372">
      <w:pPr>
        <w:rPr>
          <w:szCs w:val="25"/>
        </w:rPr>
      </w:pPr>
    </w:p>
    <w:p w:rsidR="00C140EF" w:rsidRPr="0010148C" w:rsidRDefault="00C140EF" w:rsidP="001C7372">
      <w:pPr>
        <w:rPr>
          <w:szCs w:val="25"/>
        </w:rPr>
      </w:pPr>
      <w:r w:rsidRPr="0010148C">
        <w:rPr>
          <w:szCs w:val="25"/>
        </w:rPr>
        <w:t xml:space="preserve">The following table summarizes the information collection requirements and changes therein for Part 772. </w:t>
      </w:r>
    </w:p>
    <w:p w:rsidR="00C140EF" w:rsidRDefault="00C140EF" w:rsidP="001C7372">
      <w:pPr>
        <w:jc w:val="center"/>
        <w:rPr>
          <w:b/>
          <w:bCs/>
          <w:iCs/>
          <w:szCs w:val="25"/>
        </w:rPr>
      </w:pPr>
    </w:p>
    <w:p w:rsidR="00C140EF" w:rsidRPr="00C440F4" w:rsidRDefault="00C140EF" w:rsidP="001C7372">
      <w:pPr>
        <w:jc w:val="center"/>
        <w:rPr>
          <w:b/>
          <w:bCs/>
          <w:iCs/>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A0" w:firstRow="1" w:lastRow="0" w:firstColumn="1" w:lastColumn="0" w:noHBand="1" w:noVBand="1"/>
      </w:tblPr>
      <w:tblGrid>
        <w:gridCol w:w="1204"/>
        <w:gridCol w:w="1284"/>
        <w:gridCol w:w="1279"/>
        <w:gridCol w:w="1191"/>
        <w:gridCol w:w="1055"/>
        <w:gridCol w:w="1230"/>
        <w:gridCol w:w="1189"/>
        <w:gridCol w:w="1158"/>
      </w:tblGrid>
      <w:tr w:rsidR="00C140EF" w:rsidTr="00B63E3D">
        <w:trPr>
          <w:trHeight w:val="576"/>
        </w:trPr>
        <w:tc>
          <w:tcPr>
            <w:tcW w:w="5000" w:type="pct"/>
            <w:gridSpan w:val="8"/>
            <w:tcBorders>
              <w:top w:val="double" w:sz="4" w:space="0" w:color="auto"/>
              <w:left w:val="double" w:sz="4" w:space="0" w:color="auto"/>
              <w:bottom w:val="nil"/>
              <w:right w:val="double" w:sz="4" w:space="0" w:color="auto"/>
            </w:tcBorders>
            <w:vAlign w:val="center"/>
          </w:tcPr>
          <w:p w:rsidR="00C140EF" w:rsidRPr="00B63E3D" w:rsidRDefault="00C140EF" w:rsidP="00EB59E0">
            <w:pPr>
              <w:jc w:val="center"/>
              <w:rPr>
                <w:bCs/>
                <w:iCs/>
                <w:szCs w:val="25"/>
              </w:rPr>
            </w:pPr>
            <w:r w:rsidRPr="00B63E3D">
              <w:rPr>
                <w:b/>
                <w:bCs/>
                <w:szCs w:val="25"/>
              </w:rPr>
              <w:t>INFORMATION COLLECTION SUMMARY FOR 30 CFR PART 772</w:t>
            </w:r>
          </w:p>
        </w:tc>
      </w:tr>
      <w:tr w:rsidR="00A93496" w:rsidRPr="003858EC" w:rsidTr="00B63E3D">
        <w:tc>
          <w:tcPr>
            <w:tcW w:w="628" w:type="pct"/>
            <w:tcBorders>
              <w:left w:val="double" w:sz="4" w:space="0" w:color="auto"/>
            </w:tcBorders>
          </w:tcPr>
          <w:p w:rsidR="00C140EF" w:rsidRPr="003858EC" w:rsidRDefault="00C140EF" w:rsidP="00B63E3D">
            <w:pPr>
              <w:jc w:val="center"/>
              <w:rPr>
                <w:b/>
                <w:bCs/>
                <w:szCs w:val="25"/>
              </w:rPr>
            </w:pPr>
            <w:r w:rsidRPr="003858EC">
              <w:rPr>
                <w:b/>
                <w:bCs/>
                <w:szCs w:val="25"/>
              </w:rPr>
              <w:t>Section</w:t>
            </w:r>
          </w:p>
        </w:tc>
        <w:tc>
          <w:tcPr>
            <w:tcW w:w="669" w:type="pct"/>
          </w:tcPr>
          <w:p w:rsidR="00C140EF" w:rsidRPr="003858EC" w:rsidRDefault="00C140EF" w:rsidP="00B63E3D">
            <w:pPr>
              <w:jc w:val="center"/>
              <w:rPr>
                <w:b/>
              </w:rPr>
            </w:pPr>
            <w:r w:rsidRPr="003858EC">
              <w:rPr>
                <w:b/>
              </w:rPr>
              <w:t>Operator</w:t>
            </w:r>
          </w:p>
          <w:p w:rsidR="00C140EF" w:rsidRPr="003858EC" w:rsidRDefault="00C140EF" w:rsidP="00B63E3D">
            <w:pPr>
              <w:jc w:val="center"/>
              <w:rPr>
                <w:b/>
                <w:bCs/>
                <w:szCs w:val="25"/>
              </w:rPr>
            </w:pPr>
            <w:r w:rsidRPr="003858EC">
              <w:rPr>
                <w:b/>
                <w:bCs/>
                <w:szCs w:val="25"/>
              </w:rPr>
              <w:t>Responses</w:t>
            </w:r>
          </w:p>
        </w:tc>
        <w:tc>
          <w:tcPr>
            <w:tcW w:w="667" w:type="pct"/>
          </w:tcPr>
          <w:p w:rsidR="00C140EF" w:rsidRPr="003858EC" w:rsidRDefault="00C140EF" w:rsidP="00B63E3D">
            <w:pPr>
              <w:jc w:val="center"/>
              <w:rPr>
                <w:b/>
              </w:rPr>
            </w:pPr>
            <w:r w:rsidRPr="003858EC">
              <w:rPr>
                <w:b/>
              </w:rPr>
              <w:t>Hours per Operator</w:t>
            </w:r>
          </w:p>
        </w:tc>
        <w:tc>
          <w:tcPr>
            <w:tcW w:w="621" w:type="pct"/>
          </w:tcPr>
          <w:p w:rsidR="00C140EF" w:rsidRPr="003858EC" w:rsidRDefault="00C140EF" w:rsidP="00B63E3D">
            <w:pPr>
              <w:jc w:val="center"/>
              <w:rPr>
                <w:b/>
              </w:rPr>
            </w:pPr>
            <w:r w:rsidRPr="003858EC">
              <w:rPr>
                <w:b/>
              </w:rPr>
              <w:t>State</w:t>
            </w:r>
          </w:p>
          <w:p w:rsidR="00C140EF" w:rsidRPr="003858EC" w:rsidRDefault="00C140EF" w:rsidP="00B63E3D">
            <w:pPr>
              <w:jc w:val="center"/>
              <w:rPr>
                <w:b/>
                <w:bCs/>
                <w:szCs w:val="25"/>
              </w:rPr>
            </w:pPr>
            <w:r w:rsidRPr="003858EC">
              <w:rPr>
                <w:b/>
                <w:bCs/>
                <w:szCs w:val="25"/>
              </w:rPr>
              <w:t>Response</w:t>
            </w:r>
          </w:p>
        </w:tc>
        <w:tc>
          <w:tcPr>
            <w:tcW w:w="550" w:type="pct"/>
          </w:tcPr>
          <w:p w:rsidR="00C140EF" w:rsidRPr="003858EC" w:rsidRDefault="00C140EF" w:rsidP="00B63E3D">
            <w:pPr>
              <w:jc w:val="center"/>
              <w:rPr>
                <w:b/>
              </w:rPr>
            </w:pPr>
            <w:r w:rsidRPr="003858EC">
              <w:rPr>
                <w:b/>
              </w:rPr>
              <w:t>Hours per State</w:t>
            </w:r>
          </w:p>
        </w:tc>
        <w:tc>
          <w:tcPr>
            <w:tcW w:w="641" w:type="pct"/>
          </w:tcPr>
          <w:p w:rsidR="00C140EF" w:rsidRPr="003858EC" w:rsidRDefault="00C140EF" w:rsidP="00B63E3D">
            <w:pPr>
              <w:jc w:val="center"/>
              <w:rPr>
                <w:b/>
                <w:bCs/>
                <w:szCs w:val="25"/>
              </w:rPr>
            </w:pPr>
            <w:r w:rsidRPr="003858EC">
              <w:rPr>
                <w:b/>
                <w:bCs/>
                <w:szCs w:val="25"/>
              </w:rPr>
              <w:t>Total hours requested</w:t>
            </w:r>
          </w:p>
        </w:tc>
        <w:tc>
          <w:tcPr>
            <w:tcW w:w="620" w:type="pct"/>
          </w:tcPr>
          <w:p w:rsidR="00C140EF" w:rsidRPr="003858EC" w:rsidRDefault="00C140EF" w:rsidP="00B63E3D">
            <w:pPr>
              <w:jc w:val="center"/>
              <w:rPr>
                <w:b/>
                <w:bCs/>
                <w:szCs w:val="25"/>
              </w:rPr>
            </w:pPr>
            <w:r w:rsidRPr="003858EC">
              <w:rPr>
                <w:b/>
                <w:bCs/>
                <w:szCs w:val="25"/>
              </w:rPr>
              <w:t>Current burden hours</w:t>
            </w:r>
          </w:p>
        </w:tc>
        <w:tc>
          <w:tcPr>
            <w:tcW w:w="604" w:type="pct"/>
            <w:tcBorders>
              <w:right w:val="double" w:sz="4" w:space="0" w:color="auto"/>
            </w:tcBorders>
          </w:tcPr>
          <w:p w:rsidR="00C140EF" w:rsidRPr="003858EC" w:rsidRDefault="00C140EF" w:rsidP="00B63E3D">
            <w:pPr>
              <w:jc w:val="center"/>
              <w:rPr>
                <w:b/>
                <w:bCs/>
                <w:szCs w:val="25"/>
              </w:rPr>
            </w:pPr>
            <w:r w:rsidRPr="003858EC">
              <w:rPr>
                <w:b/>
                <w:bCs/>
                <w:szCs w:val="25"/>
              </w:rPr>
              <w:t>Change in burden hours</w:t>
            </w:r>
          </w:p>
        </w:tc>
      </w:tr>
      <w:tr w:rsidR="00A93496" w:rsidRPr="003858EC" w:rsidTr="00B63E3D">
        <w:tc>
          <w:tcPr>
            <w:tcW w:w="628" w:type="pct"/>
            <w:tcBorders>
              <w:left w:val="double" w:sz="4" w:space="0" w:color="auto"/>
            </w:tcBorders>
          </w:tcPr>
          <w:p w:rsidR="00C140EF" w:rsidRPr="003858EC" w:rsidRDefault="00C140EF" w:rsidP="00B63E3D">
            <w:pPr>
              <w:jc w:val="center"/>
              <w:rPr>
                <w:b/>
              </w:rPr>
            </w:pPr>
            <w:r w:rsidRPr="003858EC">
              <w:rPr>
                <w:b/>
              </w:rPr>
              <w:t>772.11</w:t>
            </w:r>
          </w:p>
        </w:tc>
        <w:tc>
          <w:tcPr>
            <w:tcW w:w="669" w:type="pct"/>
          </w:tcPr>
          <w:p w:rsidR="00C140EF" w:rsidRPr="003858EC" w:rsidRDefault="003275D9" w:rsidP="00934809">
            <w:pPr>
              <w:jc w:val="center"/>
              <w:rPr>
                <w:b/>
              </w:rPr>
            </w:pPr>
            <w:r w:rsidRPr="003858EC">
              <w:rPr>
                <w:b/>
              </w:rPr>
              <w:t>2</w:t>
            </w:r>
            <w:r w:rsidR="00934809">
              <w:rPr>
                <w:b/>
              </w:rPr>
              <w:t>88</w:t>
            </w:r>
          </w:p>
        </w:tc>
        <w:tc>
          <w:tcPr>
            <w:tcW w:w="667" w:type="pct"/>
          </w:tcPr>
          <w:p w:rsidR="00C140EF" w:rsidRPr="003858EC" w:rsidRDefault="008D0395" w:rsidP="00F238EC">
            <w:pPr>
              <w:jc w:val="center"/>
              <w:rPr>
                <w:b/>
              </w:rPr>
            </w:pPr>
            <w:r w:rsidRPr="003858EC">
              <w:rPr>
                <w:b/>
              </w:rPr>
              <w:t>5</w:t>
            </w:r>
          </w:p>
        </w:tc>
        <w:tc>
          <w:tcPr>
            <w:tcW w:w="621" w:type="pct"/>
          </w:tcPr>
          <w:p w:rsidR="00C140EF" w:rsidRPr="003858EC" w:rsidRDefault="00C140EF" w:rsidP="00B63E3D">
            <w:pPr>
              <w:jc w:val="center"/>
              <w:rPr>
                <w:b/>
              </w:rPr>
            </w:pPr>
            <w:r w:rsidRPr="003858EC">
              <w:rPr>
                <w:b/>
              </w:rPr>
              <w:t>0</w:t>
            </w:r>
          </w:p>
        </w:tc>
        <w:tc>
          <w:tcPr>
            <w:tcW w:w="550" w:type="pct"/>
          </w:tcPr>
          <w:p w:rsidR="00C140EF" w:rsidRPr="003858EC" w:rsidRDefault="00C140EF" w:rsidP="00B63E3D">
            <w:pPr>
              <w:jc w:val="center"/>
              <w:rPr>
                <w:b/>
              </w:rPr>
            </w:pPr>
            <w:r w:rsidRPr="003858EC">
              <w:rPr>
                <w:b/>
              </w:rPr>
              <w:t>0</w:t>
            </w:r>
          </w:p>
        </w:tc>
        <w:tc>
          <w:tcPr>
            <w:tcW w:w="641" w:type="pct"/>
          </w:tcPr>
          <w:p w:rsidR="00C140EF" w:rsidRPr="003858EC" w:rsidRDefault="000A2E94" w:rsidP="00934809">
            <w:pPr>
              <w:jc w:val="center"/>
              <w:rPr>
                <w:b/>
              </w:rPr>
            </w:pPr>
            <w:r w:rsidRPr="003858EC">
              <w:rPr>
                <w:b/>
              </w:rPr>
              <w:t>1,4</w:t>
            </w:r>
            <w:r w:rsidR="00934809">
              <w:rPr>
                <w:b/>
              </w:rPr>
              <w:t>4</w:t>
            </w:r>
            <w:r w:rsidRPr="003858EC">
              <w:rPr>
                <w:b/>
              </w:rPr>
              <w:t>0</w:t>
            </w:r>
          </w:p>
        </w:tc>
        <w:tc>
          <w:tcPr>
            <w:tcW w:w="620" w:type="pct"/>
          </w:tcPr>
          <w:p w:rsidR="00C140EF" w:rsidRPr="003858EC" w:rsidRDefault="00A81CB8" w:rsidP="0096731D">
            <w:pPr>
              <w:jc w:val="center"/>
              <w:rPr>
                <w:b/>
              </w:rPr>
            </w:pPr>
            <w:r w:rsidRPr="003858EC">
              <w:rPr>
                <w:b/>
              </w:rPr>
              <w:t>5,030</w:t>
            </w:r>
          </w:p>
        </w:tc>
        <w:tc>
          <w:tcPr>
            <w:tcW w:w="604" w:type="pct"/>
            <w:tcBorders>
              <w:right w:val="double" w:sz="4" w:space="0" w:color="auto"/>
            </w:tcBorders>
          </w:tcPr>
          <w:p w:rsidR="00C140EF" w:rsidRPr="003858EC" w:rsidRDefault="008D0395" w:rsidP="00934809">
            <w:pPr>
              <w:jc w:val="center"/>
              <w:rPr>
                <w:b/>
              </w:rPr>
            </w:pPr>
            <w:r w:rsidRPr="003858EC">
              <w:rPr>
                <w:b/>
              </w:rPr>
              <w:t>-</w:t>
            </w:r>
            <w:r w:rsidR="000A2E94" w:rsidRPr="003858EC">
              <w:rPr>
                <w:b/>
              </w:rPr>
              <w:t>3,5</w:t>
            </w:r>
            <w:r w:rsidR="00934809">
              <w:rPr>
                <w:b/>
              </w:rPr>
              <w:t>9</w:t>
            </w:r>
            <w:r w:rsidR="000A2E94" w:rsidRPr="003858EC">
              <w:rPr>
                <w:b/>
              </w:rPr>
              <w:t>0</w:t>
            </w:r>
          </w:p>
        </w:tc>
      </w:tr>
      <w:tr w:rsidR="00A93496" w:rsidRPr="003858EC" w:rsidTr="00B63E3D">
        <w:trPr>
          <w:trHeight w:val="197"/>
        </w:trPr>
        <w:tc>
          <w:tcPr>
            <w:tcW w:w="628" w:type="pct"/>
            <w:tcBorders>
              <w:left w:val="double" w:sz="4" w:space="0" w:color="auto"/>
            </w:tcBorders>
          </w:tcPr>
          <w:p w:rsidR="00C140EF" w:rsidRPr="003858EC" w:rsidRDefault="00C140EF" w:rsidP="00B63E3D">
            <w:pPr>
              <w:jc w:val="center"/>
              <w:rPr>
                <w:b/>
                <w:bCs/>
                <w:szCs w:val="25"/>
              </w:rPr>
            </w:pPr>
            <w:r w:rsidRPr="003858EC">
              <w:rPr>
                <w:b/>
                <w:bCs/>
                <w:szCs w:val="25"/>
              </w:rPr>
              <w:t>772.12</w:t>
            </w:r>
          </w:p>
        </w:tc>
        <w:tc>
          <w:tcPr>
            <w:tcW w:w="669" w:type="pct"/>
          </w:tcPr>
          <w:p w:rsidR="00C140EF" w:rsidRPr="003858EC" w:rsidRDefault="000A2E94" w:rsidP="0096731D">
            <w:pPr>
              <w:jc w:val="center"/>
              <w:rPr>
                <w:b/>
                <w:bCs/>
                <w:szCs w:val="25"/>
              </w:rPr>
            </w:pPr>
            <w:r w:rsidRPr="003858EC">
              <w:rPr>
                <w:b/>
                <w:bCs/>
                <w:szCs w:val="25"/>
              </w:rPr>
              <w:t>2</w:t>
            </w:r>
          </w:p>
        </w:tc>
        <w:tc>
          <w:tcPr>
            <w:tcW w:w="667" w:type="pct"/>
          </w:tcPr>
          <w:p w:rsidR="00C140EF" w:rsidRPr="003858EC" w:rsidRDefault="00C140EF" w:rsidP="00B63E3D">
            <w:pPr>
              <w:jc w:val="center"/>
              <w:rPr>
                <w:b/>
                <w:bCs/>
                <w:szCs w:val="25"/>
              </w:rPr>
            </w:pPr>
            <w:r w:rsidRPr="003858EC">
              <w:rPr>
                <w:b/>
                <w:bCs/>
                <w:szCs w:val="25"/>
              </w:rPr>
              <w:t>70</w:t>
            </w:r>
          </w:p>
        </w:tc>
        <w:tc>
          <w:tcPr>
            <w:tcW w:w="621" w:type="pct"/>
          </w:tcPr>
          <w:p w:rsidR="00C140EF" w:rsidRPr="003858EC" w:rsidRDefault="000A2E94" w:rsidP="00C23156">
            <w:pPr>
              <w:jc w:val="center"/>
              <w:rPr>
                <w:b/>
                <w:bCs/>
                <w:szCs w:val="25"/>
              </w:rPr>
            </w:pPr>
            <w:r w:rsidRPr="003858EC">
              <w:rPr>
                <w:b/>
                <w:bCs/>
                <w:szCs w:val="25"/>
              </w:rPr>
              <w:t>2</w:t>
            </w:r>
          </w:p>
        </w:tc>
        <w:tc>
          <w:tcPr>
            <w:tcW w:w="550" w:type="pct"/>
          </w:tcPr>
          <w:p w:rsidR="00C140EF" w:rsidRPr="003858EC" w:rsidRDefault="00C140EF" w:rsidP="00A93496">
            <w:pPr>
              <w:jc w:val="center"/>
              <w:rPr>
                <w:b/>
                <w:bCs/>
                <w:szCs w:val="25"/>
              </w:rPr>
            </w:pPr>
            <w:r w:rsidRPr="003858EC">
              <w:rPr>
                <w:b/>
                <w:bCs/>
                <w:szCs w:val="25"/>
              </w:rPr>
              <w:t>5</w:t>
            </w:r>
            <w:r w:rsidR="00A93496" w:rsidRPr="003858EC">
              <w:rPr>
                <w:b/>
                <w:bCs/>
                <w:szCs w:val="25"/>
              </w:rPr>
              <w:t>3</w:t>
            </w:r>
          </w:p>
        </w:tc>
        <w:tc>
          <w:tcPr>
            <w:tcW w:w="641" w:type="pct"/>
          </w:tcPr>
          <w:p w:rsidR="00C140EF" w:rsidRPr="003858EC" w:rsidRDefault="005174E8" w:rsidP="00A93496">
            <w:pPr>
              <w:jc w:val="center"/>
              <w:rPr>
                <w:b/>
                <w:bCs/>
                <w:szCs w:val="25"/>
              </w:rPr>
            </w:pPr>
            <w:r w:rsidRPr="003858EC">
              <w:rPr>
                <w:b/>
                <w:bCs/>
                <w:szCs w:val="25"/>
              </w:rPr>
              <w:t>246</w:t>
            </w:r>
          </w:p>
        </w:tc>
        <w:tc>
          <w:tcPr>
            <w:tcW w:w="620" w:type="pct"/>
          </w:tcPr>
          <w:p w:rsidR="00C140EF" w:rsidRPr="003858EC" w:rsidRDefault="00A81CB8" w:rsidP="00DB4727">
            <w:pPr>
              <w:jc w:val="center"/>
              <w:rPr>
                <w:b/>
                <w:bCs/>
                <w:szCs w:val="25"/>
              </w:rPr>
            </w:pPr>
            <w:r w:rsidRPr="003858EC">
              <w:rPr>
                <w:b/>
                <w:bCs/>
                <w:szCs w:val="25"/>
              </w:rPr>
              <w:t>2,038</w:t>
            </w:r>
          </w:p>
        </w:tc>
        <w:tc>
          <w:tcPr>
            <w:tcW w:w="604" w:type="pct"/>
            <w:tcBorders>
              <w:right w:val="double" w:sz="4" w:space="0" w:color="auto"/>
            </w:tcBorders>
          </w:tcPr>
          <w:p w:rsidR="00C140EF" w:rsidRPr="003858EC" w:rsidRDefault="00DB4727" w:rsidP="005174E8">
            <w:pPr>
              <w:jc w:val="center"/>
              <w:rPr>
                <w:b/>
                <w:bCs/>
                <w:szCs w:val="25"/>
              </w:rPr>
            </w:pPr>
            <w:r w:rsidRPr="003858EC">
              <w:rPr>
                <w:b/>
                <w:bCs/>
                <w:szCs w:val="25"/>
              </w:rPr>
              <w:t>-</w:t>
            </w:r>
            <w:r w:rsidR="005174E8" w:rsidRPr="003858EC">
              <w:rPr>
                <w:b/>
                <w:bCs/>
                <w:szCs w:val="25"/>
              </w:rPr>
              <w:t>1,792</w:t>
            </w:r>
          </w:p>
        </w:tc>
      </w:tr>
      <w:tr w:rsidR="00A93496" w:rsidRPr="003858EC" w:rsidTr="00B63E3D">
        <w:tc>
          <w:tcPr>
            <w:tcW w:w="628" w:type="pct"/>
            <w:tcBorders>
              <w:left w:val="double" w:sz="4" w:space="0" w:color="auto"/>
            </w:tcBorders>
          </w:tcPr>
          <w:p w:rsidR="00C140EF" w:rsidRPr="003858EC" w:rsidRDefault="00C140EF" w:rsidP="00B63E3D">
            <w:pPr>
              <w:jc w:val="center"/>
              <w:rPr>
                <w:b/>
                <w:bCs/>
                <w:szCs w:val="25"/>
              </w:rPr>
            </w:pPr>
            <w:r w:rsidRPr="003858EC">
              <w:rPr>
                <w:b/>
                <w:bCs/>
                <w:szCs w:val="25"/>
              </w:rPr>
              <w:t>772.14</w:t>
            </w:r>
          </w:p>
        </w:tc>
        <w:tc>
          <w:tcPr>
            <w:tcW w:w="669" w:type="pct"/>
          </w:tcPr>
          <w:p w:rsidR="00C140EF" w:rsidRPr="003858EC" w:rsidRDefault="00C140EF" w:rsidP="00B63E3D">
            <w:pPr>
              <w:jc w:val="center"/>
              <w:rPr>
                <w:b/>
                <w:bCs/>
                <w:szCs w:val="25"/>
              </w:rPr>
            </w:pPr>
            <w:r w:rsidRPr="003858EC">
              <w:rPr>
                <w:b/>
                <w:bCs/>
                <w:szCs w:val="25"/>
              </w:rPr>
              <w:t>1</w:t>
            </w:r>
          </w:p>
        </w:tc>
        <w:tc>
          <w:tcPr>
            <w:tcW w:w="667" w:type="pct"/>
          </w:tcPr>
          <w:p w:rsidR="00C140EF" w:rsidRPr="003858EC" w:rsidRDefault="00C140EF" w:rsidP="00B63E3D">
            <w:pPr>
              <w:jc w:val="center"/>
              <w:rPr>
                <w:b/>
                <w:bCs/>
                <w:szCs w:val="25"/>
              </w:rPr>
            </w:pPr>
            <w:r w:rsidRPr="003858EC">
              <w:rPr>
                <w:b/>
                <w:bCs/>
                <w:szCs w:val="25"/>
              </w:rPr>
              <w:t>16</w:t>
            </w:r>
          </w:p>
        </w:tc>
        <w:tc>
          <w:tcPr>
            <w:tcW w:w="621" w:type="pct"/>
          </w:tcPr>
          <w:p w:rsidR="00C140EF" w:rsidRPr="003858EC" w:rsidRDefault="00C140EF" w:rsidP="00B63E3D">
            <w:pPr>
              <w:jc w:val="center"/>
              <w:rPr>
                <w:b/>
                <w:bCs/>
                <w:szCs w:val="25"/>
              </w:rPr>
            </w:pPr>
            <w:r w:rsidRPr="003858EC">
              <w:rPr>
                <w:b/>
                <w:bCs/>
                <w:szCs w:val="25"/>
              </w:rPr>
              <w:t>1</w:t>
            </w:r>
          </w:p>
        </w:tc>
        <w:tc>
          <w:tcPr>
            <w:tcW w:w="550" w:type="pct"/>
          </w:tcPr>
          <w:p w:rsidR="00C140EF" w:rsidRPr="003858EC" w:rsidRDefault="00C140EF" w:rsidP="00B63E3D">
            <w:pPr>
              <w:jc w:val="center"/>
              <w:rPr>
                <w:b/>
                <w:bCs/>
                <w:szCs w:val="25"/>
              </w:rPr>
            </w:pPr>
            <w:r w:rsidRPr="003858EC">
              <w:rPr>
                <w:b/>
                <w:bCs/>
                <w:szCs w:val="25"/>
              </w:rPr>
              <w:t>2</w:t>
            </w:r>
          </w:p>
        </w:tc>
        <w:tc>
          <w:tcPr>
            <w:tcW w:w="641" w:type="pct"/>
          </w:tcPr>
          <w:p w:rsidR="00C140EF" w:rsidRPr="003858EC" w:rsidRDefault="00C140EF" w:rsidP="00B63E3D">
            <w:pPr>
              <w:jc w:val="center"/>
              <w:rPr>
                <w:b/>
                <w:bCs/>
                <w:szCs w:val="25"/>
              </w:rPr>
            </w:pPr>
            <w:r w:rsidRPr="003858EC">
              <w:rPr>
                <w:b/>
                <w:bCs/>
                <w:szCs w:val="25"/>
              </w:rPr>
              <w:t>18</w:t>
            </w:r>
          </w:p>
        </w:tc>
        <w:tc>
          <w:tcPr>
            <w:tcW w:w="620" w:type="pct"/>
          </w:tcPr>
          <w:p w:rsidR="00C140EF" w:rsidRPr="003858EC" w:rsidRDefault="00C140EF" w:rsidP="00B63E3D">
            <w:pPr>
              <w:jc w:val="center"/>
              <w:rPr>
                <w:b/>
                <w:bCs/>
                <w:szCs w:val="25"/>
              </w:rPr>
            </w:pPr>
            <w:r w:rsidRPr="003858EC">
              <w:rPr>
                <w:b/>
                <w:bCs/>
                <w:szCs w:val="25"/>
              </w:rPr>
              <w:t>18</w:t>
            </w:r>
          </w:p>
        </w:tc>
        <w:tc>
          <w:tcPr>
            <w:tcW w:w="604" w:type="pct"/>
            <w:tcBorders>
              <w:right w:val="double" w:sz="4" w:space="0" w:color="auto"/>
            </w:tcBorders>
          </w:tcPr>
          <w:p w:rsidR="00C140EF" w:rsidRPr="003858EC" w:rsidRDefault="00C140EF" w:rsidP="00B63E3D">
            <w:pPr>
              <w:jc w:val="center"/>
              <w:rPr>
                <w:b/>
                <w:bCs/>
                <w:szCs w:val="25"/>
              </w:rPr>
            </w:pPr>
            <w:r w:rsidRPr="003858EC">
              <w:rPr>
                <w:b/>
                <w:bCs/>
                <w:szCs w:val="25"/>
              </w:rPr>
              <w:t>0</w:t>
            </w:r>
          </w:p>
        </w:tc>
      </w:tr>
      <w:tr w:rsidR="00A93496" w:rsidRPr="003858EC" w:rsidTr="00B63E3D">
        <w:tc>
          <w:tcPr>
            <w:tcW w:w="628" w:type="pct"/>
            <w:tcBorders>
              <w:left w:val="double" w:sz="4" w:space="0" w:color="auto"/>
            </w:tcBorders>
          </w:tcPr>
          <w:p w:rsidR="00C140EF" w:rsidRPr="003858EC" w:rsidRDefault="00C140EF" w:rsidP="00B63E3D">
            <w:pPr>
              <w:jc w:val="center"/>
              <w:rPr>
                <w:b/>
                <w:bCs/>
                <w:szCs w:val="25"/>
              </w:rPr>
            </w:pPr>
            <w:r w:rsidRPr="003858EC">
              <w:rPr>
                <w:b/>
                <w:bCs/>
                <w:szCs w:val="25"/>
              </w:rPr>
              <w:t>772.15(a)</w:t>
            </w:r>
          </w:p>
        </w:tc>
        <w:tc>
          <w:tcPr>
            <w:tcW w:w="669" w:type="pct"/>
          </w:tcPr>
          <w:p w:rsidR="00C140EF" w:rsidRPr="003858EC" w:rsidRDefault="00C140EF" w:rsidP="00B63E3D">
            <w:pPr>
              <w:jc w:val="center"/>
              <w:rPr>
                <w:b/>
                <w:bCs/>
                <w:szCs w:val="25"/>
              </w:rPr>
            </w:pPr>
            <w:r w:rsidRPr="003858EC">
              <w:rPr>
                <w:b/>
                <w:bCs/>
                <w:szCs w:val="25"/>
              </w:rPr>
              <w:t>0</w:t>
            </w:r>
          </w:p>
        </w:tc>
        <w:tc>
          <w:tcPr>
            <w:tcW w:w="667" w:type="pct"/>
          </w:tcPr>
          <w:p w:rsidR="00C140EF" w:rsidRPr="003858EC" w:rsidRDefault="00C140EF" w:rsidP="00B63E3D">
            <w:pPr>
              <w:jc w:val="center"/>
              <w:rPr>
                <w:b/>
                <w:bCs/>
                <w:szCs w:val="25"/>
              </w:rPr>
            </w:pPr>
            <w:r w:rsidRPr="003858EC">
              <w:rPr>
                <w:b/>
                <w:bCs/>
                <w:szCs w:val="25"/>
              </w:rPr>
              <w:t>0</w:t>
            </w:r>
          </w:p>
        </w:tc>
        <w:tc>
          <w:tcPr>
            <w:tcW w:w="621" w:type="pct"/>
          </w:tcPr>
          <w:p w:rsidR="00C140EF" w:rsidRPr="003858EC" w:rsidRDefault="0001378F" w:rsidP="007D3796">
            <w:pPr>
              <w:jc w:val="center"/>
              <w:rPr>
                <w:b/>
                <w:bCs/>
                <w:szCs w:val="25"/>
              </w:rPr>
            </w:pPr>
            <w:r w:rsidRPr="003858EC">
              <w:rPr>
                <w:b/>
                <w:bCs/>
                <w:szCs w:val="25"/>
              </w:rPr>
              <w:t>290</w:t>
            </w:r>
          </w:p>
        </w:tc>
        <w:tc>
          <w:tcPr>
            <w:tcW w:w="550" w:type="pct"/>
          </w:tcPr>
          <w:p w:rsidR="00C140EF" w:rsidRPr="003858EC" w:rsidRDefault="00C140EF" w:rsidP="00B63E3D">
            <w:pPr>
              <w:jc w:val="center"/>
              <w:rPr>
                <w:b/>
                <w:bCs/>
                <w:szCs w:val="25"/>
              </w:rPr>
            </w:pPr>
            <w:r w:rsidRPr="003858EC">
              <w:rPr>
                <w:b/>
                <w:bCs/>
                <w:szCs w:val="25"/>
              </w:rPr>
              <w:t>.5</w:t>
            </w:r>
          </w:p>
        </w:tc>
        <w:tc>
          <w:tcPr>
            <w:tcW w:w="641" w:type="pct"/>
          </w:tcPr>
          <w:p w:rsidR="00C140EF" w:rsidRPr="003858EC" w:rsidRDefault="0001378F" w:rsidP="007D3796">
            <w:pPr>
              <w:jc w:val="center"/>
              <w:rPr>
                <w:b/>
                <w:bCs/>
                <w:szCs w:val="25"/>
              </w:rPr>
            </w:pPr>
            <w:r w:rsidRPr="003858EC">
              <w:rPr>
                <w:b/>
                <w:bCs/>
                <w:szCs w:val="25"/>
              </w:rPr>
              <w:t>145</w:t>
            </w:r>
          </w:p>
        </w:tc>
        <w:tc>
          <w:tcPr>
            <w:tcW w:w="620" w:type="pct"/>
          </w:tcPr>
          <w:p w:rsidR="00C140EF" w:rsidRPr="003858EC" w:rsidRDefault="0096731D" w:rsidP="0096731D">
            <w:pPr>
              <w:jc w:val="center"/>
              <w:rPr>
                <w:b/>
                <w:bCs/>
                <w:szCs w:val="25"/>
              </w:rPr>
            </w:pPr>
            <w:r w:rsidRPr="003858EC">
              <w:rPr>
                <w:b/>
                <w:bCs/>
                <w:szCs w:val="25"/>
              </w:rPr>
              <w:t>5</w:t>
            </w:r>
            <w:r w:rsidR="00A81CB8" w:rsidRPr="003858EC">
              <w:rPr>
                <w:b/>
                <w:bCs/>
                <w:szCs w:val="25"/>
              </w:rPr>
              <w:t>07</w:t>
            </w:r>
          </w:p>
        </w:tc>
        <w:tc>
          <w:tcPr>
            <w:tcW w:w="604" w:type="pct"/>
            <w:tcBorders>
              <w:right w:val="double" w:sz="4" w:space="0" w:color="auto"/>
            </w:tcBorders>
          </w:tcPr>
          <w:p w:rsidR="00C140EF" w:rsidRPr="003858EC" w:rsidRDefault="008D0395" w:rsidP="00907EB4">
            <w:pPr>
              <w:jc w:val="center"/>
              <w:rPr>
                <w:b/>
                <w:bCs/>
                <w:szCs w:val="25"/>
              </w:rPr>
            </w:pPr>
            <w:r w:rsidRPr="003858EC">
              <w:rPr>
                <w:b/>
                <w:bCs/>
                <w:szCs w:val="25"/>
              </w:rPr>
              <w:t>-</w:t>
            </w:r>
            <w:r w:rsidR="00907EB4" w:rsidRPr="003858EC">
              <w:rPr>
                <w:b/>
                <w:bCs/>
                <w:szCs w:val="25"/>
              </w:rPr>
              <w:t>362</w:t>
            </w:r>
          </w:p>
        </w:tc>
      </w:tr>
      <w:tr w:rsidR="00A93496" w:rsidRPr="003858EC" w:rsidTr="00B63E3D">
        <w:tc>
          <w:tcPr>
            <w:tcW w:w="628" w:type="pct"/>
            <w:tcBorders>
              <w:left w:val="double" w:sz="4" w:space="0" w:color="auto"/>
            </w:tcBorders>
          </w:tcPr>
          <w:p w:rsidR="00C140EF" w:rsidRPr="003858EC" w:rsidRDefault="00C140EF" w:rsidP="00B63E3D">
            <w:pPr>
              <w:jc w:val="center"/>
              <w:rPr>
                <w:b/>
                <w:bCs/>
                <w:szCs w:val="25"/>
              </w:rPr>
            </w:pPr>
            <w:r w:rsidRPr="003858EC">
              <w:rPr>
                <w:b/>
                <w:bCs/>
                <w:szCs w:val="25"/>
              </w:rPr>
              <w:t>772.15(b)</w:t>
            </w:r>
          </w:p>
        </w:tc>
        <w:tc>
          <w:tcPr>
            <w:tcW w:w="669" w:type="pct"/>
          </w:tcPr>
          <w:p w:rsidR="00C140EF" w:rsidRPr="003858EC" w:rsidRDefault="0001378F" w:rsidP="001254EE">
            <w:pPr>
              <w:jc w:val="center"/>
              <w:rPr>
                <w:b/>
                <w:bCs/>
                <w:szCs w:val="25"/>
              </w:rPr>
            </w:pPr>
            <w:r w:rsidRPr="003858EC">
              <w:rPr>
                <w:b/>
                <w:bCs/>
                <w:szCs w:val="25"/>
              </w:rPr>
              <w:t>29</w:t>
            </w:r>
          </w:p>
        </w:tc>
        <w:tc>
          <w:tcPr>
            <w:tcW w:w="667" w:type="pct"/>
          </w:tcPr>
          <w:p w:rsidR="00C140EF" w:rsidRPr="003858EC" w:rsidRDefault="00E326C1" w:rsidP="00E326C1">
            <w:pPr>
              <w:jc w:val="center"/>
              <w:rPr>
                <w:b/>
                <w:bCs/>
                <w:szCs w:val="25"/>
              </w:rPr>
            </w:pPr>
            <w:r w:rsidRPr="003858EC">
              <w:rPr>
                <w:b/>
                <w:bCs/>
                <w:szCs w:val="25"/>
              </w:rPr>
              <w:t>.</w:t>
            </w:r>
            <w:r w:rsidR="0001378F" w:rsidRPr="003858EC">
              <w:rPr>
                <w:b/>
                <w:bCs/>
                <w:szCs w:val="25"/>
              </w:rPr>
              <w:t>5</w:t>
            </w:r>
          </w:p>
        </w:tc>
        <w:tc>
          <w:tcPr>
            <w:tcW w:w="621" w:type="pct"/>
          </w:tcPr>
          <w:p w:rsidR="00C140EF" w:rsidRPr="003858EC" w:rsidRDefault="00E326C1" w:rsidP="00EC417F">
            <w:pPr>
              <w:jc w:val="center"/>
              <w:rPr>
                <w:b/>
                <w:bCs/>
                <w:szCs w:val="25"/>
              </w:rPr>
            </w:pPr>
            <w:r w:rsidRPr="003858EC">
              <w:rPr>
                <w:b/>
                <w:bCs/>
                <w:szCs w:val="25"/>
              </w:rPr>
              <w:t>0</w:t>
            </w:r>
          </w:p>
        </w:tc>
        <w:tc>
          <w:tcPr>
            <w:tcW w:w="550" w:type="pct"/>
          </w:tcPr>
          <w:p w:rsidR="00C140EF" w:rsidRPr="003858EC" w:rsidRDefault="00F86A12" w:rsidP="00B63E3D">
            <w:pPr>
              <w:jc w:val="center"/>
              <w:rPr>
                <w:b/>
                <w:bCs/>
                <w:szCs w:val="25"/>
              </w:rPr>
            </w:pPr>
            <w:r w:rsidRPr="003858EC">
              <w:rPr>
                <w:b/>
                <w:bCs/>
                <w:szCs w:val="25"/>
              </w:rPr>
              <w:t>0</w:t>
            </w:r>
          </w:p>
        </w:tc>
        <w:tc>
          <w:tcPr>
            <w:tcW w:w="641" w:type="pct"/>
          </w:tcPr>
          <w:p w:rsidR="00C140EF" w:rsidRPr="003858EC" w:rsidRDefault="0001378F" w:rsidP="001254EE">
            <w:pPr>
              <w:jc w:val="center"/>
              <w:rPr>
                <w:b/>
                <w:bCs/>
                <w:szCs w:val="25"/>
              </w:rPr>
            </w:pPr>
            <w:r w:rsidRPr="003858EC">
              <w:rPr>
                <w:b/>
                <w:bCs/>
                <w:szCs w:val="25"/>
              </w:rPr>
              <w:t>15</w:t>
            </w:r>
          </w:p>
        </w:tc>
        <w:tc>
          <w:tcPr>
            <w:tcW w:w="620" w:type="pct"/>
          </w:tcPr>
          <w:p w:rsidR="00C140EF" w:rsidRPr="003858EC" w:rsidRDefault="00A81CB8" w:rsidP="0096731D">
            <w:pPr>
              <w:jc w:val="center"/>
              <w:rPr>
                <w:b/>
                <w:bCs/>
                <w:szCs w:val="25"/>
              </w:rPr>
            </w:pPr>
            <w:r w:rsidRPr="003858EC">
              <w:rPr>
                <w:b/>
                <w:bCs/>
                <w:szCs w:val="25"/>
              </w:rPr>
              <w:t>51</w:t>
            </w:r>
          </w:p>
        </w:tc>
        <w:tc>
          <w:tcPr>
            <w:tcW w:w="604" w:type="pct"/>
            <w:tcBorders>
              <w:right w:val="double" w:sz="4" w:space="0" w:color="auto"/>
            </w:tcBorders>
          </w:tcPr>
          <w:p w:rsidR="00C140EF" w:rsidRPr="003858EC" w:rsidRDefault="008D0395" w:rsidP="00907EB4">
            <w:pPr>
              <w:jc w:val="center"/>
              <w:rPr>
                <w:b/>
                <w:bCs/>
                <w:szCs w:val="25"/>
              </w:rPr>
            </w:pPr>
            <w:r w:rsidRPr="003858EC">
              <w:rPr>
                <w:b/>
                <w:bCs/>
                <w:szCs w:val="25"/>
              </w:rPr>
              <w:t>-</w:t>
            </w:r>
            <w:r w:rsidR="00907EB4" w:rsidRPr="003858EC">
              <w:rPr>
                <w:b/>
                <w:bCs/>
                <w:szCs w:val="25"/>
              </w:rPr>
              <w:t>36</w:t>
            </w:r>
          </w:p>
        </w:tc>
      </w:tr>
      <w:tr w:rsidR="00A93496" w:rsidRPr="003858EC" w:rsidTr="00B63E3D">
        <w:tc>
          <w:tcPr>
            <w:tcW w:w="628" w:type="pct"/>
            <w:tcBorders>
              <w:left w:val="double" w:sz="4" w:space="0" w:color="auto"/>
              <w:bottom w:val="double" w:sz="4" w:space="0" w:color="auto"/>
            </w:tcBorders>
          </w:tcPr>
          <w:p w:rsidR="00C140EF" w:rsidRPr="003858EC" w:rsidRDefault="00C140EF" w:rsidP="00B63E3D">
            <w:pPr>
              <w:jc w:val="center"/>
              <w:rPr>
                <w:b/>
                <w:bCs/>
                <w:szCs w:val="25"/>
              </w:rPr>
            </w:pPr>
            <w:r w:rsidRPr="003858EC">
              <w:rPr>
                <w:b/>
                <w:bCs/>
                <w:szCs w:val="25"/>
              </w:rPr>
              <w:t>TOTALS</w:t>
            </w:r>
          </w:p>
        </w:tc>
        <w:tc>
          <w:tcPr>
            <w:tcW w:w="669" w:type="pct"/>
            <w:tcBorders>
              <w:bottom w:val="double" w:sz="4" w:space="0" w:color="auto"/>
            </w:tcBorders>
          </w:tcPr>
          <w:p w:rsidR="00C140EF" w:rsidRPr="003858EC" w:rsidRDefault="006F2AF5" w:rsidP="00C01235">
            <w:pPr>
              <w:jc w:val="center"/>
              <w:rPr>
                <w:b/>
                <w:bCs/>
                <w:szCs w:val="25"/>
              </w:rPr>
            </w:pPr>
            <w:r>
              <w:rPr>
                <w:b/>
                <w:bCs/>
                <w:szCs w:val="25"/>
              </w:rPr>
              <w:fldChar w:fldCharType="begin"/>
            </w:r>
            <w:r>
              <w:rPr>
                <w:b/>
                <w:bCs/>
                <w:szCs w:val="25"/>
              </w:rPr>
              <w:instrText xml:space="preserve"> =SUM(ABOVE) </w:instrText>
            </w:r>
            <w:r>
              <w:rPr>
                <w:b/>
                <w:bCs/>
                <w:szCs w:val="25"/>
              </w:rPr>
              <w:fldChar w:fldCharType="separate"/>
            </w:r>
            <w:r>
              <w:rPr>
                <w:b/>
                <w:bCs/>
                <w:noProof/>
                <w:szCs w:val="25"/>
              </w:rPr>
              <w:t>320</w:t>
            </w:r>
            <w:r>
              <w:rPr>
                <w:b/>
                <w:bCs/>
                <w:szCs w:val="25"/>
              </w:rPr>
              <w:fldChar w:fldCharType="end"/>
            </w:r>
          </w:p>
        </w:tc>
        <w:tc>
          <w:tcPr>
            <w:tcW w:w="667" w:type="pct"/>
            <w:tcBorders>
              <w:bottom w:val="double" w:sz="4" w:space="0" w:color="auto"/>
            </w:tcBorders>
          </w:tcPr>
          <w:p w:rsidR="00C140EF" w:rsidRPr="003858EC" w:rsidRDefault="00C140EF" w:rsidP="00B63E3D">
            <w:pPr>
              <w:jc w:val="center"/>
              <w:rPr>
                <w:b/>
                <w:bCs/>
                <w:szCs w:val="25"/>
              </w:rPr>
            </w:pPr>
          </w:p>
        </w:tc>
        <w:tc>
          <w:tcPr>
            <w:tcW w:w="621" w:type="pct"/>
            <w:tcBorders>
              <w:bottom w:val="double" w:sz="4" w:space="0" w:color="auto"/>
            </w:tcBorders>
          </w:tcPr>
          <w:p w:rsidR="00C140EF" w:rsidRPr="003858EC" w:rsidRDefault="00907EB4" w:rsidP="00C01235">
            <w:pPr>
              <w:jc w:val="center"/>
              <w:rPr>
                <w:b/>
                <w:bCs/>
                <w:szCs w:val="25"/>
              </w:rPr>
            </w:pPr>
            <w:r w:rsidRPr="003858EC">
              <w:rPr>
                <w:b/>
                <w:bCs/>
                <w:szCs w:val="25"/>
              </w:rPr>
              <w:t>293</w:t>
            </w:r>
          </w:p>
        </w:tc>
        <w:tc>
          <w:tcPr>
            <w:tcW w:w="550" w:type="pct"/>
            <w:tcBorders>
              <w:bottom w:val="double" w:sz="4" w:space="0" w:color="auto"/>
            </w:tcBorders>
          </w:tcPr>
          <w:p w:rsidR="00C140EF" w:rsidRPr="003858EC" w:rsidRDefault="00C140EF" w:rsidP="00B63E3D">
            <w:pPr>
              <w:jc w:val="center"/>
              <w:rPr>
                <w:b/>
                <w:bCs/>
                <w:szCs w:val="25"/>
              </w:rPr>
            </w:pPr>
          </w:p>
        </w:tc>
        <w:tc>
          <w:tcPr>
            <w:tcW w:w="641" w:type="pct"/>
            <w:tcBorders>
              <w:bottom w:val="double" w:sz="4" w:space="0" w:color="auto"/>
            </w:tcBorders>
          </w:tcPr>
          <w:p w:rsidR="00C140EF" w:rsidRPr="003858EC" w:rsidRDefault="003E30EB" w:rsidP="00A93496">
            <w:pPr>
              <w:jc w:val="center"/>
              <w:rPr>
                <w:b/>
                <w:bCs/>
                <w:szCs w:val="25"/>
              </w:rPr>
            </w:pPr>
            <w:r>
              <w:rPr>
                <w:b/>
                <w:bCs/>
                <w:szCs w:val="25"/>
              </w:rPr>
              <w:fldChar w:fldCharType="begin"/>
            </w:r>
            <w:r>
              <w:rPr>
                <w:b/>
                <w:bCs/>
                <w:szCs w:val="25"/>
              </w:rPr>
              <w:instrText xml:space="preserve"> =SUM(ABOVE) </w:instrText>
            </w:r>
            <w:r>
              <w:rPr>
                <w:b/>
                <w:bCs/>
                <w:szCs w:val="25"/>
              </w:rPr>
              <w:fldChar w:fldCharType="separate"/>
            </w:r>
            <w:r>
              <w:rPr>
                <w:b/>
                <w:bCs/>
                <w:noProof/>
                <w:szCs w:val="25"/>
              </w:rPr>
              <w:t>1,864</w:t>
            </w:r>
            <w:r>
              <w:rPr>
                <w:b/>
                <w:bCs/>
                <w:szCs w:val="25"/>
              </w:rPr>
              <w:fldChar w:fldCharType="end"/>
            </w:r>
          </w:p>
        </w:tc>
        <w:tc>
          <w:tcPr>
            <w:tcW w:w="620" w:type="pct"/>
            <w:tcBorders>
              <w:bottom w:val="double" w:sz="4" w:space="0" w:color="auto"/>
            </w:tcBorders>
          </w:tcPr>
          <w:p w:rsidR="00C140EF" w:rsidRPr="003858EC" w:rsidRDefault="00A81CB8" w:rsidP="0096731D">
            <w:pPr>
              <w:jc w:val="center"/>
              <w:rPr>
                <w:b/>
                <w:bCs/>
                <w:szCs w:val="25"/>
              </w:rPr>
            </w:pPr>
            <w:r w:rsidRPr="003858EC">
              <w:rPr>
                <w:b/>
                <w:bCs/>
                <w:szCs w:val="25"/>
              </w:rPr>
              <w:t>7,644</w:t>
            </w:r>
          </w:p>
        </w:tc>
        <w:tc>
          <w:tcPr>
            <w:tcW w:w="604" w:type="pct"/>
            <w:tcBorders>
              <w:bottom w:val="double" w:sz="4" w:space="0" w:color="auto"/>
              <w:right w:val="double" w:sz="4" w:space="0" w:color="auto"/>
            </w:tcBorders>
          </w:tcPr>
          <w:p w:rsidR="00C140EF" w:rsidRPr="003858EC" w:rsidRDefault="006F2AF5" w:rsidP="005174E8">
            <w:pPr>
              <w:jc w:val="center"/>
              <w:rPr>
                <w:b/>
              </w:rPr>
            </w:pPr>
            <w:r>
              <w:rPr>
                <w:b/>
                <w:bCs/>
                <w:szCs w:val="25"/>
              </w:rPr>
              <w:fldChar w:fldCharType="begin"/>
            </w:r>
            <w:r>
              <w:rPr>
                <w:b/>
                <w:bCs/>
                <w:szCs w:val="25"/>
              </w:rPr>
              <w:instrText xml:space="preserve"> =SUM(ABOVE) </w:instrText>
            </w:r>
            <w:r>
              <w:rPr>
                <w:b/>
                <w:bCs/>
                <w:szCs w:val="25"/>
              </w:rPr>
              <w:fldChar w:fldCharType="separate"/>
            </w:r>
            <w:r>
              <w:rPr>
                <w:b/>
                <w:bCs/>
                <w:noProof/>
                <w:szCs w:val="25"/>
              </w:rPr>
              <w:t>-5,780</w:t>
            </w:r>
            <w:r>
              <w:rPr>
                <w:b/>
                <w:bCs/>
                <w:szCs w:val="25"/>
              </w:rPr>
              <w:fldChar w:fldCharType="end"/>
            </w:r>
          </w:p>
        </w:tc>
      </w:tr>
    </w:tbl>
    <w:p w:rsidR="00C140EF" w:rsidRPr="0010148C" w:rsidRDefault="00C140EF" w:rsidP="001C7372">
      <w:pPr>
        <w:jc w:val="center"/>
        <w:rPr>
          <w:b/>
          <w:bCs/>
          <w:i/>
          <w:iCs/>
          <w:szCs w:val="25"/>
        </w:rPr>
      </w:pPr>
      <w:r w:rsidRPr="0010148C">
        <w:rPr>
          <w:b/>
          <w:bCs/>
          <w:i/>
          <w:iCs/>
          <w:szCs w:val="25"/>
        </w:rPr>
        <w:br w:type="page"/>
        <w:t>Items for Which Responses Are Identical in the Supporting Statement</w:t>
      </w:r>
    </w:p>
    <w:p w:rsidR="00C140EF" w:rsidRPr="0010148C" w:rsidRDefault="00C140EF" w:rsidP="001C7372">
      <w:pPr>
        <w:jc w:val="center"/>
        <w:rPr>
          <w:szCs w:val="25"/>
        </w:rPr>
      </w:pPr>
      <w:r w:rsidRPr="0010148C">
        <w:rPr>
          <w:b/>
          <w:bCs/>
          <w:i/>
          <w:iCs/>
          <w:szCs w:val="25"/>
        </w:rPr>
        <w:t>For All Sections of 30 CFR 772</w:t>
      </w:r>
    </w:p>
    <w:p w:rsidR="00C140EF" w:rsidRPr="0010148C" w:rsidRDefault="00C140EF" w:rsidP="001C7372">
      <w:pPr>
        <w:rPr>
          <w:szCs w:val="25"/>
        </w:rPr>
      </w:pPr>
    </w:p>
    <w:p w:rsidR="00C140EF" w:rsidRPr="0010148C" w:rsidRDefault="00C140EF" w:rsidP="001C7372">
      <w:pPr>
        <w:rPr>
          <w:szCs w:val="25"/>
        </w:rPr>
      </w:pPr>
      <w:r w:rsidRPr="0010148C">
        <w:rPr>
          <w:szCs w:val="25"/>
        </w:rPr>
        <w:t>A.</w:t>
      </w:r>
      <w:r w:rsidRPr="0010148C">
        <w:rPr>
          <w:szCs w:val="25"/>
        </w:rPr>
        <w:tab/>
      </w:r>
      <w:r w:rsidRPr="0010148C">
        <w:rPr>
          <w:szCs w:val="25"/>
          <w:u w:val="single"/>
        </w:rPr>
        <w:t>Justification</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3.</w:t>
      </w:r>
      <w:r w:rsidRPr="0010148C">
        <w:rPr>
          <w:szCs w:val="25"/>
        </w:rPr>
        <w:tab/>
        <w:t xml:space="preserve">Use of automated methods to collect the information required </w:t>
      </w:r>
      <w:r w:rsidR="00711D1C">
        <w:rPr>
          <w:szCs w:val="25"/>
        </w:rPr>
        <w:t>for</w:t>
      </w:r>
      <w:r w:rsidRPr="0010148C">
        <w:rPr>
          <w:szCs w:val="25"/>
        </w:rPr>
        <w:t xml:space="preserve"> 30 CFR 772 </w:t>
      </w:r>
      <w:r w:rsidR="001E7689">
        <w:rPr>
          <w:szCs w:val="25"/>
        </w:rPr>
        <w:t xml:space="preserve">continues to increase </w:t>
      </w:r>
      <w:r>
        <w:rPr>
          <w:szCs w:val="25"/>
        </w:rPr>
        <w:t>in recent years</w:t>
      </w:r>
      <w:r w:rsidRPr="0010148C">
        <w:rPr>
          <w:szCs w:val="25"/>
        </w:rPr>
        <w:t xml:space="preserve">.  </w:t>
      </w:r>
      <w:r w:rsidR="00C92EB7">
        <w:rPr>
          <w:szCs w:val="25"/>
        </w:rPr>
        <w:t xml:space="preserve">Although some </w:t>
      </w:r>
      <w:r w:rsidRPr="0010148C">
        <w:rPr>
          <w:szCs w:val="25"/>
        </w:rPr>
        <w:t xml:space="preserve">of the regulatory authorities are moving toward electronic receipt of information from constituents, their degree of sophistication in the area of e-data receipt/processing varies.  </w:t>
      </w:r>
      <w:r>
        <w:rPr>
          <w:szCs w:val="25"/>
        </w:rPr>
        <w:t xml:space="preserve">However, the </w:t>
      </w:r>
      <w:r w:rsidR="00711D1C">
        <w:rPr>
          <w:szCs w:val="25"/>
        </w:rPr>
        <w:t>s</w:t>
      </w:r>
      <w:r>
        <w:rPr>
          <w:szCs w:val="25"/>
        </w:rPr>
        <w:t>tate regulatory authorities are generally more focused on developing their respective e-data receipt/processing capabilities with respect to the full permit application for surface coal mining and reclamation operations</w:t>
      </w:r>
      <w:r w:rsidR="00C92EB7">
        <w:rPr>
          <w:szCs w:val="25"/>
        </w:rPr>
        <w:t xml:space="preserve"> (rather than notices of intent)</w:t>
      </w:r>
      <w:r>
        <w:rPr>
          <w:szCs w:val="25"/>
        </w:rPr>
        <w:t xml:space="preserve">.  </w:t>
      </w:r>
      <w:r w:rsidR="00C92EB7">
        <w:rPr>
          <w:szCs w:val="25"/>
        </w:rPr>
        <w:t xml:space="preserve">Notices of intent still cannot be filed electronically in most states.  </w:t>
      </w:r>
      <w:r>
        <w:rPr>
          <w:szCs w:val="25"/>
        </w:rPr>
        <w:t xml:space="preserve">During the evaluation year, </w:t>
      </w:r>
      <w:r w:rsidR="00C92EB7">
        <w:rPr>
          <w:szCs w:val="25"/>
        </w:rPr>
        <w:t xml:space="preserve">no more than </w:t>
      </w:r>
      <w:r>
        <w:rPr>
          <w:szCs w:val="25"/>
        </w:rPr>
        <w:t xml:space="preserve">33% of the notices for intent to conduct coal exploration activities were filed electronically.  This number </w:t>
      </w:r>
      <w:r w:rsidR="00990710">
        <w:rPr>
          <w:szCs w:val="25"/>
        </w:rPr>
        <w:t xml:space="preserve">will </w:t>
      </w:r>
      <w:r>
        <w:rPr>
          <w:szCs w:val="25"/>
        </w:rPr>
        <w:t xml:space="preserve">increase as the </w:t>
      </w:r>
      <w:r w:rsidR="00711D1C">
        <w:rPr>
          <w:szCs w:val="25"/>
        </w:rPr>
        <w:t>s</w:t>
      </w:r>
      <w:r>
        <w:rPr>
          <w:szCs w:val="25"/>
        </w:rPr>
        <w:t xml:space="preserve">tate regulatory authorities </w:t>
      </w:r>
      <w:r w:rsidR="00C92EB7">
        <w:rPr>
          <w:szCs w:val="25"/>
        </w:rPr>
        <w:t xml:space="preserve">upgrade </w:t>
      </w:r>
      <w:r w:rsidR="00990710">
        <w:rPr>
          <w:szCs w:val="25"/>
        </w:rPr>
        <w:t>their e-data capabilities</w:t>
      </w:r>
      <w:r>
        <w:rPr>
          <w:szCs w:val="25"/>
        </w:rPr>
        <w:t>.</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4.</w:t>
      </w:r>
      <w:r w:rsidRPr="0010148C">
        <w:rPr>
          <w:szCs w:val="25"/>
        </w:rPr>
        <w:tab/>
        <w:t>The information requested in 30 CFR 772 is time-sensitive and unique to each site.  Because it is collected infrequently (generally only once, at the time that a person submits a notice of intent to explore or an application for a coal exploration permit), duplication is minimal to nonexistent.  Persons may cross-reference relevant materials that they previously submitted in a notice or application for a different site.</w:t>
      </w:r>
    </w:p>
    <w:p w:rsidR="00C140EF" w:rsidRPr="0010148C" w:rsidRDefault="00C140EF" w:rsidP="001C7372">
      <w:pPr>
        <w:rPr>
          <w:szCs w:val="25"/>
        </w:rPr>
      </w:pPr>
    </w:p>
    <w:p w:rsidR="00C140EF" w:rsidRPr="0010148C" w:rsidRDefault="00C140EF" w:rsidP="00393CEE">
      <w:pPr>
        <w:ind w:left="720"/>
        <w:rPr>
          <w:szCs w:val="25"/>
        </w:rPr>
      </w:pPr>
      <w:r w:rsidRPr="0010148C">
        <w:rPr>
          <w:szCs w:val="25"/>
        </w:rPr>
        <w:t xml:space="preserve">We are not aware of any other Federal agency that collects this information.  </w:t>
      </w:r>
      <w:r w:rsidR="00913CF2">
        <w:rPr>
          <w:szCs w:val="25"/>
        </w:rPr>
        <w:t>OSMRE</w:t>
      </w:r>
      <w:r w:rsidRPr="0010148C">
        <w:rPr>
          <w:szCs w:val="25"/>
        </w:rPr>
        <w:t xml:space="preserve"> is the only Federal agency charged with implementation of section 512 of SMCRA for coal exploration involving non-Federal coal.  To avoid any duplication for lands with federally</w:t>
      </w:r>
      <w:r w:rsidR="00711D1C">
        <w:rPr>
          <w:szCs w:val="25"/>
        </w:rPr>
        <w:t>-</w:t>
      </w:r>
      <w:r w:rsidRPr="0010148C">
        <w:rPr>
          <w:szCs w:val="25"/>
        </w:rPr>
        <w:t>owned coal, 30 CFR 772.1 specifies that the requirements of 30 CFR 772 do not apply to exploration on those lands, which is instead regulated by the Bureau of Land Management (BLM).  We also have entered into an agreement with BLM delineating each agency’s coal exploration duties to avoid overlap and conflict.</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5.</w:t>
      </w:r>
      <w:r w:rsidRPr="0010148C">
        <w:rPr>
          <w:szCs w:val="25"/>
        </w:rPr>
        <w:tab/>
        <w:t>There are no special provisions for small businesses or other small entities.  Special provisions are not appropriate because the requested information is the minimum needed to document (1) the location, extent and timing of any proposed disturbance or activity, and (2) the person’s ability to comply with applicable performance standards.  Both of these items are required of all operations by section 512(a) of SMCRA.</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6.</w:t>
      </w:r>
      <w:r w:rsidRPr="0010148C">
        <w:rPr>
          <w:szCs w:val="25"/>
        </w:rPr>
        <w:tab/>
        <w:t>Because the information requested in 30 CFR 772 is collected only once for each site, a reduction in the frequency of collection is not possible.</w:t>
      </w:r>
    </w:p>
    <w:p w:rsidR="00C140EF" w:rsidRPr="0010148C" w:rsidRDefault="00C140EF" w:rsidP="001C7372">
      <w:pPr>
        <w:rPr>
          <w:szCs w:val="25"/>
        </w:rPr>
      </w:pPr>
    </w:p>
    <w:p w:rsidR="00C140EF" w:rsidRPr="0010148C" w:rsidRDefault="00C140EF" w:rsidP="00393CEE">
      <w:pPr>
        <w:ind w:left="720"/>
        <w:rPr>
          <w:szCs w:val="25"/>
        </w:rPr>
      </w:pPr>
      <w:r w:rsidRPr="0010148C">
        <w:rPr>
          <w:szCs w:val="25"/>
        </w:rPr>
        <w:t xml:space="preserve">Furthermore, the Act specifically requires exploration notices and permits.  Failure to collect the information required by </w:t>
      </w:r>
      <w:r>
        <w:rPr>
          <w:szCs w:val="25"/>
        </w:rPr>
        <w:t>§§</w:t>
      </w:r>
      <w:r w:rsidRPr="0010148C">
        <w:rPr>
          <w:szCs w:val="25"/>
        </w:rPr>
        <w:t>772.11, 772.12, and 772.14 would severely impair the ability o</w:t>
      </w:r>
      <w:r w:rsidR="00711D1C">
        <w:rPr>
          <w:szCs w:val="25"/>
        </w:rPr>
        <w:t xml:space="preserve">f </w:t>
      </w:r>
      <w:r w:rsidR="00913CF2">
        <w:rPr>
          <w:szCs w:val="25"/>
        </w:rPr>
        <w:t>OSMRE</w:t>
      </w:r>
      <w:r w:rsidR="00711D1C">
        <w:rPr>
          <w:szCs w:val="25"/>
        </w:rPr>
        <w:t xml:space="preserve"> and the s</w:t>
      </w:r>
      <w:r w:rsidRPr="0010148C">
        <w:rPr>
          <w:szCs w:val="25"/>
        </w:rPr>
        <w:t xml:space="preserve">tate regulatory authorities to ensure that coal exploration is conducted in accordance with the reclamation requirements of section 512(a) of the Act.  In the absence of any notice, </w:t>
      </w:r>
      <w:r w:rsidR="00913CF2">
        <w:rPr>
          <w:szCs w:val="25"/>
        </w:rPr>
        <w:t>OSMRE</w:t>
      </w:r>
      <w:r w:rsidRPr="0010148C">
        <w:rPr>
          <w:szCs w:val="25"/>
        </w:rPr>
        <w:t xml:space="preserve"> and the </w:t>
      </w:r>
      <w:r w:rsidR="00711D1C">
        <w:rPr>
          <w:szCs w:val="25"/>
        </w:rPr>
        <w:t>s</w:t>
      </w:r>
      <w:r w:rsidRPr="0010148C">
        <w:rPr>
          <w:szCs w:val="25"/>
        </w:rPr>
        <w:t xml:space="preserve">tate regulatory authorities would likely be unaware of many coal exploration operations. </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7.</w:t>
      </w:r>
      <w:r w:rsidRPr="0010148C">
        <w:rPr>
          <w:szCs w:val="25"/>
        </w:rPr>
        <w:tab/>
      </w:r>
      <w:r w:rsidR="00CB4DF5">
        <w:rPr>
          <w:szCs w:val="25"/>
        </w:rPr>
        <w:t xml:space="preserve">The </w:t>
      </w:r>
      <w:r w:rsidRPr="0010148C">
        <w:rPr>
          <w:szCs w:val="25"/>
        </w:rPr>
        <w:t>collection of information under 30 CFR 772 is consistent with the guidelines at 5 CFR 1320.5(d)(2) as summarized in the instructions for this item of the supporting statement.</w:t>
      </w:r>
    </w:p>
    <w:p w:rsidR="00C140EF" w:rsidRPr="0010148C" w:rsidRDefault="00C140EF" w:rsidP="00393CEE">
      <w:pPr>
        <w:ind w:left="720"/>
        <w:rPr>
          <w:szCs w:val="25"/>
        </w:rPr>
      </w:pPr>
    </w:p>
    <w:p w:rsidR="00C140EF" w:rsidRDefault="00C140EF" w:rsidP="00393CEE">
      <w:pPr>
        <w:tabs>
          <w:tab w:val="left" w:pos="-1440"/>
        </w:tabs>
        <w:ind w:left="720" w:hanging="720"/>
        <w:rPr>
          <w:szCs w:val="25"/>
        </w:rPr>
      </w:pPr>
      <w:r w:rsidRPr="0010148C">
        <w:rPr>
          <w:szCs w:val="25"/>
        </w:rPr>
        <w:t>8.</w:t>
      </w:r>
      <w:r w:rsidRPr="0010148C">
        <w:rPr>
          <w:szCs w:val="25"/>
        </w:rPr>
        <w:tab/>
      </w:r>
      <w:r>
        <w:rPr>
          <w:szCs w:val="25"/>
        </w:rPr>
        <w:t xml:space="preserve">In </w:t>
      </w:r>
      <w:r w:rsidR="00FD1908">
        <w:rPr>
          <w:szCs w:val="25"/>
        </w:rPr>
        <w:t>December 2017</w:t>
      </w:r>
      <w:r>
        <w:rPr>
          <w:szCs w:val="25"/>
        </w:rPr>
        <w:t xml:space="preserve">, </w:t>
      </w:r>
      <w:r w:rsidR="00913CF2">
        <w:rPr>
          <w:szCs w:val="25"/>
        </w:rPr>
        <w:t>OSMRE</w:t>
      </w:r>
      <w:r>
        <w:rPr>
          <w:szCs w:val="25"/>
        </w:rPr>
        <w:t xml:space="preserve"> contacted the following individuals to obtain their views on the information collection burden imposed by </w:t>
      </w:r>
      <w:r w:rsidR="00FD1908">
        <w:rPr>
          <w:szCs w:val="25"/>
        </w:rPr>
        <w:t>p</w:t>
      </w:r>
      <w:r>
        <w:rPr>
          <w:szCs w:val="25"/>
        </w:rPr>
        <w:t>art 772 and the clarity of the regulations</w:t>
      </w:r>
      <w:r w:rsidR="001E7689">
        <w:rPr>
          <w:szCs w:val="25"/>
        </w:rPr>
        <w:t>:</w:t>
      </w:r>
    </w:p>
    <w:p w:rsidR="001E7689" w:rsidRDefault="001E7689" w:rsidP="00393CEE">
      <w:pPr>
        <w:tabs>
          <w:tab w:val="left" w:pos="-1440"/>
        </w:tabs>
        <w:ind w:left="720" w:hanging="720"/>
        <w:rPr>
          <w:szCs w:val="25"/>
        </w:rPr>
      </w:pPr>
    </w:p>
    <w:p w:rsidR="00435B4D" w:rsidRDefault="00435B4D" w:rsidP="00435B4D">
      <w:pPr>
        <w:tabs>
          <w:tab w:val="left" w:pos="-1440"/>
        </w:tabs>
        <w:ind w:left="720" w:hanging="720"/>
        <w:rPr>
          <w:szCs w:val="25"/>
        </w:rPr>
      </w:pPr>
      <w:r>
        <w:rPr>
          <w:szCs w:val="25"/>
        </w:rPr>
        <w:tab/>
        <w:t xml:space="preserve">Texas Mining </w:t>
      </w:r>
      <w:r w:rsidR="00E93DB2">
        <w:rPr>
          <w:szCs w:val="25"/>
        </w:rPr>
        <w:t>and</w:t>
      </w:r>
      <w:r>
        <w:rPr>
          <w:szCs w:val="25"/>
        </w:rPr>
        <w:t xml:space="preserve"> Reclamation Association</w:t>
      </w:r>
    </w:p>
    <w:p w:rsidR="00435B4D" w:rsidRDefault="00435B4D" w:rsidP="00435B4D">
      <w:pPr>
        <w:tabs>
          <w:tab w:val="left" w:pos="-1440"/>
        </w:tabs>
        <w:ind w:left="720" w:hanging="720"/>
        <w:rPr>
          <w:szCs w:val="25"/>
        </w:rPr>
      </w:pPr>
      <w:r>
        <w:rPr>
          <w:szCs w:val="25"/>
        </w:rPr>
        <w:tab/>
      </w:r>
      <w:r w:rsidRPr="00435B4D">
        <w:rPr>
          <w:szCs w:val="25"/>
        </w:rPr>
        <w:t>100 Congress Ave.</w:t>
      </w:r>
      <w:r w:rsidRPr="00435B4D">
        <w:rPr>
          <w:szCs w:val="25"/>
        </w:rPr>
        <w:br/>
        <w:t>Suite 1100</w:t>
      </w:r>
      <w:r w:rsidRPr="00435B4D">
        <w:rPr>
          <w:szCs w:val="25"/>
        </w:rPr>
        <w:br/>
        <w:t>Austin, TX 78701</w:t>
      </w:r>
    </w:p>
    <w:p w:rsidR="00371E32" w:rsidRDefault="00371E32" w:rsidP="00393CEE">
      <w:pPr>
        <w:tabs>
          <w:tab w:val="left" w:pos="-1440"/>
        </w:tabs>
        <w:ind w:left="720" w:hanging="720"/>
        <w:rPr>
          <w:szCs w:val="25"/>
        </w:rPr>
      </w:pPr>
    </w:p>
    <w:p w:rsidR="00435B4D" w:rsidRDefault="00435B4D" w:rsidP="00435B4D">
      <w:pPr>
        <w:tabs>
          <w:tab w:val="left" w:pos="-1440"/>
        </w:tabs>
        <w:ind w:left="720" w:hanging="720"/>
        <w:rPr>
          <w:szCs w:val="25"/>
        </w:rPr>
      </w:pPr>
      <w:r>
        <w:rPr>
          <w:szCs w:val="25"/>
        </w:rPr>
        <w:tab/>
        <w:t>Texas Railroad Commission</w:t>
      </w:r>
      <w:r w:rsidR="00803689">
        <w:rPr>
          <w:szCs w:val="25"/>
        </w:rPr>
        <w:tab/>
      </w:r>
    </w:p>
    <w:p w:rsidR="00435B4D" w:rsidRPr="00435B4D" w:rsidRDefault="00435B4D" w:rsidP="00435B4D">
      <w:pPr>
        <w:tabs>
          <w:tab w:val="left" w:pos="-1440"/>
        </w:tabs>
        <w:ind w:left="720" w:hanging="720"/>
        <w:rPr>
          <w:szCs w:val="25"/>
        </w:rPr>
      </w:pPr>
      <w:r>
        <w:rPr>
          <w:szCs w:val="25"/>
        </w:rPr>
        <w:tab/>
      </w:r>
      <w:r w:rsidRPr="00435B4D">
        <w:rPr>
          <w:szCs w:val="25"/>
        </w:rPr>
        <w:t>Surface Mining and Reclamation Division</w:t>
      </w:r>
    </w:p>
    <w:p w:rsidR="00435B4D" w:rsidRPr="00435B4D" w:rsidRDefault="00435B4D" w:rsidP="00435B4D">
      <w:pPr>
        <w:tabs>
          <w:tab w:val="left" w:pos="-1440"/>
        </w:tabs>
        <w:ind w:left="720" w:hanging="720"/>
        <w:rPr>
          <w:szCs w:val="25"/>
        </w:rPr>
      </w:pPr>
      <w:r>
        <w:rPr>
          <w:szCs w:val="25"/>
        </w:rPr>
        <w:tab/>
      </w:r>
      <w:r w:rsidRPr="00435B4D">
        <w:rPr>
          <w:szCs w:val="25"/>
        </w:rPr>
        <w:t>1701 N. Congress</w:t>
      </w:r>
      <w:r w:rsidRPr="00435B4D">
        <w:rPr>
          <w:szCs w:val="25"/>
        </w:rPr>
        <w:br/>
        <w:t>Austin, Texas 78701</w:t>
      </w:r>
    </w:p>
    <w:p w:rsidR="00803689" w:rsidRDefault="00803689" w:rsidP="00435B4D">
      <w:pPr>
        <w:tabs>
          <w:tab w:val="left" w:pos="-1440"/>
        </w:tabs>
        <w:ind w:left="720" w:hanging="720"/>
        <w:rPr>
          <w:szCs w:val="25"/>
        </w:rPr>
      </w:pPr>
    </w:p>
    <w:p w:rsidR="00E95A04" w:rsidRDefault="00BC678E" w:rsidP="003D0892">
      <w:pPr>
        <w:tabs>
          <w:tab w:val="left" w:pos="-1440"/>
        </w:tabs>
        <w:ind w:left="720" w:hanging="720"/>
        <w:rPr>
          <w:szCs w:val="25"/>
        </w:rPr>
      </w:pPr>
      <w:r>
        <w:rPr>
          <w:szCs w:val="25"/>
        </w:rPr>
        <w:tab/>
      </w:r>
      <w:r w:rsidR="003D0892">
        <w:rPr>
          <w:szCs w:val="25"/>
        </w:rPr>
        <w:t>West Virginia Coal Association</w:t>
      </w:r>
    </w:p>
    <w:p w:rsidR="003D0892" w:rsidRPr="003D0892" w:rsidRDefault="003D0892" w:rsidP="003D0892">
      <w:pPr>
        <w:tabs>
          <w:tab w:val="left" w:pos="-1440"/>
        </w:tabs>
        <w:ind w:left="720" w:hanging="720"/>
        <w:rPr>
          <w:szCs w:val="25"/>
        </w:rPr>
      </w:pPr>
      <w:r>
        <w:rPr>
          <w:szCs w:val="25"/>
        </w:rPr>
        <w:tab/>
      </w:r>
      <w:r w:rsidRPr="003D0892">
        <w:rPr>
          <w:szCs w:val="25"/>
        </w:rPr>
        <w:t>200 Association Dr</w:t>
      </w:r>
      <w:r>
        <w:rPr>
          <w:szCs w:val="25"/>
        </w:rPr>
        <w:t xml:space="preserve"> #160</w:t>
      </w:r>
    </w:p>
    <w:p w:rsidR="003D0892" w:rsidRDefault="003D0892" w:rsidP="003D0892">
      <w:pPr>
        <w:tabs>
          <w:tab w:val="left" w:pos="-1440"/>
        </w:tabs>
        <w:ind w:left="720" w:hanging="720"/>
        <w:rPr>
          <w:szCs w:val="25"/>
        </w:rPr>
      </w:pPr>
      <w:r w:rsidRPr="003D0892">
        <w:rPr>
          <w:szCs w:val="25"/>
        </w:rPr>
        <w:tab/>
        <w:t>Charleston, WV 25311</w:t>
      </w:r>
    </w:p>
    <w:p w:rsidR="00C17A4D" w:rsidRDefault="00C17A4D" w:rsidP="00393CEE">
      <w:pPr>
        <w:tabs>
          <w:tab w:val="left" w:pos="-1440"/>
        </w:tabs>
        <w:ind w:left="720" w:hanging="720"/>
        <w:rPr>
          <w:szCs w:val="25"/>
        </w:rPr>
      </w:pPr>
    </w:p>
    <w:p w:rsidR="002E6D97" w:rsidRDefault="002E6D97" w:rsidP="003D0892">
      <w:pPr>
        <w:tabs>
          <w:tab w:val="left" w:pos="-1440"/>
        </w:tabs>
        <w:ind w:left="720" w:hanging="720"/>
        <w:rPr>
          <w:szCs w:val="25"/>
        </w:rPr>
      </w:pPr>
      <w:r>
        <w:rPr>
          <w:szCs w:val="25"/>
        </w:rPr>
        <w:tab/>
      </w:r>
      <w:r w:rsidR="003D0892">
        <w:rPr>
          <w:szCs w:val="25"/>
        </w:rPr>
        <w:t>West Virginia Department of Environmental Protection</w:t>
      </w:r>
    </w:p>
    <w:p w:rsidR="003D0892" w:rsidRDefault="003D0892" w:rsidP="003D0892">
      <w:pPr>
        <w:tabs>
          <w:tab w:val="left" w:pos="-1440"/>
        </w:tabs>
        <w:ind w:left="720" w:hanging="720"/>
        <w:rPr>
          <w:szCs w:val="25"/>
        </w:rPr>
      </w:pPr>
      <w:r>
        <w:rPr>
          <w:szCs w:val="25"/>
        </w:rPr>
        <w:tab/>
        <w:t>Division of Mining and Reclamation</w:t>
      </w:r>
    </w:p>
    <w:p w:rsidR="003D0892" w:rsidRDefault="003D0892" w:rsidP="003D0892">
      <w:pPr>
        <w:tabs>
          <w:tab w:val="left" w:pos="-1440"/>
        </w:tabs>
        <w:ind w:left="720" w:hanging="720"/>
        <w:rPr>
          <w:szCs w:val="25"/>
        </w:rPr>
      </w:pPr>
      <w:r>
        <w:rPr>
          <w:szCs w:val="25"/>
        </w:rPr>
        <w:tab/>
        <w:t>601 57</w:t>
      </w:r>
      <w:r w:rsidRPr="003D0892">
        <w:rPr>
          <w:szCs w:val="25"/>
          <w:vertAlign w:val="superscript"/>
        </w:rPr>
        <w:t>th</w:t>
      </w:r>
      <w:r>
        <w:rPr>
          <w:szCs w:val="25"/>
        </w:rPr>
        <w:t xml:space="preserve"> St.</w:t>
      </w:r>
    </w:p>
    <w:p w:rsidR="003D0892" w:rsidRDefault="003D0892" w:rsidP="003D0892">
      <w:pPr>
        <w:tabs>
          <w:tab w:val="left" w:pos="-1440"/>
        </w:tabs>
        <w:ind w:left="720" w:hanging="720"/>
        <w:rPr>
          <w:szCs w:val="25"/>
        </w:rPr>
      </w:pPr>
      <w:r>
        <w:rPr>
          <w:szCs w:val="25"/>
        </w:rPr>
        <w:tab/>
      </w:r>
      <w:r w:rsidRPr="003D0892">
        <w:rPr>
          <w:szCs w:val="25"/>
        </w:rPr>
        <w:t>Charleston, WV 25304</w:t>
      </w:r>
    </w:p>
    <w:p w:rsidR="002E6D97" w:rsidRDefault="002E6D97" w:rsidP="00393CEE">
      <w:pPr>
        <w:tabs>
          <w:tab w:val="left" w:pos="-1440"/>
        </w:tabs>
        <w:ind w:left="720" w:hanging="720"/>
        <w:rPr>
          <w:szCs w:val="25"/>
        </w:rPr>
      </w:pPr>
    </w:p>
    <w:p w:rsidR="00831EAC" w:rsidRDefault="002A1A37" w:rsidP="00393CEE">
      <w:pPr>
        <w:tabs>
          <w:tab w:val="left" w:pos="-1440"/>
        </w:tabs>
        <w:ind w:left="720" w:hanging="720"/>
        <w:rPr>
          <w:szCs w:val="25"/>
        </w:rPr>
      </w:pPr>
      <w:r>
        <w:rPr>
          <w:szCs w:val="25"/>
        </w:rPr>
        <w:tab/>
      </w:r>
      <w:r w:rsidR="00314675">
        <w:rPr>
          <w:szCs w:val="25"/>
        </w:rPr>
        <w:tab/>
      </w:r>
    </w:p>
    <w:p w:rsidR="00387E1B" w:rsidRDefault="00831EAC" w:rsidP="00393CEE">
      <w:pPr>
        <w:tabs>
          <w:tab w:val="left" w:pos="-1440"/>
        </w:tabs>
        <w:ind w:left="720" w:hanging="720"/>
        <w:rPr>
          <w:szCs w:val="25"/>
        </w:rPr>
      </w:pPr>
      <w:r>
        <w:rPr>
          <w:szCs w:val="25"/>
        </w:rPr>
        <w:tab/>
      </w:r>
      <w:r w:rsidR="00C140EF" w:rsidRPr="0010148C">
        <w:rPr>
          <w:szCs w:val="25"/>
        </w:rPr>
        <w:t>We contacted</w:t>
      </w:r>
      <w:r w:rsidR="003D0892">
        <w:rPr>
          <w:szCs w:val="25"/>
        </w:rPr>
        <w:t xml:space="preserve"> a member from the Texas Mining </w:t>
      </w:r>
      <w:r w:rsidR="00E93DB2">
        <w:rPr>
          <w:szCs w:val="25"/>
        </w:rPr>
        <w:t>and</w:t>
      </w:r>
      <w:r w:rsidR="003D0892">
        <w:rPr>
          <w:szCs w:val="25"/>
        </w:rPr>
        <w:t xml:space="preserve"> Reclamation Association and West Virginia Coal Mining Association </w:t>
      </w:r>
      <w:r w:rsidR="00C140EF" w:rsidRPr="0010148C">
        <w:rPr>
          <w:szCs w:val="25"/>
        </w:rPr>
        <w:t xml:space="preserve">to obtain an estimate of the information collection burden under </w:t>
      </w:r>
      <w:r w:rsidR="00084A05">
        <w:rPr>
          <w:szCs w:val="25"/>
        </w:rPr>
        <w:t>§</w:t>
      </w:r>
      <w:r w:rsidR="00FD1908">
        <w:rPr>
          <w:szCs w:val="25"/>
        </w:rPr>
        <w:t>§</w:t>
      </w:r>
      <w:r w:rsidR="003D0892">
        <w:rPr>
          <w:szCs w:val="25"/>
        </w:rPr>
        <w:t>772.11</w:t>
      </w:r>
      <w:r w:rsidR="00FD1908">
        <w:rPr>
          <w:szCs w:val="25"/>
        </w:rPr>
        <w:t xml:space="preserve"> and 772.12</w:t>
      </w:r>
      <w:r w:rsidR="00C140EF" w:rsidRPr="0010148C">
        <w:rPr>
          <w:szCs w:val="25"/>
        </w:rPr>
        <w:t xml:space="preserve">.  </w:t>
      </w:r>
      <w:r w:rsidR="003D0892">
        <w:rPr>
          <w:szCs w:val="25"/>
        </w:rPr>
        <w:t>They</w:t>
      </w:r>
      <w:r w:rsidR="007357EC">
        <w:rPr>
          <w:szCs w:val="25"/>
        </w:rPr>
        <w:t xml:space="preserve"> </w:t>
      </w:r>
      <w:r w:rsidR="00E95A04">
        <w:rPr>
          <w:szCs w:val="25"/>
        </w:rPr>
        <w:t xml:space="preserve">said </w:t>
      </w:r>
      <w:r w:rsidR="00C140EF" w:rsidRPr="0010148C">
        <w:rPr>
          <w:szCs w:val="25"/>
        </w:rPr>
        <w:t xml:space="preserve">they had </w:t>
      </w:r>
      <w:r w:rsidR="00E95A04">
        <w:rPr>
          <w:szCs w:val="25"/>
        </w:rPr>
        <w:t xml:space="preserve">no </w:t>
      </w:r>
      <w:r w:rsidR="00C140EF" w:rsidRPr="0010148C">
        <w:rPr>
          <w:szCs w:val="25"/>
        </w:rPr>
        <w:t>problems with the</w:t>
      </w:r>
      <w:r w:rsidR="00FD1908">
        <w:rPr>
          <w:szCs w:val="25"/>
        </w:rPr>
        <w:t>se</w:t>
      </w:r>
      <w:r w:rsidR="00C140EF" w:rsidRPr="0010148C">
        <w:rPr>
          <w:szCs w:val="25"/>
        </w:rPr>
        <w:t xml:space="preserve"> regulations governing coal exploration notices</w:t>
      </w:r>
      <w:r w:rsidR="00FD1908">
        <w:rPr>
          <w:szCs w:val="25"/>
        </w:rPr>
        <w:t xml:space="preserve"> and permits</w:t>
      </w:r>
      <w:r w:rsidR="00C140EF" w:rsidRPr="0010148C">
        <w:rPr>
          <w:szCs w:val="25"/>
        </w:rPr>
        <w:t>, nor did they find them unduly burdensome.</w:t>
      </w:r>
    </w:p>
    <w:p w:rsidR="000D159D" w:rsidRPr="0010148C" w:rsidRDefault="00C140EF" w:rsidP="00393CEE">
      <w:pPr>
        <w:tabs>
          <w:tab w:val="left" w:pos="-1440"/>
        </w:tabs>
        <w:ind w:left="720" w:hanging="720"/>
        <w:rPr>
          <w:szCs w:val="25"/>
        </w:rPr>
      </w:pPr>
      <w:r w:rsidRPr="0010148C">
        <w:rPr>
          <w:szCs w:val="25"/>
        </w:rPr>
        <w:t xml:space="preserve"> </w:t>
      </w:r>
      <w:r w:rsidR="00387E1B">
        <w:rPr>
          <w:szCs w:val="25"/>
        </w:rPr>
        <w:tab/>
      </w:r>
    </w:p>
    <w:p w:rsidR="00C23F4E" w:rsidRPr="000E29FE" w:rsidRDefault="00E95A04" w:rsidP="003D0892">
      <w:pPr>
        <w:tabs>
          <w:tab w:val="left" w:pos="-1440"/>
        </w:tabs>
        <w:ind w:left="720" w:hanging="720"/>
        <w:rPr>
          <w:szCs w:val="25"/>
        </w:rPr>
      </w:pPr>
      <w:r>
        <w:tab/>
      </w:r>
      <w:r w:rsidR="00C140EF" w:rsidRPr="0010148C">
        <w:t xml:space="preserve">We also contacted </w:t>
      </w:r>
      <w:r w:rsidR="003D0892">
        <w:t>two</w:t>
      </w:r>
      <w:r w:rsidR="00C140EF" w:rsidRPr="0010148C">
        <w:t xml:space="preserve"> State regulatory authorities to obtain their estimates of</w:t>
      </w:r>
      <w:r w:rsidR="00FD1908">
        <w:t>,</w:t>
      </w:r>
      <w:r w:rsidR="00C140EF" w:rsidRPr="0010148C">
        <w:t xml:space="preserve"> and views on the information collection and recordkeeping burden imposed by 30 CFR 772 and the </w:t>
      </w:r>
      <w:r w:rsidR="003D0892">
        <w:t>clarity of those regulations</w:t>
      </w:r>
      <w:r w:rsidR="00D667E8">
        <w:t>.  T</w:t>
      </w:r>
      <w:r w:rsidR="00C140EF" w:rsidRPr="0010148C">
        <w:t>hese individual</w:t>
      </w:r>
      <w:r w:rsidR="00CB4DF5">
        <w:t>s</w:t>
      </w:r>
      <w:r w:rsidR="00C140EF" w:rsidRPr="0010148C">
        <w:t xml:space="preserve"> </w:t>
      </w:r>
      <w:r w:rsidR="00D667E8">
        <w:t>did not have any problem</w:t>
      </w:r>
      <w:r w:rsidR="00C140EF" w:rsidRPr="0010148C">
        <w:t xml:space="preserve"> with the Federal regulations or </w:t>
      </w:r>
      <w:r w:rsidR="005C0807">
        <w:t xml:space="preserve">any </w:t>
      </w:r>
      <w:r w:rsidR="00C140EF" w:rsidRPr="0010148C">
        <w:t>suggestions for improving those regulations or reducing the burden.</w:t>
      </w:r>
    </w:p>
    <w:p w:rsidR="005C0807" w:rsidRPr="0010148C" w:rsidRDefault="005C0807" w:rsidP="00CE629D">
      <w:pPr>
        <w:pStyle w:val="BodyTextIndent"/>
        <w:ind w:left="720"/>
      </w:pPr>
    </w:p>
    <w:p w:rsidR="00C140EF" w:rsidRPr="00FD1908" w:rsidRDefault="00C140EF" w:rsidP="00393CEE">
      <w:pPr>
        <w:pStyle w:val="BodyTextIndent"/>
        <w:ind w:left="720"/>
      </w:pPr>
      <w:r w:rsidRPr="0010148C">
        <w:t xml:space="preserve">In developing estimates of hourly wage rates and unit costs for requirements such as legal ads and notification of interested parties, we relied upon both our experience and </w:t>
      </w:r>
      <w:r w:rsidRPr="00FD1908">
        <w:t>information supplied by these and previous respondents.</w:t>
      </w:r>
    </w:p>
    <w:p w:rsidR="00C140EF" w:rsidRPr="00FD1908" w:rsidRDefault="00C140EF" w:rsidP="00393CEE">
      <w:pPr>
        <w:pStyle w:val="BodyTextIndent"/>
        <w:ind w:left="720"/>
      </w:pPr>
    </w:p>
    <w:p w:rsidR="00CB4DF5" w:rsidRPr="00FD465C" w:rsidRDefault="00CB4DF5" w:rsidP="00CB4DF5">
      <w:pPr>
        <w:ind w:left="720"/>
      </w:pPr>
      <w:r w:rsidRPr="00FD1908">
        <w:t xml:space="preserve">On </w:t>
      </w:r>
      <w:r w:rsidR="007130DD" w:rsidRPr="00FD1908">
        <w:t>November 2</w:t>
      </w:r>
      <w:r w:rsidR="00FD1908" w:rsidRPr="00FD1908">
        <w:t>0</w:t>
      </w:r>
      <w:r w:rsidR="007130DD" w:rsidRPr="00FD1908">
        <w:t>, 201</w:t>
      </w:r>
      <w:r w:rsidR="00FD1908" w:rsidRPr="00FD1908">
        <w:t>7</w:t>
      </w:r>
      <w:r w:rsidRPr="00FD1908">
        <w:t xml:space="preserve">, </w:t>
      </w:r>
      <w:r w:rsidR="00913CF2" w:rsidRPr="00FD1908">
        <w:t>OSMRE</w:t>
      </w:r>
      <w:r w:rsidRPr="00FD1908">
        <w:t xml:space="preserve"> published</w:t>
      </w:r>
      <w:r w:rsidRPr="007130DD">
        <w:t xml:space="preserve"> in the </w:t>
      </w:r>
      <w:r w:rsidRPr="007130DD">
        <w:rPr>
          <w:u w:val="single"/>
        </w:rPr>
        <w:t>Federal</w:t>
      </w:r>
      <w:r w:rsidRPr="007130DD">
        <w:t xml:space="preserve"> </w:t>
      </w:r>
      <w:r w:rsidRPr="007130DD">
        <w:rPr>
          <w:u w:val="single"/>
        </w:rPr>
        <w:t>Register</w:t>
      </w:r>
      <w:r w:rsidRPr="007130DD">
        <w:t xml:space="preserve"> (</w:t>
      </w:r>
      <w:r w:rsidR="00FD1908">
        <w:t>82</w:t>
      </w:r>
      <w:r w:rsidR="00A90AA4" w:rsidRPr="007130DD">
        <w:t xml:space="preserve"> FR </w:t>
      </w:r>
      <w:r w:rsidR="00FD1908">
        <w:t>55114</w:t>
      </w:r>
      <w:r w:rsidRPr="007130DD">
        <w:t>) a notice requesting</w:t>
      </w:r>
      <w:r w:rsidRPr="00FD465C">
        <w:t xml:space="preserve">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CB4DF5" w:rsidRDefault="00CB4DF5" w:rsidP="00393CEE">
      <w:pPr>
        <w:pStyle w:val="BodyTextIndent"/>
        <w:ind w:left="720"/>
      </w:pPr>
    </w:p>
    <w:p w:rsidR="00C140EF" w:rsidRPr="0010148C" w:rsidRDefault="00C140EF" w:rsidP="00393CEE">
      <w:pPr>
        <w:tabs>
          <w:tab w:val="left" w:pos="-1440"/>
        </w:tabs>
        <w:ind w:left="720" w:hanging="720"/>
        <w:rPr>
          <w:szCs w:val="25"/>
        </w:rPr>
      </w:pPr>
      <w:r w:rsidRPr="0010148C">
        <w:rPr>
          <w:szCs w:val="25"/>
        </w:rPr>
        <w:t>9.</w:t>
      </w:r>
      <w:r w:rsidRPr="0010148C">
        <w:rPr>
          <w:szCs w:val="25"/>
        </w:rPr>
        <w:tab/>
      </w:r>
      <w:r w:rsidR="00913CF2">
        <w:rPr>
          <w:szCs w:val="25"/>
        </w:rPr>
        <w:t>OSMRE</w:t>
      </w:r>
      <w:r w:rsidRPr="0010148C">
        <w:rPr>
          <w:szCs w:val="25"/>
        </w:rPr>
        <w:t xml:space="preserve"> and State regulatory authorities provide no payments or gifts to respondents.</w:t>
      </w:r>
    </w:p>
    <w:p w:rsidR="00C140EF" w:rsidRPr="0010148C" w:rsidRDefault="00C140EF" w:rsidP="00393CEE">
      <w:pPr>
        <w:tabs>
          <w:tab w:val="left" w:pos="-1440"/>
        </w:tabs>
        <w:ind w:left="720" w:hanging="720"/>
        <w:rPr>
          <w:szCs w:val="25"/>
        </w:rPr>
      </w:pPr>
    </w:p>
    <w:p w:rsidR="00C140EF" w:rsidRPr="0010148C" w:rsidRDefault="00C140EF" w:rsidP="00393CEE">
      <w:pPr>
        <w:tabs>
          <w:tab w:val="left" w:pos="-1440"/>
        </w:tabs>
        <w:ind w:left="720" w:hanging="720"/>
        <w:rPr>
          <w:szCs w:val="25"/>
        </w:rPr>
      </w:pPr>
      <w:r w:rsidRPr="0010148C">
        <w:rPr>
          <w:szCs w:val="25"/>
        </w:rPr>
        <w:t>10.</w:t>
      </w:r>
      <w:r w:rsidRPr="0010148C">
        <w:rPr>
          <w:szCs w:val="25"/>
        </w:rPr>
        <w:tab/>
        <w:t xml:space="preserve">Section 512(b) of SMCRA and its implementing regulations at </w:t>
      </w:r>
      <w:r w:rsidR="00084A05">
        <w:rPr>
          <w:szCs w:val="25"/>
        </w:rPr>
        <w:t>§</w:t>
      </w:r>
      <w:r w:rsidRPr="0010148C">
        <w:rPr>
          <w:szCs w:val="25"/>
        </w:rPr>
        <w:t xml:space="preserve">772.15(b) require that </w:t>
      </w:r>
      <w:r w:rsidR="00913CF2">
        <w:rPr>
          <w:szCs w:val="25"/>
        </w:rPr>
        <w:t>OSMRE</w:t>
      </w:r>
      <w:r w:rsidRPr="0010148C">
        <w:rPr>
          <w:szCs w:val="25"/>
        </w:rPr>
        <w:t xml:space="preserve"> and </w:t>
      </w:r>
      <w:r w:rsidR="00D91139">
        <w:rPr>
          <w:szCs w:val="25"/>
        </w:rPr>
        <w:t>s</w:t>
      </w:r>
      <w:r w:rsidRPr="0010148C">
        <w:rPr>
          <w:szCs w:val="25"/>
        </w:rPr>
        <w:t>tate regulatory authorities keep certain types of information confidential.  Specifically, persons submitting a notice of intent to explore or an application for coal exploration may request confidentiality for trade secrets or privileged commercial or financial information that relates to the competitive rights of the person who intends to conduct the exploration.</w:t>
      </w:r>
    </w:p>
    <w:p w:rsidR="00C140EF" w:rsidRPr="0010148C" w:rsidRDefault="00C140EF" w:rsidP="00393CEE">
      <w:pPr>
        <w:ind w:left="720"/>
        <w:rPr>
          <w:szCs w:val="25"/>
        </w:rPr>
      </w:pPr>
    </w:p>
    <w:p w:rsidR="00C140EF" w:rsidRDefault="00C140EF" w:rsidP="00393CEE">
      <w:pPr>
        <w:tabs>
          <w:tab w:val="left" w:pos="-1440"/>
        </w:tabs>
        <w:ind w:left="720" w:hanging="720"/>
        <w:rPr>
          <w:szCs w:val="25"/>
        </w:rPr>
      </w:pPr>
      <w:r w:rsidRPr="0010148C">
        <w:rPr>
          <w:szCs w:val="25"/>
        </w:rPr>
        <w:t>11.</w:t>
      </w:r>
      <w:r w:rsidRPr="0010148C">
        <w:rPr>
          <w:szCs w:val="25"/>
        </w:rPr>
        <w:tab/>
        <w:t>There are no questions of a sensitive nature.</w:t>
      </w:r>
    </w:p>
    <w:p w:rsidR="00644DB0" w:rsidRDefault="00644DB0" w:rsidP="00393CEE">
      <w:pPr>
        <w:tabs>
          <w:tab w:val="left" w:pos="-1440"/>
        </w:tabs>
        <w:ind w:left="720" w:hanging="720"/>
        <w:rPr>
          <w:szCs w:val="25"/>
        </w:rPr>
      </w:pPr>
    </w:p>
    <w:p w:rsidR="0024079B" w:rsidRPr="0024079B" w:rsidRDefault="00644DB0" w:rsidP="0024079B">
      <w:pPr>
        <w:ind w:left="720" w:hanging="720"/>
      </w:pPr>
      <w:r>
        <w:t>12.</w:t>
      </w:r>
      <w:r>
        <w:tab/>
      </w:r>
      <w:r w:rsidR="00913CF2">
        <w:t>OSMRE</w:t>
      </w:r>
      <w:r w:rsidRPr="00A94401">
        <w:t xml:space="preserve"> has estimated wage costs for respondents:  industry and state regulatory employees. </w:t>
      </w:r>
      <w:r w:rsidR="00913CF2">
        <w:t>OSMRE</w:t>
      </w:r>
      <w:r w:rsidRPr="00A94401">
        <w:t xml:space="preserve"> has derived these wages from the Bureau of Labor Statistics (BLS) websites at </w:t>
      </w:r>
      <w:hyperlink r:id="rId9" w:history="1">
        <w:r w:rsidRPr="00A94401">
          <w:rPr>
            <w:rStyle w:val="Hyperlink"/>
          </w:rPr>
          <w:t>http://www.bls.gov/oes/current/naics4_212100.htm</w:t>
        </w:r>
      </w:hyperlink>
      <w:r w:rsidRPr="00A94401">
        <w:t xml:space="preserve"> for industry wages, and </w:t>
      </w:r>
      <w:hyperlink r:id="rId10" w:history="1">
        <w:r w:rsidR="0024079B" w:rsidRPr="005E2166">
          <w:rPr>
            <w:rStyle w:val="Hyperlink"/>
          </w:rPr>
          <w:t>http://www.bls.gov/oes/current/naics4_999200.htm</w:t>
        </w:r>
      </w:hyperlink>
      <w:r w:rsidR="0024079B">
        <w:t xml:space="preserve"> </w:t>
      </w:r>
      <w:r w:rsidRPr="00A94401">
        <w:t>for state employee</w:t>
      </w:r>
      <w:r>
        <w:t xml:space="preserve"> wage</w:t>
      </w:r>
      <w:r w:rsidRPr="00A94401">
        <w:t xml:space="preserve">s.  Benefits </w:t>
      </w:r>
      <w:r>
        <w:t xml:space="preserve">are included in these wage calculations </w:t>
      </w:r>
      <w:r w:rsidRPr="00A94401">
        <w:t>using a rate of 1.4 of the salary for industry personnel and 1.</w:t>
      </w:r>
      <w:r w:rsidR="002C21F9">
        <w:t>6</w:t>
      </w:r>
      <w:r w:rsidRPr="00A94401">
        <w:t xml:space="preserve"> for state employees per the BLS news release </w:t>
      </w:r>
      <w:r w:rsidR="0024079B" w:rsidRPr="0024079B">
        <w:t>USDL-1</w:t>
      </w:r>
      <w:r w:rsidR="002C21F9">
        <w:t>7</w:t>
      </w:r>
      <w:r w:rsidR="0024079B" w:rsidRPr="0024079B">
        <w:t>-</w:t>
      </w:r>
      <w:r w:rsidR="002C21F9">
        <w:t>1646</w:t>
      </w:r>
      <w:r w:rsidR="0024079B" w:rsidRPr="0024079B">
        <w:t>, EMPLOYER COSTS FOR EMPLOYEE COMPENSATION—</w:t>
      </w:r>
      <w:r w:rsidR="002C21F9">
        <w:t>SEPTEMBER</w:t>
      </w:r>
      <w:r w:rsidR="0024079B">
        <w:t xml:space="preserve"> </w:t>
      </w:r>
      <w:r w:rsidR="0024079B" w:rsidRPr="0024079B">
        <w:t>201</w:t>
      </w:r>
      <w:r w:rsidR="002C21F9">
        <w:t>7</w:t>
      </w:r>
      <w:r w:rsidR="0024079B" w:rsidRPr="0024079B">
        <w:t xml:space="preserve">, dated </w:t>
      </w:r>
      <w:r w:rsidR="002C21F9">
        <w:t>December 15, 2017</w:t>
      </w:r>
      <w:r w:rsidR="0024079B" w:rsidRPr="0024079B">
        <w:t xml:space="preserve"> (</w:t>
      </w:r>
      <w:hyperlink r:id="rId11" w:history="1">
        <w:r w:rsidR="0024079B" w:rsidRPr="0024079B">
          <w:rPr>
            <w:color w:val="0000FF"/>
            <w:u w:val="single"/>
          </w:rPr>
          <w:t>http://www.bls.gov/news.release/pdf/ecec.pdf</w:t>
        </w:r>
      </w:hyperlink>
      <w:r w:rsidR="0024079B" w:rsidRPr="0024079B">
        <w:t>).</w:t>
      </w:r>
    </w:p>
    <w:p w:rsidR="00644DB0" w:rsidRDefault="00644DB0" w:rsidP="0024079B">
      <w:pPr>
        <w:ind w:left="720" w:hanging="720"/>
      </w:pPr>
    </w:p>
    <w:p w:rsidR="0024079B" w:rsidRPr="0024079B" w:rsidRDefault="00644DB0" w:rsidP="0024079B">
      <w:pPr>
        <w:ind w:left="720" w:hanging="720"/>
      </w:pPr>
      <w:r>
        <w:t>14.</w:t>
      </w:r>
      <w:r>
        <w:tab/>
        <w:t xml:space="preserve">Wage costs for </w:t>
      </w:r>
      <w:r w:rsidR="00913CF2">
        <w:t>OSMRE</w:t>
      </w:r>
      <w:r>
        <w:t xml:space="preserve"> employees are calculated based on the Office of Personnel Management website </w:t>
      </w:r>
      <w:r w:rsidR="00DD3191">
        <w:t xml:space="preserve">at </w:t>
      </w:r>
      <w:r w:rsidR="002B1007" w:rsidRPr="002B1007">
        <w:t>https://www.opm.gov/policy-data-oversight/pay-leave/salaries-wages/salary-tables/17Tables/html/RUS_h.aspx</w:t>
      </w:r>
      <w:r>
        <w:rPr>
          <w:rFonts w:cs="Arial"/>
        </w:rPr>
        <w:t>.  Salaries for Federal employees in this section include a benefits rate of 1.</w:t>
      </w:r>
      <w:r w:rsidR="002C21F9">
        <w:rPr>
          <w:rFonts w:cs="Arial"/>
        </w:rPr>
        <w:t>6</w:t>
      </w:r>
      <w:r>
        <w:rPr>
          <w:rFonts w:cs="Arial"/>
        </w:rPr>
        <w:t xml:space="preserve"> per </w:t>
      </w:r>
      <w:r w:rsidRPr="00A94401">
        <w:t xml:space="preserve">the BLS news release </w:t>
      </w:r>
      <w:r w:rsidR="004D138E" w:rsidRPr="004D138E">
        <w:t>USDL-17-1646</w:t>
      </w:r>
      <w:r w:rsidR="0024079B" w:rsidRPr="0024079B">
        <w:t>.</w:t>
      </w:r>
    </w:p>
    <w:p w:rsidR="00C140EF" w:rsidRPr="00644DB0" w:rsidRDefault="00644DB0" w:rsidP="0024079B">
      <w:pPr>
        <w:ind w:left="720"/>
      </w:pPr>
      <w:r>
        <w:rPr>
          <w:rFonts w:cs="Arial"/>
        </w:rPr>
        <w:t xml:space="preserve"> </w:t>
      </w:r>
    </w:p>
    <w:p w:rsidR="00C140EF" w:rsidRPr="0010148C" w:rsidRDefault="00C140EF" w:rsidP="00393CEE">
      <w:pPr>
        <w:tabs>
          <w:tab w:val="left" w:pos="-1440"/>
        </w:tabs>
        <w:ind w:left="720" w:hanging="720"/>
        <w:rPr>
          <w:szCs w:val="25"/>
        </w:rPr>
      </w:pPr>
      <w:r w:rsidRPr="0010148C">
        <w:rPr>
          <w:szCs w:val="25"/>
        </w:rPr>
        <w:t>16.</w:t>
      </w:r>
      <w:r w:rsidRPr="0010148C">
        <w:rPr>
          <w:szCs w:val="25"/>
        </w:rPr>
        <w:tab/>
        <w:t>We have no plans to publish the information collected.</w:t>
      </w:r>
    </w:p>
    <w:p w:rsidR="00C140EF" w:rsidRPr="0010148C" w:rsidRDefault="00C140EF" w:rsidP="00393CEE">
      <w:pPr>
        <w:ind w:left="720"/>
        <w:rPr>
          <w:szCs w:val="25"/>
        </w:rPr>
      </w:pPr>
    </w:p>
    <w:p w:rsidR="00C140EF" w:rsidRPr="0010148C" w:rsidRDefault="00C140EF" w:rsidP="00393CEE">
      <w:pPr>
        <w:tabs>
          <w:tab w:val="left" w:pos="-1440"/>
        </w:tabs>
        <w:ind w:left="720" w:hanging="720"/>
        <w:rPr>
          <w:szCs w:val="25"/>
        </w:rPr>
      </w:pPr>
      <w:r w:rsidRPr="0010148C">
        <w:rPr>
          <w:szCs w:val="25"/>
        </w:rPr>
        <w:t>17.</w:t>
      </w:r>
      <w:r w:rsidRPr="0010148C">
        <w:rPr>
          <w:szCs w:val="25"/>
        </w:rPr>
        <w:tab/>
        <w:t>We are not seeking a waiver from the requirement to display the expiration date of the OMB approval of the information collection.</w:t>
      </w:r>
    </w:p>
    <w:p w:rsidR="00C140EF" w:rsidRPr="0010148C" w:rsidRDefault="00C140EF" w:rsidP="00393CEE">
      <w:pPr>
        <w:ind w:left="720"/>
        <w:rPr>
          <w:szCs w:val="25"/>
        </w:rPr>
      </w:pPr>
    </w:p>
    <w:p w:rsidR="00C140EF" w:rsidRPr="0010148C" w:rsidRDefault="00C140EF" w:rsidP="00BA197B">
      <w:pPr>
        <w:tabs>
          <w:tab w:val="left" w:pos="-1440"/>
        </w:tabs>
        <w:ind w:left="720" w:hanging="720"/>
        <w:rPr>
          <w:szCs w:val="25"/>
        </w:rPr>
      </w:pPr>
      <w:r w:rsidRPr="0010148C">
        <w:rPr>
          <w:szCs w:val="25"/>
        </w:rPr>
        <w:t>18.</w:t>
      </w:r>
      <w:r w:rsidRPr="0010148C">
        <w:rPr>
          <w:szCs w:val="25"/>
        </w:rPr>
        <w:tab/>
        <w:t>There are no exceptions to the certification statement i</w:t>
      </w:r>
      <w:r w:rsidR="00D91139">
        <w:rPr>
          <w:szCs w:val="25"/>
        </w:rPr>
        <w:t>dentified in the “Certification for Paperwork Reduction Act Submissions.”</w:t>
      </w:r>
    </w:p>
    <w:p w:rsidR="000B293F" w:rsidRDefault="00C140EF" w:rsidP="00393CEE">
      <w:pPr>
        <w:jc w:val="center"/>
        <w:rPr>
          <w:b/>
          <w:bCs/>
          <w:i/>
          <w:iCs/>
          <w:szCs w:val="25"/>
        </w:rPr>
      </w:pPr>
      <w:r>
        <w:rPr>
          <w:szCs w:val="25"/>
        </w:rPr>
        <w:br w:type="page"/>
      </w:r>
      <w:r w:rsidRPr="0010148C">
        <w:rPr>
          <w:b/>
          <w:bCs/>
          <w:i/>
          <w:iCs/>
          <w:szCs w:val="25"/>
        </w:rPr>
        <w:t>Supporting Statement for 30 CFR 772.11</w:t>
      </w:r>
      <w:r w:rsidR="000B293F" w:rsidRPr="000B293F">
        <w:t xml:space="preserve"> </w:t>
      </w:r>
      <w:r w:rsidR="000B293F">
        <w:rPr>
          <w:b/>
          <w:bCs/>
          <w:i/>
          <w:iCs/>
          <w:szCs w:val="25"/>
        </w:rPr>
        <w:t>–</w:t>
      </w:r>
      <w:r w:rsidR="000B293F" w:rsidRPr="000B293F">
        <w:rPr>
          <w:b/>
          <w:bCs/>
          <w:i/>
          <w:iCs/>
          <w:szCs w:val="25"/>
        </w:rPr>
        <w:t xml:space="preserve"> </w:t>
      </w:r>
    </w:p>
    <w:p w:rsidR="00C140EF" w:rsidRPr="0010148C" w:rsidRDefault="000B293F" w:rsidP="00393CEE">
      <w:pPr>
        <w:jc w:val="center"/>
        <w:rPr>
          <w:szCs w:val="25"/>
        </w:rPr>
      </w:pPr>
      <w:r w:rsidRPr="000B293F">
        <w:rPr>
          <w:b/>
          <w:bCs/>
          <w:i/>
          <w:iCs/>
          <w:szCs w:val="25"/>
        </w:rPr>
        <w:t>Notice requirements for exploration removing 250 tons of coal or less.</w:t>
      </w:r>
    </w:p>
    <w:p w:rsidR="00C140EF" w:rsidRPr="0010148C" w:rsidRDefault="00C140EF" w:rsidP="001C7372">
      <w:pPr>
        <w:rPr>
          <w:szCs w:val="25"/>
        </w:rPr>
      </w:pPr>
    </w:p>
    <w:p w:rsidR="00C140EF" w:rsidRPr="0010148C" w:rsidRDefault="00C140EF" w:rsidP="001C7372">
      <w:pPr>
        <w:tabs>
          <w:tab w:val="left" w:pos="-1440"/>
        </w:tabs>
        <w:rPr>
          <w:szCs w:val="25"/>
        </w:rPr>
      </w:pPr>
      <w:r w:rsidRPr="0010148C">
        <w:rPr>
          <w:szCs w:val="25"/>
        </w:rPr>
        <w:t>A.</w:t>
      </w:r>
      <w:r w:rsidRPr="0010148C">
        <w:rPr>
          <w:szCs w:val="25"/>
        </w:rPr>
        <w:tab/>
      </w:r>
      <w:r w:rsidRPr="0010148C">
        <w:rPr>
          <w:szCs w:val="25"/>
          <w:u w:val="single"/>
        </w:rPr>
        <w:t>Justification</w:t>
      </w:r>
    </w:p>
    <w:p w:rsidR="00C140EF" w:rsidRPr="0010148C" w:rsidRDefault="00C140EF" w:rsidP="001C7372">
      <w:pPr>
        <w:rPr>
          <w:szCs w:val="25"/>
        </w:rPr>
      </w:pPr>
    </w:p>
    <w:p w:rsidR="00C140EF" w:rsidRPr="0010148C" w:rsidRDefault="00C140EF" w:rsidP="00393CEE">
      <w:pPr>
        <w:tabs>
          <w:tab w:val="left" w:pos="-1440"/>
        </w:tabs>
        <w:ind w:left="720" w:hanging="720"/>
        <w:rPr>
          <w:szCs w:val="25"/>
        </w:rPr>
      </w:pPr>
      <w:r w:rsidRPr="0010148C">
        <w:rPr>
          <w:szCs w:val="25"/>
        </w:rPr>
        <w:t>1.</w:t>
      </w:r>
      <w:r w:rsidRPr="0010148C">
        <w:rPr>
          <w:szCs w:val="25"/>
        </w:rPr>
        <w:tab/>
        <w:t xml:space="preserve">Section 512(a) of SMCRA provides that each </w:t>
      </w:r>
      <w:r w:rsidR="00760700">
        <w:rPr>
          <w:szCs w:val="25"/>
        </w:rPr>
        <w:t>s</w:t>
      </w:r>
      <w:r w:rsidRPr="0010148C">
        <w:rPr>
          <w:szCs w:val="25"/>
        </w:rPr>
        <w:t xml:space="preserve">tate or Federal regulatory program must include a requirement that a person intending to conduct coal exploration first file a notice of intent to explore with the regulatory authority.  At a minimum, that notice must include a description of the exploration area and the period of planned exploration.  The regulations at </w:t>
      </w:r>
      <w:r w:rsidR="00084A05">
        <w:rPr>
          <w:szCs w:val="25"/>
        </w:rPr>
        <w:t>§</w:t>
      </w:r>
      <w:r w:rsidRPr="0010148C">
        <w:rPr>
          <w:szCs w:val="25"/>
        </w:rPr>
        <w:t>772.11 include those provisions, as well as requirements for information identifying the person filing the notice, the person conducting the exploration, the method of exploration and the environmental protection and reclamation practices to be used.</w:t>
      </w:r>
    </w:p>
    <w:p w:rsidR="00C140EF" w:rsidRPr="0010148C" w:rsidRDefault="00C140EF" w:rsidP="001C7372">
      <w:pPr>
        <w:rPr>
          <w:szCs w:val="25"/>
        </w:rPr>
      </w:pPr>
    </w:p>
    <w:p w:rsidR="00C140EF" w:rsidRPr="0010148C" w:rsidRDefault="00C140EF" w:rsidP="00393CEE">
      <w:pPr>
        <w:ind w:left="720" w:hanging="720"/>
        <w:rPr>
          <w:szCs w:val="25"/>
        </w:rPr>
      </w:pPr>
      <w:r>
        <w:rPr>
          <w:szCs w:val="25"/>
        </w:rPr>
        <w:tab/>
      </w:r>
      <w:r w:rsidRPr="0010148C">
        <w:rPr>
          <w:szCs w:val="25"/>
        </w:rPr>
        <w:t xml:space="preserve">Section 201(c)(2) of SMCRA, which provides that the Secretary shall promulgate such regulations as are necessary to carry out the purposes and provisions of the Act, authorizes collection of the information required by </w:t>
      </w:r>
      <w:r w:rsidR="00084A05">
        <w:rPr>
          <w:szCs w:val="25"/>
        </w:rPr>
        <w:t>§</w:t>
      </w:r>
      <w:r w:rsidRPr="0010148C">
        <w:rPr>
          <w:szCs w:val="25"/>
        </w:rPr>
        <w:t>772.11 that is not expressly required under section 512(a) of the Act.  Collection of this information is necessary to ensure adherence to and enforce the reclamation requirements of section 512(a) of the Act, as well as to determine whether an exploration permit is required under section 512(d) of the Act.</w:t>
      </w:r>
    </w:p>
    <w:p w:rsidR="00C140EF" w:rsidRPr="0010148C" w:rsidRDefault="00C140EF" w:rsidP="00393CEE">
      <w:pPr>
        <w:ind w:left="720" w:hanging="720"/>
        <w:rPr>
          <w:szCs w:val="25"/>
        </w:rPr>
      </w:pPr>
    </w:p>
    <w:p w:rsidR="00C140EF" w:rsidRPr="0010148C" w:rsidRDefault="00760700" w:rsidP="00393CEE">
      <w:pPr>
        <w:tabs>
          <w:tab w:val="left" w:pos="-1440"/>
        </w:tabs>
        <w:ind w:left="720" w:hanging="720"/>
        <w:rPr>
          <w:szCs w:val="25"/>
        </w:rPr>
      </w:pPr>
      <w:r>
        <w:rPr>
          <w:szCs w:val="25"/>
        </w:rPr>
        <w:t>2.</w:t>
      </w:r>
      <w:r>
        <w:rPr>
          <w:szCs w:val="25"/>
        </w:rPr>
        <w:tab/>
      </w:r>
      <w:r w:rsidR="00913CF2">
        <w:rPr>
          <w:szCs w:val="25"/>
        </w:rPr>
        <w:t>OSMRE</w:t>
      </w:r>
      <w:r>
        <w:rPr>
          <w:szCs w:val="25"/>
        </w:rPr>
        <w:t xml:space="preserve"> and s</w:t>
      </w:r>
      <w:r w:rsidR="00C140EF" w:rsidRPr="0010148C">
        <w:rPr>
          <w:szCs w:val="25"/>
        </w:rPr>
        <w:t xml:space="preserve">tate regulatory authorities under SMCRA use the information collected </w:t>
      </w:r>
      <w:r>
        <w:rPr>
          <w:szCs w:val="25"/>
        </w:rPr>
        <w:t>for</w:t>
      </w:r>
      <w:r w:rsidR="00C140EF" w:rsidRPr="0010148C">
        <w:rPr>
          <w:szCs w:val="25"/>
        </w:rPr>
        <w:t xml:space="preserve"> </w:t>
      </w:r>
      <w:r w:rsidR="00084A05">
        <w:rPr>
          <w:szCs w:val="25"/>
        </w:rPr>
        <w:t>§</w:t>
      </w:r>
      <w:r w:rsidR="00C140EF" w:rsidRPr="0010148C">
        <w:rPr>
          <w:szCs w:val="25"/>
        </w:rPr>
        <w:t>772.11 to (1) identify sites where substantial disturbance is likely to occur, (2) ensure adherence to and enforce the reclamation requirements of 30 CFR 815 and section 512(a) of the Act</w:t>
      </w:r>
      <w:r w:rsidR="00C140EF">
        <w:rPr>
          <w:szCs w:val="25"/>
        </w:rPr>
        <w:t>,</w:t>
      </w:r>
      <w:r w:rsidR="00C140EF" w:rsidRPr="0010148C">
        <w:rPr>
          <w:szCs w:val="25"/>
        </w:rPr>
        <w:t xml:space="preserve"> and (3) determine whether the exploration activity requires an exploration permit under </w:t>
      </w:r>
      <w:r w:rsidR="00084A05">
        <w:rPr>
          <w:szCs w:val="25"/>
        </w:rPr>
        <w:t>§</w:t>
      </w:r>
      <w:r w:rsidR="00C140EF" w:rsidRPr="0010148C">
        <w:rPr>
          <w:szCs w:val="25"/>
        </w:rPr>
        <w:t>772.12 and section 512(d) of the Act.</w:t>
      </w:r>
    </w:p>
    <w:p w:rsidR="00C140EF" w:rsidRPr="0010148C" w:rsidRDefault="00C140EF" w:rsidP="00393CEE">
      <w:pPr>
        <w:ind w:left="720" w:hanging="720"/>
        <w:rPr>
          <w:szCs w:val="25"/>
        </w:rPr>
      </w:pPr>
    </w:p>
    <w:p w:rsidR="00C140EF" w:rsidRPr="0010148C" w:rsidRDefault="00C140EF" w:rsidP="00393CEE">
      <w:pPr>
        <w:pStyle w:val="Quick1"/>
        <w:tabs>
          <w:tab w:val="left" w:pos="-1440"/>
        </w:tabs>
        <w:ind w:left="720"/>
      </w:pPr>
      <w:r w:rsidRPr="0010148C">
        <w:t>See list of items with identical responses.</w:t>
      </w:r>
    </w:p>
    <w:p w:rsidR="00C140EF" w:rsidRPr="0010148C" w:rsidRDefault="00C140EF" w:rsidP="00393CEE">
      <w:pPr>
        <w:ind w:left="720" w:hanging="720"/>
      </w:pPr>
    </w:p>
    <w:p w:rsidR="00C140EF" w:rsidRPr="0010148C" w:rsidRDefault="00C140EF" w:rsidP="00393CEE">
      <w:pPr>
        <w:pStyle w:val="Quick1"/>
        <w:tabs>
          <w:tab w:val="left" w:pos="-1440"/>
        </w:tabs>
        <w:ind w:left="720"/>
      </w:pPr>
      <w:r w:rsidRPr="0010148C">
        <w:t>See list of items with identical responses.</w:t>
      </w:r>
    </w:p>
    <w:p w:rsidR="00C140EF" w:rsidRPr="0010148C" w:rsidRDefault="00C140EF" w:rsidP="00393CEE">
      <w:pPr>
        <w:ind w:left="720" w:hanging="720"/>
      </w:pPr>
    </w:p>
    <w:p w:rsidR="00C140EF" w:rsidRPr="0010148C" w:rsidRDefault="00C140EF" w:rsidP="00393CEE">
      <w:pPr>
        <w:tabs>
          <w:tab w:val="left" w:pos="-1440"/>
        </w:tabs>
        <w:ind w:left="720" w:hanging="720"/>
      </w:pPr>
      <w:r w:rsidRPr="0010148C">
        <w:t>5.</w:t>
      </w:r>
      <w:r w:rsidRPr="0010148C">
        <w:tab/>
        <w:t>See list of items with identical responses.</w:t>
      </w:r>
    </w:p>
    <w:p w:rsidR="00C140EF" w:rsidRPr="0010148C" w:rsidRDefault="00C140EF" w:rsidP="00393CEE">
      <w:pPr>
        <w:ind w:left="720" w:hanging="720"/>
      </w:pPr>
    </w:p>
    <w:p w:rsidR="00C140EF" w:rsidRPr="0010148C" w:rsidRDefault="00C140EF" w:rsidP="00393CEE">
      <w:pPr>
        <w:pStyle w:val="Quick1"/>
        <w:numPr>
          <w:ilvl w:val="0"/>
          <w:numId w:val="0"/>
        </w:numPr>
        <w:tabs>
          <w:tab w:val="left" w:pos="-1440"/>
        </w:tabs>
      </w:pPr>
      <w:r>
        <w:t>6.</w:t>
      </w:r>
      <w:r>
        <w:tab/>
      </w:r>
      <w:r w:rsidRPr="0010148C">
        <w:t>See list of items with identical responses.</w:t>
      </w:r>
    </w:p>
    <w:p w:rsidR="00C140EF" w:rsidRPr="0010148C" w:rsidRDefault="00C140EF" w:rsidP="00393CEE">
      <w:pPr>
        <w:ind w:left="720" w:hanging="720"/>
      </w:pPr>
    </w:p>
    <w:p w:rsidR="00C140EF" w:rsidRPr="0010148C" w:rsidRDefault="00C140EF" w:rsidP="00393CEE">
      <w:pPr>
        <w:tabs>
          <w:tab w:val="left" w:pos="-1440"/>
        </w:tabs>
        <w:ind w:left="720" w:hanging="720"/>
      </w:pPr>
      <w:r w:rsidRPr="0010148C">
        <w:t>7.</w:t>
      </w:r>
      <w:r w:rsidRPr="0010148C">
        <w:tab/>
        <w:t>See list of items with identical responses.</w:t>
      </w:r>
    </w:p>
    <w:p w:rsidR="00C140EF" w:rsidRPr="0010148C" w:rsidRDefault="00C140EF" w:rsidP="00393CEE">
      <w:pPr>
        <w:ind w:left="720" w:hanging="720"/>
      </w:pPr>
    </w:p>
    <w:p w:rsidR="00C140EF" w:rsidRPr="0010148C" w:rsidRDefault="00C140EF" w:rsidP="00393CEE">
      <w:pPr>
        <w:tabs>
          <w:tab w:val="left" w:pos="-1440"/>
        </w:tabs>
        <w:ind w:left="720" w:hanging="720"/>
      </w:pPr>
      <w:r w:rsidRPr="0010148C">
        <w:t>8.</w:t>
      </w:r>
      <w:r w:rsidRPr="0010148C">
        <w:tab/>
        <w:t>See list of items with identical responses.</w:t>
      </w:r>
    </w:p>
    <w:p w:rsidR="00C140EF" w:rsidRPr="0010148C" w:rsidRDefault="00C140EF" w:rsidP="00393CEE">
      <w:pPr>
        <w:ind w:left="720" w:hanging="720"/>
      </w:pPr>
    </w:p>
    <w:p w:rsidR="00C140EF" w:rsidRPr="0010148C" w:rsidRDefault="00C140EF" w:rsidP="00393CEE">
      <w:pPr>
        <w:ind w:left="720" w:hanging="720"/>
      </w:pPr>
      <w:r w:rsidRPr="0010148C">
        <w:t>9.</w:t>
      </w:r>
      <w:r w:rsidRPr="0010148C">
        <w:tab/>
        <w:t>See list of items with identical responses.</w:t>
      </w:r>
    </w:p>
    <w:p w:rsidR="00C140EF" w:rsidRPr="0010148C" w:rsidRDefault="00C140EF" w:rsidP="00393CEE">
      <w:pPr>
        <w:ind w:left="720" w:hanging="720"/>
      </w:pPr>
    </w:p>
    <w:p w:rsidR="00C140EF" w:rsidRPr="0010148C" w:rsidRDefault="00C140EF" w:rsidP="00393CEE">
      <w:pPr>
        <w:ind w:left="720" w:hanging="720"/>
      </w:pPr>
      <w:r w:rsidRPr="0010148C">
        <w:t>10.</w:t>
      </w:r>
      <w:r w:rsidRPr="0010148C">
        <w:tab/>
        <w:t>See list of items with identical responses.</w:t>
      </w:r>
    </w:p>
    <w:p w:rsidR="00C140EF" w:rsidRPr="0010148C" w:rsidRDefault="00C140EF" w:rsidP="00393CEE">
      <w:pPr>
        <w:ind w:left="720" w:hanging="720"/>
      </w:pPr>
    </w:p>
    <w:p w:rsidR="00C140EF" w:rsidRDefault="00C140EF" w:rsidP="009375E0">
      <w:pPr>
        <w:ind w:left="720" w:hanging="720"/>
      </w:pPr>
      <w:r w:rsidRPr="0010148C">
        <w:t>11.</w:t>
      </w:r>
      <w:r w:rsidRPr="0010148C">
        <w:tab/>
        <w:t>See list of items with identical responses.</w:t>
      </w:r>
    </w:p>
    <w:p w:rsidR="00C140EF" w:rsidRDefault="00C140EF" w:rsidP="009375E0">
      <w:pPr>
        <w:ind w:left="720" w:hanging="720"/>
      </w:pPr>
    </w:p>
    <w:p w:rsidR="00C140EF" w:rsidRPr="0010148C" w:rsidRDefault="00C140EF" w:rsidP="009375E0">
      <w:pPr>
        <w:ind w:left="720" w:hanging="720"/>
      </w:pPr>
      <w:r w:rsidRPr="0010148C">
        <w:t>12.</w:t>
      </w:r>
      <w:r w:rsidRPr="0010148C">
        <w:tab/>
      </w:r>
      <w:r w:rsidRPr="0010148C">
        <w:rPr>
          <w:u w:val="single"/>
        </w:rPr>
        <w:t>Estimated Information Collection Burden</w:t>
      </w:r>
    </w:p>
    <w:p w:rsidR="00C140EF" w:rsidRPr="0010148C" w:rsidRDefault="00C140EF" w:rsidP="001C7372"/>
    <w:p w:rsidR="00C140EF" w:rsidRPr="0010148C" w:rsidRDefault="00C140EF" w:rsidP="00393CEE">
      <w:r w:rsidRPr="00393CEE">
        <w:tab/>
        <w:t>a.</w:t>
      </w:r>
      <w:r w:rsidRPr="00393CEE">
        <w:tab/>
      </w:r>
      <w:r w:rsidRPr="0010148C">
        <w:rPr>
          <w:u w:val="single"/>
        </w:rPr>
        <w:t>Burden Hour Estimates for Respondents</w:t>
      </w:r>
    </w:p>
    <w:p w:rsidR="00C140EF" w:rsidRPr="0010148C" w:rsidRDefault="00C140EF" w:rsidP="00393CEE">
      <w:pPr>
        <w:ind w:left="720" w:hanging="720"/>
      </w:pPr>
    </w:p>
    <w:p w:rsidR="00C140EF" w:rsidRPr="0010148C" w:rsidRDefault="00C140EF" w:rsidP="00393CEE">
      <w:pPr>
        <w:ind w:left="720" w:hanging="720"/>
      </w:pPr>
      <w:r>
        <w:tab/>
      </w:r>
      <w:r w:rsidRPr="0010148C">
        <w:t xml:space="preserve">Our </w:t>
      </w:r>
      <w:r w:rsidR="009E643C">
        <w:t>s</w:t>
      </w:r>
      <w:r w:rsidRPr="0010148C">
        <w:t>tate-specific annual evaluation reports show that in 20</w:t>
      </w:r>
      <w:r w:rsidR="00CE629D">
        <w:t>1</w:t>
      </w:r>
      <w:r w:rsidR="00D667E8">
        <w:t>6</w:t>
      </w:r>
      <w:r w:rsidRPr="0010148C">
        <w:t xml:space="preserve"> the 24 </w:t>
      </w:r>
      <w:r w:rsidR="009E643C">
        <w:t>s</w:t>
      </w:r>
      <w:r w:rsidRPr="0010148C">
        <w:t>tate r</w:t>
      </w:r>
      <w:r>
        <w:t xml:space="preserve">egulatory authorities </w:t>
      </w:r>
      <w:r w:rsidRPr="002F0663">
        <w:t xml:space="preserve">received </w:t>
      </w:r>
      <w:r w:rsidR="00D667E8" w:rsidRPr="002F0663">
        <w:t>288</w:t>
      </w:r>
      <w:r w:rsidRPr="002F0663">
        <w:t xml:space="preserve"> notices</w:t>
      </w:r>
      <w:r w:rsidRPr="0010148C">
        <w:t xml:space="preserve"> of intent to explore.  During the same year, we </w:t>
      </w:r>
      <w:r w:rsidR="00D667E8">
        <w:t xml:space="preserve">did not </w:t>
      </w:r>
      <w:r w:rsidRPr="0010148C">
        <w:t>receiv</w:t>
      </w:r>
      <w:r w:rsidR="00D667E8">
        <w:t>e</w:t>
      </w:r>
      <w:r>
        <w:t xml:space="preserve"> </w:t>
      </w:r>
      <w:r w:rsidR="00CE629D">
        <w:t>an</w:t>
      </w:r>
      <w:r w:rsidR="00D667E8">
        <w:t>y</w:t>
      </w:r>
      <w:r w:rsidR="00CE629D">
        <w:t xml:space="preserve"> </w:t>
      </w:r>
      <w:r w:rsidRPr="0010148C">
        <w:t xml:space="preserve">notices in </w:t>
      </w:r>
      <w:r w:rsidR="00CE629D">
        <w:t xml:space="preserve">the </w:t>
      </w:r>
      <w:r w:rsidRPr="0010148C">
        <w:t xml:space="preserve">State </w:t>
      </w:r>
      <w:r w:rsidR="00CE629D">
        <w:t xml:space="preserve">of Tennessee, where </w:t>
      </w:r>
      <w:r w:rsidRPr="0010148C">
        <w:t>we are the regulatory authority</w:t>
      </w:r>
      <w:r w:rsidR="002165C4">
        <w:t xml:space="preserve">, </w:t>
      </w:r>
      <w:r w:rsidR="00934809">
        <w:t>and we do not anticipate receiving any notices in the next few years</w:t>
      </w:r>
      <w:r w:rsidRPr="0010148C">
        <w:t xml:space="preserve">.  </w:t>
      </w:r>
      <w:r w:rsidR="00F635D7">
        <w:t xml:space="preserve">This </w:t>
      </w:r>
      <w:r w:rsidR="006D6353">
        <w:t xml:space="preserve">total </w:t>
      </w:r>
      <w:r w:rsidR="002165C4">
        <w:t>of 2</w:t>
      </w:r>
      <w:r w:rsidR="00934809">
        <w:t>88</w:t>
      </w:r>
      <w:r w:rsidR="002165C4">
        <w:t xml:space="preserve"> notices </w:t>
      </w:r>
      <w:r w:rsidR="00F635D7">
        <w:t xml:space="preserve">is </w:t>
      </w:r>
      <w:r w:rsidR="006D6353">
        <w:t xml:space="preserve">significantly </w:t>
      </w:r>
      <w:r w:rsidR="00F635D7">
        <w:t xml:space="preserve">lower than the </w:t>
      </w:r>
      <w:r w:rsidR="00F635D7" w:rsidRPr="002F0663">
        <w:t xml:space="preserve">previous </w:t>
      </w:r>
      <w:r w:rsidR="00D667E8" w:rsidRPr="002F0663">
        <w:t xml:space="preserve">update </w:t>
      </w:r>
      <w:r w:rsidR="00F635D7" w:rsidRPr="002F0663">
        <w:t>(</w:t>
      </w:r>
      <w:r w:rsidR="00D667E8" w:rsidRPr="002F0663">
        <w:t>830 in 2014</w:t>
      </w:r>
      <w:r w:rsidR="00D667E8">
        <w:t xml:space="preserve">).  </w:t>
      </w:r>
    </w:p>
    <w:p w:rsidR="00C140EF" w:rsidRPr="0010148C" w:rsidRDefault="00C140EF" w:rsidP="00393CEE">
      <w:pPr>
        <w:ind w:left="720" w:hanging="720"/>
      </w:pPr>
    </w:p>
    <w:p w:rsidR="009E643C" w:rsidRDefault="00C140EF" w:rsidP="00393CEE">
      <w:pPr>
        <w:ind w:left="720" w:hanging="720"/>
      </w:pPr>
      <w:r>
        <w:tab/>
      </w:r>
      <w:r w:rsidRPr="0010148C">
        <w:t xml:space="preserve">According to the </w:t>
      </w:r>
      <w:r w:rsidR="00D667E8">
        <w:t>entities</w:t>
      </w:r>
      <w:r w:rsidRPr="0010148C">
        <w:t xml:space="preserve"> listed in item 8, preparation of a notice of intent to explore requires an average of </w:t>
      </w:r>
      <w:r w:rsidR="00F238EC" w:rsidRPr="009075C1">
        <w:t>5</w:t>
      </w:r>
      <w:r w:rsidRPr="00F238EC">
        <w:t xml:space="preserve"> hours.  Accordingly, the total annual information collection burden for persons filing notices of intent </w:t>
      </w:r>
      <w:r w:rsidR="00156B6C">
        <w:t>for §</w:t>
      </w:r>
      <w:r w:rsidRPr="00F238EC">
        <w:t xml:space="preserve">772.11 is </w:t>
      </w:r>
      <w:r w:rsidRPr="002F0663">
        <w:t xml:space="preserve">an estimated </w:t>
      </w:r>
      <w:r w:rsidR="00D667E8" w:rsidRPr="002F0663">
        <w:rPr>
          <w:b/>
        </w:rPr>
        <w:t>1,4</w:t>
      </w:r>
      <w:r w:rsidR="00934809">
        <w:rPr>
          <w:b/>
        </w:rPr>
        <w:t>4</w:t>
      </w:r>
      <w:r w:rsidR="00D667E8" w:rsidRPr="002F0663">
        <w:rPr>
          <w:b/>
        </w:rPr>
        <w:t>0</w:t>
      </w:r>
      <w:r w:rsidR="007B44D8" w:rsidRPr="002F0663">
        <w:t xml:space="preserve"> </w:t>
      </w:r>
      <w:r w:rsidRPr="002F0663">
        <w:rPr>
          <w:b/>
          <w:bCs/>
        </w:rPr>
        <w:t>hours</w:t>
      </w:r>
      <w:r w:rsidRPr="00F238EC">
        <w:t xml:space="preserve"> (</w:t>
      </w:r>
      <w:r w:rsidR="00D667E8">
        <w:t>2</w:t>
      </w:r>
      <w:r w:rsidR="00934809">
        <w:t>88</w:t>
      </w:r>
      <w:r w:rsidR="007B44D8">
        <w:t xml:space="preserve"> </w:t>
      </w:r>
      <w:r w:rsidRPr="00F238EC">
        <w:t xml:space="preserve">notices x </w:t>
      </w:r>
      <w:r w:rsidR="008D0395" w:rsidRPr="00F238EC">
        <w:t>5</w:t>
      </w:r>
      <w:r w:rsidRPr="00F238EC">
        <w:t xml:space="preserve"> hours per notice).</w:t>
      </w:r>
      <w:r w:rsidR="00E73510">
        <w:t xml:space="preserve">  </w:t>
      </w:r>
    </w:p>
    <w:p w:rsidR="005D7B7A" w:rsidRDefault="005D7B7A" w:rsidP="00393CEE">
      <w:pPr>
        <w:ind w:left="720" w:hanging="720"/>
      </w:pPr>
    </w:p>
    <w:p w:rsidR="009E643C" w:rsidRDefault="009E643C" w:rsidP="009E643C">
      <w:pPr>
        <w:ind w:left="720"/>
      </w:pPr>
      <w:r>
        <w:t xml:space="preserve">Notifications of intent to explore for </w:t>
      </w:r>
      <w:r w:rsidR="00156B6C">
        <w:t>§</w:t>
      </w:r>
      <w:r>
        <w:t>772.11 do not require regulatory authority review.  Therefore, there is no information collection burden to state regulatory authorities for this section.</w:t>
      </w:r>
    </w:p>
    <w:p w:rsidR="00C140EF" w:rsidRPr="0010148C" w:rsidRDefault="00C140EF" w:rsidP="00393CEE">
      <w:pPr>
        <w:ind w:left="720" w:hanging="720"/>
      </w:pPr>
    </w:p>
    <w:p w:rsidR="00C140EF" w:rsidRPr="0010148C" w:rsidRDefault="00C140EF" w:rsidP="00393CEE">
      <w:pPr>
        <w:pStyle w:val="Quicka"/>
        <w:numPr>
          <w:ilvl w:val="0"/>
          <w:numId w:val="0"/>
        </w:numPr>
        <w:tabs>
          <w:tab w:val="left" w:pos="-1440"/>
        </w:tabs>
      </w:pPr>
      <w:r>
        <w:tab/>
        <w:t>b.</w:t>
      </w:r>
      <w:r>
        <w:tab/>
      </w:r>
      <w:r w:rsidRPr="0010148C">
        <w:rPr>
          <w:u w:val="single"/>
        </w:rPr>
        <w:t>Estimated Annual Wage Cost to Respondents</w:t>
      </w:r>
    </w:p>
    <w:p w:rsidR="00C140EF" w:rsidRPr="0010148C" w:rsidRDefault="00C140EF" w:rsidP="00393CEE">
      <w:pPr>
        <w:ind w:left="720" w:hanging="720"/>
      </w:pPr>
    </w:p>
    <w:p w:rsidR="00331011" w:rsidRPr="00E153D1" w:rsidRDefault="00331011" w:rsidP="00331011">
      <w:pPr>
        <w:pStyle w:val="BodyTextIndent"/>
        <w:ind w:left="720"/>
      </w:pPr>
      <w:r>
        <w:t>W</w:t>
      </w:r>
      <w:r w:rsidRPr="00E153D1">
        <w:t xml:space="preserve">e estimate </w:t>
      </w:r>
      <w:r>
        <w:t xml:space="preserve">that mine operators will incur the </w:t>
      </w:r>
      <w:r w:rsidRPr="00E153D1">
        <w:t xml:space="preserve">following wage costs (rounded) to complete the collection </w:t>
      </w:r>
      <w:r>
        <w:t xml:space="preserve">of information required under these </w:t>
      </w:r>
      <w:r w:rsidRPr="00E153D1">
        <w:t>section</w:t>
      </w:r>
      <w:r>
        <w:t xml:space="preserve">s (see item 12, page </w:t>
      </w:r>
      <w:r w:rsidR="002B1007">
        <w:t>8</w:t>
      </w:r>
      <w:r>
        <w:t>, for an explanation of wages and benefits)</w:t>
      </w:r>
      <w:r w:rsidRPr="00E153D1">
        <w:t>:</w:t>
      </w:r>
    </w:p>
    <w:p w:rsidR="00C140EF" w:rsidRPr="004D4A35" w:rsidRDefault="00C140EF" w:rsidP="004D4A35">
      <w:pPr>
        <w:pStyle w:val="BodyTextIndent"/>
        <w:ind w:hanging="720"/>
      </w:pPr>
      <w:r w:rsidRPr="004D4A35">
        <w:t xml:space="preserve"> </w:t>
      </w:r>
    </w:p>
    <w:p w:rsidR="002878A1" w:rsidRDefault="002878A1" w:rsidP="004D4A35">
      <w:pPr>
        <w:pStyle w:val="BodyTextIndent"/>
        <w:ind w:hanging="720"/>
        <w:jc w:val="center"/>
      </w:pPr>
    </w:p>
    <w:p w:rsidR="00C140EF" w:rsidRPr="004D4A35" w:rsidRDefault="00C140EF" w:rsidP="004D4A35">
      <w:pPr>
        <w:pStyle w:val="BodyTextIndent"/>
        <w:ind w:hanging="720"/>
        <w:jc w:val="center"/>
      </w:pPr>
      <w:r w:rsidRPr="004D4A35">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C140EF" w:rsidRPr="004D4A35" w:rsidTr="00B63E3D">
        <w:tc>
          <w:tcPr>
            <w:tcW w:w="2520" w:type="dxa"/>
          </w:tcPr>
          <w:p w:rsidR="00C140EF" w:rsidRPr="004D4A35" w:rsidRDefault="00C140EF" w:rsidP="00B63E3D">
            <w:pPr>
              <w:pStyle w:val="BodyTextIndent"/>
              <w:ind w:left="0"/>
              <w:jc w:val="center"/>
            </w:pPr>
            <w:r w:rsidRPr="004D4A35">
              <w:t>Position</w:t>
            </w:r>
          </w:p>
        </w:tc>
        <w:tc>
          <w:tcPr>
            <w:tcW w:w="2160" w:type="dxa"/>
          </w:tcPr>
          <w:p w:rsidR="00C140EF" w:rsidRPr="004D4A35" w:rsidRDefault="00C140EF" w:rsidP="00B63E3D">
            <w:pPr>
              <w:pStyle w:val="BodyTextIndent"/>
              <w:ind w:left="0"/>
              <w:jc w:val="center"/>
            </w:pPr>
            <w:r w:rsidRPr="004D4A35">
              <w:t>Hour Burden per Response</w:t>
            </w:r>
          </w:p>
        </w:tc>
        <w:tc>
          <w:tcPr>
            <w:tcW w:w="2250" w:type="dxa"/>
          </w:tcPr>
          <w:p w:rsidR="00C140EF" w:rsidRPr="004D4A35" w:rsidRDefault="007C6677" w:rsidP="00B63E3D">
            <w:pPr>
              <w:pStyle w:val="BodyTextIndent"/>
              <w:ind w:left="0"/>
              <w:jc w:val="center"/>
            </w:pPr>
            <w:r w:rsidRPr="00495347">
              <w:t>Cost Per Hou</w:t>
            </w:r>
            <w:r>
              <w:t>r</w:t>
            </w:r>
            <w:r w:rsidRPr="00A2726C">
              <w:t xml:space="preserve"> with Benefits (x 1.4)</w:t>
            </w:r>
            <w:r w:rsidRPr="00495347">
              <w:t xml:space="preserve"> ($)</w:t>
            </w:r>
          </w:p>
        </w:tc>
        <w:tc>
          <w:tcPr>
            <w:tcW w:w="2070" w:type="dxa"/>
          </w:tcPr>
          <w:p w:rsidR="00C140EF" w:rsidRPr="004D4A35" w:rsidRDefault="00C140EF" w:rsidP="00B63E3D">
            <w:pPr>
              <w:pStyle w:val="BodyTextIndent"/>
              <w:ind w:left="0"/>
              <w:jc w:val="center"/>
            </w:pPr>
            <w:r w:rsidRPr="004D4A35">
              <w:t>Total Wage Burden ($)</w:t>
            </w:r>
          </w:p>
        </w:tc>
      </w:tr>
      <w:tr w:rsidR="00C140EF" w:rsidRPr="004D4A35" w:rsidTr="00B63E3D">
        <w:tc>
          <w:tcPr>
            <w:tcW w:w="2520" w:type="dxa"/>
          </w:tcPr>
          <w:p w:rsidR="00C140EF" w:rsidRPr="004D4A35" w:rsidRDefault="009E643C" w:rsidP="00B63E3D">
            <w:pPr>
              <w:pStyle w:val="BodyTextIndent"/>
              <w:ind w:left="0"/>
            </w:pPr>
            <w:r>
              <w:t>Administrative Support</w:t>
            </w:r>
          </w:p>
        </w:tc>
        <w:tc>
          <w:tcPr>
            <w:tcW w:w="2160" w:type="dxa"/>
          </w:tcPr>
          <w:p w:rsidR="00C140EF" w:rsidRPr="004D4A35" w:rsidRDefault="00C140EF" w:rsidP="00B63E3D">
            <w:pPr>
              <w:pStyle w:val="BodyTextIndent"/>
              <w:ind w:left="0"/>
              <w:jc w:val="center"/>
            </w:pPr>
            <w:r>
              <w:t>1</w:t>
            </w:r>
          </w:p>
        </w:tc>
        <w:tc>
          <w:tcPr>
            <w:tcW w:w="2250" w:type="dxa"/>
          </w:tcPr>
          <w:p w:rsidR="00C140EF" w:rsidRPr="004D4A35" w:rsidRDefault="00CB6489" w:rsidP="009914EB">
            <w:pPr>
              <w:pStyle w:val="BodyTextIndent"/>
              <w:ind w:left="0"/>
              <w:jc w:val="center"/>
            </w:pPr>
            <w:r>
              <w:t>23.21</w:t>
            </w:r>
          </w:p>
        </w:tc>
        <w:tc>
          <w:tcPr>
            <w:tcW w:w="2070" w:type="dxa"/>
          </w:tcPr>
          <w:p w:rsidR="00C140EF" w:rsidRPr="004D4A35" w:rsidRDefault="009914EB" w:rsidP="00CB6489">
            <w:pPr>
              <w:pStyle w:val="BodyTextIndent"/>
              <w:ind w:left="0"/>
              <w:jc w:val="center"/>
            </w:pPr>
            <w:r>
              <w:fldChar w:fldCharType="begin"/>
            </w:r>
            <w:r>
              <w:instrText xml:space="preserve"> =SUM(LEFT) \# "#,##0" </w:instrText>
            </w:r>
            <w:r>
              <w:fldChar w:fldCharType="separate"/>
            </w:r>
            <w:r>
              <w:rPr>
                <w:noProof/>
              </w:rPr>
              <w:t xml:space="preserve">  </w:t>
            </w:r>
            <w:r>
              <w:fldChar w:fldCharType="end"/>
            </w:r>
            <w:r>
              <w:fldChar w:fldCharType="begin"/>
            </w:r>
            <w:r>
              <w:instrText xml:space="preserve"> =product(LEFT) \# "#,##0" </w:instrText>
            </w:r>
            <w:r>
              <w:fldChar w:fldCharType="separate"/>
            </w:r>
            <w:r>
              <w:rPr>
                <w:noProof/>
              </w:rPr>
              <w:t xml:space="preserve">  23</w:t>
            </w:r>
            <w:r>
              <w:fldChar w:fldCharType="end"/>
            </w:r>
          </w:p>
        </w:tc>
      </w:tr>
      <w:tr w:rsidR="00C140EF" w:rsidRPr="004D4A35" w:rsidTr="00B63E3D">
        <w:tc>
          <w:tcPr>
            <w:tcW w:w="2520" w:type="dxa"/>
          </w:tcPr>
          <w:p w:rsidR="00C140EF" w:rsidRPr="004D4A35" w:rsidRDefault="00C140EF" w:rsidP="00B63E3D">
            <w:pPr>
              <w:pStyle w:val="BodyTextIndent"/>
              <w:ind w:left="0"/>
            </w:pPr>
            <w:r w:rsidRPr="004D4A35">
              <w:t>Mining Engineer</w:t>
            </w:r>
          </w:p>
        </w:tc>
        <w:tc>
          <w:tcPr>
            <w:tcW w:w="2160" w:type="dxa"/>
          </w:tcPr>
          <w:p w:rsidR="00C140EF" w:rsidRPr="004D4A35" w:rsidRDefault="00F238EC" w:rsidP="00F238EC">
            <w:pPr>
              <w:pStyle w:val="BodyTextIndent"/>
              <w:ind w:left="0"/>
              <w:jc w:val="center"/>
            </w:pPr>
            <w:r>
              <w:t>3.5</w:t>
            </w:r>
          </w:p>
        </w:tc>
        <w:tc>
          <w:tcPr>
            <w:tcW w:w="2250" w:type="dxa"/>
          </w:tcPr>
          <w:p w:rsidR="00C140EF" w:rsidRPr="004D4A35" w:rsidRDefault="00CB6489" w:rsidP="009914EB">
            <w:pPr>
              <w:pStyle w:val="BodyTextIndent"/>
              <w:ind w:left="0"/>
              <w:jc w:val="center"/>
            </w:pPr>
            <w:r>
              <w:t>59.40</w:t>
            </w:r>
          </w:p>
        </w:tc>
        <w:tc>
          <w:tcPr>
            <w:tcW w:w="2070" w:type="dxa"/>
          </w:tcPr>
          <w:p w:rsidR="00C140EF" w:rsidRPr="004D4A35" w:rsidRDefault="009914EB" w:rsidP="00CB6489">
            <w:pPr>
              <w:pStyle w:val="BodyTextIndent"/>
              <w:ind w:left="0"/>
              <w:jc w:val="center"/>
            </w:pPr>
            <w:r>
              <w:fldChar w:fldCharType="begin"/>
            </w:r>
            <w:r>
              <w:instrText xml:space="preserve"> =product(left) \# "#,##0" </w:instrText>
            </w:r>
            <w:r>
              <w:fldChar w:fldCharType="separate"/>
            </w:r>
            <w:r>
              <w:rPr>
                <w:noProof/>
              </w:rPr>
              <w:t xml:space="preserve"> 20</w:t>
            </w:r>
            <w:r w:rsidR="00CB6489">
              <w:rPr>
                <w:noProof/>
              </w:rPr>
              <w:t>8</w:t>
            </w:r>
            <w:r>
              <w:fldChar w:fldCharType="end"/>
            </w:r>
          </w:p>
        </w:tc>
      </w:tr>
      <w:tr w:rsidR="00C140EF" w:rsidRPr="004D4A35" w:rsidTr="00B63E3D">
        <w:tc>
          <w:tcPr>
            <w:tcW w:w="2520" w:type="dxa"/>
          </w:tcPr>
          <w:p w:rsidR="00C140EF" w:rsidRPr="004D4A35" w:rsidRDefault="00C140EF" w:rsidP="00B63E3D">
            <w:pPr>
              <w:pStyle w:val="BodyTextIndent"/>
              <w:ind w:left="0"/>
            </w:pPr>
            <w:r w:rsidRPr="004D4A35">
              <w:t>Operations Manager</w:t>
            </w:r>
          </w:p>
        </w:tc>
        <w:tc>
          <w:tcPr>
            <w:tcW w:w="2160" w:type="dxa"/>
          </w:tcPr>
          <w:p w:rsidR="00C140EF" w:rsidRPr="004D4A35" w:rsidRDefault="00C140EF" w:rsidP="00B63E3D">
            <w:pPr>
              <w:pStyle w:val="BodyTextIndent"/>
              <w:ind w:left="0"/>
              <w:jc w:val="center"/>
            </w:pPr>
            <w:r>
              <w:t>.</w:t>
            </w:r>
            <w:r w:rsidRPr="004D4A35">
              <w:t>5</w:t>
            </w:r>
          </w:p>
        </w:tc>
        <w:tc>
          <w:tcPr>
            <w:tcW w:w="2250" w:type="dxa"/>
          </w:tcPr>
          <w:p w:rsidR="00C140EF" w:rsidRPr="004D4A35" w:rsidRDefault="00CB6489" w:rsidP="009914EB">
            <w:pPr>
              <w:pStyle w:val="BodyTextIndent"/>
              <w:ind w:left="0"/>
              <w:jc w:val="center"/>
            </w:pPr>
            <w:r>
              <w:t>97.68</w:t>
            </w:r>
          </w:p>
        </w:tc>
        <w:tc>
          <w:tcPr>
            <w:tcW w:w="2070" w:type="dxa"/>
          </w:tcPr>
          <w:p w:rsidR="00C140EF" w:rsidRPr="004D4A35" w:rsidRDefault="009914EB" w:rsidP="00CB6489">
            <w:pPr>
              <w:pStyle w:val="BodyTextIndent"/>
              <w:ind w:left="0"/>
              <w:jc w:val="center"/>
            </w:pPr>
            <w:r>
              <w:fldChar w:fldCharType="begin"/>
            </w:r>
            <w:r>
              <w:instrText xml:space="preserve"> =product(left) \# "#,##0" </w:instrText>
            </w:r>
            <w:r>
              <w:fldChar w:fldCharType="separate"/>
            </w:r>
            <w:r>
              <w:rPr>
                <w:noProof/>
              </w:rPr>
              <w:t xml:space="preserve">  4</w:t>
            </w:r>
            <w:r w:rsidR="00CB6489">
              <w:rPr>
                <w:noProof/>
              </w:rPr>
              <w:t>9</w:t>
            </w:r>
            <w:r>
              <w:fldChar w:fldCharType="end"/>
            </w:r>
          </w:p>
        </w:tc>
      </w:tr>
      <w:tr w:rsidR="00C140EF" w:rsidRPr="004D4A35" w:rsidTr="00B63E3D">
        <w:tc>
          <w:tcPr>
            <w:tcW w:w="2520" w:type="dxa"/>
          </w:tcPr>
          <w:p w:rsidR="00C140EF" w:rsidRPr="004D4A35" w:rsidRDefault="00C140EF" w:rsidP="00B63E3D">
            <w:pPr>
              <w:pStyle w:val="BodyTextIndent"/>
              <w:ind w:left="0"/>
            </w:pPr>
            <w:r w:rsidRPr="004D4A35">
              <w:t>Total</w:t>
            </w:r>
          </w:p>
        </w:tc>
        <w:tc>
          <w:tcPr>
            <w:tcW w:w="2160" w:type="dxa"/>
          </w:tcPr>
          <w:p w:rsidR="00C140EF" w:rsidRPr="004D4A35" w:rsidRDefault="00C524C9" w:rsidP="00F238EC">
            <w:pPr>
              <w:pStyle w:val="BodyTextIndent"/>
              <w:ind w:left="0"/>
              <w:jc w:val="center"/>
            </w:pPr>
            <w:r>
              <w:t>5</w:t>
            </w:r>
          </w:p>
        </w:tc>
        <w:tc>
          <w:tcPr>
            <w:tcW w:w="2250" w:type="dxa"/>
          </w:tcPr>
          <w:p w:rsidR="00C140EF" w:rsidRPr="004D4A35" w:rsidRDefault="00C140EF" w:rsidP="00B63E3D">
            <w:pPr>
              <w:pStyle w:val="BodyTextIndent"/>
              <w:ind w:left="0"/>
              <w:jc w:val="center"/>
            </w:pPr>
          </w:p>
        </w:tc>
        <w:tc>
          <w:tcPr>
            <w:tcW w:w="2070" w:type="dxa"/>
          </w:tcPr>
          <w:p w:rsidR="00C140EF" w:rsidRPr="004D4A35" w:rsidRDefault="00CB6489" w:rsidP="00CB6489">
            <w:pPr>
              <w:pStyle w:val="BodyTextIndent"/>
              <w:ind w:left="0"/>
              <w:jc w:val="center"/>
            </w:pPr>
            <w:r>
              <w:fldChar w:fldCharType="begin"/>
            </w:r>
            <w:r>
              <w:instrText xml:space="preserve"> =SUM(ABOVE) </w:instrText>
            </w:r>
            <w:r>
              <w:fldChar w:fldCharType="separate"/>
            </w:r>
            <w:r>
              <w:rPr>
                <w:noProof/>
              </w:rPr>
              <w:t>280</w:t>
            </w:r>
            <w:r>
              <w:fldChar w:fldCharType="end"/>
            </w:r>
          </w:p>
        </w:tc>
      </w:tr>
    </w:tbl>
    <w:p w:rsidR="00C140EF" w:rsidRPr="004D4A35" w:rsidRDefault="00C140EF" w:rsidP="004D4A35">
      <w:pPr>
        <w:pStyle w:val="BodyTextIndent"/>
        <w:ind w:hanging="720"/>
      </w:pPr>
    </w:p>
    <w:p w:rsidR="00C140EF" w:rsidRPr="00CB6489" w:rsidRDefault="00C140EF" w:rsidP="00CB4DF5">
      <w:pPr>
        <w:pStyle w:val="BodyTextIndent"/>
        <w:ind w:left="720"/>
      </w:pPr>
      <w:r w:rsidRPr="004D4A35">
        <w:t xml:space="preserve">Therefore, the estimated </w:t>
      </w:r>
      <w:r w:rsidRPr="00CB6489">
        <w:t xml:space="preserve">annual wage cost for each industry respondent for </w:t>
      </w:r>
      <w:r w:rsidRPr="00CB6489">
        <w:rPr>
          <w:rFonts w:cs="Arial"/>
        </w:rPr>
        <w:t>§</w:t>
      </w:r>
      <w:r w:rsidRPr="00CB6489">
        <w:t>772.11 is $2</w:t>
      </w:r>
      <w:r w:rsidR="00CB6489" w:rsidRPr="00CB6489">
        <w:t>80</w:t>
      </w:r>
      <w:r w:rsidRPr="00CB6489">
        <w:t>.  The total wage cost to all industry respondents is $2</w:t>
      </w:r>
      <w:r w:rsidR="00CB6489" w:rsidRPr="00CB6489">
        <w:t>80</w:t>
      </w:r>
      <w:r w:rsidRPr="00CB6489">
        <w:t xml:space="preserve"> x </w:t>
      </w:r>
      <w:r w:rsidR="00CB6489" w:rsidRPr="00CB6489">
        <w:t>2</w:t>
      </w:r>
      <w:r w:rsidR="00934809">
        <w:t>88</w:t>
      </w:r>
      <w:r w:rsidRPr="00CB6489">
        <w:t xml:space="preserve"> notices = $</w:t>
      </w:r>
      <w:r w:rsidR="00CB6489" w:rsidRPr="00CB6489">
        <w:t>8</w:t>
      </w:r>
      <w:r w:rsidR="00934809">
        <w:t>0</w:t>
      </w:r>
      <w:r w:rsidR="004A31CA" w:rsidRPr="00CB6489">
        <w:t>,</w:t>
      </w:r>
      <w:r w:rsidR="00934809">
        <w:t>640</w:t>
      </w:r>
      <w:r w:rsidRPr="00CB6489">
        <w:t>.</w:t>
      </w:r>
    </w:p>
    <w:p w:rsidR="00C140EF" w:rsidRPr="00CB6489" w:rsidRDefault="00C140EF" w:rsidP="004D4A35">
      <w:pPr>
        <w:ind w:left="720"/>
      </w:pPr>
    </w:p>
    <w:p w:rsidR="00C140EF" w:rsidRPr="0010148C" w:rsidRDefault="00C140EF" w:rsidP="00393CEE">
      <w:pPr>
        <w:tabs>
          <w:tab w:val="left" w:pos="-1440"/>
        </w:tabs>
        <w:ind w:left="720" w:hanging="720"/>
      </w:pPr>
      <w:r w:rsidRPr="00CB6489">
        <w:t>13.</w:t>
      </w:r>
      <w:r w:rsidRPr="00CB6489">
        <w:tab/>
      </w:r>
      <w:r w:rsidRPr="00CB6489">
        <w:rPr>
          <w:u w:val="single"/>
        </w:rPr>
        <w:t>Total Annual Non-Wage Cost Burden to Respondents</w:t>
      </w:r>
    </w:p>
    <w:p w:rsidR="00C140EF" w:rsidRPr="0010148C" w:rsidRDefault="00C140EF" w:rsidP="00393CEE">
      <w:pPr>
        <w:ind w:left="720" w:hanging="720"/>
      </w:pPr>
    </w:p>
    <w:p w:rsidR="00C140EF" w:rsidRPr="0010148C" w:rsidRDefault="00C140EF" w:rsidP="00393CEE">
      <w:pPr>
        <w:tabs>
          <w:tab w:val="left" w:pos="-1440"/>
        </w:tabs>
        <w:ind w:left="720" w:hanging="720"/>
      </w:pPr>
      <w:r>
        <w:tab/>
      </w:r>
      <w:r w:rsidRPr="0010148C">
        <w:t>a.</w:t>
      </w:r>
      <w:r w:rsidRPr="0010148C">
        <w:tab/>
      </w:r>
      <w:r w:rsidRPr="0010148C">
        <w:rPr>
          <w:u w:val="single"/>
        </w:rPr>
        <w:t>Annualized Capital and Start-Up Costs</w:t>
      </w:r>
    </w:p>
    <w:p w:rsidR="00C140EF" w:rsidRPr="0010148C" w:rsidRDefault="00C140EF" w:rsidP="00393CEE">
      <w:pPr>
        <w:ind w:left="720" w:hanging="720"/>
      </w:pPr>
    </w:p>
    <w:p w:rsidR="00C140EF" w:rsidRPr="0010148C" w:rsidRDefault="00C140EF" w:rsidP="00393CEE">
      <w:pPr>
        <w:ind w:left="720" w:hanging="720"/>
      </w:pPr>
      <w:r>
        <w:tab/>
      </w:r>
      <w:r w:rsidRPr="0010148C">
        <w:t xml:space="preserve">The information collection requirements of </w:t>
      </w:r>
      <w:r w:rsidR="00156B6C">
        <w:t>§</w:t>
      </w:r>
      <w:r w:rsidRPr="0010148C">
        <w:t xml:space="preserve">772.11 do not involve any capital or start-up costs apart from expenditures associated with customary business practices in the mining industry.  None are directly attributable to the information collection requirements </w:t>
      </w:r>
      <w:r w:rsidR="00156B6C">
        <w:t>this section</w:t>
      </w:r>
      <w:r w:rsidRPr="0010148C">
        <w:t>.</w:t>
      </w:r>
    </w:p>
    <w:p w:rsidR="00C140EF" w:rsidRPr="0010148C" w:rsidRDefault="00C140EF" w:rsidP="00393CEE">
      <w:pPr>
        <w:ind w:left="720" w:hanging="720"/>
      </w:pPr>
    </w:p>
    <w:p w:rsidR="00C140EF" w:rsidRPr="0010148C" w:rsidRDefault="00C140EF" w:rsidP="00393CEE">
      <w:pPr>
        <w:tabs>
          <w:tab w:val="left" w:pos="-1440"/>
        </w:tabs>
        <w:ind w:left="720" w:hanging="720"/>
      </w:pPr>
      <w:r>
        <w:tab/>
      </w:r>
      <w:r w:rsidRPr="0010148C">
        <w:t>b.</w:t>
      </w:r>
      <w:r w:rsidRPr="0010148C">
        <w:tab/>
      </w:r>
      <w:r w:rsidRPr="0010148C">
        <w:rPr>
          <w:u w:val="single"/>
        </w:rPr>
        <w:t>Operation and Maintenance Costs</w:t>
      </w:r>
    </w:p>
    <w:p w:rsidR="00C140EF" w:rsidRPr="0010148C" w:rsidRDefault="00C140EF" w:rsidP="00393CEE">
      <w:pPr>
        <w:ind w:left="720" w:hanging="720"/>
      </w:pPr>
    </w:p>
    <w:p w:rsidR="00C140EF" w:rsidRPr="0010148C" w:rsidRDefault="00C140EF" w:rsidP="00393CEE">
      <w:pPr>
        <w:ind w:left="720" w:hanging="720"/>
      </w:pPr>
      <w:r>
        <w:tab/>
      </w:r>
      <w:r w:rsidRPr="0010148C">
        <w:t xml:space="preserve">There are no significant or distinct non-wage operation or maintenance costs associated with compliance with the information collection requirements of </w:t>
      </w:r>
      <w:r w:rsidR="00156B6C">
        <w:t>§</w:t>
      </w:r>
      <w:r w:rsidRPr="0010148C">
        <w:t xml:space="preserve">772.11. </w:t>
      </w:r>
    </w:p>
    <w:p w:rsidR="00C140EF" w:rsidRPr="0010148C" w:rsidRDefault="00C140EF" w:rsidP="00393CEE">
      <w:pPr>
        <w:ind w:left="720" w:hanging="720"/>
      </w:pPr>
    </w:p>
    <w:p w:rsidR="00C140EF" w:rsidRPr="0010148C" w:rsidRDefault="00C140EF" w:rsidP="00393CEE">
      <w:pPr>
        <w:tabs>
          <w:tab w:val="left" w:pos="-1440"/>
        </w:tabs>
        <w:ind w:left="720" w:hanging="720"/>
      </w:pPr>
      <w:r w:rsidRPr="0010148C">
        <w:t>14.</w:t>
      </w:r>
      <w:r w:rsidRPr="0010148C">
        <w:tab/>
      </w:r>
      <w:r w:rsidRPr="0010148C">
        <w:rPr>
          <w:u w:val="single"/>
        </w:rPr>
        <w:t>Estimate of Annualized Cost to the Federal Government</w:t>
      </w:r>
    </w:p>
    <w:p w:rsidR="00C140EF" w:rsidRPr="0010148C" w:rsidRDefault="00C140EF" w:rsidP="00393CEE">
      <w:pPr>
        <w:ind w:left="720" w:hanging="720"/>
      </w:pPr>
    </w:p>
    <w:p w:rsidR="00156B6C" w:rsidRPr="0069706E" w:rsidRDefault="00C140EF" w:rsidP="00156B6C">
      <w:pPr>
        <w:pStyle w:val="BodyTextIndent"/>
        <w:ind w:left="720"/>
        <w:rPr>
          <w:rFonts w:cs="Arial"/>
        </w:rPr>
      </w:pPr>
      <w:r w:rsidRPr="0069706E">
        <w:rPr>
          <w:u w:val="single"/>
        </w:rPr>
        <w:t>Oversight</w:t>
      </w:r>
      <w:r w:rsidRPr="0069706E">
        <w:t xml:space="preserve">:  In keeping with the current guidance concerning oversight of State program implementation, which de-emphasizes process reviews, </w:t>
      </w:r>
      <w:r w:rsidR="00913CF2" w:rsidRPr="0069706E">
        <w:rPr>
          <w:rFonts w:cs="Arial"/>
        </w:rPr>
        <w:t>OSMRE</w:t>
      </w:r>
      <w:r w:rsidRPr="0069706E">
        <w:rPr>
          <w:rFonts w:cs="Arial"/>
        </w:rPr>
        <w:t xml:space="preserve"> does</w:t>
      </w:r>
      <w:r w:rsidRPr="0069706E">
        <w:t xml:space="preserve"> not anticipate conducting any significant oversight review of </w:t>
      </w:r>
      <w:r w:rsidRPr="0069706E">
        <w:rPr>
          <w:rFonts w:cs="Arial"/>
        </w:rPr>
        <w:t xml:space="preserve">State </w:t>
      </w:r>
      <w:r w:rsidRPr="0069706E">
        <w:t xml:space="preserve">compliance with the requirements of </w:t>
      </w:r>
      <w:r w:rsidR="00156B6C" w:rsidRPr="0069706E">
        <w:t>§</w:t>
      </w:r>
      <w:r w:rsidRPr="0069706E">
        <w:t>772.11 in the absence of an</w:t>
      </w:r>
      <w:r w:rsidRPr="0069706E">
        <w:rPr>
          <w:rFonts w:cs="Arial"/>
        </w:rPr>
        <w:t>y</w:t>
      </w:r>
      <w:r w:rsidRPr="0069706E">
        <w:t xml:space="preserve"> indication of </w:t>
      </w:r>
      <w:r w:rsidRPr="0069706E">
        <w:rPr>
          <w:rFonts w:cs="Arial"/>
        </w:rPr>
        <w:t xml:space="preserve">programmatic </w:t>
      </w:r>
      <w:r w:rsidRPr="0069706E">
        <w:t xml:space="preserve">problems.  </w:t>
      </w:r>
      <w:r w:rsidR="00156B6C" w:rsidRPr="0069706E">
        <w:rPr>
          <w:rFonts w:cs="Arial"/>
        </w:rPr>
        <w:t>If we conduct an oversight review of this topic in one state program per year, that review would require an average of 20 hours at $</w:t>
      </w:r>
      <w:r w:rsidR="00CB6489" w:rsidRPr="0069706E">
        <w:rPr>
          <w:rFonts w:cs="Arial"/>
        </w:rPr>
        <w:t>62.70</w:t>
      </w:r>
      <w:r w:rsidR="00156B6C" w:rsidRPr="0069706E">
        <w:rPr>
          <w:rFonts w:cs="Arial"/>
        </w:rPr>
        <w:t xml:space="preserve"> per hour (GS-12/5 regulatory program specialist/mining engineer reviewing the application, including 1.</w:t>
      </w:r>
      <w:r w:rsidR="00714DBA">
        <w:rPr>
          <w:rFonts w:cs="Arial"/>
        </w:rPr>
        <w:t>6</w:t>
      </w:r>
      <w:r w:rsidR="00156B6C" w:rsidRPr="0069706E">
        <w:rPr>
          <w:rFonts w:cs="Arial"/>
        </w:rPr>
        <w:t xml:space="preserve"> multiplier for benefits.</w:t>
      </w:r>
      <w:r w:rsidR="00156B6C" w:rsidRPr="0069706E">
        <w:t xml:space="preserve">  </w:t>
      </w:r>
      <w:r w:rsidR="00156B6C" w:rsidRPr="0069706E">
        <w:rPr>
          <w:rFonts w:cs="Arial"/>
        </w:rPr>
        <w:t xml:space="preserve">The annual cost to </w:t>
      </w:r>
      <w:r w:rsidR="00913CF2" w:rsidRPr="0069706E">
        <w:rPr>
          <w:rFonts w:cs="Arial"/>
        </w:rPr>
        <w:t>OSMRE</w:t>
      </w:r>
      <w:r w:rsidR="00156B6C" w:rsidRPr="0069706E">
        <w:rPr>
          <w:rFonts w:cs="Arial"/>
        </w:rPr>
        <w:t xml:space="preserve"> for this oversight activity is estimated to be $</w:t>
      </w:r>
      <w:r w:rsidR="0001405E" w:rsidRPr="0069706E">
        <w:rPr>
          <w:rFonts w:cs="Arial"/>
        </w:rPr>
        <w:t>1,</w:t>
      </w:r>
      <w:r w:rsidR="00CB6489" w:rsidRPr="0069706E">
        <w:rPr>
          <w:rFonts w:cs="Arial"/>
        </w:rPr>
        <w:t>254</w:t>
      </w:r>
      <w:r w:rsidR="00156B6C" w:rsidRPr="0069706E">
        <w:rPr>
          <w:rFonts w:cs="Arial"/>
        </w:rPr>
        <w:t>.</w:t>
      </w:r>
    </w:p>
    <w:p w:rsidR="00C140EF" w:rsidRPr="0069706E" w:rsidRDefault="00C140EF" w:rsidP="00156B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ED1337" w:rsidRPr="0069706E" w:rsidRDefault="00C140EF" w:rsidP="00ED1337">
      <w:pPr>
        <w:ind w:left="720"/>
      </w:pPr>
      <w:r w:rsidRPr="0069706E">
        <w:rPr>
          <w:u w:val="single"/>
        </w:rPr>
        <w:t>Federal Programs</w:t>
      </w:r>
      <w:r w:rsidRPr="0069706E">
        <w:t xml:space="preserve">:  </w:t>
      </w:r>
      <w:r w:rsidR="00ED1337" w:rsidRPr="0069706E">
        <w:t xml:space="preserve">Notifications of intent to explore for §772.11 do not require regulatory authority review.  Therefore, there is no information collection burden to </w:t>
      </w:r>
      <w:r w:rsidR="00913CF2" w:rsidRPr="0069706E">
        <w:t>OSMRE</w:t>
      </w:r>
      <w:r w:rsidR="00ED1337" w:rsidRPr="0069706E">
        <w:t xml:space="preserve"> for this section.</w:t>
      </w:r>
    </w:p>
    <w:p w:rsidR="00C140EF" w:rsidRPr="0069706E" w:rsidRDefault="00C140EF" w:rsidP="003765B0">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140EF" w:rsidRPr="004C493F" w:rsidRDefault="00C140EF" w:rsidP="003765B0">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4C493F">
        <w:rPr>
          <w:u w:val="single"/>
        </w:rPr>
        <w:t>Total Federal Cost</w:t>
      </w:r>
    </w:p>
    <w:p w:rsidR="00C140EF" w:rsidRPr="004C493F" w:rsidRDefault="00C140EF" w:rsidP="003765B0">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rsidR="00C140EF" w:rsidRPr="004C493F" w:rsidRDefault="00C140EF" w:rsidP="0001405E">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C493F">
        <w:tab/>
      </w:r>
      <w:r w:rsidR="0001405E" w:rsidRPr="004C493F">
        <w:tab/>
      </w:r>
      <w:r w:rsidRPr="004C493F">
        <w:rPr>
          <w:rFonts w:cs="Arial"/>
        </w:rPr>
        <w:t>$</w:t>
      </w:r>
      <w:r w:rsidR="0001405E" w:rsidRPr="004C493F">
        <w:rPr>
          <w:rFonts w:cs="Arial"/>
        </w:rPr>
        <w:tab/>
        <w:t>1,2</w:t>
      </w:r>
      <w:r w:rsidR="0069706E" w:rsidRPr="004C493F">
        <w:rPr>
          <w:rFonts w:cs="Arial"/>
        </w:rPr>
        <w:t>54</w:t>
      </w:r>
      <w:r w:rsidRPr="004C493F">
        <w:t xml:space="preserve">  Oversight</w:t>
      </w:r>
    </w:p>
    <w:p w:rsidR="00C140EF" w:rsidRPr="004C493F" w:rsidRDefault="00C140EF" w:rsidP="0001405E">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C493F">
        <w:tab/>
      </w:r>
      <w:r w:rsidRPr="004C493F">
        <w:rPr>
          <w:rFonts w:cs="Arial"/>
          <w:u w:val="single"/>
        </w:rPr>
        <w:t>+</w:t>
      </w:r>
      <w:r w:rsidR="0001405E" w:rsidRPr="004C493F">
        <w:rPr>
          <w:rFonts w:cs="Arial"/>
          <w:u w:val="single"/>
        </w:rPr>
        <w:tab/>
      </w:r>
      <w:r w:rsidRPr="004C493F">
        <w:rPr>
          <w:rFonts w:cs="Arial"/>
          <w:u w:val="single"/>
        </w:rPr>
        <w:t>$</w:t>
      </w:r>
      <w:r w:rsidR="0001405E" w:rsidRPr="004C493F">
        <w:rPr>
          <w:rFonts w:cs="Arial"/>
          <w:u w:val="single"/>
        </w:rPr>
        <w:tab/>
      </w:r>
      <w:r w:rsidRPr="004C493F">
        <w:rPr>
          <w:rFonts w:cs="Arial"/>
          <w:u w:val="single"/>
        </w:rPr>
        <w:t xml:space="preserve"> </w:t>
      </w:r>
      <w:r w:rsidR="00ED1337" w:rsidRPr="004C493F">
        <w:rPr>
          <w:rFonts w:cs="Arial"/>
          <w:u w:val="single"/>
        </w:rPr>
        <w:t xml:space="preserve">   </w:t>
      </w:r>
      <w:r w:rsidR="0001405E" w:rsidRPr="004C493F">
        <w:rPr>
          <w:rFonts w:cs="Arial"/>
          <w:u w:val="single"/>
        </w:rPr>
        <w:t xml:space="preserve">  </w:t>
      </w:r>
      <w:r w:rsidR="00ED1337" w:rsidRPr="004C493F">
        <w:rPr>
          <w:rFonts w:cs="Arial"/>
          <w:u w:val="single"/>
        </w:rPr>
        <w:t xml:space="preserve"> 0</w:t>
      </w:r>
      <w:r w:rsidRPr="004C493F">
        <w:t xml:space="preserve">  Federal </w:t>
      </w:r>
      <w:r w:rsidRPr="004C493F">
        <w:rPr>
          <w:rFonts w:cs="Arial"/>
        </w:rPr>
        <w:t>Programs</w:t>
      </w:r>
    </w:p>
    <w:p w:rsidR="00C140EF" w:rsidRPr="004C493F" w:rsidRDefault="00C140EF" w:rsidP="0001405E">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C493F">
        <w:tab/>
      </w:r>
      <w:r w:rsidR="0001405E" w:rsidRPr="004C493F">
        <w:tab/>
      </w:r>
      <w:r w:rsidRPr="004C493F">
        <w:rPr>
          <w:rFonts w:cs="Arial"/>
        </w:rPr>
        <w:t>$</w:t>
      </w:r>
      <w:r w:rsidR="0001405E" w:rsidRPr="004C493F">
        <w:rPr>
          <w:rFonts w:cs="Arial"/>
        </w:rPr>
        <w:tab/>
        <w:t>1,</w:t>
      </w:r>
      <w:r w:rsidR="0069706E" w:rsidRPr="004C493F">
        <w:rPr>
          <w:rFonts w:cs="Arial"/>
        </w:rPr>
        <w:t>254</w:t>
      </w:r>
      <w:r w:rsidRPr="004C493F">
        <w:t xml:space="preserve">  Total Federal </w:t>
      </w:r>
      <w:r w:rsidRPr="004C493F">
        <w:rPr>
          <w:rFonts w:cs="Arial"/>
        </w:rPr>
        <w:t>Cost</w:t>
      </w:r>
    </w:p>
    <w:p w:rsidR="00C140EF" w:rsidRPr="004C493F" w:rsidRDefault="00C140EF" w:rsidP="00393CEE">
      <w:pPr>
        <w:ind w:left="720" w:hanging="720"/>
      </w:pPr>
      <w:r w:rsidRPr="004C493F">
        <w:tab/>
      </w:r>
    </w:p>
    <w:p w:rsidR="00C140EF" w:rsidRPr="004C493F" w:rsidRDefault="00C140EF" w:rsidP="00393CEE">
      <w:pPr>
        <w:tabs>
          <w:tab w:val="left" w:pos="-1440"/>
        </w:tabs>
        <w:ind w:left="720" w:hanging="720"/>
      </w:pPr>
      <w:r w:rsidRPr="004C493F">
        <w:t>15.</w:t>
      </w:r>
      <w:r w:rsidRPr="004C493F">
        <w:tab/>
        <w:t xml:space="preserve">The </w:t>
      </w:r>
      <w:r w:rsidR="001A4EA2" w:rsidRPr="004C493F">
        <w:t>1,4</w:t>
      </w:r>
      <w:r w:rsidR="002165C4">
        <w:t>8</w:t>
      </w:r>
      <w:r w:rsidR="001A4EA2" w:rsidRPr="004C493F">
        <w:t>0</w:t>
      </w:r>
      <w:r w:rsidRPr="004C493F">
        <w:t xml:space="preserve"> burden hours that we are requesting for </w:t>
      </w:r>
      <w:r w:rsidR="00F326D1" w:rsidRPr="004C493F">
        <w:t>§</w:t>
      </w:r>
      <w:r w:rsidRPr="004C493F">
        <w:t xml:space="preserve">772.11 represents a </w:t>
      </w:r>
      <w:r w:rsidR="00E94672" w:rsidRPr="004C493F">
        <w:t>de</w:t>
      </w:r>
      <w:r w:rsidRPr="004C493F">
        <w:t xml:space="preserve">crease of </w:t>
      </w:r>
      <w:r w:rsidR="001A4EA2" w:rsidRPr="004C493F">
        <w:t>3,5</w:t>
      </w:r>
      <w:r w:rsidR="00934809">
        <w:t>9</w:t>
      </w:r>
      <w:r w:rsidR="001A4EA2" w:rsidRPr="004C493F">
        <w:t>0</w:t>
      </w:r>
      <w:r w:rsidRPr="004C493F">
        <w:t xml:space="preserve"> hours from the </w:t>
      </w:r>
      <w:r w:rsidR="007B44D8" w:rsidRPr="004C493F">
        <w:t>5,</w:t>
      </w:r>
      <w:r w:rsidR="001A4EA2" w:rsidRPr="004C493F">
        <w:t>030</w:t>
      </w:r>
      <w:r w:rsidRPr="004C493F">
        <w:t xml:space="preserve"> hours previously approved for this activity</w:t>
      </w:r>
      <w:r w:rsidR="00DA020B" w:rsidRPr="004C493F">
        <w:t xml:space="preserve">.  This adjustment </w:t>
      </w:r>
      <w:r w:rsidRPr="004C493F">
        <w:t xml:space="preserve">results </w:t>
      </w:r>
      <w:r w:rsidR="004A31CA" w:rsidRPr="004C493F">
        <w:t>f</w:t>
      </w:r>
      <w:r w:rsidRPr="004C493F">
        <w:t xml:space="preserve">rom a </w:t>
      </w:r>
      <w:r w:rsidR="0001405E" w:rsidRPr="004C493F">
        <w:t>reduction in use</w:t>
      </w:r>
      <w:r w:rsidRPr="004C493F">
        <w:t>.</w:t>
      </w:r>
      <w:r w:rsidR="00DA020B" w:rsidRPr="004C493F">
        <w:t xml:space="preserve">  Therefore, the burden will change as follows:</w:t>
      </w:r>
    </w:p>
    <w:p w:rsidR="00084A05" w:rsidRPr="004C493F" w:rsidRDefault="00DA020B" w:rsidP="00DA020B">
      <w:pPr>
        <w:tabs>
          <w:tab w:val="left" w:pos="1080"/>
        </w:tabs>
        <w:ind w:left="720" w:hanging="720"/>
      </w:pPr>
      <w:r w:rsidRPr="004C493F">
        <w:t xml:space="preserve">  </w:t>
      </w:r>
      <w:r w:rsidRPr="004C493F">
        <w:tab/>
      </w:r>
      <w:r w:rsidRPr="004C493F">
        <w:tab/>
      </w:r>
    </w:p>
    <w:p w:rsidR="00DA020B" w:rsidRPr="004C493F" w:rsidRDefault="00084A05" w:rsidP="00DA020B">
      <w:pPr>
        <w:tabs>
          <w:tab w:val="left" w:pos="1080"/>
        </w:tabs>
        <w:ind w:left="720" w:hanging="720"/>
        <w:rPr>
          <w:rFonts w:cs="Shruti"/>
        </w:rPr>
      </w:pPr>
      <w:r w:rsidRPr="004C493F">
        <w:tab/>
      </w:r>
      <w:r w:rsidRPr="004C493F">
        <w:tab/>
      </w:r>
      <w:r w:rsidR="007B44D8" w:rsidRPr="004C493F">
        <w:t>5,</w:t>
      </w:r>
      <w:r w:rsidR="001A4EA2" w:rsidRPr="004C493F">
        <w:t>030</w:t>
      </w:r>
      <w:r w:rsidR="00DA020B" w:rsidRPr="004C493F">
        <w:t xml:space="preserve"> hours</w:t>
      </w:r>
      <w:r w:rsidR="00DA020B" w:rsidRPr="004C493F">
        <w:rPr>
          <w:rFonts w:cs="Shruti"/>
        </w:rPr>
        <w:t xml:space="preserve"> currently approved by OMB</w:t>
      </w:r>
    </w:p>
    <w:p w:rsidR="00DA020B" w:rsidRPr="004C493F" w:rsidRDefault="00DA020B" w:rsidP="00DA020B">
      <w:pPr>
        <w:tabs>
          <w:tab w:val="left" w:pos="1080"/>
        </w:tabs>
        <w:ind w:left="720"/>
        <w:rPr>
          <w:rFonts w:cs="Shruti"/>
        </w:rPr>
      </w:pPr>
      <w:r w:rsidRPr="004C493F">
        <w:rPr>
          <w:rFonts w:cs="Shruti"/>
          <w:u w:val="single"/>
        </w:rPr>
        <w:t>-</w:t>
      </w:r>
      <w:r w:rsidRPr="004C493F">
        <w:rPr>
          <w:rFonts w:cs="Shruti"/>
          <w:u w:val="single"/>
        </w:rPr>
        <w:tab/>
      </w:r>
      <w:r w:rsidR="001A4EA2" w:rsidRPr="004C493F">
        <w:rPr>
          <w:rFonts w:cs="Shruti"/>
          <w:u w:val="single"/>
        </w:rPr>
        <w:t>3,5</w:t>
      </w:r>
      <w:r w:rsidR="00934809">
        <w:rPr>
          <w:rFonts w:cs="Shruti"/>
          <w:u w:val="single"/>
        </w:rPr>
        <w:t>9</w:t>
      </w:r>
      <w:r w:rsidR="001A4EA2" w:rsidRPr="004C493F">
        <w:rPr>
          <w:rFonts w:cs="Shruti"/>
          <w:u w:val="single"/>
        </w:rPr>
        <w:t>0</w:t>
      </w:r>
      <w:r w:rsidRPr="004C493F">
        <w:t xml:space="preserve"> hours</w:t>
      </w:r>
      <w:r w:rsidRPr="004C493F">
        <w:rPr>
          <w:rFonts w:cs="Shruti"/>
        </w:rPr>
        <w:t xml:space="preserve"> due to an adjustment</w:t>
      </w:r>
    </w:p>
    <w:p w:rsidR="00DA020B" w:rsidRPr="004C493F" w:rsidRDefault="00DA020B" w:rsidP="00DA020B">
      <w:pPr>
        <w:tabs>
          <w:tab w:val="left" w:pos="1080"/>
        </w:tabs>
        <w:ind w:left="720" w:hanging="720"/>
        <w:rPr>
          <w:rFonts w:cs="Shruti"/>
        </w:rPr>
      </w:pPr>
      <w:r w:rsidRPr="004C493F">
        <w:rPr>
          <w:rFonts w:cs="Shruti"/>
        </w:rPr>
        <w:tab/>
        <w:t xml:space="preserve">    </w:t>
      </w:r>
      <w:r w:rsidRPr="004C493F">
        <w:rPr>
          <w:rFonts w:cs="Shruti"/>
        </w:rPr>
        <w:tab/>
      </w:r>
      <w:r w:rsidR="001A4EA2" w:rsidRPr="004C493F">
        <w:rPr>
          <w:rFonts w:cs="Shruti"/>
        </w:rPr>
        <w:t>1,4</w:t>
      </w:r>
      <w:r w:rsidR="00934809">
        <w:rPr>
          <w:rFonts w:cs="Shruti"/>
        </w:rPr>
        <w:t>4</w:t>
      </w:r>
      <w:r w:rsidR="001A4EA2" w:rsidRPr="004C493F">
        <w:rPr>
          <w:rFonts w:cs="Shruti"/>
        </w:rPr>
        <w:t>0</w:t>
      </w:r>
      <w:r w:rsidRPr="004C493F">
        <w:rPr>
          <w:rFonts w:cs="Shruti"/>
        </w:rPr>
        <w:t xml:space="preserve"> hours requested</w:t>
      </w:r>
    </w:p>
    <w:p w:rsidR="00C140EF" w:rsidRPr="004C493F" w:rsidRDefault="00C140EF" w:rsidP="00393CEE">
      <w:pPr>
        <w:ind w:left="720" w:hanging="720"/>
      </w:pPr>
    </w:p>
    <w:p w:rsidR="00C140EF" w:rsidRPr="004C493F" w:rsidRDefault="00C140EF" w:rsidP="00393CEE">
      <w:pPr>
        <w:ind w:left="720" w:hanging="720"/>
      </w:pPr>
      <w:r w:rsidRPr="004C493F">
        <w:t>16.</w:t>
      </w:r>
      <w:r w:rsidRPr="004C493F">
        <w:tab/>
        <w:t>See list of items with identical responses.</w:t>
      </w:r>
    </w:p>
    <w:p w:rsidR="00C140EF" w:rsidRPr="004C493F" w:rsidRDefault="00C140EF" w:rsidP="00393CEE">
      <w:pPr>
        <w:ind w:left="720" w:hanging="720"/>
      </w:pPr>
    </w:p>
    <w:p w:rsidR="00C140EF" w:rsidRPr="0010148C" w:rsidRDefault="00C140EF" w:rsidP="00393CEE">
      <w:pPr>
        <w:ind w:left="720" w:hanging="720"/>
      </w:pPr>
      <w:r w:rsidRPr="004C493F">
        <w:t>17.</w:t>
      </w:r>
      <w:r w:rsidRPr="004C493F">
        <w:tab/>
        <w:t>See list of items with identical responses.</w:t>
      </w:r>
    </w:p>
    <w:p w:rsidR="00C140EF" w:rsidRPr="0010148C" w:rsidRDefault="00C140EF" w:rsidP="00393CEE">
      <w:pPr>
        <w:ind w:left="720" w:hanging="720"/>
      </w:pPr>
    </w:p>
    <w:p w:rsidR="00C140EF" w:rsidRDefault="00C140EF" w:rsidP="00A45A01">
      <w:pPr>
        <w:ind w:left="720" w:hanging="720"/>
      </w:pPr>
      <w:r w:rsidRPr="0010148C">
        <w:t>18.</w:t>
      </w:r>
      <w:r w:rsidRPr="0010148C">
        <w:tab/>
        <w:t xml:space="preserve">See list of </w:t>
      </w:r>
      <w:r>
        <w:t>items with identical responses.</w:t>
      </w:r>
    </w:p>
    <w:p w:rsidR="00DD2225" w:rsidRDefault="00C140EF" w:rsidP="00A45A01">
      <w:pPr>
        <w:ind w:left="720" w:hanging="720"/>
        <w:jc w:val="center"/>
        <w:rPr>
          <w:b/>
          <w:bCs/>
          <w:i/>
          <w:iCs/>
        </w:rPr>
      </w:pPr>
      <w:r>
        <w:br w:type="page"/>
      </w:r>
      <w:r w:rsidRPr="0010148C">
        <w:rPr>
          <w:b/>
          <w:bCs/>
          <w:i/>
          <w:iCs/>
        </w:rPr>
        <w:t>Supporting Statement for 30 CFR 772.12</w:t>
      </w:r>
      <w:r w:rsidR="000B293F" w:rsidRPr="000B293F">
        <w:t xml:space="preserve"> </w:t>
      </w:r>
      <w:r w:rsidR="00DD2225">
        <w:rPr>
          <w:b/>
          <w:bCs/>
          <w:i/>
          <w:iCs/>
        </w:rPr>
        <w:t>–</w:t>
      </w:r>
      <w:r w:rsidR="000B293F" w:rsidRPr="000B293F">
        <w:rPr>
          <w:b/>
          <w:bCs/>
          <w:i/>
          <w:iCs/>
        </w:rPr>
        <w:t xml:space="preserve"> </w:t>
      </w:r>
    </w:p>
    <w:p w:rsidR="00DD2225" w:rsidRDefault="000B293F" w:rsidP="00A45A01">
      <w:pPr>
        <w:ind w:left="720" w:hanging="720"/>
        <w:jc w:val="center"/>
        <w:rPr>
          <w:b/>
          <w:bCs/>
          <w:i/>
          <w:iCs/>
        </w:rPr>
      </w:pPr>
      <w:r w:rsidRPr="000B293F">
        <w:rPr>
          <w:b/>
          <w:bCs/>
          <w:i/>
          <w:iCs/>
        </w:rPr>
        <w:t>Permit requirements for exploration that will remove more than</w:t>
      </w:r>
    </w:p>
    <w:p w:rsidR="00DD2225" w:rsidRDefault="000B293F" w:rsidP="00A45A01">
      <w:pPr>
        <w:ind w:left="720" w:hanging="720"/>
        <w:jc w:val="center"/>
        <w:rPr>
          <w:b/>
          <w:bCs/>
          <w:i/>
          <w:iCs/>
        </w:rPr>
      </w:pPr>
      <w:r w:rsidRPr="000B293F">
        <w:rPr>
          <w:b/>
          <w:bCs/>
          <w:i/>
          <w:iCs/>
        </w:rPr>
        <w:t xml:space="preserve"> 250 tons of coal or that will occur on lands designated</w:t>
      </w:r>
    </w:p>
    <w:p w:rsidR="00C140EF" w:rsidRPr="0010148C" w:rsidRDefault="000B293F" w:rsidP="00A45A01">
      <w:pPr>
        <w:ind w:left="720" w:hanging="720"/>
        <w:jc w:val="center"/>
      </w:pPr>
      <w:r w:rsidRPr="000B293F">
        <w:rPr>
          <w:b/>
          <w:bCs/>
          <w:i/>
          <w:iCs/>
        </w:rPr>
        <w:t>as unsuitable for surface coal mining operations.</w:t>
      </w:r>
    </w:p>
    <w:p w:rsidR="00C140EF" w:rsidRPr="0010148C" w:rsidRDefault="00C140EF" w:rsidP="001C7372"/>
    <w:p w:rsidR="00C140EF" w:rsidRPr="0010148C" w:rsidRDefault="00C140EF" w:rsidP="001C7372">
      <w:pPr>
        <w:tabs>
          <w:tab w:val="left" w:pos="-1440"/>
        </w:tabs>
      </w:pPr>
      <w:r w:rsidRPr="0010148C">
        <w:t>A.</w:t>
      </w:r>
      <w:r w:rsidRPr="0010148C">
        <w:tab/>
      </w:r>
      <w:r w:rsidRPr="0010148C">
        <w:rPr>
          <w:u w:val="single"/>
        </w:rPr>
        <w:t>Justification</w:t>
      </w:r>
    </w:p>
    <w:p w:rsidR="00C140EF" w:rsidRPr="0010148C" w:rsidRDefault="00C140EF" w:rsidP="001C7372"/>
    <w:p w:rsidR="00C140EF" w:rsidRPr="0010148C" w:rsidRDefault="00C140EF" w:rsidP="00884FA5">
      <w:pPr>
        <w:tabs>
          <w:tab w:val="left" w:pos="-1440"/>
        </w:tabs>
        <w:ind w:left="720" w:hanging="720"/>
      </w:pPr>
      <w:r w:rsidRPr="0010148C">
        <w:t>1.</w:t>
      </w:r>
      <w:r w:rsidRPr="0010148C">
        <w:tab/>
        <w:t xml:space="preserve">Section 512(a) of SMCRA requires that a person intending to conduct coal exploration first file a notice of intent to explore with the regulatory authority.  At a minimum, this notice must include a description of the exploration area and the period of planned exploration.  Section 512(d) of SMCRA further provides that no person may remove more than 250 tons of coal pursuant to an exploration permit without the specific written approval of the regulatory authority.  To implement these statutory provisions, the regulations at </w:t>
      </w:r>
      <w:r w:rsidR="002D47D0">
        <w:t>§</w:t>
      </w:r>
      <w:r w:rsidRPr="0010148C">
        <w:t>772.12 require that any person planning to remove 250 or more tons of coal first obtain regulatory authority approval in the form of an exploration permit.</w:t>
      </w:r>
    </w:p>
    <w:p w:rsidR="00C140EF" w:rsidRPr="0010148C" w:rsidRDefault="00C140EF" w:rsidP="001C7372"/>
    <w:p w:rsidR="00C140EF" w:rsidRPr="0010148C" w:rsidRDefault="00C140EF" w:rsidP="00884FA5">
      <w:pPr>
        <w:ind w:left="720"/>
      </w:pPr>
      <w:r w:rsidRPr="0010148C">
        <w:t>This type of exploration is much more likely to cause adverse environmental impacts than operations that remove fewer than 250 tons.  Therefore, the regulations establish (1) more detailed information requirements for applications for coal exploration than those set forth in section 512(a) of the Act for notices of intent to explore, (2) newspaper notice requirements to encourage public involvement in the application review process, and (3) criteria and procedures for application approval and permit issuance, including a requirement that the regulatory authority prepare written findings and notify all interested parties of its decision.</w:t>
      </w:r>
    </w:p>
    <w:p w:rsidR="00C140EF" w:rsidRPr="0010148C" w:rsidRDefault="00C140EF" w:rsidP="001C7372"/>
    <w:p w:rsidR="00C140EF" w:rsidRPr="0010148C" w:rsidRDefault="00C140EF" w:rsidP="00884FA5">
      <w:pPr>
        <w:ind w:left="720"/>
      </w:pPr>
      <w:r w:rsidRPr="0010148C">
        <w:t xml:space="preserve">Because of environmental concerns, the regulations also require an exploration permit (rather than a simple notice of intent) as a prerequisite for </w:t>
      </w:r>
      <w:r w:rsidRPr="0010148C">
        <w:rPr>
          <w:b/>
          <w:bCs/>
        </w:rPr>
        <w:t>any</w:t>
      </w:r>
      <w:r w:rsidRPr="0010148C">
        <w:t xml:space="preserve"> type of coal exploration on lands designated as unsuitable for surface coal mining operations pursuant to section 522 of SMCRA.  Applications for exploration on the lands listed in section 522(e) of SMCRA must include an explanation of how the proposed exploration activities have been designed to minimize interference with the values for which those lands were designated as unsuitable for surface coal mining operations.  In addition, the application must include documentation of consultation with the owner of and, when applicable, the agency with primary jurisdiction over, the feature that caused the land to come under the protection of section 522(e) of the Act.  Finally, the rules require that the regulatory authority make a finding as to whether the coal exploration activities have been designed to minimize interference with the values for which the land was designated unsuitable for surface coal mining operations.</w:t>
      </w:r>
    </w:p>
    <w:p w:rsidR="00C140EF" w:rsidRPr="0010148C" w:rsidRDefault="00C140EF" w:rsidP="001C7372"/>
    <w:p w:rsidR="00C140EF" w:rsidRPr="0010148C" w:rsidRDefault="00C140EF" w:rsidP="00884FA5">
      <w:pPr>
        <w:ind w:left="720"/>
      </w:pPr>
      <w:r w:rsidRPr="0010148C">
        <w:t xml:space="preserve">Section 201(c)(2) of SMCRA, which provides that the Secretary shall promulgate such regulations as are necessary to carry out the purposes and provisions of the Act, authorizes collection of this information.  We have determined that collection of the information required </w:t>
      </w:r>
      <w:r w:rsidR="002D47D0">
        <w:t>for §</w:t>
      </w:r>
      <w:r w:rsidRPr="0010148C">
        <w:t xml:space="preserve">772.12, most of which is not specifically required by section 512 of SMCRA, is appropriate and necessary to fulfill the environmental protection and public participation purposes of the Act, as set forth in section 102 of SMCRA. </w:t>
      </w:r>
    </w:p>
    <w:p w:rsidR="00C140EF" w:rsidRPr="0010148C" w:rsidRDefault="00C140EF" w:rsidP="001C7372"/>
    <w:p w:rsidR="00C140EF" w:rsidRPr="0010148C" w:rsidRDefault="002D47D0" w:rsidP="00884FA5">
      <w:pPr>
        <w:tabs>
          <w:tab w:val="left" w:pos="-1440"/>
        </w:tabs>
        <w:ind w:left="720" w:hanging="720"/>
      </w:pPr>
      <w:r>
        <w:t>2.</w:t>
      </w:r>
      <w:r>
        <w:tab/>
      </w:r>
      <w:r w:rsidR="00913CF2">
        <w:t>OSMRE</w:t>
      </w:r>
      <w:r>
        <w:t xml:space="preserve"> and s</w:t>
      </w:r>
      <w:r w:rsidR="00C140EF" w:rsidRPr="0010148C">
        <w:t xml:space="preserve">tate regulatory authorities under SMCRA use the information collected </w:t>
      </w:r>
      <w:r>
        <w:t>for §</w:t>
      </w:r>
      <w:r w:rsidR="00C140EF" w:rsidRPr="0010148C">
        <w:t>772.12 to ensure that exploration operations are designed to ensure adherence to the reclamation requirements of 30 CFR Part 815, the regulatory program, and section 512(a) of the Act, as well as the Endangered Species Act and the National Historic Preservation Act.  Members of the public use the newspaper advertisement required by</w:t>
      </w:r>
      <w:r>
        <w:t>§</w:t>
      </w:r>
      <w:r w:rsidR="00C140EF" w:rsidRPr="0010148C">
        <w:t xml:space="preserve">772.12(c) to gain knowledge of and provide input to </w:t>
      </w:r>
      <w:r w:rsidR="00913CF2">
        <w:t>OSMRE</w:t>
      </w:r>
      <w:r w:rsidR="00C140EF" w:rsidRPr="0010148C">
        <w:t xml:space="preserve"> or the </w:t>
      </w:r>
      <w:r>
        <w:t>s</w:t>
      </w:r>
      <w:r w:rsidR="00C140EF" w:rsidRPr="0010148C">
        <w:t xml:space="preserve">tate regulatory authority on exploration proposals.  All parties use the decision notification requirements of </w:t>
      </w:r>
      <w:r>
        <w:t>§</w:t>
      </w:r>
      <w:r w:rsidR="00C140EF" w:rsidRPr="0010148C">
        <w:t>772.12(e) to protect their interests and appeal rights.</w:t>
      </w:r>
    </w:p>
    <w:p w:rsidR="00C140EF" w:rsidRPr="0010148C" w:rsidRDefault="00C140EF" w:rsidP="001C7372"/>
    <w:p w:rsidR="00C140EF" w:rsidRPr="0010148C" w:rsidRDefault="00C140EF" w:rsidP="00884FA5">
      <w:pPr>
        <w:ind w:left="720" w:hanging="720"/>
      </w:pPr>
      <w:r w:rsidRPr="0010148C">
        <w:t>3.</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4.</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5.</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6.</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7.</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8.</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9.</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10.</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11.</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12.</w:t>
      </w:r>
      <w:r w:rsidRPr="0010148C">
        <w:tab/>
      </w:r>
      <w:r w:rsidRPr="0010148C">
        <w:rPr>
          <w:u w:val="single"/>
        </w:rPr>
        <w:t>Estimated Information Collection Burden</w:t>
      </w:r>
    </w:p>
    <w:p w:rsidR="00C140EF" w:rsidRPr="0010148C" w:rsidRDefault="00C140EF" w:rsidP="00884FA5">
      <w:pPr>
        <w:ind w:left="720" w:hanging="720"/>
      </w:pPr>
    </w:p>
    <w:p w:rsidR="00C140EF" w:rsidRPr="0010148C" w:rsidRDefault="00C140EF" w:rsidP="00884FA5">
      <w:pPr>
        <w:ind w:left="720" w:hanging="720"/>
      </w:pPr>
      <w:r>
        <w:tab/>
      </w:r>
      <w:r w:rsidRPr="0010148C">
        <w:t>a.</w:t>
      </w:r>
      <w:r w:rsidRPr="0010148C">
        <w:tab/>
      </w:r>
      <w:r w:rsidRPr="0010148C">
        <w:rPr>
          <w:u w:val="single"/>
        </w:rPr>
        <w:t>Burden Hour Estimates for Respondents</w:t>
      </w:r>
    </w:p>
    <w:p w:rsidR="00C140EF" w:rsidRPr="0010148C" w:rsidRDefault="00C140EF" w:rsidP="00884FA5">
      <w:pPr>
        <w:ind w:left="720" w:hanging="720"/>
      </w:pPr>
    </w:p>
    <w:p w:rsidR="00C140EF" w:rsidRPr="0010148C" w:rsidRDefault="00C140EF" w:rsidP="00884FA5">
      <w:pPr>
        <w:ind w:left="720" w:hanging="720"/>
      </w:pPr>
      <w:r>
        <w:rPr>
          <w:b/>
          <w:bCs/>
          <w:i/>
          <w:iCs/>
        </w:rPr>
        <w:tab/>
      </w:r>
      <w:r w:rsidRPr="0010148C">
        <w:rPr>
          <w:b/>
          <w:bCs/>
          <w:i/>
          <w:iCs/>
        </w:rPr>
        <w:t>Burden on Applicants for Exploration Permits</w:t>
      </w:r>
    </w:p>
    <w:p w:rsidR="00C140EF" w:rsidRPr="0010148C" w:rsidRDefault="00C140EF" w:rsidP="00884FA5">
      <w:pPr>
        <w:ind w:left="720" w:hanging="720"/>
      </w:pPr>
    </w:p>
    <w:p w:rsidR="00C140EF" w:rsidRDefault="00C140EF" w:rsidP="00884FA5">
      <w:pPr>
        <w:ind w:left="720" w:hanging="720"/>
      </w:pPr>
      <w:r>
        <w:tab/>
      </w:r>
      <w:r w:rsidRPr="0010148C">
        <w:t xml:space="preserve">Our </w:t>
      </w:r>
      <w:r w:rsidR="00331011">
        <w:t>s</w:t>
      </w:r>
      <w:r w:rsidRPr="0010148C">
        <w:t>tate-</w:t>
      </w:r>
      <w:r w:rsidRPr="004D693B">
        <w:t xml:space="preserve">specific annual evaluation reports for </w:t>
      </w:r>
      <w:r w:rsidR="001A4EA2" w:rsidRPr="004D693B">
        <w:t>2016</w:t>
      </w:r>
      <w:r w:rsidRPr="004D693B">
        <w:t xml:space="preserve"> indicate that the 24 </w:t>
      </w:r>
      <w:r w:rsidR="00331011" w:rsidRPr="004D693B">
        <w:t>s</w:t>
      </w:r>
      <w:r w:rsidRPr="004D693B">
        <w:t xml:space="preserve">tate regulatory authorities received a total of </w:t>
      </w:r>
      <w:r w:rsidR="00C524C9" w:rsidRPr="004D693B">
        <w:t xml:space="preserve">about </w:t>
      </w:r>
      <w:r w:rsidR="001A4EA2" w:rsidRPr="004D693B">
        <w:t>2</w:t>
      </w:r>
      <w:r w:rsidRPr="004D693B">
        <w:t xml:space="preserve"> applications for exploration permits during that year and we received </w:t>
      </w:r>
      <w:r w:rsidR="00356152" w:rsidRPr="004D693B">
        <w:t>none</w:t>
      </w:r>
      <w:r w:rsidRPr="004D693B">
        <w:t xml:space="preserve">.  </w:t>
      </w:r>
      <w:r w:rsidR="00D27E08" w:rsidRPr="004D693B">
        <w:t xml:space="preserve">This total number is significantly lower than the previous </w:t>
      </w:r>
      <w:r w:rsidR="001A4EA2" w:rsidRPr="004D693B">
        <w:t>update (</w:t>
      </w:r>
      <w:r w:rsidR="004D693B" w:rsidRPr="004D693B">
        <w:t>1</w:t>
      </w:r>
      <w:r w:rsidR="001A4EA2" w:rsidRPr="004D693B">
        <w:t>7 in 2014)</w:t>
      </w:r>
      <w:r w:rsidR="00D27E08" w:rsidRPr="004D693B">
        <w:t xml:space="preserve">.  Based </w:t>
      </w:r>
      <w:r w:rsidR="00D27E08" w:rsidRPr="004D693B">
        <w:rPr>
          <w:rFonts w:cs="Arial"/>
        </w:rPr>
        <w:t xml:space="preserve">upon </w:t>
      </w:r>
      <w:r w:rsidR="00D27E08" w:rsidRPr="004D693B">
        <w:t xml:space="preserve">data </w:t>
      </w:r>
      <w:r w:rsidR="00D27E08" w:rsidRPr="004D693B">
        <w:rPr>
          <w:rFonts w:cs="Arial"/>
        </w:rPr>
        <w:t>collected</w:t>
      </w:r>
      <w:r w:rsidR="00D27E08" w:rsidRPr="004D693B">
        <w:t xml:space="preserve"> in </w:t>
      </w:r>
      <w:r w:rsidR="004D693B" w:rsidRPr="004D693B">
        <w:t>recent years</w:t>
      </w:r>
      <w:r w:rsidR="00D27E08" w:rsidRPr="004D693B">
        <w:t xml:space="preserve"> we estimate </w:t>
      </w:r>
      <w:r w:rsidR="001A4EA2" w:rsidRPr="004D693B">
        <w:t xml:space="preserve">with reasonable certainty </w:t>
      </w:r>
      <w:r w:rsidR="00D27E08" w:rsidRPr="004D693B">
        <w:t xml:space="preserve">that coal companies will </w:t>
      </w:r>
      <w:r w:rsidR="001A4EA2" w:rsidRPr="004D693B">
        <w:t>continue to submit a small number (2) of applications for the next 3 years.</w:t>
      </w:r>
      <w:r w:rsidR="00C524C9" w:rsidRPr="004D693B">
        <w:t xml:space="preserve"> This </w:t>
      </w:r>
      <w:r w:rsidR="00D27E08" w:rsidRPr="004D693B">
        <w:t xml:space="preserve">represents a decrease </w:t>
      </w:r>
      <w:r w:rsidR="004D693B" w:rsidRPr="004D693B">
        <w:t xml:space="preserve">in </w:t>
      </w:r>
      <w:r w:rsidR="00D27E08" w:rsidRPr="004D693B">
        <w:t xml:space="preserve">exploration permits per year from the </w:t>
      </w:r>
      <w:r w:rsidR="00F74098" w:rsidRPr="004D693B">
        <w:t xml:space="preserve">prior </w:t>
      </w:r>
      <w:r w:rsidR="000E1CC9" w:rsidRPr="004D693B">
        <w:t xml:space="preserve">3-year forecast </w:t>
      </w:r>
      <w:r w:rsidR="00C524C9" w:rsidRPr="004D693B">
        <w:t xml:space="preserve">in </w:t>
      </w:r>
      <w:r w:rsidR="001A4EA2" w:rsidRPr="004D693B">
        <w:t>2014</w:t>
      </w:r>
      <w:r w:rsidR="00C524C9" w:rsidRPr="004D693B">
        <w:t>.</w:t>
      </w:r>
      <w:r w:rsidR="00D27E08">
        <w:t xml:space="preserve">  </w:t>
      </w:r>
    </w:p>
    <w:p w:rsidR="001A4EA2" w:rsidRPr="0010148C" w:rsidRDefault="001A4EA2" w:rsidP="00884FA5">
      <w:pPr>
        <w:ind w:left="720" w:hanging="720"/>
      </w:pPr>
    </w:p>
    <w:p w:rsidR="00C140EF" w:rsidRPr="0010148C" w:rsidRDefault="001A4EA2" w:rsidP="00D61E31">
      <w:pPr>
        <w:ind w:left="720"/>
      </w:pPr>
      <w:r>
        <w:t>According to the entities listed in Item 8</w:t>
      </w:r>
      <w:r w:rsidR="00F177EF">
        <w:t xml:space="preserve">, </w:t>
      </w:r>
      <w:r w:rsidR="00C140EF" w:rsidRPr="0010148C">
        <w:t xml:space="preserve">development of an application for a coal exploration permit, including preparation of the newspaper notice required by </w:t>
      </w:r>
      <w:r w:rsidR="00331011">
        <w:t>§</w:t>
      </w:r>
      <w:r w:rsidR="00C140EF" w:rsidRPr="0010148C">
        <w:t xml:space="preserve">772.12(c), </w:t>
      </w:r>
      <w:r w:rsidR="00F74098">
        <w:t xml:space="preserve">still </w:t>
      </w:r>
      <w:r w:rsidR="00C140EF" w:rsidRPr="0010148C">
        <w:t xml:space="preserve">requires an average of </w:t>
      </w:r>
      <w:r>
        <w:t xml:space="preserve">70 hours.  </w:t>
      </w:r>
      <w:r w:rsidR="00C140EF" w:rsidRPr="00F177EF">
        <w:t xml:space="preserve">Accordingly, the total annual information collection burden for persons filing applications for coal </w:t>
      </w:r>
      <w:r w:rsidR="00C140EF" w:rsidRPr="004D693B">
        <w:t xml:space="preserve">exploration </w:t>
      </w:r>
      <w:r w:rsidR="00331011" w:rsidRPr="004D693B">
        <w:t>for §</w:t>
      </w:r>
      <w:r w:rsidR="00C140EF" w:rsidRPr="004D693B">
        <w:t xml:space="preserve">772.12 is an estimated </w:t>
      </w:r>
      <w:r w:rsidR="005174E8" w:rsidRPr="004D693B">
        <w:rPr>
          <w:b/>
        </w:rPr>
        <w:t>140</w:t>
      </w:r>
      <w:r w:rsidR="00C140EF" w:rsidRPr="004D693B">
        <w:t xml:space="preserve"> (</w:t>
      </w:r>
      <w:r w:rsidR="005174E8" w:rsidRPr="004D693B">
        <w:t>2</w:t>
      </w:r>
      <w:r w:rsidR="00C140EF" w:rsidRPr="004D693B">
        <w:t xml:space="preserve"> applications x 70 hours per application).</w:t>
      </w:r>
    </w:p>
    <w:p w:rsidR="00C140EF" w:rsidRPr="0010148C" w:rsidRDefault="00C140EF" w:rsidP="001C7372"/>
    <w:p w:rsidR="00C140EF" w:rsidRPr="0010148C" w:rsidRDefault="00C140EF" w:rsidP="00884FA5">
      <w:pPr>
        <w:ind w:left="720"/>
      </w:pPr>
      <w:r w:rsidRPr="0010148C">
        <w:rPr>
          <w:b/>
          <w:bCs/>
          <w:i/>
          <w:iCs/>
        </w:rPr>
        <w:t>Burden on State Regulatory Authorities</w:t>
      </w:r>
    </w:p>
    <w:p w:rsidR="00C140EF" w:rsidRPr="0010148C" w:rsidRDefault="00C140EF" w:rsidP="001C7372"/>
    <w:p w:rsidR="00C140EF" w:rsidRPr="0010148C" w:rsidRDefault="00C140EF" w:rsidP="00884FA5">
      <w:pPr>
        <w:ind w:left="720"/>
      </w:pPr>
      <w:r w:rsidRPr="0010148C">
        <w:t xml:space="preserve">As discussed above, </w:t>
      </w:r>
      <w:r>
        <w:t xml:space="preserve">we anticipate that </w:t>
      </w:r>
      <w:r w:rsidR="00331011">
        <w:t>s</w:t>
      </w:r>
      <w:r w:rsidRPr="0010148C">
        <w:t xml:space="preserve">tate regulatory authorities will receive approximately </w:t>
      </w:r>
      <w:r w:rsidR="004D693B">
        <w:t>2 requests for</w:t>
      </w:r>
      <w:r>
        <w:t xml:space="preserve"> </w:t>
      </w:r>
      <w:r w:rsidRPr="0010148C">
        <w:t xml:space="preserve">exploration permits.  </w:t>
      </w:r>
    </w:p>
    <w:p w:rsidR="00C140EF" w:rsidRPr="0010148C" w:rsidRDefault="00C140EF" w:rsidP="001C7372"/>
    <w:p w:rsidR="00C140EF" w:rsidRPr="0010148C" w:rsidRDefault="00C140EF" w:rsidP="00884FA5">
      <w:pPr>
        <w:ind w:left="720" w:hanging="720"/>
      </w:pPr>
      <w:r>
        <w:tab/>
      </w:r>
      <w:r w:rsidR="00331011">
        <w:t>Under §</w:t>
      </w:r>
      <w:r w:rsidRPr="0010148C">
        <w:t>772.12(d), for each application, the regulatory authority must:</w:t>
      </w:r>
    </w:p>
    <w:p w:rsidR="00C140EF" w:rsidRPr="0010148C" w:rsidRDefault="00C140EF" w:rsidP="00884FA5">
      <w:pPr>
        <w:ind w:left="720" w:hanging="720"/>
      </w:pPr>
    </w:p>
    <w:p w:rsidR="00C140EF" w:rsidRPr="0010148C" w:rsidRDefault="00C140EF" w:rsidP="00884FA5">
      <w:pPr>
        <w:pStyle w:val="a"/>
        <w:numPr>
          <w:ilvl w:val="0"/>
          <w:numId w:val="9"/>
        </w:numPr>
        <w:tabs>
          <w:tab w:val="clear" w:pos="360"/>
          <w:tab w:val="left" w:pos="-1440"/>
          <w:tab w:val="num" w:pos="1440"/>
        </w:tabs>
        <w:ind w:left="1440" w:hanging="720"/>
      </w:pPr>
      <w:r w:rsidRPr="0010148C">
        <w:t>Prepare a decision document with written findings and terms of approval.</w:t>
      </w:r>
    </w:p>
    <w:p w:rsidR="00C140EF" w:rsidRPr="0010148C" w:rsidRDefault="00C140EF" w:rsidP="00884FA5">
      <w:pPr>
        <w:ind w:left="720" w:hanging="720"/>
      </w:pPr>
    </w:p>
    <w:p w:rsidR="00C140EF" w:rsidRPr="0010148C" w:rsidRDefault="00C140EF" w:rsidP="00884FA5">
      <w:pPr>
        <w:pStyle w:val="a"/>
        <w:numPr>
          <w:ilvl w:val="0"/>
          <w:numId w:val="10"/>
        </w:numPr>
        <w:tabs>
          <w:tab w:val="clear" w:pos="360"/>
          <w:tab w:val="left" w:pos="-1440"/>
          <w:tab w:val="num" w:pos="1440"/>
        </w:tabs>
        <w:ind w:left="1440" w:hanging="720"/>
      </w:pPr>
      <w:r w:rsidRPr="0010148C">
        <w:t>Provide written notification of the decision to the applicant, appropriate local governmental officials, and commenters on the application.</w:t>
      </w:r>
    </w:p>
    <w:p w:rsidR="00C140EF" w:rsidRPr="0010148C" w:rsidRDefault="00C140EF" w:rsidP="00884FA5">
      <w:pPr>
        <w:ind w:left="720" w:hanging="720"/>
      </w:pPr>
    </w:p>
    <w:p w:rsidR="00C140EF" w:rsidRPr="0010148C" w:rsidRDefault="00C140EF" w:rsidP="00884FA5">
      <w:pPr>
        <w:pStyle w:val="a"/>
        <w:numPr>
          <w:ilvl w:val="3"/>
          <w:numId w:val="10"/>
        </w:numPr>
        <w:tabs>
          <w:tab w:val="clear" w:pos="2520"/>
          <w:tab w:val="left" w:pos="-1440"/>
        </w:tabs>
        <w:ind w:left="1440" w:hanging="720"/>
      </w:pPr>
      <w:r w:rsidRPr="0010148C">
        <w:t>Post a notice of the decision in a public office in the vicinity of the proposed coal exploration operations.</w:t>
      </w:r>
    </w:p>
    <w:p w:rsidR="00C140EF" w:rsidRPr="0010148C" w:rsidRDefault="00C140EF" w:rsidP="00884FA5">
      <w:pPr>
        <w:ind w:left="720" w:hanging="720"/>
      </w:pPr>
    </w:p>
    <w:p w:rsidR="00C140EF" w:rsidRPr="004D693B" w:rsidRDefault="00C140EF" w:rsidP="003C361E">
      <w:pPr>
        <w:ind w:left="720" w:hanging="720"/>
      </w:pPr>
      <w:r>
        <w:tab/>
        <w:t>According to the</w:t>
      </w:r>
      <w:r w:rsidRPr="0010148C">
        <w:t xml:space="preserve"> </w:t>
      </w:r>
      <w:r w:rsidR="00331011">
        <w:t>s</w:t>
      </w:r>
      <w:r w:rsidRPr="0010148C">
        <w:t>tate regulatory authorit</w:t>
      </w:r>
      <w:r>
        <w:t>ies</w:t>
      </w:r>
      <w:r w:rsidRPr="0010148C">
        <w:t xml:space="preserve"> listed in item 8, </w:t>
      </w:r>
      <w:r w:rsidR="005174E8">
        <w:t>the previous burden estimates are still accurate for §</w:t>
      </w:r>
      <w:r w:rsidR="005174E8" w:rsidRPr="00F177EF">
        <w:t>772.12</w:t>
      </w:r>
      <w:r w:rsidR="005174E8">
        <w:t xml:space="preserve">.  Therefore, </w:t>
      </w:r>
      <w:r w:rsidRPr="00F177EF">
        <w:t xml:space="preserve">we estimate that application review and decision document preparation </w:t>
      </w:r>
      <w:r w:rsidR="00BC3920">
        <w:t xml:space="preserve">still </w:t>
      </w:r>
      <w:r w:rsidRPr="00F177EF">
        <w:t>require</w:t>
      </w:r>
      <w:r w:rsidR="00BC3920">
        <w:t>s</w:t>
      </w:r>
      <w:r w:rsidRPr="00F177EF">
        <w:t xml:space="preserve"> an average of 45 hours per application.  </w:t>
      </w:r>
      <w:r w:rsidR="0081394F">
        <w:t>W</w:t>
      </w:r>
      <w:r w:rsidRPr="00F177EF">
        <w:t xml:space="preserve">e </w:t>
      </w:r>
      <w:r w:rsidR="005174E8">
        <w:t xml:space="preserve">also continue to </w:t>
      </w:r>
      <w:r w:rsidRPr="00F177EF">
        <w:t xml:space="preserve">estimate that preparation and mailing a decision notification letter requires an average of </w:t>
      </w:r>
      <w:r w:rsidR="00BB54CB">
        <w:t>30</w:t>
      </w:r>
      <w:r w:rsidRPr="00F177EF">
        <w:t xml:space="preserve"> </w:t>
      </w:r>
      <w:r w:rsidR="0081394F">
        <w:t xml:space="preserve">additional </w:t>
      </w:r>
      <w:r w:rsidRPr="00F177EF">
        <w:t xml:space="preserve">minutes, with each application requiring an </w:t>
      </w:r>
      <w:r w:rsidR="00B01600">
        <w:t xml:space="preserve">average </w:t>
      </w:r>
      <w:r w:rsidRPr="00F177EF">
        <w:t xml:space="preserve">of </w:t>
      </w:r>
      <w:r w:rsidR="00BC3920">
        <w:t>10</w:t>
      </w:r>
      <w:r w:rsidRPr="00F177EF">
        <w:t xml:space="preserve"> decision notification letters (</w:t>
      </w:r>
      <w:r w:rsidR="00BC3920">
        <w:t xml:space="preserve">to </w:t>
      </w:r>
      <w:r w:rsidRPr="00F177EF">
        <w:t>the applicant,</w:t>
      </w:r>
      <w:r w:rsidR="00BC3920">
        <w:t xml:space="preserve"> county/state/federal agencies</w:t>
      </w:r>
      <w:r w:rsidRPr="00F177EF">
        <w:t>, and commenter</w:t>
      </w:r>
      <w:r w:rsidR="00BC3920">
        <w:t>s</w:t>
      </w:r>
      <w:r w:rsidRPr="00F177EF">
        <w:t xml:space="preserve">), or </w:t>
      </w:r>
      <w:r w:rsidR="00BC3920">
        <w:t>5</w:t>
      </w:r>
      <w:r w:rsidRPr="00F177EF">
        <w:t xml:space="preserve"> hours per application.  </w:t>
      </w:r>
      <w:r w:rsidR="00BC3920">
        <w:t>We also expect that the regulatory authority will typically e-mail 30 notifications to various entities</w:t>
      </w:r>
      <w:r w:rsidR="00BC3920" w:rsidRPr="004D693B">
        <w:t xml:space="preserve">, which will take </w:t>
      </w:r>
      <w:r w:rsidR="00A84273" w:rsidRPr="004D693B">
        <w:t>1</w:t>
      </w:r>
      <w:r w:rsidR="00626D85" w:rsidRPr="004D693B">
        <w:t xml:space="preserve"> </w:t>
      </w:r>
      <w:r w:rsidR="00BC3920" w:rsidRPr="004D693B">
        <w:t>additional hour</w:t>
      </w:r>
      <w:r w:rsidR="00BB54CB" w:rsidRPr="004D693B">
        <w:t xml:space="preserve"> of time</w:t>
      </w:r>
      <w:r w:rsidR="00BC3920" w:rsidRPr="004D693B">
        <w:t xml:space="preserve">.  </w:t>
      </w:r>
      <w:r w:rsidRPr="004D693B">
        <w:t xml:space="preserve">Preparation and posting of a decision notice in a public office in the vicinity of the proposed operation requires an average of 2 </w:t>
      </w:r>
      <w:r w:rsidR="0081394F" w:rsidRPr="004D693B">
        <w:t xml:space="preserve">additional </w:t>
      </w:r>
      <w:r w:rsidRPr="004D693B">
        <w:t xml:space="preserve">hours per application.  </w:t>
      </w:r>
      <w:r w:rsidR="00331011" w:rsidRPr="004D693B">
        <w:t>For §</w:t>
      </w:r>
      <w:r w:rsidRPr="004D693B">
        <w:t xml:space="preserve">772.12, the total estimated time for the </w:t>
      </w:r>
      <w:r w:rsidR="00331011" w:rsidRPr="004D693B">
        <w:t>s</w:t>
      </w:r>
      <w:r w:rsidRPr="004D693B">
        <w:t xml:space="preserve">tate regulatory authority to implement this section would be </w:t>
      </w:r>
      <w:r w:rsidR="00BB54CB" w:rsidRPr="004D693B">
        <w:t>53</w:t>
      </w:r>
      <w:r w:rsidRPr="004D693B">
        <w:t xml:space="preserve"> hours </w:t>
      </w:r>
      <w:r w:rsidR="0081394F" w:rsidRPr="004D693B">
        <w:t xml:space="preserve">(45 hours </w:t>
      </w:r>
      <w:r w:rsidR="00626D85" w:rsidRPr="004D693B">
        <w:t xml:space="preserve">per review </w:t>
      </w:r>
      <w:r w:rsidR="00BB54CB" w:rsidRPr="004D693B">
        <w:t>+ 5</w:t>
      </w:r>
      <w:r w:rsidR="0081394F" w:rsidRPr="004D693B">
        <w:t xml:space="preserve"> hours </w:t>
      </w:r>
      <w:r w:rsidR="00626D85" w:rsidRPr="004D693B">
        <w:t xml:space="preserve">for decision notification letters </w:t>
      </w:r>
      <w:r w:rsidR="00BB54CB" w:rsidRPr="004D693B">
        <w:t>+ 1 hour</w:t>
      </w:r>
      <w:r w:rsidR="00626D85" w:rsidRPr="004D693B">
        <w:t xml:space="preserve"> for e-mail notifications </w:t>
      </w:r>
      <w:r w:rsidR="00BB54CB" w:rsidRPr="004D693B">
        <w:t xml:space="preserve"> + </w:t>
      </w:r>
      <w:r w:rsidR="0081394F" w:rsidRPr="004D693B">
        <w:t>2 hours</w:t>
      </w:r>
      <w:r w:rsidR="00626D85" w:rsidRPr="004D693B">
        <w:t xml:space="preserve"> to post the decision notice</w:t>
      </w:r>
      <w:r w:rsidR="0081394F" w:rsidRPr="004D693B">
        <w:t xml:space="preserve">) </w:t>
      </w:r>
      <w:r w:rsidRPr="004D693B">
        <w:t xml:space="preserve">per application. </w:t>
      </w:r>
      <w:r w:rsidR="00331011" w:rsidRPr="004D693B">
        <w:t xml:space="preserve"> </w:t>
      </w:r>
      <w:r w:rsidRPr="004D693B">
        <w:t xml:space="preserve">Therefore, we estimate that the annual burden to the </w:t>
      </w:r>
      <w:r w:rsidR="00331011" w:rsidRPr="004D693B">
        <w:t>s</w:t>
      </w:r>
      <w:r w:rsidRPr="004D693B">
        <w:t xml:space="preserve">tate regulatory authorities for compliance with the information collection requirements of </w:t>
      </w:r>
      <w:r w:rsidR="00331011" w:rsidRPr="004D693B">
        <w:t>§</w:t>
      </w:r>
      <w:r w:rsidRPr="004D693B">
        <w:t xml:space="preserve">772.12 will be </w:t>
      </w:r>
      <w:r w:rsidR="005174E8" w:rsidRPr="004D693B">
        <w:rPr>
          <w:b/>
        </w:rPr>
        <w:t>106</w:t>
      </w:r>
      <w:r w:rsidRPr="004D693B">
        <w:rPr>
          <w:b/>
          <w:bCs/>
        </w:rPr>
        <w:t xml:space="preserve"> hours </w:t>
      </w:r>
      <w:r w:rsidRPr="004D693B">
        <w:rPr>
          <w:bCs/>
        </w:rPr>
        <w:t>(5</w:t>
      </w:r>
      <w:r w:rsidR="00BB54CB" w:rsidRPr="004D693B">
        <w:rPr>
          <w:bCs/>
        </w:rPr>
        <w:t>3</w:t>
      </w:r>
      <w:r w:rsidRPr="004D693B">
        <w:rPr>
          <w:bCs/>
        </w:rPr>
        <w:t xml:space="preserve"> hours per permit applicant x </w:t>
      </w:r>
      <w:r w:rsidR="005174E8" w:rsidRPr="004D693B">
        <w:rPr>
          <w:bCs/>
        </w:rPr>
        <w:t>2</w:t>
      </w:r>
      <w:r w:rsidRPr="004D693B">
        <w:rPr>
          <w:bCs/>
        </w:rPr>
        <w:t xml:space="preserve"> applications)</w:t>
      </w:r>
      <w:r w:rsidRPr="004D693B">
        <w:t>.</w:t>
      </w:r>
    </w:p>
    <w:p w:rsidR="00C140EF" w:rsidRPr="004D693B" w:rsidRDefault="00C140EF" w:rsidP="00884FA5">
      <w:pPr>
        <w:ind w:left="720" w:hanging="720"/>
      </w:pPr>
    </w:p>
    <w:p w:rsidR="00C140EF" w:rsidRPr="004D693B" w:rsidRDefault="00C140EF" w:rsidP="00884FA5">
      <w:pPr>
        <w:ind w:left="720" w:hanging="720"/>
      </w:pPr>
      <w:r w:rsidRPr="004D693B">
        <w:rPr>
          <w:b/>
          <w:bCs/>
          <w:i/>
          <w:iCs/>
        </w:rPr>
        <w:tab/>
        <w:t>Total Burden</w:t>
      </w:r>
    </w:p>
    <w:p w:rsidR="00C140EF" w:rsidRPr="004D693B" w:rsidRDefault="00C140EF" w:rsidP="00884FA5">
      <w:pPr>
        <w:ind w:left="720" w:hanging="720"/>
      </w:pPr>
    </w:p>
    <w:p w:rsidR="00C140EF" w:rsidRPr="0010148C" w:rsidRDefault="00C140EF" w:rsidP="00884FA5">
      <w:pPr>
        <w:ind w:left="720" w:hanging="720"/>
      </w:pPr>
      <w:r w:rsidRPr="004D693B">
        <w:tab/>
        <w:t xml:space="preserve">For all respondents, we estimate that the total annual information collection burden </w:t>
      </w:r>
      <w:r w:rsidR="00331011" w:rsidRPr="004D693B">
        <w:t>for §</w:t>
      </w:r>
      <w:r w:rsidRPr="004D693B">
        <w:t xml:space="preserve">772.12 will be </w:t>
      </w:r>
      <w:r w:rsidR="00FA552D" w:rsidRPr="004D693B">
        <w:rPr>
          <w:b/>
        </w:rPr>
        <w:t>246</w:t>
      </w:r>
      <w:r w:rsidRPr="004D693B">
        <w:rPr>
          <w:b/>
          <w:bCs/>
        </w:rPr>
        <w:t xml:space="preserve"> hours</w:t>
      </w:r>
      <w:r w:rsidRPr="004D693B">
        <w:t xml:space="preserve"> (</w:t>
      </w:r>
      <w:r w:rsidR="00FA552D" w:rsidRPr="004D693B">
        <w:t>140</w:t>
      </w:r>
      <w:r w:rsidRPr="004D693B">
        <w:t xml:space="preserve"> hours for permit applicants + </w:t>
      </w:r>
      <w:r w:rsidR="00FA552D" w:rsidRPr="004D693B">
        <w:t>106</w:t>
      </w:r>
      <w:r w:rsidRPr="004D693B">
        <w:t xml:space="preserve"> hours for State regulatory authorities), which equates to an approximate burden of 12</w:t>
      </w:r>
      <w:r w:rsidR="00732140" w:rsidRPr="004D693B">
        <w:t>3</w:t>
      </w:r>
      <w:r w:rsidRPr="004D693B">
        <w:t xml:space="preserve"> hours for each application for a coal exploration permit (70 hours for permit applicants + 5</w:t>
      </w:r>
      <w:r w:rsidR="00732140" w:rsidRPr="004D693B">
        <w:t>3</w:t>
      </w:r>
      <w:r w:rsidRPr="004D693B">
        <w:t xml:space="preserve"> hours for regulatory authorities).</w:t>
      </w:r>
    </w:p>
    <w:p w:rsidR="00C140EF" w:rsidRPr="0010148C" w:rsidRDefault="00C140EF" w:rsidP="00884FA5">
      <w:pPr>
        <w:ind w:left="720" w:hanging="720"/>
      </w:pPr>
    </w:p>
    <w:p w:rsidR="00C140EF" w:rsidRPr="0010148C" w:rsidRDefault="00C140EF" w:rsidP="00884FA5">
      <w:pPr>
        <w:ind w:left="720" w:hanging="720"/>
      </w:pPr>
      <w:r>
        <w:tab/>
      </w:r>
      <w:r w:rsidRPr="0010148C">
        <w:t>b.</w:t>
      </w:r>
      <w:r w:rsidRPr="0010148C">
        <w:tab/>
      </w:r>
      <w:r w:rsidRPr="0010148C">
        <w:rPr>
          <w:u w:val="single"/>
        </w:rPr>
        <w:t>Estimated Annual Wage Cost to Respondents</w:t>
      </w:r>
    </w:p>
    <w:p w:rsidR="00C140EF" w:rsidRPr="0010148C" w:rsidRDefault="00C140EF" w:rsidP="00884FA5">
      <w:pPr>
        <w:ind w:left="720" w:hanging="720"/>
      </w:pPr>
    </w:p>
    <w:p w:rsidR="007C6677" w:rsidRPr="00E153D1" w:rsidRDefault="007C6677" w:rsidP="007C6677">
      <w:pPr>
        <w:pStyle w:val="BodyTextIndent"/>
        <w:ind w:left="720"/>
      </w:pPr>
      <w:r>
        <w:t>W</w:t>
      </w:r>
      <w:r w:rsidRPr="00E153D1">
        <w:t xml:space="preserve">e estimate </w:t>
      </w:r>
      <w:r>
        <w:t xml:space="preserve">that mine operators will incur the </w:t>
      </w:r>
      <w:r w:rsidRPr="00E153D1">
        <w:t xml:space="preserve">following wage costs (rounded) to complete the collection </w:t>
      </w:r>
      <w:r>
        <w:t xml:space="preserve">of information required under these </w:t>
      </w:r>
      <w:r w:rsidRPr="00E153D1">
        <w:t>section</w:t>
      </w:r>
      <w:r>
        <w:t xml:space="preserve">s (see item 12, page </w:t>
      </w:r>
      <w:r w:rsidR="002B1007">
        <w:t>8</w:t>
      </w:r>
      <w:r>
        <w:t>, for an explanation of wages and benefits)</w:t>
      </w:r>
      <w:r w:rsidRPr="00E153D1">
        <w:t>:</w:t>
      </w:r>
    </w:p>
    <w:p w:rsidR="00C140EF" w:rsidRPr="004D4A35" w:rsidRDefault="00C140EF" w:rsidP="00D23861">
      <w:pPr>
        <w:pStyle w:val="BodyTextIndent"/>
        <w:ind w:hanging="720"/>
      </w:pPr>
      <w:r w:rsidRPr="004D4A35">
        <w:t xml:space="preserve"> </w:t>
      </w:r>
    </w:p>
    <w:p w:rsidR="00C140EF" w:rsidRPr="00495347" w:rsidRDefault="00C140EF" w:rsidP="00495347">
      <w:pPr>
        <w:pStyle w:val="BodyTextIndent"/>
        <w:ind w:hanging="720"/>
        <w:jc w:val="center"/>
      </w:pPr>
      <w:r w:rsidRPr="00495347">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C140EF" w:rsidRPr="00495347" w:rsidTr="00B63E3D">
        <w:tc>
          <w:tcPr>
            <w:tcW w:w="2520" w:type="dxa"/>
          </w:tcPr>
          <w:p w:rsidR="00C140EF" w:rsidRPr="00495347" w:rsidRDefault="00C140EF" w:rsidP="00B63E3D">
            <w:pPr>
              <w:pStyle w:val="BodyTextIndent"/>
              <w:ind w:left="0"/>
              <w:jc w:val="center"/>
            </w:pPr>
            <w:r w:rsidRPr="00495347">
              <w:t>Position</w:t>
            </w:r>
          </w:p>
        </w:tc>
        <w:tc>
          <w:tcPr>
            <w:tcW w:w="2160" w:type="dxa"/>
          </w:tcPr>
          <w:p w:rsidR="00C140EF" w:rsidRPr="00495347" w:rsidRDefault="00C140EF" w:rsidP="00B63E3D">
            <w:pPr>
              <w:pStyle w:val="BodyTextIndent"/>
              <w:ind w:left="0"/>
              <w:jc w:val="center"/>
            </w:pPr>
            <w:r w:rsidRPr="00495347">
              <w:t>Hour Burden per Response</w:t>
            </w:r>
          </w:p>
        </w:tc>
        <w:tc>
          <w:tcPr>
            <w:tcW w:w="2250" w:type="dxa"/>
          </w:tcPr>
          <w:p w:rsidR="00C140EF" w:rsidRPr="00EC238F" w:rsidRDefault="00C140EF" w:rsidP="007C6677">
            <w:pPr>
              <w:pStyle w:val="BodyTextIndent"/>
              <w:ind w:left="0"/>
              <w:jc w:val="center"/>
            </w:pPr>
            <w:r w:rsidRPr="00EC238F">
              <w:t>Cost Per Hou</w:t>
            </w:r>
            <w:r w:rsidR="007C6677" w:rsidRPr="00EC238F">
              <w:t>r with Benefits (x 1.4)</w:t>
            </w:r>
            <w:r w:rsidRPr="00EC238F">
              <w:t xml:space="preserve"> ($)</w:t>
            </w:r>
          </w:p>
        </w:tc>
        <w:tc>
          <w:tcPr>
            <w:tcW w:w="2070" w:type="dxa"/>
          </w:tcPr>
          <w:p w:rsidR="00C140EF" w:rsidRPr="00495347" w:rsidRDefault="00C140EF" w:rsidP="00B63E3D">
            <w:pPr>
              <w:pStyle w:val="BodyTextIndent"/>
              <w:ind w:left="0"/>
              <w:jc w:val="center"/>
            </w:pPr>
            <w:r w:rsidRPr="00495347">
              <w:t>Total Wage Burden ($)</w:t>
            </w:r>
          </w:p>
        </w:tc>
      </w:tr>
      <w:tr w:rsidR="00C140EF" w:rsidRPr="00495347" w:rsidTr="00B63E3D">
        <w:tc>
          <w:tcPr>
            <w:tcW w:w="2520" w:type="dxa"/>
          </w:tcPr>
          <w:p w:rsidR="00C140EF" w:rsidRPr="00495347" w:rsidRDefault="007C6677" w:rsidP="00B63E3D">
            <w:pPr>
              <w:pStyle w:val="BodyTextIndent"/>
              <w:ind w:left="0"/>
            </w:pPr>
            <w:r>
              <w:t>Administrative Support</w:t>
            </w:r>
          </w:p>
        </w:tc>
        <w:tc>
          <w:tcPr>
            <w:tcW w:w="2160" w:type="dxa"/>
          </w:tcPr>
          <w:p w:rsidR="00C140EF" w:rsidRPr="00495347" w:rsidRDefault="00C140EF" w:rsidP="00B63E3D">
            <w:pPr>
              <w:pStyle w:val="BodyTextIndent"/>
              <w:ind w:left="0"/>
              <w:jc w:val="center"/>
            </w:pPr>
            <w:r>
              <w:t>4</w:t>
            </w:r>
          </w:p>
        </w:tc>
        <w:tc>
          <w:tcPr>
            <w:tcW w:w="2250" w:type="dxa"/>
          </w:tcPr>
          <w:p w:rsidR="00C140EF" w:rsidRPr="00EC238F" w:rsidRDefault="00EC238F" w:rsidP="00626D85">
            <w:pPr>
              <w:pStyle w:val="BodyTextIndent"/>
              <w:ind w:left="0"/>
              <w:jc w:val="center"/>
            </w:pPr>
            <w:r w:rsidRPr="00EC238F">
              <w:t>23.21</w:t>
            </w:r>
          </w:p>
        </w:tc>
        <w:tc>
          <w:tcPr>
            <w:tcW w:w="2070" w:type="dxa"/>
          </w:tcPr>
          <w:p w:rsidR="00C140EF" w:rsidRPr="00495347" w:rsidRDefault="00EC238F" w:rsidP="00B63E3D">
            <w:pPr>
              <w:pStyle w:val="BodyTextIndent"/>
              <w:ind w:left="0"/>
              <w:jc w:val="center"/>
            </w:pPr>
            <w:r>
              <w:t>93</w:t>
            </w:r>
          </w:p>
        </w:tc>
      </w:tr>
      <w:tr w:rsidR="00C140EF" w:rsidRPr="00495347" w:rsidTr="00B63E3D">
        <w:tc>
          <w:tcPr>
            <w:tcW w:w="2520" w:type="dxa"/>
          </w:tcPr>
          <w:p w:rsidR="00C140EF" w:rsidRPr="00495347" w:rsidRDefault="00C140EF" w:rsidP="00B63E3D">
            <w:pPr>
              <w:pStyle w:val="BodyTextIndent"/>
              <w:ind w:left="0"/>
            </w:pPr>
            <w:r w:rsidRPr="00495347">
              <w:t>Engineering Technician</w:t>
            </w:r>
          </w:p>
        </w:tc>
        <w:tc>
          <w:tcPr>
            <w:tcW w:w="2160" w:type="dxa"/>
            <w:vAlign w:val="center"/>
          </w:tcPr>
          <w:p w:rsidR="00C140EF" w:rsidRPr="00495347" w:rsidRDefault="00C140EF" w:rsidP="00B63E3D">
            <w:pPr>
              <w:pStyle w:val="BodyTextIndent"/>
              <w:ind w:left="0"/>
              <w:jc w:val="center"/>
            </w:pPr>
            <w:r>
              <w:t>4</w:t>
            </w:r>
            <w:r w:rsidRPr="00495347">
              <w:t>0</w:t>
            </w:r>
          </w:p>
        </w:tc>
        <w:tc>
          <w:tcPr>
            <w:tcW w:w="2250" w:type="dxa"/>
            <w:vAlign w:val="center"/>
          </w:tcPr>
          <w:p w:rsidR="00C140EF" w:rsidRPr="00EC238F" w:rsidRDefault="00EC238F" w:rsidP="00626D85">
            <w:pPr>
              <w:pStyle w:val="BodyTextIndent"/>
              <w:ind w:left="0"/>
              <w:jc w:val="center"/>
            </w:pPr>
            <w:r w:rsidRPr="00EC238F">
              <w:t>40.01</w:t>
            </w:r>
          </w:p>
        </w:tc>
        <w:tc>
          <w:tcPr>
            <w:tcW w:w="2070" w:type="dxa"/>
            <w:vAlign w:val="center"/>
          </w:tcPr>
          <w:p w:rsidR="00C140EF" w:rsidRPr="00495347" w:rsidRDefault="00EC238F" w:rsidP="00B63E3D">
            <w:pPr>
              <w:pStyle w:val="BodyTextIndent"/>
              <w:ind w:left="0"/>
              <w:jc w:val="center"/>
            </w:pPr>
            <w:r>
              <w:t>1,600</w:t>
            </w:r>
          </w:p>
        </w:tc>
      </w:tr>
      <w:tr w:rsidR="00C140EF" w:rsidRPr="00EC238F" w:rsidTr="00B63E3D">
        <w:tc>
          <w:tcPr>
            <w:tcW w:w="2520" w:type="dxa"/>
          </w:tcPr>
          <w:p w:rsidR="00C140EF" w:rsidRPr="00EC238F" w:rsidRDefault="00C140EF" w:rsidP="00B63E3D">
            <w:pPr>
              <w:pStyle w:val="BodyTextIndent"/>
              <w:ind w:left="0"/>
            </w:pPr>
            <w:r w:rsidRPr="00EC238F">
              <w:t>Mining Engineer</w:t>
            </w:r>
          </w:p>
        </w:tc>
        <w:tc>
          <w:tcPr>
            <w:tcW w:w="2160" w:type="dxa"/>
          </w:tcPr>
          <w:p w:rsidR="00C140EF" w:rsidRPr="00EC238F" w:rsidRDefault="00C140EF" w:rsidP="00B63E3D">
            <w:pPr>
              <w:pStyle w:val="BodyTextIndent"/>
              <w:ind w:left="0"/>
              <w:jc w:val="center"/>
            </w:pPr>
            <w:r w:rsidRPr="00EC238F">
              <w:t>25</w:t>
            </w:r>
          </w:p>
        </w:tc>
        <w:tc>
          <w:tcPr>
            <w:tcW w:w="2250" w:type="dxa"/>
          </w:tcPr>
          <w:p w:rsidR="00C140EF" w:rsidRPr="00EC238F" w:rsidRDefault="00EC238F" w:rsidP="00FC0DC0">
            <w:pPr>
              <w:pStyle w:val="BodyTextIndent"/>
              <w:ind w:left="0"/>
              <w:jc w:val="center"/>
            </w:pPr>
            <w:r w:rsidRPr="00EC238F">
              <w:t>59.40</w:t>
            </w:r>
          </w:p>
        </w:tc>
        <w:tc>
          <w:tcPr>
            <w:tcW w:w="2070" w:type="dxa"/>
          </w:tcPr>
          <w:p w:rsidR="00C140EF" w:rsidRPr="00EC238F" w:rsidRDefault="00EC238F" w:rsidP="00B63E3D">
            <w:pPr>
              <w:pStyle w:val="BodyTextIndent"/>
              <w:ind w:left="0"/>
              <w:jc w:val="center"/>
            </w:pPr>
            <w:r w:rsidRPr="00EC238F">
              <w:t>1,485</w:t>
            </w:r>
          </w:p>
        </w:tc>
      </w:tr>
      <w:tr w:rsidR="00C140EF" w:rsidRPr="00EC238F" w:rsidTr="00B63E3D">
        <w:tc>
          <w:tcPr>
            <w:tcW w:w="2520" w:type="dxa"/>
          </w:tcPr>
          <w:p w:rsidR="00C140EF" w:rsidRPr="00EC238F" w:rsidRDefault="00C140EF" w:rsidP="00B63E3D">
            <w:pPr>
              <w:pStyle w:val="BodyTextIndent"/>
              <w:ind w:left="0"/>
            </w:pPr>
            <w:r w:rsidRPr="00EC238F">
              <w:t>Operations Manager</w:t>
            </w:r>
          </w:p>
        </w:tc>
        <w:tc>
          <w:tcPr>
            <w:tcW w:w="2160" w:type="dxa"/>
          </w:tcPr>
          <w:p w:rsidR="00C140EF" w:rsidRPr="00EC238F" w:rsidRDefault="00C140EF" w:rsidP="00B63E3D">
            <w:pPr>
              <w:pStyle w:val="BodyTextIndent"/>
              <w:ind w:left="0"/>
              <w:jc w:val="center"/>
            </w:pPr>
            <w:r w:rsidRPr="00EC238F">
              <w:t>1</w:t>
            </w:r>
          </w:p>
        </w:tc>
        <w:tc>
          <w:tcPr>
            <w:tcW w:w="2250" w:type="dxa"/>
          </w:tcPr>
          <w:p w:rsidR="00C140EF" w:rsidRPr="00EC238F" w:rsidRDefault="00EC238F" w:rsidP="00FC0DC0">
            <w:pPr>
              <w:pStyle w:val="BodyTextIndent"/>
              <w:ind w:left="0"/>
              <w:jc w:val="center"/>
            </w:pPr>
            <w:r w:rsidRPr="00EC238F">
              <w:t>97.68</w:t>
            </w:r>
          </w:p>
        </w:tc>
        <w:tc>
          <w:tcPr>
            <w:tcW w:w="2070" w:type="dxa"/>
          </w:tcPr>
          <w:p w:rsidR="00C140EF" w:rsidRPr="00EC238F" w:rsidRDefault="00EC238F" w:rsidP="00B63E3D">
            <w:pPr>
              <w:pStyle w:val="BodyTextIndent"/>
              <w:ind w:left="0"/>
              <w:jc w:val="center"/>
            </w:pPr>
            <w:r w:rsidRPr="00EC238F">
              <w:t>98</w:t>
            </w:r>
          </w:p>
        </w:tc>
      </w:tr>
      <w:tr w:rsidR="00C140EF" w:rsidRPr="00EC238F" w:rsidTr="00B63E3D">
        <w:tc>
          <w:tcPr>
            <w:tcW w:w="2520" w:type="dxa"/>
          </w:tcPr>
          <w:p w:rsidR="00C140EF" w:rsidRPr="00EC238F" w:rsidRDefault="00C140EF" w:rsidP="00B63E3D">
            <w:pPr>
              <w:pStyle w:val="BodyTextIndent"/>
              <w:ind w:left="0"/>
            </w:pPr>
            <w:r w:rsidRPr="00EC238F">
              <w:t>Total</w:t>
            </w:r>
          </w:p>
        </w:tc>
        <w:tc>
          <w:tcPr>
            <w:tcW w:w="2160" w:type="dxa"/>
          </w:tcPr>
          <w:p w:rsidR="00C140EF" w:rsidRPr="00EC238F" w:rsidRDefault="00C140EF" w:rsidP="00B63E3D">
            <w:pPr>
              <w:pStyle w:val="BodyTextIndent"/>
              <w:ind w:left="0"/>
              <w:jc w:val="center"/>
            </w:pPr>
            <w:r w:rsidRPr="00EC238F">
              <w:t>70</w:t>
            </w:r>
          </w:p>
        </w:tc>
        <w:tc>
          <w:tcPr>
            <w:tcW w:w="2250" w:type="dxa"/>
          </w:tcPr>
          <w:p w:rsidR="00C140EF" w:rsidRPr="00EC238F" w:rsidRDefault="00C140EF" w:rsidP="00B63E3D">
            <w:pPr>
              <w:pStyle w:val="BodyTextIndent"/>
              <w:ind w:left="0"/>
              <w:jc w:val="center"/>
            </w:pPr>
          </w:p>
        </w:tc>
        <w:tc>
          <w:tcPr>
            <w:tcW w:w="2070" w:type="dxa"/>
          </w:tcPr>
          <w:p w:rsidR="00C140EF" w:rsidRPr="00EC238F" w:rsidRDefault="00EC238F" w:rsidP="00B63E3D">
            <w:pPr>
              <w:pStyle w:val="BodyTextIndent"/>
              <w:ind w:left="0"/>
              <w:jc w:val="center"/>
            </w:pPr>
            <w:r w:rsidRPr="00EC238F">
              <w:fldChar w:fldCharType="begin"/>
            </w:r>
            <w:r w:rsidRPr="00EC238F">
              <w:instrText xml:space="preserve"> =SUM(ABOVE) \# "#,##0" </w:instrText>
            </w:r>
            <w:r w:rsidRPr="00EC238F">
              <w:fldChar w:fldCharType="separate"/>
            </w:r>
            <w:r w:rsidRPr="00EC238F">
              <w:rPr>
                <w:noProof/>
              </w:rPr>
              <w:t>3,276</w:t>
            </w:r>
            <w:r w:rsidRPr="00EC238F">
              <w:fldChar w:fldCharType="end"/>
            </w:r>
          </w:p>
        </w:tc>
      </w:tr>
    </w:tbl>
    <w:p w:rsidR="00C140EF" w:rsidRPr="00EC238F" w:rsidRDefault="00C140EF" w:rsidP="00495347">
      <w:pPr>
        <w:pStyle w:val="BodyTextIndent"/>
        <w:ind w:hanging="720"/>
      </w:pPr>
    </w:p>
    <w:p w:rsidR="00C140EF" w:rsidRPr="00F177EF" w:rsidRDefault="00C140EF" w:rsidP="00C7039F">
      <w:pPr>
        <w:pStyle w:val="BodyTextIndent"/>
        <w:ind w:left="720"/>
      </w:pPr>
      <w:r w:rsidRPr="00EC238F">
        <w:t xml:space="preserve">Therefore, the estimated annual wage cost for each industry respondent for </w:t>
      </w:r>
      <w:r w:rsidRPr="00EC238F">
        <w:rPr>
          <w:rFonts w:cs="Arial"/>
        </w:rPr>
        <w:t>§</w:t>
      </w:r>
      <w:r w:rsidRPr="00EC238F">
        <w:t>772.12 is $</w:t>
      </w:r>
      <w:r w:rsidR="00A74156" w:rsidRPr="00EC238F">
        <w:t>3,2</w:t>
      </w:r>
      <w:r w:rsidR="00EC238F" w:rsidRPr="00EC238F">
        <w:t>76</w:t>
      </w:r>
      <w:r w:rsidRPr="00EC238F">
        <w:t>.  The total wage cost to all industry respondents is $</w:t>
      </w:r>
      <w:r w:rsidR="00A74156" w:rsidRPr="00EC238F">
        <w:t>3,2</w:t>
      </w:r>
      <w:r w:rsidR="00EC238F" w:rsidRPr="00EC238F">
        <w:t>76</w:t>
      </w:r>
      <w:r w:rsidRPr="00EC238F">
        <w:t xml:space="preserve"> x </w:t>
      </w:r>
      <w:r w:rsidR="00FA552D" w:rsidRPr="00EC238F">
        <w:t>2</w:t>
      </w:r>
      <w:r w:rsidRPr="00EC238F">
        <w:t xml:space="preserve"> exploration permits = $</w:t>
      </w:r>
      <w:r w:rsidR="00EC238F" w:rsidRPr="00EC238F">
        <w:t>6</w:t>
      </w:r>
      <w:r w:rsidRPr="00EC238F">
        <w:t>,</w:t>
      </w:r>
      <w:r w:rsidR="00EC238F" w:rsidRPr="00EC238F">
        <w:t>552</w:t>
      </w:r>
      <w:r w:rsidRPr="00EC238F">
        <w:t>.</w:t>
      </w:r>
    </w:p>
    <w:p w:rsidR="00C140EF" w:rsidRPr="00F177EF" w:rsidRDefault="00C140EF" w:rsidP="00495347">
      <w:pPr>
        <w:ind w:left="720"/>
      </w:pPr>
    </w:p>
    <w:p w:rsidR="00C140EF" w:rsidRPr="00495347" w:rsidRDefault="00C140EF" w:rsidP="00C7039F">
      <w:pPr>
        <w:tabs>
          <w:tab w:val="left" w:pos="720"/>
        </w:tabs>
        <w:ind w:left="720"/>
        <w:rPr>
          <w:rFonts w:cs="Arial"/>
        </w:rPr>
      </w:pPr>
      <w:r w:rsidRPr="00F177EF">
        <w:t>In addition, it takes 5</w:t>
      </w:r>
      <w:r w:rsidR="00BB54CB">
        <w:t>3</w:t>
      </w:r>
      <w:r w:rsidR="00A74156">
        <w:t xml:space="preserve"> </w:t>
      </w:r>
      <w:r w:rsidRPr="00F177EF">
        <w:t xml:space="preserve">hours for each </w:t>
      </w:r>
      <w:r w:rsidRPr="00F177EF">
        <w:rPr>
          <w:rFonts w:cs="Arial"/>
        </w:rPr>
        <w:t xml:space="preserve">State regulatory authority to review this section of the </w:t>
      </w:r>
      <w:r w:rsidRPr="00F177EF">
        <w:t xml:space="preserve">permit </w:t>
      </w:r>
      <w:r w:rsidRPr="00F177EF">
        <w:rPr>
          <w:rFonts w:cs="Arial"/>
        </w:rPr>
        <w:t>application.</w:t>
      </w:r>
      <w:r w:rsidRPr="00495347">
        <w:rPr>
          <w:rFonts w:cs="Arial"/>
        </w:rPr>
        <w:t xml:space="preserve">  </w:t>
      </w:r>
    </w:p>
    <w:p w:rsidR="00C140EF" w:rsidRPr="00495347" w:rsidRDefault="00C140EF" w:rsidP="00C7039F">
      <w:pPr>
        <w:tabs>
          <w:tab w:val="left" w:pos="720"/>
        </w:tabs>
        <w:ind w:left="720"/>
        <w:rPr>
          <w:rFonts w:cs="Arial"/>
        </w:rPr>
      </w:pPr>
    </w:p>
    <w:p w:rsidR="00C140EF" w:rsidRPr="002B1007" w:rsidRDefault="00793687" w:rsidP="00C7039F">
      <w:pPr>
        <w:pStyle w:val="BodyTextIndent"/>
        <w:tabs>
          <w:tab w:val="left" w:pos="720"/>
        </w:tabs>
        <w:ind w:left="720"/>
      </w:pPr>
      <w:r w:rsidRPr="002B1007">
        <w:t xml:space="preserve">Using BLS statistics for state employee engineering technicians with benefits </w:t>
      </w:r>
      <w:r w:rsidR="002B1007" w:rsidRPr="002B1007">
        <w:t>of 1.6 of salary</w:t>
      </w:r>
      <w:r w:rsidRPr="002B1007">
        <w:t>, we estimate that the wage cost is $3</w:t>
      </w:r>
      <w:r w:rsidR="002B1007" w:rsidRPr="002B1007">
        <w:t>6.46</w:t>
      </w:r>
      <w:r w:rsidRPr="002B1007">
        <w:t xml:space="preserve"> per hour including benefits.  </w:t>
      </w:r>
      <w:r w:rsidR="00C140EF" w:rsidRPr="002B1007">
        <w:t xml:space="preserve">  Therefore, the estimated annual wage cost for </w:t>
      </w:r>
      <w:r w:rsidRPr="002B1007">
        <w:t>s</w:t>
      </w:r>
      <w:r w:rsidR="00C140EF" w:rsidRPr="002B1007">
        <w:t xml:space="preserve">tate regulatory authorities to review </w:t>
      </w:r>
      <w:r w:rsidR="00C140EF" w:rsidRPr="002B1007">
        <w:rPr>
          <w:rFonts w:cs="Arial"/>
        </w:rPr>
        <w:t>§</w:t>
      </w:r>
      <w:r w:rsidR="00C140EF" w:rsidRPr="002B1007">
        <w:t xml:space="preserve">772.12 </w:t>
      </w:r>
      <w:r w:rsidRPr="002B1007">
        <w:t>for</w:t>
      </w:r>
      <w:r w:rsidR="00C140EF" w:rsidRPr="002B1007">
        <w:t xml:space="preserve"> each exploration application is $3</w:t>
      </w:r>
      <w:r w:rsidR="002B1007" w:rsidRPr="002B1007">
        <w:t>6</w:t>
      </w:r>
      <w:r w:rsidRPr="002B1007">
        <w:t>.</w:t>
      </w:r>
      <w:r w:rsidR="002B1007" w:rsidRPr="002B1007">
        <w:t>46</w:t>
      </w:r>
      <w:r w:rsidR="00C140EF" w:rsidRPr="002B1007">
        <w:t xml:space="preserve"> per hour x 5</w:t>
      </w:r>
      <w:r w:rsidR="00732140" w:rsidRPr="002B1007">
        <w:t>3</w:t>
      </w:r>
      <w:r w:rsidR="00C140EF" w:rsidRPr="002B1007">
        <w:t xml:space="preserve"> hours = $1,</w:t>
      </w:r>
      <w:r w:rsidR="002B1007" w:rsidRPr="002B1007">
        <w:t>932</w:t>
      </w:r>
      <w:r w:rsidRPr="002B1007">
        <w:t>.  The total wage cost to all s</w:t>
      </w:r>
      <w:r w:rsidR="00C140EF" w:rsidRPr="002B1007">
        <w:t>tate regulatory authorities is $1,</w:t>
      </w:r>
      <w:r w:rsidR="002B1007" w:rsidRPr="002B1007">
        <w:t>932</w:t>
      </w:r>
      <w:r w:rsidR="00C140EF" w:rsidRPr="002B1007">
        <w:t xml:space="preserve"> x </w:t>
      </w:r>
      <w:r w:rsidR="00FA552D" w:rsidRPr="002B1007">
        <w:t>2</w:t>
      </w:r>
      <w:r w:rsidR="00C140EF" w:rsidRPr="002B1007">
        <w:t xml:space="preserve"> permit applications = $</w:t>
      </w:r>
      <w:r w:rsidR="002B1007" w:rsidRPr="002B1007">
        <w:t>3,864</w:t>
      </w:r>
      <w:r w:rsidR="00C140EF" w:rsidRPr="002B1007">
        <w:t>.</w:t>
      </w:r>
    </w:p>
    <w:p w:rsidR="00C140EF" w:rsidRPr="002B1007" w:rsidRDefault="00C140EF" w:rsidP="00C7039F">
      <w:pPr>
        <w:tabs>
          <w:tab w:val="left" w:pos="720"/>
        </w:tabs>
        <w:ind w:left="720"/>
      </w:pPr>
    </w:p>
    <w:p w:rsidR="00C140EF" w:rsidRPr="002B1007" w:rsidRDefault="00C140EF" w:rsidP="00495347">
      <w:pPr>
        <w:ind w:left="720"/>
        <w:rPr>
          <w:rFonts w:cs="Arial"/>
        </w:rPr>
      </w:pPr>
      <w:r w:rsidRPr="002B1007">
        <w:rPr>
          <w:rFonts w:cs="Arial"/>
        </w:rPr>
        <w:t>Therefore, we estimate that the burden to all respondents is $</w:t>
      </w:r>
      <w:r w:rsidR="002B1007" w:rsidRPr="002B1007">
        <w:rPr>
          <w:rFonts w:cs="Arial"/>
        </w:rPr>
        <w:t>6</w:t>
      </w:r>
      <w:r w:rsidRPr="002B1007">
        <w:rPr>
          <w:rFonts w:cs="Arial"/>
        </w:rPr>
        <w:t>,</w:t>
      </w:r>
      <w:r w:rsidR="002B1007" w:rsidRPr="002B1007">
        <w:rPr>
          <w:rFonts w:cs="Arial"/>
        </w:rPr>
        <w:t>552</w:t>
      </w:r>
      <w:r w:rsidRPr="002B1007">
        <w:rPr>
          <w:rFonts w:cs="Arial"/>
        </w:rPr>
        <w:t xml:space="preserve"> for industry + $</w:t>
      </w:r>
      <w:r w:rsidR="002B1007" w:rsidRPr="002B1007">
        <w:rPr>
          <w:rFonts w:cs="Arial"/>
        </w:rPr>
        <w:t>3</w:t>
      </w:r>
      <w:r w:rsidRPr="002B1007">
        <w:rPr>
          <w:rFonts w:cs="Arial"/>
        </w:rPr>
        <w:t>,</w:t>
      </w:r>
      <w:r w:rsidR="002B1007" w:rsidRPr="002B1007">
        <w:rPr>
          <w:rFonts w:cs="Arial"/>
        </w:rPr>
        <w:t>864 f</w:t>
      </w:r>
      <w:r w:rsidRPr="002B1007">
        <w:rPr>
          <w:rFonts w:cs="Arial"/>
        </w:rPr>
        <w:t xml:space="preserve">or </w:t>
      </w:r>
      <w:r w:rsidR="00793687" w:rsidRPr="002B1007">
        <w:rPr>
          <w:rFonts w:cs="Arial"/>
        </w:rPr>
        <w:t>s</w:t>
      </w:r>
      <w:r w:rsidRPr="002B1007">
        <w:rPr>
          <w:rFonts w:cs="Arial"/>
        </w:rPr>
        <w:t>tate regulatory authorities = $</w:t>
      </w:r>
      <w:r w:rsidR="002B1007" w:rsidRPr="002B1007">
        <w:rPr>
          <w:rFonts w:cs="Arial"/>
        </w:rPr>
        <w:t>10</w:t>
      </w:r>
      <w:r w:rsidRPr="002B1007">
        <w:rPr>
          <w:rFonts w:cs="Arial"/>
        </w:rPr>
        <w:t>,</w:t>
      </w:r>
      <w:r w:rsidR="002B1007" w:rsidRPr="002B1007">
        <w:rPr>
          <w:rFonts w:cs="Arial"/>
        </w:rPr>
        <w:t>416</w:t>
      </w:r>
      <w:r w:rsidRPr="002B1007">
        <w:rPr>
          <w:rFonts w:cs="Arial"/>
        </w:rPr>
        <w:t xml:space="preserve">. </w:t>
      </w:r>
    </w:p>
    <w:p w:rsidR="00C140EF" w:rsidRPr="002B1007" w:rsidRDefault="00C140EF" w:rsidP="00495347">
      <w:pPr>
        <w:pStyle w:val="BodyTextIndent"/>
      </w:pPr>
    </w:p>
    <w:p w:rsidR="00C140EF" w:rsidRPr="0010148C" w:rsidRDefault="00C140EF" w:rsidP="00884FA5">
      <w:pPr>
        <w:tabs>
          <w:tab w:val="left" w:pos="-1440"/>
        </w:tabs>
        <w:ind w:left="720" w:hanging="720"/>
      </w:pPr>
      <w:r w:rsidRPr="002B1007">
        <w:t>13.</w:t>
      </w:r>
      <w:r w:rsidRPr="002B1007">
        <w:tab/>
      </w:r>
      <w:r w:rsidRPr="002B1007">
        <w:rPr>
          <w:u w:val="single"/>
        </w:rPr>
        <w:t>Total Annual Non-Wage Cost Burden to Respondents</w:t>
      </w:r>
    </w:p>
    <w:p w:rsidR="00C140EF" w:rsidRPr="0010148C" w:rsidRDefault="00C140EF" w:rsidP="00884FA5">
      <w:pPr>
        <w:ind w:left="720" w:hanging="720"/>
      </w:pPr>
    </w:p>
    <w:p w:rsidR="00C140EF" w:rsidRPr="0010148C" w:rsidRDefault="00C140EF" w:rsidP="00884FA5">
      <w:pPr>
        <w:tabs>
          <w:tab w:val="left" w:pos="-1440"/>
        </w:tabs>
        <w:ind w:left="720" w:hanging="720"/>
      </w:pPr>
      <w:r>
        <w:tab/>
      </w:r>
      <w:r w:rsidRPr="0010148C">
        <w:t>a.</w:t>
      </w:r>
      <w:r w:rsidRPr="0010148C">
        <w:tab/>
      </w:r>
      <w:r w:rsidRPr="0010148C">
        <w:rPr>
          <w:u w:val="single"/>
        </w:rPr>
        <w:t>Annualized Capital and Start-Up Costs</w:t>
      </w:r>
    </w:p>
    <w:p w:rsidR="00C140EF" w:rsidRPr="0010148C" w:rsidRDefault="00C140EF" w:rsidP="00884FA5">
      <w:pPr>
        <w:ind w:left="720" w:hanging="720"/>
      </w:pPr>
    </w:p>
    <w:p w:rsidR="00C140EF" w:rsidRPr="0010148C" w:rsidRDefault="00C140EF" w:rsidP="00884FA5">
      <w:pPr>
        <w:ind w:left="720" w:hanging="720"/>
      </w:pPr>
      <w:r>
        <w:tab/>
      </w:r>
      <w:r w:rsidRPr="0010148C">
        <w:t xml:space="preserve">The information collection requirements of </w:t>
      </w:r>
      <w:r w:rsidR="00084A05">
        <w:t>§</w:t>
      </w:r>
      <w:r w:rsidRPr="0010148C">
        <w:t>772.12 do not involve any capital or start-up costs apart from expenditures associated with (1) customary business practices concerning establishment and operation of a mining entity, or (2) general administration of a regulatory agency.  None are directly attributable to the information collection requirements of</w:t>
      </w:r>
      <w:r w:rsidR="00C01ED0">
        <w:t xml:space="preserve"> §</w:t>
      </w:r>
      <w:r w:rsidRPr="0010148C">
        <w:t>772.12.</w:t>
      </w:r>
    </w:p>
    <w:p w:rsidR="00C140EF" w:rsidRPr="0010148C" w:rsidRDefault="00C140EF" w:rsidP="00884FA5">
      <w:pPr>
        <w:ind w:left="720" w:hanging="720"/>
      </w:pPr>
    </w:p>
    <w:p w:rsidR="00C140EF" w:rsidRPr="0010148C" w:rsidRDefault="00C140EF" w:rsidP="00884FA5">
      <w:pPr>
        <w:tabs>
          <w:tab w:val="left" w:pos="-1440"/>
        </w:tabs>
        <w:ind w:left="720" w:hanging="720"/>
      </w:pPr>
      <w:r>
        <w:tab/>
      </w:r>
      <w:r w:rsidRPr="0010148C">
        <w:t>b.</w:t>
      </w:r>
      <w:r w:rsidRPr="0010148C">
        <w:tab/>
      </w:r>
      <w:r w:rsidRPr="0010148C">
        <w:rPr>
          <w:u w:val="single"/>
        </w:rPr>
        <w:t>Operation and Maintenance Costs</w:t>
      </w:r>
    </w:p>
    <w:p w:rsidR="00C140EF" w:rsidRPr="0010148C" w:rsidRDefault="00C140EF" w:rsidP="00884FA5">
      <w:pPr>
        <w:ind w:left="720" w:hanging="720"/>
      </w:pPr>
    </w:p>
    <w:p w:rsidR="00C140EF" w:rsidRPr="002B1007" w:rsidRDefault="00C140EF" w:rsidP="00884FA5">
      <w:pPr>
        <w:ind w:left="720" w:hanging="720"/>
      </w:pPr>
      <w:r>
        <w:tab/>
      </w:r>
      <w:r w:rsidRPr="0010148C">
        <w:t xml:space="preserve">The only significant or distinct non-wage operation or maintenance cost associated with compliance with the information collection requirements of </w:t>
      </w:r>
      <w:r w:rsidR="00C01ED0">
        <w:t>§</w:t>
      </w:r>
      <w:r w:rsidRPr="0010148C">
        <w:t xml:space="preserve">772.12 is the newspaper notice that permit applicants must publish and the four decision notification letters that the regulatory authority must send for the average coal exploration application.  Based on </w:t>
      </w:r>
      <w:r w:rsidR="0053010F">
        <w:t xml:space="preserve">a recent discussion with </w:t>
      </w:r>
      <w:r w:rsidR="00FA552D">
        <w:t xml:space="preserve">two Field Office Directors, </w:t>
      </w:r>
      <w:r w:rsidR="0053010F">
        <w:t xml:space="preserve">we found that </w:t>
      </w:r>
      <w:r w:rsidR="00FA552D">
        <w:t xml:space="preserve">the previously estimated </w:t>
      </w:r>
      <w:r w:rsidR="0053010F">
        <w:t>ad rates</w:t>
      </w:r>
      <w:r w:rsidR="00FA552D">
        <w:t xml:space="preserve"> from the last update are still accurate.  </w:t>
      </w:r>
      <w:r w:rsidR="0053010F">
        <w:t>A</w:t>
      </w:r>
      <w:r w:rsidRPr="0010148C">
        <w:t xml:space="preserve"> one-time publication of a </w:t>
      </w:r>
      <w:r w:rsidR="0053010F">
        <w:t xml:space="preserve">3” by 5” </w:t>
      </w:r>
      <w:r w:rsidRPr="0010148C">
        <w:t xml:space="preserve">newspaper notice </w:t>
      </w:r>
      <w:r w:rsidR="0053010F">
        <w:t xml:space="preserve">ranged in cost from $66 to $139, with </w:t>
      </w:r>
      <w:r w:rsidRPr="0010148C">
        <w:t xml:space="preserve">an average </w:t>
      </w:r>
      <w:r w:rsidR="0053010F">
        <w:t xml:space="preserve">cost </w:t>
      </w:r>
      <w:r w:rsidRPr="0010148C">
        <w:t>of $</w:t>
      </w:r>
      <w:r w:rsidR="0053010F">
        <w:t>100</w:t>
      </w:r>
      <w:r w:rsidRPr="0010148C">
        <w:t xml:space="preserve"> per notice</w:t>
      </w:r>
      <w:r w:rsidR="0053010F">
        <w:t xml:space="preserve">.  We estimate </w:t>
      </w:r>
      <w:r w:rsidRPr="0010148C">
        <w:t xml:space="preserve">that the regulatory authority will incur an average of $4 in copying and office </w:t>
      </w:r>
      <w:r w:rsidRPr="002B1007">
        <w:t xml:space="preserve">supply costs and delivery charges for each decision notification letter.  Therefore, we estimate that permit applicants will incur annual publication expenses of </w:t>
      </w:r>
      <w:r w:rsidRPr="002B1007">
        <w:rPr>
          <w:bCs/>
        </w:rPr>
        <w:t>$</w:t>
      </w:r>
      <w:r w:rsidR="00FA552D" w:rsidRPr="002B1007">
        <w:rPr>
          <w:bCs/>
        </w:rPr>
        <w:t>208</w:t>
      </w:r>
      <w:r w:rsidRPr="002B1007">
        <w:t xml:space="preserve"> (one notice per application x </w:t>
      </w:r>
      <w:r w:rsidR="00FA552D" w:rsidRPr="002B1007">
        <w:t>2</w:t>
      </w:r>
      <w:r w:rsidRPr="002B1007">
        <w:t xml:space="preserve"> applications per year x $</w:t>
      </w:r>
      <w:r w:rsidR="00732140" w:rsidRPr="002B1007">
        <w:t>104</w:t>
      </w:r>
      <w:r w:rsidRPr="002B1007">
        <w:t xml:space="preserve"> for publication of each notice).</w:t>
      </w:r>
    </w:p>
    <w:p w:rsidR="00C140EF" w:rsidRPr="002B1007" w:rsidRDefault="00C140EF" w:rsidP="00884FA5">
      <w:pPr>
        <w:ind w:left="720" w:hanging="720"/>
      </w:pPr>
    </w:p>
    <w:p w:rsidR="00EE3B84" w:rsidRPr="002B1007" w:rsidRDefault="00C140EF" w:rsidP="00884FA5">
      <w:pPr>
        <w:ind w:left="720" w:hanging="720"/>
      </w:pPr>
      <w:r w:rsidRPr="002B1007">
        <w:tab/>
        <w:t xml:space="preserve">Similarly, we estimate that the </w:t>
      </w:r>
      <w:r w:rsidR="00C01ED0" w:rsidRPr="002B1007">
        <w:t>s</w:t>
      </w:r>
      <w:r w:rsidRPr="002B1007">
        <w:t xml:space="preserve">tate regulatory authorities will incur non-wage expenses of </w:t>
      </w:r>
      <w:r w:rsidRPr="002B1007">
        <w:rPr>
          <w:bCs/>
        </w:rPr>
        <w:t>$</w:t>
      </w:r>
      <w:r w:rsidR="00FA552D" w:rsidRPr="002B1007">
        <w:rPr>
          <w:bCs/>
        </w:rPr>
        <w:t>80</w:t>
      </w:r>
      <w:r w:rsidRPr="002B1007">
        <w:t xml:space="preserve"> for decision notification letters (</w:t>
      </w:r>
      <w:r w:rsidR="00AA460D" w:rsidRPr="002B1007">
        <w:t>10</w:t>
      </w:r>
      <w:r w:rsidRPr="002B1007">
        <w:t xml:space="preserve"> letters per decision x </w:t>
      </w:r>
      <w:r w:rsidR="00FA552D" w:rsidRPr="002B1007">
        <w:t>2</w:t>
      </w:r>
      <w:r w:rsidR="00C01ED0" w:rsidRPr="002B1007">
        <w:t xml:space="preserve"> applications received by s</w:t>
      </w:r>
      <w:r w:rsidRPr="002B1007">
        <w:t xml:space="preserve">tate regulatory authorities per year x $4 per letter).  </w:t>
      </w:r>
    </w:p>
    <w:p w:rsidR="00EE3B84" w:rsidRPr="002B1007" w:rsidRDefault="00EE3B84" w:rsidP="00884FA5">
      <w:pPr>
        <w:ind w:left="720" w:hanging="720"/>
      </w:pPr>
    </w:p>
    <w:p w:rsidR="00C140EF" w:rsidRPr="0010148C" w:rsidRDefault="00C140EF" w:rsidP="00EE3B84">
      <w:pPr>
        <w:ind w:left="720"/>
      </w:pPr>
      <w:r w:rsidRPr="002B1007">
        <w:t xml:space="preserve">For all respondents, we estimate that annual non-wage operation and maintenance costs will total </w:t>
      </w:r>
      <w:r w:rsidRPr="002B1007">
        <w:rPr>
          <w:b/>
          <w:bCs/>
        </w:rPr>
        <w:t>$</w:t>
      </w:r>
      <w:r w:rsidR="00FA552D" w:rsidRPr="002B1007">
        <w:rPr>
          <w:b/>
          <w:bCs/>
        </w:rPr>
        <w:t>288</w:t>
      </w:r>
      <w:r w:rsidRPr="002B1007">
        <w:t xml:space="preserve"> ($</w:t>
      </w:r>
      <w:r w:rsidR="00FA552D" w:rsidRPr="002B1007">
        <w:t>208</w:t>
      </w:r>
      <w:r w:rsidRPr="002B1007">
        <w:t xml:space="preserve"> for permit applicants + $</w:t>
      </w:r>
      <w:r w:rsidR="00FA552D" w:rsidRPr="002B1007">
        <w:t>80</w:t>
      </w:r>
      <w:r w:rsidRPr="002B1007">
        <w:t xml:space="preserve"> for </w:t>
      </w:r>
      <w:r w:rsidR="00C01ED0" w:rsidRPr="002B1007">
        <w:t>s</w:t>
      </w:r>
      <w:r w:rsidRPr="002B1007">
        <w:t>tate regulatory authorities</w:t>
      </w:r>
      <w:r w:rsidRPr="00AA460D">
        <w:t>).</w:t>
      </w:r>
    </w:p>
    <w:p w:rsidR="00C140EF" w:rsidRPr="0010148C" w:rsidRDefault="00C140EF" w:rsidP="00884FA5">
      <w:pPr>
        <w:ind w:left="720" w:hanging="720"/>
      </w:pPr>
    </w:p>
    <w:p w:rsidR="00C140EF" w:rsidRPr="0010148C" w:rsidRDefault="00C140EF" w:rsidP="00884FA5">
      <w:pPr>
        <w:tabs>
          <w:tab w:val="left" w:pos="-1440"/>
        </w:tabs>
        <w:ind w:left="720" w:hanging="720"/>
      </w:pPr>
      <w:r w:rsidRPr="0010148C">
        <w:t>14.</w:t>
      </w:r>
      <w:r w:rsidRPr="0010148C">
        <w:tab/>
      </w:r>
      <w:r w:rsidRPr="0010148C">
        <w:rPr>
          <w:u w:val="single"/>
        </w:rPr>
        <w:t>Estimate of Annualized Cost to the Federal Government</w:t>
      </w:r>
    </w:p>
    <w:p w:rsidR="00C140EF" w:rsidRPr="0010148C" w:rsidRDefault="00C140EF" w:rsidP="00884FA5">
      <w:pPr>
        <w:ind w:left="720" w:hanging="720"/>
      </w:pPr>
    </w:p>
    <w:p w:rsidR="00306F25" w:rsidRPr="001154F2" w:rsidRDefault="00C140EF" w:rsidP="00306F25">
      <w:pPr>
        <w:pStyle w:val="BodyTextIndent"/>
        <w:ind w:left="720"/>
        <w:rPr>
          <w:rFonts w:cs="Arial"/>
        </w:rPr>
      </w:pPr>
      <w:r w:rsidRPr="0010148C">
        <w:rPr>
          <w:u w:val="single"/>
        </w:rPr>
        <w:t>Oversight</w:t>
      </w:r>
      <w:r w:rsidRPr="0010148C">
        <w:t xml:space="preserve">:  In keeping with the current guidance concerning oversight of State program implementation, which de-emphasizes process reviews, </w:t>
      </w:r>
      <w:r w:rsidR="00913CF2">
        <w:rPr>
          <w:rFonts w:cs="Arial"/>
        </w:rPr>
        <w:t>OSMRE</w:t>
      </w:r>
      <w:r>
        <w:rPr>
          <w:rFonts w:cs="Arial"/>
        </w:rPr>
        <w:t xml:space="preserve"> does</w:t>
      </w:r>
      <w:r w:rsidRPr="0010148C">
        <w:t xml:space="preserve"> not anticipate conducting any significant oversight review of State compliance with the requirements of </w:t>
      </w:r>
      <w:r w:rsidR="00306F25">
        <w:t>§</w:t>
      </w:r>
      <w:r w:rsidRPr="0010148C">
        <w:t>772.12 in the absence of an</w:t>
      </w:r>
      <w:r>
        <w:rPr>
          <w:rFonts w:cs="Arial"/>
        </w:rPr>
        <w:t>y</w:t>
      </w:r>
      <w:r w:rsidRPr="0010148C">
        <w:t xml:space="preserve"> indication of </w:t>
      </w:r>
      <w:r>
        <w:rPr>
          <w:rFonts w:cs="Arial"/>
        </w:rPr>
        <w:t xml:space="preserve">programmatic </w:t>
      </w:r>
      <w:r w:rsidRPr="0010148C">
        <w:t xml:space="preserve">problems.  </w:t>
      </w:r>
      <w:r w:rsidR="00306F25">
        <w:rPr>
          <w:rFonts w:cs="Arial"/>
        </w:rPr>
        <w:t xml:space="preserve">If we conduct an oversight review </w:t>
      </w:r>
      <w:r w:rsidR="00306F25" w:rsidRPr="001154F2">
        <w:rPr>
          <w:rFonts w:cs="Arial"/>
        </w:rPr>
        <w:t>of this topic in one state program per year, that review would require an average of 40 hours at $</w:t>
      </w:r>
      <w:r w:rsidR="004A214D" w:rsidRPr="001154F2">
        <w:rPr>
          <w:rFonts w:cs="Arial"/>
        </w:rPr>
        <w:t>6</w:t>
      </w:r>
      <w:r w:rsidR="002B1007" w:rsidRPr="001154F2">
        <w:rPr>
          <w:rFonts w:cs="Arial"/>
        </w:rPr>
        <w:t>2</w:t>
      </w:r>
      <w:r w:rsidR="004A214D" w:rsidRPr="001154F2">
        <w:rPr>
          <w:rFonts w:cs="Arial"/>
        </w:rPr>
        <w:t>.</w:t>
      </w:r>
      <w:r w:rsidR="002B1007" w:rsidRPr="001154F2">
        <w:rPr>
          <w:rFonts w:cs="Arial"/>
        </w:rPr>
        <w:t>70</w:t>
      </w:r>
      <w:r w:rsidR="00306F25" w:rsidRPr="001154F2">
        <w:rPr>
          <w:rFonts w:cs="Arial"/>
        </w:rPr>
        <w:t xml:space="preserve"> per hour (GS-12/5 regulatory program specialist/mining engineer reviewing the application, including 1.</w:t>
      </w:r>
      <w:r w:rsidR="002B1007" w:rsidRPr="001154F2">
        <w:rPr>
          <w:rFonts w:cs="Arial"/>
        </w:rPr>
        <w:t>6</w:t>
      </w:r>
      <w:r w:rsidR="00306F25" w:rsidRPr="001154F2">
        <w:rPr>
          <w:rFonts w:cs="Arial"/>
        </w:rPr>
        <w:t xml:space="preserve"> multiplier for benefits.  S</w:t>
      </w:r>
      <w:r w:rsidR="00306F25" w:rsidRPr="001154F2">
        <w:t xml:space="preserve">ee item 14, page </w:t>
      </w:r>
      <w:r w:rsidR="001154F2" w:rsidRPr="001154F2">
        <w:t>8</w:t>
      </w:r>
      <w:r w:rsidR="00306F25" w:rsidRPr="001154F2">
        <w:t xml:space="preserve">, for an explanation of wages and benefits).  </w:t>
      </w:r>
      <w:r w:rsidR="00306F25" w:rsidRPr="001154F2">
        <w:rPr>
          <w:rFonts w:cs="Arial"/>
        </w:rPr>
        <w:t xml:space="preserve">The annual cost to </w:t>
      </w:r>
      <w:r w:rsidR="00913CF2" w:rsidRPr="001154F2">
        <w:rPr>
          <w:rFonts w:cs="Arial"/>
        </w:rPr>
        <w:t>OSMRE</w:t>
      </w:r>
      <w:r w:rsidR="00306F25" w:rsidRPr="001154F2">
        <w:rPr>
          <w:rFonts w:cs="Arial"/>
        </w:rPr>
        <w:t xml:space="preserve"> for this oversight activity is estimated to be $</w:t>
      </w:r>
      <w:r w:rsidR="004A214D" w:rsidRPr="001154F2">
        <w:rPr>
          <w:rFonts w:cs="Arial"/>
        </w:rPr>
        <w:t>2</w:t>
      </w:r>
      <w:r w:rsidR="00306F25" w:rsidRPr="001154F2">
        <w:rPr>
          <w:rFonts w:cs="Arial"/>
        </w:rPr>
        <w:t>,</w:t>
      </w:r>
      <w:r w:rsidR="001154F2" w:rsidRPr="001154F2">
        <w:rPr>
          <w:rFonts w:cs="Arial"/>
        </w:rPr>
        <w:t>508</w:t>
      </w:r>
      <w:r w:rsidR="00306F25" w:rsidRPr="001154F2">
        <w:rPr>
          <w:rFonts w:cs="Arial"/>
        </w:rPr>
        <w:t>.</w:t>
      </w:r>
    </w:p>
    <w:p w:rsidR="00306F25" w:rsidRPr="001154F2" w:rsidRDefault="00306F25" w:rsidP="00306F25">
      <w:pPr>
        <w:pStyle w:val="BodyTextIndent"/>
        <w:ind w:left="720"/>
        <w:rPr>
          <w:rFonts w:cs="Arial"/>
        </w:rPr>
      </w:pPr>
    </w:p>
    <w:p w:rsidR="00306F25" w:rsidRPr="001154F2" w:rsidRDefault="00C140EF" w:rsidP="00306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1154F2">
        <w:rPr>
          <w:u w:val="single"/>
        </w:rPr>
        <w:t>Federal Programs</w:t>
      </w:r>
      <w:r w:rsidRPr="001154F2">
        <w:t xml:space="preserve">:  </w:t>
      </w:r>
      <w:r w:rsidRPr="001154F2">
        <w:rPr>
          <w:rFonts w:cs="Arial"/>
        </w:rPr>
        <w:t>Based upon data collected</w:t>
      </w:r>
      <w:r w:rsidRPr="001154F2">
        <w:t xml:space="preserve"> in </w:t>
      </w:r>
      <w:r w:rsidR="00FA552D" w:rsidRPr="001154F2">
        <w:t>2016</w:t>
      </w:r>
      <w:r w:rsidRPr="001154F2">
        <w:rPr>
          <w:rFonts w:cs="Arial"/>
        </w:rPr>
        <w:t xml:space="preserve">, </w:t>
      </w:r>
      <w:r w:rsidR="00FA552D" w:rsidRPr="001154F2">
        <w:rPr>
          <w:rFonts w:cs="Arial"/>
        </w:rPr>
        <w:t xml:space="preserve">OSMRE </w:t>
      </w:r>
      <w:r w:rsidR="00974421" w:rsidRPr="001154F2">
        <w:rPr>
          <w:rFonts w:cs="Arial"/>
        </w:rPr>
        <w:t>does not expect to</w:t>
      </w:r>
      <w:r w:rsidR="00FA552D" w:rsidRPr="001154F2">
        <w:rPr>
          <w:rFonts w:cs="Arial"/>
        </w:rPr>
        <w:t xml:space="preserve"> process any application for an exploration permit on those lands</w:t>
      </w:r>
      <w:r w:rsidRPr="001154F2">
        <w:rPr>
          <w:rFonts w:cs="Arial"/>
        </w:rPr>
        <w:t xml:space="preserve"> for which </w:t>
      </w:r>
      <w:r w:rsidR="00306F25" w:rsidRPr="001154F2">
        <w:rPr>
          <w:rFonts w:cs="Arial"/>
        </w:rPr>
        <w:t xml:space="preserve">we are </w:t>
      </w:r>
      <w:r w:rsidRPr="001154F2">
        <w:t>the regulatory authority</w:t>
      </w:r>
      <w:r w:rsidR="00974421" w:rsidRPr="001154F2">
        <w:t>.</w:t>
      </w:r>
      <w:r w:rsidR="00306F25" w:rsidRPr="001154F2">
        <w:rPr>
          <w:rFonts w:cs="Arial"/>
        </w:rPr>
        <w:t xml:space="preserve"> </w:t>
      </w:r>
    </w:p>
    <w:p w:rsidR="00C140EF" w:rsidRPr="001154F2" w:rsidRDefault="00C140EF" w:rsidP="00306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140EF" w:rsidRPr="001154F2" w:rsidRDefault="00C140EF" w:rsidP="0065349A">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1154F2">
        <w:rPr>
          <w:u w:val="single"/>
        </w:rPr>
        <w:t>Total Federal Cost</w:t>
      </w:r>
    </w:p>
    <w:p w:rsidR="00C140EF" w:rsidRPr="001154F2" w:rsidRDefault="00C140EF" w:rsidP="0065349A">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rsidR="00C140EF" w:rsidRPr="001154F2" w:rsidRDefault="00097566" w:rsidP="00097566">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cs="Arial"/>
        </w:rPr>
        <w:tab/>
      </w:r>
      <w:r>
        <w:rPr>
          <w:rFonts w:cs="Arial"/>
        </w:rPr>
        <w:tab/>
      </w:r>
      <w:r w:rsidR="00C140EF" w:rsidRPr="001154F2">
        <w:rPr>
          <w:rFonts w:cs="Arial"/>
        </w:rPr>
        <w:t>$</w:t>
      </w:r>
      <w:r w:rsidR="004A214D" w:rsidRPr="001154F2">
        <w:rPr>
          <w:rFonts w:cs="Arial"/>
        </w:rPr>
        <w:t>2</w:t>
      </w:r>
      <w:r w:rsidR="00C140EF" w:rsidRPr="001154F2">
        <w:rPr>
          <w:rFonts w:cs="Arial"/>
        </w:rPr>
        <w:t>,</w:t>
      </w:r>
      <w:r w:rsidR="001154F2" w:rsidRPr="001154F2">
        <w:rPr>
          <w:rFonts w:cs="Arial"/>
        </w:rPr>
        <w:t>508</w:t>
      </w:r>
      <w:r w:rsidR="00C140EF" w:rsidRPr="001154F2">
        <w:t xml:space="preserve">  Oversight</w:t>
      </w:r>
    </w:p>
    <w:p w:rsidR="00C140EF" w:rsidRPr="001154F2" w:rsidRDefault="00C140EF" w:rsidP="00097566">
      <w:pPr>
        <w:keepLines/>
        <w:tabs>
          <w:tab w:val="left" w:pos="-144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pPr>
      <w:r w:rsidRPr="001154F2">
        <w:rPr>
          <w:rFonts w:cs="Arial"/>
        </w:rPr>
        <w:tab/>
        <w:t xml:space="preserve">  </w:t>
      </w:r>
      <w:r w:rsidRPr="001154F2">
        <w:rPr>
          <w:rFonts w:cs="Arial"/>
          <w:u w:val="single"/>
        </w:rPr>
        <w:t>+</w:t>
      </w:r>
      <w:r w:rsidR="00097566">
        <w:rPr>
          <w:rFonts w:cs="Arial"/>
          <w:u w:val="single"/>
        </w:rPr>
        <w:tab/>
      </w:r>
      <w:r w:rsidRPr="001154F2">
        <w:rPr>
          <w:rFonts w:cs="Arial"/>
          <w:u w:val="single"/>
        </w:rPr>
        <w:t>$</w:t>
      </w:r>
      <w:r w:rsidR="00097566">
        <w:rPr>
          <w:rFonts w:cs="Arial"/>
          <w:u w:val="single"/>
        </w:rPr>
        <w:t xml:space="preserve">       </w:t>
      </w:r>
      <w:r w:rsidR="00974421" w:rsidRPr="001154F2">
        <w:rPr>
          <w:rFonts w:cs="Arial"/>
          <w:u w:val="single"/>
        </w:rPr>
        <w:t xml:space="preserve">0 </w:t>
      </w:r>
      <w:r w:rsidRPr="001154F2">
        <w:t xml:space="preserve">Federal </w:t>
      </w:r>
      <w:r w:rsidRPr="001154F2">
        <w:rPr>
          <w:rFonts w:cs="Arial"/>
        </w:rPr>
        <w:t>Programs</w:t>
      </w:r>
    </w:p>
    <w:p w:rsidR="00C140EF" w:rsidRPr="001154F2" w:rsidRDefault="00C140EF" w:rsidP="00097566">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154F2">
        <w:rPr>
          <w:rFonts w:cs="Arial"/>
        </w:rPr>
        <w:tab/>
        <w:t xml:space="preserve">     </w:t>
      </w:r>
      <w:r w:rsidR="00097566">
        <w:rPr>
          <w:rFonts w:cs="Arial"/>
        </w:rPr>
        <w:tab/>
      </w:r>
      <w:r w:rsidRPr="001154F2">
        <w:rPr>
          <w:rFonts w:cs="Arial"/>
        </w:rPr>
        <w:t>$</w:t>
      </w:r>
      <w:r w:rsidR="00974421" w:rsidRPr="001154F2">
        <w:rPr>
          <w:rFonts w:cs="Arial"/>
        </w:rPr>
        <w:t>2,</w:t>
      </w:r>
      <w:r w:rsidR="001154F2" w:rsidRPr="001154F2">
        <w:rPr>
          <w:rFonts w:cs="Arial"/>
        </w:rPr>
        <w:t>508</w:t>
      </w:r>
      <w:r w:rsidRPr="001154F2">
        <w:t xml:space="preserve">  Total </w:t>
      </w:r>
      <w:r w:rsidRPr="001154F2">
        <w:rPr>
          <w:rFonts w:cs="Arial"/>
        </w:rPr>
        <w:t>Federal Cost</w:t>
      </w:r>
    </w:p>
    <w:p w:rsidR="00C140EF" w:rsidRPr="001154F2" w:rsidRDefault="00C140EF" w:rsidP="0065349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37D5" w:rsidRDefault="00C140EF" w:rsidP="00AA37D5">
      <w:pPr>
        <w:tabs>
          <w:tab w:val="left" w:pos="-1440"/>
        </w:tabs>
        <w:ind w:left="720" w:hanging="720"/>
      </w:pPr>
      <w:r w:rsidRPr="001154F2">
        <w:t>15.</w:t>
      </w:r>
      <w:r w:rsidRPr="001154F2">
        <w:tab/>
      </w:r>
      <w:r w:rsidR="00AE6A45" w:rsidRPr="001154F2">
        <w:t xml:space="preserve">The </w:t>
      </w:r>
      <w:r w:rsidR="00974421" w:rsidRPr="001154F2">
        <w:t>246</w:t>
      </w:r>
      <w:r w:rsidR="00AE6A45" w:rsidRPr="001154F2">
        <w:t xml:space="preserve"> burden hours that we are requesting for §772.12 represents a decrease of </w:t>
      </w:r>
      <w:r w:rsidR="00974421" w:rsidRPr="001154F2">
        <w:t>1,792</w:t>
      </w:r>
      <w:r w:rsidR="00AE6A45" w:rsidRPr="001154F2">
        <w:t xml:space="preserve"> hours from the </w:t>
      </w:r>
      <w:r w:rsidR="00974421" w:rsidRPr="001154F2">
        <w:t>2,038</w:t>
      </w:r>
      <w:r w:rsidR="00AE6A45" w:rsidRPr="001154F2">
        <w:t xml:space="preserve"> hours previously approved for this activity.  This adjustment</w:t>
      </w:r>
      <w:r w:rsidR="00AE6A45">
        <w:t xml:space="preserve"> </w:t>
      </w:r>
      <w:r w:rsidR="00AE6A45" w:rsidRPr="00E94672">
        <w:t xml:space="preserve">results </w:t>
      </w:r>
      <w:r w:rsidR="00AE6A45">
        <w:t>entirely f</w:t>
      </w:r>
      <w:r w:rsidR="00AE6A45" w:rsidRPr="00E94672">
        <w:t xml:space="preserve">rom a decrease in the </w:t>
      </w:r>
      <w:r w:rsidR="00AE6A45">
        <w:t xml:space="preserve">estimated </w:t>
      </w:r>
      <w:r w:rsidR="00AE6A45" w:rsidRPr="00E94672">
        <w:t xml:space="preserve">number of </w:t>
      </w:r>
      <w:r w:rsidR="00AE6A45">
        <w:t xml:space="preserve">exploration permit applications that we would expect to be submitted annually during the next three years.  </w:t>
      </w:r>
      <w:r w:rsidR="00AA37D5">
        <w:t>Therefore, the burden will change as follows:</w:t>
      </w:r>
    </w:p>
    <w:p w:rsidR="00AA37D5" w:rsidRDefault="00AA37D5" w:rsidP="00AA37D5">
      <w:pPr>
        <w:tabs>
          <w:tab w:val="left" w:pos="1080"/>
        </w:tabs>
        <w:ind w:left="720" w:hanging="720"/>
      </w:pPr>
      <w:r>
        <w:t xml:space="preserve">  </w:t>
      </w:r>
      <w:r>
        <w:tab/>
      </w:r>
      <w:r>
        <w:tab/>
      </w:r>
    </w:p>
    <w:p w:rsidR="00AA37D5" w:rsidRPr="00E82868" w:rsidRDefault="00AA37D5" w:rsidP="00AA37D5">
      <w:pPr>
        <w:tabs>
          <w:tab w:val="left" w:pos="1080"/>
        </w:tabs>
        <w:ind w:left="720" w:hanging="720"/>
        <w:rPr>
          <w:rFonts w:cs="Shruti"/>
        </w:rPr>
      </w:pPr>
      <w:r>
        <w:tab/>
      </w:r>
      <w:r>
        <w:tab/>
      </w:r>
      <w:r w:rsidR="00974421" w:rsidRPr="00E82868">
        <w:t>2,038</w:t>
      </w:r>
      <w:r w:rsidRPr="00E82868">
        <w:t xml:space="preserve"> hours</w:t>
      </w:r>
      <w:r w:rsidRPr="00E82868">
        <w:rPr>
          <w:rFonts w:cs="Shruti"/>
        </w:rPr>
        <w:t xml:space="preserve"> currently approved by OMB</w:t>
      </w:r>
    </w:p>
    <w:p w:rsidR="00AA37D5" w:rsidRPr="00E82868" w:rsidRDefault="00AA37D5" w:rsidP="00AA37D5">
      <w:pPr>
        <w:tabs>
          <w:tab w:val="left" w:pos="1080"/>
        </w:tabs>
        <w:ind w:left="720"/>
        <w:rPr>
          <w:rFonts w:cs="Shruti"/>
        </w:rPr>
      </w:pPr>
      <w:r w:rsidRPr="00E82868">
        <w:rPr>
          <w:rFonts w:cs="Shruti"/>
          <w:u w:val="single"/>
        </w:rPr>
        <w:t>-</w:t>
      </w:r>
      <w:r w:rsidRPr="00E82868">
        <w:rPr>
          <w:rFonts w:cs="Shruti"/>
          <w:u w:val="single"/>
        </w:rPr>
        <w:tab/>
      </w:r>
      <w:r w:rsidR="00974421" w:rsidRPr="00E82868">
        <w:rPr>
          <w:rFonts w:cs="Shruti"/>
          <w:u w:val="single"/>
        </w:rPr>
        <w:t>1,792</w:t>
      </w:r>
      <w:r w:rsidRPr="00E82868">
        <w:t xml:space="preserve"> hours</w:t>
      </w:r>
      <w:r w:rsidRPr="00E82868">
        <w:rPr>
          <w:rFonts w:cs="Shruti"/>
        </w:rPr>
        <w:t xml:space="preserve"> due to an adjustment</w:t>
      </w:r>
    </w:p>
    <w:p w:rsidR="00AA37D5" w:rsidRDefault="00AA37D5" w:rsidP="00AA37D5">
      <w:pPr>
        <w:tabs>
          <w:tab w:val="left" w:pos="1080"/>
        </w:tabs>
        <w:ind w:left="720" w:hanging="720"/>
        <w:rPr>
          <w:rFonts w:cs="Shruti"/>
        </w:rPr>
      </w:pPr>
      <w:r w:rsidRPr="00E82868">
        <w:rPr>
          <w:rFonts w:cs="Shruti"/>
        </w:rPr>
        <w:tab/>
      </w:r>
      <w:r w:rsidRPr="00E82868">
        <w:rPr>
          <w:rFonts w:cs="Shruti"/>
        </w:rPr>
        <w:tab/>
      </w:r>
      <w:r w:rsidR="00974421" w:rsidRPr="00E82868">
        <w:rPr>
          <w:rFonts w:cs="Shruti"/>
        </w:rPr>
        <w:t xml:space="preserve">   246</w:t>
      </w:r>
      <w:r w:rsidRPr="00E82868">
        <w:rPr>
          <w:rFonts w:cs="Shruti"/>
        </w:rPr>
        <w:t xml:space="preserve"> hours requested</w:t>
      </w:r>
    </w:p>
    <w:p w:rsidR="00C140EF" w:rsidRPr="0010148C" w:rsidRDefault="00C140EF" w:rsidP="00884FA5">
      <w:pPr>
        <w:ind w:left="720" w:hanging="720"/>
      </w:pPr>
    </w:p>
    <w:p w:rsidR="00C140EF" w:rsidRPr="0010148C" w:rsidRDefault="00C140EF" w:rsidP="00884FA5">
      <w:pPr>
        <w:ind w:left="720" w:hanging="720"/>
      </w:pPr>
      <w:r w:rsidRPr="0010148C">
        <w:t>16.</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17.</w:t>
      </w:r>
      <w:r w:rsidRPr="0010148C">
        <w:tab/>
        <w:t>See list of items with identical responses.</w:t>
      </w:r>
    </w:p>
    <w:p w:rsidR="00C140EF" w:rsidRPr="0010148C" w:rsidRDefault="00C140EF" w:rsidP="00884FA5">
      <w:pPr>
        <w:ind w:left="720" w:hanging="720"/>
      </w:pPr>
    </w:p>
    <w:p w:rsidR="00C140EF" w:rsidRPr="0010148C" w:rsidRDefault="00C140EF" w:rsidP="00884FA5">
      <w:pPr>
        <w:ind w:left="720" w:hanging="720"/>
      </w:pPr>
      <w:r w:rsidRPr="0010148C">
        <w:t>18.</w:t>
      </w:r>
      <w:r w:rsidRPr="0010148C">
        <w:tab/>
        <w:t>See list of items with identical responses.</w:t>
      </w:r>
    </w:p>
    <w:p w:rsidR="00C140EF" w:rsidRPr="0010148C" w:rsidRDefault="00C140EF" w:rsidP="00884FA5">
      <w:pPr>
        <w:ind w:left="720" w:hanging="720"/>
      </w:pPr>
    </w:p>
    <w:p w:rsidR="006F6C2C" w:rsidRDefault="00C140EF" w:rsidP="001C7372">
      <w:pPr>
        <w:tabs>
          <w:tab w:val="center" w:pos="4680"/>
        </w:tabs>
        <w:rPr>
          <w:b/>
          <w:bCs/>
          <w:i/>
          <w:iCs/>
        </w:rPr>
      </w:pPr>
      <w:r w:rsidRPr="0010148C">
        <w:br w:type="page"/>
      </w:r>
      <w:r w:rsidRPr="0010148C">
        <w:tab/>
      </w:r>
      <w:r w:rsidRPr="0010148C">
        <w:rPr>
          <w:b/>
          <w:bCs/>
          <w:i/>
          <w:iCs/>
        </w:rPr>
        <w:t>Supporting Statement for 30 CFR 772.14</w:t>
      </w:r>
      <w:r w:rsidR="000B293F" w:rsidRPr="000B293F">
        <w:t xml:space="preserve"> </w:t>
      </w:r>
      <w:r w:rsidR="006F6C2C">
        <w:rPr>
          <w:b/>
          <w:bCs/>
          <w:i/>
          <w:iCs/>
        </w:rPr>
        <w:t>–</w:t>
      </w:r>
      <w:r w:rsidR="000B293F" w:rsidRPr="000B293F">
        <w:rPr>
          <w:b/>
          <w:bCs/>
          <w:i/>
          <w:iCs/>
        </w:rPr>
        <w:t xml:space="preserve"> </w:t>
      </w:r>
    </w:p>
    <w:p w:rsidR="00C140EF" w:rsidRPr="0010148C" w:rsidRDefault="000B293F" w:rsidP="006F6C2C">
      <w:pPr>
        <w:tabs>
          <w:tab w:val="center" w:pos="4680"/>
        </w:tabs>
        <w:jc w:val="center"/>
      </w:pPr>
      <w:r w:rsidRPr="000B293F">
        <w:rPr>
          <w:b/>
          <w:bCs/>
          <w:i/>
          <w:iCs/>
        </w:rPr>
        <w:t>Commercial use or sale.</w:t>
      </w:r>
    </w:p>
    <w:p w:rsidR="00C140EF" w:rsidRPr="0010148C" w:rsidRDefault="00C140EF" w:rsidP="001C7372"/>
    <w:p w:rsidR="00C140EF" w:rsidRPr="0010148C" w:rsidRDefault="00C140EF" w:rsidP="001C7372">
      <w:pPr>
        <w:tabs>
          <w:tab w:val="left" w:pos="-1440"/>
        </w:tabs>
      </w:pPr>
      <w:r w:rsidRPr="0010148C">
        <w:t>A.</w:t>
      </w:r>
      <w:r w:rsidRPr="0010148C">
        <w:tab/>
      </w:r>
      <w:r w:rsidRPr="0010148C">
        <w:rPr>
          <w:u w:val="single"/>
        </w:rPr>
        <w:t>Justification</w:t>
      </w:r>
    </w:p>
    <w:p w:rsidR="00C140EF" w:rsidRPr="0010148C" w:rsidRDefault="00C140EF" w:rsidP="001C7372"/>
    <w:p w:rsidR="00C140EF" w:rsidRPr="0010148C" w:rsidRDefault="00C140EF" w:rsidP="0099763E">
      <w:pPr>
        <w:tabs>
          <w:tab w:val="left" w:pos="-1440"/>
        </w:tabs>
        <w:ind w:left="720" w:hanging="720"/>
      </w:pPr>
      <w:r w:rsidRPr="0010148C">
        <w:t>1.</w:t>
      </w:r>
      <w:r w:rsidRPr="0010148C">
        <w:tab/>
        <w:t xml:space="preserve">With certain exceptions, paragraph (a) of </w:t>
      </w:r>
      <w:r w:rsidR="00084A05">
        <w:t>§</w:t>
      </w:r>
      <w:r w:rsidRPr="0010148C">
        <w:t>772.14 prohibits the sale or commercial use of coal removed from a coal exploration permit unless the person first obtains a permit to conduct surface coal mining operations.  Paragraph (b) of this section of the regulations provides an exception to this prohibition if, as part of the coal exploration permit application, the applicant submits adequate documentation that the coal is needed for testing purposes and the regulatory authority grants written authorization.  We adopted these additional restrictions and coal exploration permit application requirements to eliminate situations in which persons were conducting surface coal mining operations under the guise of coal exploration.  Coal exploration permits are easier and cheaper to obtain than surface mining permits, and performance bonds are not required.  In addition, coal exploration operations are subject to less restrictive performance standards than surface coal mining operations.  Hence, the potential to cause environmental harm is significantly greater under a coal exploration permit than it is under a permit for surface coal mining operations.</w:t>
      </w:r>
    </w:p>
    <w:p w:rsidR="00C140EF" w:rsidRPr="0010148C" w:rsidRDefault="00C140EF" w:rsidP="001C7372"/>
    <w:p w:rsidR="00C140EF" w:rsidRPr="0010148C" w:rsidRDefault="00C140EF" w:rsidP="0099763E">
      <w:pPr>
        <w:ind w:left="720" w:hanging="720"/>
      </w:pPr>
      <w:r>
        <w:tab/>
      </w:r>
      <w:r w:rsidRPr="0010148C">
        <w:t xml:space="preserve">Section 201(c)(2) of SMCRA, which provides that the Secretary shall promulgate such regulations as are necessary to carry out the purposes and provisions of the Act, authorizes collection of this information.  We have determined that collection of the information required </w:t>
      </w:r>
      <w:r w:rsidR="00CF3D29">
        <w:t>for §</w:t>
      </w:r>
      <w:r w:rsidRPr="0010148C">
        <w:t xml:space="preserve">772.14 is appropriate and necessary to fulfill the environmental protection purposes of the Act, as set forth in section 102 of SMCRA.  Without these requirements, </w:t>
      </w:r>
      <w:r w:rsidR="00913CF2">
        <w:t>OSMRE</w:t>
      </w:r>
      <w:r w:rsidRPr="0010148C">
        <w:t xml:space="preserve"> and State regulatory authorities would find it much more difficult to restrict disturbance under exploration permits to the minimum needed for legitimate exploration purposes.</w:t>
      </w:r>
    </w:p>
    <w:p w:rsidR="00C140EF" w:rsidRPr="0010148C" w:rsidRDefault="00C140EF" w:rsidP="0099763E">
      <w:pPr>
        <w:ind w:left="720" w:hanging="720"/>
      </w:pPr>
    </w:p>
    <w:p w:rsidR="00C140EF" w:rsidRPr="0010148C" w:rsidRDefault="00C140EF" w:rsidP="0099763E">
      <w:pPr>
        <w:tabs>
          <w:tab w:val="left" w:pos="-1440"/>
        </w:tabs>
        <w:ind w:left="720" w:hanging="720"/>
      </w:pPr>
      <w:r w:rsidRPr="0010148C">
        <w:t>2.</w:t>
      </w:r>
      <w:r w:rsidRPr="0010148C">
        <w:tab/>
      </w:r>
      <w:r w:rsidR="00913CF2">
        <w:t>OSMRE</w:t>
      </w:r>
      <w:r w:rsidRPr="0010148C">
        <w:t xml:space="preserve"> and State regulatory authorities under SMCRA use the information collected </w:t>
      </w:r>
      <w:r w:rsidR="00CF3D29">
        <w:t>for</w:t>
      </w:r>
      <w:r w:rsidRPr="0010148C">
        <w:t xml:space="preserve"> </w:t>
      </w:r>
      <w:r w:rsidR="00CF3D29">
        <w:t>§</w:t>
      </w:r>
      <w:r w:rsidRPr="0010148C">
        <w:t>772.14 to prevent abuse of the coal exploration regulations and to ensure that disturbance of land and natural resources caused by activities conducted under exploration permits is limited to the amount necessary for legitimate exploration and testing purposes.</w:t>
      </w:r>
    </w:p>
    <w:p w:rsidR="00C140EF" w:rsidRPr="0010148C" w:rsidRDefault="00C140EF" w:rsidP="0099763E">
      <w:pPr>
        <w:ind w:left="720" w:hanging="720"/>
      </w:pPr>
    </w:p>
    <w:p w:rsidR="00C140EF" w:rsidRPr="0010148C" w:rsidRDefault="00C140EF" w:rsidP="0099763E">
      <w:pPr>
        <w:ind w:left="720" w:hanging="720"/>
      </w:pPr>
      <w:r w:rsidRPr="0010148C">
        <w:t>3.</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4.</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5.</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6.</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7.</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8.</w:t>
      </w:r>
      <w:r w:rsidRPr="0010148C">
        <w:tab/>
        <w:t>See list of items with identical responses.</w:t>
      </w:r>
    </w:p>
    <w:p w:rsidR="00C140EF" w:rsidRPr="0010148C" w:rsidRDefault="00C140EF" w:rsidP="001C7372"/>
    <w:p w:rsidR="00C140EF" w:rsidRPr="0010148C" w:rsidRDefault="00C140EF" w:rsidP="0099763E">
      <w:pPr>
        <w:ind w:left="720" w:hanging="720"/>
      </w:pPr>
      <w:r w:rsidRPr="0010148C">
        <w:t>9.</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10.</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11.</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12.</w:t>
      </w:r>
      <w:r w:rsidRPr="0010148C">
        <w:tab/>
      </w:r>
      <w:r w:rsidRPr="0010148C">
        <w:rPr>
          <w:u w:val="single"/>
        </w:rPr>
        <w:t>Estimated Information Collection Burden</w:t>
      </w:r>
    </w:p>
    <w:p w:rsidR="00C140EF" w:rsidRPr="0010148C" w:rsidRDefault="00C140EF" w:rsidP="0099763E">
      <w:pPr>
        <w:ind w:left="720" w:hanging="720"/>
      </w:pPr>
    </w:p>
    <w:p w:rsidR="00C140EF" w:rsidRPr="0010148C" w:rsidRDefault="00C140EF" w:rsidP="0099763E">
      <w:pPr>
        <w:ind w:left="720" w:hanging="720"/>
      </w:pPr>
      <w:r>
        <w:tab/>
      </w:r>
      <w:r w:rsidRPr="0010148C">
        <w:t>a.</w:t>
      </w:r>
      <w:r w:rsidRPr="0010148C">
        <w:tab/>
      </w:r>
      <w:r w:rsidRPr="0010148C">
        <w:rPr>
          <w:u w:val="single"/>
        </w:rPr>
        <w:t>Burden Hour Estimates for Respondents</w:t>
      </w:r>
    </w:p>
    <w:p w:rsidR="00C140EF" w:rsidRPr="0010148C" w:rsidRDefault="00C140EF" w:rsidP="0099763E">
      <w:pPr>
        <w:ind w:left="720" w:hanging="720"/>
      </w:pPr>
    </w:p>
    <w:p w:rsidR="00C140EF" w:rsidRPr="0010148C" w:rsidRDefault="00C140EF" w:rsidP="0099763E">
      <w:pPr>
        <w:ind w:left="720" w:hanging="720"/>
      </w:pPr>
      <w:r>
        <w:tab/>
      </w:r>
      <w:r w:rsidRPr="00411658">
        <w:t xml:space="preserve">Since 1994, to the best of our knowledge, neither we nor the 24 </w:t>
      </w:r>
      <w:r w:rsidR="00CF3D29" w:rsidRPr="00411658">
        <w:t>s</w:t>
      </w:r>
      <w:r w:rsidRPr="00411658">
        <w:t>tate regulatory authorities have received any applications for exploration permits proposing the sale or commercial use of coal removed during the exploration process.  We anticipate that this pattern of non-use will continue for the foreseeable future.  However, for purposes of this document, we will assume that there will be one such application per year.</w:t>
      </w:r>
    </w:p>
    <w:p w:rsidR="00C140EF" w:rsidRPr="00411658" w:rsidRDefault="00C140EF" w:rsidP="0099763E">
      <w:pPr>
        <w:ind w:left="720" w:hanging="720"/>
      </w:pPr>
    </w:p>
    <w:p w:rsidR="00C140EF" w:rsidRPr="0010148C" w:rsidRDefault="00C140EF" w:rsidP="0099763E">
      <w:pPr>
        <w:ind w:left="720" w:hanging="720"/>
      </w:pPr>
      <w:r>
        <w:tab/>
      </w:r>
      <w:r w:rsidRPr="0010148C">
        <w:t xml:space="preserve">We estimate that the applicant will need an average of 16 hours to collect and compile the requested information.  We also estimate that the regulatory authority will need an average of 2 hours to review the information and make the requisite written finding.  Therefore, we estimate that the annual information collection burden for respondents </w:t>
      </w:r>
      <w:r w:rsidR="00084A05">
        <w:t>for §7</w:t>
      </w:r>
      <w:r w:rsidRPr="0010148C">
        <w:t xml:space="preserve">72.14 will total </w:t>
      </w:r>
      <w:r w:rsidRPr="0010148C">
        <w:rPr>
          <w:b/>
          <w:bCs/>
        </w:rPr>
        <w:t>18 hours</w:t>
      </w:r>
      <w:r w:rsidRPr="0010148C">
        <w:t xml:space="preserve"> (16 hours for the permit applicant </w:t>
      </w:r>
      <w:r>
        <w:t>+</w:t>
      </w:r>
      <w:r w:rsidRPr="0010148C">
        <w:t xml:space="preserve"> 2 hours for the regulatory authority).</w:t>
      </w:r>
    </w:p>
    <w:p w:rsidR="00C140EF" w:rsidRPr="0010148C" w:rsidRDefault="00C140EF" w:rsidP="0099763E">
      <w:pPr>
        <w:ind w:left="720" w:hanging="720"/>
      </w:pPr>
    </w:p>
    <w:p w:rsidR="00C140EF" w:rsidRPr="0010148C" w:rsidRDefault="00C140EF" w:rsidP="0099763E">
      <w:pPr>
        <w:ind w:left="720" w:hanging="720"/>
      </w:pPr>
      <w:r>
        <w:tab/>
      </w:r>
      <w:r w:rsidRPr="0010148C">
        <w:t>b.</w:t>
      </w:r>
      <w:r w:rsidRPr="0010148C">
        <w:tab/>
      </w:r>
      <w:r w:rsidRPr="0010148C">
        <w:rPr>
          <w:u w:val="single"/>
        </w:rPr>
        <w:t>Estimated Annual Wage Cost to Respondents</w:t>
      </w:r>
    </w:p>
    <w:p w:rsidR="00C140EF" w:rsidRPr="0010148C" w:rsidRDefault="00C140EF" w:rsidP="0099763E">
      <w:pPr>
        <w:ind w:left="720" w:hanging="720"/>
      </w:pPr>
    </w:p>
    <w:p w:rsidR="00425493" w:rsidRPr="00E65E35" w:rsidRDefault="00425493" w:rsidP="00425493">
      <w:pPr>
        <w:pStyle w:val="BodyTextIndent"/>
        <w:ind w:left="720"/>
      </w:pPr>
      <w:r>
        <w:t>W</w:t>
      </w:r>
      <w:r w:rsidRPr="00E153D1">
        <w:t xml:space="preserve">e estimate </w:t>
      </w:r>
      <w:r>
        <w:t xml:space="preserve">that mine operators will incur the </w:t>
      </w:r>
      <w:r w:rsidRPr="00E153D1">
        <w:t xml:space="preserve">following wage costs (rounded) to complete the collection </w:t>
      </w:r>
      <w:r>
        <w:t xml:space="preserve">of information required </w:t>
      </w:r>
      <w:r w:rsidRPr="00E65E35">
        <w:t xml:space="preserve">under these sections (see item 12, page </w:t>
      </w:r>
      <w:r w:rsidR="00E65E35">
        <w:t>8</w:t>
      </w:r>
      <w:r w:rsidRPr="00E65E35">
        <w:t>, for an explanation of wages and benefits):</w:t>
      </w:r>
    </w:p>
    <w:p w:rsidR="00C140EF" w:rsidRPr="00E65E35" w:rsidRDefault="00C140EF" w:rsidP="003B3F91">
      <w:pPr>
        <w:pStyle w:val="BodyTextIndent"/>
        <w:ind w:hanging="720"/>
      </w:pPr>
      <w:r w:rsidRPr="00E65E35">
        <w:tab/>
      </w:r>
      <w:r w:rsidRPr="00E65E35">
        <w:tab/>
      </w:r>
    </w:p>
    <w:p w:rsidR="00C140EF" w:rsidRPr="00E65E35" w:rsidRDefault="00C140EF" w:rsidP="003B3F91">
      <w:pPr>
        <w:pStyle w:val="BodyTextIndent"/>
        <w:ind w:hanging="720"/>
        <w:jc w:val="center"/>
      </w:pPr>
      <w:r w:rsidRPr="00E65E35">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C140EF" w:rsidRPr="00E65E35" w:rsidTr="00B63E3D">
        <w:tc>
          <w:tcPr>
            <w:tcW w:w="2520" w:type="dxa"/>
          </w:tcPr>
          <w:p w:rsidR="00C140EF" w:rsidRPr="00E65E35" w:rsidRDefault="00C140EF" w:rsidP="00B63E3D">
            <w:pPr>
              <w:pStyle w:val="BodyTextIndent"/>
              <w:ind w:left="0"/>
              <w:jc w:val="center"/>
            </w:pPr>
            <w:r w:rsidRPr="00E65E35">
              <w:t>Position</w:t>
            </w:r>
          </w:p>
        </w:tc>
        <w:tc>
          <w:tcPr>
            <w:tcW w:w="2160" w:type="dxa"/>
          </w:tcPr>
          <w:p w:rsidR="00C140EF" w:rsidRPr="00E65E35" w:rsidRDefault="00C140EF" w:rsidP="00B63E3D">
            <w:pPr>
              <w:pStyle w:val="BodyTextIndent"/>
              <w:ind w:left="0"/>
              <w:jc w:val="center"/>
            </w:pPr>
            <w:r w:rsidRPr="00E65E35">
              <w:t>Hour Burden per Response</w:t>
            </w:r>
          </w:p>
        </w:tc>
        <w:tc>
          <w:tcPr>
            <w:tcW w:w="2250" w:type="dxa"/>
          </w:tcPr>
          <w:p w:rsidR="00C140EF" w:rsidRPr="00E65E35" w:rsidRDefault="00C140EF" w:rsidP="00B63E3D">
            <w:pPr>
              <w:pStyle w:val="BodyTextIndent"/>
              <w:ind w:left="0"/>
              <w:jc w:val="center"/>
            </w:pPr>
            <w:r w:rsidRPr="00E65E35">
              <w:t>Cost Per Hour ($)</w:t>
            </w:r>
          </w:p>
        </w:tc>
        <w:tc>
          <w:tcPr>
            <w:tcW w:w="2070" w:type="dxa"/>
          </w:tcPr>
          <w:p w:rsidR="00C140EF" w:rsidRPr="00E65E35" w:rsidRDefault="00C140EF" w:rsidP="00B63E3D">
            <w:pPr>
              <w:pStyle w:val="BodyTextIndent"/>
              <w:ind w:left="0"/>
              <w:jc w:val="center"/>
            </w:pPr>
            <w:r w:rsidRPr="00E65E35">
              <w:t>Total Wage Burden ($)</w:t>
            </w:r>
          </w:p>
        </w:tc>
      </w:tr>
      <w:tr w:rsidR="00C140EF" w:rsidRPr="00E65E35" w:rsidTr="00B63E3D">
        <w:tc>
          <w:tcPr>
            <w:tcW w:w="2520" w:type="dxa"/>
          </w:tcPr>
          <w:p w:rsidR="00C140EF" w:rsidRPr="00E65E35" w:rsidRDefault="00CF3D29" w:rsidP="00B63E3D">
            <w:pPr>
              <w:pStyle w:val="BodyTextIndent"/>
              <w:ind w:left="0"/>
            </w:pPr>
            <w:r w:rsidRPr="00E65E35">
              <w:t>Administrative Support</w:t>
            </w:r>
          </w:p>
        </w:tc>
        <w:tc>
          <w:tcPr>
            <w:tcW w:w="2160" w:type="dxa"/>
          </w:tcPr>
          <w:p w:rsidR="00C140EF" w:rsidRPr="00E65E35" w:rsidRDefault="00C140EF" w:rsidP="00B63E3D">
            <w:pPr>
              <w:pStyle w:val="BodyTextIndent"/>
              <w:ind w:left="0"/>
              <w:jc w:val="center"/>
            </w:pPr>
            <w:r w:rsidRPr="00E65E35">
              <w:t>1</w:t>
            </w:r>
          </w:p>
        </w:tc>
        <w:tc>
          <w:tcPr>
            <w:tcW w:w="2250" w:type="dxa"/>
          </w:tcPr>
          <w:p w:rsidR="00C140EF" w:rsidRPr="00E65E35" w:rsidRDefault="00E65E35" w:rsidP="007F1B34">
            <w:pPr>
              <w:pStyle w:val="BodyTextIndent"/>
              <w:ind w:left="0"/>
              <w:jc w:val="center"/>
            </w:pPr>
            <w:r w:rsidRPr="00E65E35">
              <w:t>23.21</w:t>
            </w:r>
          </w:p>
        </w:tc>
        <w:tc>
          <w:tcPr>
            <w:tcW w:w="2070" w:type="dxa"/>
          </w:tcPr>
          <w:p w:rsidR="00C140EF" w:rsidRPr="00E65E35" w:rsidRDefault="00B876D1" w:rsidP="00B63E3D">
            <w:pPr>
              <w:pStyle w:val="BodyTextIndent"/>
              <w:ind w:left="0"/>
              <w:jc w:val="center"/>
            </w:pPr>
            <w:r w:rsidRPr="00E65E35">
              <w:fldChar w:fldCharType="begin"/>
            </w:r>
            <w:r w:rsidRPr="00E65E35">
              <w:instrText xml:space="preserve"> =product(LEFT) \# "#,##0" </w:instrText>
            </w:r>
            <w:r w:rsidRPr="00E65E35">
              <w:fldChar w:fldCharType="separate"/>
            </w:r>
            <w:r w:rsidRPr="00E65E35">
              <w:rPr>
                <w:noProof/>
              </w:rPr>
              <w:t xml:space="preserve">  23</w:t>
            </w:r>
            <w:r w:rsidRPr="00E65E35">
              <w:fldChar w:fldCharType="end"/>
            </w:r>
          </w:p>
        </w:tc>
      </w:tr>
      <w:tr w:rsidR="00C140EF" w:rsidRPr="00E65E35" w:rsidTr="00B63E3D">
        <w:tc>
          <w:tcPr>
            <w:tcW w:w="2520" w:type="dxa"/>
          </w:tcPr>
          <w:p w:rsidR="00C140EF" w:rsidRPr="00E65E35" w:rsidRDefault="00C140EF" w:rsidP="00B63E3D">
            <w:pPr>
              <w:pStyle w:val="BodyTextIndent"/>
              <w:ind w:left="0"/>
            </w:pPr>
            <w:r w:rsidRPr="00E65E35">
              <w:t>Mining Engineer</w:t>
            </w:r>
          </w:p>
        </w:tc>
        <w:tc>
          <w:tcPr>
            <w:tcW w:w="2160" w:type="dxa"/>
          </w:tcPr>
          <w:p w:rsidR="00C140EF" w:rsidRPr="00E65E35" w:rsidRDefault="00C140EF" w:rsidP="00B63E3D">
            <w:pPr>
              <w:pStyle w:val="BodyTextIndent"/>
              <w:ind w:left="0"/>
              <w:jc w:val="center"/>
            </w:pPr>
            <w:r w:rsidRPr="00E65E35">
              <w:t>14</w:t>
            </w:r>
          </w:p>
        </w:tc>
        <w:tc>
          <w:tcPr>
            <w:tcW w:w="2250" w:type="dxa"/>
          </w:tcPr>
          <w:p w:rsidR="00C140EF" w:rsidRPr="00E65E35" w:rsidRDefault="00E65E35" w:rsidP="00B876D1">
            <w:pPr>
              <w:pStyle w:val="BodyTextIndent"/>
              <w:ind w:left="0"/>
              <w:jc w:val="center"/>
            </w:pPr>
            <w:r w:rsidRPr="00E65E35">
              <w:t>59.40</w:t>
            </w:r>
          </w:p>
        </w:tc>
        <w:tc>
          <w:tcPr>
            <w:tcW w:w="2070" w:type="dxa"/>
          </w:tcPr>
          <w:p w:rsidR="00C140EF" w:rsidRPr="00E65E35" w:rsidRDefault="00B876D1" w:rsidP="00E65E35">
            <w:pPr>
              <w:pStyle w:val="BodyTextIndent"/>
              <w:ind w:left="0"/>
              <w:jc w:val="center"/>
            </w:pPr>
            <w:r w:rsidRPr="00E65E35">
              <w:fldChar w:fldCharType="begin"/>
            </w:r>
            <w:r w:rsidRPr="00E65E35">
              <w:instrText xml:space="preserve"> =product(LEFT) \# "#,##0" </w:instrText>
            </w:r>
            <w:r w:rsidRPr="00E65E35">
              <w:fldChar w:fldCharType="separate"/>
            </w:r>
            <w:r w:rsidRPr="00E65E35">
              <w:rPr>
                <w:noProof/>
              </w:rPr>
              <w:t xml:space="preserve"> 8</w:t>
            </w:r>
            <w:r w:rsidR="00E65E35" w:rsidRPr="00E65E35">
              <w:rPr>
                <w:noProof/>
              </w:rPr>
              <w:t>3</w:t>
            </w:r>
            <w:r w:rsidRPr="00E65E35">
              <w:rPr>
                <w:noProof/>
              </w:rPr>
              <w:t>2</w:t>
            </w:r>
            <w:r w:rsidRPr="00E65E35">
              <w:fldChar w:fldCharType="end"/>
            </w:r>
          </w:p>
        </w:tc>
      </w:tr>
      <w:tr w:rsidR="00C140EF" w:rsidRPr="00E65E35" w:rsidTr="00B63E3D">
        <w:tc>
          <w:tcPr>
            <w:tcW w:w="2520" w:type="dxa"/>
          </w:tcPr>
          <w:p w:rsidR="00C140EF" w:rsidRPr="00E65E35" w:rsidRDefault="00C140EF" w:rsidP="00B63E3D">
            <w:pPr>
              <w:pStyle w:val="BodyTextIndent"/>
              <w:ind w:left="0"/>
            </w:pPr>
            <w:r w:rsidRPr="00E65E35">
              <w:t>Operations Manager</w:t>
            </w:r>
          </w:p>
        </w:tc>
        <w:tc>
          <w:tcPr>
            <w:tcW w:w="2160" w:type="dxa"/>
          </w:tcPr>
          <w:p w:rsidR="00C140EF" w:rsidRPr="00E65E35" w:rsidRDefault="00C140EF" w:rsidP="00B63E3D">
            <w:pPr>
              <w:pStyle w:val="BodyTextIndent"/>
              <w:ind w:left="0"/>
              <w:jc w:val="center"/>
            </w:pPr>
            <w:r w:rsidRPr="00E65E35">
              <w:t>1</w:t>
            </w:r>
          </w:p>
        </w:tc>
        <w:tc>
          <w:tcPr>
            <w:tcW w:w="2250" w:type="dxa"/>
          </w:tcPr>
          <w:p w:rsidR="00C140EF" w:rsidRPr="00E65E35" w:rsidRDefault="00E65E35" w:rsidP="00B876D1">
            <w:pPr>
              <w:pStyle w:val="BodyTextIndent"/>
              <w:ind w:left="0"/>
              <w:jc w:val="center"/>
            </w:pPr>
            <w:r w:rsidRPr="00E65E35">
              <w:t>97.68</w:t>
            </w:r>
          </w:p>
        </w:tc>
        <w:tc>
          <w:tcPr>
            <w:tcW w:w="2070" w:type="dxa"/>
          </w:tcPr>
          <w:p w:rsidR="00C140EF" w:rsidRPr="00E65E35" w:rsidRDefault="00B876D1" w:rsidP="00E65E35">
            <w:pPr>
              <w:pStyle w:val="BodyTextIndent"/>
              <w:ind w:left="0"/>
              <w:jc w:val="center"/>
            </w:pPr>
            <w:r w:rsidRPr="00E65E35">
              <w:fldChar w:fldCharType="begin"/>
            </w:r>
            <w:r w:rsidRPr="00E65E35">
              <w:instrText xml:space="preserve"> =product(LEFT) \# "#,##0" </w:instrText>
            </w:r>
            <w:r w:rsidRPr="00E65E35">
              <w:fldChar w:fldCharType="separate"/>
            </w:r>
            <w:r w:rsidRPr="00E65E35">
              <w:rPr>
                <w:noProof/>
              </w:rPr>
              <w:t xml:space="preserve"> </w:t>
            </w:r>
            <w:r w:rsidR="00E65E35" w:rsidRPr="00E65E35">
              <w:rPr>
                <w:noProof/>
              </w:rPr>
              <w:t>98</w:t>
            </w:r>
            <w:r w:rsidRPr="00E65E35">
              <w:fldChar w:fldCharType="end"/>
            </w:r>
          </w:p>
        </w:tc>
      </w:tr>
      <w:tr w:rsidR="00C140EF" w:rsidRPr="00E65E35" w:rsidTr="00B63E3D">
        <w:tc>
          <w:tcPr>
            <w:tcW w:w="2520" w:type="dxa"/>
          </w:tcPr>
          <w:p w:rsidR="00C140EF" w:rsidRPr="00E65E35" w:rsidRDefault="00C140EF" w:rsidP="00B63E3D">
            <w:pPr>
              <w:pStyle w:val="BodyTextIndent"/>
              <w:ind w:left="0"/>
            </w:pPr>
            <w:r w:rsidRPr="00E65E35">
              <w:t>Total</w:t>
            </w:r>
          </w:p>
        </w:tc>
        <w:tc>
          <w:tcPr>
            <w:tcW w:w="2160" w:type="dxa"/>
          </w:tcPr>
          <w:p w:rsidR="00C140EF" w:rsidRPr="00E65E35" w:rsidRDefault="00C140EF" w:rsidP="00B63E3D">
            <w:pPr>
              <w:pStyle w:val="BodyTextIndent"/>
              <w:ind w:left="0"/>
              <w:jc w:val="center"/>
            </w:pPr>
            <w:r w:rsidRPr="00E65E35">
              <w:t>16</w:t>
            </w:r>
          </w:p>
        </w:tc>
        <w:tc>
          <w:tcPr>
            <w:tcW w:w="2250" w:type="dxa"/>
          </w:tcPr>
          <w:p w:rsidR="00C140EF" w:rsidRPr="00E65E35" w:rsidRDefault="00C140EF" w:rsidP="00B63E3D">
            <w:pPr>
              <w:pStyle w:val="BodyTextIndent"/>
              <w:ind w:left="0"/>
              <w:jc w:val="center"/>
            </w:pPr>
          </w:p>
        </w:tc>
        <w:tc>
          <w:tcPr>
            <w:tcW w:w="2070" w:type="dxa"/>
          </w:tcPr>
          <w:p w:rsidR="00C140EF" w:rsidRPr="00E65E35" w:rsidRDefault="00E65E35" w:rsidP="00B63E3D">
            <w:pPr>
              <w:pStyle w:val="BodyTextIndent"/>
              <w:ind w:left="0"/>
              <w:jc w:val="center"/>
            </w:pPr>
            <w:r w:rsidRPr="00E65E35">
              <w:fldChar w:fldCharType="begin"/>
            </w:r>
            <w:r w:rsidRPr="00E65E35">
              <w:instrText xml:space="preserve"> =SUM(ABOVE) \# "#,##0" </w:instrText>
            </w:r>
            <w:r w:rsidRPr="00E65E35">
              <w:fldChar w:fldCharType="separate"/>
            </w:r>
            <w:r w:rsidRPr="00E65E35">
              <w:rPr>
                <w:noProof/>
              </w:rPr>
              <w:t xml:space="preserve"> 953</w:t>
            </w:r>
            <w:r w:rsidRPr="00E65E35">
              <w:fldChar w:fldCharType="end"/>
            </w:r>
          </w:p>
        </w:tc>
      </w:tr>
    </w:tbl>
    <w:p w:rsidR="00C140EF" w:rsidRPr="00E65E35" w:rsidRDefault="00C140EF" w:rsidP="003B3F91">
      <w:pPr>
        <w:pStyle w:val="BodyTextIndent"/>
        <w:ind w:hanging="720"/>
      </w:pPr>
    </w:p>
    <w:p w:rsidR="00C140EF" w:rsidRPr="00495347" w:rsidRDefault="00C140EF" w:rsidP="00C7039F">
      <w:pPr>
        <w:pStyle w:val="BodyTextIndent"/>
        <w:ind w:left="720"/>
      </w:pPr>
      <w:r w:rsidRPr="00E65E35">
        <w:t xml:space="preserve">Therefore, the estimated annual wage cost for each industry respondent for </w:t>
      </w:r>
      <w:r w:rsidRPr="00E65E35">
        <w:rPr>
          <w:rFonts w:cs="Arial"/>
        </w:rPr>
        <w:t>§</w:t>
      </w:r>
      <w:r w:rsidRPr="00E65E35">
        <w:t>772.14 is $</w:t>
      </w:r>
      <w:r w:rsidR="00CF3D29" w:rsidRPr="00E65E35">
        <w:t>9</w:t>
      </w:r>
      <w:r w:rsidR="00B876D1" w:rsidRPr="00E65E35">
        <w:t>5</w:t>
      </w:r>
      <w:r w:rsidR="00E65E35" w:rsidRPr="00E65E35">
        <w:t>3</w:t>
      </w:r>
      <w:r w:rsidRPr="00E65E35">
        <w:t>.  The total wage cost to all industry respondents is $</w:t>
      </w:r>
      <w:r w:rsidR="00CF3D29" w:rsidRPr="00E65E35">
        <w:t>9</w:t>
      </w:r>
      <w:r w:rsidR="00B876D1" w:rsidRPr="00E65E35">
        <w:t>5</w:t>
      </w:r>
      <w:r w:rsidR="00E65E35" w:rsidRPr="00E65E35">
        <w:t>3</w:t>
      </w:r>
      <w:r w:rsidRPr="00E65E35">
        <w:t xml:space="preserve"> x 1 exploration permit with sale = $</w:t>
      </w:r>
      <w:r w:rsidR="00CF3D29" w:rsidRPr="00E65E35">
        <w:t>9</w:t>
      </w:r>
      <w:r w:rsidR="00B876D1" w:rsidRPr="00E65E35">
        <w:t>5</w:t>
      </w:r>
      <w:r w:rsidR="00E65E35" w:rsidRPr="00E65E35">
        <w:t>3</w:t>
      </w:r>
      <w:r w:rsidRPr="00E65E35">
        <w:t>.</w:t>
      </w:r>
    </w:p>
    <w:p w:rsidR="00C140EF" w:rsidRPr="00495347" w:rsidRDefault="00C140EF" w:rsidP="00C7039F">
      <w:pPr>
        <w:ind w:left="720"/>
      </w:pPr>
    </w:p>
    <w:p w:rsidR="00C140EF" w:rsidRPr="00495347" w:rsidRDefault="00C140EF" w:rsidP="00C7039F">
      <w:pPr>
        <w:ind w:left="720"/>
        <w:rPr>
          <w:rFonts w:cs="Arial"/>
        </w:rPr>
      </w:pPr>
      <w:r w:rsidRPr="00495347">
        <w:t xml:space="preserve">In addition, it takes </w:t>
      </w:r>
      <w:r>
        <w:t xml:space="preserve">2 hours </w:t>
      </w:r>
      <w:r w:rsidRPr="00495347">
        <w:t xml:space="preserve">for each </w:t>
      </w:r>
      <w:r w:rsidR="00CF3D29">
        <w:rPr>
          <w:rFonts w:cs="Arial"/>
        </w:rPr>
        <w:t>s</w:t>
      </w:r>
      <w:r w:rsidRPr="00495347">
        <w:rPr>
          <w:rFonts w:cs="Arial"/>
        </w:rPr>
        <w:t>tate regulatory authority to review this section of the</w:t>
      </w:r>
      <w:r>
        <w:rPr>
          <w:rFonts w:cs="Arial"/>
        </w:rPr>
        <w:t xml:space="preserve"> exploration</w:t>
      </w:r>
      <w:r w:rsidRPr="00495347">
        <w:rPr>
          <w:rFonts w:cs="Arial"/>
        </w:rPr>
        <w:t xml:space="preserve"> application.  </w:t>
      </w:r>
    </w:p>
    <w:p w:rsidR="00C140EF" w:rsidRPr="00495347" w:rsidRDefault="00C140EF" w:rsidP="00C7039F">
      <w:pPr>
        <w:ind w:left="720"/>
        <w:rPr>
          <w:rFonts w:cs="Arial"/>
        </w:rPr>
      </w:pPr>
    </w:p>
    <w:p w:rsidR="00084A05" w:rsidRPr="00E65E35" w:rsidRDefault="00084A05" w:rsidP="00084A05">
      <w:pPr>
        <w:pStyle w:val="BodyTextIndent"/>
        <w:tabs>
          <w:tab w:val="left" w:pos="720"/>
        </w:tabs>
        <w:ind w:left="720"/>
      </w:pPr>
      <w:r w:rsidRPr="00E65E35">
        <w:t xml:space="preserve">Using BLS statistics for state employee engineering technicians with benefits as indicated in item 12, page </w:t>
      </w:r>
      <w:r w:rsidR="00E65E35" w:rsidRPr="00E65E35">
        <w:t>8</w:t>
      </w:r>
      <w:r w:rsidRPr="00E65E35">
        <w:t>, we estimate that the wage cost is $3</w:t>
      </w:r>
      <w:r w:rsidR="00E65E35" w:rsidRPr="00E65E35">
        <w:t>6</w:t>
      </w:r>
      <w:r w:rsidRPr="00E65E35">
        <w:t>.</w:t>
      </w:r>
      <w:r w:rsidR="00E65E35" w:rsidRPr="00E65E35">
        <w:t>46</w:t>
      </w:r>
      <w:r w:rsidRPr="00E65E35">
        <w:t xml:space="preserve"> per hour including benefits.    Therefore, the estimated annual wage cost for state regulatory authorities to review </w:t>
      </w:r>
      <w:r w:rsidRPr="00E65E35">
        <w:rPr>
          <w:rFonts w:cs="Arial"/>
        </w:rPr>
        <w:t>§</w:t>
      </w:r>
      <w:r w:rsidRPr="00E65E35">
        <w:t>772.12 for each exploration application is $3</w:t>
      </w:r>
      <w:r w:rsidR="00E65E35" w:rsidRPr="00E65E35">
        <w:t>6</w:t>
      </w:r>
      <w:r w:rsidRPr="00E65E35">
        <w:t>.</w:t>
      </w:r>
      <w:r w:rsidR="00E65E35" w:rsidRPr="00E65E35">
        <w:t>46</w:t>
      </w:r>
      <w:r w:rsidRPr="00E65E35">
        <w:t xml:space="preserve"> per hour x 2 hours = $</w:t>
      </w:r>
      <w:r w:rsidR="00E65E35" w:rsidRPr="00E65E35">
        <w:t>73</w:t>
      </w:r>
      <w:r w:rsidRPr="00E65E35">
        <w:t>.  The total wage cost to all state regulatory authorities is $</w:t>
      </w:r>
      <w:r w:rsidR="00E65E35" w:rsidRPr="00E65E35">
        <w:t>73</w:t>
      </w:r>
      <w:r w:rsidRPr="00E65E35">
        <w:t xml:space="preserve"> x 1 permit application = $</w:t>
      </w:r>
      <w:r w:rsidR="00E65E35" w:rsidRPr="00E65E35">
        <w:t>73</w:t>
      </w:r>
      <w:r w:rsidRPr="00E65E35">
        <w:t>.</w:t>
      </w:r>
    </w:p>
    <w:p w:rsidR="00084A05" w:rsidRPr="00E65E35" w:rsidRDefault="00084A05" w:rsidP="00084A05">
      <w:pPr>
        <w:tabs>
          <w:tab w:val="left" w:pos="720"/>
        </w:tabs>
        <w:ind w:left="720"/>
      </w:pPr>
    </w:p>
    <w:p w:rsidR="00084A05" w:rsidRPr="00495347" w:rsidRDefault="00084A05" w:rsidP="00084A05">
      <w:pPr>
        <w:ind w:left="720"/>
        <w:rPr>
          <w:rFonts w:cs="Arial"/>
        </w:rPr>
      </w:pPr>
      <w:r w:rsidRPr="00E65E35">
        <w:rPr>
          <w:rFonts w:cs="Arial"/>
        </w:rPr>
        <w:t>Therefore, we estimate that the burden to all respondents is $9</w:t>
      </w:r>
      <w:r w:rsidR="00B876D1" w:rsidRPr="00E65E35">
        <w:rPr>
          <w:rFonts w:cs="Arial"/>
        </w:rPr>
        <w:t>5</w:t>
      </w:r>
      <w:r w:rsidR="00E65E35" w:rsidRPr="00E65E35">
        <w:rPr>
          <w:rFonts w:cs="Arial"/>
        </w:rPr>
        <w:t>3</w:t>
      </w:r>
      <w:r w:rsidRPr="00E65E35">
        <w:rPr>
          <w:rFonts w:cs="Arial"/>
        </w:rPr>
        <w:t xml:space="preserve"> for industry + $</w:t>
      </w:r>
      <w:r w:rsidR="00E65E35" w:rsidRPr="00E65E35">
        <w:rPr>
          <w:rFonts w:cs="Arial"/>
        </w:rPr>
        <w:t>73</w:t>
      </w:r>
      <w:r w:rsidRPr="00E65E35">
        <w:rPr>
          <w:rFonts w:cs="Arial"/>
        </w:rPr>
        <w:t xml:space="preserve"> for state regulatory authorities = $</w:t>
      </w:r>
      <w:r w:rsidR="00E65E35" w:rsidRPr="00E65E35">
        <w:rPr>
          <w:rFonts w:cs="Arial"/>
        </w:rPr>
        <w:t>1,026</w:t>
      </w:r>
      <w:r w:rsidRPr="00E65E35">
        <w:rPr>
          <w:rFonts w:cs="Arial"/>
        </w:rPr>
        <w:t>.</w:t>
      </w:r>
      <w:r w:rsidRPr="00495347">
        <w:rPr>
          <w:rFonts w:cs="Arial"/>
        </w:rPr>
        <w:t xml:space="preserve"> </w:t>
      </w:r>
    </w:p>
    <w:p w:rsidR="00C140EF" w:rsidRDefault="00C140EF" w:rsidP="00C7039F">
      <w:pPr>
        <w:pStyle w:val="BodyTextIndent"/>
        <w:ind w:left="720"/>
      </w:pPr>
    </w:p>
    <w:p w:rsidR="00C140EF" w:rsidRPr="0010148C" w:rsidRDefault="00C140EF" w:rsidP="0099763E">
      <w:pPr>
        <w:tabs>
          <w:tab w:val="left" w:pos="-1440"/>
        </w:tabs>
        <w:ind w:left="720" w:hanging="720"/>
      </w:pPr>
      <w:r w:rsidRPr="0010148C">
        <w:t>13.</w:t>
      </w:r>
      <w:r w:rsidRPr="0010148C">
        <w:tab/>
      </w:r>
      <w:r w:rsidRPr="0010148C">
        <w:rPr>
          <w:u w:val="single"/>
        </w:rPr>
        <w:t>Total Annual Non-Wage Cost Burden to Respondents</w:t>
      </w:r>
    </w:p>
    <w:p w:rsidR="00C140EF" w:rsidRPr="0010148C" w:rsidRDefault="00C140EF" w:rsidP="0099763E">
      <w:pPr>
        <w:ind w:left="720" w:hanging="720"/>
      </w:pPr>
    </w:p>
    <w:p w:rsidR="00C140EF" w:rsidRPr="0010148C" w:rsidRDefault="00C140EF" w:rsidP="0099763E">
      <w:pPr>
        <w:tabs>
          <w:tab w:val="left" w:pos="-1440"/>
        </w:tabs>
        <w:ind w:left="720" w:hanging="720"/>
      </w:pPr>
      <w:r>
        <w:tab/>
      </w:r>
      <w:r w:rsidRPr="0010148C">
        <w:t>a.</w:t>
      </w:r>
      <w:r w:rsidRPr="0010148C">
        <w:tab/>
      </w:r>
      <w:r w:rsidRPr="0010148C">
        <w:rPr>
          <w:u w:val="single"/>
        </w:rPr>
        <w:t>Annualized Capital and Start-Up Costs</w:t>
      </w:r>
    </w:p>
    <w:p w:rsidR="00C140EF" w:rsidRPr="0010148C" w:rsidRDefault="00C140EF" w:rsidP="0099763E">
      <w:pPr>
        <w:ind w:left="720" w:hanging="720"/>
      </w:pPr>
    </w:p>
    <w:p w:rsidR="00C140EF" w:rsidRPr="0010148C" w:rsidRDefault="00C140EF" w:rsidP="0099763E">
      <w:pPr>
        <w:ind w:left="720" w:hanging="720"/>
      </w:pPr>
      <w:r>
        <w:tab/>
      </w:r>
      <w:r w:rsidRPr="0010148C">
        <w:t xml:space="preserve">The information collection requirements of </w:t>
      </w:r>
      <w:r w:rsidR="00084A05">
        <w:t>§</w:t>
      </w:r>
      <w:r w:rsidRPr="0010148C">
        <w:t xml:space="preserve">772.14 do not involve any capital or start-up costs apart from expenditures associated with (1) customary business practices to estimate site potential and obtain contracts for coal production and sale, or (2) the general administration of a regulatory agency.  None are directly attributable to the information collection requirements of </w:t>
      </w:r>
      <w:r w:rsidR="00084A05">
        <w:t>§</w:t>
      </w:r>
      <w:r w:rsidRPr="0010148C">
        <w:t>772.14.</w:t>
      </w:r>
    </w:p>
    <w:p w:rsidR="00C140EF" w:rsidRDefault="00C140EF" w:rsidP="0099763E">
      <w:pPr>
        <w:ind w:left="720" w:hanging="720"/>
      </w:pPr>
    </w:p>
    <w:p w:rsidR="00C140EF" w:rsidRPr="0010148C" w:rsidRDefault="00C140EF" w:rsidP="0099763E">
      <w:pPr>
        <w:tabs>
          <w:tab w:val="left" w:pos="-1440"/>
        </w:tabs>
        <w:ind w:left="720" w:hanging="720"/>
      </w:pPr>
      <w:r>
        <w:tab/>
      </w:r>
      <w:r w:rsidRPr="0010148C">
        <w:t>b.</w:t>
      </w:r>
      <w:r w:rsidRPr="0010148C">
        <w:tab/>
      </w:r>
      <w:r w:rsidRPr="0010148C">
        <w:rPr>
          <w:u w:val="single"/>
        </w:rPr>
        <w:t>Operation and Maintenance Costs</w:t>
      </w:r>
    </w:p>
    <w:p w:rsidR="00C140EF" w:rsidRPr="0010148C" w:rsidRDefault="00C140EF" w:rsidP="0099763E">
      <w:pPr>
        <w:ind w:left="720" w:hanging="720"/>
      </w:pPr>
    </w:p>
    <w:p w:rsidR="00C140EF" w:rsidRPr="0010148C" w:rsidRDefault="00C140EF" w:rsidP="0099763E">
      <w:pPr>
        <w:ind w:left="720" w:hanging="720"/>
      </w:pPr>
      <w:r>
        <w:tab/>
      </w:r>
      <w:r w:rsidRPr="0010148C">
        <w:t xml:space="preserve">There are no significant or distinct non-wage operation or maintenance costs associated with compliance with the information collection requirements of </w:t>
      </w:r>
      <w:r w:rsidR="00084A05">
        <w:t>§</w:t>
      </w:r>
      <w:r w:rsidRPr="0010148C">
        <w:t>772.14.</w:t>
      </w:r>
    </w:p>
    <w:p w:rsidR="00C140EF" w:rsidRPr="0010148C" w:rsidRDefault="00C140EF" w:rsidP="0099763E">
      <w:pPr>
        <w:ind w:left="720" w:hanging="720"/>
      </w:pPr>
    </w:p>
    <w:p w:rsidR="00C140EF" w:rsidRPr="0010148C" w:rsidRDefault="00C140EF" w:rsidP="0099763E">
      <w:pPr>
        <w:tabs>
          <w:tab w:val="left" w:pos="-1440"/>
        </w:tabs>
        <w:ind w:left="720" w:hanging="720"/>
      </w:pPr>
      <w:r w:rsidRPr="0010148C">
        <w:t>14.</w:t>
      </w:r>
      <w:r w:rsidRPr="0010148C">
        <w:tab/>
      </w:r>
      <w:r w:rsidRPr="0010148C">
        <w:rPr>
          <w:u w:val="single"/>
        </w:rPr>
        <w:t>Estimate of Annualized Cost to the Federal Government</w:t>
      </w:r>
    </w:p>
    <w:p w:rsidR="00C140EF" w:rsidRPr="0010148C" w:rsidRDefault="00C140EF" w:rsidP="0099763E">
      <w:pPr>
        <w:ind w:left="720" w:hanging="720"/>
      </w:pPr>
    </w:p>
    <w:p w:rsidR="00084A05" w:rsidRDefault="00084A05" w:rsidP="00084A05">
      <w:pPr>
        <w:pStyle w:val="BodyTextIndent"/>
        <w:tabs>
          <w:tab w:val="left" w:pos="720"/>
        </w:tabs>
        <w:ind w:left="720" w:hanging="720"/>
        <w:rPr>
          <w:rFonts w:cs="Arial"/>
        </w:rPr>
      </w:pPr>
      <w:r>
        <w:tab/>
      </w:r>
      <w:r w:rsidR="00C140EF" w:rsidRPr="0010148C">
        <w:rPr>
          <w:u w:val="single"/>
        </w:rPr>
        <w:t>Oversight</w:t>
      </w:r>
      <w:r w:rsidR="00C140EF" w:rsidRPr="0010148C">
        <w:t xml:space="preserve">:  In keeping with the current guidance concerning oversight of State program implementation, which de-emphasizes process reviews, </w:t>
      </w:r>
      <w:r w:rsidR="00913CF2">
        <w:rPr>
          <w:rFonts w:cs="Arial"/>
        </w:rPr>
        <w:t>OSMRE</w:t>
      </w:r>
      <w:r w:rsidR="00C140EF">
        <w:rPr>
          <w:rFonts w:cs="Arial"/>
        </w:rPr>
        <w:t xml:space="preserve"> does</w:t>
      </w:r>
      <w:r w:rsidR="00C140EF" w:rsidRPr="0010148C">
        <w:t xml:space="preserve"> not anticipate conducting any significant oversight review of State compliance with the requirements of </w:t>
      </w:r>
      <w:r>
        <w:t>§</w:t>
      </w:r>
      <w:r w:rsidR="00C140EF" w:rsidRPr="0010148C">
        <w:t>772.14 in the absence of an</w:t>
      </w:r>
      <w:r w:rsidR="00C140EF">
        <w:rPr>
          <w:rFonts w:cs="Arial"/>
        </w:rPr>
        <w:t>y</w:t>
      </w:r>
      <w:r w:rsidR="00C140EF" w:rsidRPr="0010148C">
        <w:t xml:space="preserve"> </w:t>
      </w:r>
      <w:r w:rsidR="00C140EF" w:rsidRPr="00555E43">
        <w:t xml:space="preserve">indication of </w:t>
      </w:r>
      <w:r w:rsidR="00C140EF" w:rsidRPr="00555E43">
        <w:rPr>
          <w:rFonts w:cs="Arial"/>
        </w:rPr>
        <w:t xml:space="preserve">programmatic </w:t>
      </w:r>
      <w:r w:rsidR="00C140EF" w:rsidRPr="00555E43">
        <w:t xml:space="preserve">problems.  </w:t>
      </w:r>
      <w:r w:rsidRPr="00555E43">
        <w:rPr>
          <w:rFonts w:cs="Arial"/>
        </w:rPr>
        <w:t>If we conduct an oversight review of this topic in one state program per year, that review would require an average of 4 hours at $</w:t>
      </w:r>
      <w:r w:rsidR="00B876D1" w:rsidRPr="00555E43">
        <w:rPr>
          <w:rFonts w:cs="Arial"/>
        </w:rPr>
        <w:t>6</w:t>
      </w:r>
      <w:r w:rsidR="00555E43" w:rsidRPr="00555E43">
        <w:rPr>
          <w:rFonts w:cs="Arial"/>
        </w:rPr>
        <w:t>2</w:t>
      </w:r>
      <w:r w:rsidRPr="00555E43">
        <w:rPr>
          <w:rFonts w:cs="Arial"/>
        </w:rPr>
        <w:t>.</w:t>
      </w:r>
      <w:r w:rsidR="00555E43" w:rsidRPr="00555E43">
        <w:rPr>
          <w:rFonts w:cs="Arial"/>
        </w:rPr>
        <w:t>70</w:t>
      </w:r>
      <w:r w:rsidRPr="00555E43">
        <w:rPr>
          <w:rFonts w:cs="Arial"/>
        </w:rPr>
        <w:t xml:space="preserve"> per hour (GS-12/5 regulatory program specialist/mining engineer reviewing the application, including 1.</w:t>
      </w:r>
      <w:r w:rsidR="00555E43" w:rsidRPr="00555E43">
        <w:rPr>
          <w:rFonts w:cs="Arial"/>
        </w:rPr>
        <w:t>6</w:t>
      </w:r>
      <w:r w:rsidRPr="00555E43">
        <w:rPr>
          <w:rFonts w:cs="Arial"/>
        </w:rPr>
        <w:t xml:space="preserve"> multiplier for benefits. S</w:t>
      </w:r>
      <w:r w:rsidRPr="00555E43">
        <w:t xml:space="preserve">ee item 14, page </w:t>
      </w:r>
      <w:r w:rsidR="00555E43" w:rsidRPr="00555E43">
        <w:t>8</w:t>
      </w:r>
      <w:r w:rsidRPr="00555E43">
        <w:t xml:space="preserve">, for an explanation of wages and benefits).  </w:t>
      </w:r>
      <w:r w:rsidRPr="00555E43">
        <w:rPr>
          <w:rFonts w:cs="Arial"/>
        </w:rPr>
        <w:t xml:space="preserve">The annual cost to </w:t>
      </w:r>
      <w:r w:rsidR="00913CF2" w:rsidRPr="00555E43">
        <w:rPr>
          <w:rFonts w:cs="Arial"/>
        </w:rPr>
        <w:t>OSMRE</w:t>
      </w:r>
      <w:r w:rsidRPr="00555E43">
        <w:rPr>
          <w:rFonts w:cs="Arial"/>
        </w:rPr>
        <w:t xml:space="preserve"> for this oversight activity is estimated to be $</w:t>
      </w:r>
      <w:r w:rsidR="00B876D1" w:rsidRPr="00555E43">
        <w:rPr>
          <w:rFonts w:cs="Arial"/>
        </w:rPr>
        <w:t>2</w:t>
      </w:r>
      <w:r w:rsidR="00555E43" w:rsidRPr="00555E43">
        <w:rPr>
          <w:rFonts w:cs="Arial"/>
        </w:rPr>
        <w:t>51</w:t>
      </w:r>
      <w:r w:rsidRPr="00555E43">
        <w:rPr>
          <w:rFonts w:cs="Arial"/>
        </w:rPr>
        <w:t>.</w:t>
      </w:r>
    </w:p>
    <w:p w:rsidR="00084A05" w:rsidRDefault="00084A05" w:rsidP="00084A05">
      <w:pPr>
        <w:pStyle w:val="BodyTextIndent"/>
        <w:tabs>
          <w:tab w:val="left" w:pos="720"/>
        </w:tabs>
        <w:ind w:left="720" w:hanging="720"/>
        <w:rPr>
          <w:rFonts w:cs="Arial"/>
        </w:rPr>
      </w:pPr>
    </w:p>
    <w:p w:rsidR="00C140EF" w:rsidRPr="0010148C" w:rsidRDefault="00C140EF" w:rsidP="0099763E">
      <w:pPr>
        <w:ind w:left="720" w:hanging="720"/>
      </w:pPr>
      <w:r>
        <w:tab/>
      </w:r>
      <w:r w:rsidRPr="0010148C">
        <w:rPr>
          <w:u w:val="single"/>
        </w:rPr>
        <w:t>Federal Programs</w:t>
      </w:r>
      <w:r w:rsidRPr="0010148C">
        <w:t xml:space="preserve">:  For the reasons discussed in item 12.a., we do not anticipate receiving any applications </w:t>
      </w:r>
      <w:r w:rsidR="00084A05">
        <w:t>for</w:t>
      </w:r>
      <w:r w:rsidRPr="0010148C">
        <w:t xml:space="preserve"> </w:t>
      </w:r>
      <w:r w:rsidR="00084A05">
        <w:t>§</w:t>
      </w:r>
      <w:r w:rsidRPr="0010148C">
        <w:t xml:space="preserve">772.14.  Therefore, </w:t>
      </w:r>
      <w:r>
        <w:t>there is no</w:t>
      </w:r>
      <w:r w:rsidRPr="0010148C">
        <w:t xml:space="preserve"> Federal program cost.</w:t>
      </w:r>
    </w:p>
    <w:p w:rsidR="00C140EF" w:rsidRDefault="00C140EF" w:rsidP="0099763E">
      <w:pPr>
        <w:ind w:left="720" w:hanging="720"/>
      </w:pPr>
    </w:p>
    <w:p w:rsidR="00B876D1" w:rsidRDefault="00B876D1" w:rsidP="0099763E">
      <w:pPr>
        <w:ind w:left="720" w:hanging="720"/>
      </w:pPr>
    </w:p>
    <w:p w:rsidR="00B876D1" w:rsidRDefault="00B876D1" w:rsidP="0099763E">
      <w:pPr>
        <w:ind w:left="720" w:hanging="720"/>
      </w:pPr>
    </w:p>
    <w:p w:rsidR="00B876D1" w:rsidRPr="0010148C" w:rsidRDefault="00B876D1" w:rsidP="0099763E">
      <w:pPr>
        <w:ind w:left="720" w:hanging="720"/>
      </w:pPr>
    </w:p>
    <w:p w:rsidR="00C140EF" w:rsidRDefault="00C140EF" w:rsidP="002C43E9">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10148C">
        <w:rPr>
          <w:u w:val="single"/>
        </w:rPr>
        <w:t>Total Federal Cost</w:t>
      </w:r>
    </w:p>
    <w:p w:rsidR="00C140EF" w:rsidRPr="005702A2" w:rsidRDefault="00C140EF" w:rsidP="002C43E9">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rsidR="00C140EF" w:rsidRPr="00555E43" w:rsidRDefault="00C140EF" w:rsidP="00B876D1">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B876D1">
        <w:tab/>
      </w:r>
      <w:r w:rsidRPr="00555E43">
        <w:rPr>
          <w:rFonts w:cs="Arial"/>
        </w:rPr>
        <w:t>$</w:t>
      </w:r>
      <w:r w:rsidR="00B876D1" w:rsidRPr="00555E43">
        <w:rPr>
          <w:rFonts w:cs="Arial"/>
        </w:rPr>
        <w:tab/>
        <w:t>2</w:t>
      </w:r>
      <w:r w:rsidR="00555E43" w:rsidRPr="00555E43">
        <w:rPr>
          <w:rFonts w:cs="Arial"/>
        </w:rPr>
        <w:t>51</w:t>
      </w:r>
      <w:r w:rsidRPr="00555E43">
        <w:t xml:space="preserve">  Oversight</w:t>
      </w:r>
    </w:p>
    <w:p w:rsidR="00C140EF" w:rsidRPr="00555E43" w:rsidRDefault="00C140EF" w:rsidP="00B876D1">
      <w:pPr>
        <w:keepLines/>
        <w:tabs>
          <w:tab w:val="left" w:pos="-1440"/>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pPr>
      <w:r w:rsidRPr="00555E43">
        <w:tab/>
      </w:r>
      <w:r w:rsidRPr="00555E43">
        <w:rPr>
          <w:rFonts w:cs="Arial"/>
          <w:u w:val="single"/>
        </w:rPr>
        <w:t>+</w:t>
      </w:r>
      <w:r w:rsidR="00B876D1" w:rsidRPr="00555E43">
        <w:rPr>
          <w:rFonts w:cs="Arial"/>
          <w:u w:val="single"/>
        </w:rPr>
        <w:tab/>
      </w:r>
      <w:r w:rsidRPr="00555E43">
        <w:rPr>
          <w:rFonts w:cs="Arial"/>
          <w:u w:val="single"/>
        </w:rPr>
        <w:t>$</w:t>
      </w:r>
      <w:r w:rsidR="00B876D1" w:rsidRPr="00555E43">
        <w:rPr>
          <w:rFonts w:cs="Arial"/>
          <w:u w:val="single"/>
        </w:rPr>
        <w:tab/>
      </w:r>
      <w:r w:rsidRPr="00555E43">
        <w:rPr>
          <w:u w:val="single"/>
        </w:rPr>
        <w:t xml:space="preserve">      </w:t>
      </w:r>
      <w:r w:rsidR="00B876D1" w:rsidRPr="00555E43">
        <w:rPr>
          <w:u w:val="single"/>
        </w:rPr>
        <w:t xml:space="preserve"> </w:t>
      </w:r>
      <w:r w:rsidRPr="00555E43">
        <w:rPr>
          <w:u w:val="single"/>
        </w:rPr>
        <w:t>0</w:t>
      </w:r>
      <w:r w:rsidRPr="00555E43">
        <w:t xml:space="preserve">  Federal </w:t>
      </w:r>
      <w:r w:rsidRPr="00555E43">
        <w:rPr>
          <w:rFonts w:cs="Arial"/>
        </w:rPr>
        <w:t>Programs</w:t>
      </w:r>
    </w:p>
    <w:p w:rsidR="00C140EF" w:rsidRPr="0010148C" w:rsidRDefault="00C140EF" w:rsidP="00B876D1">
      <w:pPr>
        <w:keepLines/>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55E43">
        <w:tab/>
      </w:r>
      <w:r w:rsidR="00B876D1" w:rsidRPr="00555E43">
        <w:tab/>
      </w:r>
      <w:r w:rsidRPr="00555E43">
        <w:rPr>
          <w:rFonts w:cs="Arial"/>
        </w:rPr>
        <w:t>$</w:t>
      </w:r>
      <w:r w:rsidR="00B876D1" w:rsidRPr="00555E43">
        <w:rPr>
          <w:rFonts w:cs="Arial"/>
        </w:rPr>
        <w:tab/>
        <w:t>2</w:t>
      </w:r>
      <w:r w:rsidR="00555E43" w:rsidRPr="00555E43">
        <w:rPr>
          <w:rFonts w:cs="Arial"/>
        </w:rPr>
        <w:t>51</w:t>
      </w:r>
      <w:r w:rsidRPr="00555E43">
        <w:t xml:space="preserve">  Total Federal </w:t>
      </w:r>
      <w:r w:rsidRPr="00555E43">
        <w:rPr>
          <w:rFonts w:cs="Arial"/>
        </w:rPr>
        <w:t>Cost</w:t>
      </w:r>
    </w:p>
    <w:p w:rsidR="00C140EF" w:rsidRPr="0010148C" w:rsidRDefault="00C140EF" w:rsidP="0099763E">
      <w:pPr>
        <w:tabs>
          <w:tab w:val="left" w:pos="-1440"/>
        </w:tabs>
        <w:ind w:left="720" w:hanging="720"/>
      </w:pPr>
    </w:p>
    <w:p w:rsidR="00C140EF" w:rsidRPr="0010148C" w:rsidRDefault="00C140EF" w:rsidP="0099763E">
      <w:pPr>
        <w:tabs>
          <w:tab w:val="left" w:pos="-1440"/>
        </w:tabs>
        <w:ind w:left="720" w:hanging="720"/>
      </w:pPr>
      <w:r w:rsidRPr="0010148C">
        <w:t>15.</w:t>
      </w:r>
      <w:r w:rsidR="009C7C73">
        <w:tab/>
      </w:r>
      <w:r w:rsidRPr="0010148C">
        <w:t>Th</w:t>
      </w:r>
      <w:r w:rsidR="009C7C73">
        <w:t xml:space="preserve">is information collection request does not change the 18 hours currently approved </w:t>
      </w:r>
      <w:r w:rsidRPr="0010148C">
        <w:t xml:space="preserve">for </w:t>
      </w:r>
      <w:r w:rsidR="00084A05">
        <w:t>§</w:t>
      </w:r>
      <w:r w:rsidRPr="0010148C">
        <w:t>772.14.</w:t>
      </w:r>
    </w:p>
    <w:p w:rsidR="00C140EF" w:rsidRPr="0010148C" w:rsidRDefault="00C140EF" w:rsidP="0099763E">
      <w:pPr>
        <w:ind w:left="720" w:hanging="720"/>
      </w:pPr>
    </w:p>
    <w:p w:rsidR="00C140EF" w:rsidRPr="0010148C" w:rsidRDefault="00C140EF" w:rsidP="0099763E">
      <w:pPr>
        <w:ind w:left="720" w:hanging="720"/>
      </w:pPr>
      <w:r w:rsidRPr="0010148C">
        <w:t>16.</w:t>
      </w:r>
      <w:r w:rsidRPr="0010148C">
        <w:tab/>
        <w:t>See list of items with identical responses.</w:t>
      </w:r>
    </w:p>
    <w:p w:rsidR="00C140EF" w:rsidRPr="0010148C" w:rsidRDefault="00C140EF" w:rsidP="0099763E">
      <w:pPr>
        <w:ind w:left="720" w:hanging="720"/>
      </w:pPr>
    </w:p>
    <w:p w:rsidR="00C140EF" w:rsidRPr="0010148C" w:rsidRDefault="00C140EF" w:rsidP="0099763E">
      <w:pPr>
        <w:ind w:left="720" w:hanging="720"/>
      </w:pPr>
      <w:r w:rsidRPr="0010148C">
        <w:t>17.</w:t>
      </w:r>
      <w:r w:rsidRPr="0010148C">
        <w:tab/>
        <w:t>See list of items with identical responses.</w:t>
      </w:r>
    </w:p>
    <w:p w:rsidR="00C140EF" w:rsidRPr="0010148C" w:rsidRDefault="00C140EF" w:rsidP="001C7372"/>
    <w:p w:rsidR="00C140EF" w:rsidRPr="0010148C" w:rsidRDefault="00C140EF" w:rsidP="00C74FDF">
      <w:r w:rsidRPr="0010148C">
        <w:t>18.</w:t>
      </w:r>
      <w:r w:rsidRPr="0010148C">
        <w:tab/>
        <w:t>See list of items with identical responses.</w:t>
      </w:r>
    </w:p>
    <w:p w:rsidR="00C140EF" w:rsidRPr="0010148C" w:rsidRDefault="00C140EF" w:rsidP="001C7372"/>
    <w:p w:rsidR="00C140EF" w:rsidRPr="0010148C" w:rsidRDefault="00C140EF" w:rsidP="001C7372">
      <w:pPr>
        <w:tabs>
          <w:tab w:val="center" w:pos="4680"/>
        </w:tabs>
      </w:pPr>
      <w:r w:rsidRPr="0010148C">
        <w:br w:type="page"/>
      </w:r>
      <w:r w:rsidRPr="0010148C">
        <w:tab/>
      </w:r>
      <w:r w:rsidRPr="0010148C">
        <w:rPr>
          <w:b/>
          <w:bCs/>
          <w:i/>
          <w:iCs/>
        </w:rPr>
        <w:t>Supporting Statement for 30 CFR 772.15</w:t>
      </w:r>
      <w:r w:rsidR="000B293F" w:rsidRPr="000B293F">
        <w:rPr>
          <w:b/>
          <w:bCs/>
          <w:i/>
          <w:iCs/>
        </w:rPr>
        <w:t xml:space="preserve"> - Public availability of information.</w:t>
      </w:r>
    </w:p>
    <w:p w:rsidR="00C140EF" w:rsidRPr="0010148C" w:rsidRDefault="00C140EF" w:rsidP="001C7372"/>
    <w:p w:rsidR="00C140EF" w:rsidRPr="0010148C" w:rsidRDefault="00C140EF" w:rsidP="001C7372">
      <w:pPr>
        <w:tabs>
          <w:tab w:val="left" w:pos="-1440"/>
        </w:tabs>
      </w:pPr>
      <w:r w:rsidRPr="0010148C">
        <w:t>A.</w:t>
      </w:r>
      <w:r w:rsidRPr="0010148C">
        <w:tab/>
      </w:r>
      <w:r w:rsidRPr="0010148C">
        <w:rPr>
          <w:u w:val="single"/>
        </w:rPr>
        <w:t>Justification</w:t>
      </w:r>
    </w:p>
    <w:p w:rsidR="00C140EF" w:rsidRPr="0010148C" w:rsidRDefault="00C140EF" w:rsidP="001C7372"/>
    <w:p w:rsidR="00C140EF" w:rsidRPr="0010148C" w:rsidRDefault="00C140EF" w:rsidP="004B1758">
      <w:pPr>
        <w:tabs>
          <w:tab w:val="left" w:pos="-1440"/>
        </w:tabs>
        <w:ind w:left="720" w:hanging="720"/>
      </w:pPr>
      <w:r w:rsidRPr="0010148C">
        <w:t>1.</w:t>
      </w:r>
      <w:r w:rsidRPr="0010148C">
        <w:tab/>
        <w:t xml:space="preserve">Section 512(b) of SMCRA provides that information submitted to the regulatory authority as confidential shall not be available for public examination when it concerns trade secrets or privileged commercial or financial information relating to the competitive rights of the person or entity intending to conduct exploration.  Consistent with section 102(i) of the Act, which states that one of the purposes of the Act is to ensure that appropriate procedures are provided for public participation, we have interpreted this provision as requiring that all other coal exploration information be made available to the public.  Accordingly, paragraph (a) of the implementing regulations at </w:t>
      </w:r>
      <w:r w:rsidR="00084A05">
        <w:t>§</w:t>
      </w:r>
      <w:r w:rsidRPr="0010148C">
        <w:t xml:space="preserve">772.15 requires that all non-confidential information submitted to the regulatory authority under </w:t>
      </w:r>
      <w:r w:rsidR="00104342">
        <w:t xml:space="preserve">30 CFR </w:t>
      </w:r>
      <w:r w:rsidR="002165C4">
        <w:t>p</w:t>
      </w:r>
      <w:r w:rsidRPr="0010148C">
        <w:t xml:space="preserve">art 772 be made available for public inspection and copying at the regulatory authority office closest to the proposed exploration site.  Paragraph (b) of </w:t>
      </w:r>
      <w:r w:rsidR="00084A05">
        <w:t>§</w:t>
      </w:r>
      <w:r w:rsidRPr="0010148C">
        <w:t>772.15 specifies that the regulatory authority must keep certain information confidential if the person so requests in writing at the time of submission.</w:t>
      </w:r>
    </w:p>
    <w:p w:rsidR="00C140EF" w:rsidRPr="0010148C" w:rsidRDefault="00C140EF" w:rsidP="001C7372"/>
    <w:p w:rsidR="00C140EF" w:rsidRPr="0010148C" w:rsidRDefault="00C140EF" w:rsidP="004B1758">
      <w:pPr>
        <w:ind w:left="720"/>
      </w:pPr>
      <w:r w:rsidRPr="0010148C">
        <w:t xml:space="preserve">Section 201(c)(2) of SMCRA, which provides that the Secretary shall promulgate such regulations as are necessary to carry out the purposes and provisions of the Act, authorizes the recordkeeping requirements of </w:t>
      </w:r>
      <w:r w:rsidR="00084A05">
        <w:t>§</w:t>
      </w:r>
      <w:r w:rsidRPr="0010148C">
        <w:t xml:space="preserve">772.15(a) and collection of the information (written requests for confidentiality) required by </w:t>
      </w:r>
      <w:r w:rsidR="00084A05">
        <w:t>§</w:t>
      </w:r>
      <w:r w:rsidRPr="0010148C">
        <w:t xml:space="preserve">772.15(b).  Although section 512(b) of the Act does not expressly include these requirements, it does strongly imply them and, as noted above, section 102(i) of the Act provides additional justification for the recordkeeping requirements of </w:t>
      </w:r>
      <w:r w:rsidR="00084A05">
        <w:t>§</w:t>
      </w:r>
      <w:r w:rsidRPr="0010148C">
        <w:t xml:space="preserve">772.15(a).  Furthermore, the regulatory authority would have difficulty implementing the confidentiality provisions of section 512(b) of the Act in the absence of the requirement in </w:t>
      </w:r>
      <w:r w:rsidR="00084A05">
        <w:t>§</w:t>
      </w:r>
      <w:r w:rsidRPr="0010148C">
        <w:t>772.15(b) that the person submitting the information request confidentiality and identify the information included in the request.</w:t>
      </w:r>
    </w:p>
    <w:p w:rsidR="00C140EF" w:rsidRPr="0010148C" w:rsidRDefault="00C140EF" w:rsidP="001C7372"/>
    <w:p w:rsidR="00C140EF" w:rsidRPr="0010148C" w:rsidRDefault="00C140EF" w:rsidP="004B1758">
      <w:pPr>
        <w:tabs>
          <w:tab w:val="left" w:pos="-1440"/>
        </w:tabs>
        <w:ind w:left="720" w:hanging="720"/>
      </w:pPr>
      <w:r w:rsidRPr="0010148C">
        <w:t>2.</w:t>
      </w:r>
      <w:r w:rsidRPr="0010148C">
        <w:tab/>
      </w:r>
      <w:r w:rsidR="00913CF2">
        <w:t>OSMRE</w:t>
      </w:r>
      <w:r w:rsidRPr="0010148C">
        <w:t xml:space="preserve"> and State regulatory authorities under SMCRA use the information collected under </w:t>
      </w:r>
      <w:r w:rsidR="00084A05">
        <w:t>§</w:t>
      </w:r>
      <w:r w:rsidRPr="0010148C">
        <w:t xml:space="preserve">772.15(b) to identify those portions of notices of intent to explore and exploration permit applications that must be kept confidential.  The public uses the recordkeeping requirements of </w:t>
      </w:r>
      <w:r w:rsidR="00084A05">
        <w:t>§</w:t>
      </w:r>
      <w:r w:rsidRPr="0010148C">
        <w:t>772.15(a) to monitor and, in some cases, intervene in the coal exploration notice and permit application processes to ensure protection of the environment and private property.</w:t>
      </w:r>
    </w:p>
    <w:p w:rsidR="00C140EF" w:rsidRPr="0010148C" w:rsidRDefault="00C140EF" w:rsidP="001C7372"/>
    <w:p w:rsidR="00C140EF" w:rsidRPr="0010148C" w:rsidRDefault="00C140EF" w:rsidP="004B1758">
      <w:pPr>
        <w:ind w:left="720" w:hanging="720"/>
      </w:pPr>
      <w:r w:rsidRPr="0010148C">
        <w:t>3.</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4.</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5.</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6.</w:t>
      </w:r>
      <w:r w:rsidRPr="0010148C">
        <w:tab/>
        <w:t>See list of items with identical responses.</w:t>
      </w:r>
    </w:p>
    <w:p w:rsidR="00C140EF" w:rsidRPr="0010148C" w:rsidRDefault="00C140EF" w:rsidP="001C7372"/>
    <w:p w:rsidR="00C140EF" w:rsidRPr="0010148C" w:rsidRDefault="00C140EF" w:rsidP="004B1758">
      <w:pPr>
        <w:ind w:left="720" w:hanging="720"/>
      </w:pPr>
      <w:r w:rsidRPr="0010148C">
        <w:t>7.</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8.</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9.</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10.</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11.</w:t>
      </w:r>
      <w:r w:rsidRPr="0010148C">
        <w:tab/>
        <w:t>See list of items with identical responses.</w:t>
      </w:r>
    </w:p>
    <w:p w:rsidR="00C140EF" w:rsidRPr="0010148C" w:rsidRDefault="00C140EF" w:rsidP="004B1758">
      <w:pPr>
        <w:ind w:left="720" w:hanging="720"/>
      </w:pPr>
    </w:p>
    <w:p w:rsidR="00C140EF" w:rsidRPr="0010148C" w:rsidRDefault="00C140EF" w:rsidP="004B1758">
      <w:pPr>
        <w:ind w:left="720" w:hanging="720"/>
      </w:pPr>
      <w:r w:rsidRPr="0010148C">
        <w:t>12.</w:t>
      </w:r>
      <w:r w:rsidRPr="0010148C">
        <w:tab/>
      </w:r>
      <w:r w:rsidRPr="0010148C">
        <w:rPr>
          <w:u w:val="single"/>
        </w:rPr>
        <w:t>Estimated Information Collection Burden</w:t>
      </w:r>
    </w:p>
    <w:p w:rsidR="00C140EF" w:rsidRPr="0010148C" w:rsidRDefault="00C140EF" w:rsidP="004B1758">
      <w:pPr>
        <w:ind w:left="720" w:hanging="720"/>
      </w:pPr>
    </w:p>
    <w:p w:rsidR="00C140EF" w:rsidRPr="0010148C" w:rsidRDefault="00C140EF" w:rsidP="004B1758">
      <w:pPr>
        <w:ind w:left="720" w:hanging="720"/>
      </w:pPr>
      <w:r>
        <w:tab/>
      </w:r>
      <w:r w:rsidRPr="0010148C">
        <w:t>a.</w:t>
      </w:r>
      <w:r w:rsidRPr="0010148C">
        <w:tab/>
      </w:r>
      <w:r w:rsidRPr="0010148C">
        <w:rPr>
          <w:u w:val="single"/>
        </w:rPr>
        <w:t>Burden Hour Estimates for Respondents</w:t>
      </w:r>
    </w:p>
    <w:p w:rsidR="00C140EF" w:rsidRPr="0010148C" w:rsidRDefault="00C140EF" w:rsidP="004B1758">
      <w:pPr>
        <w:ind w:left="720" w:hanging="720"/>
      </w:pPr>
    </w:p>
    <w:p w:rsidR="00C140EF" w:rsidRPr="00A40E64" w:rsidRDefault="00C140EF" w:rsidP="004B1758">
      <w:pPr>
        <w:ind w:left="720" w:hanging="720"/>
      </w:pPr>
      <w:r>
        <w:tab/>
      </w:r>
      <w:r w:rsidR="00104342" w:rsidRPr="00A40E64">
        <w:t xml:space="preserve">As discussed in item 12.a. of the supporting statement for §772.11, we anticipate that state regulatory authorities will receive </w:t>
      </w:r>
      <w:r w:rsidR="00D27E2F" w:rsidRPr="00A40E64">
        <w:t xml:space="preserve">an average of </w:t>
      </w:r>
      <w:r w:rsidR="00974421" w:rsidRPr="00A40E64">
        <w:t>288</w:t>
      </w:r>
      <w:r w:rsidRPr="00A40E64">
        <w:t xml:space="preserve"> notices of intent to explore</w:t>
      </w:r>
      <w:r w:rsidR="00104342" w:rsidRPr="00A40E64">
        <w:t>,</w:t>
      </w:r>
      <w:r w:rsidRPr="00A40E64">
        <w:t xml:space="preserve"> while we received </w:t>
      </w:r>
      <w:r w:rsidR="00E202C3" w:rsidRPr="00A40E64">
        <w:t>8</w:t>
      </w:r>
      <w:r w:rsidRPr="00A40E64">
        <w:t xml:space="preserve">.  And, as discussed in item 12.a. of the supporting statement for </w:t>
      </w:r>
      <w:r w:rsidR="00084A05" w:rsidRPr="00A40E64">
        <w:t>§</w:t>
      </w:r>
      <w:r w:rsidRPr="00A40E64">
        <w:t xml:space="preserve">772.12, we anticipate that </w:t>
      </w:r>
      <w:r w:rsidR="00104342" w:rsidRPr="00A40E64">
        <w:t>s</w:t>
      </w:r>
      <w:r w:rsidRPr="00A40E64">
        <w:t>tate regulatory authorities will</w:t>
      </w:r>
      <w:r w:rsidR="00D27E2F" w:rsidRPr="00A40E64">
        <w:t xml:space="preserve"> </w:t>
      </w:r>
      <w:r w:rsidRPr="00A40E64">
        <w:t xml:space="preserve">receive </w:t>
      </w:r>
      <w:r w:rsidR="00974421" w:rsidRPr="00A40E64">
        <w:t>2</w:t>
      </w:r>
      <w:r w:rsidRPr="00A40E64">
        <w:t xml:space="preserve"> applications for coal exploration permits each year, while we </w:t>
      </w:r>
      <w:r w:rsidR="00974421" w:rsidRPr="00A40E64">
        <w:t>do not anticipate receiving any</w:t>
      </w:r>
      <w:r w:rsidRPr="00A40E64">
        <w:t>.  T</w:t>
      </w:r>
      <w:r w:rsidR="00104342" w:rsidRPr="00A40E64">
        <w:t>herefore, we estimate that the s</w:t>
      </w:r>
      <w:r w:rsidRPr="00A40E64">
        <w:t xml:space="preserve">tate regulatory authorities will receive a total of approximately </w:t>
      </w:r>
      <w:r w:rsidR="00974421" w:rsidRPr="00A40E64">
        <w:t xml:space="preserve">290 </w:t>
      </w:r>
      <w:r w:rsidRPr="00A40E64">
        <w:t xml:space="preserve">coal exploration notices and applications </w:t>
      </w:r>
      <w:r w:rsidR="00E202C3" w:rsidRPr="00A40E64">
        <w:t xml:space="preserve">for coal exploration permits </w:t>
      </w:r>
      <w:r w:rsidRPr="00A40E64">
        <w:t xml:space="preserve">per year.  </w:t>
      </w:r>
    </w:p>
    <w:p w:rsidR="00C140EF" w:rsidRPr="00A40E64" w:rsidRDefault="00C140EF" w:rsidP="004B1758">
      <w:pPr>
        <w:ind w:left="720" w:hanging="720"/>
      </w:pPr>
    </w:p>
    <w:p w:rsidR="00C140EF" w:rsidRPr="00A40E64" w:rsidRDefault="00C140EF" w:rsidP="004B1758">
      <w:pPr>
        <w:ind w:left="720" w:hanging="720"/>
      </w:pPr>
      <w:r w:rsidRPr="00A40E64">
        <w:tab/>
        <w:t>Based upon our experience, we estimate that filing and indexing a notice of intent to explore or coal exploration permit (including the separation of confidential material) requires an average of 0.5 hour on the part of the regulatory authority.  We also estimate that preparation of a confidentiality request requires approximately the same amount of</w:t>
      </w:r>
      <w:r w:rsidRPr="0010148C">
        <w:t xml:space="preserve"> time on the part of the person filing the notice or exploration permit application.  However, in both our experience and that of the </w:t>
      </w:r>
      <w:r w:rsidR="00104342">
        <w:t>s</w:t>
      </w:r>
      <w:r w:rsidRPr="0010148C">
        <w:t xml:space="preserve">tate regulatory authority contacts identified in item 8, fewer than 10 percent of all persons filing notices or exploration permit applications request </w:t>
      </w:r>
      <w:r w:rsidRPr="00A40E64">
        <w:t xml:space="preserve">confidentiality.  </w:t>
      </w:r>
    </w:p>
    <w:p w:rsidR="00C140EF" w:rsidRPr="00A40E64" w:rsidRDefault="00C140EF" w:rsidP="004B1758">
      <w:pPr>
        <w:ind w:left="720" w:hanging="720"/>
      </w:pPr>
    </w:p>
    <w:p w:rsidR="00C140EF" w:rsidRPr="00A40E64" w:rsidRDefault="00C140EF" w:rsidP="004B1758">
      <w:pPr>
        <w:ind w:left="720" w:hanging="720"/>
      </w:pPr>
      <w:r w:rsidRPr="00A40E64">
        <w:tab/>
        <w:t xml:space="preserve">Therefore, we estimate that the annual recordkeeping burden on </w:t>
      </w:r>
      <w:r w:rsidR="00104342" w:rsidRPr="00A40E64">
        <w:t>s</w:t>
      </w:r>
      <w:r w:rsidRPr="00A40E64">
        <w:t xml:space="preserve">tate regulatory authorities under </w:t>
      </w:r>
      <w:r w:rsidR="00084A05" w:rsidRPr="00A40E64">
        <w:t>§</w:t>
      </w:r>
      <w:r w:rsidRPr="00A40E64">
        <w:t xml:space="preserve">772.15(a) is approximately </w:t>
      </w:r>
      <w:r w:rsidR="00974421" w:rsidRPr="00A40E64">
        <w:rPr>
          <w:b/>
        </w:rPr>
        <w:t>145</w:t>
      </w:r>
      <w:r w:rsidRPr="00A40E64">
        <w:rPr>
          <w:b/>
          <w:bCs/>
        </w:rPr>
        <w:t xml:space="preserve"> hours </w:t>
      </w:r>
      <w:r w:rsidRPr="00A40E64">
        <w:t>(</w:t>
      </w:r>
      <w:r w:rsidR="00974421" w:rsidRPr="00A40E64">
        <w:t xml:space="preserve">290 </w:t>
      </w:r>
      <w:r w:rsidRPr="00A40E64">
        <w:t>n</w:t>
      </w:r>
      <w:r w:rsidR="00B412C5" w:rsidRPr="00A40E64">
        <w:t>otices and permits received by s</w:t>
      </w:r>
      <w:r w:rsidRPr="00A40E64">
        <w:t xml:space="preserve">tate regulatory authorities x 0.5 hour per notice or permit).  The estimated annual information collection burden for persons to prepare and submit requests for confidentiality under </w:t>
      </w:r>
      <w:r w:rsidR="00084A05" w:rsidRPr="00A40E64">
        <w:t>§</w:t>
      </w:r>
      <w:r w:rsidRPr="00A40E64">
        <w:t xml:space="preserve">772.15(b) is </w:t>
      </w:r>
      <w:r w:rsidR="00907EB4" w:rsidRPr="00A40E64">
        <w:rPr>
          <w:b/>
        </w:rPr>
        <w:t>15</w:t>
      </w:r>
      <w:r w:rsidRPr="00A40E64">
        <w:rPr>
          <w:b/>
          <w:bCs/>
        </w:rPr>
        <w:t xml:space="preserve"> hours</w:t>
      </w:r>
      <w:r w:rsidRPr="00A40E64">
        <w:t xml:space="preserve"> (</w:t>
      </w:r>
      <w:r w:rsidR="00974421" w:rsidRPr="00A40E64">
        <w:t>290</w:t>
      </w:r>
      <w:r w:rsidRPr="00A40E64">
        <w:t xml:space="preserve"> notices and permits x 0.1 request per notice or permit x 0.5 hour per request).</w:t>
      </w:r>
    </w:p>
    <w:p w:rsidR="00C140EF" w:rsidRPr="00A40E64" w:rsidRDefault="00C140EF" w:rsidP="004B1758">
      <w:pPr>
        <w:ind w:left="720" w:hanging="720"/>
      </w:pPr>
    </w:p>
    <w:p w:rsidR="00C140EF" w:rsidRPr="0010148C" w:rsidRDefault="00C140EF" w:rsidP="004B1758">
      <w:pPr>
        <w:ind w:left="720" w:hanging="720"/>
      </w:pPr>
      <w:r w:rsidRPr="00A40E64">
        <w:tab/>
        <w:t xml:space="preserve">Therefore, the combined information collection and recordkeeping burden for both paragraphs (a) and (b) of </w:t>
      </w:r>
      <w:r w:rsidR="00084A05" w:rsidRPr="00A40E64">
        <w:t>§</w:t>
      </w:r>
      <w:r w:rsidRPr="00A40E64">
        <w:t xml:space="preserve">772.15 is approximately </w:t>
      </w:r>
      <w:r w:rsidR="0001378F" w:rsidRPr="00A40E64">
        <w:rPr>
          <w:b/>
        </w:rPr>
        <w:t>1</w:t>
      </w:r>
      <w:r w:rsidR="00A40E64">
        <w:rPr>
          <w:b/>
        </w:rPr>
        <w:t>60</w:t>
      </w:r>
      <w:r w:rsidRPr="00A40E64">
        <w:rPr>
          <w:b/>
          <w:bCs/>
        </w:rPr>
        <w:t xml:space="preserve"> hours</w:t>
      </w:r>
      <w:r w:rsidRPr="00A40E64">
        <w:t xml:space="preserve"> (</w:t>
      </w:r>
      <w:r w:rsidR="0001378F" w:rsidRPr="00A40E64">
        <w:t>145</w:t>
      </w:r>
      <w:r w:rsidRPr="00A40E64">
        <w:t xml:space="preserve"> hours for </w:t>
      </w:r>
      <w:r w:rsidR="00B412C5" w:rsidRPr="00A40E64">
        <w:t>s</w:t>
      </w:r>
      <w:r w:rsidRPr="00A40E64">
        <w:t xml:space="preserve">tate regulatory authority recordkeeping + </w:t>
      </w:r>
      <w:r w:rsidR="00907EB4" w:rsidRPr="00A40E64">
        <w:t>15</w:t>
      </w:r>
      <w:r w:rsidRPr="00A40E64">
        <w:t xml:space="preserve"> hours for </w:t>
      </w:r>
      <w:r w:rsidR="00A40E64" w:rsidRPr="00A40E64">
        <w:t>applicants</w:t>
      </w:r>
      <w:r w:rsidRPr="00A40E64">
        <w:t xml:space="preserve"> to prepare confidentiality requests).</w:t>
      </w:r>
    </w:p>
    <w:p w:rsidR="00C140EF" w:rsidRDefault="00C140EF" w:rsidP="004B1758">
      <w:pPr>
        <w:ind w:left="720" w:hanging="720"/>
      </w:pPr>
    </w:p>
    <w:p w:rsidR="00C140EF" w:rsidRPr="0010148C" w:rsidRDefault="00C140EF" w:rsidP="00322910">
      <w:r w:rsidRPr="0010148C">
        <w:t>b.</w:t>
      </w:r>
      <w:r w:rsidRPr="0010148C">
        <w:tab/>
      </w:r>
      <w:r w:rsidRPr="0010148C">
        <w:rPr>
          <w:u w:val="single"/>
        </w:rPr>
        <w:t>Estimated Annual Wage Cost to Respondents</w:t>
      </w:r>
    </w:p>
    <w:p w:rsidR="006C6E68" w:rsidRDefault="006C6E68" w:rsidP="006C6E68">
      <w:pPr>
        <w:pStyle w:val="BodyTextIndent"/>
        <w:ind w:left="720"/>
      </w:pPr>
    </w:p>
    <w:p w:rsidR="006C6E68" w:rsidRPr="00A40E64" w:rsidRDefault="006C6E68" w:rsidP="006C6E68">
      <w:pPr>
        <w:pStyle w:val="BodyTextIndent"/>
        <w:ind w:left="720"/>
      </w:pPr>
      <w:r>
        <w:t>W</w:t>
      </w:r>
      <w:r w:rsidRPr="00E153D1">
        <w:t xml:space="preserve">e estimate </w:t>
      </w:r>
      <w:r>
        <w:t xml:space="preserve">that mine operators will incur the </w:t>
      </w:r>
      <w:r w:rsidRPr="00E153D1">
        <w:t xml:space="preserve">following wage costs (rounded) to complete the collection </w:t>
      </w:r>
      <w:r w:rsidRPr="00A40E64">
        <w:t xml:space="preserve">of information required by this section (see item 12, page </w:t>
      </w:r>
      <w:r w:rsidR="006E1324">
        <w:t>8</w:t>
      </w:r>
      <w:r w:rsidRPr="00A40E64">
        <w:t>, for an explanation of wages and benefits):</w:t>
      </w:r>
    </w:p>
    <w:p w:rsidR="006C6E68" w:rsidRPr="00A40E64" w:rsidRDefault="006C6E68" w:rsidP="006C6E68">
      <w:pPr>
        <w:pStyle w:val="BodyTextIndent"/>
        <w:ind w:hanging="720"/>
      </w:pPr>
      <w:r w:rsidRPr="00A40E64">
        <w:tab/>
      </w:r>
      <w:r w:rsidRPr="00A40E64">
        <w:tab/>
      </w:r>
    </w:p>
    <w:p w:rsidR="006C6E68" w:rsidRPr="00A40E64" w:rsidRDefault="006C6E68" w:rsidP="006C6E68">
      <w:pPr>
        <w:pStyle w:val="BodyTextIndent"/>
        <w:ind w:hanging="720"/>
        <w:jc w:val="center"/>
      </w:pPr>
      <w:r w:rsidRPr="00A40E64">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250"/>
        <w:gridCol w:w="2070"/>
      </w:tblGrid>
      <w:tr w:rsidR="006C6E68" w:rsidRPr="00A40E64" w:rsidTr="006C6E68">
        <w:tc>
          <w:tcPr>
            <w:tcW w:w="2520" w:type="dxa"/>
          </w:tcPr>
          <w:p w:rsidR="006C6E68" w:rsidRPr="00A40E64" w:rsidRDefault="006C6E68" w:rsidP="006C6E68">
            <w:pPr>
              <w:pStyle w:val="BodyTextIndent"/>
              <w:ind w:left="0"/>
              <w:jc w:val="center"/>
            </w:pPr>
            <w:r w:rsidRPr="00A40E64">
              <w:t>Position</w:t>
            </w:r>
          </w:p>
        </w:tc>
        <w:tc>
          <w:tcPr>
            <w:tcW w:w="2160" w:type="dxa"/>
          </w:tcPr>
          <w:p w:rsidR="006C6E68" w:rsidRPr="00A40E64" w:rsidRDefault="006C6E68" w:rsidP="006C6E68">
            <w:pPr>
              <w:pStyle w:val="BodyTextIndent"/>
              <w:ind w:left="0"/>
              <w:jc w:val="center"/>
            </w:pPr>
            <w:r w:rsidRPr="00A40E64">
              <w:t>Hour Burden per Response</w:t>
            </w:r>
          </w:p>
        </w:tc>
        <w:tc>
          <w:tcPr>
            <w:tcW w:w="2250" w:type="dxa"/>
          </w:tcPr>
          <w:p w:rsidR="006C6E68" w:rsidRPr="00A40E64" w:rsidRDefault="006C6E68" w:rsidP="006C6E68">
            <w:pPr>
              <w:pStyle w:val="BodyTextIndent"/>
              <w:ind w:left="0"/>
              <w:jc w:val="center"/>
            </w:pPr>
            <w:r w:rsidRPr="00A40E64">
              <w:t>Cost Per Hour ($)</w:t>
            </w:r>
          </w:p>
        </w:tc>
        <w:tc>
          <w:tcPr>
            <w:tcW w:w="2070" w:type="dxa"/>
          </w:tcPr>
          <w:p w:rsidR="006C6E68" w:rsidRPr="00A40E64" w:rsidRDefault="006C6E68" w:rsidP="006C6E68">
            <w:pPr>
              <w:pStyle w:val="BodyTextIndent"/>
              <w:ind w:left="0"/>
              <w:jc w:val="center"/>
            </w:pPr>
            <w:r w:rsidRPr="00A40E64">
              <w:t>Total Wage Burden ($)</w:t>
            </w:r>
          </w:p>
        </w:tc>
      </w:tr>
      <w:tr w:rsidR="006C6E68" w:rsidRPr="00A40E64" w:rsidTr="006C6E68">
        <w:tc>
          <w:tcPr>
            <w:tcW w:w="2520" w:type="dxa"/>
          </w:tcPr>
          <w:p w:rsidR="006C6E68" w:rsidRPr="00A40E64" w:rsidRDefault="006C6E68" w:rsidP="006C6E68">
            <w:pPr>
              <w:pStyle w:val="BodyTextIndent"/>
              <w:ind w:left="0"/>
            </w:pPr>
            <w:r w:rsidRPr="00A40E64">
              <w:t>Administrative Support</w:t>
            </w:r>
          </w:p>
        </w:tc>
        <w:tc>
          <w:tcPr>
            <w:tcW w:w="2160" w:type="dxa"/>
          </w:tcPr>
          <w:p w:rsidR="006C6E68" w:rsidRPr="00A40E64" w:rsidRDefault="006C6E68" w:rsidP="006C6E68">
            <w:pPr>
              <w:pStyle w:val="BodyTextIndent"/>
              <w:ind w:left="0"/>
              <w:jc w:val="center"/>
            </w:pPr>
            <w:r w:rsidRPr="00A40E64">
              <w:t>.5</w:t>
            </w:r>
          </w:p>
        </w:tc>
        <w:tc>
          <w:tcPr>
            <w:tcW w:w="2250" w:type="dxa"/>
          </w:tcPr>
          <w:p w:rsidR="006C6E68" w:rsidRPr="00A40E64" w:rsidRDefault="006C6E68" w:rsidP="00A40E64">
            <w:pPr>
              <w:pStyle w:val="BodyTextIndent"/>
              <w:ind w:left="0"/>
              <w:jc w:val="center"/>
            </w:pPr>
            <w:r w:rsidRPr="00A40E64">
              <w:t>2</w:t>
            </w:r>
            <w:r w:rsidR="00A40E64" w:rsidRPr="00A40E64">
              <w:t>3</w:t>
            </w:r>
            <w:r w:rsidRPr="00A40E64">
              <w:t>.</w:t>
            </w:r>
            <w:r w:rsidR="00A40E64" w:rsidRPr="00A40E64">
              <w:t>21</w:t>
            </w:r>
          </w:p>
        </w:tc>
        <w:tc>
          <w:tcPr>
            <w:tcW w:w="2070" w:type="dxa"/>
          </w:tcPr>
          <w:p w:rsidR="006C6E68" w:rsidRPr="00A40E64" w:rsidRDefault="000B0978" w:rsidP="00A40E64">
            <w:pPr>
              <w:pStyle w:val="BodyTextIndent"/>
              <w:ind w:left="0"/>
              <w:jc w:val="center"/>
            </w:pPr>
            <w:r w:rsidRPr="00A40E64">
              <w:fldChar w:fldCharType="begin"/>
            </w:r>
            <w:r w:rsidRPr="00A40E64">
              <w:instrText xml:space="preserve"> =product(LEFT) \# "#,##0" </w:instrText>
            </w:r>
            <w:r w:rsidRPr="00A40E64">
              <w:fldChar w:fldCharType="separate"/>
            </w:r>
            <w:r w:rsidRPr="00A40E64">
              <w:rPr>
                <w:noProof/>
              </w:rPr>
              <w:t xml:space="preserve">  1</w:t>
            </w:r>
            <w:r w:rsidR="00A40E64" w:rsidRPr="00A40E64">
              <w:rPr>
                <w:noProof/>
              </w:rPr>
              <w:t>2</w:t>
            </w:r>
            <w:r w:rsidRPr="00A40E64">
              <w:fldChar w:fldCharType="end"/>
            </w:r>
          </w:p>
        </w:tc>
      </w:tr>
      <w:tr w:rsidR="006C6E68" w:rsidRPr="00A40E64" w:rsidTr="006C6E68">
        <w:tc>
          <w:tcPr>
            <w:tcW w:w="2520" w:type="dxa"/>
          </w:tcPr>
          <w:p w:rsidR="006C6E68" w:rsidRPr="00A40E64" w:rsidRDefault="006C6E68" w:rsidP="006C6E68">
            <w:pPr>
              <w:pStyle w:val="BodyTextIndent"/>
              <w:ind w:left="0"/>
            </w:pPr>
            <w:r w:rsidRPr="00A40E64">
              <w:t>Total</w:t>
            </w:r>
          </w:p>
        </w:tc>
        <w:tc>
          <w:tcPr>
            <w:tcW w:w="2160" w:type="dxa"/>
          </w:tcPr>
          <w:p w:rsidR="006C6E68" w:rsidRPr="00A40E64" w:rsidRDefault="006C6E68" w:rsidP="006C6E68">
            <w:pPr>
              <w:pStyle w:val="BodyTextIndent"/>
              <w:ind w:left="0"/>
              <w:jc w:val="center"/>
            </w:pPr>
            <w:r w:rsidRPr="00A40E64">
              <w:t>.5</w:t>
            </w:r>
          </w:p>
        </w:tc>
        <w:tc>
          <w:tcPr>
            <w:tcW w:w="2250" w:type="dxa"/>
          </w:tcPr>
          <w:p w:rsidR="006C6E68" w:rsidRPr="00A40E64" w:rsidRDefault="006C6E68" w:rsidP="006C6E68">
            <w:pPr>
              <w:pStyle w:val="BodyTextIndent"/>
              <w:ind w:left="0"/>
              <w:jc w:val="center"/>
            </w:pPr>
          </w:p>
        </w:tc>
        <w:tc>
          <w:tcPr>
            <w:tcW w:w="2070" w:type="dxa"/>
          </w:tcPr>
          <w:p w:rsidR="006C6E68" w:rsidRPr="00A40E64" w:rsidRDefault="000B0978" w:rsidP="006C6E68">
            <w:pPr>
              <w:pStyle w:val="BodyTextIndent"/>
              <w:ind w:left="0"/>
              <w:jc w:val="center"/>
            </w:pPr>
            <w:r w:rsidRPr="00A40E64">
              <w:t xml:space="preserve">  1</w:t>
            </w:r>
            <w:r w:rsidR="00A40E64" w:rsidRPr="00A40E64">
              <w:t>2</w:t>
            </w:r>
          </w:p>
        </w:tc>
      </w:tr>
    </w:tbl>
    <w:p w:rsidR="006C6E68" w:rsidRPr="00A40E64" w:rsidRDefault="006C6E68" w:rsidP="006C6E68">
      <w:pPr>
        <w:pStyle w:val="BodyTextIndent"/>
        <w:ind w:hanging="720"/>
      </w:pPr>
    </w:p>
    <w:p w:rsidR="006C6E68" w:rsidRPr="00A40E64" w:rsidRDefault="006C6E68" w:rsidP="006C6E68">
      <w:pPr>
        <w:pStyle w:val="BodyTextIndent"/>
        <w:ind w:left="720"/>
      </w:pPr>
      <w:r w:rsidRPr="00A40E64">
        <w:t xml:space="preserve">Therefore, the estimated annual wage cost for each industry respondent for </w:t>
      </w:r>
      <w:r w:rsidRPr="00A40E64">
        <w:rPr>
          <w:rFonts w:cs="Arial"/>
        </w:rPr>
        <w:t>§</w:t>
      </w:r>
      <w:r w:rsidRPr="00A40E64">
        <w:t>772.15 is $1</w:t>
      </w:r>
      <w:r w:rsidR="00A40E64" w:rsidRPr="00A40E64">
        <w:t>2</w:t>
      </w:r>
      <w:r w:rsidRPr="00A40E64">
        <w:t>.  The total wage cost to all industry respondents is $1</w:t>
      </w:r>
      <w:r w:rsidR="00A40E64" w:rsidRPr="00A40E64">
        <w:t>2</w:t>
      </w:r>
      <w:r w:rsidRPr="00A40E64">
        <w:t xml:space="preserve"> x </w:t>
      </w:r>
      <w:r w:rsidR="00907EB4" w:rsidRPr="00A40E64">
        <w:t>29</w:t>
      </w:r>
      <w:r w:rsidRPr="00A40E64">
        <w:t xml:space="preserve"> requests for confidentiality = $</w:t>
      </w:r>
      <w:r w:rsidR="00907EB4" w:rsidRPr="00A40E64">
        <w:t>3</w:t>
      </w:r>
      <w:r w:rsidR="00A40E64" w:rsidRPr="00A40E64">
        <w:t>48</w:t>
      </w:r>
      <w:r w:rsidRPr="00A40E64">
        <w:t>.</w:t>
      </w:r>
    </w:p>
    <w:p w:rsidR="006C6E68" w:rsidRPr="00A40E64" w:rsidRDefault="006C6E68" w:rsidP="006C6E68">
      <w:pPr>
        <w:ind w:left="720"/>
      </w:pPr>
    </w:p>
    <w:p w:rsidR="006C6E68" w:rsidRPr="00A27A81" w:rsidRDefault="006C6E68" w:rsidP="006C6E68">
      <w:pPr>
        <w:ind w:left="720"/>
        <w:rPr>
          <w:rFonts w:cs="Arial"/>
        </w:rPr>
      </w:pPr>
      <w:r w:rsidRPr="00A27A81">
        <w:t xml:space="preserve">In addition, it takes .5 hours for each </w:t>
      </w:r>
      <w:r w:rsidRPr="00A27A81">
        <w:rPr>
          <w:rFonts w:cs="Arial"/>
        </w:rPr>
        <w:t xml:space="preserve">state regulatory authority to file notices and permits for coal exploration.  </w:t>
      </w:r>
    </w:p>
    <w:p w:rsidR="006C6E68" w:rsidRPr="00A27A81" w:rsidRDefault="006C6E68" w:rsidP="006C6E68">
      <w:pPr>
        <w:ind w:left="720"/>
        <w:rPr>
          <w:rFonts w:cs="Arial"/>
        </w:rPr>
      </w:pPr>
    </w:p>
    <w:p w:rsidR="006C6E68" w:rsidRPr="00A27A81" w:rsidRDefault="006C6E68" w:rsidP="006C6E68">
      <w:pPr>
        <w:pStyle w:val="BodyTextIndent"/>
        <w:tabs>
          <w:tab w:val="left" w:pos="720"/>
        </w:tabs>
        <w:ind w:left="720"/>
      </w:pPr>
      <w:r w:rsidRPr="00A27A81">
        <w:t xml:space="preserve">Using BLS statistics for state employee </w:t>
      </w:r>
      <w:r w:rsidR="0002236F" w:rsidRPr="00A27A81">
        <w:t>file clerk</w:t>
      </w:r>
      <w:r w:rsidRPr="00A27A81">
        <w:t xml:space="preserve"> with benefits as indicated in item 12, page </w:t>
      </w:r>
      <w:r w:rsidR="00A40E64" w:rsidRPr="00A27A81">
        <w:t>8</w:t>
      </w:r>
      <w:r w:rsidRPr="00A27A81">
        <w:t>, we estimate that the wage cost is $</w:t>
      </w:r>
      <w:r w:rsidR="00A27A81" w:rsidRPr="00A27A81">
        <w:t>26</w:t>
      </w:r>
      <w:r w:rsidR="0002236F" w:rsidRPr="00A27A81">
        <w:t>.</w:t>
      </w:r>
      <w:r w:rsidR="00A27A81" w:rsidRPr="00A27A81">
        <w:t>02</w:t>
      </w:r>
      <w:r w:rsidRPr="00A27A81">
        <w:t xml:space="preserve"> per hour including benefits.    Therefore, the estimated annual wage cost for state regulatory authorities to </w:t>
      </w:r>
      <w:r w:rsidR="0002236F" w:rsidRPr="00A27A81">
        <w:t xml:space="preserve">file notices and permit applications for </w:t>
      </w:r>
      <w:r w:rsidRPr="00A27A81">
        <w:rPr>
          <w:rFonts w:cs="Arial"/>
        </w:rPr>
        <w:t>§</w:t>
      </w:r>
      <w:r w:rsidRPr="00A27A81">
        <w:t>772.1</w:t>
      </w:r>
      <w:r w:rsidR="0002236F" w:rsidRPr="00A27A81">
        <w:t>5</w:t>
      </w:r>
      <w:r w:rsidRPr="00A27A81">
        <w:t xml:space="preserve"> for each exploration application is $</w:t>
      </w:r>
      <w:r w:rsidR="00A27A81" w:rsidRPr="00A27A81">
        <w:t>26</w:t>
      </w:r>
      <w:r w:rsidR="0002236F" w:rsidRPr="00A27A81">
        <w:t>.</w:t>
      </w:r>
      <w:r w:rsidR="00A27A81" w:rsidRPr="00A27A81">
        <w:t>02</w:t>
      </w:r>
      <w:r w:rsidRPr="00A27A81">
        <w:t xml:space="preserve"> per hour x </w:t>
      </w:r>
      <w:r w:rsidR="0002236F" w:rsidRPr="00A27A81">
        <w:t>.5</w:t>
      </w:r>
      <w:r w:rsidRPr="00A27A81">
        <w:t xml:space="preserve"> hours = $</w:t>
      </w:r>
      <w:r w:rsidR="0002236F" w:rsidRPr="00A27A81">
        <w:t>1</w:t>
      </w:r>
      <w:r w:rsidR="00A27A81" w:rsidRPr="00A27A81">
        <w:t>3</w:t>
      </w:r>
      <w:r w:rsidRPr="00A27A81">
        <w:t>.  The total wage cost to all state regulatory authorities is $</w:t>
      </w:r>
      <w:r w:rsidR="0002236F" w:rsidRPr="00A27A81">
        <w:t>1</w:t>
      </w:r>
      <w:r w:rsidR="00A27A81" w:rsidRPr="00A27A81">
        <w:t>3</w:t>
      </w:r>
      <w:r w:rsidRPr="00A27A81">
        <w:t xml:space="preserve"> x </w:t>
      </w:r>
      <w:r w:rsidR="00907EB4" w:rsidRPr="00A27A81">
        <w:t>290</w:t>
      </w:r>
      <w:r w:rsidRPr="00A27A81">
        <w:t xml:space="preserve"> </w:t>
      </w:r>
      <w:r w:rsidR="0002236F" w:rsidRPr="00A27A81">
        <w:t xml:space="preserve">notices and </w:t>
      </w:r>
      <w:r w:rsidRPr="00A27A81">
        <w:t>application</w:t>
      </w:r>
      <w:r w:rsidR="0002236F" w:rsidRPr="00A27A81">
        <w:t>s</w:t>
      </w:r>
      <w:r w:rsidRPr="00A27A81">
        <w:t xml:space="preserve"> = $</w:t>
      </w:r>
      <w:r w:rsidR="00A27A81" w:rsidRPr="00A27A81">
        <w:t>3</w:t>
      </w:r>
      <w:r w:rsidR="00907EB4" w:rsidRPr="00A27A81">
        <w:t>,</w:t>
      </w:r>
      <w:r w:rsidR="00A27A81" w:rsidRPr="00A27A81">
        <w:t>770</w:t>
      </w:r>
      <w:r w:rsidRPr="00A27A81">
        <w:t>.</w:t>
      </w:r>
    </w:p>
    <w:p w:rsidR="006C6E68" w:rsidRPr="00A27A81" w:rsidRDefault="006C6E68" w:rsidP="006C6E68">
      <w:pPr>
        <w:tabs>
          <w:tab w:val="left" w:pos="720"/>
        </w:tabs>
        <w:ind w:left="720"/>
      </w:pPr>
    </w:p>
    <w:p w:rsidR="006C6E68" w:rsidRPr="00A27A81" w:rsidRDefault="006C6E68" w:rsidP="006C6E68">
      <w:pPr>
        <w:ind w:left="720"/>
        <w:rPr>
          <w:rFonts w:cs="Arial"/>
        </w:rPr>
      </w:pPr>
      <w:r w:rsidRPr="00A27A81">
        <w:rPr>
          <w:rFonts w:cs="Arial"/>
        </w:rPr>
        <w:t>Therefore, we estimate that the burden to all respondents is $</w:t>
      </w:r>
      <w:r w:rsidR="00A27A81" w:rsidRPr="00A27A81">
        <w:rPr>
          <w:rFonts w:cs="Arial"/>
        </w:rPr>
        <w:t>348</w:t>
      </w:r>
      <w:r w:rsidRPr="00A27A81">
        <w:rPr>
          <w:rFonts w:cs="Arial"/>
        </w:rPr>
        <w:t xml:space="preserve"> for industry + $</w:t>
      </w:r>
      <w:r w:rsidR="00A27A81">
        <w:rPr>
          <w:rFonts w:cs="Arial"/>
        </w:rPr>
        <w:t>3</w:t>
      </w:r>
      <w:r w:rsidR="00924BDF" w:rsidRPr="00A27A81">
        <w:rPr>
          <w:rFonts w:cs="Arial"/>
        </w:rPr>
        <w:t>,</w:t>
      </w:r>
      <w:r w:rsidR="00A27A81">
        <w:rPr>
          <w:rFonts w:cs="Arial"/>
        </w:rPr>
        <w:t>770</w:t>
      </w:r>
      <w:r w:rsidRPr="00A27A81">
        <w:rPr>
          <w:rFonts w:cs="Arial"/>
        </w:rPr>
        <w:t xml:space="preserve"> for state regulatory authorities = $</w:t>
      </w:r>
      <w:r w:rsidR="00A27A81">
        <w:rPr>
          <w:rFonts w:cs="Arial"/>
        </w:rPr>
        <w:t>4</w:t>
      </w:r>
      <w:r w:rsidR="00CD304E" w:rsidRPr="00A27A81">
        <w:rPr>
          <w:rFonts w:cs="Arial"/>
        </w:rPr>
        <w:t>,</w:t>
      </w:r>
      <w:r w:rsidR="00A27A81">
        <w:rPr>
          <w:rFonts w:cs="Arial"/>
        </w:rPr>
        <w:t>118</w:t>
      </w:r>
      <w:r w:rsidRPr="00A27A81">
        <w:rPr>
          <w:rFonts w:cs="Arial"/>
        </w:rPr>
        <w:t xml:space="preserve">. </w:t>
      </w:r>
    </w:p>
    <w:p w:rsidR="004A428C" w:rsidRPr="00A27A81" w:rsidRDefault="004A428C" w:rsidP="004A428C">
      <w:pPr>
        <w:pStyle w:val="BodyTextIndent"/>
        <w:tabs>
          <w:tab w:val="left" w:pos="720"/>
        </w:tabs>
        <w:ind w:left="720"/>
      </w:pPr>
    </w:p>
    <w:p w:rsidR="00C140EF" w:rsidRPr="0010148C" w:rsidRDefault="00C140EF" w:rsidP="004B1758">
      <w:pPr>
        <w:tabs>
          <w:tab w:val="left" w:pos="-1440"/>
        </w:tabs>
        <w:ind w:left="720" w:hanging="720"/>
      </w:pPr>
      <w:r w:rsidRPr="00A27A81">
        <w:t>13.</w:t>
      </w:r>
      <w:r w:rsidRPr="00A27A81">
        <w:tab/>
      </w:r>
      <w:r w:rsidRPr="00A27A81">
        <w:rPr>
          <w:u w:val="single"/>
        </w:rPr>
        <w:t>Total Annual Non-Wage Cost Burden to Respondents</w:t>
      </w:r>
    </w:p>
    <w:p w:rsidR="00C140EF" w:rsidRPr="0010148C" w:rsidRDefault="00C140EF" w:rsidP="004B1758">
      <w:pPr>
        <w:ind w:left="720" w:hanging="720"/>
      </w:pPr>
    </w:p>
    <w:p w:rsidR="00C140EF" w:rsidRPr="0010148C" w:rsidRDefault="00C140EF" w:rsidP="004B1758">
      <w:pPr>
        <w:tabs>
          <w:tab w:val="left" w:pos="-1440"/>
        </w:tabs>
        <w:ind w:left="720" w:hanging="720"/>
      </w:pPr>
      <w:r>
        <w:tab/>
      </w:r>
      <w:r w:rsidRPr="0010148C">
        <w:t>a.</w:t>
      </w:r>
      <w:r w:rsidRPr="0010148C">
        <w:tab/>
      </w:r>
      <w:r w:rsidRPr="0010148C">
        <w:rPr>
          <w:u w:val="single"/>
        </w:rPr>
        <w:t>Annualized Capital and Start-Up Costs</w:t>
      </w:r>
    </w:p>
    <w:p w:rsidR="00C140EF" w:rsidRPr="0010148C" w:rsidRDefault="00C140EF" w:rsidP="004B1758">
      <w:pPr>
        <w:ind w:left="720" w:hanging="720"/>
      </w:pPr>
    </w:p>
    <w:p w:rsidR="00C140EF" w:rsidRPr="0010148C" w:rsidRDefault="00C140EF" w:rsidP="004B1758">
      <w:pPr>
        <w:ind w:left="720" w:hanging="720"/>
      </w:pPr>
      <w:r>
        <w:tab/>
      </w:r>
      <w:r w:rsidRPr="0010148C">
        <w:t xml:space="preserve">Under </w:t>
      </w:r>
      <w:r w:rsidR="00084A05">
        <w:t>§</w:t>
      </w:r>
      <w:r w:rsidRPr="0010148C">
        <w:t>772.15(a), records concerning notices of intent to explore and coal exploration permits must be kept at the regulatory authority office.  The rules do not specify a particular format or retention time.  Recordkeeping of this nature is a prudent and customary practice to which both businesses and regulatory authorities would likely adhere even in the absence of the regulation, especially in view of State and Federal laws and regulations governing records management in general.  Hence, this requirement involves no additional capital or start-up costs.</w:t>
      </w:r>
    </w:p>
    <w:p w:rsidR="00C140EF" w:rsidRPr="0010148C" w:rsidRDefault="00C140EF" w:rsidP="004B1758">
      <w:pPr>
        <w:ind w:left="720" w:hanging="720"/>
      </w:pPr>
    </w:p>
    <w:p w:rsidR="00C140EF" w:rsidRPr="0010148C" w:rsidRDefault="00C140EF" w:rsidP="004B1758">
      <w:pPr>
        <w:ind w:left="720" w:hanging="720"/>
      </w:pPr>
      <w:r>
        <w:tab/>
      </w:r>
      <w:r w:rsidRPr="0010148C">
        <w:t xml:space="preserve">Similarly, the information collection requirements of </w:t>
      </w:r>
      <w:r w:rsidR="00084A05">
        <w:t>§</w:t>
      </w:r>
      <w:r w:rsidRPr="0010148C">
        <w:t xml:space="preserve">772.15(b) (preparation of a simple letter of request) do not involve any capital or start-up costs apart from expenditures associated with customary business practices.  None are directly attributable to the information collection requirements of </w:t>
      </w:r>
      <w:r w:rsidR="00084A05">
        <w:t>§</w:t>
      </w:r>
      <w:r w:rsidRPr="0010148C">
        <w:t>772.15(b).</w:t>
      </w:r>
    </w:p>
    <w:p w:rsidR="00C140EF" w:rsidRPr="0010148C" w:rsidRDefault="00C140EF" w:rsidP="004B1758">
      <w:pPr>
        <w:tabs>
          <w:tab w:val="left" w:pos="-1440"/>
        </w:tabs>
        <w:ind w:left="720" w:hanging="720"/>
      </w:pPr>
    </w:p>
    <w:p w:rsidR="00C140EF" w:rsidRPr="0010148C" w:rsidRDefault="00C140EF" w:rsidP="004B1758">
      <w:pPr>
        <w:tabs>
          <w:tab w:val="left" w:pos="-1440"/>
        </w:tabs>
        <w:ind w:left="720" w:hanging="720"/>
      </w:pPr>
      <w:r>
        <w:tab/>
      </w:r>
      <w:r w:rsidRPr="0010148C">
        <w:t>b.</w:t>
      </w:r>
      <w:r w:rsidRPr="0010148C">
        <w:tab/>
      </w:r>
      <w:r w:rsidRPr="0010148C">
        <w:rPr>
          <w:u w:val="single"/>
        </w:rPr>
        <w:t>Operation and Maintenance Costs</w:t>
      </w:r>
    </w:p>
    <w:p w:rsidR="00C140EF" w:rsidRPr="0010148C" w:rsidRDefault="00C140EF" w:rsidP="004B1758">
      <w:pPr>
        <w:ind w:left="720" w:hanging="720"/>
      </w:pPr>
    </w:p>
    <w:p w:rsidR="00C140EF" w:rsidRPr="0010148C" w:rsidRDefault="00C140EF" w:rsidP="004B1758">
      <w:pPr>
        <w:ind w:left="720" w:hanging="720"/>
      </w:pPr>
      <w:r>
        <w:tab/>
      </w:r>
      <w:r w:rsidRPr="0010148C">
        <w:t xml:space="preserve">There are no significant or distinct non-wage operation or maintenance costs associated with compliance with the recordkeeping and information collection requirements of </w:t>
      </w:r>
      <w:r w:rsidR="00084A05">
        <w:t>§</w:t>
      </w:r>
      <w:r w:rsidRPr="0010148C">
        <w:t>772.15.  Operation and maintenance costs are negligible and reflect customary business or regulatory authority practices.</w:t>
      </w:r>
    </w:p>
    <w:p w:rsidR="00C140EF" w:rsidRPr="0010148C" w:rsidRDefault="00C140EF" w:rsidP="004B1758">
      <w:pPr>
        <w:tabs>
          <w:tab w:val="left" w:pos="-1440"/>
        </w:tabs>
        <w:ind w:left="720" w:hanging="720"/>
      </w:pPr>
    </w:p>
    <w:p w:rsidR="00C140EF" w:rsidRPr="0010148C" w:rsidRDefault="00C140EF" w:rsidP="004B1758">
      <w:pPr>
        <w:tabs>
          <w:tab w:val="left" w:pos="-1440"/>
        </w:tabs>
        <w:ind w:left="720" w:hanging="720"/>
      </w:pPr>
      <w:r w:rsidRPr="0010148C">
        <w:t>14.</w:t>
      </w:r>
      <w:r w:rsidRPr="0010148C">
        <w:tab/>
      </w:r>
      <w:r w:rsidRPr="0010148C">
        <w:rPr>
          <w:u w:val="single"/>
        </w:rPr>
        <w:t>Estimate of Annualized Cost to the Federal Government</w:t>
      </w:r>
    </w:p>
    <w:p w:rsidR="00C140EF" w:rsidRPr="0010148C" w:rsidRDefault="00C140EF" w:rsidP="004B1758">
      <w:pPr>
        <w:ind w:left="720" w:hanging="720"/>
      </w:pPr>
    </w:p>
    <w:p w:rsidR="004A428C" w:rsidRPr="001F0E30" w:rsidRDefault="004A428C" w:rsidP="004A428C">
      <w:pPr>
        <w:pStyle w:val="BodyTextIndent"/>
        <w:tabs>
          <w:tab w:val="left" w:pos="720"/>
        </w:tabs>
        <w:ind w:left="720" w:hanging="720"/>
        <w:rPr>
          <w:rFonts w:cs="Arial"/>
        </w:rPr>
      </w:pPr>
      <w:r>
        <w:tab/>
      </w:r>
      <w:r w:rsidR="00C140EF" w:rsidRPr="0010148C">
        <w:rPr>
          <w:u w:val="single"/>
        </w:rPr>
        <w:t>Oversight</w:t>
      </w:r>
      <w:r w:rsidR="00C140EF" w:rsidRPr="0010148C">
        <w:t xml:space="preserve">:  In keeping with the current guidance concerning oversight of State program implementation, which de-emphasizes process reviews, </w:t>
      </w:r>
      <w:r w:rsidR="00913CF2">
        <w:rPr>
          <w:rFonts w:cs="Arial"/>
        </w:rPr>
        <w:t>OSMRE</w:t>
      </w:r>
      <w:r w:rsidR="00C140EF">
        <w:rPr>
          <w:rFonts w:cs="Arial"/>
        </w:rPr>
        <w:t xml:space="preserve"> does</w:t>
      </w:r>
      <w:r w:rsidR="00C140EF" w:rsidRPr="0010148C">
        <w:t xml:space="preserve"> not anticipate conducting any significant oversight review of State compliance with the requirements of </w:t>
      </w:r>
      <w:r w:rsidR="00084A05">
        <w:t>§</w:t>
      </w:r>
      <w:r w:rsidR="00C140EF" w:rsidRPr="0010148C">
        <w:t>772.1</w:t>
      </w:r>
      <w:r w:rsidR="00C140EF">
        <w:t>5</w:t>
      </w:r>
      <w:r w:rsidR="00C140EF" w:rsidRPr="0010148C">
        <w:t xml:space="preserve"> in the </w:t>
      </w:r>
      <w:r w:rsidR="00C140EF" w:rsidRPr="001F0E30">
        <w:t>absence of an</w:t>
      </w:r>
      <w:r w:rsidR="00C140EF" w:rsidRPr="001F0E30">
        <w:rPr>
          <w:rFonts w:cs="Arial"/>
        </w:rPr>
        <w:t>y</w:t>
      </w:r>
      <w:r w:rsidR="00C140EF" w:rsidRPr="001F0E30">
        <w:t xml:space="preserve"> indication of </w:t>
      </w:r>
      <w:r w:rsidR="00C140EF" w:rsidRPr="001F0E30">
        <w:rPr>
          <w:rFonts w:cs="Arial"/>
        </w:rPr>
        <w:t xml:space="preserve">programmatic </w:t>
      </w:r>
      <w:r w:rsidR="00C140EF" w:rsidRPr="001F0E30">
        <w:t xml:space="preserve">problems.  </w:t>
      </w:r>
      <w:r w:rsidRPr="001F0E30">
        <w:rPr>
          <w:rFonts w:cs="Arial"/>
        </w:rPr>
        <w:t>If we conduct an oversight review of this topic in one state program per year, that review would require an average of 8 hours at $</w:t>
      </w:r>
      <w:r w:rsidR="001F0E30" w:rsidRPr="001F0E30">
        <w:rPr>
          <w:rFonts w:cs="Arial"/>
        </w:rPr>
        <w:t>62</w:t>
      </w:r>
      <w:r w:rsidRPr="001F0E30">
        <w:rPr>
          <w:rFonts w:cs="Arial"/>
        </w:rPr>
        <w:t>.</w:t>
      </w:r>
      <w:r w:rsidR="001F0E30" w:rsidRPr="001F0E30">
        <w:rPr>
          <w:rFonts w:cs="Arial"/>
        </w:rPr>
        <w:t>70</w:t>
      </w:r>
      <w:r w:rsidRPr="001F0E30">
        <w:rPr>
          <w:rFonts w:cs="Arial"/>
        </w:rPr>
        <w:t xml:space="preserve"> per hour (GS-12/5 regulatory program specialist/mining engineer reviewing the application, including 1.</w:t>
      </w:r>
      <w:r w:rsidR="001F0E30" w:rsidRPr="001F0E30">
        <w:rPr>
          <w:rFonts w:cs="Arial"/>
        </w:rPr>
        <w:t>6</w:t>
      </w:r>
      <w:r w:rsidRPr="001F0E30">
        <w:rPr>
          <w:rFonts w:cs="Arial"/>
        </w:rPr>
        <w:t xml:space="preserve"> multiplier for benefits. S</w:t>
      </w:r>
      <w:r w:rsidRPr="001F0E30">
        <w:t xml:space="preserve">ee item 14, page </w:t>
      </w:r>
      <w:r w:rsidR="001F0E30" w:rsidRPr="001F0E30">
        <w:t>8</w:t>
      </w:r>
      <w:r w:rsidRPr="001F0E30">
        <w:t xml:space="preserve">, for an explanation of wages and benefits).  </w:t>
      </w:r>
      <w:r w:rsidRPr="001F0E30">
        <w:rPr>
          <w:rFonts w:cs="Arial"/>
        </w:rPr>
        <w:t xml:space="preserve">The annual cost to </w:t>
      </w:r>
      <w:r w:rsidR="00913CF2" w:rsidRPr="001F0E30">
        <w:rPr>
          <w:rFonts w:cs="Arial"/>
        </w:rPr>
        <w:t>OSMRE</w:t>
      </w:r>
      <w:r w:rsidRPr="001F0E30">
        <w:rPr>
          <w:rFonts w:cs="Arial"/>
        </w:rPr>
        <w:t xml:space="preserve"> for this oversight activity is estimated to be $</w:t>
      </w:r>
      <w:r w:rsidR="001F0E30" w:rsidRPr="001F0E30">
        <w:rPr>
          <w:rFonts w:cs="Arial"/>
        </w:rPr>
        <w:t>502</w:t>
      </w:r>
      <w:r w:rsidRPr="001F0E30">
        <w:rPr>
          <w:rFonts w:cs="Arial"/>
        </w:rPr>
        <w:t>.</w:t>
      </w:r>
    </w:p>
    <w:p w:rsidR="00C140EF" w:rsidRPr="001F0E30" w:rsidRDefault="00C140EF" w:rsidP="004A42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C140EF" w:rsidRPr="001F0E30" w:rsidRDefault="00C140EF" w:rsidP="00A467BF">
      <w:pPr>
        <w:ind w:left="720" w:hanging="720"/>
      </w:pPr>
      <w:r w:rsidRPr="001F0E30">
        <w:tab/>
      </w:r>
      <w:r w:rsidRPr="001F0E30">
        <w:rPr>
          <w:u w:val="single"/>
        </w:rPr>
        <w:t>Federal Programs</w:t>
      </w:r>
      <w:r w:rsidRPr="001F0E30">
        <w:t xml:space="preserve">:  As discussed in item 12.a. of the supporting statements for </w:t>
      </w:r>
      <w:r w:rsidR="00084A05" w:rsidRPr="001F0E30">
        <w:t>§</w:t>
      </w:r>
      <w:r w:rsidRPr="001F0E30">
        <w:t xml:space="preserve">772.11 and 772.12, for purposes of this document, we </w:t>
      </w:r>
      <w:r w:rsidR="00907EB4" w:rsidRPr="001F0E30">
        <w:t xml:space="preserve">do not </w:t>
      </w:r>
      <w:r w:rsidRPr="001F0E30">
        <w:t xml:space="preserve">estimate that we will receive </w:t>
      </w:r>
      <w:r w:rsidR="00907EB4" w:rsidRPr="001F0E30">
        <w:t xml:space="preserve">any notices of </w:t>
      </w:r>
      <w:r w:rsidRPr="001F0E30">
        <w:t xml:space="preserve">intent to explore </w:t>
      </w:r>
      <w:r w:rsidR="00907EB4" w:rsidRPr="001F0E30">
        <w:t>or an</w:t>
      </w:r>
      <w:r w:rsidRPr="001F0E30">
        <w:t xml:space="preserve"> application for coal exploration permits on lands for which we are the regulatory authority. </w:t>
      </w:r>
    </w:p>
    <w:p w:rsidR="00C140EF" w:rsidRPr="001F0E30" w:rsidRDefault="00C140EF" w:rsidP="00A467B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140EF" w:rsidRPr="001F0E30" w:rsidRDefault="00C140EF" w:rsidP="00A467BF">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1F0E30">
        <w:rPr>
          <w:u w:val="single"/>
        </w:rPr>
        <w:t>Total Federal Cost</w:t>
      </w:r>
    </w:p>
    <w:p w:rsidR="00C140EF" w:rsidRPr="001F0E30" w:rsidRDefault="00C140EF" w:rsidP="00A467BF">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rsidR="00C140EF" w:rsidRPr="001F0E30" w:rsidRDefault="00C140EF" w:rsidP="001F0E30">
      <w:pPr>
        <w:keepLines/>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r w:rsidRPr="001F0E30">
        <w:rPr>
          <w:rFonts w:cs="Arial"/>
        </w:rPr>
        <w:tab/>
        <w:t xml:space="preserve">     $</w:t>
      </w:r>
      <w:r w:rsidR="001F0E30" w:rsidRPr="001F0E30">
        <w:rPr>
          <w:rFonts w:cs="Arial"/>
        </w:rPr>
        <w:tab/>
        <w:t>502</w:t>
      </w:r>
      <w:r w:rsidRPr="001F0E30">
        <w:t xml:space="preserve">  Oversight</w:t>
      </w:r>
    </w:p>
    <w:p w:rsidR="00C140EF" w:rsidRPr="00065D53" w:rsidRDefault="00C140EF" w:rsidP="001F0E30">
      <w:pPr>
        <w:keepLines/>
        <w:tabs>
          <w:tab w:val="left" w:pos="-144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F0E30">
        <w:rPr>
          <w:rFonts w:cs="Arial"/>
        </w:rPr>
        <w:tab/>
        <w:t xml:space="preserve">  </w:t>
      </w:r>
      <w:r w:rsidRPr="00065D53">
        <w:rPr>
          <w:rFonts w:cs="Arial"/>
          <w:u w:val="single"/>
        </w:rPr>
        <w:t>+ $</w:t>
      </w:r>
      <w:r w:rsidR="001F0E30" w:rsidRPr="00065D53">
        <w:rPr>
          <w:rFonts w:cs="Arial"/>
          <w:u w:val="single"/>
        </w:rPr>
        <w:tab/>
        <w:t xml:space="preserve">    </w:t>
      </w:r>
      <w:r w:rsidR="00907EB4" w:rsidRPr="00065D53">
        <w:rPr>
          <w:rFonts w:cs="Arial"/>
          <w:u w:val="single"/>
        </w:rPr>
        <w:t>0</w:t>
      </w:r>
      <w:r w:rsidRPr="00065D53">
        <w:t xml:space="preserve">  Federal </w:t>
      </w:r>
      <w:r w:rsidRPr="00065D53">
        <w:rPr>
          <w:rFonts w:cs="Arial"/>
        </w:rPr>
        <w:t>Programs</w:t>
      </w:r>
    </w:p>
    <w:p w:rsidR="00C140EF" w:rsidRPr="00065D53" w:rsidRDefault="00C140EF" w:rsidP="001F0E30">
      <w:pPr>
        <w:keepLines/>
        <w:tabs>
          <w:tab w:val="left" w:pos="-144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65D53">
        <w:rPr>
          <w:rFonts w:cs="Arial"/>
        </w:rPr>
        <w:tab/>
        <w:t xml:space="preserve">     $</w:t>
      </w:r>
      <w:r w:rsidR="001F0E30" w:rsidRPr="00065D53">
        <w:rPr>
          <w:rFonts w:cs="Arial"/>
        </w:rPr>
        <w:tab/>
      </w:r>
      <w:r w:rsidR="00907EB4" w:rsidRPr="00065D53">
        <w:rPr>
          <w:rFonts w:cs="Arial"/>
        </w:rPr>
        <w:t>5</w:t>
      </w:r>
      <w:r w:rsidR="001F0E30" w:rsidRPr="00065D53">
        <w:rPr>
          <w:rFonts w:cs="Arial"/>
        </w:rPr>
        <w:t>02</w:t>
      </w:r>
      <w:r w:rsidRPr="00065D53">
        <w:t xml:space="preserve"> Total </w:t>
      </w:r>
      <w:r w:rsidRPr="00065D53">
        <w:rPr>
          <w:rFonts w:cs="Arial"/>
        </w:rPr>
        <w:t>Federal Cost</w:t>
      </w:r>
    </w:p>
    <w:p w:rsidR="00C140EF" w:rsidRPr="00065D53" w:rsidRDefault="00C140EF" w:rsidP="004B1758">
      <w:pPr>
        <w:ind w:left="720" w:hanging="720"/>
      </w:pPr>
    </w:p>
    <w:p w:rsidR="008A4060" w:rsidRPr="00065D53" w:rsidRDefault="00C140EF" w:rsidP="008A4060">
      <w:pPr>
        <w:pStyle w:val="Quick1"/>
        <w:numPr>
          <w:ilvl w:val="0"/>
          <w:numId w:val="0"/>
        </w:numPr>
        <w:ind w:left="720" w:hanging="720"/>
      </w:pPr>
      <w:r w:rsidRPr="00065D53">
        <w:t>15.</w:t>
      </w:r>
      <w:r w:rsidRPr="00065D53">
        <w:tab/>
        <w:t xml:space="preserve">The previously approved information collection burden for </w:t>
      </w:r>
      <w:r w:rsidR="00084A05" w:rsidRPr="00065D53">
        <w:t>§</w:t>
      </w:r>
      <w:r w:rsidRPr="00065D53">
        <w:t xml:space="preserve">772.15 included </w:t>
      </w:r>
      <w:r w:rsidR="00027401" w:rsidRPr="00065D53">
        <w:t>558</w:t>
      </w:r>
      <w:r w:rsidRPr="00065D53">
        <w:t xml:space="preserve"> hours.  We are now requesting approval of </w:t>
      </w:r>
      <w:r w:rsidR="00027401" w:rsidRPr="00065D53">
        <w:t>1</w:t>
      </w:r>
      <w:r w:rsidR="0086272D" w:rsidRPr="00065D53">
        <w:t>60</w:t>
      </w:r>
      <w:r w:rsidRPr="00065D53">
        <w:t xml:space="preserve"> burden hours, a </w:t>
      </w:r>
      <w:r w:rsidR="00D45375" w:rsidRPr="00065D53">
        <w:t>de</w:t>
      </w:r>
      <w:r w:rsidRPr="00065D53">
        <w:t xml:space="preserve">crease of </w:t>
      </w:r>
      <w:r w:rsidR="0086272D" w:rsidRPr="00065D53">
        <w:t>398</w:t>
      </w:r>
      <w:r w:rsidRPr="00065D53">
        <w:t xml:space="preserve"> hours, due to a </w:t>
      </w:r>
      <w:r w:rsidR="00D45375" w:rsidRPr="00065D53">
        <w:t>de</w:t>
      </w:r>
      <w:r w:rsidRPr="00065D53">
        <w:t>crease in the number of notices received.</w:t>
      </w:r>
      <w:r w:rsidR="008A4060" w:rsidRPr="00065D53">
        <w:t xml:space="preserve">  Therefore, the burden will change as follows:</w:t>
      </w:r>
    </w:p>
    <w:p w:rsidR="00A052F1" w:rsidRPr="00065D53" w:rsidRDefault="00A052F1" w:rsidP="008A4060">
      <w:pPr>
        <w:tabs>
          <w:tab w:val="left" w:pos="720"/>
        </w:tabs>
        <w:ind w:left="180"/>
      </w:pPr>
    </w:p>
    <w:p w:rsidR="008A4060" w:rsidRPr="00065D53" w:rsidRDefault="008A4060" w:rsidP="008A4060">
      <w:pPr>
        <w:tabs>
          <w:tab w:val="left" w:pos="1440"/>
          <w:tab w:val="left" w:pos="1800"/>
        </w:tabs>
        <w:ind w:left="1080"/>
      </w:pPr>
      <w:r w:rsidRPr="00065D53">
        <w:tab/>
      </w:r>
      <w:r w:rsidR="00027401" w:rsidRPr="00065D53">
        <w:t>558</w:t>
      </w:r>
      <w:r w:rsidRPr="00065D53">
        <w:t xml:space="preserve"> hours currently approved</w:t>
      </w:r>
    </w:p>
    <w:p w:rsidR="008A4060" w:rsidRPr="00065D53" w:rsidRDefault="008A4060" w:rsidP="008A4060">
      <w:pPr>
        <w:tabs>
          <w:tab w:val="left" w:pos="720"/>
          <w:tab w:val="left" w:pos="1440"/>
        </w:tabs>
        <w:ind w:left="1080"/>
      </w:pPr>
      <w:r w:rsidRPr="00065D53">
        <w:rPr>
          <w:u w:val="single"/>
        </w:rPr>
        <w:t>-</w:t>
      </w:r>
      <w:r w:rsidRPr="00065D53">
        <w:rPr>
          <w:u w:val="single"/>
        </w:rPr>
        <w:tab/>
      </w:r>
      <w:r w:rsidR="00027401" w:rsidRPr="00065D53">
        <w:rPr>
          <w:u w:val="single"/>
        </w:rPr>
        <w:t>3</w:t>
      </w:r>
      <w:r w:rsidR="0086272D" w:rsidRPr="00065D53">
        <w:rPr>
          <w:u w:val="single"/>
        </w:rPr>
        <w:t>9</w:t>
      </w:r>
      <w:r w:rsidR="00027401" w:rsidRPr="00065D53">
        <w:rPr>
          <w:u w:val="single"/>
        </w:rPr>
        <w:t>8</w:t>
      </w:r>
      <w:r w:rsidRPr="00065D53">
        <w:t xml:space="preserve"> hours due to an adjustment</w:t>
      </w:r>
    </w:p>
    <w:p w:rsidR="008A4060" w:rsidRPr="00065D53" w:rsidRDefault="008A4060" w:rsidP="007E038D">
      <w:pPr>
        <w:pStyle w:val="BodyTextIndent2"/>
        <w:spacing w:line="240" w:lineRule="auto"/>
        <w:ind w:left="1080"/>
      </w:pPr>
      <w:r w:rsidRPr="00065D53">
        <w:tab/>
      </w:r>
      <w:r w:rsidR="00027401" w:rsidRPr="00065D53">
        <w:t>1</w:t>
      </w:r>
      <w:r w:rsidR="0086272D" w:rsidRPr="00065D53">
        <w:t>60</w:t>
      </w:r>
      <w:r w:rsidRPr="00065D53">
        <w:t xml:space="preserve"> hours requested</w:t>
      </w:r>
    </w:p>
    <w:p w:rsidR="00C140EF" w:rsidRPr="0010148C" w:rsidRDefault="00C140EF" w:rsidP="007E038D">
      <w:pPr>
        <w:ind w:left="720" w:hanging="720"/>
      </w:pPr>
      <w:r w:rsidRPr="00065D53">
        <w:t>16.</w:t>
      </w:r>
      <w:r w:rsidRPr="00065D53">
        <w:tab/>
        <w:t>See list of items with identical responses.</w:t>
      </w:r>
    </w:p>
    <w:p w:rsidR="00C140EF" w:rsidRPr="0010148C" w:rsidRDefault="00C140EF" w:rsidP="007E038D">
      <w:pPr>
        <w:ind w:left="720" w:hanging="720"/>
      </w:pPr>
    </w:p>
    <w:p w:rsidR="00C140EF" w:rsidRPr="0010148C" w:rsidRDefault="00C140EF" w:rsidP="007E038D">
      <w:pPr>
        <w:ind w:left="720" w:hanging="720"/>
      </w:pPr>
      <w:r w:rsidRPr="0010148C">
        <w:t>17.</w:t>
      </w:r>
      <w:r w:rsidRPr="0010148C">
        <w:tab/>
        <w:t>See list of items with identical responses.</w:t>
      </w:r>
    </w:p>
    <w:p w:rsidR="00C140EF" w:rsidRPr="0010148C" w:rsidRDefault="00C140EF" w:rsidP="007E038D">
      <w:pPr>
        <w:ind w:left="720" w:hanging="720"/>
      </w:pPr>
    </w:p>
    <w:p w:rsidR="00C140EF" w:rsidRPr="0010148C" w:rsidRDefault="00C140EF" w:rsidP="007E038D">
      <w:pPr>
        <w:ind w:left="720" w:hanging="720"/>
      </w:pPr>
      <w:r w:rsidRPr="0010148C">
        <w:t>18.</w:t>
      </w:r>
      <w:r w:rsidRPr="0010148C">
        <w:tab/>
        <w:t>See list of items with identical responses.</w:t>
      </w:r>
    </w:p>
    <w:p w:rsidR="00C140EF" w:rsidRDefault="00C140EF" w:rsidP="007E038D">
      <w:pPr>
        <w:ind w:left="720" w:hanging="720"/>
      </w:pPr>
    </w:p>
    <w:sectPr w:rsidR="00C140EF" w:rsidSect="001C7372">
      <w:footerReference w:type="even" r:id="rId12"/>
      <w:footerReference w:type="default" r:id="rId13"/>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D3" w:rsidRDefault="00A901D3">
      <w:r>
        <w:separator/>
      </w:r>
    </w:p>
  </w:endnote>
  <w:endnote w:type="continuationSeparator" w:id="0">
    <w:p w:rsidR="00A901D3" w:rsidRDefault="00A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F5" w:rsidRDefault="006F2AF5" w:rsidP="001C7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2AF5" w:rsidRDefault="006F2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F5" w:rsidRDefault="006F2AF5">
    <w:pPr>
      <w:spacing w:line="240" w:lineRule="exact"/>
    </w:pPr>
  </w:p>
  <w:p w:rsidR="006F2AF5" w:rsidRDefault="006F2AF5" w:rsidP="001C7372">
    <w:pPr>
      <w:framePr w:wrap="around" w:vAnchor="text" w:hAnchor="margin" w:xAlign="center" w:y="1"/>
      <w:jc w:val="center"/>
    </w:pPr>
    <w:r>
      <w:fldChar w:fldCharType="begin"/>
    </w:r>
    <w:r>
      <w:instrText xml:space="preserve">PAGE </w:instrText>
    </w:r>
    <w:r>
      <w:fldChar w:fldCharType="separate"/>
    </w:r>
    <w:r w:rsidR="0085184C">
      <w:rPr>
        <w:noProof/>
      </w:rPr>
      <w:t>2</w:t>
    </w:r>
    <w:r>
      <w:fldChar w:fldCharType="end"/>
    </w:r>
  </w:p>
  <w:p w:rsidR="006F2AF5" w:rsidRDefault="006F2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D3" w:rsidRDefault="00A901D3">
      <w:r>
        <w:separator/>
      </w:r>
    </w:p>
  </w:footnote>
  <w:footnote w:type="continuationSeparator" w:id="0">
    <w:p w:rsidR="00A901D3" w:rsidRDefault="00A90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48CE7E"/>
    <w:lvl w:ilvl="0">
      <w:numFmt w:val="decimal"/>
      <w:lvlText w:val="*"/>
      <w:lvlJc w:val="left"/>
      <w:rPr>
        <w:rFonts w:cs="Times New Roman"/>
      </w:rPr>
    </w:lvl>
  </w:abstractNum>
  <w:abstractNum w:abstractNumId="1">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5"/>
        <w:szCs w:val="25"/>
      </w:rPr>
    </w:lvl>
  </w:abstractNum>
  <w:abstractNum w:abstractNumId="2">
    <w:nsid w:val="00000002"/>
    <w:multiLevelType w:val="singleLevel"/>
    <w:tmpl w:val="00000000"/>
    <w:lvl w:ilvl="0">
      <w:start w:val="1"/>
      <w:numFmt w:val="lowerLetter"/>
      <w:pStyle w:val="Quicka"/>
      <w:lvlText w:val="%1."/>
      <w:lvlJc w:val="left"/>
      <w:pPr>
        <w:tabs>
          <w:tab w:val="num" w:pos="2160"/>
        </w:tabs>
      </w:pPr>
      <w:rPr>
        <w:rFonts w:cs="Times New Roman"/>
      </w:rPr>
    </w:lvl>
  </w:abstractNum>
  <w:abstractNum w:abstractNumId="3">
    <w:nsid w:val="03406CD7"/>
    <w:multiLevelType w:val="hybridMultilevel"/>
    <w:tmpl w:val="BC7461E0"/>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FB1D4A"/>
    <w:multiLevelType w:val="hybridMultilevel"/>
    <w:tmpl w:val="9496B9F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3F2300"/>
    <w:multiLevelType w:val="hybridMultilevel"/>
    <w:tmpl w:val="C8C496A0"/>
    <w:lvl w:ilvl="0" w:tplc="4C28FB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21424A"/>
    <w:multiLevelType w:val="hybridMultilevel"/>
    <w:tmpl w:val="B1CA490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39DC65CB"/>
    <w:multiLevelType w:val="hybridMultilevel"/>
    <w:tmpl w:val="BF12C498"/>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D76758"/>
    <w:multiLevelType w:val="hybridMultilevel"/>
    <w:tmpl w:val="E8049A8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53CA33A0"/>
    <w:multiLevelType w:val="hybridMultilevel"/>
    <w:tmpl w:val="F470F6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4226FD4"/>
    <w:multiLevelType w:val="hybridMultilevel"/>
    <w:tmpl w:val="B7EE96A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EBA4C2F"/>
    <w:multiLevelType w:val="hybridMultilevel"/>
    <w:tmpl w:val="D8F27F90"/>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5EC74A55"/>
    <w:multiLevelType w:val="hybridMultilevel"/>
    <w:tmpl w:val="6C0A49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68E34FE"/>
    <w:multiLevelType w:val="hybridMultilevel"/>
    <w:tmpl w:val="4A7CD81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EC376F0"/>
    <w:multiLevelType w:val="hybridMultilevel"/>
    <w:tmpl w:val="B462B226"/>
    <w:lvl w:ilvl="0" w:tplc="227437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76044B"/>
    <w:multiLevelType w:val="hybridMultilevel"/>
    <w:tmpl w:val="A648C2B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3"/>
      <w:lvl w:ilvl="0">
        <w:start w:val="3"/>
        <w:numFmt w:val="decimal"/>
        <w:pStyle w:val="Quick1"/>
        <w:lvlText w:val="%1."/>
        <w:lvlJc w:val="left"/>
        <w:rPr>
          <w:rFonts w:cs="Times New Roman"/>
        </w:rPr>
      </w:lvl>
    </w:lvlOverride>
  </w:num>
  <w:num w:numId="2">
    <w:abstractNumId w:val="1"/>
    <w:lvlOverride w:ilvl="0">
      <w:startOverride w:val="6"/>
      <w:lvl w:ilvl="0">
        <w:start w:val="6"/>
        <w:numFmt w:val="decimal"/>
        <w:pStyle w:val="Quick1"/>
        <w:lvlText w:val="%1."/>
        <w:lvlJc w:val="left"/>
        <w:rPr>
          <w:rFonts w:cs="Times New Roman"/>
        </w:rPr>
      </w:lvl>
    </w:lvlOverride>
  </w:num>
  <w:num w:numId="3">
    <w:abstractNumId w:val="2"/>
    <w:lvlOverride w:ilvl="0">
      <w:startOverride w:val="2"/>
      <w:lvl w:ilvl="0">
        <w:start w:val="2"/>
        <w:numFmt w:val="decimal"/>
        <w:pStyle w:val="Quicka"/>
        <w:lvlText w:val="%1."/>
        <w:lvlJc w:val="left"/>
        <w:rPr>
          <w:rFonts w:cs="Times New Roman"/>
        </w:rPr>
      </w:lvl>
    </w:lvlOverride>
  </w:num>
  <w:num w:numId="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5">
    <w:abstractNumId w:val="11"/>
  </w:num>
  <w:num w:numId="6">
    <w:abstractNumId w:val="13"/>
  </w:num>
  <w:num w:numId="7">
    <w:abstractNumId w:val="4"/>
  </w:num>
  <w:num w:numId="8">
    <w:abstractNumId w:val="7"/>
  </w:num>
  <w:num w:numId="9">
    <w:abstractNumId w:val="15"/>
  </w:num>
  <w:num w:numId="10">
    <w:abstractNumId w:val="3"/>
  </w:num>
  <w:num w:numId="11">
    <w:abstractNumId w:val="10"/>
  </w:num>
  <w:num w:numId="12">
    <w:abstractNumId w:val="6"/>
  </w:num>
  <w:num w:numId="13">
    <w:abstractNumId w:val="8"/>
  </w:num>
  <w:num w:numId="14">
    <w:abstractNumId w:val="9"/>
  </w:num>
  <w:num w:numId="15">
    <w:abstractNumId w:val="5"/>
  </w:num>
  <w:num w:numId="16">
    <w:abstractNumId w:val="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72"/>
    <w:rsid w:val="00003D02"/>
    <w:rsid w:val="00010AB2"/>
    <w:rsid w:val="000129F7"/>
    <w:rsid w:val="0001378F"/>
    <w:rsid w:val="0001405E"/>
    <w:rsid w:val="0002236F"/>
    <w:rsid w:val="00023C48"/>
    <w:rsid w:val="00024380"/>
    <w:rsid w:val="00024D96"/>
    <w:rsid w:val="00027401"/>
    <w:rsid w:val="00034619"/>
    <w:rsid w:val="00042BC5"/>
    <w:rsid w:val="00052485"/>
    <w:rsid w:val="000550D7"/>
    <w:rsid w:val="0005545A"/>
    <w:rsid w:val="00056107"/>
    <w:rsid w:val="00056970"/>
    <w:rsid w:val="00064F71"/>
    <w:rsid w:val="00065D53"/>
    <w:rsid w:val="000702D3"/>
    <w:rsid w:val="0007792F"/>
    <w:rsid w:val="00084A05"/>
    <w:rsid w:val="000853B4"/>
    <w:rsid w:val="000858CA"/>
    <w:rsid w:val="00091056"/>
    <w:rsid w:val="00097566"/>
    <w:rsid w:val="00097B25"/>
    <w:rsid w:val="000A2E94"/>
    <w:rsid w:val="000B0978"/>
    <w:rsid w:val="000B0F5E"/>
    <w:rsid w:val="000B293F"/>
    <w:rsid w:val="000C60B2"/>
    <w:rsid w:val="000D159D"/>
    <w:rsid w:val="000E1BBE"/>
    <w:rsid w:val="000E1CC9"/>
    <w:rsid w:val="000E29FE"/>
    <w:rsid w:val="000E453B"/>
    <w:rsid w:val="000E466B"/>
    <w:rsid w:val="0010148C"/>
    <w:rsid w:val="00103553"/>
    <w:rsid w:val="00104342"/>
    <w:rsid w:val="0010628B"/>
    <w:rsid w:val="001104EF"/>
    <w:rsid w:val="00113CA9"/>
    <w:rsid w:val="001154F2"/>
    <w:rsid w:val="001248A3"/>
    <w:rsid w:val="001254EE"/>
    <w:rsid w:val="00146FF2"/>
    <w:rsid w:val="00153748"/>
    <w:rsid w:val="00156B6C"/>
    <w:rsid w:val="001757EA"/>
    <w:rsid w:val="001818FD"/>
    <w:rsid w:val="0019341A"/>
    <w:rsid w:val="00194D61"/>
    <w:rsid w:val="001A0290"/>
    <w:rsid w:val="001A09EE"/>
    <w:rsid w:val="001A10EC"/>
    <w:rsid w:val="001A4EA2"/>
    <w:rsid w:val="001A7A96"/>
    <w:rsid w:val="001B158F"/>
    <w:rsid w:val="001C41EF"/>
    <w:rsid w:val="001C7372"/>
    <w:rsid w:val="001D3B65"/>
    <w:rsid w:val="001D6F63"/>
    <w:rsid w:val="001E19D5"/>
    <w:rsid w:val="001E7689"/>
    <w:rsid w:val="001E7B42"/>
    <w:rsid w:val="001F0E30"/>
    <w:rsid w:val="002048E6"/>
    <w:rsid w:val="0020654E"/>
    <w:rsid w:val="0021495E"/>
    <w:rsid w:val="002165C4"/>
    <w:rsid w:val="00226C51"/>
    <w:rsid w:val="00236DD8"/>
    <w:rsid w:val="0024079B"/>
    <w:rsid w:val="00255BB0"/>
    <w:rsid w:val="00256E94"/>
    <w:rsid w:val="00260EDA"/>
    <w:rsid w:val="00261FCA"/>
    <w:rsid w:val="00263208"/>
    <w:rsid w:val="00270DCB"/>
    <w:rsid w:val="00274F46"/>
    <w:rsid w:val="002809EC"/>
    <w:rsid w:val="002878A1"/>
    <w:rsid w:val="00293953"/>
    <w:rsid w:val="00294D3A"/>
    <w:rsid w:val="002958EE"/>
    <w:rsid w:val="002A1A37"/>
    <w:rsid w:val="002B1007"/>
    <w:rsid w:val="002C21F9"/>
    <w:rsid w:val="002C43E9"/>
    <w:rsid w:val="002C7E3F"/>
    <w:rsid w:val="002D47D0"/>
    <w:rsid w:val="002E6D97"/>
    <w:rsid w:val="002F0663"/>
    <w:rsid w:val="00306F25"/>
    <w:rsid w:val="003132A3"/>
    <w:rsid w:val="0031430D"/>
    <w:rsid w:val="00314675"/>
    <w:rsid w:val="00321A2E"/>
    <w:rsid w:val="00322910"/>
    <w:rsid w:val="00322A7C"/>
    <w:rsid w:val="003235DD"/>
    <w:rsid w:val="003239DB"/>
    <w:rsid w:val="003275D9"/>
    <w:rsid w:val="00331011"/>
    <w:rsid w:val="00333DA0"/>
    <w:rsid w:val="00334F7C"/>
    <w:rsid w:val="00345471"/>
    <w:rsid w:val="003501A2"/>
    <w:rsid w:val="00351A06"/>
    <w:rsid w:val="00356152"/>
    <w:rsid w:val="003600ED"/>
    <w:rsid w:val="00361A90"/>
    <w:rsid w:val="003625F1"/>
    <w:rsid w:val="00366FFD"/>
    <w:rsid w:val="0036747C"/>
    <w:rsid w:val="00371E32"/>
    <w:rsid w:val="00373423"/>
    <w:rsid w:val="003765B0"/>
    <w:rsid w:val="003858EC"/>
    <w:rsid w:val="00387E1B"/>
    <w:rsid w:val="003919EF"/>
    <w:rsid w:val="00393CEE"/>
    <w:rsid w:val="00394252"/>
    <w:rsid w:val="00394C96"/>
    <w:rsid w:val="00397080"/>
    <w:rsid w:val="003A7818"/>
    <w:rsid w:val="003B3F91"/>
    <w:rsid w:val="003B7320"/>
    <w:rsid w:val="003C361E"/>
    <w:rsid w:val="003C3F0C"/>
    <w:rsid w:val="003D0892"/>
    <w:rsid w:val="003D0B43"/>
    <w:rsid w:val="003D1A94"/>
    <w:rsid w:val="003D33F3"/>
    <w:rsid w:val="003D41BC"/>
    <w:rsid w:val="003D7336"/>
    <w:rsid w:val="003E30EB"/>
    <w:rsid w:val="003F2B89"/>
    <w:rsid w:val="003F5FCB"/>
    <w:rsid w:val="00411658"/>
    <w:rsid w:val="00412A95"/>
    <w:rsid w:val="004150CB"/>
    <w:rsid w:val="00416D53"/>
    <w:rsid w:val="00423917"/>
    <w:rsid w:val="00425493"/>
    <w:rsid w:val="00430DC5"/>
    <w:rsid w:val="00432285"/>
    <w:rsid w:val="00435B4D"/>
    <w:rsid w:val="00442519"/>
    <w:rsid w:val="00452207"/>
    <w:rsid w:val="00452303"/>
    <w:rsid w:val="00461A3F"/>
    <w:rsid w:val="00462845"/>
    <w:rsid w:val="00471269"/>
    <w:rsid w:val="00471517"/>
    <w:rsid w:val="00472B8E"/>
    <w:rsid w:val="00472E59"/>
    <w:rsid w:val="004741EE"/>
    <w:rsid w:val="00476A89"/>
    <w:rsid w:val="00483E9C"/>
    <w:rsid w:val="004842CB"/>
    <w:rsid w:val="00487DB9"/>
    <w:rsid w:val="00495347"/>
    <w:rsid w:val="00497848"/>
    <w:rsid w:val="00497F20"/>
    <w:rsid w:val="004A12B3"/>
    <w:rsid w:val="004A214D"/>
    <w:rsid w:val="004A2D10"/>
    <w:rsid w:val="004A31CA"/>
    <w:rsid w:val="004A428C"/>
    <w:rsid w:val="004B1758"/>
    <w:rsid w:val="004B46BF"/>
    <w:rsid w:val="004C075F"/>
    <w:rsid w:val="004C493F"/>
    <w:rsid w:val="004D138E"/>
    <w:rsid w:val="004D4A35"/>
    <w:rsid w:val="004D693B"/>
    <w:rsid w:val="004F1DA7"/>
    <w:rsid w:val="00502747"/>
    <w:rsid w:val="00504E41"/>
    <w:rsid w:val="005174E8"/>
    <w:rsid w:val="005247BE"/>
    <w:rsid w:val="00526E0B"/>
    <w:rsid w:val="0053010F"/>
    <w:rsid w:val="005333C9"/>
    <w:rsid w:val="00535DAC"/>
    <w:rsid w:val="00540CDA"/>
    <w:rsid w:val="00540D3E"/>
    <w:rsid w:val="005504A1"/>
    <w:rsid w:val="00551AF5"/>
    <w:rsid w:val="00553336"/>
    <w:rsid w:val="00555E43"/>
    <w:rsid w:val="005566C4"/>
    <w:rsid w:val="00566058"/>
    <w:rsid w:val="005702A2"/>
    <w:rsid w:val="00575D84"/>
    <w:rsid w:val="00580FB4"/>
    <w:rsid w:val="00586FDA"/>
    <w:rsid w:val="00597809"/>
    <w:rsid w:val="005A1F1E"/>
    <w:rsid w:val="005C0807"/>
    <w:rsid w:val="005C5548"/>
    <w:rsid w:val="005D23A7"/>
    <w:rsid w:val="005D3FA3"/>
    <w:rsid w:val="005D5B59"/>
    <w:rsid w:val="005D650E"/>
    <w:rsid w:val="005D76E0"/>
    <w:rsid w:val="005D7B7A"/>
    <w:rsid w:val="005F1F50"/>
    <w:rsid w:val="005F2E61"/>
    <w:rsid w:val="00605DE8"/>
    <w:rsid w:val="00626D85"/>
    <w:rsid w:val="00632669"/>
    <w:rsid w:val="0063424E"/>
    <w:rsid w:val="0064017C"/>
    <w:rsid w:val="00641CC0"/>
    <w:rsid w:val="00644DB0"/>
    <w:rsid w:val="0065349A"/>
    <w:rsid w:val="00656D5C"/>
    <w:rsid w:val="0066112B"/>
    <w:rsid w:val="00686046"/>
    <w:rsid w:val="00690B86"/>
    <w:rsid w:val="0069706E"/>
    <w:rsid w:val="006A6103"/>
    <w:rsid w:val="006B05E3"/>
    <w:rsid w:val="006C072E"/>
    <w:rsid w:val="006C5672"/>
    <w:rsid w:val="006C6E68"/>
    <w:rsid w:val="006D08B2"/>
    <w:rsid w:val="006D518F"/>
    <w:rsid w:val="006D6353"/>
    <w:rsid w:val="006E1324"/>
    <w:rsid w:val="006E154C"/>
    <w:rsid w:val="006E18AE"/>
    <w:rsid w:val="006E5CCA"/>
    <w:rsid w:val="006E6E35"/>
    <w:rsid w:val="006F14EA"/>
    <w:rsid w:val="006F2AF5"/>
    <w:rsid w:val="006F6C2C"/>
    <w:rsid w:val="00711D1C"/>
    <w:rsid w:val="007130DD"/>
    <w:rsid w:val="00714DBA"/>
    <w:rsid w:val="00723B7C"/>
    <w:rsid w:val="007304E8"/>
    <w:rsid w:val="00732140"/>
    <w:rsid w:val="007357EC"/>
    <w:rsid w:val="00735C7F"/>
    <w:rsid w:val="00747B19"/>
    <w:rsid w:val="007537E0"/>
    <w:rsid w:val="00760700"/>
    <w:rsid w:val="00767732"/>
    <w:rsid w:val="00772BD6"/>
    <w:rsid w:val="00777CF0"/>
    <w:rsid w:val="00793687"/>
    <w:rsid w:val="007A4054"/>
    <w:rsid w:val="007A641F"/>
    <w:rsid w:val="007B2CEF"/>
    <w:rsid w:val="007B3582"/>
    <w:rsid w:val="007B44D8"/>
    <w:rsid w:val="007B66DB"/>
    <w:rsid w:val="007B6D27"/>
    <w:rsid w:val="007C6677"/>
    <w:rsid w:val="007D28AF"/>
    <w:rsid w:val="007D3796"/>
    <w:rsid w:val="007E038D"/>
    <w:rsid w:val="007E19B1"/>
    <w:rsid w:val="007E4FAD"/>
    <w:rsid w:val="007F1B34"/>
    <w:rsid w:val="00800FD3"/>
    <w:rsid w:val="00802FA4"/>
    <w:rsid w:val="00803689"/>
    <w:rsid w:val="00812D07"/>
    <w:rsid w:val="008131F8"/>
    <w:rsid w:val="0081394F"/>
    <w:rsid w:val="0081451B"/>
    <w:rsid w:val="008202FA"/>
    <w:rsid w:val="00821BD4"/>
    <w:rsid w:val="008267A7"/>
    <w:rsid w:val="00827DD9"/>
    <w:rsid w:val="00831EAC"/>
    <w:rsid w:val="0084205C"/>
    <w:rsid w:val="00850749"/>
    <w:rsid w:val="0085184C"/>
    <w:rsid w:val="00852941"/>
    <w:rsid w:val="008540DA"/>
    <w:rsid w:val="0086272D"/>
    <w:rsid w:val="00863971"/>
    <w:rsid w:val="00870F72"/>
    <w:rsid w:val="00877EF3"/>
    <w:rsid w:val="00881444"/>
    <w:rsid w:val="00884FA5"/>
    <w:rsid w:val="00890E09"/>
    <w:rsid w:val="008A4060"/>
    <w:rsid w:val="008B16D2"/>
    <w:rsid w:val="008B1C9E"/>
    <w:rsid w:val="008B37D2"/>
    <w:rsid w:val="008B4163"/>
    <w:rsid w:val="008C72A5"/>
    <w:rsid w:val="008D0395"/>
    <w:rsid w:val="008D295A"/>
    <w:rsid w:val="008D3E47"/>
    <w:rsid w:val="008D7489"/>
    <w:rsid w:val="008E0C70"/>
    <w:rsid w:val="008E2154"/>
    <w:rsid w:val="008F48D4"/>
    <w:rsid w:val="008F4E13"/>
    <w:rsid w:val="009018E5"/>
    <w:rsid w:val="009075C1"/>
    <w:rsid w:val="00907EB4"/>
    <w:rsid w:val="00913CF2"/>
    <w:rsid w:val="00916C5C"/>
    <w:rsid w:val="00924BDF"/>
    <w:rsid w:val="00934809"/>
    <w:rsid w:val="009375E0"/>
    <w:rsid w:val="00945D4C"/>
    <w:rsid w:val="00960C4F"/>
    <w:rsid w:val="00966E2A"/>
    <w:rsid w:val="0096731D"/>
    <w:rsid w:val="00974421"/>
    <w:rsid w:val="009812D6"/>
    <w:rsid w:val="0098536C"/>
    <w:rsid w:val="00986B6E"/>
    <w:rsid w:val="00990710"/>
    <w:rsid w:val="00990738"/>
    <w:rsid w:val="009914EB"/>
    <w:rsid w:val="00995A4D"/>
    <w:rsid w:val="0099763E"/>
    <w:rsid w:val="009A4B85"/>
    <w:rsid w:val="009A5EDB"/>
    <w:rsid w:val="009B6CB0"/>
    <w:rsid w:val="009C3216"/>
    <w:rsid w:val="009C6512"/>
    <w:rsid w:val="009C7C73"/>
    <w:rsid w:val="009E643C"/>
    <w:rsid w:val="009F1732"/>
    <w:rsid w:val="009F1C22"/>
    <w:rsid w:val="009F5301"/>
    <w:rsid w:val="00A052F1"/>
    <w:rsid w:val="00A065C1"/>
    <w:rsid w:val="00A07EB0"/>
    <w:rsid w:val="00A111CD"/>
    <w:rsid w:val="00A16E00"/>
    <w:rsid w:val="00A22407"/>
    <w:rsid w:val="00A244E4"/>
    <w:rsid w:val="00A27A81"/>
    <w:rsid w:val="00A35994"/>
    <w:rsid w:val="00A3659D"/>
    <w:rsid w:val="00A372BE"/>
    <w:rsid w:val="00A40E64"/>
    <w:rsid w:val="00A45A01"/>
    <w:rsid w:val="00A467BF"/>
    <w:rsid w:val="00A539C7"/>
    <w:rsid w:val="00A6450C"/>
    <w:rsid w:val="00A721CB"/>
    <w:rsid w:val="00A74156"/>
    <w:rsid w:val="00A81CB8"/>
    <w:rsid w:val="00A84273"/>
    <w:rsid w:val="00A8509B"/>
    <w:rsid w:val="00A901D3"/>
    <w:rsid w:val="00A90AA4"/>
    <w:rsid w:val="00A93496"/>
    <w:rsid w:val="00AA377E"/>
    <w:rsid w:val="00AA37D5"/>
    <w:rsid w:val="00AA3CC7"/>
    <w:rsid w:val="00AA460D"/>
    <w:rsid w:val="00AA7D99"/>
    <w:rsid w:val="00AC0ED6"/>
    <w:rsid w:val="00AC2659"/>
    <w:rsid w:val="00AC4ED4"/>
    <w:rsid w:val="00AC5D10"/>
    <w:rsid w:val="00AD5067"/>
    <w:rsid w:val="00AD550C"/>
    <w:rsid w:val="00AD62B9"/>
    <w:rsid w:val="00AD67CE"/>
    <w:rsid w:val="00AE5FA6"/>
    <w:rsid w:val="00AE6A45"/>
    <w:rsid w:val="00AF1865"/>
    <w:rsid w:val="00AF51E0"/>
    <w:rsid w:val="00AF5BB9"/>
    <w:rsid w:val="00AF7FB2"/>
    <w:rsid w:val="00B01600"/>
    <w:rsid w:val="00B12C66"/>
    <w:rsid w:val="00B238CF"/>
    <w:rsid w:val="00B23F5D"/>
    <w:rsid w:val="00B25F0F"/>
    <w:rsid w:val="00B32125"/>
    <w:rsid w:val="00B412C5"/>
    <w:rsid w:val="00B42802"/>
    <w:rsid w:val="00B45E88"/>
    <w:rsid w:val="00B63E3D"/>
    <w:rsid w:val="00B74497"/>
    <w:rsid w:val="00B75476"/>
    <w:rsid w:val="00B876D1"/>
    <w:rsid w:val="00B930B7"/>
    <w:rsid w:val="00BA197B"/>
    <w:rsid w:val="00BA48CD"/>
    <w:rsid w:val="00BB54CB"/>
    <w:rsid w:val="00BC03A1"/>
    <w:rsid w:val="00BC1063"/>
    <w:rsid w:val="00BC1968"/>
    <w:rsid w:val="00BC2D67"/>
    <w:rsid w:val="00BC35E7"/>
    <w:rsid w:val="00BC3920"/>
    <w:rsid w:val="00BC3E33"/>
    <w:rsid w:val="00BC5EEA"/>
    <w:rsid w:val="00BC678E"/>
    <w:rsid w:val="00BE05C6"/>
    <w:rsid w:val="00BE15C5"/>
    <w:rsid w:val="00BF1EE8"/>
    <w:rsid w:val="00BF2B8A"/>
    <w:rsid w:val="00C01235"/>
    <w:rsid w:val="00C01ED0"/>
    <w:rsid w:val="00C024DB"/>
    <w:rsid w:val="00C04296"/>
    <w:rsid w:val="00C0630F"/>
    <w:rsid w:val="00C0775D"/>
    <w:rsid w:val="00C1322E"/>
    <w:rsid w:val="00C140EF"/>
    <w:rsid w:val="00C17A4D"/>
    <w:rsid w:val="00C23156"/>
    <w:rsid w:val="00C23F4E"/>
    <w:rsid w:val="00C32518"/>
    <w:rsid w:val="00C40B24"/>
    <w:rsid w:val="00C40B3D"/>
    <w:rsid w:val="00C430D2"/>
    <w:rsid w:val="00C434C8"/>
    <w:rsid w:val="00C440F4"/>
    <w:rsid w:val="00C524C9"/>
    <w:rsid w:val="00C57B2E"/>
    <w:rsid w:val="00C663C3"/>
    <w:rsid w:val="00C70367"/>
    <w:rsid w:val="00C7039F"/>
    <w:rsid w:val="00C70E94"/>
    <w:rsid w:val="00C74FDF"/>
    <w:rsid w:val="00C75B7E"/>
    <w:rsid w:val="00C77405"/>
    <w:rsid w:val="00C82460"/>
    <w:rsid w:val="00C84C70"/>
    <w:rsid w:val="00C927E2"/>
    <w:rsid w:val="00C9294A"/>
    <w:rsid w:val="00C92EB7"/>
    <w:rsid w:val="00CA68D8"/>
    <w:rsid w:val="00CB4DF5"/>
    <w:rsid w:val="00CB6489"/>
    <w:rsid w:val="00CD304E"/>
    <w:rsid w:val="00CD7675"/>
    <w:rsid w:val="00CE092B"/>
    <w:rsid w:val="00CE15F1"/>
    <w:rsid w:val="00CE629D"/>
    <w:rsid w:val="00CF1098"/>
    <w:rsid w:val="00CF3D29"/>
    <w:rsid w:val="00CF53DA"/>
    <w:rsid w:val="00CF5D8C"/>
    <w:rsid w:val="00CF76B7"/>
    <w:rsid w:val="00D1247A"/>
    <w:rsid w:val="00D23861"/>
    <w:rsid w:val="00D27E08"/>
    <w:rsid w:val="00D27E2F"/>
    <w:rsid w:val="00D34ED3"/>
    <w:rsid w:val="00D45375"/>
    <w:rsid w:val="00D55BC5"/>
    <w:rsid w:val="00D602BC"/>
    <w:rsid w:val="00D61E31"/>
    <w:rsid w:val="00D6624B"/>
    <w:rsid w:val="00D667E8"/>
    <w:rsid w:val="00D72C70"/>
    <w:rsid w:val="00D73CAE"/>
    <w:rsid w:val="00D83B55"/>
    <w:rsid w:val="00D91139"/>
    <w:rsid w:val="00D9461C"/>
    <w:rsid w:val="00DA020B"/>
    <w:rsid w:val="00DB4727"/>
    <w:rsid w:val="00DD2225"/>
    <w:rsid w:val="00DD3032"/>
    <w:rsid w:val="00DD3191"/>
    <w:rsid w:val="00DD66AA"/>
    <w:rsid w:val="00DE187B"/>
    <w:rsid w:val="00DE1FE1"/>
    <w:rsid w:val="00DF2EAB"/>
    <w:rsid w:val="00DF7765"/>
    <w:rsid w:val="00DF78E2"/>
    <w:rsid w:val="00E202C3"/>
    <w:rsid w:val="00E20328"/>
    <w:rsid w:val="00E20F57"/>
    <w:rsid w:val="00E214CB"/>
    <w:rsid w:val="00E326C1"/>
    <w:rsid w:val="00E33275"/>
    <w:rsid w:val="00E432F7"/>
    <w:rsid w:val="00E62BBC"/>
    <w:rsid w:val="00E65E35"/>
    <w:rsid w:val="00E72B9C"/>
    <w:rsid w:val="00E73510"/>
    <w:rsid w:val="00E73A20"/>
    <w:rsid w:val="00E74843"/>
    <w:rsid w:val="00E8184C"/>
    <w:rsid w:val="00E82868"/>
    <w:rsid w:val="00E91AB0"/>
    <w:rsid w:val="00E93DB2"/>
    <w:rsid w:val="00E94672"/>
    <w:rsid w:val="00E95A04"/>
    <w:rsid w:val="00EA0655"/>
    <w:rsid w:val="00EA1BA6"/>
    <w:rsid w:val="00EA264D"/>
    <w:rsid w:val="00EA3E28"/>
    <w:rsid w:val="00EA4A87"/>
    <w:rsid w:val="00EB10D9"/>
    <w:rsid w:val="00EB59E0"/>
    <w:rsid w:val="00EB6209"/>
    <w:rsid w:val="00EC1E18"/>
    <w:rsid w:val="00EC238F"/>
    <w:rsid w:val="00EC2FBE"/>
    <w:rsid w:val="00EC3B9B"/>
    <w:rsid w:val="00EC417F"/>
    <w:rsid w:val="00ED1337"/>
    <w:rsid w:val="00ED20C8"/>
    <w:rsid w:val="00ED2E91"/>
    <w:rsid w:val="00ED40A9"/>
    <w:rsid w:val="00EE3B84"/>
    <w:rsid w:val="00EF1A11"/>
    <w:rsid w:val="00F0194B"/>
    <w:rsid w:val="00F027C8"/>
    <w:rsid w:val="00F14CC3"/>
    <w:rsid w:val="00F177EF"/>
    <w:rsid w:val="00F238EC"/>
    <w:rsid w:val="00F326D1"/>
    <w:rsid w:val="00F34E52"/>
    <w:rsid w:val="00F34FE6"/>
    <w:rsid w:val="00F35754"/>
    <w:rsid w:val="00F36E9D"/>
    <w:rsid w:val="00F478DD"/>
    <w:rsid w:val="00F635D7"/>
    <w:rsid w:val="00F74098"/>
    <w:rsid w:val="00F76DD0"/>
    <w:rsid w:val="00F86A12"/>
    <w:rsid w:val="00F9457C"/>
    <w:rsid w:val="00F9662B"/>
    <w:rsid w:val="00F97844"/>
    <w:rsid w:val="00FA552D"/>
    <w:rsid w:val="00FB35A7"/>
    <w:rsid w:val="00FC006F"/>
    <w:rsid w:val="00FC0DC0"/>
    <w:rsid w:val="00FD1908"/>
    <w:rsid w:val="00FE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72"/>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C7372"/>
    <w:pPr>
      <w:ind w:left="2160" w:hanging="720"/>
    </w:pPr>
  </w:style>
  <w:style w:type="paragraph" w:customStyle="1" w:styleId="Quick1">
    <w:name w:val="Quick 1."/>
    <w:basedOn w:val="Normal"/>
    <w:rsid w:val="001C7372"/>
    <w:pPr>
      <w:numPr>
        <w:numId w:val="1"/>
      </w:numPr>
      <w:ind w:left="1440" w:hanging="720"/>
    </w:pPr>
  </w:style>
  <w:style w:type="paragraph" w:customStyle="1" w:styleId="Quicka">
    <w:name w:val="Quick a."/>
    <w:basedOn w:val="Normal"/>
    <w:rsid w:val="001C7372"/>
    <w:pPr>
      <w:numPr>
        <w:numId w:val="3"/>
      </w:numPr>
      <w:ind w:left="2160" w:hanging="720"/>
    </w:pPr>
  </w:style>
  <w:style w:type="paragraph" w:styleId="BodyText">
    <w:name w:val="Body Text"/>
    <w:basedOn w:val="Normal"/>
    <w:link w:val="BodyTextChar"/>
    <w:uiPriority w:val="99"/>
    <w:rsid w:val="001C7372"/>
    <w:rPr>
      <w:szCs w:val="25"/>
    </w:rPr>
  </w:style>
  <w:style w:type="character" w:customStyle="1" w:styleId="BodyTextChar">
    <w:name w:val="Body Text Char"/>
    <w:link w:val="BodyText"/>
    <w:uiPriority w:val="99"/>
    <w:semiHidden/>
    <w:rsid w:val="00850FD7"/>
    <w:rPr>
      <w:sz w:val="24"/>
      <w:szCs w:val="24"/>
    </w:rPr>
  </w:style>
  <w:style w:type="paragraph" w:styleId="BodyTextIndent">
    <w:name w:val="Body Text Indent"/>
    <w:basedOn w:val="Normal"/>
    <w:link w:val="BodyTextIndentChar"/>
    <w:uiPriority w:val="99"/>
    <w:rsid w:val="001C7372"/>
    <w:pPr>
      <w:tabs>
        <w:tab w:val="left" w:pos="-1440"/>
      </w:tabs>
      <w:ind w:left="1440"/>
    </w:pPr>
    <w:rPr>
      <w:szCs w:val="25"/>
    </w:rPr>
  </w:style>
  <w:style w:type="character" w:customStyle="1" w:styleId="BodyTextIndentChar">
    <w:name w:val="Body Text Indent Char"/>
    <w:link w:val="BodyTextIndent"/>
    <w:uiPriority w:val="99"/>
    <w:semiHidden/>
    <w:rsid w:val="00850FD7"/>
    <w:rPr>
      <w:sz w:val="24"/>
      <w:szCs w:val="24"/>
    </w:rPr>
  </w:style>
  <w:style w:type="paragraph" w:styleId="Footer">
    <w:name w:val="footer"/>
    <w:basedOn w:val="Normal"/>
    <w:link w:val="FooterChar"/>
    <w:uiPriority w:val="99"/>
    <w:rsid w:val="001C7372"/>
    <w:pPr>
      <w:tabs>
        <w:tab w:val="center" w:pos="4320"/>
        <w:tab w:val="right" w:pos="8640"/>
      </w:tabs>
    </w:pPr>
  </w:style>
  <w:style w:type="character" w:customStyle="1" w:styleId="FooterChar">
    <w:name w:val="Footer Char"/>
    <w:link w:val="Footer"/>
    <w:uiPriority w:val="99"/>
    <w:semiHidden/>
    <w:rsid w:val="00850FD7"/>
    <w:rPr>
      <w:sz w:val="24"/>
      <w:szCs w:val="24"/>
    </w:rPr>
  </w:style>
  <w:style w:type="character" w:styleId="PageNumber">
    <w:name w:val="page number"/>
    <w:uiPriority w:val="99"/>
    <w:rsid w:val="001C7372"/>
    <w:rPr>
      <w:rFonts w:cs="Times New Roman"/>
    </w:rPr>
  </w:style>
  <w:style w:type="paragraph" w:styleId="BalloonText">
    <w:name w:val="Balloon Text"/>
    <w:basedOn w:val="Normal"/>
    <w:link w:val="BalloonTextChar"/>
    <w:uiPriority w:val="99"/>
    <w:semiHidden/>
    <w:rsid w:val="00091056"/>
    <w:rPr>
      <w:rFonts w:ascii="Tahoma" w:hAnsi="Tahoma" w:cs="Tahoma"/>
      <w:sz w:val="16"/>
      <w:szCs w:val="16"/>
    </w:rPr>
  </w:style>
  <w:style w:type="character" w:customStyle="1" w:styleId="BalloonTextChar">
    <w:name w:val="Balloon Text Char"/>
    <w:link w:val="BalloonText"/>
    <w:uiPriority w:val="99"/>
    <w:semiHidden/>
    <w:rsid w:val="00850FD7"/>
    <w:rPr>
      <w:sz w:val="0"/>
      <w:szCs w:val="0"/>
    </w:rPr>
  </w:style>
  <w:style w:type="character" w:styleId="Hyperlink">
    <w:name w:val="Hyperlink"/>
    <w:uiPriority w:val="99"/>
    <w:rsid w:val="00236DD8"/>
    <w:rPr>
      <w:rFonts w:cs="Times New Roman"/>
      <w:color w:val="0000FF"/>
      <w:u w:val="single"/>
    </w:rPr>
  </w:style>
  <w:style w:type="table" w:styleId="TableGrid">
    <w:name w:val="Table Grid"/>
    <w:basedOn w:val="TableNormal"/>
    <w:uiPriority w:val="59"/>
    <w:rsid w:val="0023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6DD8"/>
    <w:pPr>
      <w:tabs>
        <w:tab w:val="center" w:pos="4680"/>
        <w:tab w:val="right" w:pos="9360"/>
      </w:tabs>
    </w:pPr>
  </w:style>
  <w:style w:type="character" w:customStyle="1" w:styleId="HeaderChar">
    <w:name w:val="Header Char"/>
    <w:link w:val="Header"/>
    <w:uiPriority w:val="99"/>
    <w:locked/>
    <w:rsid w:val="00236DD8"/>
    <w:rPr>
      <w:rFonts w:cs="Times New Roman"/>
      <w:sz w:val="24"/>
      <w:szCs w:val="24"/>
    </w:rPr>
  </w:style>
  <w:style w:type="paragraph" w:styleId="ListParagraph">
    <w:name w:val="List Paragraph"/>
    <w:basedOn w:val="Normal"/>
    <w:uiPriority w:val="34"/>
    <w:qFormat/>
    <w:rsid w:val="000E29FE"/>
    <w:pPr>
      <w:ind w:left="720"/>
      <w:contextualSpacing/>
    </w:pPr>
  </w:style>
  <w:style w:type="paragraph" w:styleId="BodyTextIndent2">
    <w:name w:val="Body Text Indent 2"/>
    <w:basedOn w:val="Normal"/>
    <w:link w:val="BodyTextIndent2Char"/>
    <w:rsid w:val="008A4060"/>
    <w:pPr>
      <w:spacing w:after="120" w:line="480" w:lineRule="auto"/>
      <w:ind w:left="360"/>
    </w:pPr>
  </w:style>
  <w:style w:type="character" w:customStyle="1" w:styleId="BodyTextIndent2Char">
    <w:name w:val="Body Text Indent 2 Char"/>
    <w:link w:val="BodyTextIndent2"/>
    <w:rsid w:val="008A4060"/>
    <w:rPr>
      <w:sz w:val="24"/>
      <w:szCs w:val="24"/>
    </w:rPr>
  </w:style>
  <w:style w:type="character" w:styleId="CommentReference">
    <w:name w:val="annotation reference"/>
    <w:rsid w:val="00C04296"/>
    <w:rPr>
      <w:sz w:val="16"/>
      <w:szCs w:val="16"/>
    </w:rPr>
  </w:style>
  <w:style w:type="paragraph" w:styleId="CommentText">
    <w:name w:val="annotation text"/>
    <w:basedOn w:val="Normal"/>
    <w:link w:val="CommentTextChar"/>
    <w:rsid w:val="00C04296"/>
    <w:rPr>
      <w:sz w:val="20"/>
      <w:szCs w:val="20"/>
    </w:rPr>
  </w:style>
  <w:style w:type="character" w:customStyle="1" w:styleId="CommentTextChar">
    <w:name w:val="Comment Text Char"/>
    <w:basedOn w:val="DefaultParagraphFont"/>
    <w:link w:val="CommentText"/>
    <w:rsid w:val="00C04296"/>
  </w:style>
  <w:style w:type="paragraph" w:styleId="CommentSubject">
    <w:name w:val="annotation subject"/>
    <w:basedOn w:val="CommentText"/>
    <w:next w:val="CommentText"/>
    <w:link w:val="CommentSubjectChar"/>
    <w:rsid w:val="00C04296"/>
    <w:rPr>
      <w:b/>
      <w:bCs/>
    </w:rPr>
  </w:style>
  <w:style w:type="character" w:customStyle="1" w:styleId="CommentSubjectChar">
    <w:name w:val="Comment Subject Char"/>
    <w:link w:val="CommentSubject"/>
    <w:rsid w:val="00C04296"/>
    <w:rPr>
      <w:b/>
      <w:bCs/>
    </w:rPr>
  </w:style>
  <w:style w:type="character" w:styleId="FollowedHyperlink">
    <w:name w:val="FollowedHyperlink"/>
    <w:basedOn w:val="DefaultParagraphFont"/>
    <w:rsid w:val="00831E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72"/>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C7372"/>
    <w:pPr>
      <w:ind w:left="2160" w:hanging="720"/>
    </w:pPr>
  </w:style>
  <w:style w:type="paragraph" w:customStyle="1" w:styleId="Quick1">
    <w:name w:val="Quick 1."/>
    <w:basedOn w:val="Normal"/>
    <w:rsid w:val="001C7372"/>
    <w:pPr>
      <w:numPr>
        <w:numId w:val="1"/>
      </w:numPr>
      <w:ind w:left="1440" w:hanging="720"/>
    </w:pPr>
  </w:style>
  <w:style w:type="paragraph" w:customStyle="1" w:styleId="Quicka">
    <w:name w:val="Quick a."/>
    <w:basedOn w:val="Normal"/>
    <w:rsid w:val="001C7372"/>
    <w:pPr>
      <w:numPr>
        <w:numId w:val="3"/>
      </w:numPr>
      <w:ind w:left="2160" w:hanging="720"/>
    </w:pPr>
  </w:style>
  <w:style w:type="paragraph" w:styleId="BodyText">
    <w:name w:val="Body Text"/>
    <w:basedOn w:val="Normal"/>
    <w:link w:val="BodyTextChar"/>
    <w:uiPriority w:val="99"/>
    <w:rsid w:val="001C7372"/>
    <w:rPr>
      <w:szCs w:val="25"/>
    </w:rPr>
  </w:style>
  <w:style w:type="character" w:customStyle="1" w:styleId="BodyTextChar">
    <w:name w:val="Body Text Char"/>
    <w:link w:val="BodyText"/>
    <w:uiPriority w:val="99"/>
    <w:semiHidden/>
    <w:rsid w:val="00850FD7"/>
    <w:rPr>
      <w:sz w:val="24"/>
      <w:szCs w:val="24"/>
    </w:rPr>
  </w:style>
  <w:style w:type="paragraph" w:styleId="BodyTextIndent">
    <w:name w:val="Body Text Indent"/>
    <w:basedOn w:val="Normal"/>
    <w:link w:val="BodyTextIndentChar"/>
    <w:uiPriority w:val="99"/>
    <w:rsid w:val="001C7372"/>
    <w:pPr>
      <w:tabs>
        <w:tab w:val="left" w:pos="-1440"/>
      </w:tabs>
      <w:ind w:left="1440"/>
    </w:pPr>
    <w:rPr>
      <w:szCs w:val="25"/>
    </w:rPr>
  </w:style>
  <w:style w:type="character" w:customStyle="1" w:styleId="BodyTextIndentChar">
    <w:name w:val="Body Text Indent Char"/>
    <w:link w:val="BodyTextIndent"/>
    <w:uiPriority w:val="99"/>
    <w:semiHidden/>
    <w:rsid w:val="00850FD7"/>
    <w:rPr>
      <w:sz w:val="24"/>
      <w:szCs w:val="24"/>
    </w:rPr>
  </w:style>
  <w:style w:type="paragraph" w:styleId="Footer">
    <w:name w:val="footer"/>
    <w:basedOn w:val="Normal"/>
    <w:link w:val="FooterChar"/>
    <w:uiPriority w:val="99"/>
    <w:rsid w:val="001C7372"/>
    <w:pPr>
      <w:tabs>
        <w:tab w:val="center" w:pos="4320"/>
        <w:tab w:val="right" w:pos="8640"/>
      </w:tabs>
    </w:pPr>
  </w:style>
  <w:style w:type="character" w:customStyle="1" w:styleId="FooterChar">
    <w:name w:val="Footer Char"/>
    <w:link w:val="Footer"/>
    <w:uiPriority w:val="99"/>
    <w:semiHidden/>
    <w:rsid w:val="00850FD7"/>
    <w:rPr>
      <w:sz w:val="24"/>
      <w:szCs w:val="24"/>
    </w:rPr>
  </w:style>
  <w:style w:type="character" w:styleId="PageNumber">
    <w:name w:val="page number"/>
    <w:uiPriority w:val="99"/>
    <w:rsid w:val="001C7372"/>
    <w:rPr>
      <w:rFonts w:cs="Times New Roman"/>
    </w:rPr>
  </w:style>
  <w:style w:type="paragraph" w:styleId="BalloonText">
    <w:name w:val="Balloon Text"/>
    <w:basedOn w:val="Normal"/>
    <w:link w:val="BalloonTextChar"/>
    <w:uiPriority w:val="99"/>
    <w:semiHidden/>
    <w:rsid w:val="00091056"/>
    <w:rPr>
      <w:rFonts w:ascii="Tahoma" w:hAnsi="Tahoma" w:cs="Tahoma"/>
      <w:sz w:val="16"/>
      <w:szCs w:val="16"/>
    </w:rPr>
  </w:style>
  <w:style w:type="character" w:customStyle="1" w:styleId="BalloonTextChar">
    <w:name w:val="Balloon Text Char"/>
    <w:link w:val="BalloonText"/>
    <w:uiPriority w:val="99"/>
    <w:semiHidden/>
    <w:rsid w:val="00850FD7"/>
    <w:rPr>
      <w:sz w:val="0"/>
      <w:szCs w:val="0"/>
    </w:rPr>
  </w:style>
  <w:style w:type="character" w:styleId="Hyperlink">
    <w:name w:val="Hyperlink"/>
    <w:uiPriority w:val="99"/>
    <w:rsid w:val="00236DD8"/>
    <w:rPr>
      <w:rFonts w:cs="Times New Roman"/>
      <w:color w:val="0000FF"/>
      <w:u w:val="single"/>
    </w:rPr>
  </w:style>
  <w:style w:type="table" w:styleId="TableGrid">
    <w:name w:val="Table Grid"/>
    <w:basedOn w:val="TableNormal"/>
    <w:uiPriority w:val="59"/>
    <w:rsid w:val="0023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6DD8"/>
    <w:pPr>
      <w:tabs>
        <w:tab w:val="center" w:pos="4680"/>
        <w:tab w:val="right" w:pos="9360"/>
      </w:tabs>
    </w:pPr>
  </w:style>
  <w:style w:type="character" w:customStyle="1" w:styleId="HeaderChar">
    <w:name w:val="Header Char"/>
    <w:link w:val="Header"/>
    <w:uiPriority w:val="99"/>
    <w:locked/>
    <w:rsid w:val="00236DD8"/>
    <w:rPr>
      <w:rFonts w:cs="Times New Roman"/>
      <w:sz w:val="24"/>
      <w:szCs w:val="24"/>
    </w:rPr>
  </w:style>
  <w:style w:type="paragraph" w:styleId="ListParagraph">
    <w:name w:val="List Paragraph"/>
    <w:basedOn w:val="Normal"/>
    <w:uiPriority w:val="34"/>
    <w:qFormat/>
    <w:rsid w:val="000E29FE"/>
    <w:pPr>
      <w:ind w:left="720"/>
      <w:contextualSpacing/>
    </w:pPr>
  </w:style>
  <w:style w:type="paragraph" w:styleId="BodyTextIndent2">
    <w:name w:val="Body Text Indent 2"/>
    <w:basedOn w:val="Normal"/>
    <w:link w:val="BodyTextIndent2Char"/>
    <w:rsid w:val="008A4060"/>
    <w:pPr>
      <w:spacing w:after="120" w:line="480" w:lineRule="auto"/>
      <w:ind w:left="360"/>
    </w:pPr>
  </w:style>
  <w:style w:type="character" w:customStyle="1" w:styleId="BodyTextIndent2Char">
    <w:name w:val="Body Text Indent 2 Char"/>
    <w:link w:val="BodyTextIndent2"/>
    <w:rsid w:val="008A4060"/>
    <w:rPr>
      <w:sz w:val="24"/>
      <w:szCs w:val="24"/>
    </w:rPr>
  </w:style>
  <w:style w:type="character" w:styleId="CommentReference">
    <w:name w:val="annotation reference"/>
    <w:rsid w:val="00C04296"/>
    <w:rPr>
      <w:sz w:val="16"/>
      <w:szCs w:val="16"/>
    </w:rPr>
  </w:style>
  <w:style w:type="paragraph" w:styleId="CommentText">
    <w:name w:val="annotation text"/>
    <w:basedOn w:val="Normal"/>
    <w:link w:val="CommentTextChar"/>
    <w:rsid w:val="00C04296"/>
    <w:rPr>
      <w:sz w:val="20"/>
      <w:szCs w:val="20"/>
    </w:rPr>
  </w:style>
  <w:style w:type="character" w:customStyle="1" w:styleId="CommentTextChar">
    <w:name w:val="Comment Text Char"/>
    <w:basedOn w:val="DefaultParagraphFont"/>
    <w:link w:val="CommentText"/>
    <w:rsid w:val="00C04296"/>
  </w:style>
  <w:style w:type="paragraph" w:styleId="CommentSubject">
    <w:name w:val="annotation subject"/>
    <w:basedOn w:val="CommentText"/>
    <w:next w:val="CommentText"/>
    <w:link w:val="CommentSubjectChar"/>
    <w:rsid w:val="00C04296"/>
    <w:rPr>
      <w:b/>
      <w:bCs/>
    </w:rPr>
  </w:style>
  <w:style w:type="character" w:customStyle="1" w:styleId="CommentSubjectChar">
    <w:name w:val="Comment Subject Char"/>
    <w:link w:val="CommentSubject"/>
    <w:rsid w:val="00C04296"/>
    <w:rPr>
      <w:b/>
      <w:bCs/>
    </w:rPr>
  </w:style>
  <w:style w:type="character" w:styleId="FollowedHyperlink">
    <w:name w:val="FollowedHyperlink"/>
    <w:basedOn w:val="DefaultParagraphFont"/>
    <w:rsid w:val="00831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9566-846B-4B96-B6A8-B881F016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8180</Words>
  <Characters>46630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Introduction</vt:lpstr>
    </vt:vector>
  </TitlesOfParts>
  <Company>OSM</Company>
  <LinksUpToDate>false</LinksUpToDate>
  <CharactersWithSpaces>54701</CharactersWithSpaces>
  <SharedDoc>false</SharedDoc>
  <HLinks>
    <vt:vector size="30" baseType="variant">
      <vt:variant>
        <vt:i4>1900546</vt:i4>
      </vt:variant>
      <vt:variant>
        <vt:i4>27</vt:i4>
      </vt:variant>
      <vt:variant>
        <vt:i4>0</vt:i4>
      </vt:variant>
      <vt:variant>
        <vt:i4>5</vt:i4>
      </vt:variant>
      <vt:variant>
        <vt:lpwstr>http://www.bls.gov/news.release/pdf/ecec.pdf</vt:lpwstr>
      </vt:variant>
      <vt:variant>
        <vt:lpwstr/>
      </vt:variant>
      <vt:variant>
        <vt:i4>2490397</vt:i4>
      </vt:variant>
      <vt:variant>
        <vt:i4>24</vt:i4>
      </vt:variant>
      <vt:variant>
        <vt:i4>0</vt:i4>
      </vt:variant>
      <vt:variant>
        <vt:i4>5</vt:i4>
      </vt:variant>
      <vt:variant>
        <vt:lpwstr>http://www.opm.gov/oca/11tables/html/gs_h.asp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kathryn otoole</dc:creator>
  <cp:lastModifiedBy>SYSTEM</cp:lastModifiedBy>
  <cp:revision>2</cp:revision>
  <cp:lastPrinted>2018-01-04T14:34:00Z</cp:lastPrinted>
  <dcterms:created xsi:type="dcterms:W3CDTF">2018-01-16T20:45:00Z</dcterms:created>
  <dcterms:modified xsi:type="dcterms:W3CDTF">2018-01-16T20:45:00Z</dcterms:modified>
</cp:coreProperties>
</file>