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643F3" w14:textId="77777777" w:rsidR="00D5210E" w:rsidRDefault="00D5210E" w:rsidP="00D5210E">
      <w:pPr>
        <w:autoSpaceDE w:val="0"/>
        <w:autoSpaceDN w:val="0"/>
        <w:adjustRightInd w:val="0"/>
        <w:jc w:val="center"/>
        <w:rPr>
          <w:b/>
          <w:sz w:val="28"/>
          <w:szCs w:val="28"/>
        </w:rPr>
      </w:pPr>
      <w:bookmarkStart w:id="0" w:name="_Toc374100104"/>
      <w:bookmarkStart w:id="1" w:name="_Toc374099819"/>
      <w:bookmarkStart w:id="2" w:name="_GoBack"/>
      <w:bookmarkEnd w:id="2"/>
      <w:r>
        <w:rPr>
          <w:b/>
          <w:sz w:val="28"/>
          <w:szCs w:val="28"/>
        </w:rPr>
        <w:t>Evaluation of Youth CareerConnect (YCC)</w:t>
      </w:r>
    </w:p>
    <w:p w14:paraId="5899A588" w14:textId="77777777" w:rsidR="00D5210E" w:rsidRDefault="00D5210E" w:rsidP="00D5210E">
      <w:pPr>
        <w:autoSpaceDE w:val="0"/>
        <w:autoSpaceDN w:val="0"/>
        <w:adjustRightInd w:val="0"/>
        <w:jc w:val="center"/>
        <w:rPr>
          <w:b/>
          <w:sz w:val="28"/>
          <w:szCs w:val="28"/>
        </w:rPr>
      </w:pPr>
    </w:p>
    <w:p w14:paraId="19702D99" w14:textId="77777777" w:rsidR="00D5210E" w:rsidRDefault="00D5210E" w:rsidP="00D5210E">
      <w:pPr>
        <w:pBdr>
          <w:bottom w:val="single" w:sz="12" w:space="1" w:color="auto"/>
        </w:pBdr>
        <w:autoSpaceDE w:val="0"/>
        <w:autoSpaceDN w:val="0"/>
        <w:adjustRightInd w:val="0"/>
        <w:jc w:val="center"/>
        <w:rPr>
          <w:b/>
          <w:sz w:val="28"/>
          <w:szCs w:val="28"/>
        </w:rPr>
      </w:pPr>
      <w:r w:rsidRPr="00C939C2">
        <w:rPr>
          <w:b/>
          <w:sz w:val="28"/>
          <w:szCs w:val="28"/>
        </w:rPr>
        <w:t>OMB</w:t>
      </w:r>
      <w:r>
        <w:rPr>
          <w:b/>
          <w:sz w:val="28"/>
          <w:szCs w:val="28"/>
        </w:rPr>
        <w:t xml:space="preserve"> SUPPORTING STATEMENT PART </w:t>
      </w:r>
      <w:r w:rsidR="00C828D0">
        <w:rPr>
          <w:b/>
          <w:sz w:val="28"/>
          <w:szCs w:val="28"/>
        </w:rPr>
        <w:t>B</w:t>
      </w:r>
      <w:bookmarkEnd w:id="0"/>
    </w:p>
    <w:p w14:paraId="7F91FC3A" w14:textId="77777777" w:rsidR="00D5210E" w:rsidRPr="00C60661" w:rsidRDefault="00D5210E" w:rsidP="00D5210E">
      <w:pPr>
        <w:jc w:val="center"/>
      </w:pPr>
    </w:p>
    <w:bookmarkEnd w:id="1"/>
    <w:p w14:paraId="1E863F5F" w14:textId="0177FFA9" w:rsidR="0072193E" w:rsidRDefault="00AD3AB3" w:rsidP="0072193E">
      <w:pPr>
        <w:pStyle w:val="NormalSS"/>
      </w:pPr>
      <w:r w:rsidRPr="0039164A">
        <w:t xml:space="preserve">The </w:t>
      </w:r>
      <w:r w:rsidR="00596262" w:rsidRPr="00596262">
        <w:t>U.S. Department of Labor</w:t>
      </w:r>
      <w:r w:rsidR="00596262">
        <w:t>’s</w:t>
      </w:r>
      <w:r w:rsidR="00596262" w:rsidRPr="00596262">
        <w:t xml:space="preserve"> (DOL), </w:t>
      </w:r>
      <w:r w:rsidRPr="0039164A">
        <w:t>Employment and Training Administration (ETA),</w:t>
      </w:r>
      <w:r w:rsidR="00596262">
        <w:t xml:space="preserve"> in collaboration with the Chief Evaluation Office (CEO),</w:t>
      </w:r>
      <w:r w:rsidRPr="0039164A">
        <w:t xml:space="preserve"> is undertaking the Evaluation of Youth CareerConnect (YCC). The overall aims of the evaluation are to determine the extent to which the YCC program improves high school students’ education and employment outcomes and to assess whether program effectiveness varies by student and </w:t>
      </w:r>
      <w:r>
        <w:t>program</w:t>
      </w:r>
      <w:r w:rsidRPr="0039164A">
        <w:t xml:space="preserve"> characteristics. The evaluation </w:t>
      </w:r>
      <w:r>
        <w:t>is</w:t>
      </w:r>
      <w:r w:rsidRPr="0039164A">
        <w:t xml:space="preserve"> based on </w:t>
      </w:r>
      <w:r>
        <w:t>impact and implementation studies. The impact study has</w:t>
      </w:r>
      <w:r w:rsidRPr="00B52C9D">
        <w:t xml:space="preserve"> </w:t>
      </w:r>
      <w:r>
        <w:t xml:space="preserve">two components: (1) </w:t>
      </w:r>
      <w:r w:rsidRPr="0039164A">
        <w:t xml:space="preserve">a rigorous </w:t>
      </w:r>
      <w:r>
        <w:t>randomized controlled trial (RCT) design</w:t>
      </w:r>
      <w:r w:rsidRPr="0039164A">
        <w:t xml:space="preserve"> </w:t>
      </w:r>
      <w:r>
        <w:t xml:space="preserve">component </w:t>
      </w:r>
      <w:r w:rsidRPr="0039164A">
        <w:t xml:space="preserve">in which program applicants </w:t>
      </w:r>
      <w:r>
        <w:t xml:space="preserve">were </w:t>
      </w:r>
      <w:r w:rsidRPr="0039164A">
        <w:t>randomly assigned to a treatment group (</w:t>
      </w:r>
      <w:r>
        <w:t>and</w:t>
      </w:r>
      <w:r w:rsidRPr="0039164A">
        <w:t xml:space="preserve"> </w:t>
      </w:r>
      <w:r>
        <w:t xml:space="preserve">were </w:t>
      </w:r>
      <w:r w:rsidRPr="0039164A">
        <w:t xml:space="preserve">able to receive YCC program services) or a control group (who </w:t>
      </w:r>
      <w:r>
        <w:t xml:space="preserve">were </w:t>
      </w:r>
      <w:r w:rsidRPr="0039164A">
        <w:t>not)</w:t>
      </w:r>
      <w:r>
        <w:t>, and a quasi-experimental design (QED) component based on administrative school records</w:t>
      </w:r>
      <w:r w:rsidRPr="0039164A">
        <w:t xml:space="preserve">. ETA has contracted with Mathematica Policy Research </w:t>
      </w:r>
      <w:r w:rsidR="00811DBB">
        <w:t xml:space="preserve">(Mathematica) </w:t>
      </w:r>
      <w:r w:rsidRPr="0039164A">
        <w:t>and its subcontractor, Social Policy Research Associates (SPR), to conduct this evaluation.</w:t>
      </w:r>
    </w:p>
    <w:p w14:paraId="337D61D7" w14:textId="5DF84A3D" w:rsidR="008A1ACC" w:rsidRDefault="008A1ACC" w:rsidP="008A1ACC">
      <w:pPr>
        <w:pStyle w:val="NormalSS"/>
      </w:pPr>
      <w:r w:rsidRPr="0039164A">
        <w:t>With this package, clearance is requested for</w:t>
      </w:r>
      <w:r>
        <w:t xml:space="preserve"> the follow-up survey data collection of study participants in the RCT districts</w:t>
      </w:r>
    </w:p>
    <w:p w14:paraId="08412A4C" w14:textId="77777777" w:rsidR="008A1ACC" w:rsidRPr="0039164A" w:rsidRDefault="008A1ACC" w:rsidP="008A1ACC">
      <w:pPr>
        <w:pStyle w:val="NormalSS"/>
      </w:pPr>
      <w:r>
        <w:t xml:space="preserve">Prior clearance was received on April 15, 2015, under OMB Control No. 1291-0003 for </w:t>
      </w:r>
      <w:r w:rsidRPr="0039164A">
        <w:t>four data collection instruments related to the impact and implementation studies to be conducted as part of the evaluation</w:t>
      </w:r>
      <w:r>
        <w:t xml:space="preserve">. </w:t>
      </w:r>
      <w:r w:rsidRPr="0039164A">
        <w:t>The full package for the study is being submitted in two parts because the study schedule require</w:t>
      </w:r>
      <w:r>
        <w:t>d</w:t>
      </w:r>
      <w:r w:rsidRPr="0039164A">
        <w:t xml:space="preserve"> </w:t>
      </w:r>
      <w:r>
        <w:t xml:space="preserve">the </w:t>
      </w:r>
      <w:r w:rsidRPr="0039164A">
        <w:t xml:space="preserve">random assignment and the implementation study </w:t>
      </w:r>
      <w:r>
        <w:t xml:space="preserve">to </w:t>
      </w:r>
      <w:r w:rsidRPr="0039164A">
        <w:t xml:space="preserve">begin before the follow-up instruments </w:t>
      </w:r>
      <w:r>
        <w:t>had been</w:t>
      </w:r>
      <w:r w:rsidRPr="0039164A">
        <w:t xml:space="preserve"> developed and tested.</w:t>
      </w:r>
    </w:p>
    <w:p w14:paraId="14C12B51" w14:textId="77777777" w:rsidR="00C828D0" w:rsidRDefault="00C828D0" w:rsidP="00C828D0">
      <w:pPr>
        <w:pStyle w:val="Heading3"/>
      </w:pPr>
      <w:bookmarkStart w:id="3" w:name="_Toc76458969"/>
      <w:r>
        <w:t>1.</w:t>
      </w:r>
      <w:r>
        <w:tab/>
      </w:r>
      <w:r w:rsidRPr="00564FB3">
        <w:t>Respondent</w:t>
      </w:r>
      <w:r>
        <w:t xml:space="preserve"> </w:t>
      </w:r>
      <w:r w:rsidR="008A27A2">
        <w:t>u</w:t>
      </w:r>
      <w:r>
        <w:t xml:space="preserve">niverse and </w:t>
      </w:r>
      <w:r w:rsidR="008A27A2">
        <w:t>s</w:t>
      </w:r>
      <w:r>
        <w:t>ampling</w:t>
      </w:r>
    </w:p>
    <w:p w14:paraId="51A77826" w14:textId="2AD5D9FD" w:rsidR="00DD1F9F" w:rsidRDefault="0081257D" w:rsidP="001A2D4F">
      <w:pPr>
        <w:pStyle w:val="NormalSS"/>
      </w:pPr>
      <w:r>
        <w:t xml:space="preserve">The RCT component includes four districts, three of </w:t>
      </w:r>
      <w:r w:rsidR="005B2F96">
        <w:t xml:space="preserve">which </w:t>
      </w:r>
      <w:r>
        <w:t>will have students participat</w:t>
      </w:r>
      <w:r w:rsidR="00963446">
        <w:t>e</w:t>
      </w:r>
      <w:r>
        <w:t xml:space="preserve"> in the follow-up surveying and one of </w:t>
      </w:r>
      <w:r w:rsidR="005B2F96">
        <w:t xml:space="preserve">which </w:t>
      </w:r>
      <w:r>
        <w:t xml:space="preserve">will </w:t>
      </w:r>
      <w:r w:rsidR="0025564B">
        <w:t>use</w:t>
      </w:r>
      <w:r>
        <w:t xml:space="preserve"> data from school records</w:t>
      </w:r>
      <w:r w:rsidR="0025564B" w:rsidRPr="0025564B">
        <w:t xml:space="preserve"> </w:t>
      </w:r>
      <w:r w:rsidR="0025564B">
        <w:t>only</w:t>
      </w:r>
      <w:r>
        <w:t xml:space="preserve">. </w:t>
      </w:r>
    </w:p>
    <w:p w14:paraId="7AF512F6" w14:textId="74544E50" w:rsidR="002A2B39" w:rsidRDefault="00FB202E" w:rsidP="00EB5740">
      <w:pPr>
        <w:pStyle w:val="NormalSS"/>
      </w:pPr>
      <w:r>
        <w:t>After clarifying information provided by all 24 YCC grantees in their grant applications</w:t>
      </w:r>
      <w:r w:rsidR="002A2B39">
        <w:t>,</w:t>
      </w:r>
      <w:r>
        <w:t xml:space="preserve"> </w:t>
      </w:r>
      <w:r w:rsidR="002A2B39">
        <w:t>Mathematica conducted one-day,</w:t>
      </w:r>
      <w:r>
        <w:t xml:space="preserve"> in-person visits to 14 </w:t>
      </w:r>
      <w:r w:rsidR="003F2037">
        <w:t xml:space="preserve">districts </w:t>
      </w:r>
      <w:r w:rsidR="002A2B39">
        <w:t xml:space="preserve">with potential for </w:t>
      </w:r>
      <w:r>
        <w:t xml:space="preserve">inclusion </w:t>
      </w:r>
      <w:r w:rsidR="002A2B39">
        <w:t xml:space="preserve">in the </w:t>
      </w:r>
      <w:r w:rsidR="00615BF1">
        <w:t xml:space="preserve">RCT </w:t>
      </w:r>
      <w:r w:rsidR="00AE17E5">
        <w:t>(</w:t>
      </w:r>
      <w:r w:rsidR="005B2F96">
        <w:t>T</w:t>
      </w:r>
      <w:r w:rsidR="00AE17E5">
        <w:t xml:space="preserve">hese </w:t>
      </w:r>
      <w:r w:rsidR="00E12C72">
        <w:t>activities</w:t>
      </w:r>
      <w:r w:rsidR="00AE17E5">
        <w:t xml:space="preserve"> were approved under OMB </w:t>
      </w:r>
      <w:r w:rsidR="00AE17E5" w:rsidRPr="00C2223F">
        <w:t>Approval No. 1205-0436</w:t>
      </w:r>
      <w:r w:rsidR="00AE17E5">
        <w:t>)</w:t>
      </w:r>
      <w:r w:rsidR="00811DBB">
        <w:t>.</w:t>
      </w:r>
      <w:r w:rsidR="002A2B39">
        <w:t xml:space="preserve"> After the visits</w:t>
      </w:r>
      <w:r>
        <w:t>,</w:t>
      </w:r>
      <w:r w:rsidR="005C5BAB">
        <w:t xml:space="preserve"> </w:t>
      </w:r>
      <w:r w:rsidR="002409AE">
        <w:t xml:space="preserve">the field was narrowed to </w:t>
      </w:r>
      <w:r w:rsidR="005B2F96">
        <w:t xml:space="preserve">10 </w:t>
      </w:r>
      <w:r w:rsidR="0040614F">
        <w:t>d</w:t>
      </w:r>
      <w:r w:rsidR="002A2B39">
        <w:t xml:space="preserve">istricts </w:t>
      </w:r>
      <w:r w:rsidR="002A2B39" w:rsidRPr="0039164A">
        <w:t>that met three criteria: (1) enough student demand to generate a control group, (2) feasibility of implementing random assignment procedures, and (3) a significant contrast between the services available to the treatment and control groups.</w:t>
      </w:r>
      <w:r w:rsidR="002A2B39">
        <w:t xml:space="preserve"> </w:t>
      </w:r>
    </w:p>
    <w:p w14:paraId="10FC77A1" w14:textId="7B87EE47" w:rsidR="00E632A4" w:rsidRDefault="002A2B39" w:rsidP="00EB5740">
      <w:pPr>
        <w:pStyle w:val="NormalSS"/>
      </w:pPr>
      <w:r w:rsidRPr="0039164A">
        <w:t xml:space="preserve">Random assignment </w:t>
      </w:r>
      <w:r>
        <w:t>was attempted in the</w:t>
      </w:r>
      <w:r w:rsidR="0040614F">
        <w:t>se</w:t>
      </w:r>
      <w:r>
        <w:t xml:space="preserve"> districts</w:t>
      </w:r>
      <w:r w:rsidRPr="0039164A">
        <w:t xml:space="preserve">. </w:t>
      </w:r>
      <w:r>
        <w:t>Although all districts initially seemed feasible, one could not provide the information needed to participate in the evaluation and five others did not have sufficient excess demand to generate treatment and control groups</w:t>
      </w:r>
      <w:r w:rsidRPr="0039164A">
        <w:t>.</w:t>
      </w:r>
      <w:r>
        <w:t xml:space="preserve"> </w:t>
      </w:r>
      <w:r w:rsidR="00E632A4" w:rsidRPr="00E632A4">
        <w:t xml:space="preserve">Random assignment into the YCC program occurred in the </w:t>
      </w:r>
      <w:r w:rsidR="00E632A4">
        <w:t xml:space="preserve">remaining </w:t>
      </w:r>
      <w:r w:rsidR="00E632A4" w:rsidRPr="00E632A4">
        <w:t>four districts. In these four districts, students who were assigned to the treatment group were invited to enroll in their YCC program, and those assigned to the control group were informed that they were not eligible to enroll in the program but could enroll in similar programs in their area.</w:t>
      </w:r>
    </w:p>
    <w:p w14:paraId="49B4BE82" w14:textId="12928C6F" w:rsidR="001E3833" w:rsidRDefault="002A2B39" w:rsidP="00EB5740">
      <w:pPr>
        <w:pStyle w:val="NormalSS"/>
      </w:pPr>
      <w:r>
        <w:t>Of the four remaining districts, b</w:t>
      </w:r>
      <w:r w:rsidRPr="0039164A">
        <w:t xml:space="preserve">aseline data </w:t>
      </w:r>
      <w:r>
        <w:t xml:space="preserve">and consent to be in the evaluation could be </w:t>
      </w:r>
      <w:r w:rsidRPr="0039164A">
        <w:t xml:space="preserve">collected on treatment and control group students </w:t>
      </w:r>
      <w:r>
        <w:t xml:space="preserve">in </w:t>
      </w:r>
      <w:r w:rsidR="002409AE">
        <w:t xml:space="preserve">only </w:t>
      </w:r>
      <w:r>
        <w:t xml:space="preserve">three. These three districts will participate in the follow-up data collection effort covered in this request, and the fourth will remain in the RCT </w:t>
      </w:r>
      <w:r w:rsidRPr="00F13C56">
        <w:t>using school records</w:t>
      </w:r>
      <w:r w:rsidR="002409AE" w:rsidRPr="002409AE">
        <w:t xml:space="preserve"> </w:t>
      </w:r>
      <w:r w:rsidR="002409AE" w:rsidRPr="00F13C56">
        <w:t>only</w:t>
      </w:r>
      <w:r w:rsidRPr="00F13C56">
        <w:t>.</w:t>
      </w:r>
      <w:r w:rsidR="001E3833">
        <w:t xml:space="preserve"> Because these </w:t>
      </w:r>
      <w:r w:rsidR="001E3833" w:rsidRPr="001E3833">
        <w:t xml:space="preserve">districts were </w:t>
      </w:r>
      <w:r w:rsidR="0025564B">
        <w:t>selected</w:t>
      </w:r>
      <w:r w:rsidR="001E3833" w:rsidRPr="001E3833">
        <w:t xml:space="preserve"> </w:t>
      </w:r>
      <w:r w:rsidR="00D31530">
        <w:t>(</w:t>
      </w:r>
      <w:r w:rsidR="001E3833" w:rsidRPr="001E3833">
        <w:t xml:space="preserve">and </w:t>
      </w:r>
      <w:r w:rsidR="00D31530">
        <w:t xml:space="preserve">thus do </w:t>
      </w:r>
      <w:r w:rsidR="001E3833" w:rsidRPr="001E3833">
        <w:lastRenderedPageBreak/>
        <w:t xml:space="preserve">not </w:t>
      </w:r>
      <w:r w:rsidR="00D31530">
        <w:t xml:space="preserve">constitute </w:t>
      </w:r>
      <w:r w:rsidR="001E3833" w:rsidRPr="001E3833">
        <w:t>a random sample of all 24 grantees that received YCC grant funds</w:t>
      </w:r>
      <w:r w:rsidR="00D31530">
        <w:t>)</w:t>
      </w:r>
      <w:r w:rsidR="001E3833">
        <w:t xml:space="preserve">, </w:t>
      </w:r>
      <w:r w:rsidR="001E3833" w:rsidRPr="001E3833">
        <w:t>the student universe does not consist of all eligible program applicants nationwide, and the study sample is not necessarily representative of all YCC students nationally.</w:t>
      </w:r>
    </w:p>
    <w:p w14:paraId="52F79438" w14:textId="7BAF5929" w:rsidR="009A3512" w:rsidRDefault="00786B18" w:rsidP="0040614F">
      <w:pPr>
        <w:pStyle w:val="NormalSS"/>
      </w:pPr>
      <w:r>
        <w:t xml:space="preserve">The </w:t>
      </w:r>
      <w:r w:rsidR="0040614F">
        <w:t>period for recruiting and enrolling</w:t>
      </w:r>
      <w:r>
        <w:t xml:space="preserve"> </w:t>
      </w:r>
      <w:r w:rsidR="0040614F">
        <w:t xml:space="preserve">students in the evaluation varied </w:t>
      </w:r>
      <w:r w:rsidR="00963446">
        <w:t xml:space="preserve">among </w:t>
      </w:r>
      <w:r>
        <w:t xml:space="preserve">these three </w:t>
      </w:r>
      <w:r w:rsidR="00C17C50">
        <w:t>district</w:t>
      </w:r>
      <w:r>
        <w:t>s</w:t>
      </w:r>
      <w:r w:rsidR="0040614F">
        <w:t xml:space="preserve">. One </w:t>
      </w:r>
      <w:r w:rsidR="00C17C50">
        <w:t>district</w:t>
      </w:r>
      <w:r w:rsidR="0040614F">
        <w:t xml:space="preserve"> began</w:t>
      </w:r>
      <w:r>
        <w:t xml:space="preserve"> </w:t>
      </w:r>
      <w:r w:rsidR="00615BF1">
        <w:t xml:space="preserve">recruiting in </w:t>
      </w:r>
      <w:r>
        <w:t>fall 2015</w:t>
      </w:r>
      <w:r w:rsidR="00963446">
        <w:t>,</w:t>
      </w:r>
      <w:r>
        <w:t xml:space="preserve"> and the last </w:t>
      </w:r>
      <w:r w:rsidR="00C17C50">
        <w:t>district</w:t>
      </w:r>
      <w:r w:rsidR="0040614F">
        <w:t xml:space="preserve"> ended</w:t>
      </w:r>
      <w:r>
        <w:t xml:space="preserve"> recruitment in summer 2017. </w:t>
      </w:r>
      <w:r w:rsidR="00AE17E5">
        <w:t xml:space="preserve">On average, intake at each </w:t>
      </w:r>
      <w:r w:rsidR="00C17C50">
        <w:t>district</w:t>
      </w:r>
      <w:r w:rsidR="00AE17E5">
        <w:t xml:space="preserve"> took approximately three to four months. </w:t>
      </w:r>
      <w:r w:rsidR="00CE04F0">
        <w:t xml:space="preserve">These </w:t>
      </w:r>
      <w:r w:rsidR="00C17C50">
        <w:t>district</w:t>
      </w:r>
      <w:r w:rsidR="00CE04F0">
        <w:t xml:space="preserve">s </w:t>
      </w:r>
      <w:r>
        <w:t>recruit</w:t>
      </w:r>
      <w:r w:rsidR="00CE04F0">
        <w:t>ed</w:t>
      </w:r>
      <w:r>
        <w:t xml:space="preserve"> and screen</w:t>
      </w:r>
      <w:r w:rsidR="00CE04F0">
        <w:t>ed</w:t>
      </w:r>
      <w:r>
        <w:t xml:space="preserve"> potential </w:t>
      </w:r>
      <w:r w:rsidR="00D31530">
        <w:t xml:space="preserve">YCC program </w:t>
      </w:r>
      <w:r>
        <w:t xml:space="preserve">participants using their regular procedures, but </w:t>
      </w:r>
      <w:r w:rsidR="00D31530">
        <w:t xml:space="preserve">they </w:t>
      </w:r>
      <w:r>
        <w:t xml:space="preserve">included </w:t>
      </w:r>
      <w:r w:rsidR="005C5BAB">
        <w:t xml:space="preserve">in the application packet </w:t>
      </w:r>
      <w:r>
        <w:t>the evaluation’s parent consent</w:t>
      </w:r>
      <w:r w:rsidR="00AE17E5">
        <w:t>, student assent</w:t>
      </w:r>
      <w:r w:rsidR="00D31530">
        <w:t>,</w:t>
      </w:r>
      <w:r>
        <w:t xml:space="preserve"> and </w:t>
      </w:r>
      <w:r w:rsidR="00A52119">
        <w:t>baseline information form (</w:t>
      </w:r>
      <w:r>
        <w:t>BIF</w:t>
      </w:r>
      <w:r w:rsidR="00A52119">
        <w:t>)</w:t>
      </w:r>
      <w:r>
        <w:t xml:space="preserve"> materials (OMB Control No</w:t>
      </w:r>
      <w:r w:rsidR="00D31530">
        <w:t>.</w:t>
      </w:r>
      <w:r>
        <w:t xml:space="preserve"> 1291-0003). Program staff were provided with background materials on the evaluation and were trained to answer questions </w:t>
      </w:r>
      <w:r w:rsidR="00D31530">
        <w:t xml:space="preserve">from </w:t>
      </w:r>
      <w:r w:rsidR="00AE17E5">
        <w:t xml:space="preserve">parents and </w:t>
      </w:r>
      <w:r>
        <w:t xml:space="preserve">students about the evaluation and their participation. </w:t>
      </w:r>
    </w:p>
    <w:p w14:paraId="724A6F5F" w14:textId="55F7B2F7" w:rsidR="002A2B39" w:rsidRPr="002A2B39" w:rsidRDefault="009A3512" w:rsidP="0040614F">
      <w:pPr>
        <w:pStyle w:val="NormalSS"/>
      </w:pPr>
      <w:r>
        <w:t>T</w:t>
      </w:r>
      <w:r w:rsidR="002A2B39" w:rsidRPr="002A2B39">
        <w:t xml:space="preserve">he sample </w:t>
      </w:r>
      <w:r w:rsidR="0040614F">
        <w:t xml:space="preserve">for the study </w:t>
      </w:r>
      <w:r w:rsidR="00D31530">
        <w:t>(</w:t>
      </w:r>
      <w:r w:rsidR="0040614F">
        <w:t>includ</w:t>
      </w:r>
      <w:r w:rsidR="00D31530">
        <w:t>ing</w:t>
      </w:r>
      <w:r w:rsidR="0040614F">
        <w:t xml:space="preserve"> </w:t>
      </w:r>
      <w:r w:rsidR="002A2B39" w:rsidRPr="002A2B39">
        <w:t>follow-up survey</w:t>
      </w:r>
      <w:r w:rsidR="0040614F">
        <w:t>ing</w:t>
      </w:r>
      <w:r w:rsidR="00D31530">
        <w:t>)</w:t>
      </w:r>
      <w:r w:rsidR="002A2B39" w:rsidRPr="002A2B39">
        <w:t xml:space="preserve"> </w:t>
      </w:r>
      <w:r w:rsidR="00D31530">
        <w:t>consists of</w:t>
      </w:r>
      <w:r w:rsidR="00D31530" w:rsidRPr="002A2B39">
        <w:t xml:space="preserve"> </w:t>
      </w:r>
      <w:r w:rsidR="002A2B39" w:rsidRPr="002A2B39">
        <w:t>approximately 54</w:t>
      </w:r>
      <w:r w:rsidR="006D70EE">
        <w:t>0</w:t>
      </w:r>
      <w:r w:rsidR="002A2B39" w:rsidRPr="002A2B39">
        <w:t xml:space="preserve"> study participants across </w:t>
      </w:r>
      <w:r w:rsidR="0040614F">
        <w:t>the three</w:t>
      </w:r>
      <w:r w:rsidR="006A3B3F">
        <w:t xml:space="preserve"> districts, </w:t>
      </w:r>
      <w:r w:rsidR="006D70EE">
        <w:t>345</w:t>
      </w:r>
      <w:r w:rsidR="002A2B39" w:rsidRPr="002A2B39">
        <w:t xml:space="preserve"> </w:t>
      </w:r>
      <w:r w:rsidR="00D31530">
        <w:t>of whom</w:t>
      </w:r>
      <w:r w:rsidR="00D31530" w:rsidRPr="002A2B39">
        <w:t xml:space="preserve"> </w:t>
      </w:r>
      <w:r w:rsidR="002A2B39" w:rsidRPr="002A2B39">
        <w:t xml:space="preserve">who </w:t>
      </w:r>
      <w:r w:rsidR="006A3B3F">
        <w:t xml:space="preserve">were </w:t>
      </w:r>
      <w:r w:rsidR="00985B40">
        <w:t xml:space="preserve">allowed </w:t>
      </w:r>
      <w:r w:rsidR="002A2B39" w:rsidRPr="002A2B39">
        <w:t xml:space="preserve">to </w:t>
      </w:r>
      <w:r w:rsidR="0040614F">
        <w:t xml:space="preserve">enroll in </w:t>
      </w:r>
      <w:r w:rsidR="002A2B39" w:rsidRPr="002A2B39">
        <w:t xml:space="preserve">YCC program services and </w:t>
      </w:r>
      <w:r w:rsidR="006D70EE">
        <w:t>195</w:t>
      </w:r>
      <w:r w:rsidR="002A2B39" w:rsidRPr="002A2B39">
        <w:t xml:space="preserve"> </w:t>
      </w:r>
      <w:r w:rsidR="00D31530">
        <w:t>of whom</w:t>
      </w:r>
      <w:r w:rsidR="00D31530" w:rsidRPr="002A2B39">
        <w:t xml:space="preserve"> </w:t>
      </w:r>
      <w:r w:rsidR="00D31530">
        <w:t>(</w:t>
      </w:r>
      <w:r w:rsidR="00D31530" w:rsidRPr="002A2B39">
        <w:t>the control group</w:t>
      </w:r>
      <w:r w:rsidR="00D31530">
        <w:t>)</w:t>
      </w:r>
      <w:r w:rsidR="00D31530" w:rsidRPr="002A2B39">
        <w:t xml:space="preserve"> </w:t>
      </w:r>
      <w:r w:rsidR="00D31530">
        <w:t>were not able to</w:t>
      </w:r>
      <w:r w:rsidR="002A2B39" w:rsidRPr="002A2B39">
        <w:t xml:space="preserve"> </w:t>
      </w:r>
      <w:r w:rsidR="00D31530">
        <w:t>enroll</w:t>
      </w:r>
      <w:r w:rsidR="002A2B39" w:rsidRPr="002A2B39">
        <w:t xml:space="preserve">. </w:t>
      </w:r>
    </w:p>
    <w:p w14:paraId="7F95BA05" w14:textId="42666B63" w:rsidR="00C828D0" w:rsidRDefault="00C828D0" w:rsidP="00C828D0">
      <w:pPr>
        <w:pStyle w:val="Heading3"/>
      </w:pPr>
      <w:bookmarkStart w:id="4" w:name="_Toc374100106"/>
      <w:r>
        <w:t>2.</w:t>
      </w:r>
      <w:r>
        <w:tab/>
      </w:r>
      <w:r w:rsidR="00DA3F55">
        <w:t>Procedures for c</w:t>
      </w:r>
      <w:r w:rsidR="001346FF" w:rsidRPr="001346FF">
        <w:t>ollecti</w:t>
      </w:r>
      <w:r w:rsidR="00A523ED">
        <w:t>ng</w:t>
      </w:r>
      <w:r w:rsidR="001346FF" w:rsidRPr="001346FF">
        <w:t xml:space="preserve"> </w:t>
      </w:r>
      <w:r w:rsidR="00DA3F55">
        <w:t>i</w:t>
      </w:r>
      <w:r w:rsidR="001346FF" w:rsidRPr="001346FF">
        <w:t>nformation</w:t>
      </w:r>
      <w:bookmarkEnd w:id="4"/>
    </w:p>
    <w:p w14:paraId="2E0E3DDD" w14:textId="23DCAF2D" w:rsidR="001346FF" w:rsidRDefault="00525D3A" w:rsidP="00724E68">
      <w:pPr>
        <w:pStyle w:val="NormalSS"/>
      </w:pPr>
      <w:r w:rsidRPr="00F5296B">
        <w:t>The impact study will rigorously assess the causal effect of YCC by answering th</w:t>
      </w:r>
      <w:r w:rsidR="009A3512">
        <w:t>e following</w:t>
      </w:r>
      <w:r w:rsidRPr="00F5296B">
        <w:t xml:space="preserve"> general research question</w:t>
      </w:r>
      <w:r w:rsidR="009A3512">
        <w:t>:</w:t>
      </w:r>
      <w:r w:rsidRPr="00F5296B">
        <w:t xml:space="preserve"> </w:t>
      </w:r>
      <w:r w:rsidRPr="00F5296B">
        <w:rPr>
          <w:i/>
        </w:rPr>
        <w:t xml:space="preserve">What is the impact of the YCC on critical milestones that </w:t>
      </w:r>
      <w:r>
        <w:rPr>
          <w:i/>
        </w:rPr>
        <w:t xml:space="preserve">participants </w:t>
      </w:r>
      <w:r w:rsidRPr="00F5296B">
        <w:rPr>
          <w:i/>
        </w:rPr>
        <w:t>can achieve in high school and</w:t>
      </w:r>
      <w:r w:rsidR="00963446">
        <w:rPr>
          <w:i/>
        </w:rPr>
        <w:t xml:space="preserve"> on</w:t>
      </w:r>
      <w:r w:rsidRPr="00F5296B">
        <w:rPr>
          <w:i/>
        </w:rPr>
        <w:t xml:space="preserve"> momentum points associated </w:t>
      </w:r>
      <w:r>
        <w:rPr>
          <w:i/>
        </w:rPr>
        <w:t xml:space="preserve">with participants’ </w:t>
      </w:r>
      <w:r w:rsidRPr="00F5296B">
        <w:rPr>
          <w:i/>
        </w:rPr>
        <w:t>education and employment success?</w:t>
      </w:r>
    </w:p>
    <w:p w14:paraId="7C641EF3" w14:textId="77E343F6" w:rsidR="008C47FC" w:rsidRDefault="001346FF" w:rsidP="00915D7D">
      <w:pPr>
        <w:pStyle w:val="NormalSS"/>
      </w:pPr>
      <w:r>
        <w:t xml:space="preserve">Follow-up surveys will be </w:t>
      </w:r>
      <w:r w:rsidR="005A4602">
        <w:t>attempted with</w:t>
      </w:r>
      <w:r w:rsidRPr="00C72DCC">
        <w:t xml:space="preserve"> </w:t>
      </w:r>
      <w:r w:rsidR="00A6508C">
        <w:t>54</w:t>
      </w:r>
      <w:r w:rsidR="006D70EE">
        <w:t>0</w:t>
      </w:r>
      <w:r w:rsidR="005A64A9">
        <w:t xml:space="preserve"> </w:t>
      </w:r>
      <w:r>
        <w:t>treatment and control group members</w:t>
      </w:r>
      <w:r w:rsidRPr="00C72DCC">
        <w:t xml:space="preserve"> </w:t>
      </w:r>
      <w:r>
        <w:t xml:space="preserve">at the three RCT </w:t>
      </w:r>
      <w:r w:rsidR="00C17C50">
        <w:t>district</w:t>
      </w:r>
      <w:r>
        <w:t>s</w:t>
      </w:r>
      <w:r w:rsidR="00673A66">
        <w:t xml:space="preserve"> that will be part of this data collection effort</w:t>
      </w:r>
      <w:r>
        <w:t xml:space="preserve">. Study participants will be </w:t>
      </w:r>
      <w:r w:rsidR="009A3512">
        <w:t xml:space="preserve">notified about the survey request </w:t>
      </w:r>
      <w:r>
        <w:t>via mail, email, text</w:t>
      </w:r>
      <w:r w:rsidR="009A3512">
        <w:t xml:space="preserve"> message,</w:t>
      </w:r>
      <w:r>
        <w:t xml:space="preserve"> and phone. </w:t>
      </w:r>
      <w:r w:rsidR="00C17C50">
        <w:t xml:space="preserve">A </w:t>
      </w:r>
      <w:r w:rsidR="0072193E">
        <w:t xml:space="preserve">multimode approach that </w:t>
      </w:r>
      <w:r w:rsidR="00C17C50">
        <w:t xml:space="preserve">uses </w:t>
      </w:r>
      <w:r w:rsidR="0072193E">
        <w:t>three phases of data collection</w:t>
      </w:r>
      <w:r w:rsidR="00C17C50">
        <w:t xml:space="preserve"> will help </w:t>
      </w:r>
      <w:r w:rsidR="00C17C50" w:rsidRPr="00C17C50">
        <w:t xml:space="preserve">achieve </w:t>
      </w:r>
      <w:r w:rsidR="009A3512">
        <w:t xml:space="preserve">a </w:t>
      </w:r>
      <w:r w:rsidR="009A3512" w:rsidRPr="00C17C50">
        <w:t xml:space="preserve">response rate </w:t>
      </w:r>
      <w:r w:rsidR="009A3512">
        <w:t xml:space="preserve">of </w:t>
      </w:r>
      <w:r w:rsidR="00C17C50" w:rsidRPr="00C17C50">
        <w:t xml:space="preserve">at least 80 percent </w:t>
      </w:r>
      <w:r w:rsidR="00C17C50">
        <w:t>and maintain maximum efficiency</w:t>
      </w:r>
      <w:r w:rsidR="0072193E">
        <w:t xml:space="preserve">. In the first phase, study participants will be directed to the web survey or to call </w:t>
      </w:r>
      <w:r w:rsidR="0025564B">
        <w:t xml:space="preserve">in to </w:t>
      </w:r>
      <w:r w:rsidR="000A219B">
        <w:t xml:space="preserve">Mathematica’s </w:t>
      </w:r>
      <w:r w:rsidR="0072193E">
        <w:t xml:space="preserve">Survey Operations Center (SOC) to complete the survey using </w:t>
      </w:r>
      <w:r w:rsidR="00963446">
        <w:t>c</w:t>
      </w:r>
      <w:r w:rsidR="0072193E">
        <w:t xml:space="preserve">omputer </w:t>
      </w:r>
      <w:r w:rsidR="00963446">
        <w:t>a</w:t>
      </w:r>
      <w:r w:rsidR="0072193E">
        <w:t xml:space="preserve">ssisted </w:t>
      </w:r>
      <w:r w:rsidR="00963446">
        <w:t>t</w:t>
      </w:r>
      <w:r w:rsidR="0072193E">
        <w:t xml:space="preserve">elephone </w:t>
      </w:r>
      <w:r w:rsidR="00963446">
        <w:t>i</w:t>
      </w:r>
      <w:r w:rsidR="0072193E">
        <w:t>nterviewing</w:t>
      </w:r>
      <w:r w:rsidR="00E0527F">
        <w:t xml:space="preserve"> (CATI)</w:t>
      </w:r>
      <w:r w:rsidR="0072193E">
        <w:t xml:space="preserve">. In the second phase, in addition to </w:t>
      </w:r>
      <w:r w:rsidR="0025564B">
        <w:t xml:space="preserve">having </w:t>
      </w:r>
      <w:r w:rsidR="0072193E">
        <w:t xml:space="preserve">continued access to the web survey and CATI call-ins, </w:t>
      </w:r>
      <w:r w:rsidR="0072193E" w:rsidRPr="00323E17">
        <w:t>study participants</w:t>
      </w:r>
      <w:r w:rsidR="0072193E">
        <w:t xml:space="preserve"> will be contacted through outbound CATI calls from the SOC. In the third phase, contact with </w:t>
      </w:r>
      <w:r w:rsidR="0072193E" w:rsidRPr="00323E17">
        <w:t xml:space="preserve">study participants </w:t>
      </w:r>
      <w:r w:rsidR="0072193E">
        <w:t xml:space="preserve">will be attempted through in-person locating. </w:t>
      </w:r>
      <w:r w:rsidR="0025564B">
        <w:t>(W</w:t>
      </w:r>
      <w:r w:rsidR="0072193E">
        <w:t>eb and CATI modes will continue to be accessible throughout this phase.</w:t>
      </w:r>
      <w:r w:rsidR="0025564B">
        <w:t>)</w:t>
      </w:r>
      <w:r w:rsidR="0072193E">
        <w:t xml:space="preserve"> </w:t>
      </w:r>
      <w:r w:rsidR="001207D6">
        <w:t>S</w:t>
      </w:r>
      <w:r w:rsidR="0072193E" w:rsidRPr="00323E17">
        <w:t>tudy participants who complete the survey online or by calling in</w:t>
      </w:r>
      <w:r w:rsidR="0025564B">
        <w:t xml:space="preserve"> </w:t>
      </w:r>
      <w:r w:rsidR="0072193E" w:rsidRPr="00323E17">
        <w:t>to the SOC within the first four weeks</w:t>
      </w:r>
      <w:r w:rsidR="0072193E">
        <w:t xml:space="preserve"> will receive</w:t>
      </w:r>
      <w:r w:rsidR="0072193E" w:rsidRPr="00323E17">
        <w:t xml:space="preserve"> $40, and those who complete </w:t>
      </w:r>
      <w:r w:rsidR="0025564B">
        <w:t xml:space="preserve">the survey </w:t>
      </w:r>
      <w:r w:rsidR="0072193E" w:rsidRPr="00323E17">
        <w:t>thereafter will receive $25</w:t>
      </w:r>
      <w:r w:rsidR="0025564B">
        <w:t>,</w:t>
      </w:r>
      <w:r w:rsidR="0072193E" w:rsidRPr="00323E17">
        <w:t xml:space="preserve"> irrespective of mode.</w:t>
      </w:r>
      <w:r w:rsidR="008C19D9">
        <w:t xml:space="preserve"> </w:t>
      </w:r>
    </w:p>
    <w:p w14:paraId="47C159BE" w14:textId="77777777" w:rsidR="00D916DE" w:rsidRPr="00D82C7E" w:rsidRDefault="00CD022D" w:rsidP="00D916DE">
      <w:pPr>
        <w:pStyle w:val="Heading3"/>
      </w:pPr>
      <w:r>
        <w:t>3</w:t>
      </w:r>
      <w:r w:rsidR="00D916DE" w:rsidRPr="00D82C7E">
        <w:t>.</w:t>
      </w:r>
      <w:r w:rsidR="00D916DE" w:rsidRPr="00D82C7E">
        <w:tab/>
        <w:t xml:space="preserve">Analysis </w:t>
      </w:r>
      <w:r w:rsidR="00D916DE">
        <w:t>m</w:t>
      </w:r>
      <w:r w:rsidR="00D916DE" w:rsidRPr="00D82C7E">
        <w:t xml:space="preserve">ethods for </w:t>
      </w:r>
      <w:r w:rsidR="00D916DE">
        <w:t>i</w:t>
      </w:r>
      <w:r w:rsidR="00D916DE" w:rsidRPr="00D82C7E">
        <w:t xml:space="preserve">mpact </w:t>
      </w:r>
      <w:r w:rsidR="00D916DE">
        <w:t>e</w:t>
      </w:r>
      <w:r w:rsidR="00D916DE" w:rsidRPr="00D82C7E">
        <w:t>stimation</w:t>
      </w:r>
    </w:p>
    <w:p w14:paraId="5F9CA430" w14:textId="55124175" w:rsidR="00525D3A" w:rsidRDefault="00525D3A" w:rsidP="00410548">
      <w:pPr>
        <w:pStyle w:val="NormalSS"/>
      </w:pPr>
      <w:r w:rsidRPr="0029177E">
        <w:t xml:space="preserve">Because </w:t>
      </w:r>
      <w:r>
        <w:t xml:space="preserve">data collection for the </w:t>
      </w:r>
      <w:r w:rsidRPr="0029177E">
        <w:t xml:space="preserve">YCC </w:t>
      </w:r>
      <w:r w:rsidR="0025564B">
        <w:t>e</w:t>
      </w:r>
      <w:r w:rsidRPr="0029177E">
        <w:t xml:space="preserve">valuation </w:t>
      </w:r>
      <w:r>
        <w:t xml:space="preserve">ends in </w:t>
      </w:r>
      <w:r w:rsidRPr="0029177E">
        <w:t xml:space="preserve">2018, it </w:t>
      </w:r>
      <w:r>
        <w:t xml:space="preserve">can </w:t>
      </w:r>
      <w:r w:rsidRPr="0029177E">
        <w:t xml:space="preserve">capture </w:t>
      </w:r>
      <w:r w:rsidR="0025564B" w:rsidRPr="0029177E">
        <w:t xml:space="preserve">only </w:t>
      </w:r>
      <w:r w:rsidRPr="0029177E">
        <w:t xml:space="preserve">the </w:t>
      </w:r>
      <w:r w:rsidRPr="00814134">
        <w:t xml:space="preserve">critical milestones that </w:t>
      </w:r>
      <w:r>
        <w:t xml:space="preserve">students </w:t>
      </w:r>
      <w:r w:rsidRPr="00814134">
        <w:t>can achieve</w:t>
      </w:r>
      <w:r>
        <w:t xml:space="preserve"> </w:t>
      </w:r>
      <w:r w:rsidRPr="00814134">
        <w:t xml:space="preserve">in high school and momentum points associated </w:t>
      </w:r>
      <w:r>
        <w:t xml:space="preserve">with </w:t>
      </w:r>
      <w:r w:rsidRPr="00814134">
        <w:t>education and employment success</w:t>
      </w:r>
      <w:r w:rsidRPr="0029177E">
        <w:t>.</w:t>
      </w:r>
      <w:r>
        <w:t xml:space="preserve"> </w:t>
      </w:r>
      <w:r w:rsidRPr="0029177E">
        <w:t>Collecting data on the</w:t>
      </w:r>
      <w:r>
        <w:t>se</w:t>
      </w:r>
      <w:r w:rsidRPr="0029177E">
        <w:t xml:space="preserve"> </w:t>
      </w:r>
      <w:r>
        <w:t xml:space="preserve">milestones and momentum points </w:t>
      </w:r>
      <w:r w:rsidRPr="0029177E">
        <w:t xml:space="preserve">for </w:t>
      </w:r>
      <w:r>
        <w:t xml:space="preserve">YCC </w:t>
      </w:r>
      <w:r w:rsidRPr="0029177E">
        <w:t xml:space="preserve">participants </w:t>
      </w:r>
      <w:r>
        <w:t xml:space="preserve">and a control </w:t>
      </w:r>
      <w:r w:rsidR="001166BB">
        <w:t xml:space="preserve">(RCT) </w:t>
      </w:r>
      <w:r>
        <w:t xml:space="preserve">or comparison </w:t>
      </w:r>
      <w:r w:rsidR="001166BB">
        <w:t xml:space="preserve">(QED) </w:t>
      </w:r>
      <w:r>
        <w:t xml:space="preserve">group </w:t>
      </w:r>
      <w:r w:rsidRPr="0029177E">
        <w:t xml:space="preserve">enables </w:t>
      </w:r>
      <w:r>
        <w:t xml:space="preserve">researchers and policymakers </w:t>
      </w:r>
      <w:r w:rsidRPr="0029177E">
        <w:t xml:space="preserve">to gauge progress toward </w:t>
      </w:r>
      <w:r>
        <w:t xml:space="preserve">ultimate </w:t>
      </w:r>
      <w:r w:rsidRPr="0029177E">
        <w:t>credential attainment</w:t>
      </w:r>
      <w:r>
        <w:t xml:space="preserve"> and other milestones </w:t>
      </w:r>
      <w:r w:rsidR="0037770F" w:rsidRPr="00EA6091">
        <w:rPr>
          <w:color w:val="000000"/>
        </w:rPr>
        <w:t>(Center for Postsecondary and Economic Success [CLASP] 2013)</w:t>
      </w:r>
      <w:r>
        <w:t xml:space="preserve">. Ultimately, they can be used to </w:t>
      </w:r>
      <w:r w:rsidRPr="0029177E">
        <w:t xml:space="preserve">determine which </w:t>
      </w:r>
      <w:r w:rsidRPr="00814134">
        <w:t xml:space="preserve">critical milestones </w:t>
      </w:r>
      <w:r>
        <w:t xml:space="preserve">students </w:t>
      </w:r>
      <w:r w:rsidRPr="00814134">
        <w:t xml:space="preserve">can achieve in high school and </w:t>
      </w:r>
      <w:r>
        <w:t xml:space="preserve">which </w:t>
      </w:r>
      <w:r w:rsidRPr="00814134">
        <w:t xml:space="preserve">momentum points </w:t>
      </w:r>
      <w:r>
        <w:t xml:space="preserve">might be </w:t>
      </w:r>
      <w:r w:rsidRPr="00814134">
        <w:t xml:space="preserve">associated </w:t>
      </w:r>
      <w:r>
        <w:t xml:space="preserve">with </w:t>
      </w:r>
      <w:r w:rsidRPr="00814134">
        <w:t xml:space="preserve">education and employment success </w:t>
      </w:r>
      <w:r>
        <w:t>and</w:t>
      </w:r>
      <w:r w:rsidR="00985B40">
        <w:t xml:space="preserve"> with</w:t>
      </w:r>
      <w:r>
        <w:t xml:space="preserve"> eventual long-term </w:t>
      </w:r>
      <w:r>
        <w:lastRenderedPageBreak/>
        <w:t>outcomes</w:t>
      </w:r>
      <w:r w:rsidRPr="0029177E">
        <w:t xml:space="preserve">. </w:t>
      </w:r>
      <w:r w:rsidR="00171268">
        <w:t xml:space="preserve">Because </w:t>
      </w:r>
      <w:r>
        <w:t xml:space="preserve">momentum points and intermediate milestones </w:t>
      </w:r>
      <w:r w:rsidR="00410548">
        <w:t xml:space="preserve">will be used </w:t>
      </w:r>
      <w:r>
        <w:t xml:space="preserve">as outcomes, </w:t>
      </w:r>
      <w:r w:rsidR="00171268">
        <w:t xml:space="preserve">the </w:t>
      </w:r>
      <w:r>
        <w:t xml:space="preserve">analyses </w:t>
      </w:r>
      <w:r w:rsidR="003947DA">
        <w:t xml:space="preserve">are </w:t>
      </w:r>
      <w:r w:rsidR="00410548">
        <w:t xml:space="preserve">not defined </w:t>
      </w:r>
      <w:r>
        <w:t>as confirmatory or exploratory</w:t>
      </w:r>
      <w:r w:rsidR="003947DA">
        <w:t xml:space="preserve"> (terms that</w:t>
      </w:r>
      <w:r>
        <w:t xml:space="preserve"> </w:t>
      </w:r>
      <w:r w:rsidR="00410548">
        <w:t xml:space="preserve">are often viewed as </w:t>
      </w:r>
      <w:r>
        <w:t>appropriate for describing outcomes that are final or long-term</w:t>
      </w:r>
      <w:r w:rsidR="003947DA">
        <w:t>)</w:t>
      </w:r>
      <w:r>
        <w:t xml:space="preserve">. Instead, the terms </w:t>
      </w:r>
      <w:r w:rsidRPr="00927905">
        <w:rPr>
          <w:i/>
        </w:rPr>
        <w:t>primary</w:t>
      </w:r>
      <w:r>
        <w:t xml:space="preserve">, </w:t>
      </w:r>
      <w:r w:rsidRPr="00927905">
        <w:rPr>
          <w:i/>
        </w:rPr>
        <w:t>secondary</w:t>
      </w:r>
      <w:r>
        <w:t xml:space="preserve">, and </w:t>
      </w:r>
      <w:r w:rsidRPr="00927905">
        <w:rPr>
          <w:i/>
        </w:rPr>
        <w:t>RCT impact analyses</w:t>
      </w:r>
      <w:r>
        <w:t xml:space="preserve"> differentiate </w:t>
      </w:r>
      <w:r w:rsidR="00410548">
        <w:t xml:space="preserve">the </w:t>
      </w:r>
      <w:r>
        <w:t>types of analyses conduct</w:t>
      </w:r>
      <w:r w:rsidR="00410548">
        <w:t>ed</w:t>
      </w:r>
      <w:r>
        <w:t>.</w:t>
      </w:r>
    </w:p>
    <w:p w14:paraId="032B3DC1" w14:textId="0A21FE13" w:rsidR="00525D3A" w:rsidRDefault="00985B40" w:rsidP="00410548">
      <w:pPr>
        <w:pStyle w:val="NormalSS"/>
      </w:pPr>
      <w:r>
        <w:t>Table B.1</w:t>
      </w:r>
      <w:r w:rsidR="00525D3A" w:rsidRPr="00A94E7B">
        <w:t xml:space="preserve"> shows the momentum points </w:t>
      </w:r>
      <w:r w:rsidR="00525D3A">
        <w:t xml:space="preserve">and intermediate milestones </w:t>
      </w:r>
      <w:r w:rsidR="004933EA">
        <w:t>that this study</w:t>
      </w:r>
      <w:r w:rsidR="004933EA" w:rsidRPr="00A94E7B">
        <w:t xml:space="preserve"> </w:t>
      </w:r>
      <w:r w:rsidR="00525D3A" w:rsidRPr="00A94E7B">
        <w:t xml:space="preserve">will capture. Because YCC participants </w:t>
      </w:r>
      <w:r w:rsidR="00525D3A">
        <w:t>will be age</w:t>
      </w:r>
      <w:r w:rsidR="003947DA">
        <w:t>s</w:t>
      </w:r>
      <w:r w:rsidR="00525D3A">
        <w:t xml:space="preserve"> 16 or 17 when outcomes are measured</w:t>
      </w:r>
      <w:r w:rsidR="00525D3A" w:rsidRPr="00A94E7B">
        <w:t xml:space="preserve">, </w:t>
      </w:r>
      <w:r w:rsidR="00410548">
        <w:t xml:space="preserve">the focus will be on </w:t>
      </w:r>
      <w:r w:rsidR="00525D3A" w:rsidRPr="00A94E7B">
        <w:t>momentum points associated with credential attainment</w:t>
      </w:r>
      <w:r w:rsidR="00525D3A">
        <w:t>—</w:t>
      </w:r>
      <w:r w:rsidR="00525D3A" w:rsidRPr="00A94E7B">
        <w:t xml:space="preserve">both those that can lead to </w:t>
      </w:r>
      <w:r w:rsidR="003947DA">
        <w:t xml:space="preserve">staying in and </w:t>
      </w:r>
      <w:r w:rsidR="00525D3A" w:rsidRPr="00A94E7B">
        <w:t xml:space="preserve">graduating from high school (the </w:t>
      </w:r>
      <w:r w:rsidR="00525D3A">
        <w:t xml:space="preserve">intermediate </w:t>
      </w:r>
      <w:r w:rsidR="00525D3A" w:rsidRPr="00A94E7B">
        <w:t xml:space="preserve">milestone) and those that will prepare students </w:t>
      </w:r>
      <w:r w:rsidR="003947DA">
        <w:t>to</w:t>
      </w:r>
      <w:r w:rsidR="003947DA" w:rsidRPr="00A94E7B">
        <w:t xml:space="preserve"> </w:t>
      </w:r>
      <w:r w:rsidR="00525D3A" w:rsidRPr="00A94E7B">
        <w:t>complet</w:t>
      </w:r>
      <w:r w:rsidR="003947DA">
        <w:t>e</w:t>
      </w:r>
      <w:r w:rsidR="00525D3A" w:rsidRPr="00A94E7B">
        <w:t xml:space="preserve"> postsecondary education or training. </w:t>
      </w:r>
      <w:r w:rsidR="004933EA">
        <w:t>The study</w:t>
      </w:r>
      <w:r w:rsidR="004933EA" w:rsidRPr="00A94E7B">
        <w:t xml:space="preserve"> </w:t>
      </w:r>
      <w:r w:rsidR="00525D3A" w:rsidRPr="00A94E7B">
        <w:t xml:space="preserve">will also capture momentum points associated with youth gaining paid work experience, which has been </w:t>
      </w:r>
      <w:r w:rsidR="00525D3A" w:rsidRPr="001207D6">
        <w:t>associated with successful work outcomes as adults (Light 2001).</w:t>
      </w:r>
    </w:p>
    <w:p w14:paraId="141A0C0C" w14:textId="7EFD2B40" w:rsidR="00525D3A" w:rsidRPr="002F7D3E" w:rsidRDefault="00525D3A" w:rsidP="00525D3A">
      <w:pPr>
        <w:pStyle w:val="MarkforTableTitle"/>
      </w:pPr>
      <w:bookmarkStart w:id="5" w:name="_Toc482021792"/>
      <w:r w:rsidRPr="002F7D3E">
        <w:t xml:space="preserve">Table </w:t>
      </w:r>
      <w:r w:rsidR="001F5B50">
        <w:t>B</w:t>
      </w:r>
      <w:r w:rsidRPr="002F7D3E">
        <w:t>.</w:t>
      </w:r>
      <w:r w:rsidR="00985B40">
        <w:t>1</w:t>
      </w:r>
      <w:r w:rsidRPr="002F7D3E">
        <w:t>. Momentum points</w:t>
      </w:r>
      <w:r>
        <w:t xml:space="preserve"> associated with each milestone</w:t>
      </w:r>
      <w:bookmarkEnd w:id="5"/>
    </w:p>
    <w:tbl>
      <w:tblPr>
        <w:tblStyle w:val="SMPRTableBlack"/>
        <w:tblW w:w="5000" w:type="pct"/>
        <w:tblInd w:w="0" w:type="dxa"/>
        <w:tblLook w:val="0000" w:firstRow="0" w:lastRow="0" w:firstColumn="0" w:lastColumn="0" w:noHBand="0" w:noVBand="0"/>
      </w:tblPr>
      <w:tblGrid>
        <w:gridCol w:w="1197"/>
        <w:gridCol w:w="2578"/>
        <w:gridCol w:w="3591"/>
        <w:gridCol w:w="2210"/>
      </w:tblGrid>
      <w:tr w:rsidR="001166BB" w:rsidRPr="001166BB" w14:paraId="26C40092" w14:textId="77777777">
        <w:trPr>
          <w:tblHeader/>
        </w:trPr>
        <w:tc>
          <w:tcPr>
            <w:tcW w:w="625" w:type="pct"/>
            <w:tcBorders>
              <w:top w:val="nil"/>
            </w:tcBorders>
            <w:shd w:val="clear" w:color="auto" w:fill="6C6F70"/>
          </w:tcPr>
          <w:p w14:paraId="464CF131" w14:textId="77777777" w:rsidR="00525D3A" w:rsidRPr="001166BB" w:rsidRDefault="00525D3A" w:rsidP="00EA0965">
            <w:pPr>
              <w:pStyle w:val="TableHeaderCenter"/>
            </w:pPr>
            <w:r w:rsidRPr="001166BB">
              <w:t>.</w:t>
            </w:r>
          </w:p>
        </w:tc>
        <w:tc>
          <w:tcPr>
            <w:tcW w:w="3221" w:type="pct"/>
            <w:gridSpan w:val="2"/>
            <w:tcBorders>
              <w:top w:val="nil"/>
              <w:bottom w:val="single" w:sz="4" w:space="0" w:color="FFFFFF" w:themeColor="background1"/>
              <w:right w:val="single" w:sz="4" w:space="0" w:color="FFFFFF" w:themeColor="background1"/>
            </w:tcBorders>
            <w:shd w:val="clear" w:color="auto" w:fill="6C6F70"/>
          </w:tcPr>
          <w:p w14:paraId="10CDAD8F" w14:textId="77777777" w:rsidR="00525D3A" w:rsidRPr="001166BB" w:rsidRDefault="00525D3A" w:rsidP="00EA0965">
            <w:pPr>
              <w:pStyle w:val="TableHeaderCenter"/>
            </w:pPr>
            <w:r w:rsidRPr="001166BB">
              <w:t>Education success</w:t>
            </w:r>
          </w:p>
        </w:tc>
        <w:tc>
          <w:tcPr>
            <w:tcW w:w="1154" w:type="pct"/>
            <w:tcBorders>
              <w:top w:val="nil"/>
              <w:left w:val="single" w:sz="4" w:space="0" w:color="FFFFFF" w:themeColor="background1"/>
              <w:bottom w:val="single" w:sz="4" w:space="0" w:color="FFFFFF" w:themeColor="background1"/>
              <w:right w:val="nil"/>
            </w:tcBorders>
            <w:shd w:val="clear" w:color="auto" w:fill="6C6F70"/>
          </w:tcPr>
          <w:p w14:paraId="3D8808BD" w14:textId="77777777" w:rsidR="00525D3A" w:rsidRPr="001166BB" w:rsidRDefault="00525D3A" w:rsidP="00EA0965">
            <w:pPr>
              <w:pStyle w:val="TableHeaderCenter"/>
            </w:pPr>
            <w:r w:rsidRPr="001166BB">
              <w:t>Employment success</w:t>
            </w:r>
          </w:p>
        </w:tc>
      </w:tr>
      <w:tr w:rsidR="001166BB" w:rsidRPr="001166BB" w14:paraId="74AF6A63" w14:textId="77777777" w:rsidTr="00E632A4">
        <w:trPr>
          <w:trHeight w:val="492"/>
          <w:tblHeader/>
        </w:trPr>
        <w:tc>
          <w:tcPr>
            <w:tcW w:w="625" w:type="pct"/>
            <w:tcBorders>
              <w:bottom w:val="nil"/>
            </w:tcBorders>
            <w:shd w:val="clear" w:color="auto" w:fill="6C6F70"/>
          </w:tcPr>
          <w:p w14:paraId="4856A693" w14:textId="77777777" w:rsidR="00525D3A" w:rsidRPr="001166BB" w:rsidRDefault="00525D3A" w:rsidP="00EA0965">
            <w:pPr>
              <w:pStyle w:val="TableHeaderCenter"/>
            </w:pPr>
            <w:r w:rsidRPr="001166BB">
              <w:t>.</w:t>
            </w:r>
          </w:p>
        </w:tc>
        <w:tc>
          <w:tcPr>
            <w:tcW w:w="1346" w:type="pct"/>
            <w:tcBorders>
              <w:top w:val="single" w:sz="4" w:space="0" w:color="FFFFFF" w:themeColor="background1"/>
              <w:bottom w:val="nil"/>
            </w:tcBorders>
            <w:shd w:val="clear" w:color="auto" w:fill="6C6F70"/>
          </w:tcPr>
          <w:p w14:paraId="3F411E75" w14:textId="77777777" w:rsidR="00525D3A" w:rsidRPr="001166BB" w:rsidRDefault="00525D3A" w:rsidP="00171268">
            <w:pPr>
              <w:pStyle w:val="TableHeaderCenter"/>
            </w:pPr>
            <w:r w:rsidRPr="001166BB">
              <w:t xml:space="preserve">High school graduation/ </w:t>
            </w:r>
            <w:r w:rsidR="00171268">
              <w:t>G</w:t>
            </w:r>
            <w:r w:rsidR="00171268" w:rsidRPr="00171268">
              <w:t xml:space="preserve">eneralized </w:t>
            </w:r>
            <w:r w:rsidR="00171268">
              <w:t>E</w:t>
            </w:r>
            <w:r w:rsidR="00171268" w:rsidRPr="00171268">
              <w:t xml:space="preserve">ducation </w:t>
            </w:r>
            <w:r w:rsidR="00171268">
              <w:t>D</w:t>
            </w:r>
            <w:r w:rsidR="00171268" w:rsidRPr="00171268">
              <w:t xml:space="preserve">evelopment </w:t>
            </w:r>
            <w:r w:rsidRPr="001166BB">
              <w:t>attainment</w:t>
            </w:r>
          </w:p>
        </w:tc>
        <w:tc>
          <w:tcPr>
            <w:tcW w:w="1875" w:type="pct"/>
            <w:tcBorders>
              <w:top w:val="single" w:sz="4" w:space="0" w:color="FFFFFF" w:themeColor="background1"/>
              <w:bottom w:val="nil"/>
              <w:right w:val="single" w:sz="4" w:space="0" w:color="FFFFFF" w:themeColor="background1"/>
            </w:tcBorders>
            <w:shd w:val="clear" w:color="auto" w:fill="6C6F70"/>
          </w:tcPr>
          <w:p w14:paraId="403A4C2A" w14:textId="51713EB2" w:rsidR="00525D3A" w:rsidRPr="001166BB" w:rsidRDefault="00525D3A" w:rsidP="00EA0965">
            <w:pPr>
              <w:pStyle w:val="TableHeaderCenter"/>
            </w:pPr>
            <w:r w:rsidRPr="001166BB">
              <w:t>Postsecondary education/training completed</w:t>
            </w:r>
          </w:p>
        </w:tc>
        <w:tc>
          <w:tcPr>
            <w:tcW w:w="1154" w:type="pct"/>
            <w:tcBorders>
              <w:top w:val="single" w:sz="4" w:space="0" w:color="FFFFFF" w:themeColor="background1"/>
              <w:left w:val="single" w:sz="4" w:space="0" w:color="FFFFFF" w:themeColor="background1"/>
              <w:bottom w:val="nil"/>
              <w:right w:val="nil"/>
            </w:tcBorders>
            <w:shd w:val="clear" w:color="auto" w:fill="6C6F70"/>
          </w:tcPr>
          <w:p w14:paraId="1788C30C" w14:textId="77777777" w:rsidR="00525D3A" w:rsidRPr="001166BB" w:rsidRDefault="00525D3A" w:rsidP="00EA0965">
            <w:pPr>
              <w:pStyle w:val="TableHeaderCenter"/>
            </w:pPr>
            <w:r w:rsidRPr="001166BB">
              <w:t>Career-path employment and high wages</w:t>
            </w:r>
          </w:p>
        </w:tc>
      </w:tr>
      <w:tr w:rsidR="00525D3A" w:rsidRPr="002F7D3E" w14:paraId="567707E8" w14:textId="77777777" w:rsidTr="00000962">
        <w:trPr>
          <w:trHeight w:val="504"/>
        </w:trPr>
        <w:tc>
          <w:tcPr>
            <w:tcW w:w="625" w:type="pct"/>
            <w:tcBorders>
              <w:top w:val="nil"/>
              <w:bottom w:val="single" w:sz="4" w:space="0" w:color="auto"/>
            </w:tcBorders>
            <w:tcMar>
              <w:top w:w="43" w:type="dxa"/>
              <w:left w:w="115" w:type="dxa"/>
              <w:bottom w:w="43" w:type="dxa"/>
              <w:right w:w="115" w:type="dxa"/>
            </w:tcMar>
          </w:tcPr>
          <w:p w14:paraId="08915FAA" w14:textId="77777777" w:rsidR="00525D3A" w:rsidRPr="002F7D3E" w:rsidRDefault="00525D3A" w:rsidP="00EA0965">
            <w:pPr>
              <w:autoSpaceDE w:val="0"/>
              <w:autoSpaceDN w:val="0"/>
              <w:adjustRightInd w:val="0"/>
              <w:rPr>
                <w:rFonts w:cs="Arial"/>
                <w:color w:val="000000"/>
                <w:sz w:val="18"/>
                <w:szCs w:val="18"/>
              </w:rPr>
            </w:pPr>
            <w:r>
              <w:rPr>
                <w:rFonts w:cs="Arial"/>
                <w:color w:val="000000"/>
                <w:sz w:val="18"/>
                <w:szCs w:val="18"/>
              </w:rPr>
              <w:t>Milestone in high school</w:t>
            </w:r>
          </w:p>
        </w:tc>
        <w:tc>
          <w:tcPr>
            <w:tcW w:w="1346" w:type="pct"/>
            <w:tcBorders>
              <w:top w:val="nil"/>
              <w:bottom w:val="single" w:sz="4" w:space="0" w:color="auto"/>
            </w:tcBorders>
            <w:tcMar>
              <w:top w:w="43" w:type="dxa"/>
              <w:left w:w="115" w:type="dxa"/>
              <w:bottom w:w="43" w:type="dxa"/>
              <w:right w:w="115" w:type="dxa"/>
            </w:tcMar>
            <w:vAlign w:val="center"/>
          </w:tcPr>
          <w:p w14:paraId="4C0FAE6F"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Pr>
                <w:rFonts w:cs="Arial"/>
                <w:sz w:val="18"/>
                <w:szCs w:val="18"/>
              </w:rPr>
              <w:t>Staying in school</w:t>
            </w:r>
          </w:p>
        </w:tc>
        <w:tc>
          <w:tcPr>
            <w:tcW w:w="1875" w:type="pct"/>
            <w:tcBorders>
              <w:top w:val="nil"/>
              <w:bottom w:val="single" w:sz="4" w:space="0" w:color="auto"/>
              <w:right w:val="single" w:sz="4" w:space="0" w:color="auto"/>
            </w:tcBorders>
            <w:tcMar>
              <w:top w:w="43" w:type="dxa"/>
              <w:left w:w="115" w:type="dxa"/>
              <w:bottom w:w="43" w:type="dxa"/>
              <w:right w:w="115" w:type="dxa"/>
            </w:tcMar>
            <w:vAlign w:val="center"/>
          </w:tcPr>
          <w:p w14:paraId="10A3C293"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Pr>
                <w:rFonts w:cs="Arial"/>
                <w:sz w:val="18"/>
                <w:szCs w:val="18"/>
              </w:rPr>
              <w:t>Not applicable</w:t>
            </w:r>
          </w:p>
        </w:tc>
        <w:tc>
          <w:tcPr>
            <w:tcW w:w="1154" w:type="pct"/>
            <w:tcBorders>
              <w:top w:val="nil"/>
              <w:left w:val="single" w:sz="4" w:space="0" w:color="auto"/>
              <w:bottom w:val="single" w:sz="4" w:space="0" w:color="auto"/>
              <w:right w:val="nil"/>
            </w:tcBorders>
            <w:tcMar>
              <w:top w:w="43" w:type="dxa"/>
              <w:left w:w="115" w:type="dxa"/>
              <w:bottom w:w="43" w:type="dxa"/>
              <w:right w:w="115" w:type="dxa"/>
            </w:tcMar>
            <w:vAlign w:val="center"/>
          </w:tcPr>
          <w:p w14:paraId="756C4A9B" w14:textId="77777777" w:rsidR="00525D3A" w:rsidRPr="00BB66D4" w:rsidRDefault="00525D3A" w:rsidP="00000962">
            <w:pPr>
              <w:pStyle w:val="ListParagraph"/>
              <w:autoSpaceDE w:val="0"/>
              <w:autoSpaceDN w:val="0"/>
              <w:adjustRightInd w:val="0"/>
              <w:spacing w:before="60" w:after="60"/>
              <w:ind w:left="144" w:right="0" w:hanging="144"/>
              <w:jc w:val="left"/>
              <w:rPr>
                <w:rFonts w:cs="Arial"/>
                <w:sz w:val="18"/>
                <w:szCs w:val="18"/>
              </w:rPr>
            </w:pPr>
            <w:r w:rsidRPr="00BB66D4">
              <w:rPr>
                <w:rFonts w:cs="Arial"/>
                <w:sz w:val="18"/>
                <w:szCs w:val="18"/>
              </w:rPr>
              <w:t>Paid work experience</w:t>
            </w:r>
          </w:p>
        </w:tc>
      </w:tr>
      <w:tr w:rsidR="00525D3A" w:rsidRPr="002F7D3E" w14:paraId="0F6697B0" w14:textId="77777777" w:rsidTr="00000962">
        <w:tc>
          <w:tcPr>
            <w:tcW w:w="625" w:type="pct"/>
            <w:tcBorders>
              <w:top w:val="single" w:sz="4" w:space="0" w:color="auto"/>
              <w:bottom w:val="single" w:sz="4" w:space="0" w:color="auto"/>
            </w:tcBorders>
            <w:tcMar>
              <w:top w:w="43" w:type="dxa"/>
              <w:left w:w="115" w:type="dxa"/>
              <w:bottom w:w="43" w:type="dxa"/>
              <w:right w:w="115" w:type="dxa"/>
            </w:tcMar>
            <w:vAlign w:val="center"/>
          </w:tcPr>
          <w:p w14:paraId="2F7722D4" w14:textId="77777777" w:rsidR="00525D3A" w:rsidRPr="002F7D3E" w:rsidRDefault="00525D3A" w:rsidP="00000962">
            <w:pPr>
              <w:autoSpaceDE w:val="0"/>
              <w:autoSpaceDN w:val="0"/>
              <w:adjustRightInd w:val="0"/>
              <w:spacing w:before="60" w:after="60"/>
              <w:rPr>
                <w:rFonts w:cs="Arial"/>
                <w:color w:val="000000"/>
                <w:sz w:val="18"/>
                <w:szCs w:val="18"/>
              </w:rPr>
            </w:pPr>
            <w:r w:rsidRPr="002F7D3E">
              <w:rPr>
                <w:rFonts w:cs="Arial"/>
                <w:color w:val="000000"/>
                <w:sz w:val="18"/>
                <w:szCs w:val="18"/>
              </w:rPr>
              <w:t>Momentum points</w:t>
            </w:r>
          </w:p>
        </w:tc>
        <w:tc>
          <w:tcPr>
            <w:tcW w:w="1346" w:type="pct"/>
            <w:tcBorders>
              <w:top w:val="single" w:sz="4" w:space="0" w:color="auto"/>
              <w:bottom w:val="single" w:sz="4" w:space="0" w:color="auto"/>
            </w:tcBorders>
            <w:tcMar>
              <w:top w:w="43" w:type="dxa"/>
              <w:left w:w="115" w:type="dxa"/>
              <w:bottom w:w="43" w:type="dxa"/>
              <w:right w:w="115" w:type="dxa"/>
            </w:tcMar>
            <w:vAlign w:val="center"/>
          </w:tcPr>
          <w:p w14:paraId="087FE6CD" w14:textId="77777777" w:rsidR="00525D3A" w:rsidRDefault="00525D3A" w:rsidP="00000962">
            <w:pPr>
              <w:pStyle w:val="ListParagraph"/>
              <w:autoSpaceDE w:val="0"/>
              <w:autoSpaceDN w:val="0"/>
              <w:adjustRightInd w:val="0"/>
              <w:spacing w:before="60" w:after="60"/>
              <w:ind w:left="144" w:right="0" w:hanging="144"/>
              <w:jc w:val="left"/>
              <w:rPr>
                <w:rFonts w:cs="Arial"/>
                <w:sz w:val="18"/>
                <w:szCs w:val="18"/>
              </w:rPr>
            </w:pPr>
            <w:r>
              <w:rPr>
                <w:rFonts w:cs="Arial"/>
                <w:sz w:val="18"/>
                <w:szCs w:val="18"/>
              </w:rPr>
              <w:t>Credit accumulation</w:t>
            </w:r>
          </w:p>
          <w:p w14:paraId="2DC5FA66" w14:textId="77777777" w:rsidR="00525D3A" w:rsidRPr="003131C2"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School attendance</w:t>
            </w:r>
          </w:p>
          <w:p w14:paraId="1F23F02D"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Behavior at school</w:t>
            </w:r>
          </w:p>
          <w:p w14:paraId="40C1AF03"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School engagement and satisfaction</w:t>
            </w:r>
          </w:p>
          <w:p w14:paraId="6163D690" w14:textId="77777777" w:rsidR="00525D3A" w:rsidRPr="00552C8B" w:rsidRDefault="00525D3A" w:rsidP="00000962">
            <w:pPr>
              <w:pStyle w:val="ListParagraph"/>
              <w:autoSpaceDE w:val="0"/>
              <w:autoSpaceDN w:val="0"/>
              <w:adjustRightInd w:val="0"/>
              <w:spacing w:before="60" w:after="60"/>
              <w:ind w:left="144" w:right="0" w:hanging="144"/>
              <w:jc w:val="left"/>
              <w:rPr>
                <w:rFonts w:cs="Arial"/>
                <w:sz w:val="18"/>
                <w:szCs w:val="18"/>
              </w:rPr>
            </w:pPr>
            <w:r w:rsidRPr="00552C8B">
              <w:rPr>
                <w:rFonts w:cs="Arial"/>
                <w:sz w:val="18"/>
                <w:szCs w:val="18"/>
              </w:rPr>
              <w:t>Reduced criminal justice involvement</w:t>
            </w:r>
          </w:p>
          <w:p w14:paraId="4E2B2F4C"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552C8B">
              <w:rPr>
                <w:rFonts w:cs="Arial"/>
                <w:sz w:val="18"/>
                <w:szCs w:val="18"/>
              </w:rPr>
              <w:t>Reduced substance abuse</w:t>
            </w:r>
          </w:p>
        </w:tc>
        <w:tc>
          <w:tcPr>
            <w:tcW w:w="1875" w:type="pct"/>
            <w:tcBorders>
              <w:top w:val="single" w:sz="4" w:space="0" w:color="auto"/>
              <w:bottom w:val="single" w:sz="4" w:space="0" w:color="auto"/>
              <w:right w:val="single" w:sz="4" w:space="0" w:color="auto"/>
            </w:tcBorders>
            <w:tcMar>
              <w:top w:w="43" w:type="dxa"/>
              <w:left w:w="115" w:type="dxa"/>
              <w:bottom w:w="43" w:type="dxa"/>
              <w:right w:w="115" w:type="dxa"/>
            </w:tcMar>
            <w:vAlign w:val="center"/>
          </w:tcPr>
          <w:p w14:paraId="69C26068" w14:textId="77777777" w:rsidR="00525D3A"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Math proficiency:</w:t>
            </w:r>
          </w:p>
          <w:p w14:paraId="60F961E7" w14:textId="007F03AA" w:rsidR="00525D3A" w:rsidRPr="002F7D3E" w:rsidRDefault="00CB4AFC" w:rsidP="00000962">
            <w:pPr>
              <w:pStyle w:val="ListParagraph"/>
              <w:numPr>
                <w:ilvl w:val="0"/>
                <w:numId w:val="9"/>
              </w:numPr>
              <w:tabs>
                <w:tab w:val="clear" w:pos="360"/>
              </w:tabs>
              <w:autoSpaceDE w:val="0"/>
              <w:autoSpaceDN w:val="0"/>
              <w:adjustRightInd w:val="0"/>
              <w:spacing w:before="60" w:after="60"/>
              <w:ind w:left="504" w:right="0"/>
              <w:jc w:val="left"/>
              <w:rPr>
                <w:rFonts w:cs="Arial"/>
                <w:sz w:val="18"/>
                <w:szCs w:val="18"/>
              </w:rPr>
            </w:pPr>
            <w:r>
              <w:rPr>
                <w:rFonts w:cs="Arial"/>
                <w:sz w:val="18"/>
                <w:szCs w:val="18"/>
              </w:rPr>
              <w:t>s</w:t>
            </w:r>
            <w:r w:rsidR="00525D3A" w:rsidRPr="002F7D3E">
              <w:rPr>
                <w:rFonts w:cs="Arial"/>
                <w:sz w:val="18"/>
                <w:szCs w:val="18"/>
              </w:rPr>
              <w:t>uccessful completion of Algebra I</w:t>
            </w:r>
          </w:p>
          <w:p w14:paraId="5A2DB8E0" w14:textId="77777777" w:rsidR="00525D3A" w:rsidRPr="002F7D3E" w:rsidRDefault="00525D3A" w:rsidP="00000962">
            <w:pPr>
              <w:pStyle w:val="ListParagraph"/>
              <w:numPr>
                <w:ilvl w:val="0"/>
                <w:numId w:val="9"/>
              </w:numPr>
              <w:tabs>
                <w:tab w:val="clear" w:pos="360"/>
              </w:tabs>
              <w:autoSpaceDE w:val="0"/>
              <w:autoSpaceDN w:val="0"/>
              <w:adjustRightInd w:val="0"/>
              <w:spacing w:before="60" w:after="60"/>
              <w:ind w:left="504" w:right="0"/>
              <w:jc w:val="left"/>
              <w:rPr>
                <w:rFonts w:cs="Arial"/>
                <w:sz w:val="18"/>
                <w:szCs w:val="18"/>
              </w:rPr>
            </w:pPr>
            <w:r w:rsidRPr="002F7D3E">
              <w:rPr>
                <w:rFonts w:cs="Arial"/>
                <w:sz w:val="18"/>
                <w:szCs w:val="18"/>
              </w:rPr>
              <w:t>z-score computed from standardized tests</w:t>
            </w:r>
          </w:p>
          <w:p w14:paraId="271A610A"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Education expectations and knowledge</w:t>
            </w:r>
          </w:p>
          <w:p w14:paraId="3A09732E"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English proficiency: z-score computed from standardized tests</w:t>
            </w:r>
          </w:p>
          <w:p w14:paraId="17948E8B" w14:textId="77777777" w:rsidR="00525D3A" w:rsidRPr="00BB66D4"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Postsecondary credit</w:t>
            </w:r>
          </w:p>
        </w:tc>
        <w:tc>
          <w:tcPr>
            <w:tcW w:w="1154" w:type="pct"/>
            <w:tcBorders>
              <w:top w:val="single" w:sz="4" w:space="0" w:color="auto"/>
              <w:left w:val="single" w:sz="4" w:space="0" w:color="auto"/>
              <w:bottom w:val="single" w:sz="4" w:space="0" w:color="auto"/>
              <w:right w:val="nil"/>
            </w:tcBorders>
            <w:tcMar>
              <w:top w:w="43" w:type="dxa"/>
              <w:left w:w="115" w:type="dxa"/>
              <w:bottom w:w="43" w:type="dxa"/>
              <w:right w:w="115" w:type="dxa"/>
            </w:tcMar>
            <w:vAlign w:val="center"/>
          </w:tcPr>
          <w:p w14:paraId="392D3460"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Employment expectations</w:t>
            </w:r>
          </w:p>
          <w:p w14:paraId="163F2477" w14:textId="77777777" w:rsidR="00525D3A" w:rsidRPr="002F7D3E" w:rsidRDefault="00525D3A" w:rsidP="00000962">
            <w:pPr>
              <w:pStyle w:val="ListParagraph"/>
              <w:autoSpaceDE w:val="0"/>
              <w:autoSpaceDN w:val="0"/>
              <w:adjustRightInd w:val="0"/>
              <w:spacing w:before="60" w:after="60"/>
              <w:ind w:left="144" w:right="0" w:hanging="144"/>
              <w:jc w:val="left"/>
              <w:rPr>
                <w:rFonts w:cs="Arial"/>
                <w:sz w:val="18"/>
                <w:szCs w:val="18"/>
              </w:rPr>
            </w:pPr>
            <w:r w:rsidRPr="002F7D3E">
              <w:rPr>
                <w:rFonts w:cs="Arial"/>
                <w:sz w:val="18"/>
                <w:szCs w:val="18"/>
              </w:rPr>
              <w:t>Work readiness skills</w:t>
            </w:r>
          </w:p>
        </w:tc>
      </w:tr>
    </w:tbl>
    <w:p w14:paraId="6DD60617" w14:textId="77777777" w:rsidR="00507E1F" w:rsidRDefault="00507E1F" w:rsidP="00410548">
      <w:pPr>
        <w:pStyle w:val="NormalSS"/>
      </w:pPr>
    </w:p>
    <w:p w14:paraId="46B48150" w14:textId="5E8E9A53" w:rsidR="00525D3A" w:rsidRDefault="00525D3A" w:rsidP="00410548">
      <w:pPr>
        <w:pStyle w:val="NormalSS"/>
      </w:pPr>
      <w:r w:rsidRPr="0037770F">
        <w:t>The momentum points selected are associated with education and employment milestones. Predictors of dropping out of high school</w:t>
      </w:r>
      <w:r w:rsidR="00514B7A">
        <w:t>—</w:t>
      </w:r>
      <w:r w:rsidRPr="0037770F">
        <w:t xml:space="preserve">Rumberger </w:t>
      </w:r>
      <w:r w:rsidR="00514B7A">
        <w:t>(</w:t>
      </w:r>
      <w:r w:rsidRPr="0037770F">
        <w:t>2011</w:t>
      </w:r>
      <w:r w:rsidR="00514B7A">
        <w:t>)</w:t>
      </w:r>
      <w:r w:rsidRPr="0037770F">
        <w:t xml:space="preserve"> provides a synthesis</w:t>
      </w:r>
      <w:r w:rsidR="00514B7A">
        <w:t>—</w:t>
      </w:r>
      <w:r w:rsidRPr="0037770F">
        <w:t>include attendance and credit accumulation (Ginsburg et al. 2014), behavior at school (Parr and Bonitz 2015), school engagement and satisfaction (Stout and Christensen 2009), and lack of involvement with the criminal justice system and substance abuse (Doll et al. 2013). Predictors of postsecondary success include standardized test scores, education expectations, passing gateway courses such as Algebra I early in high school (Hein et al. 2013), and earning postsecondary credit in high school (Lerner and Brand 2006). Predictors of paid employment for youth include both employment expectations (Acevedo et al. 2017) and work readiness skills (Al-</w:t>
      </w:r>
      <w:r w:rsidR="00791091">
        <w:t>M</w:t>
      </w:r>
      <w:r w:rsidRPr="0037770F">
        <w:t xml:space="preserve">amun 2012). Table </w:t>
      </w:r>
      <w:r w:rsidR="001F5B50" w:rsidRPr="0037770F">
        <w:t>B</w:t>
      </w:r>
      <w:r w:rsidRPr="0037770F">
        <w:t>.</w:t>
      </w:r>
      <w:r w:rsidR="00985B40">
        <w:t>2</w:t>
      </w:r>
      <w:r w:rsidRPr="0037770F">
        <w:t xml:space="preserve"> shows how each momentum point and high school milestone </w:t>
      </w:r>
      <w:r w:rsidR="004933EA">
        <w:t>will be</w:t>
      </w:r>
      <w:r w:rsidR="004933EA" w:rsidRPr="0037770F">
        <w:t xml:space="preserve"> empirically measure</w:t>
      </w:r>
      <w:r w:rsidR="004933EA">
        <w:t>d</w:t>
      </w:r>
      <w:r w:rsidR="004933EA" w:rsidRPr="0037770F">
        <w:t xml:space="preserve"> </w:t>
      </w:r>
      <w:r w:rsidRPr="0037770F">
        <w:t>using the information from school records and the follow-up survey.</w:t>
      </w:r>
    </w:p>
    <w:p w14:paraId="2934737D" w14:textId="0CE23EC4" w:rsidR="00525D3A" w:rsidRDefault="00525D3A" w:rsidP="00525D3A">
      <w:pPr>
        <w:pStyle w:val="MarkforTableTitle"/>
      </w:pPr>
      <w:bookmarkStart w:id="6" w:name="_Toc482021793"/>
      <w:r>
        <w:t xml:space="preserve">Table </w:t>
      </w:r>
      <w:r w:rsidR="001F5B50">
        <w:t>B</w:t>
      </w:r>
      <w:r>
        <w:t>.</w:t>
      </w:r>
      <w:r w:rsidR="00985B40">
        <w:t>2</w:t>
      </w:r>
      <w:r w:rsidRPr="00E9553C">
        <w:t xml:space="preserve">. </w:t>
      </w:r>
      <w:r>
        <w:t>Outcomes used in impact analysis</w:t>
      </w:r>
      <w:bookmarkEnd w:id="6"/>
    </w:p>
    <w:tbl>
      <w:tblPr>
        <w:tblStyle w:val="MPRBaseTable"/>
        <w:tblW w:w="9630" w:type="dxa"/>
        <w:tblBorders>
          <w:insideH w:val="single" w:sz="4" w:space="0" w:color="BFBFBF" w:themeColor="background1" w:themeShade="BF"/>
          <w:insideV w:val="single" w:sz="4" w:space="0" w:color="auto"/>
        </w:tblBorders>
        <w:tblLayout w:type="fixed"/>
        <w:tblLook w:val="04A0" w:firstRow="1" w:lastRow="0" w:firstColumn="1" w:lastColumn="0" w:noHBand="0" w:noVBand="1"/>
      </w:tblPr>
      <w:tblGrid>
        <w:gridCol w:w="2340"/>
        <w:gridCol w:w="4500"/>
        <w:gridCol w:w="900"/>
        <w:gridCol w:w="900"/>
        <w:gridCol w:w="990"/>
      </w:tblGrid>
      <w:tr w:rsidR="00525D3A" w:rsidRPr="00C86E5A" w14:paraId="5A128AC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Borders>
              <w:bottom w:val="single" w:sz="4" w:space="0" w:color="auto"/>
              <w:right w:val="single" w:sz="4" w:space="0" w:color="FFFFFF" w:themeColor="background1"/>
            </w:tcBorders>
            <w:noWrap/>
          </w:tcPr>
          <w:p w14:paraId="5C3F459F" w14:textId="77777777" w:rsidR="00525D3A" w:rsidRPr="00C86E5A" w:rsidRDefault="00525D3A" w:rsidP="00EA0965">
            <w:pPr>
              <w:pStyle w:val="TableHeaderLeft"/>
              <w:keepNext/>
              <w:keepLines/>
              <w:rPr>
                <w:b w:val="0"/>
              </w:rPr>
            </w:pPr>
          </w:p>
        </w:tc>
        <w:tc>
          <w:tcPr>
            <w:tcW w:w="4500" w:type="dxa"/>
            <w:tcBorders>
              <w:left w:val="single" w:sz="4" w:space="0" w:color="FFFFFF" w:themeColor="background1"/>
              <w:bottom w:val="single" w:sz="4" w:space="0" w:color="auto"/>
              <w:right w:val="single" w:sz="4" w:space="0" w:color="FFFFFF" w:themeColor="background1"/>
            </w:tcBorders>
            <w:noWrap/>
            <w:vAlign w:val="center"/>
          </w:tcPr>
          <w:p w14:paraId="025EBBFB" w14:textId="77777777" w:rsidR="00525D3A" w:rsidRPr="00C86E5A" w:rsidRDefault="00525D3A" w:rsidP="00EA0965">
            <w:pPr>
              <w:pStyle w:val="TableHeaderCenter"/>
              <w:keepNext/>
              <w:keepLines/>
              <w:cnfStyle w:val="100000000000" w:firstRow="1" w:lastRow="0" w:firstColumn="0" w:lastColumn="0" w:oddVBand="0" w:evenVBand="0" w:oddHBand="0" w:evenHBand="0" w:firstRowFirstColumn="0" w:firstRowLastColumn="0" w:lastRowFirstColumn="0" w:lastRowLastColumn="0"/>
            </w:pPr>
            <w:r w:rsidRPr="00C86E5A">
              <w:t xml:space="preserve">Empirical </w:t>
            </w:r>
            <w:r>
              <w:t>c</w:t>
            </w:r>
            <w:r w:rsidRPr="00C86E5A">
              <w:t>onstruct</w:t>
            </w:r>
          </w:p>
        </w:tc>
        <w:tc>
          <w:tcPr>
            <w:tcW w:w="900" w:type="dxa"/>
            <w:tcBorders>
              <w:left w:val="single" w:sz="4" w:space="0" w:color="FFFFFF" w:themeColor="background1"/>
              <w:bottom w:val="single" w:sz="4" w:space="0" w:color="auto"/>
              <w:right w:val="single" w:sz="4" w:space="0" w:color="FFFFFF" w:themeColor="background1"/>
            </w:tcBorders>
            <w:vAlign w:val="center"/>
          </w:tcPr>
          <w:p w14:paraId="075E5026" w14:textId="77777777" w:rsidR="00525D3A" w:rsidRPr="00C86E5A" w:rsidRDefault="00525D3A" w:rsidP="00EA0965">
            <w:pPr>
              <w:pStyle w:val="TableHeaderCenter"/>
              <w:keepNext/>
              <w:keepLines/>
              <w:cnfStyle w:val="100000000000" w:firstRow="1" w:lastRow="0" w:firstColumn="0" w:lastColumn="0" w:oddVBand="0" w:evenVBand="0" w:oddHBand="0" w:evenHBand="0" w:firstRowFirstColumn="0" w:firstRowLastColumn="0" w:lastRowFirstColumn="0" w:lastRowLastColumn="0"/>
              <w:rPr>
                <w:b w:val="0"/>
              </w:rPr>
            </w:pPr>
            <w:r>
              <w:t>S</w:t>
            </w:r>
            <w:r w:rsidRPr="00C86E5A">
              <w:t>ource</w:t>
            </w:r>
          </w:p>
        </w:tc>
        <w:tc>
          <w:tcPr>
            <w:tcW w:w="900" w:type="dxa"/>
            <w:tcBorders>
              <w:left w:val="single" w:sz="4" w:space="0" w:color="FFFFFF" w:themeColor="background1"/>
              <w:bottom w:val="single" w:sz="4" w:space="0" w:color="auto"/>
              <w:right w:val="single" w:sz="4" w:space="0" w:color="FFFFFF" w:themeColor="background1"/>
            </w:tcBorders>
            <w:vAlign w:val="center"/>
          </w:tcPr>
          <w:p w14:paraId="48356B9E" w14:textId="77777777" w:rsidR="00525D3A" w:rsidRDefault="00525D3A" w:rsidP="00EA0965">
            <w:pPr>
              <w:pStyle w:val="TableHeaderCenter"/>
              <w:keepNext/>
              <w:keepLines/>
              <w:cnfStyle w:val="100000000000" w:firstRow="1" w:lastRow="0" w:firstColumn="0" w:lastColumn="0" w:oddVBand="0" w:evenVBand="0" w:oddHBand="0" w:evenHBand="0" w:firstRowFirstColumn="0" w:firstRowLastColumn="0" w:lastRowFirstColumn="0" w:lastRowLastColumn="0"/>
              <w:rPr>
                <w:b w:val="0"/>
              </w:rPr>
            </w:pPr>
            <w:r>
              <w:t>Sample</w:t>
            </w:r>
          </w:p>
        </w:tc>
        <w:tc>
          <w:tcPr>
            <w:tcW w:w="990" w:type="dxa"/>
            <w:tcBorders>
              <w:left w:val="single" w:sz="4" w:space="0" w:color="FFFFFF" w:themeColor="background1"/>
              <w:bottom w:val="single" w:sz="4" w:space="0" w:color="auto"/>
              <w:right w:val="single" w:sz="4" w:space="0" w:color="FFFFFF" w:themeColor="background1"/>
            </w:tcBorders>
            <w:vAlign w:val="center"/>
          </w:tcPr>
          <w:p w14:paraId="446E6481" w14:textId="77777777" w:rsidR="00525D3A" w:rsidRPr="00C86E5A" w:rsidRDefault="00525D3A" w:rsidP="00EA0965">
            <w:pPr>
              <w:pStyle w:val="TableHeaderCenter"/>
              <w:keepNext/>
              <w:keepLines/>
              <w:cnfStyle w:val="100000000000" w:firstRow="1" w:lastRow="0" w:firstColumn="0" w:lastColumn="0" w:oddVBand="0" w:evenVBand="0" w:oddHBand="0" w:evenHBand="0" w:firstRowFirstColumn="0" w:firstRowLastColumn="0" w:lastRowFirstColumn="0" w:lastRowLastColumn="0"/>
              <w:rPr>
                <w:b w:val="0"/>
              </w:rPr>
            </w:pPr>
            <w:r>
              <w:t>Analysis</w:t>
            </w:r>
          </w:p>
        </w:tc>
      </w:tr>
      <w:tr w:rsidR="00525D3A" w:rsidRPr="00E9553C" w14:paraId="46DCBC6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0" w:type="dxa"/>
            <w:gridSpan w:val="5"/>
            <w:tcBorders>
              <w:top w:val="single" w:sz="4" w:space="0" w:color="auto"/>
              <w:bottom w:val="single" w:sz="4" w:space="0" w:color="auto"/>
            </w:tcBorders>
            <w:shd w:val="clear" w:color="auto" w:fill="D9D9D9" w:themeFill="background1" w:themeFillShade="D9"/>
          </w:tcPr>
          <w:p w14:paraId="14637719" w14:textId="77777777" w:rsidR="00525D3A" w:rsidRPr="00E9553C" w:rsidRDefault="00525D3A" w:rsidP="00000962">
            <w:pPr>
              <w:keepNext/>
              <w:keepLines/>
              <w:spacing w:before="40" w:after="40"/>
              <w:contextualSpacing w:val="0"/>
              <w:rPr>
                <w:rFonts w:cs="Arial"/>
                <w:szCs w:val="18"/>
              </w:rPr>
            </w:pPr>
            <w:r>
              <w:rPr>
                <w:rFonts w:cs="Arial"/>
                <w:b/>
                <w:bCs/>
                <w:color w:val="000000"/>
                <w:szCs w:val="18"/>
              </w:rPr>
              <w:t>Education success</w:t>
            </w:r>
          </w:p>
        </w:tc>
      </w:tr>
      <w:tr w:rsidR="00525D3A" w:rsidRPr="00E9553C" w14:paraId="124B7D73"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val="restart"/>
            <w:tcBorders>
              <w:top w:val="single" w:sz="4" w:space="0" w:color="auto"/>
              <w:bottom w:val="single" w:sz="4" w:space="0" w:color="auto"/>
              <w:right w:val="single" w:sz="4" w:space="0" w:color="auto"/>
            </w:tcBorders>
            <w:shd w:val="clear" w:color="auto" w:fill="F2F2F2" w:themeFill="background1" w:themeFillShade="F2"/>
            <w:noWrap/>
          </w:tcPr>
          <w:p w14:paraId="1D343F04" w14:textId="77777777" w:rsidR="00525D3A" w:rsidRPr="00FB0257" w:rsidRDefault="00525D3A" w:rsidP="00000962">
            <w:pPr>
              <w:keepNext/>
              <w:keepLines/>
              <w:spacing w:before="40" w:after="40"/>
              <w:contextualSpacing w:val="0"/>
              <w:rPr>
                <w:rFonts w:cs="Arial"/>
                <w:szCs w:val="18"/>
              </w:rPr>
            </w:pPr>
            <w:r>
              <w:rPr>
                <w:rFonts w:cs="Arial"/>
                <w:szCs w:val="18"/>
              </w:rPr>
              <w:t>High school graduation/ GED attainment</w:t>
            </w:r>
          </w:p>
        </w:tc>
        <w:tc>
          <w:tcPr>
            <w:tcW w:w="4500" w:type="dxa"/>
            <w:tcBorders>
              <w:top w:val="dotted" w:sz="4" w:space="0" w:color="auto"/>
              <w:left w:val="single" w:sz="4" w:space="0" w:color="auto"/>
              <w:bottom w:val="dotted" w:sz="4" w:space="0" w:color="auto"/>
              <w:right w:val="single" w:sz="4" w:space="0" w:color="auto"/>
            </w:tcBorders>
            <w:shd w:val="clear" w:color="auto" w:fill="F2F2F2" w:themeFill="background1" w:themeFillShade="F2"/>
          </w:tcPr>
          <w:p w14:paraId="78624B80" w14:textId="77777777" w:rsidR="00525D3A" w:rsidRPr="00FB0257"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Binary measure of dropping out of high school by spring 2018</w:t>
            </w:r>
          </w:p>
        </w:tc>
        <w:tc>
          <w:tcPr>
            <w:tcW w:w="900" w:type="dxa"/>
            <w:tcBorders>
              <w:top w:val="single" w:sz="4" w:space="0" w:color="auto"/>
              <w:left w:val="single" w:sz="4" w:space="0" w:color="auto"/>
              <w:bottom w:val="single" w:sz="4" w:space="0" w:color="auto"/>
            </w:tcBorders>
            <w:shd w:val="clear" w:color="auto" w:fill="F2F2F2" w:themeFill="background1" w:themeFillShade="F2"/>
          </w:tcPr>
          <w:p w14:paraId="6DF75F8A" w14:textId="77777777" w:rsidR="00525D3A" w:rsidRPr="00FB0257"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056D4">
              <w:rPr>
                <w:rFonts w:cs="Arial"/>
                <w:szCs w:val="18"/>
              </w:rPr>
              <w:t>Survey</w:t>
            </w:r>
          </w:p>
        </w:tc>
        <w:tc>
          <w:tcPr>
            <w:tcW w:w="900" w:type="dxa"/>
            <w:tcBorders>
              <w:top w:val="single" w:sz="4" w:space="0" w:color="auto"/>
              <w:bottom w:val="single" w:sz="4" w:space="0" w:color="auto"/>
            </w:tcBorders>
            <w:shd w:val="clear" w:color="auto" w:fill="F2F2F2" w:themeFill="background1" w:themeFillShade="F2"/>
          </w:tcPr>
          <w:p w14:paraId="46191CA8" w14:textId="77777777" w:rsidR="00525D3A" w:rsidRPr="00FB0257"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0056D4">
              <w:rPr>
                <w:rFonts w:cs="Arial"/>
                <w:szCs w:val="18"/>
              </w:rPr>
              <w:t>RCT</w:t>
            </w:r>
          </w:p>
        </w:tc>
        <w:tc>
          <w:tcPr>
            <w:tcW w:w="990" w:type="dxa"/>
            <w:tcBorders>
              <w:top w:val="single" w:sz="4" w:space="0" w:color="auto"/>
              <w:bottom w:val="single" w:sz="4" w:space="0" w:color="auto"/>
            </w:tcBorders>
            <w:shd w:val="clear" w:color="auto" w:fill="F2F2F2" w:themeFill="background1" w:themeFillShade="F2"/>
          </w:tcPr>
          <w:p w14:paraId="4C6D25AF"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R</w:t>
            </w:r>
          </w:p>
        </w:tc>
      </w:tr>
      <w:tr w:rsidR="00525D3A" w:rsidRPr="00E9553C" w14:paraId="5D51483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tcBorders>
              <w:top w:val="single" w:sz="4" w:space="0" w:color="BFBFBF" w:themeColor="background1" w:themeShade="BF"/>
              <w:bottom w:val="single" w:sz="4" w:space="0" w:color="auto"/>
              <w:right w:val="single" w:sz="4" w:space="0" w:color="auto"/>
            </w:tcBorders>
            <w:shd w:val="clear" w:color="auto" w:fill="F2F2F2" w:themeFill="background1" w:themeFillShade="F2"/>
            <w:noWrap/>
          </w:tcPr>
          <w:p w14:paraId="75185434" w14:textId="77777777" w:rsidR="00525D3A" w:rsidRDefault="00525D3A" w:rsidP="00000962">
            <w:pPr>
              <w:keepNext/>
              <w:keepLines/>
              <w:spacing w:before="40" w:after="40"/>
              <w:contextualSpacing w:val="0"/>
              <w:rPr>
                <w:rFonts w:cs="Arial"/>
                <w:szCs w:val="18"/>
              </w:rPr>
            </w:pPr>
          </w:p>
        </w:tc>
        <w:tc>
          <w:tcPr>
            <w:tcW w:w="4500" w:type="dxa"/>
            <w:tcBorders>
              <w:top w:val="dotted" w:sz="4" w:space="0" w:color="auto"/>
              <w:left w:val="single" w:sz="4" w:space="0" w:color="auto"/>
              <w:bottom w:val="dotted" w:sz="4" w:space="0" w:color="auto"/>
              <w:right w:val="single" w:sz="4" w:space="0" w:color="auto"/>
            </w:tcBorders>
            <w:shd w:val="clear" w:color="auto" w:fill="F2F2F2" w:themeFill="background1" w:themeFillShade="F2"/>
          </w:tcPr>
          <w:p w14:paraId="41634E45" w14:textId="77777777" w:rsidR="00525D3A"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Binary measure of whether the student graduated from high school</w:t>
            </w:r>
          </w:p>
        </w:tc>
        <w:tc>
          <w:tcPr>
            <w:tcW w:w="900" w:type="dxa"/>
            <w:tcBorders>
              <w:top w:val="single" w:sz="4" w:space="0" w:color="auto"/>
              <w:left w:val="single" w:sz="4" w:space="0" w:color="auto"/>
              <w:bottom w:val="single" w:sz="4" w:space="0" w:color="auto"/>
            </w:tcBorders>
            <w:shd w:val="clear" w:color="auto" w:fill="F2F2F2" w:themeFill="background1" w:themeFillShade="F2"/>
          </w:tcPr>
          <w:p w14:paraId="19BE7ED1" w14:textId="77777777" w:rsidR="00525D3A" w:rsidRPr="000056D4"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School records</w:t>
            </w:r>
          </w:p>
        </w:tc>
        <w:tc>
          <w:tcPr>
            <w:tcW w:w="900" w:type="dxa"/>
            <w:tcBorders>
              <w:top w:val="single" w:sz="4" w:space="0" w:color="auto"/>
              <w:bottom w:val="single" w:sz="4" w:space="0" w:color="auto"/>
            </w:tcBorders>
            <w:shd w:val="clear" w:color="auto" w:fill="F2F2F2" w:themeFill="background1" w:themeFillShade="F2"/>
          </w:tcPr>
          <w:p w14:paraId="3C13D1EC" w14:textId="77777777" w:rsidR="00525D3A" w:rsidRPr="000056D4"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QED</w:t>
            </w:r>
          </w:p>
        </w:tc>
        <w:tc>
          <w:tcPr>
            <w:tcW w:w="990" w:type="dxa"/>
            <w:tcBorders>
              <w:top w:val="single" w:sz="4" w:space="0" w:color="auto"/>
              <w:bottom w:val="single" w:sz="4" w:space="0" w:color="auto"/>
            </w:tcBorders>
            <w:shd w:val="clear" w:color="auto" w:fill="F2F2F2" w:themeFill="background1" w:themeFillShade="F2"/>
          </w:tcPr>
          <w:p w14:paraId="5F6914D6"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S</w:t>
            </w:r>
          </w:p>
        </w:tc>
      </w:tr>
      <w:tr w:rsidR="00525D3A" w:rsidRPr="00223C29" w14:paraId="617DB09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dotted" w:sz="4" w:space="0" w:color="auto"/>
            </w:tcBorders>
            <w:noWrap/>
          </w:tcPr>
          <w:p w14:paraId="124CEE41" w14:textId="77777777" w:rsidR="00525D3A" w:rsidRPr="00223C29" w:rsidRDefault="00525D3A" w:rsidP="00000962">
            <w:pPr>
              <w:keepNext/>
              <w:keepLines/>
              <w:spacing w:before="40" w:after="40"/>
              <w:contextualSpacing w:val="0"/>
              <w:rPr>
                <w:rFonts w:cs="Arial"/>
                <w:szCs w:val="18"/>
              </w:rPr>
            </w:pPr>
            <w:r>
              <w:rPr>
                <w:rFonts w:cs="Arial"/>
                <w:szCs w:val="18"/>
              </w:rPr>
              <w:t>Credit accumulation</w:t>
            </w:r>
          </w:p>
        </w:tc>
        <w:tc>
          <w:tcPr>
            <w:tcW w:w="4500" w:type="dxa"/>
            <w:tcBorders>
              <w:top w:val="dotted" w:sz="4" w:space="0" w:color="auto"/>
              <w:bottom w:val="dotted" w:sz="4" w:space="0" w:color="auto"/>
            </w:tcBorders>
            <w:noWrap/>
          </w:tcPr>
          <w:p w14:paraId="2C5CFFE4"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Number of credits accumulated by spring 2018</w:t>
            </w:r>
          </w:p>
        </w:tc>
        <w:tc>
          <w:tcPr>
            <w:tcW w:w="900" w:type="dxa"/>
            <w:tcBorders>
              <w:top w:val="single" w:sz="4" w:space="0" w:color="auto"/>
              <w:bottom w:val="dotted" w:sz="4" w:space="0" w:color="auto"/>
            </w:tcBorders>
          </w:tcPr>
          <w:p w14:paraId="06D1A439"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School records</w:t>
            </w:r>
          </w:p>
        </w:tc>
        <w:tc>
          <w:tcPr>
            <w:tcW w:w="900" w:type="dxa"/>
            <w:tcBorders>
              <w:top w:val="single" w:sz="4" w:space="0" w:color="auto"/>
              <w:bottom w:val="dotted" w:sz="4" w:space="0" w:color="auto"/>
            </w:tcBorders>
          </w:tcPr>
          <w:p w14:paraId="3395E2BE"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3C29">
              <w:rPr>
                <w:rFonts w:cs="Arial"/>
                <w:szCs w:val="18"/>
              </w:rPr>
              <w:t>QED</w:t>
            </w:r>
            <w:r>
              <w:rPr>
                <w:rFonts w:cs="Arial"/>
                <w:szCs w:val="18"/>
              </w:rPr>
              <w:t>, RCT</w:t>
            </w:r>
          </w:p>
        </w:tc>
        <w:tc>
          <w:tcPr>
            <w:tcW w:w="990" w:type="dxa"/>
            <w:tcBorders>
              <w:top w:val="single" w:sz="4" w:space="0" w:color="auto"/>
              <w:bottom w:val="dotted" w:sz="4" w:space="0" w:color="auto"/>
            </w:tcBorders>
          </w:tcPr>
          <w:p w14:paraId="18286A2B"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P</w:t>
            </w:r>
          </w:p>
        </w:tc>
      </w:tr>
      <w:tr w:rsidR="00525D3A" w:rsidRPr="00223C29" w14:paraId="142ABD0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dotted" w:sz="4" w:space="0" w:color="auto"/>
            </w:tcBorders>
            <w:noWrap/>
          </w:tcPr>
          <w:p w14:paraId="2DED4B55" w14:textId="77777777" w:rsidR="00525D3A" w:rsidRPr="00223C29" w:rsidRDefault="00525D3A" w:rsidP="00000962">
            <w:pPr>
              <w:keepNext/>
              <w:keepLines/>
              <w:spacing w:before="40" w:after="40"/>
              <w:contextualSpacing w:val="0"/>
              <w:rPr>
                <w:rFonts w:cs="Arial"/>
                <w:szCs w:val="18"/>
              </w:rPr>
            </w:pPr>
            <w:r w:rsidRPr="00223C29">
              <w:rPr>
                <w:rFonts w:cs="Arial"/>
                <w:szCs w:val="18"/>
              </w:rPr>
              <w:t>School attendance</w:t>
            </w:r>
          </w:p>
        </w:tc>
        <w:tc>
          <w:tcPr>
            <w:tcW w:w="4500" w:type="dxa"/>
            <w:tcBorders>
              <w:top w:val="single" w:sz="4" w:space="0" w:color="auto"/>
              <w:bottom w:val="dotted" w:sz="4" w:space="0" w:color="auto"/>
            </w:tcBorders>
            <w:noWrap/>
          </w:tcPr>
          <w:p w14:paraId="036FBC9F"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 xml:space="preserve">Percentage </w:t>
            </w:r>
            <w:r w:rsidR="001F1EC8">
              <w:rPr>
                <w:rFonts w:cs="Arial"/>
                <w:szCs w:val="18"/>
              </w:rPr>
              <w:t xml:space="preserve">of </w:t>
            </w:r>
            <w:r w:rsidRPr="00223C29">
              <w:rPr>
                <w:rFonts w:cs="Arial"/>
                <w:szCs w:val="18"/>
              </w:rPr>
              <w:t>days present in school in fall 2017</w:t>
            </w:r>
          </w:p>
        </w:tc>
        <w:tc>
          <w:tcPr>
            <w:tcW w:w="900" w:type="dxa"/>
            <w:tcBorders>
              <w:top w:val="single" w:sz="4" w:space="0" w:color="auto"/>
              <w:bottom w:val="dotted" w:sz="4" w:space="0" w:color="auto"/>
            </w:tcBorders>
          </w:tcPr>
          <w:p w14:paraId="70A3D0D6"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School records</w:t>
            </w:r>
          </w:p>
        </w:tc>
        <w:tc>
          <w:tcPr>
            <w:tcW w:w="900" w:type="dxa"/>
            <w:tcBorders>
              <w:top w:val="single" w:sz="4" w:space="0" w:color="auto"/>
              <w:bottom w:val="dotted" w:sz="4" w:space="0" w:color="auto"/>
            </w:tcBorders>
          </w:tcPr>
          <w:p w14:paraId="578FA0F8"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QED</w:t>
            </w:r>
            <w:r>
              <w:rPr>
                <w:rFonts w:cs="Arial"/>
                <w:szCs w:val="18"/>
              </w:rPr>
              <w:t>, RCT</w:t>
            </w:r>
          </w:p>
        </w:tc>
        <w:tc>
          <w:tcPr>
            <w:tcW w:w="990" w:type="dxa"/>
            <w:tcBorders>
              <w:top w:val="single" w:sz="4" w:space="0" w:color="auto"/>
              <w:bottom w:val="dotted" w:sz="4" w:space="0" w:color="auto"/>
            </w:tcBorders>
          </w:tcPr>
          <w:p w14:paraId="3C1F346B"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P</w:t>
            </w:r>
          </w:p>
        </w:tc>
      </w:tr>
      <w:tr w:rsidR="00525D3A" w:rsidRPr="00D92286" w14:paraId="12D3E5FD"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dotted" w:sz="4" w:space="0" w:color="auto"/>
            </w:tcBorders>
            <w:noWrap/>
          </w:tcPr>
          <w:p w14:paraId="46A33679" w14:textId="77777777" w:rsidR="00525D3A" w:rsidRPr="00D92286" w:rsidRDefault="00525D3A" w:rsidP="00000962">
            <w:pPr>
              <w:keepNext/>
              <w:keepLines/>
              <w:spacing w:before="40" w:after="40"/>
              <w:contextualSpacing w:val="0"/>
              <w:rPr>
                <w:rFonts w:cs="Arial"/>
                <w:szCs w:val="18"/>
              </w:rPr>
            </w:pPr>
            <w:r w:rsidRPr="00D92286">
              <w:rPr>
                <w:rFonts w:cs="Arial"/>
                <w:szCs w:val="18"/>
              </w:rPr>
              <w:t>Behavior at school</w:t>
            </w:r>
          </w:p>
        </w:tc>
        <w:tc>
          <w:tcPr>
            <w:tcW w:w="4500" w:type="dxa"/>
            <w:tcBorders>
              <w:top w:val="dotted" w:sz="4" w:space="0" w:color="auto"/>
              <w:bottom w:val="dotted" w:sz="4" w:space="0" w:color="auto"/>
            </w:tcBorders>
          </w:tcPr>
          <w:p w14:paraId="7E6D93E0"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Number </w:t>
            </w:r>
            <w:r w:rsidR="001F1EC8">
              <w:rPr>
                <w:rFonts w:cs="Arial"/>
                <w:szCs w:val="18"/>
              </w:rPr>
              <w:t xml:space="preserve">of </w:t>
            </w:r>
            <w:r>
              <w:rPr>
                <w:rFonts w:cs="Arial"/>
                <w:szCs w:val="18"/>
              </w:rPr>
              <w:t>t</w:t>
            </w:r>
            <w:r w:rsidRPr="00D92286">
              <w:rPr>
                <w:rFonts w:cs="Arial"/>
                <w:szCs w:val="18"/>
              </w:rPr>
              <w:t xml:space="preserve">imes </w:t>
            </w:r>
            <w:r w:rsidR="001F1EC8">
              <w:rPr>
                <w:rFonts w:cs="Arial"/>
                <w:szCs w:val="18"/>
              </w:rPr>
              <w:t xml:space="preserve">these </w:t>
            </w:r>
            <w:r w:rsidRPr="00D92286">
              <w:rPr>
                <w:rFonts w:cs="Arial"/>
                <w:szCs w:val="18"/>
              </w:rPr>
              <w:t xml:space="preserve">activities occurred in </w:t>
            </w:r>
            <w:r w:rsidR="001F1EC8">
              <w:rPr>
                <w:rFonts w:cs="Arial"/>
                <w:szCs w:val="18"/>
              </w:rPr>
              <w:t xml:space="preserve">the </w:t>
            </w:r>
            <w:r w:rsidRPr="00D92286">
              <w:rPr>
                <w:rFonts w:cs="Arial"/>
                <w:szCs w:val="18"/>
              </w:rPr>
              <w:t>past 3 months</w:t>
            </w:r>
            <w:r>
              <w:rPr>
                <w:rFonts w:cs="Arial"/>
                <w:szCs w:val="18"/>
              </w:rPr>
              <w:t>:</w:t>
            </w:r>
            <w:r w:rsidRPr="00D92286">
              <w:rPr>
                <w:rFonts w:cs="Arial"/>
                <w:szCs w:val="18"/>
              </w:rPr>
              <w:t xml:space="preserve"> late for school, cut</w:t>
            </w:r>
            <w:r>
              <w:rPr>
                <w:rFonts w:cs="Arial"/>
                <w:szCs w:val="18"/>
              </w:rPr>
              <w:t xml:space="preserve"> or </w:t>
            </w:r>
            <w:r w:rsidRPr="00D92286">
              <w:rPr>
                <w:rFonts w:cs="Arial"/>
                <w:szCs w:val="18"/>
              </w:rPr>
              <w:t>skipped classes, unexcused absence, got in trouble</w:t>
            </w:r>
            <w:r>
              <w:rPr>
                <w:rFonts w:cs="Arial"/>
                <w:szCs w:val="18"/>
              </w:rPr>
              <w:t xml:space="preserve"> for not following school rules</w:t>
            </w:r>
            <w:r w:rsidRPr="00D92286">
              <w:rPr>
                <w:rFonts w:cs="Arial"/>
                <w:szCs w:val="18"/>
              </w:rPr>
              <w:t>, was suspended or expelled</w:t>
            </w:r>
          </w:p>
        </w:tc>
        <w:tc>
          <w:tcPr>
            <w:tcW w:w="900" w:type="dxa"/>
            <w:tcBorders>
              <w:top w:val="dotted" w:sz="4" w:space="0" w:color="auto"/>
              <w:bottom w:val="dotted" w:sz="4" w:space="0" w:color="auto"/>
            </w:tcBorders>
          </w:tcPr>
          <w:p w14:paraId="4CCEE2FF"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D92286">
              <w:rPr>
                <w:rFonts w:cs="Arial"/>
                <w:szCs w:val="18"/>
              </w:rPr>
              <w:t>Survey</w:t>
            </w:r>
          </w:p>
        </w:tc>
        <w:tc>
          <w:tcPr>
            <w:tcW w:w="900" w:type="dxa"/>
            <w:tcBorders>
              <w:top w:val="dotted" w:sz="4" w:space="0" w:color="auto"/>
              <w:bottom w:val="dotted" w:sz="4" w:space="0" w:color="auto"/>
            </w:tcBorders>
          </w:tcPr>
          <w:p w14:paraId="37E73CC2"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D92286">
              <w:rPr>
                <w:rFonts w:cs="Arial"/>
                <w:szCs w:val="18"/>
              </w:rPr>
              <w:t>RCT</w:t>
            </w:r>
          </w:p>
        </w:tc>
        <w:tc>
          <w:tcPr>
            <w:tcW w:w="990" w:type="dxa"/>
            <w:tcBorders>
              <w:top w:val="dotted" w:sz="4" w:space="0" w:color="auto"/>
              <w:bottom w:val="dotted" w:sz="4" w:space="0" w:color="auto"/>
            </w:tcBorders>
          </w:tcPr>
          <w:p w14:paraId="3D12BC70"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R</w:t>
            </w:r>
          </w:p>
        </w:tc>
      </w:tr>
      <w:tr w:rsidR="00525D3A" w:rsidRPr="00223C29" w14:paraId="653871D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val="restart"/>
            <w:tcBorders>
              <w:top w:val="dotted" w:sz="4" w:space="0" w:color="auto"/>
            </w:tcBorders>
            <w:noWrap/>
          </w:tcPr>
          <w:p w14:paraId="662AD175" w14:textId="77777777" w:rsidR="00525D3A" w:rsidRPr="00223C29" w:rsidRDefault="00525D3A" w:rsidP="00000962">
            <w:pPr>
              <w:keepNext/>
              <w:keepLines/>
              <w:spacing w:before="40" w:after="40"/>
              <w:contextualSpacing w:val="0"/>
              <w:rPr>
                <w:rFonts w:cs="Arial"/>
                <w:szCs w:val="18"/>
              </w:rPr>
            </w:pPr>
            <w:r w:rsidRPr="00223C29">
              <w:rPr>
                <w:rFonts w:cs="Arial"/>
                <w:szCs w:val="18"/>
              </w:rPr>
              <w:t>School engagement and satisfaction</w:t>
            </w:r>
          </w:p>
        </w:tc>
        <w:tc>
          <w:tcPr>
            <w:tcW w:w="4500" w:type="dxa"/>
            <w:tcBorders>
              <w:top w:val="dotted" w:sz="4" w:space="0" w:color="auto"/>
              <w:bottom w:val="dotted" w:sz="4" w:space="0" w:color="auto"/>
            </w:tcBorders>
          </w:tcPr>
          <w:p w14:paraId="13B25856"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Participation in school</w:t>
            </w:r>
            <w:r>
              <w:rPr>
                <w:rFonts w:cs="Arial"/>
                <w:szCs w:val="18"/>
              </w:rPr>
              <w:t xml:space="preserve">-sponsored extracurricular </w:t>
            </w:r>
            <w:r w:rsidRPr="00223C29">
              <w:rPr>
                <w:rFonts w:cs="Arial"/>
                <w:szCs w:val="18"/>
              </w:rPr>
              <w:t>activities in past 12 months</w:t>
            </w:r>
          </w:p>
        </w:tc>
        <w:tc>
          <w:tcPr>
            <w:tcW w:w="900" w:type="dxa"/>
            <w:tcBorders>
              <w:top w:val="dotted" w:sz="4" w:space="0" w:color="auto"/>
              <w:bottom w:val="dotted" w:sz="4" w:space="0" w:color="auto"/>
            </w:tcBorders>
          </w:tcPr>
          <w:p w14:paraId="3BF3A51F"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Survey</w:t>
            </w:r>
          </w:p>
        </w:tc>
        <w:tc>
          <w:tcPr>
            <w:tcW w:w="900" w:type="dxa"/>
            <w:vMerge w:val="restart"/>
            <w:tcBorders>
              <w:top w:val="dotted" w:sz="4" w:space="0" w:color="auto"/>
            </w:tcBorders>
          </w:tcPr>
          <w:p w14:paraId="0D1273DA" w14:textId="77777777" w:rsidR="00525D3A" w:rsidRPr="00223C29"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3C29">
              <w:rPr>
                <w:rFonts w:cs="Arial"/>
                <w:szCs w:val="18"/>
              </w:rPr>
              <w:t>RCT</w:t>
            </w:r>
          </w:p>
        </w:tc>
        <w:tc>
          <w:tcPr>
            <w:tcW w:w="990" w:type="dxa"/>
            <w:vMerge w:val="restart"/>
            <w:tcBorders>
              <w:top w:val="dotted" w:sz="4" w:space="0" w:color="auto"/>
            </w:tcBorders>
          </w:tcPr>
          <w:p w14:paraId="17F320A7"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R</w:t>
            </w:r>
          </w:p>
        </w:tc>
      </w:tr>
      <w:tr w:rsidR="00525D3A" w:rsidRPr="00223C29" w14:paraId="19DA8F0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tcBorders>
              <w:bottom w:val="dotted" w:sz="4" w:space="0" w:color="auto"/>
            </w:tcBorders>
            <w:noWrap/>
          </w:tcPr>
          <w:p w14:paraId="4173663F" w14:textId="77777777" w:rsidR="00525D3A" w:rsidRPr="00223C29" w:rsidRDefault="00525D3A" w:rsidP="00000962">
            <w:pPr>
              <w:keepNext/>
              <w:keepLines/>
              <w:spacing w:before="40" w:after="40"/>
              <w:contextualSpacing w:val="0"/>
              <w:rPr>
                <w:rFonts w:cs="Arial"/>
                <w:szCs w:val="18"/>
              </w:rPr>
            </w:pPr>
          </w:p>
        </w:tc>
        <w:tc>
          <w:tcPr>
            <w:tcW w:w="4500" w:type="dxa"/>
            <w:tcBorders>
              <w:top w:val="dotted" w:sz="4" w:space="0" w:color="auto"/>
              <w:bottom w:val="dotted" w:sz="4" w:space="0" w:color="auto"/>
            </w:tcBorders>
          </w:tcPr>
          <w:p w14:paraId="03265A61"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A3017">
              <w:rPr>
                <w:rFonts w:cs="Arial"/>
                <w:szCs w:val="18"/>
              </w:rPr>
              <w:t xml:space="preserve">How much </w:t>
            </w:r>
            <w:r w:rsidR="001F1EC8">
              <w:rPr>
                <w:rFonts w:cs="Arial"/>
                <w:szCs w:val="18"/>
              </w:rPr>
              <w:t xml:space="preserve">the </w:t>
            </w:r>
            <w:r w:rsidRPr="008A3017">
              <w:rPr>
                <w:rFonts w:cs="Arial"/>
                <w:szCs w:val="18"/>
              </w:rPr>
              <w:t>student likes school</w:t>
            </w:r>
          </w:p>
        </w:tc>
        <w:tc>
          <w:tcPr>
            <w:tcW w:w="900" w:type="dxa"/>
            <w:tcBorders>
              <w:top w:val="dotted" w:sz="4" w:space="0" w:color="auto"/>
              <w:bottom w:val="dotted" w:sz="4" w:space="0" w:color="auto"/>
            </w:tcBorders>
          </w:tcPr>
          <w:p w14:paraId="7165E665"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Survey</w:t>
            </w:r>
          </w:p>
        </w:tc>
        <w:tc>
          <w:tcPr>
            <w:tcW w:w="900" w:type="dxa"/>
            <w:vMerge/>
            <w:tcBorders>
              <w:bottom w:val="dotted" w:sz="4" w:space="0" w:color="auto"/>
            </w:tcBorders>
          </w:tcPr>
          <w:p w14:paraId="6D44A282" w14:textId="77777777" w:rsidR="00525D3A" w:rsidRPr="00223C29"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990" w:type="dxa"/>
            <w:vMerge/>
            <w:tcBorders>
              <w:bottom w:val="dotted" w:sz="4" w:space="0" w:color="auto"/>
            </w:tcBorders>
          </w:tcPr>
          <w:p w14:paraId="7D1B42B2"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p>
        </w:tc>
      </w:tr>
      <w:tr w:rsidR="00525D3A" w:rsidRPr="00804D21" w14:paraId="57BD057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dotted" w:sz="4" w:space="0" w:color="auto"/>
            </w:tcBorders>
            <w:noWrap/>
          </w:tcPr>
          <w:p w14:paraId="70AE4D85" w14:textId="77777777" w:rsidR="00525D3A" w:rsidRPr="00804D21" w:rsidRDefault="00525D3A" w:rsidP="00000962">
            <w:pPr>
              <w:keepNext/>
              <w:keepLines/>
              <w:spacing w:before="40" w:after="40"/>
              <w:contextualSpacing w:val="0"/>
              <w:rPr>
                <w:rFonts w:cs="Arial"/>
                <w:szCs w:val="18"/>
              </w:rPr>
            </w:pPr>
            <w:r w:rsidRPr="00804D21">
              <w:rPr>
                <w:rFonts w:cs="Arial"/>
                <w:szCs w:val="18"/>
              </w:rPr>
              <w:t>Reduced criminal justice involvement</w:t>
            </w:r>
          </w:p>
        </w:tc>
        <w:tc>
          <w:tcPr>
            <w:tcW w:w="4500" w:type="dxa"/>
            <w:tcBorders>
              <w:top w:val="single" w:sz="4" w:space="0" w:color="auto"/>
              <w:bottom w:val="dotted" w:sz="4" w:space="0" w:color="auto"/>
            </w:tcBorders>
            <w:noWrap/>
          </w:tcPr>
          <w:p w14:paraId="69E0CDD1" w14:textId="77777777" w:rsidR="00525D3A" w:rsidRPr="00804D21"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804D21">
              <w:rPr>
                <w:rFonts w:cs="Arial"/>
                <w:szCs w:val="18"/>
              </w:rPr>
              <w:t>Ever been arrested or taken into custody</w:t>
            </w:r>
          </w:p>
        </w:tc>
        <w:tc>
          <w:tcPr>
            <w:tcW w:w="900" w:type="dxa"/>
            <w:tcBorders>
              <w:top w:val="single" w:sz="4" w:space="0" w:color="auto"/>
              <w:bottom w:val="dotted" w:sz="4" w:space="0" w:color="auto"/>
            </w:tcBorders>
          </w:tcPr>
          <w:p w14:paraId="7044B758" w14:textId="77777777" w:rsidR="00525D3A" w:rsidRPr="00804D21"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804D21">
              <w:rPr>
                <w:rFonts w:cs="Arial"/>
                <w:szCs w:val="18"/>
              </w:rPr>
              <w:t>Survey</w:t>
            </w:r>
          </w:p>
        </w:tc>
        <w:tc>
          <w:tcPr>
            <w:tcW w:w="900" w:type="dxa"/>
            <w:tcBorders>
              <w:top w:val="single" w:sz="4" w:space="0" w:color="auto"/>
              <w:bottom w:val="dotted" w:sz="4" w:space="0" w:color="auto"/>
            </w:tcBorders>
          </w:tcPr>
          <w:p w14:paraId="173AA4CE" w14:textId="77777777" w:rsidR="00525D3A" w:rsidRPr="00804D21"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804D21">
              <w:rPr>
                <w:rFonts w:cs="Arial"/>
                <w:szCs w:val="18"/>
              </w:rPr>
              <w:t>RCT</w:t>
            </w:r>
          </w:p>
        </w:tc>
        <w:tc>
          <w:tcPr>
            <w:tcW w:w="990" w:type="dxa"/>
            <w:tcBorders>
              <w:top w:val="single" w:sz="4" w:space="0" w:color="auto"/>
              <w:bottom w:val="dotted" w:sz="4" w:space="0" w:color="auto"/>
            </w:tcBorders>
          </w:tcPr>
          <w:p w14:paraId="3FD133CD"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R</w:t>
            </w:r>
          </w:p>
        </w:tc>
      </w:tr>
      <w:tr w:rsidR="00525D3A" w:rsidRPr="00804D21" w14:paraId="5FF657D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single" w:sz="4" w:space="0" w:color="auto"/>
            </w:tcBorders>
            <w:noWrap/>
          </w:tcPr>
          <w:p w14:paraId="09872602" w14:textId="77777777" w:rsidR="00525D3A" w:rsidRPr="00804D21" w:rsidRDefault="00525D3A" w:rsidP="00000962">
            <w:pPr>
              <w:keepNext/>
              <w:keepLines/>
              <w:spacing w:before="40" w:after="40"/>
              <w:contextualSpacing w:val="0"/>
              <w:rPr>
                <w:rFonts w:cs="Arial"/>
                <w:szCs w:val="18"/>
              </w:rPr>
            </w:pPr>
            <w:r w:rsidRPr="00804D21">
              <w:rPr>
                <w:rFonts w:cs="Arial"/>
                <w:szCs w:val="18"/>
              </w:rPr>
              <w:t>Reduced substance abuse</w:t>
            </w:r>
          </w:p>
        </w:tc>
        <w:tc>
          <w:tcPr>
            <w:tcW w:w="4500" w:type="dxa"/>
            <w:tcBorders>
              <w:top w:val="dotted" w:sz="4" w:space="0" w:color="auto"/>
              <w:bottom w:val="single" w:sz="4" w:space="0" w:color="auto"/>
            </w:tcBorders>
          </w:tcPr>
          <w:p w14:paraId="20C9DFAA"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04D21">
              <w:rPr>
                <w:rFonts w:cs="Arial"/>
                <w:szCs w:val="18"/>
              </w:rPr>
              <w:t>Drank alcohol, used marijuana, used other drugs in past month</w:t>
            </w:r>
          </w:p>
        </w:tc>
        <w:tc>
          <w:tcPr>
            <w:tcW w:w="900" w:type="dxa"/>
            <w:tcBorders>
              <w:top w:val="dotted" w:sz="4" w:space="0" w:color="auto"/>
              <w:bottom w:val="single" w:sz="4" w:space="0" w:color="auto"/>
            </w:tcBorders>
          </w:tcPr>
          <w:p w14:paraId="7B96346D"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04D21">
              <w:rPr>
                <w:rFonts w:cs="Arial"/>
                <w:szCs w:val="18"/>
              </w:rPr>
              <w:t>Survey</w:t>
            </w:r>
          </w:p>
        </w:tc>
        <w:tc>
          <w:tcPr>
            <w:tcW w:w="900" w:type="dxa"/>
            <w:tcBorders>
              <w:top w:val="dotted" w:sz="4" w:space="0" w:color="auto"/>
              <w:bottom w:val="single" w:sz="4" w:space="0" w:color="auto"/>
            </w:tcBorders>
          </w:tcPr>
          <w:p w14:paraId="4C66383A"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04D21">
              <w:rPr>
                <w:rFonts w:cs="Arial"/>
                <w:szCs w:val="18"/>
              </w:rPr>
              <w:t>RCT</w:t>
            </w:r>
          </w:p>
        </w:tc>
        <w:tc>
          <w:tcPr>
            <w:tcW w:w="990" w:type="dxa"/>
            <w:tcBorders>
              <w:top w:val="dotted" w:sz="4" w:space="0" w:color="auto"/>
              <w:bottom w:val="single" w:sz="4" w:space="0" w:color="auto"/>
            </w:tcBorders>
          </w:tcPr>
          <w:p w14:paraId="0887E204"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R</w:t>
            </w:r>
          </w:p>
        </w:tc>
      </w:tr>
      <w:tr w:rsidR="00525D3A" w:rsidRPr="00000962" w14:paraId="7491EFB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0" w:type="dxa"/>
            <w:gridSpan w:val="5"/>
            <w:tcBorders>
              <w:top w:val="single" w:sz="4" w:space="0" w:color="auto"/>
              <w:bottom w:val="single" w:sz="4" w:space="0" w:color="auto"/>
            </w:tcBorders>
            <w:shd w:val="clear" w:color="auto" w:fill="F2F2F2" w:themeFill="background1" w:themeFillShade="F2"/>
            <w:noWrap/>
          </w:tcPr>
          <w:p w14:paraId="0895C422" w14:textId="77777777" w:rsidR="00525D3A" w:rsidRPr="00000962" w:rsidRDefault="00525D3A" w:rsidP="00000962">
            <w:pPr>
              <w:keepNext/>
              <w:keepLines/>
              <w:spacing w:before="40" w:after="40"/>
              <w:contextualSpacing w:val="0"/>
              <w:rPr>
                <w:rFonts w:cs="Arial"/>
                <w:b/>
                <w:szCs w:val="18"/>
              </w:rPr>
            </w:pPr>
            <w:r w:rsidRPr="00000962">
              <w:rPr>
                <w:rFonts w:cs="Arial"/>
                <w:b/>
                <w:szCs w:val="18"/>
              </w:rPr>
              <w:t>Postsecondary education/training</w:t>
            </w:r>
          </w:p>
        </w:tc>
      </w:tr>
      <w:tr w:rsidR="00525D3A" w:rsidRPr="00D92286" w14:paraId="2F48BA1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val="restart"/>
            <w:tcBorders>
              <w:top w:val="dotted" w:sz="4" w:space="0" w:color="auto"/>
            </w:tcBorders>
            <w:noWrap/>
          </w:tcPr>
          <w:p w14:paraId="1DA6357F" w14:textId="77777777" w:rsidR="00525D3A" w:rsidRPr="00D92286" w:rsidRDefault="00525D3A" w:rsidP="00000962">
            <w:pPr>
              <w:keepNext/>
              <w:keepLines/>
              <w:spacing w:before="40" w:after="40"/>
              <w:contextualSpacing w:val="0"/>
              <w:rPr>
                <w:rFonts w:cs="Arial"/>
                <w:szCs w:val="18"/>
              </w:rPr>
            </w:pPr>
            <w:r w:rsidRPr="00D92286">
              <w:rPr>
                <w:rFonts w:cs="Arial"/>
                <w:szCs w:val="18"/>
              </w:rPr>
              <w:t>Math proficiency</w:t>
            </w:r>
          </w:p>
        </w:tc>
        <w:tc>
          <w:tcPr>
            <w:tcW w:w="4500" w:type="dxa"/>
            <w:tcBorders>
              <w:top w:val="dotted" w:sz="4" w:space="0" w:color="auto"/>
              <w:bottom w:val="dotted" w:sz="4" w:space="0" w:color="auto"/>
            </w:tcBorders>
            <w:noWrap/>
          </w:tcPr>
          <w:p w14:paraId="0C5EFFEA"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D92286">
              <w:rPr>
                <w:rFonts w:cs="Arial"/>
                <w:szCs w:val="18"/>
              </w:rPr>
              <w:t>Successful completion of Algebra I</w:t>
            </w:r>
            <w:r>
              <w:rPr>
                <w:rFonts w:cs="Arial"/>
                <w:szCs w:val="18"/>
              </w:rPr>
              <w:t xml:space="preserve"> (if available)</w:t>
            </w:r>
          </w:p>
        </w:tc>
        <w:tc>
          <w:tcPr>
            <w:tcW w:w="900" w:type="dxa"/>
            <w:vMerge w:val="restart"/>
            <w:tcBorders>
              <w:top w:val="dotted" w:sz="4" w:space="0" w:color="auto"/>
            </w:tcBorders>
          </w:tcPr>
          <w:p w14:paraId="338C5F05"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D92286">
              <w:rPr>
                <w:rFonts w:cs="Arial"/>
                <w:szCs w:val="18"/>
              </w:rPr>
              <w:t>School records</w:t>
            </w:r>
          </w:p>
        </w:tc>
        <w:tc>
          <w:tcPr>
            <w:tcW w:w="900" w:type="dxa"/>
            <w:vMerge w:val="restart"/>
            <w:tcBorders>
              <w:top w:val="dotted" w:sz="4" w:space="0" w:color="auto"/>
            </w:tcBorders>
          </w:tcPr>
          <w:p w14:paraId="2B260056" w14:textId="77777777" w:rsidR="00525D3A" w:rsidRPr="00D92286"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D92286">
              <w:rPr>
                <w:rFonts w:cs="Arial"/>
                <w:szCs w:val="18"/>
              </w:rPr>
              <w:t>QED</w:t>
            </w:r>
            <w:r>
              <w:rPr>
                <w:rFonts w:cs="Arial"/>
                <w:szCs w:val="18"/>
              </w:rPr>
              <w:t>, RCT</w:t>
            </w:r>
          </w:p>
        </w:tc>
        <w:tc>
          <w:tcPr>
            <w:tcW w:w="990" w:type="dxa"/>
            <w:tcBorders>
              <w:top w:val="dotted" w:sz="4" w:space="0" w:color="auto"/>
              <w:bottom w:val="dotted" w:sz="4" w:space="0" w:color="auto"/>
            </w:tcBorders>
          </w:tcPr>
          <w:p w14:paraId="6BE79B96"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P</w:t>
            </w:r>
          </w:p>
        </w:tc>
      </w:tr>
      <w:tr w:rsidR="00525D3A" w:rsidRPr="00D92286" w14:paraId="56D37D6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vMerge/>
            <w:tcBorders>
              <w:bottom w:val="dotted" w:sz="4" w:space="0" w:color="auto"/>
            </w:tcBorders>
            <w:noWrap/>
          </w:tcPr>
          <w:p w14:paraId="14189E50" w14:textId="77777777" w:rsidR="00525D3A" w:rsidRPr="00D92286" w:rsidRDefault="00525D3A" w:rsidP="00000962">
            <w:pPr>
              <w:keepNext/>
              <w:keepLines/>
              <w:spacing w:before="40" w:after="40"/>
              <w:contextualSpacing w:val="0"/>
              <w:rPr>
                <w:rFonts w:cs="Arial"/>
                <w:szCs w:val="18"/>
              </w:rPr>
            </w:pPr>
          </w:p>
        </w:tc>
        <w:tc>
          <w:tcPr>
            <w:tcW w:w="4500" w:type="dxa"/>
            <w:tcBorders>
              <w:top w:val="dotted" w:sz="4" w:space="0" w:color="auto"/>
              <w:bottom w:val="dotted" w:sz="4" w:space="0" w:color="auto"/>
            </w:tcBorders>
            <w:noWrap/>
          </w:tcPr>
          <w:p w14:paraId="0F7E2A3F" w14:textId="1FC35A0A" w:rsidR="00525D3A" w:rsidRPr="00D92286" w:rsidRDefault="00CB4AFC"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Z</w:t>
            </w:r>
            <w:r w:rsidR="00525D3A" w:rsidRPr="00D92286">
              <w:rPr>
                <w:rFonts w:cs="Arial"/>
                <w:szCs w:val="18"/>
              </w:rPr>
              <w:t>-score computed from standardized tests</w:t>
            </w:r>
          </w:p>
        </w:tc>
        <w:tc>
          <w:tcPr>
            <w:tcW w:w="900" w:type="dxa"/>
            <w:vMerge/>
            <w:tcBorders>
              <w:bottom w:val="dotted" w:sz="4" w:space="0" w:color="auto"/>
            </w:tcBorders>
          </w:tcPr>
          <w:p w14:paraId="76277BCA" w14:textId="77777777" w:rsidR="00525D3A" w:rsidRPr="00D92286"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900" w:type="dxa"/>
            <w:vMerge/>
            <w:tcBorders>
              <w:bottom w:val="dotted" w:sz="4" w:space="0" w:color="auto"/>
            </w:tcBorders>
          </w:tcPr>
          <w:p w14:paraId="63C4EA78" w14:textId="77777777" w:rsidR="00525D3A" w:rsidRPr="00D92286"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990" w:type="dxa"/>
            <w:tcBorders>
              <w:top w:val="dotted" w:sz="4" w:space="0" w:color="auto"/>
              <w:bottom w:val="dotted" w:sz="4" w:space="0" w:color="auto"/>
            </w:tcBorders>
          </w:tcPr>
          <w:p w14:paraId="1463E1A0"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P</w:t>
            </w:r>
          </w:p>
        </w:tc>
      </w:tr>
      <w:tr w:rsidR="00525D3A" w:rsidRPr="00757108" w14:paraId="346FF80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dotted" w:sz="4" w:space="0" w:color="auto"/>
            </w:tcBorders>
            <w:noWrap/>
          </w:tcPr>
          <w:p w14:paraId="0A7EE729" w14:textId="77777777" w:rsidR="00525D3A" w:rsidRPr="00757108" w:rsidRDefault="00525D3A" w:rsidP="00000962">
            <w:pPr>
              <w:keepNext/>
              <w:keepLines/>
              <w:spacing w:before="40" w:after="40"/>
              <w:contextualSpacing w:val="0"/>
              <w:rPr>
                <w:rFonts w:cs="Arial"/>
                <w:szCs w:val="18"/>
              </w:rPr>
            </w:pPr>
            <w:r w:rsidRPr="00757108">
              <w:rPr>
                <w:rFonts w:cs="Arial"/>
                <w:szCs w:val="18"/>
              </w:rPr>
              <w:t>Education expectations and knowledge</w:t>
            </w:r>
          </w:p>
        </w:tc>
        <w:tc>
          <w:tcPr>
            <w:tcW w:w="4500" w:type="dxa"/>
            <w:tcBorders>
              <w:top w:val="dotted" w:sz="4" w:space="0" w:color="auto"/>
              <w:bottom w:val="dotted" w:sz="4" w:space="0" w:color="auto"/>
            </w:tcBorders>
            <w:noWrap/>
          </w:tcPr>
          <w:p w14:paraId="4176C458"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757108">
              <w:rPr>
                <w:rFonts w:cs="Arial"/>
                <w:szCs w:val="18"/>
              </w:rPr>
              <w:t xml:space="preserve">How far </w:t>
            </w:r>
            <w:r w:rsidR="001F1EC8">
              <w:rPr>
                <w:rFonts w:cs="Arial"/>
                <w:szCs w:val="18"/>
              </w:rPr>
              <w:t xml:space="preserve">student </w:t>
            </w:r>
            <w:r w:rsidRPr="00757108">
              <w:rPr>
                <w:rFonts w:cs="Arial"/>
                <w:szCs w:val="18"/>
              </w:rPr>
              <w:t>think</w:t>
            </w:r>
            <w:r w:rsidR="001F1EC8">
              <w:rPr>
                <w:rFonts w:cs="Arial"/>
                <w:szCs w:val="18"/>
              </w:rPr>
              <w:t>s he/she</w:t>
            </w:r>
            <w:r w:rsidRPr="00757108">
              <w:rPr>
                <w:rFonts w:cs="Arial"/>
                <w:szCs w:val="18"/>
              </w:rPr>
              <w:t xml:space="preserve"> will get in school</w:t>
            </w:r>
          </w:p>
        </w:tc>
        <w:tc>
          <w:tcPr>
            <w:tcW w:w="900" w:type="dxa"/>
            <w:tcBorders>
              <w:top w:val="dotted" w:sz="4" w:space="0" w:color="auto"/>
              <w:bottom w:val="dotted" w:sz="4" w:space="0" w:color="auto"/>
            </w:tcBorders>
          </w:tcPr>
          <w:p w14:paraId="04574382"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757108">
              <w:rPr>
                <w:rFonts w:cs="Arial"/>
                <w:szCs w:val="18"/>
              </w:rPr>
              <w:t>Survey</w:t>
            </w:r>
          </w:p>
        </w:tc>
        <w:tc>
          <w:tcPr>
            <w:tcW w:w="900" w:type="dxa"/>
            <w:tcBorders>
              <w:top w:val="dotted" w:sz="4" w:space="0" w:color="auto"/>
              <w:bottom w:val="dotted" w:sz="4" w:space="0" w:color="auto"/>
            </w:tcBorders>
          </w:tcPr>
          <w:p w14:paraId="22C5760B"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RCT</w:t>
            </w:r>
          </w:p>
        </w:tc>
        <w:tc>
          <w:tcPr>
            <w:tcW w:w="990" w:type="dxa"/>
            <w:tcBorders>
              <w:top w:val="dotted" w:sz="4" w:space="0" w:color="auto"/>
              <w:bottom w:val="dotted" w:sz="4" w:space="0" w:color="auto"/>
            </w:tcBorders>
          </w:tcPr>
          <w:p w14:paraId="0C4E5718"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R</w:t>
            </w:r>
          </w:p>
        </w:tc>
      </w:tr>
      <w:tr w:rsidR="00525D3A" w:rsidRPr="00757108" w14:paraId="58D01EF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dotted" w:sz="4" w:space="0" w:color="auto"/>
            </w:tcBorders>
            <w:noWrap/>
          </w:tcPr>
          <w:p w14:paraId="468BFDBD" w14:textId="77777777" w:rsidR="00525D3A" w:rsidRPr="00757108" w:rsidRDefault="00525D3A" w:rsidP="00000962">
            <w:pPr>
              <w:keepNext/>
              <w:keepLines/>
              <w:spacing w:before="40" w:after="40"/>
              <w:contextualSpacing w:val="0"/>
              <w:rPr>
                <w:rFonts w:cs="Arial"/>
                <w:szCs w:val="18"/>
              </w:rPr>
            </w:pPr>
            <w:r w:rsidRPr="00757108">
              <w:rPr>
                <w:rFonts w:cs="Arial"/>
                <w:szCs w:val="18"/>
              </w:rPr>
              <w:t>English proficiency</w:t>
            </w:r>
          </w:p>
        </w:tc>
        <w:tc>
          <w:tcPr>
            <w:tcW w:w="4500" w:type="dxa"/>
            <w:tcBorders>
              <w:top w:val="dotted" w:sz="4" w:space="0" w:color="auto"/>
              <w:bottom w:val="dotted" w:sz="4" w:space="0" w:color="auto"/>
            </w:tcBorders>
            <w:noWrap/>
          </w:tcPr>
          <w:p w14:paraId="03920E89" w14:textId="2461FD16" w:rsidR="00525D3A" w:rsidRPr="00757108" w:rsidRDefault="00CB4AFC"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Z</w:t>
            </w:r>
            <w:r w:rsidR="00525D3A" w:rsidRPr="00757108">
              <w:rPr>
                <w:rFonts w:cs="Arial"/>
                <w:szCs w:val="18"/>
              </w:rPr>
              <w:t>-score computed from standardized tests</w:t>
            </w:r>
          </w:p>
        </w:tc>
        <w:tc>
          <w:tcPr>
            <w:tcW w:w="900" w:type="dxa"/>
            <w:tcBorders>
              <w:top w:val="dotted" w:sz="4" w:space="0" w:color="auto"/>
              <w:bottom w:val="dotted" w:sz="4" w:space="0" w:color="auto"/>
            </w:tcBorders>
          </w:tcPr>
          <w:p w14:paraId="15444D34" w14:textId="77777777" w:rsidR="00525D3A" w:rsidRPr="00757108"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757108">
              <w:rPr>
                <w:rFonts w:cs="Arial"/>
                <w:szCs w:val="18"/>
              </w:rPr>
              <w:t>School records</w:t>
            </w:r>
          </w:p>
        </w:tc>
        <w:tc>
          <w:tcPr>
            <w:tcW w:w="900" w:type="dxa"/>
            <w:tcBorders>
              <w:top w:val="dotted" w:sz="4" w:space="0" w:color="auto"/>
              <w:bottom w:val="dotted" w:sz="4" w:space="0" w:color="auto"/>
            </w:tcBorders>
          </w:tcPr>
          <w:p w14:paraId="7852768A" w14:textId="77777777" w:rsidR="00525D3A" w:rsidRPr="008A3017"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8A3017">
              <w:rPr>
                <w:rFonts w:cs="Arial"/>
                <w:szCs w:val="18"/>
              </w:rPr>
              <w:t>QED</w:t>
            </w:r>
            <w:r>
              <w:rPr>
                <w:rFonts w:cs="Arial"/>
                <w:szCs w:val="18"/>
              </w:rPr>
              <w:t>,</w:t>
            </w:r>
            <w:r w:rsidRPr="008A3017">
              <w:rPr>
                <w:rFonts w:cs="Arial"/>
                <w:szCs w:val="18"/>
              </w:rPr>
              <w:t xml:space="preserve"> RCT</w:t>
            </w:r>
          </w:p>
        </w:tc>
        <w:tc>
          <w:tcPr>
            <w:tcW w:w="990" w:type="dxa"/>
            <w:tcBorders>
              <w:top w:val="dotted" w:sz="4" w:space="0" w:color="auto"/>
              <w:bottom w:val="dotted" w:sz="4" w:space="0" w:color="auto"/>
            </w:tcBorders>
          </w:tcPr>
          <w:p w14:paraId="0E9A843F" w14:textId="77777777" w:rsidR="00525D3A" w:rsidRPr="00864517"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864517">
              <w:rPr>
                <w:rFonts w:cs="Arial"/>
                <w:szCs w:val="18"/>
              </w:rPr>
              <w:t>P</w:t>
            </w:r>
          </w:p>
        </w:tc>
      </w:tr>
      <w:tr w:rsidR="00525D3A" w:rsidRPr="00757108" w14:paraId="7F6406E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dotted" w:sz="4" w:space="0" w:color="auto"/>
            </w:tcBorders>
            <w:noWrap/>
          </w:tcPr>
          <w:p w14:paraId="43406E14" w14:textId="77777777" w:rsidR="00525D3A" w:rsidRPr="00757108" w:rsidRDefault="00525D3A" w:rsidP="00000962">
            <w:pPr>
              <w:keepNext/>
              <w:keepLines/>
              <w:spacing w:before="40" w:after="40"/>
              <w:contextualSpacing w:val="0"/>
              <w:rPr>
                <w:rFonts w:cs="Arial"/>
                <w:szCs w:val="18"/>
              </w:rPr>
            </w:pPr>
            <w:r w:rsidRPr="00757108">
              <w:rPr>
                <w:rFonts w:cs="Arial"/>
                <w:szCs w:val="18"/>
              </w:rPr>
              <w:t>Postsecondary credit</w:t>
            </w:r>
          </w:p>
        </w:tc>
        <w:tc>
          <w:tcPr>
            <w:tcW w:w="4500" w:type="dxa"/>
            <w:tcBorders>
              <w:top w:val="dotted" w:sz="4" w:space="0" w:color="auto"/>
              <w:bottom w:val="dotted" w:sz="4" w:space="0" w:color="auto"/>
            </w:tcBorders>
            <w:noWrap/>
          </w:tcPr>
          <w:p w14:paraId="19CBBD46"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Postsecondary c</w:t>
            </w:r>
            <w:r w:rsidRPr="00757108">
              <w:rPr>
                <w:rFonts w:cs="Arial"/>
                <w:szCs w:val="18"/>
              </w:rPr>
              <w:t>redits achieved</w:t>
            </w:r>
            <w:r>
              <w:rPr>
                <w:rFonts w:cs="Arial"/>
                <w:szCs w:val="18"/>
              </w:rPr>
              <w:t xml:space="preserve"> during high school</w:t>
            </w:r>
          </w:p>
        </w:tc>
        <w:tc>
          <w:tcPr>
            <w:tcW w:w="900" w:type="dxa"/>
            <w:tcBorders>
              <w:top w:val="dotted" w:sz="4" w:space="0" w:color="auto"/>
              <w:bottom w:val="dotted" w:sz="4" w:space="0" w:color="auto"/>
            </w:tcBorders>
          </w:tcPr>
          <w:p w14:paraId="3828EF43"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757108">
              <w:rPr>
                <w:rFonts w:cs="Arial"/>
                <w:szCs w:val="18"/>
              </w:rPr>
              <w:t>Survey</w:t>
            </w:r>
          </w:p>
        </w:tc>
        <w:tc>
          <w:tcPr>
            <w:tcW w:w="900" w:type="dxa"/>
            <w:tcBorders>
              <w:top w:val="dotted" w:sz="4" w:space="0" w:color="auto"/>
              <w:bottom w:val="dotted" w:sz="4" w:space="0" w:color="auto"/>
            </w:tcBorders>
          </w:tcPr>
          <w:p w14:paraId="156FA619"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RCT</w:t>
            </w:r>
          </w:p>
        </w:tc>
        <w:tc>
          <w:tcPr>
            <w:tcW w:w="990" w:type="dxa"/>
            <w:tcBorders>
              <w:top w:val="dotted" w:sz="4" w:space="0" w:color="auto"/>
              <w:bottom w:val="dotted" w:sz="4" w:space="0" w:color="auto"/>
            </w:tcBorders>
          </w:tcPr>
          <w:p w14:paraId="7743CEDE" w14:textId="77777777" w:rsidR="00525D3A" w:rsidRPr="00864517"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864517">
              <w:rPr>
                <w:rFonts w:cs="Arial"/>
                <w:szCs w:val="18"/>
              </w:rPr>
              <w:t>R</w:t>
            </w:r>
          </w:p>
        </w:tc>
      </w:tr>
      <w:tr w:rsidR="00525D3A" w:rsidRPr="00757108" w14:paraId="78BF6D1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0" w:type="dxa"/>
            <w:gridSpan w:val="5"/>
            <w:tcBorders>
              <w:top w:val="single" w:sz="4" w:space="0" w:color="auto"/>
              <w:bottom w:val="single" w:sz="4" w:space="0" w:color="auto"/>
            </w:tcBorders>
            <w:shd w:val="clear" w:color="auto" w:fill="D9D9D9" w:themeFill="background1" w:themeFillShade="D9"/>
          </w:tcPr>
          <w:p w14:paraId="3B6A5158" w14:textId="77777777" w:rsidR="00525D3A" w:rsidRPr="00757108" w:rsidRDefault="00525D3A" w:rsidP="00000962">
            <w:pPr>
              <w:keepNext/>
              <w:keepLines/>
              <w:spacing w:before="40" w:after="40"/>
              <w:contextualSpacing w:val="0"/>
              <w:rPr>
                <w:rFonts w:cs="Arial"/>
                <w:szCs w:val="18"/>
              </w:rPr>
            </w:pPr>
            <w:r w:rsidRPr="00757108">
              <w:rPr>
                <w:rFonts w:cs="Arial"/>
                <w:b/>
                <w:bCs/>
                <w:szCs w:val="18"/>
              </w:rPr>
              <w:t xml:space="preserve">Employment </w:t>
            </w:r>
            <w:r>
              <w:rPr>
                <w:rFonts w:cs="Arial"/>
                <w:b/>
                <w:bCs/>
                <w:szCs w:val="18"/>
              </w:rPr>
              <w:t>success</w:t>
            </w:r>
          </w:p>
        </w:tc>
      </w:tr>
      <w:tr w:rsidR="00525D3A" w:rsidRPr="00804D21" w14:paraId="340F3E62"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single" w:sz="4" w:space="0" w:color="auto"/>
            </w:tcBorders>
            <w:shd w:val="clear" w:color="auto" w:fill="F2F2F2" w:themeFill="background1" w:themeFillShade="F2"/>
            <w:noWrap/>
          </w:tcPr>
          <w:p w14:paraId="62C805AE" w14:textId="77777777" w:rsidR="00525D3A" w:rsidRPr="00804D21" w:rsidRDefault="00525D3A" w:rsidP="00000962">
            <w:pPr>
              <w:keepNext/>
              <w:keepLines/>
              <w:spacing w:before="40" w:after="40"/>
              <w:contextualSpacing w:val="0"/>
              <w:rPr>
                <w:rFonts w:cs="Arial"/>
                <w:szCs w:val="18"/>
              </w:rPr>
            </w:pPr>
            <w:r w:rsidRPr="00757108">
              <w:rPr>
                <w:rFonts w:cs="Arial"/>
                <w:szCs w:val="18"/>
              </w:rPr>
              <w:t>Paid work experience</w:t>
            </w:r>
          </w:p>
        </w:tc>
        <w:tc>
          <w:tcPr>
            <w:tcW w:w="4500" w:type="dxa"/>
            <w:tcBorders>
              <w:top w:val="single" w:sz="4" w:space="0" w:color="auto"/>
              <w:bottom w:val="single" w:sz="4" w:space="0" w:color="auto"/>
            </w:tcBorders>
            <w:shd w:val="clear" w:color="auto" w:fill="F2F2F2" w:themeFill="background1" w:themeFillShade="F2"/>
          </w:tcPr>
          <w:p w14:paraId="2E8EE29E"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757108">
              <w:rPr>
                <w:rFonts w:cs="Arial"/>
                <w:szCs w:val="18"/>
              </w:rPr>
              <w:t>Ever worked for pay (while in high school)</w:t>
            </w:r>
          </w:p>
        </w:tc>
        <w:tc>
          <w:tcPr>
            <w:tcW w:w="900" w:type="dxa"/>
            <w:tcBorders>
              <w:top w:val="single" w:sz="4" w:space="0" w:color="auto"/>
              <w:bottom w:val="single" w:sz="4" w:space="0" w:color="auto"/>
            </w:tcBorders>
            <w:shd w:val="clear" w:color="auto" w:fill="F2F2F2" w:themeFill="background1" w:themeFillShade="F2"/>
          </w:tcPr>
          <w:p w14:paraId="3A988B49"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04D21">
              <w:rPr>
                <w:rFonts w:cs="Arial"/>
                <w:szCs w:val="18"/>
              </w:rPr>
              <w:t>Survey</w:t>
            </w:r>
          </w:p>
        </w:tc>
        <w:tc>
          <w:tcPr>
            <w:tcW w:w="900" w:type="dxa"/>
            <w:tcBorders>
              <w:top w:val="single" w:sz="4" w:space="0" w:color="auto"/>
              <w:bottom w:val="single" w:sz="4" w:space="0" w:color="auto"/>
            </w:tcBorders>
            <w:shd w:val="clear" w:color="auto" w:fill="F2F2F2" w:themeFill="background1" w:themeFillShade="F2"/>
          </w:tcPr>
          <w:p w14:paraId="092438BA" w14:textId="77777777" w:rsidR="00525D3A" w:rsidRPr="00804D21"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804D21">
              <w:rPr>
                <w:rFonts w:cs="Arial"/>
                <w:szCs w:val="18"/>
              </w:rPr>
              <w:t>RCT</w:t>
            </w:r>
          </w:p>
        </w:tc>
        <w:tc>
          <w:tcPr>
            <w:tcW w:w="990" w:type="dxa"/>
            <w:tcBorders>
              <w:top w:val="single" w:sz="4" w:space="0" w:color="auto"/>
              <w:bottom w:val="single" w:sz="4" w:space="0" w:color="auto"/>
            </w:tcBorders>
            <w:shd w:val="clear" w:color="auto" w:fill="F2F2F2" w:themeFill="background1" w:themeFillShade="F2"/>
          </w:tcPr>
          <w:p w14:paraId="4DA0FCCE" w14:textId="77777777" w:rsidR="00525D3A" w:rsidRPr="00804D21"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w:t>
            </w:r>
          </w:p>
        </w:tc>
      </w:tr>
      <w:tr w:rsidR="00525D3A" w:rsidRPr="00757108" w14:paraId="502F402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dotted" w:sz="4" w:space="0" w:color="auto"/>
              <w:bottom w:val="single" w:sz="4" w:space="0" w:color="auto"/>
            </w:tcBorders>
            <w:noWrap/>
          </w:tcPr>
          <w:p w14:paraId="47D8FD62" w14:textId="77777777" w:rsidR="00525D3A" w:rsidRPr="00757108" w:rsidRDefault="00525D3A" w:rsidP="00000962">
            <w:pPr>
              <w:keepNext/>
              <w:keepLines/>
              <w:spacing w:before="40" w:after="40"/>
              <w:contextualSpacing w:val="0"/>
              <w:rPr>
                <w:rFonts w:cs="Arial"/>
                <w:szCs w:val="18"/>
              </w:rPr>
            </w:pPr>
            <w:r w:rsidRPr="00757108">
              <w:rPr>
                <w:rFonts w:cs="Arial"/>
                <w:szCs w:val="18"/>
              </w:rPr>
              <w:t>Employment expectations</w:t>
            </w:r>
          </w:p>
        </w:tc>
        <w:tc>
          <w:tcPr>
            <w:tcW w:w="4500" w:type="dxa"/>
            <w:tcBorders>
              <w:top w:val="dotted" w:sz="4" w:space="0" w:color="auto"/>
              <w:bottom w:val="single" w:sz="4" w:space="0" w:color="auto"/>
            </w:tcBorders>
          </w:tcPr>
          <w:p w14:paraId="6A7D72E3" w14:textId="77777777" w:rsidR="00525D3A" w:rsidRPr="00757108"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Expect to be </w:t>
            </w:r>
            <w:r w:rsidRPr="00757108">
              <w:rPr>
                <w:rFonts w:cs="Arial"/>
                <w:szCs w:val="18"/>
              </w:rPr>
              <w:t xml:space="preserve">working for pay </w:t>
            </w:r>
            <w:r>
              <w:rPr>
                <w:rFonts w:cs="Arial"/>
                <w:szCs w:val="18"/>
              </w:rPr>
              <w:t xml:space="preserve">full time </w:t>
            </w:r>
            <w:r w:rsidRPr="00757108">
              <w:rPr>
                <w:rFonts w:cs="Arial"/>
                <w:szCs w:val="18"/>
              </w:rPr>
              <w:t>at age 30</w:t>
            </w:r>
          </w:p>
        </w:tc>
        <w:tc>
          <w:tcPr>
            <w:tcW w:w="900" w:type="dxa"/>
            <w:tcBorders>
              <w:top w:val="dotted" w:sz="4" w:space="0" w:color="auto"/>
              <w:bottom w:val="single" w:sz="4" w:space="0" w:color="auto"/>
            </w:tcBorders>
          </w:tcPr>
          <w:p w14:paraId="69AD69F2" w14:textId="77777777" w:rsidR="00525D3A" w:rsidRPr="00757108"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757108">
              <w:rPr>
                <w:rFonts w:cs="Arial"/>
                <w:szCs w:val="18"/>
              </w:rPr>
              <w:t>Survey</w:t>
            </w:r>
          </w:p>
        </w:tc>
        <w:tc>
          <w:tcPr>
            <w:tcW w:w="900" w:type="dxa"/>
            <w:tcBorders>
              <w:top w:val="dotted" w:sz="4" w:space="0" w:color="auto"/>
              <w:bottom w:val="single" w:sz="4" w:space="0" w:color="auto"/>
            </w:tcBorders>
          </w:tcPr>
          <w:p w14:paraId="3CC64FF1" w14:textId="77777777" w:rsidR="00525D3A" w:rsidRPr="00757108" w:rsidRDefault="00525D3A" w:rsidP="00000962">
            <w:pPr>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RCT</w:t>
            </w:r>
          </w:p>
        </w:tc>
        <w:tc>
          <w:tcPr>
            <w:tcW w:w="990" w:type="dxa"/>
            <w:tcBorders>
              <w:top w:val="dotted" w:sz="4" w:space="0" w:color="auto"/>
              <w:bottom w:val="single" w:sz="4" w:space="0" w:color="auto"/>
            </w:tcBorders>
          </w:tcPr>
          <w:p w14:paraId="1EF5A107" w14:textId="77777777" w:rsidR="00525D3A" w:rsidRPr="00757108" w:rsidRDefault="00525D3A" w:rsidP="00000962">
            <w:pPr>
              <w:keepNext/>
              <w:keepLines/>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w:t>
            </w:r>
          </w:p>
        </w:tc>
      </w:tr>
      <w:tr w:rsidR="00525D3A" w:rsidRPr="00757108" w14:paraId="43049439"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bottom w:val="single" w:sz="4" w:space="0" w:color="auto"/>
            </w:tcBorders>
            <w:noWrap/>
          </w:tcPr>
          <w:p w14:paraId="3FBD750F" w14:textId="77777777" w:rsidR="00525D3A" w:rsidRPr="00757108" w:rsidRDefault="00525D3A" w:rsidP="00000962">
            <w:pPr>
              <w:keepNext/>
              <w:keepLines/>
              <w:spacing w:before="40" w:after="40"/>
              <w:contextualSpacing w:val="0"/>
              <w:rPr>
                <w:rFonts w:cs="Arial"/>
                <w:szCs w:val="18"/>
              </w:rPr>
            </w:pPr>
            <w:r w:rsidRPr="00757108">
              <w:rPr>
                <w:rFonts w:cs="Arial"/>
                <w:szCs w:val="18"/>
              </w:rPr>
              <w:t>Work readiness skills</w:t>
            </w:r>
          </w:p>
        </w:tc>
        <w:tc>
          <w:tcPr>
            <w:tcW w:w="4500" w:type="dxa"/>
            <w:tcBorders>
              <w:top w:val="single" w:sz="4" w:space="0" w:color="auto"/>
              <w:bottom w:val="single" w:sz="4" w:space="0" w:color="auto"/>
            </w:tcBorders>
            <w:noWrap/>
          </w:tcPr>
          <w:p w14:paraId="62408635" w14:textId="5E370B75"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Working toward or obtained c</w:t>
            </w:r>
            <w:r w:rsidRPr="00757108">
              <w:rPr>
                <w:rFonts w:cs="Arial"/>
                <w:szCs w:val="18"/>
              </w:rPr>
              <w:t xml:space="preserve">ertificates/licenses </w:t>
            </w:r>
          </w:p>
        </w:tc>
        <w:tc>
          <w:tcPr>
            <w:tcW w:w="900" w:type="dxa"/>
            <w:tcBorders>
              <w:top w:val="single" w:sz="4" w:space="0" w:color="auto"/>
              <w:bottom w:val="single" w:sz="4" w:space="0" w:color="auto"/>
            </w:tcBorders>
          </w:tcPr>
          <w:p w14:paraId="60697D36"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757108">
              <w:rPr>
                <w:rFonts w:cs="Arial"/>
                <w:szCs w:val="18"/>
              </w:rPr>
              <w:t>Survey</w:t>
            </w:r>
          </w:p>
        </w:tc>
        <w:tc>
          <w:tcPr>
            <w:tcW w:w="900" w:type="dxa"/>
            <w:tcBorders>
              <w:top w:val="single" w:sz="4" w:space="0" w:color="auto"/>
              <w:bottom w:val="single" w:sz="4" w:space="0" w:color="auto"/>
            </w:tcBorders>
          </w:tcPr>
          <w:p w14:paraId="49F57847" w14:textId="77777777" w:rsidR="00525D3A" w:rsidRPr="00757108" w:rsidRDefault="00525D3A" w:rsidP="00000962">
            <w:pPr>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RCT</w:t>
            </w:r>
          </w:p>
        </w:tc>
        <w:tc>
          <w:tcPr>
            <w:tcW w:w="990" w:type="dxa"/>
            <w:tcBorders>
              <w:top w:val="single" w:sz="4" w:space="0" w:color="auto"/>
              <w:bottom w:val="single" w:sz="4" w:space="0" w:color="auto"/>
            </w:tcBorders>
          </w:tcPr>
          <w:p w14:paraId="691418B4" w14:textId="77777777" w:rsidR="00525D3A" w:rsidRPr="00757108" w:rsidRDefault="00525D3A" w:rsidP="00000962">
            <w:pPr>
              <w:keepNext/>
              <w:keepLines/>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w:t>
            </w:r>
          </w:p>
        </w:tc>
      </w:tr>
    </w:tbl>
    <w:p w14:paraId="21B71897" w14:textId="51FBD4A3" w:rsidR="00525D3A" w:rsidRDefault="00525D3A" w:rsidP="00000962">
      <w:pPr>
        <w:pStyle w:val="TableSourceCaption"/>
      </w:pPr>
      <w:r w:rsidRPr="006F3DF0">
        <w:t>Note:</w:t>
      </w:r>
      <w:r w:rsidRPr="006F3DF0">
        <w:tab/>
        <w:t>Dark gr</w:t>
      </w:r>
      <w:r w:rsidR="00B52871">
        <w:t>a</w:t>
      </w:r>
      <w:r w:rsidRPr="006F3DF0">
        <w:t>y rows with bold titles show</w:t>
      </w:r>
      <w:r>
        <w:t xml:space="preserve"> </w:t>
      </w:r>
      <w:r w:rsidR="00B52871">
        <w:t xml:space="preserve">desired </w:t>
      </w:r>
      <w:r>
        <w:t>long-term outcomes; l</w:t>
      </w:r>
      <w:r w:rsidRPr="006F3DF0">
        <w:t>ight gr</w:t>
      </w:r>
      <w:r>
        <w:t>a</w:t>
      </w:r>
      <w:r w:rsidRPr="006F3DF0">
        <w:t xml:space="preserve">y rows without bold titles show </w:t>
      </w:r>
      <w:r>
        <w:t xml:space="preserve">milestones that students can achieve in high school; and rows without shading show momentum points captured in this research. The analysis column shows whether the analysis </w:t>
      </w:r>
      <w:r w:rsidR="004933EA">
        <w:t xml:space="preserve">is considered </w:t>
      </w:r>
      <w:r>
        <w:t>primary (P), secondary (S), or RCT (R).</w:t>
      </w:r>
    </w:p>
    <w:p w14:paraId="08371015" w14:textId="28335D48" w:rsidR="00525D3A" w:rsidRPr="00666451" w:rsidRDefault="00525D3A" w:rsidP="00000962">
      <w:pPr>
        <w:pStyle w:val="TableFootnoteCaption"/>
        <w:spacing w:after="240"/>
      </w:pPr>
      <w:r w:rsidRPr="0031191C">
        <w:t xml:space="preserve">GED = </w:t>
      </w:r>
      <w:r w:rsidR="003978CE">
        <w:t>G</w:t>
      </w:r>
      <w:r w:rsidRPr="0031191C">
        <w:t xml:space="preserve">eneralized </w:t>
      </w:r>
      <w:r w:rsidR="003978CE">
        <w:t>E</w:t>
      </w:r>
      <w:r w:rsidRPr="0031191C">
        <w:t xml:space="preserve">ducation </w:t>
      </w:r>
      <w:r w:rsidR="003978CE">
        <w:t>D</w:t>
      </w:r>
      <w:r w:rsidRPr="0031191C">
        <w:t>evelopment; RCT = randomized controlled trial; QED = quasi-experimental design.</w:t>
      </w:r>
    </w:p>
    <w:p w14:paraId="4370A416" w14:textId="63AB6593" w:rsidR="00A523ED" w:rsidRDefault="00B52871" w:rsidP="001F5B50">
      <w:pPr>
        <w:pStyle w:val="NormalSS"/>
      </w:pPr>
      <w:r>
        <w:rPr>
          <w:bCs/>
          <w:iCs/>
        </w:rPr>
        <w:t>The</w:t>
      </w:r>
      <w:r w:rsidR="00525D3A" w:rsidRPr="0036399E">
        <w:rPr>
          <w:bCs/>
          <w:iCs/>
        </w:rPr>
        <w:t xml:space="preserve"> effective capture </w:t>
      </w:r>
      <w:r>
        <w:rPr>
          <w:bCs/>
          <w:iCs/>
        </w:rPr>
        <w:t xml:space="preserve">of high school </w:t>
      </w:r>
      <w:r w:rsidR="00525D3A">
        <w:rPr>
          <w:bCs/>
          <w:iCs/>
        </w:rPr>
        <w:t xml:space="preserve">momentum points and milestones </w:t>
      </w:r>
      <w:r>
        <w:rPr>
          <w:bCs/>
          <w:iCs/>
        </w:rPr>
        <w:t>depends on</w:t>
      </w:r>
      <w:r w:rsidR="00525D3A">
        <w:rPr>
          <w:bCs/>
          <w:iCs/>
        </w:rPr>
        <w:t xml:space="preserve"> </w:t>
      </w:r>
      <w:r>
        <w:rPr>
          <w:bCs/>
          <w:iCs/>
        </w:rPr>
        <w:t xml:space="preserve">whether </w:t>
      </w:r>
      <w:r w:rsidR="00525D3A">
        <w:rPr>
          <w:bCs/>
          <w:iCs/>
        </w:rPr>
        <w:t>consistent</w:t>
      </w:r>
      <w:r w:rsidR="00525D3A" w:rsidRPr="0036399E">
        <w:rPr>
          <w:bCs/>
          <w:iCs/>
        </w:rPr>
        <w:t xml:space="preserve"> </w:t>
      </w:r>
      <w:r w:rsidR="00525D3A">
        <w:rPr>
          <w:bCs/>
          <w:iCs/>
        </w:rPr>
        <w:t xml:space="preserve">measures </w:t>
      </w:r>
      <w:r>
        <w:rPr>
          <w:bCs/>
          <w:iCs/>
        </w:rPr>
        <w:t xml:space="preserve">can be obtained </w:t>
      </w:r>
      <w:r w:rsidR="00525D3A">
        <w:rPr>
          <w:bCs/>
          <w:iCs/>
        </w:rPr>
        <w:t xml:space="preserve">across time and districts. </w:t>
      </w:r>
      <w:r w:rsidR="00525D3A">
        <w:t xml:space="preserve">Measures from the follow-up survey will be assessed with equal reliability because the questionnaire and survey methods </w:t>
      </w:r>
      <w:r>
        <w:t xml:space="preserve">will be applied </w:t>
      </w:r>
      <w:r w:rsidR="00525D3A">
        <w:t xml:space="preserve">consistently in each district and for each student (but will be subject to response bias). All study participants will be asked, for example, whether they have dropped out of school, </w:t>
      </w:r>
      <w:r w:rsidR="001738C9">
        <w:t xml:space="preserve">and </w:t>
      </w:r>
      <w:r w:rsidR="00525D3A">
        <w:t>the same phrasing of the question and definition of dropping out</w:t>
      </w:r>
      <w:r w:rsidR="001738C9">
        <w:t xml:space="preserve"> will be used</w:t>
      </w:r>
      <w:r w:rsidR="00525D3A">
        <w:t xml:space="preserve">. </w:t>
      </w:r>
      <w:r>
        <w:t>However, m</w:t>
      </w:r>
      <w:r w:rsidR="00525D3A">
        <w:t>easures that draw information from school records will have no such consistency because school districts do not define data elements consistently. The records often capture information using different units, intervals, or instruments</w:t>
      </w:r>
      <w:r>
        <w:t>,</w:t>
      </w:r>
      <w:r w:rsidR="00525D3A">
        <w:t xml:space="preserve"> or at different times. </w:t>
      </w:r>
    </w:p>
    <w:p w14:paraId="4BD98B66" w14:textId="4AD51FFD" w:rsidR="00525D3A" w:rsidRDefault="001F5B50" w:rsidP="00E914EF">
      <w:pPr>
        <w:pStyle w:val="NormalSS"/>
        <w:keepNext/>
      </w:pPr>
      <w:r>
        <w:t xml:space="preserve">The following guidelines will ensure </w:t>
      </w:r>
      <w:r w:rsidR="00B52871">
        <w:t xml:space="preserve">that </w:t>
      </w:r>
      <w:r>
        <w:t xml:space="preserve">measures </w:t>
      </w:r>
      <w:r w:rsidR="00B52871">
        <w:t xml:space="preserve">that draw </w:t>
      </w:r>
      <w:r w:rsidR="00525D3A">
        <w:t>information at different times are consistent across districts:</w:t>
      </w:r>
    </w:p>
    <w:p w14:paraId="001FDD06" w14:textId="3137D75E" w:rsidR="00525D3A" w:rsidRPr="00182C28" w:rsidRDefault="00525D3A" w:rsidP="00AA3D41">
      <w:pPr>
        <w:pStyle w:val="Bullet"/>
        <w:numPr>
          <w:ilvl w:val="0"/>
          <w:numId w:val="7"/>
        </w:numPr>
        <w:tabs>
          <w:tab w:val="clear" w:pos="360"/>
          <w:tab w:val="left" w:pos="432"/>
        </w:tabs>
        <w:spacing w:after="120"/>
        <w:ind w:right="0"/>
        <w:jc w:val="left"/>
        <w:rPr>
          <w:b/>
        </w:rPr>
      </w:pPr>
      <w:r w:rsidRPr="00DF00D3">
        <w:rPr>
          <w:b/>
        </w:rPr>
        <w:t>Applying a common definition.</w:t>
      </w:r>
      <w:r>
        <w:rPr>
          <w:b/>
        </w:rPr>
        <w:t xml:space="preserve"> </w:t>
      </w:r>
      <w:r w:rsidRPr="00DF00D3">
        <w:t>When collect</w:t>
      </w:r>
      <w:r w:rsidR="001F5B50">
        <w:t>ing</w:t>
      </w:r>
      <w:r w:rsidRPr="00DF00D3">
        <w:t xml:space="preserve"> information from school records, </w:t>
      </w:r>
      <w:r w:rsidR="001F5B50">
        <w:t xml:space="preserve">districts will provide </w:t>
      </w:r>
      <w:r>
        <w:t xml:space="preserve">a codebook </w:t>
      </w:r>
      <w:r w:rsidR="00B52871">
        <w:t>that explains</w:t>
      </w:r>
      <w:r w:rsidR="001F5B50">
        <w:t xml:space="preserve"> </w:t>
      </w:r>
      <w:r>
        <w:t xml:space="preserve">how </w:t>
      </w:r>
      <w:r w:rsidR="001F5B50">
        <w:t xml:space="preserve">they </w:t>
      </w:r>
      <w:r>
        <w:t xml:space="preserve">define each variable on the record. When definitions </w:t>
      </w:r>
      <w:r w:rsidR="001738C9">
        <w:t xml:space="preserve">of a </w:t>
      </w:r>
      <w:r>
        <w:t xml:space="preserve">variable vary across districts, measures </w:t>
      </w:r>
      <w:r w:rsidR="001F5B50">
        <w:t xml:space="preserve">will be constructed </w:t>
      </w:r>
      <w:r>
        <w:t xml:space="preserve">to </w:t>
      </w:r>
      <w:r w:rsidR="00B52871">
        <w:t xml:space="preserve">make them </w:t>
      </w:r>
      <w:r>
        <w:t xml:space="preserve">as consistent as possible. For example </w:t>
      </w:r>
      <w:r w:rsidR="00B52871">
        <w:t>“</w:t>
      </w:r>
      <w:r>
        <w:t>attendance</w:t>
      </w:r>
      <w:r w:rsidR="00B52871">
        <w:t>”</w:t>
      </w:r>
      <w:r>
        <w:t xml:space="preserve"> can be </w:t>
      </w:r>
      <w:r w:rsidR="00CB4AFC">
        <w:t xml:space="preserve">defined as </w:t>
      </w:r>
      <w:r w:rsidR="001738C9">
        <w:t xml:space="preserve">either </w:t>
      </w:r>
      <w:r>
        <w:t>students attending classes or missing entire days</w:t>
      </w:r>
      <w:r w:rsidRPr="00182C28">
        <w:t>.</w:t>
      </w:r>
      <w:r>
        <w:t xml:space="preserve"> Because missing the entire day is the broadest definition, when attendance data are available at the class-level</w:t>
      </w:r>
      <w:r w:rsidRPr="00A34078">
        <w:t xml:space="preserve"> </w:t>
      </w:r>
      <w:r>
        <w:t xml:space="preserve">only, an absent indicator </w:t>
      </w:r>
      <w:r w:rsidR="00CB4AFC">
        <w:t xml:space="preserve">will be constructed </w:t>
      </w:r>
      <w:r>
        <w:t>only when the student missed all classes in a day.</w:t>
      </w:r>
    </w:p>
    <w:p w14:paraId="616ED444" w14:textId="09986AD8" w:rsidR="00525D3A" w:rsidRPr="00F2123B" w:rsidRDefault="00525D3A" w:rsidP="00AA3D41">
      <w:pPr>
        <w:pStyle w:val="Bullet"/>
        <w:numPr>
          <w:ilvl w:val="0"/>
          <w:numId w:val="7"/>
        </w:numPr>
        <w:tabs>
          <w:tab w:val="clear" w:pos="360"/>
          <w:tab w:val="left" w:pos="432"/>
        </w:tabs>
        <w:spacing w:after="120"/>
        <w:ind w:right="0"/>
        <w:jc w:val="left"/>
      </w:pPr>
      <w:r w:rsidRPr="00182C28">
        <w:rPr>
          <w:b/>
        </w:rPr>
        <w:t xml:space="preserve">Constructing z-scores. </w:t>
      </w:r>
      <w:r w:rsidRPr="00454C1F">
        <w:t>Because math and English test</w:t>
      </w:r>
      <w:r>
        <w:t>s</w:t>
      </w:r>
      <w:r w:rsidRPr="00454C1F">
        <w:t xml:space="preserve"> vary across </w:t>
      </w:r>
      <w:r>
        <w:t xml:space="preserve">districts </w:t>
      </w:r>
      <w:r w:rsidRPr="00454C1F">
        <w:t xml:space="preserve">and by grade, </w:t>
      </w:r>
      <w:r>
        <w:t>z-scores (</w:t>
      </w:r>
      <w:r w:rsidRPr="00182C28">
        <w:t>individual score minus the mean</w:t>
      </w:r>
      <w:r w:rsidR="003978CE">
        <w:t xml:space="preserve">, which is then divided by </w:t>
      </w:r>
      <w:r w:rsidRPr="00182C28">
        <w:t>the standard deviation</w:t>
      </w:r>
      <w:r w:rsidR="003978CE">
        <w:t>)</w:t>
      </w:r>
      <w:r w:rsidR="00CB4AFC">
        <w:t xml:space="preserve"> will be constructed</w:t>
      </w:r>
      <w:r w:rsidRPr="00182C28">
        <w:t xml:space="preserve"> to compare proficiencies across </w:t>
      </w:r>
      <w:r>
        <w:t>districts</w:t>
      </w:r>
      <w:r w:rsidRPr="00182C28">
        <w:t xml:space="preserve">. Z-scores are the recommended approach to </w:t>
      </w:r>
      <w:r w:rsidRPr="00F2123B">
        <w:t>standardizing test scores (</w:t>
      </w:r>
      <w:r w:rsidRPr="00F2123B">
        <w:rPr>
          <w:color w:val="000000"/>
        </w:rPr>
        <w:t>May et al. 2009).</w:t>
      </w:r>
    </w:p>
    <w:p w14:paraId="73D23188" w14:textId="3747A794" w:rsidR="00525D3A" w:rsidRPr="0049075C" w:rsidRDefault="00525D3A" w:rsidP="00AA3D41">
      <w:pPr>
        <w:pStyle w:val="Bullet"/>
        <w:numPr>
          <w:ilvl w:val="0"/>
          <w:numId w:val="7"/>
        </w:numPr>
        <w:tabs>
          <w:tab w:val="clear" w:pos="360"/>
          <w:tab w:val="left" w:pos="432"/>
        </w:tabs>
        <w:spacing w:after="120"/>
        <w:ind w:right="0"/>
        <w:jc w:val="left"/>
      </w:pPr>
      <w:r w:rsidRPr="0049075C">
        <w:rPr>
          <w:b/>
        </w:rPr>
        <w:t xml:space="preserve">Standardizing the unit of measure. </w:t>
      </w:r>
      <w:r w:rsidRPr="0049075C">
        <w:t>Some</w:t>
      </w:r>
      <w:r w:rsidRPr="0049075C">
        <w:rPr>
          <w:b/>
        </w:rPr>
        <w:t xml:space="preserve"> </w:t>
      </w:r>
      <w:r w:rsidRPr="0049075C">
        <w:t xml:space="preserve">variables in school records are captured using units that have very different meanings. In such cases, the measurement </w:t>
      </w:r>
      <w:r w:rsidR="00CB4AFC">
        <w:t xml:space="preserve">will be </w:t>
      </w:r>
      <w:r w:rsidR="00CB4AFC" w:rsidRPr="0049075C">
        <w:t>standardize</w:t>
      </w:r>
      <w:r w:rsidR="00CB4AFC">
        <w:t>d</w:t>
      </w:r>
      <w:r w:rsidR="00CB4AFC" w:rsidRPr="0049075C">
        <w:t xml:space="preserve"> </w:t>
      </w:r>
      <w:r w:rsidRPr="0049075C">
        <w:t xml:space="preserve">to reflect a common unit of measure. For example, as a measure of intensity of exposure to school, the number of days absent depends on the number of possible days of attendance. </w:t>
      </w:r>
      <w:r>
        <w:t>T</w:t>
      </w:r>
      <w:r w:rsidRPr="0049075C">
        <w:t>herefore</w:t>
      </w:r>
      <w:r>
        <w:t>,</w:t>
      </w:r>
      <w:r w:rsidRPr="0049075C">
        <w:t xml:space="preserve"> </w:t>
      </w:r>
      <w:r w:rsidR="001F5B50">
        <w:t xml:space="preserve">this </w:t>
      </w:r>
      <w:r w:rsidRPr="0049075C">
        <w:t xml:space="preserve">measure </w:t>
      </w:r>
      <w:r w:rsidR="001F5B50">
        <w:t xml:space="preserve">will be captured </w:t>
      </w:r>
      <w:r w:rsidRPr="0049075C">
        <w:t>as a percentage of days absent or present.</w:t>
      </w:r>
    </w:p>
    <w:p w14:paraId="61C32E28" w14:textId="65FEA34A" w:rsidR="00525D3A" w:rsidRDefault="00525D3A" w:rsidP="00A037CC">
      <w:pPr>
        <w:pStyle w:val="BulletLastSS"/>
        <w:spacing w:after="120"/>
      </w:pPr>
      <w:r w:rsidRPr="0049075C">
        <w:rPr>
          <w:b/>
        </w:rPr>
        <w:t>Using effect sizes.</w:t>
      </w:r>
      <w:r w:rsidRPr="0049075C">
        <w:t xml:space="preserve"> The same value </w:t>
      </w:r>
      <w:r>
        <w:t>across</w:t>
      </w:r>
      <w:r w:rsidRPr="0049075C">
        <w:t xml:space="preserve"> some measures will have different meaning</w:t>
      </w:r>
      <w:r w:rsidR="00CB4AFC">
        <w:t>s</w:t>
      </w:r>
      <w:r w:rsidRPr="0049075C">
        <w:t xml:space="preserve"> </w:t>
      </w:r>
      <w:r w:rsidR="00CB4AFC">
        <w:t>among</w:t>
      </w:r>
      <w:r w:rsidR="00CB4AFC" w:rsidRPr="0049075C">
        <w:t xml:space="preserve"> </w:t>
      </w:r>
      <w:r w:rsidRPr="0049075C">
        <w:t>districts</w:t>
      </w:r>
      <w:r>
        <w:t xml:space="preserve"> </w:t>
      </w:r>
      <w:r w:rsidRPr="0049075C">
        <w:t xml:space="preserve">or </w:t>
      </w:r>
      <w:r w:rsidR="00CB4AFC">
        <w:t xml:space="preserve">individual </w:t>
      </w:r>
      <w:r w:rsidRPr="0049075C">
        <w:t xml:space="preserve">schools because the scale is different. For example, some districts might have a 10 percent </w:t>
      </w:r>
      <w:r>
        <w:t xml:space="preserve">absentee </w:t>
      </w:r>
      <w:r w:rsidRPr="0049075C">
        <w:t>rate</w:t>
      </w:r>
      <w:r>
        <w:t>,</w:t>
      </w:r>
      <w:r w:rsidRPr="0049075C">
        <w:t xml:space="preserve"> wh</w:t>
      </w:r>
      <w:r>
        <w:t>ereas</w:t>
      </w:r>
      <w:r w:rsidRPr="0049075C">
        <w:t xml:space="preserve"> others </w:t>
      </w:r>
      <w:r>
        <w:t xml:space="preserve">might </w:t>
      </w:r>
      <w:r w:rsidRPr="0049075C">
        <w:t xml:space="preserve">have a 40 percent rate. Reducing </w:t>
      </w:r>
      <w:r>
        <w:t xml:space="preserve">absenteeism </w:t>
      </w:r>
      <w:r w:rsidRPr="0049075C">
        <w:t xml:space="preserve">by 5 percentage points has a much </w:t>
      </w:r>
      <w:r>
        <w:t xml:space="preserve">smaller </w:t>
      </w:r>
      <w:r w:rsidRPr="0049075C">
        <w:t xml:space="preserve">effect in the latter than </w:t>
      </w:r>
      <w:r w:rsidR="00CB4AFC">
        <w:t xml:space="preserve">in </w:t>
      </w:r>
      <w:r w:rsidRPr="0049075C">
        <w:t xml:space="preserve">the former. </w:t>
      </w:r>
      <w:r w:rsidR="001F5B50">
        <w:t xml:space="preserve">The </w:t>
      </w:r>
      <w:r w:rsidRPr="0049075C">
        <w:t xml:space="preserve">effect size </w:t>
      </w:r>
      <w:r w:rsidR="001F5B50">
        <w:t xml:space="preserve">will </w:t>
      </w:r>
      <w:r w:rsidRPr="0049075C">
        <w:t>offset scaling problem</w:t>
      </w:r>
      <w:r>
        <w:t>s</w:t>
      </w:r>
      <w:r w:rsidRPr="0049075C">
        <w:t xml:space="preserve"> in such cases.</w:t>
      </w:r>
    </w:p>
    <w:p w14:paraId="17CEA933" w14:textId="3DB4C0DA" w:rsidR="00525D3A" w:rsidRPr="00CA5592" w:rsidRDefault="00525D3A" w:rsidP="00A037CC">
      <w:pPr>
        <w:pStyle w:val="BulletLastSS"/>
        <w:rPr>
          <w:b/>
        </w:rPr>
      </w:pPr>
      <w:r>
        <w:rPr>
          <w:b/>
        </w:rPr>
        <w:t>Handling m</w:t>
      </w:r>
      <w:r w:rsidRPr="00CA5592">
        <w:rPr>
          <w:b/>
        </w:rPr>
        <w:t xml:space="preserve">issing data. </w:t>
      </w:r>
      <w:r w:rsidR="003978CE">
        <w:t>Sensitivity analyse</w:t>
      </w:r>
      <w:r w:rsidRPr="00116C35">
        <w:t xml:space="preserve">s </w:t>
      </w:r>
      <w:r w:rsidR="001F5B50">
        <w:t xml:space="preserve">for </w:t>
      </w:r>
      <w:r>
        <w:t xml:space="preserve">alternate </w:t>
      </w:r>
      <w:r w:rsidRPr="00116C35">
        <w:t>methods of creating the baseline covariates with missing data (for example, multiple imputation</w:t>
      </w:r>
      <w:r>
        <w:t>)</w:t>
      </w:r>
      <w:r w:rsidR="001F5B50">
        <w:t xml:space="preserve"> will be performed</w:t>
      </w:r>
      <w:r w:rsidRPr="00116C35">
        <w:t>.</w:t>
      </w:r>
    </w:p>
    <w:p w14:paraId="6E3DB5E2" w14:textId="5399AED0" w:rsidR="00D916DE" w:rsidRDefault="00D916DE" w:rsidP="00E914EF">
      <w:pPr>
        <w:pStyle w:val="NormalSS"/>
      </w:pPr>
      <w:r w:rsidRPr="00496F00">
        <w:rPr>
          <w:b/>
          <w:bCs/>
        </w:rPr>
        <w:t>Assessing baseline equivalence</w:t>
      </w:r>
      <w:r w:rsidRPr="0023659D">
        <w:rPr>
          <w:b/>
          <w:bCs/>
        </w:rPr>
        <w:t>.</w:t>
      </w:r>
      <w:r w:rsidRPr="00352369">
        <w:t xml:space="preserve"> </w:t>
      </w:r>
      <w:r w:rsidR="00B70CA6">
        <w:t>When</w:t>
      </w:r>
      <w:r>
        <w:t xml:space="preserve"> a </w:t>
      </w:r>
      <w:r w:rsidRPr="00352369">
        <w:t>random assignment design</w:t>
      </w:r>
      <w:r>
        <w:t xml:space="preserve"> is conducted properly</w:t>
      </w:r>
      <w:r w:rsidRPr="00352369">
        <w:t xml:space="preserve">, </w:t>
      </w:r>
      <w:r w:rsidR="00B70CA6">
        <w:t xml:space="preserve">it can be expected that there </w:t>
      </w:r>
      <w:r w:rsidR="00CB4AFC">
        <w:t xml:space="preserve">will be </w:t>
      </w:r>
      <w:r w:rsidRPr="00352369">
        <w:t>no systematic observable or unobservable differences between research groups except for the services offered after random assignment.</w:t>
      </w:r>
      <w:r>
        <w:t xml:space="preserve"> </w:t>
      </w:r>
      <w:r w:rsidR="004D0546">
        <w:t xml:space="preserve">However, it is </w:t>
      </w:r>
      <w:r w:rsidR="00B70CA6">
        <w:t xml:space="preserve">still </w:t>
      </w:r>
      <w:r w:rsidR="004D0546">
        <w:t>possible for differences between</w:t>
      </w:r>
      <w:r w:rsidR="00605228">
        <w:t xml:space="preserve"> the</w:t>
      </w:r>
      <w:r w:rsidR="004D0546">
        <w:t xml:space="preserve"> t</w:t>
      </w:r>
      <w:r w:rsidR="00B70CA6">
        <w:t>wo</w:t>
      </w:r>
      <w:r w:rsidR="004D0546">
        <w:t xml:space="preserve"> groups</w:t>
      </w:r>
      <w:r w:rsidR="00F83C2F">
        <w:t xml:space="preserve"> </w:t>
      </w:r>
      <w:r w:rsidR="00410548">
        <w:t xml:space="preserve">to exist </w:t>
      </w:r>
      <w:r w:rsidR="00F83C2F">
        <w:t>by chance</w:t>
      </w:r>
      <w:r w:rsidR="004D0546">
        <w:t xml:space="preserve">. </w:t>
      </w:r>
      <w:r w:rsidR="00007150">
        <w:t xml:space="preserve">Similarly, although the QED analysis will match YCC participants to similar </w:t>
      </w:r>
      <w:r w:rsidR="00D64988">
        <w:t>nonparticipant</w:t>
      </w:r>
      <w:r w:rsidR="00007150">
        <w:t xml:space="preserve">s, if participants and </w:t>
      </w:r>
      <w:r w:rsidR="00D64988">
        <w:t>nonparticipant</w:t>
      </w:r>
      <w:r w:rsidR="00007150">
        <w:t>s systematically differ in observable characteristics</w:t>
      </w:r>
      <w:r w:rsidR="00BF4C4A">
        <w:t>,</w:t>
      </w:r>
      <w:r w:rsidR="00007150">
        <w:t xml:space="preserve"> it might not be possible to form observationally similar group</w:t>
      </w:r>
      <w:r w:rsidR="00BF4C4A">
        <w:t>s</w:t>
      </w:r>
      <w:r w:rsidR="00007150">
        <w:t xml:space="preserve">. </w:t>
      </w:r>
      <w:r w:rsidR="003417AC">
        <w:t>W</w:t>
      </w:r>
      <w:r>
        <w:t>hether randomization</w:t>
      </w:r>
      <w:r w:rsidR="00007150">
        <w:t xml:space="preserve"> and matching</w:t>
      </w:r>
      <w:r>
        <w:t xml:space="preserve"> </w:t>
      </w:r>
      <w:r w:rsidR="004D0546">
        <w:t xml:space="preserve">resulted in </w:t>
      </w:r>
      <w:r w:rsidR="00192219">
        <w:t xml:space="preserve">comparable </w:t>
      </w:r>
      <w:r w:rsidR="004D0546">
        <w:t>treatment and control groups</w:t>
      </w:r>
      <w:r w:rsidR="00007150">
        <w:t xml:space="preserve"> (RCT) or comparison groups (QED)</w:t>
      </w:r>
      <w:r w:rsidR="004D0546">
        <w:t xml:space="preserve"> </w:t>
      </w:r>
      <w:r w:rsidR="003417AC">
        <w:t xml:space="preserve">will be assessed in </w:t>
      </w:r>
      <w:r w:rsidR="004D0546">
        <w:t>observationally similar</w:t>
      </w:r>
      <w:r>
        <w:t xml:space="preserve"> </w:t>
      </w:r>
      <w:r w:rsidR="003417AC">
        <w:t xml:space="preserve">ways: </w:t>
      </w:r>
      <w:r>
        <w:t xml:space="preserve">by conducting </w:t>
      </w:r>
      <w:r w:rsidRPr="003978CE">
        <w:t>t</w:t>
      </w:r>
      <w:r>
        <w:t>-tests to assess mean differences in the baseline measures of t</w:t>
      </w:r>
      <w:r w:rsidR="00B70CA6">
        <w:t>he two</w:t>
      </w:r>
      <w:r>
        <w:t xml:space="preserve"> groups using </w:t>
      </w:r>
      <w:r w:rsidR="009142AE">
        <w:t>d</w:t>
      </w:r>
      <w:r>
        <w:t>ata from the BIFs</w:t>
      </w:r>
      <w:r w:rsidR="00007150">
        <w:t xml:space="preserve"> (for the RCT)</w:t>
      </w:r>
      <w:r w:rsidR="00A6508C">
        <w:t xml:space="preserve"> and school records</w:t>
      </w:r>
      <w:r w:rsidR="00007150">
        <w:t xml:space="preserve"> (for both the RCT and QED)</w:t>
      </w:r>
      <w:r>
        <w:t xml:space="preserve">. Because parent and student BIF data </w:t>
      </w:r>
      <w:r w:rsidR="000C368E">
        <w:t xml:space="preserve">were </w:t>
      </w:r>
      <w:r>
        <w:t xml:space="preserve">collected </w:t>
      </w:r>
      <w:r w:rsidRPr="003674C5">
        <w:rPr>
          <w:i/>
        </w:rPr>
        <w:t>prior</w:t>
      </w:r>
      <w:r>
        <w:t xml:space="preserve"> to random assignment, there should no differences in data quality or response between the treatment and control groups. </w:t>
      </w:r>
      <w:r w:rsidR="00BF4C4A">
        <w:t>Also, t</w:t>
      </w:r>
      <w:r w:rsidR="00DB5E24">
        <w:t xml:space="preserve">here should be </w:t>
      </w:r>
      <w:r w:rsidR="00BF4C4A">
        <w:t xml:space="preserve">no </w:t>
      </w:r>
      <w:r w:rsidR="00DB5E24">
        <w:t xml:space="preserve">differences in </w:t>
      </w:r>
      <w:r w:rsidR="0054258F">
        <w:t xml:space="preserve">school records </w:t>
      </w:r>
      <w:r w:rsidR="00DB5E24">
        <w:t xml:space="preserve">data availability </w:t>
      </w:r>
      <w:r w:rsidR="00007150">
        <w:t>between</w:t>
      </w:r>
      <w:r w:rsidR="00DB5E24">
        <w:t xml:space="preserve"> </w:t>
      </w:r>
      <w:r w:rsidR="00192219">
        <w:t xml:space="preserve">treatment and comparison or control </w:t>
      </w:r>
      <w:r w:rsidR="00DB5E24">
        <w:t xml:space="preserve">group students, </w:t>
      </w:r>
      <w:r w:rsidR="00BF4C4A">
        <w:t xml:space="preserve">because </w:t>
      </w:r>
      <w:r w:rsidR="00DB5E24">
        <w:t xml:space="preserve">these data are systematically collected by school districts independent of the YCC evaluation. In particular, </w:t>
      </w:r>
      <w:r w:rsidR="00D64988">
        <w:t xml:space="preserve">districts will record </w:t>
      </w:r>
      <w:r w:rsidR="00DB5E24">
        <w:t xml:space="preserve">baseline data prior to random assignment, though </w:t>
      </w:r>
      <w:r w:rsidR="00D64988">
        <w:t xml:space="preserve">these data </w:t>
      </w:r>
      <w:r w:rsidR="00DB5E24">
        <w:t xml:space="preserve">will not be collected by the study team until after random assignment. </w:t>
      </w:r>
      <w:r w:rsidR="00BF4C4A">
        <w:t>To assess the joint significance of the baseline differences,</w:t>
      </w:r>
      <w:r w:rsidR="00BF4C4A" w:rsidRPr="005C0764">
        <w:rPr>
          <w:i/>
        </w:rPr>
        <w:t xml:space="preserve"> </w:t>
      </w:r>
      <w:r w:rsidRPr="005C0764">
        <w:rPr>
          <w:i/>
        </w:rPr>
        <w:t>t</w:t>
      </w:r>
      <w:r>
        <w:t xml:space="preserve">-tests on each baseline measure in isolation and </w:t>
      </w:r>
      <w:r w:rsidR="003417AC">
        <w:t xml:space="preserve">a </w:t>
      </w:r>
      <w:r>
        <w:t xml:space="preserve">joint </w:t>
      </w:r>
      <w:r w:rsidRPr="00192219">
        <w:t>F</w:t>
      </w:r>
      <w:r>
        <w:t xml:space="preserve">-test </w:t>
      </w:r>
      <w:r w:rsidR="003417AC">
        <w:t>will be used</w:t>
      </w:r>
      <w:r>
        <w:t>.</w:t>
      </w:r>
    </w:p>
    <w:p w14:paraId="15756420" w14:textId="32C411DE" w:rsidR="00607239" w:rsidRPr="00EA0965" w:rsidRDefault="00EA0965" w:rsidP="00E914EF">
      <w:pPr>
        <w:pStyle w:val="NormalSS"/>
      </w:pPr>
      <w:r w:rsidRPr="00EA0965">
        <w:rPr>
          <w:b/>
          <w:bCs/>
        </w:rPr>
        <w:t xml:space="preserve">Addressing multiple comparisons. </w:t>
      </w:r>
      <w:r w:rsidR="00607239" w:rsidRPr="00EA0965">
        <w:t xml:space="preserve">In a complex evaluation such as YCC, </w:t>
      </w:r>
      <w:r w:rsidR="00333B58">
        <w:t>in which</w:t>
      </w:r>
      <w:r w:rsidR="00333B58" w:rsidRPr="00EA0965">
        <w:t xml:space="preserve"> </w:t>
      </w:r>
      <w:r w:rsidR="00607239" w:rsidRPr="00EA0965">
        <w:t xml:space="preserve">many comparisons </w:t>
      </w:r>
      <w:r w:rsidR="00333B58">
        <w:t>are</w:t>
      </w:r>
      <w:r w:rsidR="00333B58" w:rsidRPr="00EA0965">
        <w:t xml:space="preserve"> </w:t>
      </w:r>
      <w:r w:rsidR="00607239" w:rsidRPr="00EA0965">
        <w:t xml:space="preserve">made across many outcome measures and subgroups, the probability of finding at least one apparently significant impact escalates, even if the null hypothesis of no impact for each such outcome is actually true. The basic issue is that, </w:t>
      </w:r>
      <w:r w:rsidR="00607239" w:rsidRPr="00EA0965">
        <w:rPr>
          <w:bCs/>
          <w:iCs/>
        </w:rPr>
        <w:t xml:space="preserve">in the process of making multiple comparisons, there is an increased risk of falsely estimating statistically significant impacts. </w:t>
      </w:r>
      <w:r w:rsidR="00607239" w:rsidRPr="00EA0965">
        <w:t>This problem could lead to incorrect policy decisions. At the same time, procedures t</w:t>
      </w:r>
      <w:r w:rsidR="00333B58">
        <w:t>hat</w:t>
      </w:r>
      <w:r w:rsidR="00607239" w:rsidRPr="00EA0965">
        <w:t xml:space="preserve"> correct for multiple comparisons can lead to substantial reductions in the statistical power of hypothesis tests—the chances of identifying real differences between the contrasted groups.</w:t>
      </w:r>
    </w:p>
    <w:p w14:paraId="28FD815A" w14:textId="3460D988" w:rsidR="00607239" w:rsidRPr="00EA0965" w:rsidRDefault="00B063BD" w:rsidP="00E914EF">
      <w:pPr>
        <w:pStyle w:val="NormalSS"/>
      </w:pPr>
      <w:r>
        <w:t xml:space="preserve">The </w:t>
      </w:r>
      <w:r w:rsidR="00607239" w:rsidRPr="00F2123B">
        <w:t xml:space="preserve">approach for addressing this problem follows the approach discussed in Schochet (2008, 2009), which involves balancing testing rigor and statistical power by differentiating among </w:t>
      </w:r>
      <w:r w:rsidR="00607239" w:rsidRPr="00F2123B">
        <w:rPr>
          <w:iCs/>
        </w:rPr>
        <w:t>primary,</w:t>
      </w:r>
      <w:r w:rsidR="00607239" w:rsidRPr="00F2123B">
        <w:t xml:space="preserve"> </w:t>
      </w:r>
      <w:r w:rsidR="00607239" w:rsidRPr="00A037CC">
        <w:t>secondary</w:t>
      </w:r>
      <w:r w:rsidR="00607239" w:rsidRPr="00F2123B">
        <w:rPr>
          <w:iCs/>
        </w:rPr>
        <w:t>, and RCT</w:t>
      </w:r>
      <w:r w:rsidR="00607239" w:rsidRPr="00F2123B">
        <w:rPr>
          <w:i/>
          <w:iCs/>
        </w:rPr>
        <w:t xml:space="preserve"> </w:t>
      </w:r>
      <w:r w:rsidR="00607239" w:rsidRPr="00F2123B">
        <w:rPr>
          <w:iCs/>
        </w:rPr>
        <w:t>impact</w:t>
      </w:r>
      <w:r w:rsidR="00607239" w:rsidRPr="00F2123B">
        <w:rPr>
          <w:i/>
          <w:iCs/>
        </w:rPr>
        <w:t xml:space="preserve"> </w:t>
      </w:r>
      <w:r w:rsidR="00607239" w:rsidRPr="00F2123B">
        <w:t>analyses</w:t>
      </w:r>
      <w:r w:rsidR="00333B58">
        <w:t>.</w:t>
      </w:r>
      <w:r w:rsidR="00607239" w:rsidRPr="00F2123B">
        <w:t xml:space="preserve"> (Table </w:t>
      </w:r>
      <w:r w:rsidR="00EA0965" w:rsidRPr="00F2123B">
        <w:t>B.3</w:t>
      </w:r>
      <w:r w:rsidR="00607239" w:rsidRPr="00F2123B">
        <w:t xml:space="preserve"> specifies which outcomes and samples</w:t>
      </w:r>
      <w:r w:rsidR="00607239" w:rsidRPr="00EA0965">
        <w:t xml:space="preserve"> will </w:t>
      </w:r>
      <w:r w:rsidR="00A037CC">
        <w:t xml:space="preserve">be </w:t>
      </w:r>
      <w:r w:rsidR="00607239" w:rsidRPr="00EA0965">
        <w:t>use</w:t>
      </w:r>
      <w:r w:rsidR="00A037CC">
        <w:t>d</w:t>
      </w:r>
      <w:r w:rsidR="00607239" w:rsidRPr="00EA0965">
        <w:t xml:space="preserve"> in each analysis</w:t>
      </w:r>
      <w:r w:rsidR="00333B58">
        <w:t>.</w:t>
      </w:r>
      <w:r w:rsidR="00607239" w:rsidRPr="00EA0965">
        <w:t>) The tests use</w:t>
      </w:r>
      <w:r w:rsidR="00A037CC">
        <w:t>d</w:t>
      </w:r>
      <w:r w:rsidR="00607239" w:rsidRPr="00EA0965">
        <w:t xml:space="preserve"> in the primary analysis will determine the success </w:t>
      </w:r>
      <w:r w:rsidR="00192219">
        <w:t xml:space="preserve">of the </w:t>
      </w:r>
      <w:r w:rsidR="00607239" w:rsidRPr="00EA0965">
        <w:t xml:space="preserve">YCC interventions. </w:t>
      </w:r>
      <w:r w:rsidR="00A037CC">
        <w:t>T</w:t>
      </w:r>
      <w:r w:rsidR="00607239" w:rsidRPr="00EA0965">
        <w:t>he primary analysis</w:t>
      </w:r>
      <w:r w:rsidR="00A037CC">
        <w:t xml:space="preserve"> </w:t>
      </w:r>
      <w:r w:rsidR="00607239" w:rsidRPr="00EA0965">
        <w:t>will rigorously test the study’s central hypotheses and adjust significance levels for multiple testing.</w:t>
      </w:r>
      <w:r w:rsidR="00607239" w:rsidRPr="00EA0965">
        <w:rPr>
          <w:bCs/>
        </w:rPr>
        <w:t xml:space="preserve"> </w:t>
      </w:r>
      <w:r w:rsidR="00A037CC">
        <w:t xml:space="preserve">It includes </w:t>
      </w:r>
      <w:r w:rsidR="00607239" w:rsidRPr="00EA0965">
        <w:rPr>
          <w:iCs/>
        </w:rPr>
        <w:t>three primary outcomes</w:t>
      </w:r>
      <w:r w:rsidR="00607239" w:rsidRPr="00EA0965">
        <w:t xml:space="preserve"> for the impact analysis for the full sample analysis in the QED, which has considerably more statistical power than the RCT to detect program impacts. These key outcomes capture momentum points leading to educational success: school attendance, credit accumulation, and math proficiency.</w:t>
      </w:r>
    </w:p>
    <w:p w14:paraId="70DDD609" w14:textId="370EA1AA" w:rsidR="00607239" w:rsidRPr="00EA0965" w:rsidRDefault="00607239" w:rsidP="00E914EF">
      <w:pPr>
        <w:pStyle w:val="NormalSS"/>
      </w:pPr>
      <w:r w:rsidRPr="00EA0965">
        <w:t>The secondary impact analysis will provide preliminary information on impacts for a broader range of outcomes than are specified in the primary analysis and for all subgroup analyses. This analysis from the QED will address important study questions</w:t>
      </w:r>
      <w:r w:rsidR="00333B58">
        <w:t>,</w:t>
      </w:r>
      <w:r w:rsidRPr="00EA0965">
        <w:t xml:space="preserve"> </w:t>
      </w:r>
      <w:r w:rsidR="00333B58" w:rsidRPr="00EA0965">
        <w:t>useful to program stakeholders</w:t>
      </w:r>
      <w:r w:rsidR="00333B58">
        <w:t>,</w:t>
      </w:r>
      <w:r w:rsidR="00333B58" w:rsidRPr="00EA0965">
        <w:t xml:space="preserve"> </w:t>
      </w:r>
      <w:r w:rsidRPr="00EA0965">
        <w:t xml:space="preserve">that the primary analysis does not address. </w:t>
      </w:r>
      <w:r w:rsidR="00333B58">
        <w:t>A</w:t>
      </w:r>
      <w:r w:rsidR="00333B58" w:rsidRPr="00EA0965">
        <w:t>lso</w:t>
      </w:r>
      <w:r w:rsidR="00333B58">
        <w:t>,</w:t>
      </w:r>
      <w:r w:rsidR="00333B58" w:rsidRPr="00EA0965">
        <w:t xml:space="preserve"> </w:t>
      </w:r>
      <w:r w:rsidR="00333B58">
        <w:t>i</w:t>
      </w:r>
      <w:r w:rsidRPr="00EA0965">
        <w:t>t will help to (1) provide depth to the findings from the primary analysis, (2) identify new hypotheses about program effects, and (3) identify potential areas for program improvement.</w:t>
      </w:r>
    </w:p>
    <w:p w14:paraId="1F4BF391" w14:textId="77777777" w:rsidR="00607239" w:rsidRPr="00EA0965" w:rsidRDefault="00607239" w:rsidP="00E914EF">
      <w:pPr>
        <w:pStyle w:val="NormalSS"/>
      </w:pPr>
      <w:r w:rsidRPr="00EA0965">
        <w:t xml:space="preserve">Finally, </w:t>
      </w:r>
      <w:r w:rsidR="00B063BD">
        <w:t xml:space="preserve">the </w:t>
      </w:r>
      <w:r w:rsidRPr="00EA0965">
        <w:t xml:space="preserve">RCT impact analysis </w:t>
      </w:r>
      <w:r w:rsidR="00B063BD">
        <w:t xml:space="preserve">will be conducted </w:t>
      </w:r>
      <w:r w:rsidRPr="00EA0965">
        <w:t xml:space="preserve">on a still broader range of outcomes </w:t>
      </w:r>
      <w:r w:rsidR="00B063BD">
        <w:t xml:space="preserve">captured </w:t>
      </w:r>
      <w:r w:rsidRPr="00EA0965">
        <w:t>in the follow-up survey. This analysis will help to (1) corroborate findings from the primary analysis with a different sample and (2) identify potential hypotheses about program effects and areas for program improvement.</w:t>
      </w:r>
    </w:p>
    <w:p w14:paraId="06D1753F" w14:textId="77777777" w:rsidR="00607239" w:rsidRPr="000D1934" w:rsidRDefault="009F096F" w:rsidP="00607239">
      <w:pPr>
        <w:pStyle w:val="H4Number"/>
        <w:spacing w:line="254" w:lineRule="auto"/>
      </w:pPr>
      <w:bookmarkStart w:id="7" w:name="_Toc428867715"/>
      <w:bookmarkStart w:id="8" w:name="_Toc482021777"/>
      <w:r>
        <w:t>a</w:t>
      </w:r>
      <w:r w:rsidR="00607239" w:rsidRPr="000D1934">
        <w:t>.</w:t>
      </w:r>
      <w:r w:rsidR="00607239" w:rsidRPr="000D1934">
        <w:tab/>
        <w:t>Primary impact analysis</w:t>
      </w:r>
      <w:bookmarkEnd w:id="7"/>
      <w:bookmarkEnd w:id="8"/>
    </w:p>
    <w:p w14:paraId="2C8BA73D" w14:textId="63560304" w:rsidR="00607239" w:rsidRPr="000D1934" w:rsidRDefault="00B063BD" w:rsidP="00E914EF">
      <w:pPr>
        <w:pStyle w:val="NormalSS"/>
      </w:pPr>
      <w:r>
        <w:t>T</w:t>
      </w:r>
      <w:r w:rsidR="00607239" w:rsidRPr="000D1934">
        <w:t xml:space="preserve">wo strategies </w:t>
      </w:r>
      <w:r>
        <w:t xml:space="preserve">will be used </w:t>
      </w:r>
      <w:r w:rsidR="00607239" w:rsidRPr="000D1934">
        <w:t>to estimate the impact of YCC and answer the impact study research question</w:t>
      </w:r>
      <w:r w:rsidR="00A523ED">
        <w:t>:</w:t>
      </w:r>
      <w:r w:rsidR="00607239" w:rsidRPr="000D1934">
        <w:t xml:space="preserve"> </w:t>
      </w:r>
      <w:r w:rsidR="00607239" w:rsidRPr="000D1934">
        <w:rPr>
          <w:i/>
        </w:rPr>
        <w:t>What is the impact of YCC on school attendance, credit accumulation, and math and English proficiency?</w:t>
      </w:r>
      <w:r w:rsidR="00607239" w:rsidRPr="000D1934">
        <w:t xml:space="preserve"> First, simple differences in the mean values of outcomes between students in the treatment and control/comparison groups</w:t>
      </w:r>
      <w:r>
        <w:t xml:space="preserve"> </w:t>
      </w:r>
      <w:r w:rsidR="00607239" w:rsidRPr="000D1934">
        <w:t xml:space="preserve">will yield </w:t>
      </w:r>
      <w:r>
        <w:t xml:space="preserve">an </w:t>
      </w:r>
      <w:r w:rsidR="00607239" w:rsidRPr="000D1934">
        <w:t xml:space="preserve">unbiased impact estimate of program effects, and the associated </w:t>
      </w:r>
      <w:r w:rsidR="00607239" w:rsidRPr="000D1934">
        <w:rPr>
          <w:i/>
          <w:iCs/>
        </w:rPr>
        <w:t>t</w:t>
      </w:r>
      <w:r w:rsidR="00607239" w:rsidRPr="000D1934">
        <w:t xml:space="preserve">-tests </w:t>
      </w:r>
      <w:r>
        <w:t xml:space="preserve">will </w:t>
      </w:r>
      <w:r w:rsidR="00607239" w:rsidRPr="000D1934">
        <w:t>assess statistical significance. Second, regression procedures that control for baseline covariates from school records (for the QED) and school records and BIFs (for the RCT)</w:t>
      </w:r>
      <w:r>
        <w:t xml:space="preserve"> will estimate impact</w:t>
      </w:r>
      <w:r w:rsidR="00607239" w:rsidRPr="000D1934">
        <w:t>. This approach will improve the precision of the net-impact estimates because the covariates will explain some of the variation in outcomes</w:t>
      </w:r>
      <w:r w:rsidR="00814537">
        <w:t>,</w:t>
      </w:r>
      <w:r w:rsidR="00607239" w:rsidRPr="000D1934">
        <w:t xml:space="preserve"> both within and </w:t>
      </w:r>
      <w:r w:rsidR="00607239" w:rsidRPr="000D1934">
        <w:rPr>
          <w:iCs/>
        </w:rPr>
        <w:t>between</w:t>
      </w:r>
      <w:r w:rsidR="00607239" w:rsidRPr="000D1934">
        <w:t xml:space="preserve"> districts. In addition, covariates can adjust for the presence of any differences in observable baseline characteristics between research groups due to, for example, school assignment, random sampling, and—for survey-based analyses—interview nonresponse.</w:t>
      </w:r>
    </w:p>
    <w:p w14:paraId="5ED26329" w14:textId="440FC8CF" w:rsidR="00607239" w:rsidRPr="000D1934" w:rsidRDefault="00607239" w:rsidP="00E914EF">
      <w:pPr>
        <w:pStyle w:val="NormalSS"/>
      </w:pPr>
      <w:r w:rsidRPr="000D1934">
        <w:t xml:space="preserve">The primary analysis will use school record data to examine school attendance, credit accumulation, test scores, and (if available) successful completion of Algebra I for the QED sample. </w:t>
      </w:r>
      <w:r w:rsidR="00B063BD">
        <w:t>T</w:t>
      </w:r>
      <w:r w:rsidRPr="000D1934">
        <w:t xml:space="preserve">he RCT </w:t>
      </w:r>
      <w:r w:rsidR="00B063BD">
        <w:t>wi</w:t>
      </w:r>
      <w:r w:rsidR="009B3BF1">
        <w:t>l</w:t>
      </w:r>
      <w:r w:rsidR="00B063BD">
        <w:t xml:space="preserve">l </w:t>
      </w:r>
      <w:r w:rsidRPr="000D1934">
        <w:t xml:space="preserve">corroborate the primary analysis with a different sample. </w:t>
      </w:r>
      <w:r w:rsidR="00B063BD">
        <w:t>I</w:t>
      </w:r>
      <w:r w:rsidRPr="000D1934">
        <w:t xml:space="preserve">mpacts </w:t>
      </w:r>
      <w:r w:rsidR="00B063BD">
        <w:t xml:space="preserve">will be estimated </w:t>
      </w:r>
      <w:r w:rsidRPr="000D1934">
        <w:t xml:space="preserve">using </w:t>
      </w:r>
      <w:r w:rsidR="00192219">
        <w:t xml:space="preserve">the </w:t>
      </w:r>
      <w:r w:rsidRPr="000D1934">
        <w:t>benchmark analytic model, a regression model in which an impact is calculated for each district and adjusted for students’ baseline characteristics:</w:t>
      </w:r>
    </w:p>
    <w:p w14:paraId="65B3C2D9" w14:textId="77777777" w:rsidR="00607239" w:rsidRPr="000D1934" w:rsidRDefault="00607239" w:rsidP="00EB4C86">
      <w:pPr>
        <w:pStyle w:val="NormalSS"/>
        <w:keepNext/>
        <w:spacing w:line="254" w:lineRule="auto"/>
        <w:ind w:left="864" w:hanging="432"/>
      </w:pPr>
      <w:r w:rsidRPr="000D1934">
        <w:t>(1)</w:t>
      </w:r>
      <w:r w:rsidRPr="000D1934">
        <w:tab/>
      </w:r>
      <w:r w:rsidRPr="000D1934">
        <w:rPr>
          <w:position w:val="-14"/>
        </w:rPr>
        <w:object w:dxaOrig="6420" w:dyaOrig="400" w14:anchorId="63A06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21.75pt" o:ole="">
            <v:imagedata r:id="rId9" o:title=""/>
          </v:shape>
          <o:OLEObject Type="Embed" ProgID="Equation.DSMT4" ShapeID="_x0000_i1025" DrawAspect="Content" ObjectID="_1582378794" r:id="rId10"/>
        </w:object>
      </w:r>
      <w:r w:rsidRPr="000D1934">
        <w:t>,</w:t>
      </w:r>
    </w:p>
    <w:p w14:paraId="3C46E0C4" w14:textId="5E363668" w:rsidR="00607239" w:rsidRPr="000D1934" w:rsidRDefault="00607239" w:rsidP="00E914EF">
      <w:pPr>
        <w:pStyle w:val="NormalSS"/>
      </w:pPr>
      <w:r w:rsidRPr="00E632A4">
        <w:t xml:space="preserve">where </w:t>
      </w:r>
      <w:r w:rsidR="00E632A4" w:rsidRPr="00E632A4">
        <w:rPr>
          <w:position w:val="-12"/>
        </w:rPr>
        <w:object w:dxaOrig="240" w:dyaOrig="360" w14:anchorId="3BEBC01F">
          <v:shape id="_x0000_i1026" type="#_x0000_t75" style="width:14.25pt;height:21.75pt" o:ole="">
            <v:imagedata r:id="rId11" o:title=""/>
          </v:shape>
          <o:OLEObject Type="Embed" ProgID="Equation.DSMT4" ShapeID="_x0000_i1026" DrawAspect="Content" ObjectID="_1582378795" r:id="rId12"/>
        </w:object>
      </w:r>
      <w:r w:rsidRPr="00E632A4">
        <w:t xml:space="preserve"> is the outcome for student </w:t>
      </w:r>
      <w:r w:rsidRPr="00E632A4">
        <w:rPr>
          <w:i/>
        </w:rPr>
        <w:t>i</w:t>
      </w:r>
      <w:r w:rsidRPr="00E632A4">
        <w:t xml:space="preserve">; </w:t>
      </w:r>
      <w:r w:rsidRPr="00E632A4">
        <w:rPr>
          <w:i/>
        </w:rPr>
        <w:t>n</w:t>
      </w:r>
      <w:r w:rsidRPr="00E632A4">
        <w:t xml:space="preserve"> is the number of districts; </w:t>
      </w:r>
      <w:r w:rsidRPr="00E632A4">
        <w:rPr>
          <w:i/>
        </w:rPr>
        <w:t>Block</w:t>
      </w:r>
      <w:r w:rsidRPr="00E632A4">
        <w:rPr>
          <w:i/>
          <w:vertAlign w:val="subscript"/>
        </w:rPr>
        <w:t>i,k</w:t>
      </w:r>
      <w:r w:rsidRPr="00E632A4">
        <w:t xml:space="preserve"> = 1 for students</w:t>
      </w:r>
      <w:r w:rsidRPr="000D1934">
        <w:t xml:space="preserve"> enrolled in a program at district </w:t>
      </w:r>
      <w:r w:rsidRPr="000D1934">
        <w:rPr>
          <w:i/>
        </w:rPr>
        <w:t>k</w:t>
      </w:r>
      <w:r w:rsidRPr="000D1934">
        <w:t xml:space="preserve"> and 0 otherwise; </w:t>
      </w:r>
      <w:r w:rsidRPr="000D1934">
        <w:rPr>
          <w:szCs w:val="23"/>
        </w:rPr>
        <w:t>YCC</w:t>
      </w:r>
      <w:r w:rsidRPr="000D1934">
        <w:rPr>
          <w:szCs w:val="23"/>
          <w:vertAlign w:val="subscript"/>
        </w:rPr>
        <w:t>i</w:t>
      </w:r>
      <w:r w:rsidRPr="000D1934">
        <w:rPr>
          <w:vertAlign w:val="subscript"/>
        </w:rPr>
        <w:t xml:space="preserve"> </w:t>
      </w:r>
      <w:r w:rsidRPr="000D1934">
        <w:t xml:space="preserve">= 1 for students offered YCC entrance (treatment group) and 0 </w:t>
      </w:r>
      <w:r w:rsidR="00192219">
        <w:t xml:space="preserve">otherwise </w:t>
      </w:r>
      <w:r w:rsidRPr="000D1934">
        <w:t xml:space="preserve">(comparison group); </w:t>
      </w:r>
      <w:r w:rsidRPr="000D1934">
        <w:rPr>
          <w:i/>
        </w:rPr>
        <w:t>X</w:t>
      </w:r>
      <w:r w:rsidRPr="000D1934">
        <w:rPr>
          <w:i/>
          <w:vertAlign w:val="subscript"/>
        </w:rPr>
        <w:t>i</w:t>
      </w:r>
      <w:r w:rsidRPr="000D1934">
        <w:t xml:space="preserve"> is a vector of measures of youths’ demographic characteristics (for example, disability status) and prior achievement; </w:t>
      </w:r>
      <w:r w:rsidRPr="000D1934">
        <w:rPr>
          <w:i/>
        </w:rPr>
        <w:t>P</w:t>
      </w:r>
      <w:r w:rsidRPr="000D1934">
        <w:rPr>
          <w:i/>
          <w:vertAlign w:val="subscript"/>
        </w:rPr>
        <w:t>k</w:t>
      </w:r>
      <w:r w:rsidRPr="000D1934">
        <w:t xml:space="preserve"> is a vector of program characteristics; </w:t>
      </w:r>
      <w:r w:rsidRPr="000D1934">
        <w:rPr>
          <w:i/>
        </w:rPr>
        <w:t>ϵ</w:t>
      </w:r>
      <w:r w:rsidRPr="000D1934">
        <w:t xml:space="preserve"> is the error term; and </w:t>
      </w:r>
      <w:r w:rsidRPr="000D1934">
        <w:rPr>
          <w:i/>
        </w:rPr>
        <w:t>β</w:t>
      </w:r>
      <w:r w:rsidRPr="000D1934">
        <w:rPr>
          <w:i/>
          <w:vertAlign w:val="subscript"/>
        </w:rPr>
        <w:t>k</w:t>
      </w:r>
      <w:r w:rsidRPr="000D1934">
        <w:t>,</w:t>
      </w:r>
      <w:r w:rsidRPr="000D1934">
        <w:rPr>
          <w:i/>
        </w:rPr>
        <w:t xml:space="preserve"> δ</w:t>
      </w:r>
      <w:r w:rsidRPr="000D1934">
        <w:rPr>
          <w:i/>
          <w:vertAlign w:val="subscript"/>
        </w:rPr>
        <w:t>k</w:t>
      </w:r>
      <w:r w:rsidRPr="000D1934">
        <w:t>,</w:t>
      </w:r>
      <w:r w:rsidRPr="000D1934">
        <w:rPr>
          <w:i/>
        </w:rPr>
        <w:t xml:space="preserve"> γ</w:t>
      </w:r>
      <w:r w:rsidRPr="000D1934">
        <w:rPr>
          <w:i/>
          <w:vertAlign w:val="subscript"/>
        </w:rPr>
        <w:t>i</w:t>
      </w:r>
      <w:r w:rsidRPr="000D1934">
        <w:t xml:space="preserve">, and </w:t>
      </w:r>
      <w:r w:rsidRPr="000D1934">
        <w:rPr>
          <w:i/>
        </w:rPr>
        <w:t>η</w:t>
      </w:r>
      <w:r w:rsidRPr="000D1934">
        <w:rPr>
          <w:i/>
          <w:vertAlign w:val="subscript"/>
        </w:rPr>
        <w:t>k</w:t>
      </w:r>
      <w:r w:rsidRPr="000D1934">
        <w:t xml:space="preserve"> are the vectors</w:t>
      </w:r>
      <w:r w:rsidRPr="000D1934">
        <w:rPr>
          <w:b/>
        </w:rPr>
        <w:t xml:space="preserve"> </w:t>
      </w:r>
      <w:r w:rsidRPr="000D1934">
        <w:t>of parameters to be estimated.</w:t>
      </w:r>
    </w:p>
    <w:p w14:paraId="0174541E" w14:textId="04AEC055" w:rsidR="00607239" w:rsidRPr="000D1934" w:rsidRDefault="00607239" w:rsidP="00E914EF">
      <w:pPr>
        <w:pStyle w:val="NormalSS"/>
      </w:pPr>
      <w:r w:rsidRPr="000D1934">
        <w:t xml:space="preserve">The average impact of YCC is </w:t>
      </w:r>
      <w:r w:rsidRPr="000D1934">
        <w:rPr>
          <w:position w:val="-16"/>
        </w:rPr>
        <w:object w:dxaOrig="1100" w:dyaOrig="460" w14:anchorId="1AC87F3B">
          <v:shape id="_x0000_i1027" type="#_x0000_t75" style="width:57.75pt;height:21.75pt" o:ole="">
            <v:imagedata r:id="rId13" o:title=""/>
          </v:shape>
          <o:OLEObject Type="Embed" ProgID="Equation.DSMT4" ShapeID="_x0000_i1027" DrawAspect="Content" ObjectID="_1582378796" r:id="rId14"/>
        </w:object>
      </w:r>
      <w:r w:rsidRPr="000D1934">
        <w:t xml:space="preserve">. Differences in impacts across districts can be assessed using a joint </w:t>
      </w:r>
      <w:r w:rsidRPr="00E632A4">
        <w:t>F</w:t>
      </w:r>
      <w:r w:rsidRPr="000D1934">
        <w:t>-test of the district-level impacts (</w:t>
      </w:r>
      <w:r w:rsidRPr="000D1934">
        <w:rPr>
          <w:i/>
        </w:rPr>
        <w:sym w:font="Symbol" w:char="F064"/>
      </w:r>
      <w:r w:rsidRPr="000D1934">
        <w:rPr>
          <w:i/>
          <w:vertAlign w:val="subscript"/>
        </w:rPr>
        <w:t>k</w:t>
      </w:r>
      <w:r w:rsidRPr="000D1934">
        <w:t xml:space="preserve">) and comparing the size of the impacts. </w:t>
      </w:r>
      <w:r w:rsidR="009B3BF1">
        <w:t>E</w:t>
      </w:r>
      <w:r w:rsidRPr="000D1934">
        <w:t xml:space="preserve">ach sample member </w:t>
      </w:r>
      <w:r w:rsidR="009B3BF1">
        <w:t xml:space="preserve">will be weighted </w:t>
      </w:r>
      <w:r w:rsidRPr="000D1934">
        <w:t>equally</w:t>
      </w:r>
      <w:r w:rsidR="009B3BF1">
        <w:t>, with differences</w:t>
      </w:r>
      <w:r w:rsidRPr="000D1934">
        <w:t xml:space="preserve"> </w:t>
      </w:r>
      <w:r w:rsidR="00192219">
        <w:t xml:space="preserve">will be </w:t>
      </w:r>
      <w:r w:rsidRPr="000D1934">
        <w:t>explore</w:t>
      </w:r>
      <w:r w:rsidR="009B3BF1">
        <w:t>d</w:t>
      </w:r>
      <w:r w:rsidRPr="000D1934">
        <w:t xml:space="preserve"> </w:t>
      </w:r>
      <w:r w:rsidR="009B3BF1">
        <w:t xml:space="preserve">as to </w:t>
      </w:r>
      <w:r w:rsidRPr="000D1934">
        <w:t xml:space="preserve">whether </w:t>
      </w:r>
      <w:r w:rsidR="00192219">
        <w:t xml:space="preserve">the </w:t>
      </w:r>
      <w:r w:rsidRPr="000D1934">
        <w:t>results change when each district is weighted equally. Both are valid approaches but provide slightly different estimates if districts differ in size and have heterogeneous impacts.</w:t>
      </w:r>
    </w:p>
    <w:p w14:paraId="2EB342F9" w14:textId="77777777" w:rsidR="00607239" w:rsidRDefault="009B3BF1" w:rsidP="00E914EF">
      <w:pPr>
        <w:pStyle w:val="NormalSS"/>
      </w:pPr>
      <w:r>
        <w:t xml:space="preserve">The </w:t>
      </w:r>
      <w:r w:rsidR="00607239" w:rsidRPr="000D1934">
        <w:t xml:space="preserve">primary guide to determine whether programs have an impact is the </w:t>
      </w:r>
      <w:r w:rsidR="00607239" w:rsidRPr="000D1934">
        <w:rPr>
          <w:i/>
        </w:rPr>
        <w:t>p</w:t>
      </w:r>
      <w:r w:rsidR="00607239" w:rsidRPr="000D1934">
        <w:t xml:space="preserve">-value associated with the </w:t>
      </w:r>
      <w:r w:rsidR="00607239" w:rsidRPr="000D1934">
        <w:rPr>
          <w:i/>
        </w:rPr>
        <w:t>t</w:t>
      </w:r>
      <w:r w:rsidR="00607239" w:rsidRPr="000D1934">
        <w:t xml:space="preserve">-statistic or chi-squared statistic for the null hypothesis of no program impact on that outcome variable. </w:t>
      </w:r>
      <w:r>
        <w:t>T</w:t>
      </w:r>
      <w:r w:rsidR="00607239" w:rsidRPr="000D1934">
        <w:t>he convention of reporting only treatment–comparison group differences that are statistically significant</w:t>
      </w:r>
      <w:r>
        <w:t xml:space="preserve"> will be used</w:t>
      </w:r>
      <w:r w:rsidR="00607239" w:rsidRPr="000D1934">
        <w:t xml:space="preserve">. </w:t>
      </w:r>
      <w:r>
        <w:t>D</w:t>
      </w:r>
      <w:r w:rsidR="00607239" w:rsidRPr="000D1934">
        <w:t xml:space="preserve">ifferences significant at </w:t>
      </w:r>
      <w:r w:rsidR="00607239" w:rsidRPr="000D1934">
        <w:rPr>
          <w:i/>
        </w:rPr>
        <w:t>p</w:t>
      </w:r>
      <w:r w:rsidR="00607239" w:rsidRPr="000D1934">
        <w:t xml:space="preserve"> &lt; 0.05 and </w:t>
      </w:r>
      <w:r w:rsidR="00607239" w:rsidRPr="000D1934">
        <w:rPr>
          <w:i/>
        </w:rPr>
        <w:t>p</w:t>
      </w:r>
      <w:r>
        <w:t xml:space="preserve"> &lt; 0.01 will be made known, as will the </w:t>
      </w:r>
      <w:r w:rsidR="00607239" w:rsidRPr="000D1934">
        <w:t xml:space="preserve">marginally significant findings, where </w:t>
      </w:r>
      <w:r w:rsidR="00607239" w:rsidRPr="000D1934">
        <w:rPr>
          <w:i/>
        </w:rPr>
        <w:t>p</w:t>
      </w:r>
      <w:r w:rsidR="00607239" w:rsidRPr="000D1934">
        <w:t xml:space="preserve"> &lt; 0.10, when they contribute to a consistent pattern of impacts across multiple outcomes. </w:t>
      </w:r>
      <w:r w:rsidR="00C74436">
        <w:t>T</w:t>
      </w:r>
      <w:r w:rsidR="00607239" w:rsidRPr="000D1934">
        <w:t xml:space="preserve">he Benjamini-Hochberg method </w:t>
      </w:r>
      <w:r w:rsidR="00C74436">
        <w:t xml:space="preserve">will </w:t>
      </w:r>
      <w:r w:rsidR="00814537">
        <w:t xml:space="preserve">be used to </w:t>
      </w:r>
      <w:r w:rsidR="00607239" w:rsidRPr="000D1934">
        <w:t>adjust for multiple comparisons for the primary outcomes.</w:t>
      </w:r>
    </w:p>
    <w:p w14:paraId="2E9ECDF0" w14:textId="64C3C269" w:rsidR="00607239" w:rsidRDefault="00962423" w:rsidP="00E914EF">
      <w:pPr>
        <w:pStyle w:val="NormalSS"/>
      </w:pPr>
      <w:r>
        <w:t>S</w:t>
      </w:r>
      <w:r w:rsidR="00607239" w:rsidRPr="000D1934">
        <w:t xml:space="preserve">everal additional criteria </w:t>
      </w:r>
      <w:r>
        <w:t xml:space="preserve">will be applied </w:t>
      </w:r>
      <w:r w:rsidR="00607239" w:rsidRPr="000D1934">
        <w:t xml:space="preserve">to identify potential program impacts. For example, the magnitude of the significant impact estimates </w:t>
      </w:r>
      <w:r>
        <w:t xml:space="preserve">will be examined </w:t>
      </w:r>
      <w:r w:rsidR="00607239" w:rsidRPr="000D1934">
        <w:t xml:space="preserve">to determine whether the differences are large </w:t>
      </w:r>
      <w:r>
        <w:t xml:space="preserve">enough </w:t>
      </w:r>
      <w:r w:rsidR="00607239" w:rsidRPr="000D1934">
        <w:t>to be policy relevant</w:t>
      </w:r>
      <w:r>
        <w:t>.</w:t>
      </w:r>
      <w:r w:rsidR="00607239" w:rsidRPr="000D1934">
        <w:t xml:space="preserve"> </w:t>
      </w:r>
      <w:r>
        <w:t xml:space="preserve">Also, </w:t>
      </w:r>
      <w:r w:rsidR="00607239" w:rsidRPr="000D1934">
        <w:t xml:space="preserve">the sign and magnitude of the estimated impacts </w:t>
      </w:r>
      <w:r>
        <w:t>will be checked for</w:t>
      </w:r>
      <w:r w:rsidRPr="000D1934">
        <w:t xml:space="preserve"> </w:t>
      </w:r>
      <w:r w:rsidR="00607239" w:rsidRPr="000D1934">
        <w:t xml:space="preserve">similar related outcome variables in secondary and RCT impact analyses and subgroups (discussed below). In short, program effects </w:t>
      </w:r>
      <w:r>
        <w:t xml:space="preserve">will be identified </w:t>
      </w:r>
      <w:r w:rsidR="00607239" w:rsidRPr="000D1934">
        <w:t xml:space="preserve">by examining the </w:t>
      </w:r>
      <w:r w:rsidR="00607239" w:rsidRPr="000D1934">
        <w:rPr>
          <w:i/>
        </w:rPr>
        <w:t>pattern</w:t>
      </w:r>
      <w:r w:rsidR="00607239" w:rsidRPr="000D1934">
        <w:t xml:space="preserve"> of results, rather than focusing on isolated results. Because YCC is a pilot program, it is important to see the range of potential impacts while simultaneously using rigorous criteria </w:t>
      </w:r>
      <w:r>
        <w:t>to</w:t>
      </w:r>
      <w:r w:rsidRPr="000D1934">
        <w:t xml:space="preserve"> </w:t>
      </w:r>
      <w:r w:rsidR="00607239" w:rsidRPr="000D1934">
        <w:t>interpret meaning across the outcome areas and subgroups of greatest interest.</w:t>
      </w:r>
    </w:p>
    <w:p w14:paraId="050309CA" w14:textId="77777777" w:rsidR="00607239" w:rsidRDefault="00607239" w:rsidP="00E914EF">
      <w:pPr>
        <w:pStyle w:val="NormalSS"/>
      </w:pPr>
      <w:r w:rsidRPr="000D1934">
        <w:t>The student- and district-level control variables include</w:t>
      </w:r>
      <w:r w:rsidR="00C74436">
        <w:t>d</w:t>
      </w:r>
      <w:r w:rsidRPr="000D1934">
        <w:t xml:space="preserve"> in the regression models will pertain to the period </w:t>
      </w:r>
      <w:r w:rsidRPr="000D1934">
        <w:rPr>
          <w:i/>
        </w:rPr>
        <w:t>before</w:t>
      </w:r>
      <w:r w:rsidR="009F096F">
        <w:t xml:space="preserve"> random assignment</w:t>
      </w:r>
      <w:r w:rsidRPr="000D1934">
        <w:t xml:space="preserve">. </w:t>
      </w:r>
      <w:r w:rsidR="00C74436">
        <w:t>V</w:t>
      </w:r>
      <w:r w:rsidRPr="000D1934">
        <w:t xml:space="preserve">ariables </w:t>
      </w:r>
      <w:r w:rsidR="00C74436">
        <w:t xml:space="preserve">will be selected </w:t>
      </w:r>
      <w:r w:rsidRPr="000D1934">
        <w:t xml:space="preserve">that are correlated with key outcome measures (identified using forward stepwise regression methods with a </w:t>
      </w:r>
      <w:r w:rsidRPr="000D1934">
        <w:rPr>
          <w:i/>
        </w:rPr>
        <w:t>t</w:t>
      </w:r>
      <w:r w:rsidRPr="000D1934">
        <w:t>-statistic cutoff value of 1.0), whose mean values differ across the treatment and control/comparison groups by more than 0.25 standard deviations due to random sampling or survey nonresponse, and that are consistent with the moderating pathways suggested by the theoretical logic model for the evaluation.</w:t>
      </w:r>
    </w:p>
    <w:p w14:paraId="3E44F6BC" w14:textId="77777777" w:rsidR="00607239" w:rsidRDefault="00607239" w:rsidP="00E914EF">
      <w:pPr>
        <w:pStyle w:val="NormalSS"/>
      </w:pPr>
      <w:r w:rsidRPr="000D1934">
        <w:t>The covariates for the analysis will fall into the following categories:</w:t>
      </w:r>
    </w:p>
    <w:p w14:paraId="64534A68" w14:textId="77777777" w:rsidR="00607239" w:rsidRPr="000D1934" w:rsidRDefault="00607239" w:rsidP="00AA3D41">
      <w:pPr>
        <w:pStyle w:val="ListParagraph"/>
        <w:numPr>
          <w:ilvl w:val="0"/>
          <w:numId w:val="10"/>
        </w:numPr>
        <w:tabs>
          <w:tab w:val="clear" w:pos="360"/>
          <w:tab w:val="left" w:pos="432"/>
        </w:tabs>
        <w:spacing w:after="120" w:line="254" w:lineRule="auto"/>
        <w:ind w:left="360" w:right="0"/>
        <w:contextualSpacing w:val="0"/>
        <w:jc w:val="left"/>
      </w:pPr>
      <w:r w:rsidRPr="000D1934">
        <w:rPr>
          <w:b/>
          <w:bCs/>
          <w:iCs/>
        </w:rPr>
        <w:t>Youths’ demographic characteristics</w:t>
      </w:r>
      <w:r w:rsidRPr="000D1934">
        <w:rPr>
          <w:b/>
          <w:bCs/>
          <w:i/>
          <w:iCs/>
        </w:rPr>
        <w:t>.</w:t>
      </w:r>
      <w:r w:rsidRPr="000D1934">
        <w:t xml:space="preserve"> These include measures of gender, race/ethnicity, low income (free and reduced-price lunch status), and English language status.</w:t>
      </w:r>
    </w:p>
    <w:p w14:paraId="6A5A677F" w14:textId="77777777" w:rsidR="00607239" w:rsidRPr="000D1934" w:rsidRDefault="00607239" w:rsidP="00AA3D41">
      <w:pPr>
        <w:pStyle w:val="ListParagraph"/>
        <w:numPr>
          <w:ilvl w:val="0"/>
          <w:numId w:val="10"/>
        </w:numPr>
        <w:tabs>
          <w:tab w:val="clear" w:pos="360"/>
          <w:tab w:val="left" w:pos="432"/>
        </w:tabs>
        <w:spacing w:after="120" w:line="254" w:lineRule="auto"/>
        <w:ind w:left="360" w:right="0"/>
        <w:contextualSpacing w:val="0"/>
        <w:jc w:val="left"/>
      </w:pPr>
      <w:r w:rsidRPr="000D1934">
        <w:rPr>
          <w:b/>
          <w:bCs/>
          <w:iCs/>
        </w:rPr>
        <w:t>Youths’ education background.</w:t>
      </w:r>
      <w:r w:rsidRPr="000D1934">
        <w:t xml:space="preserve"> These include measures of special education status, grade level, grade point average, and credits achieved.</w:t>
      </w:r>
    </w:p>
    <w:p w14:paraId="29416CAC" w14:textId="77777777" w:rsidR="00607239" w:rsidRPr="000D1934" w:rsidRDefault="00607239" w:rsidP="00AA3D41">
      <w:pPr>
        <w:pStyle w:val="ListParagraph"/>
        <w:numPr>
          <w:ilvl w:val="0"/>
          <w:numId w:val="10"/>
        </w:numPr>
        <w:tabs>
          <w:tab w:val="clear" w:pos="360"/>
          <w:tab w:val="left" w:pos="432"/>
        </w:tabs>
        <w:spacing w:after="240" w:line="254" w:lineRule="auto"/>
        <w:ind w:left="360" w:right="0"/>
        <w:contextualSpacing w:val="0"/>
        <w:jc w:val="left"/>
      </w:pPr>
      <w:r w:rsidRPr="000D1934">
        <w:rPr>
          <w:b/>
          <w:bCs/>
        </w:rPr>
        <w:t>Program characteristics.</w:t>
      </w:r>
      <w:r w:rsidRPr="000D1934">
        <w:rPr>
          <w:b/>
          <w:bCs/>
          <w:i/>
        </w:rPr>
        <w:t xml:space="preserve"> </w:t>
      </w:r>
      <w:r w:rsidRPr="000D1934">
        <w:rPr>
          <w:bCs/>
        </w:rPr>
        <w:t>These can include</w:t>
      </w:r>
      <w:r w:rsidRPr="000D1934">
        <w:t xml:space="preserve"> measures of program length and career pathway or strength of partnerships, level of employer engagement, intensity of </w:t>
      </w:r>
      <w:r w:rsidR="00C74436">
        <w:t xml:space="preserve">work-based learning </w:t>
      </w:r>
      <w:r w:rsidRPr="000D1934">
        <w:t>components, and small learning community (from the grantee survey).</w:t>
      </w:r>
    </w:p>
    <w:p w14:paraId="4DF2CDC9" w14:textId="77777777" w:rsidR="00607239" w:rsidRPr="000D1934" w:rsidRDefault="00C74436" w:rsidP="00E914EF">
      <w:pPr>
        <w:pStyle w:val="NormalSS"/>
        <w:rPr>
          <w:iCs/>
        </w:rPr>
      </w:pPr>
      <w:r>
        <w:t>S</w:t>
      </w:r>
      <w:r w:rsidR="00607239" w:rsidRPr="000D1934">
        <w:t xml:space="preserve">tudent-level covariates </w:t>
      </w:r>
      <w:r>
        <w:t xml:space="preserve">will be drawn from </w:t>
      </w:r>
      <w:r w:rsidR="00607239" w:rsidRPr="000D1934">
        <w:t xml:space="preserve">school records </w:t>
      </w:r>
      <w:r>
        <w:t xml:space="preserve">or </w:t>
      </w:r>
      <w:r w:rsidRPr="00C74436">
        <w:t xml:space="preserve">the </w:t>
      </w:r>
      <w:r w:rsidR="00BC3AEA">
        <w:t>grantee survey</w:t>
      </w:r>
      <w:r w:rsidRPr="00C74436">
        <w:t xml:space="preserve"> </w:t>
      </w:r>
      <w:r w:rsidR="00607239" w:rsidRPr="000D1934">
        <w:t>and construct</w:t>
      </w:r>
      <w:r>
        <w:t>ed</w:t>
      </w:r>
      <w:r w:rsidR="00607239" w:rsidRPr="000D1934">
        <w:t xml:space="preserve"> </w:t>
      </w:r>
      <w:r>
        <w:t xml:space="preserve">as </w:t>
      </w:r>
      <w:r w:rsidR="00607239" w:rsidRPr="000D1934">
        <w:t xml:space="preserve">district-level covariates. </w:t>
      </w:r>
      <w:r w:rsidR="00BC3AEA">
        <w:t>C</w:t>
      </w:r>
      <w:r w:rsidR="00607239" w:rsidRPr="000D1934">
        <w:rPr>
          <w:iCs/>
        </w:rPr>
        <w:t xml:space="preserve">ovariates </w:t>
      </w:r>
      <w:r w:rsidR="00BC3AEA">
        <w:rPr>
          <w:iCs/>
        </w:rPr>
        <w:t xml:space="preserve">will be refined </w:t>
      </w:r>
      <w:r w:rsidR="00607239" w:rsidRPr="000D1934">
        <w:rPr>
          <w:iCs/>
        </w:rPr>
        <w:t xml:space="preserve">on the basis of new </w:t>
      </w:r>
      <w:r w:rsidR="00607239" w:rsidRPr="009F096F">
        <w:t>findings</w:t>
      </w:r>
      <w:r w:rsidR="00607239" w:rsidRPr="000D1934">
        <w:rPr>
          <w:iCs/>
        </w:rPr>
        <w:t xml:space="preserve"> or hypotheses that emerge from the implementation analysis.</w:t>
      </w:r>
    </w:p>
    <w:p w14:paraId="45BD9241" w14:textId="77777777" w:rsidR="00607239" w:rsidRPr="000D1934" w:rsidRDefault="00607239" w:rsidP="00E914EF">
      <w:pPr>
        <w:pStyle w:val="NormalSS"/>
      </w:pPr>
      <w:r w:rsidRPr="000D1934">
        <w:t xml:space="preserve">When estimating impacts, </w:t>
      </w:r>
      <w:r w:rsidR="00BC3AEA">
        <w:t xml:space="preserve">the </w:t>
      </w:r>
      <w:r w:rsidRPr="000D1934">
        <w:t>analysis will include only individuals who have non</w:t>
      </w:r>
      <w:r w:rsidR="00CB5A43">
        <w:t>-</w:t>
      </w:r>
      <w:r w:rsidRPr="000D1934">
        <w:t xml:space="preserve">missing values of the outcome variable. </w:t>
      </w:r>
      <w:r w:rsidRPr="009F096F">
        <w:t>Simulations</w:t>
      </w:r>
      <w:r w:rsidRPr="000D1934">
        <w:t xml:space="preserve"> have suggested that this approach might have only a small amount of bias (0.05 standard deviations or less) when outcome data are missing at random </w:t>
      </w:r>
      <w:r w:rsidRPr="00F2123B">
        <w:t>among individuals with the same covariate values (Puma et al. 2009).</w:t>
      </w:r>
    </w:p>
    <w:p w14:paraId="703F3DBE" w14:textId="77777777" w:rsidR="00607239" w:rsidRPr="000D1934" w:rsidRDefault="00607239" w:rsidP="00E914EF">
      <w:pPr>
        <w:pStyle w:val="NormalSS"/>
      </w:pPr>
      <w:r w:rsidRPr="000D1934">
        <w:t>Individuals will not be excluded from the analysis if they had missing covariate values, as long as they had non</w:t>
      </w:r>
      <w:r w:rsidR="00D05549">
        <w:t>-</w:t>
      </w:r>
      <w:r w:rsidRPr="000D1934">
        <w:t xml:space="preserve">missing values of the outcome variable. For each covariate, missing values </w:t>
      </w:r>
      <w:r w:rsidR="00BC3AEA">
        <w:t xml:space="preserve">will be replaced </w:t>
      </w:r>
      <w:r w:rsidRPr="000D1934">
        <w:t>with a placeholder value (zero)</w:t>
      </w:r>
      <w:r w:rsidR="00BC3AEA">
        <w:t xml:space="preserve"> and an </w:t>
      </w:r>
      <w:r w:rsidRPr="000D1934">
        <w:t xml:space="preserve">additional binary indicator </w:t>
      </w:r>
      <w:r w:rsidR="00BC3AEA">
        <w:t>will note</w:t>
      </w:r>
      <w:r w:rsidRPr="000D1934">
        <w:t xml:space="preserve"> whether an individual originally had a missing value for that covariate</w:t>
      </w:r>
      <w:r w:rsidR="00BC3AEA">
        <w:t xml:space="preserve">. The missing value indicator will be </w:t>
      </w:r>
      <w:r w:rsidRPr="000D1934">
        <w:t>include</w:t>
      </w:r>
      <w:r w:rsidR="00BC3AEA">
        <w:t>d</w:t>
      </w:r>
      <w:r w:rsidRPr="000D1934">
        <w:t xml:space="preserve"> in estimations. Simulations by Puma et al. (2009) have shown that this approach to handling missing covariate data is likely to keep estimation bias at less than 0.05 standard deviations.</w:t>
      </w:r>
    </w:p>
    <w:p w14:paraId="743FAEA9" w14:textId="69BB7976" w:rsidR="00607239" w:rsidRPr="000D1934" w:rsidRDefault="00607239" w:rsidP="00E914EF">
      <w:pPr>
        <w:pStyle w:val="NormalSS"/>
      </w:pPr>
      <w:r w:rsidRPr="000D1934">
        <w:t xml:space="preserve">Estimating Equation (1) will provide unbiased estimates of the impact of the </w:t>
      </w:r>
      <w:r w:rsidRPr="000D1934">
        <w:rPr>
          <w:i/>
        </w:rPr>
        <w:t>opportunity</w:t>
      </w:r>
      <w:r w:rsidRPr="000D1934">
        <w:t xml:space="preserve"> to receive specific YCC services, referred to as intent</w:t>
      </w:r>
      <w:r w:rsidR="00A54582">
        <w:t>ion</w:t>
      </w:r>
      <w:r w:rsidRPr="000D1934">
        <w:t xml:space="preserve">-to-treat (ITT) effects. Some treatment students might </w:t>
      </w:r>
      <w:r w:rsidR="002B1B65" w:rsidRPr="001D5D9C">
        <w:rPr>
          <w:i/>
        </w:rPr>
        <w:t>not</w:t>
      </w:r>
      <w:r w:rsidRPr="000D1934">
        <w:t xml:space="preserve"> receive</w:t>
      </w:r>
      <w:r w:rsidRPr="000D1934">
        <w:rPr>
          <w:i/>
        </w:rPr>
        <w:t xml:space="preserve"> </w:t>
      </w:r>
      <w:r w:rsidRPr="000D1934">
        <w:t xml:space="preserve">YCC services, however, and some control/comparison students </w:t>
      </w:r>
      <w:r w:rsidR="002B1B65" w:rsidRPr="001D5D9C">
        <w:rPr>
          <w:i/>
        </w:rPr>
        <w:t>might</w:t>
      </w:r>
      <w:r w:rsidRPr="000D1934">
        <w:t xml:space="preserve"> receive program services</w:t>
      </w:r>
      <w:r w:rsidR="00D05549">
        <w:t>.</w:t>
      </w:r>
      <w:r w:rsidRPr="000D1934">
        <w:t xml:space="preserve"> (</w:t>
      </w:r>
      <w:r w:rsidR="00D05549">
        <w:t xml:space="preserve">Such students are </w:t>
      </w:r>
      <w:r w:rsidRPr="000D1934">
        <w:t>known as crossovers</w:t>
      </w:r>
      <w:r w:rsidR="00D05549">
        <w:t>.</w:t>
      </w:r>
      <w:r w:rsidRPr="000D1934">
        <w:t xml:space="preserve">) In such cases, the ITT effects will be diluted because they include the impacts of treatment group members who did not receive services and crossovers who did. The impacts using only those who participate in the program are referred to as </w:t>
      </w:r>
      <w:r w:rsidR="00D05549">
        <w:t>“</w:t>
      </w:r>
      <w:r w:rsidRPr="000D1934">
        <w:t>complier average causal effects</w:t>
      </w:r>
      <w:r w:rsidR="00D05549">
        <w:t>”</w:t>
      </w:r>
      <w:r w:rsidRPr="000D1934">
        <w:t xml:space="preserve"> (CACEs). From a policy standpoint, both ITT and CACE impacts are of interest; the </w:t>
      </w:r>
      <w:r w:rsidRPr="009F096F">
        <w:t>former</w:t>
      </w:r>
      <w:r w:rsidRPr="000D1934">
        <w:t xml:space="preserve"> provides the average impact among the target population, and the latter </w:t>
      </w:r>
      <w:r w:rsidR="00D05549">
        <w:t>discloses</w:t>
      </w:r>
      <w:r w:rsidRPr="000D1934">
        <w:t xml:space="preserve"> the impact of the program on participants. </w:t>
      </w:r>
      <w:r w:rsidR="00BC3AEA">
        <w:t>A</w:t>
      </w:r>
      <w:r w:rsidR="00BC3AEA" w:rsidRPr="00BC3AEA">
        <w:t>n instrumental variable approach</w:t>
      </w:r>
      <w:r w:rsidR="00BC3AEA">
        <w:t xml:space="preserve"> will be used t</w:t>
      </w:r>
      <w:r w:rsidRPr="000D1934">
        <w:t xml:space="preserve">o estimate impacts for the CACE parameter, replacing the </w:t>
      </w:r>
      <w:r w:rsidRPr="000D1934">
        <w:rPr>
          <w:i/>
        </w:rPr>
        <w:t>YCC</w:t>
      </w:r>
      <w:r w:rsidRPr="000D1934">
        <w:rPr>
          <w:i/>
          <w:vertAlign w:val="subscript"/>
        </w:rPr>
        <w:t>i</w:t>
      </w:r>
      <w:r w:rsidRPr="000D1934">
        <w:t xml:space="preserve"> indicator in Equation (1) with an indicator variable </w:t>
      </w:r>
      <w:r w:rsidRPr="000D1934">
        <w:rPr>
          <w:i/>
        </w:rPr>
        <w:t>PART</w:t>
      </w:r>
      <w:r w:rsidRPr="000D1934">
        <w:rPr>
          <w:i/>
          <w:vertAlign w:val="subscript"/>
        </w:rPr>
        <w:t>i</w:t>
      </w:r>
      <w:r w:rsidRPr="000D1934">
        <w:t xml:space="preserve"> that equals 1 for those who received YCC services and 0 for those who did not, and </w:t>
      </w:r>
      <w:r w:rsidR="00D05549">
        <w:t xml:space="preserve">will </w:t>
      </w:r>
      <w:r w:rsidRPr="000D1934">
        <w:t xml:space="preserve">use treatment status as an instrumental variable for </w:t>
      </w:r>
      <w:r w:rsidRPr="000D1934">
        <w:rPr>
          <w:i/>
        </w:rPr>
        <w:t>PART</w:t>
      </w:r>
      <w:r w:rsidRPr="000D1934">
        <w:rPr>
          <w:i/>
          <w:vertAlign w:val="subscript"/>
        </w:rPr>
        <w:t>i</w:t>
      </w:r>
      <w:r w:rsidRPr="000D1934">
        <w:t xml:space="preserve">. </w:t>
      </w:r>
      <w:r w:rsidR="00D05549">
        <w:t>D</w:t>
      </w:r>
      <w:r w:rsidRPr="000D1934">
        <w:t xml:space="preserve">ata from the PTS </w:t>
      </w:r>
      <w:r w:rsidR="00D05549">
        <w:t xml:space="preserve">will be used </w:t>
      </w:r>
      <w:r w:rsidRPr="000D1934">
        <w:t xml:space="preserve">to </w:t>
      </w:r>
      <w:r w:rsidR="008669ED">
        <w:t xml:space="preserve">capture </w:t>
      </w:r>
      <w:r w:rsidRPr="000D1934">
        <w:t xml:space="preserve">a minimal amount of meaningful YCC services </w:t>
      </w:r>
      <w:r w:rsidR="008669ED">
        <w:t>in</w:t>
      </w:r>
      <w:r w:rsidRPr="000D1934">
        <w:t xml:space="preserve"> </w:t>
      </w:r>
      <w:r w:rsidR="008669ED">
        <w:t>defining</w:t>
      </w:r>
      <w:r w:rsidRPr="000D1934">
        <w:t xml:space="preserve"> </w:t>
      </w:r>
      <w:r w:rsidRPr="000D1934">
        <w:rPr>
          <w:i/>
        </w:rPr>
        <w:t>PART</w:t>
      </w:r>
      <w:r w:rsidRPr="000D1934">
        <w:rPr>
          <w:i/>
          <w:vertAlign w:val="subscript"/>
        </w:rPr>
        <w:t>i</w:t>
      </w:r>
      <w:r w:rsidRPr="000D1934">
        <w:t>.</w:t>
      </w:r>
    </w:p>
    <w:p w14:paraId="43CEE4A4" w14:textId="77777777" w:rsidR="00607239" w:rsidRPr="000D1934" w:rsidRDefault="009F096F" w:rsidP="00607239">
      <w:pPr>
        <w:pStyle w:val="H4Number"/>
        <w:spacing w:line="254" w:lineRule="auto"/>
      </w:pPr>
      <w:bookmarkStart w:id="9" w:name="_Toc482021778"/>
      <w:bookmarkStart w:id="10" w:name="_Toc428867718"/>
      <w:r>
        <w:t>b</w:t>
      </w:r>
      <w:r w:rsidR="00607239" w:rsidRPr="000D1934">
        <w:t>.</w:t>
      </w:r>
      <w:r w:rsidR="00607239" w:rsidRPr="000D1934">
        <w:tab/>
        <w:t>Secondary impact analysis</w:t>
      </w:r>
      <w:bookmarkEnd w:id="9"/>
      <w:r w:rsidR="00607239" w:rsidRPr="000D1934">
        <w:t xml:space="preserve"> </w:t>
      </w:r>
    </w:p>
    <w:p w14:paraId="73264D54" w14:textId="315DD5C5" w:rsidR="00607239" w:rsidRPr="000D1934" w:rsidRDefault="00607239" w:rsidP="00E914EF">
      <w:pPr>
        <w:pStyle w:val="NormalSS"/>
        <w:rPr>
          <w:i/>
        </w:rPr>
      </w:pPr>
      <w:r w:rsidRPr="000D1934">
        <w:t>The secondary analysis will use school records data, the QED sample, and analyses outlined for the primary analysis to estimate impacts for (1) standardized test scores (math and English) and credit accumulation, and (2) school attendance, successful completion of Algebra I (if available), standardized test scores (math and English), and credit accumulation for different subgroups. It will answer th</w:t>
      </w:r>
      <w:r w:rsidR="00311164">
        <w:t>is</w:t>
      </w:r>
      <w:r w:rsidRPr="000D1934">
        <w:t xml:space="preserve"> research question</w:t>
      </w:r>
      <w:r w:rsidR="00311164">
        <w:t>:</w:t>
      </w:r>
      <w:r w:rsidRPr="000D1934">
        <w:t xml:space="preserve"> </w:t>
      </w:r>
      <w:r w:rsidRPr="000D1934">
        <w:rPr>
          <w:i/>
        </w:rPr>
        <w:t>Does the impact of YCC vary by student or program characteristics?</w:t>
      </w:r>
    </w:p>
    <w:bookmarkEnd w:id="10"/>
    <w:p w14:paraId="60BAAD93" w14:textId="7769D73F" w:rsidR="00607239" w:rsidRPr="00F2123B" w:rsidRDefault="00927140" w:rsidP="00E914EF">
      <w:pPr>
        <w:pStyle w:val="NormalSS"/>
      </w:pPr>
      <w:r>
        <w:t>T</w:t>
      </w:r>
      <w:r w:rsidR="00607239" w:rsidRPr="000D1934">
        <w:t>hree types of subgroups</w:t>
      </w:r>
      <w:r>
        <w:t xml:space="preserve"> will be analyzed</w:t>
      </w:r>
      <w:r w:rsidR="00607239" w:rsidRPr="000D1934">
        <w:t xml:space="preserve">: those defined by (1) characteristics (prior academic achievement and low-income status); (2) program experience (receiving an internship, having a mentor, and completing an </w:t>
      </w:r>
      <w:r>
        <w:t>individual develop</w:t>
      </w:r>
      <w:r w:rsidR="00311164">
        <w:t>ment</w:t>
      </w:r>
      <w:r>
        <w:t xml:space="preserve"> plan</w:t>
      </w:r>
      <w:r w:rsidR="00F77C58">
        <w:t>, or IDP</w:t>
      </w:r>
      <w:r w:rsidR="00607239" w:rsidRPr="000D1934">
        <w:t xml:space="preserve">); and (3) YCC cohort (that is, year and grade in which the student started YCC). As discussed below, priority subgroup analyses </w:t>
      </w:r>
      <w:r w:rsidR="008669ED">
        <w:t xml:space="preserve">will be done </w:t>
      </w:r>
      <w:r w:rsidR="00607239" w:rsidRPr="000D1934">
        <w:t xml:space="preserve">in areas that will allow </w:t>
      </w:r>
      <w:r>
        <w:t>an examination</w:t>
      </w:r>
      <w:r w:rsidR="00607239" w:rsidRPr="000D1934">
        <w:t>—in a new education environment and augmented program model—</w:t>
      </w:r>
      <w:r>
        <w:t xml:space="preserve">of </w:t>
      </w:r>
      <w:r w:rsidR="00607239" w:rsidRPr="000D1934">
        <w:t xml:space="preserve">prior research findings </w:t>
      </w:r>
      <w:r>
        <w:t xml:space="preserve">on </w:t>
      </w:r>
      <w:r w:rsidR="00607239" w:rsidRPr="000D1934">
        <w:t>career academies</w:t>
      </w:r>
      <w:r>
        <w:t xml:space="preserve">, which </w:t>
      </w:r>
      <w:r w:rsidR="00607239" w:rsidRPr="000D1934">
        <w:t xml:space="preserve">were </w:t>
      </w:r>
      <w:r>
        <w:t xml:space="preserve">similar programs found to be </w:t>
      </w:r>
      <w:r w:rsidR="00607239" w:rsidRPr="000D1934">
        <w:t xml:space="preserve">particularly successful </w:t>
      </w:r>
      <w:r w:rsidR="00311164">
        <w:t>among</w:t>
      </w:r>
      <w:r w:rsidR="00311164" w:rsidRPr="000D1934">
        <w:t xml:space="preserve"> </w:t>
      </w:r>
      <w:r w:rsidR="00607239" w:rsidRPr="000D1934">
        <w:t>low-</w:t>
      </w:r>
      <w:r w:rsidR="00607239" w:rsidRPr="00F2123B">
        <w:t xml:space="preserve">achieving, at-risk students (Kemple 2008). This was true of the academies when (1) they aligned career focus with employers’ needs (Greenstone and Looney 2011), (2) their students had internships and mentorships (Visher et al. 2004), and (3) they were offered as part of a small learning community (Cotton 2001). </w:t>
      </w:r>
      <w:r w:rsidR="003968F1">
        <w:t>To stay focused, t</w:t>
      </w:r>
      <w:r w:rsidR="00607239" w:rsidRPr="00F2123B">
        <w:t>he study will not address additional subgroup analyses</w:t>
      </w:r>
      <w:r w:rsidR="003968F1">
        <w:t xml:space="preserve">; in particular, </w:t>
      </w:r>
      <w:r w:rsidR="00607239" w:rsidRPr="00F2123B">
        <w:t>subgroups of programs with different characteristics</w:t>
      </w:r>
      <w:r w:rsidR="008669ED">
        <w:t>.</w:t>
      </w:r>
      <w:r w:rsidR="00607239" w:rsidRPr="00F2123B">
        <w:t xml:space="preserve"> Because the sample includes only 24 grantees</w:t>
      </w:r>
      <w:r w:rsidR="003968F1">
        <w:t>,</w:t>
      </w:r>
      <w:r w:rsidR="00607239" w:rsidRPr="00F2123B">
        <w:t xml:space="preserve"> </w:t>
      </w:r>
      <w:r w:rsidR="003968F1">
        <w:t>and because</w:t>
      </w:r>
      <w:r w:rsidR="00607239" w:rsidRPr="00F2123B">
        <w:t xml:space="preserve"> </w:t>
      </w:r>
      <w:r w:rsidR="00BF600C">
        <w:t xml:space="preserve">there is </w:t>
      </w:r>
      <w:r w:rsidR="00607239" w:rsidRPr="00F2123B">
        <w:t xml:space="preserve">information in implementation </w:t>
      </w:r>
      <w:r w:rsidR="00BF600C">
        <w:t xml:space="preserve">only </w:t>
      </w:r>
      <w:r w:rsidR="00607239" w:rsidRPr="00F2123B">
        <w:t>for the 10 visited, the subgroups would not contain enough districts to power the analysis, which would make find</w:t>
      </w:r>
      <w:r w:rsidR="003968F1">
        <w:t>ing</w:t>
      </w:r>
      <w:r w:rsidR="00607239" w:rsidRPr="00F2123B">
        <w:t xml:space="preserve"> statistically significant impacts</w:t>
      </w:r>
      <w:r w:rsidR="003968F1">
        <w:t xml:space="preserve"> difficult</w:t>
      </w:r>
      <w:r w:rsidR="00607239" w:rsidRPr="00F2123B">
        <w:t>.</w:t>
      </w:r>
    </w:p>
    <w:p w14:paraId="7DEDF19C" w14:textId="3FFC70E9" w:rsidR="00607239" w:rsidRPr="000C368E" w:rsidRDefault="00607239" w:rsidP="00E914EF">
      <w:pPr>
        <w:pStyle w:val="NormalSS"/>
      </w:pPr>
      <w:r w:rsidRPr="00F2123B">
        <w:rPr>
          <w:b/>
        </w:rPr>
        <w:t xml:space="preserve">Subgroups defined by student characteristics. </w:t>
      </w:r>
      <w:r w:rsidRPr="00F2123B">
        <w:t xml:space="preserve">The first subgroup analysis will use </w:t>
      </w:r>
      <w:r w:rsidRPr="00F2123B">
        <w:rPr>
          <w:i/>
          <w:iCs/>
        </w:rPr>
        <w:t>baseline</w:t>
      </w:r>
      <w:r w:rsidRPr="00F2123B">
        <w:t xml:space="preserve"> characteristics to determine the extent to which YCC services benefit students who were at risk of not succeeding. This analysis will answer a question </w:t>
      </w:r>
      <w:r w:rsidR="003968F1">
        <w:t>that has</w:t>
      </w:r>
      <w:r w:rsidR="003968F1" w:rsidRPr="00F2123B">
        <w:t xml:space="preserve"> </w:t>
      </w:r>
      <w:r w:rsidRPr="00F2123B">
        <w:t xml:space="preserve">important policy implications for targeting program services. Because studies have consistently demonstrated the strong association between past and future </w:t>
      </w:r>
      <w:r w:rsidR="003968F1" w:rsidRPr="00F2123B">
        <w:t>education performance</w:t>
      </w:r>
      <w:r w:rsidRPr="00F2123B">
        <w:t xml:space="preserve">, at-risk students could particularly benefit from YCC if program services increase motivation and skill levels, as Kemple and Snipes (2000) found </w:t>
      </w:r>
      <w:r w:rsidR="003968F1">
        <w:t xml:space="preserve">was true </w:t>
      </w:r>
      <w:r w:rsidRPr="00F2123B">
        <w:t>for career academy programs. Alternatively, higher-performing students might be in a better position to use YCC services to help them continue their education</w:t>
      </w:r>
      <w:r w:rsidRPr="000C368E">
        <w:t xml:space="preserve"> or find jobs. </w:t>
      </w:r>
      <w:r w:rsidR="003968F1">
        <w:t>This</w:t>
      </w:r>
      <w:r w:rsidR="003968F1" w:rsidRPr="000C368E">
        <w:t xml:space="preserve"> </w:t>
      </w:r>
      <w:r w:rsidRPr="000C368E">
        <w:t>analysis will operationalize at-risk status using prior academic achievement, as captured by</w:t>
      </w:r>
      <w:r w:rsidRPr="000C368E">
        <w:rPr>
          <w:i/>
        </w:rPr>
        <w:t xml:space="preserve"> </w:t>
      </w:r>
      <w:r w:rsidRPr="000C368E">
        <w:t>math and English test scores, and low-income</w:t>
      </w:r>
      <w:r w:rsidR="003968F1">
        <w:t>,</w:t>
      </w:r>
      <w:r w:rsidRPr="000C368E">
        <w:t xml:space="preserve"> as captured by eligibility for free and reduced-price lunch</w:t>
      </w:r>
      <w:r w:rsidR="003968F1">
        <w:t>es</w:t>
      </w:r>
      <w:r w:rsidRPr="000C368E">
        <w:t>. Of the 17 potential districts in the QED (of which up to 16</w:t>
      </w:r>
      <w:r w:rsidR="003968F1">
        <w:t xml:space="preserve"> will be selected</w:t>
      </w:r>
      <w:r w:rsidRPr="000C368E">
        <w:t xml:space="preserve">), 15 to 17 reported </w:t>
      </w:r>
      <w:r w:rsidR="003968F1">
        <w:t xml:space="preserve">that </w:t>
      </w:r>
      <w:r w:rsidRPr="000C368E">
        <w:t>they could provide information on academic achievement in 7th or 8th grade</w:t>
      </w:r>
      <w:r w:rsidR="003968F1">
        <w:t>,</w:t>
      </w:r>
      <w:r w:rsidRPr="000C368E">
        <w:t xml:space="preserve"> and 14 reported </w:t>
      </w:r>
      <w:r w:rsidR="003968F1">
        <w:t xml:space="preserve">that </w:t>
      </w:r>
      <w:r w:rsidRPr="000C368E">
        <w:t>they could provide information on free and reduced-priced lunch</w:t>
      </w:r>
      <w:r w:rsidR="003968F1">
        <w:t>es</w:t>
      </w:r>
      <w:r w:rsidRPr="000C368E">
        <w:t>.</w:t>
      </w:r>
    </w:p>
    <w:p w14:paraId="38D46B92" w14:textId="3BA9CAEC" w:rsidR="00607239" w:rsidRPr="000C368E" w:rsidRDefault="00F77C58" w:rsidP="00E914EF">
      <w:pPr>
        <w:pStyle w:val="NormalSS"/>
      </w:pPr>
      <w:r>
        <w:t>I</w:t>
      </w:r>
      <w:r w:rsidR="00607239" w:rsidRPr="000C368E">
        <w:t xml:space="preserve">mpacts for student subgroups defined by their prior academic achievement </w:t>
      </w:r>
      <w:r>
        <w:t xml:space="preserve">will be estimated </w:t>
      </w:r>
      <w:r w:rsidR="00607239" w:rsidRPr="000C368E">
        <w:t xml:space="preserve">by modifying Equation (1) to include terms formed by interacting subgroup indicators with the treatment status indicator and using </w:t>
      </w:r>
      <w:r w:rsidR="00607239" w:rsidRPr="000C368E">
        <w:rPr>
          <w:i/>
          <w:iCs/>
        </w:rPr>
        <w:t>F</w:t>
      </w:r>
      <w:r w:rsidR="00607239" w:rsidRPr="000C368E">
        <w:t xml:space="preserve">-tests to assess whether differences in impacts across subgroup levels are statistically significant. For example, to assess whether impacts are larger for students with lower levels of math proficiency at entrance than </w:t>
      </w:r>
      <w:r w:rsidR="003968F1">
        <w:t xml:space="preserve">for </w:t>
      </w:r>
      <w:r w:rsidR="00607239" w:rsidRPr="000C368E">
        <w:t xml:space="preserve">those with higher levels, an indicator variable </w:t>
      </w:r>
      <w:r w:rsidR="003968F1">
        <w:t xml:space="preserve">will be constructed </w:t>
      </w:r>
      <w:r w:rsidR="00607239" w:rsidRPr="000C368E">
        <w:t xml:space="preserve">that equals 1 for youth associated with low proficiency and 0 for youth with higher-proficiency levels. </w:t>
      </w:r>
      <w:r>
        <w:t>T</w:t>
      </w:r>
      <w:r w:rsidR="00607239" w:rsidRPr="000C368E">
        <w:t xml:space="preserve">his indicator </w:t>
      </w:r>
      <w:r>
        <w:t xml:space="preserve">will then be interacted </w:t>
      </w:r>
      <w:r w:rsidR="00607239" w:rsidRPr="000C368E">
        <w:t xml:space="preserve">with the treatment status indicator and </w:t>
      </w:r>
      <w:r w:rsidR="003968F1">
        <w:t xml:space="preserve">will </w:t>
      </w:r>
      <w:r w:rsidR="00FB3C16">
        <w:t xml:space="preserve">be </w:t>
      </w:r>
      <w:r w:rsidR="00607239" w:rsidRPr="000C368E">
        <w:t>include it as a covariate in the regression models.</w:t>
      </w:r>
    </w:p>
    <w:p w14:paraId="61D964D1" w14:textId="36337AC0" w:rsidR="00607239" w:rsidRPr="000C368E" w:rsidRDefault="00607239" w:rsidP="00E914EF">
      <w:pPr>
        <w:pStyle w:val="NormalSS"/>
      </w:pPr>
      <w:r w:rsidRPr="000C368E">
        <w:rPr>
          <w:b/>
        </w:rPr>
        <w:t>Subgroups defined by program experiences.</w:t>
      </w:r>
      <w:r w:rsidRPr="000C368E">
        <w:t xml:space="preserve"> </w:t>
      </w:r>
      <w:r w:rsidR="00F77C58">
        <w:t>T</w:t>
      </w:r>
      <w:r w:rsidRPr="000C368E">
        <w:t>he second set of subgroup analyses</w:t>
      </w:r>
      <w:r w:rsidR="00F77C58">
        <w:t xml:space="preserve"> </w:t>
      </w:r>
      <w:r w:rsidRPr="000C368E">
        <w:t xml:space="preserve">will examine impacts for subgroups defined by program experiences. Such analysis will help identify key program features that are particularly effective or ineffective. Analysis of the 2015 grantee survey showed a strong or moderate contrast between YCC and alternative programs with respect to specific types of work readiness training, job shadowing, field trips, paid </w:t>
      </w:r>
      <w:r w:rsidRPr="00F2123B">
        <w:t>internship, mentors, and IDP (Maxwell et al. 2017). Because these experiences help differentiate</w:t>
      </w:r>
      <w:r w:rsidRPr="000C368E">
        <w:t xml:space="preserve"> YCC from other programs, it is of interest to assess whether students who participate in these program components have better outcomes tha</w:t>
      </w:r>
      <w:r w:rsidR="003968F1">
        <w:t>n</w:t>
      </w:r>
      <w:r w:rsidRPr="000C368E">
        <w:t xml:space="preserve"> students who do not. The </w:t>
      </w:r>
      <w:r w:rsidR="003968F1">
        <w:t>Participant Tracking System (</w:t>
      </w:r>
      <w:r w:rsidRPr="000C368E">
        <w:t>PTS</w:t>
      </w:r>
      <w:r w:rsidR="003968F1">
        <w:t>)</w:t>
      </w:r>
      <w:r w:rsidRPr="000C368E">
        <w:t xml:space="preserve"> will </w:t>
      </w:r>
      <w:r w:rsidR="003968F1">
        <w:t xml:space="preserve">assist in </w:t>
      </w:r>
      <w:r w:rsidRPr="000C368E">
        <w:t>captur</w:t>
      </w:r>
      <w:r w:rsidR="003968F1">
        <w:t>ing</w:t>
      </w:r>
      <w:r w:rsidRPr="000C368E">
        <w:t xml:space="preserve"> whether YCC students in QED districts participated in an internship, had a mentor, and completed an IDP. </w:t>
      </w:r>
      <w:r w:rsidR="003968F1">
        <w:t>T</w:t>
      </w:r>
      <w:r w:rsidRPr="000C368E">
        <w:t xml:space="preserve">hese measures </w:t>
      </w:r>
      <w:r w:rsidR="003968F1">
        <w:t xml:space="preserve">will be used </w:t>
      </w:r>
      <w:r w:rsidRPr="000C368E">
        <w:t xml:space="preserve">to assess whether outcomes among students who </w:t>
      </w:r>
      <w:r w:rsidR="00814537">
        <w:t>received</w:t>
      </w:r>
      <w:r w:rsidR="00814537" w:rsidRPr="000C368E">
        <w:t xml:space="preserve"> </w:t>
      </w:r>
      <w:r w:rsidRPr="000C368E">
        <w:t xml:space="preserve">these services through YCC had improved compared to </w:t>
      </w:r>
      <w:r w:rsidR="003968F1">
        <w:t>outcomes</w:t>
      </w:r>
      <w:r w:rsidR="003968F1" w:rsidRPr="000C368E">
        <w:t xml:space="preserve"> </w:t>
      </w:r>
      <w:r w:rsidRPr="000C368E">
        <w:t xml:space="preserve">of matched students in the comparison group. </w:t>
      </w:r>
      <w:r w:rsidR="003968F1">
        <w:t>I</w:t>
      </w:r>
      <w:r w:rsidRPr="000C368E">
        <w:t xml:space="preserve">mpacts for subgroups defined by program experience </w:t>
      </w:r>
      <w:r w:rsidR="003968F1">
        <w:t xml:space="preserve">will be estimated </w:t>
      </w:r>
      <w:r w:rsidRPr="000C368E">
        <w:t xml:space="preserve">using the same procedure </w:t>
      </w:r>
      <w:r w:rsidR="003968F1">
        <w:t>as</w:t>
      </w:r>
      <w:r w:rsidR="003968F1" w:rsidRPr="000C368E">
        <w:t xml:space="preserve"> </w:t>
      </w:r>
      <w:r w:rsidRPr="000C368E">
        <w:t>that for the subgroups defined by student characteristics</w:t>
      </w:r>
      <w:r w:rsidR="003968F1">
        <w:t>;</w:t>
      </w:r>
      <w:r w:rsidRPr="000C368E">
        <w:t xml:space="preserve"> </w:t>
      </w:r>
      <w:r w:rsidR="003968F1">
        <w:t>o</w:t>
      </w:r>
      <w:r w:rsidRPr="000C368E">
        <w:t xml:space="preserve">nly the samples will vary. For example, impacts </w:t>
      </w:r>
      <w:r w:rsidR="00F77C58">
        <w:t xml:space="preserve">will be estimated </w:t>
      </w:r>
      <w:r w:rsidRPr="000C368E">
        <w:t>for the sample of YCC participants who received an internship and their matched comparison group member</w:t>
      </w:r>
      <w:r w:rsidR="003968F1">
        <w:t>s</w:t>
      </w:r>
      <w:r w:rsidRPr="000C368E">
        <w:t>; the YCC participant</w:t>
      </w:r>
      <w:r w:rsidR="003968F1">
        <w:t>s</w:t>
      </w:r>
      <w:r w:rsidRPr="000C368E">
        <w:t xml:space="preserve"> who received a mentor and their matched comparison group member</w:t>
      </w:r>
      <w:r w:rsidR="003968F1">
        <w:t>s</w:t>
      </w:r>
      <w:r w:rsidRPr="000C368E">
        <w:t>; and the YCC participant</w:t>
      </w:r>
      <w:r w:rsidR="003968F1">
        <w:t>s</w:t>
      </w:r>
      <w:r w:rsidRPr="000C368E">
        <w:t xml:space="preserve"> who completed an IDP and their matched comparison group member</w:t>
      </w:r>
      <w:r w:rsidR="003968F1">
        <w:t>s</w:t>
      </w:r>
      <w:r w:rsidRPr="000C368E">
        <w:t>.</w:t>
      </w:r>
    </w:p>
    <w:p w14:paraId="7C3CF8C5" w14:textId="3E490D1B" w:rsidR="00607239" w:rsidRPr="000C368E" w:rsidRDefault="00607239" w:rsidP="00E914EF">
      <w:pPr>
        <w:pStyle w:val="NormalSS"/>
      </w:pPr>
      <w:r w:rsidRPr="000C368E">
        <w:rPr>
          <w:b/>
        </w:rPr>
        <w:t>Subgroups defined by YCC cohorts.</w:t>
      </w:r>
      <w:r w:rsidRPr="000C368E">
        <w:t xml:space="preserve"> YCC program experience can vary with the year in which the student starts the program, </w:t>
      </w:r>
      <w:r w:rsidR="003968F1">
        <w:t>because</w:t>
      </w:r>
      <w:r w:rsidR="003968F1" w:rsidRPr="000C368E">
        <w:t xml:space="preserve"> </w:t>
      </w:r>
      <w:r w:rsidRPr="000C368E">
        <w:t xml:space="preserve">more program components might be in place in later years than shortly after the grant is awarded. </w:t>
      </w:r>
      <w:r w:rsidR="00816FC0">
        <w:t>B</w:t>
      </w:r>
      <w:r w:rsidRPr="000C368E">
        <w:t xml:space="preserve">uilding cohorts of students in the QED (Table </w:t>
      </w:r>
      <w:r w:rsidR="00B511D3" w:rsidRPr="000C368E">
        <w:t>B</w:t>
      </w:r>
      <w:r w:rsidRPr="000C368E">
        <w:t>.</w:t>
      </w:r>
      <w:r w:rsidR="00B511D3" w:rsidRPr="000C368E">
        <w:t>2</w:t>
      </w:r>
      <w:r w:rsidRPr="000C368E">
        <w:t>)</w:t>
      </w:r>
      <w:r w:rsidR="00816FC0">
        <w:t xml:space="preserve"> allows </w:t>
      </w:r>
      <w:r w:rsidRPr="000C368E">
        <w:t xml:space="preserve">use </w:t>
      </w:r>
      <w:r w:rsidR="00816FC0">
        <w:t xml:space="preserve">of </w:t>
      </w:r>
      <w:r w:rsidRPr="000C368E">
        <w:t>school records to generate impact estimates for three cohorts of students. Cohort A will have entered YCC about nine months after the YCC grant awards were made</w:t>
      </w:r>
      <w:r w:rsidR="003968F1">
        <w:t>;</w:t>
      </w:r>
      <w:r w:rsidRPr="000C368E">
        <w:t xml:space="preserve"> cohort B</w:t>
      </w:r>
      <w:r w:rsidR="003968F1">
        <w:t>,</w:t>
      </w:r>
      <w:r w:rsidRPr="000C368E">
        <w:t xml:space="preserve"> about two years after </w:t>
      </w:r>
      <w:r w:rsidR="003968F1">
        <w:t xml:space="preserve">the </w:t>
      </w:r>
      <w:r w:rsidRPr="000C368E">
        <w:t>awards</w:t>
      </w:r>
      <w:r w:rsidR="003968F1">
        <w:t>;</w:t>
      </w:r>
      <w:r w:rsidRPr="000C368E">
        <w:t xml:space="preserve"> and cohort C</w:t>
      </w:r>
      <w:r w:rsidR="003968F1">
        <w:t>,</w:t>
      </w:r>
      <w:r w:rsidRPr="000C368E">
        <w:t xml:space="preserve"> about three years after </w:t>
      </w:r>
      <w:r w:rsidR="003968F1">
        <w:t xml:space="preserve">the </w:t>
      </w:r>
      <w:r w:rsidRPr="000C368E">
        <w:t xml:space="preserve">awards. </w:t>
      </w:r>
      <w:r w:rsidR="00816FC0">
        <w:t>C</w:t>
      </w:r>
      <w:r w:rsidRPr="000C368E">
        <w:t>omparing impact estimates for cohorts of students in the same programs in the same schools</w:t>
      </w:r>
      <w:r w:rsidR="003968F1">
        <w:t>,</w:t>
      </w:r>
      <w:r w:rsidRPr="000C368E">
        <w:t xml:space="preserve"> and using the same estimation models, </w:t>
      </w:r>
      <w:r w:rsidR="00816FC0">
        <w:t xml:space="preserve">will allow an </w:t>
      </w:r>
      <w:r w:rsidRPr="000C368E">
        <w:t>assess</w:t>
      </w:r>
      <w:r w:rsidR="00816FC0">
        <w:t>ment of</w:t>
      </w:r>
      <w:r w:rsidRPr="000C368E">
        <w:t xml:space="preserve"> whether program maturation increases the program’s impact and whether impact estimates are robust over time. In addition, because cohort A will be in a position to have graduated from high school, </w:t>
      </w:r>
      <w:r w:rsidR="00B9128B">
        <w:t>it</w:t>
      </w:r>
      <w:r w:rsidR="00B9128B" w:rsidRPr="000C368E">
        <w:t xml:space="preserve"> </w:t>
      </w:r>
      <w:r w:rsidRPr="000C368E">
        <w:t xml:space="preserve">will </w:t>
      </w:r>
      <w:r w:rsidR="00B9128B">
        <w:t xml:space="preserve">be possible to </w:t>
      </w:r>
      <w:r w:rsidRPr="000C368E">
        <w:t>assess whether enrollment in YCC increases high school graduation rates.</w:t>
      </w:r>
    </w:p>
    <w:p w14:paraId="5FBBE709" w14:textId="1388A7CB" w:rsidR="00607239" w:rsidRPr="000C368E" w:rsidRDefault="00A037CC" w:rsidP="00607239">
      <w:pPr>
        <w:pStyle w:val="H4Number"/>
        <w:spacing w:line="254" w:lineRule="auto"/>
      </w:pPr>
      <w:bookmarkStart w:id="11" w:name="_Toc482021779"/>
      <w:bookmarkStart w:id="12" w:name="_Toc428867719"/>
      <w:r>
        <w:t>c</w:t>
      </w:r>
      <w:r w:rsidR="00607239" w:rsidRPr="000C368E">
        <w:t>.</w:t>
      </w:r>
      <w:r w:rsidR="00607239" w:rsidRPr="000C368E">
        <w:tab/>
        <w:t>RCT impact analysis using follow-up survey data</w:t>
      </w:r>
      <w:bookmarkEnd w:id="11"/>
    </w:p>
    <w:p w14:paraId="469B3B1B" w14:textId="32A221DF" w:rsidR="00607239" w:rsidRPr="000C368E" w:rsidRDefault="00607239" w:rsidP="00E914EF">
      <w:pPr>
        <w:pStyle w:val="NormalSS"/>
        <w:rPr>
          <w:i/>
        </w:rPr>
      </w:pPr>
      <w:r w:rsidRPr="000C368E">
        <w:t xml:space="preserve">The RCT impact analysis will use information from the follow-up survey and the RCT sample in three districts to examine treatment–control </w:t>
      </w:r>
      <w:r w:rsidR="00B9128B">
        <w:t xml:space="preserve">group </w:t>
      </w:r>
      <w:r w:rsidRPr="000C368E">
        <w:t>differences in service receipt and impacts. It will answer th</w:t>
      </w:r>
      <w:r w:rsidR="00B9128B">
        <w:t>is</w:t>
      </w:r>
      <w:r w:rsidRPr="000C368E">
        <w:t xml:space="preserve"> research question</w:t>
      </w:r>
      <w:r w:rsidR="00B9128B">
        <w:t>:</w:t>
      </w:r>
      <w:r w:rsidRPr="000C368E">
        <w:t xml:space="preserve"> </w:t>
      </w:r>
      <w:r w:rsidRPr="000C368E">
        <w:rPr>
          <w:i/>
        </w:rPr>
        <w:t>What appears to be the impact of YCC on school engagement and satisfaction, behavior at school, postsecondary credits earned during high school, educational expectations and knowledge, work readiness skills, paid work experiences, employment expectations, and reduced involvement with criminal justice and substance abuse?</w:t>
      </w:r>
    </w:p>
    <w:p w14:paraId="022FF08D" w14:textId="7447F1A6" w:rsidR="00607239" w:rsidRPr="000C368E" w:rsidRDefault="00607239" w:rsidP="00E914EF">
      <w:pPr>
        <w:pStyle w:val="NormalSS"/>
      </w:pPr>
      <w:r w:rsidRPr="000C368E">
        <w:t xml:space="preserve">Analysis using information from the follow-up survey changes impact estimations from </w:t>
      </w:r>
      <w:r w:rsidR="00B9128B">
        <w:t>E</w:t>
      </w:r>
      <w:r w:rsidRPr="000C368E">
        <w:t xml:space="preserve">quation (1) in two ways. First, additional covariates are available from the BIFs, which enables </w:t>
      </w:r>
      <w:r w:rsidR="00B9128B">
        <w:t xml:space="preserve">the </w:t>
      </w:r>
      <w:r w:rsidRPr="000C368E">
        <w:t>expan</w:t>
      </w:r>
      <w:r w:rsidR="00B9128B">
        <w:t>sion of</w:t>
      </w:r>
      <w:r w:rsidRPr="000C368E">
        <w:t xml:space="preserve"> youth characteristics (</w:t>
      </w:r>
      <w:r w:rsidRPr="000C368E">
        <w:rPr>
          <w:i/>
        </w:rPr>
        <w:t>X</w:t>
      </w:r>
      <w:r w:rsidRPr="000C368E">
        <w:rPr>
          <w:i/>
          <w:vertAlign w:val="subscript"/>
        </w:rPr>
        <w:t>i</w:t>
      </w:r>
      <w:r w:rsidRPr="000C368E">
        <w:t>) and program characteristics (</w:t>
      </w:r>
      <w:r w:rsidRPr="000C368E">
        <w:rPr>
          <w:i/>
        </w:rPr>
        <w:t>P</w:t>
      </w:r>
      <w:r w:rsidRPr="000C368E">
        <w:rPr>
          <w:i/>
          <w:vertAlign w:val="subscript"/>
        </w:rPr>
        <w:t>k</w:t>
      </w:r>
      <w:r w:rsidRPr="000C368E">
        <w:t xml:space="preserve">) included in the estimation in Equation (1). Second, information is subject to nonresponse bias that can </w:t>
      </w:r>
      <w:r w:rsidR="00B9128B">
        <w:t>alter</w:t>
      </w:r>
      <w:r w:rsidR="00B9128B" w:rsidRPr="000C368E">
        <w:t xml:space="preserve"> </w:t>
      </w:r>
      <w:r w:rsidRPr="000C368E">
        <w:t xml:space="preserve">impact estimates in Equation (1) if outcomes of survey respondents and nonrespondents differ, or if the types of individuals who respond to the surveys differ across research groups. </w:t>
      </w:r>
      <w:r w:rsidR="00E672B6">
        <w:t>B</w:t>
      </w:r>
      <w:r w:rsidR="00E672B6" w:rsidRPr="00E672B6">
        <w:t xml:space="preserve">aseline characteristics of survey respondents and nonrespondents </w:t>
      </w:r>
      <w:r w:rsidR="00E672B6">
        <w:t>will be used t</w:t>
      </w:r>
      <w:r w:rsidRPr="000C368E">
        <w:t>o assess whether survey nonresponse could be a problem for the follow-up survey</w:t>
      </w:r>
      <w:r w:rsidR="00B9128B">
        <w:t>.</w:t>
      </w:r>
      <w:r w:rsidR="00E672B6">
        <w:t xml:space="preserve"> </w:t>
      </w:r>
      <w:r w:rsidR="00B9128B">
        <w:t>S</w:t>
      </w:r>
      <w:r w:rsidRPr="000C368E">
        <w:t xml:space="preserve">chool records data (which will be available for the </w:t>
      </w:r>
      <w:r w:rsidRPr="000C368E">
        <w:rPr>
          <w:i/>
          <w:iCs/>
        </w:rPr>
        <w:t>full</w:t>
      </w:r>
      <w:r w:rsidRPr="000C368E">
        <w:t xml:space="preserve"> research sample) </w:t>
      </w:r>
      <w:r w:rsidR="00E672B6">
        <w:t xml:space="preserve">will be used </w:t>
      </w:r>
      <w:r w:rsidRPr="000C368E">
        <w:t xml:space="preserve">to conduct statistical tests (chi-squared and </w:t>
      </w:r>
      <w:r w:rsidRPr="000C368E">
        <w:rPr>
          <w:i/>
        </w:rPr>
        <w:t>t</w:t>
      </w:r>
      <w:r w:rsidRPr="000C368E">
        <w:t>-tests) and gauge whether</w:t>
      </w:r>
      <w:r w:rsidR="00B9128B">
        <w:t>,</w:t>
      </w:r>
      <w:r w:rsidRPr="000C368E">
        <w:t xml:space="preserve"> </w:t>
      </w:r>
      <w:r w:rsidR="00B9128B" w:rsidRPr="000C368E">
        <w:t>in a particular research group</w:t>
      </w:r>
      <w:r w:rsidR="00B9128B">
        <w:t>,</w:t>
      </w:r>
      <w:r w:rsidR="00B9128B" w:rsidRPr="000C368E">
        <w:t xml:space="preserve"> </w:t>
      </w:r>
      <w:r w:rsidRPr="000C368E">
        <w:t>those who responded to the surveys are representative of all those in that group. Noticeable differences between respondents and nonrespondents could indicate nonresponse bias.</w:t>
      </w:r>
    </w:p>
    <w:p w14:paraId="24BABB5D" w14:textId="22FBACB9" w:rsidR="00607239" w:rsidRPr="000C368E" w:rsidRDefault="00E672B6" w:rsidP="00E914EF">
      <w:pPr>
        <w:pStyle w:val="NormalSS"/>
      </w:pPr>
      <w:r>
        <w:t>S</w:t>
      </w:r>
      <w:r w:rsidR="00607239" w:rsidRPr="000C368E">
        <w:t xml:space="preserve">everal approaches </w:t>
      </w:r>
      <w:r>
        <w:t xml:space="preserve">will be </w:t>
      </w:r>
      <w:r w:rsidR="00B9128B">
        <w:t xml:space="preserve">used </w:t>
      </w:r>
      <w:r w:rsidR="00607239" w:rsidRPr="000C368E">
        <w:t xml:space="preserve">for correcting for potential nonresponse bias. First, any observed differences between respondents </w:t>
      </w:r>
      <w:r>
        <w:t xml:space="preserve">will be adjusted for </w:t>
      </w:r>
      <w:r w:rsidR="00607239" w:rsidRPr="000C368E">
        <w:t xml:space="preserve">across the research groups using regression models. Second, because this regression procedure will not correct for differences between respondents and nonrespondents, sample weights </w:t>
      </w:r>
      <w:r>
        <w:t xml:space="preserve">will be constructed </w:t>
      </w:r>
      <w:r w:rsidR="00607239" w:rsidRPr="000C368E">
        <w:t xml:space="preserve">so that weighted observable baseline characteristics are similar for respondents and the full sample </w:t>
      </w:r>
      <w:r w:rsidR="00B9128B">
        <w:t>(</w:t>
      </w:r>
      <w:r w:rsidR="00607239" w:rsidRPr="000C368E">
        <w:t>both respondents and nonrespondents</w:t>
      </w:r>
      <w:r w:rsidR="00B9128B">
        <w:t>)</w:t>
      </w:r>
      <w:r w:rsidR="00607239" w:rsidRPr="000C368E">
        <w:t xml:space="preserve">. </w:t>
      </w:r>
      <w:r>
        <w:t>W</w:t>
      </w:r>
      <w:r w:rsidR="00607239" w:rsidRPr="000C368E">
        <w:t xml:space="preserve">eights </w:t>
      </w:r>
      <w:r>
        <w:t xml:space="preserve">will be constructed </w:t>
      </w:r>
      <w:r w:rsidR="00607239" w:rsidRPr="000C368E">
        <w:t xml:space="preserve">for each research group separately, using propensity-score methods </w:t>
      </w:r>
      <w:r>
        <w:t xml:space="preserve">that </w:t>
      </w:r>
      <w:r w:rsidR="00607239" w:rsidRPr="000C368E">
        <w:t xml:space="preserve">(1) estimate a logit model predicting interview response, (2) calculate a propensity score for each individual in the full sample, and (3) construct nonresponse weights using the propensity scores. </w:t>
      </w:r>
      <w:r>
        <w:t>I</w:t>
      </w:r>
      <w:r w:rsidR="00607239" w:rsidRPr="000C368E">
        <w:t xml:space="preserve">ndividuals </w:t>
      </w:r>
      <w:r>
        <w:t xml:space="preserve">will be ranked </w:t>
      </w:r>
      <w:r w:rsidR="00607239" w:rsidRPr="000C368E">
        <w:t>by the size of their propensity scores and divide</w:t>
      </w:r>
      <w:r>
        <w:t>d</w:t>
      </w:r>
      <w:r w:rsidR="00607239" w:rsidRPr="000C368E">
        <w:t xml:space="preserve"> into several groups of equal size. The weight for a sample member will be inversely proportional to the mean propensity score of the group to which the person is assigned.</w:t>
      </w:r>
    </w:p>
    <w:p w14:paraId="21CC5114" w14:textId="77777777" w:rsidR="00607239" w:rsidRPr="000C368E" w:rsidRDefault="00607239" w:rsidP="00E914EF">
      <w:pPr>
        <w:pStyle w:val="NormalSS"/>
      </w:pPr>
      <w:r w:rsidRPr="000C368E">
        <w:t>This propensity-score procedure will yield large weights for respondents with characteristics associated with low response rates (that is, for those with small propensity scores). Similarly, the procedure will yield small weights for those with characteristics associated with high response rates. Therefore, the weighted characteristics of respondents should be similar, on average, to the characteristics of the entire research sample.</w:t>
      </w:r>
    </w:p>
    <w:bookmarkEnd w:id="12"/>
    <w:p w14:paraId="190F2942" w14:textId="77777777" w:rsidR="00474033" w:rsidRPr="00A037CC" w:rsidRDefault="009F096F" w:rsidP="00A037CC">
      <w:pPr>
        <w:pStyle w:val="Heading5"/>
      </w:pPr>
      <w:r w:rsidRPr="00A037CC">
        <w:t>i</w:t>
      </w:r>
      <w:r w:rsidR="00474033" w:rsidRPr="00A037CC">
        <w:t>.</w:t>
      </w:r>
      <w:r w:rsidR="00474033" w:rsidRPr="00A037CC">
        <w:tab/>
        <w:t xml:space="preserve">Precision </w:t>
      </w:r>
      <w:r w:rsidR="008A27A2" w:rsidRPr="00A037CC">
        <w:t>c</w:t>
      </w:r>
      <w:r w:rsidR="00474033" w:rsidRPr="00A037CC">
        <w:t xml:space="preserve">alculations of </w:t>
      </w:r>
      <w:r w:rsidR="00D916DE" w:rsidRPr="00A037CC">
        <w:t xml:space="preserve">the </w:t>
      </w:r>
      <w:r w:rsidR="008A27A2" w:rsidRPr="00A037CC">
        <w:t>i</w:t>
      </w:r>
      <w:r w:rsidR="00474033" w:rsidRPr="00A037CC">
        <w:t xml:space="preserve">mpact </w:t>
      </w:r>
      <w:r w:rsidR="00D916DE" w:rsidRPr="00A037CC">
        <w:t>e</w:t>
      </w:r>
      <w:r w:rsidR="00474033" w:rsidRPr="00A037CC">
        <w:t>stimates</w:t>
      </w:r>
    </w:p>
    <w:p w14:paraId="75AE79AD" w14:textId="2993999F" w:rsidR="00E914EF" w:rsidRDefault="00915768" w:rsidP="00E914EF">
      <w:pPr>
        <w:pStyle w:val="NormalSS"/>
      </w:pPr>
      <w:r w:rsidRPr="008035F6">
        <w:t xml:space="preserve">Based on </w:t>
      </w:r>
      <w:r w:rsidR="00B32C52" w:rsidRPr="008035F6">
        <w:t>the</w:t>
      </w:r>
      <w:r w:rsidR="00474033" w:rsidRPr="008035F6">
        <w:t xml:space="preserve"> </w:t>
      </w:r>
      <w:r w:rsidR="00B55BDB" w:rsidRPr="008035F6">
        <w:t xml:space="preserve">approximate </w:t>
      </w:r>
      <w:r w:rsidR="00474033" w:rsidRPr="008035F6">
        <w:t xml:space="preserve">study </w:t>
      </w:r>
      <w:r w:rsidRPr="008035F6">
        <w:t>sample size</w:t>
      </w:r>
      <w:r w:rsidR="00210489" w:rsidRPr="008035F6">
        <w:t xml:space="preserve"> of </w:t>
      </w:r>
      <w:r w:rsidR="005D000D" w:rsidRPr="008035F6">
        <w:t>3</w:t>
      </w:r>
      <w:r w:rsidR="00605228" w:rsidRPr="008035F6">
        <w:t>4</w:t>
      </w:r>
      <w:r w:rsidR="002B1C8A">
        <w:t>5</w:t>
      </w:r>
      <w:r w:rsidR="00210489" w:rsidRPr="008035F6">
        <w:t xml:space="preserve"> treatment and </w:t>
      </w:r>
      <w:r w:rsidR="002B1C8A">
        <w:t>195</w:t>
      </w:r>
      <w:r w:rsidR="00210489" w:rsidRPr="008035F6">
        <w:t xml:space="preserve"> control group members</w:t>
      </w:r>
      <w:r w:rsidRPr="008035F6">
        <w:t>, t</w:t>
      </w:r>
      <w:r w:rsidR="00A02DEC" w:rsidRPr="008035F6">
        <w:t>he evaluation will have sufficient statistical power to detect meaningful impacts on key study outcomes</w:t>
      </w:r>
      <w:r w:rsidR="002C0B88" w:rsidRPr="008035F6">
        <w:t xml:space="preserve"> that are similar to those that have been found in impact studies of similar types of interventions</w:t>
      </w:r>
      <w:r w:rsidR="00A02DEC" w:rsidRPr="008035F6">
        <w:t xml:space="preserve">. For all </w:t>
      </w:r>
      <w:r w:rsidR="00FD1C5A" w:rsidRPr="008035F6">
        <w:t xml:space="preserve">study </w:t>
      </w:r>
      <w:r w:rsidR="00A02DEC" w:rsidRPr="008035F6">
        <w:t xml:space="preserve">grantees, a significant impact on dropping out of school (a short-term outcome) </w:t>
      </w:r>
      <w:r w:rsidR="00DD66CA" w:rsidRPr="008035F6">
        <w:t xml:space="preserve">can be expected </w:t>
      </w:r>
      <w:r w:rsidR="00A02DEC" w:rsidRPr="008035F6">
        <w:t xml:space="preserve">if the true program impact is </w:t>
      </w:r>
      <w:r w:rsidR="00D060A4" w:rsidRPr="008035F6">
        <w:t>1</w:t>
      </w:r>
      <w:r w:rsidR="00B93249">
        <w:t>5</w:t>
      </w:r>
      <w:r w:rsidR="000867E9" w:rsidRPr="008035F6">
        <w:t xml:space="preserve"> </w:t>
      </w:r>
      <w:r w:rsidR="00A02DEC" w:rsidRPr="008035F6">
        <w:t>percentage points or more (</w:t>
      </w:r>
      <w:r w:rsidRPr="008035F6">
        <w:t xml:space="preserve">Table </w:t>
      </w:r>
      <w:r w:rsidR="005D000D" w:rsidRPr="008035F6">
        <w:t>B.4</w:t>
      </w:r>
      <w:r w:rsidR="00A02DEC" w:rsidRPr="008035F6">
        <w:t xml:space="preserve">); this minimum detectable impact (MDI) is </w:t>
      </w:r>
      <w:r w:rsidR="000867E9" w:rsidRPr="008035F6">
        <w:t>larger than</w:t>
      </w:r>
      <w:r w:rsidR="00A02DEC" w:rsidRPr="008035F6">
        <w:t xml:space="preserve"> the rate found in an experimental evaluation of career academies (Kemple and Snipes 2000) and </w:t>
      </w:r>
      <w:r w:rsidR="00B93249">
        <w:t>larger than</w:t>
      </w:r>
      <w:r w:rsidR="00A02DEC" w:rsidRPr="008035F6">
        <w:t xml:space="preserve"> the 12 percentage point impact found in Mathematica’s evaluation of Talent Search (Constantine et al. 2006). The MDI on achievement test scores is 0.</w:t>
      </w:r>
      <w:r w:rsidR="000867E9" w:rsidRPr="008035F6">
        <w:t>2</w:t>
      </w:r>
      <w:r w:rsidR="00B93249">
        <w:t>6</w:t>
      </w:r>
      <w:r w:rsidR="00A02DEC" w:rsidRPr="008035F6">
        <w:t xml:space="preserve"> standard deviations, which </w:t>
      </w:r>
      <w:r w:rsidR="00A54582">
        <w:t xml:space="preserve">is </w:t>
      </w:r>
      <w:r w:rsidR="00B93249">
        <w:t>similar to</w:t>
      </w:r>
      <w:r w:rsidR="000867E9" w:rsidRPr="008035F6">
        <w:t xml:space="preserve"> </w:t>
      </w:r>
      <w:r w:rsidR="00A02DEC" w:rsidRPr="008035F6">
        <w:t>the 0.25 standard deviation MDI typically targeted in school-based evaluations funded by the U.S. Department of Education</w:t>
      </w:r>
      <w:r w:rsidR="000C368E" w:rsidRPr="008035F6">
        <w:t xml:space="preserve"> (WWC Pr</w:t>
      </w:r>
      <w:r w:rsidR="00F2123B" w:rsidRPr="008035F6">
        <w:t>ocedures and Standards Handbook 2014</w:t>
      </w:r>
      <w:r w:rsidR="00FB3C16">
        <w:t xml:space="preserve">; see </w:t>
      </w:r>
      <w:r w:rsidR="000C368E" w:rsidRPr="008035F6">
        <w:t>p</w:t>
      </w:r>
      <w:r w:rsidR="00FB3C16">
        <w:t>.</w:t>
      </w:r>
      <w:r w:rsidR="000C368E" w:rsidRPr="008035F6">
        <w:t xml:space="preserve"> 23</w:t>
      </w:r>
      <w:r w:rsidR="00FB3C16">
        <w:t xml:space="preserve"> Procedures and Standards handbook</w:t>
      </w:r>
      <w:r w:rsidR="000C368E" w:rsidRPr="008035F6">
        <w:t>)</w:t>
      </w:r>
      <w:r w:rsidR="00A02DEC" w:rsidRPr="008035F6">
        <w:t>.</w:t>
      </w:r>
    </w:p>
    <w:p w14:paraId="1E794334" w14:textId="77777777" w:rsidR="00E914EF" w:rsidRDefault="00E914EF">
      <w:r>
        <w:br w:type="page"/>
      </w:r>
    </w:p>
    <w:p w14:paraId="7D67923B" w14:textId="77777777" w:rsidR="003630C3" w:rsidRDefault="003630C3" w:rsidP="00607239">
      <w:pPr>
        <w:pStyle w:val="MarkforTableTitle"/>
      </w:pPr>
      <w:r w:rsidRPr="00607239">
        <w:t xml:space="preserve">Table </w:t>
      </w:r>
      <w:r w:rsidR="00607239">
        <w:t>B.4</w:t>
      </w:r>
      <w:r w:rsidRPr="00607239">
        <w:t>. Minimum detectable impacts on key outcomes</w:t>
      </w:r>
    </w:p>
    <w:tbl>
      <w:tblPr>
        <w:tblStyle w:val="TableGrid"/>
        <w:tblW w:w="9090"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4608"/>
        <w:gridCol w:w="2232"/>
        <w:gridCol w:w="2250"/>
      </w:tblGrid>
      <w:tr w:rsidR="00DA3459" w:rsidRPr="00607239" w14:paraId="43E36119" w14:textId="77777777" w:rsidTr="00B34D55">
        <w:tc>
          <w:tcPr>
            <w:tcW w:w="4608" w:type="dxa"/>
            <w:tcBorders>
              <w:bottom w:val="nil"/>
            </w:tcBorders>
            <w:shd w:val="clear" w:color="auto" w:fill="6C6F70"/>
          </w:tcPr>
          <w:p w14:paraId="0961DEA4" w14:textId="77777777" w:rsidR="00DA3459" w:rsidRPr="00B34D55" w:rsidRDefault="00DA3459" w:rsidP="00B34D55">
            <w:pPr>
              <w:pStyle w:val="TableHeaderLeft"/>
              <w:rPr>
                <w:b/>
              </w:rPr>
            </w:pPr>
          </w:p>
        </w:tc>
        <w:tc>
          <w:tcPr>
            <w:tcW w:w="4482" w:type="dxa"/>
            <w:gridSpan w:val="2"/>
            <w:tcBorders>
              <w:bottom w:val="nil"/>
            </w:tcBorders>
            <w:shd w:val="clear" w:color="auto" w:fill="6C6F70"/>
          </w:tcPr>
          <w:p w14:paraId="0AA70123" w14:textId="77777777" w:rsidR="00DA3459" w:rsidRPr="00B34D55" w:rsidRDefault="00DA3459" w:rsidP="00B34D55">
            <w:pPr>
              <w:pStyle w:val="TableHeaderCenter"/>
              <w:rPr>
                <w:b/>
              </w:rPr>
            </w:pPr>
            <w:r w:rsidRPr="00B34D55">
              <w:rPr>
                <w:b/>
              </w:rPr>
              <w:t>Minimum detectable impact (MDI)</w:t>
            </w:r>
          </w:p>
        </w:tc>
      </w:tr>
      <w:tr w:rsidR="00DA3459" w:rsidRPr="00607239" w14:paraId="488DBDF7" w14:textId="77777777" w:rsidTr="00B34D55">
        <w:tc>
          <w:tcPr>
            <w:tcW w:w="4608" w:type="dxa"/>
            <w:tcBorders>
              <w:top w:val="nil"/>
              <w:bottom w:val="single" w:sz="4" w:space="0" w:color="auto"/>
            </w:tcBorders>
            <w:shd w:val="clear" w:color="auto" w:fill="6C6F70"/>
          </w:tcPr>
          <w:p w14:paraId="0510DD91" w14:textId="77777777" w:rsidR="00DA3459" w:rsidRPr="00B34D55" w:rsidRDefault="00DA3459" w:rsidP="00B34D55">
            <w:pPr>
              <w:pStyle w:val="TableHeaderLeft"/>
              <w:rPr>
                <w:b/>
              </w:rPr>
            </w:pPr>
            <w:r w:rsidRPr="00B34D55">
              <w:rPr>
                <w:b/>
              </w:rPr>
              <w:t>Outcome and subgroup</w:t>
            </w:r>
          </w:p>
        </w:tc>
        <w:tc>
          <w:tcPr>
            <w:tcW w:w="2232" w:type="dxa"/>
            <w:tcBorders>
              <w:top w:val="nil"/>
              <w:bottom w:val="single" w:sz="4" w:space="0" w:color="auto"/>
            </w:tcBorders>
            <w:shd w:val="clear" w:color="auto" w:fill="6C6F70"/>
          </w:tcPr>
          <w:p w14:paraId="7310C336" w14:textId="77777777" w:rsidR="00DA3459" w:rsidRPr="00B34D55" w:rsidRDefault="00DA3459" w:rsidP="00B34D55">
            <w:pPr>
              <w:pStyle w:val="TableHeaderCenter"/>
              <w:rPr>
                <w:b/>
              </w:rPr>
            </w:pPr>
            <w:r w:rsidRPr="00B34D55">
              <w:rPr>
                <w:b/>
              </w:rPr>
              <w:t>Full sample</w:t>
            </w:r>
          </w:p>
        </w:tc>
        <w:tc>
          <w:tcPr>
            <w:tcW w:w="2250" w:type="dxa"/>
            <w:tcBorders>
              <w:top w:val="nil"/>
              <w:bottom w:val="single" w:sz="4" w:space="0" w:color="auto"/>
            </w:tcBorders>
            <w:shd w:val="clear" w:color="auto" w:fill="6C6F70"/>
          </w:tcPr>
          <w:p w14:paraId="651DF004" w14:textId="77777777" w:rsidR="00DA3459" w:rsidRPr="00B34D55" w:rsidRDefault="00DA3459" w:rsidP="00B34D55">
            <w:pPr>
              <w:pStyle w:val="TableHeaderCenter"/>
              <w:rPr>
                <w:b/>
              </w:rPr>
            </w:pPr>
            <w:r w:rsidRPr="00B34D55">
              <w:rPr>
                <w:b/>
              </w:rPr>
              <w:t>50 percent subsample</w:t>
            </w:r>
          </w:p>
        </w:tc>
      </w:tr>
      <w:tr w:rsidR="00DA3459" w:rsidRPr="00607239" w14:paraId="273556CA" w14:textId="77777777" w:rsidTr="00B34D55">
        <w:tc>
          <w:tcPr>
            <w:tcW w:w="4608" w:type="dxa"/>
            <w:tcBorders>
              <w:top w:val="single" w:sz="4" w:space="0" w:color="auto"/>
            </w:tcBorders>
            <w:vAlign w:val="bottom"/>
          </w:tcPr>
          <w:p w14:paraId="00BD97E2" w14:textId="77777777" w:rsidR="00DA3459" w:rsidRPr="00607239" w:rsidRDefault="00DA3459" w:rsidP="00B34D55">
            <w:pPr>
              <w:pStyle w:val="NormalSS"/>
              <w:spacing w:before="60" w:after="60"/>
              <w:ind w:left="18" w:hanging="18"/>
              <w:rPr>
                <w:rFonts w:ascii="Arial" w:hAnsi="Arial" w:cs="Arial"/>
                <w:b/>
                <w:sz w:val="20"/>
                <w:szCs w:val="20"/>
              </w:rPr>
            </w:pPr>
            <w:r w:rsidRPr="00607239">
              <w:rPr>
                <w:rFonts w:ascii="Arial" w:hAnsi="Arial" w:cs="Arial"/>
                <w:b/>
                <w:sz w:val="20"/>
                <w:szCs w:val="20"/>
              </w:rPr>
              <w:t>Dropout (percentages)</w:t>
            </w:r>
          </w:p>
        </w:tc>
        <w:tc>
          <w:tcPr>
            <w:tcW w:w="2232" w:type="dxa"/>
            <w:tcBorders>
              <w:top w:val="single" w:sz="4" w:space="0" w:color="auto"/>
            </w:tcBorders>
          </w:tcPr>
          <w:p w14:paraId="047862D7" w14:textId="77777777" w:rsidR="00DA3459" w:rsidRPr="00607239" w:rsidRDefault="00DA3459" w:rsidP="00B34D55">
            <w:pPr>
              <w:pStyle w:val="NormalSS"/>
              <w:spacing w:before="60" w:after="60"/>
              <w:rPr>
                <w:rFonts w:ascii="Arial" w:hAnsi="Arial" w:cs="Arial"/>
                <w:sz w:val="20"/>
                <w:szCs w:val="20"/>
              </w:rPr>
            </w:pPr>
          </w:p>
        </w:tc>
        <w:tc>
          <w:tcPr>
            <w:tcW w:w="2250" w:type="dxa"/>
            <w:tcBorders>
              <w:top w:val="single" w:sz="4" w:space="0" w:color="auto"/>
            </w:tcBorders>
          </w:tcPr>
          <w:p w14:paraId="19748C41" w14:textId="77777777" w:rsidR="00DA3459" w:rsidRPr="00607239" w:rsidRDefault="00DA3459" w:rsidP="00B34D55">
            <w:pPr>
              <w:pStyle w:val="NormalSS"/>
              <w:spacing w:before="60" w:after="60"/>
              <w:rPr>
                <w:rFonts w:ascii="Arial" w:hAnsi="Arial" w:cs="Arial"/>
                <w:sz w:val="20"/>
                <w:szCs w:val="20"/>
              </w:rPr>
            </w:pPr>
          </w:p>
        </w:tc>
      </w:tr>
      <w:tr w:rsidR="00DA3459" w:rsidRPr="00607239" w14:paraId="18F5C3CA" w14:textId="77777777" w:rsidTr="00B34D55">
        <w:tc>
          <w:tcPr>
            <w:tcW w:w="4608" w:type="dxa"/>
          </w:tcPr>
          <w:p w14:paraId="444F4E4B" w14:textId="77777777" w:rsidR="00DA3459" w:rsidRPr="00607239" w:rsidRDefault="00DA3459" w:rsidP="00B34D55">
            <w:pPr>
              <w:pStyle w:val="Default"/>
              <w:spacing w:before="60" w:after="60"/>
              <w:ind w:left="216"/>
              <w:rPr>
                <w:rFonts w:ascii="Arial" w:hAnsi="Arial" w:cs="Arial"/>
                <w:sz w:val="20"/>
                <w:szCs w:val="20"/>
              </w:rPr>
            </w:pPr>
            <w:r w:rsidRPr="00607239">
              <w:rPr>
                <w:rFonts w:ascii="Arial" w:hAnsi="Arial" w:cs="Arial"/>
                <w:sz w:val="20"/>
                <w:szCs w:val="20"/>
              </w:rPr>
              <w:t>9th- and 10th-grade students</w:t>
            </w:r>
          </w:p>
        </w:tc>
        <w:tc>
          <w:tcPr>
            <w:tcW w:w="2232" w:type="dxa"/>
          </w:tcPr>
          <w:p w14:paraId="317B672B" w14:textId="77777777" w:rsidR="00DA3459" w:rsidRPr="00607239" w:rsidRDefault="00B93249" w:rsidP="00B34D55">
            <w:pPr>
              <w:pStyle w:val="Default"/>
              <w:spacing w:before="60" w:after="60"/>
              <w:jc w:val="center"/>
              <w:rPr>
                <w:rFonts w:ascii="Arial" w:hAnsi="Arial" w:cs="Arial"/>
                <w:sz w:val="20"/>
                <w:szCs w:val="20"/>
              </w:rPr>
            </w:pPr>
            <w:r>
              <w:rPr>
                <w:rFonts w:ascii="Arial" w:hAnsi="Arial" w:cs="Arial"/>
                <w:sz w:val="20"/>
                <w:szCs w:val="20"/>
              </w:rPr>
              <w:t>15</w:t>
            </w:r>
            <w:r w:rsidR="003707C4">
              <w:rPr>
                <w:rFonts w:ascii="Arial" w:hAnsi="Arial" w:cs="Arial"/>
                <w:sz w:val="20"/>
                <w:szCs w:val="20"/>
              </w:rPr>
              <w:t>.0</w:t>
            </w:r>
          </w:p>
        </w:tc>
        <w:tc>
          <w:tcPr>
            <w:tcW w:w="2250" w:type="dxa"/>
          </w:tcPr>
          <w:p w14:paraId="6631A0E1" w14:textId="77777777" w:rsidR="00DA3459" w:rsidRPr="00607239" w:rsidRDefault="00B93249" w:rsidP="00B34D55">
            <w:pPr>
              <w:pStyle w:val="Default"/>
              <w:spacing w:before="60" w:after="60"/>
              <w:jc w:val="center"/>
              <w:rPr>
                <w:rFonts w:ascii="Arial" w:hAnsi="Arial" w:cs="Arial"/>
                <w:sz w:val="20"/>
                <w:szCs w:val="20"/>
              </w:rPr>
            </w:pPr>
            <w:r>
              <w:rPr>
                <w:rFonts w:ascii="Arial" w:hAnsi="Arial" w:cs="Arial"/>
                <w:sz w:val="20"/>
                <w:szCs w:val="20"/>
              </w:rPr>
              <w:t>21.2</w:t>
            </w:r>
          </w:p>
        </w:tc>
      </w:tr>
      <w:tr w:rsidR="00DA3459" w:rsidRPr="00607239" w14:paraId="02894332" w14:textId="77777777" w:rsidTr="00B34D55">
        <w:tc>
          <w:tcPr>
            <w:tcW w:w="4608" w:type="dxa"/>
          </w:tcPr>
          <w:p w14:paraId="2764CD03" w14:textId="77777777" w:rsidR="00DA3459" w:rsidRPr="00607239" w:rsidRDefault="00DA3459" w:rsidP="00B34D55">
            <w:pPr>
              <w:pStyle w:val="Default"/>
              <w:spacing w:before="60" w:after="60"/>
              <w:ind w:left="216"/>
              <w:rPr>
                <w:rFonts w:ascii="Arial" w:hAnsi="Arial" w:cs="Arial"/>
                <w:sz w:val="20"/>
                <w:szCs w:val="20"/>
              </w:rPr>
            </w:pPr>
            <w:r w:rsidRPr="00607239">
              <w:rPr>
                <w:rFonts w:ascii="Arial" w:hAnsi="Arial" w:cs="Arial"/>
                <w:sz w:val="20"/>
                <w:szCs w:val="20"/>
              </w:rPr>
              <w:t>9th</w:t>
            </w:r>
            <w:r w:rsidR="00E812BF" w:rsidRPr="00607239">
              <w:rPr>
                <w:rFonts w:ascii="Arial" w:hAnsi="Arial" w:cs="Arial"/>
                <w:sz w:val="20"/>
                <w:szCs w:val="20"/>
              </w:rPr>
              <w:t>-</w:t>
            </w:r>
            <w:r w:rsidRPr="00607239">
              <w:rPr>
                <w:rFonts w:ascii="Arial" w:hAnsi="Arial" w:cs="Arial"/>
                <w:sz w:val="20"/>
                <w:szCs w:val="20"/>
              </w:rPr>
              <w:t>grade students only</w:t>
            </w:r>
          </w:p>
        </w:tc>
        <w:tc>
          <w:tcPr>
            <w:tcW w:w="2232" w:type="dxa"/>
          </w:tcPr>
          <w:p w14:paraId="6119C182" w14:textId="77777777" w:rsidR="00DA3459" w:rsidRPr="00607239" w:rsidRDefault="00E812BF" w:rsidP="00B34D55">
            <w:pPr>
              <w:pStyle w:val="Default"/>
              <w:spacing w:before="60" w:after="60"/>
              <w:jc w:val="center"/>
              <w:rPr>
                <w:rFonts w:ascii="Arial" w:hAnsi="Arial" w:cs="Arial"/>
                <w:sz w:val="20"/>
                <w:szCs w:val="20"/>
              </w:rPr>
            </w:pPr>
            <w:r w:rsidRPr="00607239">
              <w:rPr>
                <w:rFonts w:ascii="Arial" w:hAnsi="Arial" w:cs="Arial"/>
                <w:sz w:val="20"/>
                <w:szCs w:val="20"/>
              </w:rPr>
              <w:t>18.4</w:t>
            </w:r>
          </w:p>
        </w:tc>
        <w:tc>
          <w:tcPr>
            <w:tcW w:w="2250" w:type="dxa"/>
          </w:tcPr>
          <w:p w14:paraId="342174C4" w14:textId="77777777" w:rsidR="00DA3459" w:rsidRPr="00607239" w:rsidRDefault="00E812BF" w:rsidP="00B34D55">
            <w:pPr>
              <w:pStyle w:val="Default"/>
              <w:spacing w:before="60" w:after="60"/>
              <w:jc w:val="center"/>
              <w:rPr>
                <w:rFonts w:ascii="Arial" w:hAnsi="Arial" w:cs="Arial"/>
                <w:sz w:val="20"/>
                <w:szCs w:val="20"/>
              </w:rPr>
            </w:pPr>
            <w:r w:rsidRPr="00607239">
              <w:rPr>
                <w:rFonts w:ascii="Arial" w:hAnsi="Arial" w:cs="Arial"/>
                <w:sz w:val="20"/>
                <w:szCs w:val="20"/>
              </w:rPr>
              <w:t>26.0</w:t>
            </w:r>
          </w:p>
        </w:tc>
      </w:tr>
      <w:tr w:rsidR="00DA3459" w:rsidRPr="00607239" w14:paraId="3A78EBAC" w14:textId="77777777" w:rsidTr="00B34D55">
        <w:tc>
          <w:tcPr>
            <w:tcW w:w="4608" w:type="dxa"/>
          </w:tcPr>
          <w:p w14:paraId="66E38D49" w14:textId="77777777" w:rsidR="00DA3459" w:rsidRPr="00607239" w:rsidRDefault="00DA3459" w:rsidP="00B34D55">
            <w:pPr>
              <w:pStyle w:val="NormalSS"/>
              <w:spacing w:before="60" w:after="60"/>
              <w:ind w:left="18" w:hanging="18"/>
              <w:rPr>
                <w:rFonts w:ascii="Arial" w:hAnsi="Arial" w:cs="Arial"/>
                <w:b/>
                <w:sz w:val="20"/>
                <w:szCs w:val="20"/>
              </w:rPr>
            </w:pPr>
            <w:r w:rsidRPr="00607239">
              <w:rPr>
                <w:rFonts w:ascii="Arial" w:hAnsi="Arial" w:cs="Arial"/>
                <w:b/>
                <w:sz w:val="20"/>
                <w:szCs w:val="20"/>
              </w:rPr>
              <w:t>Math achievement (standard deviations)</w:t>
            </w:r>
          </w:p>
        </w:tc>
        <w:tc>
          <w:tcPr>
            <w:tcW w:w="2232" w:type="dxa"/>
          </w:tcPr>
          <w:p w14:paraId="42B0053C" w14:textId="77777777" w:rsidR="00DA3459" w:rsidRPr="00607239" w:rsidRDefault="00DA3459" w:rsidP="00B34D55">
            <w:pPr>
              <w:pStyle w:val="NormalSS"/>
              <w:spacing w:before="60" w:after="60"/>
              <w:jc w:val="center"/>
              <w:rPr>
                <w:rFonts w:ascii="Arial" w:hAnsi="Arial" w:cs="Arial"/>
                <w:sz w:val="20"/>
                <w:szCs w:val="20"/>
              </w:rPr>
            </w:pPr>
          </w:p>
        </w:tc>
        <w:tc>
          <w:tcPr>
            <w:tcW w:w="2250" w:type="dxa"/>
          </w:tcPr>
          <w:p w14:paraId="75C5A5DC" w14:textId="77777777" w:rsidR="00DA3459" w:rsidRPr="00607239" w:rsidRDefault="00DA3459" w:rsidP="00B34D55">
            <w:pPr>
              <w:pStyle w:val="NormalSS"/>
              <w:spacing w:before="60" w:after="60"/>
              <w:jc w:val="center"/>
              <w:rPr>
                <w:rFonts w:ascii="Arial" w:hAnsi="Arial" w:cs="Arial"/>
                <w:sz w:val="20"/>
                <w:szCs w:val="20"/>
              </w:rPr>
            </w:pPr>
          </w:p>
        </w:tc>
      </w:tr>
      <w:tr w:rsidR="00DA3459" w:rsidRPr="00607239" w14:paraId="1B7F6C93" w14:textId="77777777" w:rsidTr="00B34D55">
        <w:tc>
          <w:tcPr>
            <w:tcW w:w="4608" w:type="dxa"/>
          </w:tcPr>
          <w:p w14:paraId="4BF5FDF9" w14:textId="77777777" w:rsidR="00DA3459" w:rsidRPr="00607239" w:rsidRDefault="00E812BF" w:rsidP="00B34D55">
            <w:pPr>
              <w:pStyle w:val="Default"/>
              <w:spacing w:before="60" w:after="60"/>
              <w:ind w:left="216"/>
              <w:rPr>
                <w:rFonts w:ascii="Arial" w:hAnsi="Arial" w:cs="Arial"/>
                <w:sz w:val="20"/>
                <w:szCs w:val="20"/>
              </w:rPr>
            </w:pPr>
            <w:r w:rsidRPr="00607239">
              <w:rPr>
                <w:rFonts w:ascii="Arial" w:hAnsi="Arial" w:cs="Arial"/>
                <w:sz w:val="20"/>
                <w:szCs w:val="20"/>
              </w:rPr>
              <w:t>9th- and 10th-grade students</w:t>
            </w:r>
          </w:p>
        </w:tc>
        <w:tc>
          <w:tcPr>
            <w:tcW w:w="2232" w:type="dxa"/>
          </w:tcPr>
          <w:p w14:paraId="371D2727" w14:textId="77777777" w:rsidR="00DA3459" w:rsidRPr="00607239" w:rsidRDefault="00092374" w:rsidP="00B34D55">
            <w:pPr>
              <w:pStyle w:val="Default"/>
              <w:spacing w:before="60" w:after="60"/>
              <w:jc w:val="center"/>
              <w:rPr>
                <w:rFonts w:ascii="Arial" w:hAnsi="Arial" w:cs="Arial"/>
                <w:sz w:val="20"/>
                <w:szCs w:val="20"/>
              </w:rPr>
            </w:pPr>
            <w:r w:rsidRPr="00607239">
              <w:rPr>
                <w:rFonts w:ascii="Arial" w:hAnsi="Arial" w:cs="Arial"/>
                <w:sz w:val="20"/>
                <w:szCs w:val="20"/>
              </w:rPr>
              <w:t>0.2</w:t>
            </w:r>
            <w:r w:rsidR="00B93249">
              <w:rPr>
                <w:rFonts w:ascii="Arial" w:hAnsi="Arial" w:cs="Arial"/>
                <w:sz w:val="20"/>
                <w:szCs w:val="20"/>
              </w:rPr>
              <w:t>63</w:t>
            </w:r>
          </w:p>
        </w:tc>
        <w:tc>
          <w:tcPr>
            <w:tcW w:w="2250" w:type="dxa"/>
          </w:tcPr>
          <w:p w14:paraId="7473DA02" w14:textId="77777777" w:rsidR="00DA3459" w:rsidRPr="00607239" w:rsidRDefault="00092374" w:rsidP="00B34D55">
            <w:pPr>
              <w:pStyle w:val="Default"/>
              <w:spacing w:before="60" w:after="60"/>
              <w:jc w:val="center"/>
              <w:rPr>
                <w:rFonts w:ascii="Arial" w:hAnsi="Arial" w:cs="Arial"/>
                <w:sz w:val="20"/>
                <w:szCs w:val="20"/>
              </w:rPr>
            </w:pPr>
            <w:r w:rsidRPr="00607239">
              <w:rPr>
                <w:rFonts w:ascii="Arial" w:hAnsi="Arial" w:cs="Arial"/>
                <w:sz w:val="20"/>
                <w:szCs w:val="20"/>
              </w:rPr>
              <w:t>0.3</w:t>
            </w:r>
            <w:r w:rsidR="00B93249">
              <w:rPr>
                <w:rFonts w:ascii="Arial" w:hAnsi="Arial" w:cs="Arial"/>
                <w:sz w:val="20"/>
                <w:szCs w:val="20"/>
              </w:rPr>
              <w:t>72</w:t>
            </w:r>
          </w:p>
        </w:tc>
      </w:tr>
      <w:tr w:rsidR="00DA3459" w:rsidRPr="00607239" w14:paraId="32E74B02" w14:textId="77777777" w:rsidTr="00B34D55">
        <w:tc>
          <w:tcPr>
            <w:tcW w:w="4608" w:type="dxa"/>
          </w:tcPr>
          <w:p w14:paraId="027501F9" w14:textId="77777777" w:rsidR="00DA3459" w:rsidRPr="00607239" w:rsidRDefault="00E812BF" w:rsidP="00B34D55">
            <w:pPr>
              <w:pStyle w:val="Default"/>
              <w:spacing w:before="60" w:after="60"/>
              <w:ind w:left="216"/>
              <w:rPr>
                <w:rFonts w:ascii="Arial" w:hAnsi="Arial" w:cs="Arial"/>
                <w:sz w:val="20"/>
                <w:szCs w:val="20"/>
              </w:rPr>
            </w:pPr>
            <w:r w:rsidRPr="00607239">
              <w:rPr>
                <w:rFonts w:ascii="Arial" w:hAnsi="Arial" w:cs="Arial"/>
                <w:sz w:val="20"/>
                <w:szCs w:val="20"/>
              </w:rPr>
              <w:t>9th-grade students only</w:t>
            </w:r>
          </w:p>
        </w:tc>
        <w:tc>
          <w:tcPr>
            <w:tcW w:w="2232" w:type="dxa"/>
          </w:tcPr>
          <w:p w14:paraId="5DD95445" w14:textId="77777777" w:rsidR="00DA3459" w:rsidRPr="00607239" w:rsidRDefault="00E812BF" w:rsidP="00B34D55">
            <w:pPr>
              <w:pStyle w:val="Default"/>
              <w:spacing w:before="60" w:after="60"/>
              <w:jc w:val="center"/>
              <w:rPr>
                <w:rFonts w:ascii="Arial" w:hAnsi="Arial" w:cs="Arial"/>
                <w:sz w:val="20"/>
                <w:szCs w:val="20"/>
              </w:rPr>
            </w:pPr>
            <w:r w:rsidRPr="00607239">
              <w:rPr>
                <w:rFonts w:ascii="Arial" w:hAnsi="Arial" w:cs="Arial"/>
                <w:sz w:val="20"/>
                <w:szCs w:val="20"/>
              </w:rPr>
              <w:t>0.322</w:t>
            </w:r>
          </w:p>
        </w:tc>
        <w:tc>
          <w:tcPr>
            <w:tcW w:w="2250" w:type="dxa"/>
          </w:tcPr>
          <w:p w14:paraId="7582B85A" w14:textId="77777777" w:rsidR="00DA3459" w:rsidRPr="00607239" w:rsidRDefault="00E812BF" w:rsidP="00B34D55">
            <w:pPr>
              <w:pStyle w:val="Default"/>
              <w:spacing w:before="60" w:after="60"/>
              <w:jc w:val="center"/>
              <w:rPr>
                <w:rFonts w:ascii="Arial" w:hAnsi="Arial" w:cs="Arial"/>
                <w:sz w:val="20"/>
                <w:szCs w:val="20"/>
              </w:rPr>
            </w:pPr>
            <w:r w:rsidRPr="00607239">
              <w:rPr>
                <w:rFonts w:ascii="Arial" w:hAnsi="Arial" w:cs="Arial"/>
                <w:sz w:val="20"/>
                <w:szCs w:val="20"/>
              </w:rPr>
              <w:t>0.455</w:t>
            </w:r>
          </w:p>
        </w:tc>
      </w:tr>
      <w:tr w:rsidR="00DA3459" w:rsidRPr="00607239" w14:paraId="7A7C2BB4" w14:textId="77777777" w:rsidTr="00B34D55">
        <w:tc>
          <w:tcPr>
            <w:tcW w:w="4608" w:type="dxa"/>
          </w:tcPr>
          <w:p w14:paraId="6E355E5F" w14:textId="77777777" w:rsidR="00DA3459" w:rsidRPr="00607239" w:rsidRDefault="00DA3459" w:rsidP="00A02DEC">
            <w:pPr>
              <w:pStyle w:val="NormalSS"/>
              <w:rPr>
                <w:rFonts w:ascii="Arial" w:hAnsi="Arial" w:cs="Arial"/>
                <w:sz w:val="20"/>
                <w:szCs w:val="20"/>
              </w:rPr>
            </w:pPr>
          </w:p>
        </w:tc>
        <w:tc>
          <w:tcPr>
            <w:tcW w:w="2232" w:type="dxa"/>
          </w:tcPr>
          <w:p w14:paraId="107249C4" w14:textId="77777777" w:rsidR="00DA3459" w:rsidRPr="00607239" w:rsidRDefault="00DA3459" w:rsidP="00A02DEC">
            <w:pPr>
              <w:pStyle w:val="NormalSS"/>
              <w:rPr>
                <w:rFonts w:ascii="Arial" w:hAnsi="Arial" w:cs="Arial"/>
                <w:sz w:val="20"/>
                <w:szCs w:val="20"/>
              </w:rPr>
            </w:pPr>
          </w:p>
        </w:tc>
        <w:tc>
          <w:tcPr>
            <w:tcW w:w="2250" w:type="dxa"/>
          </w:tcPr>
          <w:p w14:paraId="0B84A35F" w14:textId="77777777" w:rsidR="00DA3459" w:rsidRPr="00607239" w:rsidRDefault="00DA3459" w:rsidP="00A02DEC">
            <w:pPr>
              <w:pStyle w:val="NormalSS"/>
              <w:rPr>
                <w:rFonts w:ascii="Arial" w:hAnsi="Arial" w:cs="Arial"/>
                <w:sz w:val="20"/>
                <w:szCs w:val="20"/>
              </w:rPr>
            </w:pPr>
          </w:p>
        </w:tc>
      </w:tr>
    </w:tbl>
    <w:tbl>
      <w:tblPr>
        <w:tblW w:w="0" w:type="auto"/>
        <w:tblBorders>
          <w:top w:val="nil"/>
          <w:left w:val="nil"/>
          <w:bottom w:val="nil"/>
          <w:right w:val="nil"/>
        </w:tblBorders>
        <w:tblLayout w:type="fixed"/>
        <w:tblLook w:val="0000" w:firstRow="0" w:lastRow="0" w:firstColumn="0" w:lastColumn="0" w:noHBand="0" w:noVBand="0"/>
      </w:tblPr>
      <w:tblGrid>
        <w:gridCol w:w="9141"/>
      </w:tblGrid>
      <w:tr w:rsidR="003630C3" w14:paraId="395B5863" w14:textId="77777777">
        <w:trPr>
          <w:trHeight w:val="119"/>
        </w:trPr>
        <w:tc>
          <w:tcPr>
            <w:tcW w:w="9141" w:type="dxa"/>
          </w:tcPr>
          <w:p w14:paraId="08A5A170" w14:textId="77777777" w:rsidR="00812723" w:rsidRDefault="00812723" w:rsidP="00812723">
            <w:pPr>
              <w:pStyle w:val="Default"/>
              <w:rPr>
                <w:sz w:val="18"/>
                <w:szCs w:val="18"/>
              </w:rPr>
            </w:pPr>
            <w:r>
              <w:rPr>
                <w:sz w:val="18"/>
                <w:szCs w:val="18"/>
              </w:rPr>
              <w:t xml:space="preserve">Note: The </w:t>
            </w:r>
            <w:r w:rsidR="004C0B70">
              <w:rPr>
                <w:sz w:val="18"/>
                <w:szCs w:val="18"/>
              </w:rPr>
              <w:t>intention-to-treat (</w:t>
            </w:r>
            <w:r>
              <w:rPr>
                <w:sz w:val="18"/>
                <w:szCs w:val="18"/>
              </w:rPr>
              <w:t>ITT</w:t>
            </w:r>
            <w:r w:rsidR="004C0B70">
              <w:rPr>
                <w:sz w:val="18"/>
                <w:szCs w:val="18"/>
              </w:rPr>
              <w:t>)</w:t>
            </w:r>
            <w:r>
              <w:rPr>
                <w:sz w:val="18"/>
                <w:szCs w:val="18"/>
              </w:rPr>
              <w:t xml:space="preserve"> analysis is based on the offer of YCC services. The MDI formula for the ITT estimates is as follows: </w:t>
            </w:r>
          </w:p>
          <w:p w14:paraId="07614331" w14:textId="2D13DE96" w:rsidR="00E75084" w:rsidRDefault="004C0B70" w:rsidP="00E914EF">
            <w:pPr>
              <w:pStyle w:val="Default"/>
              <w:spacing w:after="240"/>
              <w:rPr>
                <w:sz w:val="18"/>
                <w:szCs w:val="18"/>
              </w:rPr>
            </w:pPr>
            <w:r w:rsidRPr="004C0B70">
              <w:rPr>
                <w:position w:val="-34"/>
                <w:sz w:val="18"/>
                <w:szCs w:val="18"/>
              </w:rPr>
              <w:object w:dxaOrig="4099" w:dyaOrig="840" w14:anchorId="18C5C238">
                <v:shape id="_x0000_i1028" type="#_x0000_t75" style="width:208.5pt;height:43.5pt" o:ole="">
                  <v:imagedata r:id="rId15" o:title=""/>
                </v:shape>
                <o:OLEObject Type="Embed" ProgID="Equation.DSMT4" ShapeID="_x0000_i1028" DrawAspect="Content" ObjectID="_1582378797" r:id="rId16"/>
              </w:object>
            </w:r>
            <w:r>
              <w:rPr>
                <w:sz w:val="18"/>
                <w:szCs w:val="18"/>
              </w:rPr>
              <w:t xml:space="preserve"> </w:t>
            </w:r>
            <w:r w:rsidR="00812723">
              <w:rPr>
                <w:sz w:val="18"/>
                <w:szCs w:val="18"/>
              </w:rPr>
              <w:t>where</w:t>
            </w:r>
            <w:r>
              <w:rPr>
                <w:sz w:val="18"/>
                <w:szCs w:val="18"/>
              </w:rPr>
              <w:t xml:space="preserve"> </w:t>
            </w:r>
            <w:r w:rsidR="002B1C8A" w:rsidRPr="000F0AFE">
              <w:rPr>
                <w:position w:val="-6"/>
              </w:rPr>
              <w:object w:dxaOrig="240" w:dyaOrig="220" w14:anchorId="683E9951">
                <v:shape id="_x0000_i1029" type="#_x0000_t75" style="width:14.25pt;height:14.25pt" o:ole="">
                  <v:imagedata r:id="rId17" o:title=""/>
                </v:shape>
                <o:OLEObject Type="Embed" ProgID="Equation.DSMT4" ShapeID="_x0000_i1029" DrawAspect="Content" ObjectID="_1582378798" r:id="rId18"/>
              </w:object>
            </w:r>
            <w:r w:rsidR="002B1C8A">
              <w:rPr>
                <w:sz w:val="18"/>
                <w:szCs w:val="18"/>
              </w:rPr>
              <w:t xml:space="preserve"> </w:t>
            </w:r>
            <w:r w:rsidR="00812723">
              <w:rPr>
                <w:sz w:val="18"/>
                <w:szCs w:val="18"/>
              </w:rPr>
              <w:t>is the standard deviation of the outcome measure,</w:t>
            </w:r>
            <w:r>
              <w:rPr>
                <w:sz w:val="18"/>
                <w:szCs w:val="18"/>
              </w:rPr>
              <w:t xml:space="preserve"> </w:t>
            </w:r>
            <w:r w:rsidRPr="004C0B70">
              <w:rPr>
                <w:position w:val="-4"/>
                <w:sz w:val="18"/>
                <w:szCs w:val="18"/>
              </w:rPr>
              <w:object w:dxaOrig="180" w:dyaOrig="200" w14:anchorId="44D0362F">
                <v:shape id="_x0000_i1030" type="#_x0000_t75" style="width:7.5pt;height:7.5pt" o:ole="">
                  <v:imagedata r:id="rId19" o:title=""/>
                </v:shape>
                <o:OLEObject Type="Embed" ProgID="Equation.DSMT4" ShapeID="_x0000_i1030" DrawAspect="Content" ObjectID="_1582378799" r:id="rId20"/>
              </w:object>
            </w:r>
            <w:r w:rsidR="00812723">
              <w:rPr>
                <w:sz w:val="18"/>
                <w:szCs w:val="18"/>
              </w:rPr>
              <w:t xml:space="preserve"> is the survey or school records response rate, </w:t>
            </w:r>
            <w:r w:rsidRPr="004C0B70">
              <w:rPr>
                <w:position w:val="-4"/>
                <w:sz w:val="18"/>
                <w:szCs w:val="18"/>
              </w:rPr>
              <w:object w:dxaOrig="320" w:dyaOrig="300" w14:anchorId="02BB901B">
                <v:shape id="_x0000_i1031" type="#_x0000_t75" style="width:14.25pt;height:14.25pt" o:ole="">
                  <v:imagedata r:id="rId21" o:title=""/>
                </v:shape>
                <o:OLEObject Type="Embed" ProgID="Equation.DSMT4" ShapeID="_x0000_i1031" DrawAspect="Content" ObjectID="_1582378800" r:id="rId22"/>
              </w:object>
            </w:r>
            <w:r>
              <w:rPr>
                <w:sz w:val="18"/>
                <w:szCs w:val="18"/>
              </w:rPr>
              <w:t xml:space="preserve"> </w:t>
            </w:r>
            <w:r w:rsidR="00812723">
              <w:rPr>
                <w:sz w:val="18"/>
                <w:szCs w:val="18"/>
              </w:rPr>
              <w:t xml:space="preserve">is the explanatory power of regression variables, and </w:t>
            </w:r>
            <w:r w:rsidRPr="004C0B70">
              <w:rPr>
                <w:position w:val="-10"/>
                <w:sz w:val="18"/>
                <w:szCs w:val="18"/>
              </w:rPr>
              <w:object w:dxaOrig="340" w:dyaOrig="340" w14:anchorId="709405EA">
                <v:shape id="_x0000_i1032" type="#_x0000_t75" style="width:14.25pt;height:14.25pt" o:ole="">
                  <v:imagedata r:id="rId23" o:title=""/>
                </v:shape>
                <o:OLEObject Type="Embed" ProgID="Equation.DSMT4" ShapeID="_x0000_i1032" DrawAspect="Content" ObjectID="_1582378801" r:id="rId24"/>
              </w:object>
            </w:r>
            <w:r>
              <w:rPr>
                <w:sz w:val="18"/>
                <w:szCs w:val="18"/>
              </w:rPr>
              <w:t xml:space="preserve"> </w:t>
            </w:r>
            <w:r w:rsidR="00812723">
              <w:rPr>
                <w:sz w:val="18"/>
                <w:szCs w:val="18"/>
              </w:rPr>
              <w:t xml:space="preserve">and </w:t>
            </w:r>
            <w:r w:rsidRPr="004C0B70">
              <w:rPr>
                <w:position w:val="-12"/>
                <w:sz w:val="18"/>
                <w:szCs w:val="18"/>
              </w:rPr>
              <w:object w:dxaOrig="360" w:dyaOrig="360" w14:anchorId="79B3E55B">
                <v:shape id="_x0000_i1033" type="#_x0000_t75" style="width:21.75pt;height:14.25pt" o:ole="">
                  <v:imagedata r:id="rId25" o:title=""/>
                </v:shape>
                <o:OLEObject Type="Embed" ProgID="Equation.DSMT4" ShapeID="_x0000_i1033" DrawAspect="Content" ObjectID="_1582378802" r:id="rId26"/>
              </w:object>
            </w:r>
            <w:r>
              <w:rPr>
                <w:sz w:val="18"/>
                <w:szCs w:val="18"/>
              </w:rPr>
              <w:t xml:space="preserve"> </w:t>
            </w:r>
            <w:r w:rsidR="00812723">
              <w:rPr>
                <w:sz w:val="18"/>
                <w:szCs w:val="18"/>
              </w:rPr>
              <w:t>are sample sizes for the treatment and control groups, respectively</w:t>
            </w:r>
            <w:r w:rsidR="00027E1E">
              <w:rPr>
                <w:sz w:val="18"/>
                <w:szCs w:val="18"/>
              </w:rPr>
              <w:t xml:space="preserve"> (see Schochet 2008)</w:t>
            </w:r>
            <w:r w:rsidR="00812723">
              <w:rPr>
                <w:sz w:val="18"/>
                <w:szCs w:val="18"/>
              </w:rPr>
              <w:t xml:space="preserve">. </w:t>
            </w:r>
            <w:r w:rsidR="00A32401">
              <w:rPr>
                <w:sz w:val="18"/>
                <w:szCs w:val="18"/>
              </w:rPr>
              <w:t>A</w:t>
            </w:r>
            <w:r w:rsidR="00812723">
              <w:rPr>
                <w:sz w:val="18"/>
                <w:szCs w:val="18"/>
              </w:rPr>
              <w:t>nalysis of data from similar populations</w:t>
            </w:r>
            <w:r w:rsidR="00A32401">
              <w:rPr>
                <w:sz w:val="18"/>
                <w:szCs w:val="18"/>
              </w:rPr>
              <w:t xml:space="preserve"> suggests </w:t>
            </w:r>
            <w:r w:rsidR="00812723">
              <w:rPr>
                <w:i/>
                <w:iCs/>
                <w:sz w:val="18"/>
                <w:szCs w:val="18"/>
              </w:rPr>
              <w:t xml:space="preserve">r </w:t>
            </w:r>
            <w:r w:rsidR="00812723">
              <w:rPr>
                <w:sz w:val="18"/>
                <w:szCs w:val="18"/>
              </w:rPr>
              <w:t xml:space="preserve">= 0.80 for </w:t>
            </w:r>
            <w:r w:rsidR="007C6701">
              <w:rPr>
                <w:sz w:val="18"/>
                <w:szCs w:val="18"/>
              </w:rPr>
              <w:t xml:space="preserve">the </w:t>
            </w:r>
            <w:r w:rsidR="00812723">
              <w:rPr>
                <w:sz w:val="18"/>
                <w:szCs w:val="18"/>
              </w:rPr>
              <w:t>survey outcome</w:t>
            </w:r>
            <w:r w:rsidR="007C6701">
              <w:rPr>
                <w:sz w:val="18"/>
                <w:szCs w:val="18"/>
              </w:rPr>
              <w:t>s (dropout)</w:t>
            </w:r>
            <w:r w:rsidR="00A54582">
              <w:rPr>
                <w:sz w:val="18"/>
                <w:szCs w:val="18"/>
              </w:rPr>
              <w:t xml:space="preserve"> a</w:t>
            </w:r>
            <w:r w:rsidR="00A32401">
              <w:rPr>
                <w:sz w:val="18"/>
                <w:szCs w:val="18"/>
              </w:rPr>
              <w:t xml:space="preserve">nd </w:t>
            </w:r>
            <w:r w:rsidR="00812723">
              <w:rPr>
                <w:i/>
                <w:iCs/>
                <w:sz w:val="18"/>
                <w:szCs w:val="18"/>
              </w:rPr>
              <w:t xml:space="preserve">r </w:t>
            </w:r>
            <w:r w:rsidR="00812723">
              <w:rPr>
                <w:sz w:val="18"/>
                <w:szCs w:val="18"/>
              </w:rPr>
              <w:t>= 0.87</w:t>
            </w:r>
            <w:r w:rsidR="00A32401">
              <w:rPr>
                <w:sz w:val="18"/>
                <w:szCs w:val="18"/>
              </w:rPr>
              <w:t xml:space="preserve"> f</w:t>
            </w:r>
            <w:r w:rsidR="00A32401" w:rsidRPr="00A32401">
              <w:rPr>
                <w:sz w:val="18"/>
                <w:szCs w:val="18"/>
              </w:rPr>
              <w:t>or the outcomes based on school records data (math achievement)</w:t>
            </w:r>
            <w:r w:rsidR="00812723">
              <w:rPr>
                <w:sz w:val="18"/>
                <w:szCs w:val="18"/>
              </w:rPr>
              <w:t xml:space="preserve">. </w:t>
            </w:r>
            <w:r w:rsidRPr="004C0B70">
              <w:rPr>
                <w:position w:val="-4"/>
                <w:sz w:val="18"/>
                <w:szCs w:val="18"/>
              </w:rPr>
              <w:object w:dxaOrig="320" w:dyaOrig="300" w14:anchorId="0572D4DD">
                <v:shape id="_x0000_i1034" type="#_x0000_t75" style="width:14.25pt;height:14.25pt" o:ole="">
                  <v:imagedata r:id="rId27" o:title=""/>
                </v:shape>
                <o:OLEObject Type="Embed" ProgID="Equation.DSMT4" ShapeID="_x0000_i1034" DrawAspect="Content" ObjectID="_1582378803" r:id="rId28"/>
              </w:object>
            </w:r>
            <w:r>
              <w:rPr>
                <w:sz w:val="18"/>
                <w:szCs w:val="18"/>
              </w:rPr>
              <w:t xml:space="preserve"> </w:t>
            </w:r>
            <w:r w:rsidR="00812723">
              <w:rPr>
                <w:sz w:val="18"/>
                <w:szCs w:val="18"/>
              </w:rPr>
              <w:t xml:space="preserve">is set to 0.2 for the dropout rate and 0.5 for the academic achievement test based on previous experience. The MDI calculations assume a two-tailed test with 80 percent power and a 5 percent significance level, </w:t>
            </w:r>
            <w:r>
              <w:rPr>
                <w:sz w:val="18"/>
                <w:szCs w:val="18"/>
              </w:rPr>
              <w:t xml:space="preserve">yielding a factor of 2.80 </w:t>
            </w:r>
            <w:r w:rsidR="00812723">
              <w:rPr>
                <w:sz w:val="18"/>
                <w:szCs w:val="18"/>
              </w:rPr>
              <w:t>in the MDI formula.</w:t>
            </w:r>
          </w:p>
        </w:tc>
      </w:tr>
    </w:tbl>
    <w:p w14:paraId="005AA08A" w14:textId="77777777" w:rsidR="00FB5FB4" w:rsidRDefault="00FB5FB4">
      <w:pPr>
        <w:rPr>
          <w:b/>
        </w:rPr>
      </w:pPr>
    </w:p>
    <w:p w14:paraId="2FCD880E" w14:textId="77777777" w:rsidR="00C828D0" w:rsidRPr="00D82C7E" w:rsidRDefault="009F096F" w:rsidP="00A037CC">
      <w:pPr>
        <w:pStyle w:val="Heading5"/>
      </w:pPr>
      <w:r>
        <w:t>ii</w:t>
      </w:r>
      <w:r w:rsidR="00C828D0" w:rsidRPr="00D82C7E">
        <w:t>.</w:t>
      </w:r>
      <w:r w:rsidR="00C828D0" w:rsidRPr="00D82C7E">
        <w:tab/>
        <w:t>A</w:t>
      </w:r>
      <w:r w:rsidR="00C828D0">
        <w:t xml:space="preserve">ssessing and </w:t>
      </w:r>
      <w:r w:rsidR="008A27A2">
        <w:t>c</w:t>
      </w:r>
      <w:r w:rsidR="00C828D0">
        <w:t xml:space="preserve">orrecting for </w:t>
      </w:r>
      <w:r w:rsidR="008A27A2">
        <w:t>s</w:t>
      </w:r>
      <w:r w:rsidR="00C828D0">
        <w:t xml:space="preserve">urvey </w:t>
      </w:r>
      <w:r w:rsidR="008A27A2">
        <w:t>n</w:t>
      </w:r>
      <w:r w:rsidR="00C828D0">
        <w:t xml:space="preserve">onresponse </w:t>
      </w:r>
      <w:r w:rsidR="008A27A2">
        <w:t>b</w:t>
      </w:r>
      <w:r w:rsidR="00C828D0">
        <w:t>ias</w:t>
      </w:r>
    </w:p>
    <w:p w14:paraId="7AE94438" w14:textId="77777777" w:rsidR="00C828D0" w:rsidRDefault="00730C27" w:rsidP="00E914EF">
      <w:pPr>
        <w:pStyle w:val="NormalSS"/>
      </w:pPr>
      <w:r>
        <w:t>P</w:t>
      </w:r>
      <w:r w:rsidR="00C828D0">
        <w:t>arent and student BIF information will be used to assess and correct for potential s</w:t>
      </w:r>
      <w:r w:rsidR="00C828D0" w:rsidRPr="00352369">
        <w:t>urvey nonresponse</w:t>
      </w:r>
      <w:r w:rsidR="00C828D0">
        <w:t>, which</w:t>
      </w:r>
      <w:r w:rsidR="00C828D0" w:rsidRPr="00352369">
        <w:t xml:space="preserve"> </w:t>
      </w:r>
      <w:r w:rsidR="00C828D0">
        <w:t xml:space="preserve">could </w:t>
      </w:r>
      <w:r w:rsidR="00C828D0" w:rsidRPr="00352369">
        <w:t xml:space="preserve">bias </w:t>
      </w:r>
      <w:r w:rsidR="00C828D0">
        <w:t xml:space="preserve">the </w:t>
      </w:r>
      <w:r w:rsidR="00C828D0" w:rsidRPr="00352369">
        <w:t xml:space="preserve">impact estimates if outcomes of survey respondents and nonrespondents differ. </w:t>
      </w:r>
      <w:r w:rsidR="0052122D">
        <w:t xml:space="preserve">Two general models will </w:t>
      </w:r>
      <w:r w:rsidR="00C828D0" w:rsidRPr="00352369">
        <w:t xml:space="preserve">assess whether survey nonresponse may be a problem for </w:t>
      </w:r>
      <w:r w:rsidR="00C828D0">
        <w:t>the</w:t>
      </w:r>
      <w:r w:rsidR="00C828D0" w:rsidRPr="00352369">
        <w:t xml:space="preserve"> follow-up survey:</w:t>
      </w:r>
    </w:p>
    <w:p w14:paraId="13D17C55" w14:textId="0DFF7440" w:rsidR="00C828D0" w:rsidRPr="00352369" w:rsidRDefault="00496F00" w:rsidP="00A6508C">
      <w:pPr>
        <w:pStyle w:val="BulletBlack"/>
        <w:ind w:left="648" w:right="0"/>
        <w:jc w:val="left"/>
      </w:pPr>
      <w:r w:rsidRPr="00496F00">
        <w:rPr>
          <w:b/>
          <w:bCs/>
          <w:iCs/>
        </w:rPr>
        <w:t>Compare the baseline characteristics of survey respondents and nonrespondents within the treatment and control groups.</w:t>
      </w:r>
      <w:r w:rsidR="00C828D0" w:rsidRPr="00352369">
        <w:t xml:space="preserve"> </w:t>
      </w:r>
      <w:r w:rsidR="00742FBD">
        <w:t>B</w:t>
      </w:r>
      <w:r w:rsidR="00C828D0" w:rsidRPr="00352369">
        <w:t xml:space="preserve">aseline data (which will be available for the </w:t>
      </w:r>
      <w:r w:rsidR="00C828D0" w:rsidRPr="00352369">
        <w:rPr>
          <w:iCs/>
        </w:rPr>
        <w:t>full</w:t>
      </w:r>
      <w:r w:rsidR="00C828D0" w:rsidRPr="00352369">
        <w:t xml:space="preserve"> </w:t>
      </w:r>
      <w:r w:rsidR="005944F7">
        <w:t xml:space="preserve">RCT </w:t>
      </w:r>
      <w:r w:rsidR="00C828D0" w:rsidRPr="00352369">
        <w:t xml:space="preserve">research sample) </w:t>
      </w:r>
      <w:r w:rsidR="00742FBD">
        <w:t>will be used for statistical testing</w:t>
      </w:r>
      <w:r w:rsidR="00C828D0" w:rsidRPr="00352369">
        <w:t xml:space="preserve"> (chi-squared and </w:t>
      </w:r>
      <w:r w:rsidR="00C828D0" w:rsidRPr="00352369">
        <w:rPr>
          <w:i/>
        </w:rPr>
        <w:t>t</w:t>
      </w:r>
      <w:r w:rsidR="00C828D0" w:rsidRPr="00352369">
        <w:t>-tests) to gauge whether</w:t>
      </w:r>
      <w:r w:rsidR="00A54582">
        <w:t>,</w:t>
      </w:r>
      <w:r w:rsidR="00C828D0" w:rsidRPr="00352369">
        <w:t xml:space="preserve"> </w:t>
      </w:r>
      <w:r w:rsidR="00A54582" w:rsidRPr="00352369">
        <w:t>in a particular research group</w:t>
      </w:r>
      <w:r w:rsidR="00A54582">
        <w:t>,</w:t>
      </w:r>
      <w:r w:rsidR="00A54582" w:rsidRPr="00352369">
        <w:t xml:space="preserve"> </w:t>
      </w:r>
      <w:r w:rsidR="00C828D0" w:rsidRPr="00352369">
        <w:t xml:space="preserve">those who respond to the interviews are fully representative of all </w:t>
      </w:r>
      <w:r w:rsidR="003964EE">
        <w:t>members of</w:t>
      </w:r>
      <w:r w:rsidR="00C828D0" w:rsidRPr="00352369">
        <w:t xml:space="preserve"> that group. Noticeable differences between respondents and nonrespondents could indicate </w:t>
      </w:r>
      <w:r w:rsidR="00776C20" w:rsidRPr="00352369">
        <w:t>potential nonresponse bias</w:t>
      </w:r>
      <w:r w:rsidR="00C828D0" w:rsidRPr="00352369">
        <w:t>.</w:t>
      </w:r>
    </w:p>
    <w:p w14:paraId="669B87AB" w14:textId="77777777" w:rsidR="00C828D0" w:rsidRPr="00352369" w:rsidRDefault="00496F00" w:rsidP="00A6508C">
      <w:pPr>
        <w:pStyle w:val="BulletBlack"/>
        <w:spacing w:after="240"/>
        <w:ind w:left="648" w:right="0"/>
        <w:jc w:val="left"/>
      </w:pPr>
      <w:r w:rsidRPr="00496F00">
        <w:rPr>
          <w:b/>
        </w:rPr>
        <w:t>Compare the baseline characteristics of respondents across research groups.</w:t>
      </w:r>
      <w:r w:rsidR="00C828D0" w:rsidRPr="00352369">
        <w:rPr>
          <w:b/>
          <w:i/>
        </w:rPr>
        <w:t xml:space="preserve"> </w:t>
      </w:r>
      <w:r w:rsidR="00742FBD">
        <w:t>T</w:t>
      </w:r>
      <w:r w:rsidR="00C828D0" w:rsidRPr="00352369">
        <w:t xml:space="preserve">ests for </w:t>
      </w:r>
      <w:r w:rsidR="005751A5">
        <w:t>differences in</w:t>
      </w:r>
      <w:r w:rsidR="00C828D0" w:rsidRPr="00352369">
        <w:t xml:space="preserve"> the baseline characteristics of respondents</w:t>
      </w:r>
      <w:r w:rsidR="00C828D0" w:rsidRPr="00352369">
        <w:rPr>
          <w:i/>
        </w:rPr>
        <w:t xml:space="preserve"> </w:t>
      </w:r>
      <w:r w:rsidR="00C828D0" w:rsidRPr="00352369">
        <w:t xml:space="preserve">across </w:t>
      </w:r>
      <w:r w:rsidR="00C828D0">
        <w:t>the treatment and control</w:t>
      </w:r>
      <w:r w:rsidR="00C828D0" w:rsidRPr="00352369">
        <w:t xml:space="preserve"> groups</w:t>
      </w:r>
      <w:r w:rsidR="00742FBD">
        <w:t xml:space="preserve"> will be conducted</w:t>
      </w:r>
      <w:r w:rsidR="00C828D0" w:rsidRPr="00352369">
        <w:t xml:space="preserve">. </w:t>
      </w:r>
      <w:r w:rsidR="00411415">
        <w:t xml:space="preserve">Statistically significant </w:t>
      </w:r>
      <w:r w:rsidR="00C828D0" w:rsidRPr="00352369">
        <w:t>differences between respondents in different research groups could indicate potential nonresponse bias and limit the internal validity of the study if not taken into account.</w:t>
      </w:r>
    </w:p>
    <w:p w14:paraId="77B08D33" w14:textId="39041C61" w:rsidR="00C828D0" w:rsidRDefault="00742FBD" w:rsidP="00E914EF">
      <w:pPr>
        <w:pStyle w:val="NormalSS"/>
      </w:pPr>
      <w:r>
        <w:t>T</w:t>
      </w:r>
      <w:r w:rsidR="00C828D0" w:rsidRPr="00352369">
        <w:t xml:space="preserve">wo </w:t>
      </w:r>
      <w:r>
        <w:t xml:space="preserve">different </w:t>
      </w:r>
      <w:r w:rsidR="00C828D0" w:rsidRPr="00352369">
        <w:t xml:space="preserve">approaches </w:t>
      </w:r>
      <w:r>
        <w:t>will correct</w:t>
      </w:r>
      <w:r w:rsidR="00C828D0" w:rsidRPr="00352369">
        <w:t xml:space="preserve"> for potential nonresponse </w:t>
      </w:r>
      <w:r w:rsidR="00C828D0">
        <w:t>using the baseline data</w:t>
      </w:r>
      <w:r w:rsidR="00C828D0" w:rsidRPr="00352369">
        <w:t xml:space="preserve"> in </w:t>
      </w:r>
      <w:r w:rsidR="00A54582">
        <w:t>estimating</w:t>
      </w:r>
      <w:r w:rsidR="00C828D0" w:rsidRPr="00352369">
        <w:t xml:space="preserve"> program impacts based on survey data. First, </w:t>
      </w:r>
      <w:r w:rsidR="001D1A48">
        <w:t xml:space="preserve">regression models </w:t>
      </w:r>
      <w:r>
        <w:t xml:space="preserve">will </w:t>
      </w:r>
      <w:r w:rsidR="00C828D0" w:rsidRPr="00352369">
        <w:t xml:space="preserve">adjust for any observed </w:t>
      </w:r>
      <w:r w:rsidR="00C828D0">
        <w:t xml:space="preserve">baseline </w:t>
      </w:r>
      <w:r w:rsidR="00C828D0" w:rsidRPr="00352369">
        <w:t xml:space="preserve">differences between respondents across </w:t>
      </w:r>
      <w:r w:rsidR="00A54582">
        <w:t>all</w:t>
      </w:r>
      <w:r w:rsidR="00C828D0" w:rsidRPr="00352369">
        <w:t xml:space="preserve"> research groups. Second, because this regression procedure will not correct for differences between respondents and nonrespondents, sample weights </w:t>
      </w:r>
      <w:r>
        <w:t xml:space="preserve">will be constructed </w:t>
      </w:r>
      <w:r w:rsidR="00C828D0" w:rsidRPr="00352369">
        <w:t xml:space="preserve">so that weighted observable baseline characteristics are similar for respondents and </w:t>
      </w:r>
      <w:r w:rsidR="00A54582">
        <w:t xml:space="preserve">for </w:t>
      </w:r>
      <w:r w:rsidR="00C828D0" w:rsidRPr="00352369">
        <w:t xml:space="preserve">the full sample </w:t>
      </w:r>
      <w:r w:rsidR="00A54582">
        <w:t xml:space="preserve">(both </w:t>
      </w:r>
      <w:r w:rsidR="00C828D0" w:rsidRPr="00352369">
        <w:t>respondents and nonrespondents</w:t>
      </w:r>
      <w:r w:rsidR="00A54582">
        <w:t>)</w:t>
      </w:r>
      <w:r w:rsidR="00C828D0" w:rsidRPr="00352369">
        <w:t xml:space="preserve">. </w:t>
      </w:r>
      <w:r>
        <w:t>W</w:t>
      </w:r>
      <w:r w:rsidR="00C828D0" w:rsidRPr="00352369">
        <w:t xml:space="preserve">eights </w:t>
      </w:r>
      <w:r>
        <w:t xml:space="preserve">will be constructed separately </w:t>
      </w:r>
      <w:r w:rsidR="00C828D0" w:rsidRPr="00352369">
        <w:t>for each research group, using the following three steps:</w:t>
      </w:r>
    </w:p>
    <w:p w14:paraId="05621000" w14:textId="77777777" w:rsidR="00C828D0" w:rsidRPr="00352369" w:rsidRDefault="00496F00" w:rsidP="00AA3D41">
      <w:pPr>
        <w:pStyle w:val="BulletBlack"/>
        <w:numPr>
          <w:ilvl w:val="0"/>
          <w:numId w:val="6"/>
        </w:numPr>
        <w:ind w:left="810" w:right="0" w:hanging="450"/>
        <w:jc w:val="left"/>
      </w:pPr>
      <w:r w:rsidRPr="00496F00">
        <w:rPr>
          <w:b/>
        </w:rPr>
        <w:t>Estimate a logit model predicting interview response</w:t>
      </w:r>
      <w:r w:rsidR="00742FBD">
        <w:rPr>
          <w:b/>
        </w:rPr>
        <w:t xml:space="preserve"> </w:t>
      </w:r>
      <w:r w:rsidR="00742FBD" w:rsidRPr="00742FBD">
        <w:rPr>
          <w:bCs/>
        </w:rPr>
        <w:t>that</w:t>
      </w:r>
      <w:r w:rsidR="00742FBD">
        <w:rPr>
          <w:b/>
          <w:bCs/>
        </w:rPr>
        <w:t xml:space="preserve"> </w:t>
      </w:r>
      <w:r w:rsidR="007C4906">
        <w:t>regress</w:t>
      </w:r>
      <w:r w:rsidR="00742FBD">
        <w:t>es</w:t>
      </w:r>
      <w:r w:rsidR="007C4906">
        <w:t xml:space="preserve"> t</w:t>
      </w:r>
      <w:r w:rsidR="00C828D0" w:rsidRPr="00352369">
        <w:t>he binary variable indicating whether a sample member is a respondent to the instrument on baseline measures.</w:t>
      </w:r>
    </w:p>
    <w:p w14:paraId="1E0C7AB6" w14:textId="77777777" w:rsidR="00C828D0" w:rsidRPr="00352369" w:rsidRDefault="00496F00" w:rsidP="00AA3D41">
      <w:pPr>
        <w:pStyle w:val="BulletBlack"/>
        <w:numPr>
          <w:ilvl w:val="0"/>
          <w:numId w:val="6"/>
        </w:numPr>
        <w:ind w:left="810" w:right="0" w:hanging="450"/>
        <w:jc w:val="left"/>
      </w:pPr>
      <w:r w:rsidRPr="00496F00">
        <w:rPr>
          <w:b/>
        </w:rPr>
        <w:t>Calculate a propensity score for each individual in the full sample</w:t>
      </w:r>
      <w:r w:rsidR="00742FBD">
        <w:rPr>
          <w:b/>
        </w:rPr>
        <w:t xml:space="preserve"> </w:t>
      </w:r>
      <w:r w:rsidR="00742FBD" w:rsidRPr="00742FBD">
        <w:t>for</w:t>
      </w:r>
      <w:r w:rsidR="00742FBD">
        <w:rPr>
          <w:b/>
        </w:rPr>
        <w:t xml:space="preserve"> </w:t>
      </w:r>
      <w:r w:rsidR="00C828D0" w:rsidRPr="00352369">
        <w:t>the predicted probability that a sample member is a respondent, using the parameter estimates from the logit regression model and the person’s baseline characteristics. Individuals with large propensity scores are likely to be respondents, whereas those with small propensity scores are likely to be nonrespondents.</w:t>
      </w:r>
    </w:p>
    <w:p w14:paraId="5FCC601F" w14:textId="77777777" w:rsidR="00C828D0" w:rsidRPr="00352369" w:rsidRDefault="00496F00" w:rsidP="00AA3D41">
      <w:pPr>
        <w:pStyle w:val="BulletBlackLastDS"/>
        <w:numPr>
          <w:ilvl w:val="0"/>
          <w:numId w:val="6"/>
        </w:numPr>
        <w:spacing w:after="240"/>
        <w:ind w:left="806" w:right="0" w:hanging="446"/>
        <w:jc w:val="left"/>
      </w:pPr>
      <w:r w:rsidRPr="00496F00">
        <w:rPr>
          <w:b/>
        </w:rPr>
        <w:t>Construct nonresponse weights using the propensity scores.</w:t>
      </w:r>
      <w:r w:rsidR="00C828D0" w:rsidRPr="00352369">
        <w:t xml:space="preserve"> </w:t>
      </w:r>
      <w:r w:rsidR="000448A9">
        <w:t>I</w:t>
      </w:r>
      <w:r w:rsidR="00C828D0" w:rsidRPr="00352369">
        <w:t xml:space="preserve">ndividuals </w:t>
      </w:r>
      <w:r w:rsidR="000448A9">
        <w:t xml:space="preserve">will be ranked </w:t>
      </w:r>
      <w:r w:rsidR="00C828D0" w:rsidRPr="00352369">
        <w:t>by the size of their propensity scores and divide</w:t>
      </w:r>
      <w:r w:rsidR="000448A9">
        <w:t>d</w:t>
      </w:r>
      <w:r w:rsidR="007C4906">
        <w:t xml:space="preserve"> </w:t>
      </w:r>
      <w:r w:rsidR="00C828D0" w:rsidRPr="00352369">
        <w:t>into several groups of equal size. The weight for a sample member will be inversely proportional to the mean score of the group to which the person is assigned.</w:t>
      </w:r>
      <w:r w:rsidR="005944F7">
        <w:t xml:space="preserve"> This method will ensure that no individual has a very low or a very high weight, which would lead to less precise estimates. </w:t>
      </w:r>
    </w:p>
    <w:p w14:paraId="3E907475" w14:textId="77777777" w:rsidR="00C828D0" w:rsidRDefault="00C828D0" w:rsidP="00E914EF">
      <w:pPr>
        <w:pStyle w:val="NormalSS"/>
      </w:pPr>
      <w:r w:rsidRPr="00352369">
        <w:t xml:space="preserve">This propensity score procedure will yield large weights for survey respondents </w:t>
      </w:r>
      <w:r w:rsidR="004E1037">
        <w:t>who have</w:t>
      </w:r>
      <w:r w:rsidRPr="00352369">
        <w:t xml:space="preserve"> characteristics associated with low response rates (that is, those with small propensity scores). Similarly, the procedure will yield small weights for respondents </w:t>
      </w:r>
      <w:r w:rsidR="004E1037">
        <w:t>who have</w:t>
      </w:r>
      <w:r w:rsidRPr="00352369">
        <w:t xml:space="preserve"> characteristics that are associated with high response rates. Thus, the weighted characteristics of respondents should be similar, on average, to the characteristics of the entire research sample.</w:t>
      </w:r>
    </w:p>
    <w:p w14:paraId="462F4D20" w14:textId="3455F28D" w:rsidR="00C828D0" w:rsidRDefault="00C828D0" w:rsidP="00E914EF">
      <w:pPr>
        <w:pStyle w:val="NormalSS"/>
      </w:pPr>
      <w:r>
        <w:t xml:space="preserve">Finally, for key outcomes, </w:t>
      </w:r>
      <w:r w:rsidR="00742FBD" w:rsidRPr="00742FBD">
        <w:t>multiple imputation methods (using Stata’s multiple imputation commands)</w:t>
      </w:r>
      <w:r w:rsidR="00641C74">
        <w:t xml:space="preserve"> will </w:t>
      </w:r>
      <w:r>
        <w:t xml:space="preserve">correct for nonresponse using </w:t>
      </w:r>
      <w:r w:rsidR="00641C74">
        <w:t xml:space="preserve">the </w:t>
      </w:r>
      <w:r>
        <w:t xml:space="preserve">sensitivity of </w:t>
      </w:r>
      <w:r w:rsidR="00641C74">
        <w:t xml:space="preserve">the </w:t>
      </w:r>
      <w:r>
        <w:t xml:space="preserve">results to alternative </w:t>
      </w:r>
      <w:r w:rsidRPr="002D5A5C">
        <w:t xml:space="preserve">methods </w:t>
      </w:r>
      <w:r w:rsidR="00641C74" w:rsidRPr="002D5A5C">
        <w:t>will be used to adjust</w:t>
      </w:r>
      <w:r w:rsidRPr="002D5A5C">
        <w:t xml:space="preserve"> for survey nonresponse.</w:t>
      </w:r>
      <w:r w:rsidR="00176881" w:rsidRPr="002D5A5C">
        <w:t xml:space="preserve"> Rubin (198</w:t>
      </w:r>
      <w:r w:rsidR="00FE0FD8">
        <w:t>7</w:t>
      </w:r>
      <w:r w:rsidR="00176881" w:rsidRPr="002D5A5C">
        <w:t>, 1996) and Shafer (1997)</w:t>
      </w:r>
      <w:r w:rsidR="00176881">
        <w:t xml:space="preserve"> discuss the theory underlying multiple imputation procedures</w:t>
      </w:r>
      <w:r w:rsidR="008C7762">
        <w:t>.</w:t>
      </w:r>
      <w:r w:rsidR="00176881">
        <w:t xml:space="preserve"> </w:t>
      </w:r>
    </w:p>
    <w:p w14:paraId="0BC52D17" w14:textId="7A767C61" w:rsidR="00C828D0" w:rsidRDefault="00496F00" w:rsidP="00E914EF">
      <w:pPr>
        <w:pStyle w:val="NormalSS"/>
      </w:pPr>
      <w:r w:rsidRPr="00496F00">
        <w:rPr>
          <w:b/>
          <w:bCs/>
        </w:rPr>
        <w:t xml:space="preserve">Assessing and correcting for </w:t>
      </w:r>
      <w:r w:rsidR="00C17C50">
        <w:rPr>
          <w:b/>
          <w:bCs/>
        </w:rPr>
        <w:t>district</w:t>
      </w:r>
      <w:r w:rsidRPr="00496F00">
        <w:rPr>
          <w:b/>
          <w:bCs/>
        </w:rPr>
        <w:t xml:space="preserve"> nonparticipation</w:t>
      </w:r>
      <w:r w:rsidRPr="00496F00">
        <w:rPr>
          <w:b/>
          <w:bCs/>
          <w:iCs/>
        </w:rPr>
        <w:t>.</w:t>
      </w:r>
      <w:r w:rsidR="00C828D0" w:rsidRPr="00352369">
        <w:t xml:space="preserve"> </w:t>
      </w:r>
      <w:r w:rsidR="00641C74">
        <w:t xml:space="preserve">During </w:t>
      </w:r>
      <w:r w:rsidR="00A54582">
        <w:t xml:space="preserve">the </w:t>
      </w:r>
      <w:r w:rsidR="00641C74">
        <w:t>r</w:t>
      </w:r>
      <w:r w:rsidR="00C828D0">
        <w:t>ecruitment process</w:t>
      </w:r>
      <w:r w:rsidR="00A54582">
        <w:t>,</w:t>
      </w:r>
      <w:r w:rsidR="00C828D0">
        <w:t xml:space="preserve"> data on key </w:t>
      </w:r>
      <w:r w:rsidR="00C17C50">
        <w:t>district</w:t>
      </w:r>
      <w:r w:rsidR="00C828D0">
        <w:t xml:space="preserve"> characteristics</w:t>
      </w:r>
      <w:r w:rsidR="00641C74">
        <w:t xml:space="preserve"> was obtained</w:t>
      </w:r>
      <w:r w:rsidR="00A54582">
        <w:t>.</w:t>
      </w:r>
      <w:r w:rsidR="00641C74">
        <w:t xml:space="preserve"> </w:t>
      </w:r>
      <w:r w:rsidR="00A54582">
        <w:t>T</w:t>
      </w:r>
      <w:r w:rsidR="00C07B44">
        <w:t xml:space="preserve">his information </w:t>
      </w:r>
      <w:r w:rsidR="00641C74">
        <w:t xml:space="preserve">will be used </w:t>
      </w:r>
      <w:r w:rsidR="00C07B44">
        <w:t>to</w:t>
      </w:r>
      <w:r w:rsidR="00C828D0">
        <w:t xml:space="preserve"> compare the characteristics of the selected </w:t>
      </w:r>
      <w:r w:rsidR="00C17C50">
        <w:t>district</w:t>
      </w:r>
      <w:r w:rsidR="00C828D0">
        <w:t>s that participate</w:t>
      </w:r>
      <w:r w:rsidR="00641C74">
        <w:t xml:space="preserve">d in the impact study </w:t>
      </w:r>
      <w:r w:rsidR="00A54582">
        <w:t>(</w:t>
      </w:r>
      <w:r w:rsidR="00AC0878">
        <w:t>both the RCT and QED</w:t>
      </w:r>
      <w:r w:rsidR="00A54582">
        <w:t>)</w:t>
      </w:r>
      <w:r w:rsidR="00AC0878">
        <w:t xml:space="preserve"> </w:t>
      </w:r>
      <w:r w:rsidR="00641C74">
        <w:t xml:space="preserve">to </w:t>
      </w:r>
      <w:r w:rsidR="00C828D0">
        <w:t>those that d</w:t>
      </w:r>
      <w:r w:rsidR="00A54582">
        <w:t>id</w:t>
      </w:r>
      <w:r w:rsidR="00C828D0">
        <w:t xml:space="preserve"> not</w:t>
      </w:r>
      <w:r w:rsidR="00C07B44">
        <w:t xml:space="preserve">, which </w:t>
      </w:r>
      <w:r w:rsidR="00A54582">
        <w:t xml:space="preserve">helps in </w:t>
      </w:r>
      <w:r w:rsidR="00C828D0">
        <w:t>interpret</w:t>
      </w:r>
      <w:r w:rsidR="00C07B44">
        <w:t>ing</w:t>
      </w:r>
      <w:r w:rsidR="00C828D0">
        <w:t xml:space="preserve"> the analysis findings. However, because </w:t>
      </w:r>
      <w:r w:rsidR="00641C74">
        <w:t xml:space="preserve">districts were not </w:t>
      </w:r>
      <w:r w:rsidR="00C828D0">
        <w:t>randomly select</w:t>
      </w:r>
      <w:r w:rsidR="00641C74">
        <w:t>ed for inclusion</w:t>
      </w:r>
      <w:r w:rsidR="00C828D0">
        <w:t xml:space="preserve"> but </w:t>
      </w:r>
      <w:r w:rsidR="007218D9">
        <w:t xml:space="preserve">instead </w:t>
      </w:r>
      <w:r w:rsidR="00C828D0">
        <w:t>select</w:t>
      </w:r>
      <w:r w:rsidR="00730C27">
        <w:t>ed</w:t>
      </w:r>
      <w:r w:rsidR="00C828D0">
        <w:t xml:space="preserve"> based on suitability for the study, </w:t>
      </w:r>
      <w:r w:rsidR="00641C74">
        <w:t xml:space="preserve">results obtained from participating </w:t>
      </w:r>
      <w:r w:rsidR="00C17C50">
        <w:t>district</w:t>
      </w:r>
      <w:r w:rsidR="007C4906">
        <w:t xml:space="preserve">s will not </w:t>
      </w:r>
      <w:r w:rsidR="00641C74">
        <w:t>be generalizable</w:t>
      </w:r>
      <w:r w:rsidR="007C4906">
        <w:t xml:space="preserve"> to</w:t>
      </w:r>
      <w:r w:rsidR="00C828D0">
        <w:t xml:space="preserve"> a well-defined universe of </w:t>
      </w:r>
      <w:r w:rsidR="00C17C50">
        <w:t>district</w:t>
      </w:r>
      <w:r w:rsidR="00C828D0">
        <w:t xml:space="preserve">s. Consequently, </w:t>
      </w:r>
      <w:r w:rsidR="00272FFF">
        <w:t>the</w:t>
      </w:r>
      <w:r w:rsidR="00C828D0">
        <w:t xml:space="preserve"> benchmark approach will not adjust the impact estimates for </w:t>
      </w:r>
      <w:r w:rsidR="00C17C50">
        <w:t>district</w:t>
      </w:r>
      <w:r w:rsidR="00C828D0">
        <w:t xml:space="preserve"> nonparticipation, because </w:t>
      </w:r>
      <w:r w:rsidR="00CA3CE1">
        <w:t xml:space="preserve">the study is not designed to achieve </w:t>
      </w:r>
      <w:r w:rsidR="00C828D0">
        <w:t>external validity. However, sensitivity analyses</w:t>
      </w:r>
      <w:r w:rsidR="009142AE">
        <w:t xml:space="preserve"> </w:t>
      </w:r>
      <w:r w:rsidR="00641C74">
        <w:t xml:space="preserve">will be conducted </w:t>
      </w:r>
      <w:r w:rsidR="009142AE">
        <w:t xml:space="preserve">that use </w:t>
      </w:r>
      <w:r w:rsidR="00C17C50">
        <w:t>district</w:t>
      </w:r>
      <w:r w:rsidR="009142AE">
        <w:t xml:space="preserve">-level </w:t>
      </w:r>
      <w:r w:rsidR="005944F7">
        <w:t xml:space="preserve">nonresponse </w:t>
      </w:r>
      <w:r w:rsidR="009142AE">
        <w:t>weights constructed using similar propensity score methods to those described above</w:t>
      </w:r>
      <w:r w:rsidR="00C828D0">
        <w:t>.</w:t>
      </w:r>
    </w:p>
    <w:p w14:paraId="3BCD5DCE" w14:textId="48E35085" w:rsidR="00C61CC0" w:rsidRPr="00C61CC0" w:rsidRDefault="00C61CC0" w:rsidP="00E914EF">
      <w:pPr>
        <w:pStyle w:val="NormalSS"/>
      </w:pPr>
      <w:r w:rsidRPr="00C61CC0">
        <w:rPr>
          <w:b/>
          <w:bCs/>
        </w:rPr>
        <w:t>Assessing and correcting for</w:t>
      </w:r>
      <w:r>
        <w:rPr>
          <w:b/>
          <w:bCs/>
        </w:rPr>
        <w:t xml:space="preserve"> sample exclusion with missing </w:t>
      </w:r>
      <w:r w:rsidR="00CD022D">
        <w:rPr>
          <w:b/>
          <w:bCs/>
        </w:rPr>
        <w:t xml:space="preserve">baseline or </w:t>
      </w:r>
      <w:r>
        <w:rPr>
          <w:b/>
          <w:bCs/>
        </w:rPr>
        <w:t>outcome data</w:t>
      </w:r>
      <w:r w:rsidRPr="00C61CC0">
        <w:rPr>
          <w:b/>
          <w:bCs/>
          <w:iCs/>
        </w:rPr>
        <w:t>.</w:t>
      </w:r>
      <w:r w:rsidR="00040780">
        <w:rPr>
          <w:b/>
          <w:bCs/>
          <w:iCs/>
        </w:rPr>
        <w:t xml:space="preserve"> </w:t>
      </w:r>
      <w:r w:rsidR="00F009F9">
        <w:t xml:space="preserve">The QED analysis requires non-missing baseline data in order to match YCC participants to observationally similar </w:t>
      </w:r>
      <w:r w:rsidR="00D64988">
        <w:t>nonparticipant</w:t>
      </w:r>
      <w:r w:rsidR="00F009F9">
        <w:t xml:space="preserve">s, and non-missing outcome data to determine the impact of YCC. </w:t>
      </w:r>
      <w:r w:rsidR="00617FE2">
        <w:t>T</w:t>
      </w:r>
      <w:r w:rsidR="00F009F9">
        <w:t xml:space="preserve">he sample of YCC participants and potential matches </w:t>
      </w:r>
      <w:r w:rsidR="00617FE2">
        <w:t xml:space="preserve">will therefore be restricted </w:t>
      </w:r>
      <w:r w:rsidR="00F009F9">
        <w:t xml:space="preserve">to those students who have both baseline data and outcome data. </w:t>
      </w:r>
      <w:r w:rsidR="00A54582">
        <w:t xml:space="preserve">It is </w:t>
      </w:r>
      <w:r w:rsidR="00F009F9">
        <w:t>assume</w:t>
      </w:r>
      <w:r w:rsidR="00A54582">
        <w:t>d that</w:t>
      </w:r>
      <w:r w:rsidR="00F009F9">
        <w:t xml:space="preserve"> 87 percent of YCC participants will have non-missing data for all covariates used to match students and for all outcome data. Because the pool of potential matches in each district </w:t>
      </w:r>
      <w:r w:rsidR="00A54582">
        <w:t xml:space="preserve">is </w:t>
      </w:r>
      <w:r w:rsidR="00F009F9">
        <w:t>much larger than the pool of YCC participants, match</w:t>
      </w:r>
      <w:r w:rsidR="00617FE2">
        <w:t>es to each participant should be possible</w:t>
      </w:r>
      <w:r w:rsidR="00A54582">
        <w:t>,</w:t>
      </w:r>
      <w:r w:rsidR="00617FE2">
        <w:t xml:space="preserve"> even</w:t>
      </w:r>
      <w:r w:rsidR="00F009F9">
        <w:t xml:space="preserve"> </w:t>
      </w:r>
      <w:r w:rsidR="00A54582">
        <w:t xml:space="preserve">when </w:t>
      </w:r>
      <w:r w:rsidR="00617FE2">
        <w:t xml:space="preserve">restricting </w:t>
      </w:r>
      <w:r w:rsidR="00AC0878">
        <w:t xml:space="preserve">matches </w:t>
      </w:r>
      <w:r w:rsidR="00617FE2">
        <w:t xml:space="preserve">to </w:t>
      </w:r>
      <w:r w:rsidR="00AC0878">
        <w:t xml:space="preserve">treatment group </w:t>
      </w:r>
      <w:r w:rsidR="007218D9">
        <w:t xml:space="preserve">participants </w:t>
      </w:r>
      <w:r w:rsidR="00AC0878">
        <w:t xml:space="preserve">with </w:t>
      </w:r>
      <w:r w:rsidR="00F009F9">
        <w:t xml:space="preserve">non-missing data to a nonparticipant with non-missing data. </w:t>
      </w:r>
    </w:p>
    <w:p w14:paraId="6C8A5828" w14:textId="77777777" w:rsidR="00C828D0" w:rsidRDefault="00CD022D" w:rsidP="00C828D0">
      <w:pPr>
        <w:pStyle w:val="Heading3"/>
      </w:pPr>
      <w:bookmarkStart w:id="13" w:name="_Toc374100107"/>
      <w:r>
        <w:t>4</w:t>
      </w:r>
      <w:r w:rsidR="00C828D0">
        <w:t>.</w:t>
      </w:r>
      <w:r w:rsidR="00C828D0">
        <w:tab/>
        <w:t xml:space="preserve">Methods to </w:t>
      </w:r>
      <w:r w:rsidR="008A27A2">
        <w:t>m</w:t>
      </w:r>
      <w:r w:rsidR="00C828D0">
        <w:t xml:space="preserve">aximize </w:t>
      </w:r>
      <w:r w:rsidR="008A27A2">
        <w:t>r</w:t>
      </w:r>
      <w:r w:rsidR="00C828D0">
        <w:t xml:space="preserve">esponse </w:t>
      </w:r>
      <w:r w:rsidR="008A27A2">
        <w:t>r</w:t>
      </w:r>
      <w:r w:rsidR="00C828D0">
        <w:t xml:space="preserve">ates and </w:t>
      </w:r>
      <w:r w:rsidR="008A27A2">
        <w:t>d</w:t>
      </w:r>
      <w:r w:rsidR="00C828D0">
        <w:t xml:space="preserve">ata </w:t>
      </w:r>
      <w:r w:rsidR="008A27A2">
        <w:t>r</w:t>
      </w:r>
      <w:r w:rsidR="00C828D0">
        <w:t>eliability</w:t>
      </w:r>
      <w:bookmarkEnd w:id="13"/>
    </w:p>
    <w:p w14:paraId="1264D7DE" w14:textId="626E29E9" w:rsidR="00211D64" w:rsidRDefault="00B31353" w:rsidP="00627A28">
      <w:pPr>
        <w:pStyle w:val="NormalSS"/>
      </w:pPr>
      <w:r w:rsidRPr="001C0FB6">
        <w:t xml:space="preserve">This study is requesting approval for </w:t>
      </w:r>
      <w:r w:rsidR="004D3F7D">
        <w:t xml:space="preserve">(1) </w:t>
      </w:r>
      <w:r w:rsidRPr="001C0FB6">
        <w:t xml:space="preserve">the use of </w:t>
      </w:r>
      <w:r w:rsidR="00BD5C15">
        <w:t xml:space="preserve">a </w:t>
      </w:r>
      <w:r w:rsidR="004D3F7D">
        <w:t xml:space="preserve">parental consent </w:t>
      </w:r>
      <w:r w:rsidR="00BD5C15">
        <w:t xml:space="preserve">form to be completed in one </w:t>
      </w:r>
      <w:r w:rsidR="00C17C50">
        <w:t>district</w:t>
      </w:r>
      <w:r w:rsidR="00BD5C15">
        <w:t xml:space="preserve"> </w:t>
      </w:r>
      <w:r w:rsidR="00AC0878">
        <w:t xml:space="preserve">in the RCT </w:t>
      </w:r>
      <w:r w:rsidR="00A54582">
        <w:t>before</w:t>
      </w:r>
      <w:r w:rsidR="00BD5C15">
        <w:t xml:space="preserve"> </w:t>
      </w:r>
      <w:r w:rsidR="00A54582">
        <w:t xml:space="preserve">the follow-up survey is </w:t>
      </w:r>
      <w:r w:rsidR="00BD5C15">
        <w:t>administ</w:t>
      </w:r>
      <w:r w:rsidR="00A54582">
        <w:t>ered</w:t>
      </w:r>
      <w:r w:rsidR="00BD5C15">
        <w:t xml:space="preserve"> and </w:t>
      </w:r>
      <w:r w:rsidR="004D3F7D">
        <w:t>(2)</w:t>
      </w:r>
      <w:r w:rsidR="00BD5C15">
        <w:t xml:space="preserve"> a follow-up survey</w:t>
      </w:r>
      <w:r w:rsidR="00AC0878">
        <w:t xml:space="preserve"> for three districts in the RCT</w:t>
      </w:r>
      <w:r w:rsidR="00BD5C15">
        <w:t xml:space="preserve">. Depending on </w:t>
      </w:r>
      <w:r w:rsidR="00A54582">
        <w:t>when</w:t>
      </w:r>
      <w:r w:rsidR="00BD5C15">
        <w:t xml:space="preserve"> the survey is completed, respondents will be eligible for </w:t>
      </w:r>
      <w:r w:rsidR="00A54582">
        <w:t xml:space="preserve">an incentive of </w:t>
      </w:r>
      <w:r w:rsidR="00BD5C15">
        <w:t>$40 or $25</w:t>
      </w:r>
      <w:r w:rsidRPr="001C0FB6">
        <w:t xml:space="preserve">. </w:t>
      </w:r>
      <w:r w:rsidR="00211D64">
        <w:t>There is no incentive for the parental consent form.</w:t>
      </w:r>
    </w:p>
    <w:p w14:paraId="1A378767" w14:textId="77777777" w:rsidR="00B31353" w:rsidRDefault="00B31353" w:rsidP="00627A28">
      <w:pPr>
        <w:pStyle w:val="NormalSS"/>
      </w:pPr>
      <w:r w:rsidRPr="001C0FB6">
        <w:t xml:space="preserve">The methods to maximize response rates and data reliability are discussed first for the </w:t>
      </w:r>
      <w:r w:rsidR="00211D64">
        <w:t>parental consent form and follow-up survey</w:t>
      </w:r>
      <w:r w:rsidRPr="001C0FB6">
        <w:t xml:space="preserve"> and then for </w:t>
      </w:r>
      <w:r w:rsidR="00211D64">
        <w:t>the student records data collection</w:t>
      </w:r>
      <w:r w:rsidRPr="001C0FB6">
        <w:t>.</w:t>
      </w:r>
    </w:p>
    <w:p w14:paraId="71F9165B" w14:textId="5668498C" w:rsidR="00BD5C15" w:rsidRDefault="00BD5C15" w:rsidP="00E914EF">
      <w:pPr>
        <w:pStyle w:val="NormalSS"/>
      </w:pPr>
      <w:r w:rsidRPr="001C0FB6">
        <w:rPr>
          <w:b/>
        </w:rPr>
        <w:t xml:space="preserve">Response rates. </w:t>
      </w:r>
      <w:r w:rsidR="008E241B">
        <w:t>A</w:t>
      </w:r>
      <w:r>
        <w:t>n 80 percent response rate for the follow-up survey</w:t>
      </w:r>
      <w:r w:rsidR="008E241B">
        <w:t xml:space="preserve"> is expected</w:t>
      </w:r>
      <w:r>
        <w:t xml:space="preserve">. </w:t>
      </w:r>
      <w:r w:rsidR="008E241B">
        <w:t xml:space="preserve">The </w:t>
      </w:r>
      <w:r>
        <w:t xml:space="preserve">data collection strategy uses practices </w:t>
      </w:r>
      <w:r w:rsidR="008E241B">
        <w:t xml:space="preserve">that </w:t>
      </w:r>
      <w:r>
        <w:t xml:space="preserve">have </w:t>
      </w:r>
      <w:r w:rsidR="00A54582">
        <w:t xml:space="preserve">been </w:t>
      </w:r>
      <w:r>
        <w:t>success</w:t>
      </w:r>
      <w:r w:rsidR="00A54582">
        <w:t>ful</w:t>
      </w:r>
      <w:r>
        <w:t xml:space="preserve"> </w:t>
      </w:r>
      <w:r w:rsidR="00A54582">
        <w:t xml:space="preserve">with </w:t>
      </w:r>
      <w:r>
        <w:t xml:space="preserve">similar populations. The </w:t>
      </w:r>
      <w:r w:rsidR="00A54582">
        <w:t xml:space="preserve">strategy’s </w:t>
      </w:r>
      <w:r>
        <w:t>key aspects include multiple modes to maximize flexibility</w:t>
      </w:r>
      <w:r w:rsidR="00ED5FEC">
        <w:t>,</w:t>
      </w:r>
      <w:r w:rsidR="00A118A6">
        <w:t xml:space="preserve"> early</w:t>
      </w:r>
      <w:r w:rsidR="00ED5FEC">
        <w:t xml:space="preserve"> identification of</w:t>
      </w:r>
      <w:r>
        <w:t xml:space="preserve"> barriers to response</w:t>
      </w:r>
      <w:r w:rsidR="00A54582">
        <w:t>,</w:t>
      </w:r>
      <w:r>
        <w:t xml:space="preserve"> </w:t>
      </w:r>
      <w:r w:rsidR="00ED5FEC">
        <w:t>and an “early bird” incentive strategy</w:t>
      </w:r>
      <w:r>
        <w:t>.</w:t>
      </w:r>
    </w:p>
    <w:p w14:paraId="32D4E3F3" w14:textId="10076F49" w:rsidR="00BD5C15" w:rsidRPr="009A1556" w:rsidRDefault="008E241B" w:rsidP="00E914EF">
      <w:pPr>
        <w:pStyle w:val="BulletLastSS"/>
        <w:rPr>
          <w:bCs/>
          <w:iCs/>
        </w:rPr>
      </w:pPr>
      <w:r>
        <w:rPr>
          <w:bCs/>
          <w:iCs/>
        </w:rPr>
        <w:t xml:space="preserve">A </w:t>
      </w:r>
      <w:r w:rsidR="00BD5C15" w:rsidRPr="009A1556">
        <w:rPr>
          <w:bCs/>
          <w:iCs/>
        </w:rPr>
        <w:t>multimode approach</w:t>
      </w:r>
      <w:r w:rsidR="0072193E">
        <w:t xml:space="preserve"> utilizes three phases of data collection. In the first phase, study participants will be directed to the web survey or to call</w:t>
      </w:r>
      <w:r w:rsidR="00C06D1F">
        <w:t xml:space="preserve"> </w:t>
      </w:r>
      <w:r w:rsidR="0072193E">
        <w:t xml:space="preserve">in to </w:t>
      </w:r>
      <w:r w:rsidR="000A219B">
        <w:t xml:space="preserve">Mathematica’s </w:t>
      </w:r>
      <w:r w:rsidR="0072193E">
        <w:t xml:space="preserve">SOC to complete the survey using </w:t>
      </w:r>
      <w:r w:rsidR="00BC70A2">
        <w:t>CATI</w:t>
      </w:r>
      <w:r w:rsidR="0072193E">
        <w:t xml:space="preserve">. In the second phase, in addition to continued access to the web survey and CATI call-ins, </w:t>
      </w:r>
      <w:r w:rsidR="0072193E" w:rsidRPr="00323E17">
        <w:t>study participants</w:t>
      </w:r>
      <w:r w:rsidR="0072193E">
        <w:t xml:space="preserve"> will be contacted through outbound CATI calls from the SOC. In the third phase, contact with </w:t>
      </w:r>
      <w:r w:rsidR="0072193E" w:rsidRPr="00323E17">
        <w:t xml:space="preserve">study participants </w:t>
      </w:r>
      <w:r w:rsidR="0072193E">
        <w:t xml:space="preserve">will be attempted through in-person locating. </w:t>
      </w:r>
      <w:r w:rsidR="00C06D1F">
        <w:t>(</w:t>
      </w:r>
      <w:r w:rsidR="0072193E">
        <w:t>The web and CATI modes will continue to be accessible throughout this phase.</w:t>
      </w:r>
      <w:r w:rsidR="00C06D1F">
        <w:t>)</w:t>
      </w:r>
      <w:r w:rsidR="0072193E">
        <w:t xml:space="preserve"> This approach will maximize efficiency by encouraging early survey completion using the modes that require the least amount of resources (web and CATI call-ins</w:t>
      </w:r>
      <w:r w:rsidR="0072193E" w:rsidRPr="00E659B2">
        <w:t>) before moving to modes requiring increased interviewer labor (CAT</w:t>
      </w:r>
      <w:r w:rsidR="0072193E">
        <w:t xml:space="preserve">I call-outs and field locating). </w:t>
      </w:r>
      <w:r w:rsidR="00BD5C15" w:rsidRPr="009A1556">
        <w:rPr>
          <w:bCs/>
          <w:iCs/>
        </w:rPr>
        <w:t xml:space="preserve">This approach provides </w:t>
      </w:r>
      <w:r w:rsidR="00BD5C15" w:rsidRPr="00A6508C">
        <w:t>flexibility</w:t>
      </w:r>
      <w:r w:rsidR="002574BC" w:rsidRPr="009A1556">
        <w:rPr>
          <w:bCs/>
          <w:iCs/>
        </w:rPr>
        <w:t xml:space="preserve"> and maximize</w:t>
      </w:r>
      <w:r w:rsidR="00C06D1F">
        <w:rPr>
          <w:bCs/>
          <w:iCs/>
        </w:rPr>
        <w:t>s</w:t>
      </w:r>
      <w:r w:rsidR="002574BC" w:rsidRPr="009A1556">
        <w:rPr>
          <w:bCs/>
          <w:iCs/>
        </w:rPr>
        <w:t xml:space="preserve"> response</w:t>
      </w:r>
      <w:r w:rsidR="00BD5C15" w:rsidRPr="009A1556">
        <w:rPr>
          <w:bCs/>
          <w:iCs/>
        </w:rPr>
        <w:t xml:space="preserve"> by accommodating participants who prefer to self-administer the survey. Additionally, this approach allows for </w:t>
      </w:r>
      <w:r w:rsidR="00017E9F">
        <w:rPr>
          <w:bCs/>
          <w:iCs/>
        </w:rPr>
        <w:t>response</w:t>
      </w:r>
      <w:r w:rsidR="00BD5C15" w:rsidRPr="009A1556">
        <w:rPr>
          <w:bCs/>
          <w:iCs/>
        </w:rPr>
        <w:t xml:space="preserve"> by study participants who do not have access to the</w:t>
      </w:r>
      <w:r w:rsidR="0020333D">
        <w:rPr>
          <w:bCs/>
          <w:iCs/>
        </w:rPr>
        <w:t xml:space="preserve"> </w:t>
      </w:r>
      <w:r w:rsidR="00C06D1F">
        <w:rPr>
          <w:bCs/>
          <w:iCs/>
        </w:rPr>
        <w:t>I</w:t>
      </w:r>
      <w:r w:rsidR="00BD5C15" w:rsidRPr="009A1556">
        <w:rPr>
          <w:bCs/>
          <w:iCs/>
        </w:rPr>
        <w:t xml:space="preserve">nternet or do not have listed phone numbers. </w:t>
      </w:r>
      <w:r w:rsidR="00C3463E" w:rsidRPr="009A1556">
        <w:rPr>
          <w:bCs/>
          <w:iCs/>
        </w:rPr>
        <w:t>To further increase access</w:t>
      </w:r>
      <w:r w:rsidR="002574BC" w:rsidRPr="009A1556">
        <w:rPr>
          <w:bCs/>
          <w:iCs/>
        </w:rPr>
        <w:t>, a</w:t>
      </w:r>
      <w:r w:rsidR="00BD5C15" w:rsidRPr="009A1556">
        <w:rPr>
          <w:bCs/>
          <w:iCs/>
        </w:rPr>
        <w:t xml:space="preserve">ll respondents will </w:t>
      </w:r>
      <w:r w:rsidR="00C06D1F">
        <w:rPr>
          <w:bCs/>
          <w:iCs/>
        </w:rPr>
        <w:t>be able</w:t>
      </w:r>
      <w:r w:rsidR="00BD5C15" w:rsidRPr="009A1556">
        <w:rPr>
          <w:bCs/>
          <w:iCs/>
        </w:rPr>
        <w:t xml:space="preserve"> to complete the web survey in Spanish or </w:t>
      </w:r>
      <w:r w:rsidR="00C06D1F">
        <w:rPr>
          <w:bCs/>
          <w:iCs/>
        </w:rPr>
        <w:t xml:space="preserve">by </w:t>
      </w:r>
      <w:r w:rsidR="00BD5C15" w:rsidRPr="009A1556">
        <w:rPr>
          <w:bCs/>
          <w:iCs/>
        </w:rPr>
        <w:t>using CATI with a trained, bilingual interviewer.</w:t>
      </w:r>
      <w:r w:rsidR="002574BC" w:rsidRPr="009A1556">
        <w:rPr>
          <w:bCs/>
          <w:iCs/>
        </w:rPr>
        <w:t xml:space="preserve"> </w:t>
      </w:r>
    </w:p>
    <w:p w14:paraId="3EEBB2A3" w14:textId="2AD1A7E6" w:rsidR="00BD5C15" w:rsidRDefault="00C06D1F" w:rsidP="00E914EF">
      <w:pPr>
        <w:pStyle w:val="BulletLastSS"/>
      </w:pPr>
      <w:r>
        <w:t>Multiple</w:t>
      </w:r>
      <w:r w:rsidR="00BD5C15" w:rsidRPr="0075598D">
        <w:t xml:space="preserve"> outreach </w:t>
      </w:r>
      <w:r w:rsidR="00C3463E" w:rsidRPr="0075598D">
        <w:t xml:space="preserve">and locating </w:t>
      </w:r>
      <w:r w:rsidR="00BD5C15" w:rsidRPr="0075598D">
        <w:t xml:space="preserve">strategies </w:t>
      </w:r>
      <w:r w:rsidR="008E241B" w:rsidRPr="0075598D">
        <w:t xml:space="preserve">will further encourage </w:t>
      </w:r>
      <w:r w:rsidR="00C3463E" w:rsidRPr="0075598D">
        <w:t xml:space="preserve">and address potential barriers </w:t>
      </w:r>
      <w:r>
        <w:t>to</w:t>
      </w:r>
      <w:r w:rsidRPr="0075598D">
        <w:t xml:space="preserve"> </w:t>
      </w:r>
      <w:r w:rsidR="008E241B" w:rsidRPr="0075598D">
        <w:t>respon</w:t>
      </w:r>
      <w:r>
        <w:t>se</w:t>
      </w:r>
      <w:r w:rsidR="00BD5C15" w:rsidRPr="0075598D">
        <w:t xml:space="preserve">. </w:t>
      </w:r>
      <w:r w:rsidR="008E241B" w:rsidRPr="0075598D">
        <w:t>S</w:t>
      </w:r>
      <w:r w:rsidR="00C3463E" w:rsidRPr="0075598D">
        <w:t xml:space="preserve">tudy participants </w:t>
      </w:r>
      <w:r w:rsidR="008E241B" w:rsidRPr="0075598D">
        <w:t xml:space="preserve">will </w:t>
      </w:r>
      <w:r>
        <w:t>receive</w:t>
      </w:r>
      <w:r w:rsidRPr="0075598D">
        <w:t xml:space="preserve"> </w:t>
      </w:r>
      <w:r w:rsidR="00C3463E" w:rsidRPr="0075598D">
        <w:t xml:space="preserve">key information about the evaluation </w:t>
      </w:r>
      <w:r>
        <w:t>in</w:t>
      </w:r>
      <w:r w:rsidRPr="0075598D">
        <w:t xml:space="preserve"> </w:t>
      </w:r>
      <w:r w:rsidR="00C3463E" w:rsidRPr="0075598D">
        <w:t xml:space="preserve">the advance letter and </w:t>
      </w:r>
      <w:r>
        <w:t xml:space="preserve">in </w:t>
      </w:r>
      <w:r w:rsidR="008543A3" w:rsidRPr="0075598D">
        <w:t xml:space="preserve">multiple rounds of </w:t>
      </w:r>
      <w:r w:rsidR="00C3463E" w:rsidRPr="0075598D">
        <w:t xml:space="preserve">reminder letters </w:t>
      </w:r>
      <w:r w:rsidR="008543A3" w:rsidRPr="0075598D">
        <w:t>using</w:t>
      </w:r>
      <w:r w:rsidR="00C3463E" w:rsidRPr="0075598D">
        <w:t xml:space="preserve"> </w:t>
      </w:r>
      <w:r>
        <w:t>various</w:t>
      </w:r>
      <w:r w:rsidRPr="0075598D">
        <w:t xml:space="preserve"> </w:t>
      </w:r>
      <w:r w:rsidR="00C3463E" w:rsidRPr="0075598D">
        <w:t>modes, including mail and email. In addition, permission to contact study participants via SMS text messaging</w:t>
      </w:r>
      <w:r w:rsidR="0075598D" w:rsidRPr="0075598D">
        <w:t xml:space="preserve"> was collected at the time of sample enrollment</w:t>
      </w:r>
      <w:r w:rsidR="00C3463E" w:rsidRPr="0075598D">
        <w:t xml:space="preserve">. </w:t>
      </w:r>
      <w:r>
        <w:t>Because</w:t>
      </w:r>
      <w:r w:rsidRPr="0075598D">
        <w:t xml:space="preserve"> youth ar</w:t>
      </w:r>
      <w:r>
        <w:t>e more likely to have a stable I</w:t>
      </w:r>
      <w:r w:rsidRPr="0075598D">
        <w:t>nternet presence than a physical address</w:t>
      </w:r>
      <w:r>
        <w:t>, s</w:t>
      </w:r>
      <w:r w:rsidR="00BD5C15" w:rsidRPr="0075598D">
        <w:t xml:space="preserve">ocial media contact information (such as Facebook, Twitter, and Instagram) </w:t>
      </w:r>
      <w:r w:rsidR="008E241B" w:rsidRPr="0075598D">
        <w:t xml:space="preserve">will be collected and </w:t>
      </w:r>
      <w:r>
        <w:t>used</w:t>
      </w:r>
      <w:r w:rsidR="00BD5C15" w:rsidRPr="0075598D">
        <w:t xml:space="preserve"> throughout the follow-up fielding period</w:t>
      </w:r>
      <w:r>
        <w:t>’s</w:t>
      </w:r>
      <w:r w:rsidR="00BD5C15" w:rsidRPr="0075598D">
        <w:t xml:space="preserve"> locating efforts</w:t>
      </w:r>
      <w:r w:rsidR="00ED5FEC" w:rsidRPr="0075598D">
        <w:t xml:space="preserve">. </w:t>
      </w:r>
      <w:r w:rsidR="0075598D">
        <w:t>P</w:t>
      </w:r>
      <w:r w:rsidR="00BD5C15" w:rsidRPr="009A1556">
        <w:t>lanned in-person locating effort</w:t>
      </w:r>
      <w:r w:rsidR="0075598D">
        <w:t>s</w:t>
      </w:r>
      <w:r w:rsidR="00BD5C15" w:rsidRPr="009A1556">
        <w:t xml:space="preserve"> will focus on study participants </w:t>
      </w:r>
      <w:r>
        <w:t>who do not have</w:t>
      </w:r>
      <w:r w:rsidRPr="009A1556">
        <w:t xml:space="preserve"> </w:t>
      </w:r>
      <w:r w:rsidR="00BD5C15" w:rsidRPr="009A1556">
        <w:t>a published phone number</w:t>
      </w:r>
      <w:r w:rsidR="00ED5FEC">
        <w:t xml:space="preserve"> </w:t>
      </w:r>
      <w:r>
        <w:t>and can</w:t>
      </w:r>
      <w:r w:rsidR="0075598D">
        <w:t xml:space="preserve">not be </w:t>
      </w:r>
      <w:r w:rsidR="00ED5FEC">
        <w:t>contact</w:t>
      </w:r>
      <w:r w:rsidR="0075598D">
        <w:t>ed through other means</w:t>
      </w:r>
      <w:r w:rsidR="00ED5FEC">
        <w:t xml:space="preserve">. </w:t>
      </w:r>
    </w:p>
    <w:p w14:paraId="7330FA7E" w14:textId="5496A6BA" w:rsidR="00ED5FEC" w:rsidRPr="00CD40C1" w:rsidRDefault="00A118A6" w:rsidP="00E914EF">
      <w:pPr>
        <w:pStyle w:val="BulletLastSS"/>
      </w:pPr>
      <w:r>
        <w:t xml:space="preserve">Another strategy </w:t>
      </w:r>
      <w:r w:rsidR="00C06D1F">
        <w:t xml:space="preserve">for </w:t>
      </w:r>
      <w:r>
        <w:t>maximiz</w:t>
      </w:r>
      <w:r w:rsidR="00C06D1F">
        <w:t>ing</w:t>
      </w:r>
      <w:r>
        <w:t xml:space="preserve"> response is the incentive structure</w:t>
      </w:r>
      <w:r w:rsidR="00C06D1F">
        <w:t>,</w:t>
      </w:r>
      <w:r w:rsidR="00CD40C1">
        <w:t xml:space="preserve"> </w:t>
      </w:r>
      <w:r w:rsidR="00C06D1F">
        <w:t xml:space="preserve">by </w:t>
      </w:r>
      <w:r w:rsidR="00CD40C1">
        <w:t xml:space="preserve">which </w:t>
      </w:r>
      <w:r w:rsidR="00CD40C1" w:rsidRPr="00CD40C1">
        <w:t>study participants who complete their survey online or by calling in</w:t>
      </w:r>
      <w:r w:rsidR="007218D9">
        <w:t xml:space="preserve"> </w:t>
      </w:r>
      <w:r w:rsidR="00CD40C1" w:rsidRPr="00CD40C1">
        <w:t xml:space="preserve">to the SOC within the first four weeks </w:t>
      </w:r>
      <w:r w:rsidR="00C06D1F">
        <w:t>will receive</w:t>
      </w:r>
      <w:r w:rsidR="00C06D1F" w:rsidRPr="00CD40C1">
        <w:t xml:space="preserve"> </w:t>
      </w:r>
      <w:r w:rsidR="00CD40C1" w:rsidRPr="00CD40C1">
        <w:t xml:space="preserve">$40, and those who complete </w:t>
      </w:r>
      <w:r w:rsidR="00C06D1F">
        <w:t xml:space="preserve">the survey </w:t>
      </w:r>
      <w:r w:rsidR="00CD40C1" w:rsidRPr="00CD40C1">
        <w:t>thereafter will receive $25</w:t>
      </w:r>
      <w:r w:rsidR="00C06D1F">
        <w:t>,</w:t>
      </w:r>
      <w:r w:rsidR="00CD40C1" w:rsidRPr="00CD40C1">
        <w:t xml:space="preserve"> irrespective of </w:t>
      </w:r>
      <w:r w:rsidR="00C06D1F">
        <w:t>how</w:t>
      </w:r>
      <w:r w:rsidR="000E5521">
        <w:t xml:space="preserve"> they complete the survey</w:t>
      </w:r>
      <w:r w:rsidR="00CD40C1">
        <w:t xml:space="preserve">. </w:t>
      </w:r>
      <w:r w:rsidR="00CB6D6E">
        <w:t>The emphasis o</w:t>
      </w:r>
      <w:r w:rsidR="00C06D1F">
        <w:t>n</w:t>
      </w:r>
      <w:r w:rsidR="00CB6D6E">
        <w:t xml:space="preserve"> </w:t>
      </w:r>
      <w:r w:rsidR="000E5521">
        <w:t xml:space="preserve">survey </w:t>
      </w:r>
      <w:r w:rsidR="00CB6D6E">
        <w:t xml:space="preserve">completion during the </w:t>
      </w:r>
      <w:r w:rsidR="00017E9F">
        <w:t>first four-week phase</w:t>
      </w:r>
      <w:r w:rsidR="00CB6D6E">
        <w:t xml:space="preserve"> of </w:t>
      </w:r>
      <w:r w:rsidR="000E5521">
        <w:t>the survey fielding period</w:t>
      </w:r>
      <w:r w:rsidR="00CB6D6E">
        <w:t xml:space="preserve"> will limit the project resources needed to contact study participants later in the data collection period</w:t>
      </w:r>
      <w:r w:rsidR="00C06D1F">
        <w:t>,</w:t>
      </w:r>
      <w:r w:rsidR="00CB6D6E">
        <w:t xml:space="preserve"> </w:t>
      </w:r>
      <w:r w:rsidR="00C06D1F">
        <w:t xml:space="preserve">as well as </w:t>
      </w:r>
      <w:r w:rsidR="00CB6D6E">
        <w:t xml:space="preserve">reduce the number of outreach attempts </w:t>
      </w:r>
      <w:r w:rsidR="00C06D1F">
        <w:t xml:space="preserve">experienced </w:t>
      </w:r>
      <w:r w:rsidR="00CB6D6E">
        <w:t xml:space="preserve">by study participants. </w:t>
      </w:r>
    </w:p>
    <w:p w14:paraId="4F534517" w14:textId="29211D61" w:rsidR="00A05863" w:rsidRDefault="00BD5C15">
      <w:pPr>
        <w:pStyle w:val="NormalSS"/>
      </w:pPr>
      <w:r w:rsidRPr="001C0FB6">
        <w:rPr>
          <w:b/>
          <w:bCs/>
          <w:iCs/>
        </w:rPr>
        <w:t>Data reliability</w:t>
      </w:r>
      <w:r w:rsidR="002B1B65" w:rsidRPr="001D5D9C">
        <w:rPr>
          <w:b/>
        </w:rPr>
        <w:t>.</w:t>
      </w:r>
      <w:r w:rsidRPr="00AF26F0">
        <w:t xml:space="preserve"> </w:t>
      </w:r>
      <w:r w:rsidR="00D46E8D">
        <w:t xml:space="preserve">The follow-up survey </w:t>
      </w:r>
      <w:r w:rsidR="000E5521">
        <w:t xml:space="preserve">instrument </w:t>
      </w:r>
      <w:r w:rsidR="00D46E8D">
        <w:t xml:space="preserve">has been reviewed by staff at DOL, project team members, </w:t>
      </w:r>
      <w:r w:rsidR="000E5521">
        <w:t xml:space="preserve">and </w:t>
      </w:r>
      <w:r w:rsidR="00D46E8D">
        <w:t>representatives from YCC programs</w:t>
      </w:r>
      <w:r w:rsidR="000E5521">
        <w:t>.</w:t>
      </w:r>
      <w:r w:rsidR="00040780">
        <w:t xml:space="preserve"> </w:t>
      </w:r>
      <w:r w:rsidR="000E5521">
        <w:t>It has been</w:t>
      </w:r>
      <w:r w:rsidR="00D46E8D">
        <w:t xml:space="preserve"> thoroughly pre</w:t>
      </w:r>
      <w:r w:rsidR="00C06D1F">
        <w:t>-</w:t>
      </w:r>
      <w:r w:rsidR="00D46E8D">
        <w:t xml:space="preserve">tested with a group of students similar to those in the follow-up sample. </w:t>
      </w:r>
      <w:r w:rsidR="00A05863">
        <w:t>As another assurance of data reliability,</w:t>
      </w:r>
      <w:r w:rsidR="00D46E8D">
        <w:t xml:space="preserve"> telephone interviewers and field locators will receive extensive training in adminis</w:t>
      </w:r>
      <w:r w:rsidR="00C06D1F">
        <w:t>tering</w:t>
      </w:r>
      <w:r w:rsidR="00D46E8D">
        <w:t xml:space="preserve"> the instrument and identif</w:t>
      </w:r>
      <w:r w:rsidR="00C06D1F">
        <w:t>ying</w:t>
      </w:r>
      <w:r w:rsidR="00D46E8D">
        <w:t xml:space="preserve"> potential barriers to response. </w:t>
      </w:r>
      <w:r w:rsidR="00A05863">
        <w:t>This training will also focus on ensuring cooperation of those in the control group</w:t>
      </w:r>
      <w:r w:rsidR="00C06D1F">
        <w:t>,</w:t>
      </w:r>
      <w:r w:rsidR="00A05863">
        <w:t xml:space="preserve"> who</w:t>
      </w:r>
      <w:r w:rsidR="00C06D1F">
        <w:t>,</w:t>
      </w:r>
      <w:r w:rsidR="00A05863">
        <w:t xml:space="preserve"> </w:t>
      </w:r>
      <w:r w:rsidR="00C06D1F">
        <w:t xml:space="preserve">because they were not selected for enrollment in the program, </w:t>
      </w:r>
      <w:r w:rsidR="00A05863">
        <w:t xml:space="preserve">may be less inclined </w:t>
      </w:r>
      <w:r w:rsidR="000E5521">
        <w:t xml:space="preserve">than treatment group members </w:t>
      </w:r>
      <w:r w:rsidR="00A05863">
        <w:t>to participate</w:t>
      </w:r>
      <w:r w:rsidR="00A123EA">
        <w:t xml:space="preserve">. </w:t>
      </w:r>
    </w:p>
    <w:p w14:paraId="182FBDA0" w14:textId="597899CC" w:rsidR="00A05863" w:rsidRDefault="00A05863">
      <w:pPr>
        <w:pStyle w:val="NormalSS"/>
      </w:pPr>
      <w:r>
        <w:t xml:space="preserve">Monitoring and validation will also be critical to data reliability. Mathematica employs a standard of monitoring </w:t>
      </w:r>
      <w:r w:rsidR="00C06D1F">
        <w:t xml:space="preserve">10 </w:t>
      </w:r>
      <w:r>
        <w:t xml:space="preserve">percent of the hours each interviewer spends interacting with sample members and administering interviews. </w:t>
      </w:r>
      <w:r w:rsidR="00C06D1F">
        <w:t xml:space="preserve">Also, 10 </w:t>
      </w:r>
      <w:r>
        <w:t>percent of complete</w:t>
      </w:r>
      <w:r w:rsidR="000E5521">
        <w:t>d survey</w:t>
      </w:r>
      <w:r>
        <w:t>s generated from the field locators will be subject to field validation to ensure that the correct participant was contacted and that the locator met all expectations</w:t>
      </w:r>
      <w:r w:rsidR="00305E6D">
        <w:t xml:space="preserve"> of professionalism and data collection best practices.</w:t>
      </w:r>
    </w:p>
    <w:p w14:paraId="1E0E61F1" w14:textId="77777777" w:rsidR="00C828D0" w:rsidRDefault="00CD022D" w:rsidP="00C828D0">
      <w:pPr>
        <w:pStyle w:val="Heading3"/>
      </w:pPr>
      <w:bookmarkStart w:id="14" w:name="_Toc374100108"/>
      <w:r>
        <w:t>5</w:t>
      </w:r>
      <w:r w:rsidR="00C828D0">
        <w:t>.</w:t>
      </w:r>
      <w:r w:rsidR="00C828D0">
        <w:tab/>
      </w:r>
      <w:bookmarkStart w:id="15" w:name="_Toc256427937"/>
      <w:bookmarkStart w:id="16" w:name="_Toc260919983"/>
      <w:bookmarkStart w:id="17" w:name="_Toc260921566"/>
      <w:bookmarkStart w:id="18" w:name="_Toc261004995"/>
      <w:bookmarkStart w:id="19" w:name="_Toc262106073"/>
      <w:bookmarkStart w:id="20" w:name="_Toc262106516"/>
      <w:bookmarkStart w:id="21" w:name="_Toc262205792"/>
      <w:bookmarkStart w:id="22" w:name="_Toc289941865"/>
      <w:r w:rsidR="00C828D0" w:rsidRPr="0093658C">
        <w:t xml:space="preserve">Tests of </w:t>
      </w:r>
      <w:r w:rsidR="008A27A2">
        <w:t>p</w:t>
      </w:r>
      <w:r w:rsidR="00C828D0" w:rsidRPr="0093658C">
        <w:t xml:space="preserve">rocedures or </w:t>
      </w:r>
      <w:r w:rsidR="008A27A2">
        <w:t>m</w:t>
      </w:r>
      <w:r w:rsidR="00C828D0" w:rsidRPr="0093658C">
        <w:t>ethods</w:t>
      </w:r>
      <w:bookmarkEnd w:id="14"/>
      <w:bookmarkEnd w:id="15"/>
      <w:bookmarkEnd w:id="16"/>
      <w:bookmarkEnd w:id="17"/>
      <w:bookmarkEnd w:id="18"/>
      <w:bookmarkEnd w:id="19"/>
      <w:bookmarkEnd w:id="20"/>
      <w:bookmarkEnd w:id="21"/>
      <w:bookmarkEnd w:id="22"/>
    </w:p>
    <w:p w14:paraId="28D028A1" w14:textId="4AF0A46C" w:rsidR="00C828D0" w:rsidRDefault="008D0C95" w:rsidP="00F133A9">
      <w:pPr>
        <w:pStyle w:val="NormalSS"/>
      </w:pPr>
      <w:r>
        <w:t>Pre</w:t>
      </w:r>
      <w:r w:rsidR="00C06D1F">
        <w:t>-</w:t>
      </w:r>
      <w:r>
        <w:t xml:space="preserve">testing </w:t>
      </w:r>
      <w:r w:rsidR="00C43D29">
        <w:t xml:space="preserve">a </w:t>
      </w:r>
      <w:r>
        <w:t xml:space="preserve">survey is critical to the integrity of a data collection. </w:t>
      </w:r>
      <w:r w:rsidR="00283A3B">
        <w:t>Because t</w:t>
      </w:r>
      <w:r w:rsidR="00305E6D">
        <w:t xml:space="preserve">he parental consent form will include language similar to </w:t>
      </w:r>
      <w:r w:rsidR="003707C4">
        <w:t xml:space="preserve">that </w:t>
      </w:r>
      <w:r w:rsidR="00305E6D">
        <w:t xml:space="preserve">used </w:t>
      </w:r>
      <w:r w:rsidR="007218D9">
        <w:t xml:space="preserve">in </w:t>
      </w:r>
      <w:r w:rsidR="00305E6D">
        <w:t>the baseline parental consent form, challenges in administ</w:t>
      </w:r>
      <w:r w:rsidR="00C43D29">
        <w:t>ering it</w:t>
      </w:r>
      <w:r w:rsidR="00283A3B">
        <w:t xml:space="preserve"> will be minimal</w:t>
      </w:r>
      <w:r w:rsidR="00305E6D">
        <w:t xml:space="preserve">. </w:t>
      </w:r>
      <w:r w:rsidR="00C43D29">
        <w:t>T</w:t>
      </w:r>
      <w:r w:rsidR="00305E6D">
        <w:t>he follow-up survey</w:t>
      </w:r>
      <w:r w:rsidR="00C43D29">
        <w:t xml:space="preserve"> uses</w:t>
      </w:r>
      <w:r w:rsidR="00283A3B">
        <w:t xml:space="preserve"> </w:t>
      </w:r>
      <w:r>
        <w:t xml:space="preserve">questions </w:t>
      </w:r>
      <w:r w:rsidR="00C43D29">
        <w:t>from</w:t>
      </w:r>
      <w:r>
        <w:t xml:space="preserve"> the BIFs, as well as from other studies of similar populations</w:t>
      </w:r>
      <w:r w:rsidR="00FA10B1">
        <w:t>,</w:t>
      </w:r>
      <w:r>
        <w:t xml:space="preserve"> to ensure that items </w:t>
      </w:r>
      <w:r w:rsidR="00C43D29">
        <w:t>a</w:t>
      </w:r>
      <w:r>
        <w:t>re worded simply and clearly, that the information being requested is reasonable to ask from youth, that response categories are clear, that questions have clear instructions</w:t>
      </w:r>
      <w:r w:rsidR="00C43D29">
        <w:t>,</w:t>
      </w:r>
      <w:r>
        <w:t xml:space="preserve"> and that the questions </w:t>
      </w:r>
      <w:r w:rsidR="00C43D29">
        <w:t>a</w:t>
      </w:r>
      <w:r>
        <w:t xml:space="preserve">re within the reading level range of </w:t>
      </w:r>
      <w:r w:rsidR="000A219B">
        <w:t xml:space="preserve">the target </w:t>
      </w:r>
      <w:r>
        <w:t>population.</w:t>
      </w:r>
    </w:p>
    <w:p w14:paraId="0168928F" w14:textId="66F4F299" w:rsidR="008D0C95" w:rsidRDefault="00482FE7" w:rsidP="00F133A9">
      <w:pPr>
        <w:pStyle w:val="NormalSS"/>
      </w:pPr>
      <w:r>
        <w:t>F</w:t>
      </w:r>
      <w:r w:rsidR="007218D9">
        <w:t>or the pre-test, f</w:t>
      </w:r>
      <w:r>
        <w:t>ive</w:t>
      </w:r>
      <w:r w:rsidR="00F2238F">
        <w:t xml:space="preserve"> </w:t>
      </w:r>
      <w:r w:rsidR="00E41A4F">
        <w:t>student</w:t>
      </w:r>
      <w:r w:rsidR="00283A3B">
        <w:t>s provided feedback on the survey questions. S</w:t>
      </w:r>
      <w:r w:rsidR="008D0C95">
        <w:t xml:space="preserve">ome </w:t>
      </w:r>
      <w:r w:rsidR="00283A3B">
        <w:t xml:space="preserve">students </w:t>
      </w:r>
      <w:r w:rsidR="00C43D29">
        <w:t>we</w:t>
      </w:r>
      <w:r w:rsidR="008D0C95">
        <w:t xml:space="preserve">re participating in YCC but </w:t>
      </w:r>
      <w:r w:rsidR="00C43D29">
        <w:t xml:space="preserve">were </w:t>
      </w:r>
      <w:r w:rsidR="008D0C95">
        <w:t>not part of the follow-up sample</w:t>
      </w:r>
      <w:r w:rsidR="00C43D29">
        <w:t>;</w:t>
      </w:r>
      <w:r w:rsidR="008D0C95">
        <w:t xml:space="preserve"> others </w:t>
      </w:r>
      <w:r w:rsidR="00283A3B">
        <w:t xml:space="preserve">were not participating </w:t>
      </w:r>
      <w:r w:rsidR="00C43D29">
        <w:t xml:space="preserve">in </w:t>
      </w:r>
      <w:r w:rsidR="00283A3B">
        <w:t xml:space="preserve">YCC and </w:t>
      </w:r>
      <w:r w:rsidR="00C43D29">
        <w:t>we</w:t>
      </w:r>
      <w:r w:rsidR="00283A3B">
        <w:t>re similar to those in the control group</w:t>
      </w:r>
      <w:r w:rsidR="008D0C95">
        <w:t xml:space="preserve">. </w:t>
      </w:r>
      <w:r w:rsidR="00283A3B">
        <w:t xml:space="preserve">These students completed </w:t>
      </w:r>
      <w:r w:rsidR="008D0C95">
        <w:t>a self-administered version of the questionnaire</w:t>
      </w:r>
      <w:r w:rsidR="00C43D29">
        <w:t>,</w:t>
      </w:r>
      <w:r w:rsidR="00283A3B">
        <w:t xml:space="preserve"> f</w:t>
      </w:r>
      <w:r w:rsidR="008D0C95">
        <w:t>ollow</w:t>
      </w:r>
      <w:r w:rsidR="00C43D29">
        <w:t>ed by</w:t>
      </w:r>
      <w:r w:rsidR="008D0C95">
        <w:t xml:space="preserve"> a respondent debriefing to assess comprehension, clarity of instructions, skip logic concerns</w:t>
      </w:r>
      <w:r w:rsidR="00C43D29">
        <w:t>,</w:t>
      </w:r>
      <w:r w:rsidR="008D0C95">
        <w:t xml:space="preserve"> and overall survey flow. In addition, </w:t>
      </w:r>
      <w:r w:rsidR="00283A3B">
        <w:t xml:space="preserve">students were </w:t>
      </w:r>
      <w:r w:rsidR="00C43D29">
        <w:t xml:space="preserve">asked </w:t>
      </w:r>
      <w:r w:rsidR="008D0C95">
        <w:t>about the timing of the survey and the ease of administration. Findings from these pr</w:t>
      </w:r>
      <w:r w:rsidR="007218D9">
        <w:t>e</w:t>
      </w:r>
      <w:r w:rsidR="00C43D29">
        <w:t>-</w:t>
      </w:r>
      <w:r w:rsidR="008D0C95">
        <w:t xml:space="preserve">tests can be </w:t>
      </w:r>
      <w:r w:rsidR="008D0C95" w:rsidRPr="00E70486">
        <w:t xml:space="preserve">found in </w:t>
      </w:r>
      <w:r w:rsidR="00E70486" w:rsidRPr="00E70486">
        <w:t>the accompanying pretest results memo</w:t>
      </w:r>
      <w:r w:rsidR="008D0C95" w:rsidRPr="00E70486">
        <w:t>.</w:t>
      </w:r>
    </w:p>
    <w:p w14:paraId="453F3B68" w14:textId="17C28528" w:rsidR="00C828D0" w:rsidRDefault="00CD022D" w:rsidP="00C828D0">
      <w:pPr>
        <w:pStyle w:val="Heading3"/>
      </w:pPr>
      <w:bookmarkStart w:id="23" w:name="_Toc374100109"/>
      <w:r>
        <w:t>6</w:t>
      </w:r>
      <w:r w:rsidR="00C828D0">
        <w:t>.</w:t>
      </w:r>
      <w:r w:rsidR="00C828D0">
        <w:tab/>
      </w:r>
      <w:r w:rsidR="00B4210E">
        <w:t>C</w:t>
      </w:r>
      <w:r w:rsidR="00C828D0" w:rsidRPr="0093658C">
        <w:t>onsult</w:t>
      </w:r>
      <w:r w:rsidR="00B4210E">
        <w:t>ants</w:t>
      </w:r>
      <w:r w:rsidR="00C828D0" w:rsidRPr="0093658C">
        <w:t xml:space="preserve"> on </w:t>
      </w:r>
      <w:r w:rsidR="008A27A2">
        <w:t>s</w:t>
      </w:r>
      <w:r w:rsidR="00C828D0" w:rsidRPr="0093658C">
        <w:t xml:space="preserve">tatistical </w:t>
      </w:r>
      <w:r w:rsidR="008A27A2">
        <w:t>m</w:t>
      </w:r>
      <w:r w:rsidR="00C828D0" w:rsidRPr="0093658C">
        <w:t>ethods</w:t>
      </w:r>
      <w:bookmarkEnd w:id="23"/>
    </w:p>
    <w:p w14:paraId="25D6E8C6" w14:textId="3D14252F" w:rsidR="000B5A54" w:rsidRDefault="00C828D0" w:rsidP="00E914EF">
      <w:pPr>
        <w:pStyle w:val="NormalSS"/>
      </w:pPr>
      <w:r w:rsidRPr="00352369">
        <w:t xml:space="preserve">Consultations on the statistical methods used in this study have been </w:t>
      </w:r>
      <w:r w:rsidR="00860773">
        <w:t>done</w:t>
      </w:r>
      <w:r w:rsidR="00860773" w:rsidRPr="00352369">
        <w:t xml:space="preserve"> </w:t>
      </w:r>
      <w:r w:rsidRPr="00352369">
        <w:t xml:space="preserve">to ensure the technical soundness of the study. </w:t>
      </w:r>
      <w:r w:rsidR="000B5A54" w:rsidRPr="000B5A54">
        <w:t xml:space="preserve">The following </w:t>
      </w:r>
      <w:r w:rsidR="00860773">
        <w:t>people</w:t>
      </w:r>
      <w:r w:rsidR="00860773" w:rsidRPr="000B5A54">
        <w:t xml:space="preserve"> </w:t>
      </w:r>
      <w:r w:rsidR="000B5A54" w:rsidRPr="000B5A54">
        <w:t>consulted on statistical aspects of the design and will be primarily responsible for collecting and an</w:t>
      </w:r>
      <w:r w:rsidR="000B5A54">
        <w:t>alyzing the data for the agency:</w:t>
      </w:r>
    </w:p>
    <w:p w14:paraId="3FCC36D6" w14:textId="77777777" w:rsidR="00C828D0" w:rsidRPr="00007CFE" w:rsidRDefault="00496F00" w:rsidP="00B34D55">
      <w:pPr>
        <w:keepNext/>
        <w:rPr>
          <w:b/>
        </w:rPr>
      </w:pPr>
      <w:r w:rsidRPr="00496F00">
        <w:rPr>
          <w:b/>
        </w:rPr>
        <w:t>Mathematica Policy Research</w:t>
      </w:r>
    </w:p>
    <w:p w14:paraId="18607521" w14:textId="77777777" w:rsidR="00C828D0" w:rsidRDefault="00C828D0" w:rsidP="00C828D0">
      <w:r w:rsidRPr="00352369">
        <w:t>Dr. Peter Schochet</w:t>
      </w:r>
      <w:r w:rsidRPr="00352369">
        <w:tab/>
      </w:r>
      <w:r w:rsidRPr="00352369">
        <w:tab/>
      </w:r>
      <w:r>
        <w:tab/>
      </w:r>
      <w:r w:rsidRPr="00352369">
        <w:t>(609) 936-2783</w:t>
      </w:r>
    </w:p>
    <w:p w14:paraId="477A2E1B" w14:textId="77777777" w:rsidR="00C638C7" w:rsidRDefault="00C638C7" w:rsidP="00C828D0">
      <w:r>
        <w:t>Dr. Nan Maxwell</w:t>
      </w:r>
      <w:r w:rsidR="00A3694D">
        <w:tab/>
      </w:r>
      <w:r w:rsidR="00A3694D">
        <w:tab/>
      </w:r>
      <w:r w:rsidR="00A3694D">
        <w:tab/>
        <w:t>(510) 830-3726</w:t>
      </w:r>
    </w:p>
    <w:p w14:paraId="3547A7B6" w14:textId="77777777" w:rsidR="00C638C7" w:rsidRPr="00352369" w:rsidRDefault="00CE5944" w:rsidP="00C828D0">
      <w:r>
        <w:t xml:space="preserve">Ms. </w:t>
      </w:r>
      <w:r w:rsidR="00C638C7">
        <w:t>Jeanne Bellotti</w:t>
      </w:r>
      <w:r w:rsidR="00A3694D">
        <w:tab/>
      </w:r>
      <w:r w:rsidR="00A3694D">
        <w:tab/>
      </w:r>
      <w:r w:rsidR="00A3694D">
        <w:tab/>
        <w:t xml:space="preserve">(609) </w:t>
      </w:r>
      <w:r w:rsidR="00A3694D" w:rsidRPr="00A3694D">
        <w:t>275-2243</w:t>
      </w:r>
    </w:p>
    <w:p w14:paraId="18F9CC28" w14:textId="77777777" w:rsidR="009D0AF6" w:rsidRDefault="009D0AF6" w:rsidP="00E914EF">
      <w:pPr>
        <w:pStyle w:val="NormalSScontinued"/>
      </w:pPr>
    </w:p>
    <w:p w14:paraId="18B2DDEE" w14:textId="77777777" w:rsidR="00D7084A" w:rsidRDefault="00D7084A" w:rsidP="00A51ECF">
      <w:pPr>
        <w:pStyle w:val="NormalSS"/>
        <w:rPr>
          <w:b/>
        </w:rPr>
        <w:sectPr w:rsidR="00D7084A" w:rsidSect="00474033">
          <w:footerReference w:type="default" r:id="rId29"/>
          <w:endnotePr>
            <w:numFmt w:val="decimal"/>
          </w:endnotePr>
          <w:pgSz w:w="12240" w:h="15840" w:code="1"/>
          <w:pgMar w:top="1440" w:right="1440" w:bottom="576" w:left="1440" w:header="720" w:footer="576" w:gutter="0"/>
          <w:pgNumType w:start="1"/>
          <w:cols w:space="720"/>
          <w:titlePg/>
          <w:docGrid w:linePitch="326"/>
        </w:sectPr>
      </w:pPr>
    </w:p>
    <w:p w14:paraId="4219E89B" w14:textId="1FE169A8" w:rsidR="00C828D0" w:rsidRPr="001D5D9C" w:rsidRDefault="00FF1EA1" w:rsidP="001D5D9C">
      <w:pPr>
        <w:pStyle w:val="NormalSS"/>
        <w:jc w:val="center"/>
        <w:rPr>
          <w:rFonts w:ascii="Arial" w:hAnsi="Arial" w:cs="Arial"/>
          <w:b/>
        </w:rPr>
      </w:pPr>
      <w:r w:rsidRPr="001D5D9C">
        <w:rPr>
          <w:rFonts w:ascii="Arial" w:hAnsi="Arial" w:cs="Arial"/>
          <w:b/>
        </w:rPr>
        <w:t>R</w:t>
      </w:r>
      <w:r w:rsidR="00D7084A">
        <w:rPr>
          <w:rFonts w:ascii="Arial" w:hAnsi="Arial" w:cs="Arial"/>
          <w:b/>
        </w:rPr>
        <w:t>EFERENCES</w:t>
      </w:r>
    </w:p>
    <w:p w14:paraId="72519DA0" w14:textId="34679A42" w:rsidR="00B15548" w:rsidRDefault="00B15548" w:rsidP="00B15548">
      <w:pPr>
        <w:pStyle w:val="References"/>
        <w:spacing w:after="200"/>
      </w:pPr>
      <w:r>
        <w:rPr>
          <w:rFonts w:eastAsiaTheme="minorEastAsia"/>
        </w:rPr>
        <w:t xml:space="preserve">Acevedo, Paloma, Guillermo Cruces, Paul Gertler, </w:t>
      </w:r>
      <w:r w:rsidR="00AE6753">
        <w:rPr>
          <w:rFonts w:eastAsiaTheme="minorEastAsia"/>
        </w:rPr>
        <w:t xml:space="preserve">and </w:t>
      </w:r>
      <w:r>
        <w:rPr>
          <w:rFonts w:eastAsiaTheme="minorEastAsia"/>
        </w:rPr>
        <w:t xml:space="preserve">Sebastian Martinez. “Living Up to Expectations: How Job Training Made Women Better Off and Men Worse Off.” NBER Working Paper No. 23264. </w:t>
      </w:r>
      <w:r>
        <w:t xml:space="preserve">Cambridge, MA: </w:t>
      </w:r>
      <w:r w:rsidRPr="00A57D73">
        <w:t>National Bureau of Economic Research</w:t>
      </w:r>
      <w:r>
        <w:t xml:space="preserve">, </w:t>
      </w:r>
      <w:r>
        <w:rPr>
          <w:rFonts w:eastAsiaTheme="minorEastAsia"/>
        </w:rPr>
        <w:t xml:space="preserve">March 2017. </w:t>
      </w:r>
      <w:r w:rsidR="00AE6753">
        <w:rPr>
          <w:rFonts w:eastAsiaTheme="minorEastAsia"/>
        </w:rPr>
        <w:t>Available at</w:t>
      </w:r>
      <w:r>
        <w:rPr>
          <w:rFonts w:eastAsiaTheme="minorEastAsia"/>
        </w:rPr>
        <w:t xml:space="preserve"> </w:t>
      </w:r>
      <w:hyperlink r:id="rId30" w:history="1">
        <w:r w:rsidRPr="00CA5BC3">
          <w:rPr>
            <w:rStyle w:val="Hyperlink"/>
            <w:rFonts w:eastAsiaTheme="minorEastAsia"/>
          </w:rPr>
          <w:t>http://www.nber.org/papers/w23264</w:t>
        </w:r>
      </w:hyperlink>
      <w:r>
        <w:rPr>
          <w:rFonts w:eastAsiaTheme="minorEastAsia"/>
        </w:rPr>
        <w:t>.</w:t>
      </w:r>
      <w:r w:rsidR="00AE6753">
        <w:rPr>
          <w:rFonts w:eastAsiaTheme="minorEastAsia"/>
        </w:rPr>
        <w:t xml:space="preserve"> Accessed September 3, 2017.</w:t>
      </w:r>
    </w:p>
    <w:p w14:paraId="4019099F" w14:textId="77777777" w:rsidR="00B15548" w:rsidRDefault="00B15548" w:rsidP="00B15548">
      <w:pPr>
        <w:pStyle w:val="References"/>
        <w:spacing w:after="200"/>
      </w:pPr>
      <w:r w:rsidRPr="007F1E35">
        <w:t>Al-Mamun, A</w:t>
      </w:r>
      <w:r>
        <w:t>bdullah. “</w:t>
      </w:r>
      <w:r w:rsidRPr="007F1E35">
        <w:t>The Soft Skills Education for the Vocational Graduate: Value as Work Readiness Skills</w:t>
      </w:r>
      <w:r>
        <w:t xml:space="preserve">.” </w:t>
      </w:r>
      <w:r w:rsidRPr="007F1E35">
        <w:rPr>
          <w:i/>
        </w:rPr>
        <w:t>British Journal of Education, Society &amp; Behavioural Science</w:t>
      </w:r>
      <w:r w:rsidR="002B1B65" w:rsidRPr="00D7084A">
        <w:rPr>
          <w:i/>
        </w:rPr>
        <w:t>,</w:t>
      </w:r>
      <w:r w:rsidRPr="007F1E35">
        <w:t xml:space="preserve"> vol. 2, no. 4, 2012</w:t>
      </w:r>
      <w:r>
        <w:t xml:space="preserve">, </w:t>
      </w:r>
      <w:r w:rsidRPr="007F1E35">
        <w:t>pp</w:t>
      </w:r>
      <w:r>
        <w:t>.</w:t>
      </w:r>
      <w:r w:rsidRPr="007F1E35">
        <w:t xml:space="preserve"> 326</w:t>
      </w:r>
      <w:r>
        <w:t>–</w:t>
      </w:r>
      <w:r w:rsidRPr="007F1E35">
        <w:t>338.</w:t>
      </w:r>
    </w:p>
    <w:p w14:paraId="1B92F467" w14:textId="28A51D5D" w:rsidR="0037770F" w:rsidRPr="007670E6" w:rsidRDefault="0037770F" w:rsidP="0037770F">
      <w:pPr>
        <w:pStyle w:val="References"/>
        <w:spacing w:after="200"/>
      </w:pPr>
      <w:r>
        <w:t>Center for Postsecondary and Economic Success at CLASP.</w:t>
      </w:r>
      <w:r w:rsidRPr="007670E6">
        <w:rPr>
          <w:rFonts w:ascii="Proxima Nova Rg" w:eastAsiaTheme="minorEastAsia" w:hAnsi="Proxima Nova Rg" w:cstheme="minorBidi"/>
        </w:rPr>
        <w:t xml:space="preserve"> </w:t>
      </w:r>
      <w:r w:rsidRPr="00637A61">
        <w:rPr>
          <w:rFonts w:eastAsiaTheme="minorEastAsia"/>
        </w:rPr>
        <w:t>“</w:t>
      </w:r>
      <w:r w:rsidRPr="00637A61">
        <w:t>A Framework for Measuring Career Pathways Innovation</w:t>
      </w:r>
      <w:r w:rsidR="00791091">
        <w:t>: A Working Paper.</w:t>
      </w:r>
      <w:r>
        <w:t xml:space="preserve">” </w:t>
      </w:r>
      <w:r w:rsidR="002B7490">
        <w:t xml:space="preserve">The Alliance for Quality Career Pathways. </w:t>
      </w:r>
      <w:r>
        <w:t xml:space="preserve">February 2013. </w:t>
      </w:r>
      <w:r w:rsidR="00791091">
        <w:t>Available at</w:t>
      </w:r>
      <w:r>
        <w:t xml:space="preserve"> </w:t>
      </w:r>
      <w:hyperlink r:id="rId31" w:history="1">
        <w:r w:rsidRPr="00030AB0">
          <w:rPr>
            <w:rStyle w:val="Hyperlink"/>
          </w:rPr>
          <w:t>http://www.clasp.org/resources-and-publications/publication-1/CLASP-AQCP-Metrics-Feb-2013.pdf</w:t>
        </w:r>
      </w:hyperlink>
      <w:r>
        <w:t>.</w:t>
      </w:r>
      <w:r w:rsidR="00791091">
        <w:t xml:space="preserve"> Accessed September 3, 2017.</w:t>
      </w:r>
    </w:p>
    <w:p w14:paraId="6FB6CC83" w14:textId="77777777" w:rsidR="00FF1EA1" w:rsidRDefault="00FF1EA1" w:rsidP="00FF1EA1">
      <w:pPr>
        <w:pStyle w:val="References"/>
      </w:pPr>
      <w:r>
        <w:t xml:space="preserve">Constantine, Jill, Neil Seftor, Emily Sama Martin, Tim Silva, and David Myers. “A Study of the Effect of Talent Search on Secondary and Postsecondary Outcomes in Florida, Indiana, and Texas: Final Report </w:t>
      </w:r>
      <w:r w:rsidR="00CE5944">
        <w:t>f</w:t>
      </w:r>
      <w:r>
        <w:t>rom Phase II of the National Evaluation.” Washington, DC: U.S. Department of Education, Office of Planning, Evaluation and Policy Development, Policy and Program Studies Service, 2006.</w:t>
      </w:r>
      <w:r w:rsidR="003F5EC6">
        <w:t xml:space="preserve"> Available at </w:t>
      </w:r>
      <w:hyperlink r:id="rId32" w:history="1">
        <w:r w:rsidR="003F5EC6" w:rsidRPr="00E8155A">
          <w:rPr>
            <w:rStyle w:val="Hyperlink"/>
          </w:rPr>
          <w:t>https://www2.ed.gov/rschstat/eval/highered/talentsearch-outcomes/ts-report.pdf</w:t>
        </w:r>
      </w:hyperlink>
      <w:r w:rsidR="003F5EC6">
        <w:t>. Accessed September 3, 2017.</w:t>
      </w:r>
    </w:p>
    <w:p w14:paraId="52D0A72A" w14:textId="03EDAAA9" w:rsidR="00B15548" w:rsidRDefault="00B15548" w:rsidP="00B15548">
      <w:pPr>
        <w:pStyle w:val="References"/>
        <w:spacing w:after="200"/>
      </w:pPr>
      <w:r w:rsidRPr="00DA6452">
        <w:t xml:space="preserve">Cotton, Kathleen. </w:t>
      </w:r>
      <w:r>
        <w:t>“</w:t>
      </w:r>
      <w:r w:rsidRPr="00637A61">
        <w:t>New Small Learning Communities: Findings from Recent Literature.</w:t>
      </w:r>
      <w:r>
        <w:t>”</w:t>
      </w:r>
      <w:r w:rsidRPr="00DA6452">
        <w:rPr>
          <w:i/>
        </w:rPr>
        <w:t xml:space="preserve"> </w:t>
      </w:r>
      <w:r>
        <w:t>Washington, DC:</w:t>
      </w:r>
      <w:r w:rsidRPr="00C065ED">
        <w:rPr>
          <w:b/>
        </w:rPr>
        <w:t xml:space="preserve"> </w:t>
      </w:r>
      <w:r>
        <w:t xml:space="preserve">U.S. </w:t>
      </w:r>
      <w:r w:rsidRPr="00DA6452">
        <w:t>Department of Education</w:t>
      </w:r>
      <w:r>
        <w:t>,</w:t>
      </w:r>
      <w:r w:rsidRPr="00C065ED">
        <w:t xml:space="preserve"> </w:t>
      </w:r>
      <w:r w:rsidRPr="00DA6452">
        <w:t xml:space="preserve">Office of Educational </w:t>
      </w:r>
      <w:r>
        <w:t>R</w:t>
      </w:r>
      <w:r w:rsidRPr="00DA6452">
        <w:t>esearch and Improvement</w:t>
      </w:r>
      <w:r>
        <w:t>, 2001</w:t>
      </w:r>
      <w:r w:rsidRPr="00DA6452">
        <w:t xml:space="preserve">. </w:t>
      </w:r>
      <w:r w:rsidR="003F5EC6">
        <w:t>Available at</w:t>
      </w:r>
      <w:r w:rsidR="00D7084A">
        <w:t xml:space="preserve"> </w:t>
      </w:r>
      <w:hyperlink r:id="rId33" w:history="1">
        <w:r w:rsidR="00D7084A" w:rsidRPr="004351CC">
          <w:rPr>
            <w:rStyle w:val="Hyperlink"/>
          </w:rPr>
          <w:t>http://files.eric.ed.gov/fulltext/ED459539.pdf</w:t>
        </w:r>
      </w:hyperlink>
      <w:r w:rsidR="00D7084A">
        <w:t xml:space="preserve">. Accessed September 25, 2017. </w:t>
      </w:r>
    </w:p>
    <w:p w14:paraId="29A9CD8D" w14:textId="366ED999" w:rsidR="00B15548" w:rsidRDefault="00B15548" w:rsidP="00B15548">
      <w:pPr>
        <w:pStyle w:val="References"/>
        <w:spacing w:after="200"/>
      </w:pPr>
      <w:r w:rsidRPr="00A27791">
        <w:t xml:space="preserve">Doll, Jonathan Jacob, Zohreh Eslami, and Lynne Walters. </w:t>
      </w:r>
      <w:r>
        <w:t>“</w:t>
      </w:r>
      <w:r w:rsidRPr="00A27791">
        <w:t>Understanding Why Students Drop</w:t>
      </w:r>
      <w:r>
        <w:t xml:space="preserve"> </w:t>
      </w:r>
      <w:r w:rsidRPr="00A27791">
        <w:t>Out of High School, According to</w:t>
      </w:r>
      <w:r>
        <w:t xml:space="preserve"> </w:t>
      </w:r>
      <w:r w:rsidRPr="00A27791">
        <w:t>Their Own Reports: Are They Pushed</w:t>
      </w:r>
      <w:r>
        <w:t xml:space="preserve"> </w:t>
      </w:r>
      <w:r w:rsidRPr="00A27791">
        <w:t>or Pulled, or Do They Fall Out? A</w:t>
      </w:r>
      <w:r>
        <w:t xml:space="preserve"> </w:t>
      </w:r>
      <w:r w:rsidRPr="00A27791">
        <w:t>Comparative Analysis of Seven Nationally</w:t>
      </w:r>
      <w:r>
        <w:t xml:space="preserve"> </w:t>
      </w:r>
      <w:r w:rsidRPr="00A27791">
        <w:t>Representative Studies</w:t>
      </w:r>
      <w:r>
        <w:t xml:space="preserve">.” </w:t>
      </w:r>
      <w:r>
        <w:rPr>
          <w:i/>
        </w:rPr>
        <w:t>Sage Open</w:t>
      </w:r>
      <w:r w:rsidR="002B1B65" w:rsidRPr="005D473A">
        <w:rPr>
          <w:i/>
        </w:rPr>
        <w:t>,</w:t>
      </w:r>
      <w:r w:rsidRPr="003F5EC6">
        <w:t xml:space="preserve"> </w:t>
      </w:r>
      <w:r w:rsidR="005E7BFE">
        <w:t xml:space="preserve">vol. 3, no. 4, </w:t>
      </w:r>
      <w:r>
        <w:t xml:space="preserve">October-December 2013, pp. 1–15. </w:t>
      </w:r>
      <w:r w:rsidR="005E7BFE">
        <w:t>Available at</w:t>
      </w:r>
      <w:r>
        <w:t xml:space="preserve"> </w:t>
      </w:r>
      <w:hyperlink r:id="rId34" w:history="1">
        <w:r w:rsidR="005D473A" w:rsidRPr="004351CC">
          <w:rPr>
            <w:rStyle w:val="Hyperlink"/>
          </w:rPr>
          <w:t>http://journals.sagepub.com/doi/pdf/10.1177/2158244013503834</w:t>
        </w:r>
      </w:hyperlink>
      <w:r w:rsidR="005D473A">
        <w:t xml:space="preserve">. </w:t>
      </w:r>
      <w:r w:rsidR="005E7BFE">
        <w:t>Accessed September 3, 2017.</w:t>
      </w:r>
    </w:p>
    <w:p w14:paraId="723F6526" w14:textId="7BEF8F44" w:rsidR="0037770F" w:rsidRPr="0098522C" w:rsidRDefault="0037770F" w:rsidP="0037770F">
      <w:pPr>
        <w:pStyle w:val="References"/>
        <w:spacing w:after="200"/>
      </w:pPr>
      <w:r w:rsidRPr="00DA6452">
        <w:t>Ginsburg, Alan, Phyllis Jordan</w:t>
      </w:r>
      <w:r>
        <w:t>,</w:t>
      </w:r>
      <w:r w:rsidRPr="00DA6452">
        <w:t xml:space="preserve"> and Hedy Chang</w:t>
      </w:r>
      <w:r>
        <w:t>. “Absences Add Up: How S</w:t>
      </w:r>
      <w:r w:rsidRPr="00DA6452">
        <w:t xml:space="preserve">chool </w:t>
      </w:r>
      <w:r>
        <w:t>A</w:t>
      </w:r>
      <w:r w:rsidRPr="00DA6452">
        <w:t xml:space="preserve">ttendance </w:t>
      </w:r>
      <w:r>
        <w:t>I</w:t>
      </w:r>
      <w:r w:rsidRPr="00DA6452">
        <w:t xml:space="preserve">nfluences </w:t>
      </w:r>
      <w:r>
        <w:t>S</w:t>
      </w:r>
      <w:r w:rsidRPr="00DA6452">
        <w:t xml:space="preserve">tudent </w:t>
      </w:r>
      <w:r>
        <w:t>S</w:t>
      </w:r>
      <w:r w:rsidRPr="00DA6452">
        <w:t>uccess.</w:t>
      </w:r>
      <w:r>
        <w:t>”</w:t>
      </w:r>
      <w:r w:rsidRPr="00DA6452">
        <w:t xml:space="preserve"> </w:t>
      </w:r>
      <w:r w:rsidR="005E7BFE">
        <w:t xml:space="preserve">Attendance Works, August </w:t>
      </w:r>
      <w:r>
        <w:t xml:space="preserve">2014. </w:t>
      </w:r>
      <w:r w:rsidR="005E7BFE">
        <w:t>Available at</w:t>
      </w:r>
      <w:r w:rsidRPr="00DA6452">
        <w:t xml:space="preserve"> </w:t>
      </w:r>
      <w:hyperlink r:id="rId35" w:history="1">
        <w:r w:rsidRPr="0098522C">
          <w:t>http://www.attendanceworks.org/wordpress/wp-content/uploads/2014/09/Absenses-Add-Up_September-3rd-2014.pdf</w:t>
        </w:r>
      </w:hyperlink>
      <w:r w:rsidRPr="0098522C">
        <w:t>.</w:t>
      </w:r>
      <w:r w:rsidR="005E7BFE">
        <w:t xml:space="preserve"> Accessed September 3, 2017.</w:t>
      </w:r>
    </w:p>
    <w:p w14:paraId="05185539" w14:textId="1E0B6CE7" w:rsidR="00B15548" w:rsidRPr="0098522C" w:rsidRDefault="00B15548" w:rsidP="00B15548">
      <w:pPr>
        <w:pStyle w:val="References"/>
        <w:spacing w:after="200"/>
      </w:pPr>
      <w:r w:rsidRPr="00DA6452">
        <w:t>Greenstone, Michael, and Adam Looney.</w:t>
      </w:r>
      <w:r w:rsidRPr="00DA6452">
        <w:rPr>
          <w:i/>
        </w:rPr>
        <w:t xml:space="preserve"> </w:t>
      </w:r>
      <w:r w:rsidRPr="00DA6452">
        <w:t>“</w:t>
      </w:r>
      <w:r>
        <w:t>Building America’s J</w:t>
      </w:r>
      <w:r w:rsidRPr="00DA6452">
        <w:t xml:space="preserve">ob </w:t>
      </w:r>
      <w:r>
        <w:t>S</w:t>
      </w:r>
      <w:r w:rsidRPr="00DA6452">
        <w:t xml:space="preserve">kills with </w:t>
      </w:r>
      <w:r>
        <w:t>E</w:t>
      </w:r>
      <w:r w:rsidRPr="00DA6452">
        <w:t xml:space="preserve">ffective </w:t>
      </w:r>
      <w:r>
        <w:t>W</w:t>
      </w:r>
      <w:r w:rsidRPr="00DA6452">
        <w:t xml:space="preserve">orkforce </w:t>
      </w:r>
      <w:r>
        <w:t>P</w:t>
      </w:r>
      <w:r w:rsidRPr="00DA6452">
        <w:t xml:space="preserve">rograms: A </w:t>
      </w:r>
      <w:r>
        <w:t>T</w:t>
      </w:r>
      <w:r w:rsidRPr="00DA6452">
        <w:t xml:space="preserve">raining </w:t>
      </w:r>
      <w:r>
        <w:t>S</w:t>
      </w:r>
      <w:r w:rsidRPr="00DA6452">
        <w:t xml:space="preserve">trategy to </w:t>
      </w:r>
      <w:r>
        <w:t>R</w:t>
      </w:r>
      <w:r w:rsidRPr="00DA6452">
        <w:t xml:space="preserve">aise </w:t>
      </w:r>
      <w:r>
        <w:t>W</w:t>
      </w:r>
      <w:r w:rsidRPr="00DA6452">
        <w:t xml:space="preserve">ages and </w:t>
      </w:r>
      <w:r>
        <w:t>I</w:t>
      </w:r>
      <w:r w:rsidRPr="00DA6452">
        <w:t xml:space="preserve">ncrease </w:t>
      </w:r>
      <w:r>
        <w:t>W</w:t>
      </w:r>
      <w:r w:rsidRPr="00DA6452">
        <w:t xml:space="preserve">ork </w:t>
      </w:r>
      <w:r>
        <w:t>O</w:t>
      </w:r>
      <w:r w:rsidRPr="00DA6452">
        <w:t xml:space="preserve">pportunities.” </w:t>
      </w:r>
      <w:r w:rsidRPr="00C07B3D">
        <w:t xml:space="preserve">Washington DC: </w:t>
      </w:r>
      <w:r w:rsidRPr="00DA6452">
        <w:t>Brookings Institution, November</w:t>
      </w:r>
      <w:r>
        <w:t xml:space="preserve"> 2011</w:t>
      </w:r>
      <w:r w:rsidRPr="00DA6452">
        <w:t xml:space="preserve">. </w:t>
      </w:r>
      <w:r w:rsidR="005E7BFE">
        <w:t>Available at</w:t>
      </w:r>
      <w:r w:rsidRPr="00DA6452">
        <w:t xml:space="preserve"> </w:t>
      </w:r>
      <w:hyperlink r:id="rId36" w:history="1">
        <w:r w:rsidRPr="00943AAF">
          <w:rPr>
            <w:rStyle w:val="Hyperlink"/>
          </w:rPr>
          <w:t>https://www.brookings.edu/research/building-americas-job-skills-with-effective-workforce-programs-a-training-strategy-to-raise-wages-and-increase-work-opportunities/</w:t>
        </w:r>
      </w:hyperlink>
      <w:r>
        <w:t xml:space="preserve">. </w:t>
      </w:r>
      <w:r w:rsidR="005E7BFE">
        <w:t>Accessed September 3, 2017.</w:t>
      </w:r>
    </w:p>
    <w:p w14:paraId="118A2D46" w14:textId="1613B025" w:rsidR="00B15548" w:rsidRPr="0098522C" w:rsidRDefault="00B15548" w:rsidP="00B15548">
      <w:pPr>
        <w:pStyle w:val="References"/>
        <w:spacing w:after="200"/>
      </w:pPr>
      <w:r w:rsidRPr="00DA6452">
        <w:t>Kemple, James J. “</w:t>
      </w:r>
      <w:r>
        <w:t xml:space="preserve">Career Academies: </w:t>
      </w:r>
      <w:r w:rsidRPr="00DA6452">
        <w:rPr>
          <w:iCs/>
        </w:rPr>
        <w:t>Long-Term Impacts on Labor Market Outcomes, Educational Attainment, and Transitions to Adulthood</w:t>
      </w:r>
      <w:r w:rsidRPr="004F6448">
        <w:rPr>
          <w:iCs/>
        </w:rPr>
        <w:t>.”</w:t>
      </w:r>
      <w:r w:rsidRPr="004F6448">
        <w:rPr>
          <w:i/>
          <w:iCs/>
        </w:rPr>
        <w:t xml:space="preserve"> </w:t>
      </w:r>
      <w:r w:rsidRPr="004F6448">
        <w:rPr>
          <w:bCs/>
          <w:iCs/>
        </w:rPr>
        <w:t>New York, N</w:t>
      </w:r>
      <w:r>
        <w:rPr>
          <w:bCs/>
          <w:iCs/>
        </w:rPr>
        <w:t>Y</w:t>
      </w:r>
      <w:r w:rsidRPr="004F6448">
        <w:rPr>
          <w:bCs/>
          <w:iCs/>
        </w:rPr>
        <w:t>:</w:t>
      </w:r>
      <w:r>
        <w:rPr>
          <w:b/>
          <w:bCs/>
          <w:iCs/>
        </w:rPr>
        <w:t xml:space="preserve"> </w:t>
      </w:r>
      <w:r w:rsidRPr="00DA6452">
        <w:rPr>
          <w:iCs/>
        </w:rPr>
        <w:t>MDRC</w:t>
      </w:r>
      <w:r>
        <w:rPr>
          <w:iCs/>
        </w:rPr>
        <w:t xml:space="preserve">, </w:t>
      </w:r>
      <w:r w:rsidR="005E7BFE">
        <w:rPr>
          <w:iCs/>
        </w:rPr>
        <w:t xml:space="preserve">June </w:t>
      </w:r>
      <w:r>
        <w:rPr>
          <w:iCs/>
        </w:rPr>
        <w:t>2008</w:t>
      </w:r>
      <w:r w:rsidRPr="00DA6452">
        <w:t xml:space="preserve">. </w:t>
      </w:r>
      <w:r w:rsidR="005E7BFE">
        <w:t>Available at</w:t>
      </w:r>
      <w:r w:rsidRPr="00DA6452">
        <w:t xml:space="preserve"> </w:t>
      </w:r>
      <w:hyperlink r:id="rId37" w:history="1">
        <w:r w:rsidRPr="00943AAF">
          <w:rPr>
            <w:rStyle w:val="Hyperlink"/>
          </w:rPr>
          <w:t>http://www.mdrc.org/sites/default/files/full_50.pdf</w:t>
        </w:r>
      </w:hyperlink>
      <w:r>
        <w:t xml:space="preserve">. </w:t>
      </w:r>
      <w:r w:rsidR="005E7BFE">
        <w:t>Accessed September 3, 2017.</w:t>
      </w:r>
    </w:p>
    <w:p w14:paraId="7CF7876E" w14:textId="7B435330" w:rsidR="00B15548" w:rsidRPr="0098522C" w:rsidRDefault="00B15548" w:rsidP="00B15548">
      <w:pPr>
        <w:pStyle w:val="References"/>
        <w:spacing w:after="200"/>
      </w:pPr>
      <w:r w:rsidRPr="0098522C">
        <w:t xml:space="preserve">Kemple, James J., and Jason </w:t>
      </w:r>
      <w:r w:rsidR="005E7BFE">
        <w:t xml:space="preserve">C. </w:t>
      </w:r>
      <w:r w:rsidRPr="0098522C">
        <w:t>Snipes. “</w:t>
      </w:r>
      <w:r>
        <w:t xml:space="preserve">Career Academies: </w:t>
      </w:r>
      <w:r w:rsidRPr="0098522C">
        <w:t>Impacts on Students</w:t>
      </w:r>
      <w:r>
        <w:t>’</w:t>
      </w:r>
      <w:r w:rsidRPr="0098522C">
        <w:t xml:space="preserve"> Engagement and Performance in High School.” </w:t>
      </w:r>
      <w:r w:rsidRPr="004F6448">
        <w:rPr>
          <w:bCs/>
          <w:iCs/>
        </w:rPr>
        <w:t xml:space="preserve">New York, </w:t>
      </w:r>
      <w:r>
        <w:rPr>
          <w:bCs/>
          <w:iCs/>
        </w:rPr>
        <w:t>NY</w:t>
      </w:r>
      <w:r w:rsidRPr="004F6448">
        <w:rPr>
          <w:bCs/>
          <w:iCs/>
        </w:rPr>
        <w:t>:</w:t>
      </w:r>
      <w:r>
        <w:rPr>
          <w:b/>
          <w:bCs/>
          <w:iCs/>
        </w:rPr>
        <w:t xml:space="preserve"> </w:t>
      </w:r>
      <w:r w:rsidRPr="0098522C">
        <w:t xml:space="preserve">MDRC, </w:t>
      </w:r>
      <w:r w:rsidR="005E7BFE">
        <w:t xml:space="preserve">March </w:t>
      </w:r>
      <w:r w:rsidRPr="0098522C">
        <w:t xml:space="preserve">2000. </w:t>
      </w:r>
      <w:r w:rsidR="005E7BFE">
        <w:t>Available at</w:t>
      </w:r>
      <w:r w:rsidRPr="0098522C">
        <w:t xml:space="preserve"> </w:t>
      </w:r>
      <w:hyperlink r:id="rId38" w:history="1">
        <w:r w:rsidRPr="0098522C">
          <w:rPr>
            <w:rStyle w:val="Hyperlink"/>
          </w:rPr>
          <w:t>http://www.mdrc.org/sites/default/files/full_45.pdf</w:t>
        </w:r>
      </w:hyperlink>
      <w:r w:rsidRPr="0098522C">
        <w:t>.</w:t>
      </w:r>
      <w:r w:rsidR="005E7BFE">
        <w:t xml:space="preserve"> Accessed September 3, 2017.</w:t>
      </w:r>
    </w:p>
    <w:p w14:paraId="3F137F39" w14:textId="5BC5A074" w:rsidR="00B15548" w:rsidRPr="00927905" w:rsidRDefault="00B15548" w:rsidP="00B15548">
      <w:pPr>
        <w:pStyle w:val="References"/>
        <w:spacing w:after="200"/>
      </w:pPr>
      <w:r>
        <w:t>Lerner, Jennifer Brown</w:t>
      </w:r>
      <w:r w:rsidR="005E7BFE">
        <w:t>,</w:t>
      </w:r>
      <w:r>
        <w:t xml:space="preserve"> and Betsy Brand. “</w:t>
      </w:r>
      <w:r w:rsidRPr="00927905">
        <w:t>The College Ladder: Linking Secondary and Postsecondary Education for Success for All Students.”</w:t>
      </w:r>
      <w:r>
        <w:rPr>
          <w:i/>
        </w:rPr>
        <w:t xml:space="preserve"> </w:t>
      </w:r>
      <w:r>
        <w:t>Washington, DC: American Youth Policy Forum</w:t>
      </w:r>
      <w:r w:rsidR="005E7BFE">
        <w:t>, September 2006.</w:t>
      </w:r>
      <w:r>
        <w:t xml:space="preserve"> </w:t>
      </w:r>
      <w:r w:rsidR="005E7BFE">
        <w:t>Available at</w:t>
      </w:r>
      <w:r>
        <w:t xml:space="preserve"> </w:t>
      </w:r>
      <w:hyperlink r:id="rId39" w:history="1">
        <w:r w:rsidRPr="00943AAF">
          <w:rPr>
            <w:rStyle w:val="Hyperlink"/>
          </w:rPr>
          <w:t>http://www.aypf.org/publications/The%20College%20Ladder/TheCollegeLadderlinkingsecondaryandpostsecondaryeducation.pdf</w:t>
        </w:r>
      </w:hyperlink>
      <w:r>
        <w:t xml:space="preserve">. </w:t>
      </w:r>
      <w:r w:rsidR="005E7BFE">
        <w:t>Accessed September 3, 2017.</w:t>
      </w:r>
    </w:p>
    <w:p w14:paraId="6A0475B6" w14:textId="77777777" w:rsidR="0037770F" w:rsidRDefault="0037770F" w:rsidP="0037770F">
      <w:pPr>
        <w:pStyle w:val="References"/>
      </w:pPr>
      <w:r>
        <w:t xml:space="preserve">Light, Audrey. “In School Work Experience and </w:t>
      </w:r>
      <w:r w:rsidR="005E7BFE">
        <w:t xml:space="preserve">the </w:t>
      </w:r>
      <w:r>
        <w:t xml:space="preserve">Returns to Schooling.” </w:t>
      </w:r>
      <w:r>
        <w:rPr>
          <w:i/>
        </w:rPr>
        <w:t xml:space="preserve">Journal of Labor Economics, </w:t>
      </w:r>
      <w:r>
        <w:t>vol. 19, no. 1, January 2001, pp. 65–93.</w:t>
      </w:r>
    </w:p>
    <w:p w14:paraId="4824B650" w14:textId="77777777" w:rsidR="00B15548" w:rsidRPr="0098522C" w:rsidRDefault="00B15548" w:rsidP="00B15548">
      <w:pPr>
        <w:pStyle w:val="References"/>
        <w:spacing w:after="200"/>
      </w:pPr>
      <w:r w:rsidRPr="0098522C">
        <w:rPr>
          <w:color w:val="000000"/>
        </w:rPr>
        <w:t xml:space="preserve">May, Henry, Irma Perez-Johnson, Joshua Haimson, Samina Sattar, and Phil Gleason. </w:t>
      </w:r>
      <w:r>
        <w:rPr>
          <w:color w:val="000000"/>
        </w:rPr>
        <w:t>“</w:t>
      </w:r>
      <w:r w:rsidRPr="00637A61">
        <w:rPr>
          <w:iCs/>
          <w:color w:val="000000"/>
        </w:rPr>
        <w:t>Using State Tests in Education Experiments: A Discussion of the Issues.</w:t>
      </w:r>
      <w:r>
        <w:rPr>
          <w:iCs/>
          <w:color w:val="000000"/>
        </w:rPr>
        <w:t>”</w:t>
      </w:r>
      <w:r w:rsidRPr="0098522C">
        <w:rPr>
          <w:i/>
          <w:iCs/>
          <w:color w:val="000000"/>
        </w:rPr>
        <w:t xml:space="preserve"> </w:t>
      </w:r>
      <w:r w:rsidRPr="0098522C">
        <w:rPr>
          <w:color w:val="000000"/>
        </w:rPr>
        <w:t>NCEE 2009-013. Washington, DC: U.S. Department of Education</w:t>
      </w:r>
      <w:r>
        <w:rPr>
          <w:color w:val="000000"/>
        </w:rPr>
        <w:t>,</w:t>
      </w:r>
      <w:r w:rsidRPr="0098522C">
        <w:rPr>
          <w:color w:val="000000"/>
        </w:rPr>
        <w:t xml:space="preserve"> Institute of Education Sciences,</w:t>
      </w:r>
      <w:r>
        <w:rPr>
          <w:color w:val="000000"/>
        </w:rPr>
        <w:t xml:space="preserve"> </w:t>
      </w:r>
      <w:r w:rsidRPr="0098522C">
        <w:rPr>
          <w:color w:val="000000"/>
        </w:rPr>
        <w:t xml:space="preserve">National Center for Education Evaluation and Regional Assistance, </w:t>
      </w:r>
      <w:r w:rsidR="00613881">
        <w:rPr>
          <w:color w:val="000000"/>
        </w:rPr>
        <w:t xml:space="preserve">November 30, </w:t>
      </w:r>
      <w:r>
        <w:rPr>
          <w:color w:val="000000"/>
        </w:rPr>
        <w:t>2009</w:t>
      </w:r>
      <w:r w:rsidRPr="0098522C">
        <w:rPr>
          <w:color w:val="000000"/>
        </w:rPr>
        <w:t>.</w:t>
      </w:r>
      <w:r w:rsidR="00613881">
        <w:rPr>
          <w:color w:val="000000"/>
        </w:rPr>
        <w:t xml:space="preserve"> Available at </w:t>
      </w:r>
      <w:hyperlink r:id="rId40" w:history="1">
        <w:r w:rsidR="00613881" w:rsidRPr="00E8155A">
          <w:rPr>
            <w:rStyle w:val="Hyperlink"/>
          </w:rPr>
          <w:t>https://www.mathematica-mpr.com/our-publications-and-findings/publications/using-state-tests-in-education-experiments-a-discussion-of-the-issues</w:t>
        </w:r>
      </w:hyperlink>
      <w:r w:rsidR="00613881">
        <w:rPr>
          <w:color w:val="000000"/>
        </w:rPr>
        <w:t>. Accessed September 3, 2017.</w:t>
      </w:r>
    </w:p>
    <w:p w14:paraId="4372E3D1" w14:textId="6A07BF9D" w:rsidR="00B15548" w:rsidRPr="005F3952" w:rsidRDefault="00B15548" w:rsidP="00B15548">
      <w:pPr>
        <w:pStyle w:val="References"/>
        <w:spacing w:after="200"/>
      </w:pPr>
      <w:r>
        <w:rPr>
          <w:color w:val="000000"/>
        </w:rPr>
        <w:t xml:space="preserve">Maxwell, Nan L., </w:t>
      </w:r>
      <w:r w:rsidRPr="005F3952">
        <w:rPr>
          <w:color w:val="000000"/>
        </w:rPr>
        <w:t xml:space="preserve">Emilyn Whitesell, Jeanne </w:t>
      </w:r>
      <w:r w:rsidRPr="005F3952">
        <w:t>Bellotti, Sengsouvanh (Sukey) Leshnick</w:t>
      </w:r>
      <w:r>
        <w:t xml:space="preserve">, </w:t>
      </w:r>
      <w:r w:rsidRPr="005F3952">
        <w:t>Jennifer Henderson-Frakes</w:t>
      </w:r>
      <w:r>
        <w:t>, and Daniela Berman. “</w:t>
      </w:r>
      <w:r w:rsidRPr="00637A61">
        <w:t>Youth CareerConnect: Early Implementation Findings.</w:t>
      </w:r>
      <w:r>
        <w:t>”</w:t>
      </w:r>
      <w:r w:rsidRPr="00637A61">
        <w:t xml:space="preserve"> </w:t>
      </w:r>
      <w:r>
        <w:t>Princeton, NJ: Mathematica Policy Research, April 2017.</w:t>
      </w:r>
      <w:r w:rsidR="00B80E12">
        <w:t xml:space="preserve"> [Draft submitted to DOL]</w:t>
      </w:r>
    </w:p>
    <w:p w14:paraId="299AB114" w14:textId="47E1365B" w:rsidR="0037770F" w:rsidRPr="00C942E6" w:rsidRDefault="0037770F" w:rsidP="0037770F">
      <w:pPr>
        <w:pStyle w:val="References"/>
        <w:spacing w:after="200"/>
      </w:pPr>
      <w:r>
        <w:t>Parr, Alyssa K.</w:t>
      </w:r>
      <w:r w:rsidR="00613881">
        <w:t>,</w:t>
      </w:r>
      <w:r>
        <w:t xml:space="preserve"> and Verena S. Bonitz. “</w:t>
      </w:r>
      <w:r>
        <w:rPr>
          <w:rStyle w:val="nlmarticle-title"/>
          <w:rFonts w:cs="Arial"/>
        </w:rPr>
        <w:t xml:space="preserve">Role of Family Background, Student Behaviors, and School-Related Beliefs in Predicting High School Dropout.” </w:t>
      </w:r>
      <w:r w:rsidR="00613881">
        <w:rPr>
          <w:rStyle w:val="nlmarticle-title"/>
          <w:rFonts w:cs="Arial"/>
          <w:i/>
        </w:rPr>
        <w:t xml:space="preserve">The </w:t>
      </w:r>
      <w:r>
        <w:rPr>
          <w:rStyle w:val="nlmarticle-title"/>
          <w:rFonts w:cs="Arial"/>
          <w:i/>
        </w:rPr>
        <w:t>Journal of Educational Research</w:t>
      </w:r>
      <w:r w:rsidR="002B1B65" w:rsidRPr="001D5D9C">
        <w:rPr>
          <w:rStyle w:val="nlmarticle-title"/>
          <w:rFonts w:cs="Arial"/>
          <w:i/>
        </w:rPr>
        <w:t>,</w:t>
      </w:r>
      <w:r>
        <w:rPr>
          <w:rStyle w:val="nlmarticle-title"/>
          <w:rFonts w:cs="Arial"/>
        </w:rPr>
        <w:t xml:space="preserve"> vol. 108, </w:t>
      </w:r>
      <w:r w:rsidR="002717C0">
        <w:rPr>
          <w:rStyle w:val="nlmarticle-title"/>
          <w:rFonts w:cs="Arial"/>
        </w:rPr>
        <w:t xml:space="preserve">no. </w:t>
      </w:r>
      <w:r>
        <w:rPr>
          <w:rStyle w:val="nlmarticle-title"/>
          <w:rFonts w:cs="Arial"/>
        </w:rPr>
        <w:t>6, September 2015, pp. 504–514.</w:t>
      </w:r>
    </w:p>
    <w:p w14:paraId="2E88122D" w14:textId="5F834B43" w:rsidR="00296F1C" w:rsidRDefault="00296F1C" w:rsidP="009252DD">
      <w:pPr>
        <w:pStyle w:val="References"/>
        <w:rPr>
          <w:sz w:val="23"/>
          <w:szCs w:val="23"/>
        </w:rPr>
      </w:pPr>
      <w:r>
        <w:rPr>
          <w:sz w:val="23"/>
          <w:szCs w:val="23"/>
        </w:rPr>
        <w:t xml:space="preserve">Puma, Michael J., Robert B. Olsen, Stephen J. Bell, and Cristofer Price. “What to Do </w:t>
      </w:r>
      <w:r w:rsidR="00613881">
        <w:rPr>
          <w:sz w:val="23"/>
          <w:szCs w:val="23"/>
        </w:rPr>
        <w:t>W</w:t>
      </w:r>
      <w:r>
        <w:rPr>
          <w:sz w:val="23"/>
          <w:szCs w:val="23"/>
        </w:rPr>
        <w:t xml:space="preserve">hen Data Are Missing in Group Randomized Controlled Trials.” NCEE 2009-0049. Washington, DC: National Center for Education Evaluation and Regional Assistance, October 2009. </w:t>
      </w:r>
      <w:r w:rsidR="00613881">
        <w:rPr>
          <w:sz w:val="23"/>
          <w:szCs w:val="23"/>
        </w:rPr>
        <w:t>Available at</w:t>
      </w:r>
      <w:r>
        <w:rPr>
          <w:sz w:val="23"/>
          <w:szCs w:val="23"/>
        </w:rPr>
        <w:t xml:space="preserve"> </w:t>
      </w:r>
      <w:hyperlink r:id="rId41" w:history="1">
        <w:r w:rsidRPr="00AD41CC">
          <w:rPr>
            <w:rStyle w:val="Hyperlink"/>
            <w:sz w:val="23"/>
            <w:szCs w:val="23"/>
          </w:rPr>
          <w:t>http://files.eric.ed.gov/fulltext/ED511781.pdf</w:t>
        </w:r>
      </w:hyperlink>
      <w:r>
        <w:rPr>
          <w:sz w:val="23"/>
          <w:szCs w:val="23"/>
        </w:rPr>
        <w:t>.</w:t>
      </w:r>
      <w:r w:rsidR="00613881">
        <w:rPr>
          <w:sz w:val="23"/>
          <w:szCs w:val="23"/>
        </w:rPr>
        <w:t xml:space="preserve"> Accessed September 3, 2017.</w:t>
      </w:r>
    </w:p>
    <w:p w14:paraId="352E0DE2" w14:textId="3B7798F3" w:rsidR="00176881" w:rsidRDefault="00176881" w:rsidP="00BF4045">
      <w:pPr>
        <w:pStyle w:val="References"/>
      </w:pPr>
      <w:r>
        <w:t xml:space="preserve">Rubin, D.B. </w:t>
      </w:r>
      <w:r>
        <w:rPr>
          <w:rStyle w:val="Emphasis"/>
        </w:rPr>
        <w:t>Multiple Imputation for Nonresponse in Surveys</w:t>
      </w:r>
      <w:r>
        <w:t xml:space="preserve">. </w:t>
      </w:r>
      <w:r w:rsidR="00E725D8">
        <w:t xml:space="preserve">New York: </w:t>
      </w:r>
      <w:r>
        <w:t xml:space="preserve">J. Wiley &amp; Sons, </w:t>
      </w:r>
      <w:r w:rsidR="00E725D8">
        <w:t>1987</w:t>
      </w:r>
      <w:r>
        <w:t xml:space="preserve">. </w:t>
      </w:r>
    </w:p>
    <w:p w14:paraId="42D76028" w14:textId="35C08B11" w:rsidR="00176881" w:rsidRDefault="00176881" w:rsidP="00BF4045">
      <w:pPr>
        <w:pStyle w:val="References"/>
      </w:pPr>
      <w:r>
        <w:t xml:space="preserve">Rubin, D.B. (1996) Multiple imputation after 18+ years (with discussion). </w:t>
      </w:r>
      <w:r>
        <w:rPr>
          <w:rStyle w:val="Emphasis"/>
        </w:rPr>
        <w:t>Journal of the American Statistical Association</w:t>
      </w:r>
      <w:r w:rsidR="002B1B65" w:rsidRPr="001D5D9C">
        <w:rPr>
          <w:i/>
        </w:rPr>
        <w:t xml:space="preserve">, </w:t>
      </w:r>
      <w:r>
        <w:t xml:space="preserve">91, 473-489. </w:t>
      </w:r>
    </w:p>
    <w:p w14:paraId="5B90BC31" w14:textId="1EE0412E" w:rsidR="0037770F" w:rsidRDefault="0037770F" w:rsidP="0037770F">
      <w:pPr>
        <w:pStyle w:val="References"/>
        <w:spacing w:after="200"/>
        <w:rPr>
          <w:shd w:val="clear" w:color="auto" w:fill="FFFFFF"/>
        </w:rPr>
      </w:pPr>
      <w:r>
        <w:rPr>
          <w:shd w:val="clear" w:color="auto" w:fill="FFFFFF"/>
        </w:rPr>
        <w:t xml:space="preserve">Rumberger, Russell W. </w:t>
      </w:r>
      <w:r>
        <w:rPr>
          <w:i/>
          <w:shd w:val="clear" w:color="auto" w:fill="FFFFFF"/>
        </w:rPr>
        <w:t>Dropping Out: Why Students Drop Out of High School and What Can Be Done About It</w:t>
      </w:r>
      <w:r w:rsidR="00CD6B27">
        <w:rPr>
          <w:i/>
          <w:shd w:val="clear" w:color="auto" w:fill="FFFFFF"/>
        </w:rPr>
        <w:t>.</w:t>
      </w:r>
      <w:r>
        <w:rPr>
          <w:i/>
          <w:shd w:val="clear" w:color="auto" w:fill="FFFFFF"/>
        </w:rPr>
        <w:t xml:space="preserve"> </w:t>
      </w:r>
      <w:r>
        <w:rPr>
          <w:shd w:val="clear" w:color="auto" w:fill="FFFFFF"/>
        </w:rPr>
        <w:t>Cambridge, MA: Harvard University Press, 2011.</w:t>
      </w:r>
    </w:p>
    <w:p w14:paraId="5A907F96" w14:textId="26878779" w:rsidR="00176881" w:rsidRDefault="00176881" w:rsidP="00176881">
      <w:pPr>
        <w:pStyle w:val="NormalWeb"/>
      </w:pPr>
      <w:r>
        <w:t xml:space="preserve">Schafer, J.L. </w:t>
      </w:r>
      <w:r>
        <w:rPr>
          <w:rStyle w:val="Emphasis"/>
        </w:rPr>
        <w:t>Analysis of Incomplete Multivariate Data</w:t>
      </w:r>
      <w:r>
        <w:t xml:space="preserve">. </w:t>
      </w:r>
      <w:r w:rsidR="00FE0FD8">
        <w:t xml:space="preserve">London: </w:t>
      </w:r>
      <w:r>
        <w:t xml:space="preserve">Chapman &amp; Hall, </w:t>
      </w:r>
      <w:r w:rsidR="00FE0FD8">
        <w:t>1997</w:t>
      </w:r>
      <w:r>
        <w:t xml:space="preserve">. </w:t>
      </w:r>
    </w:p>
    <w:p w14:paraId="747B8AE2" w14:textId="77777777" w:rsidR="00B15548" w:rsidRPr="0098522C" w:rsidRDefault="00B15548" w:rsidP="00B15548">
      <w:pPr>
        <w:pStyle w:val="References"/>
        <w:spacing w:after="200"/>
      </w:pPr>
      <w:r w:rsidRPr="0098522C">
        <w:t xml:space="preserve">Schochet, Peter Z. “An Approach for Addressing the Multiple Testing Problem in Social Policy Impact Evaluations.” </w:t>
      </w:r>
      <w:r w:rsidRPr="0098522C">
        <w:rPr>
          <w:i/>
        </w:rPr>
        <w:t xml:space="preserve">Evaluation Review, </w:t>
      </w:r>
      <w:r w:rsidRPr="0098522C">
        <w:t>vol. 33, no. 6, December</w:t>
      </w:r>
      <w:r>
        <w:t xml:space="preserve"> 2009, pp. 539–567.</w:t>
      </w:r>
    </w:p>
    <w:p w14:paraId="428C07CC" w14:textId="3864FE68" w:rsidR="00210489" w:rsidRDefault="00210489" w:rsidP="00210489">
      <w:pPr>
        <w:pStyle w:val="References"/>
      </w:pPr>
      <w:r w:rsidRPr="00210489">
        <w:t xml:space="preserve">Schochet, Peter Z. “Statistical Power for Random Assignment Evaluations of Education Programs.” </w:t>
      </w:r>
      <w:r w:rsidRPr="00210489">
        <w:rPr>
          <w:i/>
          <w:iCs/>
        </w:rPr>
        <w:t>Journal of Educational and Behavioral Statistics</w:t>
      </w:r>
      <w:r w:rsidRPr="00210489">
        <w:rPr>
          <w:i/>
        </w:rPr>
        <w:t>,</w:t>
      </w:r>
      <w:r w:rsidRPr="00210489">
        <w:t xml:space="preserve"> vol. 33, no. 1, March 2008, pp. 62</w:t>
      </w:r>
      <w:r w:rsidR="002717C0">
        <w:t>–</w:t>
      </w:r>
      <w:r w:rsidRPr="00210489">
        <w:t xml:space="preserve">87. </w:t>
      </w:r>
      <w:bookmarkEnd w:id="3"/>
    </w:p>
    <w:p w14:paraId="1113F527" w14:textId="77777777" w:rsidR="00B15548" w:rsidRPr="00FA6A5A" w:rsidRDefault="00B15548" w:rsidP="00B15548">
      <w:pPr>
        <w:pStyle w:val="References"/>
        <w:spacing w:after="200"/>
      </w:pPr>
      <w:r w:rsidRPr="00FA6A5A">
        <w:t>Stout, Karen E., and Sandra L. Christenson.</w:t>
      </w:r>
      <w:r>
        <w:t xml:space="preserve"> “Staying on Track for High School Graduation: Promoting Student Engagement.” </w:t>
      </w:r>
      <w:r>
        <w:rPr>
          <w:i/>
        </w:rPr>
        <w:t xml:space="preserve">The Prevention Researcher¸ </w:t>
      </w:r>
      <w:r>
        <w:t>vol. 16, no. 3, September 2009, pp. 17–20.</w:t>
      </w:r>
    </w:p>
    <w:p w14:paraId="45B09D0E" w14:textId="77777777" w:rsidR="009252DD" w:rsidRDefault="009252DD" w:rsidP="009252DD">
      <w:pPr>
        <w:pStyle w:val="References"/>
        <w:spacing w:after="200"/>
        <w:rPr>
          <w:shd w:val="clear" w:color="auto" w:fill="FFFFFF"/>
        </w:rPr>
      </w:pPr>
      <w:r w:rsidRPr="00DA6452">
        <w:rPr>
          <w:shd w:val="clear" w:color="auto" w:fill="FFFFFF"/>
        </w:rPr>
        <w:t>Visher, Mary G.</w:t>
      </w:r>
      <w:r>
        <w:rPr>
          <w:shd w:val="clear" w:color="auto" w:fill="FFFFFF"/>
        </w:rPr>
        <w:t>,</w:t>
      </w:r>
      <w:r w:rsidRPr="00DA6452">
        <w:rPr>
          <w:shd w:val="clear" w:color="auto" w:fill="FFFFFF"/>
        </w:rPr>
        <w:t xml:space="preserve"> Rajika Bhandari</w:t>
      </w:r>
      <w:r>
        <w:rPr>
          <w:shd w:val="clear" w:color="auto" w:fill="FFFFFF"/>
        </w:rPr>
        <w:t>,</w:t>
      </w:r>
      <w:r w:rsidRPr="00DA6452">
        <w:rPr>
          <w:shd w:val="clear" w:color="auto" w:fill="FFFFFF"/>
        </w:rPr>
        <w:t xml:space="preserve"> and Elliott Medrich. “High </w:t>
      </w:r>
      <w:r>
        <w:rPr>
          <w:shd w:val="clear" w:color="auto" w:fill="FFFFFF"/>
        </w:rPr>
        <w:t>S</w:t>
      </w:r>
      <w:r w:rsidRPr="00DA6452">
        <w:rPr>
          <w:shd w:val="clear" w:color="auto" w:fill="FFFFFF"/>
        </w:rPr>
        <w:t xml:space="preserve">chool </w:t>
      </w:r>
      <w:r>
        <w:rPr>
          <w:shd w:val="clear" w:color="auto" w:fill="FFFFFF"/>
        </w:rPr>
        <w:t>C</w:t>
      </w:r>
      <w:r w:rsidRPr="00DA6452">
        <w:rPr>
          <w:shd w:val="clear" w:color="auto" w:fill="FFFFFF"/>
        </w:rPr>
        <w:t xml:space="preserve">areer </w:t>
      </w:r>
      <w:r>
        <w:rPr>
          <w:shd w:val="clear" w:color="auto" w:fill="FFFFFF"/>
        </w:rPr>
        <w:t>E</w:t>
      </w:r>
      <w:r w:rsidRPr="00DA6452">
        <w:rPr>
          <w:shd w:val="clear" w:color="auto" w:fill="FFFFFF"/>
        </w:rPr>
        <w:t xml:space="preserve">xploration </w:t>
      </w:r>
      <w:r>
        <w:rPr>
          <w:shd w:val="clear" w:color="auto" w:fill="FFFFFF"/>
        </w:rPr>
        <w:t>P</w:t>
      </w:r>
      <w:r w:rsidRPr="00DA6452">
        <w:rPr>
          <w:shd w:val="clear" w:color="auto" w:fill="FFFFFF"/>
        </w:rPr>
        <w:t xml:space="preserve">rograms: Do </w:t>
      </w:r>
      <w:r>
        <w:rPr>
          <w:shd w:val="clear" w:color="auto" w:fill="FFFFFF"/>
        </w:rPr>
        <w:t>T</w:t>
      </w:r>
      <w:r w:rsidRPr="00DA6452">
        <w:rPr>
          <w:shd w:val="clear" w:color="auto" w:fill="FFFFFF"/>
        </w:rPr>
        <w:t xml:space="preserve">hey </w:t>
      </w:r>
      <w:r>
        <w:rPr>
          <w:shd w:val="clear" w:color="auto" w:fill="FFFFFF"/>
        </w:rPr>
        <w:t>W</w:t>
      </w:r>
      <w:r w:rsidRPr="00DA6452">
        <w:rPr>
          <w:shd w:val="clear" w:color="auto" w:fill="FFFFFF"/>
        </w:rPr>
        <w:t>ork?”</w:t>
      </w:r>
      <w:r w:rsidRPr="00DA6452">
        <w:rPr>
          <w:i/>
          <w:shd w:val="clear" w:color="auto" w:fill="FFFFFF"/>
        </w:rPr>
        <w:t xml:space="preserve"> Phi Delta Kappan</w:t>
      </w:r>
      <w:r w:rsidR="002B1B65" w:rsidRPr="001D5D9C">
        <w:rPr>
          <w:i/>
          <w:shd w:val="clear" w:color="auto" w:fill="FFFFFF"/>
        </w:rPr>
        <w:t>,</w:t>
      </w:r>
      <w:r w:rsidRPr="00DA6452">
        <w:rPr>
          <w:shd w:val="clear" w:color="auto" w:fill="FFFFFF"/>
        </w:rPr>
        <w:t xml:space="preserve"> </w:t>
      </w:r>
      <w:r>
        <w:rPr>
          <w:shd w:val="clear" w:color="auto" w:fill="FFFFFF"/>
        </w:rPr>
        <w:t>v</w:t>
      </w:r>
      <w:r w:rsidRPr="00DA6452">
        <w:rPr>
          <w:shd w:val="clear" w:color="auto" w:fill="FFFFFF"/>
        </w:rPr>
        <w:t xml:space="preserve">ol. 86, </w:t>
      </w:r>
      <w:r>
        <w:rPr>
          <w:shd w:val="clear" w:color="auto" w:fill="FFFFFF"/>
        </w:rPr>
        <w:t>n</w:t>
      </w:r>
      <w:r w:rsidRPr="00DA6452">
        <w:rPr>
          <w:shd w:val="clear" w:color="auto" w:fill="FFFFFF"/>
        </w:rPr>
        <w:t>o. 2</w:t>
      </w:r>
      <w:r>
        <w:rPr>
          <w:shd w:val="clear" w:color="auto" w:fill="FFFFFF"/>
        </w:rPr>
        <w:t>,</w:t>
      </w:r>
      <w:r w:rsidRPr="00DA6452">
        <w:rPr>
          <w:shd w:val="clear" w:color="auto" w:fill="FFFFFF"/>
        </w:rPr>
        <w:t xml:space="preserve"> October</w:t>
      </w:r>
      <w:r>
        <w:rPr>
          <w:shd w:val="clear" w:color="auto" w:fill="FFFFFF"/>
        </w:rPr>
        <w:t xml:space="preserve"> 2004</w:t>
      </w:r>
      <w:r w:rsidRPr="00DA6452">
        <w:rPr>
          <w:shd w:val="clear" w:color="auto" w:fill="FFFFFF"/>
        </w:rPr>
        <w:t>, pp. 135</w:t>
      </w:r>
      <w:r>
        <w:rPr>
          <w:shd w:val="clear" w:color="auto" w:fill="FFFFFF"/>
        </w:rPr>
        <w:t>–</w:t>
      </w:r>
      <w:r w:rsidRPr="00DA6452">
        <w:rPr>
          <w:shd w:val="clear" w:color="auto" w:fill="FFFFFF"/>
        </w:rPr>
        <w:t>138.</w:t>
      </w:r>
    </w:p>
    <w:p w14:paraId="2385EB4B" w14:textId="20E80531" w:rsidR="00F2123B" w:rsidRPr="00F2123B" w:rsidRDefault="00F2123B" w:rsidP="00F2123B">
      <w:pPr>
        <w:pStyle w:val="References"/>
      </w:pPr>
      <w:r>
        <w:t xml:space="preserve">What Works Clearinghouse. </w:t>
      </w:r>
      <w:r>
        <w:rPr>
          <w:i/>
        </w:rPr>
        <w:t xml:space="preserve">Procedures and Standards Handbook, </w:t>
      </w:r>
      <w:r w:rsidR="00FE0FD8">
        <w:rPr>
          <w:i/>
        </w:rPr>
        <w:t>V</w:t>
      </w:r>
      <w:r>
        <w:rPr>
          <w:i/>
        </w:rPr>
        <w:t>ersion 3.0</w:t>
      </w:r>
      <w:r>
        <w:t xml:space="preserve">. March 2014. </w:t>
      </w:r>
      <w:r w:rsidR="00FE0FD8">
        <w:t>Available at</w:t>
      </w:r>
      <w:r>
        <w:t xml:space="preserve"> </w:t>
      </w:r>
      <w:hyperlink r:id="rId42" w:history="1">
        <w:r w:rsidRPr="00482061">
          <w:rPr>
            <w:rStyle w:val="Hyperlink"/>
          </w:rPr>
          <w:t>https://ies.ed.gov/ncee/wwc/Docs/referenceresources/wwc_procedures_v3_0_standards_handbook.pdf</w:t>
        </w:r>
      </w:hyperlink>
      <w:r>
        <w:t xml:space="preserve">. </w:t>
      </w:r>
      <w:r w:rsidR="00FE0FD8">
        <w:t>Accessed September 3, 2017.</w:t>
      </w:r>
    </w:p>
    <w:sectPr w:rsidR="00F2123B" w:rsidRPr="00F2123B" w:rsidSect="00474033">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89D2A" w14:textId="77777777" w:rsidR="00946EEB" w:rsidRDefault="00946EEB"/>
  </w:endnote>
  <w:endnote w:type="continuationSeparator" w:id="0">
    <w:p w14:paraId="1F1D9BB5" w14:textId="77777777" w:rsidR="00946EEB" w:rsidRDefault="00946EEB"/>
  </w:endnote>
  <w:endnote w:type="continuationNotice" w:id="1">
    <w:p w14:paraId="52CBE93D" w14:textId="77777777" w:rsidR="00946EEB" w:rsidRDefault="00946EEB"/>
    <w:p w14:paraId="73BFB654" w14:textId="77777777" w:rsidR="00946EEB" w:rsidRDefault="00946EEB"/>
    <w:p w14:paraId="1CC2A74F" w14:textId="77777777" w:rsidR="00946EEB" w:rsidRDefault="00946EE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N:\Project\40402_YCC\Restricted\NJ1\OMB\Follow-up\after nan review\YCC_OMB Part B Justification_Draft_Post QA(nlm).docx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Proxima Nova Rg">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F09A" w14:textId="7DB16962" w:rsidR="00D7084A" w:rsidRDefault="00D7084A">
    <w:pPr>
      <w:pStyle w:val="Footer"/>
      <w:tabs>
        <w:tab w:val="clear" w:pos="4320"/>
        <w:tab w:val="clear" w:pos="8640"/>
        <w:tab w:val="center" w:pos="4770"/>
        <w:tab w:val="right" w:pos="9360"/>
      </w:tabs>
      <w:spacing w:before="360"/>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sidR="002B3978">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EFA15" w14:textId="77777777" w:rsidR="00946EEB" w:rsidRDefault="00946EEB">
      <w:r>
        <w:separator/>
      </w:r>
    </w:p>
  </w:footnote>
  <w:footnote w:type="continuationSeparator" w:id="0">
    <w:p w14:paraId="3BA4EC3A" w14:textId="77777777" w:rsidR="00946EEB" w:rsidRDefault="00946EEB">
      <w:r>
        <w:separator/>
      </w:r>
    </w:p>
    <w:p w14:paraId="410751ED" w14:textId="77777777" w:rsidR="00946EEB" w:rsidRDefault="00946EEB">
      <w:pPr>
        <w:rPr>
          <w:i/>
        </w:rPr>
      </w:pPr>
      <w:r>
        <w:rPr>
          <w:i/>
        </w:rPr>
        <w:t>(continued)</w:t>
      </w:r>
    </w:p>
  </w:footnote>
  <w:footnote w:type="continuationNotice" w:id="1">
    <w:p w14:paraId="0B2B0CBF" w14:textId="77777777" w:rsidR="00946EEB" w:rsidRDefault="00946EE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44E972"/>
    <w:lvl w:ilvl="0">
      <w:start w:val="1"/>
      <w:numFmt w:val="decimal"/>
      <w:lvlText w:val="%1."/>
      <w:lvlJc w:val="left"/>
      <w:pPr>
        <w:tabs>
          <w:tab w:val="num" w:pos="1800"/>
        </w:tabs>
        <w:ind w:left="1800" w:hanging="360"/>
      </w:pPr>
    </w:lvl>
  </w:abstractNum>
  <w:abstractNum w:abstractNumId="1">
    <w:nsid w:val="FFFFFF7D"/>
    <w:multiLevelType w:val="singleLevel"/>
    <w:tmpl w:val="52E80D12"/>
    <w:lvl w:ilvl="0">
      <w:start w:val="1"/>
      <w:numFmt w:val="decimal"/>
      <w:lvlText w:val="%1."/>
      <w:lvlJc w:val="left"/>
      <w:pPr>
        <w:tabs>
          <w:tab w:val="num" w:pos="1440"/>
        </w:tabs>
        <w:ind w:left="1440" w:hanging="360"/>
      </w:pPr>
    </w:lvl>
  </w:abstractNum>
  <w:abstractNum w:abstractNumId="2">
    <w:nsid w:val="FFFFFF7E"/>
    <w:multiLevelType w:val="singleLevel"/>
    <w:tmpl w:val="EB9A31D0"/>
    <w:lvl w:ilvl="0">
      <w:start w:val="1"/>
      <w:numFmt w:val="decimal"/>
      <w:lvlText w:val="%1."/>
      <w:lvlJc w:val="left"/>
      <w:pPr>
        <w:tabs>
          <w:tab w:val="num" w:pos="1080"/>
        </w:tabs>
        <w:ind w:left="1080" w:hanging="360"/>
      </w:pPr>
    </w:lvl>
  </w:abstractNum>
  <w:abstractNum w:abstractNumId="3">
    <w:nsid w:val="FFFFFF7F"/>
    <w:multiLevelType w:val="singleLevel"/>
    <w:tmpl w:val="928CAE66"/>
    <w:lvl w:ilvl="0">
      <w:start w:val="1"/>
      <w:numFmt w:val="decimal"/>
      <w:lvlText w:val="%1."/>
      <w:lvlJc w:val="left"/>
      <w:pPr>
        <w:tabs>
          <w:tab w:val="num" w:pos="720"/>
        </w:tabs>
        <w:ind w:left="720" w:hanging="360"/>
      </w:pPr>
    </w:lvl>
  </w:abstractNum>
  <w:abstractNum w:abstractNumId="4">
    <w:nsid w:val="FFFFFF80"/>
    <w:multiLevelType w:val="singleLevel"/>
    <w:tmpl w:val="186A12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8401F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320B1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D26C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046784"/>
    <w:lvl w:ilvl="0">
      <w:start w:val="1"/>
      <w:numFmt w:val="decimal"/>
      <w:lvlText w:val="%1."/>
      <w:lvlJc w:val="left"/>
      <w:pPr>
        <w:tabs>
          <w:tab w:val="num" w:pos="360"/>
        </w:tabs>
        <w:ind w:left="360" w:hanging="360"/>
      </w:pPr>
    </w:lvl>
  </w:abstractNum>
  <w:abstractNum w:abstractNumId="9">
    <w:nsid w:val="FFFFFF89"/>
    <w:multiLevelType w:val="singleLevel"/>
    <w:tmpl w:val="8138B65C"/>
    <w:lvl w:ilvl="0">
      <w:start w:val="1"/>
      <w:numFmt w:val="bullet"/>
      <w:lvlText w:val=""/>
      <w:lvlJc w:val="left"/>
      <w:pPr>
        <w:tabs>
          <w:tab w:val="num" w:pos="360"/>
        </w:tabs>
        <w:ind w:left="360" w:hanging="360"/>
      </w:pPr>
      <w:rPr>
        <w:rFonts w:ascii="Symbol" w:hAnsi="Symbol"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9C6048B"/>
    <w:multiLevelType w:val="singleLevel"/>
    <w:tmpl w:val="B254D438"/>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3348B15A"/>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B4633B3"/>
    <w:multiLevelType w:val="hybridMultilevel"/>
    <w:tmpl w:val="185CFB06"/>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23190F"/>
    <w:multiLevelType w:val="hybridMultilevel"/>
    <w:tmpl w:val="161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CF3BC0"/>
    <w:multiLevelType w:val="hybridMultilevel"/>
    <w:tmpl w:val="DA1601CE"/>
    <w:lvl w:ilvl="0" w:tplc="A7528F60">
      <w:start w:val="1"/>
      <w:numFmt w:val="bullet"/>
      <w:lvlText w:val="-"/>
      <w:lvlJc w:val="left"/>
      <w:pPr>
        <w:ind w:left="864" w:hanging="360"/>
      </w:pPr>
      <w:rPr>
        <w:rFonts w:ascii="Courier New" w:hAnsi="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4"/>
  </w:num>
  <w:num w:numId="4">
    <w:abstractNumId w:val="10"/>
  </w:num>
  <w:num w:numId="5">
    <w:abstractNumId w:val="11"/>
  </w:num>
  <w:num w:numId="6">
    <w:abstractNumId w:val="15"/>
  </w:num>
  <w:num w:numId="7">
    <w:abstractNumId w:val="16"/>
  </w:num>
  <w:num w:numId="8">
    <w:abstractNumId w:val="13"/>
  </w:num>
  <w:num w:numId="9">
    <w:abstractNumId w:val="18"/>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7" w:nlCheck="1" w:checkStyle="1"/>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25"/>
    <w:rsid w:val="00000962"/>
    <w:rsid w:val="00007150"/>
    <w:rsid w:val="00007CFE"/>
    <w:rsid w:val="00012BE8"/>
    <w:rsid w:val="00016579"/>
    <w:rsid w:val="000171AD"/>
    <w:rsid w:val="00017E9F"/>
    <w:rsid w:val="00022ACC"/>
    <w:rsid w:val="00024291"/>
    <w:rsid w:val="0002488D"/>
    <w:rsid w:val="00027E1E"/>
    <w:rsid w:val="000313F3"/>
    <w:rsid w:val="000330A3"/>
    <w:rsid w:val="00033E2D"/>
    <w:rsid w:val="00037098"/>
    <w:rsid w:val="00040780"/>
    <w:rsid w:val="000436E8"/>
    <w:rsid w:val="0004462B"/>
    <w:rsid w:val="000448A9"/>
    <w:rsid w:val="00046955"/>
    <w:rsid w:val="00057F21"/>
    <w:rsid w:val="000626A6"/>
    <w:rsid w:val="00066B82"/>
    <w:rsid w:val="0007694C"/>
    <w:rsid w:val="00076BF0"/>
    <w:rsid w:val="00077011"/>
    <w:rsid w:val="000812AE"/>
    <w:rsid w:val="00081D47"/>
    <w:rsid w:val="00082F6D"/>
    <w:rsid w:val="00085C9D"/>
    <w:rsid w:val="000867E9"/>
    <w:rsid w:val="000877E5"/>
    <w:rsid w:val="00092374"/>
    <w:rsid w:val="00093685"/>
    <w:rsid w:val="000A219B"/>
    <w:rsid w:val="000A2936"/>
    <w:rsid w:val="000B234E"/>
    <w:rsid w:val="000B2B62"/>
    <w:rsid w:val="000B3A77"/>
    <w:rsid w:val="000B4D6B"/>
    <w:rsid w:val="000B5379"/>
    <w:rsid w:val="000B5947"/>
    <w:rsid w:val="000B5A54"/>
    <w:rsid w:val="000C0118"/>
    <w:rsid w:val="000C368E"/>
    <w:rsid w:val="000C39FE"/>
    <w:rsid w:val="000C5348"/>
    <w:rsid w:val="000C74A7"/>
    <w:rsid w:val="000D1934"/>
    <w:rsid w:val="000D2232"/>
    <w:rsid w:val="000D3C85"/>
    <w:rsid w:val="000E0ABA"/>
    <w:rsid w:val="000E0D3D"/>
    <w:rsid w:val="000E127D"/>
    <w:rsid w:val="000E5521"/>
    <w:rsid w:val="000E56C5"/>
    <w:rsid w:val="000E67DE"/>
    <w:rsid w:val="000E6D11"/>
    <w:rsid w:val="000F2A7D"/>
    <w:rsid w:val="000F2C6B"/>
    <w:rsid w:val="000F3DEE"/>
    <w:rsid w:val="000F4468"/>
    <w:rsid w:val="00104AF0"/>
    <w:rsid w:val="00104D2B"/>
    <w:rsid w:val="00104F87"/>
    <w:rsid w:val="00105D23"/>
    <w:rsid w:val="00107330"/>
    <w:rsid w:val="00113196"/>
    <w:rsid w:val="00113A2D"/>
    <w:rsid w:val="00113EE6"/>
    <w:rsid w:val="001166BB"/>
    <w:rsid w:val="001207D6"/>
    <w:rsid w:val="00123C13"/>
    <w:rsid w:val="001246A3"/>
    <w:rsid w:val="00124882"/>
    <w:rsid w:val="00131AF0"/>
    <w:rsid w:val="00131C3D"/>
    <w:rsid w:val="0013282C"/>
    <w:rsid w:val="001346FF"/>
    <w:rsid w:val="001349B1"/>
    <w:rsid w:val="00136BD3"/>
    <w:rsid w:val="001508D2"/>
    <w:rsid w:val="001604DC"/>
    <w:rsid w:val="00160920"/>
    <w:rsid w:val="00161A50"/>
    <w:rsid w:val="0016420B"/>
    <w:rsid w:val="00171268"/>
    <w:rsid w:val="001738C9"/>
    <w:rsid w:val="00176881"/>
    <w:rsid w:val="00180196"/>
    <w:rsid w:val="0018578B"/>
    <w:rsid w:val="00185CCB"/>
    <w:rsid w:val="00190529"/>
    <w:rsid w:val="00192219"/>
    <w:rsid w:val="001933B1"/>
    <w:rsid w:val="001977B6"/>
    <w:rsid w:val="001A07D4"/>
    <w:rsid w:val="001A2D4F"/>
    <w:rsid w:val="001B4119"/>
    <w:rsid w:val="001B5E35"/>
    <w:rsid w:val="001B6F79"/>
    <w:rsid w:val="001D085F"/>
    <w:rsid w:val="001D1A48"/>
    <w:rsid w:val="001D478C"/>
    <w:rsid w:val="001D5D9C"/>
    <w:rsid w:val="001D60EE"/>
    <w:rsid w:val="001E3833"/>
    <w:rsid w:val="001F1EC8"/>
    <w:rsid w:val="001F1F1E"/>
    <w:rsid w:val="001F383F"/>
    <w:rsid w:val="001F5B50"/>
    <w:rsid w:val="001F681F"/>
    <w:rsid w:val="001F76B2"/>
    <w:rsid w:val="00200B10"/>
    <w:rsid w:val="0020333D"/>
    <w:rsid w:val="002055F9"/>
    <w:rsid w:val="0020634A"/>
    <w:rsid w:val="00206658"/>
    <w:rsid w:val="002072FB"/>
    <w:rsid w:val="00210489"/>
    <w:rsid w:val="00211D64"/>
    <w:rsid w:val="00214B5B"/>
    <w:rsid w:val="00215A1F"/>
    <w:rsid w:val="002166F0"/>
    <w:rsid w:val="00220C7A"/>
    <w:rsid w:val="002219BA"/>
    <w:rsid w:val="00221CA0"/>
    <w:rsid w:val="00224064"/>
    <w:rsid w:val="00226302"/>
    <w:rsid w:val="0023659D"/>
    <w:rsid w:val="00237878"/>
    <w:rsid w:val="00237911"/>
    <w:rsid w:val="002405B2"/>
    <w:rsid w:val="002409AE"/>
    <w:rsid w:val="0024212F"/>
    <w:rsid w:val="0025564B"/>
    <w:rsid w:val="0025655F"/>
    <w:rsid w:val="002571BD"/>
    <w:rsid w:val="002574BC"/>
    <w:rsid w:val="00257DAF"/>
    <w:rsid w:val="00260165"/>
    <w:rsid w:val="0026084C"/>
    <w:rsid w:val="002717C0"/>
    <w:rsid w:val="00272FFF"/>
    <w:rsid w:val="002736BA"/>
    <w:rsid w:val="00283A3B"/>
    <w:rsid w:val="00283DD6"/>
    <w:rsid w:val="002849EE"/>
    <w:rsid w:val="00287F36"/>
    <w:rsid w:val="00292B18"/>
    <w:rsid w:val="0029501E"/>
    <w:rsid w:val="00296F1C"/>
    <w:rsid w:val="002A2B39"/>
    <w:rsid w:val="002A5971"/>
    <w:rsid w:val="002B1B65"/>
    <w:rsid w:val="002B1C8A"/>
    <w:rsid w:val="002B32DC"/>
    <w:rsid w:val="002B3978"/>
    <w:rsid w:val="002B5A49"/>
    <w:rsid w:val="002B7490"/>
    <w:rsid w:val="002C0B88"/>
    <w:rsid w:val="002C16EB"/>
    <w:rsid w:val="002C413C"/>
    <w:rsid w:val="002C58E4"/>
    <w:rsid w:val="002C6D9A"/>
    <w:rsid w:val="002D0D31"/>
    <w:rsid w:val="002D5A5C"/>
    <w:rsid w:val="002E0B7D"/>
    <w:rsid w:val="002F27A1"/>
    <w:rsid w:val="002F2BCE"/>
    <w:rsid w:val="002F7919"/>
    <w:rsid w:val="002F7C83"/>
    <w:rsid w:val="0030248C"/>
    <w:rsid w:val="00305E6D"/>
    <w:rsid w:val="00311164"/>
    <w:rsid w:val="00313781"/>
    <w:rsid w:val="00313949"/>
    <w:rsid w:val="003152EB"/>
    <w:rsid w:val="00315D66"/>
    <w:rsid w:val="00317C2F"/>
    <w:rsid w:val="00317F86"/>
    <w:rsid w:val="003201BC"/>
    <w:rsid w:val="00320642"/>
    <w:rsid w:val="00320E21"/>
    <w:rsid w:val="00322626"/>
    <w:rsid w:val="003277EE"/>
    <w:rsid w:val="00327B24"/>
    <w:rsid w:val="00333B58"/>
    <w:rsid w:val="00336A60"/>
    <w:rsid w:val="003417AC"/>
    <w:rsid w:val="00342CD8"/>
    <w:rsid w:val="00351258"/>
    <w:rsid w:val="00351851"/>
    <w:rsid w:val="00353A84"/>
    <w:rsid w:val="0036221F"/>
    <w:rsid w:val="00362C5E"/>
    <w:rsid w:val="003630C3"/>
    <w:rsid w:val="00367C60"/>
    <w:rsid w:val="003707C4"/>
    <w:rsid w:val="00370FE5"/>
    <w:rsid w:val="003772D0"/>
    <w:rsid w:val="0037770F"/>
    <w:rsid w:val="00381B7A"/>
    <w:rsid w:val="00382F59"/>
    <w:rsid w:val="00384269"/>
    <w:rsid w:val="00384E5E"/>
    <w:rsid w:val="00392B7E"/>
    <w:rsid w:val="00393DE0"/>
    <w:rsid w:val="00394248"/>
    <w:rsid w:val="003947DA"/>
    <w:rsid w:val="003964EE"/>
    <w:rsid w:val="003968F1"/>
    <w:rsid w:val="003978CE"/>
    <w:rsid w:val="003978E0"/>
    <w:rsid w:val="003A00D2"/>
    <w:rsid w:val="003A1230"/>
    <w:rsid w:val="003A1506"/>
    <w:rsid w:val="003A1774"/>
    <w:rsid w:val="003A17E0"/>
    <w:rsid w:val="003A1F2D"/>
    <w:rsid w:val="003A26BB"/>
    <w:rsid w:val="003A2BFB"/>
    <w:rsid w:val="003A472E"/>
    <w:rsid w:val="003A49EE"/>
    <w:rsid w:val="003B1BE7"/>
    <w:rsid w:val="003B22E9"/>
    <w:rsid w:val="003C04B0"/>
    <w:rsid w:val="003C5D02"/>
    <w:rsid w:val="003D1870"/>
    <w:rsid w:val="003E11B7"/>
    <w:rsid w:val="003E207D"/>
    <w:rsid w:val="003F067C"/>
    <w:rsid w:val="003F087A"/>
    <w:rsid w:val="003F2037"/>
    <w:rsid w:val="003F30E8"/>
    <w:rsid w:val="003F5B9C"/>
    <w:rsid w:val="003F5EC6"/>
    <w:rsid w:val="0040075D"/>
    <w:rsid w:val="00400E65"/>
    <w:rsid w:val="00401356"/>
    <w:rsid w:val="00405525"/>
    <w:rsid w:val="0040614F"/>
    <w:rsid w:val="00410157"/>
    <w:rsid w:val="00410548"/>
    <w:rsid w:val="0041133C"/>
    <w:rsid w:val="00411415"/>
    <w:rsid w:val="00411CEE"/>
    <w:rsid w:val="004147D5"/>
    <w:rsid w:val="00417B7A"/>
    <w:rsid w:val="0042593C"/>
    <w:rsid w:val="00425DF0"/>
    <w:rsid w:val="00426B1A"/>
    <w:rsid w:val="00435BD4"/>
    <w:rsid w:val="00444879"/>
    <w:rsid w:val="0044505C"/>
    <w:rsid w:val="00445F52"/>
    <w:rsid w:val="00446CE2"/>
    <w:rsid w:val="00454DC3"/>
    <w:rsid w:val="0045608E"/>
    <w:rsid w:val="00461032"/>
    <w:rsid w:val="0046380B"/>
    <w:rsid w:val="0046708D"/>
    <w:rsid w:val="004670AB"/>
    <w:rsid w:val="00472FE0"/>
    <w:rsid w:val="00474033"/>
    <w:rsid w:val="0047478B"/>
    <w:rsid w:val="00482FE7"/>
    <w:rsid w:val="004933EA"/>
    <w:rsid w:val="00496F00"/>
    <w:rsid w:val="004977A0"/>
    <w:rsid w:val="004A4EB2"/>
    <w:rsid w:val="004A6162"/>
    <w:rsid w:val="004A7E81"/>
    <w:rsid w:val="004B0D54"/>
    <w:rsid w:val="004B1E6B"/>
    <w:rsid w:val="004B4EF1"/>
    <w:rsid w:val="004C0B70"/>
    <w:rsid w:val="004C3260"/>
    <w:rsid w:val="004C5D90"/>
    <w:rsid w:val="004C76C8"/>
    <w:rsid w:val="004C7EA4"/>
    <w:rsid w:val="004D0546"/>
    <w:rsid w:val="004D3F7D"/>
    <w:rsid w:val="004D499A"/>
    <w:rsid w:val="004D62CD"/>
    <w:rsid w:val="004D6BDE"/>
    <w:rsid w:val="004E0524"/>
    <w:rsid w:val="004E1037"/>
    <w:rsid w:val="00504119"/>
    <w:rsid w:val="00506E3F"/>
    <w:rsid w:val="00507E1F"/>
    <w:rsid w:val="00514B7A"/>
    <w:rsid w:val="005164DB"/>
    <w:rsid w:val="0052122D"/>
    <w:rsid w:val="00521907"/>
    <w:rsid w:val="00525D3A"/>
    <w:rsid w:val="00531424"/>
    <w:rsid w:val="0053360D"/>
    <w:rsid w:val="005351ED"/>
    <w:rsid w:val="0054258F"/>
    <w:rsid w:val="0054288B"/>
    <w:rsid w:val="00542C1B"/>
    <w:rsid w:val="00545606"/>
    <w:rsid w:val="005467D1"/>
    <w:rsid w:val="005616B1"/>
    <w:rsid w:val="00566000"/>
    <w:rsid w:val="005666AC"/>
    <w:rsid w:val="00571AC8"/>
    <w:rsid w:val="005751A5"/>
    <w:rsid w:val="00575E5F"/>
    <w:rsid w:val="005806A3"/>
    <w:rsid w:val="00581EE2"/>
    <w:rsid w:val="0058429C"/>
    <w:rsid w:val="00590DF3"/>
    <w:rsid w:val="00591AE6"/>
    <w:rsid w:val="00593334"/>
    <w:rsid w:val="0059352C"/>
    <w:rsid w:val="00593A37"/>
    <w:rsid w:val="005944F7"/>
    <w:rsid w:val="00596262"/>
    <w:rsid w:val="005975FE"/>
    <w:rsid w:val="005A4602"/>
    <w:rsid w:val="005A5716"/>
    <w:rsid w:val="005A61BF"/>
    <w:rsid w:val="005A64A9"/>
    <w:rsid w:val="005A66CB"/>
    <w:rsid w:val="005B03F8"/>
    <w:rsid w:val="005B2F96"/>
    <w:rsid w:val="005C0764"/>
    <w:rsid w:val="005C39E8"/>
    <w:rsid w:val="005C3DCF"/>
    <w:rsid w:val="005C4954"/>
    <w:rsid w:val="005C5BAB"/>
    <w:rsid w:val="005C6AC9"/>
    <w:rsid w:val="005D000D"/>
    <w:rsid w:val="005D0D67"/>
    <w:rsid w:val="005D473A"/>
    <w:rsid w:val="005E453F"/>
    <w:rsid w:val="005E65F0"/>
    <w:rsid w:val="005E7BFE"/>
    <w:rsid w:val="005F1962"/>
    <w:rsid w:val="005F29D4"/>
    <w:rsid w:val="005F5663"/>
    <w:rsid w:val="005F7D5A"/>
    <w:rsid w:val="00600523"/>
    <w:rsid w:val="0060104E"/>
    <w:rsid w:val="00602665"/>
    <w:rsid w:val="00602FC6"/>
    <w:rsid w:val="00605228"/>
    <w:rsid w:val="00606B67"/>
    <w:rsid w:val="00607239"/>
    <w:rsid w:val="00607A18"/>
    <w:rsid w:val="00613881"/>
    <w:rsid w:val="00614EC0"/>
    <w:rsid w:val="006150A8"/>
    <w:rsid w:val="00615BF1"/>
    <w:rsid w:val="00617FE2"/>
    <w:rsid w:val="006242EF"/>
    <w:rsid w:val="00627A28"/>
    <w:rsid w:val="00631786"/>
    <w:rsid w:val="00632281"/>
    <w:rsid w:val="00632B7F"/>
    <w:rsid w:val="00635EC3"/>
    <w:rsid w:val="00641AC0"/>
    <w:rsid w:val="00641C74"/>
    <w:rsid w:val="006536C0"/>
    <w:rsid w:val="00653ACE"/>
    <w:rsid w:val="006636EB"/>
    <w:rsid w:val="00667E4B"/>
    <w:rsid w:val="0067241C"/>
    <w:rsid w:val="00673A66"/>
    <w:rsid w:val="00673A9B"/>
    <w:rsid w:val="006754E0"/>
    <w:rsid w:val="006801DB"/>
    <w:rsid w:val="0068029F"/>
    <w:rsid w:val="00683AD6"/>
    <w:rsid w:val="00690B57"/>
    <w:rsid w:val="006959AF"/>
    <w:rsid w:val="0069680D"/>
    <w:rsid w:val="006A3B3F"/>
    <w:rsid w:val="006A7614"/>
    <w:rsid w:val="006A7716"/>
    <w:rsid w:val="006B33EE"/>
    <w:rsid w:val="006C0404"/>
    <w:rsid w:val="006C2091"/>
    <w:rsid w:val="006C2356"/>
    <w:rsid w:val="006D1108"/>
    <w:rsid w:val="006D4F9C"/>
    <w:rsid w:val="006D6966"/>
    <w:rsid w:val="006D70EE"/>
    <w:rsid w:val="006E2AEF"/>
    <w:rsid w:val="006E3DE1"/>
    <w:rsid w:val="006F053F"/>
    <w:rsid w:val="006F65FD"/>
    <w:rsid w:val="006F783B"/>
    <w:rsid w:val="00704A64"/>
    <w:rsid w:val="00705059"/>
    <w:rsid w:val="0070639F"/>
    <w:rsid w:val="0071240A"/>
    <w:rsid w:val="00712A21"/>
    <w:rsid w:val="00714736"/>
    <w:rsid w:val="007214EF"/>
    <w:rsid w:val="007218D9"/>
    <w:rsid w:val="0072193E"/>
    <w:rsid w:val="00721E92"/>
    <w:rsid w:val="00724E68"/>
    <w:rsid w:val="007262E7"/>
    <w:rsid w:val="00726364"/>
    <w:rsid w:val="00726DD4"/>
    <w:rsid w:val="00730C27"/>
    <w:rsid w:val="00732516"/>
    <w:rsid w:val="00734A6A"/>
    <w:rsid w:val="007363BB"/>
    <w:rsid w:val="007376AB"/>
    <w:rsid w:val="007376CC"/>
    <w:rsid w:val="00740A09"/>
    <w:rsid w:val="0074180C"/>
    <w:rsid w:val="00742FBD"/>
    <w:rsid w:val="007432CE"/>
    <w:rsid w:val="0074468D"/>
    <w:rsid w:val="00747B99"/>
    <w:rsid w:val="00752D8A"/>
    <w:rsid w:val="00753756"/>
    <w:rsid w:val="0075598D"/>
    <w:rsid w:val="00757BCC"/>
    <w:rsid w:val="00761D8B"/>
    <w:rsid w:val="00761F45"/>
    <w:rsid w:val="00767462"/>
    <w:rsid w:val="00771010"/>
    <w:rsid w:val="00772EB3"/>
    <w:rsid w:val="00776C20"/>
    <w:rsid w:val="007822AD"/>
    <w:rsid w:val="00786B18"/>
    <w:rsid w:val="007872D8"/>
    <w:rsid w:val="00791091"/>
    <w:rsid w:val="0079595C"/>
    <w:rsid w:val="007A73C3"/>
    <w:rsid w:val="007B4037"/>
    <w:rsid w:val="007C0790"/>
    <w:rsid w:val="007C12B9"/>
    <w:rsid w:val="007C4167"/>
    <w:rsid w:val="007C42CA"/>
    <w:rsid w:val="007C4906"/>
    <w:rsid w:val="007C6701"/>
    <w:rsid w:val="007D64C8"/>
    <w:rsid w:val="007D7F40"/>
    <w:rsid w:val="007E27DA"/>
    <w:rsid w:val="007E4B90"/>
    <w:rsid w:val="007E781E"/>
    <w:rsid w:val="007F1C0F"/>
    <w:rsid w:val="007F20BE"/>
    <w:rsid w:val="007F40EE"/>
    <w:rsid w:val="007F686C"/>
    <w:rsid w:val="007F70B2"/>
    <w:rsid w:val="007F76BA"/>
    <w:rsid w:val="0080337A"/>
    <w:rsid w:val="008035F6"/>
    <w:rsid w:val="00803BCF"/>
    <w:rsid w:val="00811DBB"/>
    <w:rsid w:val="0081257D"/>
    <w:rsid w:val="00812723"/>
    <w:rsid w:val="00813B88"/>
    <w:rsid w:val="00814537"/>
    <w:rsid w:val="00816DF1"/>
    <w:rsid w:val="00816FC0"/>
    <w:rsid w:val="00821AB6"/>
    <w:rsid w:val="00823F35"/>
    <w:rsid w:val="00832F35"/>
    <w:rsid w:val="00835BA2"/>
    <w:rsid w:val="00844DF1"/>
    <w:rsid w:val="00846281"/>
    <w:rsid w:val="008505F0"/>
    <w:rsid w:val="008543A3"/>
    <w:rsid w:val="0085639B"/>
    <w:rsid w:val="0085761D"/>
    <w:rsid w:val="00857D61"/>
    <w:rsid w:val="00860773"/>
    <w:rsid w:val="0086314C"/>
    <w:rsid w:val="008640B9"/>
    <w:rsid w:val="008669ED"/>
    <w:rsid w:val="008930F0"/>
    <w:rsid w:val="00893B1D"/>
    <w:rsid w:val="008953A0"/>
    <w:rsid w:val="00895A2A"/>
    <w:rsid w:val="00895DC7"/>
    <w:rsid w:val="00896847"/>
    <w:rsid w:val="00896D9B"/>
    <w:rsid w:val="008A1ACC"/>
    <w:rsid w:val="008A27A2"/>
    <w:rsid w:val="008A6AAD"/>
    <w:rsid w:val="008B032B"/>
    <w:rsid w:val="008B4508"/>
    <w:rsid w:val="008C19D9"/>
    <w:rsid w:val="008C1A57"/>
    <w:rsid w:val="008C47FC"/>
    <w:rsid w:val="008C70BB"/>
    <w:rsid w:val="008C7762"/>
    <w:rsid w:val="008D0C95"/>
    <w:rsid w:val="008D4022"/>
    <w:rsid w:val="008D59BF"/>
    <w:rsid w:val="008D5E91"/>
    <w:rsid w:val="008E13E9"/>
    <w:rsid w:val="008E241B"/>
    <w:rsid w:val="008E27F1"/>
    <w:rsid w:val="008E288E"/>
    <w:rsid w:val="008E380B"/>
    <w:rsid w:val="008E6C9C"/>
    <w:rsid w:val="008E6D54"/>
    <w:rsid w:val="008E7C10"/>
    <w:rsid w:val="008F043D"/>
    <w:rsid w:val="008F5A8F"/>
    <w:rsid w:val="009009D0"/>
    <w:rsid w:val="00902B68"/>
    <w:rsid w:val="0090405C"/>
    <w:rsid w:val="00912130"/>
    <w:rsid w:val="00912344"/>
    <w:rsid w:val="009142AE"/>
    <w:rsid w:val="00914486"/>
    <w:rsid w:val="00915768"/>
    <w:rsid w:val="00915819"/>
    <w:rsid w:val="00915D7D"/>
    <w:rsid w:val="009252DD"/>
    <w:rsid w:val="00927140"/>
    <w:rsid w:val="0092750F"/>
    <w:rsid w:val="00931BDB"/>
    <w:rsid w:val="00931D35"/>
    <w:rsid w:val="00934EB6"/>
    <w:rsid w:val="00936367"/>
    <w:rsid w:val="00940426"/>
    <w:rsid w:val="00940430"/>
    <w:rsid w:val="00941883"/>
    <w:rsid w:val="0094249D"/>
    <w:rsid w:val="00943A50"/>
    <w:rsid w:val="00943B74"/>
    <w:rsid w:val="00946EEB"/>
    <w:rsid w:val="0095239D"/>
    <w:rsid w:val="00952675"/>
    <w:rsid w:val="0095754B"/>
    <w:rsid w:val="00962423"/>
    <w:rsid w:val="00962C4C"/>
    <w:rsid w:val="00963446"/>
    <w:rsid w:val="00966151"/>
    <w:rsid w:val="009661C0"/>
    <w:rsid w:val="00970C6F"/>
    <w:rsid w:val="00973D6C"/>
    <w:rsid w:val="009756C8"/>
    <w:rsid w:val="00977604"/>
    <w:rsid w:val="00977C92"/>
    <w:rsid w:val="00980DB0"/>
    <w:rsid w:val="00985B40"/>
    <w:rsid w:val="00987321"/>
    <w:rsid w:val="0099119D"/>
    <w:rsid w:val="00994EDD"/>
    <w:rsid w:val="00995B0F"/>
    <w:rsid w:val="00996A9E"/>
    <w:rsid w:val="00997375"/>
    <w:rsid w:val="009A0002"/>
    <w:rsid w:val="009A1543"/>
    <w:rsid w:val="009A1556"/>
    <w:rsid w:val="009A2921"/>
    <w:rsid w:val="009A3512"/>
    <w:rsid w:val="009A3FF8"/>
    <w:rsid w:val="009A7A6B"/>
    <w:rsid w:val="009B0ED2"/>
    <w:rsid w:val="009B20BD"/>
    <w:rsid w:val="009B3BF1"/>
    <w:rsid w:val="009B3EB2"/>
    <w:rsid w:val="009B601C"/>
    <w:rsid w:val="009B61A1"/>
    <w:rsid w:val="009C3AE0"/>
    <w:rsid w:val="009C6B15"/>
    <w:rsid w:val="009D07DF"/>
    <w:rsid w:val="009D0AF6"/>
    <w:rsid w:val="009D28CE"/>
    <w:rsid w:val="009D4495"/>
    <w:rsid w:val="009E0C25"/>
    <w:rsid w:val="009E3B9E"/>
    <w:rsid w:val="009F096F"/>
    <w:rsid w:val="009F5291"/>
    <w:rsid w:val="009F6C6D"/>
    <w:rsid w:val="00A028BE"/>
    <w:rsid w:val="00A02DEC"/>
    <w:rsid w:val="00A037CC"/>
    <w:rsid w:val="00A042E9"/>
    <w:rsid w:val="00A05861"/>
    <w:rsid w:val="00A05863"/>
    <w:rsid w:val="00A118A6"/>
    <w:rsid w:val="00A11E4D"/>
    <w:rsid w:val="00A123EA"/>
    <w:rsid w:val="00A21639"/>
    <w:rsid w:val="00A32370"/>
    <w:rsid w:val="00A32401"/>
    <w:rsid w:val="00A33507"/>
    <w:rsid w:val="00A3448A"/>
    <w:rsid w:val="00A34F75"/>
    <w:rsid w:val="00A3694D"/>
    <w:rsid w:val="00A51ECF"/>
    <w:rsid w:val="00A52119"/>
    <w:rsid w:val="00A523ED"/>
    <w:rsid w:val="00A5358E"/>
    <w:rsid w:val="00A542E0"/>
    <w:rsid w:val="00A54582"/>
    <w:rsid w:val="00A55D8F"/>
    <w:rsid w:val="00A579AA"/>
    <w:rsid w:val="00A60FFF"/>
    <w:rsid w:val="00A62893"/>
    <w:rsid w:val="00A6508C"/>
    <w:rsid w:val="00A6613F"/>
    <w:rsid w:val="00A73526"/>
    <w:rsid w:val="00A75B6A"/>
    <w:rsid w:val="00A80A4F"/>
    <w:rsid w:val="00A86D15"/>
    <w:rsid w:val="00A87E04"/>
    <w:rsid w:val="00A962EA"/>
    <w:rsid w:val="00AA3D41"/>
    <w:rsid w:val="00AC022D"/>
    <w:rsid w:val="00AC0878"/>
    <w:rsid w:val="00AC73F9"/>
    <w:rsid w:val="00AD259D"/>
    <w:rsid w:val="00AD3AB3"/>
    <w:rsid w:val="00AE17E5"/>
    <w:rsid w:val="00AE524A"/>
    <w:rsid w:val="00AE6753"/>
    <w:rsid w:val="00AF028E"/>
    <w:rsid w:val="00AF26F0"/>
    <w:rsid w:val="00AF4AF5"/>
    <w:rsid w:val="00AF7172"/>
    <w:rsid w:val="00B02110"/>
    <w:rsid w:val="00B063BD"/>
    <w:rsid w:val="00B071D9"/>
    <w:rsid w:val="00B07F88"/>
    <w:rsid w:val="00B13000"/>
    <w:rsid w:val="00B15548"/>
    <w:rsid w:val="00B20B44"/>
    <w:rsid w:val="00B27E14"/>
    <w:rsid w:val="00B31353"/>
    <w:rsid w:val="00B32C52"/>
    <w:rsid w:val="00B3479B"/>
    <w:rsid w:val="00B34D55"/>
    <w:rsid w:val="00B369BA"/>
    <w:rsid w:val="00B372BC"/>
    <w:rsid w:val="00B4210E"/>
    <w:rsid w:val="00B45ED0"/>
    <w:rsid w:val="00B47160"/>
    <w:rsid w:val="00B511D3"/>
    <w:rsid w:val="00B52871"/>
    <w:rsid w:val="00B55B8B"/>
    <w:rsid w:val="00B55BDB"/>
    <w:rsid w:val="00B62788"/>
    <w:rsid w:val="00B67F1C"/>
    <w:rsid w:val="00B70CA6"/>
    <w:rsid w:val="00B712B9"/>
    <w:rsid w:val="00B714B7"/>
    <w:rsid w:val="00B721AB"/>
    <w:rsid w:val="00B728D1"/>
    <w:rsid w:val="00B80E12"/>
    <w:rsid w:val="00B81460"/>
    <w:rsid w:val="00B82E71"/>
    <w:rsid w:val="00B83493"/>
    <w:rsid w:val="00B85A43"/>
    <w:rsid w:val="00B9128B"/>
    <w:rsid w:val="00B91EC3"/>
    <w:rsid w:val="00B93249"/>
    <w:rsid w:val="00B9474D"/>
    <w:rsid w:val="00B952E2"/>
    <w:rsid w:val="00B95DCA"/>
    <w:rsid w:val="00BA65A5"/>
    <w:rsid w:val="00BC2616"/>
    <w:rsid w:val="00BC36F6"/>
    <w:rsid w:val="00BC3AEA"/>
    <w:rsid w:val="00BC3C3E"/>
    <w:rsid w:val="00BC70A2"/>
    <w:rsid w:val="00BD5C15"/>
    <w:rsid w:val="00BD6CDF"/>
    <w:rsid w:val="00BD7E2F"/>
    <w:rsid w:val="00BE0BEF"/>
    <w:rsid w:val="00BE3AA7"/>
    <w:rsid w:val="00BE6605"/>
    <w:rsid w:val="00BE7FE8"/>
    <w:rsid w:val="00BF0A54"/>
    <w:rsid w:val="00BF25A3"/>
    <w:rsid w:val="00BF4045"/>
    <w:rsid w:val="00BF4C4A"/>
    <w:rsid w:val="00BF600C"/>
    <w:rsid w:val="00BF71E8"/>
    <w:rsid w:val="00BF7823"/>
    <w:rsid w:val="00BF7A9E"/>
    <w:rsid w:val="00BF7BE4"/>
    <w:rsid w:val="00C025AB"/>
    <w:rsid w:val="00C0688F"/>
    <w:rsid w:val="00C06D1F"/>
    <w:rsid w:val="00C07B44"/>
    <w:rsid w:val="00C07DF3"/>
    <w:rsid w:val="00C12D37"/>
    <w:rsid w:val="00C14296"/>
    <w:rsid w:val="00C17C50"/>
    <w:rsid w:val="00C20D55"/>
    <w:rsid w:val="00C21808"/>
    <w:rsid w:val="00C21BC8"/>
    <w:rsid w:val="00C2223F"/>
    <w:rsid w:val="00C2695D"/>
    <w:rsid w:val="00C26FC8"/>
    <w:rsid w:val="00C33B7A"/>
    <w:rsid w:val="00C33F8A"/>
    <w:rsid w:val="00C3463E"/>
    <w:rsid w:val="00C3602E"/>
    <w:rsid w:val="00C36B41"/>
    <w:rsid w:val="00C43D29"/>
    <w:rsid w:val="00C450AE"/>
    <w:rsid w:val="00C47FC4"/>
    <w:rsid w:val="00C5636A"/>
    <w:rsid w:val="00C60974"/>
    <w:rsid w:val="00C61CC0"/>
    <w:rsid w:val="00C61EA5"/>
    <w:rsid w:val="00C6275B"/>
    <w:rsid w:val="00C638C7"/>
    <w:rsid w:val="00C664CF"/>
    <w:rsid w:val="00C70B08"/>
    <w:rsid w:val="00C72BE7"/>
    <w:rsid w:val="00C73947"/>
    <w:rsid w:val="00C74436"/>
    <w:rsid w:val="00C758F5"/>
    <w:rsid w:val="00C76D3D"/>
    <w:rsid w:val="00C776C5"/>
    <w:rsid w:val="00C828D0"/>
    <w:rsid w:val="00C83CBA"/>
    <w:rsid w:val="00C90E85"/>
    <w:rsid w:val="00C9102B"/>
    <w:rsid w:val="00C9263F"/>
    <w:rsid w:val="00C92E5D"/>
    <w:rsid w:val="00C93509"/>
    <w:rsid w:val="00C93F08"/>
    <w:rsid w:val="00C94D2A"/>
    <w:rsid w:val="00C96645"/>
    <w:rsid w:val="00C9777C"/>
    <w:rsid w:val="00CA0CDD"/>
    <w:rsid w:val="00CA3CE1"/>
    <w:rsid w:val="00CA58CB"/>
    <w:rsid w:val="00CB0590"/>
    <w:rsid w:val="00CB137C"/>
    <w:rsid w:val="00CB3B3E"/>
    <w:rsid w:val="00CB4AFC"/>
    <w:rsid w:val="00CB4E54"/>
    <w:rsid w:val="00CB5A43"/>
    <w:rsid w:val="00CB6D6E"/>
    <w:rsid w:val="00CC3F4C"/>
    <w:rsid w:val="00CC602E"/>
    <w:rsid w:val="00CC6D01"/>
    <w:rsid w:val="00CD022D"/>
    <w:rsid w:val="00CD115F"/>
    <w:rsid w:val="00CD40C1"/>
    <w:rsid w:val="00CD4DE8"/>
    <w:rsid w:val="00CD6A1D"/>
    <w:rsid w:val="00CD6B27"/>
    <w:rsid w:val="00CD6F65"/>
    <w:rsid w:val="00CE04F0"/>
    <w:rsid w:val="00CE16E0"/>
    <w:rsid w:val="00CE5944"/>
    <w:rsid w:val="00CE5F13"/>
    <w:rsid w:val="00CE6717"/>
    <w:rsid w:val="00D03F42"/>
    <w:rsid w:val="00D05549"/>
    <w:rsid w:val="00D060A4"/>
    <w:rsid w:val="00D14A2B"/>
    <w:rsid w:val="00D14FDB"/>
    <w:rsid w:val="00D16F49"/>
    <w:rsid w:val="00D20BD0"/>
    <w:rsid w:val="00D27B32"/>
    <w:rsid w:val="00D307CC"/>
    <w:rsid w:val="00D30AC6"/>
    <w:rsid w:val="00D31530"/>
    <w:rsid w:val="00D36ED2"/>
    <w:rsid w:val="00D42C39"/>
    <w:rsid w:val="00D451FE"/>
    <w:rsid w:val="00D46E4A"/>
    <w:rsid w:val="00D46E8D"/>
    <w:rsid w:val="00D51C30"/>
    <w:rsid w:val="00D5210E"/>
    <w:rsid w:val="00D54525"/>
    <w:rsid w:val="00D61E6F"/>
    <w:rsid w:val="00D62AA3"/>
    <w:rsid w:val="00D64988"/>
    <w:rsid w:val="00D657A7"/>
    <w:rsid w:val="00D65874"/>
    <w:rsid w:val="00D7084A"/>
    <w:rsid w:val="00D73B49"/>
    <w:rsid w:val="00D76A07"/>
    <w:rsid w:val="00D77566"/>
    <w:rsid w:val="00D83D69"/>
    <w:rsid w:val="00D85ED4"/>
    <w:rsid w:val="00D9163D"/>
    <w:rsid w:val="00D916DE"/>
    <w:rsid w:val="00D9201B"/>
    <w:rsid w:val="00D92A69"/>
    <w:rsid w:val="00D93293"/>
    <w:rsid w:val="00D94C0C"/>
    <w:rsid w:val="00DA3459"/>
    <w:rsid w:val="00DA39C5"/>
    <w:rsid w:val="00DA3F55"/>
    <w:rsid w:val="00DA4152"/>
    <w:rsid w:val="00DB2B72"/>
    <w:rsid w:val="00DB4B1A"/>
    <w:rsid w:val="00DB5E24"/>
    <w:rsid w:val="00DB7F27"/>
    <w:rsid w:val="00DC05C1"/>
    <w:rsid w:val="00DC3EE7"/>
    <w:rsid w:val="00DD1F9F"/>
    <w:rsid w:val="00DD237B"/>
    <w:rsid w:val="00DD29B5"/>
    <w:rsid w:val="00DD52F0"/>
    <w:rsid w:val="00DD66CA"/>
    <w:rsid w:val="00DD6FC0"/>
    <w:rsid w:val="00DE022F"/>
    <w:rsid w:val="00DE3134"/>
    <w:rsid w:val="00DE6221"/>
    <w:rsid w:val="00DE78C5"/>
    <w:rsid w:val="00DF77A0"/>
    <w:rsid w:val="00DF7ECB"/>
    <w:rsid w:val="00E01D9C"/>
    <w:rsid w:val="00E024E5"/>
    <w:rsid w:val="00E03491"/>
    <w:rsid w:val="00E0527F"/>
    <w:rsid w:val="00E0544B"/>
    <w:rsid w:val="00E12C72"/>
    <w:rsid w:val="00E13840"/>
    <w:rsid w:val="00E17F6B"/>
    <w:rsid w:val="00E241A3"/>
    <w:rsid w:val="00E24A18"/>
    <w:rsid w:val="00E2675F"/>
    <w:rsid w:val="00E3361F"/>
    <w:rsid w:val="00E33FB4"/>
    <w:rsid w:val="00E35802"/>
    <w:rsid w:val="00E41A4F"/>
    <w:rsid w:val="00E41B33"/>
    <w:rsid w:val="00E50585"/>
    <w:rsid w:val="00E575BF"/>
    <w:rsid w:val="00E604A2"/>
    <w:rsid w:val="00E61ECB"/>
    <w:rsid w:val="00E61FFC"/>
    <w:rsid w:val="00E632A4"/>
    <w:rsid w:val="00E672B6"/>
    <w:rsid w:val="00E70486"/>
    <w:rsid w:val="00E725D8"/>
    <w:rsid w:val="00E72BFD"/>
    <w:rsid w:val="00E75084"/>
    <w:rsid w:val="00E812BF"/>
    <w:rsid w:val="00E85DBD"/>
    <w:rsid w:val="00E86254"/>
    <w:rsid w:val="00E86D13"/>
    <w:rsid w:val="00E90590"/>
    <w:rsid w:val="00E914EF"/>
    <w:rsid w:val="00E93111"/>
    <w:rsid w:val="00E9479A"/>
    <w:rsid w:val="00E95D1E"/>
    <w:rsid w:val="00E95E9B"/>
    <w:rsid w:val="00EA0965"/>
    <w:rsid w:val="00EA3A8D"/>
    <w:rsid w:val="00EA4050"/>
    <w:rsid w:val="00EA4421"/>
    <w:rsid w:val="00EB4C86"/>
    <w:rsid w:val="00EB5740"/>
    <w:rsid w:val="00EB5FDD"/>
    <w:rsid w:val="00EC1A6C"/>
    <w:rsid w:val="00EC25CF"/>
    <w:rsid w:val="00EC4AE7"/>
    <w:rsid w:val="00EC7A23"/>
    <w:rsid w:val="00ED47C6"/>
    <w:rsid w:val="00ED4CB1"/>
    <w:rsid w:val="00ED5FEC"/>
    <w:rsid w:val="00EE1553"/>
    <w:rsid w:val="00EF04B3"/>
    <w:rsid w:val="00EF11E8"/>
    <w:rsid w:val="00EF1A37"/>
    <w:rsid w:val="00EF1AC6"/>
    <w:rsid w:val="00EF5F8D"/>
    <w:rsid w:val="00EF6B75"/>
    <w:rsid w:val="00EF776D"/>
    <w:rsid w:val="00F009F9"/>
    <w:rsid w:val="00F01133"/>
    <w:rsid w:val="00F07107"/>
    <w:rsid w:val="00F12B18"/>
    <w:rsid w:val="00F133A9"/>
    <w:rsid w:val="00F134D1"/>
    <w:rsid w:val="00F142BF"/>
    <w:rsid w:val="00F17585"/>
    <w:rsid w:val="00F2123B"/>
    <w:rsid w:val="00F2238F"/>
    <w:rsid w:val="00F24CB7"/>
    <w:rsid w:val="00F277CD"/>
    <w:rsid w:val="00F3074A"/>
    <w:rsid w:val="00F35ECE"/>
    <w:rsid w:val="00F4058F"/>
    <w:rsid w:val="00F40E54"/>
    <w:rsid w:val="00F42E54"/>
    <w:rsid w:val="00F43343"/>
    <w:rsid w:val="00F434EE"/>
    <w:rsid w:val="00F45261"/>
    <w:rsid w:val="00F5243D"/>
    <w:rsid w:val="00F54D64"/>
    <w:rsid w:val="00F603CC"/>
    <w:rsid w:val="00F645BF"/>
    <w:rsid w:val="00F64E7C"/>
    <w:rsid w:val="00F725FE"/>
    <w:rsid w:val="00F72FA7"/>
    <w:rsid w:val="00F75CC9"/>
    <w:rsid w:val="00F77C58"/>
    <w:rsid w:val="00F82051"/>
    <w:rsid w:val="00F82484"/>
    <w:rsid w:val="00F83C2F"/>
    <w:rsid w:val="00F8567C"/>
    <w:rsid w:val="00F9010D"/>
    <w:rsid w:val="00F9106D"/>
    <w:rsid w:val="00F9190D"/>
    <w:rsid w:val="00F92A37"/>
    <w:rsid w:val="00F92F43"/>
    <w:rsid w:val="00F954B4"/>
    <w:rsid w:val="00FA10B1"/>
    <w:rsid w:val="00FA2602"/>
    <w:rsid w:val="00FB202E"/>
    <w:rsid w:val="00FB22F9"/>
    <w:rsid w:val="00FB3C16"/>
    <w:rsid w:val="00FB4551"/>
    <w:rsid w:val="00FB5FB4"/>
    <w:rsid w:val="00FC131F"/>
    <w:rsid w:val="00FC5611"/>
    <w:rsid w:val="00FC6799"/>
    <w:rsid w:val="00FD0314"/>
    <w:rsid w:val="00FD1C5A"/>
    <w:rsid w:val="00FD2F34"/>
    <w:rsid w:val="00FE0FD8"/>
    <w:rsid w:val="00FE3484"/>
    <w:rsid w:val="00FE6D58"/>
    <w:rsid w:val="00FF1EA1"/>
    <w:rsid w:val="00FF2ED8"/>
    <w:rsid w:val="00FF57F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5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footnote reference" w:uiPriority="0"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EF"/>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E914EF"/>
    <w:pPr>
      <w:spacing w:after="240"/>
      <w:ind w:firstLine="432"/>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qFormat/>
    <w:rsid w:val="003A1506"/>
    <w:pPr>
      <w:spacing w:after="240"/>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aliases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000962"/>
    <w:pPr>
      <w:spacing w:before="60" w:after="0"/>
      <w:ind w:firstLine="0"/>
    </w:pPr>
    <w:rPr>
      <w:rFonts w:ascii="Arial" w:hAnsi="Arial"/>
      <w:sz w:val="18"/>
    </w:rPr>
  </w:style>
  <w:style w:type="paragraph" w:customStyle="1" w:styleId="TableHeaderCenter">
    <w:name w:val="Table Header Center"/>
    <w:basedOn w:val="NormalSS"/>
    <w:qFormat/>
    <w:rsid w:val="00B34D55"/>
    <w:pPr>
      <w:spacing w:before="120" w:after="60"/>
      <w:ind w:firstLine="0"/>
      <w:jc w:val="center"/>
    </w:pPr>
    <w:rPr>
      <w:rFonts w:ascii="Arial" w:hAnsi="Arial"/>
      <w:color w:val="FFFFFF" w:themeColor="background1"/>
      <w:sz w:val="18"/>
    </w:rPr>
  </w:style>
  <w:style w:type="paragraph" w:customStyle="1" w:styleId="TableHeaderLeft">
    <w:name w:val="Table Header Left"/>
    <w:basedOn w:val="NormalSS"/>
    <w:qFormat/>
    <w:rsid w:val="00B34D55"/>
    <w:pPr>
      <w:spacing w:before="120" w:after="60"/>
      <w:ind w:firstLine="0"/>
    </w:pPr>
    <w:rPr>
      <w:rFonts w:ascii="Arial" w:hAnsi="Arial"/>
      <w:color w:val="FFFFFF" w:themeColor="background1"/>
      <w:sz w:val="18"/>
    </w:r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uiPriority w:val="99"/>
    <w:qFormat/>
    <w:rsid w:val="00AA3D4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7F686C"/>
  </w:style>
  <w:style w:type="paragraph" w:customStyle="1" w:styleId="TableSourceCaption">
    <w:name w:val="Table Source_Caption"/>
    <w:basedOn w:val="NormalSS"/>
    <w:qFormat/>
    <w:rsid w:val="00000962"/>
    <w:pPr>
      <w:spacing w:before="60" w:after="0"/>
      <w:ind w:left="720" w:hanging="720"/>
    </w:pPr>
    <w:rPr>
      <w:rFonts w:ascii="Arial" w:hAnsi="Arial"/>
      <w:sz w:val="18"/>
    </w:r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D5210E"/>
    <w:rPr>
      <w:b/>
    </w:rPr>
  </w:style>
  <w:style w:type="character" w:customStyle="1" w:styleId="FooterChar">
    <w:name w:val="Footer Char"/>
    <w:basedOn w:val="DefaultParagraphFont"/>
    <w:link w:val="Footer"/>
    <w:uiPriority w:val="99"/>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qFormat/>
    <w:rsid w:val="00D5210E"/>
    <w:pPr>
      <w:numPr>
        <w:numId w:val="5"/>
      </w:numPr>
      <w:tabs>
        <w:tab w:val="left" w:pos="360"/>
      </w:tabs>
      <w:spacing w:after="120"/>
      <w:ind w:right="360"/>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E914EF"/>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uiPriority w:val="99"/>
    <w:locked/>
    <w:rsid w:val="0029501E"/>
    <w:rPr>
      <w:b/>
      <w:caps/>
    </w:rPr>
  </w:style>
  <w:style w:type="paragraph" w:customStyle="1" w:styleId="Default">
    <w:name w:val="Default"/>
    <w:rsid w:val="0071240A"/>
    <w:pPr>
      <w:autoSpaceDE w:val="0"/>
      <w:autoSpaceDN w:val="0"/>
      <w:adjustRightInd w:val="0"/>
    </w:pPr>
    <w:rPr>
      <w:color w:val="000000"/>
    </w:rPr>
  </w:style>
  <w:style w:type="paragraph" w:customStyle="1" w:styleId="BulletBlackLastDS">
    <w:name w:val="Bullet_Black (Last DS)"/>
    <w:basedOn w:val="BulletBlackLastSS"/>
    <w:next w:val="Normal"/>
    <w:qFormat/>
    <w:rsid w:val="00C828D0"/>
    <w:pPr>
      <w:spacing w:after="320"/>
    </w:pPr>
  </w:style>
  <w:style w:type="table" w:styleId="TableGrid">
    <w:name w:val="Table Grid"/>
    <w:basedOn w:val="TableNormal"/>
    <w:uiPriority w:val="59"/>
    <w:rsid w:val="00363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2CE"/>
  </w:style>
  <w:style w:type="paragraph" w:styleId="NormalWeb">
    <w:name w:val="Normal (Web)"/>
    <w:basedOn w:val="Normal"/>
    <w:uiPriority w:val="99"/>
    <w:semiHidden/>
    <w:unhideWhenUsed/>
    <w:rsid w:val="00176881"/>
    <w:pPr>
      <w:spacing w:before="100" w:beforeAutospacing="1" w:after="100" w:afterAutospacing="1"/>
    </w:pPr>
    <w:rPr>
      <w:color w:val="000000"/>
    </w:rPr>
  </w:style>
  <w:style w:type="character" w:styleId="Emphasis">
    <w:name w:val="Emphasis"/>
    <w:basedOn w:val="DefaultParagraphFont"/>
    <w:uiPriority w:val="20"/>
    <w:qFormat/>
    <w:rsid w:val="00176881"/>
    <w:rPr>
      <w:i/>
      <w:iCs/>
    </w:rPr>
  </w:style>
  <w:style w:type="character" w:styleId="PlaceholderText">
    <w:name w:val="Placeholder Text"/>
    <w:basedOn w:val="DefaultParagraphFont"/>
    <w:uiPriority w:val="99"/>
    <w:semiHidden/>
    <w:rsid w:val="009F6C6D"/>
    <w:rPr>
      <w:color w:val="80808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rsid w:val="00BC36F6"/>
    <w:rPr>
      <w:sz w:val="20"/>
    </w:rPr>
  </w:style>
  <w:style w:type="paragraph" w:customStyle="1" w:styleId="BulletLastSS">
    <w:name w:val="Bullet (Last SS)"/>
    <w:basedOn w:val="Bullet"/>
    <w:next w:val="NormalSS"/>
    <w:qFormat/>
    <w:rsid w:val="00AE524A"/>
    <w:pPr>
      <w:numPr>
        <w:numId w:val="8"/>
      </w:numPr>
      <w:tabs>
        <w:tab w:val="clear" w:pos="360"/>
        <w:tab w:val="left" w:pos="432"/>
      </w:tabs>
      <w:spacing w:after="240"/>
      <w:ind w:right="0"/>
      <w:jc w:val="left"/>
    </w:pPr>
    <w:rPr>
      <w:szCs w:val="20"/>
    </w:rPr>
  </w:style>
  <w:style w:type="paragraph" w:customStyle="1" w:styleId="MarkforTableTitle">
    <w:name w:val="Mark for Table Title"/>
    <w:basedOn w:val="Normal"/>
    <w:next w:val="NormalSS"/>
    <w:qFormat/>
    <w:rsid w:val="00AE524A"/>
    <w:pPr>
      <w:keepNext/>
      <w:spacing w:after="60"/>
    </w:pPr>
    <w:rPr>
      <w:rFonts w:ascii="Arial Black" w:hAnsi="Arial Black"/>
      <w:sz w:val="22"/>
      <w:szCs w:val="20"/>
    </w:rPr>
  </w:style>
  <w:style w:type="paragraph" w:customStyle="1" w:styleId="TableSignificanceCaption">
    <w:name w:val="Table Significance_Caption"/>
    <w:basedOn w:val="TableFootnoteCaption"/>
    <w:qFormat/>
    <w:rsid w:val="00AE524A"/>
    <w:pPr>
      <w:tabs>
        <w:tab w:val="left" w:pos="1080"/>
      </w:tabs>
    </w:pPr>
    <w:rPr>
      <w:szCs w:val="20"/>
    </w:rPr>
  </w:style>
  <w:style w:type="table" w:customStyle="1" w:styleId="MPRBaseTable">
    <w:name w:val="MPR Base Table"/>
    <w:basedOn w:val="TableNormal"/>
    <w:uiPriority w:val="99"/>
    <w:rsid w:val="00AE524A"/>
    <w:pPr>
      <w:spacing w:line="360" w:lineRule="auto"/>
      <w:contextualSpacing/>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SS"/>
    <w:link w:val="H4NumberChar"/>
    <w:qFormat/>
    <w:rsid w:val="00607239"/>
    <w:pPr>
      <w:tabs>
        <w:tab w:val="left" w:pos="432"/>
      </w:tabs>
      <w:spacing w:after="120"/>
      <w:outlineLvl w:val="3"/>
    </w:pPr>
    <w:rPr>
      <w:szCs w:val="20"/>
    </w:rPr>
  </w:style>
  <w:style w:type="character" w:customStyle="1" w:styleId="H4NumberChar">
    <w:name w:val="H4_Number Char"/>
    <w:basedOn w:val="Heading3Char"/>
    <w:link w:val="H4Number"/>
    <w:rsid w:val="00607239"/>
    <w:rPr>
      <w:b/>
      <w:szCs w:val="20"/>
    </w:rPr>
  </w:style>
  <w:style w:type="character" w:customStyle="1" w:styleId="nlmarticle-title">
    <w:name w:val="nlm_article-title"/>
    <w:basedOn w:val="DefaultParagraphFont"/>
    <w:rsid w:val="0037770F"/>
  </w:style>
  <w:style w:type="character" w:styleId="FollowedHyperlink">
    <w:name w:val="FollowedHyperlink"/>
    <w:basedOn w:val="DefaultParagraphFont"/>
    <w:uiPriority w:val="99"/>
    <w:semiHidden/>
    <w:unhideWhenUsed/>
    <w:rsid w:val="00D060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footnote reference" w:uiPriority="0"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EF"/>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E914EF"/>
    <w:pPr>
      <w:spacing w:after="240"/>
      <w:ind w:firstLine="432"/>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qFormat/>
    <w:rsid w:val="003A1506"/>
    <w:pPr>
      <w:spacing w:after="240"/>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aliases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000962"/>
    <w:pPr>
      <w:spacing w:before="60" w:after="0"/>
      <w:ind w:firstLine="0"/>
    </w:pPr>
    <w:rPr>
      <w:rFonts w:ascii="Arial" w:hAnsi="Arial"/>
      <w:sz w:val="18"/>
    </w:rPr>
  </w:style>
  <w:style w:type="paragraph" w:customStyle="1" w:styleId="TableHeaderCenter">
    <w:name w:val="Table Header Center"/>
    <w:basedOn w:val="NormalSS"/>
    <w:qFormat/>
    <w:rsid w:val="00B34D55"/>
    <w:pPr>
      <w:spacing w:before="120" w:after="60"/>
      <w:ind w:firstLine="0"/>
      <w:jc w:val="center"/>
    </w:pPr>
    <w:rPr>
      <w:rFonts w:ascii="Arial" w:hAnsi="Arial"/>
      <w:color w:val="FFFFFF" w:themeColor="background1"/>
      <w:sz w:val="18"/>
    </w:rPr>
  </w:style>
  <w:style w:type="paragraph" w:customStyle="1" w:styleId="TableHeaderLeft">
    <w:name w:val="Table Header Left"/>
    <w:basedOn w:val="NormalSS"/>
    <w:qFormat/>
    <w:rsid w:val="00B34D55"/>
    <w:pPr>
      <w:spacing w:before="120" w:after="60"/>
      <w:ind w:firstLine="0"/>
    </w:pPr>
    <w:rPr>
      <w:rFonts w:ascii="Arial" w:hAnsi="Arial"/>
      <w:color w:val="FFFFFF" w:themeColor="background1"/>
      <w:sz w:val="18"/>
    </w:r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uiPriority w:val="99"/>
    <w:qFormat/>
    <w:rsid w:val="00AA3D4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7F686C"/>
  </w:style>
  <w:style w:type="paragraph" w:customStyle="1" w:styleId="TableSourceCaption">
    <w:name w:val="Table Source_Caption"/>
    <w:basedOn w:val="NormalSS"/>
    <w:qFormat/>
    <w:rsid w:val="00000962"/>
    <w:pPr>
      <w:spacing w:before="60" w:after="0"/>
      <w:ind w:left="720" w:hanging="720"/>
    </w:pPr>
    <w:rPr>
      <w:rFonts w:ascii="Arial" w:hAnsi="Arial"/>
      <w:sz w:val="18"/>
    </w:r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D5210E"/>
    <w:rPr>
      <w:b/>
    </w:rPr>
  </w:style>
  <w:style w:type="character" w:customStyle="1" w:styleId="FooterChar">
    <w:name w:val="Footer Char"/>
    <w:basedOn w:val="DefaultParagraphFont"/>
    <w:link w:val="Footer"/>
    <w:uiPriority w:val="99"/>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qFormat/>
    <w:rsid w:val="00D5210E"/>
    <w:pPr>
      <w:numPr>
        <w:numId w:val="5"/>
      </w:numPr>
      <w:tabs>
        <w:tab w:val="left" w:pos="360"/>
      </w:tabs>
      <w:spacing w:after="120"/>
      <w:ind w:right="360"/>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E914EF"/>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uiPriority w:val="99"/>
    <w:locked/>
    <w:rsid w:val="0029501E"/>
    <w:rPr>
      <w:b/>
      <w:caps/>
    </w:rPr>
  </w:style>
  <w:style w:type="paragraph" w:customStyle="1" w:styleId="Default">
    <w:name w:val="Default"/>
    <w:rsid w:val="0071240A"/>
    <w:pPr>
      <w:autoSpaceDE w:val="0"/>
      <w:autoSpaceDN w:val="0"/>
      <w:adjustRightInd w:val="0"/>
    </w:pPr>
    <w:rPr>
      <w:color w:val="000000"/>
    </w:rPr>
  </w:style>
  <w:style w:type="paragraph" w:customStyle="1" w:styleId="BulletBlackLastDS">
    <w:name w:val="Bullet_Black (Last DS)"/>
    <w:basedOn w:val="BulletBlackLastSS"/>
    <w:next w:val="Normal"/>
    <w:qFormat/>
    <w:rsid w:val="00C828D0"/>
    <w:pPr>
      <w:spacing w:after="320"/>
    </w:pPr>
  </w:style>
  <w:style w:type="table" w:styleId="TableGrid">
    <w:name w:val="Table Grid"/>
    <w:basedOn w:val="TableNormal"/>
    <w:uiPriority w:val="59"/>
    <w:rsid w:val="00363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2CE"/>
  </w:style>
  <w:style w:type="paragraph" w:styleId="NormalWeb">
    <w:name w:val="Normal (Web)"/>
    <w:basedOn w:val="Normal"/>
    <w:uiPriority w:val="99"/>
    <w:semiHidden/>
    <w:unhideWhenUsed/>
    <w:rsid w:val="00176881"/>
    <w:pPr>
      <w:spacing w:before="100" w:beforeAutospacing="1" w:after="100" w:afterAutospacing="1"/>
    </w:pPr>
    <w:rPr>
      <w:color w:val="000000"/>
    </w:rPr>
  </w:style>
  <w:style w:type="character" w:styleId="Emphasis">
    <w:name w:val="Emphasis"/>
    <w:basedOn w:val="DefaultParagraphFont"/>
    <w:uiPriority w:val="20"/>
    <w:qFormat/>
    <w:rsid w:val="00176881"/>
    <w:rPr>
      <w:i/>
      <w:iCs/>
    </w:rPr>
  </w:style>
  <w:style w:type="character" w:styleId="PlaceholderText">
    <w:name w:val="Placeholder Text"/>
    <w:basedOn w:val="DefaultParagraphFont"/>
    <w:uiPriority w:val="99"/>
    <w:semiHidden/>
    <w:rsid w:val="009F6C6D"/>
    <w:rPr>
      <w:color w:val="80808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rsid w:val="00BC36F6"/>
    <w:rPr>
      <w:sz w:val="20"/>
    </w:rPr>
  </w:style>
  <w:style w:type="paragraph" w:customStyle="1" w:styleId="BulletLastSS">
    <w:name w:val="Bullet (Last SS)"/>
    <w:basedOn w:val="Bullet"/>
    <w:next w:val="NormalSS"/>
    <w:qFormat/>
    <w:rsid w:val="00AE524A"/>
    <w:pPr>
      <w:numPr>
        <w:numId w:val="8"/>
      </w:numPr>
      <w:tabs>
        <w:tab w:val="clear" w:pos="360"/>
        <w:tab w:val="left" w:pos="432"/>
      </w:tabs>
      <w:spacing w:after="240"/>
      <w:ind w:right="0"/>
      <w:jc w:val="left"/>
    </w:pPr>
    <w:rPr>
      <w:szCs w:val="20"/>
    </w:rPr>
  </w:style>
  <w:style w:type="paragraph" w:customStyle="1" w:styleId="MarkforTableTitle">
    <w:name w:val="Mark for Table Title"/>
    <w:basedOn w:val="Normal"/>
    <w:next w:val="NormalSS"/>
    <w:qFormat/>
    <w:rsid w:val="00AE524A"/>
    <w:pPr>
      <w:keepNext/>
      <w:spacing w:after="60"/>
    </w:pPr>
    <w:rPr>
      <w:rFonts w:ascii="Arial Black" w:hAnsi="Arial Black"/>
      <w:sz w:val="22"/>
      <w:szCs w:val="20"/>
    </w:rPr>
  </w:style>
  <w:style w:type="paragraph" w:customStyle="1" w:styleId="TableSignificanceCaption">
    <w:name w:val="Table Significance_Caption"/>
    <w:basedOn w:val="TableFootnoteCaption"/>
    <w:qFormat/>
    <w:rsid w:val="00AE524A"/>
    <w:pPr>
      <w:tabs>
        <w:tab w:val="left" w:pos="1080"/>
      </w:tabs>
    </w:pPr>
    <w:rPr>
      <w:szCs w:val="20"/>
    </w:rPr>
  </w:style>
  <w:style w:type="table" w:customStyle="1" w:styleId="MPRBaseTable">
    <w:name w:val="MPR Base Table"/>
    <w:basedOn w:val="TableNormal"/>
    <w:uiPriority w:val="99"/>
    <w:rsid w:val="00AE524A"/>
    <w:pPr>
      <w:spacing w:line="360" w:lineRule="auto"/>
      <w:contextualSpacing/>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SS"/>
    <w:link w:val="H4NumberChar"/>
    <w:qFormat/>
    <w:rsid w:val="00607239"/>
    <w:pPr>
      <w:tabs>
        <w:tab w:val="left" w:pos="432"/>
      </w:tabs>
      <w:spacing w:after="120"/>
      <w:outlineLvl w:val="3"/>
    </w:pPr>
    <w:rPr>
      <w:szCs w:val="20"/>
    </w:rPr>
  </w:style>
  <w:style w:type="character" w:customStyle="1" w:styleId="H4NumberChar">
    <w:name w:val="H4_Number Char"/>
    <w:basedOn w:val="Heading3Char"/>
    <w:link w:val="H4Number"/>
    <w:rsid w:val="00607239"/>
    <w:rPr>
      <w:b/>
      <w:szCs w:val="20"/>
    </w:rPr>
  </w:style>
  <w:style w:type="character" w:customStyle="1" w:styleId="nlmarticle-title">
    <w:name w:val="nlm_article-title"/>
    <w:basedOn w:val="DefaultParagraphFont"/>
    <w:rsid w:val="0037770F"/>
  </w:style>
  <w:style w:type="character" w:styleId="FollowedHyperlink">
    <w:name w:val="FollowedHyperlink"/>
    <w:basedOn w:val="DefaultParagraphFont"/>
    <w:uiPriority w:val="99"/>
    <w:semiHidden/>
    <w:unhideWhenUsed/>
    <w:rsid w:val="00D06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9969">
      <w:bodyDiv w:val="1"/>
      <w:marLeft w:val="0"/>
      <w:marRight w:val="0"/>
      <w:marTop w:val="0"/>
      <w:marBottom w:val="0"/>
      <w:divBdr>
        <w:top w:val="none" w:sz="0" w:space="0" w:color="auto"/>
        <w:left w:val="none" w:sz="0" w:space="0" w:color="auto"/>
        <w:bottom w:val="none" w:sz="0" w:space="0" w:color="auto"/>
        <w:right w:val="none" w:sz="0" w:space="0" w:color="auto"/>
      </w:divBdr>
    </w:div>
    <w:div w:id="390540392">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027411492">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 w:id="21031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www.aypf.org/publications/The%20College%20Ladder/TheCollegeLadderlinkingsecondaryandpostsecondaryeducation.pdf"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journals.sagepub.com/doi/pdf/10.1177/2158244013503834" TargetMode="External"/><Relationship Id="rId42" Type="http://schemas.openxmlformats.org/officeDocument/2006/relationships/hyperlink" Target="https://ies.ed.gov/ncee/wwc/Docs/referenceresources/wwc_procedures_v3_0_standards_handbook.pdf"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files.eric.ed.gov/fulltext/ED459539.pdf" TargetMode="External"/><Relationship Id="rId38" Type="http://schemas.openxmlformats.org/officeDocument/2006/relationships/hyperlink" Target="http://www.mdrc.org/sites/default/files/full_45.pdf"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41" Type="http://schemas.openxmlformats.org/officeDocument/2006/relationships/hyperlink" Target="http://files.eric.ed.gov/fulltext/ED51178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yperlink" Target="https://www2.ed.gov/rschstat/eval/highered/talentsearch-outcomes/ts-report.pdf" TargetMode="External"/><Relationship Id="rId37" Type="http://schemas.openxmlformats.org/officeDocument/2006/relationships/hyperlink" Target="http://www.mdrc.org/sites/default/files/full_50.pdf" TargetMode="External"/><Relationship Id="rId40" Type="http://schemas.openxmlformats.org/officeDocument/2006/relationships/hyperlink" Target="https://www.mathematica-mpr.com/our-publications-and-findings/publications/using-state-tests-in-education-experiments-a-discussion-of-the-issues"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hyperlink" Target="https://www.brookings.edu/research/building-americas-job-skills-with-effective-workforce-programs-a-training-strategy-to-raise-wages-and-increase-work-opportunities/"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www.clasp.org/resources-and-publications/publication-1/CLASP-AQCP-Metrics-Feb-2013.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yperlink" Target="http://www.nber.org/papers/w23264" TargetMode="External"/><Relationship Id="rId35" Type="http://schemas.openxmlformats.org/officeDocument/2006/relationships/hyperlink" Target="http://www.attendanceworks.org/wordpress/wp-content/uploads/2014/09/Absenses-Add-Up_September-3rd-2014.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F8BC1-1E59-4B21-BC4C-FFE187AA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8737</Words>
  <Characters>49801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Harrington</dc:creator>
  <cp:lastModifiedBy>SYSTEM</cp:lastModifiedBy>
  <cp:revision>2</cp:revision>
  <dcterms:created xsi:type="dcterms:W3CDTF">2018-03-12T20:53:00Z</dcterms:created>
  <dcterms:modified xsi:type="dcterms:W3CDTF">2018-03-12T20:53:00Z</dcterms:modified>
</cp:coreProperties>
</file>