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BC" w:rsidRPr="008870F5" w:rsidRDefault="00D664BC" w:rsidP="00D35597">
      <w:pPr>
        <w:tabs>
          <w:tab w:val="left" w:pos="540"/>
        </w:tabs>
        <w:ind w:left="1094" w:hanging="547"/>
        <w:jc w:val="center"/>
        <w:rPr>
          <w:sz w:val="20"/>
          <w:szCs w:val="20"/>
        </w:rPr>
      </w:pPr>
      <w:bookmarkStart w:id="0" w:name="_GoBack"/>
      <w:bookmarkEnd w:id="0"/>
      <w:r w:rsidRPr="008870F5">
        <w:rPr>
          <w:rFonts w:ascii="Tahoma" w:hAnsi="Tahoma" w:cs="Tahoma"/>
          <w:b/>
          <w:bCs/>
          <w:iCs/>
          <w:sz w:val="22"/>
          <w:szCs w:val="22"/>
        </w:rPr>
        <w:t>PART B – JUSTIFICATION</w:t>
      </w:r>
    </w:p>
    <w:p w:rsidR="00D664BC" w:rsidRPr="008870F5" w:rsidRDefault="00D664BC" w:rsidP="00286751">
      <w:pPr>
        <w:rPr>
          <w:sz w:val="20"/>
          <w:szCs w:val="20"/>
        </w:rPr>
      </w:pPr>
    </w:p>
    <w:p w:rsidR="00D664BC" w:rsidRPr="007A4184" w:rsidRDefault="00D664BC" w:rsidP="007D2889">
      <w:pPr>
        <w:pStyle w:val="NoSpacing"/>
        <w:contextualSpacing/>
        <w:rPr>
          <w:rFonts w:ascii="Arial" w:hAnsi="Arial" w:cs="Arial"/>
          <w:b/>
          <w:sz w:val="20"/>
          <w:szCs w:val="20"/>
        </w:rPr>
      </w:pPr>
      <w:r w:rsidRPr="007A4184">
        <w:rPr>
          <w:rFonts w:ascii="Arial" w:hAnsi="Arial" w:cs="Arial"/>
          <w:b/>
          <w:sz w:val="20"/>
          <w:szCs w:val="20"/>
        </w:rPr>
        <w:t>1.  Describe (including a numerical estimate) the potential respondent universe and any sampling or other respondent selection methods to be used.</w:t>
      </w:r>
    </w:p>
    <w:p w:rsidR="00D664BC" w:rsidRPr="008870F5" w:rsidRDefault="00D664BC" w:rsidP="00286751">
      <w:pPr>
        <w:rPr>
          <w:sz w:val="20"/>
          <w:szCs w:val="20"/>
        </w:rPr>
      </w:pPr>
    </w:p>
    <w:p w:rsidR="00D664BC" w:rsidRPr="008870F5" w:rsidRDefault="00616172" w:rsidP="00286751">
      <w:pPr>
        <w:rPr>
          <w:sz w:val="20"/>
          <w:szCs w:val="20"/>
        </w:rPr>
      </w:pPr>
      <w:r w:rsidRPr="008870F5">
        <w:rPr>
          <w:sz w:val="20"/>
          <w:szCs w:val="20"/>
        </w:rPr>
        <w:t>The suite of burden surveys recognizes differences between taxpayers (individuals, corporations, partnerships, tax-exempt organizations</w:t>
      </w:r>
      <w:r>
        <w:rPr>
          <w:sz w:val="20"/>
          <w:szCs w:val="20"/>
        </w:rPr>
        <w:t>, trusts, estates, employers, and information document issuers</w:t>
      </w:r>
      <w:r w:rsidRPr="008870F5">
        <w:rPr>
          <w:sz w:val="20"/>
          <w:szCs w:val="20"/>
        </w:rPr>
        <w:t xml:space="preserve">). However, across all the surveys, the data are captured in an internally consistent manner (in terms of time and money). </w:t>
      </w:r>
      <w:r w:rsidR="00D664BC" w:rsidRPr="008870F5">
        <w:rPr>
          <w:sz w:val="20"/>
          <w:szCs w:val="20"/>
        </w:rPr>
        <w:t xml:space="preserve">Some populations </w:t>
      </w:r>
      <w:r w:rsidR="00167587">
        <w:rPr>
          <w:sz w:val="20"/>
          <w:szCs w:val="20"/>
        </w:rPr>
        <w:t>are</w:t>
      </w:r>
      <w:r w:rsidR="00D664BC" w:rsidRPr="008870F5">
        <w:rPr>
          <w:sz w:val="20"/>
          <w:szCs w:val="20"/>
        </w:rPr>
        <w:t xml:space="preserve"> explicitly excluded from the survey population. This includes minors, deceased taxpayers, and </w:t>
      </w:r>
      <w:r w:rsidR="00167587">
        <w:rPr>
          <w:sz w:val="20"/>
          <w:szCs w:val="20"/>
        </w:rPr>
        <w:t xml:space="preserve">in most circumstances, </w:t>
      </w:r>
      <w:r w:rsidR="00D664BC" w:rsidRPr="008870F5">
        <w:rPr>
          <w:sz w:val="20"/>
          <w:szCs w:val="20"/>
        </w:rPr>
        <w:t xml:space="preserve">taxpayers that have international addresses, including active duty military serving overseas.  </w:t>
      </w:r>
    </w:p>
    <w:p w:rsidR="00D664BC" w:rsidRPr="008870F5" w:rsidRDefault="00D664BC" w:rsidP="00286751">
      <w:pPr>
        <w:rPr>
          <w:sz w:val="20"/>
          <w:szCs w:val="20"/>
        </w:rPr>
      </w:pPr>
    </w:p>
    <w:p w:rsidR="00250C5E" w:rsidRDefault="00470138" w:rsidP="00250C5E">
      <w:pPr>
        <w:rPr>
          <w:sz w:val="20"/>
          <w:szCs w:val="20"/>
        </w:rPr>
      </w:pPr>
      <w:r>
        <w:rPr>
          <w:sz w:val="20"/>
          <w:szCs w:val="20"/>
        </w:rPr>
        <w:t xml:space="preserve">Tables 1 – 8 below show the most recent </w:t>
      </w:r>
      <w:r w:rsidR="00167587">
        <w:rPr>
          <w:sz w:val="20"/>
          <w:szCs w:val="20"/>
        </w:rPr>
        <w:t xml:space="preserve">respondent </w:t>
      </w:r>
      <w:r>
        <w:rPr>
          <w:sz w:val="20"/>
          <w:szCs w:val="20"/>
        </w:rPr>
        <w:t>universe (</w:t>
      </w:r>
      <w:r w:rsidR="00167587">
        <w:rPr>
          <w:sz w:val="20"/>
          <w:szCs w:val="20"/>
        </w:rPr>
        <w:t>population</w:t>
      </w:r>
      <w:r>
        <w:rPr>
          <w:sz w:val="20"/>
          <w:szCs w:val="20"/>
        </w:rPr>
        <w:t xml:space="preserve"> count), stratification plan, and sample allocations</w:t>
      </w:r>
      <w:r w:rsidR="00167587">
        <w:rPr>
          <w:sz w:val="20"/>
          <w:szCs w:val="20"/>
        </w:rPr>
        <w:t xml:space="preserve"> for </w:t>
      </w:r>
      <w:r>
        <w:rPr>
          <w:sz w:val="20"/>
          <w:szCs w:val="20"/>
        </w:rPr>
        <w:t xml:space="preserve">each survey. </w:t>
      </w:r>
      <w:r w:rsidR="00250C5E" w:rsidRPr="008870F5">
        <w:rPr>
          <w:sz w:val="20"/>
          <w:szCs w:val="20"/>
        </w:rPr>
        <w:t>When sub-populations vary considerably, it is advantageous to sample each subpopulation (stratum) independently. Stratification is the process of grouping members of the population into relatively homogeneous sub-groups before sampling.  The strata should be:</w:t>
      </w:r>
    </w:p>
    <w:p w:rsidR="00250C5E" w:rsidRPr="008870F5" w:rsidRDefault="00250C5E" w:rsidP="00250C5E">
      <w:pPr>
        <w:rPr>
          <w:sz w:val="20"/>
          <w:szCs w:val="20"/>
        </w:rPr>
      </w:pPr>
    </w:p>
    <w:p w:rsidR="00250C5E" w:rsidRPr="008870F5" w:rsidRDefault="00250C5E" w:rsidP="00250C5E">
      <w:pPr>
        <w:widowControl/>
        <w:numPr>
          <w:ilvl w:val="0"/>
          <w:numId w:val="6"/>
        </w:numPr>
        <w:tabs>
          <w:tab w:val="clear" w:pos="360"/>
          <w:tab w:val="num" w:pos="720"/>
        </w:tabs>
        <w:autoSpaceDE/>
        <w:autoSpaceDN/>
        <w:adjustRightInd/>
        <w:ind w:left="720"/>
        <w:rPr>
          <w:sz w:val="20"/>
          <w:szCs w:val="20"/>
        </w:rPr>
      </w:pPr>
      <w:r w:rsidRPr="008870F5">
        <w:rPr>
          <w:sz w:val="20"/>
          <w:szCs w:val="20"/>
        </w:rPr>
        <w:t xml:space="preserve">Mutually Exclusive. Members must be assigned to only one stratum, and </w:t>
      </w:r>
    </w:p>
    <w:p w:rsidR="00250C5E" w:rsidRDefault="00250C5E" w:rsidP="00250C5E">
      <w:pPr>
        <w:widowControl/>
        <w:numPr>
          <w:ilvl w:val="0"/>
          <w:numId w:val="6"/>
        </w:numPr>
        <w:tabs>
          <w:tab w:val="clear" w:pos="360"/>
          <w:tab w:val="num" w:pos="720"/>
        </w:tabs>
        <w:autoSpaceDE/>
        <w:autoSpaceDN/>
        <w:adjustRightInd/>
        <w:ind w:left="720"/>
        <w:rPr>
          <w:sz w:val="20"/>
          <w:szCs w:val="20"/>
        </w:rPr>
      </w:pPr>
      <w:r w:rsidRPr="008870F5">
        <w:rPr>
          <w:sz w:val="20"/>
          <w:szCs w:val="20"/>
        </w:rPr>
        <w:t xml:space="preserve">Collectively Exhaustive. No members can be excluded.  </w:t>
      </w:r>
    </w:p>
    <w:p w:rsidR="00D01379" w:rsidRPr="008870F5" w:rsidRDefault="00D01379" w:rsidP="00D01379">
      <w:pPr>
        <w:widowControl/>
        <w:autoSpaceDE/>
        <w:autoSpaceDN/>
        <w:adjustRightInd/>
        <w:ind w:left="720"/>
        <w:rPr>
          <w:sz w:val="20"/>
          <w:szCs w:val="20"/>
        </w:rPr>
      </w:pPr>
    </w:p>
    <w:p w:rsidR="00250C5E" w:rsidRDefault="00250C5E" w:rsidP="00250C5E">
      <w:pPr>
        <w:spacing w:line="180" w:lineRule="exact"/>
        <w:rPr>
          <w:sz w:val="20"/>
          <w:szCs w:val="20"/>
        </w:rPr>
      </w:pPr>
    </w:p>
    <w:p w:rsidR="005329CE" w:rsidRPr="00E2594C" w:rsidRDefault="005329CE" w:rsidP="005329CE">
      <w:pPr>
        <w:pStyle w:val="ListParagraph"/>
        <w:ind w:left="0"/>
        <w:rPr>
          <w:b/>
          <w:bCs/>
          <w:sz w:val="18"/>
          <w:szCs w:val="18"/>
        </w:rPr>
      </w:pPr>
      <w:r w:rsidRPr="00E2594C">
        <w:rPr>
          <w:b/>
          <w:bCs/>
          <w:sz w:val="18"/>
          <w:szCs w:val="18"/>
        </w:rPr>
        <w:t>Table 1 – Tax Year 2015 Individual Taxpayer Burden Survey</w:t>
      </w:r>
    </w:p>
    <w:tbl>
      <w:tblPr>
        <w:tblW w:w="7860" w:type="dxa"/>
        <w:tblInd w:w="108" w:type="dxa"/>
        <w:tblLook w:val="04A0" w:firstRow="1" w:lastRow="0" w:firstColumn="1" w:lastColumn="0" w:noHBand="0" w:noVBand="1"/>
      </w:tblPr>
      <w:tblGrid>
        <w:gridCol w:w="2560"/>
        <w:gridCol w:w="2180"/>
        <w:gridCol w:w="1540"/>
        <w:gridCol w:w="1580"/>
      </w:tblGrid>
      <w:tr w:rsidR="005329CE" w:rsidRPr="00E2594C" w:rsidTr="00E2594C">
        <w:trPr>
          <w:trHeight w:val="300"/>
        </w:trPr>
        <w:tc>
          <w:tcPr>
            <w:tcW w:w="4740" w:type="dxa"/>
            <w:gridSpan w:val="2"/>
            <w:tcBorders>
              <w:top w:val="single" w:sz="8" w:space="0" w:color="auto"/>
              <w:left w:val="single" w:sz="8" w:space="0" w:color="auto"/>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Strata</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580" w:type="dxa"/>
            <w:vMerge w:val="restart"/>
            <w:tcBorders>
              <w:top w:val="single" w:sz="8" w:space="0" w:color="auto"/>
              <w:left w:val="single" w:sz="4" w:space="0" w:color="auto"/>
              <w:bottom w:val="single" w:sz="8" w:space="0" w:color="000000"/>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5329CE" w:rsidRPr="00E2594C" w:rsidTr="00E2594C">
        <w:trPr>
          <w:trHeight w:val="250"/>
        </w:trPr>
        <w:tc>
          <w:tcPr>
            <w:tcW w:w="2560"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Preparation Method</w:t>
            </w:r>
          </w:p>
        </w:tc>
        <w:tc>
          <w:tcPr>
            <w:tcW w:w="218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Complexity</w:t>
            </w:r>
          </w:p>
        </w:tc>
        <w:tc>
          <w:tcPr>
            <w:tcW w:w="1540" w:type="dxa"/>
            <w:vMerge/>
            <w:tcBorders>
              <w:top w:val="single" w:sz="8" w:space="0" w:color="auto"/>
              <w:left w:val="single" w:sz="4" w:space="0" w:color="auto"/>
              <w:bottom w:val="single" w:sz="8" w:space="0" w:color="000000"/>
              <w:right w:val="single" w:sz="4" w:space="0" w:color="auto"/>
            </w:tcBorders>
            <w:tcMar>
              <w:left w:w="0" w:type="dxa"/>
              <w:right w:w="14" w:type="dxa"/>
            </w:tcMar>
            <w:vAlign w:val="center"/>
            <w:hideMark/>
          </w:tcPr>
          <w:p w:rsidR="005329CE" w:rsidRPr="00E2594C" w:rsidRDefault="005329CE" w:rsidP="00E2594C">
            <w:pPr>
              <w:widowControl/>
              <w:autoSpaceDE/>
              <w:autoSpaceDN/>
              <w:adjustRightInd/>
              <w:rPr>
                <w:sz w:val="18"/>
                <w:szCs w:val="18"/>
              </w:rPr>
            </w:pPr>
          </w:p>
        </w:tc>
        <w:tc>
          <w:tcPr>
            <w:tcW w:w="1580" w:type="dxa"/>
            <w:vMerge/>
            <w:tcBorders>
              <w:top w:val="single" w:sz="8" w:space="0" w:color="auto"/>
              <w:left w:val="single" w:sz="4" w:space="0" w:color="auto"/>
              <w:bottom w:val="single" w:sz="8" w:space="0" w:color="000000"/>
              <w:right w:val="single" w:sz="8" w:space="0" w:color="auto"/>
            </w:tcBorders>
            <w:tcMar>
              <w:left w:w="0" w:type="dxa"/>
              <w:right w:w="14" w:type="dxa"/>
            </w:tcMar>
            <w:vAlign w:val="center"/>
            <w:hideMark/>
          </w:tcPr>
          <w:p w:rsidR="005329CE" w:rsidRPr="00E2594C" w:rsidRDefault="005329CE" w:rsidP="00E2594C">
            <w:pPr>
              <w:widowControl/>
              <w:autoSpaceDE/>
              <w:autoSpaceDN/>
              <w:adjustRightInd/>
              <w:rPr>
                <w:sz w:val="18"/>
                <w:szCs w:val="18"/>
              </w:rPr>
            </w:pP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9,758,524</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1,109</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22,015,186</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2,191</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15,372,213</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1,956</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Medium-High - Simpler</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6,496,505</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773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Medium-High - Moderate</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4,455,117</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633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Medium-High - Difficult</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5,235,768</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1,243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High-Simpler</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4,333,619</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662</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High-Moderate</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2,500,073</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651</w:t>
            </w:r>
          </w:p>
        </w:tc>
      </w:tr>
      <w:tr w:rsidR="005329CE" w:rsidRPr="00E2594C" w:rsidTr="00470138">
        <w:trPr>
          <w:trHeight w:val="187"/>
        </w:trPr>
        <w:tc>
          <w:tcPr>
            <w:tcW w:w="2560"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Used a Paid Professional</w:t>
            </w:r>
          </w:p>
        </w:tc>
        <w:tc>
          <w:tcPr>
            <w:tcW w:w="218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High-Difficult</w:t>
            </w:r>
          </w:p>
        </w:tc>
        <w:tc>
          <w:tcPr>
            <w:tcW w:w="154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4,446,633</w:t>
            </w:r>
          </w:p>
        </w:tc>
        <w:tc>
          <w:tcPr>
            <w:tcW w:w="1580" w:type="dxa"/>
            <w:tcBorders>
              <w:top w:val="nil"/>
              <w:left w:val="nil"/>
              <w:bottom w:val="single" w:sz="8"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1,818</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Hand</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1,277,493</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763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Hand</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1,581,900</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423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Hand</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932,670</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422</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Hand</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Medium-High</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525,801</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395</w:t>
            </w:r>
          </w:p>
        </w:tc>
      </w:tr>
      <w:tr w:rsidR="005329CE" w:rsidRPr="00E2594C" w:rsidTr="00470138">
        <w:trPr>
          <w:trHeight w:val="187"/>
        </w:trPr>
        <w:tc>
          <w:tcPr>
            <w:tcW w:w="2560"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Hand</w:t>
            </w:r>
          </w:p>
        </w:tc>
        <w:tc>
          <w:tcPr>
            <w:tcW w:w="218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High</w:t>
            </w:r>
          </w:p>
        </w:tc>
        <w:tc>
          <w:tcPr>
            <w:tcW w:w="154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201,726</w:t>
            </w:r>
          </w:p>
        </w:tc>
        <w:tc>
          <w:tcPr>
            <w:tcW w:w="1580" w:type="dxa"/>
            <w:tcBorders>
              <w:top w:val="nil"/>
              <w:left w:val="nil"/>
              <w:bottom w:val="single" w:sz="8"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403</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Software</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13,352,100</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1,009</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Software</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Medium-Low</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21,713,432</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2,001</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Software</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11,570,065</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1,520</w:t>
            </w:r>
          </w:p>
        </w:tc>
      </w:tr>
      <w:tr w:rsidR="005329CE" w:rsidRPr="00E2594C" w:rsidTr="00470138">
        <w:trPr>
          <w:trHeight w:val="187"/>
        </w:trPr>
        <w:tc>
          <w:tcPr>
            <w:tcW w:w="2560" w:type="dxa"/>
            <w:tcBorders>
              <w:top w:val="nil"/>
              <w:left w:val="single" w:sz="8" w:space="0" w:color="auto"/>
              <w:bottom w:val="single" w:sz="4"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Software</w:t>
            </w:r>
          </w:p>
        </w:tc>
        <w:tc>
          <w:tcPr>
            <w:tcW w:w="218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Medium-High</w:t>
            </w:r>
          </w:p>
        </w:tc>
        <w:tc>
          <w:tcPr>
            <w:tcW w:w="1540" w:type="dxa"/>
            <w:tcBorders>
              <w:top w:val="nil"/>
              <w:left w:val="nil"/>
              <w:bottom w:val="single" w:sz="4"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7,571,992</w:t>
            </w:r>
          </w:p>
        </w:tc>
        <w:tc>
          <w:tcPr>
            <w:tcW w:w="1580" w:type="dxa"/>
            <w:tcBorders>
              <w:top w:val="nil"/>
              <w:left w:val="nil"/>
              <w:bottom w:val="single" w:sz="4"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1,065</w:t>
            </w:r>
          </w:p>
        </w:tc>
      </w:tr>
      <w:tr w:rsidR="005329CE" w:rsidRPr="00E2594C" w:rsidTr="00470138">
        <w:trPr>
          <w:trHeight w:val="187"/>
        </w:trPr>
        <w:tc>
          <w:tcPr>
            <w:tcW w:w="2560"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5329CE" w:rsidRPr="00E2594C" w:rsidRDefault="00034131" w:rsidP="00E2594C">
            <w:pPr>
              <w:widowControl/>
              <w:autoSpaceDE/>
              <w:autoSpaceDN/>
              <w:adjustRightInd/>
              <w:jc w:val="center"/>
              <w:rPr>
                <w:color w:val="000000"/>
                <w:sz w:val="18"/>
                <w:szCs w:val="18"/>
              </w:rPr>
            </w:pPr>
            <w:r w:rsidRPr="00E2594C">
              <w:rPr>
                <w:color w:val="000000"/>
                <w:sz w:val="18"/>
                <w:szCs w:val="18"/>
              </w:rPr>
              <w:t>Self-Prepared</w:t>
            </w:r>
            <w:r w:rsidR="005329CE" w:rsidRPr="00E2594C">
              <w:rPr>
                <w:color w:val="000000"/>
                <w:sz w:val="18"/>
                <w:szCs w:val="18"/>
              </w:rPr>
              <w:t xml:space="preserve"> by Software</w:t>
            </w:r>
          </w:p>
        </w:tc>
        <w:tc>
          <w:tcPr>
            <w:tcW w:w="218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High</w:t>
            </w:r>
          </w:p>
        </w:tc>
        <w:tc>
          <w:tcPr>
            <w:tcW w:w="154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1,681,784</w:t>
            </w:r>
          </w:p>
        </w:tc>
        <w:tc>
          <w:tcPr>
            <w:tcW w:w="1580" w:type="dxa"/>
            <w:tcBorders>
              <w:top w:val="nil"/>
              <w:left w:val="nil"/>
              <w:bottom w:val="single" w:sz="8"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474</w:t>
            </w:r>
          </w:p>
        </w:tc>
      </w:tr>
      <w:tr w:rsidR="005329CE" w:rsidRPr="00E2594C" w:rsidTr="00470138">
        <w:trPr>
          <w:trHeight w:val="187"/>
        </w:trPr>
        <w:tc>
          <w:tcPr>
            <w:tcW w:w="2560" w:type="dxa"/>
            <w:tcBorders>
              <w:top w:val="nil"/>
              <w:left w:val="single" w:sz="8" w:space="0" w:color="auto"/>
              <w:bottom w:val="single" w:sz="8" w:space="0" w:color="auto"/>
              <w:right w:val="single" w:sz="4"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VITA Prepared</w:t>
            </w:r>
          </w:p>
        </w:tc>
        <w:tc>
          <w:tcPr>
            <w:tcW w:w="218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1540" w:type="dxa"/>
            <w:tcBorders>
              <w:top w:val="nil"/>
              <w:left w:val="nil"/>
              <w:bottom w:val="single" w:sz="8" w:space="0" w:color="auto"/>
              <w:right w:val="single" w:sz="4"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3,421,941</w:t>
            </w:r>
          </w:p>
        </w:tc>
        <w:tc>
          <w:tcPr>
            <w:tcW w:w="1580" w:type="dxa"/>
            <w:tcBorders>
              <w:top w:val="nil"/>
              <w:left w:val="nil"/>
              <w:bottom w:val="single" w:sz="8" w:space="0" w:color="auto"/>
              <w:right w:val="single" w:sz="8" w:space="0" w:color="auto"/>
            </w:tcBorders>
            <w:shd w:val="clear" w:color="auto" w:fill="auto"/>
            <w:tcMar>
              <w:left w:w="0" w:type="dxa"/>
              <w:right w:w="14" w:type="dxa"/>
            </w:tcMar>
            <w:vAlign w:val="center"/>
            <w:hideMark/>
          </w:tcPr>
          <w:p w:rsidR="005329CE" w:rsidRPr="00E2594C" w:rsidRDefault="005329CE" w:rsidP="00E2594C">
            <w:pPr>
              <w:widowControl/>
              <w:autoSpaceDE/>
              <w:autoSpaceDN/>
              <w:adjustRightInd/>
              <w:jc w:val="right"/>
              <w:rPr>
                <w:sz w:val="18"/>
                <w:szCs w:val="18"/>
              </w:rPr>
            </w:pPr>
            <w:r w:rsidRPr="00E2594C">
              <w:rPr>
                <w:sz w:val="18"/>
                <w:szCs w:val="18"/>
              </w:rPr>
              <w:t>489</w:t>
            </w:r>
          </w:p>
        </w:tc>
      </w:tr>
      <w:tr w:rsidR="005329CE" w:rsidRPr="00E2594C" w:rsidTr="00E2594C">
        <w:trPr>
          <w:trHeight w:val="315"/>
        </w:trPr>
        <w:tc>
          <w:tcPr>
            <w:tcW w:w="2560" w:type="dxa"/>
            <w:tcBorders>
              <w:top w:val="nil"/>
              <w:left w:val="nil"/>
              <w:bottom w:val="nil"/>
              <w:right w:val="nil"/>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right"/>
              <w:rPr>
                <w:sz w:val="18"/>
                <w:szCs w:val="18"/>
              </w:rPr>
            </w:pPr>
          </w:p>
        </w:tc>
        <w:tc>
          <w:tcPr>
            <w:tcW w:w="2180" w:type="dxa"/>
            <w:tcBorders>
              <w:top w:val="nil"/>
              <w:left w:val="nil"/>
              <w:bottom w:val="nil"/>
              <w:right w:val="nil"/>
            </w:tcBorders>
            <w:shd w:val="clear" w:color="auto" w:fill="auto"/>
            <w:noWrap/>
            <w:tcMar>
              <w:left w:w="0" w:type="dxa"/>
              <w:right w:w="14" w:type="dxa"/>
            </w:tcMar>
            <w:vAlign w:val="bottom"/>
            <w:hideMark/>
          </w:tcPr>
          <w:p w:rsidR="005329CE" w:rsidRPr="00E2594C" w:rsidRDefault="005329CE" w:rsidP="00E2594C">
            <w:pPr>
              <w:widowControl/>
              <w:autoSpaceDE/>
              <w:autoSpaceDN/>
              <w:adjustRightInd/>
              <w:rPr>
                <w:sz w:val="18"/>
                <w:szCs w:val="18"/>
              </w:rPr>
            </w:pPr>
          </w:p>
        </w:tc>
        <w:tc>
          <w:tcPr>
            <w:tcW w:w="1540" w:type="dxa"/>
            <w:tcBorders>
              <w:top w:val="nil"/>
              <w:left w:val="nil"/>
              <w:bottom w:val="nil"/>
              <w:right w:val="nil"/>
            </w:tcBorders>
            <w:shd w:val="clear" w:color="auto" w:fill="auto"/>
            <w:noWrap/>
            <w:tcMar>
              <w:left w:w="0" w:type="dxa"/>
              <w:right w:w="14" w:type="dxa"/>
            </w:tcMar>
            <w:vAlign w:val="bottom"/>
            <w:hideMark/>
          </w:tcPr>
          <w:p w:rsidR="005329CE" w:rsidRPr="00E2594C" w:rsidRDefault="005329CE" w:rsidP="00E2594C">
            <w:pPr>
              <w:widowControl/>
              <w:autoSpaceDE/>
              <w:autoSpaceDN/>
              <w:adjustRightInd/>
              <w:rPr>
                <w:sz w:val="18"/>
                <w:szCs w:val="18"/>
              </w:rPr>
            </w:pPr>
          </w:p>
        </w:tc>
        <w:tc>
          <w:tcPr>
            <w:tcW w:w="1580" w:type="dxa"/>
            <w:tcBorders>
              <w:top w:val="nil"/>
              <w:left w:val="single" w:sz="8" w:space="0" w:color="auto"/>
              <w:bottom w:val="single" w:sz="8" w:space="0" w:color="auto"/>
              <w:right w:val="single" w:sz="8" w:space="0" w:color="auto"/>
            </w:tcBorders>
            <w:shd w:val="clear" w:color="auto" w:fill="auto"/>
            <w:noWrap/>
            <w:tcMar>
              <w:left w:w="0" w:type="dxa"/>
              <w:right w:w="14" w:type="dxa"/>
            </w:tcMar>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20,000</w:t>
            </w:r>
          </w:p>
        </w:tc>
      </w:tr>
    </w:tbl>
    <w:p w:rsidR="005329CE" w:rsidRDefault="005329CE" w:rsidP="005329CE">
      <w:pPr>
        <w:pStyle w:val="ListParagraph"/>
        <w:ind w:left="0"/>
        <w:rPr>
          <w:b/>
          <w:bCs/>
          <w:sz w:val="18"/>
          <w:szCs w:val="18"/>
        </w:rPr>
      </w:pPr>
    </w:p>
    <w:p w:rsidR="00ED0BAF" w:rsidRDefault="00ED0BAF" w:rsidP="005329CE">
      <w:pPr>
        <w:pStyle w:val="ListParagraph"/>
        <w:ind w:left="0"/>
        <w:rPr>
          <w:b/>
          <w:bCs/>
          <w:sz w:val="18"/>
          <w:szCs w:val="18"/>
        </w:rPr>
      </w:pPr>
    </w:p>
    <w:p w:rsidR="00ED0BAF" w:rsidRDefault="00ED0BAF" w:rsidP="005329CE">
      <w:pPr>
        <w:pStyle w:val="ListParagraph"/>
        <w:ind w:left="0"/>
        <w:rPr>
          <w:b/>
          <w:bCs/>
          <w:sz w:val="18"/>
          <w:szCs w:val="18"/>
        </w:rPr>
      </w:pPr>
    </w:p>
    <w:p w:rsidR="00ED0BAF" w:rsidRDefault="00ED0BAF" w:rsidP="005329CE">
      <w:pPr>
        <w:pStyle w:val="ListParagraph"/>
        <w:widowControl w:val="0"/>
        <w:autoSpaceDE w:val="0"/>
        <w:autoSpaceDN w:val="0"/>
        <w:adjustRightInd w:val="0"/>
        <w:ind w:left="0"/>
        <w:rPr>
          <w:b/>
          <w:bCs/>
          <w:sz w:val="18"/>
          <w:szCs w:val="18"/>
        </w:rPr>
      </w:pPr>
    </w:p>
    <w:p w:rsidR="00ED0BAF" w:rsidRDefault="00ED0BAF" w:rsidP="005329CE">
      <w:pPr>
        <w:pStyle w:val="ListParagraph"/>
        <w:widowControl w:val="0"/>
        <w:autoSpaceDE w:val="0"/>
        <w:autoSpaceDN w:val="0"/>
        <w:adjustRightInd w:val="0"/>
        <w:ind w:left="0"/>
        <w:rPr>
          <w:b/>
          <w:bCs/>
          <w:sz w:val="18"/>
          <w:szCs w:val="18"/>
        </w:rPr>
      </w:pPr>
    </w:p>
    <w:p w:rsidR="005329CE" w:rsidRPr="00E2594C" w:rsidRDefault="00F95E5D" w:rsidP="005329CE">
      <w:pPr>
        <w:pStyle w:val="ListParagraph"/>
        <w:widowControl w:val="0"/>
        <w:autoSpaceDE w:val="0"/>
        <w:autoSpaceDN w:val="0"/>
        <w:adjustRightInd w:val="0"/>
        <w:ind w:left="0"/>
        <w:rPr>
          <w:b/>
          <w:bCs/>
          <w:sz w:val="18"/>
          <w:szCs w:val="18"/>
        </w:rPr>
      </w:pPr>
      <w:r>
        <w:rPr>
          <w:b/>
          <w:bCs/>
          <w:sz w:val="18"/>
          <w:szCs w:val="18"/>
        </w:rPr>
        <w:br w:type="page"/>
      </w:r>
      <w:r w:rsidR="00470138">
        <w:rPr>
          <w:b/>
          <w:bCs/>
          <w:sz w:val="18"/>
          <w:szCs w:val="18"/>
        </w:rPr>
        <w:lastRenderedPageBreak/>
        <w:t>T</w:t>
      </w:r>
      <w:r w:rsidR="005329CE" w:rsidRPr="00E2594C">
        <w:rPr>
          <w:b/>
          <w:bCs/>
          <w:sz w:val="18"/>
          <w:szCs w:val="18"/>
        </w:rPr>
        <w:t>able 2 –  Calendar Year 2014 Taxpayer Compliance Burden Survey</w:t>
      </w:r>
    </w:p>
    <w:tbl>
      <w:tblPr>
        <w:tblW w:w="8275" w:type="dxa"/>
        <w:tblInd w:w="113" w:type="dxa"/>
        <w:tblLook w:val="04A0" w:firstRow="1" w:lastRow="0" w:firstColumn="1" w:lastColumn="0" w:noHBand="0" w:noVBand="1"/>
      </w:tblPr>
      <w:tblGrid>
        <w:gridCol w:w="1525"/>
        <w:gridCol w:w="2430"/>
        <w:gridCol w:w="2070"/>
        <w:gridCol w:w="1170"/>
        <w:gridCol w:w="1080"/>
      </w:tblGrid>
      <w:tr w:rsidR="005329CE" w:rsidRPr="00E2594C" w:rsidTr="00FD69E8">
        <w:tc>
          <w:tcPr>
            <w:tcW w:w="60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Strata</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b/>
                <w:bCs/>
                <w:color w:val="000000"/>
                <w:sz w:val="18"/>
                <w:szCs w:val="18"/>
              </w:rPr>
            </w:pPr>
            <w:r w:rsidRPr="00E2594C">
              <w:rPr>
                <w:b/>
                <w:bCs/>
                <w:color w:val="000000"/>
                <w:sz w:val="18"/>
                <w:szCs w:val="18"/>
              </w:rPr>
              <w:t>Post Filing Issue Complexity</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b/>
                <w:bCs/>
                <w:color w:val="000000"/>
                <w:sz w:val="18"/>
                <w:szCs w:val="18"/>
              </w:rPr>
            </w:pPr>
            <w:r w:rsidRPr="00E2594C">
              <w:rPr>
                <w:b/>
                <w:bCs/>
                <w:color w:val="000000"/>
                <w:sz w:val="18"/>
                <w:szCs w:val="18"/>
              </w:rPr>
              <w:t>Return Complexity</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b/>
                <w:bCs/>
                <w:color w:val="000000"/>
                <w:sz w:val="18"/>
                <w:szCs w:val="18"/>
              </w:rPr>
            </w:pPr>
            <w:r w:rsidRPr="00E2594C">
              <w:rPr>
                <w:b/>
                <w:bCs/>
                <w:color w:val="000000"/>
                <w:sz w:val="18"/>
                <w:szCs w:val="18"/>
              </w:rPr>
              <w:t>Preparation Method</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Appeal</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 xml:space="preserve">Other than High </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Other than 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2,552</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 xml:space="preserve">Other than High </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Other than 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4,548</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Appeal</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8,294</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Medium</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 xml:space="preserve">Other than High </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Other than 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10,168</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17,175</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23,015</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27,091</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32,183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65,083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74,933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90,776</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Medium</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92,153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132,179</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High</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193,443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257,990</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308,263</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Unassisted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386,219</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472,121</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1,459,608</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2,055,678</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Low</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2,361,685</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 - Low</w:t>
            </w:r>
          </w:p>
        </w:tc>
        <w:tc>
          <w:tcPr>
            <w:tcW w:w="243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High</w:t>
            </w:r>
          </w:p>
        </w:tc>
        <w:tc>
          <w:tcPr>
            <w:tcW w:w="20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Assisted</w:t>
            </w:r>
          </w:p>
        </w:tc>
        <w:tc>
          <w:tcPr>
            <w:tcW w:w="117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4,037,175</w:t>
            </w:r>
          </w:p>
        </w:tc>
        <w:tc>
          <w:tcPr>
            <w:tcW w:w="1080" w:type="dxa"/>
            <w:tcBorders>
              <w:top w:val="nil"/>
              <w:left w:val="nil"/>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591</w:t>
            </w:r>
          </w:p>
        </w:tc>
      </w:tr>
      <w:tr w:rsidR="005329CE" w:rsidRPr="00E2594C" w:rsidTr="00FD69E8">
        <w:tc>
          <w:tcPr>
            <w:tcW w:w="1525"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p>
        </w:tc>
        <w:tc>
          <w:tcPr>
            <w:tcW w:w="243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207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13002</w:t>
            </w:r>
          </w:p>
        </w:tc>
      </w:tr>
    </w:tbl>
    <w:p w:rsidR="00F54262" w:rsidRPr="00E2594C" w:rsidRDefault="00F54262" w:rsidP="00950FBE">
      <w:pPr>
        <w:pStyle w:val="ListParagraph"/>
        <w:widowControl w:val="0"/>
        <w:autoSpaceDE w:val="0"/>
        <w:autoSpaceDN w:val="0"/>
        <w:adjustRightInd w:val="0"/>
        <w:ind w:left="0"/>
        <w:rPr>
          <w:b/>
          <w:bCs/>
          <w:sz w:val="18"/>
          <w:szCs w:val="18"/>
        </w:rPr>
      </w:pPr>
    </w:p>
    <w:p w:rsidR="00950FBE" w:rsidRPr="00E2594C" w:rsidRDefault="00950FBE" w:rsidP="00950FBE">
      <w:pPr>
        <w:pStyle w:val="ListParagraph"/>
        <w:widowControl w:val="0"/>
        <w:autoSpaceDE w:val="0"/>
        <w:autoSpaceDN w:val="0"/>
        <w:adjustRightInd w:val="0"/>
        <w:ind w:left="0"/>
        <w:rPr>
          <w:b/>
          <w:bCs/>
          <w:sz w:val="18"/>
          <w:szCs w:val="18"/>
        </w:rPr>
      </w:pPr>
      <w:r w:rsidRPr="00E2594C">
        <w:rPr>
          <w:b/>
          <w:bCs/>
          <w:sz w:val="18"/>
          <w:szCs w:val="18"/>
        </w:rPr>
        <w:t xml:space="preserve">Table </w:t>
      </w:r>
      <w:r>
        <w:rPr>
          <w:b/>
          <w:bCs/>
          <w:sz w:val="18"/>
          <w:szCs w:val="18"/>
        </w:rPr>
        <w:t>3</w:t>
      </w:r>
      <w:r w:rsidRPr="00E2594C">
        <w:rPr>
          <w:b/>
          <w:bCs/>
          <w:sz w:val="18"/>
          <w:szCs w:val="18"/>
        </w:rPr>
        <w:t xml:space="preserve"> – Tax Year 2014 Information Return Burden Survey</w:t>
      </w:r>
    </w:p>
    <w:tbl>
      <w:tblPr>
        <w:tblW w:w="9720" w:type="dxa"/>
        <w:tblInd w:w="108" w:type="dxa"/>
        <w:tblLook w:val="04A0" w:firstRow="1" w:lastRow="0" w:firstColumn="1" w:lastColumn="0" w:noHBand="0" w:noVBand="1"/>
      </w:tblPr>
      <w:tblGrid>
        <w:gridCol w:w="4140"/>
        <w:gridCol w:w="1710"/>
        <w:gridCol w:w="1890"/>
        <w:gridCol w:w="1006"/>
        <w:gridCol w:w="976"/>
      </w:tblGrid>
      <w:tr w:rsidR="00950FBE" w:rsidRPr="00E2594C" w:rsidTr="00EA5B09">
        <w:tc>
          <w:tcPr>
            <w:tcW w:w="7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FBE" w:rsidRPr="00E2594C" w:rsidRDefault="00950FBE" w:rsidP="00566078">
            <w:pPr>
              <w:widowControl/>
              <w:autoSpaceDE/>
              <w:autoSpaceDN/>
              <w:adjustRightInd/>
              <w:jc w:val="center"/>
              <w:rPr>
                <w:color w:val="000000"/>
                <w:sz w:val="18"/>
                <w:szCs w:val="18"/>
              </w:rPr>
            </w:pPr>
            <w:r w:rsidRPr="00E2594C">
              <w:rPr>
                <w:color w:val="000000"/>
                <w:sz w:val="18"/>
                <w:szCs w:val="18"/>
              </w:rPr>
              <w:t>Strata</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FBE" w:rsidRPr="00E2594C" w:rsidRDefault="00950FBE" w:rsidP="00566078">
            <w:pPr>
              <w:widowControl/>
              <w:autoSpaceDE/>
              <w:autoSpaceDN/>
              <w:adjustRightInd/>
              <w:jc w:val="center"/>
              <w:rPr>
                <w:sz w:val="18"/>
                <w:szCs w:val="18"/>
              </w:rPr>
            </w:pPr>
            <w:r w:rsidRPr="00E2594C">
              <w:rPr>
                <w:sz w:val="18"/>
                <w:szCs w:val="18"/>
              </w:rPr>
              <w:t>Population Count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FBE" w:rsidRPr="00E2594C" w:rsidRDefault="00950FBE" w:rsidP="00566078">
            <w:pPr>
              <w:widowControl/>
              <w:autoSpaceDE/>
              <w:autoSpaceDN/>
              <w:adjustRightInd/>
              <w:jc w:val="center"/>
              <w:rPr>
                <w:sz w:val="18"/>
                <w:szCs w:val="18"/>
              </w:rPr>
            </w:pPr>
            <w:r w:rsidRPr="00E2594C">
              <w:rPr>
                <w:sz w:val="18"/>
                <w:szCs w:val="18"/>
              </w:rPr>
              <w:t>Sample Allocation</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Forms</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Clients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Types</w:t>
            </w:r>
          </w:p>
        </w:tc>
        <w:tc>
          <w:tcPr>
            <w:tcW w:w="1006" w:type="dxa"/>
            <w:tcBorders>
              <w:top w:val="single" w:sz="4" w:space="0" w:color="auto"/>
              <w:left w:val="single" w:sz="4" w:space="0" w:color="auto"/>
              <w:bottom w:val="single" w:sz="4" w:space="0" w:color="auto"/>
              <w:right w:val="single" w:sz="4" w:space="0" w:color="auto"/>
            </w:tcBorders>
            <w:vAlign w:val="center"/>
            <w:hideMark/>
          </w:tcPr>
          <w:p w:rsidR="00950FBE" w:rsidRPr="00E2594C" w:rsidRDefault="00950FBE" w:rsidP="00566078">
            <w:pPr>
              <w:widowControl/>
              <w:autoSpaceDE/>
              <w:autoSpaceDN/>
              <w:adjustRightInd/>
              <w:rPr>
                <w:sz w:val="18"/>
                <w:szCs w:val="18"/>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950FBE" w:rsidRPr="00E2594C" w:rsidRDefault="00950FBE" w:rsidP="00566078">
            <w:pPr>
              <w:widowControl/>
              <w:autoSpaceDE/>
              <w:autoSpaceDN/>
              <w:adjustRightInd/>
              <w:rPr>
                <w:sz w:val="18"/>
                <w:szCs w:val="18"/>
              </w:rPr>
            </w:pP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 Rent and Nonemployee Comp</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697,013</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750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 Rent only</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247,676</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300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 Nonemployee Comp only</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3,269,130</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2,850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 Not Rent and Nonemployee Comp</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161,198</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300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1098</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56,694</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1099-INT</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85,536</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1099-R</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49,662</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1099-DIV</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23,409</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1098-T</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18,261</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1099-S</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11,962</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250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1042-S</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8,844</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800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1099-B</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1,225</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600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1099-C</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1,595</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1099-K</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471</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250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5498</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172</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172</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No Interest, No Dividends</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74,885</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No Interest, With Dividends</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28,955</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 With Interest</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191,562</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No Form 1099-MISC, No Interest</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4,545</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No Form 1099-MISC, With Interest, With Sch B</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5,477</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No 1099-MISC, With Interest, No Sch B</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500 or Less</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9,069</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400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More than 500</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6,914</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No Form 1099-MISC</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More than 500</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1 Type</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1,692</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Form 1099-MISC</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More than 500</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9,613</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1,000</w:t>
            </w:r>
          </w:p>
        </w:tc>
      </w:tr>
      <w:tr w:rsidR="00950FBE" w:rsidRPr="00E2594C" w:rsidTr="00EA5B09">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No Form 1099-MISC</w:t>
            </w:r>
          </w:p>
        </w:tc>
        <w:tc>
          <w:tcPr>
            <w:tcW w:w="171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More than 500</w:t>
            </w:r>
          </w:p>
        </w:tc>
        <w:tc>
          <w:tcPr>
            <w:tcW w:w="1890"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rPr>
                <w:color w:val="000000"/>
                <w:sz w:val="18"/>
                <w:szCs w:val="18"/>
              </w:rPr>
            </w:pPr>
            <w:r w:rsidRPr="00E2594C">
              <w:rPr>
                <w:color w:val="000000"/>
                <w:sz w:val="18"/>
                <w:szCs w:val="18"/>
              </w:rPr>
              <w:t>Filed 2 or More Types</w:t>
            </w:r>
          </w:p>
        </w:tc>
        <w:tc>
          <w:tcPr>
            <w:tcW w:w="1006"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3,289</w:t>
            </w:r>
          </w:p>
        </w:tc>
        <w:tc>
          <w:tcPr>
            <w:tcW w:w="974" w:type="dxa"/>
            <w:tcBorders>
              <w:top w:val="nil"/>
              <w:left w:val="nil"/>
              <w:bottom w:val="single" w:sz="4" w:space="0" w:color="auto"/>
              <w:right w:val="single" w:sz="4" w:space="0" w:color="auto"/>
            </w:tcBorders>
            <w:shd w:val="clear" w:color="auto" w:fill="auto"/>
            <w:noWrap/>
            <w:vAlign w:val="center"/>
            <w:hideMark/>
          </w:tcPr>
          <w:p w:rsidR="00950FBE" w:rsidRPr="00E2594C" w:rsidRDefault="00950FBE" w:rsidP="00566078">
            <w:pPr>
              <w:widowControl/>
              <w:autoSpaceDE/>
              <w:autoSpaceDN/>
              <w:adjustRightInd/>
              <w:jc w:val="right"/>
              <w:rPr>
                <w:color w:val="000000"/>
                <w:sz w:val="18"/>
                <w:szCs w:val="18"/>
              </w:rPr>
            </w:pPr>
            <w:r w:rsidRPr="00E2594C">
              <w:rPr>
                <w:color w:val="000000"/>
                <w:sz w:val="18"/>
                <w:szCs w:val="18"/>
              </w:rPr>
              <w:t>500</w:t>
            </w:r>
          </w:p>
        </w:tc>
      </w:tr>
      <w:tr w:rsidR="008944A9" w:rsidRPr="00E2594C" w:rsidTr="00EA5B09">
        <w:tc>
          <w:tcPr>
            <w:tcW w:w="4140" w:type="dxa"/>
            <w:tcBorders>
              <w:top w:val="nil"/>
              <w:left w:val="nil"/>
              <w:bottom w:val="nil"/>
              <w:right w:val="nil"/>
            </w:tcBorders>
            <w:shd w:val="clear" w:color="auto" w:fill="auto"/>
            <w:noWrap/>
            <w:vAlign w:val="bottom"/>
            <w:hideMark/>
          </w:tcPr>
          <w:p w:rsidR="008944A9" w:rsidRPr="00E2594C" w:rsidRDefault="008944A9" w:rsidP="00566078">
            <w:pPr>
              <w:widowControl/>
              <w:autoSpaceDE/>
              <w:autoSpaceDN/>
              <w:adjustRightInd/>
              <w:rPr>
                <w:color w:val="000000"/>
                <w:sz w:val="18"/>
                <w:szCs w:val="18"/>
              </w:rPr>
            </w:pPr>
          </w:p>
        </w:tc>
        <w:tc>
          <w:tcPr>
            <w:tcW w:w="1710" w:type="dxa"/>
            <w:tcBorders>
              <w:top w:val="nil"/>
              <w:left w:val="nil"/>
              <w:bottom w:val="nil"/>
              <w:right w:val="nil"/>
            </w:tcBorders>
            <w:shd w:val="clear" w:color="auto" w:fill="auto"/>
            <w:noWrap/>
            <w:vAlign w:val="bottom"/>
            <w:hideMark/>
          </w:tcPr>
          <w:p w:rsidR="008944A9" w:rsidRPr="00E2594C" w:rsidRDefault="008944A9" w:rsidP="00566078">
            <w:pPr>
              <w:widowControl/>
              <w:autoSpaceDE/>
              <w:autoSpaceDN/>
              <w:adjustRightInd/>
              <w:rPr>
                <w:sz w:val="18"/>
                <w:szCs w:val="18"/>
              </w:rPr>
            </w:pPr>
          </w:p>
        </w:tc>
        <w:tc>
          <w:tcPr>
            <w:tcW w:w="1890" w:type="dxa"/>
            <w:tcBorders>
              <w:top w:val="nil"/>
              <w:left w:val="nil"/>
              <w:bottom w:val="nil"/>
              <w:right w:val="nil"/>
            </w:tcBorders>
            <w:shd w:val="clear" w:color="auto" w:fill="auto"/>
            <w:noWrap/>
            <w:vAlign w:val="bottom"/>
            <w:hideMark/>
          </w:tcPr>
          <w:p w:rsidR="008944A9" w:rsidRPr="00E2594C" w:rsidRDefault="008944A9" w:rsidP="00566078">
            <w:pPr>
              <w:widowControl/>
              <w:autoSpaceDE/>
              <w:autoSpaceDN/>
              <w:adjustRightInd/>
              <w:rPr>
                <w:sz w:val="18"/>
                <w:szCs w:val="18"/>
              </w:rPr>
            </w:pPr>
          </w:p>
        </w:tc>
        <w:tc>
          <w:tcPr>
            <w:tcW w:w="1006" w:type="dxa"/>
            <w:tcBorders>
              <w:top w:val="nil"/>
              <w:left w:val="nil"/>
              <w:bottom w:val="nil"/>
              <w:right w:val="nil"/>
            </w:tcBorders>
            <w:shd w:val="clear" w:color="auto" w:fill="auto"/>
            <w:noWrap/>
            <w:vAlign w:val="bottom"/>
            <w:hideMark/>
          </w:tcPr>
          <w:p w:rsidR="008944A9" w:rsidRPr="00E2594C" w:rsidRDefault="008944A9" w:rsidP="00566078">
            <w:pPr>
              <w:widowControl/>
              <w:autoSpaceDE/>
              <w:autoSpaceDN/>
              <w:adjustRightInd/>
              <w:rPr>
                <w:sz w:val="18"/>
                <w:szCs w:val="18"/>
              </w:rPr>
            </w:pP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8944A9" w:rsidRPr="00E2594C" w:rsidRDefault="008944A9" w:rsidP="00566078">
            <w:pPr>
              <w:widowControl/>
              <w:autoSpaceDE/>
              <w:autoSpaceDN/>
              <w:adjustRightInd/>
              <w:jc w:val="right"/>
              <w:rPr>
                <w:color w:val="000000"/>
                <w:sz w:val="18"/>
                <w:szCs w:val="18"/>
              </w:rPr>
            </w:pPr>
            <w:r w:rsidRPr="00E2594C">
              <w:rPr>
                <w:color w:val="000000"/>
                <w:sz w:val="18"/>
                <w:szCs w:val="18"/>
              </w:rPr>
              <w:t>15,172</w:t>
            </w:r>
          </w:p>
        </w:tc>
      </w:tr>
    </w:tbl>
    <w:p w:rsidR="00F54262" w:rsidRDefault="00F54262" w:rsidP="005329CE">
      <w:pPr>
        <w:pStyle w:val="ListParagraph"/>
        <w:widowControl w:val="0"/>
        <w:autoSpaceDE w:val="0"/>
        <w:autoSpaceDN w:val="0"/>
        <w:adjustRightInd w:val="0"/>
        <w:ind w:left="0"/>
        <w:rPr>
          <w:b/>
          <w:bCs/>
          <w:sz w:val="18"/>
          <w:szCs w:val="18"/>
        </w:rPr>
      </w:pPr>
    </w:p>
    <w:p w:rsidR="00BD588B" w:rsidRDefault="00BD588B" w:rsidP="005329CE">
      <w:pPr>
        <w:pStyle w:val="ListParagraph"/>
        <w:widowControl w:val="0"/>
        <w:autoSpaceDE w:val="0"/>
        <w:autoSpaceDN w:val="0"/>
        <w:adjustRightInd w:val="0"/>
        <w:ind w:left="0"/>
        <w:rPr>
          <w:b/>
          <w:bCs/>
          <w:sz w:val="18"/>
          <w:szCs w:val="18"/>
        </w:rPr>
      </w:pPr>
    </w:p>
    <w:p w:rsidR="005329CE" w:rsidRPr="00E2594C" w:rsidRDefault="005329CE" w:rsidP="005329CE">
      <w:pPr>
        <w:pStyle w:val="ListParagraph"/>
        <w:widowControl w:val="0"/>
        <w:autoSpaceDE w:val="0"/>
        <w:autoSpaceDN w:val="0"/>
        <w:adjustRightInd w:val="0"/>
        <w:ind w:left="0"/>
        <w:rPr>
          <w:b/>
          <w:bCs/>
          <w:sz w:val="18"/>
          <w:szCs w:val="18"/>
        </w:rPr>
      </w:pPr>
      <w:r w:rsidRPr="00E2594C">
        <w:rPr>
          <w:b/>
          <w:bCs/>
          <w:sz w:val="18"/>
          <w:szCs w:val="18"/>
        </w:rPr>
        <w:t xml:space="preserve">Table </w:t>
      </w:r>
      <w:r w:rsidR="00BD588B">
        <w:rPr>
          <w:b/>
          <w:bCs/>
          <w:sz w:val="18"/>
          <w:szCs w:val="18"/>
        </w:rPr>
        <w:t>4</w:t>
      </w:r>
      <w:r w:rsidRPr="00E2594C">
        <w:rPr>
          <w:b/>
          <w:bCs/>
          <w:sz w:val="18"/>
          <w:szCs w:val="18"/>
        </w:rPr>
        <w:t xml:space="preserve"> – Tax Year 2012 Business Taxpayer Burden Survey</w:t>
      </w:r>
    </w:p>
    <w:tbl>
      <w:tblPr>
        <w:tblW w:w="9895" w:type="dxa"/>
        <w:tblInd w:w="113" w:type="dxa"/>
        <w:tblLook w:val="04A0" w:firstRow="1" w:lastRow="0" w:firstColumn="1" w:lastColumn="0" w:noHBand="0" w:noVBand="1"/>
      </w:tblPr>
      <w:tblGrid>
        <w:gridCol w:w="1345"/>
        <w:gridCol w:w="1530"/>
        <w:gridCol w:w="4680"/>
        <w:gridCol w:w="1260"/>
        <w:gridCol w:w="1080"/>
      </w:tblGrid>
      <w:tr w:rsidR="005329CE" w:rsidRPr="00E2594C" w:rsidTr="00EA5B09">
        <w:tc>
          <w:tcPr>
            <w:tcW w:w="755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lastRenderedPageBreak/>
              <w:t>Strata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D9369F" w:rsidRPr="00E2594C" w:rsidTr="00EA5B09">
        <w:tc>
          <w:tcPr>
            <w:tcW w:w="1345" w:type="dxa"/>
            <w:tcBorders>
              <w:top w:val="nil"/>
              <w:left w:val="single" w:sz="4" w:space="0" w:color="auto"/>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 </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Industry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Business Size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r>
      <w:tr w:rsidR="00D9369F" w:rsidRPr="00E2594C" w:rsidTr="00EA5B09">
        <w:tc>
          <w:tcPr>
            <w:tcW w:w="13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Form 1120</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No Business Activity</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228,888</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97</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Under 50k and Turnover Under 20k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103,537</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234</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50k to 175k or Turnover From 20k to 70k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236,542</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291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175k to 500k or Turnover From 70k to 200k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355,616</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543</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500k to 1.5M or Turnover From 200k to 600k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401,104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1,103</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5M or Turnover From 600k to 2M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280,805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1,244</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5M to 15M or Turnover From 2M to 6M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100,893</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581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50M or Turnover From 6M to 20M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37,835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312</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50M to 1000M or Turnover From 20M to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25,089</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1,032</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Over 1B or Turnover Over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4,117</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518</w:t>
            </w:r>
          </w:p>
        </w:tc>
      </w:tr>
      <w:tr w:rsidR="00D9369F" w:rsidRPr="00E2594C" w:rsidTr="00EA5B09">
        <w:tc>
          <w:tcPr>
            <w:tcW w:w="13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Form 1120-S</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No Business Activity</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288,954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71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Under 50k and Turnover Under 20k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254,220</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331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50k to 175k or Turnover From 20k to 70k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564,484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235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175k to 500k or Turnover From 70k to 200k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1,033,935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1,067</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500k to 1.5M or Turnover From 200k to 600k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1,159,960</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1,946</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5M or Turnover From 600k to 2M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674,430</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2,085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5M to 15M or Turnover From 2M to 6M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205,973</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829</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50M or Turnover From 6M to 20M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64,795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364</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50M to 1000M or Turnover From 20M to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18,105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1,053</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Over 1B or Turnover Over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340</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81</w:t>
            </w:r>
          </w:p>
        </w:tc>
      </w:tr>
      <w:tr w:rsidR="00D9369F" w:rsidRPr="00E2594C" w:rsidTr="00EA5B09">
        <w:tc>
          <w:tcPr>
            <w:tcW w:w="13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29CE" w:rsidRPr="00E2594C" w:rsidRDefault="005329CE" w:rsidP="00E2594C">
            <w:pPr>
              <w:widowControl/>
              <w:autoSpaceDE/>
              <w:autoSpaceDN/>
              <w:adjustRightInd/>
              <w:jc w:val="center"/>
              <w:rPr>
                <w:sz w:val="18"/>
                <w:szCs w:val="18"/>
              </w:rPr>
            </w:pPr>
            <w:r w:rsidRPr="00E2594C">
              <w:rPr>
                <w:sz w:val="18"/>
                <w:szCs w:val="18"/>
              </w:rPr>
              <w:t>Form 1065</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No Business Activity</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406,475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127</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Under 50k and Turnover Under 20k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184,659</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422</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50k to 175k or Turnover From 20k to 70k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278,394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253</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175k to 500k or Turnover From 70k to 200k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333,036</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270</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500k to 1.5M or Turnover From 200k to 600k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326,013</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415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5M or Turnover From 600k to 2M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239,858</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775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5M to 15M or Turnover From 2M to 6M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113,223</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386</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50M or Turnover From 6M to 20M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54,065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292</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50M to 1000M or Turnover From 20M to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34,831</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1,337</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Not 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Over 1B or Turnover Over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2,998</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378</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Under 50k and Turnover Under 20k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64,650</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325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50k to 175k or Turnover From 20k to 70k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203,755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199</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175k to 500k or Turnover From 70k to 200k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319,652</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207</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500k to 1.5M or Turnover From 200k to 600k</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383,401</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759</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5M or Turnover From 600k to 2M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284,757</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905</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5M to 15M or Turnover From 2M to 6M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110,804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551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15M to 50M or Turnover From 6M to 20M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37,463</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282</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From 50M to 1000M or Turnover From 20M to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11,924</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531</w:t>
            </w:r>
          </w:p>
        </w:tc>
      </w:tr>
      <w:tr w:rsidR="00D9369F" w:rsidRPr="00E2594C" w:rsidTr="00EA5B09">
        <w:tc>
          <w:tcPr>
            <w:tcW w:w="1345"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Real Estate</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center"/>
              <w:rPr>
                <w:sz w:val="18"/>
                <w:szCs w:val="18"/>
              </w:rPr>
            </w:pPr>
            <w:r w:rsidRPr="00E2594C">
              <w:rPr>
                <w:sz w:val="18"/>
                <w:szCs w:val="18"/>
              </w:rPr>
              <w:t>Assets Over 1B or Turnover Over 400M</w:t>
            </w:r>
          </w:p>
        </w:tc>
        <w:tc>
          <w:tcPr>
            <w:tcW w:w="126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405</w:t>
            </w:r>
          </w:p>
        </w:tc>
        <w:tc>
          <w:tcPr>
            <w:tcW w:w="10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E2594C">
            <w:pPr>
              <w:widowControl/>
              <w:autoSpaceDE/>
              <w:autoSpaceDN/>
              <w:adjustRightInd/>
              <w:jc w:val="right"/>
              <w:rPr>
                <w:sz w:val="18"/>
                <w:szCs w:val="18"/>
              </w:rPr>
            </w:pPr>
            <w:r w:rsidRPr="00E2594C">
              <w:rPr>
                <w:sz w:val="18"/>
                <w:szCs w:val="18"/>
              </w:rPr>
              <w:t>70</w:t>
            </w:r>
          </w:p>
        </w:tc>
      </w:tr>
      <w:tr w:rsidR="00D9369F" w:rsidRPr="00E2594C" w:rsidTr="00EA5B09">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7D6CB2">
            <w:pPr>
              <w:widowControl/>
              <w:autoSpaceDE/>
              <w:autoSpaceDN/>
              <w:adjustRightInd/>
              <w:rPr>
                <w:color w:val="000000"/>
                <w:sz w:val="18"/>
                <w:szCs w:val="18"/>
              </w:rPr>
            </w:pPr>
            <w:r w:rsidRPr="00E2594C">
              <w:rPr>
                <w:color w:val="000000"/>
                <w:sz w:val="18"/>
                <w:szCs w:val="18"/>
              </w:rPr>
              <w:t>Form 1120-L</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7D6CB2">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7D6CB2">
            <w:pPr>
              <w:widowControl/>
              <w:autoSpaceDE/>
              <w:autoSpaceDN/>
              <w:adjustRightInd/>
              <w:jc w:val="center"/>
              <w:rPr>
                <w:sz w:val="18"/>
                <w:szCs w:val="18"/>
              </w:rPr>
            </w:pPr>
            <w:r w:rsidRPr="00E2594C">
              <w:rPr>
                <w:sz w:val="18"/>
                <w:szCs w:val="18"/>
              </w:rPr>
              <w:t>ANY</w:t>
            </w:r>
          </w:p>
        </w:tc>
        <w:tc>
          <w:tcPr>
            <w:tcW w:w="1260" w:type="dxa"/>
            <w:tcBorders>
              <w:top w:val="nil"/>
              <w:left w:val="nil"/>
              <w:bottom w:val="single" w:sz="4" w:space="0" w:color="auto"/>
              <w:right w:val="single" w:sz="4" w:space="0" w:color="auto"/>
            </w:tcBorders>
            <w:shd w:val="clear" w:color="auto" w:fill="auto"/>
            <w:noWrap/>
            <w:vAlign w:val="bottom"/>
            <w:hideMark/>
          </w:tcPr>
          <w:p w:rsidR="005329CE" w:rsidRPr="00E2594C" w:rsidRDefault="007D6CB2" w:rsidP="007D6CB2">
            <w:pPr>
              <w:widowControl/>
              <w:autoSpaceDE/>
              <w:autoSpaceDN/>
              <w:adjustRightInd/>
              <w:jc w:val="right"/>
              <w:rPr>
                <w:color w:val="000000"/>
                <w:sz w:val="18"/>
                <w:szCs w:val="18"/>
              </w:rPr>
            </w:pPr>
            <w:r w:rsidRPr="00E2594C">
              <w:rPr>
                <w:color w:val="000000"/>
                <w:sz w:val="18"/>
                <w:szCs w:val="18"/>
              </w:rPr>
              <w:t xml:space="preserve">             </w:t>
            </w:r>
            <w:r w:rsidR="005329CE" w:rsidRPr="00E2594C">
              <w:rPr>
                <w:color w:val="000000"/>
                <w:sz w:val="18"/>
                <w:szCs w:val="18"/>
              </w:rPr>
              <w:t xml:space="preserve"> 491 </w:t>
            </w:r>
          </w:p>
        </w:tc>
        <w:tc>
          <w:tcPr>
            <w:tcW w:w="10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150</w:t>
            </w:r>
          </w:p>
        </w:tc>
      </w:tr>
      <w:tr w:rsidR="00D9369F" w:rsidRPr="00E2594C" w:rsidTr="00EA5B09">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Form 1120-REIT</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7D6CB2">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7D6CB2">
            <w:pPr>
              <w:widowControl/>
              <w:autoSpaceDE/>
              <w:autoSpaceDN/>
              <w:adjustRightInd/>
              <w:jc w:val="center"/>
              <w:rPr>
                <w:sz w:val="18"/>
                <w:szCs w:val="18"/>
              </w:rPr>
            </w:pPr>
            <w:r w:rsidRPr="00E2594C">
              <w:rPr>
                <w:sz w:val="18"/>
                <w:szCs w:val="18"/>
              </w:rPr>
              <w:t>ANY</w:t>
            </w:r>
          </w:p>
        </w:tc>
        <w:tc>
          <w:tcPr>
            <w:tcW w:w="12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7D6CB2">
            <w:pPr>
              <w:widowControl/>
              <w:autoSpaceDE/>
              <w:autoSpaceDN/>
              <w:adjustRightInd/>
              <w:jc w:val="right"/>
              <w:rPr>
                <w:color w:val="000000"/>
                <w:sz w:val="18"/>
                <w:szCs w:val="18"/>
              </w:rPr>
            </w:pPr>
            <w:r w:rsidRPr="00E2594C">
              <w:rPr>
                <w:color w:val="000000"/>
                <w:sz w:val="18"/>
                <w:szCs w:val="18"/>
              </w:rPr>
              <w:t xml:space="preserve">                    1,543 </w:t>
            </w:r>
          </w:p>
        </w:tc>
        <w:tc>
          <w:tcPr>
            <w:tcW w:w="10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450</w:t>
            </w:r>
          </w:p>
        </w:tc>
      </w:tr>
      <w:tr w:rsidR="00D9369F" w:rsidRPr="00E2594C" w:rsidTr="00EA5B09">
        <w:trPr>
          <w:trHeight w:val="386"/>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Form 1120-PC</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8E04B6">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8E04B6">
            <w:pPr>
              <w:widowControl/>
              <w:autoSpaceDE/>
              <w:autoSpaceDN/>
              <w:adjustRightInd/>
              <w:jc w:val="center"/>
              <w:rPr>
                <w:sz w:val="18"/>
                <w:szCs w:val="18"/>
              </w:rPr>
            </w:pPr>
            <w:r w:rsidRPr="00E2594C">
              <w:rPr>
                <w:sz w:val="18"/>
                <w:szCs w:val="18"/>
              </w:rPr>
              <w:t>ANY</w:t>
            </w:r>
          </w:p>
        </w:tc>
        <w:tc>
          <w:tcPr>
            <w:tcW w:w="1260" w:type="dxa"/>
            <w:tcBorders>
              <w:top w:val="nil"/>
              <w:left w:val="nil"/>
              <w:bottom w:val="single" w:sz="4" w:space="0" w:color="auto"/>
              <w:right w:val="single" w:sz="4" w:space="0" w:color="auto"/>
            </w:tcBorders>
            <w:shd w:val="clear" w:color="auto" w:fill="auto"/>
            <w:noWrap/>
            <w:vAlign w:val="bottom"/>
            <w:hideMark/>
          </w:tcPr>
          <w:p w:rsidR="005329CE" w:rsidRPr="00E2594C" w:rsidRDefault="008E04B6" w:rsidP="008E04B6">
            <w:pPr>
              <w:widowControl/>
              <w:autoSpaceDE/>
              <w:autoSpaceDN/>
              <w:adjustRightInd/>
              <w:jc w:val="right"/>
              <w:rPr>
                <w:color w:val="000000"/>
                <w:sz w:val="18"/>
                <w:szCs w:val="18"/>
              </w:rPr>
            </w:pPr>
            <w:r w:rsidRPr="00E2594C">
              <w:rPr>
                <w:color w:val="000000"/>
                <w:sz w:val="18"/>
                <w:szCs w:val="18"/>
              </w:rPr>
              <w:t xml:space="preserve">                  </w:t>
            </w:r>
            <w:r w:rsidR="005329CE" w:rsidRPr="00E2594C">
              <w:rPr>
                <w:color w:val="000000"/>
                <w:sz w:val="18"/>
                <w:szCs w:val="18"/>
              </w:rPr>
              <w:t xml:space="preserve">7,774 </w:t>
            </w:r>
          </w:p>
        </w:tc>
        <w:tc>
          <w:tcPr>
            <w:tcW w:w="10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8E04B6">
            <w:pPr>
              <w:widowControl/>
              <w:autoSpaceDE/>
              <w:autoSpaceDN/>
              <w:adjustRightInd/>
              <w:jc w:val="right"/>
              <w:rPr>
                <w:color w:val="000000"/>
                <w:sz w:val="18"/>
                <w:szCs w:val="18"/>
              </w:rPr>
            </w:pPr>
            <w:r w:rsidRPr="00E2594C">
              <w:rPr>
                <w:color w:val="000000"/>
                <w:sz w:val="18"/>
                <w:szCs w:val="18"/>
              </w:rPr>
              <w:t>750</w:t>
            </w:r>
          </w:p>
        </w:tc>
      </w:tr>
      <w:tr w:rsidR="00D9369F" w:rsidRPr="00E2594C" w:rsidTr="00EA5B09">
        <w:trPr>
          <w:trHeight w:val="269"/>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8E04B6">
            <w:pPr>
              <w:widowControl/>
              <w:autoSpaceDE/>
              <w:autoSpaceDN/>
              <w:adjustRightInd/>
              <w:rPr>
                <w:color w:val="000000"/>
                <w:sz w:val="18"/>
                <w:szCs w:val="18"/>
              </w:rPr>
            </w:pPr>
            <w:r w:rsidRPr="00E2594C">
              <w:rPr>
                <w:color w:val="000000"/>
                <w:sz w:val="18"/>
                <w:szCs w:val="18"/>
              </w:rPr>
              <w:t>Form 1120-F</w:t>
            </w:r>
          </w:p>
        </w:tc>
        <w:tc>
          <w:tcPr>
            <w:tcW w:w="153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8E04B6">
            <w:pPr>
              <w:widowControl/>
              <w:autoSpaceDE/>
              <w:autoSpaceDN/>
              <w:adjustRightInd/>
              <w:jc w:val="center"/>
              <w:rPr>
                <w:sz w:val="18"/>
                <w:szCs w:val="18"/>
              </w:rPr>
            </w:pPr>
            <w:r w:rsidRPr="00E2594C">
              <w:rPr>
                <w:sz w:val="18"/>
                <w:szCs w:val="18"/>
              </w:rPr>
              <w:t>ANY</w:t>
            </w:r>
          </w:p>
        </w:tc>
        <w:tc>
          <w:tcPr>
            <w:tcW w:w="4680" w:type="dxa"/>
            <w:tcBorders>
              <w:top w:val="nil"/>
              <w:left w:val="nil"/>
              <w:bottom w:val="single" w:sz="4" w:space="0" w:color="auto"/>
              <w:right w:val="single" w:sz="4" w:space="0" w:color="auto"/>
            </w:tcBorders>
            <w:shd w:val="clear" w:color="auto" w:fill="auto"/>
            <w:vAlign w:val="bottom"/>
            <w:hideMark/>
          </w:tcPr>
          <w:p w:rsidR="005329CE" w:rsidRPr="00E2594C" w:rsidRDefault="005329CE" w:rsidP="008E04B6">
            <w:pPr>
              <w:widowControl/>
              <w:autoSpaceDE/>
              <w:autoSpaceDN/>
              <w:adjustRightInd/>
              <w:jc w:val="center"/>
              <w:rPr>
                <w:sz w:val="18"/>
                <w:szCs w:val="18"/>
              </w:rPr>
            </w:pPr>
            <w:r w:rsidRPr="00E2594C">
              <w:rPr>
                <w:sz w:val="18"/>
                <w:szCs w:val="18"/>
              </w:rPr>
              <w:t>ANY</w:t>
            </w:r>
          </w:p>
        </w:tc>
        <w:tc>
          <w:tcPr>
            <w:tcW w:w="1260" w:type="dxa"/>
            <w:tcBorders>
              <w:top w:val="nil"/>
              <w:left w:val="nil"/>
              <w:bottom w:val="single" w:sz="4" w:space="0" w:color="auto"/>
              <w:right w:val="single" w:sz="4" w:space="0" w:color="auto"/>
            </w:tcBorders>
            <w:shd w:val="clear" w:color="auto" w:fill="auto"/>
            <w:noWrap/>
            <w:vAlign w:val="bottom"/>
            <w:hideMark/>
          </w:tcPr>
          <w:p w:rsidR="005329CE" w:rsidRPr="00E2594C" w:rsidRDefault="008E04B6" w:rsidP="008E04B6">
            <w:pPr>
              <w:widowControl/>
              <w:autoSpaceDE/>
              <w:autoSpaceDN/>
              <w:adjustRightInd/>
              <w:jc w:val="right"/>
              <w:rPr>
                <w:color w:val="000000"/>
                <w:sz w:val="18"/>
                <w:szCs w:val="18"/>
              </w:rPr>
            </w:pPr>
            <w:r w:rsidRPr="00E2594C">
              <w:rPr>
                <w:color w:val="000000"/>
                <w:sz w:val="18"/>
                <w:szCs w:val="18"/>
              </w:rPr>
              <w:t xml:space="preserve">       </w:t>
            </w:r>
            <w:r w:rsidR="005329CE" w:rsidRPr="00E2594C">
              <w:rPr>
                <w:color w:val="000000"/>
                <w:sz w:val="18"/>
                <w:szCs w:val="18"/>
              </w:rPr>
              <w:t xml:space="preserve">26,516 </w:t>
            </w:r>
          </w:p>
        </w:tc>
        <w:tc>
          <w:tcPr>
            <w:tcW w:w="10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8E04B6">
            <w:pPr>
              <w:widowControl/>
              <w:autoSpaceDE/>
              <w:autoSpaceDN/>
              <w:adjustRightInd/>
              <w:jc w:val="right"/>
              <w:rPr>
                <w:color w:val="000000"/>
                <w:sz w:val="18"/>
                <w:szCs w:val="18"/>
              </w:rPr>
            </w:pPr>
            <w:r w:rsidRPr="00E2594C">
              <w:rPr>
                <w:color w:val="000000"/>
                <w:sz w:val="18"/>
                <w:szCs w:val="18"/>
              </w:rPr>
              <w:t>1,150</w:t>
            </w:r>
          </w:p>
        </w:tc>
      </w:tr>
      <w:tr w:rsidR="00D9369F" w:rsidRPr="00E2594C" w:rsidTr="00EA5B09">
        <w:tc>
          <w:tcPr>
            <w:tcW w:w="1345"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p>
        </w:tc>
        <w:tc>
          <w:tcPr>
            <w:tcW w:w="153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468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26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25,001</w:t>
            </w:r>
          </w:p>
        </w:tc>
      </w:tr>
    </w:tbl>
    <w:p w:rsidR="005329CE" w:rsidRPr="00E2594C" w:rsidRDefault="005329CE" w:rsidP="005329CE">
      <w:pPr>
        <w:pStyle w:val="ListParagraph"/>
        <w:widowControl w:val="0"/>
        <w:autoSpaceDE w:val="0"/>
        <w:autoSpaceDN w:val="0"/>
        <w:adjustRightInd w:val="0"/>
        <w:ind w:left="0"/>
        <w:rPr>
          <w:b/>
          <w:bCs/>
          <w:sz w:val="18"/>
          <w:szCs w:val="18"/>
        </w:rPr>
      </w:pPr>
    </w:p>
    <w:p w:rsidR="005329CE" w:rsidRPr="00E2594C" w:rsidRDefault="005329CE" w:rsidP="005329CE">
      <w:pPr>
        <w:pStyle w:val="ListParagraph"/>
        <w:widowControl w:val="0"/>
        <w:autoSpaceDE w:val="0"/>
        <w:autoSpaceDN w:val="0"/>
        <w:adjustRightInd w:val="0"/>
        <w:ind w:hanging="720"/>
        <w:rPr>
          <w:b/>
          <w:bCs/>
          <w:sz w:val="18"/>
          <w:szCs w:val="18"/>
        </w:rPr>
      </w:pPr>
    </w:p>
    <w:p w:rsidR="005329CE" w:rsidRDefault="005329CE" w:rsidP="005329CE">
      <w:pPr>
        <w:pStyle w:val="ListParagraph"/>
        <w:widowControl w:val="0"/>
        <w:autoSpaceDE w:val="0"/>
        <w:autoSpaceDN w:val="0"/>
        <w:adjustRightInd w:val="0"/>
        <w:ind w:hanging="720"/>
        <w:rPr>
          <w:b/>
          <w:bCs/>
          <w:sz w:val="18"/>
          <w:szCs w:val="18"/>
        </w:rPr>
      </w:pPr>
    </w:p>
    <w:p w:rsidR="00470138" w:rsidRDefault="00470138" w:rsidP="005329CE">
      <w:pPr>
        <w:pStyle w:val="ListParagraph"/>
        <w:widowControl w:val="0"/>
        <w:autoSpaceDE w:val="0"/>
        <w:autoSpaceDN w:val="0"/>
        <w:adjustRightInd w:val="0"/>
        <w:ind w:hanging="720"/>
        <w:rPr>
          <w:b/>
          <w:bCs/>
          <w:sz w:val="18"/>
          <w:szCs w:val="18"/>
        </w:rPr>
      </w:pPr>
    </w:p>
    <w:p w:rsidR="00470138" w:rsidRDefault="00470138" w:rsidP="005329CE">
      <w:pPr>
        <w:pStyle w:val="ListParagraph"/>
        <w:widowControl w:val="0"/>
        <w:autoSpaceDE w:val="0"/>
        <w:autoSpaceDN w:val="0"/>
        <w:adjustRightInd w:val="0"/>
        <w:ind w:hanging="720"/>
        <w:rPr>
          <w:b/>
          <w:bCs/>
          <w:sz w:val="18"/>
          <w:szCs w:val="18"/>
        </w:rPr>
      </w:pPr>
    </w:p>
    <w:p w:rsidR="00470138" w:rsidRDefault="00470138" w:rsidP="005329CE">
      <w:pPr>
        <w:pStyle w:val="ListParagraph"/>
        <w:widowControl w:val="0"/>
        <w:autoSpaceDE w:val="0"/>
        <w:autoSpaceDN w:val="0"/>
        <w:adjustRightInd w:val="0"/>
        <w:ind w:hanging="720"/>
        <w:rPr>
          <w:b/>
          <w:bCs/>
          <w:sz w:val="18"/>
          <w:szCs w:val="18"/>
        </w:rPr>
      </w:pPr>
    </w:p>
    <w:p w:rsidR="00470138" w:rsidRDefault="00470138" w:rsidP="005329CE">
      <w:pPr>
        <w:pStyle w:val="ListParagraph"/>
        <w:widowControl w:val="0"/>
        <w:autoSpaceDE w:val="0"/>
        <w:autoSpaceDN w:val="0"/>
        <w:adjustRightInd w:val="0"/>
        <w:ind w:hanging="720"/>
        <w:rPr>
          <w:b/>
          <w:bCs/>
          <w:sz w:val="18"/>
          <w:szCs w:val="18"/>
        </w:rPr>
      </w:pPr>
    </w:p>
    <w:p w:rsidR="00470138" w:rsidRDefault="00470138" w:rsidP="005329CE">
      <w:pPr>
        <w:pStyle w:val="ListParagraph"/>
        <w:widowControl w:val="0"/>
        <w:autoSpaceDE w:val="0"/>
        <w:autoSpaceDN w:val="0"/>
        <w:adjustRightInd w:val="0"/>
        <w:ind w:hanging="720"/>
        <w:rPr>
          <w:b/>
          <w:bCs/>
          <w:sz w:val="18"/>
          <w:szCs w:val="18"/>
        </w:rPr>
      </w:pPr>
    </w:p>
    <w:p w:rsidR="00D01379" w:rsidRDefault="00D01379" w:rsidP="005329CE">
      <w:pPr>
        <w:pStyle w:val="ListParagraph"/>
        <w:widowControl w:val="0"/>
        <w:autoSpaceDE w:val="0"/>
        <w:autoSpaceDN w:val="0"/>
        <w:adjustRightInd w:val="0"/>
        <w:ind w:hanging="720"/>
        <w:rPr>
          <w:b/>
          <w:bCs/>
          <w:sz w:val="18"/>
          <w:szCs w:val="18"/>
        </w:rPr>
        <w:sectPr w:rsidR="00D01379" w:rsidSect="00950FBE">
          <w:footerReference w:type="default" r:id="rId9"/>
          <w:pgSz w:w="12240" w:h="15840"/>
          <w:pgMar w:top="1296" w:right="1440" w:bottom="1008" w:left="1440" w:header="1080" w:footer="662" w:gutter="0"/>
          <w:cols w:space="720"/>
          <w:noEndnote/>
          <w:docGrid w:linePitch="326"/>
        </w:sectPr>
      </w:pPr>
    </w:p>
    <w:p w:rsidR="005329CE" w:rsidRPr="00E2594C" w:rsidRDefault="005329CE" w:rsidP="00BD588B">
      <w:pPr>
        <w:pStyle w:val="ListParagraph"/>
        <w:widowControl w:val="0"/>
        <w:autoSpaceDE w:val="0"/>
        <w:autoSpaceDN w:val="0"/>
        <w:adjustRightInd w:val="0"/>
        <w:ind w:left="0"/>
        <w:rPr>
          <w:b/>
          <w:bCs/>
          <w:sz w:val="18"/>
          <w:szCs w:val="18"/>
        </w:rPr>
      </w:pPr>
      <w:r w:rsidRPr="00E2594C">
        <w:rPr>
          <w:b/>
          <w:bCs/>
          <w:sz w:val="18"/>
          <w:szCs w:val="18"/>
        </w:rPr>
        <w:t xml:space="preserve">Table </w:t>
      </w:r>
      <w:r w:rsidR="00BD588B">
        <w:rPr>
          <w:b/>
          <w:bCs/>
          <w:sz w:val="18"/>
          <w:szCs w:val="18"/>
        </w:rPr>
        <w:t>5</w:t>
      </w:r>
      <w:r w:rsidRPr="00E2594C">
        <w:rPr>
          <w:b/>
          <w:bCs/>
          <w:sz w:val="18"/>
          <w:szCs w:val="18"/>
        </w:rPr>
        <w:t xml:space="preserve"> – Calendar Year Business Compliance Burden Survey</w:t>
      </w:r>
    </w:p>
    <w:tbl>
      <w:tblPr>
        <w:tblW w:w="9840" w:type="dxa"/>
        <w:tblInd w:w="113" w:type="dxa"/>
        <w:tblLook w:val="04A0" w:firstRow="1" w:lastRow="0" w:firstColumn="1" w:lastColumn="0" w:noHBand="0" w:noVBand="1"/>
      </w:tblPr>
      <w:tblGrid>
        <w:gridCol w:w="2174"/>
        <w:gridCol w:w="4106"/>
        <w:gridCol w:w="1740"/>
        <w:gridCol w:w="1820"/>
      </w:tblGrid>
      <w:tr w:rsidR="005329CE" w:rsidRPr="00E2594C" w:rsidTr="00E2594C">
        <w:tc>
          <w:tcPr>
            <w:tcW w:w="6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Strata</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Post-Filing Complexity</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 Category</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Negative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3,649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$0 and &lt; $250K</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385,775</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$250K and &lt; $1M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71,521</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$1M and &lt; $5M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38,676</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$5M and &lt; $50M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13,743</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$50M and &lt;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1,954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1,003</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Zero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972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&gt;$0 and &lt; $250K</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2,173</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$250K and &lt; $1M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826</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$1M and &lt; $5M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351</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351</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Collection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All other Asset Categories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152</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Appeals</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Negative Assets or Assets &gt;= $0 and &lt;$1M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349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349</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Appeals</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242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242</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Negative or Zero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339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339</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$250K and &lt; $5M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335</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335</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$5M and &lt; $10M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875</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$10M and &lt; $50M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235</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235</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$50M and &lt;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397</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397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$50M and &lt;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236</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236</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Low</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154</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Negative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259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259</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Zero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3,354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&gt;$0 and &lt; $250K</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8,102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$250K and &lt; $5M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7,566</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$5M and &lt; $10M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1,574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$10M and &lt; $50M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3,425</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$50M and &lt;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1,684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$250M and &lt; $5B</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992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Exam - High</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$5B</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109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109</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Negative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1,540</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Zero Assets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42,732</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&gt;$0 and &lt; $250K</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64,257</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$250K and &lt; $1M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29,833</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$1M and &lt; $5M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22,684</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$5M and &lt; $10M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5,666</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$10M and &lt; $100M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6,859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$100M and &lt; $250M</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751</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$250M and &lt; $5B</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960</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Amended</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Assets &gt;= $5B</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111</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111</w:t>
            </w:r>
          </w:p>
        </w:tc>
      </w:tr>
      <w:tr w:rsidR="005329CE" w:rsidRPr="00E2594C" w:rsidTr="00E2594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Schedule K Strata</w:t>
            </w:r>
          </w:p>
        </w:tc>
        <w:tc>
          <w:tcPr>
            <w:tcW w:w="4106"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 Asset Class</w:t>
            </w:r>
          </w:p>
        </w:tc>
        <w:tc>
          <w:tcPr>
            <w:tcW w:w="174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3,089</w:t>
            </w:r>
          </w:p>
        </w:tc>
        <w:tc>
          <w:tcPr>
            <w:tcW w:w="1820"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A5B09">
            <w:pPr>
              <w:widowControl/>
              <w:autoSpaceDE/>
              <w:autoSpaceDN/>
              <w:adjustRightInd/>
              <w:jc w:val="right"/>
              <w:rPr>
                <w:color w:val="000000"/>
                <w:sz w:val="18"/>
                <w:szCs w:val="18"/>
              </w:rPr>
            </w:pPr>
            <w:r w:rsidRPr="00E2594C">
              <w:rPr>
                <w:color w:val="000000"/>
                <w:sz w:val="18"/>
                <w:szCs w:val="18"/>
              </w:rPr>
              <w:t>527</w:t>
            </w:r>
          </w:p>
        </w:tc>
      </w:tr>
      <w:tr w:rsidR="005329CE" w:rsidRPr="00E2594C" w:rsidTr="00E2594C">
        <w:tc>
          <w:tcPr>
            <w:tcW w:w="2174"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p>
        </w:tc>
        <w:tc>
          <w:tcPr>
            <w:tcW w:w="4106"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74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18025</w:t>
            </w:r>
          </w:p>
        </w:tc>
      </w:tr>
    </w:tbl>
    <w:p w:rsidR="00D01379" w:rsidRPr="00E2594C" w:rsidRDefault="00D01379" w:rsidP="00D01379">
      <w:pPr>
        <w:pStyle w:val="ListParagraph"/>
        <w:widowControl w:val="0"/>
        <w:autoSpaceDE w:val="0"/>
        <w:autoSpaceDN w:val="0"/>
        <w:adjustRightInd w:val="0"/>
        <w:ind w:left="0"/>
        <w:rPr>
          <w:b/>
          <w:bCs/>
          <w:sz w:val="18"/>
          <w:szCs w:val="18"/>
        </w:rPr>
      </w:pPr>
      <w:r w:rsidRPr="00E2594C">
        <w:rPr>
          <w:b/>
          <w:bCs/>
          <w:sz w:val="18"/>
          <w:szCs w:val="18"/>
        </w:rPr>
        <w:t xml:space="preserve">Table </w:t>
      </w:r>
      <w:r w:rsidR="00BD588B">
        <w:rPr>
          <w:b/>
          <w:bCs/>
          <w:sz w:val="18"/>
          <w:szCs w:val="18"/>
        </w:rPr>
        <w:t>6</w:t>
      </w:r>
      <w:r w:rsidRPr="00E2594C">
        <w:rPr>
          <w:b/>
          <w:bCs/>
          <w:sz w:val="18"/>
          <w:szCs w:val="18"/>
        </w:rPr>
        <w:t xml:space="preserve"> – Tax Year 2010 Tax-Exempt Organization Burden Survey</w:t>
      </w:r>
    </w:p>
    <w:tbl>
      <w:tblPr>
        <w:tblW w:w="7880" w:type="dxa"/>
        <w:tblInd w:w="113" w:type="dxa"/>
        <w:tblLook w:val="04A0" w:firstRow="1" w:lastRow="0" w:firstColumn="1" w:lastColumn="0" w:noHBand="0" w:noVBand="1"/>
      </w:tblPr>
      <w:tblGrid>
        <w:gridCol w:w="2329"/>
        <w:gridCol w:w="2431"/>
        <w:gridCol w:w="1540"/>
        <w:gridCol w:w="1580"/>
      </w:tblGrid>
      <w:tr w:rsidR="00D01379" w:rsidRPr="00E2594C" w:rsidTr="001A683C">
        <w:tc>
          <w:tcPr>
            <w:tcW w:w="4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Strata</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79" w:rsidRPr="00E2594C" w:rsidRDefault="00D01379" w:rsidP="001A683C">
            <w:pPr>
              <w:widowControl/>
              <w:autoSpaceDE/>
              <w:autoSpaceDN/>
              <w:adjustRightInd/>
              <w:jc w:val="center"/>
              <w:rPr>
                <w:sz w:val="18"/>
                <w:szCs w:val="18"/>
              </w:rPr>
            </w:pPr>
            <w:r w:rsidRPr="00E2594C">
              <w:rPr>
                <w:sz w:val="18"/>
                <w:szCs w:val="18"/>
              </w:rPr>
              <w:t>Population Count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79" w:rsidRPr="00E2594C" w:rsidRDefault="00D01379" w:rsidP="001A683C">
            <w:pPr>
              <w:widowControl/>
              <w:autoSpaceDE/>
              <w:autoSpaceDN/>
              <w:adjustRightInd/>
              <w:jc w:val="center"/>
              <w:rPr>
                <w:sz w:val="18"/>
                <w:szCs w:val="18"/>
              </w:rPr>
            </w:pPr>
            <w:r w:rsidRPr="00E2594C">
              <w:rPr>
                <w:sz w:val="18"/>
                <w:szCs w:val="18"/>
              </w:rPr>
              <w:t>Sample Allocation</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Preparation Method</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Total Revenue</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01379" w:rsidRPr="00E2594C" w:rsidRDefault="00D01379" w:rsidP="001A683C">
            <w:pPr>
              <w:widowControl/>
              <w:autoSpaceDE/>
              <w:autoSpaceDN/>
              <w:adjustRightInd/>
              <w:rPr>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D01379" w:rsidRPr="00E2594C" w:rsidRDefault="00D01379" w:rsidP="001A683C">
            <w:pPr>
              <w:widowControl/>
              <w:autoSpaceDE/>
              <w:autoSpaceDN/>
              <w:adjustRightInd/>
              <w:rPr>
                <w:sz w:val="18"/>
                <w:szCs w:val="18"/>
              </w:rPr>
            </w:pP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Self-Prepared</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Less than $5,000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31,081</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499</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Self-Prepared</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$5,001 - $100,000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81,248</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423</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Self-Prepared</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$100,001 - $1,000,000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48,578</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894</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Self-Prepared</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 xml:space="preserve"> $1,000,001 or more</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18,489</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460</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 xml:space="preserve"> Equal to zero</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6,273</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344</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$1 - $5,000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16,889</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279</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$5,001 – 50,000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80,604</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354</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$50,001 - $100,000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69,488</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666</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$100,001 - $500,000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134,164</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2,153</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$500,001 - $1,000,000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41,783</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651</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$1,000,001 - $5,000,000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55,838</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2,839</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$5,000,001 - $10,000,000</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12,481</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626</w:t>
            </w:r>
          </w:p>
        </w:tc>
      </w:tr>
      <w:tr w:rsidR="00D01379" w:rsidRPr="00E2594C" w:rsidTr="001A683C">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center"/>
              <w:rPr>
                <w:color w:val="000000"/>
                <w:sz w:val="18"/>
                <w:szCs w:val="18"/>
              </w:rPr>
            </w:pPr>
            <w:r w:rsidRPr="00E2594C">
              <w:rPr>
                <w:color w:val="000000"/>
                <w:sz w:val="18"/>
                <w:szCs w:val="18"/>
              </w:rPr>
              <w:t>Used a Paid Professional</w:t>
            </w:r>
          </w:p>
        </w:tc>
        <w:tc>
          <w:tcPr>
            <w:tcW w:w="2431"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rPr>
                <w:color w:val="000000"/>
                <w:sz w:val="18"/>
                <w:szCs w:val="18"/>
              </w:rPr>
            </w:pPr>
            <w:r w:rsidRPr="00E2594C">
              <w:rPr>
                <w:color w:val="000000"/>
                <w:sz w:val="18"/>
                <w:szCs w:val="18"/>
              </w:rPr>
              <w:t>$10,000,001 or more</w:t>
            </w:r>
          </w:p>
        </w:tc>
        <w:tc>
          <w:tcPr>
            <w:tcW w:w="154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19,014</w:t>
            </w:r>
          </w:p>
        </w:tc>
        <w:tc>
          <w:tcPr>
            <w:tcW w:w="1580" w:type="dxa"/>
            <w:tcBorders>
              <w:top w:val="nil"/>
              <w:left w:val="nil"/>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1,812</w:t>
            </w:r>
          </w:p>
        </w:tc>
      </w:tr>
      <w:tr w:rsidR="00D01379" w:rsidRPr="00E2594C" w:rsidTr="001A683C">
        <w:tc>
          <w:tcPr>
            <w:tcW w:w="2329" w:type="dxa"/>
            <w:tcBorders>
              <w:top w:val="nil"/>
              <w:left w:val="nil"/>
              <w:bottom w:val="nil"/>
              <w:right w:val="nil"/>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p>
        </w:tc>
        <w:tc>
          <w:tcPr>
            <w:tcW w:w="2431" w:type="dxa"/>
            <w:tcBorders>
              <w:top w:val="nil"/>
              <w:left w:val="nil"/>
              <w:bottom w:val="nil"/>
              <w:right w:val="nil"/>
            </w:tcBorders>
            <w:shd w:val="clear" w:color="auto" w:fill="auto"/>
            <w:noWrap/>
            <w:vAlign w:val="bottom"/>
            <w:hideMark/>
          </w:tcPr>
          <w:p w:rsidR="00D01379" w:rsidRPr="00E2594C" w:rsidRDefault="00D01379" w:rsidP="001A683C">
            <w:pPr>
              <w:widowControl/>
              <w:autoSpaceDE/>
              <w:autoSpaceDN/>
              <w:adjustRightInd/>
              <w:rPr>
                <w:sz w:val="18"/>
                <w:szCs w:val="18"/>
              </w:rPr>
            </w:pPr>
          </w:p>
        </w:tc>
        <w:tc>
          <w:tcPr>
            <w:tcW w:w="1540" w:type="dxa"/>
            <w:tcBorders>
              <w:top w:val="nil"/>
              <w:left w:val="nil"/>
              <w:bottom w:val="nil"/>
              <w:right w:val="nil"/>
            </w:tcBorders>
            <w:shd w:val="clear" w:color="auto" w:fill="auto"/>
            <w:noWrap/>
            <w:vAlign w:val="bottom"/>
            <w:hideMark/>
          </w:tcPr>
          <w:p w:rsidR="00D01379" w:rsidRPr="00E2594C" w:rsidRDefault="00D01379" w:rsidP="001A683C">
            <w:pPr>
              <w:widowControl/>
              <w:autoSpaceDE/>
              <w:autoSpaceDN/>
              <w:adjustRightInd/>
              <w:rPr>
                <w:sz w:val="18"/>
                <w:szCs w:val="18"/>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01379" w:rsidRPr="00E2594C" w:rsidRDefault="00D01379" w:rsidP="001A683C">
            <w:pPr>
              <w:widowControl/>
              <w:autoSpaceDE/>
              <w:autoSpaceDN/>
              <w:adjustRightInd/>
              <w:jc w:val="right"/>
              <w:rPr>
                <w:color w:val="000000"/>
                <w:sz w:val="18"/>
                <w:szCs w:val="18"/>
              </w:rPr>
            </w:pPr>
            <w:r w:rsidRPr="00E2594C">
              <w:rPr>
                <w:color w:val="000000"/>
                <w:sz w:val="18"/>
                <w:szCs w:val="18"/>
              </w:rPr>
              <w:t>12,000</w:t>
            </w:r>
          </w:p>
        </w:tc>
      </w:tr>
    </w:tbl>
    <w:p w:rsidR="00D01379" w:rsidRDefault="00D01379" w:rsidP="005329CE">
      <w:pPr>
        <w:pStyle w:val="ListParagraph"/>
        <w:widowControl w:val="0"/>
        <w:autoSpaceDE w:val="0"/>
        <w:autoSpaceDN w:val="0"/>
        <w:adjustRightInd w:val="0"/>
        <w:ind w:left="0"/>
        <w:rPr>
          <w:b/>
          <w:bCs/>
          <w:sz w:val="18"/>
          <w:szCs w:val="18"/>
        </w:rPr>
      </w:pPr>
    </w:p>
    <w:p w:rsidR="005329CE" w:rsidRPr="00E2594C" w:rsidRDefault="005329CE" w:rsidP="005329CE">
      <w:pPr>
        <w:pStyle w:val="ListParagraph"/>
        <w:widowControl w:val="0"/>
        <w:autoSpaceDE w:val="0"/>
        <w:autoSpaceDN w:val="0"/>
        <w:adjustRightInd w:val="0"/>
        <w:ind w:left="0"/>
        <w:rPr>
          <w:b/>
          <w:bCs/>
          <w:sz w:val="18"/>
          <w:szCs w:val="18"/>
        </w:rPr>
      </w:pPr>
      <w:r w:rsidRPr="00E2594C">
        <w:rPr>
          <w:b/>
          <w:bCs/>
          <w:sz w:val="18"/>
          <w:szCs w:val="18"/>
        </w:rPr>
        <w:t xml:space="preserve">Table </w:t>
      </w:r>
      <w:r w:rsidR="00034131">
        <w:rPr>
          <w:b/>
          <w:bCs/>
          <w:sz w:val="18"/>
          <w:szCs w:val="18"/>
        </w:rPr>
        <w:t>7</w:t>
      </w:r>
      <w:r w:rsidR="00034131" w:rsidRPr="00E2594C">
        <w:rPr>
          <w:b/>
          <w:bCs/>
          <w:sz w:val="18"/>
          <w:szCs w:val="18"/>
        </w:rPr>
        <w:t xml:space="preserve"> –</w:t>
      </w:r>
      <w:r w:rsidRPr="00E2594C">
        <w:rPr>
          <w:b/>
          <w:bCs/>
          <w:sz w:val="18"/>
          <w:szCs w:val="18"/>
        </w:rPr>
        <w:t xml:space="preserve"> Tax Year 2013 Employment Tax Burden Survey</w:t>
      </w:r>
    </w:p>
    <w:tbl>
      <w:tblPr>
        <w:tblW w:w="8471" w:type="dxa"/>
        <w:tblInd w:w="108" w:type="dxa"/>
        <w:tblLook w:val="04A0" w:firstRow="1" w:lastRow="0" w:firstColumn="1" w:lastColumn="0" w:noHBand="0" w:noVBand="1"/>
      </w:tblPr>
      <w:tblGrid>
        <w:gridCol w:w="1360"/>
        <w:gridCol w:w="1560"/>
        <w:gridCol w:w="1840"/>
        <w:gridCol w:w="606"/>
        <w:gridCol w:w="1540"/>
        <w:gridCol w:w="1580"/>
      </w:tblGrid>
      <w:tr w:rsidR="005329CE" w:rsidRPr="00E2594C" w:rsidTr="00E2594C">
        <w:tc>
          <w:tcPr>
            <w:tcW w:w="53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Strata</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5329CE" w:rsidRPr="00E2594C" w:rsidTr="00E2594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Primary Form</w:t>
            </w: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Number of W2s</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 xml:space="preserve">Share with </w:t>
            </w:r>
            <w:r w:rsidR="005C5EB9" w:rsidRPr="00E2594C">
              <w:rPr>
                <w:color w:val="000000"/>
                <w:sz w:val="18"/>
                <w:szCs w:val="18"/>
              </w:rPr>
              <w:t>Benefits</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Tips</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r>
      <w:tr w:rsidR="005329CE" w:rsidRPr="00E2594C" w:rsidTr="00E2594C">
        <w:tc>
          <w:tcPr>
            <w:tcW w:w="13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Form 941</w:t>
            </w: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 to 4</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1,846,642</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1,755</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5 to 19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768,328</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638</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20 to 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271,569</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413</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100 to 299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23,184</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335</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300 to 999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3,664</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299</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Over 1000</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None</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792</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300</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 to 19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Less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410,266</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567</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20 to 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Less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252,724</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413</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100 to 299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Less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56,339</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335</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300 to 999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Less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11,699</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302</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Over 1000</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Less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3,192</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314</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 to 19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Greater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167,492</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567</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20 to 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Greater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20,499</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412</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100 to 299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Greater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10,684</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334</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300 to 999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Greater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11,572</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303</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Over 1000</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Greater Than 10%</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NO</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4,839</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316</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 to 19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YES</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82,030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567</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20 to 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YES</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90,295</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413</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100 to 299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YES</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14,041</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334</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300 to 999</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YES</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2,198</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297</w:t>
            </w:r>
          </w:p>
        </w:tc>
      </w:tr>
      <w:tr w:rsidR="005329CE" w:rsidRPr="00E2594C" w:rsidTr="00E2594C">
        <w:tc>
          <w:tcPr>
            <w:tcW w:w="1360" w:type="dxa"/>
            <w:vMerge/>
            <w:tcBorders>
              <w:top w:val="nil"/>
              <w:left w:val="single" w:sz="4" w:space="0" w:color="auto"/>
              <w:bottom w:val="single" w:sz="4" w:space="0" w:color="000000"/>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Over 1000</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YES</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924</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305</w:t>
            </w:r>
          </w:p>
        </w:tc>
      </w:tr>
      <w:tr w:rsidR="005329CE" w:rsidRPr="00E2594C" w:rsidTr="00E2594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Form 944</w:t>
            </w: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31,693</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318</w:t>
            </w:r>
          </w:p>
        </w:tc>
      </w:tr>
      <w:tr w:rsidR="005329CE" w:rsidRPr="00E2594C" w:rsidTr="00E2594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Form 943</w:t>
            </w:r>
          </w:p>
        </w:tc>
        <w:tc>
          <w:tcPr>
            <w:tcW w:w="156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8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591"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75,426</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271</w:t>
            </w:r>
          </w:p>
        </w:tc>
      </w:tr>
      <w:tr w:rsidR="005329CE" w:rsidRPr="00E2594C" w:rsidTr="00E2594C">
        <w:tc>
          <w:tcPr>
            <w:tcW w:w="136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p>
        </w:tc>
        <w:tc>
          <w:tcPr>
            <w:tcW w:w="156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84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591"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54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10,108</w:t>
            </w:r>
          </w:p>
        </w:tc>
      </w:tr>
    </w:tbl>
    <w:p w:rsidR="005329CE" w:rsidRPr="00E2594C" w:rsidRDefault="005329CE" w:rsidP="005329CE">
      <w:pPr>
        <w:pStyle w:val="ListParagraph"/>
        <w:widowControl w:val="0"/>
        <w:autoSpaceDE w:val="0"/>
        <w:autoSpaceDN w:val="0"/>
        <w:adjustRightInd w:val="0"/>
        <w:ind w:left="0"/>
        <w:rPr>
          <w:b/>
          <w:bCs/>
          <w:sz w:val="18"/>
          <w:szCs w:val="18"/>
        </w:rPr>
      </w:pPr>
    </w:p>
    <w:p w:rsidR="005329CE" w:rsidRPr="00E2594C" w:rsidRDefault="005329CE" w:rsidP="005329CE">
      <w:pPr>
        <w:pStyle w:val="ListParagraph"/>
        <w:widowControl w:val="0"/>
        <w:autoSpaceDE w:val="0"/>
        <w:autoSpaceDN w:val="0"/>
        <w:adjustRightInd w:val="0"/>
        <w:ind w:left="0"/>
        <w:rPr>
          <w:b/>
          <w:bCs/>
          <w:sz w:val="18"/>
          <w:szCs w:val="18"/>
        </w:rPr>
      </w:pPr>
    </w:p>
    <w:p w:rsidR="005329CE" w:rsidRPr="00E2594C" w:rsidRDefault="005329CE" w:rsidP="005329CE">
      <w:pPr>
        <w:pStyle w:val="ListParagraph"/>
        <w:widowControl w:val="0"/>
        <w:autoSpaceDE w:val="0"/>
        <w:autoSpaceDN w:val="0"/>
        <w:adjustRightInd w:val="0"/>
        <w:ind w:left="0"/>
        <w:rPr>
          <w:b/>
          <w:bCs/>
          <w:sz w:val="18"/>
          <w:szCs w:val="18"/>
        </w:rPr>
      </w:pPr>
      <w:r w:rsidRPr="00E2594C">
        <w:rPr>
          <w:b/>
          <w:bCs/>
          <w:sz w:val="18"/>
          <w:szCs w:val="18"/>
        </w:rPr>
        <w:t>Table 8 – Tax Year 2016 Trust and Estate Income Tax Return</w:t>
      </w:r>
    </w:p>
    <w:tbl>
      <w:tblPr>
        <w:tblW w:w="8840" w:type="dxa"/>
        <w:tblInd w:w="113" w:type="dxa"/>
        <w:tblLook w:val="04A0" w:firstRow="1" w:lastRow="0" w:firstColumn="1" w:lastColumn="0" w:noHBand="0" w:noVBand="1"/>
      </w:tblPr>
      <w:tblGrid>
        <w:gridCol w:w="4591"/>
        <w:gridCol w:w="1129"/>
        <w:gridCol w:w="1540"/>
        <w:gridCol w:w="1580"/>
      </w:tblGrid>
      <w:tr w:rsidR="005329CE" w:rsidRPr="00E2594C" w:rsidTr="00E2594C">
        <w:tc>
          <w:tcPr>
            <w:tcW w:w="5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center"/>
              <w:rPr>
                <w:color w:val="000000"/>
                <w:sz w:val="18"/>
                <w:szCs w:val="18"/>
              </w:rPr>
            </w:pPr>
            <w:r w:rsidRPr="00E2594C">
              <w:rPr>
                <w:color w:val="000000"/>
                <w:sz w:val="18"/>
                <w:szCs w:val="18"/>
              </w:rPr>
              <w:t>Strata</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Population Count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9CE" w:rsidRPr="00E2594C" w:rsidRDefault="005329CE" w:rsidP="00E2594C">
            <w:pPr>
              <w:widowControl/>
              <w:autoSpaceDE/>
              <w:autoSpaceDN/>
              <w:adjustRightInd/>
              <w:jc w:val="center"/>
              <w:rPr>
                <w:sz w:val="18"/>
                <w:szCs w:val="18"/>
              </w:rPr>
            </w:pPr>
            <w:r w:rsidRPr="00E2594C">
              <w:rPr>
                <w:sz w:val="18"/>
                <w:szCs w:val="18"/>
              </w:rPr>
              <w:t>Sample Allocation</w:t>
            </w:r>
          </w:p>
        </w:tc>
      </w:tr>
      <w:tr w:rsidR="005329CE" w:rsidRPr="00E2594C" w:rsidTr="00E2594C">
        <w:tc>
          <w:tcPr>
            <w:tcW w:w="4591"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Form 1041 Type</w:t>
            </w:r>
          </w:p>
        </w:tc>
        <w:tc>
          <w:tcPr>
            <w:tcW w:w="1129"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Complexity</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sz w:val="18"/>
                <w:szCs w:val="18"/>
              </w:rPr>
            </w:pPr>
          </w:p>
        </w:tc>
      </w:tr>
      <w:tr w:rsidR="005329CE" w:rsidRPr="00E2594C" w:rsidTr="00E2594C">
        <w:tc>
          <w:tcPr>
            <w:tcW w:w="4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Complex trust or Generation-Skipping Trust</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Low</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1,750,000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3267</w:t>
            </w:r>
          </w:p>
        </w:tc>
      </w:tr>
      <w:tr w:rsidR="005329CE" w:rsidRPr="00E2594C" w:rsidTr="00E2594C">
        <w:tc>
          <w:tcPr>
            <w:tcW w:w="4591"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High</w:t>
            </w:r>
          </w:p>
        </w:tc>
        <w:tc>
          <w:tcPr>
            <w:tcW w:w="1540"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2178</w:t>
            </w:r>
          </w:p>
        </w:tc>
      </w:tr>
      <w:tr w:rsidR="005329CE" w:rsidRPr="00E2594C" w:rsidTr="00E2594C">
        <w:tc>
          <w:tcPr>
            <w:tcW w:w="4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Simple Trust or Taxable Grantor Type Trust</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Low</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750,000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1805</w:t>
            </w:r>
          </w:p>
        </w:tc>
      </w:tr>
      <w:tr w:rsidR="005329CE" w:rsidRPr="00E2594C" w:rsidTr="00E2594C">
        <w:tc>
          <w:tcPr>
            <w:tcW w:w="4591"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High</w:t>
            </w:r>
          </w:p>
        </w:tc>
        <w:tc>
          <w:tcPr>
            <w:tcW w:w="1540"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1203</w:t>
            </w:r>
          </w:p>
        </w:tc>
      </w:tr>
      <w:tr w:rsidR="005329CE" w:rsidRPr="00E2594C" w:rsidTr="00E2594C">
        <w:tc>
          <w:tcPr>
            <w:tcW w:w="4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Non-taxable Grantor Type Trust</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Low</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500,000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1491</w:t>
            </w:r>
          </w:p>
        </w:tc>
      </w:tr>
      <w:tr w:rsidR="005329CE" w:rsidRPr="00E2594C" w:rsidTr="00E2594C">
        <w:tc>
          <w:tcPr>
            <w:tcW w:w="4591"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High</w:t>
            </w:r>
          </w:p>
        </w:tc>
        <w:tc>
          <w:tcPr>
            <w:tcW w:w="1540"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994</w:t>
            </w:r>
          </w:p>
        </w:tc>
      </w:tr>
      <w:tr w:rsidR="005329CE" w:rsidRPr="00E2594C" w:rsidTr="00E2594C">
        <w:tc>
          <w:tcPr>
            <w:tcW w:w="4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Decedent’s estate</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Low</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1246</w:t>
            </w:r>
          </w:p>
        </w:tc>
      </w:tr>
      <w:tr w:rsidR="005329CE" w:rsidRPr="00E2594C" w:rsidTr="00E2594C">
        <w:tc>
          <w:tcPr>
            <w:tcW w:w="4591"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High</w:t>
            </w:r>
          </w:p>
        </w:tc>
        <w:tc>
          <w:tcPr>
            <w:tcW w:w="1540" w:type="dxa"/>
            <w:vMerge/>
            <w:tcBorders>
              <w:top w:val="nil"/>
              <w:left w:val="single" w:sz="4" w:space="0" w:color="auto"/>
              <w:bottom w:val="single" w:sz="4" w:space="0" w:color="auto"/>
              <w:right w:val="single" w:sz="4" w:space="0" w:color="auto"/>
            </w:tcBorders>
            <w:vAlign w:val="center"/>
            <w:hideMark/>
          </w:tcPr>
          <w:p w:rsidR="005329CE" w:rsidRPr="00E2594C" w:rsidRDefault="005329CE" w:rsidP="00E2594C">
            <w:pPr>
              <w:widowControl/>
              <w:autoSpaceDE/>
              <w:autoSpaceDN/>
              <w:adjustRightInd/>
              <w:rPr>
                <w:color w:val="000000"/>
                <w:sz w:val="18"/>
                <w:szCs w:val="18"/>
              </w:rPr>
            </w:pP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831</w:t>
            </w:r>
          </w:p>
        </w:tc>
      </w:tr>
      <w:tr w:rsidR="005329CE" w:rsidRPr="00E2594C" w:rsidTr="00E2594C">
        <w:tc>
          <w:tcPr>
            <w:tcW w:w="4591"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Qualified Disability Trust</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25,000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500</w:t>
            </w:r>
          </w:p>
        </w:tc>
      </w:tr>
      <w:tr w:rsidR="005329CE" w:rsidRPr="00E2594C" w:rsidTr="00E2594C">
        <w:tc>
          <w:tcPr>
            <w:tcW w:w="4591"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Non-Exempt Charitable and Split Interest Trust</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7,500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500</w:t>
            </w:r>
          </w:p>
        </w:tc>
      </w:tr>
      <w:tr w:rsidR="005329CE" w:rsidRPr="00E2594C" w:rsidTr="00E2594C">
        <w:tc>
          <w:tcPr>
            <w:tcW w:w="4591" w:type="dxa"/>
            <w:tcBorders>
              <w:top w:val="nil"/>
              <w:left w:val="single" w:sz="4" w:space="0" w:color="auto"/>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Bankruptcy Estate</w:t>
            </w:r>
          </w:p>
        </w:tc>
        <w:tc>
          <w:tcPr>
            <w:tcW w:w="1129" w:type="dxa"/>
            <w:tcBorders>
              <w:top w:val="nil"/>
              <w:left w:val="nil"/>
              <w:bottom w:val="single" w:sz="4" w:space="0" w:color="auto"/>
              <w:right w:val="single" w:sz="4" w:space="0" w:color="auto"/>
            </w:tcBorders>
            <w:shd w:val="clear" w:color="auto" w:fill="auto"/>
            <w:noWrap/>
            <w:vAlign w:val="center"/>
            <w:hideMark/>
          </w:tcPr>
          <w:p w:rsidR="005329CE" w:rsidRPr="00E2594C" w:rsidRDefault="005329CE" w:rsidP="00E2594C">
            <w:pPr>
              <w:widowControl/>
              <w:autoSpaceDE/>
              <w:autoSpaceDN/>
              <w:adjustRightInd/>
              <w:rPr>
                <w:color w:val="000000"/>
                <w:sz w:val="18"/>
                <w:szCs w:val="18"/>
              </w:rPr>
            </w:pPr>
            <w:r w:rsidRPr="00E2594C">
              <w:rPr>
                <w:color w:val="000000"/>
                <w:sz w:val="18"/>
                <w:szCs w:val="18"/>
              </w:rPr>
              <w:t>ANY</w:t>
            </w:r>
          </w:p>
        </w:tc>
        <w:tc>
          <w:tcPr>
            <w:tcW w:w="154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750</w:t>
            </w:r>
          </w:p>
        </w:tc>
        <w:tc>
          <w:tcPr>
            <w:tcW w:w="1580" w:type="dxa"/>
            <w:tcBorders>
              <w:top w:val="nil"/>
              <w:left w:val="nil"/>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500</w:t>
            </w:r>
          </w:p>
        </w:tc>
      </w:tr>
      <w:tr w:rsidR="005329CE" w:rsidRPr="00E2594C" w:rsidTr="00E2594C">
        <w:tc>
          <w:tcPr>
            <w:tcW w:w="4591"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p>
        </w:tc>
        <w:tc>
          <w:tcPr>
            <w:tcW w:w="1129"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540" w:type="dxa"/>
            <w:tcBorders>
              <w:top w:val="nil"/>
              <w:left w:val="nil"/>
              <w:bottom w:val="nil"/>
              <w:right w:val="nil"/>
            </w:tcBorders>
            <w:shd w:val="clear" w:color="auto" w:fill="auto"/>
            <w:noWrap/>
            <w:vAlign w:val="bottom"/>
            <w:hideMark/>
          </w:tcPr>
          <w:p w:rsidR="005329CE" w:rsidRPr="00E2594C" w:rsidRDefault="005329CE" w:rsidP="00E2594C">
            <w:pPr>
              <w:widowControl/>
              <w:autoSpaceDE/>
              <w:autoSpaceDN/>
              <w:adjustRightInd/>
              <w:rPr>
                <w:sz w:val="18"/>
                <w:szCs w:val="18"/>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329CE" w:rsidRPr="00E2594C" w:rsidRDefault="005329CE" w:rsidP="00E2594C">
            <w:pPr>
              <w:widowControl/>
              <w:autoSpaceDE/>
              <w:autoSpaceDN/>
              <w:adjustRightInd/>
              <w:jc w:val="right"/>
              <w:rPr>
                <w:color w:val="000000"/>
                <w:sz w:val="18"/>
                <w:szCs w:val="18"/>
              </w:rPr>
            </w:pPr>
            <w:r w:rsidRPr="00E2594C">
              <w:rPr>
                <w:color w:val="000000"/>
                <w:sz w:val="18"/>
                <w:szCs w:val="18"/>
              </w:rPr>
              <w:t>14,514</w:t>
            </w:r>
          </w:p>
        </w:tc>
      </w:tr>
    </w:tbl>
    <w:p w:rsidR="00167587" w:rsidRPr="00E2594C" w:rsidRDefault="00167587" w:rsidP="00167587">
      <w:pPr>
        <w:rPr>
          <w:sz w:val="18"/>
          <w:szCs w:val="18"/>
        </w:rPr>
      </w:pPr>
    </w:p>
    <w:p w:rsidR="00167587" w:rsidRDefault="00167587" w:rsidP="00167587">
      <w:pPr>
        <w:rPr>
          <w:sz w:val="20"/>
          <w:szCs w:val="20"/>
        </w:rPr>
      </w:pPr>
    </w:p>
    <w:p w:rsidR="00D664BC" w:rsidRPr="008870F5" w:rsidRDefault="00D664BC" w:rsidP="00533368">
      <w:pPr>
        <w:pStyle w:val="NoSpacing"/>
        <w:numPr>
          <w:ilvl w:val="0"/>
          <w:numId w:val="8"/>
        </w:numPr>
        <w:tabs>
          <w:tab w:val="clear" w:pos="720"/>
          <w:tab w:val="num" w:pos="360"/>
        </w:tabs>
        <w:ind w:left="360"/>
        <w:contextualSpacing/>
        <w:rPr>
          <w:rFonts w:ascii="Times New Roman" w:hAnsi="Times New Roman"/>
          <w:b/>
          <w:sz w:val="20"/>
          <w:szCs w:val="20"/>
        </w:rPr>
      </w:pPr>
      <w:r w:rsidRPr="008870F5">
        <w:rPr>
          <w:rFonts w:ascii="Times New Roman" w:hAnsi="Times New Roman"/>
          <w:b/>
          <w:sz w:val="20"/>
          <w:szCs w:val="20"/>
        </w:rPr>
        <w:t xml:space="preserve">Describe the procedures for the collection of information. </w:t>
      </w:r>
    </w:p>
    <w:p w:rsidR="00D664BC" w:rsidRPr="008870F5" w:rsidRDefault="00D664BC" w:rsidP="00013F66">
      <w:pPr>
        <w:pStyle w:val="NoSpacing"/>
        <w:spacing w:line="240" w:lineRule="exact"/>
        <w:contextualSpacing/>
        <w:rPr>
          <w:rFonts w:ascii="Times New Roman" w:hAnsi="Times New Roman"/>
          <w:sz w:val="20"/>
          <w:szCs w:val="20"/>
        </w:rPr>
      </w:pPr>
    </w:p>
    <w:p w:rsidR="004838D5" w:rsidRDefault="00D664BC" w:rsidP="00875AA0">
      <w:pPr>
        <w:pStyle w:val="NoSpacing"/>
        <w:contextualSpacing/>
        <w:rPr>
          <w:rFonts w:ascii="Times New Roman" w:hAnsi="Times New Roman"/>
          <w:bCs/>
          <w:sz w:val="20"/>
          <w:szCs w:val="20"/>
        </w:rPr>
      </w:pPr>
      <w:r w:rsidRPr="008870F5">
        <w:rPr>
          <w:rFonts w:ascii="Times New Roman" w:hAnsi="Times New Roman"/>
          <w:sz w:val="20"/>
          <w:szCs w:val="20"/>
        </w:rPr>
        <w:t>We have two objectives in the design of th</w:t>
      </w:r>
      <w:r w:rsidR="00941603" w:rsidRPr="008870F5">
        <w:rPr>
          <w:rFonts w:ascii="Times New Roman" w:hAnsi="Times New Roman"/>
          <w:sz w:val="20"/>
          <w:szCs w:val="20"/>
        </w:rPr>
        <w:t>e following</w:t>
      </w:r>
      <w:r w:rsidRPr="008870F5">
        <w:rPr>
          <w:rFonts w:ascii="Times New Roman" w:hAnsi="Times New Roman"/>
          <w:sz w:val="20"/>
          <w:szCs w:val="20"/>
        </w:rPr>
        <w:t xml:space="preserve"> protocol</w:t>
      </w:r>
      <w:r w:rsidR="00941603" w:rsidRPr="008870F5">
        <w:rPr>
          <w:rFonts w:ascii="Times New Roman" w:hAnsi="Times New Roman"/>
          <w:sz w:val="20"/>
          <w:szCs w:val="20"/>
        </w:rPr>
        <w:t>s</w:t>
      </w:r>
      <w:r w:rsidRPr="008870F5">
        <w:rPr>
          <w:rFonts w:ascii="Times New Roman" w:hAnsi="Times New Roman"/>
          <w:sz w:val="20"/>
          <w:szCs w:val="20"/>
        </w:rPr>
        <w:t xml:space="preserve">. The first is the efficient collection of the current sample; the second is to inform the design of future studies. </w:t>
      </w:r>
      <w:r w:rsidRPr="008870F5">
        <w:rPr>
          <w:rFonts w:ascii="Times New Roman" w:hAnsi="Times New Roman"/>
          <w:bCs/>
          <w:sz w:val="20"/>
          <w:szCs w:val="20"/>
        </w:rPr>
        <w:t xml:space="preserve">The exact form of each of these contacts </w:t>
      </w:r>
      <w:r w:rsidR="00C01431">
        <w:rPr>
          <w:rFonts w:ascii="Times New Roman" w:hAnsi="Times New Roman"/>
          <w:bCs/>
          <w:sz w:val="20"/>
          <w:szCs w:val="20"/>
        </w:rPr>
        <w:t>may</w:t>
      </w:r>
      <w:r w:rsidR="00C01431" w:rsidRPr="008870F5">
        <w:rPr>
          <w:rFonts w:ascii="Times New Roman" w:hAnsi="Times New Roman"/>
          <w:bCs/>
          <w:sz w:val="20"/>
          <w:szCs w:val="20"/>
        </w:rPr>
        <w:t xml:space="preserve"> </w:t>
      </w:r>
      <w:r w:rsidRPr="008870F5">
        <w:rPr>
          <w:rFonts w:ascii="Times New Roman" w:hAnsi="Times New Roman"/>
          <w:bCs/>
          <w:sz w:val="20"/>
          <w:szCs w:val="20"/>
        </w:rPr>
        <w:t xml:space="preserve">vary somewhat, depending </w:t>
      </w:r>
      <w:r w:rsidR="00FF5BED">
        <w:rPr>
          <w:rFonts w:ascii="Times New Roman" w:hAnsi="Times New Roman"/>
          <w:bCs/>
          <w:sz w:val="20"/>
          <w:szCs w:val="20"/>
        </w:rPr>
        <w:t xml:space="preserve">on </w:t>
      </w:r>
      <w:r w:rsidR="00C01431">
        <w:rPr>
          <w:rFonts w:ascii="Times New Roman" w:hAnsi="Times New Roman"/>
          <w:bCs/>
          <w:sz w:val="20"/>
          <w:szCs w:val="20"/>
        </w:rPr>
        <w:t>whether any survey-related research is conducted during survey administration</w:t>
      </w:r>
      <w:r w:rsidRPr="008870F5">
        <w:rPr>
          <w:rFonts w:ascii="Times New Roman" w:hAnsi="Times New Roman"/>
          <w:bCs/>
          <w:sz w:val="20"/>
          <w:szCs w:val="20"/>
        </w:rPr>
        <w:t>.</w:t>
      </w:r>
      <w:r w:rsidR="00C01431">
        <w:rPr>
          <w:rFonts w:ascii="Times New Roman" w:hAnsi="Times New Roman"/>
          <w:bCs/>
          <w:sz w:val="20"/>
          <w:szCs w:val="20"/>
        </w:rPr>
        <w:t xml:space="preserve"> Examples of such potential research are timing of mailings, messaging, shorter-length surveys, or response mode options.</w:t>
      </w:r>
    </w:p>
    <w:p w:rsidR="00180AA7" w:rsidRPr="008870F5" w:rsidRDefault="00180AA7" w:rsidP="00180AA7">
      <w:pPr>
        <w:pStyle w:val="L1-FlLSp12"/>
        <w:rPr>
          <w:b/>
          <w:sz w:val="20"/>
        </w:rPr>
      </w:pPr>
    </w:p>
    <w:p w:rsidR="00AC4280" w:rsidRDefault="00AC4280" w:rsidP="00286751">
      <w:pPr>
        <w:rPr>
          <w:b/>
          <w:sz w:val="20"/>
          <w:szCs w:val="20"/>
        </w:rPr>
      </w:pPr>
    </w:p>
    <w:p w:rsidR="00AC4280" w:rsidRDefault="00AC4280" w:rsidP="00286751">
      <w:pPr>
        <w:rPr>
          <w:b/>
          <w:sz w:val="20"/>
          <w:szCs w:val="20"/>
        </w:rPr>
      </w:pPr>
    </w:p>
    <w:p w:rsidR="008051B1" w:rsidRDefault="008051B1" w:rsidP="00286751">
      <w:pPr>
        <w:rPr>
          <w:b/>
          <w:sz w:val="20"/>
          <w:szCs w:val="20"/>
        </w:rPr>
      </w:pPr>
    </w:p>
    <w:p w:rsidR="008051B1" w:rsidRDefault="008051B1" w:rsidP="00286751">
      <w:pPr>
        <w:rPr>
          <w:b/>
          <w:sz w:val="20"/>
          <w:szCs w:val="20"/>
        </w:rPr>
      </w:pPr>
    </w:p>
    <w:p w:rsidR="008051B1" w:rsidRDefault="008051B1" w:rsidP="00286751">
      <w:pPr>
        <w:rPr>
          <w:b/>
          <w:sz w:val="20"/>
          <w:szCs w:val="20"/>
        </w:rPr>
      </w:pPr>
    </w:p>
    <w:p w:rsidR="00D01379" w:rsidRDefault="00D01379" w:rsidP="00286751">
      <w:pPr>
        <w:rPr>
          <w:b/>
          <w:sz w:val="20"/>
          <w:szCs w:val="20"/>
        </w:rPr>
        <w:sectPr w:rsidR="00D01379" w:rsidSect="00BD588B">
          <w:pgSz w:w="12240" w:h="15840"/>
          <w:pgMar w:top="1008" w:right="1440" w:bottom="1008" w:left="1440" w:header="1080" w:footer="662" w:gutter="0"/>
          <w:cols w:space="720"/>
          <w:noEndnote/>
          <w:docGrid w:linePitch="326"/>
        </w:sectPr>
      </w:pPr>
    </w:p>
    <w:p w:rsidR="008051B1" w:rsidRDefault="008051B1" w:rsidP="00286751">
      <w:pPr>
        <w:rPr>
          <w:b/>
          <w:sz w:val="20"/>
          <w:szCs w:val="20"/>
        </w:rPr>
      </w:pPr>
    </w:p>
    <w:p w:rsidR="008051B1" w:rsidRDefault="008051B1" w:rsidP="00286751">
      <w:pPr>
        <w:rPr>
          <w:b/>
          <w:sz w:val="20"/>
          <w:szCs w:val="20"/>
        </w:rPr>
      </w:pPr>
    </w:p>
    <w:p w:rsidR="00B52505" w:rsidRPr="008870F5" w:rsidRDefault="00B52505" w:rsidP="00286751">
      <w:pPr>
        <w:rPr>
          <w:b/>
          <w:sz w:val="20"/>
          <w:szCs w:val="20"/>
        </w:rPr>
      </w:pPr>
      <w:r w:rsidRPr="008870F5">
        <w:rPr>
          <w:b/>
          <w:sz w:val="20"/>
          <w:szCs w:val="20"/>
        </w:rPr>
        <w:t>Individual Taxpayer Burden Survey</w:t>
      </w:r>
      <w:r w:rsidR="00180AA7" w:rsidRPr="008870F5">
        <w:rPr>
          <w:b/>
          <w:sz w:val="20"/>
          <w:szCs w:val="20"/>
        </w:rPr>
        <w:t>s (</w:t>
      </w:r>
      <w:r w:rsidR="00317E67">
        <w:rPr>
          <w:b/>
          <w:sz w:val="20"/>
          <w:szCs w:val="20"/>
        </w:rPr>
        <w:t>TY</w:t>
      </w:r>
      <w:r w:rsidR="00E92E47">
        <w:rPr>
          <w:b/>
          <w:sz w:val="20"/>
          <w:szCs w:val="20"/>
        </w:rPr>
        <w:t xml:space="preserve">2016, </w:t>
      </w:r>
      <w:r w:rsidR="00317E67">
        <w:rPr>
          <w:b/>
          <w:sz w:val="20"/>
          <w:szCs w:val="20"/>
        </w:rPr>
        <w:t>TY</w:t>
      </w:r>
      <w:r w:rsidR="00E92E47">
        <w:rPr>
          <w:b/>
          <w:sz w:val="20"/>
          <w:szCs w:val="20"/>
        </w:rPr>
        <w:t xml:space="preserve">2017 </w:t>
      </w:r>
      <w:r w:rsidR="00317E67">
        <w:rPr>
          <w:b/>
          <w:sz w:val="20"/>
          <w:szCs w:val="20"/>
        </w:rPr>
        <w:t>TY</w:t>
      </w:r>
      <w:r w:rsidR="00E92E47">
        <w:rPr>
          <w:b/>
          <w:sz w:val="20"/>
          <w:szCs w:val="20"/>
        </w:rPr>
        <w:t>2018</w:t>
      </w:r>
      <w:r w:rsidR="00180AA7" w:rsidRPr="008870F5">
        <w:rPr>
          <w:b/>
          <w:sz w:val="20"/>
          <w:szCs w:val="20"/>
        </w:rPr>
        <w:t>)</w:t>
      </w:r>
      <w:r w:rsidRPr="008870F5">
        <w:rPr>
          <w:b/>
          <w:sz w:val="20"/>
          <w:szCs w:val="20"/>
        </w:rPr>
        <w:t xml:space="preserve"> </w:t>
      </w:r>
      <w:r w:rsidR="00D271F9" w:rsidRPr="008870F5">
        <w:rPr>
          <w:b/>
          <w:sz w:val="20"/>
          <w:szCs w:val="20"/>
        </w:rPr>
        <w:t xml:space="preserve">and </w:t>
      </w:r>
      <w:r w:rsidR="00E92E47" w:rsidRPr="008870F5">
        <w:rPr>
          <w:b/>
          <w:sz w:val="20"/>
          <w:szCs w:val="20"/>
        </w:rPr>
        <w:t>201</w:t>
      </w:r>
      <w:r w:rsidR="00E92E47">
        <w:rPr>
          <w:b/>
          <w:sz w:val="20"/>
          <w:szCs w:val="20"/>
        </w:rPr>
        <w:t>8</w:t>
      </w:r>
      <w:r w:rsidR="00E92E47" w:rsidRPr="008870F5">
        <w:rPr>
          <w:b/>
          <w:sz w:val="20"/>
          <w:szCs w:val="20"/>
        </w:rPr>
        <w:t xml:space="preserve"> </w:t>
      </w:r>
      <w:r w:rsidR="005C6823" w:rsidRPr="008870F5">
        <w:rPr>
          <w:b/>
          <w:sz w:val="20"/>
          <w:szCs w:val="20"/>
        </w:rPr>
        <w:t>Taxpayer Compliance</w:t>
      </w:r>
      <w:r w:rsidRPr="008870F5">
        <w:rPr>
          <w:b/>
          <w:sz w:val="20"/>
          <w:szCs w:val="20"/>
        </w:rPr>
        <w:t xml:space="preserve"> Burden Survey</w:t>
      </w:r>
      <w:r w:rsidR="00180AA7" w:rsidRPr="008870F5">
        <w:rPr>
          <w:b/>
          <w:sz w:val="20"/>
          <w:szCs w:val="20"/>
        </w:rPr>
        <w:t>s</w:t>
      </w:r>
      <w:r w:rsidRPr="008870F5">
        <w:rPr>
          <w:b/>
          <w:sz w:val="20"/>
          <w:szCs w:val="20"/>
        </w:rPr>
        <w:t xml:space="preserve"> </w:t>
      </w:r>
    </w:p>
    <w:tbl>
      <w:tblPr>
        <w:tblW w:w="9288" w:type="dxa"/>
        <w:tblBorders>
          <w:top w:val="single" w:sz="18" w:space="0" w:color="7F7F7F"/>
          <w:left w:val="single" w:sz="18" w:space="0" w:color="7F7F7F"/>
          <w:bottom w:val="single" w:sz="18" w:space="0" w:color="7F7F7F"/>
          <w:right w:val="single" w:sz="18" w:space="0" w:color="7F7F7F"/>
        </w:tblBorders>
        <w:tblLook w:val="04A0" w:firstRow="1" w:lastRow="0" w:firstColumn="1" w:lastColumn="0" w:noHBand="0" w:noVBand="1"/>
      </w:tblPr>
      <w:tblGrid>
        <w:gridCol w:w="2448"/>
        <w:gridCol w:w="4770"/>
        <w:gridCol w:w="2070"/>
      </w:tblGrid>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2415F8">
            <w:pPr>
              <w:jc w:val="center"/>
              <w:rPr>
                <w:sz w:val="20"/>
                <w:szCs w:val="20"/>
              </w:rPr>
            </w:pPr>
            <w:r w:rsidRPr="008870F5">
              <w:rPr>
                <w:sz w:val="20"/>
                <w:szCs w:val="20"/>
              </w:rPr>
              <w:t>Contact</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2415F8">
            <w:pPr>
              <w:jc w:val="center"/>
              <w:rPr>
                <w:sz w:val="20"/>
              </w:rPr>
            </w:pPr>
            <w:r w:rsidRPr="008870F5">
              <w:rPr>
                <w:sz w:val="20"/>
              </w:rPr>
              <w:t>Description</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2415F8">
            <w:pPr>
              <w:jc w:val="center"/>
              <w:rPr>
                <w:sz w:val="20"/>
                <w:szCs w:val="20"/>
              </w:rPr>
            </w:pPr>
            <w:r w:rsidRPr="008870F5">
              <w:rPr>
                <w:sz w:val="20"/>
                <w:szCs w:val="20"/>
              </w:rPr>
              <w:t>Schedule</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Contact 1: Pre-note</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rPr>
              <w:t xml:space="preserve">The pre-note is a hardcopy letter from an IRS official endorsing the survey and emphasizing the importance </w:t>
            </w:r>
            <w:r w:rsidR="001A178B" w:rsidRPr="008870F5">
              <w:rPr>
                <w:sz w:val="20"/>
              </w:rPr>
              <w:t xml:space="preserve">of the data collection effort. </w:t>
            </w:r>
            <w:r w:rsidRPr="008870F5">
              <w:rPr>
                <w:sz w:val="20"/>
              </w:rPr>
              <w:t>It notifies the respondent of selection for the survey, as well as provides information about the survey and assurances that there is no risk associated with participation. In addition, respondents will be given directions on how to view the survey on the taxstats website.</w:t>
            </w:r>
            <w:r w:rsidR="00E92E47">
              <w:rPr>
                <w:sz w:val="20"/>
              </w:rPr>
              <w:t xml:space="preserve"> Provided in English and Spanish.</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Beginning of data collection period</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Contact 2: Survey packet</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5C5EB9">
            <w:pPr>
              <w:rPr>
                <w:sz w:val="20"/>
                <w:szCs w:val="20"/>
              </w:rPr>
            </w:pPr>
            <w:r w:rsidRPr="008870F5">
              <w:rPr>
                <w:sz w:val="20"/>
              </w:rPr>
              <w:t>The survey packet consists of a paper-and-pencil questionnaire, a pre-addressed postage paid reply envelope, and a letter from the survey vendor indicating that the enclosed survey is the one referred to in the previously-received pre-note</w:t>
            </w:r>
            <w:r w:rsidR="00C130C9" w:rsidRPr="008870F5">
              <w:rPr>
                <w:sz w:val="20"/>
              </w:rPr>
              <w:t>,</w:t>
            </w:r>
            <w:r w:rsidR="001C5D5E">
              <w:rPr>
                <w:sz w:val="20"/>
              </w:rPr>
              <w:t xml:space="preserve"> and</w:t>
            </w:r>
            <w:r w:rsidR="00C130C9" w:rsidRPr="008870F5">
              <w:rPr>
                <w:sz w:val="20"/>
              </w:rPr>
              <w:t xml:space="preserve"> a reminder that completing the survey is voluntary</w:t>
            </w:r>
            <w:r w:rsidR="001C5D5E">
              <w:rPr>
                <w:sz w:val="20"/>
              </w:rPr>
              <w:t>.</w:t>
            </w:r>
            <w:r w:rsidR="00C130C9" w:rsidRPr="008870F5">
              <w:rPr>
                <w:sz w:val="20"/>
              </w:rPr>
              <w:t xml:space="preserve"> </w:t>
            </w:r>
            <w:r w:rsidRPr="008870F5">
              <w:rPr>
                <w:sz w:val="20"/>
              </w:rPr>
              <w:t xml:space="preserve">The paper survey also includes information on how the respondents may complete the survey on the web, if so desired. </w:t>
            </w:r>
            <w:r w:rsidR="00E92E47">
              <w:rPr>
                <w:sz w:val="20"/>
              </w:rPr>
              <w:t xml:space="preserve">ITB only: </w:t>
            </w:r>
            <w:r w:rsidR="00C130C9" w:rsidRPr="008870F5">
              <w:rPr>
                <w:sz w:val="20"/>
              </w:rPr>
              <w:t>A $2 incentive will be enclosed in this mailing only.</w:t>
            </w:r>
            <w:r w:rsidR="00E92E47">
              <w:rPr>
                <w:sz w:val="20"/>
              </w:rPr>
              <w:t xml:space="preserve">  The survey vendor letter states</w:t>
            </w:r>
            <w:r w:rsidR="00E92E47" w:rsidRPr="008870F5">
              <w:rPr>
                <w:sz w:val="20"/>
              </w:rPr>
              <w:t xml:space="preserve"> that the incentive is a token of appreciation.</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180AA7" w:rsidP="00180AA7">
            <w:pPr>
              <w:rPr>
                <w:sz w:val="20"/>
                <w:szCs w:val="20"/>
              </w:rPr>
            </w:pPr>
            <w:r w:rsidRPr="008870F5">
              <w:rPr>
                <w:sz w:val="20"/>
                <w:szCs w:val="20"/>
              </w:rPr>
              <w:t>1</w:t>
            </w:r>
            <w:r w:rsidR="002415F8" w:rsidRPr="008870F5">
              <w:rPr>
                <w:sz w:val="20"/>
                <w:szCs w:val="20"/>
              </w:rPr>
              <w:t xml:space="preserve"> – </w:t>
            </w:r>
            <w:r w:rsidRPr="008870F5">
              <w:rPr>
                <w:sz w:val="20"/>
                <w:szCs w:val="20"/>
              </w:rPr>
              <w:t>2</w:t>
            </w:r>
            <w:r w:rsidR="002415F8" w:rsidRPr="008870F5">
              <w:rPr>
                <w:sz w:val="20"/>
                <w:szCs w:val="20"/>
              </w:rPr>
              <w:t xml:space="preserve"> weeks after Contact 1 mails</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 xml:space="preserve">Contact 3: </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rPr>
              <w:t>All respondents will be maile</w:t>
            </w:r>
            <w:r w:rsidR="00511919">
              <w:rPr>
                <w:sz w:val="20"/>
              </w:rPr>
              <w:t>d a thank you/reminder postcard.</w:t>
            </w:r>
            <w:r w:rsidRPr="008870F5">
              <w:rPr>
                <w:sz w:val="20"/>
              </w:rPr>
              <w:t xml:space="preserve"> The postcard will thank those who have already submitted a completed survey and ask those who have not</w:t>
            </w:r>
            <w:r w:rsidR="00E92E47">
              <w:rPr>
                <w:sz w:val="20"/>
              </w:rPr>
              <w:t xml:space="preserve"> responded</w:t>
            </w:r>
            <w:r w:rsidRPr="008870F5">
              <w:rPr>
                <w:sz w:val="20"/>
              </w:rPr>
              <w:t xml:space="preserve"> to please do so. </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3 weeks after Contact 2 mails</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Contact 4: Survey packet</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rPr>
              <w:t xml:space="preserve">Nonrespondents are sent the </w:t>
            </w:r>
            <w:r w:rsidR="00E92E47">
              <w:rPr>
                <w:sz w:val="20"/>
              </w:rPr>
              <w:t xml:space="preserve">Contact 2 </w:t>
            </w:r>
            <w:r w:rsidRPr="008870F5">
              <w:rPr>
                <w:sz w:val="20"/>
              </w:rPr>
              <w:t>survey packet</w:t>
            </w:r>
            <w:r w:rsidR="00E92E47">
              <w:rPr>
                <w:sz w:val="20"/>
              </w:rPr>
              <w:t>. ITB only: No incentive is included. The survey vendor letter is replaced with a letter that does not mention an incentive.</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2 weeks after Contact 3 mails</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 xml:space="preserve">Contact 5: </w:t>
            </w:r>
            <w:r w:rsidR="00317E67" w:rsidRPr="008870F5">
              <w:rPr>
                <w:sz w:val="20"/>
                <w:szCs w:val="20"/>
              </w:rPr>
              <w:t xml:space="preserve">Thank you/reminder Postcard </w:t>
            </w:r>
            <w:r w:rsidR="00317E67">
              <w:rPr>
                <w:sz w:val="20"/>
                <w:szCs w:val="20"/>
              </w:rPr>
              <w:t xml:space="preserve">(ITB only: </w:t>
            </w:r>
            <w:r w:rsidR="00317E67" w:rsidRPr="008870F5">
              <w:rPr>
                <w:sz w:val="20"/>
                <w:szCs w:val="20"/>
              </w:rPr>
              <w:t xml:space="preserve">Thank you/reminder Postcard </w:t>
            </w:r>
            <w:r w:rsidR="00317E67">
              <w:rPr>
                <w:sz w:val="20"/>
                <w:szCs w:val="20"/>
              </w:rPr>
              <w:t xml:space="preserve">or </w:t>
            </w:r>
            <w:r w:rsidRPr="008870F5">
              <w:rPr>
                <w:sz w:val="20"/>
                <w:szCs w:val="20"/>
              </w:rPr>
              <w:t xml:space="preserve">Phone </w:t>
            </w:r>
            <w:r w:rsidR="00511919" w:rsidRPr="008870F5">
              <w:rPr>
                <w:sz w:val="20"/>
                <w:szCs w:val="20"/>
              </w:rPr>
              <w:t>call)</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5C5EB9">
            <w:pPr>
              <w:rPr>
                <w:sz w:val="20"/>
                <w:szCs w:val="20"/>
              </w:rPr>
            </w:pPr>
            <w:r w:rsidRPr="008870F5">
              <w:rPr>
                <w:sz w:val="20"/>
              </w:rPr>
              <w:t xml:space="preserve">If no completed survey is received, nonrespondents </w:t>
            </w:r>
            <w:r w:rsidR="00E92E47">
              <w:rPr>
                <w:sz w:val="20"/>
              </w:rPr>
              <w:t>will receive a follow-up thank you/reminder postcard, similar to Contact 3</w:t>
            </w:r>
            <w:r w:rsidR="00317E67">
              <w:rPr>
                <w:sz w:val="20"/>
              </w:rPr>
              <w:t>. ITB only</w:t>
            </w:r>
            <w:r w:rsidR="001C5D5E">
              <w:rPr>
                <w:sz w:val="20"/>
              </w:rPr>
              <w:t>:</w:t>
            </w:r>
            <w:r w:rsidR="00317E67">
              <w:rPr>
                <w:sz w:val="20"/>
              </w:rPr>
              <w:t xml:space="preserve"> N</w:t>
            </w:r>
            <w:r w:rsidR="00B66387">
              <w:rPr>
                <w:sz w:val="20"/>
              </w:rPr>
              <w:t>o</w:t>
            </w:r>
            <w:r w:rsidR="00E92E47">
              <w:rPr>
                <w:sz w:val="20"/>
              </w:rPr>
              <w:t xml:space="preserve">nrespondents </w:t>
            </w:r>
            <w:r w:rsidRPr="008870F5">
              <w:rPr>
                <w:sz w:val="20"/>
              </w:rPr>
              <w:t xml:space="preserve">that have been matched to a phone number will receive </w:t>
            </w:r>
            <w:r w:rsidR="00317E67">
              <w:rPr>
                <w:sz w:val="20"/>
              </w:rPr>
              <w:t>an IVR prompt that will ask them complete and return the survey or call the su</w:t>
            </w:r>
            <w:r w:rsidR="00B66387">
              <w:rPr>
                <w:sz w:val="20"/>
              </w:rPr>
              <w:t>r</w:t>
            </w:r>
            <w:r w:rsidR="00317E67">
              <w:rPr>
                <w:sz w:val="20"/>
              </w:rPr>
              <w:t>vey vendor if the respondent has questions.</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2 weeks after Contact 4 mails</w:t>
            </w:r>
          </w:p>
        </w:tc>
      </w:tr>
      <w:tr w:rsidR="002415F8" w:rsidRPr="008870F5" w:rsidTr="008905E3">
        <w:tc>
          <w:tcPr>
            <w:tcW w:w="2448"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Contact 6: Survey packet</w:t>
            </w:r>
          </w:p>
        </w:tc>
        <w:tc>
          <w:tcPr>
            <w:tcW w:w="47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rPr>
              <w:t>Nonrespondents are sent the survey packet, which provides a third copy of the paper-and-pencil questionnaire, a pre-addressed postage paid reply envelope, and a letter from the survey vendor asking for response. As with the first and second survey packets, the paper survey also includes information on how the respondents may complete the survey on the web, if so desired.</w:t>
            </w:r>
          </w:p>
        </w:tc>
        <w:tc>
          <w:tcPr>
            <w:tcW w:w="2070" w:type="dxa"/>
            <w:tcBorders>
              <w:top w:val="single" w:sz="4" w:space="0" w:color="7F7F7F"/>
              <w:left w:val="single" w:sz="4" w:space="0" w:color="7F7F7F"/>
              <w:bottom w:val="single" w:sz="4" w:space="0" w:color="7F7F7F"/>
              <w:right w:val="single" w:sz="4" w:space="0" w:color="7F7F7F"/>
            </w:tcBorders>
          </w:tcPr>
          <w:p w:rsidR="002415F8" w:rsidRPr="008870F5" w:rsidRDefault="002415F8" w:rsidP="00DE290D">
            <w:pPr>
              <w:rPr>
                <w:sz w:val="20"/>
                <w:szCs w:val="20"/>
              </w:rPr>
            </w:pPr>
            <w:r w:rsidRPr="008870F5">
              <w:rPr>
                <w:sz w:val="20"/>
                <w:szCs w:val="20"/>
              </w:rPr>
              <w:t>2 weeks after Contact 5 phone or postcard follow-up</w:t>
            </w:r>
          </w:p>
        </w:tc>
      </w:tr>
    </w:tbl>
    <w:p w:rsidR="008905E3" w:rsidRPr="008870F5" w:rsidRDefault="008905E3"/>
    <w:p w:rsidR="00B52505" w:rsidRDefault="00B52505" w:rsidP="00286751">
      <w:pPr>
        <w:rPr>
          <w:sz w:val="20"/>
          <w:szCs w:val="20"/>
        </w:rPr>
      </w:pPr>
    </w:p>
    <w:p w:rsidR="00317E67" w:rsidRDefault="00317E67" w:rsidP="00286751">
      <w:pPr>
        <w:rPr>
          <w:sz w:val="20"/>
          <w:szCs w:val="20"/>
        </w:rPr>
      </w:pPr>
    </w:p>
    <w:p w:rsidR="00317E67" w:rsidRDefault="00317E67" w:rsidP="00286751">
      <w:pPr>
        <w:rPr>
          <w:sz w:val="20"/>
          <w:szCs w:val="20"/>
        </w:rPr>
      </w:pPr>
    </w:p>
    <w:p w:rsidR="00B66387" w:rsidRDefault="00B66387" w:rsidP="00286751">
      <w:pPr>
        <w:rPr>
          <w:sz w:val="20"/>
          <w:szCs w:val="20"/>
        </w:rPr>
      </w:pPr>
    </w:p>
    <w:p w:rsidR="008051B1" w:rsidRDefault="008051B1" w:rsidP="00286751">
      <w:pPr>
        <w:rPr>
          <w:sz w:val="20"/>
          <w:szCs w:val="20"/>
        </w:rPr>
      </w:pPr>
    </w:p>
    <w:p w:rsidR="008051B1" w:rsidRDefault="008051B1" w:rsidP="00286751">
      <w:pPr>
        <w:rPr>
          <w:sz w:val="20"/>
          <w:szCs w:val="20"/>
        </w:rPr>
      </w:pPr>
    </w:p>
    <w:p w:rsidR="008051B1" w:rsidRDefault="008051B1" w:rsidP="00286751">
      <w:pPr>
        <w:rPr>
          <w:sz w:val="20"/>
          <w:szCs w:val="20"/>
        </w:rPr>
      </w:pPr>
    </w:p>
    <w:p w:rsidR="008051B1" w:rsidRDefault="008051B1" w:rsidP="00286751">
      <w:pPr>
        <w:rPr>
          <w:sz w:val="20"/>
          <w:szCs w:val="20"/>
        </w:rPr>
      </w:pPr>
    </w:p>
    <w:p w:rsidR="008051B1" w:rsidRDefault="008051B1" w:rsidP="00286751">
      <w:pPr>
        <w:rPr>
          <w:sz w:val="20"/>
          <w:szCs w:val="20"/>
        </w:rPr>
      </w:pPr>
    </w:p>
    <w:p w:rsidR="008051B1" w:rsidRDefault="008051B1" w:rsidP="00286751">
      <w:pPr>
        <w:rPr>
          <w:sz w:val="20"/>
          <w:szCs w:val="20"/>
        </w:rPr>
      </w:pPr>
    </w:p>
    <w:p w:rsidR="00B66387" w:rsidRPr="008870F5" w:rsidRDefault="00B66387" w:rsidP="00286751">
      <w:pPr>
        <w:rPr>
          <w:sz w:val="20"/>
          <w:szCs w:val="20"/>
        </w:rPr>
      </w:pPr>
    </w:p>
    <w:p w:rsidR="00332BE3" w:rsidRPr="008870F5" w:rsidRDefault="00317E67" w:rsidP="00332BE3">
      <w:pPr>
        <w:rPr>
          <w:b/>
          <w:sz w:val="20"/>
          <w:szCs w:val="20"/>
        </w:rPr>
      </w:pPr>
      <w:r>
        <w:rPr>
          <w:b/>
          <w:sz w:val="20"/>
          <w:szCs w:val="20"/>
        </w:rPr>
        <w:t>All Other Surveys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320"/>
        <w:gridCol w:w="2160"/>
      </w:tblGrid>
      <w:tr w:rsidR="00332BE3" w:rsidRPr="008870F5" w:rsidTr="00332BE3">
        <w:tc>
          <w:tcPr>
            <w:tcW w:w="2808" w:type="dxa"/>
          </w:tcPr>
          <w:p w:rsidR="00332BE3" w:rsidRPr="008870F5" w:rsidRDefault="00332BE3" w:rsidP="00332BE3">
            <w:pPr>
              <w:jc w:val="center"/>
              <w:rPr>
                <w:sz w:val="20"/>
                <w:szCs w:val="20"/>
              </w:rPr>
            </w:pPr>
            <w:r w:rsidRPr="008870F5">
              <w:rPr>
                <w:sz w:val="20"/>
                <w:szCs w:val="20"/>
              </w:rPr>
              <w:t>Contact</w:t>
            </w:r>
          </w:p>
        </w:tc>
        <w:tc>
          <w:tcPr>
            <w:tcW w:w="4320" w:type="dxa"/>
          </w:tcPr>
          <w:p w:rsidR="00332BE3" w:rsidRPr="008870F5" w:rsidRDefault="00332BE3" w:rsidP="00332BE3">
            <w:pPr>
              <w:jc w:val="center"/>
              <w:rPr>
                <w:sz w:val="20"/>
              </w:rPr>
            </w:pPr>
            <w:r w:rsidRPr="008870F5">
              <w:rPr>
                <w:sz w:val="20"/>
              </w:rPr>
              <w:t>Description</w:t>
            </w:r>
          </w:p>
        </w:tc>
        <w:tc>
          <w:tcPr>
            <w:tcW w:w="2160" w:type="dxa"/>
          </w:tcPr>
          <w:p w:rsidR="00332BE3" w:rsidRPr="008870F5" w:rsidRDefault="00332BE3" w:rsidP="00332BE3">
            <w:pPr>
              <w:jc w:val="center"/>
              <w:rPr>
                <w:sz w:val="20"/>
                <w:szCs w:val="20"/>
              </w:rPr>
            </w:pPr>
            <w:r w:rsidRPr="008870F5">
              <w:rPr>
                <w:sz w:val="20"/>
                <w:szCs w:val="20"/>
              </w:rPr>
              <w:t>Schedule</w:t>
            </w:r>
          </w:p>
        </w:tc>
      </w:tr>
      <w:tr w:rsidR="00332BE3" w:rsidRPr="008870F5" w:rsidTr="00332BE3">
        <w:tc>
          <w:tcPr>
            <w:tcW w:w="2808" w:type="dxa"/>
          </w:tcPr>
          <w:p w:rsidR="00332BE3" w:rsidRPr="008870F5" w:rsidRDefault="00332BE3" w:rsidP="00DE290D">
            <w:pPr>
              <w:rPr>
                <w:sz w:val="20"/>
                <w:szCs w:val="20"/>
              </w:rPr>
            </w:pPr>
            <w:r w:rsidRPr="008870F5">
              <w:rPr>
                <w:sz w:val="20"/>
                <w:szCs w:val="20"/>
              </w:rPr>
              <w:t>Contact 1: Initial survey packet</w:t>
            </w:r>
          </w:p>
        </w:tc>
        <w:tc>
          <w:tcPr>
            <w:tcW w:w="4320" w:type="dxa"/>
          </w:tcPr>
          <w:p w:rsidR="00332BE3" w:rsidRPr="008870F5" w:rsidRDefault="00332BE3" w:rsidP="00DA7688">
            <w:pPr>
              <w:rPr>
                <w:sz w:val="20"/>
                <w:szCs w:val="20"/>
              </w:rPr>
            </w:pPr>
            <w:r w:rsidRPr="008870F5">
              <w:rPr>
                <w:sz w:val="20"/>
                <w:szCs w:val="20"/>
              </w:rPr>
              <w:t xml:space="preserve">The initial survey packet consists of a paper-and-pencil (TeleForm) survey, a letter from the IRS endorsing the survey, a letter from </w:t>
            </w:r>
            <w:r w:rsidR="00DA7688" w:rsidRPr="008870F5">
              <w:rPr>
                <w:sz w:val="20"/>
                <w:szCs w:val="20"/>
              </w:rPr>
              <w:t>the survey vendor</w:t>
            </w:r>
            <w:r w:rsidRPr="008870F5">
              <w:rPr>
                <w:sz w:val="20"/>
                <w:szCs w:val="20"/>
              </w:rPr>
              <w:t xml:space="preserve"> with instructions on completing the survey online, and a postage-paid return envelope. </w:t>
            </w:r>
          </w:p>
        </w:tc>
        <w:tc>
          <w:tcPr>
            <w:tcW w:w="2160" w:type="dxa"/>
          </w:tcPr>
          <w:p w:rsidR="00332BE3" w:rsidRPr="008870F5" w:rsidRDefault="00332BE3" w:rsidP="00DE290D">
            <w:pPr>
              <w:rPr>
                <w:sz w:val="20"/>
                <w:szCs w:val="20"/>
              </w:rPr>
            </w:pPr>
            <w:r w:rsidRPr="008870F5">
              <w:rPr>
                <w:sz w:val="20"/>
                <w:szCs w:val="20"/>
              </w:rPr>
              <w:t>Beginning of data collection period</w:t>
            </w:r>
          </w:p>
        </w:tc>
      </w:tr>
      <w:tr w:rsidR="00332BE3" w:rsidRPr="008870F5" w:rsidTr="00332BE3">
        <w:tc>
          <w:tcPr>
            <w:tcW w:w="2808" w:type="dxa"/>
          </w:tcPr>
          <w:p w:rsidR="00332BE3" w:rsidRPr="008870F5" w:rsidRDefault="00332BE3" w:rsidP="00DE290D">
            <w:pPr>
              <w:rPr>
                <w:sz w:val="20"/>
                <w:szCs w:val="20"/>
              </w:rPr>
            </w:pPr>
            <w:r w:rsidRPr="008870F5">
              <w:rPr>
                <w:sz w:val="20"/>
                <w:szCs w:val="20"/>
              </w:rPr>
              <w:t>Contact 2: Thank you/reminder Postcard</w:t>
            </w:r>
          </w:p>
        </w:tc>
        <w:tc>
          <w:tcPr>
            <w:tcW w:w="4320" w:type="dxa"/>
          </w:tcPr>
          <w:p w:rsidR="00332BE3" w:rsidRPr="008870F5" w:rsidRDefault="00317E67" w:rsidP="00DE290D">
            <w:pPr>
              <w:rPr>
                <w:sz w:val="20"/>
                <w:szCs w:val="20"/>
              </w:rPr>
            </w:pPr>
            <w:r w:rsidRPr="008870F5">
              <w:rPr>
                <w:sz w:val="20"/>
              </w:rPr>
              <w:t>All respondents will be mailed a thank you/reminder postcard</w:t>
            </w:r>
            <w:r w:rsidR="00511919">
              <w:rPr>
                <w:sz w:val="20"/>
              </w:rPr>
              <w:t>.</w:t>
            </w:r>
            <w:r w:rsidRPr="008870F5">
              <w:rPr>
                <w:sz w:val="20"/>
              </w:rPr>
              <w:t xml:space="preserve"> The postcard will thank those who have already submitted a completed survey and ask those who have not</w:t>
            </w:r>
            <w:r>
              <w:rPr>
                <w:sz w:val="20"/>
              </w:rPr>
              <w:t xml:space="preserve"> responded</w:t>
            </w:r>
            <w:r w:rsidRPr="008870F5">
              <w:rPr>
                <w:sz w:val="20"/>
              </w:rPr>
              <w:t xml:space="preserve"> to please do so.</w:t>
            </w:r>
          </w:p>
        </w:tc>
        <w:tc>
          <w:tcPr>
            <w:tcW w:w="2160" w:type="dxa"/>
          </w:tcPr>
          <w:p w:rsidR="00332BE3" w:rsidRPr="008870F5" w:rsidRDefault="00332BE3" w:rsidP="00DE290D">
            <w:pPr>
              <w:rPr>
                <w:sz w:val="20"/>
                <w:szCs w:val="20"/>
              </w:rPr>
            </w:pPr>
            <w:r w:rsidRPr="008870F5">
              <w:rPr>
                <w:sz w:val="20"/>
                <w:szCs w:val="20"/>
              </w:rPr>
              <w:t>7 – 10 days after Contact 1 mails</w:t>
            </w:r>
          </w:p>
        </w:tc>
      </w:tr>
      <w:tr w:rsidR="00332BE3" w:rsidRPr="008870F5" w:rsidTr="00332BE3">
        <w:tc>
          <w:tcPr>
            <w:tcW w:w="2808" w:type="dxa"/>
          </w:tcPr>
          <w:p w:rsidR="00332BE3" w:rsidRPr="008870F5" w:rsidRDefault="00332BE3" w:rsidP="00DE290D">
            <w:pPr>
              <w:rPr>
                <w:sz w:val="20"/>
                <w:szCs w:val="20"/>
              </w:rPr>
            </w:pPr>
            <w:r w:rsidRPr="008870F5">
              <w:rPr>
                <w:sz w:val="20"/>
                <w:szCs w:val="20"/>
              </w:rPr>
              <w:t>Contact 3: Follow-up survey packet</w:t>
            </w:r>
          </w:p>
        </w:tc>
        <w:tc>
          <w:tcPr>
            <w:tcW w:w="4320" w:type="dxa"/>
          </w:tcPr>
          <w:p w:rsidR="00332BE3" w:rsidRPr="008870F5" w:rsidRDefault="00332BE3" w:rsidP="00DA7688">
            <w:pPr>
              <w:rPr>
                <w:sz w:val="20"/>
                <w:szCs w:val="20"/>
              </w:rPr>
            </w:pPr>
            <w:r w:rsidRPr="008870F5">
              <w:rPr>
                <w:sz w:val="20"/>
                <w:szCs w:val="20"/>
              </w:rPr>
              <w:t xml:space="preserve">All sampled organizations will receive a follow-up survey packet, which will include the paper-and-pencil (TeleForm) survey, a letter from the IRS endorsing the survey, and a letter from </w:t>
            </w:r>
            <w:r w:rsidR="00DA7688" w:rsidRPr="008870F5">
              <w:rPr>
                <w:sz w:val="20"/>
                <w:szCs w:val="20"/>
              </w:rPr>
              <w:t>the survey vendor</w:t>
            </w:r>
            <w:r w:rsidRPr="008870F5">
              <w:rPr>
                <w:sz w:val="20"/>
                <w:szCs w:val="20"/>
              </w:rPr>
              <w:t xml:space="preserve"> with instructions on completing the survey online.4 The letters will be tailored to acknowledge the earlier survey package sent to the respondent.</w:t>
            </w:r>
          </w:p>
        </w:tc>
        <w:tc>
          <w:tcPr>
            <w:tcW w:w="2160" w:type="dxa"/>
          </w:tcPr>
          <w:p w:rsidR="00332BE3" w:rsidRPr="008870F5" w:rsidRDefault="00332BE3" w:rsidP="00DE290D">
            <w:pPr>
              <w:rPr>
                <w:sz w:val="20"/>
                <w:szCs w:val="20"/>
              </w:rPr>
            </w:pPr>
            <w:r w:rsidRPr="008870F5">
              <w:rPr>
                <w:sz w:val="20"/>
                <w:szCs w:val="20"/>
              </w:rPr>
              <w:t>7 – 10 days after Contact 1 mails</w:t>
            </w:r>
          </w:p>
        </w:tc>
      </w:tr>
      <w:tr w:rsidR="00317E67" w:rsidRPr="008870F5" w:rsidTr="00F95382">
        <w:tc>
          <w:tcPr>
            <w:tcW w:w="2808" w:type="dxa"/>
            <w:tcBorders>
              <w:top w:val="single" w:sz="4" w:space="0" w:color="7F7F7F"/>
              <w:left w:val="single" w:sz="4" w:space="0" w:color="7F7F7F"/>
              <w:bottom w:val="single" w:sz="4" w:space="0" w:color="7F7F7F"/>
              <w:right w:val="single" w:sz="4" w:space="0" w:color="7F7F7F"/>
            </w:tcBorders>
          </w:tcPr>
          <w:p w:rsidR="00317E67" w:rsidRPr="008870F5" w:rsidRDefault="00317E67" w:rsidP="00317E67">
            <w:pPr>
              <w:rPr>
                <w:sz w:val="20"/>
                <w:szCs w:val="20"/>
              </w:rPr>
            </w:pPr>
            <w:r>
              <w:rPr>
                <w:sz w:val="20"/>
                <w:szCs w:val="20"/>
              </w:rPr>
              <w:t>Contact 4</w:t>
            </w:r>
            <w:r w:rsidRPr="008870F5">
              <w:rPr>
                <w:sz w:val="20"/>
                <w:szCs w:val="20"/>
              </w:rPr>
              <w:t xml:space="preserve">: Thank you/reminder Postcard </w:t>
            </w:r>
            <w:r>
              <w:rPr>
                <w:sz w:val="20"/>
                <w:szCs w:val="20"/>
              </w:rPr>
              <w:t xml:space="preserve">or </w:t>
            </w:r>
            <w:r w:rsidRPr="008870F5">
              <w:rPr>
                <w:sz w:val="20"/>
                <w:szCs w:val="20"/>
              </w:rPr>
              <w:t xml:space="preserve">Phone </w:t>
            </w:r>
            <w:r w:rsidR="00511919" w:rsidRPr="008870F5">
              <w:rPr>
                <w:sz w:val="20"/>
                <w:szCs w:val="20"/>
              </w:rPr>
              <w:t>call)</w:t>
            </w:r>
          </w:p>
        </w:tc>
        <w:tc>
          <w:tcPr>
            <w:tcW w:w="4320" w:type="dxa"/>
            <w:tcBorders>
              <w:top w:val="single" w:sz="4" w:space="0" w:color="7F7F7F"/>
              <w:left w:val="single" w:sz="4" w:space="0" w:color="7F7F7F"/>
              <w:bottom w:val="single" w:sz="4" w:space="0" w:color="7F7F7F"/>
              <w:right w:val="single" w:sz="4" w:space="0" w:color="7F7F7F"/>
            </w:tcBorders>
          </w:tcPr>
          <w:p w:rsidR="00317E67" w:rsidRPr="008870F5" w:rsidRDefault="00317E67" w:rsidP="00317E67">
            <w:pPr>
              <w:rPr>
                <w:sz w:val="20"/>
                <w:szCs w:val="20"/>
              </w:rPr>
            </w:pPr>
            <w:r w:rsidRPr="008870F5">
              <w:rPr>
                <w:sz w:val="20"/>
              </w:rPr>
              <w:t xml:space="preserve">If no completed survey is received, nonrespondents </w:t>
            </w:r>
            <w:r>
              <w:rPr>
                <w:sz w:val="20"/>
              </w:rPr>
              <w:t>will either receive a follow-up thank you/reminder postcard, similar to Contact 3, or if they have been matched to a phone number, an IVR prompt will ask them complete and return the survey or call the su</w:t>
            </w:r>
            <w:r w:rsidR="00B66387">
              <w:rPr>
                <w:sz w:val="20"/>
              </w:rPr>
              <w:t>r</w:t>
            </w:r>
            <w:r>
              <w:rPr>
                <w:sz w:val="20"/>
              </w:rPr>
              <w:t>vey vendor if the respondent has questions.</w:t>
            </w:r>
          </w:p>
        </w:tc>
        <w:tc>
          <w:tcPr>
            <w:tcW w:w="2160" w:type="dxa"/>
          </w:tcPr>
          <w:p w:rsidR="00317E67" w:rsidRPr="008870F5" w:rsidRDefault="00317E67" w:rsidP="00317E67">
            <w:pPr>
              <w:rPr>
                <w:sz w:val="20"/>
                <w:szCs w:val="20"/>
              </w:rPr>
            </w:pPr>
            <w:r w:rsidRPr="008870F5">
              <w:rPr>
                <w:sz w:val="20"/>
                <w:szCs w:val="20"/>
              </w:rPr>
              <w:t>7 – 10 days after Contact 1 mails</w:t>
            </w:r>
          </w:p>
        </w:tc>
      </w:tr>
      <w:tr w:rsidR="00317E67" w:rsidRPr="008870F5" w:rsidTr="00F95382">
        <w:tblPrEx>
          <w:tblBorders>
            <w:top w:val="single" w:sz="18" w:space="0" w:color="7F7F7F"/>
            <w:left w:val="single" w:sz="18" w:space="0" w:color="7F7F7F"/>
            <w:bottom w:val="single" w:sz="18" w:space="0" w:color="7F7F7F"/>
            <w:right w:val="single" w:sz="18" w:space="0" w:color="7F7F7F"/>
            <w:insideH w:val="none" w:sz="0" w:space="0" w:color="auto"/>
            <w:insideV w:val="none" w:sz="0" w:space="0" w:color="auto"/>
          </w:tblBorders>
        </w:tblPrEx>
        <w:tc>
          <w:tcPr>
            <w:tcW w:w="2808" w:type="dxa"/>
            <w:tcBorders>
              <w:top w:val="single" w:sz="4" w:space="0" w:color="7F7F7F"/>
              <w:left w:val="single" w:sz="4" w:space="0" w:color="7F7F7F"/>
              <w:bottom w:val="single" w:sz="4" w:space="0" w:color="7F7F7F"/>
              <w:right w:val="single" w:sz="4" w:space="0" w:color="7F7F7F"/>
            </w:tcBorders>
          </w:tcPr>
          <w:p w:rsidR="00317E67" w:rsidRPr="008870F5" w:rsidRDefault="00317E67" w:rsidP="00E2594C">
            <w:pPr>
              <w:rPr>
                <w:sz w:val="20"/>
                <w:szCs w:val="20"/>
              </w:rPr>
            </w:pPr>
            <w:r w:rsidRPr="008870F5">
              <w:rPr>
                <w:sz w:val="20"/>
                <w:szCs w:val="20"/>
              </w:rPr>
              <w:t xml:space="preserve">Contact </w:t>
            </w:r>
            <w:r>
              <w:rPr>
                <w:sz w:val="20"/>
                <w:szCs w:val="20"/>
              </w:rPr>
              <w:t>5</w:t>
            </w:r>
            <w:r w:rsidRPr="008870F5">
              <w:rPr>
                <w:sz w:val="20"/>
                <w:szCs w:val="20"/>
              </w:rPr>
              <w:t>: Survey packet</w:t>
            </w:r>
          </w:p>
        </w:tc>
        <w:tc>
          <w:tcPr>
            <w:tcW w:w="4320" w:type="dxa"/>
            <w:tcBorders>
              <w:top w:val="single" w:sz="4" w:space="0" w:color="7F7F7F"/>
              <w:left w:val="single" w:sz="4" w:space="0" w:color="7F7F7F"/>
              <w:bottom w:val="single" w:sz="4" w:space="0" w:color="7F7F7F"/>
              <w:right w:val="single" w:sz="4" w:space="0" w:color="7F7F7F"/>
            </w:tcBorders>
          </w:tcPr>
          <w:p w:rsidR="00317E67" w:rsidRPr="008870F5" w:rsidRDefault="00317E67" w:rsidP="00E2594C">
            <w:pPr>
              <w:rPr>
                <w:sz w:val="20"/>
                <w:szCs w:val="20"/>
              </w:rPr>
            </w:pPr>
            <w:r w:rsidRPr="008870F5">
              <w:rPr>
                <w:sz w:val="20"/>
              </w:rPr>
              <w:t>Nonrespondents are sent the survey packet, which provides a third copy of the paper-and-pencil questionnaire, a pre-addressed postage paid reply envelope, and a letter from the survey vendor asking for response. As with the first and second survey packets, the paper survey also includes information on how the respondents may complete the survey on the web, if so desired.</w:t>
            </w:r>
          </w:p>
        </w:tc>
        <w:tc>
          <w:tcPr>
            <w:tcW w:w="2160" w:type="dxa"/>
            <w:tcBorders>
              <w:top w:val="single" w:sz="4" w:space="0" w:color="7F7F7F"/>
              <w:left w:val="single" w:sz="4" w:space="0" w:color="7F7F7F"/>
              <w:bottom w:val="single" w:sz="4" w:space="0" w:color="7F7F7F"/>
              <w:right w:val="single" w:sz="4" w:space="0" w:color="7F7F7F"/>
            </w:tcBorders>
          </w:tcPr>
          <w:p w:rsidR="00317E67" w:rsidRPr="008870F5" w:rsidRDefault="00317E67" w:rsidP="00E2594C">
            <w:pPr>
              <w:rPr>
                <w:sz w:val="20"/>
                <w:szCs w:val="20"/>
              </w:rPr>
            </w:pPr>
            <w:r w:rsidRPr="008870F5">
              <w:rPr>
                <w:sz w:val="20"/>
                <w:szCs w:val="20"/>
              </w:rPr>
              <w:t>2 weeks after Contact 5 phone or postcard follow-up</w:t>
            </w:r>
          </w:p>
        </w:tc>
      </w:tr>
    </w:tbl>
    <w:p w:rsidR="00E01D27" w:rsidRDefault="00E01D27" w:rsidP="00286751">
      <w:pPr>
        <w:rPr>
          <w:sz w:val="20"/>
          <w:szCs w:val="20"/>
        </w:rPr>
      </w:pPr>
    </w:p>
    <w:p w:rsidR="00D664BC" w:rsidRPr="008870F5" w:rsidRDefault="002777A6" w:rsidP="00286751">
      <w:pPr>
        <w:rPr>
          <w:sz w:val="20"/>
          <w:szCs w:val="20"/>
        </w:rPr>
      </w:pPr>
      <w:r w:rsidRPr="008870F5">
        <w:rPr>
          <w:b/>
          <w:sz w:val="20"/>
          <w:szCs w:val="20"/>
        </w:rPr>
        <w:t>Web survey.</w:t>
      </w:r>
      <w:r w:rsidRPr="008870F5">
        <w:rPr>
          <w:sz w:val="20"/>
          <w:szCs w:val="20"/>
        </w:rPr>
        <w:t xml:space="preserve"> </w:t>
      </w:r>
      <w:r w:rsidR="00D664BC" w:rsidRPr="008870F5">
        <w:rPr>
          <w:sz w:val="20"/>
          <w:szCs w:val="20"/>
        </w:rPr>
        <w:t>The secure web survey will be posted online using a proprietary web survey delivery system developed by our contractor. The software easily accommodates different question formats, including open-ended response fields.  It also allows participants to skip questions and complete the survey in more than one session (i.e., the respondent can leave the web survey and come back to finish it at a later time).  Development and testing of the web survey will follow well-established, documented best methods.</w:t>
      </w:r>
    </w:p>
    <w:p w:rsidR="00D664BC" w:rsidRPr="008870F5" w:rsidRDefault="00D664BC" w:rsidP="00D35597">
      <w:pPr>
        <w:spacing w:line="180" w:lineRule="exact"/>
        <w:rPr>
          <w:sz w:val="20"/>
          <w:szCs w:val="20"/>
        </w:rPr>
      </w:pPr>
    </w:p>
    <w:p w:rsidR="00D664BC" w:rsidRPr="008870F5" w:rsidRDefault="002777A6" w:rsidP="00286751">
      <w:pPr>
        <w:rPr>
          <w:sz w:val="20"/>
          <w:szCs w:val="20"/>
        </w:rPr>
      </w:pPr>
      <w:r w:rsidRPr="008870F5">
        <w:rPr>
          <w:b/>
          <w:sz w:val="20"/>
          <w:szCs w:val="20"/>
        </w:rPr>
        <w:t>Paper-and-pencil survey.</w:t>
      </w:r>
      <w:r w:rsidRPr="008870F5">
        <w:rPr>
          <w:sz w:val="20"/>
          <w:szCs w:val="20"/>
        </w:rPr>
        <w:t xml:space="preserve"> </w:t>
      </w:r>
      <w:r w:rsidR="00D664BC" w:rsidRPr="008870F5">
        <w:rPr>
          <w:sz w:val="20"/>
          <w:szCs w:val="20"/>
        </w:rPr>
        <w:t>The paper-and-pencil mail survey will be designed to be user friendly, easy to navigate, and with clear and simple instructions.  The survey will be created using TeleForm technology, a software system for intelligent data capture and image processing.  The software extracts indexing information automatically from any document type through the use of multiple recognition engines. TeleForm reads hand print, machine print, optical marks, bar codes, and signatures. </w:t>
      </w:r>
    </w:p>
    <w:p w:rsidR="00D664BC" w:rsidRPr="008870F5" w:rsidRDefault="00D664BC" w:rsidP="00286751">
      <w:pPr>
        <w:rPr>
          <w:sz w:val="20"/>
          <w:szCs w:val="20"/>
        </w:rPr>
      </w:pPr>
    </w:p>
    <w:p w:rsidR="00D664BC" w:rsidRPr="008870F5" w:rsidRDefault="002777A6" w:rsidP="00286751">
      <w:pPr>
        <w:rPr>
          <w:sz w:val="20"/>
          <w:szCs w:val="20"/>
        </w:rPr>
      </w:pPr>
      <w:r w:rsidRPr="008870F5">
        <w:rPr>
          <w:b/>
          <w:sz w:val="20"/>
          <w:szCs w:val="20"/>
        </w:rPr>
        <w:t>Data storage and usage.</w:t>
      </w:r>
      <w:r w:rsidRPr="008870F5">
        <w:rPr>
          <w:sz w:val="20"/>
          <w:szCs w:val="20"/>
        </w:rPr>
        <w:t xml:space="preserve"> </w:t>
      </w:r>
      <w:r w:rsidR="00D664BC" w:rsidRPr="008870F5">
        <w:rPr>
          <w:sz w:val="20"/>
          <w:szCs w:val="20"/>
        </w:rPr>
        <w:t xml:space="preserve">Response data will be stored and tracked in a response database which can then </w:t>
      </w:r>
      <w:r w:rsidR="00DD2DB5">
        <w:rPr>
          <w:sz w:val="20"/>
          <w:szCs w:val="20"/>
        </w:rPr>
        <w:t xml:space="preserve">be </w:t>
      </w:r>
      <w:r w:rsidR="00D664BC" w:rsidRPr="008870F5">
        <w:rPr>
          <w:sz w:val="20"/>
          <w:szCs w:val="20"/>
        </w:rPr>
        <w:t>used to update and extend the IRS compliance burden model. In addition, a tailored Survey Management System will track cases throughout all modes of contact, including mail, telephone, and IVR.</w:t>
      </w:r>
    </w:p>
    <w:p w:rsidR="00180AA7" w:rsidRPr="008870F5" w:rsidRDefault="00180AA7" w:rsidP="00286751">
      <w:pPr>
        <w:rPr>
          <w:sz w:val="20"/>
          <w:szCs w:val="20"/>
        </w:rPr>
      </w:pPr>
    </w:p>
    <w:p w:rsidR="00A17D59" w:rsidRPr="008870F5" w:rsidRDefault="00A17D59" w:rsidP="00A17D59">
      <w:pPr>
        <w:rPr>
          <w:sz w:val="20"/>
          <w:szCs w:val="20"/>
        </w:rPr>
      </w:pPr>
      <w:r w:rsidRPr="00A17D59">
        <w:rPr>
          <w:b/>
          <w:sz w:val="20"/>
          <w:szCs w:val="20"/>
        </w:rPr>
        <w:t>Focus groups.</w:t>
      </w:r>
      <w:r>
        <w:rPr>
          <w:sz w:val="20"/>
          <w:szCs w:val="20"/>
        </w:rPr>
        <w:t xml:space="preserve"> </w:t>
      </w:r>
      <w:r w:rsidRPr="008870F5">
        <w:rPr>
          <w:sz w:val="20"/>
          <w:szCs w:val="20"/>
        </w:rPr>
        <w:t>Focus groups allow the IRS to speak directly to industry stakeholders and other resources regarding the primary drivers of burden to inform survey instrument design. They are extremely important to the design of a new survey because they offer the opportunity to increase and validate the understanding of the burden incurred by the relevant population as well as to develop and test meaningful survey questions.</w:t>
      </w:r>
    </w:p>
    <w:p w:rsidR="00180AA7" w:rsidRPr="008870F5" w:rsidRDefault="00180AA7" w:rsidP="00286751">
      <w:pPr>
        <w:rPr>
          <w:sz w:val="20"/>
          <w:szCs w:val="20"/>
        </w:rPr>
      </w:pPr>
    </w:p>
    <w:p w:rsidR="00D664BC" w:rsidRPr="008870F5" w:rsidRDefault="005230D1" w:rsidP="00533368">
      <w:pPr>
        <w:pStyle w:val="NoSpacing"/>
        <w:numPr>
          <w:ilvl w:val="0"/>
          <w:numId w:val="7"/>
        </w:numPr>
        <w:tabs>
          <w:tab w:val="clear" w:pos="720"/>
          <w:tab w:val="num" w:pos="360"/>
        </w:tabs>
        <w:ind w:left="360"/>
        <w:contextualSpacing/>
        <w:rPr>
          <w:rFonts w:ascii="Arial" w:hAnsi="Arial" w:cs="Arial"/>
          <w:b/>
        </w:rPr>
      </w:pPr>
      <w:r w:rsidRPr="008870F5">
        <w:rPr>
          <w:rFonts w:ascii="Arial" w:hAnsi="Arial" w:cs="Arial"/>
          <w:b/>
        </w:rPr>
        <w:t>D</w:t>
      </w:r>
      <w:r w:rsidR="00D664BC" w:rsidRPr="008870F5">
        <w:rPr>
          <w:rFonts w:ascii="Arial" w:hAnsi="Arial" w:cs="Arial"/>
          <w:b/>
        </w:rPr>
        <w:t>escribe methods to maximize response rates and to deal with issues of non-response.</w:t>
      </w:r>
    </w:p>
    <w:p w:rsidR="00D664BC" w:rsidRPr="008870F5" w:rsidRDefault="00D664BC" w:rsidP="00A511A9">
      <w:pPr>
        <w:pStyle w:val="NoSpacing"/>
        <w:spacing w:line="180" w:lineRule="exact"/>
        <w:contextualSpacing/>
        <w:rPr>
          <w:rFonts w:ascii="Times New Roman" w:hAnsi="Times New Roman"/>
          <w:sz w:val="20"/>
          <w:szCs w:val="20"/>
        </w:rPr>
      </w:pPr>
    </w:p>
    <w:p w:rsidR="00CA1A34" w:rsidRDefault="00043499" w:rsidP="00CA1A34">
      <w:pPr>
        <w:rPr>
          <w:sz w:val="20"/>
          <w:szCs w:val="20"/>
        </w:rPr>
      </w:pPr>
      <w:r>
        <w:rPr>
          <w:sz w:val="20"/>
          <w:szCs w:val="20"/>
        </w:rPr>
        <w:t>The survey instrument design and administration protocol are informed by currently-accepted</w:t>
      </w:r>
      <w:r w:rsidR="001C5D5E">
        <w:rPr>
          <w:sz w:val="20"/>
          <w:szCs w:val="20"/>
        </w:rPr>
        <w:t xml:space="preserve"> best</w:t>
      </w:r>
      <w:r>
        <w:rPr>
          <w:sz w:val="20"/>
          <w:szCs w:val="20"/>
        </w:rPr>
        <w:t xml:space="preserve"> practices</w:t>
      </w:r>
      <w:r w:rsidR="00E10A3A">
        <w:rPr>
          <w:sz w:val="20"/>
          <w:szCs w:val="20"/>
        </w:rPr>
        <w:t xml:space="preserve"> that support survey response rates</w:t>
      </w:r>
      <w:r w:rsidR="00CA1A34">
        <w:rPr>
          <w:sz w:val="20"/>
          <w:szCs w:val="20"/>
        </w:rPr>
        <w:t>, such as including official IRS letter as a pre-note,</w:t>
      </w:r>
      <w:r w:rsidR="00E10A3A">
        <w:rPr>
          <w:sz w:val="20"/>
          <w:szCs w:val="20"/>
        </w:rPr>
        <w:t xml:space="preserve"> item formatting, and survey length. IRS </w:t>
      </w:r>
      <w:r w:rsidR="001C5D5E">
        <w:rPr>
          <w:sz w:val="20"/>
          <w:szCs w:val="20"/>
        </w:rPr>
        <w:t xml:space="preserve">conducted </w:t>
      </w:r>
      <w:r w:rsidR="00E10A3A">
        <w:rPr>
          <w:sz w:val="20"/>
          <w:szCs w:val="20"/>
        </w:rPr>
        <w:t>survey research during prior burden survey administrations, such as the</w:t>
      </w:r>
      <w:r w:rsidR="00E10A3A" w:rsidRPr="00E10A3A">
        <w:rPr>
          <w:sz w:val="20"/>
          <w:szCs w:val="20"/>
        </w:rPr>
        <w:t xml:space="preserve"> </w:t>
      </w:r>
      <w:r w:rsidR="00E10A3A">
        <w:rPr>
          <w:sz w:val="20"/>
          <w:szCs w:val="20"/>
        </w:rPr>
        <w:t xml:space="preserve">incentive studies discussed in Section A9, </w:t>
      </w:r>
      <w:r w:rsidR="005C5EB9">
        <w:rPr>
          <w:sz w:val="20"/>
          <w:szCs w:val="20"/>
        </w:rPr>
        <w:t xml:space="preserve">that </w:t>
      </w:r>
      <w:r w:rsidR="00E10A3A">
        <w:rPr>
          <w:sz w:val="20"/>
          <w:szCs w:val="20"/>
        </w:rPr>
        <w:t>have also provided important insight</w:t>
      </w:r>
      <w:r w:rsidR="005C5EB9">
        <w:rPr>
          <w:sz w:val="20"/>
          <w:szCs w:val="20"/>
        </w:rPr>
        <w:t>.</w:t>
      </w:r>
    </w:p>
    <w:p w:rsidR="00E10A3A" w:rsidRDefault="00E10A3A" w:rsidP="00CA1A34">
      <w:pPr>
        <w:rPr>
          <w:sz w:val="20"/>
          <w:szCs w:val="20"/>
        </w:rPr>
      </w:pPr>
    </w:p>
    <w:p w:rsidR="00D664BC" w:rsidRPr="008870F5" w:rsidRDefault="00D664BC" w:rsidP="00286751">
      <w:pPr>
        <w:rPr>
          <w:sz w:val="20"/>
          <w:szCs w:val="20"/>
        </w:rPr>
      </w:pPr>
      <w:r w:rsidRPr="008870F5">
        <w:rPr>
          <w:sz w:val="20"/>
          <w:szCs w:val="20"/>
        </w:rPr>
        <w:t xml:space="preserve">Upon completion of </w:t>
      </w:r>
      <w:r w:rsidR="00CE5D45">
        <w:rPr>
          <w:sz w:val="20"/>
          <w:szCs w:val="20"/>
        </w:rPr>
        <w:t>each</w:t>
      </w:r>
      <w:r w:rsidR="00CE5D45" w:rsidRPr="008870F5">
        <w:rPr>
          <w:sz w:val="20"/>
          <w:szCs w:val="20"/>
        </w:rPr>
        <w:t xml:space="preserve"> </w:t>
      </w:r>
      <w:r w:rsidRPr="008870F5">
        <w:rPr>
          <w:sz w:val="20"/>
          <w:szCs w:val="20"/>
        </w:rPr>
        <w:t xml:space="preserve">survey </w:t>
      </w:r>
      <w:r w:rsidR="008B4FCF">
        <w:rPr>
          <w:sz w:val="20"/>
          <w:szCs w:val="20"/>
        </w:rPr>
        <w:t>data collection</w:t>
      </w:r>
      <w:r w:rsidR="00CE5D45">
        <w:rPr>
          <w:sz w:val="20"/>
          <w:szCs w:val="20"/>
        </w:rPr>
        <w:t>,</w:t>
      </w:r>
      <w:r w:rsidRPr="008870F5">
        <w:rPr>
          <w:sz w:val="20"/>
          <w:szCs w:val="20"/>
        </w:rPr>
        <w:t xml:space="preserve"> we will conduct</w:t>
      </w:r>
      <w:r w:rsidR="00180AA7" w:rsidRPr="008870F5">
        <w:rPr>
          <w:sz w:val="20"/>
          <w:szCs w:val="20"/>
        </w:rPr>
        <w:t xml:space="preserve"> a nonresponse bias analysis. </w:t>
      </w:r>
      <w:r w:rsidRPr="008870F5">
        <w:rPr>
          <w:sz w:val="20"/>
          <w:szCs w:val="20"/>
        </w:rPr>
        <w:t xml:space="preserve">This analysis will </w:t>
      </w:r>
      <w:r w:rsidR="00CE5D45">
        <w:rPr>
          <w:sz w:val="20"/>
          <w:szCs w:val="20"/>
        </w:rPr>
        <w:t>use</w:t>
      </w:r>
      <w:r w:rsidRPr="008870F5">
        <w:rPr>
          <w:sz w:val="20"/>
          <w:szCs w:val="20"/>
        </w:rPr>
        <w:t xml:space="preserve"> a raking technique to control for </w:t>
      </w:r>
      <w:r w:rsidR="005C5EB9">
        <w:rPr>
          <w:sz w:val="20"/>
          <w:szCs w:val="20"/>
        </w:rPr>
        <w:t>the difference between the characteristics of those who respond and those who do not</w:t>
      </w:r>
      <w:r w:rsidRPr="008870F5">
        <w:rPr>
          <w:sz w:val="20"/>
          <w:szCs w:val="20"/>
        </w:rPr>
        <w:t xml:space="preserve">. The process is further outlined in the paper “Response Mode and Bias Analysis in the IRS’ Individual Taxpayer Burden Survey”, by J. Michael Brick, George Contos, Karen Masken, and Roy Nord.  </w:t>
      </w:r>
    </w:p>
    <w:p w:rsidR="00D664BC" w:rsidRPr="008870F5" w:rsidRDefault="00D664BC" w:rsidP="00A511A9">
      <w:pPr>
        <w:spacing w:line="280" w:lineRule="exact"/>
        <w:rPr>
          <w:sz w:val="20"/>
          <w:szCs w:val="20"/>
        </w:rPr>
      </w:pPr>
    </w:p>
    <w:p w:rsidR="00D664BC" w:rsidRPr="008870F5" w:rsidRDefault="00D664BC" w:rsidP="00533368">
      <w:pPr>
        <w:pStyle w:val="NoSpacing"/>
        <w:numPr>
          <w:ilvl w:val="0"/>
          <w:numId w:val="7"/>
        </w:numPr>
        <w:tabs>
          <w:tab w:val="clear" w:pos="720"/>
          <w:tab w:val="num" w:pos="360"/>
        </w:tabs>
        <w:ind w:left="360"/>
        <w:contextualSpacing/>
        <w:rPr>
          <w:rFonts w:ascii="Arial" w:hAnsi="Arial" w:cs="Arial"/>
          <w:b/>
        </w:rPr>
      </w:pPr>
      <w:r w:rsidRPr="008870F5">
        <w:rPr>
          <w:rFonts w:ascii="Arial" w:hAnsi="Arial" w:cs="Arial"/>
          <w:b/>
        </w:rPr>
        <w:t xml:space="preserve">Describe any tests of procedures or methods to be undertaken. </w:t>
      </w:r>
    </w:p>
    <w:p w:rsidR="00D664BC" w:rsidRPr="008870F5" w:rsidRDefault="00D664BC" w:rsidP="00A511A9">
      <w:pPr>
        <w:spacing w:line="180" w:lineRule="exact"/>
        <w:rPr>
          <w:sz w:val="20"/>
          <w:szCs w:val="20"/>
        </w:rPr>
      </w:pPr>
    </w:p>
    <w:p w:rsidR="00D664BC" w:rsidRPr="008870F5" w:rsidRDefault="00D664BC" w:rsidP="00286751">
      <w:pPr>
        <w:rPr>
          <w:sz w:val="20"/>
          <w:szCs w:val="20"/>
        </w:rPr>
      </w:pPr>
      <w:r w:rsidRPr="008870F5">
        <w:rPr>
          <w:sz w:val="20"/>
          <w:szCs w:val="20"/>
        </w:rPr>
        <w:t>To ensure that the collection of information is not burdensome and that the questions are clearly written and will produce accurate and valid results, the IRS will conduct cognitive testing for any new or revised survey instrument. Cognitive testing is a well-established qualitative research method intended to identify problems respondents have with comprehension of survey questions (Willis 2005)</w:t>
      </w:r>
      <w:r w:rsidRPr="008870F5">
        <w:rPr>
          <w:rStyle w:val="FootnoteReference"/>
          <w:sz w:val="20"/>
          <w:szCs w:val="20"/>
          <w:vertAlign w:val="superscript"/>
        </w:rPr>
        <w:footnoteReference w:id="1"/>
      </w:r>
      <w:r w:rsidRPr="008870F5">
        <w:rPr>
          <w:sz w:val="20"/>
          <w:szCs w:val="20"/>
        </w:rPr>
        <w:t>.  The testing will be conducted with taxpayers in the Washington, D.C. area.  Respondents will be recruited according to specific criteria (e.g., filing status, complexity of return, and filing method). Efforts will be made to recruit respondents who are demographically representative of the population being surveyed.</w:t>
      </w:r>
    </w:p>
    <w:p w:rsidR="00D664BC" w:rsidRPr="008870F5" w:rsidRDefault="00D664BC" w:rsidP="00286751">
      <w:pPr>
        <w:rPr>
          <w:sz w:val="20"/>
          <w:szCs w:val="20"/>
        </w:rPr>
      </w:pPr>
    </w:p>
    <w:p w:rsidR="00D664BC" w:rsidRPr="008870F5" w:rsidRDefault="00D664BC" w:rsidP="00286751">
      <w:pPr>
        <w:rPr>
          <w:sz w:val="20"/>
          <w:szCs w:val="20"/>
        </w:rPr>
      </w:pPr>
      <w:r w:rsidRPr="008870F5">
        <w:rPr>
          <w:sz w:val="20"/>
          <w:szCs w:val="20"/>
        </w:rPr>
        <w:t>In addition, at the outset as well as after each interaction of testing, the instrument will undergo extensive review by the IRS, the contractor, and stakeholders.</w:t>
      </w:r>
    </w:p>
    <w:p w:rsidR="00D664BC" w:rsidRPr="008870F5" w:rsidRDefault="00D664BC" w:rsidP="00286751">
      <w:pPr>
        <w:rPr>
          <w:sz w:val="20"/>
          <w:szCs w:val="20"/>
        </w:rPr>
      </w:pPr>
    </w:p>
    <w:p w:rsidR="00D664BC" w:rsidRPr="008870F5" w:rsidRDefault="00D664BC" w:rsidP="00533368">
      <w:pPr>
        <w:pStyle w:val="ListParagraph"/>
        <w:numPr>
          <w:ilvl w:val="0"/>
          <w:numId w:val="7"/>
        </w:numPr>
        <w:tabs>
          <w:tab w:val="clear" w:pos="720"/>
          <w:tab w:val="num" w:pos="360"/>
        </w:tabs>
        <w:ind w:left="360"/>
        <w:rPr>
          <w:rFonts w:ascii="Arial" w:hAnsi="Arial" w:cs="Arial"/>
          <w:b/>
          <w:sz w:val="22"/>
          <w:szCs w:val="22"/>
        </w:rPr>
      </w:pPr>
      <w:r w:rsidRPr="008870F5">
        <w:rPr>
          <w:rFonts w:ascii="Arial" w:hAnsi="Arial" w:cs="Arial"/>
          <w:b/>
          <w:sz w:val="22"/>
          <w:szCs w:val="22"/>
        </w:rPr>
        <w:t xml:space="preserve">Provide the names and telephone numbers of individuals consulted on statistical aspects of the design and the name of the agency unit, contractor(s), grantee(s), or other person(s) who will actually collect and/or analyze the information for the agency. </w:t>
      </w:r>
    </w:p>
    <w:p w:rsidR="00D664BC" w:rsidRPr="008870F5" w:rsidRDefault="00D664BC" w:rsidP="00367A09">
      <w:pPr>
        <w:pStyle w:val="ListParagraph"/>
        <w:ind w:left="360"/>
        <w:rPr>
          <w:sz w:val="20"/>
          <w:szCs w:val="20"/>
        </w:rPr>
      </w:pPr>
    </w:p>
    <w:p w:rsidR="00D664BC" w:rsidRPr="008870F5" w:rsidRDefault="00D664BC" w:rsidP="0068062D">
      <w:pPr>
        <w:pStyle w:val="ListParagraph"/>
        <w:ind w:left="0"/>
        <w:rPr>
          <w:sz w:val="20"/>
          <w:szCs w:val="20"/>
          <w:u w:val="single"/>
        </w:rPr>
      </w:pPr>
      <w:r w:rsidRPr="008870F5">
        <w:rPr>
          <w:sz w:val="20"/>
          <w:szCs w:val="20"/>
          <w:u w:val="single"/>
        </w:rPr>
        <w:t xml:space="preserve">IRS </w:t>
      </w:r>
      <w:r w:rsidR="003E406C">
        <w:rPr>
          <w:sz w:val="20"/>
          <w:szCs w:val="20"/>
          <w:u w:val="single"/>
        </w:rPr>
        <w:t>Research, Applied Analytics, and Statistics and</w:t>
      </w:r>
      <w:r w:rsidR="008102AD" w:rsidRPr="008870F5">
        <w:rPr>
          <w:sz w:val="20"/>
          <w:szCs w:val="20"/>
          <w:u w:val="single"/>
        </w:rPr>
        <w:t xml:space="preserve"> Treasury Office of Tax Analysis</w:t>
      </w:r>
    </w:p>
    <w:p w:rsidR="008102AD" w:rsidRPr="008870F5" w:rsidRDefault="008102AD" w:rsidP="0068062D">
      <w:pPr>
        <w:pStyle w:val="ListParagraph"/>
        <w:ind w:left="0"/>
        <w:rPr>
          <w:sz w:val="20"/>
          <w:szCs w:val="20"/>
        </w:rPr>
      </w:pPr>
    </w:p>
    <w:p w:rsidR="00D664BC" w:rsidRPr="008870F5" w:rsidRDefault="00D664BC" w:rsidP="0068062D">
      <w:pPr>
        <w:pStyle w:val="ListParagraph"/>
        <w:ind w:left="0"/>
        <w:rPr>
          <w:sz w:val="20"/>
          <w:szCs w:val="20"/>
        </w:rPr>
      </w:pPr>
      <w:r w:rsidRPr="008870F5">
        <w:rPr>
          <w:sz w:val="20"/>
          <w:szCs w:val="20"/>
        </w:rPr>
        <w:t xml:space="preserve">Statistical Design:  </w:t>
      </w:r>
    </w:p>
    <w:p w:rsidR="00D664BC" w:rsidRPr="008870F5" w:rsidRDefault="00D664BC" w:rsidP="0068062D">
      <w:pPr>
        <w:pStyle w:val="ListParagraph"/>
        <w:ind w:left="0"/>
        <w:rPr>
          <w:sz w:val="20"/>
          <w:szCs w:val="20"/>
          <w:lang w:val="de-DE"/>
        </w:rPr>
      </w:pPr>
      <w:r w:rsidRPr="008870F5">
        <w:rPr>
          <w:sz w:val="20"/>
          <w:szCs w:val="20"/>
          <w:lang w:val="de-DE"/>
        </w:rPr>
        <w:t>Michael Sebastiani</w:t>
      </w:r>
      <w:r w:rsidR="008102AD" w:rsidRPr="008870F5">
        <w:rPr>
          <w:sz w:val="20"/>
          <w:szCs w:val="20"/>
          <w:lang w:val="de-DE"/>
        </w:rPr>
        <w:t xml:space="preserve"> (</w:t>
      </w:r>
      <w:r w:rsidR="00811A6F" w:rsidRPr="008870F5">
        <w:rPr>
          <w:sz w:val="20"/>
          <w:szCs w:val="20"/>
          <w:lang w:val="de-DE"/>
        </w:rPr>
        <w:t xml:space="preserve">statistical </w:t>
      </w:r>
      <w:r w:rsidR="008102AD" w:rsidRPr="008870F5">
        <w:rPr>
          <w:sz w:val="20"/>
          <w:szCs w:val="20"/>
          <w:lang w:val="de-DE"/>
        </w:rPr>
        <w:t>lead)</w:t>
      </w:r>
      <w:r w:rsidRPr="008870F5">
        <w:rPr>
          <w:sz w:val="20"/>
          <w:szCs w:val="20"/>
          <w:lang w:val="de-DE"/>
        </w:rPr>
        <w:t xml:space="preserve">, </w:t>
      </w:r>
      <w:r w:rsidR="008102AD" w:rsidRPr="008870F5">
        <w:rPr>
          <w:sz w:val="20"/>
          <w:szCs w:val="20"/>
        </w:rPr>
        <w:t>IRS Research, Analysis, &amp; Statistics</w:t>
      </w:r>
      <w:r w:rsidR="008102AD" w:rsidRPr="008870F5">
        <w:rPr>
          <w:sz w:val="20"/>
          <w:szCs w:val="20"/>
          <w:lang w:val="de-DE"/>
        </w:rPr>
        <w:t xml:space="preserve"> </w:t>
      </w:r>
      <w:r w:rsidR="002376F0" w:rsidRPr="008870F5">
        <w:rPr>
          <w:sz w:val="20"/>
          <w:szCs w:val="20"/>
          <w:lang w:val="de-DE"/>
        </w:rPr>
        <w:t xml:space="preserve">  202-803-9155</w:t>
      </w:r>
    </w:p>
    <w:p w:rsidR="00A01B15" w:rsidRPr="008870F5" w:rsidRDefault="00A01B15" w:rsidP="0068062D">
      <w:pPr>
        <w:pStyle w:val="ListParagraph"/>
        <w:ind w:left="0"/>
        <w:rPr>
          <w:sz w:val="20"/>
          <w:szCs w:val="20"/>
          <w:lang w:val="de-DE"/>
        </w:rPr>
      </w:pPr>
      <w:r w:rsidRPr="008870F5">
        <w:rPr>
          <w:sz w:val="20"/>
          <w:szCs w:val="20"/>
          <w:lang w:val="de-DE"/>
        </w:rPr>
        <w:t xml:space="preserve">Ahmad Qadri </w:t>
      </w:r>
      <w:r w:rsidR="008102AD" w:rsidRPr="008870F5">
        <w:rPr>
          <w:sz w:val="20"/>
          <w:szCs w:val="20"/>
        </w:rPr>
        <w:t>IRS Research, Analysis, &amp; Statistics</w:t>
      </w:r>
      <w:r w:rsidR="00D73D12" w:rsidRPr="008870F5">
        <w:rPr>
          <w:sz w:val="20"/>
          <w:szCs w:val="20"/>
        </w:rPr>
        <w:t xml:space="preserve">  202-803-9373</w:t>
      </w:r>
    </w:p>
    <w:p w:rsidR="0043505D" w:rsidRPr="008870F5" w:rsidRDefault="00DA7688" w:rsidP="0043505D">
      <w:pPr>
        <w:shd w:val="clear" w:color="auto" w:fill="FFFFFF"/>
        <w:rPr>
          <w:rFonts w:ascii="MS Shell Dlg 2" w:hAnsi="MS Shell Dlg 2"/>
          <w:sz w:val="18"/>
          <w:szCs w:val="18"/>
        </w:rPr>
      </w:pPr>
      <w:r w:rsidRPr="008870F5">
        <w:rPr>
          <w:sz w:val="20"/>
          <w:szCs w:val="20"/>
        </w:rPr>
        <w:t xml:space="preserve">Ishani Roy, IRS Research, Analysis, &amp; </w:t>
      </w:r>
      <w:r w:rsidR="00856858" w:rsidRPr="008870F5">
        <w:rPr>
          <w:sz w:val="20"/>
          <w:szCs w:val="20"/>
        </w:rPr>
        <w:t>Statistics 202</w:t>
      </w:r>
      <w:r w:rsidR="0043505D" w:rsidRPr="008870F5">
        <w:rPr>
          <w:sz w:val="20"/>
          <w:szCs w:val="20"/>
        </w:rPr>
        <w:t>-803-9372</w:t>
      </w:r>
    </w:p>
    <w:p w:rsidR="00DA7688" w:rsidRPr="008870F5" w:rsidRDefault="003E406C" w:rsidP="0068062D">
      <w:pPr>
        <w:pStyle w:val="ListParagraph"/>
        <w:ind w:left="0"/>
        <w:rPr>
          <w:sz w:val="20"/>
          <w:szCs w:val="20"/>
        </w:rPr>
      </w:pPr>
      <w:r>
        <w:rPr>
          <w:sz w:val="20"/>
          <w:szCs w:val="20"/>
        </w:rPr>
        <w:t>Luann Weyl</w:t>
      </w:r>
    </w:p>
    <w:p w:rsidR="00D664BC" w:rsidRPr="008870F5" w:rsidRDefault="00D664BC" w:rsidP="0068062D">
      <w:pPr>
        <w:pStyle w:val="ListParagraph"/>
        <w:ind w:left="0"/>
        <w:rPr>
          <w:sz w:val="20"/>
          <w:szCs w:val="20"/>
        </w:rPr>
      </w:pPr>
    </w:p>
    <w:p w:rsidR="00D664BC" w:rsidRPr="008870F5" w:rsidRDefault="00D664BC" w:rsidP="0068062D">
      <w:pPr>
        <w:pStyle w:val="ListParagraph"/>
        <w:ind w:left="0"/>
        <w:rPr>
          <w:sz w:val="20"/>
          <w:szCs w:val="20"/>
        </w:rPr>
      </w:pPr>
      <w:r w:rsidRPr="008870F5">
        <w:rPr>
          <w:sz w:val="20"/>
          <w:szCs w:val="20"/>
        </w:rPr>
        <w:t xml:space="preserve">Collection and Analysis:  </w:t>
      </w:r>
    </w:p>
    <w:p w:rsidR="00811A6F" w:rsidRDefault="00811A6F" w:rsidP="00811A6F">
      <w:pPr>
        <w:pStyle w:val="ListParagraph"/>
        <w:ind w:left="0"/>
        <w:rPr>
          <w:sz w:val="20"/>
          <w:szCs w:val="20"/>
        </w:rPr>
      </w:pPr>
      <w:r w:rsidRPr="008870F5">
        <w:rPr>
          <w:sz w:val="20"/>
          <w:szCs w:val="20"/>
        </w:rPr>
        <w:t>Brenda Schafer (</w:t>
      </w:r>
      <w:r w:rsidR="00DE0C56">
        <w:rPr>
          <w:sz w:val="20"/>
          <w:szCs w:val="20"/>
        </w:rPr>
        <w:t>overall</w:t>
      </w:r>
      <w:r w:rsidRPr="008870F5">
        <w:rPr>
          <w:sz w:val="20"/>
          <w:szCs w:val="20"/>
        </w:rPr>
        <w:t xml:space="preserve"> lead), IRS Research, </w:t>
      </w:r>
      <w:r w:rsidR="00E75236" w:rsidRPr="008870F5">
        <w:rPr>
          <w:sz w:val="20"/>
          <w:szCs w:val="20"/>
        </w:rPr>
        <w:t>A</w:t>
      </w:r>
      <w:r w:rsidR="00E75236">
        <w:rPr>
          <w:sz w:val="20"/>
          <w:szCs w:val="20"/>
        </w:rPr>
        <w:t>pplied Analytics,</w:t>
      </w:r>
      <w:r w:rsidR="00EE70A9">
        <w:rPr>
          <w:sz w:val="20"/>
          <w:szCs w:val="20"/>
        </w:rPr>
        <w:t xml:space="preserve"> </w:t>
      </w:r>
      <w:r w:rsidR="00E75236">
        <w:rPr>
          <w:sz w:val="20"/>
          <w:szCs w:val="20"/>
        </w:rPr>
        <w:t>and</w:t>
      </w:r>
      <w:r w:rsidRPr="008870F5">
        <w:rPr>
          <w:sz w:val="20"/>
          <w:szCs w:val="20"/>
        </w:rPr>
        <w:t xml:space="preserve"> </w:t>
      </w:r>
      <w:r w:rsidR="00856858" w:rsidRPr="008870F5">
        <w:rPr>
          <w:sz w:val="20"/>
          <w:szCs w:val="20"/>
        </w:rPr>
        <w:t>Statistics</w:t>
      </w:r>
      <w:r w:rsidR="00034131">
        <w:rPr>
          <w:sz w:val="20"/>
          <w:szCs w:val="20"/>
        </w:rPr>
        <w:t>,</w:t>
      </w:r>
      <w:r w:rsidR="00E75236">
        <w:rPr>
          <w:sz w:val="20"/>
          <w:szCs w:val="20"/>
        </w:rPr>
        <w:t xml:space="preserve"> </w:t>
      </w:r>
      <w:r w:rsidR="00856858" w:rsidRPr="008870F5">
        <w:rPr>
          <w:sz w:val="20"/>
          <w:szCs w:val="20"/>
        </w:rPr>
        <w:t>202</w:t>
      </w:r>
      <w:r w:rsidRPr="008870F5">
        <w:rPr>
          <w:sz w:val="20"/>
          <w:szCs w:val="20"/>
        </w:rPr>
        <w:t>-</w:t>
      </w:r>
      <w:r w:rsidR="00A17890" w:rsidRPr="008870F5">
        <w:rPr>
          <w:sz w:val="20"/>
          <w:szCs w:val="20"/>
        </w:rPr>
        <w:t>803-9412</w:t>
      </w:r>
    </w:p>
    <w:p w:rsidR="00DE0C56" w:rsidRPr="008870F5" w:rsidRDefault="00DE0C56" w:rsidP="00DE0C56">
      <w:pPr>
        <w:pStyle w:val="ListParagraph"/>
        <w:ind w:left="0"/>
        <w:rPr>
          <w:sz w:val="20"/>
          <w:szCs w:val="20"/>
        </w:rPr>
      </w:pPr>
      <w:r w:rsidRPr="008870F5">
        <w:rPr>
          <w:sz w:val="20"/>
          <w:szCs w:val="20"/>
        </w:rPr>
        <w:t xml:space="preserve">Patrick Langetieg </w:t>
      </w:r>
      <w:r>
        <w:rPr>
          <w:sz w:val="20"/>
          <w:szCs w:val="20"/>
        </w:rPr>
        <w:t>(deputy lead)</w:t>
      </w:r>
      <w:r w:rsidR="00E75236">
        <w:rPr>
          <w:sz w:val="20"/>
          <w:szCs w:val="20"/>
        </w:rPr>
        <w:t>,</w:t>
      </w:r>
      <w:r w:rsidR="00E75236" w:rsidRPr="008870F5">
        <w:rPr>
          <w:sz w:val="20"/>
          <w:szCs w:val="20"/>
        </w:rPr>
        <w:t xml:space="preserve"> IRS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Statistics</w:t>
      </w:r>
      <w:r w:rsidR="00E75236">
        <w:rPr>
          <w:sz w:val="20"/>
          <w:szCs w:val="20"/>
        </w:rPr>
        <w:t>,</w:t>
      </w:r>
      <w:r w:rsidR="00E75236" w:rsidRPr="008870F5">
        <w:rPr>
          <w:sz w:val="20"/>
          <w:szCs w:val="20"/>
        </w:rPr>
        <w:t xml:space="preserve"> </w:t>
      </w:r>
      <w:r w:rsidR="00AB7BEE" w:rsidRPr="00AB7BEE">
        <w:rPr>
          <w:sz w:val="20"/>
          <w:szCs w:val="20"/>
        </w:rPr>
        <w:t>202-803-9419</w:t>
      </w:r>
    </w:p>
    <w:p w:rsidR="00DE0C56" w:rsidRPr="008870F5" w:rsidRDefault="00DE0C56" w:rsidP="00DE0C56">
      <w:pPr>
        <w:pStyle w:val="ListParagraph"/>
        <w:ind w:left="0"/>
        <w:rPr>
          <w:sz w:val="20"/>
          <w:szCs w:val="20"/>
        </w:rPr>
      </w:pPr>
      <w:r w:rsidRPr="008870F5">
        <w:rPr>
          <w:sz w:val="20"/>
          <w:szCs w:val="20"/>
        </w:rPr>
        <w:t xml:space="preserve">Jose Colon de la </w:t>
      </w:r>
      <w:r w:rsidR="00034131" w:rsidRPr="008870F5">
        <w:rPr>
          <w:sz w:val="20"/>
          <w:szCs w:val="20"/>
        </w:rPr>
        <w:t>Matta,</w:t>
      </w:r>
      <w:r w:rsidR="00E75236" w:rsidRPr="008870F5">
        <w:rPr>
          <w:sz w:val="20"/>
          <w:szCs w:val="20"/>
        </w:rPr>
        <w:t xml:space="preserve"> IRS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w:t>
      </w:r>
      <w:r w:rsidR="00E75236">
        <w:rPr>
          <w:sz w:val="20"/>
          <w:szCs w:val="20"/>
        </w:rPr>
        <w:t>Statistics, 202-803-9412</w:t>
      </w:r>
    </w:p>
    <w:p w:rsidR="00D664BC" w:rsidRDefault="00D664BC" w:rsidP="0068062D">
      <w:pPr>
        <w:pStyle w:val="ListParagraph"/>
        <w:ind w:left="0"/>
        <w:rPr>
          <w:sz w:val="20"/>
          <w:szCs w:val="20"/>
        </w:rPr>
      </w:pPr>
      <w:r w:rsidRPr="008870F5">
        <w:rPr>
          <w:sz w:val="20"/>
          <w:szCs w:val="20"/>
        </w:rPr>
        <w:t>George Contos,</w:t>
      </w:r>
      <w:r w:rsidR="000D79FB">
        <w:rPr>
          <w:sz w:val="20"/>
          <w:szCs w:val="20"/>
        </w:rPr>
        <w:t xml:space="preserve"> </w:t>
      </w:r>
      <w:r w:rsidR="000D79FB" w:rsidRPr="000D79FB">
        <w:rPr>
          <w:sz w:val="20"/>
          <w:szCs w:val="20"/>
        </w:rPr>
        <w:t>Corporate Budget, Strategic Planning</w:t>
      </w:r>
      <w:r w:rsidR="000D79FB">
        <w:rPr>
          <w:sz w:val="20"/>
          <w:szCs w:val="20"/>
        </w:rPr>
        <w:t>,</w:t>
      </w:r>
      <w:r w:rsidR="000D79FB" w:rsidRPr="000D79FB">
        <w:t xml:space="preserve"> </w:t>
      </w:r>
      <w:r w:rsidR="000D79FB" w:rsidRPr="000D79FB">
        <w:rPr>
          <w:sz w:val="20"/>
          <w:szCs w:val="20"/>
        </w:rPr>
        <w:t>202-317-4287</w:t>
      </w:r>
      <w:r w:rsidR="000D79FB" w:rsidRPr="000D79FB" w:rsidDel="00E75236">
        <w:rPr>
          <w:sz w:val="20"/>
          <w:szCs w:val="20"/>
        </w:rPr>
        <w:t xml:space="preserve"> </w:t>
      </w:r>
    </w:p>
    <w:p w:rsidR="00DE0C56" w:rsidRPr="008870F5" w:rsidRDefault="00DE0C56" w:rsidP="0068062D">
      <w:pPr>
        <w:pStyle w:val="ListParagraph"/>
        <w:ind w:left="0"/>
        <w:rPr>
          <w:sz w:val="20"/>
          <w:szCs w:val="20"/>
        </w:rPr>
      </w:pPr>
      <w:r>
        <w:rPr>
          <w:sz w:val="20"/>
          <w:szCs w:val="20"/>
        </w:rPr>
        <w:t xml:space="preserve">Saurabh </w:t>
      </w:r>
      <w:r w:rsidR="00034131">
        <w:rPr>
          <w:sz w:val="20"/>
          <w:szCs w:val="20"/>
        </w:rPr>
        <w:t xml:space="preserve">Datta, </w:t>
      </w:r>
      <w:r w:rsidR="00034131" w:rsidRPr="008870F5">
        <w:rPr>
          <w:sz w:val="20"/>
          <w:szCs w:val="20"/>
        </w:rPr>
        <w:t>IRS</w:t>
      </w:r>
      <w:r w:rsidR="00E75236" w:rsidRPr="008870F5">
        <w:rPr>
          <w:sz w:val="20"/>
          <w:szCs w:val="20"/>
        </w:rPr>
        <w:t xml:space="preserve">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w:t>
      </w:r>
      <w:r w:rsidR="00034131" w:rsidRPr="008870F5">
        <w:rPr>
          <w:sz w:val="20"/>
          <w:szCs w:val="20"/>
        </w:rPr>
        <w:t>Statistics</w:t>
      </w:r>
      <w:r w:rsidR="00034131">
        <w:rPr>
          <w:sz w:val="20"/>
          <w:szCs w:val="20"/>
        </w:rPr>
        <w:t xml:space="preserve">, </w:t>
      </w:r>
      <w:r w:rsidR="00034131" w:rsidRPr="008870F5">
        <w:rPr>
          <w:sz w:val="20"/>
          <w:szCs w:val="20"/>
        </w:rPr>
        <w:t>202</w:t>
      </w:r>
      <w:r w:rsidR="000D79FB" w:rsidRPr="000D79FB">
        <w:rPr>
          <w:sz w:val="20"/>
          <w:szCs w:val="20"/>
        </w:rPr>
        <w:t>-803-9018</w:t>
      </w:r>
      <w:r w:rsidR="00E75236">
        <w:rPr>
          <w:sz w:val="20"/>
          <w:szCs w:val="20"/>
        </w:rPr>
        <w:t xml:space="preserve"> </w:t>
      </w:r>
    </w:p>
    <w:p w:rsidR="00DE0C56" w:rsidRDefault="00DE0C56" w:rsidP="0068062D">
      <w:pPr>
        <w:pStyle w:val="ListParagraph"/>
        <w:ind w:left="0"/>
        <w:rPr>
          <w:sz w:val="20"/>
          <w:szCs w:val="20"/>
        </w:rPr>
      </w:pPr>
      <w:r w:rsidRPr="008870F5">
        <w:rPr>
          <w:sz w:val="20"/>
          <w:szCs w:val="20"/>
        </w:rPr>
        <w:t xml:space="preserve">John Guyton, </w:t>
      </w:r>
      <w:r w:rsidR="003E406C">
        <w:rPr>
          <w:sz w:val="20"/>
          <w:szCs w:val="20"/>
        </w:rPr>
        <w:t>(overall lead</w:t>
      </w:r>
      <w:r w:rsidR="00E75236">
        <w:rPr>
          <w:sz w:val="20"/>
          <w:szCs w:val="20"/>
        </w:rPr>
        <w:t xml:space="preserve"> for</w:t>
      </w:r>
      <w:r w:rsidR="003E406C">
        <w:rPr>
          <w:sz w:val="20"/>
          <w:szCs w:val="20"/>
        </w:rPr>
        <w:t xml:space="preserve"> prior surveys)</w:t>
      </w:r>
      <w:r w:rsidR="00E75236">
        <w:rPr>
          <w:sz w:val="20"/>
          <w:szCs w:val="20"/>
        </w:rPr>
        <w:t xml:space="preserve">. </w:t>
      </w:r>
      <w:r w:rsidR="00E75236" w:rsidRPr="008870F5">
        <w:rPr>
          <w:sz w:val="20"/>
          <w:szCs w:val="20"/>
        </w:rPr>
        <w:t>IRS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w:t>
      </w:r>
      <w:r w:rsidR="00034131" w:rsidRPr="008870F5">
        <w:rPr>
          <w:sz w:val="20"/>
          <w:szCs w:val="20"/>
        </w:rPr>
        <w:t>Statistics</w:t>
      </w:r>
      <w:r w:rsidR="00034131">
        <w:rPr>
          <w:sz w:val="20"/>
          <w:szCs w:val="20"/>
        </w:rPr>
        <w:t>,</w:t>
      </w:r>
      <w:r w:rsidR="00034131" w:rsidRPr="008870F5">
        <w:rPr>
          <w:sz w:val="20"/>
          <w:szCs w:val="20"/>
        </w:rPr>
        <w:t xml:space="preserve"> </w:t>
      </w:r>
      <w:r w:rsidR="00034131">
        <w:rPr>
          <w:sz w:val="20"/>
          <w:szCs w:val="20"/>
        </w:rPr>
        <w:t>202</w:t>
      </w:r>
      <w:r w:rsidR="000D79FB" w:rsidRPr="000D79FB">
        <w:rPr>
          <w:sz w:val="20"/>
          <w:szCs w:val="20"/>
        </w:rPr>
        <w:t>-803-9156</w:t>
      </w:r>
    </w:p>
    <w:p w:rsidR="00DE0C56" w:rsidRDefault="00D664BC" w:rsidP="0068062D">
      <w:pPr>
        <w:pStyle w:val="ListParagraph"/>
        <w:ind w:left="0"/>
        <w:rPr>
          <w:sz w:val="20"/>
          <w:szCs w:val="20"/>
        </w:rPr>
      </w:pPr>
      <w:r w:rsidRPr="008870F5">
        <w:rPr>
          <w:sz w:val="20"/>
          <w:szCs w:val="20"/>
        </w:rPr>
        <w:t xml:space="preserve">Ronald H. Hodge </w:t>
      </w:r>
      <w:r w:rsidR="00034131" w:rsidRPr="008870F5">
        <w:rPr>
          <w:sz w:val="20"/>
          <w:szCs w:val="20"/>
        </w:rPr>
        <w:t>II,</w:t>
      </w:r>
      <w:r w:rsidR="00E75236" w:rsidRPr="008870F5">
        <w:rPr>
          <w:sz w:val="20"/>
          <w:szCs w:val="20"/>
        </w:rPr>
        <w:t xml:space="preserve"> IRS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Statistics</w:t>
      </w:r>
      <w:r w:rsidR="00AE775A">
        <w:rPr>
          <w:sz w:val="20"/>
          <w:szCs w:val="20"/>
        </w:rPr>
        <w:t xml:space="preserve">, </w:t>
      </w:r>
      <w:r w:rsidR="00AE775A" w:rsidRPr="00AE775A">
        <w:rPr>
          <w:sz w:val="20"/>
          <w:szCs w:val="20"/>
        </w:rPr>
        <w:t>202-803-9414</w:t>
      </w:r>
      <w:r w:rsidR="00E75236">
        <w:rPr>
          <w:sz w:val="20"/>
          <w:szCs w:val="20"/>
        </w:rPr>
        <w:t xml:space="preserve"> </w:t>
      </w:r>
    </w:p>
    <w:p w:rsidR="00DE0C56" w:rsidRDefault="00DE0C56" w:rsidP="0068062D">
      <w:pPr>
        <w:pStyle w:val="ListParagraph"/>
        <w:ind w:left="0"/>
        <w:rPr>
          <w:sz w:val="20"/>
          <w:szCs w:val="20"/>
        </w:rPr>
      </w:pPr>
      <w:r>
        <w:rPr>
          <w:sz w:val="20"/>
          <w:szCs w:val="20"/>
        </w:rPr>
        <w:t>Rizwan Javaid,</w:t>
      </w:r>
      <w:r w:rsidR="00E75236">
        <w:rPr>
          <w:sz w:val="20"/>
          <w:szCs w:val="20"/>
        </w:rPr>
        <w:t xml:space="preserve"> </w:t>
      </w:r>
      <w:r w:rsidR="00E75236" w:rsidRPr="008870F5">
        <w:rPr>
          <w:sz w:val="20"/>
          <w:szCs w:val="20"/>
        </w:rPr>
        <w:t>IRS Research, A</w:t>
      </w:r>
      <w:r w:rsidR="00EE70A9">
        <w:rPr>
          <w:sz w:val="20"/>
          <w:szCs w:val="20"/>
        </w:rPr>
        <w:t>pplied Analytics</w:t>
      </w:r>
      <w:r w:rsidR="00E75236" w:rsidRPr="008870F5">
        <w:rPr>
          <w:sz w:val="20"/>
          <w:szCs w:val="20"/>
        </w:rPr>
        <w:t>,</w:t>
      </w:r>
      <w:r w:rsidR="00EE70A9">
        <w:rPr>
          <w:sz w:val="20"/>
          <w:szCs w:val="20"/>
        </w:rPr>
        <w:t xml:space="preserve"> </w:t>
      </w:r>
      <w:r w:rsidR="00E75236">
        <w:rPr>
          <w:sz w:val="20"/>
          <w:szCs w:val="20"/>
        </w:rPr>
        <w:t>and</w:t>
      </w:r>
      <w:r w:rsidR="00E75236" w:rsidRPr="008870F5">
        <w:rPr>
          <w:sz w:val="20"/>
          <w:szCs w:val="20"/>
        </w:rPr>
        <w:t xml:space="preserve"> </w:t>
      </w:r>
      <w:r w:rsidR="00034131" w:rsidRPr="008870F5">
        <w:rPr>
          <w:sz w:val="20"/>
          <w:szCs w:val="20"/>
        </w:rPr>
        <w:t>Statistics</w:t>
      </w:r>
      <w:r w:rsidR="00034131">
        <w:rPr>
          <w:sz w:val="20"/>
          <w:szCs w:val="20"/>
        </w:rPr>
        <w:t>, 240</w:t>
      </w:r>
      <w:r w:rsidR="00AB7BEE" w:rsidRPr="00AB7BEE">
        <w:rPr>
          <w:sz w:val="20"/>
          <w:szCs w:val="20"/>
        </w:rPr>
        <w:t>-613-5023</w:t>
      </w:r>
    </w:p>
    <w:p w:rsidR="00D664BC" w:rsidRPr="008870F5" w:rsidRDefault="003E406C" w:rsidP="0068062D">
      <w:pPr>
        <w:pStyle w:val="ListParagraph"/>
        <w:ind w:left="0"/>
        <w:rPr>
          <w:sz w:val="20"/>
          <w:szCs w:val="20"/>
        </w:rPr>
      </w:pPr>
      <w:r>
        <w:rPr>
          <w:sz w:val="20"/>
          <w:szCs w:val="20"/>
        </w:rPr>
        <w:t xml:space="preserve">Scott Leary, </w:t>
      </w:r>
      <w:r w:rsidR="00E75236">
        <w:rPr>
          <w:sz w:val="20"/>
          <w:szCs w:val="20"/>
        </w:rPr>
        <w:t>IRS Tax-Exempt and Government Entities</w:t>
      </w:r>
      <w:r w:rsidR="00AB7BEE">
        <w:rPr>
          <w:sz w:val="20"/>
          <w:szCs w:val="20"/>
        </w:rPr>
        <w:t xml:space="preserve">, </w:t>
      </w:r>
      <w:r w:rsidR="00AB7BEE" w:rsidRPr="00AB7BEE">
        <w:rPr>
          <w:sz w:val="20"/>
          <w:szCs w:val="20"/>
        </w:rPr>
        <w:t>202-317-8767</w:t>
      </w:r>
    </w:p>
    <w:p w:rsidR="00D664BC" w:rsidRPr="008870F5" w:rsidRDefault="00D664BC" w:rsidP="0068062D">
      <w:pPr>
        <w:pStyle w:val="ListParagraph"/>
        <w:ind w:left="0"/>
        <w:rPr>
          <w:sz w:val="20"/>
          <w:szCs w:val="20"/>
        </w:rPr>
      </w:pPr>
      <w:r w:rsidRPr="008870F5">
        <w:rPr>
          <w:sz w:val="20"/>
          <w:szCs w:val="20"/>
        </w:rPr>
        <w:t xml:space="preserve">Melissa Vigil, </w:t>
      </w:r>
      <w:r w:rsidR="00E75236">
        <w:rPr>
          <w:sz w:val="20"/>
          <w:szCs w:val="20"/>
        </w:rPr>
        <w:t>I</w:t>
      </w:r>
      <w:r w:rsidR="00E75236" w:rsidRPr="008870F5">
        <w:rPr>
          <w:sz w:val="20"/>
          <w:szCs w:val="20"/>
        </w:rPr>
        <w:t>RS Research, A</w:t>
      </w:r>
      <w:r w:rsidR="00E75236">
        <w:rPr>
          <w:sz w:val="20"/>
          <w:szCs w:val="20"/>
        </w:rPr>
        <w:t>pplied Analytics,</w:t>
      </w:r>
      <w:r w:rsidR="00EE70A9">
        <w:rPr>
          <w:sz w:val="20"/>
          <w:szCs w:val="20"/>
        </w:rPr>
        <w:t xml:space="preserve"> </w:t>
      </w:r>
      <w:r w:rsidR="00E75236">
        <w:rPr>
          <w:sz w:val="20"/>
          <w:szCs w:val="20"/>
        </w:rPr>
        <w:t>and</w:t>
      </w:r>
      <w:r w:rsidR="00E75236" w:rsidRPr="008870F5">
        <w:rPr>
          <w:sz w:val="20"/>
          <w:szCs w:val="20"/>
        </w:rPr>
        <w:t xml:space="preserve"> </w:t>
      </w:r>
      <w:r w:rsidR="00034131" w:rsidRPr="008870F5">
        <w:rPr>
          <w:sz w:val="20"/>
          <w:szCs w:val="20"/>
        </w:rPr>
        <w:t>Statistics</w:t>
      </w:r>
      <w:r w:rsidR="00034131">
        <w:rPr>
          <w:sz w:val="20"/>
          <w:szCs w:val="20"/>
        </w:rPr>
        <w:t xml:space="preserve">, </w:t>
      </w:r>
      <w:r w:rsidR="00034131" w:rsidRPr="008870F5">
        <w:rPr>
          <w:sz w:val="20"/>
          <w:szCs w:val="20"/>
        </w:rPr>
        <w:t>202</w:t>
      </w:r>
      <w:r w:rsidR="00AB7BEE" w:rsidRPr="00AB7BEE">
        <w:rPr>
          <w:sz w:val="20"/>
          <w:szCs w:val="20"/>
        </w:rPr>
        <w:t>-803-9404</w:t>
      </w:r>
      <w:r w:rsidR="00E75236">
        <w:rPr>
          <w:sz w:val="20"/>
          <w:szCs w:val="20"/>
        </w:rPr>
        <w:t xml:space="preserve"> </w:t>
      </w:r>
    </w:p>
    <w:p w:rsidR="00D664BC" w:rsidRPr="008870F5" w:rsidRDefault="00D664BC" w:rsidP="0068062D">
      <w:pPr>
        <w:pStyle w:val="ListParagraph"/>
        <w:ind w:left="0"/>
        <w:rPr>
          <w:sz w:val="20"/>
          <w:szCs w:val="20"/>
        </w:rPr>
      </w:pPr>
      <w:r w:rsidRPr="008870F5">
        <w:rPr>
          <w:sz w:val="20"/>
          <w:szCs w:val="20"/>
        </w:rPr>
        <w:t>Susan Nelson</w:t>
      </w:r>
      <w:r w:rsidR="00811A6F" w:rsidRPr="008870F5">
        <w:rPr>
          <w:sz w:val="20"/>
          <w:szCs w:val="20"/>
        </w:rPr>
        <w:t xml:space="preserve"> (</w:t>
      </w:r>
      <w:r w:rsidR="00E75236">
        <w:rPr>
          <w:sz w:val="20"/>
          <w:szCs w:val="20"/>
        </w:rPr>
        <w:t xml:space="preserve">prior </w:t>
      </w:r>
      <w:r w:rsidR="00811A6F" w:rsidRPr="008870F5">
        <w:rPr>
          <w:sz w:val="20"/>
          <w:szCs w:val="20"/>
        </w:rPr>
        <w:t>policy analysis advisor)</w:t>
      </w:r>
      <w:r w:rsidRPr="008870F5">
        <w:rPr>
          <w:sz w:val="20"/>
          <w:szCs w:val="20"/>
        </w:rPr>
        <w:t xml:space="preserve">, </w:t>
      </w:r>
      <w:r w:rsidR="00E75236">
        <w:rPr>
          <w:sz w:val="20"/>
          <w:szCs w:val="20"/>
        </w:rPr>
        <w:t xml:space="preserve">formerly with </w:t>
      </w:r>
      <w:r w:rsidRPr="008870F5">
        <w:rPr>
          <w:sz w:val="20"/>
          <w:szCs w:val="20"/>
        </w:rPr>
        <w:t xml:space="preserve">Department of Treasury, Office of Tax </w:t>
      </w:r>
      <w:r w:rsidR="00856858" w:rsidRPr="008870F5">
        <w:rPr>
          <w:sz w:val="20"/>
          <w:szCs w:val="20"/>
        </w:rPr>
        <w:t xml:space="preserve">Policy </w:t>
      </w:r>
    </w:p>
    <w:p w:rsidR="00D664BC" w:rsidRPr="008870F5" w:rsidRDefault="00D664BC" w:rsidP="0068062D">
      <w:pPr>
        <w:pStyle w:val="ListParagraph"/>
        <w:ind w:left="0"/>
        <w:rPr>
          <w:sz w:val="20"/>
          <w:szCs w:val="20"/>
        </w:rPr>
      </w:pPr>
    </w:p>
    <w:p w:rsidR="00D664BC" w:rsidRPr="008870F5" w:rsidRDefault="00D664BC" w:rsidP="0068062D">
      <w:pPr>
        <w:pStyle w:val="ListParagraph"/>
        <w:ind w:left="0"/>
        <w:rPr>
          <w:sz w:val="20"/>
          <w:szCs w:val="20"/>
        </w:rPr>
      </w:pPr>
    </w:p>
    <w:p w:rsidR="00EE70A9" w:rsidRDefault="00EE70A9" w:rsidP="0068062D">
      <w:pPr>
        <w:pStyle w:val="ListParagraph"/>
        <w:ind w:left="0"/>
        <w:rPr>
          <w:sz w:val="20"/>
          <w:szCs w:val="20"/>
          <w:u w:val="single"/>
        </w:rPr>
      </w:pPr>
    </w:p>
    <w:p w:rsidR="00EE70A9" w:rsidRDefault="00EE70A9" w:rsidP="0068062D">
      <w:pPr>
        <w:pStyle w:val="ListParagraph"/>
        <w:ind w:left="0"/>
        <w:rPr>
          <w:sz w:val="20"/>
          <w:szCs w:val="20"/>
          <w:u w:val="single"/>
        </w:rPr>
      </w:pPr>
    </w:p>
    <w:p w:rsidR="00D664BC" w:rsidRPr="008870F5" w:rsidRDefault="00D664BC" w:rsidP="0068062D">
      <w:pPr>
        <w:pStyle w:val="ListParagraph"/>
        <w:ind w:left="0"/>
        <w:rPr>
          <w:sz w:val="20"/>
          <w:szCs w:val="20"/>
          <w:u w:val="single"/>
        </w:rPr>
      </w:pPr>
      <w:r w:rsidRPr="008870F5">
        <w:rPr>
          <w:sz w:val="20"/>
          <w:szCs w:val="20"/>
          <w:u w:val="single"/>
        </w:rPr>
        <w:t>Westat</w:t>
      </w:r>
      <w:r w:rsidR="00DA7688" w:rsidRPr="008870F5">
        <w:rPr>
          <w:sz w:val="20"/>
          <w:szCs w:val="20"/>
          <w:u w:val="single"/>
        </w:rPr>
        <w:t xml:space="preserve"> (Survey</w:t>
      </w:r>
      <w:r w:rsidR="00DE0C56">
        <w:rPr>
          <w:sz w:val="20"/>
          <w:szCs w:val="20"/>
          <w:u w:val="single"/>
        </w:rPr>
        <w:t xml:space="preserve"> Administrator</w:t>
      </w:r>
      <w:r w:rsidR="00DA7688" w:rsidRPr="008870F5">
        <w:rPr>
          <w:sz w:val="20"/>
          <w:szCs w:val="20"/>
          <w:u w:val="single"/>
        </w:rPr>
        <w:t>)</w:t>
      </w:r>
    </w:p>
    <w:p w:rsidR="008102AD" w:rsidRPr="008870F5" w:rsidRDefault="008102AD" w:rsidP="0068062D">
      <w:pPr>
        <w:pStyle w:val="ListParagraph"/>
        <w:ind w:left="0"/>
        <w:rPr>
          <w:sz w:val="20"/>
          <w:szCs w:val="20"/>
        </w:rPr>
      </w:pPr>
    </w:p>
    <w:p w:rsidR="00D664BC" w:rsidRPr="008870F5" w:rsidRDefault="00D664BC" w:rsidP="0068062D">
      <w:pPr>
        <w:pStyle w:val="ListParagraph"/>
        <w:ind w:left="0"/>
        <w:rPr>
          <w:sz w:val="20"/>
          <w:szCs w:val="20"/>
        </w:rPr>
      </w:pPr>
      <w:r w:rsidRPr="008870F5">
        <w:rPr>
          <w:sz w:val="20"/>
          <w:szCs w:val="20"/>
        </w:rPr>
        <w:t xml:space="preserve">Data Collection: </w:t>
      </w:r>
    </w:p>
    <w:p w:rsidR="00D664BC" w:rsidRPr="008870F5" w:rsidRDefault="00D664BC" w:rsidP="0068062D">
      <w:pPr>
        <w:pStyle w:val="ListParagraph"/>
        <w:ind w:left="0"/>
        <w:rPr>
          <w:sz w:val="20"/>
          <w:szCs w:val="20"/>
        </w:rPr>
      </w:pPr>
      <w:r w:rsidRPr="008870F5">
        <w:rPr>
          <w:sz w:val="20"/>
          <w:szCs w:val="20"/>
        </w:rPr>
        <w:t>Kerry Levin, Project Manager</w:t>
      </w:r>
      <w:r w:rsidR="00863A7B" w:rsidRPr="008870F5">
        <w:rPr>
          <w:sz w:val="20"/>
          <w:szCs w:val="20"/>
        </w:rPr>
        <w:t>, 301-294-3928</w:t>
      </w:r>
    </w:p>
    <w:p w:rsidR="00863A7B" w:rsidRPr="008870F5" w:rsidRDefault="00863A7B" w:rsidP="0068062D">
      <w:pPr>
        <w:pStyle w:val="ListParagraph"/>
        <w:ind w:left="0"/>
        <w:rPr>
          <w:sz w:val="20"/>
          <w:szCs w:val="20"/>
        </w:rPr>
      </w:pPr>
      <w:r w:rsidRPr="008870F5">
        <w:rPr>
          <w:sz w:val="20"/>
          <w:szCs w:val="20"/>
        </w:rPr>
        <w:t>Jocelyn Newsome, Research Analyst</w:t>
      </w:r>
    </w:p>
    <w:p w:rsidR="00D664BC" w:rsidRPr="008870F5" w:rsidRDefault="00D664BC" w:rsidP="0068062D">
      <w:pPr>
        <w:pStyle w:val="ListParagraph"/>
        <w:ind w:left="0"/>
        <w:rPr>
          <w:sz w:val="20"/>
          <w:szCs w:val="20"/>
        </w:rPr>
      </w:pPr>
      <w:r w:rsidRPr="008870F5">
        <w:rPr>
          <w:sz w:val="20"/>
          <w:szCs w:val="20"/>
        </w:rPr>
        <w:t>Martha Stapleton, Project Manager</w:t>
      </w:r>
    </w:p>
    <w:p w:rsidR="00DA7688" w:rsidRPr="008870F5" w:rsidRDefault="00DE0C56" w:rsidP="0068062D">
      <w:pPr>
        <w:pStyle w:val="ListParagraph"/>
        <w:ind w:left="0"/>
        <w:rPr>
          <w:sz w:val="20"/>
          <w:szCs w:val="20"/>
        </w:rPr>
      </w:pPr>
      <w:r>
        <w:rPr>
          <w:sz w:val="20"/>
          <w:szCs w:val="20"/>
        </w:rPr>
        <w:t>Jennifer McNulty</w:t>
      </w:r>
      <w:r w:rsidR="00DA7688" w:rsidRPr="008870F5">
        <w:rPr>
          <w:sz w:val="20"/>
          <w:szCs w:val="20"/>
        </w:rPr>
        <w:t xml:space="preserve">, </w:t>
      </w:r>
      <w:r w:rsidR="002D5C88" w:rsidRPr="008870F5">
        <w:rPr>
          <w:sz w:val="20"/>
          <w:szCs w:val="20"/>
        </w:rPr>
        <w:t>Project Manager</w:t>
      </w:r>
    </w:p>
    <w:p w:rsidR="00DE0C56" w:rsidRDefault="00DE0C56" w:rsidP="0068062D">
      <w:pPr>
        <w:pStyle w:val="ListParagraph"/>
        <w:ind w:left="0"/>
        <w:rPr>
          <w:sz w:val="20"/>
          <w:szCs w:val="20"/>
        </w:rPr>
      </w:pPr>
      <w:r>
        <w:rPr>
          <w:sz w:val="20"/>
          <w:szCs w:val="20"/>
        </w:rPr>
        <w:t>Karen Stein, Project Manager</w:t>
      </w:r>
    </w:p>
    <w:p w:rsidR="00534332" w:rsidRPr="008870F5" w:rsidRDefault="00832C76" w:rsidP="0068062D">
      <w:pPr>
        <w:pStyle w:val="ListParagraph"/>
        <w:ind w:left="0"/>
        <w:rPr>
          <w:sz w:val="20"/>
          <w:szCs w:val="20"/>
        </w:rPr>
      </w:pPr>
      <w:r>
        <w:rPr>
          <w:sz w:val="20"/>
          <w:szCs w:val="20"/>
        </w:rPr>
        <w:t>Reina Sprankle, Survey Intake Manager</w:t>
      </w:r>
    </w:p>
    <w:p w:rsidR="00AB7BEE" w:rsidRDefault="00AB7BEE" w:rsidP="0068062D">
      <w:pPr>
        <w:pStyle w:val="ListParagraph"/>
        <w:ind w:left="0"/>
        <w:rPr>
          <w:sz w:val="20"/>
          <w:szCs w:val="20"/>
        </w:rPr>
      </w:pPr>
    </w:p>
    <w:p w:rsidR="00D664BC" w:rsidRPr="008870F5" w:rsidRDefault="00D664BC" w:rsidP="0068062D">
      <w:pPr>
        <w:pStyle w:val="ListParagraph"/>
        <w:ind w:left="0"/>
        <w:rPr>
          <w:sz w:val="20"/>
          <w:szCs w:val="20"/>
        </w:rPr>
      </w:pPr>
      <w:r w:rsidRPr="008870F5">
        <w:rPr>
          <w:sz w:val="20"/>
          <w:szCs w:val="20"/>
        </w:rPr>
        <w:t>Statistic</w:t>
      </w:r>
      <w:r w:rsidR="008102AD" w:rsidRPr="008870F5">
        <w:rPr>
          <w:sz w:val="20"/>
          <w:szCs w:val="20"/>
        </w:rPr>
        <w:t>al Design and Analysis</w:t>
      </w:r>
      <w:r w:rsidRPr="008870F5">
        <w:rPr>
          <w:sz w:val="20"/>
          <w:szCs w:val="20"/>
        </w:rPr>
        <w:t>:</w:t>
      </w:r>
    </w:p>
    <w:p w:rsidR="00286751" w:rsidRPr="008870F5" w:rsidRDefault="00D664BC" w:rsidP="0068062D">
      <w:pPr>
        <w:pStyle w:val="ListParagraph"/>
        <w:ind w:left="0"/>
        <w:rPr>
          <w:sz w:val="20"/>
          <w:szCs w:val="20"/>
        </w:rPr>
      </w:pPr>
      <w:r w:rsidRPr="008870F5">
        <w:rPr>
          <w:sz w:val="20"/>
          <w:szCs w:val="20"/>
        </w:rPr>
        <w:t>Mike Brick, Statistician</w:t>
      </w:r>
    </w:p>
    <w:p w:rsidR="00A17890" w:rsidRPr="008870F5" w:rsidRDefault="00A17890" w:rsidP="0068062D">
      <w:pPr>
        <w:pStyle w:val="ListParagraph"/>
        <w:ind w:left="0"/>
        <w:rPr>
          <w:sz w:val="20"/>
          <w:szCs w:val="20"/>
        </w:rPr>
      </w:pPr>
    </w:p>
    <w:p w:rsidR="001647C7" w:rsidRDefault="001647C7" w:rsidP="0068062D">
      <w:pPr>
        <w:pStyle w:val="ListParagraph"/>
        <w:ind w:left="0"/>
        <w:rPr>
          <w:b/>
          <w:bCs/>
          <w:sz w:val="20"/>
          <w:szCs w:val="20"/>
        </w:rPr>
      </w:pPr>
    </w:p>
    <w:p w:rsidR="001647C7" w:rsidRDefault="001647C7" w:rsidP="0068062D">
      <w:pPr>
        <w:pStyle w:val="ListParagraph"/>
        <w:ind w:left="0"/>
        <w:rPr>
          <w:b/>
          <w:bCs/>
          <w:sz w:val="20"/>
          <w:szCs w:val="20"/>
        </w:rPr>
      </w:pPr>
    </w:p>
    <w:p w:rsidR="00E40FB5" w:rsidRDefault="00E40FB5" w:rsidP="0068062D">
      <w:pPr>
        <w:pStyle w:val="ListParagraph"/>
        <w:ind w:left="0"/>
        <w:rPr>
          <w:b/>
          <w:bCs/>
          <w:sz w:val="20"/>
          <w:szCs w:val="20"/>
        </w:rPr>
      </w:pPr>
      <w:r>
        <w:rPr>
          <w:b/>
          <w:bCs/>
          <w:sz w:val="20"/>
          <w:szCs w:val="20"/>
        </w:rPr>
        <w:t xml:space="preserve">APPENDIX A </w:t>
      </w:r>
      <w:r w:rsidR="00B520CB">
        <w:rPr>
          <w:b/>
          <w:bCs/>
          <w:sz w:val="20"/>
          <w:szCs w:val="20"/>
        </w:rPr>
        <w:t>– C</w:t>
      </w:r>
      <w:r>
        <w:rPr>
          <w:b/>
          <w:bCs/>
          <w:sz w:val="20"/>
          <w:szCs w:val="20"/>
        </w:rPr>
        <w:t>itations</w:t>
      </w:r>
    </w:p>
    <w:p w:rsidR="00E40FB5" w:rsidRDefault="00E40FB5" w:rsidP="0068062D">
      <w:pPr>
        <w:pStyle w:val="ListParagraph"/>
        <w:ind w:left="0"/>
        <w:rPr>
          <w:b/>
          <w:bCs/>
          <w:sz w:val="20"/>
          <w:szCs w:val="20"/>
        </w:rPr>
      </w:pPr>
    </w:p>
    <w:p w:rsidR="00E40FB5" w:rsidRPr="008870F5" w:rsidRDefault="00E026C7" w:rsidP="00E40FB5">
      <w:pPr>
        <w:shd w:val="clear" w:color="auto" w:fill="FFFFFF"/>
        <w:textAlignment w:val="top"/>
        <w:outlineLvl w:val="1"/>
        <w:rPr>
          <w:bCs/>
          <w:kern w:val="36"/>
          <w:sz w:val="20"/>
          <w:szCs w:val="20"/>
        </w:rPr>
      </w:pPr>
      <w:hyperlink r:id="rId10" w:tooltip="View all posts by American Academy of Political and Social Science" w:history="1">
        <w:r w:rsidR="00E40FB5" w:rsidRPr="008870F5">
          <w:rPr>
            <w:rStyle w:val="author3"/>
            <w:b w:val="0"/>
            <w:sz w:val="20"/>
            <w:szCs w:val="20"/>
          </w:rPr>
          <w:t>American Academy of Political and Social Science</w:t>
        </w:r>
      </w:hyperlink>
      <w:r w:rsidR="00E40FB5" w:rsidRPr="008870F5">
        <w:rPr>
          <w:rStyle w:val="author3"/>
          <w:b w:val="0"/>
          <w:sz w:val="20"/>
          <w:szCs w:val="20"/>
        </w:rPr>
        <w:t>, “</w:t>
      </w:r>
      <w:r w:rsidR="00E40FB5" w:rsidRPr="008870F5">
        <w:rPr>
          <w:bCs/>
          <w:kern w:val="36"/>
          <w:sz w:val="20"/>
          <w:szCs w:val="20"/>
        </w:rPr>
        <w:t xml:space="preserve">The Nonresponse Challenge to Surveys and Statistics” (May 13, 2013), </w:t>
      </w:r>
      <w:hyperlink r:id="rId11" w:history="1">
        <w:r w:rsidR="00E40FB5" w:rsidRPr="008870F5">
          <w:rPr>
            <w:rStyle w:val="Hyperlink"/>
            <w:bCs/>
            <w:color w:val="auto"/>
            <w:kern w:val="36"/>
            <w:sz w:val="20"/>
            <w:szCs w:val="20"/>
          </w:rPr>
          <w:t>http://www.socialsciencespace.com/2013/05/the-nonresponse-challenge-to-surveys-and-statistics/</w:t>
        </w:r>
      </w:hyperlink>
    </w:p>
    <w:p w:rsidR="00E40FB5" w:rsidRPr="008870F5" w:rsidRDefault="00E40FB5" w:rsidP="00E40FB5">
      <w:pPr>
        <w:rPr>
          <w:sz w:val="20"/>
          <w:szCs w:val="20"/>
        </w:rPr>
      </w:pPr>
    </w:p>
    <w:p w:rsidR="00E40FB5" w:rsidRPr="008870F5" w:rsidRDefault="00E40FB5" w:rsidP="00E40FB5">
      <w:pPr>
        <w:rPr>
          <w:sz w:val="20"/>
          <w:szCs w:val="20"/>
        </w:rPr>
      </w:pPr>
      <w:r w:rsidRPr="008870F5">
        <w:rPr>
          <w:sz w:val="20"/>
          <w:szCs w:val="20"/>
        </w:rPr>
        <w:t xml:space="preserve">Church, A.H., “Estimating the Effect of Incentives on Mail Survey Response Rates: A Meta-Analysis”, </w:t>
      </w:r>
      <w:r w:rsidRPr="008870F5">
        <w:rPr>
          <w:i/>
          <w:sz w:val="20"/>
          <w:szCs w:val="20"/>
        </w:rPr>
        <w:t>Public Opinion Quarterly</w:t>
      </w:r>
      <w:r w:rsidRPr="008870F5">
        <w:rPr>
          <w:sz w:val="20"/>
          <w:szCs w:val="20"/>
        </w:rPr>
        <w:t>, 57: 62-79 (1993).</w:t>
      </w:r>
    </w:p>
    <w:p w:rsidR="00E40FB5" w:rsidRPr="008870F5" w:rsidRDefault="00E40FB5" w:rsidP="00E40FB5">
      <w:pPr>
        <w:rPr>
          <w:sz w:val="20"/>
          <w:szCs w:val="20"/>
        </w:rPr>
      </w:pPr>
    </w:p>
    <w:p w:rsidR="00E40FB5" w:rsidRPr="008870F5" w:rsidRDefault="00E40FB5" w:rsidP="00E40FB5">
      <w:pPr>
        <w:spacing w:after="200"/>
        <w:rPr>
          <w:sz w:val="20"/>
          <w:szCs w:val="20"/>
        </w:rPr>
      </w:pPr>
      <w:r w:rsidRPr="008870F5">
        <w:rPr>
          <w:sz w:val="20"/>
          <w:szCs w:val="20"/>
        </w:rPr>
        <w:t xml:space="preserve">Dillman, D., Smyth, J., and Christian, L., </w:t>
      </w:r>
      <w:r w:rsidRPr="008870F5">
        <w:rPr>
          <w:i/>
          <w:sz w:val="20"/>
          <w:szCs w:val="20"/>
        </w:rPr>
        <w:t>Internet, Mail, and Mixed-Mode Surveys: The Tailored Design Method,</w:t>
      </w:r>
      <w:r w:rsidRPr="008870F5">
        <w:rPr>
          <w:sz w:val="20"/>
          <w:szCs w:val="20"/>
        </w:rPr>
        <w:t xml:space="preserve"> Hoboken, NJ: John Wiley &amp; Sons (2008).</w:t>
      </w:r>
    </w:p>
    <w:p w:rsidR="00E40FB5" w:rsidRPr="008870F5" w:rsidRDefault="00E40FB5" w:rsidP="00E40FB5">
      <w:pPr>
        <w:spacing w:after="200"/>
        <w:rPr>
          <w:sz w:val="20"/>
          <w:szCs w:val="20"/>
        </w:rPr>
      </w:pPr>
      <w:r w:rsidRPr="008870F5">
        <w:rPr>
          <w:sz w:val="20"/>
          <w:szCs w:val="20"/>
        </w:rPr>
        <w:t xml:space="preserve">Groves, R., Dillman, D., Eltinge, J., and Little, R, </w:t>
      </w:r>
      <w:r w:rsidRPr="008870F5">
        <w:rPr>
          <w:i/>
          <w:sz w:val="20"/>
          <w:szCs w:val="20"/>
        </w:rPr>
        <w:t xml:space="preserve">Survey Nonresponse, </w:t>
      </w:r>
      <w:r w:rsidRPr="008870F5">
        <w:rPr>
          <w:sz w:val="20"/>
          <w:szCs w:val="20"/>
        </w:rPr>
        <w:t>New York: John Wiley and Sons (2002).</w:t>
      </w:r>
    </w:p>
    <w:p w:rsidR="00E40FB5" w:rsidRPr="008870F5" w:rsidRDefault="00E40FB5" w:rsidP="00E40FB5">
      <w:pPr>
        <w:spacing w:after="200"/>
        <w:rPr>
          <w:sz w:val="20"/>
          <w:szCs w:val="20"/>
        </w:rPr>
      </w:pPr>
      <w:r w:rsidRPr="008870F5">
        <w:rPr>
          <w:sz w:val="20"/>
          <w:szCs w:val="20"/>
        </w:rPr>
        <w:t xml:space="preserve">James, Jeannine M., and Richard Bolstein, ‘‘The Effect of Monetary Incentives and Follow Up Mailings on the Response Rate and Response Quality in Mail Surveys,’’ </w:t>
      </w:r>
      <w:r w:rsidRPr="008870F5">
        <w:rPr>
          <w:i/>
          <w:sz w:val="20"/>
          <w:szCs w:val="20"/>
        </w:rPr>
        <w:t>Public Opinion Quarterly</w:t>
      </w:r>
      <w:r w:rsidRPr="008870F5">
        <w:rPr>
          <w:sz w:val="20"/>
          <w:szCs w:val="20"/>
        </w:rPr>
        <w:t xml:space="preserve"> 54:346–61 (1990).</w:t>
      </w:r>
    </w:p>
    <w:p w:rsidR="00E40FB5" w:rsidRPr="008870F5" w:rsidRDefault="00E40FB5" w:rsidP="00E40FB5">
      <w:pPr>
        <w:spacing w:after="200"/>
        <w:rPr>
          <w:i/>
          <w:sz w:val="20"/>
          <w:szCs w:val="20"/>
        </w:rPr>
      </w:pPr>
      <w:r w:rsidRPr="008870F5">
        <w:rPr>
          <w:sz w:val="20"/>
          <w:szCs w:val="20"/>
        </w:rPr>
        <w:t xml:space="preserve">Millar, M.M. and Dillman, D.A., “Improving Response to Web and Mixed-Mode Surveys”, </w:t>
      </w:r>
      <w:r w:rsidRPr="008870F5">
        <w:rPr>
          <w:i/>
          <w:sz w:val="20"/>
          <w:szCs w:val="20"/>
        </w:rPr>
        <w:t>Public Opinion Quarterly</w:t>
      </w:r>
      <w:r w:rsidRPr="008870F5">
        <w:rPr>
          <w:sz w:val="20"/>
          <w:szCs w:val="20"/>
        </w:rPr>
        <w:t>, 1-21 (2011).</w:t>
      </w:r>
    </w:p>
    <w:p w:rsidR="00E40FB5" w:rsidRPr="008870F5" w:rsidRDefault="00E40FB5" w:rsidP="00E40FB5">
      <w:pPr>
        <w:spacing w:after="200"/>
        <w:rPr>
          <w:sz w:val="20"/>
          <w:szCs w:val="20"/>
        </w:rPr>
      </w:pPr>
      <w:r w:rsidRPr="008870F5">
        <w:rPr>
          <w:sz w:val="20"/>
          <w:szCs w:val="20"/>
        </w:rPr>
        <w:t xml:space="preserve">Petrolia, D.R. and Bhattacharjee, S., “Revisiting Incentive Effects: Evidence from a Random-Sample Mail Survey on Consumer Preferences for Fuel Ethanol”, </w:t>
      </w:r>
      <w:r w:rsidRPr="008870F5">
        <w:rPr>
          <w:i/>
          <w:sz w:val="20"/>
          <w:szCs w:val="20"/>
        </w:rPr>
        <w:t>Public Opinion Quarterly</w:t>
      </w:r>
      <w:r w:rsidRPr="008870F5">
        <w:rPr>
          <w:sz w:val="20"/>
          <w:szCs w:val="20"/>
        </w:rPr>
        <w:t>, 73:537-550 (2009).</w:t>
      </w:r>
    </w:p>
    <w:p w:rsidR="00E40FB5" w:rsidRPr="008870F5" w:rsidRDefault="00E40FB5" w:rsidP="00E40FB5">
      <w:pPr>
        <w:spacing w:after="200"/>
        <w:rPr>
          <w:sz w:val="20"/>
          <w:szCs w:val="20"/>
        </w:rPr>
      </w:pPr>
      <w:r w:rsidRPr="008870F5">
        <w:rPr>
          <w:sz w:val="20"/>
          <w:szCs w:val="20"/>
        </w:rPr>
        <w:t xml:space="preserve">Shaw, M.J. et al, “The Use of Monetary Incentives in a Community Survey: Impact on Response Rates, Data Quality, and Cost”, </w:t>
      </w:r>
      <w:r w:rsidRPr="008870F5">
        <w:rPr>
          <w:i/>
          <w:sz w:val="20"/>
          <w:szCs w:val="20"/>
        </w:rPr>
        <w:t>Health Services Research</w:t>
      </w:r>
      <w:r w:rsidRPr="008870F5">
        <w:rPr>
          <w:sz w:val="20"/>
          <w:szCs w:val="20"/>
        </w:rPr>
        <w:t>, 35: 1339-1346 (2001).</w:t>
      </w:r>
    </w:p>
    <w:p w:rsidR="00E40FB5" w:rsidRPr="008870F5" w:rsidRDefault="00E40FB5" w:rsidP="00E40FB5">
      <w:pPr>
        <w:spacing w:after="200"/>
        <w:rPr>
          <w:sz w:val="20"/>
          <w:szCs w:val="20"/>
        </w:rPr>
      </w:pPr>
      <w:r w:rsidRPr="008870F5">
        <w:rPr>
          <w:sz w:val="20"/>
          <w:szCs w:val="20"/>
        </w:rPr>
        <w:t xml:space="preserve">Shettle, C. and Mooney, G., “Evaluation of Using Monetary Incentives in a Government Survey”, Mathematics Policy Research, </w:t>
      </w:r>
      <w:r w:rsidRPr="008870F5">
        <w:rPr>
          <w:i/>
          <w:sz w:val="20"/>
          <w:szCs w:val="20"/>
        </w:rPr>
        <w:t>National Science Foundation</w:t>
      </w:r>
      <w:r w:rsidRPr="008870F5">
        <w:rPr>
          <w:sz w:val="20"/>
          <w:szCs w:val="20"/>
        </w:rPr>
        <w:t xml:space="preserve"> (1999).</w:t>
      </w:r>
    </w:p>
    <w:p w:rsidR="00E40FB5" w:rsidRPr="008870F5" w:rsidRDefault="00E40FB5" w:rsidP="00E40FB5">
      <w:pPr>
        <w:spacing w:after="200"/>
        <w:rPr>
          <w:sz w:val="20"/>
          <w:szCs w:val="20"/>
        </w:rPr>
      </w:pPr>
      <w:r w:rsidRPr="008870F5">
        <w:rPr>
          <w:sz w:val="20"/>
          <w:szCs w:val="20"/>
        </w:rPr>
        <w:t xml:space="preserve">Teisl, M.F., Roe, B. and Vayda, M., “Incentive Effects on Response Rates, Data Quality, and Survey Administration Costs”, </w:t>
      </w:r>
      <w:r w:rsidRPr="008870F5">
        <w:rPr>
          <w:i/>
          <w:sz w:val="20"/>
          <w:szCs w:val="20"/>
        </w:rPr>
        <w:t>International Journal of Public Opinion Research</w:t>
      </w:r>
      <w:r w:rsidRPr="008870F5">
        <w:rPr>
          <w:sz w:val="20"/>
          <w:szCs w:val="20"/>
        </w:rPr>
        <w:t xml:space="preserve"> 18 (2005).</w:t>
      </w:r>
    </w:p>
    <w:p w:rsidR="00E40FB5" w:rsidRDefault="00E40FB5" w:rsidP="00E40FB5">
      <w:r w:rsidRPr="008870F5">
        <w:rPr>
          <w:sz w:val="20"/>
          <w:szCs w:val="20"/>
        </w:rPr>
        <w:t xml:space="preserve">Trussell, N. and Lavrakas, P.J., “The Influence of Incremental Increases in Token Cash Incentives on Mail Survey Response: Is there an Optimal Amount?” </w:t>
      </w:r>
      <w:r w:rsidRPr="008870F5">
        <w:rPr>
          <w:i/>
          <w:sz w:val="20"/>
          <w:szCs w:val="20"/>
        </w:rPr>
        <w:t>Public Opinion Quarterly</w:t>
      </w:r>
      <w:r w:rsidRPr="008870F5">
        <w:rPr>
          <w:sz w:val="20"/>
          <w:szCs w:val="20"/>
        </w:rPr>
        <w:t xml:space="preserve"> 68: 349-367 (2004)</w:t>
      </w:r>
    </w:p>
    <w:p w:rsidR="00E40FB5" w:rsidRDefault="00E40FB5" w:rsidP="0068062D">
      <w:pPr>
        <w:pStyle w:val="ListParagraph"/>
        <w:ind w:left="0"/>
        <w:rPr>
          <w:b/>
          <w:bCs/>
          <w:sz w:val="20"/>
          <w:szCs w:val="20"/>
        </w:rPr>
      </w:pPr>
    </w:p>
    <w:sectPr w:rsidR="00E40FB5" w:rsidSect="00950FBE">
      <w:pgSz w:w="12240" w:h="15840"/>
      <w:pgMar w:top="1296" w:right="1440" w:bottom="1008" w:left="1440" w:header="1080" w:footer="6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6B" w:rsidRDefault="00EE376B">
      <w:r>
        <w:separator/>
      </w:r>
    </w:p>
  </w:endnote>
  <w:endnote w:type="continuationSeparator" w:id="0">
    <w:p w:rsidR="00EE376B" w:rsidRDefault="00EE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5" w:rsidRPr="00427A81" w:rsidRDefault="00617945"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E026C7">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6B" w:rsidRDefault="00EE376B">
      <w:r>
        <w:separator/>
      </w:r>
    </w:p>
  </w:footnote>
  <w:footnote w:type="continuationSeparator" w:id="0">
    <w:p w:rsidR="00EE376B" w:rsidRDefault="00EE376B">
      <w:r>
        <w:continuationSeparator/>
      </w:r>
    </w:p>
  </w:footnote>
  <w:footnote w:id="1">
    <w:p w:rsidR="00617945" w:rsidRDefault="00617945" w:rsidP="00286751">
      <w:pPr>
        <w:pStyle w:val="FootnoteText"/>
      </w:pPr>
      <w:r w:rsidRPr="004D12AF">
        <w:rPr>
          <w:rStyle w:val="FootnoteReference"/>
          <w:vertAlign w:val="superscript"/>
        </w:rPr>
        <w:footnoteRef/>
      </w:r>
      <w:r>
        <w:rPr>
          <w:rFonts w:ascii="Verdana" w:hAnsi="Verdana"/>
          <w:sz w:val="15"/>
          <w:szCs w:val="15"/>
        </w:rPr>
        <w:t>Willis, G.B. (2005). Cognitive Interviewing: A Tool for Improving Questionnaire Design. Thousand Oaks, CA: Sage Publications.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94FAB"/>
    <w:multiLevelType w:val="hybridMultilevel"/>
    <w:tmpl w:val="BF8A8EF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56836"/>
    <w:multiLevelType w:val="hybridMultilevel"/>
    <w:tmpl w:val="06124264"/>
    <w:lvl w:ilvl="0" w:tplc="0409000F">
      <w:start w:val="1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A330D"/>
    <w:multiLevelType w:val="hybridMultilevel"/>
    <w:tmpl w:val="4CE0AC5C"/>
    <w:lvl w:ilvl="0" w:tplc="04090001">
      <w:start w:val="1"/>
      <w:numFmt w:val="bullet"/>
      <w:lvlText w:val=""/>
      <w:lvlJc w:val="left"/>
      <w:pPr>
        <w:tabs>
          <w:tab w:val="num" w:pos="720"/>
        </w:tabs>
        <w:ind w:left="720" w:hanging="360"/>
      </w:pPr>
      <w:rPr>
        <w:rFonts w:ascii="Symbol" w:hAnsi="Symbol" w:hint="default"/>
      </w:rPr>
    </w:lvl>
    <w:lvl w:ilvl="1" w:tplc="ED208D48">
      <w:start w:val="7"/>
      <w:numFmt w:val="lowerLetter"/>
      <w:lvlText w:val="%2."/>
      <w:lvlJc w:val="left"/>
      <w:pPr>
        <w:tabs>
          <w:tab w:val="num" w:pos="1440"/>
        </w:tabs>
        <w:ind w:left="1440" w:hanging="360"/>
      </w:pPr>
      <w:rPr>
        <w:rFonts w:hint="default"/>
      </w:rPr>
    </w:lvl>
    <w:lvl w:ilvl="2" w:tplc="092E89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F6B08"/>
    <w:multiLevelType w:val="hybridMultilevel"/>
    <w:tmpl w:val="36BE8C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365FF3"/>
    <w:multiLevelType w:val="hybridMultilevel"/>
    <w:tmpl w:val="71624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F726D"/>
    <w:multiLevelType w:val="hybridMultilevel"/>
    <w:tmpl w:val="6374C756"/>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92E89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D1CAD"/>
    <w:multiLevelType w:val="hybridMultilevel"/>
    <w:tmpl w:val="B782854E"/>
    <w:lvl w:ilvl="0" w:tplc="D5F00CBE">
      <w:start w:val="1"/>
      <w:numFmt w:val="decimal"/>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92E89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B64F2"/>
    <w:multiLevelType w:val="hybridMultilevel"/>
    <w:tmpl w:val="C4C8B4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286D01"/>
    <w:multiLevelType w:val="hybridMultilevel"/>
    <w:tmpl w:val="FBA6D4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7C0E0D"/>
    <w:multiLevelType w:val="hybridMultilevel"/>
    <w:tmpl w:val="8F0E8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2C624D4"/>
    <w:multiLevelType w:val="hybridMultilevel"/>
    <w:tmpl w:val="7E3C23D0"/>
    <w:lvl w:ilvl="0" w:tplc="0409000F">
      <w:start w:val="1"/>
      <w:numFmt w:val="decimal"/>
      <w:lvlText w:val="%1."/>
      <w:lvlJc w:val="left"/>
      <w:pPr>
        <w:tabs>
          <w:tab w:val="num" w:pos="720"/>
        </w:tabs>
        <w:ind w:left="720" w:hanging="360"/>
      </w:pPr>
      <w:rPr>
        <w:rFonts w:cs="Times New Roman"/>
      </w:rPr>
    </w:lvl>
    <w:lvl w:ilvl="1" w:tplc="60EC9BE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ED3FF0"/>
    <w:multiLevelType w:val="hybridMultilevel"/>
    <w:tmpl w:val="036801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0A119C"/>
    <w:multiLevelType w:val="hybridMultilevel"/>
    <w:tmpl w:val="0F5695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2"/>
  </w:num>
  <w:num w:numId="5">
    <w:abstractNumId w:val="10"/>
  </w:num>
  <w:num w:numId="6">
    <w:abstractNumId w:val="13"/>
  </w:num>
  <w:num w:numId="7">
    <w:abstractNumId w:val="12"/>
  </w:num>
  <w:num w:numId="8">
    <w:abstractNumId w:val="4"/>
  </w:num>
  <w:num w:numId="9">
    <w:abstractNumId w:val="9"/>
  </w:num>
  <w:num w:numId="10">
    <w:abstractNumId w:val="8"/>
  </w:num>
  <w:num w:numId="11">
    <w:abstractNumId w:val="11"/>
  </w:num>
  <w:num w:numId="12">
    <w:abstractNumId w:val="7"/>
  </w:num>
  <w:num w:numId="13">
    <w:abstractNumId w:val="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263"/>
    <w:rsid w:val="0000215B"/>
    <w:rsid w:val="000031B4"/>
    <w:rsid w:val="00003D64"/>
    <w:rsid w:val="00005B76"/>
    <w:rsid w:val="00010A75"/>
    <w:rsid w:val="00013F66"/>
    <w:rsid w:val="00014EB5"/>
    <w:rsid w:val="00015CAC"/>
    <w:rsid w:val="00016A0A"/>
    <w:rsid w:val="00026FB2"/>
    <w:rsid w:val="00027107"/>
    <w:rsid w:val="00034131"/>
    <w:rsid w:val="000342FE"/>
    <w:rsid w:val="00035257"/>
    <w:rsid w:val="000356B0"/>
    <w:rsid w:val="00040ADB"/>
    <w:rsid w:val="00042574"/>
    <w:rsid w:val="00043499"/>
    <w:rsid w:val="00043707"/>
    <w:rsid w:val="000457AF"/>
    <w:rsid w:val="00051737"/>
    <w:rsid w:val="00052C24"/>
    <w:rsid w:val="0005474F"/>
    <w:rsid w:val="00054A4D"/>
    <w:rsid w:val="00054F31"/>
    <w:rsid w:val="00056E3C"/>
    <w:rsid w:val="00062809"/>
    <w:rsid w:val="00062844"/>
    <w:rsid w:val="00062D47"/>
    <w:rsid w:val="00063823"/>
    <w:rsid w:val="00064E0F"/>
    <w:rsid w:val="0007050F"/>
    <w:rsid w:val="00071F8E"/>
    <w:rsid w:val="00072338"/>
    <w:rsid w:val="00074413"/>
    <w:rsid w:val="00076BA1"/>
    <w:rsid w:val="00081C2C"/>
    <w:rsid w:val="0008492C"/>
    <w:rsid w:val="00094930"/>
    <w:rsid w:val="000A1A58"/>
    <w:rsid w:val="000A228B"/>
    <w:rsid w:val="000B071C"/>
    <w:rsid w:val="000B209F"/>
    <w:rsid w:val="000B4417"/>
    <w:rsid w:val="000B4BAA"/>
    <w:rsid w:val="000B54A5"/>
    <w:rsid w:val="000B5ED6"/>
    <w:rsid w:val="000C36B4"/>
    <w:rsid w:val="000C68AE"/>
    <w:rsid w:val="000C73FC"/>
    <w:rsid w:val="000D2D2C"/>
    <w:rsid w:val="000D5D91"/>
    <w:rsid w:val="000D79FB"/>
    <w:rsid w:val="000E07A6"/>
    <w:rsid w:val="000E0888"/>
    <w:rsid w:val="000E3F22"/>
    <w:rsid w:val="000E5840"/>
    <w:rsid w:val="000E6498"/>
    <w:rsid w:val="000F4DC6"/>
    <w:rsid w:val="000F6C4A"/>
    <w:rsid w:val="000F6F5B"/>
    <w:rsid w:val="000F7D65"/>
    <w:rsid w:val="00104405"/>
    <w:rsid w:val="00104AB2"/>
    <w:rsid w:val="0010528A"/>
    <w:rsid w:val="001129A0"/>
    <w:rsid w:val="00114586"/>
    <w:rsid w:val="001236A1"/>
    <w:rsid w:val="001236A4"/>
    <w:rsid w:val="00125C2D"/>
    <w:rsid w:val="00131E6E"/>
    <w:rsid w:val="001326E4"/>
    <w:rsid w:val="001350C4"/>
    <w:rsid w:val="00136F00"/>
    <w:rsid w:val="00137677"/>
    <w:rsid w:val="001403FC"/>
    <w:rsid w:val="001417A2"/>
    <w:rsid w:val="001455EA"/>
    <w:rsid w:val="00145E6F"/>
    <w:rsid w:val="00156F01"/>
    <w:rsid w:val="0016299F"/>
    <w:rsid w:val="00162E44"/>
    <w:rsid w:val="001647C7"/>
    <w:rsid w:val="00164F07"/>
    <w:rsid w:val="00167587"/>
    <w:rsid w:val="001677E2"/>
    <w:rsid w:val="001703C6"/>
    <w:rsid w:val="00171ED1"/>
    <w:rsid w:val="00173DF0"/>
    <w:rsid w:val="00180AA7"/>
    <w:rsid w:val="00192DF8"/>
    <w:rsid w:val="00197F9A"/>
    <w:rsid w:val="001A178B"/>
    <w:rsid w:val="001A468E"/>
    <w:rsid w:val="001A67F5"/>
    <w:rsid w:val="001A683C"/>
    <w:rsid w:val="001C0C09"/>
    <w:rsid w:val="001C3119"/>
    <w:rsid w:val="001C4BCE"/>
    <w:rsid w:val="001C4DEE"/>
    <w:rsid w:val="001C55CF"/>
    <w:rsid w:val="001C5D5E"/>
    <w:rsid w:val="001C7A86"/>
    <w:rsid w:val="001D0DF0"/>
    <w:rsid w:val="001D4AF7"/>
    <w:rsid w:val="001D4F88"/>
    <w:rsid w:val="001D759A"/>
    <w:rsid w:val="001E2556"/>
    <w:rsid w:val="001E34B4"/>
    <w:rsid w:val="001E6537"/>
    <w:rsid w:val="001E66C5"/>
    <w:rsid w:val="001F018D"/>
    <w:rsid w:val="001F3AB3"/>
    <w:rsid w:val="001F455A"/>
    <w:rsid w:val="00200A74"/>
    <w:rsid w:val="002031ED"/>
    <w:rsid w:val="002111CB"/>
    <w:rsid w:val="00211C2D"/>
    <w:rsid w:val="00215A7B"/>
    <w:rsid w:val="00215D7D"/>
    <w:rsid w:val="00217E1B"/>
    <w:rsid w:val="00221443"/>
    <w:rsid w:val="002214A1"/>
    <w:rsid w:val="00222388"/>
    <w:rsid w:val="00223E23"/>
    <w:rsid w:val="00234637"/>
    <w:rsid w:val="00234A00"/>
    <w:rsid w:val="002376F0"/>
    <w:rsid w:val="00237730"/>
    <w:rsid w:val="002415F8"/>
    <w:rsid w:val="00242CA8"/>
    <w:rsid w:val="0024456A"/>
    <w:rsid w:val="00250C5E"/>
    <w:rsid w:val="00250FFD"/>
    <w:rsid w:val="002602B5"/>
    <w:rsid w:val="00262108"/>
    <w:rsid w:val="0026545B"/>
    <w:rsid w:val="002776CD"/>
    <w:rsid w:val="002777A6"/>
    <w:rsid w:val="0028667A"/>
    <w:rsid w:val="00286751"/>
    <w:rsid w:val="00290710"/>
    <w:rsid w:val="0029480F"/>
    <w:rsid w:val="002A301D"/>
    <w:rsid w:val="002B076B"/>
    <w:rsid w:val="002B122A"/>
    <w:rsid w:val="002B12D4"/>
    <w:rsid w:val="002B1B5C"/>
    <w:rsid w:val="002B3A7B"/>
    <w:rsid w:val="002B4407"/>
    <w:rsid w:val="002C015E"/>
    <w:rsid w:val="002C11AE"/>
    <w:rsid w:val="002C1801"/>
    <w:rsid w:val="002C1ABE"/>
    <w:rsid w:val="002C5EFF"/>
    <w:rsid w:val="002C61FB"/>
    <w:rsid w:val="002D22B8"/>
    <w:rsid w:val="002D277C"/>
    <w:rsid w:val="002D5C88"/>
    <w:rsid w:val="002D6743"/>
    <w:rsid w:val="002F2EBD"/>
    <w:rsid w:val="0030044D"/>
    <w:rsid w:val="00301A01"/>
    <w:rsid w:val="00305525"/>
    <w:rsid w:val="00311908"/>
    <w:rsid w:val="00313B7B"/>
    <w:rsid w:val="00317E67"/>
    <w:rsid w:val="0032582A"/>
    <w:rsid w:val="0032588D"/>
    <w:rsid w:val="00326284"/>
    <w:rsid w:val="00332BE3"/>
    <w:rsid w:val="00334E14"/>
    <w:rsid w:val="003374C6"/>
    <w:rsid w:val="00341132"/>
    <w:rsid w:val="00347E13"/>
    <w:rsid w:val="00347ED5"/>
    <w:rsid w:val="00351276"/>
    <w:rsid w:val="00353E4E"/>
    <w:rsid w:val="003553DC"/>
    <w:rsid w:val="00365057"/>
    <w:rsid w:val="00366A2C"/>
    <w:rsid w:val="00367A09"/>
    <w:rsid w:val="00383842"/>
    <w:rsid w:val="003905D3"/>
    <w:rsid w:val="00392703"/>
    <w:rsid w:val="00394E3D"/>
    <w:rsid w:val="003A04DD"/>
    <w:rsid w:val="003A35BE"/>
    <w:rsid w:val="003A3DB4"/>
    <w:rsid w:val="003A47E9"/>
    <w:rsid w:val="003A7BFD"/>
    <w:rsid w:val="003B47E6"/>
    <w:rsid w:val="003B5462"/>
    <w:rsid w:val="003C56D4"/>
    <w:rsid w:val="003D0890"/>
    <w:rsid w:val="003D1ABD"/>
    <w:rsid w:val="003D4F5E"/>
    <w:rsid w:val="003E1AD8"/>
    <w:rsid w:val="003E406C"/>
    <w:rsid w:val="003E743E"/>
    <w:rsid w:val="003E7C24"/>
    <w:rsid w:val="003F1164"/>
    <w:rsid w:val="003F4998"/>
    <w:rsid w:val="003F5ED4"/>
    <w:rsid w:val="003F67D5"/>
    <w:rsid w:val="00404DD9"/>
    <w:rsid w:val="004064C6"/>
    <w:rsid w:val="00420B4C"/>
    <w:rsid w:val="004227F9"/>
    <w:rsid w:val="004269CE"/>
    <w:rsid w:val="00427191"/>
    <w:rsid w:val="00427A81"/>
    <w:rsid w:val="0043285E"/>
    <w:rsid w:val="00432C2B"/>
    <w:rsid w:val="00434F7E"/>
    <w:rsid w:val="0043505D"/>
    <w:rsid w:val="004419FC"/>
    <w:rsid w:val="00447AAD"/>
    <w:rsid w:val="004501CD"/>
    <w:rsid w:val="00450367"/>
    <w:rsid w:val="00454302"/>
    <w:rsid w:val="00460033"/>
    <w:rsid w:val="00462EE8"/>
    <w:rsid w:val="00466B49"/>
    <w:rsid w:val="00470138"/>
    <w:rsid w:val="004727D5"/>
    <w:rsid w:val="00473918"/>
    <w:rsid w:val="00477BCB"/>
    <w:rsid w:val="00477F48"/>
    <w:rsid w:val="004814AB"/>
    <w:rsid w:val="004827D3"/>
    <w:rsid w:val="004838D5"/>
    <w:rsid w:val="004A213E"/>
    <w:rsid w:val="004A3892"/>
    <w:rsid w:val="004A5FE4"/>
    <w:rsid w:val="004A74AD"/>
    <w:rsid w:val="004B0DB5"/>
    <w:rsid w:val="004B20BD"/>
    <w:rsid w:val="004B397F"/>
    <w:rsid w:val="004B45D7"/>
    <w:rsid w:val="004B51AA"/>
    <w:rsid w:val="004B7987"/>
    <w:rsid w:val="004C07DE"/>
    <w:rsid w:val="004C21EE"/>
    <w:rsid w:val="004C68D1"/>
    <w:rsid w:val="004C762A"/>
    <w:rsid w:val="004D12AF"/>
    <w:rsid w:val="004D39A0"/>
    <w:rsid w:val="004D43EC"/>
    <w:rsid w:val="004D4803"/>
    <w:rsid w:val="004D50AB"/>
    <w:rsid w:val="004D5A38"/>
    <w:rsid w:val="004E446A"/>
    <w:rsid w:val="004E6557"/>
    <w:rsid w:val="004E72C5"/>
    <w:rsid w:val="004F39AE"/>
    <w:rsid w:val="00501CF9"/>
    <w:rsid w:val="00504B59"/>
    <w:rsid w:val="005102EC"/>
    <w:rsid w:val="00511919"/>
    <w:rsid w:val="0052123E"/>
    <w:rsid w:val="0052157C"/>
    <w:rsid w:val="005229D3"/>
    <w:rsid w:val="005230D1"/>
    <w:rsid w:val="00527B8B"/>
    <w:rsid w:val="0053148B"/>
    <w:rsid w:val="00531847"/>
    <w:rsid w:val="005329CE"/>
    <w:rsid w:val="00533368"/>
    <w:rsid w:val="00534332"/>
    <w:rsid w:val="005349F6"/>
    <w:rsid w:val="00537D17"/>
    <w:rsid w:val="005401A4"/>
    <w:rsid w:val="005421FF"/>
    <w:rsid w:val="005432A2"/>
    <w:rsid w:val="0054647B"/>
    <w:rsid w:val="005523E1"/>
    <w:rsid w:val="00556C87"/>
    <w:rsid w:val="0056032C"/>
    <w:rsid w:val="005608FC"/>
    <w:rsid w:val="00561B09"/>
    <w:rsid w:val="0056291C"/>
    <w:rsid w:val="00565B3C"/>
    <w:rsid w:val="00566078"/>
    <w:rsid w:val="0057220F"/>
    <w:rsid w:val="00576872"/>
    <w:rsid w:val="00577660"/>
    <w:rsid w:val="00580B47"/>
    <w:rsid w:val="005829ED"/>
    <w:rsid w:val="00585CCA"/>
    <w:rsid w:val="00585D26"/>
    <w:rsid w:val="005865EE"/>
    <w:rsid w:val="00590621"/>
    <w:rsid w:val="005918A6"/>
    <w:rsid w:val="0059383F"/>
    <w:rsid w:val="005976A4"/>
    <w:rsid w:val="005979B4"/>
    <w:rsid w:val="005A678D"/>
    <w:rsid w:val="005A699D"/>
    <w:rsid w:val="005B2CBE"/>
    <w:rsid w:val="005B3F30"/>
    <w:rsid w:val="005B62D1"/>
    <w:rsid w:val="005C1099"/>
    <w:rsid w:val="005C5EB9"/>
    <w:rsid w:val="005C6823"/>
    <w:rsid w:val="005D2394"/>
    <w:rsid w:val="005D4AEA"/>
    <w:rsid w:val="005E2377"/>
    <w:rsid w:val="005E69B9"/>
    <w:rsid w:val="005F277A"/>
    <w:rsid w:val="005F2CBB"/>
    <w:rsid w:val="005F6795"/>
    <w:rsid w:val="005F6CA3"/>
    <w:rsid w:val="005F70AD"/>
    <w:rsid w:val="00611EB3"/>
    <w:rsid w:val="00616172"/>
    <w:rsid w:val="00617945"/>
    <w:rsid w:val="00617F5F"/>
    <w:rsid w:val="00621CE2"/>
    <w:rsid w:val="00630361"/>
    <w:rsid w:val="006379AD"/>
    <w:rsid w:val="006423AA"/>
    <w:rsid w:val="006445A9"/>
    <w:rsid w:val="00650B37"/>
    <w:rsid w:val="00652AFF"/>
    <w:rsid w:val="00654DA3"/>
    <w:rsid w:val="00656BA0"/>
    <w:rsid w:val="0065795B"/>
    <w:rsid w:val="006602E8"/>
    <w:rsid w:val="0066114D"/>
    <w:rsid w:val="00664B9D"/>
    <w:rsid w:val="006652F2"/>
    <w:rsid w:val="00665AD4"/>
    <w:rsid w:val="00670C33"/>
    <w:rsid w:val="00672269"/>
    <w:rsid w:val="00672D96"/>
    <w:rsid w:val="00674292"/>
    <w:rsid w:val="00675218"/>
    <w:rsid w:val="00675E91"/>
    <w:rsid w:val="00676383"/>
    <w:rsid w:val="00676D8A"/>
    <w:rsid w:val="0068062D"/>
    <w:rsid w:val="00681671"/>
    <w:rsid w:val="00682726"/>
    <w:rsid w:val="00691D85"/>
    <w:rsid w:val="006970C5"/>
    <w:rsid w:val="006A1B0D"/>
    <w:rsid w:val="006A34CE"/>
    <w:rsid w:val="006B455B"/>
    <w:rsid w:val="006B548A"/>
    <w:rsid w:val="006B71A2"/>
    <w:rsid w:val="006C35DD"/>
    <w:rsid w:val="006D1667"/>
    <w:rsid w:val="006D32C9"/>
    <w:rsid w:val="006D4B76"/>
    <w:rsid w:val="006D5008"/>
    <w:rsid w:val="006E1A4A"/>
    <w:rsid w:val="006E2336"/>
    <w:rsid w:val="006E7671"/>
    <w:rsid w:val="006E7B6E"/>
    <w:rsid w:val="006F3B14"/>
    <w:rsid w:val="006F70C0"/>
    <w:rsid w:val="006F7F4B"/>
    <w:rsid w:val="00703CE1"/>
    <w:rsid w:val="00704FAE"/>
    <w:rsid w:val="007053A4"/>
    <w:rsid w:val="0071501F"/>
    <w:rsid w:val="0072155F"/>
    <w:rsid w:val="00722188"/>
    <w:rsid w:val="00722484"/>
    <w:rsid w:val="00723757"/>
    <w:rsid w:val="007343CD"/>
    <w:rsid w:val="0074246F"/>
    <w:rsid w:val="00742480"/>
    <w:rsid w:val="00744E6E"/>
    <w:rsid w:val="007535AF"/>
    <w:rsid w:val="00753EFC"/>
    <w:rsid w:val="00754F80"/>
    <w:rsid w:val="00762AD3"/>
    <w:rsid w:val="00763447"/>
    <w:rsid w:val="007642C3"/>
    <w:rsid w:val="00772076"/>
    <w:rsid w:val="007803FE"/>
    <w:rsid w:val="007854B2"/>
    <w:rsid w:val="00790B59"/>
    <w:rsid w:val="00791A05"/>
    <w:rsid w:val="00793840"/>
    <w:rsid w:val="00795350"/>
    <w:rsid w:val="00795E7F"/>
    <w:rsid w:val="00797A94"/>
    <w:rsid w:val="007A0B93"/>
    <w:rsid w:val="007A4184"/>
    <w:rsid w:val="007A43AB"/>
    <w:rsid w:val="007A7CB5"/>
    <w:rsid w:val="007B6D0F"/>
    <w:rsid w:val="007B6FAD"/>
    <w:rsid w:val="007B7653"/>
    <w:rsid w:val="007C7BE1"/>
    <w:rsid w:val="007D2889"/>
    <w:rsid w:val="007D6CB2"/>
    <w:rsid w:val="007E09FD"/>
    <w:rsid w:val="007E0C0F"/>
    <w:rsid w:val="007E571D"/>
    <w:rsid w:val="007E5CBA"/>
    <w:rsid w:val="007F227A"/>
    <w:rsid w:val="007F3BB0"/>
    <w:rsid w:val="007F6ACC"/>
    <w:rsid w:val="008027C4"/>
    <w:rsid w:val="008045DF"/>
    <w:rsid w:val="008051B1"/>
    <w:rsid w:val="008102AD"/>
    <w:rsid w:val="008112BA"/>
    <w:rsid w:val="00811A6F"/>
    <w:rsid w:val="00813155"/>
    <w:rsid w:val="008164FE"/>
    <w:rsid w:val="008174DD"/>
    <w:rsid w:val="00824668"/>
    <w:rsid w:val="008311A7"/>
    <w:rsid w:val="00831352"/>
    <w:rsid w:val="008321B4"/>
    <w:rsid w:val="00832C76"/>
    <w:rsid w:val="00837733"/>
    <w:rsid w:val="00837A3A"/>
    <w:rsid w:val="00840F39"/>
    <w:rsid w:val="00842365"/>
    <w:rsid w:val="008505B0"/>
    <w:rsid w:val="00850CCA"/>
    <w:rsid w:val="00852740"/>
    <w:rsid w:val="00856858"/>
    <w:rsid w:val="00861CED"/>
    <w:rsid w:val="00862A24"/>
    <w:rsid w:val="00863A7B"/>
    <w:rsid w:val="0086788D"/>
    <w:rsid w:val="00867C54"/>
    <w:rsid w:val="00873990"/>
    <w:rsid w:val="00875AA0"/>
    <w:rsid w:val="00882616"/>
    <w:rsid w:val="00882DB4"/>
    <w:rsid w:val="00883A5C"/>
    <w:rsid w:val="00885BA7"/>
    <w:rsid w:val="008870F5"/>
    <w:rsid w:val="00890057"/>
    <w:rsid w:val="008905E3"/>
    <w:rsid w:val="00892C77"/>
    <w:rsid w:val="008944A9"/>
    <w:rsid w:val="008A001A"/>
    <w:rsid w:val="008A2CE2"/>
    <w:rsid w:val="008A6D4D"/>
    <w:rsid w:val="008A7FE9"/>
    <w:rsid w:val="008B2BE3"/>
    <w:rsid w:val="008B2CC1"/>
    <w:rsid w:val="008B40D8"/>
    <w:rsid w:val="008B4FCF"/>
    <w:rsid w:val="008B587D"/>
    <w:rsid w:val="008C325F"/>
    <w:rsid w:val="008C46F0"/>
    <w:rsid w:val="008C5351"/>
    <w:rsid w:val="008C65F9"/>
    <w:rsid w:val="008D2D40"/>
    <w:rsid w:val="008D54A8"/>
    <w:rsid w:val="008D71C5"/>
    <w:rsid w:val="008E04B6"/>
    <w:rsid w:val="008E0973"/>
    <w:rsid w:val="008E5378"/>
    <w:rsid w:val="008E6D1D"/>
    <w:rsid w:val="008F007F"/>
    <w:rsid w:val="008F27F5"/>
    <w:rsid w:val="008F3485"/>
    <w:rsid w:val="009012E3"/>
    <w:rsid w:val="0090214D"/>
    <w:rsid w:val="00905232"/>
    <w:rsid w:val="00910E3E"/>
    <w:rsid w:val="00911924"/>
    <w:rsid w:val="00916A0C"/>
    <w:rsid w:val="00917427"/>
    <w:rsid w:val="00917B76"/>
    <w:rsid w:val="009238D4"/>
    <w:rsid w:val="00932C70"/>
    <w:rsid w:val="00941603"/>
    <w:rsid w:val="009458DB"/>
    <w:rsid w:val="009478CF"/>
    <w:rsid w:val="00950FBE"/>
    <w:rsid w:val="009562CF"/>
    <w:rsid w:val="00963531"/>
    <w:rsid w:val="009677B2"/>
    <w:rsid w:val="009737FC"/>
    <w:rsid w:val="009816AA"/>
    <w:rsid w:val="009818CF"/>
    <w:rsid w:val="00983F28"/>
    <w:rsid w:val="00986FF4"/>
    <w:rsid w:val="009873CC"/>
    <w:rsid w:val="0099073B"/>
    <w:rsid w:val="00991A15"/>
    <w:rsid w:val="00996900"/>
    <w:rsid w:val="009A00B1"/>
    <w:rsid w:val="009A0953"/>
    <w:rsid w:val="009A11EB"/>
    <w:rsid w:val="009A18ED"/>
    <w:rsid w:val="009A2D99"/>
    <w:rsid w:val="009A3A5C"/>
    <w:rsid w:val="009A71EB"/>
    <w:rsid w:val="009A769F"/>
    <w:rsid w:val="009A77A0"/>
    <w:rsid w:val="009B064A"/>
    <w:rsid w:val="009B2BC7"/>
    <w:rsid w:val="009B4F63"/>
    <w:rsid w:val="009B51D2"/>
    <w:rsid w:val="009C1EDD"/>
    <w:rsid w:val="009D235E"/>
    <w:rsid w:val="009D2667"/>
    <w:rsid w:val="009D5625"/>
    <w:rsid w:val="009E0D30"/>
    <w:rsid w:val="009E1F03"/>
    <w:rsid w:val="009E4801"/>
    <w:rsid w:val="009E71C7"/>
    <w:rsid w:val="009E7249"/>
    <w:rsid w:val="009F12CA"/>
    <w:rsid w:val="009F1BF3"/>
    <w:rsid w:val="00A000F6"/>
    <w:rsid w:val="00A01B15"/>
    <w:rsid w:val="00A02324"/>
    <w:rsid w:val="00A02C6A"/>
    <w:rsid w:val="00A05196"/>
    <w:rsid w:val="00A133EB"/>
    <w:rsid w:val="00A17890"/>
    <w:rsid w:val="00A17D59"/>
    <w:rsid w:val="00A21912"/>
    <w:rsid w:val="00A325A6"/>
    <w:rsid w:val="00A40B98"/>
    <w:rsid w:val="00A443D0"/>
    <w:rsid w:val="00A50011"/>
    <w:rsid w:val="00A511A9"/>
    <w:rsid w:val="00A52FD6"/>
    <w:rsid w:val="00A53729"/>
    <w:rsid w:val="00A54AC9"/>
    <w:rsid w:val="00A555A9"/>
    <w:rsid w:val="00A55BB2"/>
    <w:rsid w:val="00A56739"/>
    <w:rsid w:val="00A5675F"/>
    <w:rsid w:val="00A57A6F"/>
    <w:rsid w:val="00A717F9"/>
    <w:rsid w:val="00A7300E"/>
    <w:rsid w:val="00A776AC"/>
    <w:rsid w:val="00A864E5"/>
    <w:rsid w:val="00A9180D"/>
    <w:rsid w:val="00A91A37"/>
    <w:rsid w:val="00A94C9A"/>
    <w:rsid w:val="00A95866"/>
    <w:rsid w:val="00AA06D7"/>
    <w:rsid w:val="00AA0E34"/>
    <w:rsid w:val="00AA3421"/>
    <w:rsid w:val="00AA65AC"/>
    <w:rsid w:val="00AB2D5B"/>
    <w:rsid w:val="00AB42BD"/>
    <w:rsid w:val="00AB644C"/>
    <w:rsid w:val="00AB7BEE"/>
    <w:rsid w:val="00AC4280"/>
    <w:rsid w:val="00AC4B42"/>
    <w:rsid w:val="00AC7BEB"/>
    <w:rsid w:val="00AD3CB7"/>
    <w:rsid w:val="00AD5B3C"/>
    <w:rsid w:val="00AE369A"/>
    <w:rsid w:val="00AE41EB"/>
    <w:rsid w:val="00AE6DEB"/>
    <w:rsid w:val="00AE7516"/>
    <w:rsid w:val="00AE775A"/>
    <w:rsid w:val="00B01572"/>
    <w:rsid w:val="00B02D50"/>
    <w:rsid w:val="00B12439"/>
    <w:rsid w:val="00B157D1"/>
    <w:rsid w:val="00B22415"/>
    <w:rsid w:val="00B2328A"/>
    <w:rsid w:val="00B24DE8"/>
    <w:rsid w:val="00B36389"/>
    <w:rsid w:val="00B366D4"/>
    <w:rsid w:val="00B408C7"/>
    <w:rsid w:val="00B45970"/>
    <w:rsid w:val="00B45CC8"/>
    <w:rsid w:val="00B520BA"/>
    <w:rsid w:val="00B520CB"/>
    <w:rsid w:val="00B52505"/>
    <w:rsid w:val="00B555C0"/>
    <w:rsid w:val="00B605FA"/>
    <w:rsid w:val="00B60C99"/>
    <w:rsid w:val="00B60FF9"/>
    <w:rsid w:val="00B62947"/>
    <w:rsid w:val="00B66387"/>
    <w:rsid w:val="00B8320F"/>
    <w:rsid w:val="00B83781"/>
    <w:rsid w:val="00B9114F"/>
    <w:rsid w:val="00B91B6D"/>
    <w:rsid w:val="00B930EE"/>
    <w:rsid w:val="00B93DB5"/>
    <w:rsid w:val="00B95CB4"/>
    <w:rsid w:val="00B95FCE"/>
    <w:rsid w:val="00BA1C8D"/>
    <w:rsid w:val="00BA1E12"/>
    <w:rsid w:val="00BA2A41"/>
    <w:rsid w:val="00BA4BC6"/>
    <w:rsid w:val="00BB2D40"/>
    <w:rsid w:val="00BC3076"/>
    <w:rsid w:val="00BC550A"/>
    <w:rsid w:val="00BC5EF3"/>
    <w:rsid w:val="00BC7D3D"/>
    <w:rsid w:val="00BD1FBD"/>
    <w:rsid w:val="00BD2D9D"/>
    <w:rsid w:val="00BD5350"/>
    <w:rsid w:val="00BD562C"/>
    <w:rsid w:val="00BD588B"/>
    <w:rsid w:val="00BD7E3C"/>
    <w:rsid w:val="00BE0092"/>
    <w:rsid w:val="00BE1D7B"/>
    <w:rsid w:val="00BE329F"/>
    <w:rsid w:val="00BF00AA"/>
    <w:rsid w:val="00BF116B"/>
    <w:rsid w:val="00BF370D"/>
    <w:rsid w:val="00C01431"/>
    <w:rsid w:val="00C05852"/>
    <w:rsid w:val="00C05909"/>
    <w:rsid w:val="00C130C9"/>
    <w:rsid w:val="00C16988"/>
    <w:rsid w:val="00C21A56"/>
    <w:rsid w:val="00C230FB"/>
    <w:rsid w:val="00C25479"/>
    <w:rsid w:val="00C3013D"/>
    <w:rsid w:val="00C317C9"/>
    <w:rsid w:val="00C319AB"/>
    <w:rsid w:val="00C32F00"/>
    <w:rsid w:val="00C34BB0"/>
    <w:rsid w:val="00C3565B"/>
    <w:rsid w:val="00C37CD8"/>
    <w:rsid w:val="00C4181B"/>
    <w:rsid w:val="00C43EA7"/>
    <w:rsid w:val="00C457C2"/>
    <w:rsid w:val="00C46995"/>
    <w:rsid w:val="00C5682A"/>
    <w:rsid w:val="00C61300"/>
    <w:rsid w:val="00C713ED"/>
    <w:rsid w:val="00C7202A"/>
    <w:rsid w:val="00C7479E"/>
    <w:rsid w:val="00C765AF"/>
    <w:rsid w:val="00C7720F"/>
    <w:rsid w:val="00C80AA3"/>
    <w:rsid w:val="00C816F3"/>
    <w:rsid w:val="00C82E82"/>
    <w:rsid w:val="00C853EA"/>
    <w:rsid w:val="00C91AE9"/>
    <w:rsid w:val="00C924D4"/>
    <w:rsid w:val="00C964C5"/>
    <w:rsid w:val="00CA1A34"/>
    <w:rsid w:val="00CA3986"/>
    <w:rsid w:val="00CA5FD2"/>
    <w:rsid w:val="00CB0A80"/>
    <w:rsid w:val="00CB49EA"/>
    <w:rsid w:val="00CB5448"/>
    <w:rsid w:val="00CB67E2"/>
    <w:rsid w:val="00CC2EC3"/>
    <w:rsid w:val="00CC47FD"/>
    <w:rsid w:val="00CC574C"/>
    <w:rsid w:val="00CC579B"/>
    <w:rsid w:val="00CD007A"/>
    <w:rsid w:val="00CD0FF3"/>
    <w:rsid w:val="00CD4D53"/>
    <w:rsid w:val="00CE3842"/>
    <w:rsid w:val="00CE5D45"/>
    <w:rsid w:val="00CE72E9"/>
    <w:rsid w:val="00CF4B28"/>
    <w:rsid w:val="00CF75B4"/>
    <w:rsid w:val="00CF7B3D"/>
    <w:rsid w:val="00D01379"/>
    <w:rsid w:val="00D0254B"/>
    <w:rsid w:val="00D025D1"/>
    <w:rsid w:val="00D02FBC"/>
    <w:rsid w:val="00D031BB"/>
    <w:rsid w:val="00D04B59"/>
    <w:rsid w:val="00D04EB5"/>
    <w:rsid w:val="00D05ED9"/>
    <w:rsid w:val="00D0743E"/>
    <w:rsid w:val="00D10ACD"/>
    <w:rsid w:val="00D15672"/>
    <w:rsid w:val="00D248B2"/>
    <w:rsid w:val="00D25FB6"/>
    <w:rsid w:val="00D26ECB"/>
    <w:rsid w:val="00D271F9"/>
    <w:rsid w:val="00D27318"/>
    <w:rsid w:val="00D275D2"/>
    <w:rsid w:val="00D33CDC"/>
    <w:rsid w:val="00D35597"/>
    <w:rsid w:val="00D35D99"/>
    <w:rsid w:val="00D37567"/>
    <w:rsid w:val="00D37DB4"/>
    <w:rsid w:val="00D4224B"/>
    <w:rsid w:val="00D44A4F"/>
    <w:rsid w:val="00D45DFB"/>
    <w:rsid w:val="00D54AE7"/>
    <w:rsid w:val="00D56D94"/>
    <w:rsid w:val="00D6391B"/>
    <w:rsid w:val="00D63E49"/>
    <w:rsid w:val="00D64354"/>
    <w:rsid w:val="00D664BC"/>
    <w:rsid w:val="00D72D47"/>
    <w:rsid w:val="00D73D12"/>
    <w:rsid w:val="00D81644"/>
    <w:rsid w:val="00D86033"/>
    <w:rsid w:val="00D9369F"/>
    <w:rsid w:val="00D9390D"/>
    <w:rsid w:val="00DA3905"/>
    <w:rsid w:val="00DA7688"/>
    <w:rsid w:val="00DA778D"/>
    <w:rsid w:val="00DB0728"/>
    <w:rsid w:val="00DB1C2D"/>
    <w:rsid w:val="00DB1EF1"/>
    <w:rsid w:val="00DB2651"/>
    <w:rsid w:val="00DB539E"/>
    <w:rsid w:val="00DC3A67"/>
    <w:rsid w:val="00DC5300"/>
    <w:rsid w:val="00DD20A8"/>
    <w:rsid w:val="00DD2DB5"/>
    <w:rsid w:val="00DD32BF"/>
    <w:rsid w:val="00DD3DD0"/>
    <w:rsid w:val="00DD4D34"/>
    <w:rsid w:val="00DD7D77"/>
    <w:rsid w:val="00DE0535"/>
    <w:rsid w:val="00DE0C56"/>
    <w:rsid w:val="00DE24E6"/>
    <w:rsid w:val="00DE290D"/>
    <w:rsid w:val="00DF062D"/>
    <w:rsid w:val="00DF1C5D"/>
    <w:rsid w:val="00DF7300"/>
    <w:rsid w:val="00E0181E"/>
    <w:rsid w:val="00E01D27"/>
    <w:rsid w:val="00E026C7"/>
    <w:rsid w:val="00E078A3"/>
    <w:rsid w:val="00E10A3A"/>
    <w:rsid w:val="00E1104B"/>
    <w:rsid w:val="00E2594C"/>
    <w:rsid w:val="00E26B50"/>
    <w:rsid w:val="00E27032"/>
    <w:rsid w:val="00E31E25"/>
    <w:rsid w:val="00E32509"/>
    <w:rsid w:val="00E3280D"/>
    <w:rsid w:val="00E35226"/>
    <w:rsid w:val="00E40316"/>
    <w:rsid w:val="00E40FB5"/>
    <w:rsid w:val="00E42A28"/>
    <w:rsid w:val="00E479AC"/>
    <w:rsid w:val="00E501C1"/>
    <w:rsid w:val="00E55028"/>
    <w:rsid w:val="00E55B66"/>
    <w:rsid w:val="00E6177F"/>
    <w:rsid w:val="00E75236"/>
    <w:rsid w:val="00E76D78"/>
    <w:rsid w:val="00E8080F"/>
    <w:rsid w:val="00E8313B"/>
    <w:rsid w:val="00E84056"/>
    <w:rsid w:val="00E90A4D"/>
    <w:rsid w:val="00E92E47"/>
    <w:rsid w:val="00E93A72"/>
    <w:rsid w:val="00E9573A"/>
    <w:rsid w:val="00E96513"/>
    <w:rsid w:val="00EA5B09"/>
    <w:rsid w:val="00EA5DD9"/>
    <w:rsid w:val="00EA6433"/>
    <w:rsid w:val="00EB025B"/>
    <w:rsid w:val="00EC01EA"/>
    <w:rsid w:val="00EC0AD9"/>
    <w:rsid w:val="00EC10FF"/>
    <w:rsid w:val="00EC186C"/>
    <w:rsid w:val="00EC2BB6"/>
    <w:rsid w:val="00EC318D"/>
    <w:rsid w:val="00EC55CA"/>
    <w:rsid w:val="00EC70B9"/>
    <w:rsid w:val="00ED0BAF"/>
    <w:rsid w:val="00EE376B"/>
    <w:rsid w:val="00EE5B4F"/>
    <w:rsid w:val="00EE70A9"/>
    <w:rsid w:val="00EF150E"/>
    <w:rsid w:val="00F0419F"/>
    <w:rsid w:val="00F064FD"/>
    <w:rsid w:val="00F06545"/>
    <w:rsid w:val="00F066FF"/>
    <w:rsid w:val="00F1032D"/>
    <w:rsid w:val="00F11DB3"/>
    <w:rsid w:val="00F14B05"/>
    <w:rsid w:val="00F2149E"/>
    <w:rsid w:val="00F22461"/>
    <w:rsid w:val="00F228FC"/>
    <w:rsid w:val="00F22C03"/>
    <w:rsid w:val="00F26E05"/>
    <w:rsid w:val="00F27256"/>
    <w:rsid w:val="00F3420D"/>
    <w:rsid w:val="00F35D26"/>
    <w:rsid w:val="00F444BB"/>
    <w:rsid w:val="00F50853"/>
    <w:rsid w:val="00F50BDB"/>
    <w:rsid w:val="00F50CF7"/>
    <w:rsid w:val="00F522B4"/>
    <w:rsid w:val="00F52306"/>
    <w:rsid w:val="00F54262"/>
    <w:rsid w:val="00F56258"/>
    <w:rsid w:val="00F56A6A"/>
    <w:rsid w:val="00F632AF"/>
    <w:rsid w:val="00F653CE"/>
    <w:rsid w:val="00F67AEA"/>
    <w:rsid w:val="00F71836"/>
    <w:rsid w:val="00F73692"/>
    <w:rsid w:val="00F736E2"/>
    <w:rsid w:val="00F737A8"/>
    <w:rsid w:val="00F74A41"/>
    <w:rsid w:val="00F76B83"/>
    <w:rsid w:val="00F76CC7"/>
    <w:rsid w:val="00F83F68"/>
    <w:rsid w:val="00F8418A"/>
    <w:rsid w:val="00F84ED2"/>
    <w:rsid w:val="00F86447"/>
    <w:rsid w:val="00F9034B"/>
    <w:rsid w:val="00F91E42"/>
    <w:rsid w:val="00F94594"/>
    <w:rsid w:val="00F95382"/>
    <w:rsid w:val="00F95E5D"/>
    <w:rsid w:val="00FA09BD"/>
    <w:rsid w:val="00FA2512"/>
    <w:rsid w:val="00FA7873"/>
    <w:rsid w:val="00FB252E"/>
    <w:rsid w:val="00FB5D5D"/>
    <w:rsid w:val="00FC4A23"/>
    <w:rsid w:val="00FC6E21"/>
    <w:rsid w:val="00FD69E8"/>
    <w:rsid w:val="00FE1835"/>
    <w:rsid w:val="00FE27DF"/>
    <w:rsid w:val="00FF296C"/>
    <w:rsid w:val="00FF3A75"/>
    <w:rsid w:val="00FF5BE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86751"/>
    <w:pPr>
      <w:keepNext/>
      <w:widowControl/>
      <w:autoSpaceDE/>
      <w:autoSpaceDN/>
      <w:adjustRightInd/>
      <w:spacing w:before="60" w:after="60"/>
      <w:jc w:val="center"/>
      <w:outlineLvl w:val="0"/>
    </w:pPr>
    <w:rPr>
      <w:rFonts w:cs="Arial"/>
      <w:b/>
      <w:bCs/>
      <w:cap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semiHidden/>
    <w:rsid w:val="00063823"/>
    <w:rPr>
      <w:sz w:val="20"/>
      <w:szCs w:val="20"/>
    </w:rPr>
  </w:style>
  <w:style w:type="table" w:styleId="TableGrid">
    <w:name w:val="Table Grid"/>
    <w:basedOn w:val="TableNormal"/>
    <w:uiPriority w:val="59"/>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character" w:customStyle="1" w:styleId="Heading1Char">
    <w:name w:val="Heading 1 Char"/>
    <w:link w:val="Heading1"/>
    <w:rsid w:val="00286751"/>
    <w:rPr>
      <w:rFonts w:cs="Arial"/>
      <w:b/>
      <w:bCs/>
      <w:caps/>
      <w:color w:val="333399"/>
      <w:sz w:val="24"/>
      <w:szCs w:val="24"/>
    </w:rPr>
  </w:style>
  <w:style w:type="paragraph" w:styleId="NoSpacing">
    <w:name w:val="No Spacing"/>
    <w:qFormat/>
    <w:rsid w:val="00286751"/>
    <w:rPr>
      <w:rFonts w:ascii="Calibri" w:eastAsia="Calibri" w:hAnsi="Calibri"/>
      <w:sz w:val="22"/>
      <w:szCs w:val="22"/>
    </w:rPr>
  </w:style>
  <w:style w:type="table" w:styleId="TableElegant">
    <w:name w:val="Table Elegant"/>
    <w:basedOn w:val="TableNormal"/>
    <w:rsid w:val="00286751"/>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semiHidden/>
    <w:rsid w:val="00286751"/>
  </w:style>
  <w:style w:type="paragraph" w:styleId="ListParagraph">
    <w:name w:val="List Paragraph"/>
    <w:basedOn w:val="Normal"/>
    <w:qFormat/>
    <w:rsid w:val="00286751"/>
    <w:pPr>
      <w:widowControl/>
      <w:autoSpaceDE/>
      <w:autoSpaceDN/>
      <w:adjustRightInd/>
      <w:ind w:left="720"/>
    </w:pPr>
  </w:style>
  <w:style w:type="paragraph" w:customStyle="1" w:styleId="L1-FlLSp12">
    <w:name w:val="L1-FlL Sp&amp;1/2"/>
    <w:basedOn w:val="Normal"/>
    <w:link w:val="L1-FlLSp12Char"/>
    <w:rsid w:val="00286751"/>
    <w:pPr>
      <w:widowControl/>
      <w:tabs>
        <w:tab w:val="left" w:pos="1152"/>
      </w:tabs>
      <w:autoSpaceDE/>
      <w:autoSpaceDN/>
      <w:adjustRightInd/>
      <w:spacing w:line="240" w:lineRule="atLeast"/>
    </w:pPr>
    <w:rPr>
      <w:rFonts w:ascii="Garamond" w:hAnsi="Garamond"/>
      <w:szCs w:val="20"/>
    </w:rPr>
  </w:style>
  <w:style w:type="character" w:customStyle="1" w:styleId="L1-FlLSp12Char">
    <w:name w:val="L1-FlL Sp&amp;1/2 Char"/>
    <w:link w:val="L1-FlLSp12"/>
    <w:locked/>
    <w:rsid w:val="00286751"/>
    <w:rPr>
      <w:rFonts w:ascii="Garamond" w:hAnsi="Garamond"/>
      <w:sz w:val="24"/>
    </w:rPr>
  </w:style>
  <w:style w:type="paragraph" w:customStyle="1" w:styleId="Default">
    <w:name w:val="Default"/>
    <w:rsid w:val="00125C2D"/>
    <w:pPr>
      <w:autoSpaceDE w:val="0"/>
      <w:autoSpaceDN w:val="0"/>
      <w:adjustRightInd w:val="0"/>
    </w:pPr>
    <w:rPr>
      <w:color w:val="000000"/>
      <w:sz w:val="24"/>
      <w:szCs w:val="24"/>
    </w:rPr>
  </w:style>
  <w:style w:type="paragraph" w:customStyle="1" w:styleId="Bullets">
    <w:name w:val="Bullets"/>
    <w:basedOn w:val="Default"/>
    <w:next w:val="Default"/>
    <w:uiPriority w:val="99"/>
    <w:rsid w:val="00125C2D"/>
    <w:rPr>
      <w:color w:val="auto"/>
    </w:rPr>
  </w:style>
  <w:style w:type="character" w:customStyle="1" w:styleId="CommentTextChar">
    <w:name w:val="Comment Text Char"/>
    <w:basedOn w:val="DefaultParagraphFont"/>
    <w:link w:val="CommentText"/>
    <w:semiHidden/>
    <w:locked/>
    <w:rsid w:val="000E0888"/>
  </w:style>
  <w:style w:type="paragraph" w:styleId="PlainText">
    <w:name w:val="Plain Text"/>
    <w:basedOn w:val="Normal"/>
    <w:link w:val="PlainTextChar"/>
    <w:uiPriority w:val="99"/>
    <w:unhideWhenUsed/>
    <w:rsid w:val="009E4801"/>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9E4801"/>
    <w:rPr>
      <w:rFonts w:ascii="Consolas" w:eastAsia="Calibri" w:hAnsi="Consolas" w:cs="Times New Roman"/>
      <w:sz w:val="21"/>
      <w:szCs w:val="21"/>
    </w:rPr>
  </w:style>
  <w:style w:type="character" w:styleId="Strong">
    <w:name w:val="Strong"/>
    <w:qFormat/>
    <w:rsid w:val="00136F00"/>
    <w:rPr>
      <w:b/>
      <w:bCs/>
    </w:rPr>
  </w:style>
  <w:style w:type="character" w:customStyle="1" w:styleId="author3">
    <w:name w:val="author3"/>
    <w:rsid w:val="00C5682A"/>
    <w:rPr>
      <w:b/>
      <w:bCs/>
    </w:rPr>
  </w:style>
  <w:style w:type="character" w:customStyle="1" w:styleId="FooterChar">
    <w:name w:val="Footer Char"/>
    <w:link w:val="Footer"/>
    <w:uiPriority w:val="99"/>
    <w:rsid w:val="009A0953"/>
    <w:rPr>
      <w:sz w:val="24"/>
      <w:szCs w:val="24"/>
    </w:rPr>
  </w:style>
  <w:style w:type="paragraph" w:styleId="Revision">
    <w:name w:val="Revision"/>
    <w:hidden/>
    <w:uiPriority w:val="99"/>
    <w:semiHidden/>
    <w:rsid w:val="00E92E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86751"/>
    <w:pPr>
      <w:keepNext/>
      <w:widowControl/>
      <w:autoSpaceDE/>
      <w:autoSpaceDN/>
      <w:adjustRightInd/>
      <w:spacing w:before="60" w:after="60"/>
      <w:jc w:val="center"/>
      <w:outlineLvl w:val="0"/>
    </w:pPr>
    <w:rPr>
      <w:rFonts w:cs="Arial"/>
      <w:b/>
      <w:bCs/>
      <w:cap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semiHidden/>
    <w:rsid w:val="00063823"/>
    <w:rPr>
      <w:sz w:val="20"/>
      <w:szCs w:val="20"/>
    </w:rPr>
  </w:style>
  <w:style w:type="table" w:styleId="TableGrid">
    <w:name w:val="Table Grid"/>
    <w:basedOn w:val="TableNormal"/>
    <w:uiPriority w:val="59"/>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character" w:customStyle="1" w:styleId="Heading1Char">
    <w:name w:val="Heading 1 Char"/>
    <w:link w:val="Heading1"/>
    <w:rsid w:val="00286751"/>
    <w:rPr>
      <w:rFonts w:cs="Arial"/>
      <w:b/>
      <w:bCs/>
      <w:caps/>
      <w:color w:val="333399"/>
      <w:sz w:val="24"/>
      <w:szCs w:val="24"/>
    </w:rPr>
  </w:style>
  <w:style w:type="paragraph" w:styleId="NoSpacing">
    <w:name w:val="No Spacing"/>
    <w:qFormat/>
    <w:rsid w:val="00286751"/>
    <w:rPr>
      <w:rFonts w:ascii="Calibri" w:eastAsia="Calibri" w:hAnsi="Calibri"/>
      <w:sz w:val="22"/>
      <w:szCs w:val="22"/>
    </w:rPr>
  </w:style>
  <w:style w:type="table" w:styleId="TableElegant">
    <w:name w:val="Table Elegant"/>
    <w:basedOn w:val="TableNormal"/>
    <w:rsid w:val="00286751"/>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semiHidden/>
    <w:rsid w:val="00286751"/>
  </w:style>
  <w:style w:type="paragraph" w:styleId="ListParagraph">
    <w:name w:val="List Paragraph"/>
    <w:basedOn w:val="Normal"/>
    <w:qFormat/>
    <w:rsid w:val="00286751"/>
    <w:pPr>
      <w:widowControl/>
      <w:autoSpaceDE/>
      <w:autoSpaceDN/>
      <w:adjustRightInd/>
      <w:ind w:left="720"/>
    </w:pPr>
  </w:style>
  <w:style w:type="paragraph" w:customStyle="1" w:styleId="L1-FlLSp12">
    <w:name w:val="L1-FlL Sp&amp;1/2"/>
    <w:basedOn w:val="Normal"/>
    <w:link w:val="L1-FlLSp12Char"/>
    <w:rsid w:val="00286751"/>
    <w:pPr>
      <w:widowControl/>
      <w:tabs>
        <w:tab w:val="left" w:pos="1152"/>
      </w:tabs>
      <w:autoSpaceDE/>
      <w:autoSpaceDN/>
      <w:adjustRightInd/>
      <w:spacing w:line="240" w:lineRule="atLeast"/>
    </w:pPr>
    <w:rPr>
      <w:rFonts w:ascii="Garamond" w:hAnsi="Garamond"/>
      <w:szCs w:val="20"/>
    </w:rPr>
  </w:style>
  <w:style w:type="character" w:customStyle="1" w:styleId="L1-FlLSp12Char">
    <w:name w:val="L1-FlL Sp&amp;1/2 Char"/>
    <w:link w:val="L1-FlLSp12"/>
    <w:locked/>
    <w:rsid w:val="00286751"/>
    <w:rPr>
      <w:rFonts w:ascii="Garamond" w:hAnsi="Garamond"/>
      <w:sz w:val="24"/>
    </w:rPr>
  </w:style>
  <w:style w:type="paragraph" w:customStyle="1" w:styleId="Default">
    <w:name w:val="Default"/>
    <w:rsid w:val="00125C2D"/>
    <w:pPr>
      <w:autoSpaceDE w:val="0"/>
      <w:autoSpaceDN w:val="0"/>
      <w:adjustRightInd w:val="0"/>
    </w:pPr>
    <w:rPr>
      <w:color w:val="000000"/>
      <w:sz w:val="24"/>
      <w:szCs w:val="24"/>
    </w:rPr>
  </w:style>
  <w:style w:type="paragraph" w:customStyle="1" w:styleId="Bullets">
    <w:name w:val="Bullets"/>
    <w:basedOn w:val="Default"/>
    <w:next w:val="Default"/>
    <w:uiPriority w:val="99"/>
    <w:rsid w:val="00125C2D"/>
    <w:rPr>
      <w:color w:val="auto"/>
    </w:rPr>
  </w:style>
  <w:style w:type="character" w:customStyle="1" w:styleId="CommentTextChar">
    <w:name w:val="Comment Text Char"/>
    <w:basedOn w:val="DefaultParagraphFont"/>
    <w:link w:val="CommentText"/>
    <w:semiHidden/>
    <w:locked/>
    <w:rsid w:val="000E0888"/>
  </w:style>
  <w:style w:type="paragraph" w:styleId="PlainText">
    <w:name w:val="Plain Text"/>
    <w:basedOn w:val="Normal"/>
    <w:link w:val="PlainTextChar"/>
    <w:uiPriority w:val="99"/>
    <w:unhideWhenUsed/>
    <w:rsid w:val="009E4801"/>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9E4801"/>
    <w:rPr>
      <w:rFonts w:ascii="Consolas" w:eastAsia="Calibri" w:hAnsi="Consolas" w:cs="Times New Roman"/>
      <w:sz w:val="21"/>
      <w:szCs w:val="21"/>
    </w:rPr>
  </w:style>
  <w:style w:type="character" w:styleId="Strong">
    <w:name w:val="Strong"/>
    <w:qFormat/>
    <w:rsid w:val="00136F00"/>
    <w:rPr>
      <w:b/>
      <w:bCs/>
    </w:rPr>
  </w:style>
  <w:style w:type="character" w:customStyle="1" w:styleId="author3">
    <w:name w:val="author3"/>
    <w:rsid w:val="00C5682A"/>
    <w:rPr>
      <w:b/>
      <w:bCs/>
    </w:rPr>
  </w:style>
  <w:style w:type="character" w:customStyle="1" w:styleId="FooterChar">
    <w:name w:val="Footer Char"/>
    <w:link w:val="Footer"/>
    <w:uiPriority w:val="99"/>
    <w:rsid w:val="009A0953"/>
    <w:rPr>
      <w:sz w:val="24"/>
      <w:szCs w:val="24"/>
    </w:rPr>
  </w:style>
  <w:style w:type="paragraph" w:styleId="Revision">
    <w:name w:val="Revision"/>
    <w:hidden/>
    <w:uiPriority w:val="99"/>
    <w:semiHidden/>
    <w:rsid w:val="00E92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727">
      <w:bodyDiv w:val="1"/>
      <w:marLeft w:val="0"/>
      <w:marRight w:val="0"/>
      <w:marTop w:val="0"/>
      <w:marBottom w:val="0"/>
      <w:divBdr>
        <w:top w:val="none" w:sz="0" w:space="0" w:color="auto"/>
        <w:left w:val="none" w:sz="0" w:space="0" w:color="auto"/>
        <w:bottom w:val="none" w:sz="0" w:space="0" w:color="auto"/>
        <w:right w:val="none" w:sz="0" w:space="0" w:color="auto"/>
      </w:divBdr>
    </w:div>
    <w:div w:id="200941173">
      <w:bodyDiv w:val="1"/>
      <w:marLeft w:val="0"/>
      <w:marRight w:val="0"/>
      <w:marTop w:val="0"/>
      <w:marBottom w:val="0"/>
      <w:divBdr>
        <w:top w:val="none" w:sz="0" w:space="0" w:color="auto"/>
        <w:left w:val="none" w:sz="0" w:space="0" w:color="auto"/>
        <w:bottom w:val="none" w:sz="0" w:space="0" w:color="auto"/>
        <w:right w:val="none" w:sz="0" w:space="0" w:color="auto"/>
      </w:divBdr>
    </w:div>
    <w:div w:id="409666318">
      <w:bodyDiv w:val="1"/>
      <w:marLeft w:val="25"/>
      <w:marRight w:val="25"/>
      <w:marTop w:val="0"/>
      <w:marBottom w:val="0"/>
      <w:divBdr>
        <w:top w:val="none" w:sz="0" w:space="0" w:color="auto"/>
        <w:left w:val="none" w:sz="0" w:space="0" w:color="auto"/>
        <w:bottom w:val="none" w:sz="0" w:space="0" w:color="auto"/>
        <w:right w:val="none" w:sz="0" w:space="0" w:color="auto"/>
      </w:divBdr>
      <w:divsChild>
        <w:div w:id="938636267">
          <w:marLeft w:val="0"/>
          <w:marRight w:val="0"/>
          <w:marTop w:val="0"/>
          <w:marBottom w:val="0"/>
          <w:divBdr>
            <w:top w:val="none" w:sz="0" w:space="0" w:color="auto"/>
            <w:left w:val="none" w:sz="0" w:space="0" w:color="auto"/>
            <w:bottom w:val="none" w:sz="0" w:space="0" w:color="auto"/>
            <w:right w:val="none" w:sz="0" w:space="0" w:color="auto"/>
          </w:divBdr>
          <w:divsChild>
            <w:div w:id="666058117">
              <w:marLeft w:val="0"/>
              <w:marRight w:val="0"/>
              <w:marTop w:val="0"/>
              <w:marBottom w:val="0"/>
              <w:divBdr>
                <w:top w:val="none" w:sz="0" w:space="0" w:color="auto"/>
                <w:left w:val="none" w:sz="0" w:space="0" w:color="auto"/>
                <w:bottom w:val="none" w:sz="0" w:space="0" w:color="auto"/>
                <w:right w:val="none" w:sz="0" w:space="0" w:color="auto"/>
              </w:divBdr>
              <w:divsChild>
                <w:div w:id="999844459">
                  <w:marLeft w:val="150"/>
                  <w:marRight w:val="0"/>
                  <w:marTop w:val="0"/>
                  <w:marBottom w:val="0"/>
                  <w:divBdr>
                    <w:top w:val="none" w:sz="0" w:space="0" w:color="auto"/>
                    <w:left w:val="none" w:sz="0" w:space="0" w:color="auto"/>
                    <w:bottom w:val="none" w:sz="0" w:space="0" w:color="auto"/>
                    <w:right w:val="none" w:sz="0" w:space="0" w:color="auto"/>
                  </w:divBdr>
                  <w:divsChild>
                    <w:div w:id="11742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2019">
      <w:bodyDiv w:val="1"/>
      <w:marLeft w:val="0"/>
      <w:marRight w:val="0"/>
      <w:marTop w:val="0"/>
      <w:marBottom w:val="0"/>
      <w:divBdr>
        <w:top w:val="none" w:sz="0" w:space="0" w:color="auto"/>
        <w:left w:val="none" w:sz="0" w:space="0" w:color="auto"/>
        <w:bottom w:val="none" w:sz="0" w:space="0" w:color="auto"/>
        <w:right w:val="none" w:sz="0" w:space="0" w:color="auto"/>
      </w:divBdr>
    </w:div>
    <w:div w:id="726804750">
      <w:bodyDiv w:val="1"/>
      <w:marLeft w:val="0"/>
      <w:marRight w:val="0"/>
      <w:marTop w:val="0"/>
      <w:marBottom w:val="0"/>
      <w:divBdr>
        <w:top w:val="none" w:sz="0" w:space="0" w:color="auto"/>
        <w:left w:val="none" w:sz="0" w:space="0" w:color="auto"/>
        <w:bottom w:val="none" w:sz="0" w:space="0" w:color="auto"/>
        <w:right w:val="none" w:sz="0" w:space="0" w:color="auto"/>
      </w:divBdr>
    </w:div>
    <w:div w:id="801119778">
      <w:bodyDiv w:val="1"/>
      <w:marLeft w:val="0"/>
      <w:marRight w:val="0"/>
      <w:marTop w:val="0"/>
      <w:marBottom w:val="0"/>
      <w:divBdr>
        <w:top w:val="none" w:sz="0" w:space="0" w:color="auto"/>
        <w:left w:val="none" w:sz="0" w:space="0" w:color="auto"/>
        <w:bottom w:val="none" w:sz="0" w:space="0" w:color="auto"/>
        <w:right w:val="none" w:sz="0" w:space="0" w:color="auto"/>
      </w:divBdr>
      <w:divsChild>
        <w:div w:id="428736625">
          <w:marLeft w:val="0"/>
          <w:marRight w:val="0"/>
          <w:marTop w:val="0"/>
          <w:marBottom w:val="0"/>
          <w:divBdr>
            <w:top w:val="none" w:sz="0" w:space="0" w:color="auto"/>
            <w:left w:val="none" w:sz="0" w:space="0" w:color="auto"/>
            <w:bottom w:val="none" w:sz="0" w:space="0" w:color="auto"/>
            <w:right w:val="none" w:sz="0" w:space="0" w:color="auto"/>
          </w:divBdr>
        </w:div>
        <w:div w:id="1398671429">
          <w:marLeft w:val="0"/>
          <w:marRight w:val="0"/>
          <w:marTop w:val="0"/>
          <w:marBottom w:val="0"/>
          <w:divBdr>
            <w:top w:val="none" w:sz="0" w:space="0" w:color="auto"/>
            <w:left w:val="none" w:sz="0" w:space="0" w:color="auto"/>
            <w:bottom w:val="none" w:sz="0" w:space="0" w:color="auto"/>
            <w:right w:val="none" w:sz="0" w:space="0" w:color="auto"/>
          </w:divBdr>
        </w:div>
        <w:div w:id="1420981345">
          <w:marLeft w:val="0"/>
          <w:marRight w:val="0"/>
          <w:marTop w:val="0"/>
          <w:marBottom w:val="0"/>
          <w:divBdr>
            <w:top w:val="none" w:sz="0" w:space="0" w:color="auto"/>
            <w:left w:val="none" w:sz="0" w:space="0" w:color="auto"/>
            <w:bottom w:val="none" w:sz="0" w:space="0" w:color="auto"/>
            <w:right w:val="none" w:sz="0" w:space="0" w:color="auto"/>
          </w:divBdr>
        </w:div>
        <w:div w:id="1449083633">
          <w:marLeft w:val="0"/>
          <w:marRight w:val="0"/>
          <w:marTop w:val="0"/>
          <w:marBottom w:val="0"/>
          <w:divBdr>
            <w:top w:val="none" w:sz="0" w:space="0" w:color="auto"/>
            <w:left w:val="none" w:sz="0" w:space="0" w:color="auto"/>
            <w:bottom w:val="none" w:sz="0" w:space="0" w:color="auto"/>
            <w:right w:val="none" w:sz="0" w:space="0" w:color="auto"/>
          </w:divBdr>
        </w:div>
        <w:div w:id="1936285940">
          <w:marLeft w:val="0"/>
          <w:marRight w:val="0"/>
          <w:marTop w:val="0"/>
          <w:marBottom w:val="0"/>
          <w:divBdr>
            <w:top w:val="none" w:sz="0" w:space="0" w:color="auto"/>
            <w:left w:val="none" w:sz="0" w:space="0" w:color="auto"/>
            <w:bottom w:val="none" w:sz="0" w:space="0" w:color="auto"/>
            <w:right w:val="none" w:sz="0" w:space="0" w:color="auto"/>
          </w:divBdr>
        </w:div>
        <w:div w:id="2097704423">
          <w:marLeft w:val="0"/>
          <w:marRight w:val="0"/>
          <w:marTop w:val="0"/>
          <w:marBottom w:val="0"/>
          <w:divBdr>
            <w:top w:val="none" w:sz="0" w:space="0" w:color="auto"/>
            <w:left w:val="none" w:sz="0" w:space="0" w:color="auto"/>
            <w:bottom w:val="none" w:sz="0" w:space="0" w:color="auto"/>
            <w:right w:val="none" w:sz="0" w:space="0" w:color="auto"/>
          </w:divBdr>
        </w:div>
      </w:divsChild>
    </w:div>
    <w:div w:id="816722457">
      <w:bodyDiv w:val="1"/>
      <w:marLeft w:val="0"/>
      <w:marRight w:val="0"/>
      <w:marTop w:val="0"/>
      <w:marBottom w:val="0"/>
      <w:divBdr>
        <w:top w:val="none" w:sz="0" w:space="0" w:color="auto"/>
        <w:left w:val="none" w:sz="0" w:space="0" w:color="auto"/>
        <w:bottom w:val="none" w:sz="0" w:space="0" w:color="auto"/>
        <w:right w:val="none" w:sz="0" w:space="0" w:color="auto"/>
      </w:divBdr>
    </w:div>
    <w:div w:id="1049259040">
      <w:bodyDiv w:val="1"/>
      <w:marLeft w:val="0"/>
      <w:marRight w:val="0"/>
      <w:marTop w:val="0"/>
      <w:marBottom w:val="0"/>
      <w:divBdr>
        <w:top w:val="none" w:sz="0" w:space="0" w:color="auto"/>
        <w:left w:val="none" w:sz="0" w:space="0" w:color="auto"/>
        <w:bottom w:val="none" w:sz="0" w:space="0" w:color="auto"/>
        <w:right w:val="none" w:sz="0" w:space="0" w:color="auto"/>
      </w:divBdr>
    </w:div>
    <w:div w:id="1285504985">
      <w:bodyDiv w:val="1"/>
      <w:marLeft w:val="0"/>
      <w:marRight w:val="0"/>
      <w:marTop w:val="0"/>
      <w:marBottom w:val="0"/>
      <w:divBdr>
        <w:top w:val="none" w:sz="0" w:space="0" w:color="auto"/>
        <w:left w:val="none" w:sz="0" w:space="0" w:color="auto"/>
        <w:bottom w:val="none" w:sz="0" w:space="0" w:color="auto"/>
        <w:right w:val="none" w:sz="0" w:space="0" w:color="auto"/>
      </w:divBdr>
    </w:div>
    <w:div w:id="1422025980">
      <w:bodyDiv w:val="1"/>
      <w:marLeft w:val="0"/>
      <w:marRight w:val="0"/>
      <w:marTop w:val="0"/>
      <w:marBottom w:val="0"/>
      <w:divBdr>
        <w:top w:val="none" w:sz="0" w:space="0" w:color="auto"/>
        <w:left w:val="none" w:sz="0" w:space="0" w:color="auto"/>
        <w:bottom w:val="none" w:sz="0" w:space="0" w:color="auto"/>
        <w:right w:val="none" w:sz="0" w:space="0" w:color="auto"/>
      </w:divBdr>
    </w:div>
    <w:div w:id="1490058715">
      <w:bodyDiv w:val="1"/>
      <w:marLeft w:val="0"/>
      <w:marRight w:val="0"/>
      <w:marTop w:val="0"/>
      <w:marBottom w:val="0"/>
      <w:divBdr>
        <w:top w:val="none" w:sz="0" w:space="0" w:color="auto"/>
        <w:left w:val="none" w:sz="0" w:space="0" w:color="auto"/>
        <w:bottom w:val="none" w:sz="0" w:space="0" w:color="auto"/>
        <w:right w:val="none" w:sz="0" w:space="0" w:color="auto"/>
      </w:divBdr>
    </w:div>
    <w:div w:id="1603145985">
      <w:bodyDiv w:val="1"/>
      <w:marLeft w:val="0"/>
      <w:marRight w:val="0"/>
      <w:marTop w:val="0"/>
      <w:marBottom w:val="0"/>
      <w:divBdr>
        <w:top w:val="none" w:sz="0" w:space="0" w:color="auto"/>
        <w:left w:val="none" w:sz="0" w:space="0" w:color="auto"/>
        <w:bottom w:val="none" w:sz="0" w:space="0" w:color="auto"/>
        <w:right w:val="none" w:sz="0" w:space="0" w:color="auto"/>
      </w:divBdr>
    </w:div>
    <w:div w:id="1665818445">
      <w:bodyDiv w:val="1"/>
      <w:marLeft w:val="0"/>
      <w:marRight w:val="0"/>
      <w:marTop w:val="0"/>
      <w:marBottom w:val="0"/>
      <w:divBdr>
        <w:top w:val="none" w:sz="0" w:space="0" w:color="auto"/>
        <w:left w:val="none" w:sz="0" w:space="0" w:color="auto"/>
        <w:bottom w:val="none" w:sz="0" w:space="0" w:color="auto"/>
        <w:right w:val="none" w:sz="0" w:space="0" w:color="auto"/>
      </w:divBdr>
    </w:div>
    <w:div w:id="1688092064">
      <w:bodyDiv w:val="1"/>
      <w:marLeft w:val="0"/>
      <w:marRight w:val="0"/>
      <w:marTop w:val="0"/>
      <w:marBottom w:val="0"/>
      <w:divBdr>
        <w:top w:val="none" w:sz="0" w:space="0" w:color="auto"/>
        <w:left w:val="none" w:sz="0" w:space="0" w:color="auto"/>
        <w:bottom w:val="none" w:sz="0" w:space="0" w:color="auto"/>
        <w:right w:val="none" w:sz="0" w:space="0" w:color="auto"/>
      </w:divBdr>
    </w:div>
    <w:div w:id="1787460216">
      <w:bodyDiv w:val="1"/>
      <w:marLeft w:val="0"/>
      <w:marRight w:val="0"/>
      <w:marTop w:val="0"/>
      <w:marBottom w:val="0"/>
      <w:divBdr>
        <w:top w:val="none" w:sz="0" w:space="0" w:color="auto"/>
        <w:left w:val="none" w:sz="0" w:space="0" w:color="auto"/>
        <w:bottom w:val="none" w:sz="0" w:space="0" w:color="auto"/>
        <w:right w:val="none" w:sz="0" w:space="0" w:color="auto"/>
      </w:divBdr>
    </w:div>
    <w:div w:id="1838572170">
      <w:bodyDiv w:val="1"/>
      <w:marLeft w:val="0"/>
      <w:marRight w:val="0"/>
      <w:marTop w:val="0"/>
      <w:marBottom w:val="0"/>
      <w:divBdr>
        <w:top w:val="none" w:sz="0" w:space="0" w:color="auto"/>
        <w:left w:val="none" w:sz="0" w:space="0" w:color="auto"/>
        <w:bottom w:val="none" w:sz="0" w:space="0" w:color="auto"/>
        <w:right w:val="none" w:sz="0" w:space="0" w:color="auto"/>
      </w:divBdr>
    </w:div>
    <w:div w:id="1962766284">
      <w:bodyDiv w:val="1"/>
      <w:marLeft w:val="0"/>
      <w:marRight w:val="0"/>
      <w:marTop w:val="0"/>
      <w:marBottom w:val="0"/>
      <w:divBdr>
        <w:top w:val="none" w:sz="0" w:space="0" w:color="auto"/>
        <w:left w:val="none" w:sz="0" w:space="0" w:color="auto"/>
        <w:bottom w:val="none" w:sz="0" w:space="0" w:color="auto"/>
        <w:right w:val="none" w:sz="0" w:space="0" w:color="auto"/>
      </w:divBdr>
    </w:div>
    <w:div w:id="1983846690">
      <w:bodyDiv w:val="1"/>
      <w:marLeft w:val="0"/>
      <w:marRight w:val="0"/>
      <w:marTop w:val="0"/>
      <w:marBottom w:val="0"/>
      <w:divBdr>
        <w:top w:val="none" w:sz="0" w:space="0" w:color="auto"/>
        <w:left w:val="none" w:sz="0" w:space="0" w:color="auto"/>
        <w:bottom w:val="none" w:sz="0" w:space="0" w:color="auto"/>
        <w:right w:val="none" w:sz="0" w:space="0" w:color="auto"/>
      </w:divBdr>
      <w:divsChild>
        <w:div w:id="2080058674">
          <w:marLeft w:val="0"/>
          <w:marRight w:val="0"/>
          <w:marTop w:val="0"/>
          <w:marBottom w:val="0"/>
          <w:divBdr>
            <w:top w:val="none" w:sz="0" w:space="0" w:color="auto"/>
            <w:left w:val="none" w:sz="0" w:space="0" w:color="auto"/>
            <w:bottom w:val="none" w:sz="0" w:space="0" w:color="auto"/>
            <w:right w:val="none" w:sz="0" w:space="0" w:color="auto"/>
          </w:divBdr>
          <w:divsChild>
            <w:div w:id="1629774358">
              <w:marLeft w:val="0"/>
              <w:marRight w:val="0"/>
              <w:marTop w:val="150"/>
              <w:marBottom w:val="150"/>
              <w:divBdr>
                <w:top w:val="none" w:sz="0" w:space="0" w:color="auto"/>
                <w:left w:val="none" w:sz="0" w:space="0" w:color="auto"/>
                <w:bottom w:val="none" w:sz="0" w:space="0" w:color="auto"/>
                <w:right w:val="none" w:sz="0" w:space="0" w:color="auto"/>
              </w:divBdr>
              <w:divsChild>
                <w:div w:id="1373923441">
                  <w:marLeft w:val="0"/>
                  <w:marRight w:val="0"/>
                  <w:marTop w:val="0"/>
                  <w:marBottom w:val="0"/>
                  <w:divBdr>
                    <w:top w:val="none" w:sz="0" w:space="0" w:color="auto"/>
                    <w:left w:val="none" w:sz="0" w:space="0" w:color="auto"/>
                    <w:bottom w:val="none" w:sz="0" w:space="0" w:color="auto"/>
                    <w:right w:val="none" w:sz="0" w:space="0" w:color="auto"/>
                  </w:divBdr>
                  <w:divsChild>
                    <w:div w:id="1308629746">
                      <w:marLeft w:val="0"/>
                      <w:marRight w:val="0"/>
                      <w:marTop w:val="0"/>
                      <w:marBottom w:val="0"/>
                      <w:divBdr>
                        <w:top w:val="none" w:sz="0" w:space="0" w:color="auto"/>
                        <w:left w:val="none" w:sz="0" w:space="0" w:color="auto"/>
                        <w:bottom w:val="none" w:sz="0" w:space="0" w:color="auto"/>
                        <w:right w:val="none" w:sz="0" w:space="0" w:color="auto"/>
                      </w:divBdr>
                      <w:divsChild>
                        <w:div w:id="738018050">
                          <w:marLeft w:val="0"/>
                          <w:marRight w:val="0"/>
                          <w:marTop w:val="0"/>
                          <w:marBottom w:val="0"/>
                          <w:divBdr>
                            <w:top w:val="none" w:sz="0" w:space="0" w:color="auto"/>
                            <w:left w:val="none" w:sz="0" w:space="0" w:color="auto"/>
                            <w:bottom w:val="none" w:sz="0" w:space="0" w:color="auto"/>
                            <w:right w:val="none" w:sz="0" w:space="0" w:color="auto"/>
                          </w:divBdr>
                          <w:divsChild>
                            <w:div w:id="1999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23">
      <w:bodyDiv w:val="1"/>
      <w:marLeft w:val="0"/>
      <w:marRight w:val="0"/>
      <w:marTop w:val="0"/>
      <w:marBottom w:val="0"/>
      <w:divBdr>
        <w:top w:val="none" w:sz="0" w:space="0" w:color="auto"/>
        <w:left w:val="none" w:sz="0" w:space="0" w:color="auto"/>
        <w:bottom w:val="none" w:sz="0" w:space="0" w:color="auto"/>
        <w:right w:val="none" w:sz="0" w:space="0" w:color="auto"/>
      </w:divBdr>
    </w:div>
    <w:div w:id="2002349467">
      <w:bodyDiv w:val="1"/>
      <w:marLeft w:val="30"/>
      <w:marRight w:val="30"/>
      <w:marTop w:val="0"/>
      <w:marBottom w:val="0"/>
      <w:divBdr>
        <w:top w:val="none" w:sz="0" w:space="0" w:color="auto"/>
        <w:left w:val="none" w:sz="0" w:space="0" w:color="auto"/>
        <w:bottom w:val="none" w:sz="0" w:space="0" w:color="auto"/>
        <w:right w:val="none" w:sz="0" w:space="0" w:color="auto"/>
      </w:divBdr>
      <w:divsChild>
        <w:div w:id="1667706830">
          <w:marLeft w:val="0"/>
          <w:marRight w:val="0"/>
          <w:marTop w:val="0"/>
          <w:marBottom w:val="0"/>
          <w:divBdr>
            <w:top w:val="none" w:sz="0" w:space="0" w:color="auto"/>
            <w:left w:val="none" w:sz="0" w:space="0" w:color="auto"/>
            <w:bottom w:val="none" w:sz="0" w:space="0" w:color="auto"/>
            <w:right w:val="none" w:sz="0" w:space="0" w:color="auto"/>
          </w:divBdr>
          <w:divsChild>
            <w:div w:id="1768311852">
              <w:marLeft w:val="0"/>
              <w:marRight w:val="0"/>
              <w:marTop w:val="0"/>
              <w:marBottom w:val="0"/>
              <w:divBdr>
                <w:top w:val="none" w:sz="0" w:space="0" w:color="auto"/>
                <w:left w:val="none" w:sz="0" w:space="0" w:color="auto"/>
                <w:bottom w:val="none" w:sz="0" w:space="0" w:color="auto"/>
                <w:right w:val="none" w:sz="0" w:space="0" w:color="auto"/>
              </w:divBdr>
              <w:divsChild>
                <w:div w:id="1985617331">
                  <w:marLeft w:val="180"/>
                  <w:marRight w:val="0"/>
                  <w:marTop w:val="0"/>
                  <w:marBottom w:val="0"/>
                  <w:divBdr>
                    <w:top w:val="none" w:sz="0" w:space="0" w:color="auto"/>
                    <w:left w:val="none" w:sz="0" w:space="0" w:color="auto"/>
                    <w:bottom w:val="none" w:sz="0" w:space="0" w:color="auto"/>
                    <w:right w:val="none" w:sz="0" w:space="0" w:color="auto"/>
                  </w:divBdr>
                  <w:divsChild>
                    <w:div w:id="663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3197">
      <w:bodyDiv w:val="1"/>
      <w:marLeft w:val="0"/>
      <w:marRight w:val="0"/>
      <w:marTop w:val="0"/>
      <w:marBottom w:val="0"/>
      <w:divBdr>
        <w:top w:val="none" w:sz="0" w:space="0" w:color="auto"/>
        <w:left w:val="none" w:sz="0" w:space="0" w:color="auto"/>
        <w:bottom w:val="none" w:sz="0" w:space="0" w:color="auto"/>
        <w:right w:val="none" w:sz="0" w:space="0" w:color="auto"/>
      </w:divBdr>
      <w:divsChild>
        <w:div w:id="173688260">
          <w:marLeft w:val="0"/>
          <w:marRight w:val="0"/>
          <w:marTop w:val="0"/>
          <w:marBottom w:val="0"/>
          <w:divBdr>
            <w:top w:val="none" w:sz="0" w:space="0" w:color="auto"/>
            <w:left w:val="none" w:sz="0" w:space="0" w:color="auto"/>
            <w:bottom w:val="none" w:sz="0" w:space="0" w:color="auto"/>
            <w:right w:val="none" w:sz="0" w:space="0" w:color="auto"/>
          </w:divBdr>
          <w:divsChild>
            <w:div w:id="341930349">
              <w:marLeft w:val="0"/>
              <w:marRight w:val="0"/>
              <w:marTop w:val="150"/>
              <w:marBottom w:val="150"/>
              <w:divBdr>
                <w:top w:val="none" w:sz="0" w:space="0" w:color="auto"/>
                <w:left w:val="none" w:sz="0" w:space="0" w:color="auto"/>
                <w:bottom w:val="none" w:sz="0" w:space="0" w:color="auto"/>
                <w:right w:val="none" w:sz="0" w:space="0" w:color="auto"/>
              </w:divBdr>
              <w:divsChild>
                <w:div w:id="2063944876">
                  <w:marLeft w:val="0"/>
                  <w:marRight w:val="0"/>
                  <w:marTop w:val="0"/>
                  <w:marBottom w:val="0"/>
                  <w:divBdr>
                    <w:top w:val="none" w:sz="0" w:space="0" w:color="auto"/>
                    <w:left w:val="none" w:sz="0" w:space="0" w:color="auto"/>
                    <w:bottom w:val="none" w:sz="0" w:space="0" w:color="auto"/>
                    <w:right w:val="none" w:sz="0" w:space="0" w:color="auto"/>
                  </w:divBdr>
                  <w:divsChild>
                    <w:div w:id="1015768745">
                      <w:marLeft w:val="0"/>
                      <w:marRight w:val="0"/>
                      <w:marTop w:val="0"/>
                      <w:marBottom w:val="0"/>
                      <w:divBdr>
                        <w:top w:val="none" w:sz="0" w:space="0" w:color="auto"/>
                        <w:left w:val="none" w:sz="0" w:space="0" w:color="auto"/>
                        <w:bottom w:val="none" w:sz="0" w:space="0" w:color="auto"/>
                        <w:right w:val="none" w:sz="0" w:space="0" w:color="auto"/>
                      </w:divBdr>
                      <w:divsChild>
                        <w:div w:id="1970166505">
                          <w:marLeft w:val="0"/>
                          <w:marRight w:val="0"/>
                          <w:marTop w:val="0"/>
                          <w:marBottom w:val="0"/>
                          <w:divBdr>
                            <w:top w:val="none" w:sz="0" w:space="0" w:color="auto"/>
                            <w:left w:val="none" w:sz="0" w:space="0" w:color="auto"/>
                            <w:bottom w:val="none" w:sz="0" w:space="0" w:color="auto"/>
                            <w:right w:val="none" w:sz="0" w:space="0" w:color="auto"/>
                          </w:divBdr>
                          <w:divsChild>
                            <w:div w:id="6098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ciencespace.com/2013/05/the-nonresponse-challenge-to-surveys-and-statistics/" TargetMode="External"/><Relationship Id="rId5" Type="http://schemas.openxmlformats.org/officeDocument/2006/relationships/settings" Target="settings.xml"/><Relationship Id="rId10" Type="http://schemas.openxmlformats.org/officeDocument/2006/relationships/hyperlink" Target="http://www.socialsciencespace.com/author/aaps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AB99-2C95-4C91-84CA-E85947D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25323</CharactersWithSpaces>
  <SharedDoc>false</SharedDoc>
  <HLinks>
    <vt:vector size="18" baseType="variant">
      <vt:variant>
        <vt:i4>1638475</vt:i4>
      </vt:variant>
      <vt:variant>
        <vt:i4>6</vt:i4>
      </vt:variant>
      <vt:variant>
        <vt:i4>0</vt:i4>
      </vt:variant>
      <vt:variant>
        <vt:i4>5</vt:i4>
      </vt:variant>
      <vt:variant>
        <vt:lpwstr>http://apps.irs.gov/app/eos/forwardToEpostDownload.do</vt:lpwstr>
      </vt:variant>
      <vt:variant>
        <vt:lpwstr/>
      </vt:variant>
      <vt:variant>
        <vt:i4>2424945</vt:i4>
      </vt:variant>
      <vt:variant>
        <vt:i4>3</vt:i4>
      </vt:variant>
      <vt:variant>
        <vt:i4>0</vt:i4>
      </vt:variant>
      <vt:variant>
        <vt:i4>5</vt:i4>
      </vt:variant>
      <vt:variant>
        <vt:lpwstr>http://www.socialsciencespace.com/2013/05/the-nonresponse-challenge-to-surveys-and-statistics/</vt:lpwstr>
      </vt:variant>
      <vt:variant>
        <vt:lpwstr/>
      </vt:variant>
      <vt:variant>
        <vt:i4>3866721</vt:i4>
      </vt:variant>
      <vt:variant>
        <vt:i4>0</vt:i4>
      </vt:variant>
      <vt:variant>
        <vt:i4>0</vt:i4>
      </vt:variant>
      <vt:variant>
        <vt:i4>5</vt:i4>
      </vt:variant>
      <vt:variant>
        <vt:lpwstr>http://www.socialsciencespace.com/author/aapss/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2017-06-08T10:58:00Z</cp:lastPrinted>
  <dcterms:created xsi:type="dcterms:W3CDTF">2018-01-11T18:29:00Z</dcterms:created>
  <dcterms:modified xsi:type="dcterms:W3CDTF">2018-01-11T18:29:00Z</dcterms:modified>
</cp:coreProperties>
</file>