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55" w:rsidRPr="00D029A4" w:rsidRDefault="00812555">
      <w:pPr>
        <w:widowControl/>
        <w:tabs>
          <w:tab w:val="center" w:pos="4680"/>
        </w:tabs>
        <w:rPr>
          <w:rFonts w:ascii="Times New Roman" w:hAnsi="Times New Roman"/>
        </w:rPr>
      </w:pPr>
      <w:bookmarkStart w:id="0" w:name="_GoBack"/>
      <w:bookmarkEnd w:id="0"/>
      <w:r>
        <w:rPr>
          <w:rFonts w:cs="Arial"/>
        </w:rPr>
        <w:tab/>
      </w:r>
      <w:r w:rsidRPr="00D029A4">
        <w:rPr>
          <w:rFonts w:ascii="Times New Roman" w:hAnsi="Times New Roman"/>
        </w:rPr>
        <w:t>Supporting Statement</w:t>
      </w:r>
    </w:p>
    <w:p w:rsidR="00DF6B00" w:rsidRDefault="00DF6B00" w:rsidP="00DF6B00">
      <w:pPr>
        <w:widowControl/>
        <w:tabs>
          <w:tab w:val="center" w:pos="4680"/>
        </w:tabs>
        <w:jc w:val="center"/>
        <w:rPr>
          <w:rFonts w:ascii="Times New Roman" w:hAnsi="Times New Roman"/>
        </w:rPr>
      </w:pPr>
      <w:r w:rsidRPr="00D029A4">
        <w:rPr>
          <w:rFonts w:ascii="Times New Roman" w:hAnsi="Times New Roman"/>
        </w:rPr>
        <w:t>Internal Revenue Service</w:t>
      </w:r>
    </w:p>
    <w:p w:rsidR="00131FD5" w:rsidRPr="00D029A4" w:rsidRDefault="00131FD5" w:rsidP="00DF6B00">
      <w:pPr>
        <w:widowControl/>
        <w:tabs>
          <w:tab w:val="center" w:pos="4680"/>
        </w:tabs>
        <w:jc w:val="center"/>
        <w:rPr>
          <w:rFonts w:ascii="Times New Roman" w:hAnsi="Times New Roman"/>
        </w:rPr>
      </w:pPr>
      <w:r w:rsidRPr="00D029A4">
        <w:rPr>
          <w:rFonts w:ascii="Times New Roman" w:hAnsi="Times New Roman"/>
        </w:rPr>
        <w:t>(REG-128841-07)</w:t>
      </w:r>
    </w:p>
    <w:p w:rsidR="00812555" w:rsidRPr="00D029A4" w:rsidRDefault="00DF6B00" w:rsidP="000F6DFE">
      <w:pPr>
        <w:widowControl/>
        <w:jc w:val="center"/>
        <w:rPr>
          <w:rFonts w:ascii="Times New Roman" w:hAnsi="Times New Roman"/>
        </w:rPr>
      </w:pPr>
      <w:r w:rsidRPr="00D029A4">
        <w:rPr>
          <w:rFonts w:ascii="Times New Roman" w:hAnsi="Times New Roman"/>
        </w:rPr>
        <w:t xml:space="preserve"> Public Approval of Tax-Exempt Private Activity Bonds</w:t>
      </w:r>
    </w:p>
    <w:p w:rsidR="00DF6B00" w:rsidRPr="00D029A4" w:rsidRDefault="00ED1C8D" w:rsidP="000F6DFE">
      <w:pPr>
        <w:widowControl/>
        <w:jc w:val="center"/>
        <w:rPr>
          <w:rFonts w:ascii="Times New Roman" w:hAnsi="Times New Roman"/>
        </w:rPr>
      </w:pPr>
      <w:r>
        <w:rPr>
          <w:rFonts w:ascii="Times New Roman" w:hAnsi="Times New Roman"/>
        </w:rPr>
        <w:t xml:space="preserve"> </w:t>
      </w:r>
      <w:r w:rsidR="00DF6B00" w:rsidRPr="00D029A4">
        <w:rPr>
          <w:rFonts w:ascii="Times New Roman" w:hAnsi="Times New Roman"/>
        </w:rPr>
        <w:t>OMB Control No. 1545-2185</w:t>
      </w:r>
    </w:p>
    <w:p w:rsidR="000F6DFE" w:rsidRPr="00D029A4" w:rsidRDefault="000F6DFE">
      <w:pPr>
        <w:widowControl/>
        <w:rPr>
          <w:rFonts w:ascii="Times New Roman" w:hAnsi="Times New Roman"/>
        </w:rPr>
      </w:pPr>
    </w:p>
    <w:p w:rsidR="00812555" w:rsidRPr="00D029A4" w:rsidRDefault="00812555">
      <w:pPr>
        <w:widowControl/>
        <w:tabs>
          <w:tab w:val="left" w:pos="-1440"/>
        </w:tabs>
        <w:ind w:left="720" w:hanging="720"/>
        <w:rPr>
          <w:rFonts w:ascii="Times New Roman" w:hAnsi="Times New Roman"/>
          <w:u w:val="single"/>
        </w:rPr>
      </w:pPr>
      <w:r w:rsidRPr="00D029A4">
        <w:rPr>
          <w:rFonts w:ascii="Times New Roman" w:hAnsi="Times New Roman"/>
        </w:rPr>
        <w:t>1.</w:t>
      </w:r>
      <w:r w:rsidRPr="00D029A4">
        <w:rPr>
          <w:rFonts w:ascii="Times New Roman" w:hAnsi="Times New Roman"/>
        </w:rPr>
        <w:tab/>
      </w:r>
      <w:r w:rsidRPr="00D029A4">
        <w:rPr>
          <w:rFonts w:ascii="Times New Roman" w:hAnsi="Times New Roman"/>
          <w:u w:val="single"/>
        </w:rPr>
        <w:t>CIRCUMSTANCES NECESSITATING COLLECTION OF INFORMATION</w:t>
      </w:r>
    </w:p>
    <w:p w:rsidR="002807C9" w:rsidRPr="00D029A4" w:rsidRDefault="002807C9" w:rsidP="002807C9">
      <w:pPr>
        <w:widowControl/>
        <w:tabs>
          <w:tab w:val="left" w:pos="-1440"/>
        </w:tabs>
        <w:rPr>
          <w:rFonts w:ascii="Times New Roman" w:hAnsi="Times New Roman"/>
        </w:rPr>
      </w:pPr>
    </w:p>
    <w:p w:rsidR="00E75EBD" w:rsidRPr="00D029A4" w:rsidRDefault="007B4C73" w:rsidP="00B71423">
      <w:pPr>
        <w:ind w:left="720"/>
        <w:rPr>
          <w:rFonts w:ascii="Times New Roman" w:hAnsi="Times New Roman"/>
        </w:rPr>
      </w:pPr>
      <w:r w:rsidRPr="007B4C73">
        <w:rPr>
          <w:rFonts w:ascii="Times New Roman" w:hAnsi="Times New Roman"/>
        </w:rPr>
        <w:t>The collection of information is the requirement that various governmental units gather and disclose to the public certain information about the private activity bonds and the property to be financed with those bonds.  Section 147(f) requires that an issue of private activity bonds be approved by both the issuing governmental unit and the governmental unit in which the financed property will be located.  The statute further provides that a governmental unit approves the issue only if the issue is approved either by an elected representative following public notice and a public hearing or by a voter referendum.  The regulations restate these requirements and describe the information that a public notice and public approval must contain.  The disclosure of some information in the public notice and public approval is necessary to comply with section 147(f), and the provisions in the proposed regulations that specify which information must be contained in the public notice and public approval are necessary to ensure that the approving party understands what it is approving.</w:t>
      </w:r>
    </w:p>
    <w:p w:rsidR="00812555" w:rsidRPr="00D029A4" w:rsidRDefault="00812555" w:rsidP="00B71423">
      <w:pPr>
        <w:ind w:left="720"/>
        <w:rPr>
          <w:rFonts w:ascii="Times New Roman" w:hAnsi="Times New Roman"/>
        </w:rPr>
      </w:pPr>
    </w:p>
    <w:p w:rsidR="00812555" w:rsidRPr="00D029A4" w:rsidRDefault="00812555">
      <w:pPr>
        <w:widowControl/>
        <w:ind w:left="720"/>
        <w:rPr>
          <w:rFonts w:ascii="Times New Roman" w:hAnsi="Times New Roman"/>
        </w:rPr>
        <w:sectPr w:rsidR="00812555" w:rsidRPr="00D029A4" w:rsidSect="007F2F19">
          <w:headerReference w:type="even" r:id="rId8"/>
          <w:headerReference w:type="default" r:id="rId9"/>
          <w:footerReference w:type="default" r:id="rId10"/>
          <w:pgSz w:w="12240" w:h="15840"/>
          <w:pgMar w:top="1440" w:right="1440" w:bottom="1440" w:left="1440" w:header="1440" w:footer="1440" w:gutter="0"/>
          <w:pgNumType w:fmt="numberInDash"/>
          <w:cols w:space="720"/>
          <w:noEndnote/>
          <w:titlePg/>
        </w:sectPr>
      </w:pPr>
    </w:p>
    <w:p w:rsidR="00812555" w:rsidRPr="00D029A4" w:rsidRDefault="00812555">
      <w:pPr>
        <w:widowControl/>
        <w:tabs>
          <w:tab w:val="left" w:pos="-1440"/>
        </w:tabs>
        <w:ind w:left="720" w:hanging="720"/>
        <w:rPr>
          <w:rFonts w:ascii="Times New Roman" w:hAnsi="Times New Roman"/>
          <w:u w:val="single"/>
        </w:rPr>
      </w:pPr>
      <w:r w:rsidRPr="00D029A4">
        <w:rPr>
          <w:rFonts w:ascii="Times New Roman" w:hAnsi="Times New Roman"/>
        </w:rPr>
        <w:lastRenderedPageBreak/>
        <w:t>2.</w:t>
      </w:r>
      <w:r w:rsidRPr="00D029A4">
        <w:rPr>
          <w:rFonts w:ascii="Times New Roman" w:hAnsi="Times New Roman"/>
        </w:rPr>
        <w:tab/>
      </w:r>
      <w:r w:rsidRPr="00D029A4">
        <w:rPr>
          <w:rFonts w:ascii="Times New Roman" w:hAnsi="Times New Roman"/>
          <w:u w:val="single"/>
        </w:rPr>
        <w:t>USE OF DATA</w:t>
      </w:r>
    </w:p>
    <w:p w:rsidR="00812555" w:rsidRPr="00D029A4" w:rsidRDefault="00812555">
      <w:pPr>
        <w:widowControl/>
        <w:rPr>
          <w:rFonts w:ascii="Times New Roman" w:hAnsi="Times New Roman"/>
          <w:u w:val="single"/>
        </w:rPr>
      </w:pPr>
    </w:p>
    <w:p w:rsidR="00B71423" w:rsidRDefault="00ED1C8D" w:rsidP="00B71423">
      <w:pPr>
        <w:widowControl/>
        <w:ind w:left="720"/>
        <w:rPr>
          <w:rFonts w:ascii="Times New Roman" w:hAnsi="Times New Roman"/>
        </w:rPr>
      </w:pPr>
      <w:r>
        <w:rPr>
          <w:rFonts w:ascii="Times New Roman" w:hAnsi="Times New Roman"/>
        </w:rPr>
        <w:t>I</w:t>
      </w:r>
      <w:r w:rsidRPr="00ED1C8D">
        <w:rPr>
          <w:rFonts w:ascii="Times New Roman" w:hAnsi="Times New Roman"/>
        </w:rPr>
        <w:t>n the case of a public notice, the public may use the information to determine whether and how to participate in the required public hearing.  In the case of a public approval, either the public may use the information to determine how to vote in the voter referendum or the applicable elected representative may use the information to determine whether to approve the bond</w:t>
      </w:r>
      <w:r>
        <w:rPr>
          <w:rFonts w:ascii="Times New Roman" w:hAnsi="Times New Roman"/>
        </w:rPr>
        <w:t>s.</w:t>
      </w:r>
      <w:r w:rsidR="00B71423">
        <w:rPr>
          <w:rFonts w:ascii="Times New Roman" w:hAnsi="Times New Roman"/>
        </w:rPr>
        <w:t xml:space="preserve">  </w:t>
      </w:r>
    </w:p>
    <w:p w:rsidR="00B71423" w:rsidRDefault="00B71423" w:rsidP="00B71423">
      <w:pPr>
        <w:widowControl/>
        <w:ind w:left="720"/>
        <w:rPr>
          <w:rFonts w:ascii="Times New Roman" w:hAnsi="Times New Roman"/>
        </w:rPr>
      </w:pPr>
    </w:p>
    <w:p w:rsidR="00FE6080" w:rsidRPr="00D029A4" w:rsidRDefault="00B71423" w:rsidP="00041B8A">
      <w:pPr>
        <w:widowControl/>
        <w:rPr>
          <w:rFonts w:ascii="Times New Roman" w:hAnsi="Times New Roman"/>
        </w:rPr>
      </w:pPr>
      <w:r>
        <w:rPr>
          <w:rFonts w:ascii="Times New Roman" w:hAnsi="Times New Roman"/>
        </w:rPr>
        <w:t xml:space="preserve">             </w:t>
      </w:r>
    </w:p>
    <w:p w:rsidR="00812555" w:rsidRPr="00D029A4" w:rsidRDefault="00812555">
      <w:pPr>
        <w:keepNext/>
        <w:keepLines/>
        <w:widowControl/>
        <w:tabs>
          <w:tab w:val="left" w:pos="-1440"/>
        </w:tabs>
        <w:ind w:left="720" w:hanging="720"/>
        <w:rPr>
          <w:rFonts w:ascii="Times New Roman" w:hAnsi="Times New Roman"/>
          <w:u w:val="single"/>
        </w:rPr>
      </w:pPr>
      <w:r w:rsidRPr="00D029A4">
        <w:rPr>
          <w:rFonts w:ascii="Times New Roman" w:hAnsi="Times New Roman"/>
        </w:rPr>
        <w:t>3.</w:t>
      </w:r>
      <w:r w:rsidRPr="00D029A4">
        <w:rPr>
          <w:rFonts w:ascii="Times New Roman" w:hAnsi="Times New Roman"/>
        </w:rPr>
        <w:tab/>
      </w:r>
      <w:r w:rsidRPr="00D029A4">
        <w:rPr>
          <w:rFonts w:ascii="Times New Roman" w:hAnsi="Times New Roman"/>
          <w:u w:val="single"/>
        </w:rPr>
        <w:t>USE OF IMPROVED INFORMATION TECHNOLOGY TO REDUCE BURDEN</w:t>
      </w:r>
    </w:p>
    <w:p w:rsidR="00812555" w:rsidRPr="00D029A4" w:rsidRDefault="00812555">
      <w:pPr>
        <w:keepNext/>
        <w:keepLines/>
        <w:widowControl/>
        <w:rPr>
          <w:rFonts w:ascii="Times New Roman" w:hAnsi="Times New Roman"/>
          <w:u w:val="single"/>
        </w:rPr>
      </w:pPr>
    </w:p>
    <w:p w:rsidR="00812555" w:rsidRPr="00D029A4" w:rsidRDefault="00ED1C8D" w:rsidP="00041B8A">
      <w:pPr>
        <w:widowControl/>
        <w:ind w:left="720"/>
        <w:rPr>
          <w:rFonts w:ascii="Times New Roman" w:hAnsi="Times New Roman"/>
        </w:rPr>
      </w:pPr>
      <w:r w:rsidRPr="00ED1C8D">
        <w:rPr>
          <w:rFonts w:ascii="Times New Roman" w:hAnsi="Times New Roman"/>
        </w:rPr>
        <w:t>The proposed regulations permit public notice to be published on a website.</w:t>
      </w:r>
    </w:p>
    <w:p w:rsidR="00812555" w:rsidRPr="00D029A4" w:rsidRDefault="00812555">
      <w:pPr>
        <w:keepLines/>
        <w:widowControl/>
        <w:rPr>
          <w:rFonts w:ascii="Times New Roman" w:hAnsi="Times New Roman"/>
        </w:rPr>
      </w:pPr>
    </w:p>
    <w:p w:rsidR="00812555" w:rsidRPr="00D029A4" w:rsidRDefault="00812555">
      <w:pPr>
        <w:widowControl/>
        <w:tabs>
          <w:tab w:val="left" w:pos="-1440"/>
        </w:tabs>
        <w:ind w:left="720" w:hanging="720"/>
        <w:rPr>
          <w:rFonts w:ascii="Times New Roman" w:hAnsi="Times New Roman"/>
          <w:u w:val="single"/>
        </w:rPr>
      </w:pPr>
      <w:r w:rsidRPr="00D029A4">
        <w:rPr>
          <w:rFonts w:ascii="Times New Roman" w:hAnsi="Times New Roman"/>
        </w:rPr>
        <w:t>4.</w:t>
      </w:r>
      <w:r w:rsidRPr="00D029A4">
        <w:rPr>
          <w:rFonts w:ascii="Times New Roman" w:hAnsi="Times New Roman"/>
        </w:rPr>
        <w:tab/>
      </w:r>
      <w:r w:rsidRPr="00D029A4">
        <w:rPr>
          <w:rFonts w:ascii="Times New Roman" w:hAnsi="Times New Roman"/>
          <w:u w:val="single"/>
        </w:rPr>
        <w:t>EFFORTS TO IDENTIFY DUPLICATION</w:t>
      </w:r>
    </w:p>
    <w:p w:rsidR="00812555" w:rsidRPr="00D029A4" w:rsidRDefault="00812555">
      <w:pPr>
        <w:widowControl/>
        <w:rPr>
          <w:rFonts w:ascii="Times New Roman" w:hAnsi="Times New Roman"/>
          <w:u w:val="single"/>
        </w:rPr>
      </w:pPr>
    </w:p>
    <w:p w:rsidR="00D029A4" w:rsidRPr="00D029A4" w:rsidRDefault="00D029A4" w:rsidP="00327016">
      <w:pPr>
        <w:ind w:left="720"/>
        <w:rPr>
          <w:rFonts w:ascii="Times New Roman" w:hAnsi="Times New Roman"/>
        </w:rPr>
      </w:pPr>
      <w:bookmarkStart w:id="1" w:name="_Hlk497985603"/>
      <w:r w:rsidRPr="00D029A4">
        <w:rPr>
          <w:rFonts w:ascii="Times New Roman" w:hAnsi="Times New Roman"/>
          <w:iCs/>
        </w:rPr>
        <w:t>The information obtained through this collection is unique and is not already available for use or adaptation from another source.</w:t>
      </w:r>
      <w:bookmarkEnd w:id="1"/>
      <w:r w:rsidRPr="00D029A4">
        <w:rPr>
          <w:rFonts w:ascii="Times New Roman" w:hAnsi="Times New Roman"/>
          <w:iCs/>
        </w:rPr>
        <w:t xml:space="preserve"> </w:t>
      </w:r>
      <w:r w:rsidRPr="00D029A4">
        <w:rPr>
          <w:rFonts w:ascii="Times New Roman" w:hAnsi="Times New Roman"/>
        </w:rPr>
        <w:t>We have attempted to eliminate duplication within the agency wherever possible.</w:t>
      </w:r>
    </w:p>
    <w:p w:rsidR="00812555" w:rsidRDefault="00812555" w:rsidP="00327016">
      <w:pPr>
        <w:widowControl/>
        <w:ind w:left="720"/>
        <w:rPr>
          <w:rFonts w:ascii="Times New Roman" w:hAnsi="Times New Roman"/>
        </w:rPr>
      </w:pPr>
    </w:p>
    <w:p w:rsidR="00812555" w:rsidRDefault="00812555">
      <w:pPr>
        <w:widowControl/>
        <w:rPr>
          <w:rFonts w:ascii="Times New Roman" w:hAnsi="Times New Roman"/>
        </w:rPr>
      </w:pPr>
    </w:p>
    <w:p w:rsidR="00685C55" w:rsidRDefault="00685C55">
      <w:pPr>
        <w:widowControl/>
        <w:rPr>
          <w:rFonts w:ascii="Times New Roman" w:hAnsi="Times New Roman"/>
        </w:rPr>
      </w:pPr>
    </w:p>
    <w:p w:rsidR="00685C55" w:rsidRPr="00D029A4" w:rsidRDefault="00685C55">
      <w:pPr>
        <w:widowControl/>
        <w:rPr>
          <w:rFonts w:ascii="Times New Roman" w:hAnsi="Times New Roman"/>
        </w:rPr>
      </w:pPr>
    </w:p>
    <w:p w:rsidR="00812555" w:rsidRPr="00D029A4" w:rsidRDefault="00812555">
      <w:pPr>
        <w:widowControl/>
        <w:tabs>
          <w:tab w:val="left" w:pos="-1440"/>
        </w:tabs>
        <w:ind w:left="720" w:hanging="720"/>
        <w:rPr>
          <w:rFonts w:ascii="Times New Roman" w:hAnsi="Times New Roman"/>
          <w:u w:val="single"/>
        </w:rPr>
      </w:pPr>
      <w:r w:rsidRPr="00D029A4">
        <w:rPr>
          <w:rFonts w:ascii="Times New Roman" w:hAnsi="Times New Roman"/>
        </w:rPr>
        <w:t>5.</w:t>
      </w:r>
      <w:r w:rsidRPr="00D029A4">
        <w:rPr>
          <w:rFonts w:ascii="Times New Roman" w:hAnsi="Times New Roman"/>
        </w:rPr>
        <w:tab/>
      </w:r>
      <w:r w:rsidRPr="00D029A4">
        <w:rPr>
          <w:rFonts w:ascii="Times New Roman" w:hAnsi="Times New Roman"/>
          <w:u w:val="single"/>
        </w:rPr>
        <w:t>METHODS TO MINIMIZE BURDEN ON SMALL BUSINESSES OR OTHER SMALL ENTITIES</w:t>
      </w:r>
    </w:p>
    <w:p w:rsidR="00812555" w:rsidRPr="00D029A4" w:rsidRDefault="00812555">
      <w:pPr>
        <w:widowControl/>
        <w:rPr>
          <w:rFonts w:ascii="Times New Roman" w:hAnsi="Times New Roman"/>
          <w:u w:val="single"/>
        </w:rPr>
      </w:pPr>
    </w:p>
    <w:p w:rsidR="00E75EBD" w:rsidRPr="003529BB" w:rsidRDefault="007B4C73" w:rsidP="00327016">
      <w:pPr>
        <w:ind w:left="720"/>
        <w:rPr>
          <w:rFonts w:ascii="Times New Roman" w:hAnsi="Times New Roman"/>
        </w:rPr>
      </w:pPr>
      <w:r w:rsidRPr="007B4C73">
        <w:rPr>
          <w:rFonts w:ascii="Times New Roman" w:hAnsi="Times New Roman"/>
        </w:rPr>
        <w:t>The proposed regulations will not have a significant economic impact on a substantial number of small entities because the statute and existing regulations already impose essentially the same recordkeeping burden on small entities as that in the proposed regulations. Any additional burden imposed by the proposed regulations would not be significant.</w:t>
      </w:r>
    </w:p>
    <w:p w:rsidR="00812555" w:rsidRPr="00D029A4" w:rsidRDefault="00812555">
      <w:pPr>
        <w:widowControl/>
        <w:ind w:left="720"/>
        <w:rPr>
          <w:rFonts w:ascii="Times New Roman" w:hAnsi="Times New Roman"/>
        </w:rPr>
      </w:pPr>
    </w:p>
    <w:p w:rsidR="00812555" w:rsidRPr="00D029A4" w:rsidRDefault="00812555">
      <w:pPr>
        <w:widowControl/>
        <w:rPr>
          <w:rFonts w:ascii="Times New Roman" w:hAnsi="Times New Roman"/>
        </w:rPr>
      </w:pPr>
    </w:p>
    <w:p w:rsidR="00812555" w:rsidRPr="00D029A4" w:rsidRDefault="00812555">
      <w:pPr>
        <w:widowControl/>
        <w:tabs>
          <w:tab w:val="left" w:pos="-1440"/>
        </w:tabs>
        <w:ind w:left="720" w:hanging="720"/>
        <w:rPr>
          <w:rFonts w:ascii="Times New Roman" w:hAnsi="Times New Roman"/>
          <w:u w:val="single"/>
        </w:rPr>
      </w:pPr>
      <w:r w:rsidRPr="00D029A4">
        <w:rPr>
          <w:rFonts w:ascii="Times New Roman" w:hAnsi="Times New Roman"/>
        </w:rPr>
        <w:t>6.</w:t>
      </w:r>
      <w:r w:rsidRPr="00D029A4">
        <w:rPr>
          <w:rFonts w:ascii="Times New Roman" w:hAnsi="Times New Roman"/>
        </w:rPr>
        <w:tab/>
      </w:r>
      <w:r w:rsidRPr="00D029A4">
        <w:rPr>
          <w:rFonts w:ascii="Times New Roman" w:hAnsi="Times New Roman"/>
          <w:u w:val="single"/>
        </w:rPr>
        <w:t>CONSEQUENCES OF LESS FREQUENT COLLECTION ON FEDERAL PROGRAMS OR POLICY ACTIVITIES</w:t>
      </w:r>
    </w:p>
    <w:p w:rsidR="00812555" w:rsidRDefault="00812555">
      <w:pPr>
        <w:widowControl/>
        <w:rPr>
          <w:rFonts w:ascii="Times New Roman" w:hAnsi="Times New Roman"/>
          <w:u w:val="single"/>
        </w:rPr>
      </w:pPr>
    </w:p>
    <w:p w:rsidR="00327016" w:rsidRPr="004B6152" w:rsidRDefault="0024440E" w:rsidP="00327016">
      <w:pPr>
        <w:ind w:left="720"/>
        <w:rPr>
          <w:rFonts w:ascii="Times New Roman" w:hAnsi="Times New Roman"/>
          <w:bCs/>
        </w:rPr>
      </w:pPr>
      <w:r>
        <w:rPr>
          <w:rFonts w:ascii="Times New Roman" w:hAnsi="Times New Roman"/>
        </w:rPr>
        <w:t>L</w:t>
      </w:r>
      <w:r w:rsidRPr="0024440E">
        <w:rPr>
          <w:rFonts w:ascii="Times New Roman" w:hAnsi="Times New Roman"/>
        </w:rPr>
        <w:t>ess frequent collection would be contrary to the rules prescribed in section 147(f)</w:t>
      </w:r>
      <w:r>
        <w:rPr>
          <w:rFonts w:ascii="Times New Roman" w:hAnsi="Times New Roman"/>
        </w:rPr>
        <w:t>, as the statute establishes the frequency of collection</w:t>
      </w:r>
      <w:r w:rsidR="008561AD" w:rsidRPr="0024440E">
        <w:rPr>
          <w:rFonts w:ascii="Times New Roman" w:hAnsi="Times New Roman"/>
          <w:bCs/>
        </w:rPr>
        <w:t xml:space="preserve">. </w:t>
      </w:r>
      <w:r w:rsidR="00327016" w:rsidRPr="0024440E">
        <w:rPr>
          <w:rFonts w:ascii="Times New Roman" w:hAnsi="Times New Roman"/>
          <w:bCs/>
        </w:rPr>
        <w:t xml:space="preserve">The IRS would be endangering its mission to </w:t>
      </w:r>
      <w:r w:rsidR="00FF261C" w:rsidRPr="0024440E">
        <w:rPr>
          <w:rFonts w:ascii="Times New Roman" w:hAnsi="Times New Roman"/>
          <w:bCs/>
        </w:rPr>
        <w:t>enforce</w:t>
      </w:r>
      <w:r w:rsidR="008561AD" w:rsidRPr="0024440E">
        <w:rPr>
          <w:rFonts w:ascii="Times New Roman" w:hAnsi="Times New Roman"/>
          <w:bCs/>
        </w:rPr>
        <w:t xml:space="preserve"> the statu</w:t>
      </w:r>
      <w:r w:rsidR="0094325F" w:rsidRPr="0024440E">
        <w:rPr>
          <w:rFonts w:ascii="Times New Roman" w:hAnsi="Times New Roman"/>
          <w:bCs/>
        </w:rPr>
        <w:t xml:space="preserve">tory public approval </w:t>
      </w:r>
      <w:r w:rsidR="008561AD" w:rsidRPr="0024440E">
        <w:rPr>
          <w:rFonts w:ascii="Times New Roman" w:hAnsi="Times New Roman"/>
          <w:bCs/>
        </w:rPr>
        <w:t>requirement</w:t>
      </w:r>
      <w:r w:rsidR="007B1438" w:rsidRPr="0024440E">
        <w:rPr>
          <w:rFonts w:ascii="Times New Roman" w:hAnsi="Times New Roman"/>
          <w:bCs/>
        </w:rPr>
        <w:t>.</w:t>
      </w:r>
      <w:r w:rsidR="00327016" w:rsidRPr="004B6152">
        <w:rPr>
          <w:rFonts w:ascii="Times New Roman" w:hAnsi="Times New Roman"/>
        </w:rPr>
        <w:t xml:space="preserve">  </w:t>
      </w:r>
      <w:r w:rsidR="00327016" w:rsidRPr="004B6152">
        <w:rPr>
          <w:rFonts w:ascii="Times New Roman" w:hAnsi="Times New Roman"/>
          <w:bCs/>
        </w:rPr>
        <w:t xml:space="preserve"> </w:t>
      </w:r>
    </w:p>
    <w:p w:rsidR="00327016" w:rsidRDefault="00327016">
      <w:pPr>
        <w:widowControl/>
        <w:rPr>
          <w:rFonts w:ascii="Times New Roman" w:hAnsi="Times New Roman"/>
          <w:u w:val="single"/>
        </w:rPr>
      </w:pPr>
    </w:p>
    <w:p w:rsidR="00327016" w:rsidRDefault="00327016">
      <w:pPr>
        <w:widowControl/>
        <w:rPr>
          <w:rFonts w:ascii="Times New Roman" w:hAnsi="Times New Roman"/>
          <w:u w:val="single"/>
        </w:rPr>
      </w:pPr>
    </w:p>
    <w:p w:rsidR="00327016" w:rsidRPr="00D029A4" w:rsidRDefault="00327016">
      <w:pPr>
        <w:widowControl/>
        <w:rPr>
          <w:rFonts w:ascii="Times New Roman" w:hAnsi="Times New Roman"/>
          <w:u w:val="single"/>
        </w:rPr>
      </w:pPr>
    </w:p>
    <w:p w:rsidR="00812555" w:rsidRPr="00D029A4" w:rsidRDefault="00812555">
      <w:pPr>
        <w:widowControl/>
        <w:tabs>
          <w:tab w:val="left" w:pos="-1440"/>
        </w:tabs>
        <w:ind w:left="720" w:hanging="720"/>
        <w:rPr>
          <w:rFonts w:ascii="Times New Roman" w:hAnsi="Times New Roman"/>
          <w:u w:val="single"/>
        </w:rPr>
      </w:pPr>
      <w:r w:rsidRPr="00D029A4">
        <w:rPr>
          <w:rFonts w:ascii="Times New Roman" w:hAnsi="Times New Roman"/>
        </w:rPr>
        <w:t>7.</w:t>
      </w:r>
      <w:r w:rsidRPr="00D029A4">
        <w:rPr>
          <w:rFonts w:ascii="Times New Roman" w:hAnsi="Times New Roman"/>
        </w:rPr>
        <w:tab/>
      </w:r>
      <w:r w:rsidRPr="00D029A4">
        <w:rPr>
          <w:rFonts w:ascii="Times New Roman" w:hAnsi="Times New Roman"/>
          <w:u w:val="single"/>
        </w:rPr>
        <w:t>SPECIAL CIRCUMSTANCES REQUIRING DATA COLLECTION TO BE INCONSISTENT WITH GUIDELINES IN 5 CFR 1320.5(d)(2)</w:t>
      </w:r>
    </w:p>
    <w:p w:rsidR="00812555" w:rsidRPr="00D029A4" w:rsidRDefault="00812555">
      <w:pPr>
        <w:widowControl/>
        <w:rPr>
          <w:rFonts w:ascii="Times New Roman" w:hAnsi="Times New Roman"/>
          <w:u w:val="single"/>
        </w:rPr>
      </w:pPr>
    </w:p>
    <w:p w:rsidR="00CA369B" w:rsidRDefault="00CA369B" w:rsidP="00CA369B">
      <w:pPr>
        <w:ind w:left="720"/>
        <w:rPr>
          <w:rFonts w:ascii="Times New Roman" w:hAnsi="Times New Roman"/>
        </w:rPr>
      </w:pPr>
      <w:r w:rsidRPr="002D0FF6">
        <w:rPr>
          <w:rFonts w:ascii="Times New Roman" w:hAnsi="Times New Roman"/>
        </w:rPr>
        <w:t>There are no special circumstances requiring data collection to be inconsistent with Guidelines in 5 CFR 1320.5(d)(2).</w:t>
      </w:r>
    </w:p>
    <w:p w:rsidR="00FE6080" w:rsidRPr="00D029A4" w:rsidRDefault="00FE6080" w:rsidP="00CA369B">
      <w:pPr>
        <w:widowControl/>
        <w:ind w:left="720"/>
        <w:rPr>
          <w:rFonts w:ascii="Times New Roman" w:hAnsi="Times New Roman"/>
        </w:rPr>
      </w:pPr>
    </w:p>
    <w:p w:rsidR="00FE6080" w:rsidRPr="00D029A4" w:rsidRDefault="00FE6080">
      <w:pPr>
        <w:widowControl/>
        <w:ind w:left="720"/>
        <w:rPr>
          <w:rFonts w:ascii="Times New Roman" w:hAnsi="Times New Roman"/>
        </w:rPr>
      </w:pPr>
    </w:p>
    <w:p w:rsidR="00812555" w:rsidRPr="00D029A4" w:rsidRDefault="00812555">
      <w:pPr>
        <w:widowControl/>
        <w:rPr>
          <w:rFonts w:ascii="Times New Roman" w:hAnsi="Times New Roman"/>
        </w:rPr>
      </w:pPr>
    </w:p>
    <w:p w:rsidR="00812555" w:rsidRDefault="00812555">
      <w:pPr>
        <w:widowControl/>
        <w:tabs>
          <w:tab w:val="left" w:pos="-1440"/>
        </w:tabs>
        <w:ind w:left="720" w:hanging="720"/>
        <w:rPr>
          <w:rFonts w:ascii="Times New Roman" w:hAnsi="Times New Roman"/>
          <w:u w:val="single"/>
        </w:rPr>
      </w:pPr>
      <w:r w:rsidRPr="00D029A4">
        <w:rPr>
          <w:rFonts w:ascii="Times New Roman" w:hAnsi="Times New Roman"/>
        </w:rPr>
        <w:t>8.</w:t>
      </w:r>
      <w:r w:rsidRPr="00D029A4">
        <w:rPr>
          <w:rFonts w:ascii="Times New Roman" w:hAnsi="Times New Roman"/>
        </w:rPr>
        <w:tab/>
      </w:r>
      <w:r w:rsidRPr="00D029A4">
        <w:rPr>
          <w:rFonts w:ascii="Times New Roman" w:hAnsi="Times New Roman"/>
          <w:u w:val="single"/>
        </w:rPr>
        <w:t>CONSULTATION WITH INDIVIDUALS OUTSIDE OF THE AGENCY ON AVAILABILITY OF DATA, FREQUENCY OF COLLECTION, CLARITY OF INSTRUCTIONS AND FORMS, AND DATA ELEMENTS</w:t>
      </w:r>
    </w:p>
    <w:p w:rsidR="00FF261C" w:rsidRDefault="00FF261C" w:rsidP="0024440E">
      <w:pPr>
        <w:widowControl/>
        <w:tabs>
          <w:tab w:val="left" w:pos="-1440"/>
        </w:tabs>
        <w:ind w:left="720" w:hanging="720"/>
        <w:rPr>
          <w:rFonts w:ascii="Times New Roman" w:hAnsi="Times New Roman"/>
          <w:u w:val="single"/>
        </w:rPr>
      </w:pPr>
    </w:p>
    <w:p w:rsidR="009F1F5B" w:rsidRPr="00862073" w:rsidRDefault="009F1F5B" w:rsidP="009F1F5B">
      <w:pPr>
        <w:ind w:left="720"/>
        <w:rPr>
          <w:rFonts w:ascii="Times New Roman" w:hAnsi="Times New Roman"/>
        </w:rPr>
      </w:pPr>
      <w:r w:rsidRPr="00862073">
        <w:rPr>
          <w:rFonts w:ascii="Times New Roman" w:hAnsi="Times New Roman"/>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w:t>
      </w:r>
      <w:r>
        <w:rPr>
          <w:rFonts w:ascii="Times New Roman" w:hAnsi="Times New Roman"/>
        </w:rPr>
        <w:t>REG-128841-07</w:t>
      </w:r>
      <w:r w:rsidRPr="00862073">
        <w:rPr>
          <w:rFonts w:ascii="Times New Roman" w:hAnsi="Times New Roman"/>
        </w:rPr>
        <w:t>.</w:t>
      </w:r>
    </w:p>
    <w:p w:rsidR="00FF261C" w:rsidRPr="00D029A4" w:rsidRDefault="00FF261C">
      <w:pPr>
        <w:widowControl/>
        <w:tabs>
          <w:tab w:val="left" w:pos="-1440"/>
        </w:tabs>
        <w:ind w:left="720" w:hanging="720"/>
        <w:rPr>
          <w:rFonts w:ascii="Times New Roman" w:hAnsi="Times New Roman"/>
          <w:u w:val="single"/>
        </w:rPr>
      </w:pPr>
    </w:p>
    <w:p w:rsidR="00812555" w:rsidRPr="00D029A4" w:rsidRDefault="00812555">
      <w:pPr>
        <w:widowControl/>
        <w:rPr>
          <w:rFonts w:ascii="Times New Roman" w:hAnsi="Times New Roman"/>
          <w:u w:val="single"/>
        </w:rPr>
      </w:pPr>
    </w:p>
    <w:p w:rsidR="00812555" w:rsidRPr="00D029A4" w:rsidRDefault="00812555">
      <w:pPr>
        <w:widowControl/>
        <w:rPr>
          <w:rFonts w:ascii="Times New Roman" w:hAnsi="Times New Roman"/>
          <w:u w:val="single"/>
        </w:rPr>
        <w:sectPr w:rsidR="00812555" w:rsidRPr="00D029A4">
          <w:headerReference w:type="default" r:id="rId11"/>
          <w:type w:val="continuous"/>
          <w:pgSz w:w="12240" w:h="15840"/>
          <w:pgMar w:top="1440" w:right="1440" w:bottom="1440" w:left="1440" w:header="1440" w:footer="1440" w:gutter="0"/>
          <w:cols w:space="720"/>
          <w:noEndnote/>
        </w:sectPr>
      </w:pPr>
    </w:p>
    <w:p w:rsidR="00C879A5" w:rsidRDefault="00C879A5" w:rsidP="00B01ADB">
      <w:pPr>
        <w:ind w:left="720"/>
        <w:rPr>
          <w:rFonts w:ascii="Times New Roman" w:hAnsi="Times New Roman"/>
        </w:rPr>
      </w:pPr>
      <w:r w:rsidRPr="00D029A4">
        <w:rPr>
          <w:rFonts w:ascii="Times New Roman" w:hAnsi="Times New Roman"/>
        </w:rPr>
        <w:lastRenderedPageBreak/>
        <w:t xml:space="preserve">We received </w:t>
      </w:r>
      <w:r w:rsidR="00FF261C">
        <w:rPr>
          <w:rFonts w:ascii="Times New Roman" w:hAnsi="Times New Roman"/>
        </w:rPr>
        <w:t>several</w:t>
      </w:r>
      <w:r w:rsidRPr="00D029A4">
        <w:rPr>
          <w:rFonts w:ascii="Times New Roman" w:hAnsi="Times New Roman"/>
        </w:rPr>
        <w:t xml:space="preserve"> comments during the comment per</w:t>
      </w:r>
      <w:r w:rsidR="002A185D">
        <w:rPr>
          <w:rFonts w:ascii="Times New Roman" w:hAnsi="Times New Roman"/>
        </w:rPr>
        <w:t>iod in response to the Federal R</w:t>
      </w:r>
      <w:r w:rsidRPr="00D029A4">
        <w:rPr>
          <w:rFonts w:ascii="Times New Roman" w:hAnsi="Times New Roman"/>
        </w:rPr>
        <w:t xml:space="preserve">egister notice dated </w:t>
      </w:r>
      <w:r w:rsidR="00561DD1">
        <w:rPr>
          <w:rFonts w:ascii="Times New Roman" w:hAnsi="Times New Roman"/>
        </w:rPr>
        <w:t>September 2</w:t>
      </w:r>
      <w:r w:rsidRPr="00D029A4">
        <w:rPr>
          <w:rFonts w:ascii="Times New Roman" w:hAnsi="Times New Roman"/>
        </w:rPr>
        <w:t>8, 201</w:t>
      </w:r>
      <w:r w:rsidR="00561DD1">
        <w:rPr>
          <w:rFonts w:ascii="Times New Roman" w:hAnsi="Times New Roman"/>
        </w:rPr>
        <w:t>7</w:t>
      </w:r>
      <w:r w:rsidRPr="00D029A4">
        <w:rPr>
          <w:rFonts w:ascii="Times New Roman" w:hAnsi="Times New Roman"/>
        </w:rPr>
        <w:t xml:space="preserve"> (8</w:t>
      </w:r>
      <w:r w:rsidR="00561DD1">
        <w:rPr>
          <w:rFonts w:ascii="Times New Roman" w:hAnsi="Times New Roman"/>
        </w:rPr>
        <w:t>2</w:t>
      </w:r>
      <w:r w:rsidRPr="00D029A4">
        <w:rPr>
          <w:rFonts w:ascii="Times New Roman" w:hAnsi="Times New Roman"/>
        </w:rPr>
        <w:t xml:space="preserve"> FR </w:t>
      </w:r>
      <w:r w:rsidR="00561DD1">
        <w:rPr>
          <w:rFonts w:ascii="Times New Roman" w:hAnsi="Times New Roman"/>
        </w:rPr>
        <w:t>45233</w:t>
      </w:r>
      <w:r w:rsidRPr="00D029A4">
        <w:rPr>
          <w:rFonts w:ascii="Times New Roman" w:hAnsi="Times New Roman"/>
        </w:rPr>
        <w:t xml:space="preserve">).  </w:t>
      </w:r>
      <w:r w:rsidR="002A185D">
        <w:rPr>
          <w:rFonts w:ascii="Times New Roman" w:hAnsi="Times New Roman"/>
        </w:rPr>
        <w:t>Most of these comments are available at www.regulations.gov.  Many of the</w:t>
      </w:r>
      <w:r w:rsidR="0073132D">
        <w:rPr>
          <w:rFonts w:ascii="Times New Roman" w:hAnsi="Times New Roman"/>
        </w:rPr>
        <w:t xml:space="preserve"> comments do not address the collection of information and, consequently, are not described here.</w:t>
      </w:r>
    </w:p>
    <w:p w:rsidR="009F1F5B" w:rsidRDefault="009F1F5B" w:rsidP="00B01ADB">
      <w:pPr>
        <w:ind w:left="720"/>
        <w:rPr>
          <w:rFonts w:ascii="Times New Roman" w:hAnsi="Times New Roman"/>
        </w:rPr>
      </w:pPr>
    </w:p>
    <w:p w:rsidR="009763EA" w:rsidRDefault="00641ECE" w:rsidP="002A185D">
      <w:pPr>
        <w:ind w:left="720"/>
        <w:rPr>
          <w:rFonts w:ascii="Times New Roman" w:hAnsi="Times New Roman"/>
        </w:rPr>
      </w:pPr>
      <w:r>
        <w:rPr>
          <w:rFonts w:ascii="Times New Roman" w:hAnsi="Times New Roman"/>
        </w:rPr>
        <w:t>One commenter requested that n</w:t>
      </w:r>
      <w:r w:rsidRPr="00641ECE">
        <w:rPr>
          <w:rFonts w:ascii="Times New Roman" w:hAnsi="Times New Roman"/>
        </w:rPr>
        <w:t>otice and hearing performed pursuant to state or local laws satisfy the notice and hearing requirements under §147(f), regardless of the form</w:t>
      </w:r>
      <w:r>
        <w:rPr>
          <w:rFonts w:ascii="Times New Roman" w:hAnsi="Times New Roman"/>
        </w:rPr>
        <w:t xml:space="preserve"> or</w:t>
      </w:r>
      <w:r w:rsidRPr="00641ECE">
        <w:rPr>
          <w:rFonts w:ascii="Times New Roman" w:hAnsi="Times New Roman"/>
        </w:rPr>
        <w:t xml:space="preserve"> conduct of that notice and hearing.</w:t>
      </w:r>
      <w:r w:rsidR="00A6361F">
        <w:rPr>
          <w:rFonts w:ascii="Times New Roman" w:hAnsi="Times New Roman"/>
        </w:rPr>
        <w:t xml:space="preserve">  </w:t>
      </w:r>
      <w:r>
        <w:rPr>
          <w:rFonts w:ascii="Times New Roman" w:hAnsi="Times New Roman"/>
        </w:rPr>
        <w:t xml:space="preserve">Commenters requested that </w:t>
      </w:r>
      <w:r w:rsidRPr="00641ECE">
        <w:rPr>
          <w:rFonts w:ascii="Times New Roman" w:hAnsi="Times New Roman"/>
        </w:rPr>
        <w:t xml:space="preserve">public notice </w:t>
      </w:r>
      <w:r>
        <w:rPr>
          <w:rFonts w:ascii="Times New Roman" w:hAnsi="Times New Roman"/>
        </w:rPr>
        <w:t xml:space="preserve">be </w:t>
      </w:r>
      <w:r>
        <w:rPr>
          <w:rFonts w:ascii="Times New Roman" w:hAnsi="Times New Roman"/>
        </w:rPr>
        <w:lastRenderedPageBreak/>
        <w:t xml:space="preserve">permitted </w:t>
      </w:r>
      <w:r w:rsidRPr="00641ECE">
        <w:rPr>
          <w:rFonts w:ascii="Times New Roman" w:hAnsi="Times New Roman"/>
        </w:rPr>
        <w:t>to be posted not only on the approving government’s website but also, alternatively, on the issuer’s website.</w:t>
      </w:r>
      <w:r w:rsidR="00A6361F">
        <w:rPr>
          <w:rFonts w:ascii="Times New Roman" w:hAnsi="Times New Roman"/>
        </w:rPr>
        <w:t xml:space="preserve">  </w:t>
      </w:r>
      <w:r>
        <w:rPr>
          <w:rFonts w:ascii="Times New Roman" w:hAnsi="Times New Roman"/>
        </w:rPr>
        <w:t xml:space="preserve">Commenters requested removal of </w:t>
      </w:r>
      <w:r w:rsidRPr="00641ECE">
        <w:rPr>
          <w:rFonts w:ascii="Times New Roman" w:hAnsi="Times New Roman"/>
        </w:rPr>
        <w:t>the requirement that, in the case of notice posted to a website, the governmental unit offer a reasonable, publicly known alternative for residents without internet access.</w:t>
      </w:r>
      <w:r w:rsidR="00A6361F">
        <w:rPr>
          <w:rFonts w:ascii="Times New Roman" w:hAnsi="Times New Roman"/>
        </w:rPr>
        <w:t xml:space="preserve">  </w:t>
      </w:r>
      <w:r w:rsidR="009763EA">
        <w:rPr>
          <w:rFonts w:ascii="Times New Roman" w:hAnsi="Times New Roman"/>
        </w:rPr>
        <w:t xml:space="preserve">One commenter request resolution of a perceived inconsistency between </w:t>
      </w:r>
      <w:r w:rsidR="009763EA" w:rsidRPr="009763EA">
        <w:rPr>
          <w:rFonts w:ascii="Times New Roman" w:hAnsi="Times New Roman"/>
        </w:rPr>
        <w:t>the proposed rule</w:t>
      </w:r>
      <w:r w:rsidR="009763EA">
        <w:rPr>
          <w:rFonts w:ascii="Times New Roman" w:hAnsi="Times New Roman"/>
        </w:rPr>
        <w:t xml:space="preserve">s regarding a public notice and </w:t>
      </w:r>
      <w:r w:rsidR="009763EA" w:rsidRPr="009763EA">
        <w:rPr>
          <w:rFonts w:ascii="Times New Roman" w:hAnsi="Times New Roman"/>
        </w:rPr>
        <w:t xml:space="preserve">the </w:t>
      </w:r>
      <w:r w:rsidR="009763EA">
        <w:rPr>
          <w:rFonts w:ascii="Times New Roman" w:hAnsi="Times New Roman"/>
        </w:rPr>
        <w:t>proposed rules regarding a public hearing.</w:t>
      </w:r>
      <w:r w:rsidR="00A6361F">
        <w:rPr>
          <w:rFonts w:ascii="Times New Roman" w:hAnsi="Times New Roman"/>
        </w:rPr>
        <w:t xml:space="preserve">  </w:t>
      </w:r>
      <w:r w:rsidR="009763EA">
        <w:rPr>
          <w:rFonts w:ascii="Times New Roman" w:hAnsi="Times New Roman"/>
        </w:rPr>
        <w:t>One commenter requested that t</w:t>
      </w:r>
      <w:r w:rsidR="009763EA" w:rsidRPr="009763EA">
        <w:rPr>
          <w:rFonts w:ascii="Times New Roman" w:hAnsi="Times New Roman"/>
        </w:rPr>
        <w:t>he notice and approval be required to state the aggregate max stated principal amount of the bonds of the issue that may be used to finance all of the projects financed by the issue.</w:t>
      </w:r>
      <w:r w:rsidR="00A6361F">
        <w:rPr>
          <w:rFonts w:ascii="Times New Roman" w:hAnsi="Times New Roman"/>
        </w:rPr>
        <w:t xml:space="preserve">  </w:t>
      </w:r>
      <w:r w:rsidR="009763EA">
        <w:rPr>
          <w:rFonts w:ascii="Times New Roman" w:hAnsi="Times New Roman"/>
        </w:rPr>
        <w:t>One commenter requested clarification on</w:t>
      </w:r>
      <w:r w:rsidR="009763EA" w:rsidRPr="009763EA">
        <w:rPr>
          <w:rFonts w:ascii="Times New Roman" w:hAnsi="Times New Roman"/>
        </w:rPr>
        <w:t xml:space="preserve"> how to compute the max stated principal amount </w:t>
      </w:r>
      <w:r w:rsidR="009763EA">
        <w:rPr>
          <w:rFonts w:ascii="Times New Roman" w:hAnsi="Times New Roman"/>
        </w:rPr>
        <w:t xml:space="preserve">of bonds </w:t>
      </w:r>
      <w:r w:rsidR="009763EA" w:rsidRPr="009763EA">
        <w:rPr>
          <w:rFonts w:ascii="Times New Roman" w:hAnsi="Times New Roman"/>
        </w:rPr>
        <w:t>to</w:t>
      </w:r>
      <w:r w:rsidR="009763EA">
        <w:rPr>
          <w:rFonts w:ascii="Times New Roman" w:hAnsi="Times New Roman"/>
        </w:rPr>
        <w:t xml:space="preserve"> be allocated to each project.</w:t>
      </w:r>
      <w:r w:rsidR="00A6361F">
        <w:rPr>
          <w:rFonts w:ascii="Times New Roman" w:hAnsi="Times New Roman"/>
        </w:rPr>
        <w:t xml:space="preserve">  </w:t>
      </w:r>
      <w:r w:rsidR="009763EA">
        <w:rPr>
          <w:rFonts w:ascii="Times New Roman" w:hAnsi="Times New Roman"/>
        </w:rPr>
        <w:t>One commenter requested that</w:t>
      </w:r>
      <w:r w:rsidR="009763EA" w:rsidRPr="009763EA">
        <w:t xml:space="preserve"> </w:t>
      </w:r>
      <w:r w:rsidR="009763EA">
        <w:t>t</w:t>
      </w:r>
      <w:r w:rsidR="009763EA" w:rsidRPr="009763EA">
        <w:rPr>
          <w:rFonts w:ascii="Times New Roman" w:hAnsi="Times New Roman"/>
        </w:rPr>
        <w:t>he phrase “maximum stated principal amount” be defined to mean “maximum stated par am</w:t>
      </w:r>
      <w:r w:rsidR="009763EA">
        <w:rPr>
          <w:rFonts w:ascii="Times New Roman" w:hAnsi="Times New Roman"/>
        </w:rPr>
        <w:t>ount.”</w:t>
      </w:r>
      <w:r w:rsidR="00A6361F">
        <w:rPr>
          <w:rFonts w:ascii="Times New Roman" w:hAnsi="Times New Roman"/>
        </w:rPr>
        <w:t xml:space="preserve">  </w:t>
      </w:r>
      <w:r w:rsidR="009763EA">
        <w:rPr>
          <w:rFonts w:ascii="Times New Roman" w:hAnsi="Times New Roman"/>
        </w:rPr>
        <w:t>One commenter requested that, i</w:t>
      </w:r>
      <w:r w:rsidR="009763EA" w:rsidRPr="009763EA">
        <w:rPr>
          <w:rFonts w:ascii="Times New Roman" w:hAnsi="Times New Roman"/>
        </w:rPr>
        <w:t xml:space="preserve">n cases where the principal user or initial owner is a limited partnership structured so that the limited partners hold the majority of the financial interest in the project but the general partner is responsible for the operation and management of the project, the name of the general partner satisfy </w:t>
      </w:r>
      <w:r w:rsidR="009763EA">
        <w:rPr>
          <w:rFonts w:ascii="Times New Roman" w:hAnsi="Times New Roman"/>
        </w:rPr>
        <w:t>the requirement that the notice and approval include the name of the expected initial owner or principal user</w:t>
      </w:r>
      <w:r w:rsidR="009763EA" w:rsidRPr="009763EA">
        <w:rPr>
          <w:rFonts w:ascii="Times New Roman" w:hAnsi="Times New Roman"/>
        </w:rPr>
        <w:t>.</w:t>
      </w:r>
      <w:r w:rsidR="00A6361F">
        <w:rPr>
          <w:rFonts w:ascii="Times New Roman" w:hAnsi="Times New Roman"/>
        </w:rPr>
        <w:t xml:space="preserve"> </w:t>
      </w:r>
      <w:r w:rsidR="002A185D">
        <w:rPr>
          <w:rFonts w:ascii="Times New Roman" w:hAnsi="Times New Roman"/>
        </w:rPr>
        <w:t xml:space="preserve"> </w:t>
      </w:r>
      <w:r w:rsidR="009763EA">
        <w:rPr>
          <w:rFonts w:ascii="Times New Roman" w:hAnsi="Times New Roman"/>
        </w:rPr>
        <w:t xml:space="preserve">One commenter requested that </w:t>
      </w:r>
      <w:r w:rsidR="009763EA" w:rsidRPr="009763EA">
        <w:rPr>
          <w:rFonts w:ascii="Times New Roman" w:hAnsi="Times New Roman"/>
        </w:rPr>
        <w:t xml:space="preserve">the language from the proposed regulation stating “or other description of the specific geographic location that is reasonably designed to inform readers of the location” </w:t>
      </w:r>
      <w:r w:rsidR="009763EA">
        <w:rPr>
          <w:rFonts w:ascii="Times New Roman" w:hAnsi="Times New Roman"/>
        </w:rPr>
        <w:t xml:space="preserve">be replaced </w:t>
      </w:r>
      <w:r w:rsidR="009763EA" w:rsidRPr="009763EA">
        <w:rPr>
          <w:rFonts w:ascii="Times New Roman" w:hAnsi="Times New Roman"/>
        </w:rPr>
        <w:t>with the language from the existing regulation stating “or a general description designed to inform readers of its specific location.”</w:t>
      </w:r>
      <w:r w:rsidR="00A6361F">
        <w:rPr>
          <w:rFonts w:ascii="Times New Roman" w:hAnsi="Times New Roman"/>
        </w:rPr>
        <w:t xml:space="preserve">  </w:t>
      </w:r>
      <w:r w:rsidR="002A185D">
        <w:rPr>
          <w:rFonts w:ascii="Times New Roman" w:hAnsi="Times New Roman"/>
        </w:rPr>
        <w:t>These</w:t>
      </w:r>
      <w:r w:rsidR="00A6361F">
        <w:rPr>
          <w:rFonts w:ascii="Times New Roman" w:hAnsi="Times New Roman"/>
        </w:rPr>
        <w:t xml:space="preserve"> comment</w:t>
      </w:r>
      <w:r w:rsidR="002A185D">
        <w:rPr>
          <w:rFonts w:ascii="Times New Roman" w:hAnsi="Times New Roman"/>
        </w:rPr>
        <w:t>s</w:t>
      </w:r>
      <w:r w:rsidR="00A6361F" w:rsidRPr="00A6361F">
        <w:rPr>
          <w:rFonts w:ascii="Times New Roman" w:hAnsi="Times New Roman"/>
        </w:rPr>
        <w:t xml:space="preserve"> w</w:t>
      </w:r>
      <w:r w:rsidR="002A185D">
        <w:rPr>
          <w:rFonts w:ascii="Times New Roman" w:hAnsi="Times New Roman"/>
        </w:rPr>
        <w:t>ere</w:t>
      </w:r>
      <w:r w:rsidR="00A6361F" w:rsidRPr="00A6361F">
        <w:rPr>
          <w:rFonts w:ascii="Times New Roman" w:hAnsi="Times New Roman"/>
        </w:rPr>
        <w:t xml:space="preserve"> considered </w:t>
      </w:r>
      <w:r w:rsidR="00A6361F">
        <w:rPr>
          <w:rFonts w:ascii="Times New Roman" w:hAnsi="Times New Roman"/>
        </w:rPr>
        <w:t xml:space="preserve">and </w:t>
      </w:r>
      <w:r w:rsidR="002A185D">
        <w:rPr>
          <w:rFonts w:ascii="Times New Roman" w:hAnsi="Times New Roman"/>
        </w:rPr>
        <w:t>are</w:t>
      </w:r>
      <w:r w:rsidR="00A6361F">
        <w:rPr>
          <w:rFonts w:ascii="Times New Roman" w:hAnsi="Times New Roman"/>
        </w:rPr>
        <w:t xml:space="preserve"> addressed in the preamble to the final regulations.</w:t>
      </w:r>
    </w:p>
    <w:p w:rsidR="009763EA" w:rsidRPr="00D029A4" w:rsidRDefault="009763EA" w:rsidP="00B01ADB">
      <w:pPr>
        <w:widowControl/>
        <w:ind w:left="720"/>
        <w:rPr>
          <w:rFonts w:ascii="Times New Roman" w:hAnsi="Times New Roman"/>
        </w:rPr>
      </w:pPr>
    </w:p>
    <w:p w:rsidR="00812555" w:rsidRPr="00D029A4" w:rsidRDefault="00812555">
      <w:pPr>
        <w:widowControl/>
        <w:tabs>
          <w:tab w:val="left" w:pos="-1440"/>
        </w:tabs>
        <w:ind w:left="720" w:hanging="720"/>
        <w:rPr>
          <w:rFonts w:ascii="Times New Roman" w:hAnsi="Times New Roman"/>
          <w:u w:val="single"/>
        </w:rPr>
      </w:pPr>
      <w:r w:rsidRPr="00D029A4">
        <w:rPr>
          <w:rFonts w:ascii="Times New Roman" w:hAnsi="Times New Roman"/>
        </w:rPr>
        <w:t>9.</w:t>
      </w:r>
      <w:r w:rsidRPr="00D029A4">
        <w:rPr>
          <w:rFonts w:ascii="Times New Roman" w:hAnsi="Times New Roman"/>
        </w:rPr>
        <w:tab/>
      </w:r>
      <w:r w:rsidRPr="00D029A4">
        <w:rPr>
          <w:rFonts w:ascii="Times New Roman" w:hAnsi="Times New Roman"/>
          <w:u w:val="single"/>
        </w:rPr>
        <w:t>EXPLANATION OF DECISION TO PROVIDE ANY PAYMENT OR GIFT TO RESPONDENTS</w:t>
      </w:r>
    </w:p>
    <w:p w:rsidR="00812555" w:rsidRPr="00D029A4" w:rsidRDefault="00812555">
      <w:pPr>
        <w:widowControl/>
        <w:rPr>
          <w:rFonts w:ascii="Times New Roman" w:hAnsi="Times New Roman"/>
          <w:u w:val="single"/>
        </w:rPr>
      </w:pPr>
    </w:p>
    <w:p w:rsidR="00812555" w:rsidRPr="00D029A4" w:rsidRDefault="006A658D">
      <w:pPr>
        <w:widowControl/>
        <w:ind w:left="720"/>
        <w:rPr>
          <w:rFonts w:ascii="Times New Roman" w:hAnsi="Times New Roman"/>
        </w:rPr>
      </w:pPr>
      <w:r w:rsidRPr="002D0FF6">
        <w:rPr>
          <w:rFonts w:ascii="Times New Roman" w:hAnsi="Times New Roman"/>
        </w:rPr>
        <w:t>No payment or gift has been provided to any respondents.</w:t>
      </w:r>
    </w:p>
    <w:p w:rsidR="00812555" w:rsidRPr="00D029A4" w:rsidRDefault="00812555">
      <w:pPr>
        <w:widowControl/>
        <w:rPr>
          <w:rFonts w:ascii="Times New Roman" w:hAnsi="Times New Roman"/>
        </w:rPr>
      </w:pPr>
    </w:p>
    <w:p w:rsidR="00812555" w:rsidRPr="00D029A4" w:rsidRDefault="00812555">
      <w:pPr>
        <w:keepNext/>
        <w:keepLines/>
        <w:widowControl/>
        <w:tabs>
          <w:tab w:val="left" w:pos="-1440"/>
        </w:tabs>
        <w:ind w:left="720" w:hanging="720"/>
        <w:rPr>
          <w:rFonts w:ascii="Times New Roman" w:hAnsi="Times New Roman"/>
          <w:u w:val="single"/>
        </w:rPr>
      </w:pPr>
      <w:r w:rsidRPr="00D029A4">
        <w:rPr>
          <w:rFonts w:ascii="Times New Roman" w:hAnsi="Times New Roman"/>
        </w:rPr>
        <w:t>10.</w:t>
      </w:r>
      <w:r w:rsidRPr="00D029A4">
        <w:rPr>
          <w:rFonts w:ascii="Times New Roman" w:hAnsi="Times New Roman"/>
        </w:rPr>
        <w:tab/>
      </w:r>
      <w:r w:rsidRPr="00D029A4">
        <w:rPr>
          <w:rFonts w:ascii="Times New Roman" w:hAnsi="Times New Roman"/>
          <w:u w:val="single"/>
        </w:rPr>
        <w:t>ASSURANCE OF CONFIDENTIALITY OF RESPONSES</w:t>
      </w:r>
    </w:p>
    <w:p w:rsidR="00812555" w:rsidRPr="00D029A4" w:rsidRDefault="00812555">
      <w:pPr>
        <w:keepNext/>
        <w:keepLines/>
        <w:widowControl/>
        <w:rPr>
          <w:rFonts w:ascii="Times New Roman" w:hAnsi="Times New Roman"/>
          <w:u w:val="single"/>
        </w:rPr>
      </w:pPr>
    </w:p>
    <w:p w:rsidR="00812555" w:rsidRPr="00D029A4" w:rsidRDefault="00812555">
      <w:pPr>
        <w:keepNext/>
        <w:keepLines/>
        <w:widowControl/>
        <w:ind w:left="720"/>
        <w:rPr>
          <w:rFonts w:ascii="Times New Roman" w:hAnsi="Times New Roman"/>
        </w:rPr>
      </w:pPr>
      <w:r w:rsidRPr="00D029A4">
        <w:rPr>
          <w:rFonts w:ascii="Times New Roman" w:hAnsi="Times New Roman"/>
        </w:rPr>
        <w:t>Generally, tax returns and tax return information are confidential as required by 26 U.S.C. 6103.</w:t>
      </w:r>
    </w:p>
    <w:p w:rsidR="00812555" w:rsidRPr="00D029A4" w:rsidRDefault="00812555">
      <w:pPr>
        <w:keepLines/>
        <w:widowControl/>
        <w:rPr>
          <w:rFonts w:ascii="Times New Roman" w:hAnsi="Times New Roman"/>
        </w:rPr>
      </w:pPr>
    </w:p>
    <w:p w:rsidR="00812555" w:rsidRPr="00D029A4" w:rsidRDefault="00812555">
      <w:pPr>
        <w:widowControl/>
        <w:tabs>
          <w:tab w:val="left" w:pos="-1440"/>
        </w:tabs>
        <w:ind w:left="720" w:hanging="720"/>
        <w:rPr>
          <w:rFonts w:ascii="Times New Roman" w:hAnsi="Times New Roman"/>
          <w:u w:val="single"/>
        </w:rPr>
      </w:pPr>
      <w:r w:rsidRPr="00D029A4">
        <w:rPr>
          <w:rFonts w:ascii="Times New Roman" w:hAnsi="Times New Roman"/>
        </w:rPr>
        <w:t>11.</w:t>
      </w:r>
      <w:r w:rsidRPr="00D029A4">
        <w:rPr>
          <w:rFonts w:ascii="Times New Roman" w:hAnsi="Times New Roman"/>
        </w:rPr>
        <w:tab/>
      </w:r>
      <w:r w:rsidRPr="00D029A4">
        <w:rPr>
          <w:rFonts w:ascii="Times New Roman" w:hAnsi="Times New Roman"/>
          <w:u w:val="single"/>
        </w:rPr>
        <w:t>JUSTIFICATION OF SENSITIVE QUESTIONS</w:t>
      </w:r>
    </w:p>
    <w:p w:rsidR="00812555" w:rsidRPr="00D029A4" w:rsidRDefault="00812555">
      <w:pPr>
        <w:widowControl/>
        <w:rPr>
          <w:rFonts w:ascii="Times New Roman" w:hAnsi="Times New Roman"/>
          <w:u w:val="single"/>
        </w:rPr>
      </w:pPr>
    </w:p>
    <w:p w:rsidR="006A658D" w:rsidRDefault="006A658D" w:rsidP="006A658D">
      <w:pPr>
        <w:ind w:left="540"/>
        <w:rPr>
          <w:rFonts w:ascii="Times New Roman" w:hAnsi="Times New Roman"/>
        </w:rPr>
      </w:pPr>
      <w:r>
        <w:rPr>
          <w:rFonts w:ascii="Times New Roman" w:hAnsi="Times New Roman"/>
        </w:rPr>
        <w:t xml:space="preserve">    </w:t>
      </w:r>
      <w:r w:rsidRPr="004B6152">
        <w:rPr>
          <w:rFonts w:ascii="Times New Roman" w:hAnsi="Times New Roman"/>
        </w:rPr>
        <w:t>No</w:t>
      </w:r>
      <w:r>
        <w:rPr>
          <w:rFonts w:ascii="Times New Roman" w:hAnsi="Times New Roman"/>
        </w:rPr>
        <w:t xml:space="preserve"> PII associated with this collection</w:t>
      </w:r>
      <w:r w:rsidRPr="004B6152">
        <w:rPr>
          <w:rFonts w:ascii="Times New Roman" w:hAnsi="Times New Roman"/>
        </w:rPr>
        <w:t>.</w:t>
      </w:r>
    </w:p>
    <w:p w:rsidR="00131FD5" w:rsidRDefault="00131FD5" w:rsidP="0024440E">
      <w:pPr>
        <w:ind w:left="540"/>
        <w:rPr>
          <w:rFonts w:ascii="Times New Roman" w:hAnsi="Times New Roman"/>
        </w:rPr>
      </w:pPr>
    </w:p>
    <w:p w:rsidR="00131FD5" w:rsidRDefault="00131FD5" w:rsidP="0024440E">
      <w:pPr>
        <w:ind w:left="540"/>
        <w:rPr>
          <w:rFonts w:ascii="Times New Roman" w:hAnsi="Times New Roman"/>
        </w:rPr>
      </w:pPr>
    </w:p>
    <w:p w:rsidR="00131FD5" w:rsidRDefault="00131FD5" w:rsidP="006A658D">
      <w:pPr>
        <w:ind w:left="540"/>
        <w:rPr>
          <w:rFonts w:ascii="Times New Roman" w:hAnsi="Times New Roman"/>
        </w:rPr>
      </w:pPr>
    </w:p>
    <w:p w:rsidR="00812555" w:rsidRPr="00D029A4" w:rsidRDefault="00812555">
      <w:pPr>
        <w:widowControl/>
        <w:rPr>
          <w:rFonts w:ascii="Times New Roman" w:hAnsi="Times New Roman"/>
        </w:rPr>
      </w:pPr>
    </w:p>
    <w:p w:rsidR="00131FD5" w:rsidRDefault="00131FD5">
      <w:pPr>
        <w:keepNext/>
        <w:keepLines/>
        <w:widowControl/>
        <w:tabs>
          <w:tab w:val="left" w:pos="-1440"/>
        </w:tabs>
        <w:ind w:left="720" w:hanging="720"/>
        <w:rPr>
          <w:rFonts w:ascii="Times New Roman" w:hAnsi="Times New Roman"/>
        </w:rPr>
      </w:pPr>
    </w:p>
    <w:p w:rsidR="00131FD5" w:rsidRDefault="00131FD5">
      <w:pPr>
        <w:keepNext/>
        <w:keepLines/>
        <w:widowControl/>
        <w:tabs>
          <w:tab w:val="left" w:pos="-1440"/>
        </w:tabs>
        <w:ind w:left="720" w:hanging="720"/>
        <w:rPr>
          <w:rFonts w:ascii="Times New Roman" w:hAnsi="Times New Roman"/>
        </w:rPr>
      </w:pPr>
    </w:p>
    <w:p w:rsidR="00812555" w:rsidRPr="00D029A4" w:rsidRDefault="00812555">
      <w:pPr>
        <w:keepNext/>
        <w:keepLines/>
        <w:widowControl/>
        <w:tabs>
          <w:tab w:val="left" w:pos="-1440"/>
        </w:tabs>
        <w:ind w:left="720" w:hanging="720"/>
        <w:rPr>
          <w:rFonts w:ascii="Times New Roman" w:hAnsi="Times New Roman"/>
          <w:u w:val="single"/>
        </w:rPr>
      </w:pPr>
      <w:r w:rsidRPr="00D029A4">
        <w:rPr>
          <w:rFonts w:ascii="Times New Roman" w:hAnsi="Times New Roman"/>
        </w:rPr>
        <w:t>12.</w:t>
      </w:r>
      <w:r w:rsidRPr="00D029A4">
        <w:rPr>
          <w:rFonts w:ascii="Times New Roman" w:hAnsi="Times New Roman"/>
        </w:rPr>
        <w:tab/>
      </w:r>
      <w:r w:rsidRPr="00D029A4">
        <w:rPr>
          <w:rFonts w:ascii="Times New Roman" w:hAnsi="Times New Roman"/>
          <w:u w:val="single"/>
        </w:rPr>
        <w:t>ESTIMATED BURDEN OF INFORMATION COLLECTION</w:t>
      </w:r>
    </w:p>
    <w:p w:rsidR="00812555" w:rsidRPr="00D029A4" w:rsidRDefault="00812555">
      <w:pPr>
        <w:keepNext/>
        <w:keepLines/>
        <w:widowControl/>
        <w:rPr>
          <w:rFonts w:ascii="Times New Roman" w:hAnsi="Times New Roman"/>
          <w:u w:val="single"/>
        </w:rPr>
      </w:pPr>
    </w:p>
    <w:p w:rsidR="00222312" w:rsidRPr="00D029A4" w:rsidRDefault="000F6DFE" w:rsidP="00131FD5">
      <w:pPr>
        <w:ind w:left="720"/>
        <w:rPr>
          <w:rFonts w:ascii="Times New Roman" w:hAnsi="Times New Roman"/>
        </w:rPr>
      </w:pPr>
      <w:r w:rsidRPr="00D029A4">
        <w:rPr>
          <w:rFonts w:ascii="Times New Roman" w:hAnsi="Times New Roman"/>
        </w:rPr>
        <w:t xml:space="preserve">In general, the Proposed Regulations provide updating, clarifying, and simplifying guidance on discrete aspects of the public approval requirement under section 147(f).  The Proposed Regulations provide guidance that focuses generally on the scope, content, process, and timing for reasonable public notices, public hearings, and public approvals of tax-exempt private activity bonds under section 147(f).  </w:t>
      </w:r>
    </w:p>
    <w:p w:rsidR="000F6DFE" w:rsidRPr="00D029A4" w:rsidRDefault="000F6DFE" w:rsidP="000F6DFE">
      <w:pPr>
        <w:ind w:left="720"/>
        <w:rPr>
          <w:rFonts w:ascii="Times New Roman" w:hAnsi="Times New Roman"/>
        </w:rPr>
      </w:pPr>
    </w:p>
    <w:p w:rsidR="00812555" w:rsidRDefault="005B7202">
      <w:pPr>
        <w:widowControl/>
        <w:ind w:left="720"/>
        <w:rPr>
          <w:rFonts w:ascii="Times New Roman" w:hAnsi="Times New Roman"/>
        </w:rPr>
      </w:pPr>
      <w:r>
        <w:rPr>
          <w:rFonts w:ascii="Times New Roman" w:hAnsi="Times New Roman"/>
        </w:rPr>
        <w:t>B</w:t>
      </w:r>
      <w:r w:rsidR="006A658D">
        <w:rPr>
          <w:rFonts w:ascii="Times New Roman" w:hAnsi="Times New Roman"/>
        </w:rPr>
        <w:t xml:space="preserve">urden estimate as follows: </w:t>
      </w:r>
    </w:p>
    <w:p w:rsidR="006A658D" w:rsidRPr="00D029A4" w:rsidRDefault="006A658D">
      <w:pPr>
        <w:widowControl/>
        <w:ind w:left="720"/>
        <w:rPr>
          <w:rFonts w:ascii="Times New Roman" w:hAnsi="Times New Roman"/>
        </w:rPr>
      </w:pPr>
    </w:p>
    <w:p w:rsidR="00812555" w:rsidRPr="00D029A4" w:rsidRDefault="00812555">
      <w:pPr>
        <w:widowControl/>
        <w:ind w:left="720"/>
        <w:rPr>
          <w:rFonts w:ascii="Times New Roman" w:hAnsi="Times New Roman"/>
        </w:rPr>
        <w:sectPr w:rsidR="00812555" w:rsidRPr="00D029A4">
          <w:type w:val="continuous"/>
          <w:pgSz w:w="12240" w:h="15840"/>
          <w:pgMar w:top="1440" w:right="1440" w:bottom="1440" w:left="1440" w:header="1440" w:footer="1440" w:gutter="0"/>
          <w:cols w:space="720"/>
          <w:noEndnote/>
        </w:sect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606"/>
        <w:gridCol w:w="1582"/>
        <w:gridCol w:w="1551"/>
        <w:gridCol w:w="1528"/>
        <w:gridCol w:w="1474"/>
      </w:tblGrid>
      <w:tr w:rsidR="006A658D" w:rsidRPr="004B6152" w:rsidTr="006A658D">
        <w:tc>
          <w:tcPr>
            <w:tcW w:w="1295" w:type="dxa"/>
          </w:tcPr>
          <w:p w:rsidR="006A658D" w:rsidRDefault="006A658D" w:rsidP="00D027D2">
            <w:pPr>
              <w:jc w:val="center"/>
              <w:rPr>
                <w:rFonts w:ascii="Times New Roman" w:hAnsi="Times New Roman"/>
                <w:sz w:val="20"/>
                <w:szCs w:val="20"/>
              </w:rPr>
            </w:pPr>
          </w:p>
          <w:p w:rsidR="006A658D" w:rsidRPr="004B6152" w:rsidRDefault="006A658D" w:rsidP="00D027D2">
            <w:pPr>
              <w:jc w:val="center"/>
              <w:rPr>
                <w:rFonts w:ascii="Times New Roman" w:hAnsi="Times New Roman"/>
                <w:sz w:val="20"/>
                <w:szCs w:val="20"/>
              </w:rPr>
            </w:pPr>
            <w:r>
              <w:rPr>
                <w:rFonts w:ascii="Times New Roman" w:hAnsi="Times New Roman"/>
                <w:sz w:val="20"/>
                <w:szCs w:val="20"/>
              </w:rPr>
              <w:t>Authority</w:t>
            </w:r>
          </w:p>
        </w:tc>
        <w:tc>
          <w:tcPr>
            <w:tcW w:w="1606" w:type="dxa"/>
            <w:shd w:val="clear" w:color="auto" w:fill="auto"/>
            <w:vAlign w:val="center"/>
          </w:tcPr>
          <w:p w:rsidR="006A658D" w:rsidRPr="004B6152" w:rsidRDefault="006A658D" w:rsidP="00D027D2">
            <w:pPr>
              <w:jc w:val="center"/>
              <w:rPr>
                <w:rFonts w:ascii="Times New Roman" w:hAnsi="Times New Roman"/>
                <w:sz w:val="20"/>
                <w:szCs w:val="20"/>
              </w:rPr>
            </w:pPr>
            <w:r w:rsidRPr="004B6152">
              <w:rPr>
                <w:rFonts w:ascii="Times New Roman" w:hAnsi="Times New Roman"/>
                <w:sz w:val="20"/>
                <w:szCs w:val="20"/>
              </w:rPr>
              <w:t># Respondents</w:t>
            </w:r>
          </w:p>
        </w:tc>
        <w:tc>
          <w:tcPr>
            <w:tcW w:w="1582" w:type="dxa"/>
            <w:shd w:val="clear" w:color="auto" w:fill="auto"/>
            <w:vAlign w:val="center"/>
          </w:tcPr>
          <w:p w:rsidR="006A658D" w:rsidRPr="004B6152" w:rsidRDefault="006A658D" w:rsidP="00D027D2">
            <w:pPr>
              <w:jc w:val="center"/>
              <w:rPr>
                <w:rFonts w:ascii="Times New Roman" w:hAnsi="Times New Roman"/>
                <w:sz w:val="20"/>
                <w:szCs w:val="20"/>
              </w:rPr>
            </w:pPr>
            <w:r w:rsidRPr="004B6152">
              <w:rPr>
                <w:rFonts w:ascii="Times New Roman" w:hAnsi="Times New Roman"/>
                <w:sz w:val="20"/>
                <w:szCs w:val="20"/>
              </w:rPr>
              <w:t># Responses Per Respondent</w:t>
            </w:r>
          </w:p>
        </w:tc>
        <w:tc>
          <w:tcPr>
            <w:tcW w:w="1551" w:type="dxa"/>
            <w:shd w:val="clear" w:color="auto" w:fill="auto"/>
            <w:vAlign w:val="center"/>
          </w:tcPr>
          <w:p w:rsidR="006A658D" w:rsidRPr="004B6152" w:rsidRDefault="006A658D" w:rsidP="00D027D2">
            <w:pPr>
              <w:jc w:val="center"/>
              <w:rPr>
                <w:rFonts w:ascii="Times New Roman" w:hAnsi="Times New Roman"/>
                <w:sz w:val="20"/>
                <w:szCs w:val="20"/>
              </w:rPr>
            </w:pPr>
            <w:r w:rsidRPr="004B6152">
              <w:rPr>
                <w:rFonts w:ascii="Times New Roman" w:hAnsi="Times New Roman"/>
                <w:sz w:val="20"/>
                <w:szCs w:val="20"/>
              </w:rPr>
              <w:t>Annual Responses</w:t>
            </w:r>
          </w:p>
        </w:tc>
        <w:tc>
          <w:tcPr>
            <w:tcW w:w="1528" w:type="dxa"/>
            <w:shd w:val="clear" w:color="auto" w:fill="auto"/>
            <w:vAlign w:val="center"/>
          </w:tcPr>
          <w:p w:rsidR="006A658D" w:rsidRPr="004B6152" w:rsidRDefault="006A658D" w:rsidP="00D027D2">
            <w:pPr>
              <w:jc w:val="center"/>
              <w:rPr>
                <w:rFonts w:ascii="Times New Roman" w:hAnsi="Times New Roman"/>
                <w:sz w:val="20"/>
                <w:szCs w:val="20"/>
              </w:rPr>
            </w:pPr>
            <w:r w:rsidRPr="004B6152">
              <w:rPr>
                <w:rFonts w:ascii="Times New Roman" w:hAnsi="Times New Roman"/>
                <w:sz w:val="20"/>
                <w:szCs w:val="20"/>
              </w:rPr>
              <w:t>Hours Per Response</w:t>
            </w:r>
          </w:p>
        </w:tc>
        <w:tc>
          <w:tcPr>
            <w:tcW w:w="1474" w:type="dxa"/>
            <w:shd w:val="clear" w:color="auto" w:fill="auto"/>
            <w:vAlign w:val="center"/>
          </w:tcPr>
          <w:p w:rsidR="006A658D" w:rsidRPr="004B6152" w:rsidRDefault="006A658D" w:rsidP="00D027D2">
            <w:pPr>
              <w:jc w:val="center"/>
              <w:rPr>
                <w:rFonts w:ascii="Times New Roman" w:hAnsi="Times New Roman"/>
                <w:sz w:val="20"/>
                <w:szCs w:val="20"/>
              </w:rPr>
            </w:pPr>
            <w:r w:rsidRPr="004B6152">
              <w:rPr>
                <w:rFonts w:ascii="Times New Roman" w:hAnsi="Times New Roman"/>
                <w:sz w:val="20"/>
                <w:szCs w:val="20"/>
              </w:rPr>
              <w:t>Total Burden</w:t>
            </w:r>
          </w:p>
        </w:tc>
      </w:tr>
      <w:tr w:rsidR="006A658D" w:rsidRPr="004B6152" w:rsidTr="006A658D">
        <w:trPr>
          <w:trHeight w:val="395"/>
        </w:trPr>
        <w:tc>
          <w:tcPr>
            <w:tcW w:w="1295" w:type="dxa"/>
          </w:tcPr>
          <w:p w:rsidR="006A658D" w:rsidRDefault="006A658D" w:rsidP="00D027D2">
            <w:pPr>
              <w:jc w:val="center"/>
              <w:rPr>
                <w:rFonts w:ascii="Times New Roman" w:hAnsi="Times New Roman"/>
              </w:rPr>
            </w:pPr>
            <w:r>
              <w:rPr>
                <w:rFonts w:ascii="Times New Roman" w:hAnsi="Times New Roman"/>
              </w:rPr>
              <w:t>147(f)</w:t>
            </w:r>
          </w:p>
        </w:tc>
        <w:tc>
          <w:tcPr>
            <w:tcW w:w="1606" w:type="dxa"/>
            <w:shd w:val="clear" w:color="auto" w:fill="auto"/>
            <w:vAlign w:val="center"/>
          </w:tcPr>
          <w:p w:rsidR="006A658D" w:rsidRPr="004B6152" w:rsidRDefault="006A658D" w:rsidP="00D027D2">
            <w:pPr>
              <w:jc w:val="center"/>
              <w:rPr>
                <w:rFonts w:ascii="Times New Roman" w:hAnsi="Times New Roman"/>
              </w:rPr>
            </w:pPr>
            <w:r>
              <w:rPr>
                <w:rFonts w:ascii="Times New Roman" w:hAnsi="Times New Roman"/>
              </w:rPr>
              <w:t>2000</w:t>
            </w:r>
          </w:p>
        </w:tc>
        <w:tc>
          <w:tcPr>
            <w:tcW w:w="1582" w:type="dxa"/>
            <w:shd w:val="clear" w:color="auto" w:fill="auto"/>
            <w:vAlign w:val="center"/>
          </w:tcPr>
          <w:p w:rsidR="006A658D" w:rsidRPr="004B6152" w:rsidRDefault="006A658D" w:rsidP="00D027D2">
            <w:pPr>
              <w:jc w:val="center"/>
              <w:rPr>
                <w:rFonts w:ascii="Times New Roman" w:hAnsi="Times New Roman"/>
              </w:rPr>
            </w:pPr>
            <w:r w:rsidRPr="004B6152">
              <w:rPr>
                <w:rFonts w:ascii="Times New Roman" w:hAnsi="Times New Roman"/>
              </w:rPr>
              <w:t>1</w:t>
            </w:r>
          </w:p>
        </w:tc>
        <w:tc>
          <w:tcPr>
            <w:tcW w:w="1551" w:type="dxa"/>
            <w:shd w:val="clear" w:color="auto" w:fill="auto"/>
            <w:vAlign w:val="center"/>
          </w:tcPr>
          <w:p w:rsidR="006A658D" w:rsidRPr="004B6152" w:rsidRDefault="006A658D" w:rsidP="00D027D2">
            <w:pPr>
              <w:jc w:val="center"/>
              <w:rPr>
                <w:rFonts w:ascii="Times New Roman" w:hAnsi="Times New Roman"/>
              </w:rPr>
            </w:pPr>
            <w:r>
              <w:rPr>
                <w:rFonts w:ascii="Times New Roman" w:hAnsi="Times New Roman"/>
              </w:rPr>
              <w:t>2000</w:t>
            </w:r>
          </w:p>
        </w:tc>
        <w:tc>
          <w:tcPr>
            <w:tcW w:w="1528" w:type="dxa"/>
            <w:shd w:val="clear" w:color="auto" w:fill="auto"/>
            <w:vAlign w:val="center"/>
          </w:tcPr>
          <w:p w:rsidR="006A658D" w:rsidRPr="004B6152" w:rsidRDefault="006A658D" w:rsidP="00D027D2">
            <w:pPr>
              <w:jc w:val="center"/>
              <w:rPr>
                <w:rFonts w:ascii="Times New Roman" w:hAnsi="Times New Roman"/>
              </w:rPr>
            </w:pPr>
            <w:r>
              <w:rPr>
                <w:rFonts w:ascii="Times New Roman" w:hAnsi="Times New Roman"/>
              </w:rPr>
              <w:t>1.3 hrs.</w:t>
            </w:r>
          </w:p>
        </w:tc>
        <w:tc>
          <w:tcPr>
            <w:tcW w:w="1474" w:type="dxa"/>
            <w:shd w:val="clear" w:color="auto" w:fill="auto"/>
            <w:vAlign w:val="center"/>
          </w:tcPr>
          <w:p w:rsidR="006A658D" w:rsidRPr="004B6152" w:rsidRDefault="006A658D" w:rsidP="00D027D2">
            <w:pPr>
              <w:jc w:val="center"/>
              <w:rPr>
                <w:rFonts w:ascii="Times New Roman" w:hAnsi="Times New Roman"/>
              </w:rPr>
            </w:pPr>
            <w:r>
              <w:rPr>
                <w:rFonts w:ascii="Times New Roman" w:hAnsi="Times New Roman"/>
              </w:rPr>
              <w:t>2,600</w:t>
            </w:r>
          </w:p>
        </w:tc>
      </w:tr>
    </w:tbl>
    <w:p w:rsidR="00222312" w:rsidRPr="00D029A4" w:rsidRDefault="00222312">
      <w:pPr>
        <w:widowControl/>
        <w:ind w:left="720"/>
        <w:rPr>
          <w:rFonts w:ascii="Times New Roman" w:hAnsi="Times New Roman"/>
        </w:rPr>
      </w:pPr>
    </w:p>
    <w:p w:rsidR="000F6DFE" w:rsidRPr="00D029A4" w:rsidRDefault="000F6DFE">
      <w:pPr>
        <w:widowControl/>
        <w:ind w:left="720"/>
        <w:rPr>
          <w:rFonts w:ascii="Times New Roman" w:hAnsi="Times New Roman"/>
        </w:rPr>
      </w:pPr>
    </w:p>
    <w:p w:rsidR="00812555" w:rsidRPr="00D029A4" w:rsidRDefault="00812555">
      <w:pPr>
        <w:widowControl/>
        <w:tabs>
          <w:tab w:val="left" w:pos="-1440"/>
        </w:tabs>
        <w:ind w:left="720" w:hanging="720"/>
        <w:rPr>
          <w:rFonts w:ascii="Times New Roman" w:hAnsi="Times New Roman"/>
          <w:u w:val="single"/>
        </w:rPr>
      </w:pPr>
      <w:r w:rsidRPr="00D029A4">
        <w:rPr>
          <w:rFonts w:ascii="Times New Roman" w:hAnsi="Times New Roman"/>
        </w:rPr>
        <w:t>13.</w:t>
      </w:r>
      <w:r w:rsidRPr="00D029A4">
        <w:rPr>
          <w:rFonts w:ascii="Times New Roman" w:hAnsi="Times New Roman"/>
        </w:rPr>
        <w:tab/>
      </w:r>
      <w:r w:rsidRPr="00D029A4">
        <w:rPr>
          <w:rFonts w:ascii="Times New Roman" w:hAnsi="Times New Roman"/>
          <w:u w:val="single"/>
        </w:rPr>
        <w:t>ESTIMATED TOTAL ANNUAL COST BURDEN TO RESPONDENTS</w:t>
      </w:r>
    </w:p>
    <w:p w:rsidR="00812555" w:rsidRPr="00D029A4" w:rsidRDefault="00812555">
      <w:pPr>
        <w:widowControl/>
        <w:rPr>
          <w:rFonts w:ascii="Times New Roman" w:hAnsi="Times New Roman"/>
          <w:u w:val="single"/>
        </w:rPr>
      </w:pPr>
    </w:p>
    <w:p w:rsidR="00251997" w:rsidRPr="006539F0" w:rsidRDefault="005B7202" w:rsidP="00251997">
      <w:pPr>
        <w:ind w:left="720"/>
        <w:rPr>
          <w:rFonts w:ascii="Times New Roman" w:hAnsi="Times New Roman"/>
        </w:rPr>
      </w:pPr>
      <w:r w:rsidRPr="005B7202">
        <w:rPr>
          <w:rFonts w:ascii="Times New Roman" w:hAnsi="Times New Roman"/>
        </w:rPr>
        <w:t>For public approvals requiring public notice, respondents will bear the cost of publishing the notice in a manner permitted by the proposed regulations.  An issuer will incur the cost of publishing a public notice one time per approval by an elected representative.  The cost of publication will vary widely depending on the publication medium chosen and the amount of information required to be included in the public notice.  For instance, publishing a lengthy notice in a newspaper of general circulation in a large city could cost the issuer as much as $10,000.  Conversely, publishing a notice of any length on the issuer's existing website may not cost the issuer any additional money.  Based on consultation with respondents, the average cost of publishing notice is between $200 and $90</w:t>
      </w:r>
      <w:r>
        <w:rPr>
          <w:rFonts w:ascii="Times New Roman" w:hAnsi="Times New Roman"/>
        </w:rPr>
        <w:t>0.</w:t>
      </w:r>
    </w:p>
    <w:p w:rsidR="00812555" w:rsidRPr="00D029A4" w:rsidRDefault="00812555">
      <w:pPr>
        <w:widowControl/>
        <w:rPr>
          <w:rFonts w:ascii="Times New Roman" w:hAnsi="Times New Roman"/>
        </w:rPr>
      </w:pPr>
    </w:p>
    <w:p w:rsidR="00812555" w:rsidRPr="00D029A4" w:rsidRDefault="00812555">
      <w:pPr>
        <w:widowControl/>
        <w:tabs>
          <w:tab w:val="left" w:pos="-1440"/>
        </w:tabs>
        <w:ind w:left="720" w:hanging="720"/>
        <w:rPr>
          <w:rFonts w:ascii="Times New Roman" w:hAnsi="Times New Roman"/>
          <w:u w:val="single"/>
        </w:rPr>
      </w:pPr>
      <w:r w:rsidRPr="00D029A4">
        <w:rPr>
          <w:rFonts w:ascii="Times New Roman" w:hAnsi="Times New Roman"/>
        </w:rPr>
        <w:t>14.</w:t>
      </w:r>
      <w:r w:rsidRPr="00D029A4">
        <w:rPr>
          <w:rFonts w:ascii="Times New Roman" w:hAnsi="Times New Roman"/>
        </w:rPr>
        <w:tab/>
      </w:r>
      <w:r w:rsidRPr="00D029A4">
        <w:rPr>
          <w:rFonts w:ascii="Times New Roman" w:hAnsi="Times New Roman"/>
          <w:u w:val="single"/>
        </w:rPr>
        <w:t>ESTIMATED ANNUALIZED COST TO THE FEDERAL GOVERNMENT</w:t>
      </w:r>
    </w:p>
    <w:p w:rsidR="00812555" w:rsidRPr="00D029A4" w:rsidRDefault="00812555">
      <w:pPr>
        <w:widowControl/>
        <w:rPr>
          <w:rFonts w:ascii="Times New Roman" w:hAnsi="Times New Roman"/>
          <w:u w:val="single"/>
        </w:rPr>
      </w:pPr>
    </w:p>
    <w:p w:rsidR="00251997" w:rsidRPr="006539F0" w:rsidRDefault="00251997" w:rsidP="00251997">
      <w:pPr>
        <w:ind w:left="720"/>
        <w:rPr>
          <w:rFonts w:ascii="Times New Roman" w:hAnsi="Times New Roman"/>
        </w:rPr>
      </w:pPr>
      <w:r w:rsidRPr="006539F0">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Pr>
          <w:rFonts w:ascii="Times New Roman" w:hAnsi="Times New Roman"/>
        </w:rPr>
        <w:t>.</w:t>
      </w:r>
    </w:p>
    <w:p w:rsidR="00812555" w:rsidRDefault="00812555">
      <w:pPr>
        <w:widowControl/>
        <w:ind w:left="720"/>
        <w:rPr>
          <w:rFonts w:ascii="Times New Roman" w:hAnsi="Times New Roman"/>
        </w:rPr>
      </w:pPr>
    </w:p>
    <w:p w:rsidR="00451668" w:rsidRDefault="00451668">
      <w:pPr>
        <w:widowControl/>
        <w:ind w:left="720"/>
        <w:rPr>
          <w:rFonts w:ascii="Times New Roman" w:hAnsi="Times New Roman"/>
        </w:rPr>
      </w:pPr>
    </w:p>
    <w:p w:rsidR="00451668" w:rsidRDefault="00451668">
      <w:pPr>
        <w:widowControl/>
        <w:ind w:left="720"/>
        <w:rPr>
          <w:rFonts w:ascii="Times New Roman" w:hAnsi="Times New Roman"/>
        </w:rPr>
      </w:pPr>
    </w:p>
    <w:p w:rsidR="00451668" w:rsidRDefault="00451668">
      <w:pPr>
        <w:widowControl/>
        <w:ind w:left="720"/>
        <w:rPr>
          <w:rFonts w:ascii="Times New Roman" w:hAnsi="Times New Roman"/>
        </w:rPr>
      </w:pPr>
    </w:p>
    <w:p w:rsidR="00451668" w:rsidRDefault="00451668">
      <w:pPr>
        <w:widowControl/>
        <w:ind w:left="720"/>
        <w:rPr>
          <w:rFonts w:ascii="Times New Roman" w:hAnsi="Times New Roman"/>
        </w:rPr>
      </w:pPr>
    </w:p>
    <w:p w:rsidR="00451668" w:rsidRPr="00D029A4" w:rsidRDefault="00451668">
      <w:pPr>
        <w:widowControl/>
        <w:ind w:left="720"/>
        <w:rPr>
          <w:rFonts w:ascii="Times New Roman" w:hAnsi="Times New Roman"/>
        </w:rPr>
      </w:pPr>
    </w:p>
    <w:p w:rsidR="00812555" w:rsidRPr="00D029A4" w:rsidRDefault="00812555">
      <w:pPr>
        <w:widowControl/>
        <w:rPr>
          <w:rFonts w:ascii="Times New Roman" w:hAnsi="Times New Roman"/>
        </w:rPr>
      </w:pPr>
    </w:p>
    <w:p w:rsidR="00812555" w:rsidRPr="00D029A4" w:rsidRDefault="00812555">
      <w:pPr>
        <w:widowControl/>
        <w:tabs>
          <w:tab w:val="left" w:pos="-1440"/>
        </w:tabs>
        <w:ind w:left="720" w:hanging="720"/>
        <w:rPr>
          <w:rFonts w:ascii="Times New Roman" w:hAnsi="Times New Roman"/>
          <w:u w:val="single"/>
        </w:rPr>
      </w:pPr>
      <w:r w:rsidRPr="00D029A4">
        <w:rPr>
          <w:rFonts w:ascii="Times New Roman" w:hAnsi="Times New Roman"/>
        </w:rPr>
        <w:t>15.</w:t>
      </w:r>
      <w:r w:rsidRPr="00D029A4">
        <w:rPr>
          <w:rFonts w:ascii="Times New Roman" w:hAnsi="Times New Roman"/>
        </w:rPr>
        <w:tab/>
      </w:r>
      <w:r w:rsidRPr="00D029A4">
        <w:rPr>
          <w:rFonts w:ascii="Times New Roman" w:hAnsi="Times New Roman"/>
          <w:u w:val="single"/>
        </w:rPr>
        <w:t>REASONS FOR CHANGE IN BURDEN</w:t>
      </w:r>
    </w:p>
    <w:p w:rsidR="00812555" w:rsidRPr="00D029A4" w:rsidRDefault="00812555">
      <w:pPr>
        <w:widowControl/>
        <w:rPr>
          <w:rFonts w:ascii="Times New Roman" w:hAnsi="Times New Roman"/>
          <w:u w:val="single"/>
        </w:rPr>
      </w:pPr>
    </w:p>
    <w:p w:rsidR="00451668" w:rsidRDefault="00251997" w:rsidP="00451668">
      <w:pPr>
        <w:widowControl/>
        <w:ind w:left="720"/>
        <w:rPr>
          <w:rFonts w:ascii="Times New Roman" w:hAnsi="Times New Roman"/>
        </w:rPr>
      </w:pPr>
      <w:r>
        <w:rPr>
          <w:rFonts w:ascii="Times New Roman" w:hAnsi="Times New Roman"/>
        </w:rPr>
        <w:t>This is a new collection</w:t>
      </w:r>
      <w:r w:rsidR="00451668">
        <w:rPr>
          <w:rFonts w:ascii="Times New Roman" w:hAnsi="Times New Roman"/>
        </w:rPr>
        <w:t xml:space="preserve">. </w:t>
      </w:r>
    </w:p>
    <w:p w:rsidR="00812555" w:rsidRPr="00D029A4" w:rsidRDefault="00451668" w:rsidP="00451668">
      <w:pPr>
        <w:widowControl/>
        <w:ind w:left="720"/>
        <w:rPr>
          <w:rFonts w:ascii="Times New Roman" w:hAnsi="Times New Roman"/>
        </w:rPr>
      </w:pPr>
      <w:r>
        <w:rPr>
          <w:rFonts w:ascii="Times New Roman" w:hAnsi="Times New Roman"/>
        </w:rPr>
        <w:t>T</w:t>
      </w:r>
      <w:r w:rsidRPr="00451668">
        <w:rPr>
          <w:rFonts w:ascii="Times New Roman" w:hAnsi="Times New Roman"/>
        </w:rPr>
        <w:t>wo previous notices of proposed rulemaking on tax-exempt private activity bonds</w:t>
      </w:r>
      <w:r>
        <w:rPr>
          <w:rFonts w:ascii="Times New Roman" w:hAnsi="Times New Roman"/>
        </w:rPr>
        <w:t xml:space="preserve"> were withdrawn</w:t>
      </w:r>
      <w:r w:rsidRPr="00451668">
        <w:rPr>
          <w:rFonts w:ascii="Times New Roman" w:hAnsi="Times New Roman"/>
        </w:rPr>
        <w:t>.</w:t>
      </w:r>
      <w:r>
        <w:rPr>
          <w:rFonts w:ascii="Times New Roman" w:hAnsi="Times New Roman"/>
        </w:rPr>
        <w:t xml:space="preserve"> </w:t>
      </w:r>
      <w:r w:rsidRPr="00451668">
        <w:rPr>
          <w:rFonts w:ascii="Times New Roman" w:hAnsi="Times New Roman"/>
        </w:rPr>
        <w:t>These proposed regulations would update the existing regulations on the public approval requirement to reflect statutory</w:t>
      </w:r>
      <w:r>
        <w:rPr>
          <w:rFonts w:ascii="Times New Roman" w:hAnsi="Times New Roman"/>
        </w:rPr>
        <w:t xml:space="preserve"> </w:t>
      </w:r>
      <w:r w:rsidRPr="00451668">
        <w:rPr>
          <w:rFonts w:ascii="Times New Roman" w:hAnsi="Times New Roman"/>
        </w:rPr>
        <w:t xml:space="preserve">changes, to streamline the public approval process, and to reduce burden on State and local governments that issue tax-exempt private activity bonds. </w:t>
      </w:r>
      <w:r>
        <w:rPr>
          <w:rFonts w:ascii="Times New Roman" w:hAnsi="Times New Roman"/>
        </w:rPr>
        <w:t xml:space="preserve"> </w:t>
      </w:r>
    </w:p>
    <w:p w:rsidR="00812555" w:rsidRPr="00D029A4" w:rsidRDefault="00812555">
      <w:pPr>
        <w:widowControl/>
        <w:rPr>
          <w:rFonts w:ascii="Times New Roman" w:hAnsi="Times New Roman"/>
        </w:rPr>
      </w:pPr>
    </w:p>
    <w:p w:rsidR="00812555" w:rsidRPr="00D029A4" w:rsidRDefault="00812555">
      <w:pPr>
        <w:widowControl/>
        <w:tabs>
          <w:tab w:val="left" w:pos="-1440"/>
        </w:tabs>
        <w:ind w:left="720" w:hanging="720"/>
        <w:rPr>
          <w:rFonts w:ascii="Times New Roman" w:hAnsi="Times New Roman"/>
          <w:u w:val="single"/>
        </w:rPr>
      </w:pPr>
      <w:r w:rsidRPr="00D029A4">
        <w:rPr>
          <w:rFonts w:ascii="Times New Roman" w:hAnsi="Times New Roman"/>
        </w:rPr>
        <w:t>16.</w:t>
      </w:r>
      <w:r w:rsidRPr="00D029A4">
        <w:rPr>
          <w:rFonts w:ascii="Times New Roman" w:hAnsi="Times New Roman"/>
        </w:rPr>
        <w:tab/>
      </w:r>
      <w:r w:rsidRPr="00D029A4">
        <w:rPr>
          <w:rFonts w:ascii="Times New Roman" w:hAnsi="Times New Roman"/>
          <w:u w:val="single"/>
        </w:rPr>
        <w:t xml:space="preserve">PLANS FOR TABULATION, STATISTICAL ANALYSIS AND PUBLICATION </w:t>
      </w:r>
    </w:p>
    <w:p w:rsidR="00812555" w:rsidRPr="00D029A4" w:rsidRDefault="00812555">
      <w:pPr>
        <w:widowControl/>
        <w:rPr>
          <w:rFonts w:ascii="Times New Roman" w:hAnsi="Times New Roman"/>
          <w:u w:val="single"/>
        </w:rPr>
      </w:pPr>
    </w:p>
    <w:p w:rsidR="00251997" w:rsidRDefault="00251997" w:rsidP="00251997">
      <w:pPr>
        <w:ind w:left="576"/>
        <w:rPr>
          <w:rFonts w:ascii="Times New Roman" w:hAnsi="Times New Roman"/>
        </w:rPr>
      </w:pPr>
      <w:r>
        <w:rPr>
          <w:rFonts w:ascii="Times New Roman" w:hAnsi="Times New Roman"/>
        </w:rPr>
        <w:t xml:space="preserve">  </w:t>
      </w:r>
      <w:r w:rsidRPr="00BB3BED">
        <w:rPr>
          <w:rFonts w:ascii="Times New Roman" w:hAnsi="Times New Roman"/>
        </w:rPr>
        <w:t>There are no plans for tabulation, statistical analysis and publication.</w:t>
      </w:r>
    </w:p>
    <w:p w:rsidR="00605CBC" w:rsidRPr="00D029A4" w:rsidRDefault="00605CBC">
      <w:pPr>
        <w:widowControl/>
        <w:ind w:left="720"/>
        <w:rPr>
          <w:rFonts w:ascii="Times New Roman" w:hAnsi="Times New Roman"/>
        </w:rPr>
      </w:pPr>
    </w:p>
    <w:p w:rsidR="00812555" w:rsidRPr="00D029A4" w:rsidRDefault="00812555">
      <w:pPr>
        <w:widowControl/>
        <w:rPr>
          <w:rFonts w:ascii="Times New Roman" w:hAnsi="Times New Roman"/>
        </w:rPr>
      </w:pPr>
    </w:p>
    <w:p w:rsidR="00812555" w:rsidRPr="00D029A4" w:rsidRDefault="00812555">
      <w:pPr>
        <w:widowControl/>
        <w:tabs>
          <w:tab w:val="left" w:pos="-1440"/>
        </w:tabs>
        <w:ind w:left="720" w:hanging="720"/>
        <w:rPr>
          <w:rFonts w:ascii="Times New Roman" w:hAnsi="Times New Roman"/>
          <w:u w:val="single"/>
        </w:rPr>
      </w:pPr>
      <w:r w:rsidRPr="00D029A4">
        <w:rPr>
          <w:rFonts w:ascii="Times New Roman" w:hAnsi="Times New Roman"/>
        </w:rPr>
        <w:t>17.</w:t>
      </w:r>
      <w:r w:rsidRPr="00D029A4">
        <w:rPr>
          <w:rFonts w:ascii="Times New Roman" w:hAnsi="Times New Roman"/>
        </w:rPr>
        <w:tab/>
      </w:r>
      <w:r w:rsidRPr="00D029A4">
        <w:rPr>
          <w:rFonts w:ascii="Times New Roman" w:hAnsi="Times New Roman"/>
          <w:u w:val="single"/>
        </w:rPr>
        <w:t>REASONS WHY DISPLAYING THE OMB EXPIRATION DATE IS INAPPROPRIATE</w:t>
      </w:r>
    </w:p>
    <w:p w:rsidR="00812555" w:rsidRPr="00D029A4" w:rsidRDefault="00812555">
      <w:pPr>
        <w:widowControl/>
        <w:rPr>
          <w:rFonts w:ascii="Times New Roman" w:hAnsi="Times New Roman"/>
          <w:u w:val="single"/>
        </w:rPr>
      </w:pPr>
    </w:p>
    <w:p w:rsidR="00812555" w:rsidRPr="00D029A4" w:rsidRDefault="00812555">
      <w:pPr>
        <w:widowControl/>
        <w:ind w:left="720"/>
        <w:rPr>
          <w:rFonts w:ascii="Times New Roman" w:hAnsi="Times New Roman"/>
        </w:rPr>
      </w:pPr>
      <w:r w:rsidRPr="00D029A4">
        <w:rPr>
          <w:rFonts w:ascii="Times New Roman" w:hAnsi="Times New Roman"/>
        </w:rPr>
        <w:t>We believe that displaying the OMB expiration date is inappropriate because it could cause confusion by leading taxpayers to believe that the regulation sunsets as of the expiration date.  Taxpayers are not likely to be aware that the Service intends to request renewal of OMB approval and obtain a new expiration date before the old one expires.</w:t>
      </w:r>
    </w:p>
    <w:p w:rsidR="00812555" w:rsidRPr="00D029A4" w:rsidRDefault="00812555">
      <w:pPr>
        <w:widowControl/>
        <w:rPr>
          <w:rFonts w:ascii="Times New Roman" w:hAnsi="Times New Roman"/>
        </w:rPr>
      </w:pPr>
    </w:p>
    <w:p w:rsidR="00812555" w:rsidRPr="00D029A4" w:rsidRDefault="00812555">
      <w:pPr>
        <w:widowControl/>
        <w:tabs>
          <w:tab w:val="left" w:pos="-1440"/>
        </w:tabs>
        <w:ind w:left="720" w:hanging="720"/>
        <w:rPr>
          <w:rFonts w:ascii="Times New Roman" w:hAnsi="Times New Roman"/>
          <w:u w:val="single"/>
        </w:rPr>
      </w:pPr>
      <w:r w:rsidRPr="00D029A4">
        <w:rPr>
          <w:rFonts w:ascii="Times New Roman" w:hAnsi="Times New Roman"/>
        </w:rPr>
        <w:t>18.</w:t>
      </w:r>
      <w:r w:rsidRPr="00D029A4">
        <w:rPr>
          <w:rFonts w:ascii="Times New Roman" w:hAnsi="Times New Roman"/>
        </w:rPr>
        <w:tab/>
      </w:r>
      <w:r w:rsidRPr="00D029A4">
        <w:rPr>
          <w:rFonts w:ascii="Times New Roman" w:hAnsi="Times New Roman"/>
          <w:u w:val="single"/>
        </w:rPr>
        <w:t xml:space="preserve">EXCEPTIONS TO THE CERTIFICATION STATEMENT </w:t>
      </w:r>
    </w:p>
    <w:p w:rsidR="00812555" w:rsidRPr="00D029A4" w:rsidRDefault="00812555">
      <w:pPr>
        <w:widowControl/>
        <w:rPr>
          <w:rFonts w:ascii="Times New Roman" w:hAnsi="Times New Roman"/>
          <w:u w:val="single"/>
        </w:rPr>
      </w:pPr>
    </w:p>
    <w:p w:rsidR="00251997" w:rsidRPr="004B6152" w:rsidRDefault="00251997" w:rsidP="00251997">
      <w:pPr>
        <w:ind w:left="540"/>
        <w:rPr>
          <w:rFonts w:ascii="Times New Roman" w:hAnsi="Times New Roman"/>
        </w:rPr>
      </w:pPr>
      <w:r>
        <w:rPr>
          <w:rFonts w:ascii="Times New Roman" w:hAnsi="Times New Roman"/>
        </w:rPr>
        <w:t xml:space="preserve">   </w:t>
      </w:r>
      <w:r w:rsidRPr="00BB3BED">
        <w:rPr>
          <w:rFonts w:ascii="Times New Roman" w:hAnsi="Times New Roman"/>
        </w:rPr>
        <w:t>There are no exceptions to the certification statement.</w:t>
      </w:r>
    </w:p>
    <w:p w:rsidR="00812555" w:rsidRPr="00D029A4" w:rsidRDefault="00812555">
      <w:pPr>
        <w:widowControl/>
        <w:ind w:left="720"/>
        <w:rPr>
          <w:rFonts w:ascii="Times New Roman" w:hAnsi="Times New Roman"/>
        </w:rPr>
      </w:pPr>
    </w:p>
    <w:p w:rsidR="00812555" w:rsidRPr="00D029A4" w:rsidRDefault="00812555">
      <w:pPr>
        <w:widowControl/>
        <w:ind w:left="720"/>
        <w:rPr>
          <w:rFonts w:ascii="Times New Roman" w:hAnsi="Times New Roman"/>
        </w:rPr>
      </w:pPr>
      <w:r w:rsidRPr="00D029A4">
        <w:rPr>
          <w:rFonts w:ascii="Times New Roman" w:hAnsi="Times New Roman"/>
          <w:u w:val="single"/>
        </w:rPr>
        <w:t>Note</w:t>
      </w:r>
      <w:r w:rsidRPr="00D029A4">
        <w:rPr>
          <w:rFonts w:ascii="Times New Roman" w:hAnsi="Times New Roman"/>
        </w:rPr>
        <w:t>:</w:t>
      </w:r>
      <w:r w:rsidRPr="00D029A4">
        <w:rPr>
          <w:rFonts w:ascii="Times New Roman" w:hAnsi="Times New Roman"/>
        </w:rPr>
        <w:tab/>
        <w:t>The following paragraph applies to all of the collections of information in this submission:</w:t>
      </w:r>
    </w:p>
    <w:p w:rsidR="00812555" w:rsidRPr="00D029A4" w:rsidRDefault="00812555">
      <w:pPr>
        <w:widowControl/>
        <w:rPr>
          <w:rFonts w:ascii="Times New Roman" w:hAnsi="Times New Roman"/>
        </w:rPr>
      </w:pPr>
    </w:p>
    <w:p w:rsidR="00812555" w:rsidRPr="00D029A4" w:rsidRDefault="00812555">
      <w:pPr>
        <w:widowControl/>
        <w:rPr>
          <w:rFonts w:ascii="Times New Roman" w:hAnsi="Times New Roman"/>
        </w:rPr>
        <w:sectPr w:rsidR="00812555" w:rsidRPr="00D029A4">
          <w:type w:val="continuous"/>
          <w:pgSz w:w="12240" w:h="15840"/>
          <w:pgMar w:top="1440" w:right="1440" w:bottom="1440" w:left="1440" w:header="1440" w:footer="1440" w:gutter="0"/>
          <w:cols w:space="720"/>
          <w:noEndnote/>
        </w:sectPr>
      </w:pPr>
    </w:p>
    <w:p w:rsidR="00812555" w:rsidRPr="00D029A4" w:rsidRDefault="00812555" w:rsidP="00605CBC">
      <w:pPr>
        <w:widowControl/>
        <w:ind w:left="720"/>
        <w:rPr>
          <w:rFonts w:ascii="Times New Roman" w:hAnsi="Times New Roman"/>
        </w:rPr>
      </w:pPr>
      <w:r w:rsidRPr="00D029A4">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812555" w:rsidRPr="00D029A4" w:rsidSect="0081255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262" w:rsidRDefault="00806262">
      <w:r>
        <w:separator/>
      </w:r>
    </w:p>
  </w:endnote>
  <w:endnote w:type="continuationSeparator" w:id="0">
    <w:p w:rsidR="00806262" w:rsidRDefault="00806262">
      <w:r>
        <w:continuationSeparator/>
      </w:r>
    </w:p>
  </w:endnote>
  <w:endnote w:type="continuationNotice" w:id="1">
    <w:p w:rsidR="00806262" w:rsidRDefault="00806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0A" w:rsidRDefault="00F167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262" w:rsidRDefault="00806262">
      <w:r>
        <w:separator/>
      </w:r>
    </w:p>
  </w:footnote>
  <w:footnote w:type="continuationSeparator" w:id="0">
    <w:p w:rsidR="00806262" w:rsidRDefault="00806262">
      <w:r>
        <w:continuationSeparator/>
      </w:r>
    </w:p>
  </w:footnote>
  <w:footnote w:type="continuationNotice" w:id="1">
    <w:p w:rsidR="00806262" w:rsidRDefault="008062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9A5" w:rsidRDefault="00C879A5" w:rsidP="007F2F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79A5" w:rsidRDefault="00C879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9A5" w:rsidRDefault="00C879A5" w:rsidP="007F2F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79A5" w:rsidRDefault="00C879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9A5" w:rsidRDefault="00C879A5">
    <w:pPr>
      <w:framePr w:w="9361" w:wrap="notBeside" w:vAnchor="text" w:hAnchor="text" w:x="1" w:y="1"/>
      <w:jc w:val="center"/>
      <w:rPr>
        <w:rFonts w:cs="Arial"/>
      </w:rPr>
    </w:pPr>
    <w:r>
      <w:rPr>
        <w:rFonts w:cs="Arial"/>
      </w:rPr>
      <w:t>-</w:t>
    </w:r>
    <w:r>
      <w:rPr>
        <w:rFonts w:cs="Arial"/>
      </w:rPr>
      <w:fldChar w:fldCharType="begin"/>
    </w:r>
    <w:r>
      <w:rPr>
        <w:rFonts w:cs="Arial"/>
      </w:rPr>
      <w:instrText xml:space="preserve">PAGE </w:instrText>
    </w:r>
    <w:r>
      <w:rPr>
        <w:rFonts w:cs="Arial"/>
      </w:rPr>
      <w:fldChar w:fldCharType="separate"/>
    </w:r>
    <w:r w:rsidR="00AF0BEE">
      <w:rPr>
        <w:rFonts w:cs="Arial"/>
        <w:noProof/>
      </w:rPr>
      <w:t>2</w:t>
    </w:r>
    <w:r>
      <w:rPr>
        <w:rFonts w:cs="Arial"/>
      </w:rPr>
      <w:fldChar w:fldCharType="end"/>
    </w:r>
    <w:r>
      <w:rPr>
        <w:rFonts w:cs="Arial"/>
      </w:rPr>
      <w:t>-</w:t>
    </w:r>
  </w:p>
  <w:p w:rsidR="00C879A5" w:rsidRDefault="00C879A5"/>
  <w:p w:rsidR="00C879A5" w:rsidRDefault="00C879A5">
    <w:pPr>
      <w:spacing w:line="240" w:lineRule="exac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vington Sara L">
    <w15:presenceInfo w15:providerId="AD" w15:userId="S-1-5-21-3151507965-1511538023-2697414875-1235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55"/>
    <w:rsid w:val="000329D6"/>
    <w:rsid w:val="00032A9B"/>
    <w:rsid w:val="00041B8A"/>
    <w:rsid w:val="00074435"/>
    <w:rsid w:val="000F6DFE"/>
    <w:rsid w:val="001211C8"/>
    <w:rsid w:val="001266A1"/>
    <w:rsid w:val="00131FD5"/>
    <w:rsid w:val="00136B3A"/>
    <w:rsid w:val="001463AC"/>
    <w:rsid w:val="001826AB"/>
    <w:rsid w:val="001A3295"/>
    <w:rsid w:val="001A5802"/>
    <w:rsid w:val="001B6AAC"/>
    <w:rsid w:val="001E1DD1"/>
    <w:rsid w:val="001F1AF9"/>
    <w:rsid w:val="00222312"/>
    <w:rsid w:val="0024440E"/>
    <w:rsid w:val="00251997"/>
    <w:rsid w:val="00261CF5"/>
    <w:rsid w:val="002637E6"/>
    <w:rsid w:val="002807C9"/>
    <w:rsid w:val="00296A57"/>
    <w:rsid w:val="002A185D"/>
    <w:rsid w:val="002C63B8"/>
    <w:rsid w:val="002E6A45"/>
    <w:rsid w:val="002F714A"/>
    <w:rsid w:val="003117DB"/>
    <w:rsid w:val="00327016"/>
    <w:rsid w:val="00356088"/>
    <w:rsid w:val="003A743C"/>
    <w:rsid w:val="003D61BD"/>
    <w:rsid w:val="00404E5E"/>
    <w:rsid w:val="00420573"/>
    <w:rsid w:val="00420DCA"/>
    <w:rsid w:val="00422C9A"/>
    <w:rsid w:val="00433D0D"/>
    <w:rsid w:val="004368E2"/>
    <w:rsid w:val="00451668"/>
    <w:rsid w:val="00461F87"/>
    <w:rsid w:val="00465FE1"/>
    <w:rsid w:val="00470132"/>
    <w:rsid w:val="004B0F59"/>
    <w:rsid w:val="004E55D0"/>
    <w:rsid w:val="0051138C"/>
    <w:rsid w:val="00515A32"/>
    <w:rsid w:val="00526C82"/>
    <w:rsid w:val="00561DD1"/>
    <w:rsid w:val="005776EA"/>
    <w:rsid w:val="00582C50"/>
    <w:rsid w:val="005A4F57"/>
    <w:rsid w:val="005A5D2E"/>
    <w:rsid w:val="005B7202"/>
    <w:rsid w:val="005C18F5"/>
    <w:rsid w:val="005D748E"/>
    <w:rsid w:val="005E219A"/>
    <w:rsid w:val="00605CBC"/>
    <w:rsid w:val="0062456F"/>
    <w:rsid w:val="00641ECE"/>
    <w:rsid w:val="00682831"/>
    <w:rsid w:val="00685C55"/>
    <w:rsid w:val="006977CB"/>
    <w:rsid w:val="006A658D"/>
    <w:rsid w:val="006C27F3"/>
    <w:rsid w:val="00725CD2"/>
    <w:rsid w:val="0073132D"/>
    <w:rsid w:val="00770499"/>
    <w:rsid w:val="0077288B"/>
    <w:rsid w:val="00786112"/>
    <w:rsid w:val="007B1438"/>
    <w:rsid w:val="007B4C73"/>
    <w:rsid w:val="007C265E"/>
    <w:rsid w:val="007C29C9"/>
    <w:rsid w:val="007E5373"/>
    <w:rsid w:val="007F2C84"/>
    <w:rsid w:val="007F2F19"/>
    <w:rsid w:val="00803085"/>
    <w:rsid w:val="00806262"/>
    <w:rsid w:val="00812555"/>
    <w:rsid w:val="008167DD"/>
    <w:rsid w:val="00826817"/>
    <w:rsid w:val="008561AD"/>
    <w:rsid w:val="00877059"/>
    <w:rsid w:val="008A4DE1"/>
    <w:rsid w:val="008D4A7B"/>
    <w:rsid w:val="008E1141"/>
    <w:rsid w:val="008E3D2F"/>
    <w:rsid w:val="00915005"/>
    <w:rsid w:val="0094325F"/>
    <w:rsid w:val="0095095B"/>
    <w:rsid w:val="0097353C"/>
    <w:rsid w:val="009763EA"/>
    <w:rsid w:val="009813F7"/>
    <w:rsid w:val="00983678"/>
    <w:rsid w:val="009E24F4"/>
    <w:rsid w:val="009F1F5B"/>
    <w:rsid w:val="00A124FD"/>
    <w:rsid w:val="00A15A49"/>
    <w:rsid w:val="00A27B53"/>
    <w:rsid w:val="00A57509"/>
    <w:rsid w:val="00A60995"/>
    <w:rsid w:val="00A6361F"/>
    <w:rsid w:val="00A673BF"/>
    <w:rsid w:val="00A749EF"/>
    <w:rsid w:val="00A87D4A"/>
    <w:rsid w:val="00AE7926"/>
    <w:rsid w:val="00AF0BEE"/>
    <w:rsid w:val="00AF1C3A"/>
    <w:rsid w:val="00B01ADB"/>
    <w:rsid w:val="00B035BC"/>
    <w:rsid w:val="00B43672"/>
    <w:rsid w:val="00B71423"/>
    <w:rsid w:val="00BE001B"/>
    <w:rsid w:val="00BE1673"/>
    <w:rsid w:val="00C2616C"/>
    <w:rsid w:val="00C44AD4"/>
    <w:rsid w:val="00C77FDF"/>
    <w:rsid w:val="00C879A5"/>
    <w:rsid w:val="00CA3410"/>
    <w:rsid w:val="00CA369B"/>
    <w:rsid w:val="00CD09CA"/>
    <w:rsid w:val="00CE2441"/>
    <w:rsid w:val="00CE7E17"/>
    <w:rsid w:val="00CF59F0"/>
    <w:rsid w:val="00D027D2"/>
    <w:rsid w:val="00D029A4"/>
    <w:rsid w:val="00D17CDF"/>
    <w:rsid w:val="00D42759"/>
    <w:rsid w:val="00D431C3"/>
    <w:rsid w:val="00D46B57"/>
    <w:rsid w:val="00D65384"/>
    <w:rsid w:val="00D86E61"/>
    <w:rsid w:val="00DF6B00"/>
    <w:rsid w:val="00E03952"/>
    <w:rsid w:val="00E1734F"/>
    <w:rsid w:val="00E42283"/>
    <w:rsid w:val="00E476CF"/>
    <w:rsid w:val="00E75EBD"/>
    <w:rsid w:val="00E83E6E"/>
    <w:rsid w:val="00E932A7"/>
    <w:rsid w:val="00EA15B5"/>
    <w:rsid w:val="00EC62EE"/>
    <w:rsid w:val="00ED1C8D"/>
    <w:rsid w:val="00F130FC"/>
    <w:rsid w:val="00F1670A"/>
    <w:rsid w:val="00F26197"/>
    <w:rsid w:val="00F91CA3"/>
    <w:rsid w:val="00FD00B6"/>
    <w:rsid w:val="00FE6080"/>
    <w:rsid w:val="00FF261C"/>
    <w:rsid w:val="00FF2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rsid w:val="007F2F19"/>
    <w:pPr>
      <w:tabs>
        <w:tab w:val="center" w:pos="4320"/>
        <w:tab w:val="right" w:pos="8640"/>
      </w:tabs>
    </w:pPr>
  </w:style>
  <w:style w:type="paragraph" w:styleId="BalloonText">
    <w:name w:val="Balloon Text"/>
    <w:basedOn w:val="Normal"/>
    <w:semiHidden/>
    <w:rsid w:val="00605CBC"/>
    <w:rPr>
      <w:rFonts w:ascii="Tahoma" w:hAnsi="Tahoma" w:cs="Tahoma"/>
      <w:sz w:val="16"/>
      <w:szCs w:val="16"/>
    </w:rPr>
  </w:style>
  <w:style w:type="paragraph" w:styleId="BodyText">
    <w:name w:val="Body Text"/>
    <w:basedOn w:val="Normal"/>
    <w:link w:val="BodyTextChar"/>
    <w:uiPriority w:val="1"/>
    <w:qFormat/>
    <w:rsid w:val="00E75EBD"/>
    <w:pPr>
      <w:widowControl/>
      <w:ind w:left="39"/>
    </w:pPr>
    <w:rPr>
      <w:rFonts w:ascii="Century" w:hAnsi="Century" w:cs="Century"/>
      <w:sz w:val="18"/>
      <w:szCs w:val="18"/>
    </w:rPr>
  </w:style>
  <w:style w:type="character" w:customStyle="1" w:styleId="BodyTextChar">
    <w:name w:val="Body Text Char"/>
    <w:link w:val="BodyText"/>
    <w:uiPriority w:val="1"/>
    <w:rsid w:val="00E75EBD"/>
    <w:rPr>
      <w:rFonts w:ascii="Century" w:hAnsi="Century" w:cs="Century"/>
      <w:sz w:val="18"/>
      <w:szCs w:val="18"/>
    </w:rPr>
  </w:style>
  <w:style w:type="character" w:styleId="CommentReference">
    <w:name w:val="annotation reference"/>
    <w:rsid w:val="00F1670A"/>
    <w:rPr>
      <w:sz w:val="16"/>
      <w:szCs w:val="16"/>
    </w:rPr>
  </w:style>
  <w:style w:type="paragraph" w:styleId="CommentText">
    <w:name w:val="annotation text"/>
    <w:basedOn w:val="Normal"/>
    <w:link w:val="CommentTextChar"/>
    <w:rsid w:val="00F1670A"/>
    <w:rPr>
      <w:sz w:val="20"/>
      <w:szCs w:val="20"/>
    </w:rPr>
  </w:style>
  <w:style w:type="character" w:customStyle="1" w:styleId="CommentTextChar">
    <w:name w:val="Comment Text Char"/>
    <w:basedOn w:val="DefaultParagraphFont"/>
    <w:link w:val="CommentText"/>
    <w:rsid w:val="00F1670A"/>
    <w:rPr>
      <w:rFonts w:ascii="Arial" w:hAnsi="Arial"/>
    </w:rPr>
  </w:style>
  <w:style w:type="paragraph" w:styleId="CommentSubject">
    <w:name w:val="annotation subject"/>
    <w:basedOn w:val="CommentText"/>
    <w:next w:val="CommentText"/>
    <w:link w:val="CommentSubjectChar"/>
    <w:rsid w:val="00F1670A"/>
    <w:rPr>
      <w:b/>
      <w:bCs/>
    </w:rPr>
  </w:style>
  <w:style w:type="character" w:customStyle="1" w:styleId="CommentSubjectChar">
    <w:name w:val="Comment Subject Char"/>
    <w:basedOn w:val="CommentTextChar"/>
    <w:link w:val="CommentSubject"/>
    <w:rsid w:val="00F1670A"/>
    <w:rPr>
      <w:rFonts w:ascii="Arial" w:hAnsi="Arial"/>
      <w:b/>
      <w:bCs/>
    </w:rPr>
  </w:style>
  <w:style w:type="paragraph" w:styleId="Revision">
    <w:name w:val="Revision"/>
    <w:hidden/>
    <w:uiPriority w:val="99"/>
    <w:semiHidden/>
    <w:rsid w:val="00F1670A"/>
    <w:rPr>
      <w:rFonts w:ascii="Arial" w:hAnsi="Arial"/>
      <w:sz w:val="24"/>
      <w:szCs w:val="24"/>
    </w:rPr>
  </w:style>
  <w:style w:type="character" w:styleId="Hyperlink">
    <w:name w:val="Hyperlink"/>
    <w:basedOn w:val="DefaultParagraphFont"/>
    <w:unhideWhenUsed/>
    <w:rsid w:val="002A18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rsid w:val="007F2F19"/>
    <w:pPr>
      <w:tabs>
        <w:tab w:val="center" w:pos="4320"/>
        <w:tab w:val="right" w:pos="8640"/>
      </w:tabs>
    </w:pPr>
  </w:style>
  <w:style w:type="paragraph" w:styleId="BalloonText">
    <w:name w:val="Balloon Text"/>
    <w:basedOn w:val="Normal"/>
    <w:semiHidden/>
    <w:rsid w:val="00605CBC"/>
    <w:rPr>
      <w:rFonts w:ascii="Tahoma" w:hAnsi="Tahoma" w:cs="Tahoma"/>
      <w:sz w:val="16"/>
      <w:szCs w:val="16"/>
    </w:rPr>
  </w:style>
  <w:style w:type="paragraph" w:styleId="BodyText">
    <w:name w:val="Body Text"/>
    <w:basedOn w:val="Normal"/>
    <w:link w:val="BodyTextChar"/>
    <w:uiPriority w:val="1"/>
    <w:qFormat/>
    <w:rsid w:val="00E75EBD"/>
    <w:pPr>
      <w:widowControl/>
      <w:ind w:left="39"/>
    </w:pPr>
    <w:rPr>
      <w:rFonts w:ascii="Century" w:hAnsi="Century" w:cs="Century"/>
      <w:sz w:val="18"/>
      <w:szCs w:val="18"/>
    </w:rPr>
  </w:style>
  <w:style w:type="character" w:customStyle="1" w:styleId="BodyTextChar">
    <w:name w:val="Body Text Char"/>
    <w:link w:val="BodyText"/>
    <w:uiPriority w:val="1"/>
    <w:rsid w:val="00E75EBD"/>
    <w:rPr>
      <w:rFonts w:ascii="Century" w:hAnsi="Century" w:cs="Century"/>
      <w:sz w:val="18"/>
      <w:szCs w:val="18"/>
    </w:rPr>
  </w:style>
  <w:style w:type="character" w:styleId="CommentReference">
    <w:name w:val="annotation reference"/>
    <w:rsid w:val="00F1670A"/>
    <w:rPr>
      <w:sz w:val="16"/>
      <w:szCs w:val="16"/>
    </w:rPr>
  </w:style>
  <w:style w:type="paragraph" w:styleId="CommentText">
    <w:name w:val="annotation text"/>
    <w:basedOn w:val="Normal"/>
    <w:link w:val="CommentTextChar"/>
    <w:rsid w:val="00F1670A"/>
    <w:rPr>
      <w:sz w:val="20"/>
      <w:szCs w:val="20"/>
    </w:rPr>
  </w:style>
  <w:style w:type="character" w:customStyle="1" w:styleId="CommentTextChar">
    <w:name w:val="Comment Text Char"/>
    <w:basedOn w:val="DefaultParagraphFont"/>
    <w:link w:val="CommentText"/>
    <w:rsid w:val="00F1670A"/>
    <w:rPr>
      <w:rFonts w:ascii="Arial" w:hAnsi="Arial"/>
    </w:rPr>
  </w:style>
  <w:style w:type="paragraph" w:styleId="CommentSubject">
    <w:name w:val="annotation subject"/>
    <w:basedOn w:val="CommentText"/>
    <w:next w:val="CommentText"/>
    <w:link w:val="CommentSubjectChar"/>
    <w:rsid w:val="00F1670A"/>
    <w:rPr>
      <w:b/>
      <w:bCs/>
    </w:rPr>
  </w:style>
  <w:style w:type="character" w:customStyle="1" w:styleId="CommentSubjectChar">
    <w:name w:val="Comment Subject Char"/>
    <w:basedOn w:val="CommentTextChar"/>
    <w:link w:val="CommentSubject"/>
    <w:rsid w:val="00F1670A"/>
    <w:rPr>
      <w:rFonts w:ascii="Arial" w:hAnsi="Arial"/>
      <w:b/>
      <w:bCs/>
    </w:rPr>
  </w:style>
  <w:style w:type="paragraph" w:styleId="Revision">
    <w:name w:val="Revision"/>
    <w:hidden/>
    <w:uiPriority w:val="99"/>
    <w:semiHidden/>
    <w:rsid w:val="00F1670A"/>
    <w:rPr>
      <w:rFonts w:ascii="Arial" w:hAnsi="Arial"/>
      <w:sz w:val="24"/>
      <w:szCs w:val="24"/>
    </w:rPr>
  </w:style>
  <w:style w:type="character" w:styleId="Hyperlink">
    <w:name w:val="Hyperlink"/>
    <w:basedOn w:val="DefaultParagraphFont"/>
    <w:unhideWhenUsed/>
    <w:rsid w:val="002A18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83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23ACD-EC0F-42BF-BBA0-B4CBDF3E3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mcgroartypatrickt</dc:creator>
  <cp:lastModifiedBy>SYSTEM</cp:lastModifiedBy>
  <cp:revision>2</cp:revision>
  <cp:lastPrinted>2008-07-30T20:44:00Z</cp:lastPrinted>
  <dcterms:created xsi:type="dcterms:W3CDTF">2018-04-05T16:45:00Z</dcterms:created>
  <dcterms:modified xsi:type="dcterms:W3CDTF">2018-04-05T16:45:00Z</dcterms:modified>
</cp:coreProperties>
</file>