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1C421" w14:textId="77777777" w:rsidR="00AC38BB" w:rsidRDefault="00AC38BB" w:rsidP="00AC38BB">
      <w:pPr>
        <w:jc w:val="center"/>
      </w:pPr>
      <w:bookmarkStart w:id="0" w:name="_GoBack"/>
      <w:bookmarkEnd w:id="0"/>
      <w:r>
        <w:t>UNITED STATES OF AMERICA</w:t>
      </w:r>
    </w:p>
    <w:p w14:paraId="6C81C422" w14:textId="77777777" w:rsidR="00AC38BB" w:rsidRDefault="00AC38BB" w:rsidP="00AC38BB">
      <w:pPr>
        <w:jc w:val="center"/>
      </w:pPr>
      <w:r>
        <w:t>FEDERAL ENERGY REGULATORY COMMISSION</w:t>
      </w:r>
    </w:p>
    <w:p w14:paraId="6C81C424" w14:textId="77777777" w:rsidR="00AC38BB" w:rsidRDefault="00AC38BB" w:rsidP="00AC38BB">
      <w:pPr>
        <w:jc w:val="center"/>
      </w:pPr>
    </w:p>
    <w:p w14:paraId="6C81C425" w14:textId="2AF40CF5" w:rsidR="00AC38BB" w:rsidRDefault="00AC38BB" w:rsidP="00AC38BB">
      <w:pPr>
        <w:jc w:val="center"/>
      </w:pPr>
      <w:r>
        <w:t>Docket N</w:t>
      </w:r>
      <w:r w:rsidR="0071514D">
        <w:t>o. IC18-7</w:t>
      </w:r>
      <w:r w:rsidR="00CF5301">
        <w:t>-000 (FERC-725L</w:t>
      </w:r>
      <w:r>
        <w:t>)</w:t>
      </w:r>
    </w:p>
    <w:p w14:paraId="6F5A326E" w14:textId="77777777" w:rsidR="0055794D" w:rsidRDefault="0055794D" w:rsidP="00AC38BB">
      <w:pPr>
        <w:jc w:val="center"/>
      </w:pPr>
    </w:p>
    <w:p w14:paraId="6C81C427" w14:textId="77777777" w:rsidR="00AC38BB" w:rsidRDefault="00AC38BB" w:rsidP="00AC38BB">
      <w:pPr>
        <w:jc w:val="center"/>
      </w:pPr>
      <w:r>
        <w:t>ERRATA NOTICE</w:t>
      </w:r>
    </w:p>
    <w:p w14:paraId="6C81C428" w14:textId="77777777" w:rsidR="00AC38BB" w:rsidRPr="002F7F1C" w:rsidRDefault="00AC38BB" w:rsidP="00AC38BB">
      <w:pPr>
        <w:jc w:val="center"/>
      </w:pPr>
    </w:p>
    <w:p w14:paraId="6C81C42A" w14:textId="51865AFB" w:rsidR="00AC38BB" w:rsidRDefault="0055794D" w:rsidP="0055794D">
      <w:pPr>
        <w:widowControl/>
        <w:jc w:val="center"/>
      </w:pPr>
      <w:r w:rsidRPr="0055794D">
        <w:t>(April 24, 2018)</w:t>
      </w:r>
    </w:p>
    <w:p w14:paraId="2A5D2474" w14:textId="77777777" w:rsidR="0055794D" w:rsidRPr="0055794D" w:rsidRDefault="0055794D" w:rsidP="0055794D">
      <w:pPr>
        <w:widowControl/>
      </w:pPr>
    </w:p>
    <w:p w14:paraId="30BB1506" w14:textId="1E6880D1" w:rsidR="007177D9" w:rsidRDefault="0053779D" w:rsidP="00BC53D9">
      <w:pPr>
        <w:pStyle w:val="FERCparanumber"/>
        <w:numPr>
          <w:ilvl w:val="0"/>
          <w:numId w:val="0"/>
        </w:numPr>
        <w:ind w:firstLine="720"/>
      </w:pPr>
      <w:r>
        <w:t>T</w:t>
      </w:r>
      <w:r w:rsidR="00577EF5">
        <w:t>he Commission iss</w:t>
      </w:r>
      <w:r w:rsidR="00CF5301">
        <w:t xml:space="preserve">ued </w:t>
      </w:r>
      <w:r w:rsidR="00577EF5">
        <w:t>60-day</w:t>
      </w:r>
      <w:r w:rsidR="00CF5301" w:rsidRPr="00CF5301">
        <w:rPr>
          <w:rStyle w:val="FootnoteReference"/>
          <w:vertAlign w:val="superscript"/>
        </w:rPr>
        <w:footnoteReference w:id="1"/>
      </w:r>
      <w:r w:rsidR="00577EF5" w:rsidRPr="00CF5301">
        <w:rPr>
          <w:vertAlign w:val="superscript"/>
        </w:rPr>
        <w:t xml:space="preserve"> </w:t>
      </w:r>
      <w:r w:rsidR="00577EF5">
        <w:t>and 30-day</w:t>
      </w:r>
      <w:r w:rsidR="00CF5301" w:rsidRPr="001302DB">
        <w:rPr>
          <w:rStyle w:val="FootnoteReference"/>
          <w:vertAlign w:val="superscript"/>
        </w:rPr>
        <w:footnoteReference w:id="2"/>
      </w:r>
      <w:r w:rsidR="00577EF5">
        <w:t xml:space="preserve"> notice</w:t>
      </w:r>
      <w:r w:rsidR="00CF5301">
        <w:t>s</w:t>
      </w:r>
      <w:r>
        <w:t xml:space="preserve"> on 1/22/2018 and 4/11/2018 respectively</w:t>
      </w:r>
      <w:r w:rsidR="004B3464">
        <w:t>, for</w:t>
      </w:r>
      <w:r w:rsidR="001302DB">
        <w:t xml:space="preserve"> </w:t>
      </w:r>
      <w:r w:rsidR="00577EF5">
        <w:rPr>
          <w:szCs w:val="26"/>
        </w:rPr>
        <w:t>the renewal of the FERC-725L (</w:t>
      </w:r>
      <w:r w:rsidRPr="00CF48CC">
        <w:t>Mandatory Reliability Standards for the Bulk-Power System: MOD Reliability Standards</w:t>
      </w:r>
      <w:r>
        <w:t>)</w:t>
      </w:r>
      <w:r w:rsidR="00AC38BB" w:rsidRPr="00850FCC">
        <w:rPr>
          <w:szCs w:val="26"/>
        </w:rPr>
        <w:t xml:space="preserve"> information coll</w:t>
      </w:r>
      <w:r w:rsidR="00577EF5">
        <w:rPr>
          <w:szCs w:val="26"/>
        </w:rPr>
        <w:t>ection.  Both notices</w:t>
      </w:r>
      <w:r w:rsidR="00AC38BB">
        <w:rPr>
          <w:szCs w:val="26"/>
        </w:rPr>
        <w:t xml:space="preserve"> request comments</w:t>
      </w:r>
      <w:r w:rsidR="00AC38BB">
        <w:t xml:space="preserve"> </w:t>
      </w:r>
      <w:r w:rsidR="007177D9">
        <w:t>o</w:t>
      </w:r>
      <w:r w:rsidR="00AC38BB">
        <w:t>n FERC-</w:t>
      </w:r>
      <w:r w:rsidR="00B30F8F">
        <w:t xml:space="preserve">725L </w:t>
      </w:r>
      <w:r w:rsidR="00AC38BB" w:rsidRPr="00AC38BB">
        <w:t xml:space="preserve">and </w:t>
      </w:r>
      <w:r w:rsidR="007177D9">
        <w:t xml:space="preserve">indicate the Commission will </w:t>
      </w:r>
      <w:r w:rsidR="00AC38BB" w:rsidRPr="00AC38BB">
        <w:t xml:space="preserve">submit the information collection to the Office of Management and Budget (OMB) for review.  </w:t>
      </w:r>
    </w:p>
    <w:p w14:paraId="03DFE64A" w14:textId="77777777" w:rsidR="007177D9" w:rsidRDefault="007177D9" w:rsidP="00AC38BB">
      <w:pPr>
        <w:pStyle w:val="FERCparanumber"/>
        <w:numPr>
          <w:ilvl w:val="0"/>
          <w:numId w:val="0"/>
        </w:numPr>
        <w:ind w:firstLine="720"/>
      </w:pPr>
    </w:p>
    <w:p w14:paraId="060C6F25" w14:textId="21D72340" w:rsidR="00B04B59" w:rsidRDefault="007177D9" w:rsidP="00BC53D9">
      <w:pPr>
        <w:pStyle w:val="FERCparanumber"/>
        <w:numPr>
          <w:ilvl w:val="0"/>
          <w:numId w:val="0"/>
        </w:numPr>
        <w:ind w:firstLine="720"/>
      </w:pPr>
      <w:r>
        <w:t>T</w:t>
      </w:r>
      <w:r w:rsidR="00AC38BB">
        <w:t xml:space="preserve">his </w:t>
      </w:r>
      <w:r w:rsidR="00CA0EE3">
        <w:t xml:space="preserve">Errata Notice </w:t>
      </w:r>
      <w:r w:rsidR="00B30F8F">
        <w:t>adds data related to MOD-</w:t>
      </w:r>
      <w:r w:rsidR="00B04B59">
        <w:t xml:space="preserve">031-2 Reliability Standard </w:t>
      </w:r>
      <w:r>
        <w:t xml:space="preserve">which </w:t>
      </w:r>
      <w:r w:rsidR="00B04B59">
        <w:t xml:space="preserve">was </w:t>
      </w:r>
      <w:r w:rsidR="00D32952">
        <w:t>inadvertently</w:t>
      </w:r>
      <w:r w:rsidR="00751D5A">
        <w:t xml:space="preserve"> </w:t>
      </w:r>
      <w:r>
        <w:t>omitted from</w:t>
      </w:r>
      <w:r w:rsidR="00B04B59">
        <w:t xml:space="preserve"> th</w:t>
      </w:r>
      <w:r w:rsidR="00CA0EE3">
        <w:t>os</w:t>
      </w:r>
      <w:r w:rsidR="00B04B59">
        <w:t xml:space="preserve">e </w:t>
      </w:r>
      <w:r w:rsidR="001302DB">
        <w:t>public notices</w:t>
      </w:r>
      <w:r w:rsidR="00D5273C">
        <w:t>, and corrects the total burden and cost for FERC-725L.</w:t>
      </w:r>
      <w:r w:rsidR="00C83A27">
        <w:t xml:space="preserve">  </w:t>
      </w:r>
      <w:r w:rsidR="00B04B59">
        <w:t xml:space="preserve">The </w:t>
      </w:r>
      <w:r w:rsidR="00C83A27">
        <w:t xml:space="preserve">additional </w:t>
      </w:r>
      <w:r w:rsidR="00B04B59">
        <w:t xml:space="preserve">data </w:t>
      </w:r>
      <w:r w:rsidR="00D5273C">
        <w:t xml:space="preserve">and corrected totals </w:t>
      </w:r>
      <w:r w:rsidR="001302DB">
        <w:t>follow:</w:t>
      </w:r>
    </w:p>
    <w:p w14:paraId="6641A474" w14:textId="77777777" w:rsidR="00B04B59" w:rsidRDefault="00B04B59" w:rsidP="00AC38BB">
      <w:pPr>
        <w:pStyle w:val="FERCparanumber"/>
        <w:numPr>
          <w:ilvl w:val="0"/>
          <w:numId w:val="0"/>
        </w:numPr>
        <w:ind w:firstLine="720"/>
      </w:pPr>
    </w:p>
    <w:tbl>
      <w:tblPr>
        <w:tblW w:w="947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64"/>
        <w:gridCol w:w="1320"/>
        <w:gridCol w:w="1242"/>
        <w:gridCol w:w="1189"/>
        <w:gridCol w:w="1494"/>
        <w:gridCol w:w="1545"/>
        <w:gridCol w:w="1417"/>
      </w:tblGrid>
      <w:tr w:rsidR="00B04B59" w:rsidRPr="00761A02" w14:paraId="0A1403DE" w14:textId="77777777" w:rsidTr="0055794D">
        <w:trPr>
          <w:cantSplit/>
          <w:trHeight w:val="227"/>
        </w:trPr>
        <w:tc>
          <w:tcPr>
            <w:tcW w:w="947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26AEFC" w14:textId="28685A15" w:rsidR="00B04B59" w:rsidRPr="00761A02" w:rsidRDefault="007177D9" w:rsidP="00E9175D">
            <w:pPr>
              <w:keepNext/>
              <w:jc w:val="center"/>
              <w:rPr>
                <w:b/>
                <w:sz w:val="20"/>
                <w:szCs w:val="20"/>
                <w:lang w:bidi="he-IL"/>
              </w:rPr>
            </w:pPr>
            <w:r>
              <w:rPr>
                <w:b/>
                <w:sz w:val="20"/>
                <w:szCs w:val="20"/>
                <w:lang w:bidi="he-IL"/>
              </w:rPr>
              <w:t xml:space="preserve">Reliability Standard </w:t>
            </w:r>
            <w:r w:rsidR="00CF5301">
              <w:rPr>
                <w:b/>
                <w:sz w:val="20"/>
                <w:szCs w:val="20"/>
                <w:lang w:bidi="he-IL"/>
              </w:rPr>
              <w:t>MOD-031-2</w:t>
            </w:r>
            <w:r w:rsidR="00B04B59">
              <w:rPr>
                <w:b/>
                <w:sz w:val="20"/>
                <w:szCs w:val="20"/>
                <w:lang w:bidi="he-IL"/>
              </w:rPr>
              <w:t xml:space="preserve"> (Demand and Energy Data)</w:t>
            </w:r>
            <w:r>
              <w:rPr>
                <w:b/>
                <w:sz w:val="20"/>
                <w:szCs w:val="20"/>
                <w:lang w:bidi="he-IL"/>
              </w:rPr>
              <w:t>, included in FERC-725L</w:t>
            </w:r>
          </w:p>
        </w:tc>
      </w:tr>
      <w:tr w:rsidR="00B04B59" w:rsidRPr="00761A02" w14:paraId="7244A01D" w14:textId="77777777" w:rsidTr="0055794D">
        <w:trPr>
          <w:cantSplit/>
          <w:trHeight w:val="1358"/>
        </w:trPr>
        <w:tc>
          <w:tcPr>
            <w:tcW w:w="1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CE51B1D" w14:textId="2A93E27F" w:rsidR="00B04B59" w:rsidRPr="00761A02" w:rsidRDefault="00B04B59" w:rsidP="00E9175D">
            <w:pPr>
              <w:jc w:val="center"/>
              <w:rPr>
                <w:b/>
                <w:sz w:val="20"/>
                <w:szCs w:val="20"/>
                <w:lang w:bidi="he-IL"/>
              </w:rPr>
            </w:pPr>
            <w:r>
              <w:rPr>
                <w:b/>
                <w:sz w:val="20"/>
                <w:szCs w:val="20"/>
                <w:lang w:bidi="he-IL"/>
              </w:rPr>
              <w:t>Reliability Standard MOD-031-</w:t>
            </w:r>
            <w:r w:rsidR="005C051D">
              <w:rPr>
                <w:b/>
                <w:sz w:val="20"/>
                <w:szCs w:val="20"/>
                <w:lang w:bidi="he-IL"/>
              </w:rPr>
              <w:t>2</w:t>
            </w:r>
          </w:p>
        </w:tc>
        <w:tc>
          <w:tcPr>
            <w:tcW w:w="1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C4DFB9B" w14:textId="77777777" w:rsidR="00B04B59" w:rsidRPr="00761A02" w:rsidRDefault="00B04B59" w:rsidP="00E9175D">
            <w:pPr>
              <w:jc w:val="center"/>
              <w:rPr>
                <w:b/>
                <w:sz w:val="20"/>
                <w:szCs w:val="20"/>
                <w:lang w:bidi="he-IL"/>
              </w:rPr>
            </w:pPr>
            <w:r w:rsidRPr="00761A02">
              <w:rPr>
                <w:b/>
                <w:sz w:val="20"/>
                <w:szCs w:val="20"/>
                <w:lang w:bidi="he-IL"/>
              </w:rPr>
              <w:t>Number and Type of Respondents</w:t>
            </w:r>
            <w:r w:rsidRPr="00761A02">
              <w:rPr>
                <w:b/>
                <w:sz w:val="20"/>
                <w:szCs w:val="20"/>
                <w:lang w:bidi="he-IL"/>
              </w:rPr>
              <w:br/>
              <w:t>(1)</w:t>
            </w:r>
          </w:p>
        </w:tc>
        <w:tc>
          <w:tcPr>
            <w:tcW w:w="1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6BA3B82" w14:textId="77777777" w:rsidR="00B04B59" w:rsidRPr="00761A02" w:rsidRDefault="00B04B59" w:rsidP="00E9175D">
            <w:pPr>
              <w:jc w:val="center"/>
              <w:rPr>
                <w:b/>
                <w:sz w:val="20"/>
                <w:szCs w:val="20"/>
                <w:lang w:bidi="he-IL"/>
              </w:rPr>
            </w:pPr>
            <w:r w:rsidRPr="00761A02">
              <w:rPr>
                <w:b/>
                <w:sz w:val="20"/>
                <w:szCs w:val="20"/>
                <w:lang w:bidi="he-IL"/>
              </w:rPr>
              <w:t>Annual Number of Responses per Respondent (2)</w:t>
            </w:r>
          </w:p>
        </w:tc>
        <w:tc>
          <w:tcPr>
            <w:tcW w:w="1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189A7AC" w14:textId="77777777" w:rsidR="00B04B59" w:rsidRPr="00761A02" w:rsidRDefault="00B04B59" w:rsidP="00E9175D">
            <w:pPr>
              <w:jc w:val="center"/>
              <w:rPr>
                <w:b/>
                <w:sz w:val="20"/>
                <w:szCs w:val="20"/>
                <w:lang w:bidi="he-IL"/>
              </w:rPr>
            </w:pPr>
            <w:r w:rsidRPr="00761A02">
              <w:rPr>
                <w:b/>
                <w:sz w:val="20"/>
                <w:szCs w:val="20"/>
                <w:lang w:bidi="he-IL"/>
              </w:rPr>
              <w:t>Total Number of Responses</w:t>
            </w:r>
          </w:p>
          <w:p w14:paraId="18F222DD" w14:textId="77777777" w:rsidR="00B04B59" w:rsidRPr="00761A02" w:rsidRDefault="00B04B59" w:rsidP="00E9175D">
            <w:pPr>
              <w:jc w:val="center"/>
              <w:rPr>
                <w:b/>
                <w:sz w:val="20"/>
                <w:szCs w:val="20"/>
                <w:lang w:bidi="he-IL"/>
              </w:rPr>
            </w:pPr>
            <w:r w:rsidRPr="00761A02">
              <w:rPr>
                <w:b/>
                <w:sz w:val="20"/>
                <w:szCs w:val="20"/>
                <w:lang w:bidi="he-IL"/>
              </w:rPr>
              <w:t>(1)*(2)=(3)</w:t>
            </w:r>
          </w:p>
        </w:tc>
        <w:tc>
          <w:tcPr>
            <w:tcW w:w="1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C3046AA" w14:textId="5AB67E25" w:rsidR="00B04B59" w:rsidRPr="00761A02" w:rsidRDefault="00CF5301" w:rsidP="00E9175D">
            <w:pPr>
              <w:jc w:val="center"/>
              <w:rPr>
                <w:b/>
                <w:sz w:val="20"/>
                <w:szCs w:val="20"/>
                <w:lang w:bidi="he-IL"/>
              </w:rPr>
            </w:pPr>
            <w:r>
              <w:rPr>
                <w:b/>
                <w:sz w:val="20"/>
                <w:szCs w:val="20"/>
                <w:lang w:bidi="he-IL"/>
              </w:rPr>
              <w:t>Avg. Burden &amp; Cost Per Response</w:t>
            </w:r>
            <w:r w:rsidRPr="00761A02">
              <w:rPr>
                <w:b/>
                <w:sz w:val="20"/>
                <w:szCs w:val="20"/>
                <w:vertAlign w:val="superscript"/>
                <w:lang w:bidi="he-IL"/>
              </w:rPr>
              <w:footnoteReference w:id="3"/>
            </w:r>
          </w:p>
          <w:p w14:paraId="0313A697" w14:textId="77777777" w:rsidR="00B04B59" w:rsidRPr="00761A02" w:rsidRDefault="00B04B59" w:rsidP="00E9175D">
            <w:pPr>
              <w:jc w:val="center"/>
              <w:rPr>
                <w:b/>
                <w:sz w:val="20"/>
                <w:szCs w:val="20"/>
                <w:lang w:bidi="he-IL"/>
              </w:rPr>
            </w:pPr>
            <w:r w:rsidRPr="00761A02">
              <w:rPr>
                <w:b/>
                <w:sz w:val="20"/>
                <w:szCs w:val="20"/>
                <w:lang w:bidi="he-IL"/>
              </w:rPr>
              <w:t>(4)</w:t>
            </w:r>
          </w:p>
        </w:tc>
        <w:tc>
          <w:tcPr>
            <w:tcW w:w="1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3EA9AE1" w14:textId="77777777" w:rsidR="00B04B59" w:rsidRPr="00761A02" w:rsidRDefault="00B04B59" w:rsidP="00E9175D">
            <w:pPr>
              <w:jc w:val="center"/>
              <w:rPr>
                <w:b/>
                <w:sz w:val="20"/>
                <w:szCs w:val="20"/>
                <w:lang w:bidi="he-IL"/>
              </w:rPr>
            </w:pPr>
            <w:r w:rsidRPr="00761A02">
              <w:rPr>
                <w:b/>
                <w:sz w:val="20"/>
                <w:szCs w:val="20"/>
                <w:lang w:bidi="he-IL"/>
              </w:rPr>
              <w:t>Total Annual Burden Hours &amp; Total Annual Cost</w:t>
            </w:r>
          </w:p>
          <w:p w14:paraId="7A44656B" w14:textId="77777777" w:rsidR="00B04B59" w:rsidRPr="00761A02" w:rsidRDefault="00B04B59" w:rsidP="00E9175D">
            <w:pPr>
              <w:jc w:val="center"/>
              <w:rPr>
                <w:b/>
                <w:sz w:val="20"/>
                <w:szCs w:val="20"/>
                <w:lang w:bidi="he-IL"/>
              </w:rPr>
            </w:pPr>
            <w:r w:rsidRPr="00761A02">
              <w:rPr>
                <w:b/>
                <w:sz w:val="20"/>
                <w:szCs w:val="20"/>
                <w:lang w:bidi="he-IL"/>
              </w:rPr>
              <w:t>(3)*(4)=(5)</w:t>
            </w:r>
          </w:p>
        </w:tc>
        <w:tc>
          <w:tcPr>
            <w:tcW w:w="1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CF3B17F" w14:textId="62FA5AEB" w:rsidR="00B04B59" w:rsidRPr="00761A02" w:rsidRDefault="00B04B59" w:rsidP="00E9175D">
            <w:pPr>
              <w:jc w:val="center"/>
              <w:rPr>
                <w:b/>
                <w:sz w:val="20"/>
                <w:szCs w:val="20"/>
                <w:lang w:bidi="he-IL"/>
              </w:rPr>
            </w:pPr>
            <w:r w:rsidRPr="00761A02">
              <w:rPr>
                <w:b/>
                <w:sz w:val="20"/>
                <w:szCs w:val="20"/>
                <w:lang w:bidi="he-IL"/>
              </w:rPr>
              <w:t>Cost per Respondent</w:t>
            </w:r>
          </w:p>
          <w:p w14:paraId="1BED1B7F" w14:textId="77777777" w:rsidR="00B04B59" w:rsidRPr="00761A02" w:rsidRDefault="00B04B59" w:rsidP="00E9175D">
            <w:pPr>
              <w:jc w:val="center"/>
              <w:rPr>
                <w:b/>
                <w:sz w:val="20"/>
                <w:szCs w:val="20"/>
                <w:lang w:bidi="he-IL"/>
              </w:rPr>
            </w:pPr>
            <w:r w:rsidRPr="00761A02">
              <w:rPr>
                <w:b/>
                <w:sz w:val="20"/>
                <w:szCs w:val="20"/>
                <w:lang w:bidi="he-IL"/>
              </w:rPr>
              <w:t>(5)÷(1)</w:t>
            </w:r>
          </w:p>
        </w:tc>
      </w:tr>
      <w:tr w:rsidR="00B04B59" w:rsidRPr="00761A02" w14:paraId="25DF1DB3" w14:textId="77777777" w:rsidTr="0055794D">
        <w:trPr>
          <w:cantSplit/>
          <w:trHeight w:val="2168"/>
        </w:trPr>
        <w:tc>
          <w:tcPr>
            <w:tcW w:w="1218" w:type="dxa"/>
            <w:tcBorders>
              <w:top w:val="single" w:sz="4" w:space="0" w:color="auto"/>
              <w:left w:val="single" w:sz="4" w:space="0" w:color="auto"/>
              <w:bottom w:val="single" w:sz="4" w:space="0" w:color="auto"/>
              <w:right w:val="single" w:sz="4" w:space="0" w:color="auto"/>
            </w:tcBorders>
            <w:hideMark/>
          </w:tcPr>
          <w:p w14:paraId="4DBF7597" w14:textId="0664DE62" w:rsidR="00B04B59" w:rsidRPr="00761A02" w:rsidRDefault="00B04B59" w:rsidP="00790F3A">
            <w:pPr>
              <w:spacing w:after="120"/>
              <w:rPr>
                <w:sz w:val="20"/>
                <w:szCs w:val="20"/>
                <w:lang w:bidi="he-IL"/>
              </w:rPr>
            </w:pPr>
            <w:r w:rsidRPr="00761A02">
              <w:rPr>
                <w:sz w:val="20"/>
                <w:szCs w:val="20"/>
                <w:lang w:bidi="he-IL"/>
              </w:rPr>
              <w:t xml:space="preserve">(On-going) Develop summary in accordance </w:t>
            </w:r>
            <w:r w:rsidR="00790F3A">
              <w:rPr>
                <w:sz w:val="20"/>
                <w:szCs w:val="20"/>
                <w:lang w:bidi="he-IL"/>
              </w:rPr>
              <w:t>with</w:t>
            </w:r>
            <w:r w:rsidRPr="00761A02">
              <w:rPr>
                <w:sz w:val="20"/>
                <w:szCs w:val="20"/>
                <w:lang w:bidi="he-IL"/>
              </w:rPr>
              <w:t xml:space="preserve"> Requirement R1, Subparts 1.5.4 and 1.5.5.</w:t>
            </w:r>
          </w:p>
        </w:tc>
        <w:tc>
          <w:tcPr>
            <w:tcW w:w="1299" w:type="dxa"/>
            <w:tcBorders>
              <w:top w:val="single" w:sz="4" w:space="0" w:color="auto"/>
              <w:left w:val="single" w:sz="4" w:space="0" w:color="auto"/>
              <w:bottom w:val="single" w:sz="4" w:space="0" w:color="auto"/>
              <w:right w:val="single" w:sz="4" w:space="0" w:color="auto"/>
            </w:tcBorders>
            <w:vAlign w:val="bottom"/>
            <w:hideMark/>
          </w:tcPr>
          <w:p w14:paraId="450F01D7" w14:textId="77777777" w:rsidR="00B04B59" w:rsidRPr="00761A02" w:rsidRDefault="00B04B59" w:rsidP="00E9175D">
            <w:pPr>
              <w:jc w:val="right"/>
              <w:rPr>
                <w:sz w:val="20"/>
                <w:szCs w:val="20"/>
                <w:lang w:bidi="he-IL"/>
              </w:rPr>
            </w:pPr>
            <w:r w:rsidRPr="00761A02">
              <w:rPr>
                <w:sz w:val="20"/>
                <w:szCs w:val="20"/>
                <w:lang w:bidi="he-IL"/>
              </w:rPr>
              <w:t>561</w:t>
            </w:r>
          </w:p>
          <w:p w14:paraId="6BC662BB" w14:textId="77777777" w:rsidR="00B04B59" w:rsidRPr="00761A02" w:rsidRDefault="00B04B59" w:rsidP="00E9175D">
            <w:pPr>
              <w:jc w:val="right"/>
              <w:rPr>
                <w:sz w:val="20"/>
                <w:szCs w:val="20"/>
                <w:lang w:bidi="he-IL"/>
              </w:rPr>
            </w:pPr>
            <w:r w:rsidRPr="00761A02">
              <w:rPr>
                <w:sz w:val="20"/>
                <w:szCs w:val="20"/>
                <w:lang w:bidi="he-IL"/>
              </w:rPr>
              <w:t>(DP, LSE, TP and/or BA)</w:t>
            </w:r>
          </w:p>
        </w:tc>
        <w:tc>
          <w:tcPr>
            <w:tcW w:w="1126" w:type="dxa"/>
            <w:tcBorders>
              <w:top w:val="single" w:sz="4" w:space="0" w:color="auto"/>
              <w:left w:val="single" w:sz="4" w:space="0" w:color="auto"/>
              <w:bottom w:val="single" w:sz="4" w:space="0" w:color="auto"/>
              <w:right w:val="single" w:sz="4" w:space="0" w:color="auto"/>
            </w:tcBorders>
            <w:vAlign w:val="bottom"/>
            <w:hideMark/>
          </w:tcPr>
          <w:p w14:paraId="34C680AB" w14:textId="77777777" w:rsidR="00B04B59" w:rsidRPr="00761A02" w:rsidRDefault="00B04B59" w:rsidP="00E9175D">
            <w:pPr>
              <w:jc w:val="right"/>
              <w:rPr>
                <w:sz w:val="20"/>
                <w:szCs w:val="20"/>
                <w:lang w:bidi="he-IL"/>
              </w:rPr>
            </w:pPr>
            <w:r w:rsidRPr="00761A02">
              <w:rPr>
                <w:sz w:val="20"/>
                <w:szCs w:val="20"/>
                <w:lang w:bidi="he-IL"/>
              </w:rPr>
              <w:t>1</w:t>
            </w:r>
          </w:p>
        </w:tc>
        <w:tc>
          <w:tcPr>
            <w:tcW w:w="1197" w:type="dxa"/>
            <w:tcBorders>
              <w:top w:val="single" w:sz="4" w:space="0" w:color="auto"/>
              <w:left w:val="single" w:sz="4" w:space="0" w:color="auto"/>
              <w:bottom w:val="single" w:sz="4" w:space="0" w:color="auto"/>
              <w:right w:val="single" w:sz="4" w:space="0" w:color="auto"/>
            </w:tcBorders>
            <w:vAlign w:val="bottom"/>
            <w:hideMark/>
          </w:tcPr>
          <w:p w14:paraId="3E42E6C7" w14:textId="77777777" w:rsidR="00B04B59" w:rsidRPr="00761A02" w:rsidRDefault="00B04B59" w:rsidP="00E9175D">
            <w:pPr>
              <w:jc w:val="right"/>
              <w:rPr>
                <w:sz w:val="20"/>
                <w:szCs w:val="20"/>
                <w:lang w:bidi="he-IL"/>
              </w:rPr>
            </w:pPr>
            <w:r w:rsidRPr="00761A02">
              <w:rPr>
                <w:sz w:val="20"/>
                <w:szCs w:val="20"/>
                <w:lang w:bidi="he-IL"/>
              </w:rPr>
              <w:t>561</w:t>
            </w:r>
          </w:p>
        </w:tc>
        <w:tc>
          <w:tcPr>
            <w:tcW w:w="1565" w:type="dxa"/>
            <w:tcBorders>
              <w:top w:val="single" w:sz="4" w:space="0" w:color="auto"/>
              <w:left w:val="single" w:sz="4" w:space="0" w:color="auto"/>
              <w:bottom w:val="single" w:sz="4" w:space="0" w:color="auto"/>
              <w:right w:val="single" w:sz="4" w:space="0" w:color="auto"/>
            </w:tcBorders>
            <w:vAlign w:val="bottom"/>
            <w:hideMark/>
          </w:tcPr>
          <w:p w14:paraId="279C4526" w14:textId="5F491BFF" w:rsidR="00B04B59" w:rsidRPr="00761A02" w:rsidRDefault="00B04B59" w:rsidP="00E9175D">
            <w:pPr>
              <w:jc w:val="right"/>
              <w:rPr>
                <w:sz w:val="20"/>
                <w:szCs w:val="20"/>
                <w:lang w:bidi="he-IL"/>
              </w:rPr>
            </w:pPr>
            <w:r>
              <w:rPr>
                <w:sz w:val="20"/>
                <w:szCs w:val="20"/>
                <w:lang w:bidi="he-IL"/>
              </w:rPr>
              <w:t>8</w:t>
            </w:r>
            <w:r w:rsidR="00CF5301">
              <w:rPr>
                <w:sz w:val="20"/>
                <w:szCs w:val="20"/>
                <w:lang w:bidi="he-IL"/>
              </w:rPr>
              <w:t xml:space="preserve"> hrs.;</w:t>
            </w:r>
          </w:p>
          <w:p w14:paraId="31158904" w14:textId="70D1541F" w:rsidR="00B04B59" w:rsidRPr="00761A02" w:rsidRDefault="00CF5301" w:rsidP="00E9175D">
            <w:pPr>
              <w:jc w:val="right"/>
              <w:rPr>
                <w:sz w:val="20"/>
                <w:szCs w:val="20"/>
                <w:lang w:bidi="he-IL"/>
              </w:rPr>
            </w:pPr>
            <w:r>
              <w:rPr>
                <w:sz w:val="20"/>
                <w:szCs w:val="20"/>
                <w:lang w:bidi="he-IL"/>
              </w:rPr>
              <w:t xml:space="preserve"> $545</w:t>
            </w:r>
            <w:r w:rsidR="00B04B59" w:rsidRPr="00761A02">
              <w:rPr>
                <w:sz w:val="20"/>
                <w:szCs w:val="20"/>
                <w:lang w:bidi="he-IL"/>
              </w:rPr>
              <w:t xml:space="preserve">  </w:t>
            </w:r>
          </w:p>
        </w:tc>
        <w:tc>
          <w:tcPr>
            <w:tcW w:w="1617" w:type="dxa"/>
            <w:tcBorders>
              <w:top w:val="single" w:sz="4" w:space="0" w:color="auto"/>
              <w:left w:val="single" w:sz="4" w:space="0" w:color="auto"/>
              <w:bottom w:val="single" w:sz="4" w:space="0" w:color="auto"/>
              <w:right w:val="single" w:sz="4" w:space="0" w:color="auto"/>
            </w:tcBorders>
            <w:vAlign w:val="bottom"/>
            <w:hideMark/>
          </w:tcPr>
          <w:p w14:paraId="22361980" w14:textId="12C3DFEE" w:rsidR="00B04B59" w:rsidRPr="00761A02" w:rsidRDefault="00B04B59" w:rsidP="00E9175D">
            <w:pPr>
              <w:jc w:val="right"/>
              <w:rPr>
                <w:sz w:val="20"/>
                <w:szCs w:val="20"/>
                <w:lang w:bidi="he-IL"/>
              </w:rPr>
            </w:pPr>
            <w:r w:rsidRPr="00761A02">
              <w:rPr>
                <w:sz w:val="20"/>
                <w:szCs w:val="20"/>
                <w:lang w:bidi="he-IL"/>
              </w:rPr>
              <w:t>4,488</w:t>
            </w:r>
            <w:r w:rsidR="00CF5301">
              <w:rPr>
                <w:sz w:val="20"/>
                <w:szCs w:val="20"/>
                <w:lang w:bidi="he-IL"/>
              </w:rPr>
              <w:t xml:space="preserve"> hrs.;</w:t>
            </w:r>
            <w:r>
              <w:rPr>
                <w:sz w:val="20"/>
                <w:szCs w:val="20"/>
                <w:lang w:bidi="he-IL"/>
              </w:rPr>
              <w:t xml:space="preserve"> </w:t>
            </w:r>
            <w:r w:rsidR="00CF5301">
              <w:rPr>
                <w:sz w:val="20"/>
                <w:szCs w:val="20"/>
                <w:lang w:bidi="he-IL"/>
              </w:rPr>
              <w:br/>
              <w:t xml:space="preserve"> $305,723</w:t>
            </w:r>
          </w:p>
        </w:tc>
        <w:tc>
          <w:tcPr>
            <w:tcW w:w="1447" w:type="dxa"/>
            <w:tcBorders>
              <w:top w:val="single" w:sz="4" w:space="0" w:color="auto"/>
              <w:left w:val="single" w:sz="4" w:space="0" w:color="auto"/>
              <w:bottom w:val="single" w:sz="4" w:space="0" w:color="auto"/>
              <w:right w:val="single" w:sz="4" w:space="0" w:color="auto"/>
            </w:tcBorders>
            <w:vAlign w:val="bottom"/>
            <w:hideMark/>
          </w:tcPr>
          <w:p w14:paraId="107CFC13" w14:textId="3BC713A3" w:rsidR="00B04B59" w:rsidRPr="00761A02" w:rsidRDefault="00CF5301" w:rsidP="00E9175D">
            <w:pPr>
              <w:jc w:val="right"/>
              <w:rPr>
                <w:sz w:val="20"/>
                <w:szCs w:val="20"/>
                <w:lang w:bidi="he-IL"/>
              </w:rPr>
            </w:pPr>
            <w:r>
              <w:rPr>
                <w:sz w:val="20"/>
                <w:szCs w:val="20"/>
                <w:lang w:bidi="he-IL"/>
              </w:rPr>
              <w:t>$545</w:t>
            </w:r>
          </w:p>
        </w:tc>
      </w:tr>
    </w:tbl>
    <w:p w14:paraId="36273A62" w14:textId="26109C1C" w:rsidR="00B04B59" w:rsidRDefault="00B04B59" w:rsidP="00AC38BB">
      <w:pPr>
        <w:pStyle w:val="FERCparanumber"/>
        <w:numPr>
          <w:ilvl w:val="0"/>
          <w:numId w:val="0"/>
        </w:numPr>
        <w:ind w:firstLine="720"/>
      </w:pPr>
      <w:r>
        <w:t xml:space="preserve">  </w:t>
      </w:r>
    </w:p>
    <w:p w14:paraId="0B2D6EFC" w14:textId="2B4FB764" w:rsidR="00E56AA4" w:rsidRDefault="00E56AA4" w:rsidP="00AC38BB">
      <w:pPr>
        <w:pStyle w:val="FERCparanumber"/>
        <w:numPr>
          <w:ilvl w:val="0"/>
          <w:numId w:val="0"/>
        </w:numPr>
        <w:ind w:firstLine="720"/>
      </w:pPr>
      <w:r w:rsidRPr="00E56AA4">
        <w:t xml:space="preserve">The </w:t>
      </w:r>
      <w:r>
        <w:t xml:space="preserve">corrected </w:t>
      </w:r>
      <w:r w:rsidRPr="00E56AA4">
        <w:t>total annual estimated burden and cost for the FERC-725L information collection</w:t>
      </w:r>
      <w:r>
        <w:t xml:space="preserve"> (including Reliability Standard MOD-031-</w:t>
      </w:r>
      <w:r w:rsidR="005C051D">
        <w:t>2</w:t>
      </w:r>
      <w:r>
        <w:t>, noted above)</w:t>
      </w:r>
      <w:r w:rsidRPr="00E56AA4">
        <w:t xml:space="preserve"> </w:t>
      </w:r>
      <w:r w:rsidRPr="001302DB">
        <w:t xml:space="preserve">is </w:t>
      </w:r>
      <w:r w:rsidR="001302DB">
        <w:t>35,208</w:t>
      </w:r>
      <w:r w:rsidRPr="001302DB">
        <w:t xml:space="preserve"> hours and $</w:t>
      </w:r>
      <w:r w:rsidR="001302DB">
        <w:t>2,377,376</w:t>
      </w:r>
      <w:r w:rsidRPr="001302DB">
        <w:t xml:space="preserve"> respectively</w:t>
      </w:r>
      <w:r w:rsidRPr="00E56AA4">
        <w:t>.</w:t>
      </w:r>
    </w:p>
    <w:p w14:paraId="2C230DDB" w14:textId="77777777" w:rsidR="00CA0EE3" w:rsidRDefault="00CA0EE3" w:rsidP="0018404A">
      <w:pPr>
        <w:pStyle w:val="FERCparanumber"/>
        <w:numPr>
          <w:ilvl w:val="0"/>
          <w:numId w:val="0"/>
        </w:numPr>
      </w:pPr>
    </w:p>
    <w:p w14:paraId="49B1789A" w14:textId="77777777" w:rsidR="00CA0EE3" w:rsidRDefault="00CA0EE3" w:rsidP="0018404A">
      <w:pPr>
        <w:pStyle w:val="FERCparanumber"/>
        <w:numPr>
          <w:ilvl w:val="0"/>
          <w:numId w:val="0"/>
        </w:numPr>
      </w:pPr>
    </w:p>
    <w:p w14:paraId="24ED1E02" w14:textId="77777777" w:rsidR="00CA0EE3" w:rsidRDefault="00CA0EE3" w:rsidP="0018404A">
      <w:pPr>
        <w:pStyle w:val="FERCparanumber"/>
        <w:numPr>
          <w:ilvl w:val="0"/>
          <w:numId w:val="0"/>
        </w:numPr>
      </w:pPr>
    </w:p>
    <w:p w14:paraId="5372586B" w14:textId="77777777" w:rsidR="00CA0EE3" w:rsidRDefault="00CA0EE3" w:rsidP="00CA0EE3">
      <w:pPr>
        <w:ind w:left="2232" w:firstLine="720"/>
        <w:jc w:val="center"/>
        <w:rPr>
          <w:szCs w:val="26"/>
        </w:rPr>
      </w:pPr>
      <w:r>
        <w:rPr>
          <w:szCs w:val="26"/>
        </w:rPr>
        <w:t>Kimberly D. Bose,</w:t>
      </w:r>
    </w:p>
    <w:p w14:paraId="1D33E2AF" w14:textId="397F09E0" w:rsidR="00CA0EE3" w:rsidRDefault="00CA0EE3" w:rsidP="0055794D">
      <w:pPr>
        <w:ind w:left="2232" w:firstLine="720"/>
        <w:jc w:val="center"/>
      </w:pPr>
      <w:r>
        <w:rPr>
          <w:szCs w:val="26"/>
        </w:rPr>
        <w:t>Secretary.</w:t>
      </w:r>
    </w:p>
    <w:sectPr w:rsidR="00CA0EE3" w:rsidSect="0055794D">
      <w:headerReference w:type="first" r:id="rId12"/>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F21B0" w14:textId="77777777" w:rsidR="00A32059" w:rsidRDefault="00A32059" w:rsidP="00B04B59">
      <w:r>
        <w:separator/>
      </w:r>
    </w:p>
  </w:endnote>
  <w:endnote w:type="continuationSeparator" w:id="0">
    <w:p w14:paraId="34457CFF" w14:textId="77777777" w:rsidR="00A32059" w:rsidRDefault="00A32059" w:rsidP="00B0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F479F" w14:textId="77777777" w:rsidR="00A32059" w:rsidRDefault="00A32059" w:rsidP="00B04B59">
      <w:r>
        <w:separator/>
      </w:r>
    </w:p>
  </w:footnote>
  <w:footnote w:type="continuationSeparator" w:id="0">
    <w:p w14:paraId="3C803F5F" w14:textId="77777777" w:rsidR="00A32059" w:rsidRDefault="00A32059" w:rsidP="00B04B59">
      <w:r>
        <w:continuationSeparator/>
      </w:r>
    </w:p>
  </w:footnote>
  <w:footnote w:id="1">
    <w:p w14:paraId="175E0B28" w14:textId="50DF5ECF" w:rsidR="00CF5301" w:rsidRPr="0055794D" w:rsidRDefault="00CF5301" w:rsidP="0055794D">
      <w:pPr>
        <w:pStyle w:val="FootnoteText"/>
        <w:ind w:firstLine="720"/>
        <w:rPr>
          <w:sz w:val="26"/>
          <w:szCs w:val="26"/>
        </w:rPr>
      </w:pPr>
      <w:r w:rsidRPr="0055794D">
        <w:rPr>
          <w:rStyle w:val="FootnoteReference"/>
          <w:sz w:val="26"/>
          <w:szCs w:val="26"/>
        </w:rPr>
        <w:footnoteRef/>
      </w:r>
      <w:r w:rsidRPr="0055794D">
        <w:rPr>
          <w:sz w:val="26"/>
          <w:szCs w:val="26"/>
        </w:rPr>
        <w:t xml:space="preserve"> </w:t>
      </w:r>
      <w:r w:rsidR="0055794D">
        <w:rPr>
          <w:sz w:val="26"/>
          <w:szCs w:val="26"/>
        </w:rPr>
        <w:t xml:space="preserve"> </w:t>
      </w:r>
      <w:r w:rsidR="006604D0" w:rsidRPr="0055794D">
        <w:rPr>
          <w:rStyle w:val="Hyperlink"/>
          <w:color w:val="auto"/>
          <w:sz w:val="26"/>
          <w:szCs w:val="26"/>
          <w:u w:val="none"/>
        </w:rPr>
        <w:t>83 FR 3699, 1/26/2018</w:t>
      </w:r>
    </w:p>
  </w:footnote>
  <w:footnote w:id="2">
    <w:p w14:paraId="3D527EE6" w14:textId="5C5CF84F" w:rsidR="00CF5301" w:rsidRPr="0055794D" w:rsidRDefault="00CF5301" w:rsidP="0055794D">
      <w:pPr>
        <w:pStyle w:val="FootnoteText"/>
        <w:ind w:firstLine="720"/>
        <w:rPr>
          <w:sz w:val="26"/>
          <w:szCs w:val="26"/>
        </w:rPr>
      </w:pPr>
      <w:r w:rsidRPr="0055794D">
        <w:rPr>
          <w:rStyle w:val="FootnoteReference"/>
          <w:sz w:val="26"/>
          <w:szCs w:val="26"/>
        </w:rPr>
        <w:footnoteRef/>
      </w:r>
      <w:r w:rsidR="001302DB" w:rsidRPr="0055794D">
        <w:rPr>
          <w:sz w:val="26"/>
          <w:szCs w:val="26"/>
        </w:rPr>
        <w:t xml:space="preserve"> </w:t>
      </w:r>
      <w:r w:rsidR="0055794D">
        <w:rPr>
          <w:sz w:val="26"/>
          <w:szCs w:val="26"/>
        </w:rPr>
        <w:t xml:space="preserve"> </w:t>
      </w:r>
      <w:r w:rsidR="006604D0" w:rsidRPr="0055794D">
        <w:rPr>
          <w:rStyle w:val="Hyperlink"/>
          <w:color w:val="auto"/>
          <w:sz w:val="26"/>
          <w:szCs w:val="26"/>
          <w:u w:val="none"/>
        </w:rPr>
        <w:t>83 FR 17171, 4/18/2018</w:t>
      </w:r>
    </w:p>
  </w:footnote>
  <w:footnote w:id="3">
    <w:p w14:paraId="26123612" w14:textId="2A8AB77E" w:rsidR="00CF5301" w:rsidRPr="006B6D60" w:rsidRDefault="00CF5301" w:rsidP="0055794D">
      <w:pPr>
        <w:pStyle w:val="FootnoteText"/>
        <w:ind w:firstLine="720"/>
      </w:pPr>
      <w:r w:rsidRPr="0055794D">
        <w:rPr>
          <w:rStyle w:val="FootnoteReference"/>
          <w:sz w:val="26"/>
          <w:szCs w:val="26"/>
        </w:rPr>
        <w:footnoteRef/>
      </w:r>
      <w:r w:rsidRPr="0055794D">
        <w:rPr>
          <w:sz w:val="26"/>
          <w:szCs w:val="26"/>
        </w:rPr>
        <w:t xml:space="preserve">  The estimate uses the </w:t>
      </w:r>
      <w:r w:rsidR="00BC1B36" w:rsidRPr="0055794D">
        <w:rPr>
          <w:sz w:val="26"/>
          <w:szCs w:val="26"/>
        </w:rPr>
        <w:t xml:space="preserve">average </w:t>
      </w:r>
      <w:r w:rsidRPr="0055794D">
        <w:rPr>
          <w:sz w:val="26"/>
          <w:szCs w:val="26"/>
        </w:rPr>
        <w:t>hourly wage (plus benefits)</w:t>
      </w:r>
      <w:r w:rsidR="00AE1DC2" w:rsidRPr="0055794D">
        <w:rPr>
          <w:sz w:val="26"/>
          <w:szCs w:val="26"/>
        </w:rPr>
        <w:t xml:space="preserve"> of $68.12/hour</w:t>
      </w:r>
      <w:r w:rsidRPr="0055794D">
        <w:rPr>
          <w:sz w:val="26"/>
          <w:szCs w:val="26"/>
        </w:rPr>
        <w:t xml:space="preserve"> for </w:t>
      </w:r>
      <w:r w:rsidR="005C051D" w:rsidRPr="0055794D">
        <w:rPr>
          <w:sz w:val="26"/>
          <w:szCs w:val="26"/>
        </w:rPr>
        <w:t>electrical engineers</w:t>
      </w:r>
      <w:r w:rsidRPr="0055794D">
        <w:rPr>
          <w:sz w:val="26"/>
          <w:szCs w:val="26"/>
        </w:rPr>
        <w:t xml:space="preserve"> </w:t>
      </w:r>
      <w:r w:rsidR="00AE1DC2" w:rsidRPr="0055794D">
        <w:rPr>
          <w:sz w:val="26"/>
          <w:szCs w:val="26"/>
        </w:rPr>
        <w:t>(Occupation Code: 17-2071</w:t>
      </w:r>
      <w:r w:rsidR="001302DB" w:rsidRPr="0055794D">
        <w:rPr>
          <w:sz w:val="26"/>
          <w:szCs w:val="26"/>
        </w:rPr>
        <w:t>)</w:t>
      </w:r>
      <w:r w:rsidRPr="0055794D">
        <w:rPr>
          <w:sz w:val="26"/>
          <w:szCs w:val="26"/>
        </w:rPr>
        <w:t xml:space="preserve"> from the Bureau of Labor Statistics</w:t>
      </w:r>
      <w:r w:rsidR="00BC1B36" w:rsidRPr="0055794D">
        <w:rPr>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1C6F4" w14:textId="6EEA731F" w:rsidR="00CA0EE3" w:rsidRDefault="00CA0EE3">
    <w:pPr>
      <w:pStyle w:val="Header"/>
    </w:pPr>
    <w:r>
      <w:t>Docket No. IC18-7</w:t>
    </w:r>
    <w:r w:rsidR="005C051D">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8BB"/>
    <w:rsid w:val="000F5764"/>
    <w:rsid w:val="001302DB"/>
    <w:rsid w:val="00165643"/>
    <w:rsid w:val="00170A21"/>
    <w:rsid w:val="0018404A"/>
    <w:rsid w:val="001B048D"/>
    <w:rsid w:val="004B3464"/>
    <w:rsid w:val="0053779D"/>
    <w:rsid w:val="0055794D"/>
    <w:rsid w:val="00577EF5"/>
    <w:rsid w:val="005973F4"/>
    <w:rsid w:val="005C051D"/>
    <w:rsid w:val="006604D0"/>
    <w:rsid w:val="00667E18"/>
    <w:rsid w:val="00687B3D"/>
    <w:rsid w:val="0071514D"/>
    <w:rsid w:val="007177D9"/>
    <w:rsid w:val="00724E8B"/>
    <w:rsid w:val="00751D5A"/>
    <w:rsid w:val="00772DD4"/>
    <w:rsid w:val="00790F3A"/>
    <w:rsid w:val="00792EA3"/>
    <w:rsid w:val="007C18C7"/>
    <w:rsid w:val="00855592"/>
    <w:rsid w:val="00933D65"/>
    <w:rsid w:val="00A17F1F"/>
    <w:rsid w:val="00A32059"/>
    <w:rsid w:val="00A8594F"/>
    <w:rsid w:val="00AC38BB"/>
    <w:rsid w:val="00AE1DC2"/>
    <w:rsid w:val="00B04B59"/>
    <w:rsid w:val="00B2111C"/>
    <w:rsid w:val="00B30F8F"/>
    <w:rsid w:val="00B5551A"/>
    <w:rsid w:val="00B650E1"/>
    <w:rsid w:val="00B91D75"/>
    <w:rsid w:val="00BC1B36"/>
    <w:rsid w:val="00BC53D9"/>
    <w:rsid w:val="00C76F6D"/>
    <w:rsid w:val="00C83A27"/>
    <w:rsid w:val="00CA0EE3"/>
    <w:rsid w:val="00CF5301"/>
    <w:rsid w:val="00D32952"/>
    <w:rsid w:val="00D5273C"/>
    <w:rsid w:val="00D91E6F"/>
    <w:rsid w:val="00DB6C81"/>
    <w:rsid w:val="00E56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1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8BB"/>
    <w:pPr>
      <w:widowControl w:val="0"/>
      <w:autoSpaceDE w:val="0"/>
      <w:autoSpaceDN w:val="0"/>
      <w:adjustRightInd w:val="0"/>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AC38BB"/>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B04B59"/>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qFormat/>
    <w:rsid w:val="00B04B59"/>
    <w:rPr>
      <w:sz w:val="20"/>
      <w:szCs w:val="20"/>
    </w:rPr>
  </w:style>
  <w:style w:type="character" w:customStyle="1" w:styleId="FootnoteTextChar">
    <w:name w:val="Footnote Text Char"/>
    <w:basedOn w:val="DefaultParagraphFont"/>
    <w:uiPriority w:val="99"/>
    <w:semiHidden/>
    <w:rsid w:val="00B04B59"/>
    <w:rPr>
      <w:rFonts w:ascii="Times New Roman" w:eastAsia="Times New Roman" w:hAnsi="Times New Roman"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1 Char"/>
    <w:link w:val="FootnoteText"/>
    <w:uiPriority w:val="99"/>
    <w:rsid w:val="00B04B59"/>
    <w:rPr>
      <w:rFonts w:ascii="Times New Roman" w:eastAsia="Times New Roman" w:hAnsi="Times New Roman" w:cs="Times New Roman"/>
      <w:sz w:val="20"/>
      <w:szCs w:val="20"/>
    </w:rPr>
  </w:style>
  <w:style w:type="character" w:styleId="Hyperlink">
    <w:name w:val="Hyperlink"/>
    <w:basedOn w:val="DefaultParagraphFont"/>
    <w:uiPriority w:val="99"/>
    <w:rsid w:val="00B04B59"/>
    <w:rPr>
      <w:color w:val="0000FF"/>
      <w:u w:val="single"/>
    </w:rPr>
  </w:style>
  <w:style w:type="paragraph" w:styleId="BalloonText">
    <w:name w:val="Balloon Text"/>
    <w:basedOn w:val="Normal"/>
    <w:link w:val="BalloonTextChar"/>
    <w:uiPriority w:val="99"/>
    <w:semiHidden/>
    <w:unhideWhenUsed/>
    <w:rsid w:val="006604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4D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604D0"/>
    <w:rPr>
      <w:sz w:val="16"/>
      <w:szCs w:val="16"/>
    </w:rPr>
  </w:style>
  <w:style w:type="paragraph" w:styleId="CommentText">
    <w:name w:val="annotation text"/>
    <w:basedOn w:val="Normal"/>
    <w:link w:val="CommentTextChar"/>
    <w:uiPriority w:val="99"/>
    <w:semiHidden/>
    <w:unhideWhenUsed/>
    <w:rsid w:val="006604D0"/>
    <w:rPr>
      <w:sz w:val="20"/>
      <w:szCs w:val="20"/>
    </w:rPr>
  </w:style>
  <w:style w:type="character" w:customStyle="1" w:styleId="CommentTextChar">
    <w:name w:val="Comment Text Char"/>
    <w:basedOn w:val="DefaultParagraphFont"/>
    <w:link w:val="CommentText"/>
    <w:uiPriority w:val="99"/>
    <w:semiHidden/>
    <w:rsid w:val="006604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04D0"/>
    <w:rPr>
      <w:b/>
      <w:bCs/>
    </w:rPr>
  </w:style>
  <w:style w:type="character" w:customStyle="1" w:styleId="CommentSubjectChar">
    <w:name w:val="Comment Subject Char"/>
    <w:basedOn w:val="CommentTextChar"/>
    <w:link w:val="CommentSubject"/>
    <w:uiPriority w:val="99"/>
    <w:semiHidden/>
    <w:rsid w:val="006604D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A0EE3"/>
    <w:pPr>
      <w:tabs>
        <w:tab w:val="center" w:pos="4680"/>
        <w:tab w:val="right" w:pos="9360"/>
      </w:tabs>
    </w:pPr>
  </w:style>
  <w:style w:type="character" w:customStyle="1" w:styleId="HeaderChar">
    <w:name w:val="Header Char"/>
    <w:basedOn w:val="DefaultParagraphFont"/>
    <w:link w:val="Header"/>
    <w:uiPriority w:val="99"/>
    <w:rsid w:val="00CA0EE3"/>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CA0EE3"/>
    <w:pPr>
      <w:tabs>
        <w:tab w:val="center" w:pos="4680"/>
        <w:tab w:val="right" w:pos="9360"/>
      </w:tabs>
    </w:pPr>
  </w:style>
  <w:style w:type="character" w:customStyle="1" w:styleId="FooterChar">
    <w:name w:val="Footer Char"/>
    <w:basedOn w:val="DefaultParagraphFont"/>
    <w:link w:val="Footer"/>
    <w:uiPriority w:val="99"/>
    <w:rsid w:val="00CA0EE3"/>
    <w:rPr>
      <w:rFonts w:ascii="Times New Roman" w:eastAsia="Times New Roman" w:hAnsi="Times New Roman"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8BB"/>
    <w:pPr>
      <w:widowControl w:val="0"/>
      <w:autoSpaceDE w:val="0"/>
      <w:autoSpaceDN w:val="0"/>
      <w:adjustRightInd w:val="0"/>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AC38BB"/>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B04B59"/>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qFormat/>
    <w:rsid w:val="00B04B59"/>
    <w:rPr>
      <w:sz w:val="20"/>
      <w:szCs w:val="20"/>
    </w:rPr>
  </w:style>
  <w:style w:type="character" w:customStyle="1" w:styleId="FootnoteTextChar">
    <w:name w:val="Footnote Text Char"/>
    <w:basedOn w:val="DefaultParagraphFont"/>
    <w:uiPriority w:val="99"/>
    <w:semiHidden/>
    <w:rsid w:val="00B04B59"/>
    <w:rPr>
      <w:rFonts w:ascii="Times New Roman" w:eastAsia="Times New Roman" w:hAnsi="Times New Roman"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1 Char"/>
    <w:link w:val="FootnoteText"/>
    <w:uiPriority w:val="99"/>
    <w:rsid w:val="00B04B59"/>
    <w:rPr>
      <w:rFonts w:ascii="Times New Roman" w:eastAsia="Times New Roman" w:hAnsi="Times New Roman" w:cs="Times New Roman"/>
      <w:sz w:val="20"/>
      <w:szCs w:val="20"/>
    </w:rPr>
  </w:style>
  <w:style w:type="character" w:styleId="Hyperlink">
    <w:name w:val="Hyperlink"/>
    <w:basedOn w:val="DefaultParagraphFont"/>
    <w:uiPriority w:val="99"/>
    <w:rsid w:val="00B04B59"/>
    <w:rPr>
      <w:color w:val="0000FF"/>
      <w:u w:val="single"/>
    </w:rPr>
  </w:style>
  <w:style w:type="paragraph" w:styleId="BalloonText">
    <w:name w:val="Balloon Text"/>
    <w:basedOn w:val="Normal"/>
    <w:link w:val="BalloonTextChar"/>
    <w:uiPriority w:val="99"/>
    <w:semiHidden/>
    <w:unhideWhenUsed/>
    <w:rsid w:val="006604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4D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604D0"/>
    <w:rPr>
      <w:sz w:val="16"/>
      <w:szCs w:val="16"/>
    </w:rPr>
  </w:style>
  <w:style w:type="paragraph" w:styleId="CommentText">
    <w:name w:val="annotation text"/>
    <w:basedOn w:val="Normal"/>
    <w:link w:val="CommentTextChar"/>
    <w:uiPriority w:val="99"/>
    <w:semiHidden/>
    <w:unhideWhenUsed/>
    <w:rsid w:val="006604D0"/>
    <w:rPr>
      <w:sz w:val="20"/>
      <w:szCs w:val="20"/>
    </w:rPr>
  </w:style>
  <w:style w:type="character" w:customStyle="1" w:styleId="CommentTextChar">
    <w:name w:val="Comment Text Char"/>
    <w:basedOn w:val="DefaultParagraphFont"/>
    <w:link w:val="CommentText"/>
    <w:uiPriority w:val="99"/>
    <w:semiHidden/>
    <w:rsid w:val="006604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04D0"/>
    <w:rPr>
      <w:b/>
      <w:bCs/>
    </w:rPr>
  </w:style>
  <w:style w:type="character" w:customStyle="1" w:styleId="CommentSubjectChar">
    <w:name w:val="Comment Subject Char"/>
    <w:basedOn w:val="CommentTextChar"/>
    <w:link w:val="CommentSubject"/>
    <w:uiPriority w:val="99"/>
    <w:semiHidden/>
    <w:rsid w:val="006604D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A0EE3"/>
    <w:pPr>
      <w:tabs>
        <w:tab w:val="center" w:pos="4680"/>
        <w:tab w:val="right" w:pos="9360"/>
      </w:tabs>
    </w:pPr>
  </w:style>
  <w:style w:type="character" w:customStyle="1" w:styleId="HeaderChar">
    <w:name w:val="Header Char"/>
    <w:basedOn w:val="DefaultParagraphFont"/>
    <w:link w:val="Header"/>
    <w:uiPriority w:val="99"/>
    <w:rsid w:val="00CA0EE3"/>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CA0EE3"/>
    <w:pPr>
      <w:tabs>
        <w:tab w:val="center" w:pos="4680"/>
        <w:tab w:val="right" w:pos="9360"/>
      </w:tabs>
    </w:pPr>
  </w:style>
  <w:style w:type="character" w:customStyle="1" w:styleId="FooterChar">
    <w:name w:val="Footer Char"/>
    <w:basedOn w:val="DefaultParagraphFont"/>
    <w:link w:val="Footer"/>
    <w:uiPriority w:val="99"/>
    <w:rsid w:val="00CA0EE3"/>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51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D724A3F8-ECC3-408E-9409-7CC979BAF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2BC0FB-7D79-4279-94DD-7BB646601F04}">
  <ds:schemaRefs>
    <ds:schemaRef ds:uri="Microsoft.SharePoint.Taxonomy.ContentTypeSync"/>
  </ds:schemaRefs>
</ds:datastoreItem>
</file>

<file path=customXml/itemProps3.xml><?xml version="1.0" encoding="utf-8"?>
<ds:datastoreItem xmlns:ds="http://schemas.openxmlformats.org/officeDocument/2006/customXml" ds:itemID="{6EBF52FA-18EA-4106-974D-306F21D2747E}">
  <ds:schemaRefs>
    <ds:schemaRef ds:uri="http://schemas.microsoft.com/sharepoint/v3/contenttype/forms"/>
  </ds:schemaRefs>
</ds:datastoreItem>
</file>

<file path=customXml/itemProps4.xml><?xml version="1.0" encoding="utf-8"?>
<ds:datastoreItem xmlns:ds="http://schemas.openxmlformats.org/officeDocument/2006/customXml" ds:itemID="{F3FB1473-575D-4666-86C3-3C3CEF9BAF09}">
  <ds:schemaRefs>
    <ds:schemaRef ds:uri="http://schemas.microsoft.com/office/2006/metadata/properties"/>
    <ds:schemaRef ds:uri="http://schemas.microsoft.com/office/infopath/2007/PartnerControls"/>
    <ds:schemaRef ds:uri="5e8733a2-e908-454b-85cf-c9d17e1d09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cp:lastPrinted>2018-04-24T15:57:00Z</cp:lastPrinted>
  <dcterms:created xsi:type="dcterms:W3CDTF">2018-04-24T19:35:00Z</dcterms:created>
  <dcterms:modified xsi:type="dcterms:W3CDTF">2018-04-24T19:35:00Z</dcterms:modified>
  <cp:category/>
  <dc:identifier/>
  <cp:contentStatus/>
  <cp:version/>
</cp:coreProperties>
</file>