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4A0" w:rsidRDefault="002B34A0" w:rsidP="002C395B">
      <w:pPr>
        <w:pStyle w:val="Heading1"/>
        <w:numPr>
          <w:ilvl w:val="0"/>
          <w:numId w:val="3"/>
        </w:numPr>
        <w:rPr>
          <w:lang w:bidi="en-US"/>
        </w:rPr>
      </w:pPr>
      <w:bookmarkStart w:id="0" w:name="_Toc482020562"/>
      <w:bookmarkStart w:id="1" w:name="_Toc489017105"/>
      <w:bookmarkStart w:id="2" w:name="_GoBack"/>
      <w:bookmarkEnd w:id="2"/>
      <w:r w:rsidRPr="002B34A0">
        <w:rPr>
          <w:lang w:bidi="en-US"/>
        </w:rPr>
        <w:t>IDENTIFICATION OF THE INFORMATION COLLECTION</w:t>
      </w:r>
      <w:bookmarkEnd w:id="0"/>
      <w:bookmarkEnd w:id="1"/>
    </w:p>
    <w:p w:rsidR="002B34A0" w:rsidRPr="002B34A0" w:rsidRDefault="002B34A0" w:rsidP="002C395B">
      <w:pPr>
        <w:pStyle w:val="Heading2"/>
        <w:numPr>
          <w:ilvl w:val="1"/>
          <w:numId w:val="3"/>
        </w:numPr>
        <w:tabs>
          <w:tab w:val="left" w:pos="1080"/>
        </w:tabs>
        <w:rPr>
          <w:lang w:bidi="en-US"/>
        </w:rPr>
      </w:pPr>
      <w:bookmarkStart w:id="3" w:name="_Toc482020563"/>
      <w:bookmarkStart w:id="4" w:name="_Toc489017106"/>
      <w:r w:rsidRPr="002B34A0">
        <w:rPr>
          <w:lang w:bidi="en-US"/>
        </w:rPr>
        <w:t xml:space="preserve">Information Collection </w:t>
      </w:r>
      <w:r>
        <w:rPr>
          <w:lang w:bidi="en-US"/>
        </w:rPr>
        <w:t>– Title and Numbers</w:t>
      </w:r>
      <w:bookmarkEnd w:id="3"/>
      <w:bookmarkEnd w:id="4"/>
      <w:r w:rsidRPr="002B34A0">
        <w:rPr>
          <w:lang w:bidi="en-US"/>
        </w:rPr>
        <w:t xml:space="preserve"> </w:t>
      </w:r>
    </w:p>
    <w:p w:rsidR="002B34A0" w:rsidRPr="002B34A0" w:rsidRDefault="00C54579" w:rsidP="007E3DA7">
      <w:pPr>
        <w:spacing w:after="120"/>
        <w:ind w:firstLine="720"/>
        <w:rPr>
          <w:lang w:bidi="en-US"/>
        </w:rPr>
      </w:pPr>
      <w:r w:rsidRPr="00C54579">
        <w:rPr>
          <w:b/>
          <w:lang w:bidi="en-US"/>
        </w:rPr>
        <w:t>Title</w:t>
      </w:r>
      <w:r w:rsidRPr="00C656B4">
        <w:rPr>
          <w:b/>
          <w:lang w:bidi="en-US"/>
        </w:rPr>
        <w:t xml:space="preserve">: </w:t>
      </w:r>
      <w:r w:rsidR="002B34A0" w:rsidRPr="00C656B4">
        <w:rPr>
          <w:lang w:bidi="en-US"/>
        </w:rPr>
        <w:t>Pesticide Data-Call-In Program</w:t>
      </w:r>
      <w:r w:rsidR="002B34A0" w:rsidRPr="002B34A0">
        <w:rPr>
          <w:lang w:bidi="en-US"/>
        </w:rPr>
        <w:t xml:space="preserve"> </w:t>
      </w:r>
      <w:r w:rsidR="002B34A0" w:rsidRPr="002B34A0">
        <w:rPr>
          <w:lang w:bidi="en-US"/>
        </w:rPr>
        <w:tab/>
      </w:r>
    </w:p>
    <w:p w:rsidR="002A0BEE" w:rsidRDefault="007E3DA7" w:rsidP="007E3DA7">
      <w:pPr>
        <w:spacing w:after="120"/>
        <w:ind w:firstLine="720"/>
        <w:rPr>
          <w:lang w:bidi="en-US"/>
        </w:rPr>
      </w:pPr>
      <w:r>
        <w:rPr>
          <w:b/>
          <w:lang w:bidi="en-US"/>
        </w:rPr>
        <w:t xml:space="preserve">ICR </w:t>
      </w:r>
      <w:r w:rsidR="00C54579" w:rsidRPr="00C54579">
        <w:rPr>
          <w:b/>
          <w:lang w:bidi="en-US"/>
        </w:rPr>
        <w:t>Number</w:t>
      </w:r>
      <w:r>
        <w:rPr>
          <w:b/>
          <w:lang w:bidi="en-US"/>
        </w:rPr>
        <w:t>s</w:t>
      </w:r>
      <w:r w:rsidR="00C54579" w:rsidRPr="00C54579">
        <w:rPr>
          <w:b/>
          <w:lang w:bidi="en-US"/>
        </w:rPr>
        <w:t>:</w:t>
      </w:r>
      <w:r w:rsidR="00C54579" w:rsidRPr="00C54579">
        <w:rPr>
          <w:lang w:bidi="en-US"/>
        </w:rPr>
        <w:t xml:space="preserve"> </w:t>
      </w:r>
      <w:r w:rsidR="002B34A0" w:rsidRPr="002B34A0">
        <w:rPr>
          <w:lang w:bidi="en-US"/>
        </w:rPr>
        <w:t xml:space="preserve">OMB </w:t>
      </w:r>
      <w:r w:rsidR="002B34A0">
        <w:rPr>
          <w:lang w:bidi="en-US"/>
        </w:rPr>
        <w:t xml:space="preserve">Control </w:t>
      </w:r>
      <w:r w:rsidR="002B34A0" w:rsidRPr="002B34A0">
        <w:rPr>
          <w:lang w:bidi="en-US"/>
        </w:rPr>
        <w:t>No.:  2070-0174</w:t>
      </w:r>
      <w:r>
        <w:rPr>
          <w:lang w:bidi="en-US"/>
        </w:rPr>
        <w:t xml:space="preserve">; </w:t>
      </w:r>
      <w:r w:rsidR="002B34A0" w:rsidRPr="002B34A0">
        <w:rPr>
          <w:lang w:bidi="en-US"/>
        </w:rPr>
        <w:t xml:space="preserve">EPA </w:t>
      </w:r>
      <w:r w:rsidR="002B34A0">
        <w:rPr>
          <w:lang w:bidi="en-US"/>
        </w:rPr>
        <w:t xml:space="preserve">ICR </w:t>
      </w:r>
      <w:r w:rsidR="002B34A0" w:rsidRPr="002B34A0">
        <w:rPr>
          <w:lang w:bidi="en-US"/>
        </w:rPr>
        <w:t>No.:  2288.</w:t>
      </w:r>
      <w:r>
        <w:rPr>
          <w:lang w:bidi="en-US"/>
        </w:rPr>
        <w:t>0</w:t>
      </w:r>
      <w:r w:rsidR="00246934">
        <w:rPr>
          <w:lang w:bidi="en-US"/>
        </w:rPr>
        <w:t>3</w:t>
      </w:r>
    </w:p>
    <w:p w:rsidR="007E3DA7" w:rsidRPr="007E3DA7" w:rsidRDefault="004124F7" w:rsidP="00276A41">
      <w:pPr>
        <w:pStyle w:val="NoSpacing"/>
        <w:spacing w:after="120"/>
        <w:ind w:left="720"/>
        <w:rPr>
          <w:lang w:bidi="en-US"/>
        </w:rPr>
      </w:pPr>
      <w:r w:rsidRPr="004124F7">
        <w:rPr>
          <w:b/>
          <w:lang w:bidi="en-US"/>
        </w:rPr>
        <w:t xml:space="preserve">EPA </w:t>
      </w:r>
      <w:r w:rsidR="007E3DA7" w:rsidRPr="007E3DA7">
        <w:rPr>
          <w:b/>
          <w:lang w:bidi="en-US"/>
        </w:rPr>
        <w:t>Form N</w:t>
      </w:r>
      <w:r w:rsidR="00A84026">
        <w:rPr>
          <w:b/>
          <w:lang w:bidi="en-US"/>
        </w:rPr>
        <w:t>umber</w:t>
      </w:r>
      <w:r w:rsidR="007E3DA7" w:rsidRPr="007E3DA7">
        <w:rPr>
          <w:b/>
          <w:lang w:bidi="en-US"/>
        </w:rPr>
        <w:t>s:</w:t>
      </w:r>
      <w:r w:rsidR="007E3DA7">
        <w:rPr>
          <w:lang w:bidi="en-US"/>
        </w:rPr>
        <w:t xml:space="preserve"> </w:t>
      </w:r>
      <w:r w:rsidR="00ED78F4">
        <w:rPr>
          <w:lang w:bidi="en-US"/>
        </w:rPr>
        <w:t>8570-4, 8574-27, 8570-28, 8570-32, 8579-34, 8570-35, 8570-36, 8570-37, 6300-3, 6300-4</w:t>
      </w:r>
    </w:p>
    <w:p w:rsidR="007E3DA7" w:rsidRPr="007E3DA7" w:rsidRDefault="007E3DA7" w:rsidP="007E3DA7">
      <w:pPr>
        <w:pStyle w:val="NoSpacing"/>
        <w:spacing w:after="120"/>
        <w:rPr>
          <w:lang w:bidi="en-US"/>
        </w:rPr>
      </w:pPr>
      <w:r>
        <w:rPr>
          <w:lang w:bidi="en-US"/>
        </w:rPr>
        <w:tab/>
      </w:r>
      <w:r w:rsidRPr="007E3DA7">
        <w:rPr>
          <w:b/>
          <w:lang w:bidi="en-US"/>
        </w:rPr>
        <w:t>Docket ID N</w:t>
      </w:r>
      <w:r w:rsidR="00A84026">
        <w:rPr>
          <w:b/>
          <w:lang w:bidi="en-US"/>
        </w:rPr>
        <w:t>umber</w:t>
      </w:r>
      <w:r w:rsidRPr="007E3DA7">
        <w:rPr>
          <w:b/>
          <w:lang w:bidi="en-US"/>
        </w:rPr>
        <w:t>:</w:t>
      </w:r>
      <w:r>
        <w:rPr>
          <w:lang w:bidi="en-US"/>
        </w:rPr>
        <w:t xml:space="preserve"> </w:t>
      </w:r>
      <w:r w:rsidRPr="001C6F0B">
        <w:rPr>
          <w:lang w:bidi="en-US"/>
        </w:rPr>
        <w:t>EPA-HQ-OPP</w:t>
      </w:r>
      <w:r>
        <w:rPr>
          <w:lang w:bidi="en-US"/>
        </w:rPr>
        <w:t>-</w:t>
      </w:r>
      <w:r w:rsidRPr="006B51C8">
        <w:rPr>
          <w:lang w:bidi="en-US"/>
        </w:rPr>
        <w:t>201</w:t>
      </w:r>
      <w:r w:rsidR="001F0CFC" w:rsidRPr="006B51C8">
        <w:rPr>
          <w:lang w:bidi="en-US"/>
        </w:rPr>
        <w:t>6</w:t>
      </w:r>
      <w:r w:rsidRPr="006B51C8">
        <w:rPr>
          <w:lang w:bidi="en-US"/>
        </w:rPr>
        <w:t>-</w:t>
      </w:r>
      <w:r w:rsidR="006B51C8">
        <w:rPr>
          <w:lang w:bidi="en-US"/>
        </w:rPr>
        <w:t>0109</w:t>
      </w:r>
    </w:p>
    <w:p w:rsidR="002A0BEE" w:rsidRPr="002A0BEE" w:rsidRDefault="002A0BEE" w:rsidP="002A0BEE">
      <w:pPr>
        <w:pStyle w:val="NoSpacing"/>
        <w:rPr>
          <w:lang w:bidi="en-US"/>
        </w:rPr>
      </w:pPr>
    </w:p>
    <w:p w:rsidR="0098584B" w:rsidRDefault="00A84026" w:rsidP="0098584B">
      <w:pPr>
        <w:pStyle w:val="Heading2"/>
        <w:numPr>
          <w:ilvl w:val="1"/>
          <w:numId w:val="3"/>
        </w:numPr>
        <w:tabs>
          <w:tab w:val="left" w:pos="1080"/>
        </w:tabs>
        <w:rPr>
          <w:lang w:bidi="en-US"/>
        </w:rPr>
      </w:pPr>
      <w:bookmarkStart w:id="5" w:name="_Toc482020564"/>
      <w:bookmarkStart w:id="6" w:name="_Toc489017107"/>
      <w:r>
        <w:t>Executive Summary</w:t>
      </w:r>
      <w:bookmarkEnd w:id="5"/>
      <w:bookmarkEnd w:id="6"/>
    </w:p>
    <w:p w:rsidR="00E62F2E" w:rsidRDefault="00E62F2E" w:rsidP="0098584B">
      <w:r w:rsidRPr="00D651D2">
        <w:rPr>
          <w:b/>
        </w:rPr>
        <w:t>ICR Status</w:t>
      </w:r>
      <w:r w:rsidR="0098584B" w:rsidRPr="00D651D2">
        <w:rPr>
          <w:b/>
        </w:rPr>
        <w:t>:</w:t>
      </w:r>
      <w:r w:rsidR="0098584B" w:rsidRPr="008E2771">
        <w:rPr>
          <w:b/>
        </w:rPr>
        <w:t xml:space="preserve"> </w:t>
      </w:r>
      <w:r w:rsidRPr="008E2771">
        <w:t>T</w:t>
      </w:r>
      <w:r w:rsidRPr="002B34A0">
        <w:rPr>
          <w:lang w:bidi="en-US"/>
        </w:rPr>
        <w:t xml:space="preserve">his information collection request (ICR) is a renewal of </w:t>
      </w:r>
      <w:r>
        <w:rPr>
          <w:lang w:bidi="en-US"/>
        </w:rPr>
        <w:t>a</w:t>
      </w:r>
      <w:r w:rsidRPr="002B34A0">
        <w:rPr>
          <w:lang w:bidi="en-US"/>
        </w:rPr>
        <w:t xml:space="preserve"> currently approved ICR</w:t>
      </w:r>
      <w:r>
        <w:rPr>
          <w:lang w:bidi="en-US"/>
        </w:rPr>
        <w:t xml:space="preserve"> </w:t>
      </w:r>
      <w:r w:rsidRPr="00E62F2E">
        <w:rPr>
          <w:rFonts w:cs="Arial"/>
        </w:rPr>
        <w:t>under the Paperwork Reduction Act (PRA)</w:t>
      </w:r>
      <w:r w:rsidRPr="005463D1">
        <w:rPr>
          <w:rStyle w:val="FootnoteReference"/>
          <w:rFonts w:cs="Arial"/>
          <w:vertAlign w:val="superscript"/>
        </w:rPr>
        <w:footnoteReference w:id="1"/>
      </w:r>
      <w:r w:rsidRPr="00E62F2E">
        <w:rPr>
          <w:rFonts w:cs="Arial"/>
        </w:rPr>
        <w:t xml:space="preserve"> that </w:t>
      </w:r>
      <w:r w:rsidRPr="005463D1">
        <w:rPr>
          <w:lang w:bidi="en-US"/>
        </w:rPr>
        <w:t>is scheduled</w:t>
      </w:r>
      <w:r>
        <w:rPr>
          <w:lang w:bidi="en-US"/>
        </w:rPr>
        <w:t xml:space="preserve"> to </w:t>
      </w:r>
      <w:r w:rsidRPr="002B34A0">
        <w:rPr>
          <w:lang w:bidi="en-US"/>
        </w:rPr>
        <w:t xml:space="preserve">expire </w:t>
      </w:r>
      <w:r>
        <w:rPr>
          <w:lang w:bidi="en-US"/>
        </w:rPr>
        <w:t xml:space="preserve">on </w:t>
      </w:r>
      <w:r w:rsidR="000023BA">
        <w:rPr>
          <w:lang w:bidi="en-US"/>
        </w:rPr>
        <w:t>August 31,</w:t>
      </w:r>
      <w:r w:rsidR="00724A6A">
        <w:rPr>
          <w:lang w:bidi="en-US"/>
        </w:rPr>
        <w:t xml:space="preserve"> 2017</w:t>
      </w:r>
      <w:r w:rsidRPr="002B34A0">
        <w:rPr>
          <w:lang w:bidi="en-US"/>
        </w:rPr>
        <w:t xml:space="preserve">. </w:t>
      </w:r>
      <w:r w:rsidRPr="002462E4">
        <w:t xml:space="preserve">Before submitting the ICR to </w:t>
      </w:r>
      <w:r w:rsidRPr="00BD757F">
        <w:rPr>
          <w:lang w:bidi="en-US"/>
        </w:rPr>
        <w:t>the Office of Management Budget (OMB)</w:t>
      </w:r>
      <w:r>
        <w:rPr>
          <w:lang w:bidi="en-US"/>
        </w:rPr>
        <w:t xml:space="preserve"> </w:t>
      </w:r>
      <w:r w:rsidRPr="002462E4">
        <w:t>for review and approval</w:t>
      </w:r>
      <w:r>
        <w:t xml:space="preserve"> under the PRA</w:t>
      </w:r>
      <w:r w:rsidRPr="00974153">
        <w:t xml:space="preserve">, EPA is soliciting comments </w:t>
      </w:r>
      <w:r>
        <w:t>p</w:t>
      </w:r>
      <w:r w:rsidRPr="00974153">
        <w:t xml:space="preserve">ursuant to </w:t>
      </w:r>
      <w:r>
        <w:t>PRA §</w:t>
      </w:r>
      <w:r w:rsidRPr="00974153">
        <w:t>3506(c</w:t>
      </w:r>
      <w:r w:rsidR="000C6F50" w:rsidRPr="00974153">
        <w:t>)(</w:t>
      </w:r>
      <w:r w:rsidRPr="00974153">
        <w:t>2)(A)</w:t>
      </w:r>
      <w:r>
        <w:t xml:space="preserve"> and </w:t>
      </w:r>
      <w:r w:rsidRPr="0042316C">
        <w:t>5 CFR 1320.8(d)(1)</w:t>
      </w:r>
      <w:r w:rsidRPr="00974153">
        <w:t>.</w:t>
      </w:r>
    </w:p>
    <w:p w:rsidR="00012C7C" w:rsidRDefault="00012C7C" w:rsidP="00012C7C">
      <w:pPr>
        <w:pStyle w:val="NoSpacing"/>
      </w:pPr>
    </w:p>
    <w:p w:rsidR="0047703D" w:rsidRDefault="0047703D" w:rsidP="00012C7C">
      <w:pPr>
        <w:pStyle w:val="NoSpacing"/>
      </w:pPr>
      <w:r>
        <w:t>Under the PRA, a</w:t>
      </w:r>
      <w:r w:rsidRPr="005F3E0E">
        <w:t xml:space="preserve">n agency may not conduct or sponsor, and a person </w:t>
      </w:r>
      <w:r w:rsidRPr="005463D1">
        <w:t>is not required</w:t>
      </w:r>
      <w:r w:rsidRPr="005F3E0E">
        <w:t xml:space="preserve"> to respond to, a collection of information unless it displays a currently valid OMB control number. </w:t>
      </w:r>
      <w:r w:rsidRPr="005463D1">
        <w:t>The OMB control numbers for EPA’s regulations in title 40 o</w:t>
      </w:r>
      <w:r w:rsidRPr="007D6E48">
        <w:t xml:space="preserve">f the CFR, </w:t>
      </w:r>
      <w:r w:rsidRPr="00D5421F">
        <w:rPr>
          <w:noProof/>
        </w:rPr>
        <w:t xml:space="preserve">after appearing in the </w:t>
      </w:r>
      <w:r w:rsidRPr="00D5421F">
        <w:rPr>
          <w:b/>
          <w:i/>
          <w:noProof/>
        </w:rPr>
        <w:t>Federal Register</w:t>
      </w:r>
      <w:r w:rsidRPr="007D6E48">
        <w:t>, are listed in 40 CFR part 9 and included on the related collection instrument or form, if applicable.</w:t>
      </w:r>
    </w:p>
    <w:p w:rsidR="0047703D" w:rsidRPr="00012C7C" w:rsidRDefault="0047703D" w:rsidP="00012C7C">
      <w:pPr>
        <w:pStyle w:val="NoSpacing"/>
      </w:pPr>
    </w:p>
    <w:p w:rsidR="0098584B" w:rsidRDefault="004124F7" w:rsidP="00E97E4F">
      <w:pPr>
        <w:rPr>
          <w:lang w:bidi="en-US"/>
        </w:rPr>
      </w:pPr>
      <w:r w:rsidRPr="00D651D2">
        <w:rPr>
          <w:b/>
        </w:rPr>
        <w:t>Short Characterization/Abstract</w:t>
      </w:r>
      <w:r w:rsidR="0098584B" w:rsidRPr="00D651D2">
        <w:rPr>
          <w:b/>
        </w:rPr>
        <w:t>:</w:t>
      </w:r>
      <w:r w:rsidR="0098584B" w:rsidRPr="008E2771">
        <w:rPr>
          <w:b/>
        </w:rPr>
        <w:t xml:space="preserve"> </w:t>
      </w:r>
      <w:r w:rsidR="00C54579" w:rsidRPr="00C54579">
        <w:rPr>
          <w:lang w:bidi="en-US"/>
        </w:rPr>
        <w:t xml:space="preserve">This ICR covers the information collection activities associated with the issuance of data-call-ins (DCIs) under </w:t>
      </w:r>
      <w:r w:rsidR="005F7651" w:rsidRPr="005F7651">
        <w:rPr>
          <w:lang w:bidi="en-US"/>
        </w:rPr>
        <w:t>§</w:t>
      </w:r>
      <w:r w:rsidR="00C54579" w:rsidRPr="00C54579">
        <w:rPr>
          <w:lang w:bidi="en-US"/>
        </w:rPr>
        <w:t xml:space="preserve">3(c)(2)(B) of </w:t>
      </w:r>
      <w:r w:rsidR="00BD757F">
        <w:rPr>
          <w:lang w:bidi="en-US"/>
        </w:rPr>
        <w:t xml:space="preserve">the </w:t>
      </w:r>
      <w:r w:rsidR="00BD757F" w:rsidRPr="00BD757F">
        <w:rPr>
          <w:lang w:bidi="en-US"/>
        </w:rPr>
        <w:t>Federal Insecticide, Fungicide, and Rodenticide Act (FIFRA)</w:t>
      </w:r>
      <w:r w:rsidR="0098584B">
        <w:rPr>
          <w:lang w:bidi="en-US"/>
        </w:rPr>
        <w:t>.</w:t>
      </w:r>
      <w:r w:rsidR="00BD757F" w:rsidRPr="003C148D">
        <w:rPr>
          <w:rStyle w:val="FootnoteReference"/>
          <w:vertAlign w:val="superscript"/>
          <w:lang w:bidi="en-US"/>
        </w:rPr>
        <w:footnoteReference w:id="2"/>
      </w:r>
      <w:r w:rsidR="00BD757F">
        <w:rPr>
          <w:lang w:bidi="en-US"/>
        </w:rPr>
        <w:t xml:space="preserve"> </w:t>
      </w:r>
    </w:p>
    <w:p w:rsidR="0098584B" w:rsidRDefault="0098584B" w:rsidP="00E97E4F">
      <w:pPr>
        <w:rPr>
          <w:lang w:bidi="en-US"/>
        </w:rPr>
      </w:pPr>
    </w:p>
    <w:p w:rsidR="00707599" w:rsidRDefault="00110EB7" w:rsidP="00E97E4F">
      <w:pPr>
        <w:rPr>
          <w:lang w:bidi="en-US"/>
        </w:rPr>
      </w:pPr>
      <w:r w:rsidRPr="00110EB7">
        <w:rPr>
          <w:lang w:bidi="en-US"/>
        </w:rPr>
        <w:t>EPA regulates the use of pesticides under the authority of two federal statutes: FIFRA and the Federal Food, Drug and Cosmetic Act (FFDCA)</w:t>
      </w:r>
      <w:r w:rsidR="003C148D" w:rsidRPr="003C148D">
        <w:rPr>
          <w:rStyle w:val="FootnoteReference"/>
          <w:vertAlign w:val="superscript"/>
          <w:lang w:bidi="en-US"/>
        </w:rPr>
        <w:footnoteReference w:id="3"/>
      </w:r>
      <w:r w:rsidRPr="00110EB7">
        <w:rPr>
          <w:lang w:bidi="en-US"/>
        </w:rPr>
        <w:t>.</w:t>
      </w:r>
      <w:r w:rsidR="004E341A">
        <w:rPr>
          <w:lang w:bidi="en-US"/>
        </w:rPr>
        <w:t xml:space="preserve"> In general, b</w:t>
      </w:r>
      <w:r w:rsidR="0036061B" w:rsidRPr="0036061B">
        <w:rPr>
          <w:lang w:bidi="en-US"/>
        </w:rPr>
        <w:t xml:space="preserve">efore manufacturers can sell pesticides in the United States, EPA must evaluate the pesticides thoroughly to ensure that they meet federal safety standards to protect human health and the environment. EPA grants a "registration" or license that permits a pesticide's distribution, sale, and use </w:t>
      </w:r>
      <w:r w:rsidR="0036061B" w:rsidRPr="00D5421F">
        <w:rPr>
          <w:noProof/>
          <w:lang w:bidi="en-US"/>
        </w:rPr>
        <w:t>only</w:t>
      </w:r>
      <w:r w:rsidR="0036061B" w:rsidRPr="0036061B">
        <w:rPr>
          <w:lang w:bidi="en-US"/>
        </w:rPr>
        <w:t xml:space="preserve"> after the company meets the scientific and regulatory requirements</w:t>
      </w:r>
      <w:r w:rsidR="0036061B">
        <w:rPr>
          <w:lang w:bidi="en-US"/>
        </w:rPr>
        <w:t xml:space="preserve">.  </w:t>
      </w:r>
    </w:p>
    <w:p w:rsidR="00707599" w:rsidRDefault="00707599" w:rsidP="00E97E4F">
      <w:pPr>
        <w:rPr>
          <w:lang w:bidi="en-US"/>
        </w:rPr>
      </w:pPr>
    </w:p>
    <w:p w:rsidR="00E97E4F" w:rsidRDefault="0036061B" w:rsidP="00E97E4F">
      <w:pPr>
        <w:rPr>
          <w:lang w:bidi="en-US"/>
        </w:rPr>
      </w:pPr>
      <w:r w:rsidRPr="0036061B">
        <w:rPr>
          <w:lang w:bidi="en-US"/>
        </w:rPr>
        <w:t>In evaluating a pesticide registration application, EPA assesses a wide variety of potential human health and environmental effects associated with</w:t>
      </w:r>
      <w:r w:rsidR="00BE725C">
        <w:rPr>
          <w:lang w:bidi="en-US"/>
        </w:rPr>
        <w:t xml:space="preserve"> the</w:t>
      </w:r>
      <w:r w:rsidRPr="0036061B">
        <w:rPr>
          <w:lang w:bidi="en-US"/>
        </w:rPr>
        <w:t xml:space="preserve"> </w:t>
      </w:r>
      <w:r w:rsidRPr="00D5421F">
        <w:rPr>
          <w:noProof/>
          <w:lang w:bidi="en-US"/>
        </w:rPr>
        <w:t>use</w:t>
      </w:r>
      <w:r w:rsidRPr="0036061B">
        <w:rPr>
          <w:lang w:bidi="en-US"/>
        </w:rPr>
        <w:t xml:space="preserve"> of the product. </w:t>
      </w:r>
      <w:r w:rsidRPr="005463D1">
        <w:rPr>
          <w:lang w:bidi="en-US"/>
        </w:rPr>
        <w:t xml:space="preserve">Applicants, or potential </w:t>
      </w:r>
      <w:r w:rsidRPr="007D6E48">
        <w:rPr>
          <w:lang w:bidi="en-US"/>
        </w:rPr>
        <w:t xml:space="preserve">registrants, must generate </w:t>
      </w:r>
      <w:r w:rsidR="00E97E4F" w:rsidRPr="007D6E48">
        <w:rPr>
          <w:lang w:bidi="en-US"/>
        </w:rPr>
        <w:t xml:space="preserve">or provide the </w:t>
      </w:r>
      <w:r w:rsidRPr="007D6E48">
        <w:rPr>
          <w:lang w:bidi="en-US"/>
        </w:rPr>
        <w:t>scientific data necessary to address concerns pertaining to the identity, composition, potential adverse effects, and environmental fate of each pesticide.</w:t>
      </w:r>
      <w:r w:rsidRPr="0036061B">
        <w:rPr>
          <w:lang w:bidi="en-US"/>
        </w:rPr>
        <w:t xml:space="preserve"> The data allow EPA to evaluate whether a pesticide has the potential to cause</w:t>
      </w:r>
      <w:r w:rsidR="009A7AF6">
        <w:rPr>
          <w:lang w:bidi="en-US"/>
        </w:rPr>
        <w:t xml:space="preserve"> </w:t>
      </w:r>
      <w:r w:rsidRPr="0036061B">
        <w:rPr>
          <w:lang w:bidi="en-US"/>
        </w:rPr>
        <w:lastRenderedPageBreak/>
        <w:t xml:space="preserve">harmful effects on certain </w:t>
      </w:r>
      <w:r w:rsidRPr="005463D1">
        <w:rPr>
          <w:lang w:bidi="en-US"/>
        </w:rPr>
        <w:t>non</w:t>
      </w:r>
      <w:r w:rsidR="00C54579" w:rsidRPr="007D6E48">
        <w:rPr>
          <w:lang w:bidi="en-US"/>
        </w:rPr>
        <w:t>-</w:t>
      </w:r>
      <w:r w:rsidRPr="007D6E48">
        <w:rPr>
          <w:lang w:bidi="en-US"/>
        </w:rPr>
        <w:t>target</w:t>
      </w:r>
      <w:r w:rsidRPr="0036061B">
        <w:rPr>
          <w:lang w:bidi="en-US"/>
        </w:rPr>
        <w:t xml:space="preserve"> organisms and endangered species that include:</w:t>
      </w:r>
      <w:r>
        <w:rPr>
          <w:lang w:bidi="en-US"/>
        </w:rPr>
        <w:t xml:space="preserve"> humans; wildlife; plants; and surface water or ground water.</w:t>
      </w:r>
      <w:r w:rsidR="00E97E4F">
        <w:rPr>
          <w:lang w:bidi="en-US"/>
        </w:rPr>
        <w:t xml:space="preserve"> </w:t>
      </w:r>
    </w:p>
    <w:p w:rsidR="00E97E4F" w:rsidRDefault="00E97E4F" w:rsidP="00E97E4F">
      <w:pPr>
        <w:rPr>
          <w:lang w:bidi="en-US"/>
        </w:rPr>
      </w:pPr>
    </w:p>
    <w:p w:rsidR="004124F7" w:rsidRDefault="00E97E4F" w:rsidP="00110EB7">
      <w:pPr>
        <w:rPr>
          <w:lang w:bidi="en-US"/>
        </w:rPr>
      </w:pPr>
      <w:r>
        <w:rPr>
          <w:lang w:bidi="en-US"/>
        </w:rPr>
        <w:t xml:space="preserve">Through a rigorous scientific and public process, EPA specifies </w:t>
      </w:r>
      <w:r w:rsidRPr="00E97E4F">
        <w:rPr>
          <w:lang w:bidi="en-US"/>
        </w:rPr>
        <w:t xml:space="preserve">the kinds of data and information </w:t>
      </w:r>
      <w:r>
        <w:rPr>
          <w:lang w:bidi="en-US"/>
        </w:rPr>
        <w:t xml:space="preserve">necessary </w:t>
      </w:r>
      <w:r w:rsidRPr="00E97E4F">
        <w:rPr>
          <w:lang w:bidi="en-US"/>
        </w:rPr>
        <w:t>to make regulatory judgments about the risks and benefits of pesticide products</w:t>
      </w:r>
      <w:r w:rsidR="00C54579">
        <w:rPr>
          <w:lang w:bidi="en-US"/>
        </w:rPr>
        <w:t xml:space="preserve"> under </w:t>
      </w:r>
      <w:r w:rsidR="00C54579" w:rsidRPr="005463D1">
        <w:rPr>
          <w:lang w:bidi="en-US"/>
        </w:rPr>
        <w:t>FIFRA</w:t>
      </w:r>
      <w:r w:rsidR="00C54579">
        <w:rPr>
          <w:lang w:bidi="en-US"/>
        </w:rPr>
        <w:t xml:space="preserve"> </w:t>
      </w:r>
      <w:r w:rsidR="005F7651" w:rsidRPr="005F7651">
        <w:rPr>
          <w:lang w:bidi="en-US"/>
        </w:rPr>
        <w:t>§§</w:t>
      </w:r>
      <w:r w:rsidR="00C54579">
        <w:rPr>
          <w:lang w:bidi="en-US"/>
        </w:rPr>
        <w:t xml:space="preserve"> 3, 4 and 5</w:t>
      </w:r>
      <w:r>
        <w:rPr>
          <w:lang w:bidi="en-US"/>
        </w:rPr>
        <w:t xml:space="preserve">, as well as </w:t>
      </w:r>
      <w:r w:rsidRPr="00E97E4F">
        <w:rPr>
          <w:lang w:bidi="en-US"/>
        </w:rPr>
        <w:t xml:space="preserve">the data and information needed to determine the safety of pesticide chemical residues under FFDCA </w:t>
      </w:r>
      <w:r w:rsidR="005F7651" w:rsidRPr="005F7651">
        <w:rPr>
          <w:lang w:bidi="en-US"/>
        </w:rPr>
        <w:t>§</w:t>
      </w:r>
      <w:r w:rsidRPr="00E97E4F">
        <w:rPr>
          <w:lang w:bidi="en-US"/>
        </w:rPr>
        <w:t>408.</w:t>
      </w:r>
      <w:r>
        <w:rPr>
          <w:lang w:bidi="en-US"/>
        </w:rPr>
        <w:t xml:space="preserve"> </w:t>
      </w:r>
      <w:r w:rsidRPr="005463D1">
        <w:rPr>
          <w:lang w:bidi="en-US"/>
        </w:rPr>
        <w:t xml:space="preserve">The regulations in </w:t>
      </w:r>
      <w:r w:rsidRPr="0042316C">
        <w:rPr>
          <w:lang w:bidi="en-US"/>
        </w:rPr>
        <w:t>40 CFR part 158</w:t>
      </w:r>
      <w:r w:rsidRPr="005463D1">
        <w:rPr>
          <w:lang w:bidi="en-US"/>
        </w:rPr>
        <w:t xml:space="preserve"> </w:t>
      </w:r>
      <w:r w:rsidRPr="007D6E48">
        <w:rPr>
          <w:lang w:bidi="en-US"/>
        </w:rPr>
        <w:t>describe the minimum data and information EPA typically requires to support an application for pesticide registration or amendment; support the reregistration of a pesticide product; support the maintenance of a pesticide registration by mea</w:t>
      </w:r>
      <w:r w:rsidR="004124F7" w:rsidRPr="007D6E48">
        <w:rPr>
          <w:lang w:bidi="en-US"/>
        </w:rPr>
        <w:t>ns of the data call-in process (</w:t>
      </w:r>
      <w:r w:rsidRPr="007D6E48">
        <w:rPr>
          <w:lang w:bidi="en-US"/>
        </w:rPr>
        <w:t>e.g.,</w:t>
      </w:r>
      <w:r w:rsidRPr="00E97E4F">
        <w:rPr>
          <w:lang w:bidi="en-US"/>
        </w:rPr>
        <w:t xml:space="preserve"> as used in the registration review program</w:t>
      </w:r>
      <w:r w:rsidR="004124F7">
        <w:rPr>
          <w:lang w:bidi="en-US"/>
        </w:rPr>
        <w:t>)</w:t>
      </w:r>
      <w:r w:rsidRPr="00E97E4F">
        <w:rPr>
          <w:lang w:bidi="en-US"/>
        </w:rPr>
        <w:t>; or establish or maintain a tolerance or exemption from the requirements of a tolerance for a pesticide chemical residue.</w:t>
      </w:r>
      <w:r>
        <w:rPr>
          <w:lang w:bidi="en-US"/>
        </w:rPr>
        <w:t xml:space="preserve"> </w:t>
      </w:r>
    </w:p>
    <w:p w:rsidR="004124F7" w:rsidRDefault="004124F7" w:rsidP="00110EB7">
      <w:pPr>
        <w:rPr>
          <w:lang w:bidi="en-US"/>
        </w:rPr>
      </w:pPr>
    </w:p>
    <w:p w:rsidR="00E97E4F" w:rsidRPr="00E97E4F" w:rsidRDefault="00E97E4F" w:rsidP="00110EB7">
      <w:pPr>
        <w:rPr>
          <w:lang w:bidi="en-US"/>
        </w:rPr>
      </w:pPr>
      <w:r w:rsidRPr="005463D1">
        <w:rPr>
          <w:lang w:bidi="en-US"/>
        </w:rPr>
        <w:t xml:space="preserve">As </w:t>
      </w:r>
      <w:r w:rsidR="00110EB7" w:rsidRPr="007D6E48">
        <w:rPr>
          <w:lang w:bidi="en-US"/>
        </w:rPr>
        <w:t>described</w:t>
      </w:r>
      <w:r w:rsidRPr="007D6E48">
        <w:rPr>
          <w:lang w:bidi="en-US"/>
        </w:rPr>
        <w:t xml:space="preserve"> in </w:t>
      </w:r>
      <w:r w:rsidRPr="0063236E">
        <w:rPr>
          <w:lang w:bidi="en-US"/>
        </w:rPr>
        <w:t>40 CFR 158.30</w:t>
      </w:r>
      <w:r w:rsidRPr="005463D1">
        <w:rPr>
          <w:lang w:bidi="en-US"/>
        </w:rPr>
        <w:t xml:space="preserve">, </w:t>
      </w:r>
      <w:r w:rsidR="00110EB7" w:rsidRPr="007D6E48">
        <w:rPr>
          <w:lang w:bidi="en-US"/>
        </w:rPr>
        <w:t xml:space="preserve">however, </w:t>
      </w:r>
      <w:r w:rsidRPr="007D6E48">
        <w:rPr>
          <w:lang w:bidi="en-US"/>
        </w:rPr>
        <w:t xml:space="preserve">FIFRA provides EPA </w:t>
      </w:r>
      <w:r w:rsidR="00110EB7" w:rsidRPr="007D6E48">
        <w:rPr>
          <w:lang w:bidi="en-US"/>
        </w:rPr>
        <w:t xml:space="preserve">with </w:t>
      </w:r>
      <w:r w:rsidRPr="007D6E48">
        <w:rPr>
          <w:lang w:bidi="en-US"/>
        </w:rPr>
        <w:t xml:space="preserve">flexibility to require, or not require, data and information for the purposes of making regulatory judgments for </w:t>
      </w:r>
      <w:r w:rsidR="00110EB7" w:rsidRPr="007D6E48">
        <w:rPr>
          <w:lang w:bidi="en-US"/>
        </w:rPr>
        <w:t xml:space="preserve">individual </w:t>
      </w:r>
      <w:r w:rsidRPr="007D6E48">
        <w:rPr>
          <w:lang w:bidi="en-US"/>
        </w:rPr>
        <w:t>pesticide products</w:t>
      </w:r>
      <w:r w:rsidR="00110EB7" w:rsidRPr="007D6E48">
        <w:rPr>
          <w:lang w:bidi="en-US"/>
        </w:rPr>
        <w:t xml:space="preserve">, thereby allowing for the </w:t>
      </w:r>
      <w:r w:rsidRPr="007D6E48">
        <w:rPr>
          <w:lang w:bidi="en-US"/>
        </w:rPr>
        <w:t xml:space="preserve">data </w:t>
      </w:r>
      <w:r w:rsidRPr="00D5421F">
        <w:rPr>
          <w:noProof/>
          <w:lang w:bidi="en-US"/>
        </w:rPr>
        <w:t>required</w:t>
      </w:r>
      <w:r w:rsidRPr="007D6E48">
        <w:rPr>
          <w:lang w:bidi="en-US"/>
        </w:rPr>
        <w:t xml:space="preserve"> </w:t>
      </w:r>
      <w:r w:rsidR="00110EB7" w:rsidRPr="007D6E48">
        <w:rPr>
          <w:lang w:bidi="en-US"/>
        </w:rPr>
        <w:t xml:space="preserve">to </w:t>
      </w:r>
      <w:r w:rsidRPr="007D6E48">
        <w:rPr>
          <w:lang w:bidi="en-US"/>
        </w:rPr>
        <w:t>be modified on an individual basis to fully characterize the use and properties, characteristics, or effects of specific pesticide products under review.</w:t>
      </w:r>
      <w:r w:rsidRPr="00E97E4F">
        <w:rPr>
          <w:lang w:bidi="en-US"/>
        </w:rPr>
        <w:t xml:space="preserve"> </w:t>
      </w:r>
      <w:r w:rsidRPr="005463D1">
        <w:rPr>
          <w:lang w:bidi="en-US"/>
        </w:rPr>
        <w:t xml:space="preserve">The Agency encourages each applicant to consult </w:t>
      </w:r>
      <w:r w:rsidRPr="00D5421F">
        <w:rPr>
          <w:noProof/>
          <w:lang w:bidi="en-US"/>
        </w:rPr>
        <w:t>with EPA</w:t>
      </w:r>
      <w:r w:rsidRPr="005463D1">
        <w:rPr>
          <w:lang w:bidi="en-US"/>
        </w:rPr>
        <w:t xml:space="preserve"> to discuss the data requirements particular to its product prior to and during the registration process.</w:t>
      </w:r>
      <w:r w:rsidR="00110EB7">
        <w:rPr>
          <w:lang w:bidi="en-US"/>
        </w:rPr>
        <w:t xml:space="preserve"> In addition, t</w:t>
      </w:r>
      <w:r w:rsidRPr="00E97E4F">
        <w:rPr>
          <w:lang w:bidi="en-US"/>
        </w:rPr>
        <w:t xml:space="preserve">he Agency cautions applicants that the data routinely required </w:t>
      </w:r>
      <w:r w:rsidR="00BE725C">
        <w:rPr>
          <w:noProof/>
          <w:lang w:bidi="en-US"/>
        </w:rPr>
        <w:t>by</w:t>
      </w:r>
      <w:r w:rsidRPr="00E97E4F">
        <w:rPr>
          <w:lang w:bidi="en-US"/>
        </w:rPr>
        <w:t xml:space="preserve"> </w:t>
      </w:r>
      <w:r w:rsidR="00110EB7">
        <w:rPr>
          <w:lang w:bidi="en-US"/>
        </w:rPr>
        <w:t xml:space="preserve">the regulations </w:t>
      </w:r>
      <w:r w:rsidRPr="00E97E4F">
        <w:rPr>
          <w:lang w:bidi="en-US"/>
        </w:rPr>
        <w:t xml:space="preserve">may not be sufficient to permit EPA to evaluate the potential of the product to cause unreasonable adverse effects </w:t>
      </w:r>
      <w:r w:rsidR="00BE725C">
        <w:rPr>
          <w:noProof/>
          <w:lang w:bidi="en-US"/>
        </w:rPr>
        <w:t>on</w:t>
      </w:r>
      <w:r w:rsidRPr="00E97E4F">
        <w:rPr>
          <w:lang w:bidi="en-US"/>
        </w:rPr>
        <w:t xml:space="preserve"> man or the environment. EPA may</w:t>
      </w:r>
      <w:r w:rsidR="00110EB7">
        <w:rPr>
          <w:lang w:bidi="en-US"/>
        </w:rPr>
        <w:t xml:space="preserve">, therefore, </w:t>
      </w:r>
      <w:r w:rsidRPr="00E97E4F">
        <w:rPr>
          <w:lang w:bidi="en-US"/>
        </w:rPr>
        <w:t xml:space="preserve">require the submission of additional data or information beyond that specified in </w:t>
      </w:r>
      <w:r w:rsidR="00110EB7">
        <w:rPr>
          <w:lang w:bidi="en-US"/>
        </w:rPr>
        <w:t>the regulations</w:t>
      </w:r>
      <w:r w:rsidRPr="00E97E4F">
        <w:rPr>
          <w:lang w:bidi="en-US"/>
        </w:rPr>
        <w:t xml:space="preserve"> if such data or information </w:t>
      </w:r>
      <w:r w:rsidRPr="005463D1">
        <w:rPr>
          <w:lang w:bidi="en-US"/>
        </w:rPr>
        <w:t>are needed</w:t>
      </w:r>
      <w:r w:rsidRPr="00E97E4F">
        <w:rPr>
          <w:lang w:bidi="en-US"/>
        </w:rPr>
        <w:t xml:space="preserve"> </w:t>
      </w:r>
      <w:r w:rsidRPr="00D5421F">
        <w:rPr>
          <w:noProof/>
          <w:lang w:bidi="en-US"/>
        </w:rPr>
        <w:t xml:space="preserve">to </w:t>
      </w:r>
      <w:r w:rsidR="00BE725C">
        <w:rPr>
          <w:noProof/>
          <w:lang w:bidi="en-US"/>
        </w:rPr>
        <w:t xml:space="preserve">evaluate </w:t>
      </w:r>
      <w:r w:rsidRPr="00D5421F">
        <w:rPr>
          <w:noProof/>
          <w:lang w:bidi="en-US"/>
        </w:rPr>
        <w:t>a pesticide product</w:t>
      </w:r>
      <w:r w:rsidR="00110EB7">
        <w:rPr>
          <w:lang w:bidi="en-US"/>
        </w:rPr>
        <w:t xml:space="preserve"> as required by FIFRA and FFDCA</w:t>
      </w:r>
      <w:r w:rsidRPr="00E97E4F">
        <w:rPr>
          <w:lang w:bidi="en-US"/>
        </w:rPr>
        <w:t>.</w:t>
      </w:r>
    </w:p>
    <w:p w:rsidR="0036061B" w:rsidRDefault="0036061B" w:rsidP="00E97E4F">
      <w:pPr>
        <w:rPr>
          <w:lang w:bidi="en-US"/>
        </w:rPr>
      </w:pPr>
    </w:p>
    <w:p w:rsidR="0036061B" w:rsidRDefault="00F0035E" w:rsidP="002B34A0">
      <w:pPr>
        <w:rPr>
          <w:lang w:bidi="en-US"/>
        </w:rPr>
      </w:pPr>
      <w:r w:rsidRPr="005463D1">
        <w:rPr>
          <w:lang w:bidi="en-US"/>
        </w:rPr>
        <w:t xml:space="preserve">EPA uses </w:t>
      </w:r>
      <w:r w:rsidR="004E341A" w:rsidRPr="007D6E48">
        <w:rPr>
          <w:lang w:bidi="en-US"/>
        </w:rPr>
        <w:t xml:space="preserve">the </w:t>
      </w:r>
      <w:r w:rsidRPr="007D6E48">
        <w:rPr>
          <w:lang w:bidi="en-US"/>
        </w:rPr>
        <w:t xml:space="preserve">DCIs </w:t>
      </w:r>
      <w:r w:rsidR="004E341A" w:rsidRPr="007D6E48">
        <w:rPr>
          <w:lang w:bidi="en-US"/>
        </w:rPr>
        <w:t xml:space="preserve">issued under this ICR </w:t>
      </w:r>
      <w:r w:rsidR="002B34A0" w:rsidRPr="007D6E48">
        <w:rPr>
          <w:lang w:bidi="en-US"/>
        </w:rPr>
        <w:t xml:space="preserve">to acquire </w:t>
      </w:r>
      <w:r w:rsidR="00C54579" w:rsidRPr="007D6E48">
        <w:rPr>
          <w:lang w:bidi="en-US"/>
        </w:rPr>
        <w:t xml:space="preserve">the </w:t>
      </w:r>
      <w:r w:rsidR="002B34A0" w:rsidRPr="007D6E48">
        <w:rPr>
          <w:lang w:bidi="en-US"/>
        </w:rPr>
        <w:t xml:space="preserve">data </w:t>
      </w:r>
      <w:r w:rsidR="00C54579" w:rsidRPr="007D6E48">
        <w:rPr>
          <w:lang w:bidi="en-US"/>
        </w:rPr>
        <w:t xml:space="preserve">that has been deemed </w:t>
      </w:r>
      <w:r w:rsidRPr="007D6E48">
        <w:rPr>
          <w:lang w:bidi="en-US"/>
        </w:rPr>
        <w:t xml:space="preserve">necessary </w:t>
      </w:r>
      <w:r w:rsidR="0036061B" w:rsidRPr="007D6E48">
        <w:rPr>
          <w:lang w:bidi="en-US"/>
        </w:rPr>
        <w:t xml:space="preserve">for the Agency’s statutorily mandated review </w:t>
      </w:r>
      <w:r w:rsidR="004E341A" w:rsidRPr="007D6E48">
        <w:rPr>
          <w:lang w:bidi="en-US"/>
        </w:rPr>
        <w:t xml:space="preserve">of </w:t>
      </w:r>
      <w:r w:rsidR="00C54579" w:rsidRPr="007D6E48">
        <w:rPr>
          <w:lang w:bidi="en-US"/>
        </w:rPr>
        <w:t xml:space="preserve">a </w:t>
      </w:r>
      <w:r w:rsidR="004E341A" w:rsidRPr="007D6E48">
        <w:rPr>
          <w:lang w:bidi="en-US"/>
        </w:rPr>
        <w:t>pesticide</w:t>
      </w:r>
      <w:r w:rsidR="00C54579" w:rsidRPr="007D6E48">
        <w:rPr>
          <w:lang w:bidi="en-US"/>
        </w:rPr>
        <w:t>’s</w:t>
      </w:r>
      <w:r w:rsidR="004E341A" w:rsidRPr="007D6E48">
        <w:rPr>
          <w:lang w:bidi="en-US"/>
        </w:rPr>
        <w:t xml:space="preserve"> registration, which require it </w:t>
      </w:r>
      <w:r w:rsidR="0036061B" w:rsidRPr="007D6E48">
        <w:rPr>
          <w:lang w:bidi="en-US"/>
        </w:rPr>
        <w:t>to assess whether the continued registration of an existing pesticide causes an unreasonable adverse effect on human health or the environment and whether the Agency will pursue appropriate regulatory measures.</w:t>
      </w:r>
      <w:r w:rsidR="004E341A">
        <w:rPr>
          <w:lang w:bidi="en-US"/>
        </w:rPr>
        <w:t xml:space="preserve"> The </w:t>
      </w:r>
      <w:r w:rsidR="004E341A" w:rsidRPr="004E341A">
        <w:rPr>
          <w:lang w:bidi="en-US"/>
        </w:rPr>
        <w:t>key program areas</w:t>
      </w:r>
      <w:r w:rsidR="004E341A">
        <w:rPr>
          <w:lang w:bidi="en-US"/>
        </w:rPr>
        <w:t xml:space="preserve"> are described in more detail in this ICR, along with the </w:t>
      </w:r>
      <w:r w:rsidR="004E341A" w:rsidRPr="005463D1">
        <w:rPr>
          <w:lang w:bidi="en-US"/>
        </w:rPr>
        <w:t>Agency’s</w:t>
      </w:r>
      <w:r w:rsidR="004E341A">
        <w:rPr>
          <w:lang w:bidi="en-US"/>
        </w:rPr>
        <w:t xml:space="preserve"> estimates </w:t>
      </w:r>
      <w:r w:rsidR="00BE725C">
        <w:rPr>
          <w:noProof/>
          <w:lang w:bidi="en-US"/>
        </w:rPr>
        <w:t>of</w:t>
      </w:r>
      <w:r w:rsidR="004E341A">
        <w:rPr>
          <w:lang w:bidi="en-US"/>
        </w:rPr>
        <w:t xml:space="preserve"> the information collection burden and costs associated with issuing DCIs under those key program areas.  </w:t>
      </w:r>
    </w:p>
    <w:p w:rsidR="00AF4CFB" w:rsidRDefault="00AF4CFB" w:rsidP="00AF4CFB">
      <w:pPr>
        <w:pStyle w:val="NoSpacing"/>
        <w:rPr>
          <w:lang w:bidi="en-US"/>
        </w:rPr>
      </w:pPr>
    </w:p>
    <w:p w:rsidR="00E62F2E" w:rsidRDefault="004124F7" w:rsidP="004124F7">
      <w:pPr>
        <w:pStyle w:val="NoSpacing"/>
        <w:rPr>
          <w:bCs/>
          <w:lang w:val="en-CA" w:bidi="en-US"/>
        </w:rPr>
      </w:pPr>
      <w:r w:rsidRPr="00D651D2">
        <w:rPr>
          <w:b/>
        </w:rPr>
        <w:t>Respondents/Affected Entities:</w:t>
      </w:r>
      <w:r w:rsidRPr="004124F7">
        <w:rPr>
          <w:b/>
          <w:bCs/>
          <w:lang w:bidi="en-US"/>
        </w:rPr>
        <w:t xml:space="preserve"> </w:t>
      </w:r>
      <w:r w:rsidRPr="004124F7">
        <w:rPr>
          <w:bCs/>
          <w:lang w:val="en-CA" w:bidi="en-US"/>
        </w:rPr>
        <w:t xml:space="preserve">Entities potentially affected by this ICR are </w:t>
      </w:r>
      <w:r w:rsidR="008E2771" w:rsidRPr="008E2771">
        <w:rPr>
          <w:bCs/>
          <w:lang w:bidi="en-US"/>
        </w:rPr>
        <w:t>pesticide registrant</w:t>
      </w:r>
      <w:r w:rsidR="008E2771">
        <w:rPr>
          <w:bCs/>
          <w:lang w:bidi="en-US"/>
        </w:rPr>
        <w:t xml:space="preserve"> and </w:t>
      </w:r>
      <w:r w:rsidR="008E2771" w:rsidRPr="005463D1">
        <w:rPr>
          <w:bCs/>
          <w:lang w:bidi="en-US"/>
        </w:rPr>
        <w:t xml:space="preserve">are </w:t>
      </w:r>
      <w:r w:rsidR="008E2771" w:rsidRPr="007D6E48">
        <w:rPr>
          <w:bCs/>
          <w:lang w:bidi="en-US"/>
        </w:rPr>
        <w:t>identified</w:t>
      </w:r>
      <w:r w:rsidR="008E2771" w:rsidRPr="008E2771">
        <w:rPr>
          <w:bCs/>
          <w:lang w:bidi="en-US"/>
        </w:rPr>
        <w:t xml:space="preserve"> by the North American Industrial Classification System (NAICS) code 325320</w:t>
      </w:r>
      <w:r w:rsidR="008E2771" w:rsidRPr="008E2771">
        <w:rPr>
          <w:b/>
          <w:bCs/>
          <w:lang w:bidi="en-US"/>
        </w:rPr>
        <w:t xml:space="preserve"> </w:t>
      </w:r>
      <w:r w:rsidR="008E2771" w:rsidRPr="008E2771">
        <w:rPr>
          <w:bCs/>
          <w:lang w:bidi="en-US"/>
        </w:rPr>
        <w:t>(Pesticide and Other Agricultural Chemical Manufacturing).</w:t>
      </w:r>
    </w:p>
    <w:p w:rsidR="003A7FD9" w:rsidRDefault="003A7FD9" w:rsidP="004124F7">
      <w:pPr>
        <w:pStyle w:val="NoSpacing"/>
        <w:rPr>
          <w:lang w:bidi="en-US"/>
        </w:rPr>
      </w:pPr>
    </w:p>
    <w:p w:rsidR="004124F7" w:rsidRDefault="004124F7" w:rsidP="004124F7">
      <w:pPr>
        <w:pStyle w:val="NoSpacing"/>
        <w:rPr>
          <w:lang w:bidi="en-US"/>
        </w:rPr>
      </w:pPr>
      <w:r w:rsidRPr="005463D1">
        <w:rPr>
          <w:b/>
        </w:rPr>
        <w:t>Respondent’s</w:t>
      </w:r>
      <w:r w:rsidRPr="00D651D2">
        <w:rPr>
          <w:b/>
        </w:rPr>
        <w:t xml:space="preserve"> Obligation to Respond:</w:t>
      </w:r>
      <w:r w:rsidRPr="004124F7">
        <w:rPr>
          <w:lang w:bidi="en-US"/>
        </w:rPr>
        <w:t xml:space="preserve"> Response to </w:t>
      </w:r>
      <w:r w:rsidR="003A7FD9">
        <w:rPr>
          <w:lang w:bidi="en-US"/>
        </w:rPr>
        <w:t xml:space="preserve">a DCI </w:t>
      </w:r>
      <w:r w:rsidRPr="004124F7">
        <w:rPr>
          <w:lang w:bidi="en-US"/>
        </w:rPr>
        <w:t xml:space="preserve">is mandatory under </w:t>
      </w:r>
      <w:r w:rsidR="003A7FD9">
        <w:rPr>
          <w:lang w:bidi="en-US"/>
        </w:rPr>
        <w:t>FIFRA section 3(c)(2)(B)</w:t>
      </w:r>
      <w:r w:rsidRPr="004124F7">
        <w:rPr>
          <w:lang w:bidi="en-US"/>
        </w:rPr>
        <w:t>.</w:t>
      </w:r>
    </w:p>
    <w:p w:rsidR="003A7FD9" w:rsidRPr="004124F7" w:rsidRDefault="003A7FD9" w:rsidP="004124F7">
      <w:pPr>
        <w:pStyle w:val="NoSpacing"/>
        <w:rPr>
          <w:lang w:bidi="en-US"/>
        </w:rPr>
      </w:pPr>
    </w:p>
    <w:p w:rsidR="004124F7" w:rsidRDefault="004124F7" w:rsidP="004124F7">
      <w:pPr>
        <w:pStyle w:val="NoSpacing"/>
        <w:rPr>
          <w:lang w:bidi="en-US"/>
        </w:rPr>
      </w:pPr>
      <w:r w:rsidRPr="00D651D2">
        <w:rPr>
          <w:b/>
        </w:rPr>
        <w:lastRenderedPageBreak/>
        <w:t>Estimated Number of Respondents</w:t>
      </w:r>
      <w:r w:rsidRPr="00000DFC">
        <w:t>:</w:t>
      </w:r>
      <w:r w:rsidR="003A7FD9" w:rsidRPr="00000DFC">
        <w:rPr>
          <w:lang w:bidi="en-US"/>
        </w:rPr>
        <w:t xml:space="preserve"> </w:t>
      </w:r>
      <w:r w:rsidR="00000DFC" w:rsidRPr="00000DFC">
        <w:rPr>
          <w:lang w:bidi="en-US"/>
        </w:rPr>
        <w:t>122</w:t>
      </w:r>
      <w:r w:rsidRPr="004124F7">
        <w:rPr>
          <w:lang w:bidi="en-US"/>
        </w:rPr>
        <w:t xml:space="preserve"> </w:t>
      </w:r>
    </w:p>
    <w:p w:rsidR="003A7FD9" w:rsidRPr="004124F7" w:rsidRDefault="003A7FD9" w:rsidP="004124F7">
      <w:pPr>
        <w:pStyle w:val="NoSpacing"/>
        <w:rPr>
          <w:lang w:bidi="en-US"/>
        </w:rPr>
      </w:pPr>
    </w:p>
    <w:p w:rsidR="004124F7" w:rsidRDefault="004124F7" w:rsidP="004124F7">
      <w:pPr>
        <w:pStyle w:val="NoSpacing"/>
        <w:rPr>
          <w:bCs/>
          <w:lang w:bidi="en-US"/>
        </w:rPr>
      </w:pPr>
      <w:r w:rsidRPr="00D5421F">
        <w:rPr>
          <w:b/>
          <w:noProof/>
        </w:rPr>
        <w:t>Frequency</w:t>
      </w:r>
      <w:r w:rsidRPr="00D651D2">
        <w:rPr>
          <w:b/>
        </w:rPr>
        <w:t xml:space="preserve"> of Response: </w:t>
      </w:r>
      <w:r w:rsidRPr="004124F7">
        <w:rPr>
          <w:bCs/>
          <w:lang w:bidi="en-US"/>
        </w:rPr>
        <w:t>On occasion.</w:t>
      </w:r>
    </w:p>
    <w:p w:rsidR="003A7FD9" w:rsidRPr="004124F7" w:rsidRDefault="003A7FD9" w:rsidP="004124F7">
      <w:pPr>
        <w:pStyle w:val="NoSpacing"/>
        <w:rPr>
          <w:bCs/>
          <w:lang w:bidi="en-US"/>
        </w:rPr>
      </w:pPr>
    </w:p>
    <w:p w:rsidR="004124F7" w:rsidRDefault="004124F7" w:rsidP="004124F7">
      <w:pPr>
        <w:pStyle w:val="NoSpacing"/>
        <w:rPr>
          <w:lang w:bidi="en-US"/>
        </w:rPr>
      </w:pPr>
      <w:r w:rsidRPr="00D651D2">
        <w:rPr>
          <w:b/>
        </w:rPr>
        <w:t>Estimated Burden:</w:t>
      </w:r>
      <w:r w:rsidRPr="004124F7">
        <w:rPr>
          <w:bCs/>
          <w:lang w:bidi="en-US"/>
        </w:rPr>
        <w:t xml:space="preserve"> The response burden </w:t>
      </w:r>
      <w:r w:rsidRPr="005463D1">
        <w:rPr>
          <w:bCs/>
          <w:lang w:bidi="en-US"/>
        </w:rPr>
        <w:t>is estimated</w:t>
      </w:r>
      <w:r w:rsidRPr="004124F7">
        <w:rPr>
          <w:bCs/>
          <w:lang w:bidi="en-US"/>
        </w:rPr>
        <w:t xml:space="preserve"> to </w:t>
      </w:r>
      <w:r w:rsidRPr="004124F7">
        <w:rPr>
          <w:lang w:bidi="en-US"/>
        </w:rPr>
        <w:t xml:space="preserve">range between </w:t>
      </w:r>
      <w:r w:rsidR="00BC5A9D">
        <w:rPr>
          <w:lang w:bidi="en-US"/>
        </w:rPr>
        <w:t>20</w:t>
      </w:r>
      <w:r w:rsidRPr="004124F7">
        <w:rPr>
          <w:lang w:bidi="en-US"/>
        </w:rPr>
        <w:t xml:space="preserve"> and</w:t>
      </w:r>
      <w:r w:rsidR="00BC5A9D">
        <w:rPr>
          <w:lang w:bidi="en-US"/>
        </w:rPr>
        <w:t xml:space="preserve"> </w:t>
      </w:r>
      <w:r w:rsidR="00000DFC">
        <w:rPr>
          <w:lang w:bidi="en-US"/>
        </w:rPr>
        <w:t>8182</w:t>
      </w:r>
      <w:r w:rsidRPr="004124F7">
        <w:rPr>
          <w:lang w:bidi="en-US"/>
        </w:rPr>
        <w:t xml:space="preserve"> hours per response, depending on the </w:t>
      </w:r>
      <w:r w:rsidR="00000DFC">
        <w:rPr>
          <w:lang w:bidi="en-US"/>
        </w:rPr>
        <w:t xml:space="preserve">specific data gap </w:t>
      </w:r>
      <w:r w:rsidR="003A7FD9">
        <w:rPr>
          <w:lang w:bidi="en-US"/>
        </w:rPr>
        <w:t>associated with the individual DCI</w:t>
      </w:r>
      <w:r w:rsidRPr="004124F7">
        <w:rPr>
          <w:lang w:bidi="en-US"/>
        </w:rPr>
        <w:t>. The</w:t>
      </w:r>
      <w:r w:rsidRPr="004124F7">
        <w:rPr>
          <w:bCs/>
          <w:lang w:bidi="en-US"/>
        </w:rPr>
        <w:t xml:space="preserve"> total annualized burden </w:t>
      </w:r>
      <w:r w:rsidR="003A7FD9">
        <w:rPr>
          <w:bCs/>
          <w:lang w:bidi="en-US"/>
        </w:rPr>
        <w:t xml:space="preserve">for this ICR </w:t>
      </w:r>
      <w:r w:rsidRPr="005463D1">
        <w:rPr>
          <w:bCs/>
          <w:lang w:bidi="en-US"/>
        </w:rPr>
        <w:t>is estimated</w:t>
      </w:r>
      <w:r w:rsidRPr="004124F7">
        <w:rPr>
          <w:bCs/>
          <w:lang w:bidi="en-US"/>
        </w:rPr>
        <w:t xml:space="preserve"> to be </w:t>
      </w:r>
      <w:r w:rsidR="00000DFC">
        <w:rPr>
          <w:bCs/>
          <w:lang w:bidi="en-US"/>
        </w:rPr>
        <w:t>6</w:t>
      </w:r>
      <w:r w:rsidR="00B830A9">
        <w:rPr>
          <w:bCs/>
          <w:lang w:bidi="en-US"/>
        </w:rPr>
        <w:t>25</w:t>
      </w:r>
      <w:r w:rsidR="00000DFC">
        <w:rPr>
          <w:bCs/>
          <w:lang w:bidi="en-US"/>
        </w:rPr>
        <w:t>,</w:t>
      </w:r>
      <w:r w:rsidR="00B830A9">
        <w:rPr>
          <w:bCs/>
          <w:lang w:bidi="en-US"/>
        </w:rPr>
        <w:t>669</w:t>
      </w:r>
      <w:r w:rsidR="00000DFC">
        <w:rPr>
          <w:bCs/>
          <w:lang w:bidi="en-US"/>
        </w:rPr>
        <w:t xml:space="preserve"> hours </w:t>
      </w:r>
      <w:r w:rsidRPr="004124F7">
        <w:rPr>
          <w:lang w:bidi="en-US"/>
        </w:rPr>
        <w:t xml:space="preserve">(per year). </w:t>
      </w:r>
      <w:r w:rsidR="00BE725C">
        <w:rPr>
          <w:noProof/>
          <w:lang w:bidi="en-US"/>
        </w:rPr>
        <w:t>The b</w:t>
      </w:r>
      <w:r w:rsidRPr="00D5421F">
        <w:rPr>
          <w:noProof/>
          <w:lang w:bidi="en-US"/>
        </w:rPr>
        <w:t>urden</w:t>
      </w:r>
      <w:r w:rsidRPr="004124F7">
        <w:rPr>
          <w:lang w:bidi="en-US"/>
        </w:rPr>
        <w:t xml:space="preserve"> </w:t>
      </w:r>
      <w:r w:rsidRPr="005463D1">
        <w:rPr>
          <w:lang w:bidi="en-US"/>
        </w:rPr>
        <w:t>is defined</w:t>
      </w:r>
      <w:r w:rsidRPr="004124F7">
        <w:rPr>
          <w:lang w:bidi="en-US"/>
        </w:rPr>
        <w:t xml:space="preserve"> at </w:t>
      </w:r>
      <w:r w:rsidRPr="0042316C">
        <w:rPr>
          <w:lang w:bidi="en-US"/>
        </w:rPr>
        <w:t>5 CFR 1320.3(b)</w:t>
      </w:r>
      <w:r w:rsidR="003A7FD9">
        <w:rPr>
          <w:lang w:bidi="en-US"/>
        </w:rPr>
        <w:t>.</w:t>
      </w:r>
    </w:p>
    <w:p w:rsidR="003A7FD9" w:rsidRPr="004124F7" w:rsidRDefault="003A7FD9" w:rsidP="004124F7">
      <w:pPr>
        <w:pStyle w:val="NoSpacing"/>
        <w:rPr>
          <w:bCs/>
          <w:lang w:bidi="en-US"/>
        </w:rPr>
      </w:pPr>
    </w:p>
    <w:p w:rsidR="003A7FD9" w:rsidRDefault="004124F7" w:rsidP="00C1516C">
      <w:pPr>
        <w:rPr>
          <w:bCs/>
          <w:lang w:bidi="en-US"/>
        </w:rPr>
      </w:pPr>
      <w:r w:rsidRPr="00D651D2">
        <w:rPr>
          <w:b/>
        </w:rPr>
        <w:t>Estimated Cost:</w:t>
      </w:r>
      <w:r w:rsidRPr="004124F7">
        <w:rPr>
          <w:bCs/>
          <w:lang w:bidi="en-US"/>
        </w:rPr>
        <w:t xml:space="preserve"> The total annualized </w:t>
      </w:r>
      <w:r w:rsidR="00000DFC">
        <w:rPr>
          <w:bCs/>
          <w:lang w:bidi="en-US"/>
        </w:rPr>
        <w:t xml:space="preserve">cost </w:t>
      </w:r>
      <w:r w:rsidR="003A7FD9">
        <w:rPr>
          <w:bCs/>
          <w:lang w:bidi="en-US"/>
        </w:rPr>
        <w:t xml:space="preserve">for this ICR </w:t>
      </w:r>
      <w:r w:rsidRPr="005463D1">
        <w:rPr>
          <w:bCs/>
          <w:lang w:bidi="en-US"/>
        </w:rPr>
        <w:t>is estimated</w:t>
      </w:r>
      <w:r w:rsidRPr="004124F7">
        <w:rPr>
          <w:bCs/>
          <w:lang w:bidi="en-US"/>
        </w:rPr>
        <w:t xml:space="preserve"> to </w:t>
      </w:r>
      <w:r w:rsidR="00106EE5" w:rsidRPr="004124F7">
        <w:rPr>
          <w:bCs/>
          <w:lang w:bidi="en-US"/>
        </w:rPr>
        <w:t xml:space="preserve">be </w:t>
      </w:r>
      <w:r w:rsidR="003C31F9">
        <w:rPr>
          <w:lang w:bidi="en-US"/>
        </w:rPr>
        <w:t>$</w:t>
      </w:r>
      <w:r w:rsidR="00000DFC">
        <w:rPr>
          <w:lang w:bidi="en-US"/>
        </w:rPr>
        <w:t>4</w:t>
      </w:r>
      <w:r w:rsidR="00B830A9">
        <w:rPr>
          <w:lang w:bidi="en-US"/>
        </w:rPr>
        <w:t>4</w:t>
      </w:r>
      <w:r w:rsidR="00000DFC">
        <w:rPr>
          <w:lang w:bidi="en-US"/>
        </w:rPr>
        <w:t>,</w:t>
      </w:r>
      <w:r w:rsidR="00B830A9">
        <w:rPr>
          <w:lang w:bidi="en-US"/>
        </w:rPr>
        <w:t>890</w:t>
      </w:r>
      <w:r w:rsidR="00000DFC">
        <w:rPr>
          <w:lang w:bidi="en-US"/>
        </w:rPr>
        <w:t>,</w:t>
      </w:r>
      <w:r w:rsidR="00B830A9">
        <w:rPr>
          <w:lang w:bidi="en-US"/>
        </w:rPr>
        <w:t>390</w:t>
      </w:r>
      <w:r w:rsidR="00000DFC">
        <w:rPr>
          <w:lang w:bidi="en-US"/>
        </w:rPr>
        <w:t xml:space="preserve">.  </w:t>
      </w:r>
      <w:r w:rsidR="00C1516C" w:rsidRPr="00C1516C">
        <w:rPr>
          <w:rFonts w:cs="Arial"/>
          <w:lang w:bidi="en-US"/>
        </w:rPr>
        <w:t>M</w:t>
      </w:r>
      <w:r w:rsidR="00C1516C" w:rsidRPr="00C1516C">
        <w:rPr>
          <w:rFonts w:eastAsia="Times New Roman" w:cs="Arial"/>
          <w:szCs w:val="24"/>
        </w:rPr>
        <w:t xml:space="preserve">ailing costs for DCIs are not included in the estimates below as electronic submissions are now </w:t>
      </w:r>
      <w:r w:rsidR="00C1516C" w:rsidRPr="00D5421F">
        <w:rPr>
          <w:rFonts w:eastAsia="Times New Roman" w:cs="Arial"/>
          <w:noProof/>
          <w:szCs w:val="24"/>
        </w:rPr>
        <w:t>accepted</w:t>
      </w:r>
      <w:r w:rsidR="00BE725C">
        <w:rPr>
          <w:rFonts w:eastAsia="Times New Roman" w:cs="Arial"/>
          <w:noProof/>
          <w:szCs w:val="24"/>
        </w:rPr>
        <w:t>,</w:t>
      </w:r>
      <w:r w:rsidR="00C1516C" w:rsidRPr="00C1516C">
        <w:rPr>
          <w:rFonts w:eastAsia="Times New Roman" w:cs="Arial"/>
          <w:szCs w:val="24"/>
        </w:rPr>
        <w:t xml:space="preserve"> and it is typical practice for registrants to submit data using this method. </w:t>
      </w:r>
      <w:r w:rsidR="00FE1581">
        <w:rPr>
          <w:rFonts w:eastAsia="Times New Roman" w:cs="Arial"/>
          <w:szCs w:val="24"/>
        </w:rPr>
        <w:t xml:space="preserve">See </w:t>
      </w:r>
      <w:hyperlink r:id="rId9" w:history="1">
        <w:r w:rsidR="00FE1581" w:rsidRPr="00FE1581">
          <w:rPr>
            <w:rStyle w:val="Hyperlink"/>
            <w:rFonts w:eastAsia="Times New Roman" w:cs="Arial"/>
            <w:szCs w:val="24"/>
          </w:rPr>
          <w:t>http://www.epa.gov/pesticide-registration/e-submission-resource-documents-assembly-electronic-packages-and-discs</w:t>
        </w:r>
      </w:hyperlink>
      <w:r w:rsidR="00FE1581">
        <w:rPr>
          <w:rFonts w:eastAsia="Times New Roman" w:cs="Arial"/>
          <w:szCs w:val="24"/>
        </w:rPr>
        <w:t>.</w:t>
      </w:r>
      <w:r w:rsidR="00C1516C" w:rsidRPr="00C1516C">
        <w:rPr>
          <w:rFonts w:eastAsia="Times New Roman" w:cs="Arial"/>
          <w:szCs w:val="24"/>
        </w:rPr>
        <w:t xml:space="preserve"> In the case that DCI </w:t>
      </w:r>
      <w:r w:rsidR="003C2489">
        <w:rPr>
          <w:rFonts w:eastAsia="Times New Roman" w:cs="Arial"/>
          <w:szCs w:val="24"/>
        </w:rPr>
        <w:t xml:space="preserve">responses </w:t>
      </w:r>
      <w:r w:rsidR="00C1516C" w:rsidRPr="00C1516C">
        <w:rPr>
          <w:rFonts w:eastAsia="Times New Roman" w:cs="Arial"/>
          <w:szCs w:val="24"/>
        </w:rPr>
        <w:t xml:space="preserve">are </w:t>
      </w:r>
      <w:r w:rsidR="00C1516C" w:rsidRPr="003C2489">
        <w:rPr>
          <w:rFonts w:eastAsia="Times New Roman" w:cs="Arial"/>
          <w:noProof/>
          <w:szCs w:val="24"/>
        </w:rPr>
        <w:t>submitted</w:t>
      </w:r>
      <w:r w:rsidR="00C1516C" w:rsidRPr="00C1516C">
        <w:rPr>
          <w:rFonts w:eastAsia="Times New Roman" w:cs="Arial"/>
          <w:szCs w:val="24"/>
        </w:rPr>
        <w:t xml:space="preserve"> using certified mail, it is estimated that the cost to submit an individual DCI would be no more than $20.</w:t>
      </w:r>
      <w:r w:rsidR="00C1516C" w:rsidRPr="00C1516C">
        <w:rPr>
          <w:rFonts w:eastAsia="Times New Roman" w:cs="Arial"/>
          <w:szCs w:val="24"/>
          <w:vertAlign w:val="superscript"/>
        </w:rPr>
        <w:footnoteReference w:id="4"/>
      </w:r>
      <w:r w:rsidR="00C1516C" w:rsidRPr="00C1516C">
        <w:rPr>
          <w:rFonts w:eastAsia="Times New Roman" w:cs="Arial"/>
          <w:szCs w:val="24"/>
        </w:rPr>
        <w:t xml:space="preserve"> </w:t>
      </w:r>
    </w:p>
    <w:p w:rsidR="00C1516C" w:rsidRDefault="00C1516C" w:rsidP="00C1516C">
      <w:pPr>
        <w:pStyle w:val="NoSpacing"/>
        <w:rPr>
          <w:lang w:bidi="en-US"/>
        </w:rPr>
      </w:pPr>
    </w:p>
    <w:p w:rsidR="00E6153F" w:rsidRDefault="00E6153F" w:rsidP="00E6153F">
      <w:pPr>
        <w:pStyle w:val="NoSpacing"/>
        <w:rPr>
          <w:lang w:bidi="en-US"/>
        </w:rPr>
      </w:pPr>
      <w:r w:rsidRPr="00E6153F">
        <w:rPr>
          <w:b/>
        </w:rPr>
        <w:t>Changes in Burden Estimates:</w:t>
      </w:r>
      <w:r w:rsidRPr="00E6153F">
        <w:rPr>
          <w:lang w:bidi="en-US"/>
        </w:rPr>
        <w:t xml:space="preserve"> This ICR represents an increase of </w:t>
      </w:r>
      <w:r w:rsidR="0000355B">
        <w:rPr>
          <w:lang w:bidi="en-US"/>
        </w:rPr>
        <w:t>3</w:t>
      </w:r>
      <w:r w:rsidR="00B830A9">
        <w:rPr>
          <w:lang w:bidi="en-US"/>
        </w:rPr>
        <w:t>62</w:t>
      </w:r>
      <w:r w:rsidR="0000355B">
        <w:rPr>
          <w:lang w:bidi="en-US"/>
        </w:rPr>
        <w:t>,</w:t>
      </w:r>
      <w:r w:rsidR="00B830A9">
        <w:rPr>
          <w:lang w:bidi="en-US"/>
        </w:rPr>
        <w:t>368</w:t>
      </w:r>
      <w:r w:rsidR="0000355B">
        <w:rPr>
          <w:lang w:bidi="en-US"/>
        </w:rPr>
        <w:t xml:space="preserve"> </w:t>
      </w:r>
      <w:r w:rsidRPr="00E6153F">
        <w:rPr>
          <w:lang w:bidi="en-US"/>
        </w:rPr>
        <w:t xml:space="preserve">hours </w:t>
      </w:r>
      <w:r w:rsidR="00000DFC">
        <w:rPr>
          <w:lang w:bidi="en-US"/>
        </w:rPr>
        <w:t>(</w:t>
      </w:r>
      <w:r w:rsidR="0000355B">
        <w:rPr>
          <w:lang w:bidi="en-US"/>
        </w:rPr>
        <w:t>6</w:t>
      </w:r>
      <w:r w:rsidR="00B830A9">
        <w:rPr>
          <w:lang w:bidi="en-US"/>
        </w:rPr>
        <w:t>2</w:t>
      </w:r>
      <w:r w:rsidR="0000355B">
        <w:rPr>
          <w:lang w:bidi="en-US"/>
        </w:rPr>
        <w:t>5,</w:t>
      </w:r>
      <w:r w:rsidR="00B830A9">
        <w:rPr>
          <w:lang w:bidi="en-US"/>
        </w:rPr>
        <w:t>669</w:t>
      </w:r>
      <w:r w:rsidR="0000355B">
        <w:rPr>
          <w:lang w:bidi="en-US"/>
        </w:rPr>
        <w:t xml:space="preserve"> – 262,301</w:t>
      </w:r>
      <w:r w:rsidR="00000DFC">
        <w:rPr>
          <w:lang w:bidi="en-US"/>
        </w:rPr>
        <w:t xml:space="preserve">) </w:t>
      </w:r>
      <w:r w:rsidRPr="00E6153F">
        <w:rPr>
          <w:lang w:bidi="en-US"/>
        </w:rPr>
        <w:t xml:space="preserve">in the total estimated annualized burden compared with that currently approved by OMB. </w:t>
      </w:r>
      <w:r w:rsidR="004D3B41" w:rsidRPr="004D3B41">
        <w:rPr>
          <w:lang w:bidi="en-US"/>
        </w:rPr>
        <w:t xml:space="preserve">The </w:t>
      </w:r>
      <w:r w:rsidR="00EB3B36">
        <w:rPr>
          <w:lang w:bidi="en-US"/>
        </w:rPr>
        <w:t xml:space="preserve">burden </w:t>
      </w:r>
      <w:r w:rsidR="004D3B41" w:rsidRPr="004D3B41">
        <w:rPr>
          <w:lang w:bidi="en-US"/>
        </w:rPr>
        <w:t xml:space="preserve">increase is a </w:t>
      </w:r>
      <w:r w:rsidR="00793C37">
        <w:rPr>
          <w:lang w:bidi="en-US"/>
        </w:rPr>
        <w:t xml:space="preserve">cumulative </w:t>
      </w:r>
      <w:r w:rsidR="004D3B41" w:rsidRPr="004D3B41">
        <w:rPr>
          <w:lang w:bidi="en-US"/>
        </w:rPr>
        <w:t xml:space="preserve">result of the program implementing new methodologies to calculate respondent burden, the inclusion of a new IC group - consortium participants </w:t>
      </w:r>
      <w:r w:rsidR="00EB3B36">
        <w:rPr>
          <w:lang w:bidi="en-US"/>
        </w:rPr>
        <w:t xml:space="preserve">- </w:t>
      </w:r>
      <w:r w:rsidR="004D3B41" w:rsidRPr="004D3B41">
        <w:rPr>
          <w:lang w:bidi="en-US"/>
        </w:rPr>
        <w:t>to more accurately reflect the respondent burden</w:t>
      </w:r>
      <w:r w:rsidR="00520119">
        <w:rPr>
          <w:lang w:bidi="en-US"/>
        </w:rPr>
        <w:t xml:space="preserve">, renaming and recalculating an existing IC group from Enforcement and Unanticipated Incident activities to Maintenance </w:t>
      </w:r>
      <w:r w:rsidR="006C7801">
        <w:rPr>
          <w:lang w:bidi="en-US"/>
        </w:rPr>
        <w:t>DCIs, and</w:t>
      </w:r>
      <w:r w:rsidR="00793C37">
        <w:rPr>
          <w:lang w:bidi="en-US"/>
        </w:rPr>
        <w:t xml:space="preserve"> the a</w:t>
      </w:r>
      <w:r w:rsidR="00655C61">
        <w:rPr>
          <w:lang w:bidi="en-US"/>
        </w:rPr>
        <w:t>cceleration of the Registration Review Program</w:t>
      </w:r>
      <w:r w:rsidR="00990F55">
        <w:rPr>
          <w:lang w:bidi="en-US"/>
        </w:rPr>
        <w:t xml:space="preserve">.  All of these activities </w:t>
      </w:r>
      <w:r w:rsidR="00EB3B36">
        <w:rPr>
          <w:lang w:bidi="en-US"/>
        </w:rPr>
        <w:t>ha</w:t>
      </w:r>
      <w:r w:rsidR="00990F55">
        <w:rPr>
          <w:lang w:bidi="en-US"/>
        </w:rPr>
        <w:t>ve</w:t>
      </w:r>
      <w:r w:rsidR="00EB3B36">
        <w:rPr>
          <w:lang w:bidi="en-US"/>
        </w:rPr>
        <w:t xml:space="preserve"> </w:t>
      </w:r>
      <w:r w:rsidR="00990F55">
        <w:rPr>
          <w:lang w:bidi="en-US"/>
        </w:rPr>
        <w:t xml:space="preserve">contributed to the </w:t>
      </w:r>
      <w:r w:rsidR="00000DFC">
        <w:rPr>
          <w:lang w:bidi="en-US"/>
        </w:rPr>
        <w:t>significant i</w:t>
      </w:r>
      <w:r w:rsidR="004D3B41" w:rsidRPr="004D3B41">
        <w:rPr>
          <w:lang w:bidi="en-US"/>
        </w:rPr>
        <w:t>ncrease in</w:t>
      </w:r>
      <w:r w:rsidR="00655C61">
        <w:rPr>
          <w:lang w:bidi="en-US"/>
        </w:rPr>
        <w:t xml:space="preserve"> </w:t>
      </w:r>
      <w:r w:rsidR="004D3B41" w:rsidRPr="004D3B41">
        <w:rPr>
          <w:lang w:bidi="en-US"/>
        </w:rPr>
        <w:t xml:space="preserve">number of DCIs </w:t>
      </w:r>
      <w:r w:rsidR="00655C61">
        <w:rPr>
          <w:lang w:bidi="en-US"/>
        </w:rPr>
        <w:t xml:space="preserve">to be </w:t>
      </w:r>
      <w:r w:rsidR="004D3B41" w:rsidRPr="004D3B41">
        <w:rPr>
          <w:lang w:bidi="en-US"/>
        </w:rPr>
        <w:t xml:space="preserve">issued </w:t>
      </w:r>
      <w:r w:rsidR="00655C61">
        <w:rPr>
          <w:lang w:bidi="en-US"/>
        </w:rPr>
        <w:t>(</w:t>
      </w:r>
      <w:r w:rsidR="00000DFC">
        <w:rPr>
          <w:lang w:bidi="en-US"/>
        </w:rPr>
        <w:t xml:space="preserve">221 </w:t>
      </w:r>
      <w:r w:rsidR="004D3B41" w:rsidRPr="003C2489">
        <w:rPr>
          <w:noProof/>
          <w:lang w:bidi="en-US"/>
        </w:rPr>
        <w:t>vers</w:t>
      </w:r>
      <w:r w:rsidR="003C2489">
        <w:rPr>
          <w:noProof/>
          <w:lang w:bidi="en-US"/>
        </w:rPr>
        <w:t>u</w:t>
      </w:r>
      <w:r w:rsidR="004D3B41" w:rsidRPr="003C2489">
        <w:rPr>
          <w:noProof/>
          <w:lang w:bidi="en-US"/>
        </w:rPr>
        <w:t>s</w:t>
      </w:r>
      <w:r w:rsidR="004D3B41" w:rsidRPr="004D3B41">
        <w:rPr>
          <w:lang w:bidi="en-US"/>
        </w:rPr>
        <w:t xml:space="preserve"> </w:t>
      </w:r>
      <w:r w:rsidR="00000DFC">
        <w:rPr>
          <w:lang w:bidi="en-US"/>
        </w:rPr>
        <w:t xml:space="preserve">45) </w:t>
      </w:r>
      <w:r w:rsidR="00655C61">
        <w:rPr>
          <w:lang w:bidi="en-US"/>
        </w:rPr>
        <w:t>annually.</w:t>
      </w:r>
      <w:r w:rsidR="00C441BD" w:rsidRPr="00C441BD">
        <w:rPr>
          <w:lang w:bidi="en-US"/>
        </w:rPr>
        <w:t xml:space="preserve"> </w:t>
      </w:r>
      <w:r w:rsidR="00C441BD" w:rsidRPr="00E6153F">
        <w:rPr>
          <w:lang w:bidi="en-US"/>
        </w:rPr>
        <w:t xml:space="preserve">This change </w:t>
      </w:r>
      <w:r w:rsidR="00C441BD" w:rsidRPr="003C2489">
        <w:rPr>
          <w:noProof/>
          <w:lang w:bidi="en-US"/>
        </w:rPr>
        <w:t>represents a</w:t>
      </w:r>
      <w:r w:rsidR="00C441BD" w:rsidRPr="00E6153F">
        <w:rPr>
          <w:lang w:bidi="en-US"/>
        </w:rPr>
        <w:t xml:space="preserve"> program adjustment.</w:t>
      </w:r>
      <w:r w:rsidR="00655C61">
        <w:rPr>
          <w:lang w:bidi="en-US"/>
        </w:rPr>
        <w:t xml:space="preserve"> </w:t>
      </w:r>
    </w:p>
    <w:p w:rsidR="00000DFC" w:rsidRPr="00E6153F" w:rsidRDefault="00000DFC" w:rsidP="00E6153F">
      <w:pPr>
        <w:pStyle w:val="NoSpacing"/>
        <w:rPr>
          <w:lang w:bidi="en-US"/>
        </w:rPr>
      </w:pPr>
    </w:p>
    <w:p w:rsidR="002B34A0" w:rsidRPr="004E341A" w:rsidRDefault="006D7B41" w:rsidP="002C395B">
      <w:pPr>
        <w:pStyle w:val="Heading1"/>
        <w:numPr>
          <w:ilvl w:val="0"/>
          <w:numId w:val="3"/>
        </w:numPr>
      </w:pPr>
      <w:bookmarkStart w:id="7" w:name="_Toc482020565"/>
      <w:bookmarkStart w:id="8" w:name="_Toc489017108"/>
      <w:r>
        <w:t xml:space="preserve">AUTHORITY FOR THE </w:t>
      </w:r>
      <w:r w:rsidR="002B34A0" w:rsidRPr="004E341A">
        <w:t>COLLECTION</w:t>
      </w:r>
      <w:bookmarkEnd w:id="7"/>
      <w:bookmarkEnd w:id="8"/>
    </w:p>
    <w:p w:rsidR="003C148D" w:rsidRDefault="00C54579" w:rsidP="002B34A0">
      <w:pPr>
        <w:rPr>
          <w:lang w:bidi="en-US"/>
        </w:rPr>
      </w:pPr>
      <w:r>
        <w:rPr>
          <w:lang w:bidi="en-US"/>
        </w:rPr>
        <w:t xml:space="preserve">FIFRA </w:t>
      </w:r>
      <w:r w:rsidR="005F7651" w:rsidRPr="005F7651">
        <w:rPr>
          <w:lang w:bidi="en-US"/>
        </w:rPr>
        <w:t>§§</w:t>
      </w:r>
      <w:r w:rsidR="002B34A0" w:rsidRPr="002B34A0">
        <w:rPr>
          <w:lang w:bidi="en-US"/>
        </w:rPr>
        <w:t xml:space="preserve">3(a) and 12(a)(1) require a person to register a pesticide product with the EPA before the pesticide product may be lawfully sold or distributed in the United States.  </w:t>
      </w:r>
      <w:r w:rsidR="002B34A0" w:rsidRPr="005463D1">
        <w:rPr>
          <w:lang w:bidi="en-US"/>
        </w:rPr>
        <w:t>A pesticide registration is a license that allows a pesticide product to be sold and dis</w:t>
      </w:r>
      <w:r w:rsidR="002B34A0" w:rsidRPr="007D6E48">
        <w:rPr>
          <w:lang w:bidi="en-US"/>
        </w:rPr>
        <w:t>tributed for specific uses under specified terms and conditions such as use instructions and precautions.</w:t>
      </w:r>
      <w:r w:rsidR="002B34A0" w:rsidRPr="002B34A0">
        <w:rPr>
          <w:lang w:bidi="en-US"/>
        </w:rPr>
        <w:t xml:space="preserve">  The proponent of initial or continued registration always bears the burden of demonstrating that a pesticide product meets the statutory standard for registration.  </w:t>
      </w:r>
    </w:p>
    <w:p w:rsidR="003C148D" w:rsidRDefault="003C148D" w:rsidP="002B34A0">
      <w:pPr>
        <w:rPr>
          <w:lang w:bidi="en-US"/>
        </w:rPr>
      </w:pPr>
    </w:p>
    <w:p w:rsidR="002B34A0" w:rsidRPr="002B34A0" w:rsidRDefault="002B34A0" w:rsidP="002B34A0">
      <w:pPr>
        <w:rPr>
          <w:lang w:bidi="en-US"/>
        </w:rPr>
      </w:pPr>
      <w:r w:rsidRPr="002B34A0">
        <w:rPr>
          <w:lang w:bidi="en-US"/>
        </w:rPr>
        <w:t xml:space="preserve">A pesticide product may be registered or remain registered only if it meets the statutory standard for registration given in </w:t>
      </w:r>
      <w:r w:rsidR="00C54579">
        <w:rPr>
          <w:lang w:bidi="en-US"/>
        </w:rPr>
        <w:t>FIFRA</w:t>
      </w:r>
      <w:r w:rsidRPr="002B34A0">
        <w:rPr>
          <w:lang w:bidi="en-US"/>
        </w:rPr>
        <w:t xml:space="preserve"> </w:t>
      </w:r>
      <w:r w:rsidR="005F7651" w:rsidRPr="005F7651">
        <w:rPr>
          <w:lang w:bidi="en-US"/>
        </w:rPr>
        <w:t>§</w:t>
      </w:r>
      <w:r w:rsidRPr="002B34A0">
        <w:rPr>
          <w:lang w:bidi="en-US"/>
        </w:rPr>
        <w:t>3(c)(5), which is as follows:</w:t>
      </w:r>
    </w:p>
    <w:p w:rsidR="002B34A0" w:rsidRPr="002B34A0" w:rsidRDefault="002B34A0" w:rsidP="002B34A0">
      <w:pPr>
        <w:rPr>
          <w:lang w:bidi="en-US"/>
        </w:rPr>
      </w:pPr>
    </w:p>
    <w:p w:rsidR="002B34A0" w:rsidRPr="002B34A0" w:rsidRDefault="00215F6B" w:rsidP="00215F6B">
      <w:pPr>
        <w:ind w:firstLine="720"/>
      </w:pPr>
      <w:r>
        <w:t xml:space="preserve">(A)  </w:t>
      </w:r>
      <w:r w:rsidR="002B34A0" w:rsidRPr="002B34A0">
        <w:t>Its composition is such as to warrant the proposed claims for it.</w:t>
      </w:r>
    </w:p>
    <w:p w:rsidR="002B34A0" w:rsidRDefault="00215F6B" w:rsidP="00215F6B">
      <w:pPr>
        <w:ind w:left="720"/>
        <w:rPr>
          <w:lang w:bidi="en-US"/>
        </w:rPr>
      </w:pPr>
      <w:r>
        <w:rPr>
          <w:lang w:bidi="en-US"/>
        </w:rPr>
        <w:t xml:space="preserve">(B)  </w:t>
      </w:r>
      <w:r w:rsidR="002B34A0" w:rsidRPr="002B34A0">
        <w:rPr>
          <w:lang w:bidi="en-US"/>
        </w:rPr>
        <w:t>Its labeling and other material required to be submitted comply with the requirements of this Act.</w:t>
      </w:r>
    </w:p>
    <w:p w:rsidR="002B34A0" w:rsidRDefault="00215F6B" w:rsidP="00215F6B">
      <w:pPr>
        <w:ind w:left="720"/>
        <w:rPr>
          <w:lang w:bidi="en-US"/>
        </w:rPr>
      </w:pPr>
      <w:r>
        <w:rPr>
          <w:lang w:bidi="en-US"/>
        </w:rPr>
        <w:t xml:space="preserve">(C)  </w:t>
      </w:r>
      <w:r w:rsidR="002B34A0" w:rsidRPr="002B34A0">
        <w:rPr>
          <w:lang w:bidi="en-US"/>
        </w:rPr>
        <w:t>It will perform its intended function without unreasonable adverse effects on the environment.</w:t>
      </w:r>
    </w:p>
    <w:p w:rsidR="002B34A0" w:rsidRPr="002B34A0" w:rsidRDefault="00215F6B" w:rsidP="00215F6B">
      <w:pPr>
        <w:ind w:left="720"/>
        <w:rPr>
          <w:lang w:bidi="en-US"/>
        </w:rPr>
      </w:pPr>
      <w:r>
        <w:rPr>
          <w:lang w:bidi="en-US"/>
        </w:rPr>
        <w:t>(</w:t>
      </w:r>
      <w:r w:rsidRPr="005463D1">
        <w:rPr>
          <w:lang w:bidi="en-US"/>
        </w:rPr>
        <w:t xml:space="preserve">D)  </w:t>
      </w:r>
      <w:r w:rsidR="002B34A0" w:rsidRPr="007D6E48">
        <w:rPr>
          <w:lang w:bidi="en-US"/>
        </w:rPr>
        <w:t>When used in accordance with widespread and commonly recognized practice it will not generally cause unreasonable adverse effects on the environment.</w:t>
      </w:r>
    </w:p>
    <w:p w:rsidR="002B34A0" w:rsidRPr="002B34A0" w:rsidRDefault="002B34A0" w:rsidP="002B34A0">
      <w:pPr>
        <w:rPr>
          <w:lang w:bidi="en-US"/>
        </w:rPr>
      </w:pPr>
    </w:p>
    <w:p w:rsidR="003C148D" w:rsidRDefault="002B34A0" w:rsidP="002B34A0">
      <w:pPr>
        <w:rPr>
          <w:lang w:bidi="en-US"/>
        </w:rPr>
      </w:pPr>
      <w:r w:rsidRPr="002B34A0">
        <w:rPr>
          <w:lang w:bidi="en-US"/>
        </w:rPr>
        <w:t xml:space="preserve">FIFRA </w:t>
      </w:r>
      <w:r w:rsidR="001E6980" w:rsidRPr="001E6980">
        <w:rPr>
          <w:lang w:bidi="en-US"/>
        </w:rPr>
        <w:t>§</w:t>
      </w:r>
      <w:r w:rsidRPr="002B34A0">
        <w:rPr>
          <w:lang w:bidi="en-US"/>
        </w:rPr>
        <w:t>2(</w:t>
      </w:r>
      <w:r w:rsidRPr="005463D1">
        <w:rPr>
          <w:lang w:bidi="en-US"/>
        </w:rPr>
        <w:t>bb</w:t>
      </w:r>
      <w:r w:rsidRPr="002B34A0">
        <w:rPr>
          <w:lang w:bidi="en-US"/>
        </w:rPr>
        <w:t xml:space="preserve">) defines “unreasonable adverse effects on the environment'' as </w:t>
      </w:r>
      <w:r w:rsidR="003C148D">
        <w:rPr>
          <w:lang w:bidi="en-US"/>
        </w:rPr>
        <w:t>follows:</w:t>
      </w:r>
    </w:p>
    <w:p w:rsidR="003C148D" w:rsidRDefault="003C148D" w:rsidP="002B34A0">
      <w:pPr>
        <w:rPr>
          <w:lang w:bidi="en-US"/>
        </w:rPr>
      </w:pPr>
    </w:p>
    <w:p w:rsidR="002B34A0" w:rsidRDefault="002B34A0" w:rsidP="003C148D">
      <w:pPr>
        <w:ind w:left="720"/>
        <w:rPr>
          <w:lang w:bidi="en-US"/>
        </w:rPr>
      </w:pPr>
      <w:r w:rsidRPr="002B34A0">
        <w:rPr>
          <w:lang w:bidi="en-US"/>
        </w:rPr>
        <w:t>(1) any unreasonable risk to man or the environment, taking into account the economic, social, and environmental costs and benefits of the use of any pesticide, or (2) a human dietary risk from residues that result from a use of a pesticide in or on any food inconsistent with the standard under section 408 of the Federal Food</w:t>
      </w:r>
      <w:r w:rsidR="003C148D">
        <w:rPr>
          <w:lang w:bidi="en-US"/>
        </w:rPr>
        <w:t>,</w:t>
      </w:r>
      <w:r w:rsidRPr="002B34A0">
        <w:rPr>
          <w:lang w:bidi="en-US"/>
        </w:rPr>
        <w:t xml:space="preserve"> Drug and Cosmetic Act.</w:t>
      </w:r>
    </w:p>
    <w:p w:rsidR="00A412C0" w:rsidRDefault="00A412C0" w:rsidP="00A412C0">
      <w:pPr>
        <w:pStyle w:val="NoSpacing"/>
        <w:rPr>
          <w:lang w:bidi="en-US"/>
        </w:rPr>
      </w:pPr>
    </w:p>
    <w:p w:rsidR="00A412C0" w:rsidRPr="00A412C0" w:rsidRDefault="00CA4D5A" w:rsidP="00A412C0">
      <w:pPr>
        <w:pStyle w:val="NoSpacing"/>
        <w:rPr>
          <w:lang w:bidi="en-US"/>
        </w:rPr>
      </w:pPr>
      <w:r>
        <w:t xml:space="preserve">FIFRA </w:t>
      </w:r>
      <w:r w:rsidR="001E6980" w:rsidRPr="001E6980">
        <w:t>§</w:t>
      </w:r>
      <w:r>
        <w:t xml:space="preserve">3(c)(2) directs EPA to publish guidelines specifying the kinds of data that applicants and registrants must submit to support the EPA regulatory determinations established under FIFRA.  EPA identifies the majority of the data requirements in </w:t>
      </w:r>
      <w:r w:rsidR="00CF1D44" w:rsidRPr="0042316C">
        <w:t>40 CFR part 158</w:t>
      </w:r>
      <w:r>
        <w:t xml:space="preserve">, and in the context of individual actions as allowed by </w:t>
      </w:r>
      <w:r w:rsidRPr="005463D1">
        <w:t>FIFRA</w:t>
      </w:r>
      <w:r>
        <w:t xml:space="preserve"> </w:t>
      </w:r>
      <w:r w:rsidR="001E6980" w:rsidRPr="001E6980">
        <w:t>§</w:t>
      </w:r>
      <w:r>
        <w:t xml:space="preserve">3(c)(2).  </w:t>
      </w:r>
    </w:p>
    <w:p w:rsidR="00736998" w:rsidRDefault="00736998" w:rsidP="00736998">
      <w:pPr>
        <w:pStyle w:val="NoSpacing"/>
        <w:rPr>
          <w:lang w:bidi="en-US"/>
        </w:rPr>
      </w:pPr>
    </w:p>
    <w:p w:rsidR="00CA4D5A" w:rsidRDefault="00CA4D5A" w:rsidP="00CA4D5A">
      <w:r>
        <w:t xml:space="preserve">EPA regulations </w:t>
      </w:r>
      <w:r w:rsidR="0064799A">
        <w:t xml:space="preserve">at </w:t>
      </w:r>
      <w:r w:rsidR="0064799A" w:rsidRPr="0042316C">
        <w:t xml:space="preserve">40 CFR </w:t>
      </w:r>
      <w:r w:rsidRPr="0042316C">
        <w:t xml:space="preserve">part 152, subpart </w:t>
      </w:r>
      <w:r w:rsidRPr="0042316C">
        <w:rPr>
          <w:noProof/>
        </w:rPr>
        <w:t>E</w:t>
      </w:r>
      <w:r w:rsidR="0042316C">
        <w:rPr>
          <w:noProof/>
        </w:rPr>
        <w:t xml:space="preserve">, </w:t>
      </w:r>
      <w:r w:rsidR="0064799A">
        <w:t>desc</w:t>
      </w:r>
      <w:r>
        <w:t>ribe a variety of means by which</w:t>
      </w:r>
      <w:r w:rsidR="0064799A">
        <w:t xml:space="preserve"> an a</w:t>
      </w:r>
      <w:r>
        <w:t>pplicant may satisfy EPA’s data requirements</w:t>
      </w:r>
      <w:r w:rsidR="0033540C">
        <w:t xml:space="preserve"> and </w:t>
      </w:r>
      <w:r w:rsidR="00286682">
        <w:t>requests for data</w:t>
      </w:r>
      <w:r>
        <w:t xml:space="preserve">.  </w:t>
      </w:r>
      <w:r w:rsidRPr="005463D1">
        <w:t xml:space="preserve">Persons submitting data </w:t>
      </w:r>
      <w:r w:rsidRPr="00D5421F">
        <w:rPr>
          <w:noProof/>
        </w:rPr>
        <w:t>must request</w:t>
      </w:r>
      <w:r w:rsidRPr="005463D1">
        <w:t xml:space="preserve"> inclusion on an Agency-maintained Data Submitters list as the means for asserting their rights to offers of compensation from applicants who cite their data.</w:t>
      </w:r>
      <w:r>
        <w:t xml:space="preserve"> Procedures also allow an applicant to cite to data previously submitted by another person that are relevant to that </w:t>
      </w:r>
      <w:r w:rsidRPr="00D5421F">
        <w:rPr>
          <w:noProof/>
        </w:rPr>
        <w:t>applicant</w:t>
      </w:r>
      <w:r>
        <w:t xml:space="preserve">’s product.  When the latter option </w:t>
      </w:r>
      <w:r w:rsidRPr="005463D1">
        <w:t>is selected</w:t>
      </w:r>
      <w:r>
        <w:t xml:space="preserve">, an applicant may be required to either obtain permission or offer compensation to cite the data, depending upon whether the data at issue </w:t>
      </w:r>
      <w:r w:rsidRPr="005463D1">
        <w:t>are entitled</w:t>
      </w:r>
      <w:r>
        <w:t xml:space="preserve"> to the exclusive use or data compensation provisions of FIFRA </w:t>
      </w:r>
      <w:r w:rsidR="001E6980" w:rsidRPr="001E6980">
        <w:t>§</w:t>
      </w:r>
      <w:r>
        <w:t>3(c)(1)(F).</w:t>
      </w:r>
    </w:p>
    <w:p w:rsidR="00CA4D5A" w:rsidRDefault="00CA4D5A" w:rsidP="00CA4D5A"/>
    <w:p w:rsidR="00CA4D5A" w:rsidRDefault="00CA4D5A" w:rsidP="00CA4D5A">
      <w:pPr>
        <w:pStyle w:val="NoSpacing"/>
        <w:rPr>
          <w:lang w:bidi="en-US"/>
        </w:rPr>
      </w:pPr>
      <w:r>
        <w:t xml:space="preserve">In addition, </w:t>
      </w:r>
      <w:r w:rsidR="001E6980" w:rsidRPr="00286822">
        <w:t xml:space="preserve">40 CFR part 152, </w:t>
      </w:r>
      <w:r w:rsidRPr="00286822">
        <w:t>subpart E</w:t>
      </w:r>
      <w:r>
        <w:t xml:space="preserve"> spell</w:t>
      </w:r>
      <w:r w:rsidR="001E6980">
        <w:t>s</w:t>
      </w:r>
      <w:r>
        <w:t xml:space="preserve"> out the circumstances under which certain applicants are exempt from data submission or citation obligations (i.e., </w:t>
      </w:r>
      <w:r w:rsidRPr="005463D1">
        <w:t>the</w:t>
      </w:r>
      <w:r>
        <w:t xml:space="preserve"> formulators’ exemption provided by FIFRA </w:t>
      </w:r>
      <w:r w:rsidR="001E6980">
        <w:rPr>
          <w:rFonts w:cs="Arial"/>
        </w:rPr>
        <w:t>§</w:t>
      </w:r>
      <w:r>
        <w:t>3(c)(2)(D)).</w:t>
      </w:r>
    </w:p>
    <w:p w:rsidR="00CA4D5A" w:rsidRDefault="00CA4D5A" w:rsidP="00736998">
      <w:pPr>
        <w:pStyle w:val="NoSpacing"/>
        <w:rPr>
          <w:lang w:bidi="en-US"/>
        </w:rPr>
      </w:pPr>
    </w:p>
    <w:p w:rsidR="007B075C" w:rsidRDefault="002B34A0" w:rsidP="002B34A0">
      <w:pPr>
        <w:rPr>
          <w:lang w:bidi="en-US"/>
        </w:rPr>
      </w:pPr>
      <w:r w:rsidRPr="002B34A0">
        <w:rPr>
          <w:lang w:bidi="en-US"/>
        </w:rPr>
        <w:t xml:space="preserve">All the programs and DCI activities represented in this </w:t>
      </w:r>
      <w:r w:rsidR="00A412C0">
        <w:rPr>
          <w:lang w:bidi="en-US"/>
        </w:rPr>
        <w:t>ICR</w:t>
      </w:r>
      <w:r w:rsidRPr="002B34A0">
        <w:rPr>
          <w:lang w:bidi="en-US"/>
        </w:rPr>
        <w:t xml:space="preserve"> share a common statutory authority, </w:t>
      </w:r>
      <w:r w:rsidR="00C54579" w:rsidRPr="005463D1">
        <w:rPr>
          <w:lang w:bidi="en-US"/>
        </w:rPr>
        <w:t>FIFRA</w:t>
      </w:r>
      <w:r w:rsidR="00C54579">
        <w:rPr>
          <w:lang w:bidi="en-US"/>
        </w:rPr>
        <w:t xml:space="preserve"> </w:t>
      </w:r>
      <w:r w:rsidR="001E6980">
        <w:rPr>
          <w:rFonts w:cs="Arial"/>
          <w:lang w:bidi="en-US"/>
        </w:rPr>
        <w:t>§</w:t>
      </w:r>
      <w:r w:rsidR="003C148D">
        <w:rPr>
          <w:rFonts w:cs="Arial"/>
          <w:lang w:bidi="en-US"/>
        </w:rPr>
        <w:t xml:space="preserve"> </w:t>
      </w:r>
      <w:r w:rsidRPr="002B34A0">
        <w:rPr>
          <w:lang w:bidi="en-US"/>
        </w:rPr>
        <w:t xml:space="preserve">3(c)(2)(B), which authorizes EPA to require pesticide registrants to generate and submit data to the Agency, when such data </w:t>
      </w:r>
      <w:r w:rsidRPr="005463D1">
        <w:rPr>
          <w:lang w:bidi="en-US"/>
        </w:rPr>
        <w:t>are needed</w:t>
      </w:r>
      <w:r w:rsidRPr="002B34A0">
        <w:rPr>
          <w:lang w:bidi="en-US"/>
        </w:rPr>
        <w:t xml:space="preserve"> to maintain an existing registration of a pesticide. </w:t>
      </w:r>
    </w:p>
    <w:p w:rsidR="007B075C" w:rsidRDefault="007B075C" w:rsidP="002B34A0">
      <w:pPr>
        <w:rPr>
          <w:lang w:bidi="en-US"/>
        </w:rPr>
      </w:pPr>
    </w:p>
    <w:p w:rsidR="009D3FC5" w:rsidRDefault="00215F6B" w:rsidP="002B34A0">
      <w:pPr>
        <w:rPr>
          <w:lang w:bidi="en-US"/>
        </w:rPr>
      </w:pPr>
      <w:r w:rsidRPr="005463D1">
        <w:rPr>
          <w:lang w:bidi="en-US"/>
        </w:rPr>
        <w:t xml:space="preserve">Before the Agency determines that specific data </w:t>
      </w:r>
      <w:r w:rsidRPr="007D6E48">
        <w:rPr>
          <w:lang w:bidi="en-US"/>
        </w:rPr>
        <w:t xml:space="preserve">are </w:t>
      </w:r>
      <w:r w:rsidRPr="00D5421F">
        <w:rPr>
          <w:noProof/>
          <w:lang w:bidi="en-US"/>
        </w:rPr>
        <w:t>needed</w:t>
      </w:r>
      <w:r w:rsidRPr="007D6E48">
        <w:rPr>
          <w:lang w:bidi="en-US"/>
        </w:rPr>
        <w:t xml:space="preserve"> under this ICR, the Agency will first search for available information (i.e.,</w:t>
      </w:r>
      <w:r w:rsidRPr="00215F6B">
        <w:rPr>
          <w:lang w:bidi="en-US"/>
        </w:rPr>
        <w:t xml:space="preserve"> EPA databases for information that may </w:t>
      </w:r>
      <w:r w:rsidRPr="005463D1">
        <w:rPr>
          <w:lang w:bidi="en-US"/>
        </w:rPr>
        <w:t>have been submitted</w:t>
      </w:r>
      <w:r w:rsidRPr="00215F6B">
        <w:rPr>
          <w:lang w:bidi="en-US"/>
        </w:rPr>
        <w:t xml:space="preserve"> to EPA under another ICR, submitted voluntarily, or submitted by another respondent; information that has otherwise published in the literature; or information that is</w:t>
      </w:r>
      <w:r>
        <w:rPr>
          <w:lang w:bidi="en-US"/>
        </w:rPr>
        <w:t xml:space="preserve"> otherwise publicly available). </w:t>
      </w:r>
    </w:p>
    <w:p w:rsidR="009D3FC5" w:rsidRDefault="009D3FC5" w:rsidP="002B34A0">
      <w:pPr>
        <w:rPr>
          <w:lang w:bidi="en-US"/>
        </w:rPr>
      </w:pPr>
    </w:p>
    <w:p w:rsidR="00215F6B" w:rsidRDefault="00215F6B" w:rsidP="002B34A0">
      <w:pPr>
        <w:rPr>
          <w:lang w:bidi="en-US"/>
        </w:rPr>
      </w:pPr>
      <w:r>
        <w:rPr>
          <w:lang w:bidi="en-US"/>
        </w:rPr>
        <w:t xml:space="preserve">EPA has also established a transparent and participatory process that allows for public dialogue on EPA’s risk characterizations under these pesticide registration review programs, including the consideration related to the need for other data or information in order to make the required statutory determinations for that pesticide. </w:t>
      </w:r>
      <w:r w:rsidRPr="005463D1">
        <w:rPr>
          <w:lang w:bidi="en-US"/>
        </w:rPr>
        <w:t xml:space="preserve">Only if the needed data </w:t>
      </w:r>
      <w:r w:rsidRPr="007D6E48">
        <w:rPr>
          <w:lang w:bidi="en-US"/>
        </w:rPr>
        <w:t xml:space="preserve">are not found </w:t>
      </w:r>
      <w:r w:rsidRPr="00D5421F">
        <w:rPr>
          <w:noProof/>
          <w:lang w:bidi="en-US"/>
        </w:rPr>
        <w:t xml:space="preserve">to </w:t>
      </w:r>
      <w:r w:rsidR="00BE725C">
        <w:rPr>
          <w:noProof/>
          <w:lang w:bidi="en-US"/>
        </w:rPr>
        <w:t>be otherwis</w:t>
      </w:r>
      <w:r w:rsidRPr="00D5421F">
        <w:rPr>
          <w:noProof/>
          <w:lang w:bidi="en-US"/>
        </w:rPr>
        <w:t>e</w:t>
      </w:r>
      <w:r w:rsidRPr="007D6E48">
        <w:rPr>
          <w:lang w:bidi="en-US"/>
        </w:rPr>
        <w:t xml:space="preserve"> available will EPA require the submission or generation of the specific data </w:t>
      </w:r>
      <w:r w:rsidRPr="00D5421F">
        <w:rPr>
          <w:noProof/>
          <w:lang w:bidi="en-US"/>
        </w:rPr>
        <w:t>needed</w:t>
      </w:r>
      <w:r w:rsidRPr="007D6E48">
        <w:rPr>
          <w:lang w:bidi="en-US"/>
        </w:rPr>
        <w:t xml:space="preserve"> in a particular case.</w:t>
      </w:r>
      <w:r w:rsidRPr="00215F6B">
        <w:rPr>
          <w:lang w:bidi="en-US"/>
        </w:rPr>
        <w:t xml:space="preserve"> Such data</w:t>
      </w:r>
      <w:r>
        <w:rPr>
          <w:lang w:bidi="en-US"/>
        </w:rPr>
        <w:t xml:space="preserve">, which </w:t>
      </w:r>
      <w:r w:rsidRPr="005463D1">
        <w:rPr>
          <w:lang w:bidi="en-US"/>
        </w:rPr>
        <w:t>are described</w:t>
      </w:r>
      <w:r>
        <w:rPr>
          <w:lang w:bidi="en-US"/>
        </w:rPr>
        <w:t xml:space="preserve"> in more detail later in this document,</w:t>
      </w:r>
      <w:r w:rsidRPr="00215F6B">
        <w:rPr>
          <w:lang w:bidi="en-US"/>
        </w:rPr>
        <w:t xml:space="preserve"> may include toxicology studies, fish and wildlife studies, environmental fate studies, chemistry studies, endocrine disruptor screening data and/or other data needed to analyze the potential risks and benefits associated with pesticide chemicals.</w:t>
      </w:r>
    </w:p>
    <w:p w:rsidR="006D7B41" w:rsidRPr="00AF4CFB" w:rsidRDefault="006D7B41" w:rsidP="006D7B41">
      <w:pPr>
        <w:pStyle w:val="NoSpacing"/>
        <w:rPr>
          <w:lang w:bidi="en-US"/>
        </w:rPr>
      </w:pPr>
    </w:p>
    <w:p w:rsidR="006D7B41" w:rsidRDefault="006D7B41" w:rsidP="006D7B41">
      <w:pPr>
        <w:pStyle w:val="Heading1"/>
        <w:numPr>
          <w:ilvl w:val="0"/>
          <w:numId w:val="3"/>
        </w:numPr>
      </w:pPr>
      <w:bookmarkStart w:id="9" w:name="_Toc482020566"/>
      <w:bookmarkStart w:id="10" w:name="_Toc489017109"/>
      <w:r>
        <w:t xml:space="preserve">INFORMATION </w:t>
      </w:r>
      <w:r w:rsidRPr="004E341A">
        <w:t>COLLECTION</w:t>
      </w:r>
      <w:r>
        <w:t xml:space="preserve"> (IC) ACTIVITIES</w:t>
      </w:r>
      <w:bookmarkEnd w:id="9"/>
      <w:bookmarkEnd w:id="10"/>
    </w:p>
    <w:p w:rsidR="004A492D" w:rsidRDefault="004A492D" w:rsidP="004A492D">
      <w:r>
        <w:t xml:space="preserve">Several programs involve the issuance of DCIs and </w:t>
      </w:r>
      <w:r w:rsidRPr="000069E3">
        <w:t>shar</w:t>
      </w:r>
      <w:r>
        <w:t>e</w:t>
      </w:r>
      <w:r w:rsidRPr="000069E3">
        <w:t xml:space="preserve"> </w:t>
      </w:r>
      <w:r>
        <w:t xml:space="preserve">both </w:t>
      </w:r>
      <w:r w:rsidRPr="000069E3">
        <w:t xml:space="preserve">a common statutory authority, </w:t>
      </w:r>
      <w:r w:rsidRPr="005463D1">
        <w:t>FIFRA</w:t>
      </w:r>
      <w:r w:rsidRPr="000069E3">
        <w:t xml:space="preserve"> § 3(c)(2)(B), </w:t>
      </w:r>
      <w:r>
        <w:t xml:space="preserve">and the same basic </w:t>
      </w:r>
      <w:r w:rsidRPr="000069E3">
        <w:t>information collection activities</w:t>
      </w:r>
      <w:r>
        <w:t xml:space="preserve">. </w:t>
      </w:r>
      <w:r w:rsidRPr="005463D1">
        <w:t xml:space="preserve">As such, this </w:t>
      </w:r>
      <w:r w:rsidR="00F11847" w:rsidRPr="007D6E48">
        <w:t xml:space="preserve">section </w:t>
      </w:r>
      <w:r w:rsidRPr="007D6E48">
        <w:t xml:space="preserve">of the ICR will present the basic information </w:t>
      </w:r>
      <w:r w:rsidRPr="00D5421F">
        <w:rPr>
          <w:noProof/>
        </w:rPr>
        <w:t>collection</w:t>
      </w:r>
      <w:r w:rsidRPr="007D6E48">
        <w:t xml:space="preserve"> activities and estimates </w:t>
      </w:r>
      <w:r w:rsidRPr="00D5421F">
        <w:rPr>
          <w:noProof/>
        </w:rPr>
        <w:t>common</w:t>
      </w:r>
      <w:r w:rsidRPr="007D6E48">
        <w:t xml:space="preserve"> to all the DCIs that are addressed in this ICR, followed by a presentation of the program specific activities and estimates.</w:t>
      </w:r>
      <w:r>
        <w:t xml:space="preserve"> </w:t>
      </w:r>
    </w:p>
    <w:p w:rsidR="00F44411" w:rsidRPr="002A0BEE" w:rsidRDefault="00F44411" w:rsidP="00F44411">
      <w:pPr>
        <w:pStyle w:val="NoSpacing"/>
        <w:rPr>
          <w:lang w:bidi="en-US"/>
        </w:rPr>
      </w:pPr>
    </w:p>
    <w:p w:rsidR="00F44411" w:rsidRDefault="00F11847" w:rsidP="00F44411">
      <w:pPr>
        <w:pStyle w:val="Heading2"/>
        <w:numPr>
          <w:ilvl w:val="1"/>
          <w:numId w:val="3"/>
        </w:numPr>
        <w:tabs>
          <w:tab w:val="left" w:pos="1080"/>
        </w:tabs>
        <w:rPr>
          <w:lang w:bidi="en-US"/>
        </w:rPr>
      </w:pPr>
      <w:bookmarkStart w:id="11" w:name="_Toc482020567"/>
      <w:bookmarkStart w:id="12" w:name="_Toc489017110"/>
      <w:r w:rsidRPr="00F44411">
        <w:t>Basic IC Activities Common to all DCIs</w:t>
      </w:r>
      <w:bookmarkEnd w:id="11"/>
      <w:bookmarkEnd w:id="12"/>
    </w:p>
    <w:p w:rsidR="00F11847" w:rsidRDefault="00F11847" w:rsidP="00F11847">
      <w:pPr>
        <w:rPr>
          <w:lang w:bidi="en-US"/>
        </w:rPr>
      </w:pPr>
      <w:r>
        <w:rPr>
          <w:lang w:bidi="en-US"/>
        </w:rPr>
        <w:t xml:space="preserve">This section </w:t>
      </w:r>
      <w:r w:rsidR="004A492D" w:rsidRPr="00F11847">
        <w:rPr>
          <w:lang w:bidi="en-US"/>
        </w:rPr>
        <w:t>of the ICR will</w:t>
      </w:r>
      <w:r>
        <w:rPr>
          <w:lang w:bidi="en-US"/>
        </w:rPr>
        <w:t xml:space="preserve"> address the basic IC activities c</w:t>
      </w:r>
      <w:r w:rsidRPr="00F11847">
        <w:rPr>
          <w:lang w:bidi="en-US"/>
        </w:rPr>
        <w:t>ommon to all DCIs</w:t>
      </w:r>
      <w:r>
        <w:rPr>
          <w:lang w:bidi="en-US"/>
        </w:rPr>
        <w:t>, including:</w:t>
      </w:r>
    </w:p>
    <w:p w:rsidR="00F11847" w:rsidRDefault="00F11847" w:rsidP="00F11847">
      <w:pPr>
        <w:pStyle w:val="ListParagraph"/>
        <w:numPr>
          <w:ilvl w:val="0"/>
          <w:numId w:val="12"/>
        </w:numPr>
      </w:pPr>
      <w:r>
        <w:t xml:space="preserve">The </w:t>
      </w:r>
      <w:r w:rsidRPr="006D7B41">
        <w:t xml:space="preserve">collection methodology </w:t>
      </w:r>
      <w:r>
        <w:t>used to collect the data;</w:t>
      </w:r>
    </w:p>
    <w:p w:rsidR="00F11847" w:rsidRDefault="00F11847" w:rsidP="00F11847">
      <w:pPr>
        <w:pStyle w:val="ListParagraph"/>
        <w:numPr>
          <w:ilvl w:val="0"/>
          <w:numId w:val="12"/>
        </w:numPr>
      </w:pPr>
      <w:r>
        <w:t xml:space="preserve">The data that may be collected using a DCI; and </w:t>
      </w:r>
    </w:p>
    <w:p w:rsidR="00F11847" w:rsidRDefault="00F11847" w:rsidP="00F11847">
      <w:pPr>
        <w:pStyle w:val="ListParagraph"/>
        <w:numPr>
          <w:ilvl w:val="0"/>
          <w:numId w:val="12"/>
        </w:numPr>
      </w:pPr>
      <w:r>
        <w:t xml:space="preserve">The </w:t>
      </w:r>
      <w:r w:rsidRPr="005463D1">
        <w:t>Agency’s</w:t>
      </w:r>
      <w:r>
        <w:t xml:space="preserve"> estimated burden and costs associated with the related paperwork activities</w:t>
      </w:r>
      <w:r w:rsidR="00F44411">
        <w:t>.</w:t>
      </w:r>
    </w:p>
    <w:p w:rsidR="00F44411" w:rsidRDefault="00F44411" w:rsidP="00F44411"/>
    <w:p w:rsidR="00F44411" w:rsidRDefault="00F44411" w:rsidP="00D651D2">
      <w:pPr>
        <w:pStyle w:val="Heading3"/>
        <w:numPr>
          <w:ilvl w:val="2"/>
          <w:numId w:val="3"/>
        </w:numPr>
        <w:tabs>
          <w:tab w:val="left" w:pos="1800"/>
        </w:tabs>
        <w:spacing w:after="200"/>
        <w:rPr>
          <w:lang w:bidi="en-US"/>
        </w:rPr>
      </w:pPr>
      <w:bookmarkStart w:id="13" w:name="_Toc482020568"/>
      <w:bookmarkStart w:id="14" w:name="_Toc489017111"/>
      <w:r>
        <w:t>Common DCI Collection Methodology</w:t>
      </w:r>
      <w:bookmarkEnd w:id="13"/>
      <w:bookmarkEnd w:id="14"/>
    </w:p>
    <w:p w:rsidR="00F44411" w:rsidRPr="00F44411" w:rsidRDefault="00F44411" w:rsidP="00F44411">
      <w:pPr>
        <w:pStyle w:val="ListParagraph"/>
        <w:ind w:left="0"/>
      </w:pPr>
      <w:r w:rsidRPr="005463D1">
        <w:t xml:space="preserve">The </w:t>
      </w:r>
      <w:r w:rsidRPr="007D6E48">
        <w:t xml:space="preserve">IC activities and </w:t>
      </w:r>
      <w:r w:rsidRPr="00D5421F">
        <w:rPr>
          <w:noProof/>
        </w:rPr>
        <w:t>procedures associated with the</w:t>
      </w:r>
      <w:r w:rsidRPr="007D6E48">
        <w:t xml:space="preserve"> issuance of a DCI are a subset of the overall activities related to DCIs generally.</w:t>
      </w:r>
      <w:r w:rsidRPr="00F44411">
        <w:t xml:space="preserve"> The following is a brief list of the overall activities common to DCIs</w:t>
      </w:r>
      <w:r w:rsidR="00286822">
        <w:t xml:space="preserve"> and </w:t>
      </w:r>
      <w:r w:rsidRPr="00F44411">
        <w:t xml:space="preserve">the basic </w:t>
      </w:r>
      <w:r>
        <w:t>IC</w:t>
      </w:r>
      <w:r w:rsidRPr="00F44411">
        <w:t xml:space="preserve"> activities covered by this ICR:</w:t>
      </w:r>
    </w:p>
    <w:p w:rsidR="00F44411" w:rsidRPr="00F44411" w:rsidRDefault="00F44411" w:rsidP="00F44411">
      <w:pPr>
        <w:pStyle w:val="ListParagraph"/>
        <w:numPr>
          <w:ilvl w:val="0"/>
          <w:numId w:val="20"/>
        </w:numPr>
      </w:pPr>
      <w:r w:rsidRPr="00F44411">
        <w:t>EPA identifies the chemical as part of the related program.</w:t>
      </w:r>
    </w:p>
    <w:p w:rsidR="00F44411" w:rsidRPr="00F44411" w:rsidRDefault="00F44411" w:rsidP="00F44411">
      <w:pPr>
        <w:pStyle w:val="ListParagraph"/>
        <w:numPr>
          <w:ilvl w:val="0"/>
          <w:numId w:val="20"/>
        </w:numPr>
      </w:pPr>
      <w:r w:rsidRPr="00F44411">
        <w:t>EPA identifies the potential need for data.</w:t>
      </w:r>
    </w:p>
    <w:p w:rsidR="00F44411" w:rsidRPr="00F44411" w:rsidRDefault="00F44411" w:rsidP="00F44411">
      <w:pPr>
        <w:pStyle w:val="ListParagraph"/>
        <w:numPr>
          <w:ilvl w:val="0"/>
          <w:numId w:val="20"/>
        </w:numPr>
      </w:pPr>
      <w:r w:rsidRPr="00F44411">
        <w:t>Registrant &amp; public involvement/comment as part of the related program.</w:t>
      </w:r>
    </w:p>
    <w:p w:rsidR="00F44411" w:rsidRPr="00F44411" w:rsidRDefault="00F44411" w:rsidP="00F44411">
      <w:pPr>
        <w:pStyle w:val="ListParagraph"/>
        <w:numPr>
          <w:ilvl w:val="0"/>
          <w:numId w:val="20"/>
        </w:numPr>
      </w:pPr>
      <w:r w:rsidRPr="00F44411">
        <w:t>EPA completes final data needs determination.</w:t>
      </w:r>
    </w:p>
    <w:p w:rsidR="00F44411" w:rsidRPr="009A6FB8" w:rsidRDefault="00F44411" w:rsidP="00F44411">
      <w:pPr>
        <w:pStyle w:val="ListParagraph"/>
        <w:numPr>
          <w:ilvl w:val="0"/>
          <w:numId w:val="20"/>
        </w:numPr>
      </w:pPr>
      <w:r w:rsidRPr="009A6FB8">
        <w:t>EPA issues the DCI to the chemical’s registrants of the chemical.</w:t>
      </w:r>
    </w:p>
    <w:p w:rsidR="00F44411" w:rsidRPr="009A6FB8" w:rsidRDefault="00F44411" w:rsidP="00F44411">
      <w:pPr>
        <w:pStyle w:val="ListParagraph"/>
        <w:numPr>
          <w:ilvl w:val="0"/>
          <w:numId w:val="20"/>
        </w:numPr>
      </w:pPr>
      <w:r w:rsidRPr="009A6FB8">
        <w:t>Registrant submits an initial response to EPA, indicating how they plan to comply with the DCI.</w:t>
      </w:r>
    </w:p>
    <w:p w:rsidR="00F44411" w:rsidRPr="009A6FB8" w:rsidRDefault="00F44411" w:rsidP="00F44411">
      <w:pPr>
        <w:pStyle w:val="ListParagraph"/>
        <w:numPr>
          <w:ilvl w:val="0"/>
          <w:numId w:val="20"/>
        </w:numPr>
      </w:pPr>
      <w:r w:rsidRPr="009A6FB8">
        <w:t>As appropriate,</w:t>
      </w:r>
      <w:r w:rsidR="00BE725C">
        <w:t xml:space="preserve"> the</w:t>
      </w:r>
      <w:r w:rsidRPr="009A6FB8">
        <w:t xml:space="preserve"> </w:t>
      </w:r>
      <w:r w:rsidRPr="00D5421F">
        <w:rPr>
          <w:noProof/>
        </w:rPr>
        <w:t>registrant</w:t>
      </w:r>
      <w:r w:rsidRPr="009A6FB8">
        <w:t xml:space="preserve"> may consult with EPA on their </w:t>
      </w:r>
      <w:r w:rsidRPr="00D5421F">
        <w:rPr>
          <w:noProof/>
        </w:rPr>
        <w:t>plans</w:t>
      </w:r>
      <w:r w:rsidRPr="009A6FB8">
        <w:t>, e.g., data requested, protocols for studies, timeframes for submissions, etc.</w:t>
      </w:r>
    </w:p>
    <w:p w:rsidR="00F44411" w:rsidRPr="009A6FB8" w:rsidRDefault="00F44411" w:rsidP="00F44411">
      <w:pPr>
        <w:pStyle w:val="ListParagraph"/>
        <w:numPr>
          <w:ilvl w:val="0"/>
          <w:numId w:val="20"/>
        </w:numPr>
      </w:pPr>
      <w:r w:rsidRPr="009A6FB8">
        <w:t>If multi-year studies are involved,</w:t>
      </w:r>
      <w:r w:rsidR="00BE725C">
        <w:t xml:space="preserve"> the</w:t>
      </w:r>
      <w:r w:rsidRPr="009A6FB8">
        <w:t xml:space="preserve"> </w:t>
      </w:r>
      <w:r w:rsidRPr="00D5421F">
        <w:rPr>
          <w:noProof/>
        </w:rPr>
        <w:t>registrant</w:t>
      </w:r>
      <w:r w:rsidRPr="009A6FB8">
        <w:t xml:space="preserve"> may be asked to submit an annual status report to EPA, reporting on progress towards compliance with DCI due date(s).</w:t>
      </w:r>
    </w:p>
    <w:p w:rsidR="00F44411" w:rsidRPr="00575707" w:rsidRDefault="00F44411" w:rsidP="00F44411">
      <w:pPr>
        <w:pStyle w:val="ListParagraph"/>
        <w:numPr>
          <w:ilvl w:val="0"/>
          <w:numId w:val="20"/>
        </w:numPr>
      </w:pPr>
      <w:r w:rsidRPr="009A6FB8">
        <w:t>Registrant submits the data/final study reports identified in the DCI to EPA.</w:t>
      </w:r>
    </w:p>
    <w:p w:rsidR="00F44411" w:rsidRPr="00F44411" w:rsidRDefault="00F44411" w:rsidP="00F44411">
      <w:pPr>
        <w:pStyle w:val="ListParagraph"/>
        <w:numPr>
          <w:ilvl w:val="0"/>
          <w:numId w:val="20"/>
        </w:numPr>
      </w:pPr>
      <w:r w:rsidRPr="00F44411">
        <w:t>EPA reviews submission to determine if it satisfies the DCI.</w:t>
      </w:r>
    </w:p>
    <w:p w:rsidR="00F44411" w:rsidRPr="00F44411" w:rsidRDefault="00F44411" w:rsidP="00F44411">
      <w:pPr>
        <w:pStyle w:val="ListParagraph"/>
        <w:numPr>
          <w:ilvl w:val="0"/>
          <w:numId w:val="20"/>
        </w:numPr>
      </w:pPr>
      <w:r w:rsidRPr="00F44411">
        <w:t xml:space="preserve">EPA processes the data for consideration and </w:t>
      </w:r>
      <w:r w:rsidRPr="00D5421F">
        <w:rPr>
          <w:noProof/>
        </w:rPr>
        <w:t>use</w:t>
      </w:r>
      <w:r w:rsidR="00BE725C">
        <w:rPr>
          <w:noProof/>
        </w:rPr>
        <w:t>s</w:t>
      </w:r>
      <w:r w:rsidRPr="00F44411">
        <w:t xml:space="preserve"> in applicable assessments and decision-making.</w:t>
      </w:r>
    </w:p>
    <w:p w:rsidR="00F44411" w:rsidRDefault="00F44411" w:rsidP="00F44411">
      <w:pPr>
        <w:pStyle w:val="ListParagraph"/>
        <w:ind w:left="0"/>
      </w:pPr>
    </w:p>
    <w:p w:rsidR="00F44411" w:rsidRDefault="00F44411" w:rsidP="00F44411">
      <w:pPr>
        <w:pStyle w:val="ListParagraph"/>
        <w:ind w:left="0"/>
      </w:pPr>
      <w:r>
        <w:t xml:space="preserve">The </w:t>
      </w:r>
      <w:r w:rsidR="006B4509">
        <w:t xml:space="preserve">collection methodology for these </w:t>
      </w:r>
      <w:r>
        <w:t>IC activities</w:t>
      </w:r>
      <w:r w:rsidR="006B4509">
        <w:t xml:space="preserve">, including the initial response options, </w:t>
      </w:r>
      <w:r w:rsidR="006B4509" w:rsidRPr="005463D1">
        <w:t>is diagramed</w:t>
      </w:r>
      <w:r w:rsidR="006B4509">
        <w:t xml:space="preserve"> in Attachment </w:t>
      </w:r>
      <w:r w:rsidR="00FA3DEC">
        <w:t>B</w:t>
      </w:r>
      <w:r w:rsidR="006B4509">
        <w:t>.</w:t>
      </w:r>
    </w:p>
    <w:p w:rsidR="003A5E99" w:rsidRDefault="003A5E99" w:rsidP="00F44411">
      <w:pPr>
        <w:pStyle w:val="ListParagraph"/>
        <w:ind w:left="0"/>
      </w:pPr>
    </w:p>
    <w:p w:rsidR="003A5E99" w:rsidRPr="003A5E99" w:rsidRDefault="00282443" w:rsidP="003A5E99">
      <w:r w:rsidRPr="005463D1">
        <w:t xml:space="preserve">The data requirements </w:t>
      </w:r>
      <w:r w:rsidRPr="007D6E48">
        <w:t xml:space="preserve">are organized in </w:t>
      </w:r>
      <w:r w:rsidR="00CF1D44" w:rsidRPr="00CF1D44">
        <w:rPr>
          <w:lang w:bidi="en-US"/>
        </w:rPr>
        <w:t>40 CFR part 158</w:t>
      </w:r>
      <w:r w:rsidRPr="005463D1">
        <w:rPr>
          <w:lang w:bidi="en-US"/>
        </w:rPr>
        <w:t xml:space="preserve"> </w:t>
      </w:r>
      <w:r w:rsidRPr="007D6E48">
        <w:t>in a</w:t>
      </w:r>
      <w:r w:rsidR="003A5E99" w:rsidRPr="007D6E48">
        <w:t xml:space="preserve"> series of subparts to address an individual scientific disciplines or data types</w:t>
      </w:r>
      <w:r w:rsidRPr="007D6E48">
        <w:t xml:space="preserve">; and describes </w:t>
      </w:r>
      <w:r w:rsidR="003A5E99" w:rsidRPr="007D6E48">
        <w:t>general policies and procedures associated with the submission of data in support of a pesti</w:t>
      </w:r>
      <w:r w:rsidRPr="007D6E48">
        <w:t xml:space="preserve">cide regulatory action, including the </w:t>
      </w:r>
      <w:r w:rsidR="003A5E99" w:rsidRPr="007D6E48">
        <w:t>definitions, applicability, flexibility, CBI, how to submit data, use of other data, format of data submissions, flagging of studies for potential adverse effects, waivers, minor use data policies, etc.</w:t>
      </w:r>
      <w:r w:rsidR="003A5E99" w:rsidRPr="003A5E99">
        <w:t xml:space="preserve">  </w:t>
      </w:r>
      <w:r w:rsidR="003A5E99" w:rsidRPr="005463D1">
        <w:t>By applying the data requirements based both on the pesticide type and i</w:t>
      </w:r>
      <w:r w:rsidR="003A5E99" w:rsidRPr="007D6E48">
        <w:t xml:space="preserve">dentified use patterns, the data collected can be tailored to ensure that the relevant </w:t>
      </w:r>
      <w:r w:rsidR="003A5E99" w:rsidRPr="00D5421F">
        <w:rPr>
          <w:noProof/>
        </w:rPr>
        <w:t>data</w:t>
      </w:r>
      <w:r w:rsidR="003A5E99" w:rsidRPr="007D6E48">
        <w:t xml:space="preserve"> is available to support the regulatory decisions for that registration.</w:t>
      </w:r>
    </w:p>
    <w:p w:rsidR="003A5E99" w:rsidRPr="003A5E99" w:rsidRDefault="003A5E99" w:rsidP="003A5E99">
      <w:pPr>
        <w:pStyle w:val="ListParagraph"/>
      </w:pPr>
      <w:r w:rsidRPr="003A5E99">
        <w:t xml:space="preserve"> </w:t>
      </w:r>
    </w:p>
    <w:p w:rsidR="003A5E99" w:rsidRDefault="003A5E99" w:rsidP="00282443">
      <w:r w:rsidRPr="005463D1">
        <w:t xml:space="preserve">In establishing the data requirements in 1984, EPA adopted a </w:t>
      </w:r>
      <w:r w:rsidRPr="007D6E48">
        <w:t>step-wise approach to assist the applicant in determining the data needed to support the registration of a particular product.</w:t>
      </w:r>
      <w:r w:rsidRPr="003A5E99">
        <w:t xml:space="preserve"> This approach, which </w:t>
      </w:r>
      <w:r w:rsidRPr="005463D1">
        <w:t>is described</w:t>
      </w:r>
      <w:r w:rsidRPr="003A5E99">
        <w:t xml:space="preserve"> in </w:t>
      </w:r>
      <w:r w:rsidRPr="0042316C">
        <w:t>40 CFR part 158, subpart B,</w:t>
      </w:r>
      <w:r w:rsidRPr="003A5E99">
        <w:t xml:space="preserve"> involves the use of “data tables” to facilitate the identification of the applicability of the data requirements. In essence, the data requirements illustrate the questions the registrant will need to answer </w:t>
      </w:r>
      <w:r w:rsidR="00BE725C" w:rsidRPr="00D5421F">
        <w:rPr>
          <w:noProof/>
        </w:rPr>
        <w:t>regardi</w:t>
      </w:r>
      <w:r w:rsidR="00BE725C">
        <w:rPr>
          <w:noProof/>
        </w:rPr>
        <w:t xml:space="preserve">ng </w:t>
      </w:r>
      <w:r w:rsidRPr="003A5E99">
        <w:t>the safety of the pesticide product before the Agency can register it. Because of the variety of chemicals and use patterns, and because EPA must retain</w:t>
      </w:r>
      <w:r w:rsidR="00BE725C">
        <w:t xml:space="preserve"> the</w:t>
      </w:r>
      <w:r w:rsidRPr="003A5E99">
        <w:t xml:space="preserve"> </w:t>
      </w:r>
      <w:r w:rsidRPr="00D5421F">
        <w:rPr>
          <w:noProof/>
        </w:rPr>
        <w:t>flexibility</w:t>
      </w:r>
      <w:r w:rsidRPr="003A5E99">
        <w:t xml:space="preserve"> to tailor data requirements as appropriate, only qualitative descriptors are in the tables. </w:t>
      </w:r>
      <w:r w:rsidRPr="005463D1">
        <w:t>Test notes provide more specific information on the applicability of specific data requirements.</w:t>
      </w:r>
    </w:p>
    <w:p w:rsidR="00282443" w:rsidRPr="00282443" w:rsidRDefault="00282443" w:rsidP="00282443">
      <w:pPr>
        <w:pStyle w:val="NoSpacing"/>
      </w:pPr>
    </w:p>
    <w:p w:rsidR="00282443" w:rsidRDefault="003A5E99" w:rsidP="00282443">
      <w:r w:rsidRPr="003A5E99">
        <w:t xml:space="preserve">The table descriptors NR (not required), R (required), and CR (conditionally required) should be viewed as a general presentation, indicating the likelihood that the data requirement applies. </w:t>
      </w:r>
    </w:p>
    <w:p w:rsidR="00282443" w:rsidRDefault="003A5E99" w:rsidP="00282443">
      <w:pPr>
        <w:pStyle w:val="ListParagraph"/>
        <w:numPr>
          <w:ilvl w:val="0"/>
          <w:numId w:val="23"/>
        </w:numPr>
      </w:pPr>
      <w:r w:rsidRPr="003A5E99">
        <w:t xml:space="preserve">The use of R does not necessarily indicate that a study </w:t>
      </w:r>
      <w:r w:rsidRPr="005463D1">
        <w:t>is always required,</w:t>
      </w:r>
      <w:r w:rsidRPr="003A5E99">
        <w:t xml:space="preserve"> but that it is more likely to be </w:t>
      </w:r>
      <w:r w:rsidRPr="00D5421F">
        <w:rPr>
          <w:noProof/>
        </w:rPr>
        <w:t>required</w:t>
      </w:r>
      <w:r w:rsidRPr="003A5E99">
        <w:t xml:space="preserve"> than not. For example, if the applicant wanted to apply his pesticide to apples, then crop field trials would be </w:t>
      </w:r>
      <w:r w:rsidRPr="00D5421F">
        <w:rPr>
          <w:noProof/>
        </w:rPr>
        <w:t>required</w:t>
      </w:r>
      <w:r w:rsidRPr="003A5E99">
        <w:t xml:space="preserve"> almost always on apples. However, if the physical/chemical properties of the chemical did not lend themselves to </w:t>
      </w:r>
      <w:r w:rsidRPr="005463D1">
        <w:t>the test</w:t>
      </w:r>
      <w:r w:rsidRPr="003A5E99">
        <w:t xml:space="preserve">, such as performing an inhalation test with a chemical that is a solid and has an extremely low vapor pressure, then a waiver might be granted. </w:t>
      </w:r>
      <w:r w:rsidRPr="00D5421F">
        <w:rPr>
          <w:noProof/>
        </w:rPr>
        <w:t>Generally</w:t>
      </w:r>
      <w:r w:rsidR="00BE725C">
        <w:rPr>
          <w:noProof/>
        </w:rPr>
        <w:t>,</w:t>
      </w:r>
      <w:r w:rsidRPr="005463D1">
        <w:t xml:space="preserve"> test notes for R studies discuss any particular circumstances when the testing might not be required.</w:t>
      </w:r>
    </w:p>
    <w:p w:rsidR="003A5E99" w:rsidRPr="003A5E99" w:rsidRDefault="003A5E99" w:rsidP="00282443">
      <w:pPr>
        <w:pStyle w:val="ListParagraph"/>
        <w:numPr>
          <w:ilvl w:val="0"/>
          <w:numId w:val="23"/>
        </w:numPr>
      </w:pPr>
      <w:r w:rsidRPr="005463D1">
        <w:t>The use of CR means a study is less likely to be required.</w:t>
      </w:r>
      <w:r w:rsidRPr="003A5E99">
        <w:t xml:space="preserve"> Triggers in the test notes indicate the circumstances under which the Agency has learned through experience that the information </w:t>
      </w:r>
      <w:r w:rsidRPr="005463D1">
        <w:t>is needed</w:t>
      </w:r>
      <w:r w:rsidRPr="003A5E99">
        <w:t xml:space="preserve">. </w:t>
      </w:r>
      <w:r w:rsidRPr="005463D1">
        <w:t>Although only an approximation, if percentages were to be assigned to indicate the need for a particular study, then R could be viewed as representing</w:t>
      </w:r>
      <w:r w:rsidRPr="007D6E48">
        <w:t xml:space="preserve"> the submission of a study 50% to 100% of the time and CR would be up to 50%.</w:t>
      </w:r>
    </w:p>
    <w:p w:rsidR="003A5E99" w:rsidRDefault="003A5E99" w:rsidP="003A5E99">
      <w:pPr>
        <w:pStyle w:val="ListParagraph"/>
      </w:pPr>
    </w:p>
    <w:p w:rsidR="003A5E99" w:rsidRPr="003A5E99" w:rsidRDefault="003A5E99" w:rsidP="00282443">
      <w:r w:rsidRPr="005463D1">
        <w:t xml:space="preserve">Thus, NR, R, and CR </w:t>
      </w:r>
      <w:r w:rsidRPr="007D6E48">
        <w:t xml:space="preserve">are used for convenience to make the table format </w:t>
      </w:r>
      <w:r w:rsidRPr="00D5421F">
        <w:rPr>
          <w:noProof/>
        </w:rPr>
        <w:t>feasible</w:t>
      </w:r>
      <w:r w:rsidRPr="007D6E48">
        <w:t xml:space="preserve"> but serve only as a general indication of the applicability of a data requirement.</w:t>
      </w:r>
      <w:r w:rsidRPr="003A5E99">
        <w:t xml:space="preserve"> In all cases, the test notes referred to in the table must be consulted to determine the actual need for </w:t>
      </w:r>
      <w:r w:rsidRPr="005463D1">
        <w:t>the data</w:t>
      </w:r>
      <w:r w:rsidRPr="003A5E99">
        <w:t xml:space="preserve">.  </w:t>
      </w:r>
    </w:p>
    <w:p w:rsidR="003A5E99" w:rsidRPr="003A5E99" w:rsidRDefault="003A5E99" w:rsidP="003A5E99">
      <w:pPr>
        <w:pStyle w:val="ListParagraph"/>
      </w:pPr>
    </w:p>
    <w:p w:rsidR="003A5E99" w:rsidRDefault="003A5E99" w:rsidP="00282443">
      <w:r w:rsidRPr="003A5E99">
        <w:t>The table format includes a column heading entitled “Guideline</w:t>
      </w:r>
      <w:r w:rsidRPr="005463D1">
        <w:t>,</w:t>
      </w:r>
      <w:r w:rsidRPr="003A5E99">
        <w:t xml:space="preserve">'' which refers to the OCSPP Harmonized Test </w:t>
      </w:r>
      <w:r w:rsidRPr="005463D1">
        <w:t>Guidelines</w:t>
      </w:r>
      <w:r w:rsidR="00282443" w:rsidRPr="005463D1">
        <w:rPr>
          <w:rStyle w:val="FootnoteReference"/>
          <w:vertAlign w:val="superscript"/>
        </w:rPr>
        <w:footnoteReference w:id="5"/>
      </w:r>
      <w:r w:rsidRPr="003A5E99">
        <w:t xml:space="preserve">. Guideline numbers </w:t>
      </w:r>
      <w:r w:rsidRPr="005463D1">
        <w:t>are provided</w:t>
      </w:r>
      <w:r w:rsidRPr="003A5E99">
        <w:t xml:space="preserve"> as information/guidance to applicants. These Guidelines set forth recommended instructions and test methods for performing a study to generate the required data. Since these are </w:t>
      </w:r>
      <w:r w:rsidRPr="00D5421F">
        <w:rPr>
          <w:noProof/>
        </w:rPr>
        <w:t>guidance documents</w:t>
      </w:r>
      <w:r w:rsidRPr="003A5E99">
        <w:t xml:space="preserve">, the applicant </w:t>
      </w:r>
      <w:r w:rsidRPr="005463D1">
        <w:t>is not required</w:t>
      </w:r>
      <w:r w:rsidRPr="003A5E99">
        <w:t xml:space="preserve"> to use these Guidelines, but may instead seek to fulfill the data requirement by other appropriate means such as </w:t>
      </w:r>
      <w:r w:rsidRPr="005463D1">
        <w:t>alternative test</w:t>
      </w:r>
      <w:r w:rsidRPr="003A5E99">
        <w:t xml:space="preserve"> methods, submission of an article from open literature, or use of modeling. The applicant may submit a protocol of his own devising for the Agency to review. However, the OCSPP Harmonized Guidelines </w:t>
      </w:r>
      <w:r w:rsidRPr="005463D1">
        <w:t>have been developed</w:t>
      </w:r>
      <w:r w:rsidRPr="003A5E99">
        <w:t xml:space="preserve"> through a rigorous scientific process, including extensive peer review by the FIFRA Scientific Advisory Panel. Additionally, many of the Guidelines </w:t>
      </w:r>
      <w:r w:rsidRPr="005463D1">
        <w:t>have been harmonized</w:t>
      </w:r>
      <w:r w:rsidRPr="003A5E99">
        <w:t xml:space="preserve"> internationally. As such, they represent the recommended approach to developing high-quality data that should satisfy EPA's data needs for risk assessment.</w:t>
      </w:r>
    </w:p>
    <w:p w:rsidR="00282443" w:rsidRDefault="00282443" w:rsidP="00282443">
      <w:pPr>
        <w:pStyle w:val="NoSpacing"/>
      </w:pPr>
    </w:p>
    <w:p w:rsidR="003A5E99" w:rsidRDefault="00282443" w:rsidP="00282443">
      <w:pPr>
        <w:pStyle w:val="NoSpacing"/>
      </w:pPr>
      <w:r w:rsidRPr="00282443">
        <w:t>S</w:t>
      </w:r>
      <w:r w:rsidR="003A5E99" w:rsidRPr="00282443">
        <w:t xml:space="preserve">ince it is not possible </w:t>
      </w:r>
      <w:r w:rsidR="003A5E99" w:rsidRPr="005463D1">
        <w:t>to sufficiently delineate</w:t>
      </w:r>
      <w:r w:rsidR="003A5E99" w:rsidRPr="00282443">
        <w:t xml:space="preserve"> all circumstances in test notes, consultation with EPA </w:t>
      </w:r>
      <w:r w:rsidR="003A5E99" w:rsidRPr="005463D1">
        <w:t>is encouraged</w:t>
      </w:r>
      <w:r w:rsidR="003A5E99" w:rsidRPr="00282443">
        <w:t xml:space="preserve">. </w:t>
      </w:r>
      <w:r w:rsidR="003A5E99" w:rsidRPr="005463D1">
        <w:t>Applicants are encouraged to visit the Agency's website at</w:t>
      </w:r>
      <w:r w:rsidR="007F7D4F">
        <w:t xml:space="preserve"> </w:t>
      </w:r>
      <w:hyperlink r:id="rId10" w:history="1">
        <w:r w:rsidR="00FE1581" w:rsidRPr="00516187">
          <w:rPr>
            <w:rStyle w:val="Hyperlink"/>
          </w:rPr>
          <w:t>http://www.epa.gov/pesticide-registration/data-requirements</w:t>
        </w:r>
      </w:hyperlink>
    </w:p>
    <w:p w:rsidR="003A5E99" w:rsidRPr="003A5E99" w:rsidRDefault="003A5E99" w:rsidP="003A5E99">
      <w:pPr>
        <w:pStyle w:val="ListParagraph"/>
      </w:pPr>
    </w:p>
    <w:p w:rsidR="009B796A" w:rsidRPr="009B796A" w:rsidRDefault="00282443" w:rsidP="009B796A">
      <w:r w:rsidRPr="005463D1">
        <w:t>T</w:t>
      </w:r>
      <w:r w:rsidR="003A5E99" w:rsidRPr="005463D1">
        <w:t xml:space="preserve">he Agency may also require a study to generate data that are not codified in </w:t>
      </w:r>
      <w:r w:rsidR="00C267CB" w:rsidRPr="00286822">
        <w:rPr>
          <w:lang w:bidi="en-US"/>
        </w:rPr>
        <w:t>40 CFR part 158</w:t>
      </w:r>
      <w:r w:rsidR="003A5E99" w:rsidRPr="005463D1">
        <w:t xml:space="preserve"> be conducted to provide critical information about the risk</w:t>
      </w:r>
      <w:r w:rsidR="003A5E99" w:rsidRPr="007D6E48">
        <w:t>s and benefits of the pesticide in support of its registration.</w:t>
      </w:r>
      <w:r w:rsidR="003A5E99" w:rsidRPr="003A5E99">
        <w:t xml:space="preserve"> </w:t>
      </w:r>
      <w:r w:rsidR="003A5E99" w:rsidRPr="005463D1">
        <w:t xml:space="preserve">Agency requests for </w:t>
      </w:r>
      <w:r w:rsidR="00C267CB" w:rsidRPr="005463D1">
        <w:t xml:space="preserve">these </w:t>
      </w:r>
      <w:r w:rsidR="003A5E99" w:rsidRPr="005463D1">
        <w:t xml:space="preserve">studies </w:t>
      </w:r>
      <w:r w:rsidR="009B796A">
        <w:t xml:space="preserve">are </w:t>
      </w:r>
      <w:r w:rsidR="009B796A" w:rsidRPr="005463D1">
        <w:t>based</w:t>
      </w:r>
      <w:r w:rsidR="003A5E99" w:rsidRPr="005463D1">
        <w:t xml:space="preserve"> on the particular characteristics of the chemical, and the </w:t>
      </w:r>
      <w:r w:rsidR="003A5E99" w:rsidRPr="007D6E48">
        <w:t xml:space="preserve">Agency’s need for the information in order to make the required </w:t>
      </w:r>
      <w:r w:rsidR="003A5E99" w:rsidRPr="00D5421F">
        <w:rPr>
          <w:noProof/>
        </w:rPr>
        <w:t>statutory</w:t>
      </w:r>
      <w:r w:rsidR="003A5E99" w:rsidRPr="007D6E48">
        <w:t xml:space="preserve"> finding.</w:t>
      </w:r>
      <w:r w:rsidR="003A5E99" w:rsidRPr="003A5E99">
        <w:t xml:space="preserve"> </w:t>
      </w:r>
      <w:r w:rsidR="003A5E99" w:rsidRPr="005463D1">
        <w:t xml:space="preserve">In some </w:t>
      </w:r>
      <w:r w:rsidR="001C7C36" w:rsidRPr="005463D1">
        <w:t>cases,</w:t>
      </w:r>
      <w:r w:rsidR="003A5E99" w:rsidRPr="005463D1">
        <w:t xml:space="preserve"> where the Agency has determined that there is a need for specific data not yet codified in </w:t>
      </w:r>
      <w:r w:rsidR="00C267CB" w:rsidRPr="00FA3DEC">
        <w:rPr>
          <w:lang w:bidi="en-US"/>
        </w:rPr>
        <w:t>40 CFR part 158</w:t>
      </w:r>
      <w:r w:rsidR="003A5E99" w:rsidRPr="005463D1">
        <w:t>, EPA is already requesting or accepting the voluntary submission of the data in order to facilitate making sound regulatory decisions, while minimizing the burden and costs associated with a delayed or conditioned decision.</w:t>
      </w:r>
      <w:r w:rsidR="003A5E99" w:rsidRPr="003A5E99">
        <w:t xml:space="preserve">  </w:t>
      </w:r>
      <w:r w:rsidR="009B796A">
        <w:t xml:space="preserve">A listing of the non-codified studies which EPA has recently or is currently </w:t>
      </w:r>
      <w:r w:rsidR="009B796A" w:rsidRPr="009B796A">
        <w:t>requ</w:t>
      </w:r>
      <w:r w:rsidR="009B796A">
        <w:t>esting for certain</w:t>
      </w:r>
      <w:r w:rsidR="009B796A" w:rsidRPr="009B796A">
        <w:t xml:space="preserve"> call-in</w:t>
      </w:r>
      <w:r w:rsidR="00286822">
        <w:t>s</w:t>
      </w:r>
      <w:r w:rsidR="009B796A" w:rsidRPr="009B796A">
        <w:t xml:space="preserve"> (DCI</w:t>
      </w:r>
      <w:r w:rsidR="00286822">
        <w:t>s</w:t>
      </w:r>
      <w:r w:rsidR="009B796A" w:rsidRPr="009B796A">
        <w:t xml:space="preserve">) issued or expected to be </w:t>
      </w:r>
      <w:r w:rsidR="009B796A" w:rsidRPr="00D5421F">
        <w:rPr>
          <w:noProof/>
        </w:rPr>
        <w:t>issued</w:t>
      </w:r>
      <w:r w:rsidR="009B796A" w:rsidRPr="009B796A">
        <w:t xml:space="preserve"> by the EPA along with a rationale for requiring the data and an explanation of the practical utility of the data</w:t>
      </w:r>
      <w:r w:rsidR="00FA3DEC">
        <w:t xml:space="preserve"> is contained in Appendix </w:t>
      </w:r>
      <w:r w:rsidR="0005745C">
        <w:t>E</w:t>
      </w:r>
      <w:r w:rsidR="00E54675">
        <w:t>. T</w:t>
      </w:r>
      <w:r w:rsidR="009B796A" w:rsidRPr="009B796A">
        <w:t>he studies are grouped by scientific discipline.</w:t>
      </w:r>
    </w:p>
    <w:p w:rsidR="009B796A" w:rsidRPr="009B796A" w:rsidRDefault="009B796A" w:rsidP="009B796A">
      <w:pPr>
        <w:pStyle w:val="NoSpacing"/>
      </w:pPr>
    </w:p>
    <w:p w:rsidR="00DE516D" w:rsidRDefault="00DE516D" w:rsidP="009A6FB8">
      <w:pPr>
        <w:pStyle w:val="NoSpacing"/>
      </w:pPr>
    </w:p>
    <w:p w:rsidR="00F44411" w:rsidRDefault="006B4509" w:rsidP="00D651D2">
      <w:pPr>
        <w:pStyle w:val="Heading3"/>
        <w:numPr>
          <w:ilvl w:val="2"/>
          <w:numId w:val="3"/>
        </w:numPr>
        <w:tabs>
          <w:tab w:val="left" w:pos="1800"/>
        </w:tabs>
        <w:spacing w:after="200"/>
        <w:rPr>
          <w:lang w:bidi="en-US"/>
        </w:rPr>
      </w:pPr>
      <w:bookmarkStart w:id="15" w:name="_Toc482020569"/>
      <w:bookmarkStart w:id="16" w:name="_Toc489017112"/>
      <w:r>
        <w:t>D</w:t>
      </w:r>
      <w:r w:rsidRPr="006B4509">
        <w:t xml:space="preserve">ata That May Be Collected </w:t>
      </w:r>
      <w:r>
        <w:t>U</w:t>
      </w:r>
      <w:r w:rsidRPr="006B4509">
        <w:t>sing a DCI</w:t>
      </w:r>
      <w:bookmarkEnd w:id="15"/>
      <w:bookmarkEnd w:id="16"/>
    </w:p>
    <w:p w:rsidR="003A5E99" w:rsidRDefault="006B4509" w:rsidP="00F11847">
      <w:pPr>
        <w:pStyle w:val="NoSpacing"/>
        <w:rPr>
          <w:lang w:bidi="en-US"/>
        </w:rPr>
      </w:pPr>
      <w:r w:rsidRPr="005463D1">
        <w:rPr>
          <w:lang w:bidi="en-US"/>
        </w:rPr>
        <w:t xml:space="preserve">The data that EPA may collect and review under this ICR will likely vary for each DCI because the DCI is tailored to address the </w:t>
      </w:r>
      <w:r w:rsidRPr="00D5421F">
        <w:rPr>
          <w:noProof/>
          <w:lang w:bidi="en-US"/>
        </w:rPr>
        <w:t>specific</w:t>
      </w:r>
      <w:r w:rsidRPr="005463D1">
        <w:rPr>
          <w:lang w:bidi="en-US"/>
        </w:rPr>
        <w:t xml:space="preserve"> needs of the individual chemical or active ingredient under </w:t>
      </w:r>
      <w:r w:rsidRPr="00D5421F">
        <w:rPr>
          <w:noProof/>
          <w:lang w:bidi="en-US"/>
        </w:rPr>
        <w:t>review</w:t>
      </w:r>
      <w:r w:rsidRPr="005463D1">
        <w:rPr>
          <w:lang w:bidi="en-US"/>
        </w:rPr>
        <w:t>.</w:t>
      </w:r>
      <w:r w:rsidRPr="006B4509">
        <w:rPr>
          <w:lang w:bidi="en-US"/>
        </w:rPr>
        <w:t xml:space="preserve"> </w:t>
      </w:r>
      <w:r>
        <w:rPr>
          <w:lang w:bidi="en-US"/>
        </w:rPr>
        <w:t>However</w:t>
      </w:r>
      <w:r w:rsidRPr="006B4509">
        <w:rPr>
          <w:lang w:bidi="en-US"/>
        </w:rPr>
        <w:t xml:space="preserve">, the data request </w:t>
      </w:r>
      <w:r w:rsidRPr="005463D1">
        <w:rPr>
          <w:lang w:bidi="en-US"/>
        </w:rPr>
        <w:t>will be primarily based</w:t>
      </w:r>
      <w:r w:rsidRPr="006B4509">
        <w:rPr>
          <w:lang w:bidi="en-US"/>
        </w:rPr>
        <w:t xml:space="preserve"> on the data requirement</w:t>
      </w:r>
      <w:r w:rsidR="00912386">
        <w:rPr>
          <w:lang w:bidi="en-US"/>
        </w:rPr>
        <w:t>s</w:t>
      </w:r>
      <w:r w:rsidRPr="006B4509">
        <w:rPr>
          <w:lang w:bidi="en-US"/>
        </w:rPr>
        <w:t xml:space="preserve"> that </w:t>
      </w:r>
      <w:r w:rsidRPr="005463D1">
        <w:rPr>
          <w:lang w:bidi="en-US"/>
        </w:rPr>
        <w:t>are found</w:t>
      </w:r>
      <w:r w:rsidRPr="006B4509">
        <w:rPr>
          <w:lang w:bidi="en-US"/>
        </w:rPr>
        <w:t xml:space="preserve"> in </w:t>
      </w:r>
      <w:r w:rsidRPr="00FA3DEC">
        <w:rPr>
          <w:lang w:bidi="en-US"/>
        </w:rPr>
        <w:t>40 CFR part 158</w:t>
      </w:r>
      <w:r w:rsidRPr="006B4509">
        <w:rPr>
          <w:lang w:bidi="en-US"/>
        </w:rPr>
        <w:t xml:space="preserve">, which includes </w:t>
      </w:r>
      <w:r w:rsidR="0075081D">
        <w:rPr>
          <w:lang w:bidi="en-US"/>
        </w:rPr>
        <w:t xml:space="preserve">a provision that allows the Agency to seek </w:t>
      </w:r>
      <w:r w:rsidRPr="006B4509">
        <w:rPr>
          <w:lang w:bidi="en-US"/>
        </w:rPr>
        <w:t xml:space="preserve">additional </w:t>
      </w:r>
      <w:r w:rsidRPr="005463D1">
        <w:rPr>
          <w:lang w:bidi="en-US"/>
        </w:rPr>
        <w:t>non-codified</w:t>
      </w:r>
      <w:r w:rsidRPr="006B4509">
        <w:rPr>
          <w:lang w:bidi="en-US"/>
        </w:rPr>
        <w:t xml:space="preserve"> data that </w:t>
      </w:r>
      <w:r w:rsidRPr="005463D1">
        <w:rPr>
          <w:lang w:bidi="en-US"/>
        </w:rPr>
        <w:t>is determined</w:t>
      </w:r>
      <w:r w:rsidRPr="006B4509">
        <w:rPr>
          <w:lang w:bidi="en-US"/>
        </w:rPr>
        <w:t xml:space="preserve"> to be necessary to make the risk-based decisions mandated by federal law. </w:t>
      </w:r>
      <w:r w:rsidRPr="005463D1">
        <w:rPr>
          <w:lang w:bidi="en-US"/>
        </w:rPr>
        <w:t>In codifying the requirements</w:t>
      </w:r>
      <w:r w:rsidR="0075081D" w:rsidRPr="005463D1">
        <w:rPr>
          <w:lang w:bidi="en-US"/>
        </w:rPr>
        <w:t xml:space="preserve"> in </w:t>
      </w:r>
      <w:r w:rsidR="0075081D" w:rsidRPr="00FA3DEC">
        <w:rPr>
          <w:lang w:bidi="en-US"/>
        </w:rPr>
        <w:t>40 CFR part 158</w:t>
      </w:r>
      <w:r w:rsidRPr="005463D1">
        <w:rPr>
          <w:lang w:bidi="en-US"/>
        </w:rPr>
        <w:t>, EPA provided substantiation and support to demonstrate the need and practical utility for the data in terms of its use to assess the risks for particular chemicals based</w:t>
      </w:r>
      <w:r w:rsidR="001747A3">
        <w:rPr>
          <w:lang w:bidi="en-US"/>
        </w:rPr>
        <w:t xml:space="preserve"> </w:t>
      </w:r>
      <w:r w:rsidRPr="005463D1">
        <w:rPr>
          <w:lang w:bidi="en-US"/>
        </w:rPr>
        <w:t xml:space="preserve">on the </w:t>
      </w:r>
      <w:r w:rsidRPr="00D5421F">
        <w:rPr>
          <w:noProof/>
          <w:lang w:bidi="en-US"/>
        </w:rPr>
        <w:t>different use</w:t>
      </w:r>
      <w:r w:rsidRPr="005463D1">
        <w:rPr>
          <w:lang w:bidi="en-US"/>
        </w:rPr>
        <w:t xml:space="preserve"> patterns and pesticides</w:t>
      </w:r>
      <w:r w:rsidR="0075081D" w:rsidRPr="005463D1">
        <w:rPr>
          <w:lang w:bidi="en-US"/>
        </w:rPr>
        <w:t xml:space="preserve">, </w:t>
      </w:r>
      <w:r w:rsidRPr="005463D1">
        <w:rPr>
          <w:lang w:bidi="en-US"/>
        </w:rPr>
        <w:t>and in order to make the required registration decisions</w:t>
      </w:r>
      <w:r w:rsidR="00286822">
        <w:rPr>
          <w:lang w:bidi="en-US"/>
        </w:rPr>
        <w:t xml:space="preserve">. </w:t>
      </w:r>
      <w:r w:rsidRPr="005463D1">
        <w:rPr>
          <w:lang w:bidi="en-US"/>
        </w:rPr>
        <w:t xml:space="preserve"> </w:t>
      </w:r>
    </w:p>
    <w:p w:rsidR="003A5E99" w:rsidRDefault="003A5E99" w:rsidP="00F11847">
      <w:pPr>
        <w:pStyle w:val="NoSpacing"/>
        <w:rPr>
          <w:lang w:bidi="en-US"/>
        </w:rPr>
      </w:pPr>
    </w:p>
    <w:p w:rsidR="00D651D2" w:rsidRDefault="00D651D2" w:rsidP="00D651D2">
      <w:pPr>
        <w:pStyle w:val="NoSpacing"/>
      </w:pPr>
      <w:r>
        <w:t xml:space="preserve">Section 4 </w:t>
      </w:r>
      <w:r w:rsidRPr="005463D1">
        <w:t xml:space="preserve">of this ICR includes a discussion </w:t>
      </w:r>
      <w:r w:rsidR="002F0591">
        <w:rPr>
          <w:noProof/>
        </w:rPr>
        <w:t>of</w:t>
      </w:r>
      <w:r w:rsidRPr="005463D1">
        <w:t xml:space="preserve"> how the data are used in EPA decision-making.</w:t>
      </w:r>
    </w:p>
    <w:p w:rsidR="00D651D2" w:rsidRPr="00D651D2" w:rsidRDefault="00D651D2" w:rsidP="00D651D2">
      <w:pPr>
        <w:pStyle w:val="NoSpacing"/>
      </w:pPr>
    </w:p>
    <w:p w:rsidR="00C267CB" w:rsidRDefault="00C267CB" w:rsidP="00D651D2">
      <w:pPr>
        <w:pStyle w:val="Heading3"/>
        <w:numPr>
          <w:ilvl w:val="2"/>
          <w:numId w:val="3"/>
        </w:numPr>
        <w:tabs>
          <w:tab w:val="left" w:pos="1800"/>
        </w:tabs>
        <w:spacing w:after="200"/>
        <w:ind w:left="1800" w:hanging="1080"/>
        <w:rPr>
          <w:lang w:bidi="en-US"/>
        </w:rPr>
      </w:pPr>
      <w:bookmarkStart w:id="17" w:name="_Toc482020570"/>
      <w:bookmarkStart w:id="18" w:name="_Toc489017113"/>
      <w:r>
        <w:t>Methodology Used to Estimate the Paperwork Burden and Costs for DCIs</w:t>
      </w:r>
      <w:bookmarkEnd w:id="17"/>
      <w:bookmarkEnd w:id="18"/>
      <w:r>
        <w:t xml:space="preserve"> </w:t>
      </w:r>
    </w:p>
    <w:p w:rsidR="002E58DE" w:rsidRDefault="002E58DE" w:rsidP="002E58DE">
      <w:r w:rsidRPr="005463D1">
        <w:t xml:space="preserve">The Agency uses two basic approaches to </w:t>
      </w:r>
      <w:r w:rsidRPr="00D5421F">
        <w:rPr>
          <w:noProof/>
        </w:rPr>
        <w:t>calculat</w:t>
      </w:r>
      <w:r w:rsidR="002F0591">
        <w:rPr>
          <w:noProof/>
        </w:rPr>
        <w:t>ing</w:t>
      </w:r>
      <w:r w:rsidRPr="005463D1">
        <w:t xml:space="preserve"> the potential burden and costs for this ICR: 1) For the data generation activities, EPA calculated the paperwork burden as a percentage of the testing costs; and 2) For the rest of the paperwork activities EPA estimated the average amount of time required to complete the specific activity, considering estimates provided in other approved ICRs involving the same activity,</w:t>
      </w:r>
      <w:r w:rsidRPr="007D6E48">
        <w:t xml:space="preserve"> feedback from stakeholders, and EPA's overall experience with such activities.</w:t>
      </w:r>
    </w:p>
    <w:p w:rsidR="002E58DE" w:rsidRPr="002E58DE" w:rsidRDefault="002E58DE" w:rsidP="002E58DE">
      <w:pPr>
        <w:pStyle w:val="NoSpacing"/>
      </w:pPr>
    </w:p>
    <w:p w:rsidR="00FA3DEC" w:rsidRDefault="002E58DE" w:rsidP="002E58DE">
      <w:r w:rsidRPr="002E58DE">
        <w:rPr>
          <w:i/>
          <w:u w:val="single"/>
        </w:rPr>
        <w:t>Method Used to Calculate the Burden and Costs for Data Generation</w:t>
      </w:r>
      <w:r w:rsidRPr="002E58DE">
        <w:rPr>
          <w:u w:val="single"/>
        </w:rPr>
        <w:t>.</w:t>
      </w:r>
      <w:r w:rsidRPr="002E58DE">
        <w:t xml:space="preserve"> EPA calculate</w:t>
      </w:r>
      <w:r w:rsidR="00FA3DEC">
        <w:t>s</w:t>
      </w:r>
      <w:r w:rsidRPr="002E58DE">
        <w:t xml:space="preserve"> the paperwork burden</w:t>
      </w:r>
      <w:r w:rsidR="008D26A9">
        <w:t xml:space="preserve"> and costs</w:t>
      </w:r>
      <w:r w:rsidRPr="002E58DE">
        <w:t xml:space="preserve"> for the data generation activities as a percentage of the testing costs. </w:t>
      </w:r>
      <w:r w:rsidRPr="005463D1">
        <w:t>This percent-based estimate of paperwork associated with conducting a test was initially established in consultation with OMB in the 1980's in an effort to provide a reasonable estimate of the burden associated with the paperwork component of da</w:t>
      </w:r>
      <w:r w:rsidRPr="007D6E48">
        <w:t>ta generation, which may vary based on the complexity of the test performed.</w:t>
      </w:r>
      <w:r w:rsidRPr="002E58DE">
        <w:t xml:space="preserve"> </w:t>
      </w:r>
    </w:p>
    <w:p w:rsidR="00FA3DEC" w:rsidRDefault="00FA3DEC" w:rsidP="002E58DE"/>
    <w:p w:rsidR="00ED29D8" w:rsidRDefault="00FA3DEC" w:rsidP="002E58DE">
      <w:r>
        <w:t xml:space="preserve">This methodology </w:t>
      </w:r>
      <w:r w:rsidR="00637AAC">
        <w:t xml:space="preserve">as described in detail in the </w:t>
      </w:r>
      <w:r>
        <w:t xml:space="preserve">2007 </w:t>
      </w:r>
      <w:r w:rsidR="00637AAC">
        <w:t>document entitled “</w:t>
      </w:r>
      <w:r w:rsidR="00637AAC" w:rsidRPr="00637AAC">
        <w:t xml:space="preserve">General Methodology Used to Estimate Paperwork Burden Hours and Costs by the Office of Pesticide Programs for Submission of Required Data/Information for Responding to a Data </w:t>
      </w:r>
      <w:r w:rsidR="00637AAC" w:rsidRPr="005463D1">
        <w:t>Call-In</w:t>
      </w:r>
      <w:r w:rsidR="00637AAC" w:rsidRPr="00637AAC">
        <w:t xml:space="preserve"> Notice</w:t>
      </w:r>
      <w:r w:rsidR="00637AAC">
        <w:t>.”</w:t>
      </w:r>
      <w:r w:rsidR="00286822" w:rsidRPr="00286822">
        <w:rPr>
          <w:rStyle w:val="FootnoteReference"/>
          <w:vertAlign w:val="superscript"/>
        </w:rPr>
        <w:footnoteReference w:id="6"/>
      </w:r>
      <w:r w:rsidR="00637AAC">
        <w:t xml:space="preserve"> Based on feedback received</w:t>
      </w:r>
      <w:r>
        <w:t xml:space="preserve"> at the time</w:t>
      </w:r>
      <w:r w:rsidR="00637AAC">
        <w:t>, EPA concluded th</w:t>
      </w:r>
      <w:r w:rsidR="00286822">
        <w:t xml:space="preserve">e methodology was </w:t>
      </w:r>
      <w:r w:rsidR="002E58DE" w:rsidRPr="002E58DE">
        <w:t>a reasonable and fair alternative to simply setting a single estimate for data generation burden or perhaps using some set criteria like</w:t>
      </w:r>
      <w:r w:rsidR="002F0591">
        <w:t xml:space="preserve"> a</w:t>
      </w:r>
      <w:r w:rsidR="002E58DE" w:rsidRPr="002E58DE">
        <w:t xml:space="preserve"> </w:t>
      </w:r>
      <w:r w:rsidR="002E58DE" w:rsidRPr="00D5421F">
        <w:rPr>
          <w:noProof/>
        </w:rPr>
        <w:t>high,</w:t>
      </w:r>
      <w:r w:rsidR="002E58DE" w:rsidRPr="002E58DE">
        <w:t xml:space="preserve"> medium or low </w:t>
      </w:r>
      <w:r w:rsidR="002E58DE" w:rsidRPr="00D5421F">
        <w:rPr>
          <w:noProof/>
        </w:rPr>
        <w:t>burden</w:t>
      </w:r>
      <w:r w:rsidR="002E58DE" w:rsidRPr="002E58DE">
        <w:t xml:space="preserve">, neither of which may fairly reflect potential differences in burden. </w:t>
      </w:r>
    </w:p>
    <w:p w:rsidR="00ED29D8" w:rsidRDefault="00ED29D8" w:rsidP="002E58DE"/>
    <w:p w:rsidR="002E58DE" w:rsidRPr="00F22C15" w:rsidRDefault="00F22C15" w:rsidP="002E58DE">
      <w:r w:rsidRPr="00F22C15">
        <w:t xml:space="preserve">In December 2013, the Agency held a DCI Response Burden Assessment Workshop with industry stakeholders. As part of the reassessment, </w:t>
      </w:r>
      <w:r w:rsidR="002B293B">
        <w:t>EPA</w:t>
      </w:r>
      <w:r w:rsidRPr="00F22C15">
        <w:t xml:space="preserve"> consulted with industry about the Agency burden assumptions, the methodology used to estimate the </w:t>
      </w:r>
      <w:r w:rsidRPr="00D5421F">
        <w:rPr>
          <w:noProof/>
        </w:rPr>
        <w:t>burden</w:t>
      </w:r>
      <w:r w:rsidRPr="00F22C15">
        <w:t>, the time estimates for conducting PRA activities, and the accuracy of and appropriate distribution of the labor rates.</w:t>
      </w:r>
      <w:r w:rsidRPr="00F22C15">
        <w:rPr>
          <w:vertAlign w:val="superscript"/>
        </w:rPr>
        <w:t xml:space="preserve"> </w:t>
      </w:r>
      <w:r w:rsidRPr="00F22C15">
        <w:rPr>
          <w:vertAlign w:val="superscript"/>
        </w:rPr>
        <w:footnoteReference w:id="7"/>
      </w:r>
      <w:r>
        <w:rPr>
          <w:vertAlign w:val="superscript"/>
        </w:rPr>
        <w:t xml:space="preserve">   </w:t>
      </w:r>
      <w:r>
        <w:t xml:space="preserve">As a result, </w:t>
      </w:r>
      <w:r w:rsidRPr="00F22C15">
        <w:t>the Agency redefin</w:t>
      </w:r>
      <w:r>
        <w:t>ed</w:t>
      </w:r>
      <w:r w:rsidRPr="00F22C15">
        <w:t xml:space="preserve"> some of th</w:t>
      </w:r>
      <w:r>
        <w:t>e</w:t>
      </w:r>
      <w:r w:rsidRPr="00F22C15">
        <w:t xml:space="preserve"> </w:t>
      </w:r>
      <w:r>
        <w:t xml:space="preserve">2007 </w:t>
      </w:r>
      <w:r w:rsidRPr="00D5421F">
        <w:rPr>
          <w:noProof/>
        </w:rPr>
        <w:t>methodolog</w:t>
      </w:r>
      <w:r w:rsidR="002F0591">
        <w:rPr>
          <w:noProof/>
        </w:rPr>
        <w:t>ies</w:t>
      </w:r>
      <w:r w:rsidRPr="00F22C15">
        <w:t xml:space="preserve"> by revising the number of DCI recipient groups and calculations for those groups to reassess the PRA burden. </w:t>
      </w:r>
      <w:r>
        <w:t xml:space="preserve">For more detail on the </w:t>
      </w:r>
      <w:r w:rsidR="002B293B">
        <w:t xml:space="preserve">revised </w:t>
      </w:r>
      <w:r>
        <w:t xml:space="preserve">burden methodology, see Attachment </w:t>
      </w:r>
      <w:r w:rsidR="00C71245">
        <w:t>B</w:t>
      </w:r>
      <w:r>
        <w:t xml:space="preserve">. </w:t>
      </w:r>
      <w:r w:rsidRPr="00F22C15">
        <w:t xml:space="preserve"> </w:t>
      </w:r>
    </w:p>
    <w:p w:rsidR="002E58DE" w:rsidRPr="002E58DE" w:rsidRDefault="002E58DE" w:rsidP="002E58DE">
      <w:pPr>
        <w:pStyle w:val="NoSpacing"/>
      </w:pPr>
    </w:p>
    <w:p w:rsidR="002E58DE" w:rsidRDefault="00637AAC" w:rsidP="002E58DE">
      <w:pPr>
        <w:rPr>
          <w:lang w:bidi="en-US"/>
        </w:rPr>
      </w:pPr>
      <w:r w:rsidRPr="005463D1">
        <w:t>In summary, t</w:t>
      </w:r>
      <w:r w:rsidR="002E58DE" w:rsidRPr="005463D1">
        <w:t xml:space="preserve">o calculate the burden </w:t>
      </w:r>
      <w:r w:rsidR="008D26A9" w:rsidRPr="007D6E48">
        <w:t xml:space="preserve">and costs </w:t>
      </w:r>
      <w:r w:rsidR="002E58DE" w:rsidRPr="005463D1">
        <w:t xml:space="preserve">associated with the paperwork activities involved in conducting the tests, the Agency starts with the </w:t>
      </w:r>
      <w:r w:rsidR="002E58DE" w:rsidRPr="00D5421F">
        <w:rPr>
          <w:noProof/>
        </w:rPr>
        <w:t>cost</w:t>
      </w:r>
      <w:r w:rsidR="002E58DE" w:rsidRPr="005463D1">
        <w:t xml:space="preserve"> of the </w:t>
      </w:r>
      <w:r w:rsidR="002E58DE" w:rsidRPr="00D5421F">
        <w:rPr>
          <w:noProof/>
        </w:rPr>
        <w:t>test</w:t>
      </w:r>
      <w:r w:rsidR="002E58DE" w:rsidRPr="005463D1">
        <w:t>, typically the market price for the test as identified by laboratories that offer testing services.</w:t>
      </w:r>
      <w:r w:rsidR="002E58DE" w:rsidRPr="002E58DE">
        <w:t xml:space="preserve"> </w:t>
      </w:r>
      <w:r>
        <w:t xml:space="preserve">For this ICR, </w:t>
      </w:r>
      <w:r w:rsidR="00413204" w:rsidRPr="008D26A9">
        <w:rPr>
          <w:lang w:bidi="en-US"/>
        </w:rPr>
        <w:t xml:space="preserve">the Agency maintains an archive of the basic FIFRA study cost estimates that </w:t>
      </w:r>
      <w:r w:rsidR="00413204" w:rsidRPr="005463D1">
        <w:rPr>
          <w:lang w:bidi="en-US"/>
        </w:rPr>
        <w:t>were developed</w:t>
      </w:r>
      <w:r w:rsidR="00413204" w:rsidRPr="008D26A9">
        <w:rPr>
          <w:lang w:bidi="en-US"/>
        </w:rPr>
        <w:t xml:space="preserve"> through surveys of independent testing laboratories, Agency economic </w:t>
      </w:r>
      <w:r w:rsidR="00413204" w:rsidRPr="00D5421F">
        <w:rPr>
          <w:noProof/>
          <w:lang w:bidi="en-US"/>
        </w:rPr>
        <w:t>analyses</w:t>
      </w:r>
      <w:r w:rsidR="00413204" w:rsidRPr="008D26A9">
        <w:rPr>
          <w:lang w:bidi="en-US"/>
        </w:rPr>
        <w:t xml:space="preserve">, and registrant comments during ICR renewal periods. To the extent possible, EPA uses multiple sources to provide test cost estimates, which </w:t>
      </w:r>
      <w:r w:rsidR="00413204" w:rsidRPr="005463D1">
        <w:rPr>
          <w:lang w:bidi="en-US"/>
        </w:rPr>
        <w:t>are updated</w:t>
      </w:r>
      <w:r w:rsidR="00413204" w:rsidRPr="008D26A9">
        <w:rPr>
          <w:lang w:bidi="en-US"/>
        </w:rPr>
        <w:t xml:space="preserve"> as needed</w:t>
      </w:r>
      <w:r>
        <w:rPr>
          <w:lang w:bidi="en-US"/>
        </w:rPr>
        <w:t>.</w:t>
      </w:r>
    </w:p>
    <w:p w:rsidR="00637AAC" w:rsidRPr="00637AAC" w:rsidRDefault="00637AAC" w:rsidP="00637AAC">
      <w:pPr>
        <w:pStyle w:val="NoSpacing"/>
        <w:rPr>
          <w:lang w:bidi="en-US"/>
        </w:rPr>
      </w:pPr>
    </w:p>
    <w:p w:rsidR="002E58DE" w:rsidRDefault="002E58DE" w:rsidP="002E58DE">
      <w:r w:rsidRPr="002E58DE">
        <w:t xml:space="preserve">Based on the existing methodologies, EPA used 35% of the estimated total test cost to calculate the total potential cost </w:t>
      </w:r>
      <w:r w:rsidR="002F0591">
        <w:rPr>
          <w:noProof/>
        </w:rPr>
        <w:t>of</w:t>
      </w:r>
      <w:r w:rsidRPr="002E58DE">
        <w:t xml:space="preserve"> the paperwork activities related to data generation. The 35% of test cost </w:t>
      </w:r>
      <w:r w:rsidRPr="005463D1">
        <w:t>is disaggregated</w:t>
      </w:r>
      <w:r w:rsidRPr="002E58DE">
        <w:t xml:space="preserve"> by labor category, and then burden hours </w:t>
      </w:r>
      <w:r w:rsidRPr="005463D1">
        <w:t>are extrapolated</w:t>
      </w:r>
      <w:r w:rsidRPr="002E58DE">
        <w:t xml:space="preserve"> by using the loaded labor rates. To disaggregate by labor category, the Agency considered the estimated distribution of paperwork activity across the labor category represented </w:t>
      </w:r>
      <w:r w:rsidRPr="005463D1">
        <w:t>and</w:t>
      </w:r>
      <w:r w:rsidRPr="002E58DE">
        <w:t xml:space="preserve"> the existing methodology assumption that paperwork activities for data generation mostly involve the technical staff to perform the tests, with a few activities related to management and clerical.</w:t>
      </w:r>
      <w:r w:rsidR="00DE516D">
        <w:t xml:space="preserve"> </w:t>
      </w:r>
      <w:r w:rsidRPr="002E58DE">
        <w:t xml:space="preserve">See Figure 1 for an illustrated outline of the Agency burden calculation process for data generation. </w:t>
      </w:r>
    </w:p>
    <w:p w:rsidR="008D26A9" w:rsidRPr="008D26A9" w:rsidRDefault="008D26A9" w:rsidP="008D26A9">
      <w:pPr>
        <w:pStyle w:val="NoSpacing"/>
      </w:pPr>
    </w:p>
    <w:p w:rsidR="002E58DE" w:rsidRPr="002E58DE" w:rsidRDefault="002E58DE" w:rsidP="0033668C">
      <w:pPr>
        <w:pStyle w:val="Heading3"/>
      </w:pPr>
      <w:bookmarkStart w:id="19" w:name="_Toc482020571"/>
      <w:bookmarkStart w:id="20" w:name="_Toc489017114"/>
      <w:r w:rsidRPr="002E58DE">
        <w:t>Figure 1 – Method for Calculating Paperwork Burden from Test Costs</w:t>
      </w:r>
      <w:bookmarkEnd w:id="19"/>
      <w:bookmarkEnd w:id="20"/>
    </w:p>
    <w:p w:rsidR="002E58DE" w:rsidRPr="002E58DE" w:rsidRDefault="002E58DE" w:rsidP="002E58DE"/>
    <w:p w:rsidR="002E58DE" w:rsidRPr="002E58DE" w:rsidRDefault="002E58DE" w:rsidP="002E58DE">
      <w:r w:rsidRPr="002E58DE">
        <w:t>This approach assumes and incorpor</w:t>
      </w:r>
      <w:r w:rsidR="00915C8E">
        <w:t xml:space="preserve">ates the following core considerations: </w:t>
      </w:r>
      <w:r w:rsidR="00915C8E">
        <w:rPr>
          <w:noProof/>
        </w:rPr>
        <mc:AlternateContent>
          <mc:Choice Requires="wpg">
            <w:drawing>
              <wp:inline distT="0" distB="0" distL="0" distR="0" wp14:anchorId="360316C5" wp14:editId="2F8D5803">
                <wp:extent cx="6324600" cy="1117600"/>
                <wp:effectExtent l="0" t="0" r="0" b="0"/>
                <wp:docPr id="7" name="Group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324600" cy="1117600"/>
                          <a:chOff x="2829" y="5427"/>
                          <a:chExt cx="7662" cy="1238"/>
                        </a:xfrm>
                      </wpg:grpSpPr>
                      <wps:wsp>
                        <wps:cNvPr id="8" name="AutoShape 10"/>
                        <wps:cNvSpPr>
                          <a:spLocks noChangeAspect="1" noChangeArrowheads="1" noTextEdit="1"/>
                        </wps:cNvSpPr>
                        <wps:spPr bwMode="auto">
                          <a:xfrm>
                            <a:off x="2829" y="5427"/>
                            <a:ext cx="7662" cy="1238"/>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11"/>
                        <wps:cNvSpPr>
                          <a:spLocks noChangeArrowheads="1"/>
                        </wps:cNvSpPr>
                        <wps:spPr bwMode="auto">
                          <a:xfrm>
                            <a:off x="3106" y="5708"/>
                            <a:ext cx="1477" cy="752"/>
                          </a:xfrm>
                          <a:prstGeom prst="rightArrowCallout">
                            <a:avLst>
                              <a:gd name="adj1" fmla="val 25000"/>
                              <a:gd name="adj2" fmla="val 25000"/>
                              <a:gd name="adj3" fmla="val 32735"/>
                              <a:gd name="adj4" fmla="val 66667"/>
                            </a:avLst>
                          </a:prstGeom>
                          <a:solidFill>
                            <a:srgbClr val="FFFFFF"/>
                          </a:solidFill>
                          <a:ln w="9525">
                            <a:solidFill>
                              <a:srgbClr val="000000"/>
                            </a:solidFill>
                            <a:miter lim="800000"/>
                            <a:headEnd/>
                            <a:tailEnd/>
                          </a:ln>
                        </wps:spPr>
                        <wps:txbx>
                          <w:txbxContent>
                            <w:p w:rsidR="00AD709C" w:rsidRDefault="00AD709C" w:rsidP="00915C8E">
                              <w:pPr>
                                <w:jc w:val="center"/>
                                <w:rPr>
                                  <w:sz w:val="20"/>
                                  <w:szCs w:val="20"/>
                                </w:rPr>
                              </w:pPr>
                              <w:r>
                                <w:rPr>
                                  <w:sz w:val="20"/>
                                  <w:szCs w:val="20"/>
                                </w:rPr>
                                <w:t>Identify 35% of the Test Cost</w:t>
                              </w:r>
                            </w:p>
                          </w:txbxContent>
                        </wps:txbx>
                        <wps:bodyPr rot="0" vert="horz" wrap="square" lIns="91440" tIns="45720" rIns="91440" bIns="45720" anchor="t" anchorCtr="0" upright="1">
                          <a:noAutofit/>
                        </wps:bodyPr>
                      </wps:wsp>
                      <wps:wsp>
                        <wps:cNvPr id="10" name="AutoShape 12"/>
                        <wps:cNvSpPr>
                          <a:spLocks noChangeArrowheads="1"/>
                        </wps:cNvSpPr>
                        <wps:spPr bwMode="auto">
                          <a:xfrm>
                            <a:off x="4675" y="5614"/>
                            <a:ext cx="2492" cy="941"/>
                          </a:xfrm>
                          <a:prstGeom prst="rightArrowCallout">
                            <a:avLst>
                              <a:gd name="adj1" fmla="val 25000"/>
                              <a:gd name="adj2" fmla="val 25000"/>
                              <a:gd name="adj3" fmla="val 44137"/>
                              <a:gd name="adj4" fmla="val 66667"/>
                            </a:avLst>
                          </a:prstGeom>
                          <a:solidFill>
                            <a:srgbClr val="FFFFFF"/>
                          </a:solidFill>
                          <a:ln w="9525">
                            <a:solidFill>
                              <a:srgbClr val="000000"/>
                            </a:solidFill>
                            <a:miter lim="800000"/>
                            <a:headEnd/>
                            <a:tailEnd/>
                          </a:ln>
                        </wps:spPr>
                        <wps:txbx>
                          <w:txbxContent>
                            <w:p w:rsidR="00AD709C" w:rsidRDefault="00AD709C" w:rsidP="00915C8E">
                              <w:pPr>
                                <w:rPr>
                                  <w:sz w:val="20"/>
                                  <w:szCs w:val="20"/>
                                </w:rPr>
                              </w:pPr>
                              <w:r>
                                <w:rPr>
                                  <w:sz w:val="20"/>
                                  <w:szCs w:val="20"/>
                                </w:rPr>
                                <w:t>Divide 35% cost into:</w:t>
                              </w:r>
                              <w:r>
                                <w:rPr>
                                  <w:sz w:val="20"/>
                                  <w:szCs w:val="20"/>
                                </w:rPr>
                                <w:br/>
                                <w:t xml:space="preserve">20% for Managerial </w:t>
                              </w:r>
                              <w:r>
                                <w:rPr>
                                  <w:sz w:val="20"/>
                                  <w:szCs w:val="20"/>
                                </w:rPr>
                                <w:br/>
                                <w:t>65% for Technical</w:t>
                              </w:r>
                              <w:r>
                                <w:rPr>
                                  <w:sz w:val="20"/>
                                  <w:szCs w:val="20"/>
                                </w:rPr>
                                <w:br/>
                                <w:t>15% for Clerical</w:t>
                              </w:r>
                            </w:p>
                          </w:txbxContent>
                        </wps:txbx>
                        <wps:bodyPr rot="0" vert="horz" wrap="square" lIns="91440" tIns="45720" rIns="91440" bIns="45720" anchor="t" anchorCtr="0" upright="1">
                          <a:noAutofit/>
                        </wps:bodyPr>
                      </wps:wsp>
                      <wps:wsp>
                        <wps:cNvPr id="11" name="AutoShape 13"/>
                        <wps:cNvSpPr>
                          <a:spLocks noChangeArrowheads="1"/>
                        </wps:cNvSpPr>
                        <wps:spPr bwMode="auto">
                          <a:xfrm>
                            <a:off x="7260" y="5662"/>
                            <a:ext cx="1754" cy="846"/>
                          </a:xfrm>
                          <a:prstGeom prst="rightArrowCallout">
                            <a:avLst>
                              <a:gd name="adj1" fmla="val 25000"/>
                              <a:gd name="adj2" fmla="val 25000"/>
                              <a:gd name="adj3" fmla="val 34555"/>
                              <a:gd name="adj4" fmla="val 66667"/>
                            </a:avLst>
                          </a:prstGeom>
                          <a:solidFill>
                            <a:srgbClr val="FFFFFF"/>
                          </a:solidFill>
                          <a:ln w="9525">
                            <a:solidFill>
                              <a:srgbClr val="000000"/>
                            </a:solidFill>
                            <a:miter lim="800000"/>
                            <a:headEnd/>
                            <a:tailEnd/>
                          </a:ln>
                        </wps:spPr>
                        <wps:txbx>
                          <w:txbxContent>
                            <w:p w:rsidR="00AD709C" w:rsidRDefault="00AD709C" w:rsidP="00915C8E">
                              <w:pPr>
                                <w:rPr>
                                  <w:sz w:val="20"/>
                                  <w:szCs w:val="20"/>
                                </w:rPr>
                              </w:pPr>
                              <w:r>
                                <w:rPr>
                                  <w:sz w:val="20"/>
                                  <w:szCs w:val="20"/>
                                </w:rPr>
                                <w:t>Divide each by Loaded Labor rate for that Category</w:t>
                              </w:r>
                            </w:p>
                          </w:txbxContent>
                        </wps:txbx>
                        <wps:bodyPr rot="0" vert="horz" wrap="square" lIns="91440" tIns="45720" rIns="91440" bIns="45720" anchor="t" anchorCtr="0" upright="1">
                          <a:noAutofit/>
                        </wps:bodyPr>
                      </wps:wsp>
                      <wps:wsp>
                        <wps:cNvPr id="12" name="Text Box 14"/>
                        <wps:cNvSpPr txBox="1">
                          <a:spLocks noChangeArrowheads="1"/>
                        </wps:cNvSpPr>
                        <wps:spPr bwMode="auto">
                          <a:xfrm>
                            <a:off x="9125" y="5756"/>
                            <a:ext cx="914" cy="704"/>
                          </a:xfrm>
                          <a:prstGeom prst="rect">
                            <a:avLst/>
                          </a:prstGeom>
                          <a:solidFill>
                            <a:srgbClr val="FFFFFF"/>
                          </a:solidFill>
                          <a:ln w="9525">
                            <a:solidFill>
                              <a:srgbClr val="000000"/>
                            </a:solidFill>
                            <a:miter lim="800000"/>
                            <a:headEnd/>
                            <a:tailEnd/>
                          </a:ln>
                        </wps:spPr>
                        <wps:txbx>
                          <w:txbxContent>
                            <w:p w:rsidR="00AD709C" w:rsidRDefault="00AD709C" w:rsidP="00915C8E">
                              <w:pPr>
                                <w:rPr>
                                  <w:sz w:val="20"/>
                                  <w:szCs w:val="20"/>
                                </w:rPr>
                              </w:pPr>
                              <w:r>
                                <w:rPr>
                                  <w:sz w:val="20"/>
                                  <w:szCs w:val="20"/>
                                </w:rPr>
                                <w:t>Burden Hours by Category</w:t>
                              </w:r>
                            </w:p>
                          </w:txbxContent>
                        </wps:txbx>
                        <wps:bodyPr rot="0" vert="horz" wrap="square" lIns="91440" tIns="45720" rIns="91440" bIns="45720" anchor="t" anchorCtr="0" upright="1">
                          <a:noAutofit/>
                        </wps:bodyPr>
                      </wps:wsp>
                    </wpg:wgp>
                  </a:graphicData>
                </a:graphic>
              </wp:inline>
            </w:drawing>
          </mc:Choice>
          <mc:Fallback>
            <w:pict>
              <v:group id="Group 9" o:spid="_x0000_s1026" style="width:498pt;height:88pt;mso-position-horizontal-relative:char;mso-position-vertical-relative:line" coordorigin="2829,5427" coordsize="7662,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">
                <o:lock v:ext="edit" aspectratio="t"/>
                <v:rect id="AutoShape 10" o:spid="_x0000_s1027" style="position:absolute;left:2829;top:5427;width:7662;height:1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text="t"/>
                </v:re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11" o:spid="_x0000_s1028" type="#_x0000_t78" style="position:absolute;left:3106;top:5708;width:1477;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svQMIA&#10;AADaAAAADwAAAGRycy9kb3ducmV2LnhtbESPQWvCQBSE74X+h+UVvJS6sQdpUzdiC0LBk7beH9ln&#10;Nsnu25BdTfTXu4LgcZiZb5jFcnRWnKgPtWcFs2kGgrj0uuZKwf/f+u0DRIjIGq1nUnCmAMvi+WmB&#10;ufYDb+m0i5VIEA45KjAxdrmUoTTkMEx9R5y8g+8dxiT7SuoehwR3Vr5n2Vw6rDktGOzox1DZ7o5O&#10;ATdWN9+v+007P7fdxXoz2w9GqcnLuPoCEWmMj/C9/asVfMLtSroBsr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9AwgAAANoAAAAPAAAAAAAAAAAAAAAAAJgCAABkcnMvZG93&#10;bnJldi54bWxQSwUGAAAAAAQABAD1AAAAhwMAAAAA&#10;">
                  <v:textbox>
                    <w:txbxContent>
                      <w:p w:rsidR="00AD709C" w:rsidRDefault="00AD709C" w:rsidP="00915C8E">
                        <w:pPr>
                          <w:jc w:val="center"/>
                          <w:rPr>
                            <w:sz w:val="20"/>
                            <w:szCs w:val="20"/>
                          </w:rPr>
                        </w:pPr>
                        <w:r>
                          <w:rPr>
                            <w:sz w:val="20"/>
                            <w:szCs w:val="20"/>
                          </w:rPr>
                          <w:t>Identify 35% of the Test Cost</w:t>
                        </w:r>
                      </w:p>
                    </w:txbxContent>
                  </v:textbox>
                </v:shape>
                <v:shape id="AutoShape 12" o:spid="_x0000_s1029" type="#_x0000_t78" style="position:absolute;left:4675;top:5614;width:2492;height: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ebsMA&#10;AADbAAAADwAAAGRycy9kb3ducmV2LnhtbESPT2vDMAzF74N9B6PCLmV1ukMpWd2yDgqDndY/dxFr&#10;cRpbDrHbpP301WGwm8R7eu+n1WYMXl2pT01kA/NZAYq4irbh2sDxsHtdgkoZ2aKPTAZulGCzfn5a&#10;YWnjwD903edaSQinEg24nLtS61Q5CphmsSMW7Tf2AbOsfa1tj4OEB6/fimKhAzYsDQ47+nRUtftL&#10;MMBnb8/b6em7Xdza7u6jm58GZ8zLZPx4B5VpzP/mv+svK/hCL7/IAH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kebsMAAADbAAAADwAAAAAAAAAAAAAAAACYAgAAZHJzL2Rv&#10;d25yZXYueG1sUEsFBgAAAAAEAAQA9QAAAIgDAAAAAA==&#10;">
                  <v:textbox>
                    <w:txbxContent>
                      <w:p w:rsidR="00AD709C" w:rsidRDefault="00AD709C" w:rsidP="00915C8E">
                        <w:pPr>
                          <w:rPr>
                            <w:sz w:val="20"/>
                            <w:szCs w:val="20"/>
                          </w:rPr>
                        </w:pPr>
                        <w:r>
                          <w:rPr>
                            <w:sz w:val="20"/>
                            <w:szCs w:val="20"/>
                          </w:rPr>
                          <w:t>Divide 35% cost into:</w:t>
                        </w:r>
                        <w:r>
                          <w:rPr>
                            <w:sz w:val="20"/>
                            <w:szCs w:val="20"/>
                          </w:rPr>
                          <w:br/>
                          <w:t xml:space="preserve">20% for Managerial </w:t>
                        </w:r>
                        <w:r>
                          <w:rPr>
                            <w:sz w:val="20"/>
                            <w:szCs w:val="20"/>
                          </w:rPr>
                          <w:br/>
                          <w:t>65% for Technical</w:t>
                        </w:r>
                        <w:r>
                          <w:rPr>
                            <w:sz w:val="20"/>
                            <w:szCs w:val="20"/>
                          </w:rPr>
                          <w:br/>
                          <w:t>15% for Clerical</w:t>
                        </w:r>
                      </w:p>
                    </w:txbxContent>
                  </v:textbox>
                </v:shape>
                <v:shape id="AutoShape 13" o:spid="_x0000_s1030" type="#_x0000_t78" style="position:absolute;left:7260;top:5662;width:1754;height: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W79cAA&#10;AADbAAAADwAAAGRycy9kb3ducmV2LnhtbERPS4vCMBC+L/gfwgheFk3rQZZqFBUWFjytj/vQjE1t&#10;MilNtNVfv1lY2Nt8fM9ZbQZnxYO6UHtWkM8yEMSl1zVXCs6nz+kHiBCRNVrPpOBJATbr0dsKC+17&#10;/qbHMVYihXAoUIGJsS2kDKUhh2HmW+LEXX3nMCbYVVJ32KdwZ+U8yxbSYc2pwWBLe0Nlc7w7BXyz&#10;+rZ7vxyaxbNpX9ab/NIbpSbjYbsEEWmI/+I/95dO83P4/SUdIN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W79cAAAADbAAAADwAAAAAAAAAAAAAAAACYAgAAZHJzL2Rvd25y&#10;ZXYueG1sUEsFBgAAAAAEAAQA9QAAAIUDAAAAAA==&#10;">
                  <v:textbox>
                    <w:txbxContent>
                      <w:p w:rsidR="00AD709C" w:rsidRDefault="00AD709C" w:rsidP="00915C8E">
                        <w:pPr>
                          <w:rPr>
                            <w:sz w:val="20"/>
                            <w:szCs w:val="20"/>
                          </w:rPr>
                        </w:pPr>
                        <w:r>
                          <w:rPr>
                            <w:sz w:val="20"/>
                            <w:szCs w:val="20"/>
                          </w:rPr>
                          <w:t>Divide each by Loaded Labor rate for that Category</w:t>
                        </w:r>
                      </w:p>
                    </w:txbxContent>
                  </v:textbox>
                </v:shape>
                <v:shapetype id="_x0000_t202" coordsize="21600,21600" o:spt="202" path="m,l,21600r21600,l21600,xe">
                  <v:stroke joinstyle="miter"/>
                  <v:path gradientshapeok="t" o:connecttype="rect"/>
                </v:shapetype>
                <v:shape id="Text Box 14" o:spid="_x0000_s1031" type="#_x0000_t202" style="position:absolute;left:9125;top:5756;width:914;height: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AD709C" w:rsidRDefault="00AD709C" w:rsidP="00915C8E">
                        <w:pPr>
                          <w:rPr>
                            <w:sz w:val="20"/>
                            <w:szCs w:val="20"/>
                          </w:rPr>
                        </w:pPr>
                        <w:r>
                          <w:rPr>
                            <w:sz w:val="20"/>
                            <w:szCs w:val="20"/>
                          </w:rPr>
                          <w:t>Burden Hours by Category</w:t>
                        </w:r>
                      </w:p>
                    </w:txbxContent>
                  </v:textbox>
                </v:shape>
                <w10:anchorlock/>
              </v:group>
            </w:pict>
          </mc:Fallback>
        </mc:AlternateContent>
      </w:r>
    </w:p>
    <w:p w:rsidR="002E58DE" w:rsidRPr="002E58DE" w:rsidRDefault="002E58DE" w:rsidP="00637AAC">
      <w:pPr>
        <w:ind w:left="360"/>
      </w:pPr>
      <w:r w:rsidRPr="002E58DE">
        <w:t>(1)</w:t>
      </w:r>
      <w:r w:rsidRPr="002E58DE">
        <w:tab/>
        <w:t>Recipients generate all of the data as specified in the</w:t>
      </w:r>
      <w:r w:rsidR="008D26A9">
        <w:t xml:space="preserve"> DCI without any changes</w:t>
      </w:r>
      <w:r w:rsidRPr="002E58DE">
        <w:t>.</w:t>
      </w:r>
    </w:p>
    <w:p w:rsidR="002E58DE" w:rsidRPr="002E58DE" w:rsidRDefault="002E58DE" w:rsidP="00637AAC">
      <w:pPr>
        <w:ind w:firstLine="360"/>
      </w:pPr>
      <w:r w:rsidRPr="002E58DE">
        <w:t>(2)</w:t>
      </w:r>
      <w:r w:rsidRPr="002E58DE">
        <w:tab/>
        <w:t xml:space="preserve">All data generation </w:t>
      </w:r>
      <w:r w:rsidRPr="005463D1">
        <w:t>is performed</w:t>
      </w:r>
      <w:r w:rsidRPr="002E58DE">
        <w:t xml:space="preserve"> by an independent laboratory.</w:t>
      </w:r>
    </w:p>
    <w:p w:rsidR="002E58DE" w:rsidRPr="002E58DE" w:rsidRDefault="002E58DE" w:rsidP="00637AAC">
      <w:pPr>
        <w:ind w:firstLine="360"/>
      </w:pPr>
      <w:r w:rsidRPr="002E58DE">
        <w:t>(3)</w:t>
      </w:r>
      <w:r w:rsidRPr="002E58DE">
        <w:tab/>
        <w:t xml:space="preserve">Paperwork burden </w:t>
      </w:r>
      <w:r w:rsidRPr="005463D1">
        <w:t>is disaggregated</w:t>
      </w:r>
      <w:r w:rsidRPr="002E58DE">
        <w:t xml:space="preserve"> by labor category as follows:</w:t>
      </w:r>
    </w:p>
    <w:p w:rsidR="002E58DE" w:rsidRPr="002E58DE" w:rsidRDefault="002E58DE" w:rsidP="008D26A9">
      <w:pPr>
        <w:tabs>
          <w:tab w:val="left" w:pos="1080"/>
        </w:tabs>
        <w:ind w:left="720"/>
      </w:pPr>
      <w:r w:rsidRPr="005463D1">
        <w:t>a</w:t>
      </w:r>
      <w:r w:rsidRPr="002E58DE">
        <w:t>.</w:t>
      </w:r>
      <w:r w:rsidRPr="002E58DE">
        <w:tab/>
        <w:t>Managerial (20%)</w:t>
      </w:r>
    </w:p>
    <w:p w:rsidR="002E58DE" w:rsidRPr="002E58DE" w:rsidRDefault="002E58DE" w:rsidP="008D26A9">
      <w:pPr>
        <w:tabs>
          <w:tab w:val="left" w:pos="1080"/>
        </w:tabs>
        <w:ind w:left="720"/>
      </w:pPr>
      <w:r w:rsidRPr="005463D1">
        <w:t>b</w:t>
      </w:r>
      <w:r w:rsidRPr="002E58DE">
        <w:t>.</w:t>
      </w:r>
      <w:r w:rsidRPr="002E58DE">
        <w:tab/>
        <w:t>Technical (65%)</w:t>
      </w:r>
    </w:p>
    <w:p w:rsidR="002E58DE" w:rsidRPr="002E58DE" w:rsidRDefault="002E58DE" w:rsidP="008D26A9">
      <w:pPr>
        <w:tabs>
          <w:tab w:val="left" w:pos="1080"/>
        </w:tabs>
        <w:ind w:left="720"/>
      </w:pPr>
      <w:r w:rsidRPr="005463D1">
        <w:t>c</w:t>
      </w:r>
      <w:r w:rsidRPr="002E58DE">
        <w:t>.</w:t>
      </w:r>
      <w:r w:rsidRPr="002E58DE">
        <w:tab/>
        <w:t>Clerical (15%)</w:t>
      </w:r>
    </w:p>
    <w:p w:rsidR="002E58DE" w:rsidRDefault="002E58DE" w:rsidP="00637AAC">
      <w:pPr>
        <w:ind w:left="360"/>
      </w:pPr>
      <w:r w:rsidRPr="002E58DE">
        <w:t>(4)</w:t>
      </w:r>
      <w:r w:rsidRPr="002E58DE">
        <w:tab/>
        <w:t xml:space="preserve">Labor rates </w:t>
      </w:r>
      <w:r w:rsidRPr="005463D1">
        <w:t>are fully loaded</w:t>
      </w:r>
      <w:r w:rsidRPr="002E58DE">
        <w:t xml:space="preserve">, meaning that they include the estimated costs of wages, overhead, and benefits paid to an employee. </w:t>
      </w:r>
    </w:p>
    <w:p w:rsidR="00637AAC" w:rsidRDefault="00637AAC" w:rsidP="00637AAC">
      <w:pPr>
        <w:pStyle w:val="NoSpacing"/>
      </w:pPr>
    </w:p>
    <w:p w:rsidR="00C662CD" w:rsidRDefault="00637AAC" w:rsidP="00637AAC">
      <w:pPr>
        <w:pStyle w:val="NoSpacing"/>
      </w:pPr>
      <w:r>
        <w:t xml:space="preserve">See Attachment </w:t>
      </w:r>
      <w:r w:rsidR="00C71245">
        <w:t>B</w:t>
      </w:r>
      <w:r w:rsidR="000809FA">
        <w:t xml:space="preserve">, Section II, B. Methodology for </w:t>
      </w:r>
      <w:r w:rsidR="00FA0B1D">
        <w:t>Calculating</w:t>
      </w:r>
      <w:r w:rsidR="000809FA">
        <w:t xml:space="preserve"> Labor Wage Rates, </w:t>
      </w:r>
      <w:r>
        <w:t>for more details about this method</w:t>
      </w:r>
      <w:r w:rsidR="00C662CD">
        <w:t>.</w:t>
      </w:r>
      <w:r w:rsidR="002E51C6">
        <w:t xml:space="preserve"> </w:t>
      </w:r>
    </w:p>
    <w:p w:rsidR="008D26A9" w:rsidRPr="008D26A9" w:rsidRDefault="008D26A9" w:rsidP="008D26A9">
      <w:pPr>
        <w:pStyle w:val="NoSpacing"/>
      </w:pPr>
    </w:p>
    <w:p w:rsidR="002E58DE" w:rsidRDefault="002E58DE" w:rsidP="00637AAC">
      <w:r w:rsidRPr="00637AAC">
        <w:rPr>
          <w:i/>
          <w:u w:val="single"/>
        </w:rPr>
        <w:t>Method Used to Calculate the Burden and Costs for Other Activities</w:t>
      </w:r>
      <w:r w:rsidRPr="002E58DE">
        <w:t xml:space="preserve">. For the other activities, EPA estimated the burden hours by considering the activities themselves and the </w:t>
      </w:r>
      <w:r w:rsidR="00637AAC">
        <w:t xml:space="preserve">average </w:t>
      </w:r>
      <w:r w:rsidRPr="002E58DE">
        <w:t xml:space="preserve">expected amount of time that the activity </w:t>
      </w:r>
      <w:r w:rsidR="00637AAC" w:rsidRPr="005463D1">
        <w:t>is anticipated</w:t>
      </w:r>
      <w:r w:rsidR="00637AAC">
        <w:t xml:space="preserve"> to </w:t>
      </w:r>
      <w:r w:rsidRPr="002E58DE">
        <w:t xml:space="preserve">involve. These estimates consider the </w:t>
      </w:r>
      <w:r w:rsidRPr="005463D1">
        <w:t>Agency's</w:t>
      </w:r>
      <w:r w:rsidRPr="002E58DE">
        <w:t xml:space="preserve"> experience with similar data collection activities and direct experience in conducting the </w:t>
      </w:r>
      <w:r w:rsidR="00637AAC">
        <w:t>tests in EPA Laboratories</w:t>
      </w:r>
      <w:r w:rsidRPr="002E58DE">
        <w:t xml:space="preserve">. The </w:t>
      </w:r>
      <w:r w:rsidR="006126A9">
        <w:t xml:space="preserve">methodology used to </w:t>
      </w:r>
      <w:r w:rsidRPr="005463D1">
        <w:t>calculate</w:t>
      </w:r>
      <w:r w:rsidR="006126A9">
        <w:t xml:space="preserve"> cost </w:t>
      </w:r>
      <w:r w:rsidRPr="005463D1">
        <w:t xml:space="preserve">are </w:t>
      </w:r>
      <w:r w:rsidRPr="006126A9">
        <w:t xml:space="preserve">identified in </w:t>
      </w:r>
      <w:r w:rsidR="006126A9" w:rsidRPr="006126A9">
        <w:t>Appendix D, section VI</w:t>
      </w:r>
      <w:r w:rsidR="006126A9" w:rsidRPr="006126A9">
        <w:rPr>
          <w:i/>
        </w:rPr>
        <w:t xml:space="preserve">, Is the burden for those not generating data </w:t>
      </w:r>
      <w:r w:rsidR="006126A9" w:rsidRPr="00D5421F">
        <w:rPr>
          <w:i/>
          <w:noProof/>
        </w:rPr>
        <w:t>covered?</w:t>
      </w:r>
      <w:r w:rsidR="00FA0B1D">
        <w:t xml:space="preserve"> </w:t>
      </w:r>
    </w:p>
    <w:p w:rsidR="008B2652" w:rsidRDefault="008B2652" w:rsidP="008B2652">
      <w:pPr>
        <w:pStyle w:val="NoSpacing"/>
      </w:pPr>
    </w:p>
    <w:p w:rsidR="002D04A7" w:rsidRDefault="002D04A7" w:rsidP="00D651D2">
      <w:pPr>
        <w:pStyle w:val="Heading3"/>
        <w:numPr>
          <w:ilvl w:val="2"/>
          <w:numId w:val="3"/>
        </w:numPr>
        <w:tabs>
          <w:tab w:val="left" w:pos="1800"/>
        </w:tabs>
        <w:spacing w:after="200"/>
      </w:pPr>
      <w:bookmarkStart w:id="21" w:name="_Toc482020572"/>
      <w:bookmarkStart w:id="22" w:name="_Toc489017115"/>
      <w:r>
        <w:t>Common DCI-Related Respondent Activities</w:t>
      </w:r>
      <w:bookmarkEnd w:id="21"/>
      <w:bookmarkEnd w:id="22"/>
    </w:p>
    <w:p w:rsidR="005A30AA" w:rsidRDefault="00C42CD9" w:rsidP="005A30AA">
      <w:pPr>
        <w:pStyle w:val="NoSpacing"/>
        <w:rPr>
          <w:lang w:bidi="en-US"/>
        </w:rPr>
      </w:pPr>
      <w:r>
        <w:rPr>
          <w:lang w:bidi="en-US"/>
        </w:rPr>
        <w:t>For each program DCI (</w:t>
      </w:r>
      <w:r w:rsidRPr="00D5421F">
        <w:rPr>
          <w:noProof/>
          <w:lang w:bidi="en-US"/>
        </w:rPr>
        <w:t>reregistration</w:t>
      </w:r>
      <w:r>
        <w:rPr>
          <w:lang w:bidi="en-US"/>
        </w:rPr>
        <w:t>, registration review, special review, etc.,) e</w:t>
      </w:r>
      <w:r w:rsidR="005A30AA">
        <w:rPr>
          <w:lang w:bidi="en-US"/>
        </w:rPr>
        <w:t xml:space="preserve">ach DCI will involve the same basic paperwork activities, which </w:t>
      </w:r>
      <w:r w:rsidR="005A30AA" w:rsidRPr="005463D1">
        <w:rPr>
          <w:lang w:bidi="en-US"/>
        </w:rPr>
        <w:t>are grouped</w:t>
      </w:r>
      <w:r w:rsidR="005A30AA">
        <w:rPr>
          <w:lang w:bidi="en-US"/>
        </w:rPr>
        <w:t xml:space="preserve"> into the following three information collection categories for purposes of presenting the burden and costs in this ICR:</w:t>
      </w:r>
    </w:p>
    <w:p w:rsidR="005A30AA" w:rsidRDefault="005A30AA" w:rsidP="005A30AA">
      <w:pPr>
        <w:pStyle w:val="NoSpacing"/>
        <w:numPr>
          <w:ilvl w:val="0"/>
          <w:numId w:val="29"/>
        </w:numPr>
        <w:rPr>
          <w:lang w:bidi="en-US"/>
        </w:rPr>
      </w:pPr>
      <w:r>
        <w:rPr>
          <w:lang w:bidi="en-US"/>
        </w:rPr>
        <w:t>DCI Recipients</w:t>
      </w:r>
    </w:p>
    <w:p w:rsidR="005A30AA" w:rsidRDefault="005A30AA" w:rsidP="005A30AA">
      <w:pPr>
        <w:pStyle w:val="NoSpacing"/>
        <w:numPr>
          <w:ilvl w:val="0"/>
          <w:numId w:val="29"/>
        </w:numPr>
      </w:pPr>
      <w:r>
        <w:rPr>
          <w:lang w:bidi="en-US"/>
        </w:rPr>
        <w:t>Data Generators</w:t>
      </w:r>
    </w:p>
    <w:p w:rsidR="005A30AA" w:rsidRDefault="005A30AA" w:rsidP="005A30AA">
      <w:pPr>
        <w:pStyle w:val="NoSpacing"/>
        <w:numPr>
          <w:ilvl w:val="0"/>
          <w:numId w:val="29"/>
        </w:numPr>
      </w:pPr>
      <w:r>
        <w:rPr>
          <w:lang w:bidi="en-US"/>
        </w:rPr>
        <w:t xml:space="preserve">Consortium Participants </w:t>
      </w:r>
    </w:p>
    <w:p w:rsidR="005A30AA" w:rsidRDefault="005A30AA" w:rsidP="005A30AA">
      <w:pPr>
        <w:ind w:left="720"/>
      </w:pPr>
    </w:p>
    <w:p w:rsidR="009C78D0" w:rsidRPr="009C78D0" w:rsidRDefault="005A30AA" w:rsidP="009C78D0">
      <w:pPr>
        <w:rPr>
          <w:lang w:bidi="en-US"/>
        </w:rPr>
      </w:pPr>
      <w:r w:rsidRPr="005463D1">
        <w:rPr>
          <w:b/>
        </w:rPr>
        <w:t>DCI Recipients</w:t>
      </w:r>
      <w:r w:rsidRPr="005463D1">
        <w:t xml:space="preserve"> - </w:t>
      </w:r>
      <w:r w:rsidR="009C78D0" w:rsidRPr="009C78D0">
        <w:t xml:space="preserve">After receiving a DCI, each recipient has 90 days to provide the initial response indicating how the recipient plans to comply with the DCI.  A registrant may avoid generating the data if they qualify for a generic data exemption, i.e., they use a registered pesticide as the source of the active ingredient in their own product, cancel the product’s registration, submit or cite existing data, or is granted a waiver by EPA in response to their request. </w:t>
      </w:r>
      <w:r w:rsidR="009C78D0" w:rsidRPr="009C78D0">
        <w:rPr>
          <w:lang w:bidi="en-US"/>
        </w:rPr>
        <w:t xml:space="preserve">These initial response options are generally available under the pesticide program, and the activities, along with the paperwork burden and costs associated with those activities, are already addressed under other ICRs. </w:t>
      </w:r>
      <w:r w:rsidR="009C78D0" w:rsidRPr="009C78D0">
        <w:t xml:space="preserve">Not all DCI recipients will generate data in response to a DCI. The DCI recipient is assumed to be involved in the four burden activities listed in Table </w:t>
      </w:r>
      <w:r w:rsidR="002F5F87">
        <w:t>1</w:t>
      </w:r>
      <w:r w:rsidR="009C78D0" w:rsidRPr="009C78D0">
        <w:t xml:space="preserve">. The </w:t>
      </w:r>
      <w:r w:rsidR="009C78D0" w:rsidRPr="00D5421F">
        <w:rPr>
          <w:noProof/>
        </w:rPr>
        <w:t>burden</w:t>
      </w:r>
      <w:r w:rsidR="009C78D0" w:rsidRPr="009C78D0">
        <w:t xml:space="preserve"> for DCI recipients only will be lower than the burden estimates for the DCI </w:t>
      </w:r>
      <w:r w:rsidR="009C78D0" w:rsidRPr="00D5421F">
        <w:rPr>
          <w:noProof/>
        </w:rPr>
        <w:t>recipients</w:t>
      </w:r>
      <w:r w:rsidR="009C78D0" w:rsidRPr="009C78D0">
        <w:t xml:space="preserve"> who are also part of the </w:t>
      </w:r>
      <w:r w:rsidR="009C78D0" w:rsidRPr="00D5421F">
        <w:rPr>
          <w:noProof/>
        </w:rPr>
        <w:t>data generation</w:t>
      </w:r>
      <w:r w:rsidR="009C78D0" w:rsidRPr="009C78D0">
        <w:t xml:space="preserve"> group. </w:t>
      </w:r>
    </w:p>
    <w:p w:rsidR="005A30AA" w:rsidRDefault="005A30AA" w:rsidP="005A30AA">
      <w:pPr>
        <w:pStyle w:val="NoSpacing"/>
        <w:rPr>
          <w:lang w:bidi="en-US"/>
        </w:rPr>
      </w:pPr>
    </w:p>
    <w:p w:rsidR="002F5F87" w:rsidRPr="002F5F87" w:rsidRDefault="005A30AA" w:rsidP="002F5F87">
      <w:pPr>
        <w:pStyle w:val="NoSpacing"/>
        <w:rPr>
          <w:lang w:bidi="en-US"/>
        </w:rPr>
      </w:pPr>
      <w:r w:rsidRPr="003C26C1">
        <w:rPr>
          <w:b/>
          <w:lang w:bidi="en-US"/>
        </w:rPr>
        <w:t>Data Generators</w:t>
      </w:r>
      <w:r>
        <w:rPr>
          <w:lang w:bidi="en-US"/>
        </w:rPr>
        <w:t xml:space="preserve"> - </w:t>
      </w:r>
      <w:r w:rsidR="002F5F87" w:rsidRPr="002F5F87">
        <w:rPr>
          <w:lang w:bidi="en-US"/>
        </w:rPr>
        <w:t xml:space="preserve">Regardless of the response option that the DCI recipient might select, the Agency has assumed that some data will be generated for each chemical. The data generator is assumed to be involved in the nine burden activities listed in </w:t>
      </w:r>
      <w:r w:rsidR="001E0724">
        <w:rPr>
          <w:lang w:bidi="en-US"/>
        </w:rPr>
        <w:t>Table 1</w:t>
      </w:r>
      <w:r w:rsidR="002F5F87" w:rsidRPr="002F5F87">
        <w:rPr>
          <w:lang w:bidi="en-US"/>
        </w:rPr>
        <w:t xml:space="preserve">.  While Agency records indicate that not all the studies requested in a DCI are, in fact, generated (data generators can request waivers, submit or cite existing data like the DCI recipients), for the most </w:t>
      </w:r>
      <w:r w:rsidR="002F5F87" w:rsidRPr="00D5421F">
        <w:rPr>
          <w:noProof/>
          <w:lang w:bidi="en-US"/>
        </w:rPr>
        <w:t>part</w:t>
      </w:r>
      <w:r w:rsidR="002F0591">
        <w:rPr>
          <w:noProof/>
          <w:lang w:bidi="en-US"/>
        </w:rPr>
        <w:t>,</w:t>
      </w:r>
      <w:r w:rsidR="002F5F87" w:rsidRPr="002F5F87">
        <w:rPr>
          <w:lang w:bidi="en-US"/>
        </w:rPr>
        <w:t xml:space="preserve"> the data generator group will assume the highest DCI response burden among the three respondent groups.  </w:t>
      </w:r>
    </w:p>
    <w:p w:rsidR="003C26C1" w:rsidRDefault="003C26C1" w:rsidP="009A6FB8">
      <w:pPr>
        <w:pStyle w:val="NoSpacing"/>
      </w:pPr>
    </w:p>
    <w:p w:rsidR="002F5F87" w:rsidRPr="002F5F87" w:rsidRDefault="003C26C1" w:rsidP="002F5F87">
      <w:r w:rsidRPr="003C26C1">
        <w:rPr>
          <w:b/>
          <w:lang w:bidi="en-US"/>
        </w:rPr>
        <w:t>Consortium Participants</w:t>
      </w:r>
      <w:r w:rsidRPr="00AA777E">
        <w:rPr>
          <w:lang w:bidi="en-US"/>
        </w:rPr>
        <w:t xml:space="preserve"> </w:t>
      </w:r>
      <w:r>
        <w:rPr>
          <w:lang w:bidi="en-US"/>
        </w:rPr>
        <w:t xml:space="preserve">- </w:t>
      </w:r>
      <w:r w:rsidR="002F5F87" w:rsidRPr="002F5F87">
        <w:t>The Agency will assume that whenever more than one company receives identical DCIs for the same chemical, the companies will work together to generate one set of data and participate in a consortium or task force.  Generally, the Agency calculations for these paperwork burdens are accounted for as part of the 35% of the cost of generating studies.</w:t>
      </w:r>
      <w:r w:rsidR="002F5F87" w:rsidRPr="002F5F87">
        <w:rPr>
          <w:vertAlign w:val="superscript"/>
        </w:rPr>
        <w:footnoteReference w:id="8"/>
      </w:r>
      <w:r w:rsidR="002F5F87" w:rsidRPr="002F5F87">
        <w:rPr>
          <w:vertAlign w:val="superscript"/>
        </w:rPr>
        <w:t xml:space="preserve">  </w:t>
      </w:r>
      <w:r w:rsidR="002F5F87" w:rsidRPr="002F5F87">
        <w:t xml:space="preserve">However, in addition to the cost of data generation, consortium participants are subject to costs associated with operating a consortium or task force (e.g., communication, attending meetings, etc.). The seven additional consortium burden activities and operating costs are accounted for in Table </w:t>
      </w:r>
      <w:r w:rsidR="002F5F87">
        <w:t>1</w:t>
      </w:r>
      <w:r w:rsidR="002F5F87" w:rsidRPr="002F5F87">
        <w:t xml:space="preserve">.    </w:t>
      </w:r>
    </w:p>
    <w:p w:rsidR="0081741E" w:rsidRDefault="00AA777E" w:rsidP="009A6FB8">
      <w:r w:rsidRPr="009A6FB8">
        <w:t>Table 1</w:t>
      </w:r>
      <w:r w:rsidRPr="009021B3">
        <w:t xml:space="preserve"> </w:t>
      </w:r>
      <w:r>
        <w:t>identifies</w:t>
      </w:r>
      <w:r w:rsidRPr="009021B3">
        <w:t xml:space="preserve"> the paperwork activities that would typically be performed by a DCI recipient.</w:t>
      </w:r>
      <w:r>
        <w:t xml:space="preserve"> </w:t>
      </w:r>
      <w:r w:rsidRPr="000B5D81">
        <w:t xml:space="preserve">Each </w:t>
      </w:r>
      <w:r w:rsidR="0081741E">
        <w:t>recipient group is expressed by the activities of the corresponding categories.</w:t>
      </w:r>
    </w:p>
    <w:p w:rsidR="009A7AF6" w:rsidRDefault="009A7AF6">
      <w:pPr>
        <w:spacing w:after="200" w:line="276" w:lineRule="auto"/>
      </w:pPr>
      <w:r>
        <w:br w:type="page"/>
      </w:r>
    </w:p>
    <w:p w:rsidR="00D3733D" w:rsidRPr="009A6FB8" w:rsidRDefault="00D3733D" w:rsidP="00551F16">
      <w:pPr>
        <w:pStyle w:val="Heading3"/>
        <w:rPr>
          <w:rFonts w:cs="Arial"/>
          <w:sz w:val="20"/>
          <w:szCs w:val="20"/>
        </w:rPr>
      </w:pPr>
      <w:bookmarkStart w:id="23" w:name="_Toc482020573"/>
      <w:bookmarkStart w:id="24" w:name="_Toc489017116"/>
      <w:r w:rsidRPr="009A6FB8">
        <w:rPr>
          <w:rFonts w:cs="Arial"/>
          <w:sz w:val="20"/>
          <w:szCs w:val="20"/>
        </w:rPr>
        <w:t xml:space="preserve">Table 1 – Expected DCI Recipient Activities </w:t>
      </w:r>
      <w:r w:rsidR="0081741E" w:rsidRPr="009A6FB8">
        <w:rPr>
          <w:rFonts w:cs="Arial"/>
          <w:sz w:val="20"/>
          <w:szCs w:val="20"/>
        </w:rPr>
        <w:t xml:space="preserve">and </w:t>
      </w:r>
      <w:r w:rsidRPr="009A6FB8">
        <w:rPr>
          <w:rFonts w:cs="Arial"/>
          <w:sz w:val="20"/>
          <w:szCs w:val="20"/>
        </w:rPr>
        <w:t>Categories</w:t>
      </w:r>
      <w:bookmarkEnd w:id="23"/>
      <w:bookmarkEnd w:id="24"/>
    </w:p>
    <w:tbl>
      <w:tblPr>
        <w:tblW w:w="8998" w:type="dxa"/>
        <w:tblInd w:w="109" w:type="dxa"/>
        <w:tblLook w:val="04A0" w:firstRow="1" w:lastRow="0" w:firstColumn="1" w:lastColumn="0" w:noHBand="0" w:noVBand="1"/>
      </w:tblPr>
      <w:tblGrid>
        <w:gridCol w:w="4499"/>
        <w:gridCol w:w="4499"/>
      </w:tblGrid>
      <w:tr w:rsidR="0081741E" w:rsidRPr="009A6FB8" w:rsidTr="009A6FB8">
        <w:trPr>
          <w:trHeight w:val="317"/>
        </w:trPr>
        <w:tc>
          <w:tcPr>
            <w:tcW w:w="8998" w:type="dxa"/>
            <w:gridSpan w:val="2"/>
            <w:tcBorders>
              <w:top w:val="single" w:sz="4" w:space="0" w:color="auto"/>
              <w:left w:val="single" w:sz="4" w:space="0" w:color="auto"/>
              <w:bottom w:val="single" w:sz="8" w:space="0" w:color="auto"/>
              <w:right w:val="single" w:sz="4" w:space="0" w:color="auto"/>
            </w:tcBorders>
            <w:shd w:val="clear" w:color="auto" w:fill="DAEEF3" w:themeFill="accent5" w:themeFillTint="33"/>
            <w:vAlign w:val="bottom"/>
            <w:hideMark/>
          </w:tcPr>
          <w:p w:rsidR="0081741E" w:rsidRPr="009A6FB8" w:rsidRDefault="0081741E" w:rsidP="0081741E">
            <w:pPr>
              <w:rPr>
                <w:rFonts w:cs="Arial"/>
                <w:b/>
                <w:bCs/>
                <w:sz w:val="20"/>
                <w:szCs w:val="20"/>
              </w:rPr>
            </w:pPr>
            <w:r w:rsidRPr="009A6FB8">
              <w:rPr>
                <w:rFonts w:cs="Arial"/>
                <w:b/>
                <w:bCs/>
                <w:sz w:val="20"/>
                <w:szCs w:val="20"/>
              </w:rPr>
              <w:t>DCI Recipient</w:t>
            </w:r>
          </w:p>
        </w:tc>
      </w:tr>
      <w:tr w:rsidR="0081741E" w:rsidRPr="009A6FB8" w:rsidTr="009A6FB8">
        <w:trPr>
          <w:trHeight w:val="317"/>
        </w:trPr>
        <w:tc>
          <w:tcPr>
            <w:tcW w:w="4499" w:type="dxa"/>
            <w:tcBorders>
              <w:top w:val="nil"/>
              <w:left w:val="single" w:sz="4" w:space="0" w:color="auto"/>
              <w:bottom w:val="single" w:sz="4" w:space="0" w:color="auto"/>
              <w:right w:val="single" w:sz="4" w:space="0" w:color="auto"/>
            </w:tcBorders>
            <w:shd w:val="clear" w:color="auto" w:fill="auto"/>
            <w:vAlign w:val="bottom"/>
            <w:hideMark/>
          </w:tcPr>
          <w:p w:rsidR="0081741E" w:rsidRPr="009A6FB8" w:rsidRDefault="0081741E" w:rsidP="0081741E">
            <w:pPr>
              <w:rPr>
                <w:rFonts w:cs="Arial"/>
                <w:b/>
                <w:bCs/>
                <w:sz w:val="20"/>
                <w:szCs w:val="20"/>
              </w:rPr>
            </w:pPr>
            <w:r w:rsidRPr="009A6FB8">
              <w:rPr>
                <w:rFonts w:cs="Arial"/>
                <w:b/>
                <w:bCs/>
                <w:sz w:val="20"/>
                <w:szCs w:val="20"/>
              </w:rPr>
              <w:t xml:space="preserve">Collection Activity </w:t>
            </w:r>
          </w:p>
        </w:tc>
        <w:tc>
          <w:tcPr>
            <w:tcW w:w="4499" w:type="dxa"/>
            <w:tcBorders>
              <w:top w:val="nil"/>
              <w:left w:val="nil"/>
              <w:bottom w:val="single" w:sz="4" w:space="0" w:color="auto"/>
              <w:right w:val="single" w:sz="4" w:space="0" w:color="auto"/>
            </w:tcBorders>
            <w:shd w:val="clear" w:color="auto" w:fill="auto"/>
            <w:vAlign w:val="bottom"/>
            <w:hideMark/>
          </w:tcPr>
          <w:p w:rsidR="0081741E" w:rsidRPr="009A6FB8" w:rsidRDefault="0081741E" w:rsidP="0081741E">
            <w:pPr>
              <w:rPr>
                <w:rFonts w:cs="Arial"/>
                <w:b/>
                <w:bCs/>
                <w:sz w:val="20"/>
                <w:szCs w:val="20"/>
              </w:rPr>
            </w:pPr>
            <w:r w:rsidRPr="009A6FB8">
              <w:rPr>
                <w:rFonts w:cs="Arial"/>
                <w:b/>
                <w:bCs/>
                <w:sz w:val="20"/>
                <w:szCs w:val="20"/>
              </w:rPr>
              <w:t>Collection Category</w:t>
            </w:r>
          </w:p>
        </w:tc>
      </w:tr>
      <w:tr w:rsidR="0081741E" w:rsidRPr="009A6FB8" w:rsidTr="009A6FB8">
        <w:trPr>
          <w:trHeight w:val="372"/>
        </w:trPr>
        <w:tc>
          <w:tcPr>
            <w:tcW w:w="4499" w:type="dxa"/>
            <w:tcBorders>
              <w:top w:val="nil"/>
              <w:left w:val="single" w:sz="4" w:space="0" w:color="auto"/>
              <w:bottom w:val="single" w:sz="4" w:space="0" w:color="auto"/>
              <w:right w:val="single" w:sz="4" w:space="0" w:color="auto"/>
            </w:tcBorders>
            <w:shd w:val="clear" w:color="auto" w:fill="auto"/>
            <w:vAlign w:val="bottom"/>
            <w:hideMark/>
          </w:tcPr>
          <w:p w:rsidR="0081741E" w:rsidRPr="009A6FB8" w:rsidRDefault="0081741E" w:rsidP="0081741E">
            <w:pPr>
              <w:rPr>
                <w:rFonts w:cs="Arial"/>
                <w:bCs/>
                <w:sz w:val="20"/>
                <w:szCs w:val="20"/>
              </w:rPr>
            </w:pPr>
            <w:r w:rsidRPr="009A6FB8">
              <w:rPr>
                <w:rFonts w:cs="Arial"/>
                <w:bCs/>
                <w:sz w:val="20"/>
                <w:szCs w:val="20"/>
              </w:rPr>
              <w:t>1) Read Instructions</w:t>
            </w:r>
          </w:p>
        </w:tc>
        <w:tc>
          <w:tcPr>
            <w:tcW w:w="4499" w:type="dxa"/>
            <w:vMerge w:val="restart"/>
            <w:tcBorders>
              <w:top w:val="nil"/>
              <w:left w:val="single" w:sz="4" w:space="0" w:color="auto"/>
              <w:right w:val="single" w:sz="4" w:space="0" w:color="auto"/>
            </w:tcBorders>
            <w:shd w:val="clear" w:color="auto" w:fill="auto"/>
            <w:vAlign w:val="center"/>
            <w:hideMark/>
          </w:tcPr>
          <w:p w:rsidR="0081741E" w:rsidRPr="009A6FB8" w:rsidRDefault="0081741E" w:rsidP="0081741E">
            <w:pPr>
              <w:rPr>
                <w:rFonts w:cs="Arial"/>
                <w:sz w:val="20"/>
                <w:szCs w:val="20"/>
              </w:rPr>
            </w:pPr>
            <w:r w:rsidRPr="009A6FB8">
              <w:rPr>
                <w:rFonts w:cs="Arial"/>
                <w:sz w:val="20"/>
                <w:szCs w:val="20"/>
              </w:rPr>
              <w:t xml:space="preserve">Reporting </w:t>
            </w:r>
          </w:p>
        </w:tc>
      </w:tr>
      <w:tr w:rsidR="0081741E" w:rsidRPr="009A6FB8" w:rsidTr="009A6FB8">
        <w:trPr>
          <w:trHeight w:val="302"/>
        </w:trPr>
        <w:tc>
          <w:tcPr>
            <w:tcW w:w="4499" w:type="dxa"/>
            <w:tcBorders>
              <w:top w:val="nil"/>
              <w:left w:val="single" w:sz="4" w:space="0" w:color="auto"/>
              <w:bottom w:val="single" w:sz="4" w:space="0" w:color="auto"/>
              <w:right w:val="single" w:sz="4" w:space="0" w:color="auto"/>
            </w:tcBorders>
            <w:shd w:val="clear" w:color="auto" w:fill="auto"/>
            <w:vAlign w:val="bottom"/>
            <w:hideMark/>
          </w:tcPr>
          <w:p w:rsidR="0081741E" w:rsidRPr="009A6FB8" w:rsidRDefault="0081741E" w:rsidP="0081741E">
            <w:pPr>
              <w:rPr>
                <w:rFonts w:cs="Arial"/>
                <w:bCs/>
                <w:sz w:val="20"/>
                <w:szCs w:val="20"/>
              </w:rPr>
            </w:pPr>
            <w:r w:rsidRPr="009A6FB8">
              <w:rPr>
                <w:rFonts w:cs="Arial"/>
                <w:bCs/>
                <w:sz w:val="20"/>
                <w:szCs w:val="20"/>
              </w:rPr>
              <w:t xml:space="preserve">2) Plan Activities </w:t>
            </w:r>
          </w:p>
        </w:tc>
        <w:tc>
          <w:tcPr>
            <w:tcW w:w="4499" w:type="dxa"/>
            <w:vMerge/>
            <w:tcBorders>
              <w:left w:val="single" w:sz="4" w:space="0" w:color="auto"/>
              <w:right w:val="single" w:sz="4" w:space="0" w:color="auto"/>
            </w:tcBorders>
            <w:vAlign w:val="center"/>
            <w:hideMark/>
          </w:tcPr>
          <w:p w:rsidR="0081741E" w:rsidRPr="009A6FB8" w:rsidRDefault="0081741E" w:rsidP="0081741E">
            <w:pPr>
              <w:rPr>
                <w:rFonts w:cs="Arial"/>
                <w:sz w:val="20"/>
                <w:szCs w:val="20"/>
              </w:rPr>
            </w:pPr>
          </w:p>
        </w:tc>
      </w:tr>
      <w:tr w:rsidR="0081741E" w:rsidRPr="009A6FB8" w:rsidTr="009A6FB8">
        <w:trPr>
          <w:trHeight w:val="212"/>
        </w:trPr>
        <w:tc>
          <w:tcPr>
            <w:tcW w:w="4499" w:type="dxa"/>
            <w:tcBorders>
              <w:top w:val="nil"/>
              <w:left w:val="single" w:sz="4" w:space="0" w:color="auto"/>
              <w:bottom w:val="single" w:sz="4" w:space="0" w:color="auto"/>
              <w:right w:val="single" w:sz="4" w:space="0" w:color="auto"/>
            </w:tcBorders>
            <w:shd w:val="clear" w:color="auto" w:fill="auto"/>
            <w:vAlign w:val="bottom"/>
            <w:hideMark/>
          </w:tcPr>
          <w:p w:rsidR="0081741E" w:rsidRPr="009A6FB8" w:rsidRDefault="0081741E" w:rsidP="0081741E">
            <w:pPr>
              <w:rPr>
                <w:rFonts w:cs="Arial"/>
                <w:bCs/>
                <w:sz w:val="20"/>
                <w:szCs w:val="20"/>
              </w:rPr>
            </w:pPr>
            <w:r w:rsidRPr="009A6FB8">
              <w:rPr>
                <w:rFonts w:cs="Arial"/>
                <w:bCs/>
                <w:sz w:val="20"/>
                <w:szCs w:val="20"/>
              </w:rPr>
              <w:t xml:space="preserve">3) Complete Paperwork </w:t>
            </w:r>
          </w:p>
        </w:tc>
        <w:tc>
          <w:tcPr>
            <w:tcW w:w="4499" w:type="dxa"/>
            <w:vMerge/>
            <w:tcBorders>
              <w:left w:val="single" w:sz="4" w:space="0" w:color="auto"/>
              <w:bottom w:val="single" w:sz="4" w:space="0" w:color="auto"/>
              <w:right w:val="single" w:sz="4" w:space="0" w:color="auto"/>
            </w:tcBorders>
            <w:shd w:val="clear" w:color="auto" w:fill="auto"/>
            <w:vAlign w:val="center"/>
            <w:hideMark/>
          </w:tcPr>
          <w:p w:rsidR="0081741E" w:rsidRPr="009A6FB8" w:rsidRDefault="0081741E" w:rsidP="0081741E">
            <w:pPr>
              <w:rPr>
                <w:rFonts w:cs="Arial"/>
                <w:sz w:val="20"/>
                <w:szCs w:val="20"/>
              </w:rPr>
            </w:pPr>
          </w:p>
        </w:tc>
      </w:tr>
      <w:tr w:rsidR="0081741E" w:rsidRPr="009A6FB8" w:rsidTr="009A6FB8">
        <w:trPr>
          <w:trHeight w:val="302"/>
        </w:trPr>
        <w:tc>
          <w:tcPr>
            <w:tcW w:w="4499" w:type="dxa"/>
            <w:tcBorders>
              <w:top w:val="nil"/>
              <w:left w:val="single" w:sz="4" w:space="0" w:color="auto"/>
              <w:bottom w:val="single" w:sz="4" w:space="0" w:color="auto"/>
              <w:right w:val="single" w:sz="4" w:space="0" w:color="auto"/>
            </w:tcBorders>
            <w:shd w:val="clear" w:color="auto" w:fill="auto"/>
            <w:vAlign w:val="bottom"/>
            <w:hideMark/>
          </w:tcPr>
          <w:p w:rsidR="0081741E" w:rsidRPr="009A6FB8" w:rsidRDefault="0081741E" w:rsidP="0081741E">
            <w:pPr>
              <w:rPr>
                <w:rFonts w:cs="Arial"/>
                <w:bCs/>
                <w:sz w:val="20"/>
                <w:szCs w:val="20"/>
              </w:rPr>
            </w:pPr>
            <w:r w:rsidRPr="009A6FB8">
              <w:rPr>
                <w:rFonts w:cs="Arial"/>
                <w:bCs/>
                <w:sz w:val="20"/>
                <w:szCs w:val="20"/>
              </w:rPr>
              <w:t>4) Store/maintain Data</w:t>
            </w:r>
          </w:p>
        </w:tc>
        <w:tc>
          <w:tcPr>
            <w:tcW w:w="4499" w:type="dxa"/>
            <w:tcBorders>
              <w:top w:val="nil"/>
              <w:left w:val="nil"/>
              <w:bottom w:val="single" w:sz="4" w:space="0" w:color="auto"/>
              <w:right w:val="single" w:sz="4" w:space="0" w:color="auto"/>
            </w:tcBorders>
            <w:shd w:val="clear" w:color="auto" w:fill="auto"/>
            <w:vAlign w:val="center"/>
            <w:hideMark/>
          </w:tcPr>
          <w:p w:rsidR="0081741E" w:rsidRPr="009A6FB8" w:rsidRDefault="0081741E" w:rsidP="0081741E">
            <w:pPr>
              <w:rPr>
                <w:rFonts w:cs="Arial"/>
                <w:sz w:val="20"/>
                <w:szCs w:val="20"/>
              </w:rPr>
            </w:pPr>
            <w:r w:rsidRPr="009A6FB8">
              <w:rPr>
                <w:rFonts w:cs="Arial"/>
                <w:sz w:val="20"/>
                <w:szCs w:val="20"/>
              </w:rPr>
              <w:t>Recordkeeping</w:t>
            </w:r>
          </w:p>
        </w:tc>
      </w:tr>
      <w:tr w:rsidR="0081741E" w:rsidRPr="009A6FB8" w:rsidTr="009A6FB8">
        <w:trPr>
          <w:trHeight w:val="302"/>
        </w:trPr>
        <w:tc>
          <w:tcPr>
            <w:tcW w:w="8998" w:type="dxa"/>
            <w:gridSpan w:val="2"/>
            <w:tcBorders>
              <w:top w:val="single" w:sz="4" w:space="0" w:color="auto"/>
              <w:left w:val="single" w:sz="4" w:space="0" w:color="auto"/>
              <w:bottom w:val="single" w:sz="8" w:space="0" w:color="000000"/>
              <w:right w:val="single" w:sz="4" w:space="0" w:color="000000"/>
            </w:tcBorders>
            <w:shd w:val="clear" w:color="auto" w:fill="DAEEF3" w:themeFill="accent5" w:themeFillTint="33"/>
            <w:vAlign w:val="bottom"/>
            <w:hideMark/>
          </w:tcPr>
          <w:p w:rsidR="0081741E" w:rsidRPr="009A6FB8" w:rsidRDefault="0081741E" w:rsidP="0081741E">
            <w:pPr>
              <w:rPr>
                <w:rFonts w:cs="Arial"/>
                <w:b/>
                <w:bCs/>
                <w:sz w:val="20"/>
                <w:szCs w:val="20"/>
              </w:rPr>
            </w:pPr>
            <w:r w:rsidRPr="009A6FB8">
              <w:rPr>
                <w:rFonts w:cs="Arial"/>
                <w:b/>
                <w:bCs/>
                <w:sz w:val="20"/>
                <w:szCs w:val="20"/>
              </w:rPr>
              <w:t>Data Generator</w:t>
            </w:r>
          </w:p>
        </w:tc>
      </w:tr>
      <w:tr w:rsidR="0081741E" w:rsidRPr="009A6FB8" w:rsidTr="009A6FB8">
        <w:trPr>
          <w:trHeight w:val="345"/>
        </w:trPr>
        <w:tc>
          <w:tcPr>
            <w:tcW w:w="4499" w:type="dxa"/>
            <w:tcBorders>
              <w:top w:val="single" w:sz="8" w:space="0" w:color="000000"/>
              <w:left w:val="single" w:sz="4" w:space="0" w:color="auto"/>
              <w:bottom w:val="single" w:sz="4" w:space="0" w:color="auto"/>
              <w:right w:val="single" w:sz="4" w:space="0" w:color="auto"/>
            </w:tcBorders>
            <w:shd w:val="clear" w:color="auto" w:fill="auto"/>
            <w:vAlign w:val="bottom"/>
            <w:hideMark/>
          </w:tcPr>
          <w:p w:rsidR="0081741E" w:rsidRPr="009A6FB8" w:rsidRDefault="0081741E" w:rsidP="0081741E">
            <w:pPr>
              <w:rPr>
                <w:rFonts w:cs="Arial"/>
                <w:b/>
                <w:bCs/>
                <w:sz w:val="20"/>
                <w:szCs w:val="20"/>
              </w:rPr>
            </w:pPr>
            <w:r w:rsidRPr="009A6FB8">
              <w:rPr>
                <w:rFonts w:cs="Arial"/>
                <w:b/>
                <w:bCs/>
                <w:sz w:val="20"/>
                <w:szCs w:val="20"/>
              </w:rPr>
              <w:t xml:space="preserve">Collection Activity </w:t>
            </w:r>
          </w:p>
        </w:tc>
        <w:tc>
          <w:tcPr>
            <w:tcW w:w="4499" w:type="dxa"/>
            <w:tcBorders>
              <w:top w:val="single" w:sz="8" w:space="0" w:color="000000"/>
              <w:left w:val="nil"/>
              <w:bottom w:val="single" w:sz="4" w:space="0" w:color="auto"/>
              <w:right w:val="single" w:sz="4" w:space="0" w:color="auto"/>
            </w:tcBorders>
            <w:shd w:val="clear" w:color="auto" w:fill="auto"/>
            <w:vAlign w:val="bottom"/>
            <w:hideMark/>
          </w:tcPr>
          <w:p w:rsidR="0081741E" w:rsidRPr="009A6FB8" w:rsidRDefault="0081741E" w:rsidP="0081741E">
            <w:pPr>
              <w:rPr>
                <w:rFonts w:cs="Arial"/>
                <w:b/>
                <w:bCs/>
                <w:sz w:val="20"/>
                <w:szCs w:val="20"/>
              </w:rPr>
            </w:pPr>
            <w:r w:rsidRPr="009A6FB8">
              <w:rPr>
                <w:rFonts w:cs="Arial"/>
                <w:b/>
                <w:bCs/>
                <w:sz w:val="20"/>
                <w:szCs w:val="20"/>
              </w:rPr>
              <w:t>Collection Category</w:t>
            </w:r>
          </w:p>
        </w:tc>
      </w:tr>
      <w:tr w:rsidR="0081741E" w:rsidRPr="009A6FB8" w:rsidTr="009A6FB8">
        <w:trPr>
          <w:trHeight w:val="287"/>
        </w:trPr>
        <w:tc>
          <w:tcPr>
            <w:tcW w:w="44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741E" w:rsidRPr="009A6FB8" w:rsidRDefault="0081741E" w:rsidP="0081741E">
            <w:pPr>
              <w:rPr>
                <w:rFonts w:cs="Arial"/>
                <w:sz w:val="20"/>
                <w:szCs w:val="20"/>
              </w:rPr>
            </w:pPr>
            <w:r w:rsidRPr="009A6FB8">
              <w:rPr>
                <w:rFonts w:cs="Arial"/>
                <w:sz w:val="20"/>
                <w:szCs w:val="20"/>
              </w:rPr>
              <w:t>1) Read and discuss test requirements</w:t>
            </w:r>
          </w:p>
        </w:tc>
        <w:tc>
          <w:tcPr>
            <w:tcW w:w="4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741E" w:rsidRPr="009A6FB8" w:rsidRDefault="0081741E" w:rsidP="0081741E">
            <w:pPr>
              <w:rPr>
                <w:rFonts w:cs="Arial"/>
                <w:sz w:val="20"/>
                <w:szCs w:val="20"/>
              </w:rPr>
            </w:pPr>
            <w:r w:rsidRPr="009A6FB8">
              <w:rPr>
                <w:rFonts w:cs="Arial"/>
                <w:sz w:val="20"/>
                <w:szCs w:val="20"/>
              </w:rPr>
              <w:t xml:space="preserve">Reporting </w:t>
            </w:r>
          </w:p>
        </w:tc>
      </w:tr>
      <w:tr w:rsidR="0081741E" w:rsidRPr="009A6FB8" w:rsidTr="009A6FB8">
        <w:trPr>
          <w:trHeight w:val="317"/>
        </w:trPr>
        <w:tc>
          <w:tcPr>
            <w:tcW w:w="4499" w:type="dxa"/>
            <w:tcBorders>
              <w:top w:val="nil"/>
              <w:left w:val="single" w:sz="4" w:space="0" w:color="auto"/>
              <w:bottom w:val="single" w:sz="4" w:space="0" w:color="auto"/>
              <w:right w:val="single" w:sz="4" w:space="0" w:color="auto"/>
            </w:tcBorders>
            <w:shd w:val="clear" w:color="auto" w:fill="auto"/>
            <w:vAlign w:val="bottom"/>
            <w:hideMark/>
          </w:tcPr>
          <w:p w:rsidR="0081741E" w:rsidRPr="009A6FB8" w:rsidRDefault="0081741E" w:rsidP="0081741E">
            <w:pPr>
              <w:rPr>
                <w:rFonts w:cs="Arial"/>
                <w:sz w:val="20"/>
                <w:szCs w:val="20"/>
              </w:rPr>
            </w:pPr>
            <w:r w:rsidRPr="009A6FB8">
              <w:rPr>
                <w:rFonts w:cs="Arial"/>
                <w:sz w:val="20"/>
                <w:szCs w:val="20"/>
              </w:rPr>
              <w:t>2) Discuss test and protocol with Agency</w:t>
            </w:r>
          </w:p>
        </w:tc>
        <w:tc>
          <w:tcPr>
            <w:tcW w:w="4499" w:type="dxa"/>
            <w:vMerge/>
            <w:tcBorders>
              <w:top w:val="single" w:sz="4" w:space="0" w:color="auto"/>
              <w:left w:val="single" w:sz="4" w:space="0" w:color="auto"/>
              <w:bottom w:val="single" w:sz="4" w:space="0" w:color="auto"/>
              <w:right w:val="single" w:sz="4" w:space="0" w:color="auto"/>
            </w:tcBorders>
            <w:vAlign w:val="center"/>
            <w:hideMark/>
          </w:tcPr>
          <w:p w:rsidR="0081741E" w:rsidRPr="009A6FB8" w:rsidRDefault="0081741E" w:rsidP="0081741E">
            <w:pPr>
              <w:rPr>
                <w:rFonts w:cs="Arial"/>
                <w:sz w:val="20"/>
                <w:szCs w:val="20"/>
              </w:rPr>
            </w:pPr>
          </w:p>
        </w:tc>
      </w:tr>
      <w:tr w:rsidR="0081741E" w:rsidRPr="009A6FB8" w:rsidTr="009A6FB8">
        <w:trPr>
          <w:trHeight w:val="287"/>
        </w:trPr>
        <w:tc>
          <w:tcPr>
            <w:tcW w:w="4499" w:type="dxa"/>
            <w:tcBorders>
              <w:top w:val="nil"/>
              <w:left w:val="single" w:sz="4" w:space="0" w:color="auto"/>
              <w:bottom w:val="single" w:sz="4" w:space="0" w:color="auto"/>
              <w:right w:val="single" w:sz="4" w:space="0" w:color="auto"/>
            </w:tcBorders>
            <w:shd w:val="clear" w:color="auto" w:fill="auto"/>
            <w:vAlign w:val="bottom"/>
            <w:hideMark/>
          </w:tcPr>
          <w:p w:rsidR="0081741E" w:rsidRPr="009A6FB8" w:rsidRDefault="0081741E" w:rsidP="0081741E">
            <w:pPr>
              <w:rPr>
                <w:rFonts w:cs="Arial"/>
                <w:sz w:val="20"/>
                <w:szCs w:val="20"/>
              </w:rPr>
            </w:pPr>
            <w:r w:rsidRPr="009A6FB8">
              <w:rPr>
                <w:rFonts w:cs="Arial"/>
                <w:sz w:val="20"/>
                <w:szCs w:val="20"/>
              </w:rPr>
              <w:t>3) Plan activities</w:t>
            </w:r>
          </w:p>
        </w:tc>
        <w:tc>
          <w:tcPr>
            <w:tcW w:w="4499" w:type="dxa"/>
            <w:vMerge/>
            <w:tcBorders>
              <w:top w:val="single" w:sz="4" w:space="0" w:color="auto"/>
              <w:left w:val="single" w:sz="4" w:space="0" w:color="auto"/>
              <w:bottom w:val="single" w:sz="4" w:space="0" w:color="auto"/>
              <w:right w:val="single" w:sz="4" w:space="0" w:color="auto"/>
            </w:tcBorders>
            <w:vAlign w:val="center"/>
            <w:hideMark/>
          </w:tcPr>
          <w:p w:rsidR="0081741E" w:rsidRPr="009A6FB8" w:rsidRDefault="0081741E" w:rsidP="0081741E">
            <w:pPr>
              <w:rPr>
                <w:rFonts w:cs="Arial"/>
                <w:sz w:val="20"/>
                <w:szCs w:val="20"/>
              </w:rPr>
            </w:pPr>
          </w:p>
        </w:tc>
      </w:tr>
      <w:tr w:rsidR="0081741E" w:rsidRPr="009A6FB8" w:rsidTr="009A6FB8">
        <w:trPr>
          <w:trHeight w:val="287"/>
        </w:trPr>
        <w:tc>
          <w:tcPr>
            <w:tcW w:w="4499" w:type="dxa"/>
            <w:tcBorders>
              <w:top w:val="nil"/>
              <w:left w:val="single" w:sz="4" w:space="0" w:color="auto"/>
              <w:bottom w:val="single" w:sz="4" w:space="0" w:color="auto"/>
              <w:right w:val="single" w:sz="4" w:space="0" w:color="auto"/>
            </w:tcBorders>
            <w:shd w:val="clear" w:color="auto" w:fill="auto"/>
            <w:vAlign w:val="bottom"/>
            <w:hideMark/>
          </w:tcPr>
          <w:p w:rsidR="0081741E" w:rsidRPr="009A6FB8" w:rsidRDefault="0081741E" w:rsidP="0081741E">
            <w:pPr>
              <w:rPr>
                <w:rFonts w:cs="Arial"/>
                <w:sz w:val="20"/>
                <w:szCs w:val="20"/>
              </w:rPr>
            </w:pPr>
            <w:r w:rsidRPr="009A6FB8">
              <w:rPr>
                <w:rFonts w:cs="Arial"/>
                <w:sz w:val="20"/>
                <w:szCs w:val="20"/>
              </w:rPr>
              <w:t>4) Create information</w:t>
            </w:r>
          </w:p>
        </w:tc>
        <w:tc>
          <w:tcPr>
            <w:tcW w:w="4499" w:type="dxa"/>
            <w:vMerge/>
            <w:tcBorders>
              <w:top w:val="single" w:sz="4" w:space="0" w:color="auto"/>
              <w:left w:val="single" w:sz="4" w:space="0" w:color="auto"/>
              <w:bottom w:val="single" w:sz="4" w:space="0" w:color="auto"/>
              <w:right w:val="single" w:sz="4" w:space="0" w:color="auto"/>
            </w:tcBorders>
            <w:vAlign w:val="center"/>
            <w:hideMark/>
          </w:tcPr>
          <w:p w:rsidR="0081741E" w:rsidRPr="009A6FB8" w:rsidRDefault="0081741E" w:rsidP="0081741E">
            <w:pPr>
              <w:rPr>
                <w:rFonts w:cs="Arial"/>
                <w:sz w:val="20"/>
                <w:szCs w:val="20"/>
              </w:rPr>
            </w:pPr>
          </w:p>
        </w:tc>
      </w:tr>
      <w:tr w:rsidR="0081741E" w:rsidRPr="009A6FB8" w:rsidTr="009A6FB8">
        <w:trPr>
          <w:trHeight w:val="265"/>
        </w:trPr>
        <w:tc>
          <w:tcPr>
            <w:tcW w:w="44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741E" w:rsidRPr="009A6FB8" w:rsidRDefault="0081741E" w:rsidP="0081741E">
            <w:pPr>
              <w:rPr>
                <w:rFonts w:cs="Arial"/>
                <w:sz w:val="20"/>
                <w:szCs w:val="20"/>
              </w:rPr>
            </w:pPr>
            <w:r w:rsidRPr="009A6FB8">
              <w:rPr>
                <w:rFonts w:cs="Arial"/>
                <w:sz w:val="20"/>
                <w:szCs w:val="20"/>
              </w:rPr>
              <w:t>5) Gather information</w:t>
            </w:r>
          </w:p>
        </w:tc>
        <w:tc>
          <w:tcPr>
            <w:tcW w:w="4499" w:type="dxa"/>
            <w:vMerge/>
            <w:tcBorders>
              <w:top w:val="single" w:sz="4" w:space="0" w:color="auto"/>
              <w:left w:val="single" w:sz="4" w:space="0" w:color="auto"/>
              <w:bottom w:val="single" w:sz="4" w:space="0" w:color="auto"/>
              <w:right w:val="single" w:sz="4" w:space="0" w:color="auto"/>
            </w:tcBorders>
            <w:vAlign w:val="center"/>
            <w:hideMark/>
          </w:tcPr>
          <w:p w:rsidR="0081741E" w:rsidRPr="009A6FB8" w:rsidRDefault="0081741E" w:rsidP="0081741E">
            <w:pPr>
              <w:rPr>
                <w:rFonts w:cs="Arial"/>
                <w:sz w:val="20"/>
                <w:szCs w:val="20"/>
              </w:rPr>
            </w:pPr>
          </w:p>
        </w:tc>
      </w:tr>
      <w:tr w:rsidR="0081741E" w:rsidRPr="009A6FB8" w:rsidTr="009A6FB8">
        <w:trPr>
          <w:trHeight w:val="523"/>
        </w:trPr>
        <w:tc>
          <w:tcPr>
            <w:tcW w:w="4499" w:type="dxa"/>
            <w:tcBorders>
              <w:top w:val="nil"/>
              <w:left w:val="single" w:sz="4" w:space="0" w:color="auto"/>
              <w:bottom w:val="single" w:sz="4" w:space="0" w:color="auto"/>
              <w:right w:val="single" w:sz="4" w:space="0" w:color="auto"/>
            </w:tcBorders>
            <w:shd w:val="clear" w:color="auto" w:fill="auto"/>
            <w:vAlign w:val="bottom"/>
            <w:hideMark/>
          </w:tcPr>
          <w:p w:rsidR="0081741E" w:rsidRPr="009A6FB8" w:rsidRDefault="0081741E" w:rsidP="0081741E">
            <w:pPr>
              <w:rPr>
                <w:rFonts w:cs="Arial"/>
                <w:sz w:val="20"/>
                <w:szCs w:val="20"/>
              </w:rPr>
            </w:pPr>
            <w:r w:rsidRPr="009A6FB8">
              <w:rPr>
                <w:rFonts w:cs="Arial"/>
                <w:sz w:val="20"/>
                <w:szCs w:val="20"/>
              </w:rPr>
              <w:t>6) Process, compile, review information for accuracy</w:t>
            </w:r>
          </w:p>
        </w:tc>
        <w:tc>
          <w:tcPr>
            <w:tcW w:w="4499" w:type="dxa"/>
            <w:vMerge/>
            <w:tcBorders>
              <w:top w:val="single" w:sz="4" w:space="0" w:color="auto"/>
              <w:left w:val="single" w:sz="4" w:space="0" w:color="auto"/>
              <w:bottom w:val="single" w:sz="4" w:space="0" w:color="auto"/>
              <w:right w:val="single" w:sz="4" w:space="0" w:color="auto"/>
            </w:tcBorders>
            <w:vAlign w:val="center"/>
            <w:hideMark/>
          </w:tcPr>
          <w:p w:rsidR="0081741E" w:rsidRPr="009A6FB8" w:rsidRDefault="0081741E" w:rsidP="0081741E">
            <w:pPr>
              <w:rPr>
                <w:rFonts w:cs="Arial"/>
                <w:sz w:val="20"/>
                <w:szCs w:val="20"/>
              </w:rPr>
            </w:pPr>
          </w:p>
        </w:tc>
      </w:tr>
      <w:tr w:rsidR="0081741E" w:rsidRPr="009A6FB8" w:rsidTr="009A6FB8">
        <w:trPr>
          <w:trHeight w:val="302"/>
        </w:trPr>
        <w:tc>
          <w:tcPr>
            <w:tcW w:w="4499" w:type="dxa"/>
            <w:tcBorders>
              <w:top w:val="nil"/>
              <w:left w:val="single" w:sz="4" w:space="0" w:color="auto"/>
              <w:bottom w:val="single" w:sz="4" w:space="0" w:color="auto"/>
              <w:right w:val="single" w:sz="4" w:space="0" w:color="auto"/>
            </w:tcBorders>
            <w:shd w:val="clear" w:color="auto" w:fill="auto"/>
            <w:vAlign w:val="bottom"/>
            <w:hideMark/>
          </w:tcPr>
          <w:p w:rsidR="0081741E" w:rsidRPr="009A6FB8" w:rsidRDefault="0081741E" w:rsidP="0081741E">
            <w:pPr>
              <w:rPr>
                <w:rFonts w:cs="Arial"/>
                <w:sz w:val="20"/>
                <w:szCs w:val="20"/>
              </w:rPr>
            </w:pPr>
            <w:r w:rsidRPr="009A6FB8">
              <w:rPr>
                <w:rFonts w:cs="Arial"/>
                <w:sz w:val="20"/>
                <w:szCs w:val="20"/>
              </w:rPr>
              <w:t>7) Complete written forms</w:t>
            </w:r>
          </w:p>
        </w:tc>
        <w:tc>
          <w:tcPr>
            <w:tcW w:w="4499" w:type="dxa"/>
            <w:vMerge/>
            <w:tcBorders>
              <w:top w:val="single" w:sz="4" w:space="0" w:color="auto"/>
              <w:left w:val="single" w:sz="4" w:space="0" w:color="auto"/>
              <w:bottom w:val="single" w:sz="4" w:space="0" w:color="auto"/>
              <w:right w:val="single" w:sz="4" w:space="0" w:color="auto"/>
            </w:tcBorders>
            <w:vAlign w:val="center"/>
            <w:hideMark/>
          </w:tcPr>
          <w:p w:rsidR="0081741E" w:rsidRPr="009A6FB8" w:rsidRDefault="0081741E" w:rsidP="0081741E">
            <w:pPr>
              <w:rPr>
                <w:rFonts w:cs="Arial"/>
                <w:sz w:val="20"/>
                <w:szCs w:val="20"/>
              </w:rPr>
            </w:pPr>
          </w:p>
        </w:tc>
      </w:tr>
      <w:tr w:rsidR="0081741E" w:rsidRPr="009A6FB8" w:rsidTr="009A6FB8">
        <w:trPr>
          <w:trHeight w:val="292"/>
        </w:trPr>
        <w:tc>
          <w:tcPr>
            <w:tcW w:w="44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741E" w:rsidRPr="009A6FB8" w:rsidRDefault="0081741E" w:rsidP="0081741E">
            <w:pPr>
              <w:rPr>
                <w:rFonts w:cs="Arial"/>
                <w:sz w:val="20"/>
                <w:szCs w:val="20"/>
              </w:rPr>
            </w:pPr>
            <w:r w:rsidRPr="009A6FB8">
              <w:rPr>
                <w:rFonts w:cs="Arial"/>
                <w:sz w:val="20"/>
                <w:szCs w:val="20"/>
              </w:rPr>
              <w:t>8) Record, disclose, display information</w:t>
            </w:r>
          </w:p>
        </w:tc>
        <w:tc>
          <w:tcPr>
            <w:tcW w:w="4499" w:type="dxa"/>
            <w:vMerge w:val="restart"/>
            <w:tcBorders>
              <w:top w:val="single" w:sz="4" w:space="0" w:color="auto"/>
              <w:left w:val="single" w:sz="4" w:space="0" w:color="auto"/>
              <w:bottom w:val="nil"/>
              <w:right w:val="single" w:sz="4" w:space="0" w:color="auto"/>
            </w:tcBorders>
            <w:shd w:val="clear" w:color="auto" w:fill="auto"/>
            <w:vAlign w:val="center"/>
            <w:hideMark/>
          </w:tcPr>
          <w:p w:rsidR="0081741E" w:rsidRPr="009A6FB8" w:rsidRDefault="0081741E" w:rsidP="0081741E">
            <w:pPr>
              <w:rPr>
                <w:rFonts w:cs="Arial"/>
                <w:sz w:val="20"/>
                <w:szCs w:val="20"/>
              </w:rPr>
            </w:pPr>
            <w:r w:rsidRPr="009A6FB8">
              <w:rPr>
                <w:rFonts w:cs="Arial"/>
                <w:sz w:val="20"/>
                <w:szCs w:val="20"/>
              </w:rPr>
              <w:t>Recordkeeping</w:t>
            </w:r>
          </w:p>
        </w:tc>
      </w:tr>
      <w:tr w:rsidR="0081741E" w:rsidRPr="009A6FB8" w:rsidTr="009A6FB8">
        <w:trPr>
          <w:trHeight w:val="287"/>
        </w:trPr>
        <w:tc>
          <w:tcPr>
            <w:tcW w:w="4499" w:type="dxa"/>
            <w:tcBorders>
              <w:top w:val="nil"/>
              <w:left w:val="single" w:sz="4" w:space="0" w:color="auto"/>
              <w:bottom w:val="single" w:sz="4" w:space="0" w:color="auto"/>
              <w:right w:val="single" w:sz="4" w:space="0" w:color="auto"/>
            </w:tcBorders>
            <w:shd w:val="clear" w:color="auto" w:fill="auto"/>
            <w:vAlign w:val="bottom"/>
            <w:hideMark/>
          </w:tcPr>
          <w:p w:rsidR="0081741E" w:rsidRPr="009A6FB8" w:rsidRDefault="0081741E" w:rsidP="0081741E">
            <w:pPr>
              <w:rPr>
                <w:rFonts w:cs="Arial"/>
                <w:sz w:val="20"/>
                <w:szCs w:val="20"/>
              </w:rPr>
            </w:pPr>
            <w:r w:rsidRPr="009A6FB8">
              <w:rPr>
                <w:rFonts w:cs="Arial"/>
                <w:sz w:val="20"/>
                <w:szCs w:val="20"/>
              </w:rPr>
              <w:t>9) Store, file, or maintain information</w:t>
            </w:r>
          </w:p>
        </w:tc>
        <w:tc>
          <w:tcPr>
            <w:tcW w:w="4499" w:type="dxa"/>
            <w:vMerge/>
            <w:tcBorders>
              <w:top w:val="nil"/>
              <w:left w:val="single" w:sz="4" w:space="0" w:color="auto"/>
              <w:bottom w:val="single" w:sz="4" w:space="0" w:color="auto"/>
              <w:right w:val="single" w:sz="4" w:space="0" w:color="auto"/>
            </w:tcBorders>
            <w:vAlign w:val="center"/>
            <w:hideMark/>
          </w:tcPr>
          <w:p w:rsidR="0081741E" w:rsidRPr="009A6FB8" w:rsidRDefault="0081741E" w:rsidP="0081741E">
            <w:pPr>
              <w:rPr>
                <w:rFonts w:cs="Arial"/>
                <w:sz w:val="20"/>
                <w:szCs w:val="20"/>
              </w:rPr>
            </w:pPr>
          </w:p>
        </w:tc>
      </w:tr>
      <w:tr w:rsidR="0081741E" w:rsidRPr="009A6FB8" w:rsidTr="009A6FB8">
        <w:trPr>
          <w:trHeight w:val="317"/>
        </w:trPr>
        <w:tc>
          <w:tcPr>
            <w:tcW w:w="8998" w:type="dxa"/>
            <w:gridSpan w:val="2"/>
            <w:tcBorders>
              <w:top w:val="single" w:sz="4" w:space="0" w:color="auto"/>
              <w:left w:val="single" w:sz="4" w:space="0" w:color="auto"/>
              <w:bottom w:val="single" w:sz="8" w:space="0" w:color="auto"/>
              <w:right w:val="single" w:sz="4" w:space="0" w:color="auto"/>
            </w:tcBorders>
            <w:shd w:val="clear" w:color="auto" w:fill="DAEEF3" w:themeFill="accent5" w:themeFillTint="33"/>
            <w:vAlign w:val="bottom"/>
            <w:hideMark/>
          </w:tcPr>
          <w:p w:rsidR="0081741E" w:rsidRPr="009A6FB8" w:rsidRDefault="0081741E" w:rsidP="0081741E">
            <w:pPr>
              <w:rPr>
                <w:rFonts w:cs="Arial"/>
                <w:b/>
                <w:bCs/>
                <w:sz w:val="20"/>
                <w:szCs w:val="20"/>
              </w:rPr>
            </w:pPr>
            <w:r w:rsidRPr="009A6FB8">
              <w:rPr>
                <w:rFonts w:cs="Arial"/>
                <w:b/>
                <w:bCs/>
                <w:sz w:val="20"/>
                <w:szCs w:val="20"/>
              </w:rPr>
              <w:t xml:space="preserve">Consortium Activities </w:t>
            </w:r>
          </w:p>
        </w:tc>
      </w:tr>
      <w:tr w:rsidR="0081741E" w:rsidRPr="009A6FB8" w:rsidTr="009A6FB8">
        <w:trPr>
          <w:trHeight w:val="505"/>
        </w:trPr>
        <w:tc>
          <w:tcPr>
            <w:tcW w:w="4499" w:type="dxa"/>
            <w:tcBorders>
              <w:top w:val="single" w:sz="8" w:space="0" w:color="auto"/>
              <w:left w:val="single" w:sz="6" w:space="0" w:color="auto"/>
              <w:bottom w:val="single" w:sz="8" w:space="0" w:color="auto"/>
              <w:right w:val="single" w:sz="6" w:space="0" w:color="auto"/>
            </w:tcBorders>
            <w:shd w:val="clear" w:color="auto" w:fill="auto"/>
            <w:vAlign w:val="center"/>
            <w:hideMark/>
          </w:tcPr>
          <w:p w:rsidR="0081741E" w:rsidRPr="009A6FB8" w:rsidRDefault="0081741E" w:rsidP="0081741E">
            <w:pPr>
              <w:rPr>
                <w:rFonts w:cs="Arial"/>
                <w:sz w:val="20"/>
                <w:szCs w:val="20"/>
              </w:rPr>
            </w:pPr>
            <w:r w:rsidRPr="009A6FB8">
              <w:rPr>
                <w:rFonts w:cs="Arial"/>
                <w:sz w:val="20"/>
                <w:szCs w:val="20"/>
              </w:rPr>
              <w:t>1) Negotiate/establish consortium/task force agreements/</w:t>
            </w:r>
            <w:r w:rsidRPr="009A6FB8">
              <w:rPr>
                <w:rFonts w:cs="Arial"/>
                <w:bCs/>
                <w:sz w:val="20"/>
                <w:szCs w:val="20"/>
              </w:rPr>
              <w:t>select administrator</w:t>
            </w:r>
          </w:p>
        </w:tc>
        <w:tc>
          <w:tcPr>
            <w:tcW w:w="4499" w:type="dxa"/>
            <w:vMerge w:val="restart"/>
            <w:tcBorders>
              <w:top w:val="single" w:sz="8" w:space="0" w:color="auto"/>
              <w:left w:val="single" w:sz="6" w:space="0" w:color="auto"/>
              <w:right w:val="single" w:sz="6" w:space="0" w:color="auto"/>
            </w:tcBorders>
            <w:shd w:val="clear" w:color="auto" w:fill="auto"/>
            <w:vAlign w:val="center"/>
          </w:tcPr>
          <w:p w:rsidR="0081741E" w:rsidRPr="009A6FB8" w:rsidRDefault="0081741E" w:rsidP="0081741E">
            <w:pPr>
              <w:rPr>
                <w:rFonts w:cs="Arial"/>
                <w:bCs/>
                <w:sz w:val="20"/>
                <w:szCs w:val="20"/>
              </w:rPr>
            </w:pPr>
            <w:r w:rsidRPr="009A6FB8">
              <w:rPr>
                <w:rFonts w:cs="Arial"/>
                <w:bCs/>
                <w:sz w:val="20"/>
                <w:szCs w:val="20"/>
              </w:rPr>
              <w:t>Paperwork burden associated with   operating a consortium</w:t>
            </w:r>
          </w:p>
        </w:tc>
      </w:tr>
      <w:tr w:rsidR="0081741E" w:rsidRPr="009A6FB8" w:rsidTr="009A6FB8">
        <w:trPr>
          <w:trHeight w:val="128"/>
        </w:trPr>
        <w:tc>
          <w:tcPr>
            <w:tcW w:w="4499" w:type="dxa"/>
            <w:tcBorders>
              <w:top w:val="single" w:sz="8" w:space="0" w:color="auto"/>
              <w:left w:val="single" w:sz="6" w:space="0" w:color="auto"/>
              <w:bottom w:val="single" w:sz="8" w:space="0" w:color="auto"/>
              <w:right w:val="single" w:sz="6" w:space="0" w:color="auto"/>
            </w:tcBorders>
            <w:shd w:val="clear" w:color="auto" w:fill="auto"/>
            <w:vAlign w:val="center"/>
            <w:hideMark/>
          </w:tcPr>
          <w:p w:rsidR="0081741E" w:rsidRPr="009A6FB8" w:rsidRDefault="0081741E" w:rsidP="0081741E">
            <w:pPr>
              <w:rPr>
                <w:rFonts w:cs="Arial"/>
                <w:sz w:val="20"/>
                <w:szCs w:val="20"/>
              </w:rPr>
            </w:pPr>
            <w:r w:rsidRPr="009A6FB8">
              <w:rPr>
                <w:rFonts w:cs="Arial"/>
                <w:sz w:val="20"/>
                <w:szCs w:val="20"/>
              </w:rPr>
              <w:t>2) Establish/conduct appropriate technical working groups</w:t>
            </w:r>
          </w:p>
        </w:tc>
        <w:tc>
          <w:tcPr>
            <w:tcW w:w="4499" w:type="dxa"/>
            <w:vMerge/>
            <w:tcBorders>
              <w:left w:val="single" w:sz="6" w:space="0" w:color="auto"/>
              <w:right w:val="single" w:sz="6" w:space="0" w:color="auto"/>
            </w:tcBorders>
            <w:shd w:val="clear" w:color="auto" w:fill="auto"/>
            <w:vAlign w:val="bottom"/>
          </w:tcPr>
          <w:p w:rsidR="0081741E" w:rsidRPr="009A6FB8" w:rsidRDefault="0081741E" w:rsidP="0081741E">
            <w:pPr>
              <w:rPr>
                <w:rFonts w:cs="Arial"/>
                <w:b/>
                <w:bCs/>
                <w:sz w:val="20"/>
                <w:szCs w:val="20"/>
              </w:rPr>
            </w:pPr>
          </w:p>
        </w:tc>
      </w:tr>
      <w:tr w:rsidR="0081741E" w:rsidRPr="009A6FB8" w:rsidTr="009A6FB8">
        <w:trPr>
          <w:trHeight w:val="128"/>
        </w:trPr>
        <w:tc>
          <w:tcPr>
            <w:tcW w:w="4499" w:type="dxa"/>
            <w:tcBorders>
              <w:top w:val="single" w:sz="8" w:space="0" w:color="auto"/>
              <w:left w:val="single" w:sz="6" w:space="0" w:color="auto"/>
              <w:bottom w:val="single" w:sz="8" w:space="0" w:color="auto"/>
              <w:right w:val="single" w:sz="6" w:space="0" w:color="auto"/>
            </w:tcBorders>
            <w:shd w:val="clear" w:color="auto" w:fill="auto"/>
            <w:vAlign w:val="center"/>
            <w:hideMark/>
          </w:tcPr>
          <w:p w:rsidR="0081741E" w:rsidRPr="009A6FB8" w:rsidRDefault="0081741E" w:rsidP="0081741E">
            <w:pPr>
              <w:rPr>
                <w:rFonts w:cs="Arial"/>
                <w:sz w:val="20"/>
                <w:szCs w:val="20"/>
              </w:rPr>
            </w:pPr>
            <w:r w:rsidRPr="009A6FB8">
              <w:rPr>
                <w:rFonts w:cs="Arial"/>
                <w:sz w:val="20"/>
                <w:szCs w:val="20"/>
              </w:rPr>
              <w:t xml:space="preserve">3) Participate in consortium discussions </w:t>
            </w:r>
          </w:p>
        </w:tc>
        <w:tc>
          <w:tcPr>
            <w:tcW w:w="4499" w:type="dxa"/>
            <w:vMerge/>
            <w:tcBorders>
              <w:left w:val="single" w:sz="6" w:space="0" w:color="auto"/>
              <w:right w:val="single" w:sz="6" w:space="0" w:color="auto"/>
            </w:tcBorders>
            <w:shd w:val="clear" w:color="auto" w:fill="auto"/>
            <w:vAlign w:val="bottom"/>
          </w:tcPr>
          <w:p w:rsidR="0081741E" w:rsidRPr="009A6FB8" w:rsidRDefault="0081741E" w:rsidP="0081741E">
            <w:pPr>
              <w:rPr>
                <w:rFonts w:cs="Arial"/>
                <w:b/>
                <w:bCs/>
                <w:sz w:val="20"/>
                <w:szCs w:val="20"/>
              </w:rPr>
            </w:pPr>
          </w:p>
        </w:tc>
      </w:tr>
      <w:tr w:rsidR="0081741E" w:rsidRPr="009A6FB8" w:rsidTr="009A6FB8">
        <w:trPr>
          <w:trHeight w:val="128"/>
        </w:trPr>
        <w:tc>
          <w:tcPr>
            <w:tcW w:w="4499" w:type="dxa"/>
            <w:tcBorders>
              <w:top w:val="single" w:sz="8" w:space="0" w:color="auto"/>
              <w:left w:val="single" w:sz="6" w:space="0" w:color="auto"/>
              <w:bottom w:val="single" w:sz="8" w:space="0" w:color="auto"/>
              <w:right w:val="single" w:sz="6" w:space="0" w:color="auto"/>
            </w:tcBorders>
            <w:shd w:val="clear" w:color="auto" w:fill="auto"/>
            <w:vAlign w:val="center"/>
            <w:hideMark/>
          </w:tcPr>
          <w:p w:rsidR="0081741E" w:rsidRPr="009A6FB8" w:rsidRDefault="0081741E" w:rsidP="0081741E">
            <w:pPr>
              <w:rPr>
                <w:rFonts w:cs="Arial"/>
                <w:sz w:val="20"/>
                <w:szCs w:val="20"/>
              </w:rPr>
            </w:pPr>
            <w:r w:rsidRPr="009A6FB8">
              <w:rPr>
                <w:rFonts w:cs="Arial"/>
                <w:sz w:val="20"/>
                <w:szCs w:val="20"/>
              </w:rPr>
              <w:t>4) Plan logistics for calls or meetings</w:t>
            </w:r>
          </w:p>
        </w:tc>
        <w:tc>
          <w:tcPr>
            <w:tcW w:w="4499" w:type="dxa"/>
            <w:vMerge/>
            <w:tcBorders>
              <w:left w:val="single" w:sz="6" w:space="0" w:color="auto"/>
              <w:right w:val="single" w:sz="6" w:space="0" w:color="auto"/>
            </w:tcBorders>
            <w:shd w:val="clear" w:color="auto" w:fill="auto"/>
            <w:vAlign w:val="bottom"/>
          </w:tcPr>
          <w:p w:rsidR="0081741E" w:rsidRPr="009A6FB8" w:rsidRDefault="0081741E" w:rsidP="0081741E">
            <w:pPr>
              <w:rPr>
                <w:rFonts w:cs="Arial"/>
                <w:b/>
                <w:bCs/>
                <w:sz w:val="20"/>
                <w:szCs w:val="20"/>
              </w:rPr>
            </w:pPr>
          </w:p>
        </w:tc>
      </w:tr>
      <w:tr w:rsidR="0081741E" w:rsidRPr="009A6FB8" w:rsidTr="009A6FB8">
        <w:trPr>
          <w:trHeight w:val="128"/>
        </w:trPr>
        <w:tc>
          <w:tcPr>
            <w:tcW w:w="4499" w:type="dxa"/>
            <w:tcBorders>
              <w:top w:val="single" w:sz="8" w:space="0" w:color="auto"/>
              <w:left w:val="single" w:sz="6" w:space="0" w:color="auto"/>
              <w:bottom w:val="single" w:sz="8" w:space="0" w:color="auto"/>
              <w:right w:val="single" w:sz="6" w:space="0" w:color="auto"/>
            </w:tcBorders>
            <w:shd w:val="clear" w:color="auto" w:fill="auto"/>
            <w:vAlign w:val="center"/>
            <w:hideMark/>
          </w:tcPr>
          <w:p w:rsidR="0081741E" w:rsidRPr="009A6FB8" w:rsidRDefault="0081741E" w:rsidP="0081741E">
            <w:pPr>
              <w:rPr>
                <w:rFonts w:cs="Arial"/>
                <w:sz w:val="20"/>
                <w:szCs w:val="20"/>
              </w:rPr>
            </w:pPr>
            <w:r w:rsidRPr="009A6FB8">
              <w:rPr>
                <w:rFonts w:cs="Arial"/>
                <w:sz w:val="20"/>
                <w:szCs w:val="20"/>
              </w:rPr>
              <w:t>5) Schedule and participate in discussions with Agency</w:t>
            </w:r>
          </w:p>
        </w:tc>
        <w:tc>
          <w:tcPr>
            <w:tcW w:w="4499" w:type="dxa"/>
            <w:vMerge/>
            <w:tcBorders>
              <w:left w:val="single" w:sz="6" w:space="0" w:color="auto"/>
              <w:right w:val="single" w:sz="6" w:space="0" w:color="auto"/>
            </w:tcBorders>
            <w:shd w:val="clear" w:color="auto" w:fill="auto"/>
            <w:vAlign w:val="bottom"/>
          </w:tcPr>
          <w:p w:rsidR="0081741E" w:rsidRPr="009A6FB8" w:rsidRDefault="0081741E" w:rsidP="0081741E">
            <w:pPr>
              <w:rPr>
                <w:rFonts w:cs="Arial"/>
                <w:b/>
                <w:bCs/>
                <w:sz w:val="20"/>
                <w:szCs w:val="20"/>
              </w:rPr>
            </w:pPr>
          </w:p>
        </w:tc>
      </w:tr>
      <w:tr w:rsidR="0081741E" w:rsidRPr="009A6FB8" w:rsidTr="009A6FB8">
        <w:trPr>
          <w:trHeight w:val="79"/>
        </w:trPr>
        <w:tc>
          <w:tcPr>
            <w:tcW w:w="4499" w:type="dxa"/>
            <w:tcBorders>
              <w:top w:val="single" w:sz="8" w:space="0" w:color="auto"/>
              <w:left w:val="single" w:sz="6" w:space="0" w:color="auto"/>
              <w:bottom w:val="single" w:sz="8" w:space="0" w:color="auto"/>
              <w:right w:val="single" w:sz="6" w:space="0" w:color="auto"/>
            </w:tcBorders>
            <w:shd w:val="clear" w:color="auto" w:fill="auto"/>
            <w:vAlign w:val="center"/>
            <w:hideMark/>
          </w:tcPr>
          <w:p w:rsidR="0081741E" w:rsidRPr="009A6FB8" w:rsidRDefault="0081741E" w:rsidP="0081741E">
            <w:pPr>
              <w:rPr>
                <w:rFonts w:cs="Arial"/>
                <w:sz w:val="20"/>
                <w:szCs w:val="20"/>
              </w:rPr>
            </w:pPr>
            <w:r w:rsidRPr="009A6FB8">
              <w:rPr>
                <w:rFonts w:cs="Arial"/>
                <w:sz w:val="20"/>
                <w:szCs w:val="20"/>
              </w:rPr>
              <w:t>6) Review Agency assessments, participate in public comment activities</w:t>
            </w:r>
          </w:p>
        </w:tc>
        <w:tc>
          <w:tcPr>
            <w:tcW w:w="4499" w:type="dxa"/>
            <w:vMerge/>
            <w:tcBorders>
              <w:left w:val="single" w:sz="6" w:space="0" w:color="auto"/>
              <w:right w:val="single" w:sz="6" w:space="0" w:color="auto"/>
            </w:tcBorders>
            <w:shd w:val="clear" w:color="auto" w:fill="auto"/>
            <w:vAlign w:val="bottom"/>
          </w:tcPr>
          <w:p w:rsidR="0081741E" w:rsidRPr="009A6FB8" w:rsidRDefault="0081741E" w:rsidP="0081741E">
            <w:pPr>
              <w:rPr>
                <w:rFonts w:cs="Arial"/>
                <w:b/>
                <w:bCs/>
                <w:sz w:val="20"/>
                <w:szCs w:val="20"/>
              </w:rPr>
            </w:pPr>
          </w:p>
        </w:tc>
      </w:tr>
      <w:tr w:rsidR="0081741E" w:rsidRPr="009A6FB8" w:rsidTr="009A6FB8">
        <w:trPr>
          <w:trHeight w:val="70"/>
        </w:trPr>
        <w:tc>
          <w:tcPr>
            <w:tcW w:w="4499" w:type="dxa"/>
            <w:tcBorders>
              <w:top w:val="single" w:sz="8" w:space="0" w:color="auto"/>
              <w:left w:val="single" w:sz="6" w:space="0" w:color="auto"/>
              <w:bottom w:val="single" w:sz="6" w:space="0" w:color="auto"/>
              <w:right w:val="single" w:sz="6" w:space="0" w:color="auto"/>
            </w:tcBorders>
            <w:shd w:val="clear" w:color="auto" w:fill="auto"/>
            <w:vAlign w:val="center"/>
            <w:hideMark/>
          </w:tcPr>
          <w:p w:rsidR="0081741E" w:rsidRPr="009A6FB8" w:rsidRDefault="0081741E" w:rsidP="0081741E">
            <w:pPr>
              <w:rPr>
                <w:rFonts w:cs="Arial"/>
                <w:sz w:val="20"/>
                <w:szCs w:val="20"/>
              </w:rPr>
            </w:pPr>
            <w:r w:rsidRPr="009A6FB8">
              <w:rPr>
                <w:rFonts w:cs="Arial"/>
                <w:sz w:val="20"/>
                <w:szCs w:val="20"/>
              </w:rPr>
              <w:t>7) Store, file, or maintain consortium information</w:t>
            </w:r>
          </w:p>
        </w:tc>
        <w:tc>
          <w:tcPr>
            <w:tcW w:w="4499" w:type="dxa"/>
            <w:vMerge/>
            <w:tcBorders>
              <w:left w:val="single" w:sz="6" w:space="0" w:color="auto"/>
              <w:bottom w:val="single" w:sz="6" w:space="0" w:color="auto"/>
              <w:right w:val="single" w:sz="6" w:space="0" w:color="auto"/>
            </w:tcBorders>
            <w:shd w:val="clear" w:color="auto" w:fill="auto"/>
            <w:vAlign w:val="bottom"/>
          </w:tcPr>
          <w:p w:rsidR="0081741E" w:rsidRPr="009A6FB8" w:rsidRDefault="0081741E" w:rsidP="0081741E">
            <w:pPr>
              <w:rPr>
                <w:rFonts w:cs="Arial"/>
                <w:b/>
                <w:bCs/>
                <w:sz w:val="20"/>
                <w:szCs w:val="20"/>
              </w:rPr>
            </w:pPr>
          </w:p>
        </w:tc>
      </w:tr>
    </w:tbl>
    <w:p w:rsidR="00DE516D" w:rsidRDefault="00DE516D" w:rsidP="009A6FB8">
      <w:pPr>
        <w:pStyle w:val="Heading3"/>
        <w:tabs>
          <w:tab w:val="left" w:pos="1800"/>
        </w:tabs>
        <w:spacing w:after="200"/>
        <w:ind w:left="1080"/>
      </w:pPr>
      <w:bookmarkStart w:id="25" w:name="_Toc405728967"/>
      <w:bookmarkStart w:id="26" w:name="_Toc405729178"/>
      <w:bookmarkStart w:id="27" w:name="_Toc405728980"/>
      <w:bookmarkStart w:id="28" w:name="_Toc405729191"/>
      <w:bookmarkStart w:id="29" w:name="_Toc405728984"/>
      <w:bookmarkStart w:id="30" w:name="_Toc405729195"/>
      <w:bookmarkStart w:id="31" w:name="_Toc405728994"/>
      <w:bookmarkStart w:id="32" w:name="_Toc405729205"/>
      <w:bookmarkStart w:id="33" w:name="_Toc405728998"/>
      <w:bookmarkStart w:id="34" w:name="_Toc405729209"/>
      <w:bookmarkStart w:id="35" w:name="_Toc405729002"/>
      <w:bookmarkStart w:id="36" w:name="_Toc405729213"/>
      <w:bookmarkStart w:id="37" w:name="_Toc405729006"/>
      <w:bookmarkStart w:id="38" w:name="_Toc405729217"/>
      <w:bookmarkStart w:id="39" w:name="_Toc405729022"/>
      <w:bookmarkStart w:id="40" w:name="_Toc405729233"/>
      <w:bookmarkStart w:id="41" w:name="_Toc405729026"/>
      <w:bookmarkStart w:id="42" w:name="_Toc405729237"/>
      <w:bookmarkStart w:id="43" w:name="_Toc405729040"/>
      <w:bookmarkStart w:id="44" w:name="_Toc405729251"/>
      <w:bookmarkStart w:id="45" w:name="_Toc405729044"/>
      <w:bookmarkStart w:id="46" w:name="_Toc405729255"/>
      <w:bookmarkStart w:id="47" w:name="_Toc405729054"/>
      <w:bookmarkStart w:id="48" w:name="_Toc405729265"/>
      <w:bookmarkStart w:id="49" w:name="_Toc405729058"/>
      <w:bookmarkStart w:id="50" w:name="_Toc405729269"/>
      <w:bookmarkStart w:id="51" w:name="_Toc405729076"/>
      <w:bookmarkStart w:id="52" w:name="_Toc405729287"/>
      <w:bookmarkStart w:id="53" w:name="_Toc405729080"/>
      <w:bookmarkStart w:id="54" w:name="_Toc405729291"/>
      <w:bookmarkStart w:id="55" w:name="_Toc405729114"/>
      <w:bookmarkStart w:id="56" w:name="_Toc405729325"/>
      <w:bookmarkStart w:id="57" w:name="_Toc405729118"/>
      <w:bookmarkStart w:id="58" w:name="_Toc405729329"/>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B75E11" w:rsidRDefault="00B75E11" w:rsidP="00B75E11"/>
    <w:p w:rsidR="00B75E11" w:rsidRPr="00B75E11" w:rsidRDefault="00B75E11" w:rsidP="00B75E11">
      <w:pPr>
        <w:pStyle w:val="NoSpacing"/>
      </w:pPr>
    </w:p>
    <w:p w:rsidR="00C267CB" w:rsidRDefault="00702852" w:rsidP="00D651D2">
      <w:pPr>
        <w:pStyle w:val="Heading3"/>
        <w:numPr>
          <w:ilvl w:val="2"/>
          <w:numId w:val="3"/>
        </w:numPr>
        <w:tabs>
          <w:tab w:val="left" w:pos="1800"/>
        </w:tabs>
        <w:spacing w:after="200"/>
      </w:pPr>
      <w:bookmarkStart w:id="59" w:name="_Toc482020574"/>
      <w:bookmarkStart w:id="60" w:name="_Toc489017117"/>
      <w:r>
        <w:t xml:space="preserve">Variance of the </w:t>
      </w:r>
      <w:r w:rsidR="005C14A8">
        <w:t xml:space="preserve">DCI </w:t>
      </w:r>
      <w:bookmarkStart w:id="61" w:name="_Toc405541224"/>
      <w:bookmarkStart w:id="62" w:name="_Toc405729128"/>
      <w:bookmarkStart w:id="63" w:name="_Toc405729339"/>
      <w:bookmarkStart w:id="64" w:name="_Toc405541225"/>
      <w:bookmarkStart w:id="65" w:name="_Toc405729129"/>
      <w:bookmarkStart w:id="66" w:name="_Toc405729340"/>
      <w:bookmarkEnd w:id="61"/>
      <w:bookmarkEnd w:id="62"/>
      <w:bookmarkEnd w:id="63"/>
      <w:bookmarkEnd w:id="64"/>
      <w:bookmarkEnd w:id="65"/>
      <w:bookmarkEnd w:id="66"/>
      <w:r w:rsidR="00C662CD" w:rsidRPr="00C662CD">
        <w:rPr>
          <w:lang w:bidi="en-US"/>
        </w:rPr>
        <w:t xml:space="preserve">Related </w:t>
      </w:r>
      <w:r w:rsidR="00551F16">
        <w:rPr>
          <w:lang w:bidi="en-US"/>
        </w:rPr>
        <w:t xml:space="preserve">Respondent </w:t>
      </w:r>
      <w:r w:rsidR="002E51C6">
        <w:t xml:space="preserve">Burden and Cost </w:t>
      </w:r>
      <w:r w:rsidR="00C662CD">
        <w:t>Estimates</w:t>
      </w:r>
      <w:bookmarkEnd w:id="59"/>
      <w:bookmarkEnd w:id="60"/>
    </w:p>
    <w:p w:rsidR="00C0262E" w:rsidRPr="009A6FB8" w:rsidRDefault="00C0262E" w:rsidP="009A6FB8"/>
    <w:p w:rsidR="005C14A8" w:rsidRPr="009A6FB8" w:rsidRDefault="005C14A8" w:rsidP="005C14A8">
      <w:pPr>
        <w:pStyle w:val="NoSpacing"/>
        <w:rPr>
          <w:rFonts w:cs="Arial"/>
          <w:lang w:bidi="en-US"/>
        </w:rPr>
      </w:pPr>
      <w:r w:rsidRPr="009A6FB8">
        <w:rPr>
          <w:rFonts w:cs="Arial"/>
          <w:lang w:bidi="en-US"/>
        </w:rPr>
        <w:t xml:space="preserve">The estimated paperwork burden and costs for DCI recipients vary from DCI to DCI because of the variations in the individual studies that are part of the DCI </w:t>
      </w:r>
      <w:r w:rsidR="00761E61">
        <w:rPr>
          <w:rFonts w:cs="Arial"/>
          <w:lang w:bidi="en-US"/>
        </w:rPr>
        <w:t xml:space="preserve">program group (e.g., </w:t>
      </w:r>
      <w:r w:rsidR="00761E61" w:rsidRPr="00D5421F">
        <w:rPr>
          <w:rFonts w:cs="Arial"/>
          <w:noProof/>
          <w:lang w:bidi="en-US"/>
        </w:rPr>
        <w:t>reregistration</w:t>
      </w:r>
      <w:r w:rsidR="00761E61">
        <w:rPr>
          <w:rFonts w:cs="Arial"/>
          <w:lang w:bidi="en-US"/>
        </w:rPr>
        <w:t xml:space="preserve">, registration review, special review etc.,) and </w:t>
      </w:r>
      <w:r w:rsidRPr="009A6FB8">
        <w:rPr>
          <w:rFonts w:cs="Arial"/>
          <w:lang w:bidi="en-US"/>
        </w:rPr>
        <w:t xml:space="preserve">the combination of activities (waivers, exemptions, </w:t>
      </w:r>
      <w:r w:rsidR="00761E61">
        <w:rPr>
          <w:rFonts w:cs="Arial"/>
          <w:lang w:bidi="en-US"/>
        </w:rPr>
        <w:t xml:space="preserve">consortium participation, data generation </w:t>
      </w:r>
      <w:r w:rsidRPr="009A6FB8">
        <w:rPr>
          <w:rFonts w:cs="Arial"/>
          <w:lang w:bidi="en-US"/>
        </w:rPr>
        <w:t>etc.) each DCI manifests</w:t>
      </w:r>
      <w:r w:rsidR="00761E61">
        <w:rPr>
          <w:rFonts w:cs="Arial"/>
          <w:lang w:bidi="en-US"/>
        </w:rPr>
        <w:t>.</w:t>
      </w:r>
      <w:r w:rsidR="002256EA">
        <w:rPr>
          <w:rFonts w:cs="Arial"/>
          <w:lang w:bidi="en-US"/>
        </w:rPr>
        <w:t xml:space="preserve"> </w:t>
      </w:r>
      <w:r w:rsidRPr="009A6FB8">
        <w:rPr>
          <w:rFonts w:cs="Arial"/>
          <w:lang w:bidi="en-US"/>
        </w:rPr>
        <w:t>As discussed, there are multiple ways of responding to a DCI and not all DCI recipients will generate and submit data as part of the DCI response.  Until the Agency receives the 90-day response letters to the DCI notice from the registrants indicating what studies, if any, they will conduct, it is not possible to accurately estimate the burden and costs of developing the data. Nor can the Agency accurately predict the number of DCI recipients who will generate data or the amount of data that might be submitted to EPA. The Agency’s burden estimates are based on past patterns of DCI response activitie</w:t>
      </w:r>
      <w:r w:rsidR="00D74C17">
        <w:rPr>
          <w:rFonts w:cs="Arial"/>
          <w:lang w:bidi="en-US"/>
        </w:rPr>
        <w:t>s.</w:t>
      </w:r>
      <w:r w:rsidRPr="009A6FB8">
        <w:rPr>
          <w:rFonts w:cs="Arial"/>
          <w:lang w:bidi="en-US"/>
        </w:rPr>
        <w:t xml:space="preserve"> </w:t>
      </w:r>
    </w:p>
    <w:p w:rsidR="005C14A8" w:rsidRPr="009A6FB8" w:rsidDel="00706413" w:rsidRDefault="005C14A8" w:rsidP="005C14A8">
      <w:pPr>
        <w:pStyle w:val="NoSpacing"/>
        <w:rPr>
          <w:rFonts w:cs="Arial"/>
          <w:lang w:bidi="en-US"/>
        </w:rPr>
      </w:pPr>
    </w:p>
    <w:p w:rsidR="005C14A8" w:rsidRPr="009A6FB8" w:rsidRDefault="005C14A8" w:rsidP="005C14A8">
      <w:pPr>
        <w:pStyle w:val="NoSpacing"/>
        <w:rPr>
          <w:rFonts w:cs="Arial"/>
          <w:lang w:bidi="en-US"/>
        </w:rPr>
      </w:pPr>
      <w:r w:rsidRPr="009A6FB8">
        <w:rPr>
          <w:rFonts w:cs="Arial"/>
          <w:i/>
          <w:lang w:bidi="en-US"/>
        </w:rPr>
        <w:t xml:space="preserve">DCI Recipients - </w:t>
      </w:r>
      <w:r w:rsidRPr="009A6FB8">
        <w:rPr>
          <w:rFonts w:cs="Arial"/>
          <w:lang w:bidi="en-US"/>
        </w:rPr>
        <w:t xml:space="preserve">DCI recipients are subject to burden from having to provide an initial response to the EPA for a DCI regardless of whether or not they generate data.  The methodology EPA used for calculating the burden for this group is derived from the </w:t>
      </w:r>
      <w:r w:rsidRPr="00517204">
        <w:rPr>
          <w:rFonts w:cs="Arial"/>
          <w:lang w:bidi="en-US"/>
        </w:rPr>
        <w:t xml:space="preserve">2007 </w:t>
      </w:r>
      <w:r w:rsidRPr="00D5421F">
        <w:rPr>
          <w:rFonts w:cs="Arial"/>
          <w:noProof/>
          <w:lang w:bidi="en-US"/>
        </w:rPr>
        <w:t>Methodology,</w:t>
      </w:r>
      <w:r w:rsidR="002F0591">
        <w:rPr>
          <w:rFonts w:cs="Arial"/>
          <w:noProof/>
          <w:lang w:bidi="en-US"/>
        </w:rPr>
        <w:t xml:space="preserve"> </w:t>
      </w:r>
      <w:r w:rsidR="006B73DE" w:rsidRPr="00D5421F">
        <w:rPr>
          <w:rStyle w:val="FootnoteReference"/>
          <w:rFonts w:cs="Arial"/>
          <w:noProof/>
          <w:vertAlign w:val="superscript"/>
          <w:lang w:bidi="en-US"/>
        </w:rPr>
        <w:footnoteReference w:id="9"/>
      </w:r>
      <w:r w:rsidRPr="009A6FB8">
        <w:rPr>
          <w:rFonts w:cs="Arial"/>
          <w:lang w:bidi="en-US"/>
        </w:rPr>
        <w:t xml:space="preserve"> Phase 1 requirements outlined in Case Study #1, Attachment </w:t>
      </w:r>
      <w:r w:rsidR="00D74C17">
        <w:rPr>
          <w:rFonts w:cs="Arial"/>
          <w:lang w:bidi="en-US"/>
        </w:rPr>
        <w:t>A</w:t>
      </w:r>
      <w:r w:rsidR="006B73DE">
        <w:rPr>
          <w:rFonts w:cs="Arial"/>
          <w:lang w:bidi="en-US"/>
        </w:rPr>
        <w:t xml:space="preserve"> of that document </w:t>
      </w:r>
      <w:r w:rsidRPr="009A6FB8">
        <w:rPr>
          <w:rFonts w:cs="Arial"/>
          <w:lang w:bidi="en-US"/>
        </w:rPr>
        <w:t xml:space="preserve">reflects the activities that all DCI recipients would have to conduct regardless of whether or not they generate data.  </w:t>
      </w:r>
    </w:p>
    <w:p w:rsidR="005C14A8" w:rsidRPr="009A6FB8" w:rsidRDefault="005C14A8" w:rsidP="005C14A8">
      <w:pPr>
        <w:rPr>
          <w:rFonts w:cs="Arial"/>
          <w:lang w:bidi="en-US"/>
        </w:rPr>
      </w:pPr>
    </w:p>
    <w:p w:rsidR="005C14A8" w:rsidRDefault="005C14A8" w:rsidP="009A6FB8">
      <w:pPr>
        <w:rPr>
          <w:rFonts w:cs="Arial"/>
          <w:lang w:bidi="en-US"/>
        </w:rPr>
      </w:pPr>
      <w:r w:rsidRPr="009A6FB8">
        <w:rPr>
          <w:rFonts w:cs="Arial"/>
          <w:lang w:bidi="en-US"/>
        </w:rPr>
        <w:t xml:space="preserve">Given that a single DCI can be sent to several companies, DCI recipient burden is calculated at the </w:t>
      </w:r>
      <w:r w:rsidRPr="00D5421F">
        <w:rPr>
          <w:rFonts w:cs="Arial"/>
          <w:noProof/>
          <w:lang w:bidi="en-US"/>
        </w:rPr>
        <w:t>company</w:t>
      </w:r>
      <w:r w:rsidRPr="009A6FB8">
        <w:rPr>
          <w:rFonts w:cs="Arial"/>
          <w:lang w:bidi="en-US"/>
        </w:rPr>
        <w:t xml:space="preserve"> level—not at the DCI level.   To estimate the number of </w:t>
      </w:r>
      <w:r w:rsidRPr="00D5421F">
        <w:rPr>
          <w:rFonts w:cs="Arial"/>
          <w:noProof/>
          <w:lang w:bidi="en-US"/>
        </w:rPr>
        <w:t>companies</w:t>
      </w:r>
      <w:r w:rsidRPr="009A6FB8">
        <w:rPr>
          <w:rFonts w:cs="Arial"/>
          <w:lang w:bidi="en-US"/>
        </w:rPr>
        <w:t xml:space="preserve"> that are DCI recipients, EPA conducted a search of </w:t>
      </w:r>
      <w:r w:rsidRPr="00D5421F">
        <w:rPr>
          <w:rFonts w:cs="Arial"/>
          <w:noProof/>
          <w:lang w:bidi="en-US"/>
        </w:rPr>
        <w:t>companies</w:t>
      </w:r>
      <w:r w:rsidRPr="009A6FB8">
        <w:rPr>
          <w:rFonts w:cs="Arial"/>
          <w:lang w:bidi="en-US"/>
        </w:rPr>
        <w:t xml:space="preserve"> that received a DCI request in its Pesticide Registration Information System (PRISM) to determine the average annual number of impacted entities.  </w:t>
      </w:r>
    </w:p>
    <w:p w:rsidR="00702852" w:rsidRPr="009A6FB8" w:rsidRDefault="00702852" w:rsidP="009A6FB8">
      <w:pPr>
        <w:pStyle w:val="NoSpacing"/>
        <w:rPr>
          <w:lang w:bidi="en-US"/>
        </w:rPr>
      </w:pPr>
    </w:p>
    <w:p w:rsidR="005C14A8" w:rsidRPr="009A6FB8" w:rsidRDefault="005C14A8" w:rsidP="005C14A8">
      <w:pPr>
        <w:pStyle w:val="NoSpacing"/>
        <w:rPr>
          <w:rFonts w:cs="Arial"/>
        </w:rPr>
      </w:pPr>
      <w:r w:rsidRPr="009A6FB8">
        <w:rPr>
          <w:rFonts w:cs="Arial"/>
          <w:i/>
          <w:lang w:bidi="en-US"/>
        </w:rPr>
        <w:t xml:space="preserve">Data Generators - </w:t>
      </w:r>
      <w:r w:rsidRPr="009A6FB8">
        <w:rPr>
          <w:rFonts w:cs="Arial"/>
          <w:lang w:bidi="en-US"/>
        </w:rPr>
        <w:t xml:space="preserve">The paperwork burden and costs for data generators are based in part on the average cost </w:t>
      </w:r>
      <w:r w:rsidR="002F0591">
        <w:rPr>
          <w:rFonts w:cs="Arial"/>
          <w:noProof/>
          <w:lang w:bidi="en-US"/>
        </w:rPr>
        <w:t>of</w:t>
      </w:r>
      <w:r w:rsidRPr="009A6FB8">
        <w:rPr>
          <w:rFonts w:cs="Arial"/>
          <w:lang w:bidi="en-US"/>
        </w:rPr>
        <w:t xml:space="preserve"> paying a laboratory to conduct the test(s) necessary to generate the data requested in the DCI.  </w:t>
      </w:r>
      <w:r w:rsidRPr="00D5421F">
        <w:rPr>
          <w:rFonts w:cs="Arial"/>
          <w:noProof/>
          <w:lang w:bidi="en-US"/>
        </w:rPr>
        <w:t>To estimate paperwork activities for each type of labor category (managerial, technical, and clerical)</w:t>
      </w:r>
      <w:r w:rsidRPr="009A6FB8">
        <w:rPr>
          <w:rFonts w:cs="Arial"/>
          <w:lang w:bidi="en-US"/>
        </w:rPr>
        <w:t xml:space="preserve">, the disaggregated paperwork burden costs are multiplied by their corresponding labor wage rates ($/hr). As </w:t>
      </w:r>
      <w:r w:rsidRPr="00D5421F">
        <w:rPr>
          <w:rFonts w:cs="Arial"/>
          <w:noProof/>
          <w:lang w:bidi="en-US"/>
        </w:rPr>
        <w:t>previously</w:t>
      </w:r>
      <w:r w:rsidR="00A915D1">
        <w:rPr>
          <w:rFonts w:cs="Arial"/>
          <w:noProof/>
          <w:lang w:bidi="en-US"/>
        </w:rPr>
        <w:t xml:space="preserve"> mentioned</w:t>
      </w:r>
      <w:r w:rsidRPr="009A6FB8">
        <w:rPr>
          <w:rFonts w:cs="Arial"/>
          <w:lang w:bidi="en-US"/>
        </w:rPr>
        <w:t>, s</w:t>
      </w:r>
      <w:r w:rsidRPr="009A6FB8">
        <w:rPr>
          <w:rFonts w:cs="Arial"/>
        </w:rPr>
        <w:t xml:space="preserve">ome DCIs do not follow the Agency’s methodology of paperwork being 20%-65%-15% Managerial-Technical-Clerical as certain IC Groups have paperwork burden that falls disproportionately on different labor categories.  For details regarding the </w:t>
      </w:r>
      <w:r w:rsidRPr="00D5421F">
        <w:rPr>
          <w:rFonts w:cs="Arial"/>
          <w:noProof/>
        </w:rPr>
        <w:t>methodology</w:t>
      </w:r>
      <w:r w:rsidRPr="009A6FB8">
        <w:rPr>
          <w:rFonts w:cs="Arial"/>
        </w:rPr>
        <w:t xml:space="preserve"> used for calculating data generation paperwork burden for each of the IC Groups, refer to </w:t>
      </w:r>
      <w:r w:rsidR="00202EAA">
        <w:rPr>
          <w:rFonts w:cs="Arial"/>
        </w:rPr>
        <w:t xml:space="preserve">Attachment </w:t>
      </w:r>
      <w:r w:rsidR="00C71245">
        <w:rPr>
          <w:rFonts w:cs="Arial"/>
        </w:rPr>
        <w:t>B</w:t>
      </w:r>
      <w:r w:rsidR="00202EAA">
        <w:rPr>
          <w:rFonts w:cs="Arial"/>
        </w:rPr>
        <w:t xml:space="preserve">, </w:t>
      </w:r>
      <w:r w:rsidRPr="009A6FB8">
        <w:rPr>
          <w:rFonts w:cs="Arial"/>
        </w:rPr>
        <w:t xml:space="preserve">Appendix B.  </w:t>
      </w:r>
    </w:p>
    <w:p w:rsidR="005C14A8" w:rsidRPr="009A6FB8" w:rsidRDefault="005C14A8" w:rsidP="005C14A8">
      <w:pPr>
        <w:pStyle w:val="NoSpacing"/>
        <w:rPr>
          <w:rFonts w:cs="Arial"/>
        </w:rPr>
      </w:pPr>
    </w:p>
    <w:p w:rsidR="005C14A8" w:rsidRPr="009A6FB8" w:rsidRDefault="005C14A8" w:rsidP="005C14A8">
      <w:pPr>
        <w:pStyle w:val="NoSpacing"/>
        <w:rPr>
          <w:rFonts w:cs="Arial"/>
        </w:rPr>
      </w:pPr>
      <w:r w:rsidRPr="009A6FB8">
        <w:rPr>
          <w:rFonts w:cs="Arial"/>
        </w:rPr>
        <w:t>EPA has also assumed that for each DCI, companies are combining resources when responding to a DCI and data generation is necessary—</w:t>
      </w:r>
      <w:r w:rsidRPr="00D5421F">
        <w:rPr>
          <w:rFonts w:cs="Arial"/>
          <w:noProof/>
        </w:rPr>
        <w:t>thus</w:t>
      </w:r>
      <w:r w:rsidR="00A915D1">
        <w:rPr>
          <w:rFonts w:cs="Arial"/>
          <w:noProof/>
        </w:rPr>
        <w:t>,</w:t>
      </w:r>
      <w:r w:rsidRPr="009A6FB8">
        <w:rPr>
          <w:rFonts w:cs="Arial"/>
        </w:rPr>
        <w:t xml:space="preserve"> it is expected that only one set of data is being submitted to the EPA in response to each DCI request.  EPA understands that this assumption may not be accurate and solicits industry input to clarify this </w:t>
      </w:r>
      <w:r w:rsidRPr="00D5421F">
        <w:rPr>
          <w:rFonts w:cs="Arial"/>
          <w:noProof/>
        </w:rPr>
        <w:t>assumption</w:t>
      </w:r>
      <w:r w:rsidRPr="009A6FB8">
        <w:rPr>
          <w:rFonts w:cs="Arial"/>
        </w:rPr>
        <w:t xml:space="preserve">.  </w:t>
      </w:r>
    </w:p>
    <w:p w:rsidR="005C14A8" w:rsidRPr="009A6FB8" w:rsidRDefault="005C14A8" w:rsidP="005C14A8">
      <w:pPr>
        <w:pStyle w:val="NoSpacing"/>
        <w:rPr>
          <w:rFonts w:cs="Arial"/>
        </w:rPr>
      </w:pPr>
    </w:p>
    <w:p w:rsidR="005C14A8" w:rsidRPr="009A6FB8" w:rsidRDefault="005C14A8" w:rsidP="005C14A8">
      <w:pPr>
        <w:pStyle w:val="NoSpacing"/>
        <w:rPr>
          <w:rFonts w:cs="Arial"/>
          <w:color w:val="000000" w:themeColor="text1"/>
          <w:lang w:bidi="en-US"/>
        </w:rPr>
      </w:pPr>
      <w:r w:rsidRPr="009A6FB8">
        <w:rPr>
          <w:rFonts w:cs="Arial"/>
          <w:i/>
          <w:lang w:bidi="en-US"/>
        </w:rPr>
        <w:t xml:space="preserve">Consortium Participants - </w:t>
      </w:r>
      <w:r w:rsidRPr="009A6FB8">
        <w:rPr>
          <w:rFonts w:cs="Arial"/>
          <w:color w:val="000000" w:themeColor="text1"/>
          <w:lang w:bidi="en-US"/>
        </w:rPr>
        <w:t xml:space="preserve">Although consortium members encumber burden from consortium activities, the cost savings from avoiding study generation are expected </w:t>
      </w:r>
      <w:r w:rsidRPr="00D5421F">
        <w:rPr>
          <w:rFonts w:cs="Arial"/>
          <w:noProof/>
          <w:color w:val="000000" w:themeColor="text1"/>
          <w:lang w:bidi="en-US"/>
        </w:rPr>
        <w:t>to far exceed</w:t>
      </w:r>
      <w:r w:rsidRPr="009A6FB8">
        <w:rPr>
          <w:rFonts w:cs="Arial"/>
          <w:color w:val="000000" w:themeColor="text1"/>
          <w:lang w:bidi="en-US"/>
        </w:rPr>
        <w:t xml:space="preserve"> the </w:t>
      </w:r>
      <w:r w:rsidRPr="00D5421F">
        <w:rPr>
          <w:rFonts w:cs="Arial"/>
          <w:noProof/>
          <w:color w:val="000000" w:themeColor="text1"/>
          <w:lang w:bidi="en-US"/>
        </w:rPr>
        <w:t>burden</w:t>
      </w:r>
      <w:r w:rsidRPr="009A6FB8">
        <w:rPr>
          <w:rFonts w:cs="Arial"/>
          <w:color w:val="000000" w:themeColor="text1"/>
          <w:lang w:bidi="en-US"/>
        </w:rPr>
        <w:t xml:space="preserve"> </w:t>
      </w:r>
      <w:r w:rsidR="00A915D1">
        <w:rPr>
          <w:rFonts w:cs="Arial"/>
          <w:noProof/>
          <w:color w:val="000000" w:themeColor="text1"/>
          <w:lang w:bidi="en-US"/>
        </w:rPr>
        <w:t>of</w:t>
      </w:r>
      <w:r w:rsidRPr="009A6FB8">
        <w:rPr>
          <w:rFonts w:cs="Arial"/>
          <w:color w:val="000000" w:themeColor="text1"/>
          <w:lang w:bidi="en-US"/>
        </w:rPr>
        <w:t xml:space="preserve"> such activities.  Furthermore, EPA assumes that no business would opt to join a consortium if the cost of consortium activities would result in a higher cost per DCI.  Thus for each consortium member, the upper bound (i.e., maximum) total cost per DCI submitted by a consortium is expected to be less than or equal to the per DCI burden incurred by a recipient who chooses to </w:t>
      </w:r>
      <w:r w:rsidRPr="00D5421F">
        <w:rPr>
          <w:rFonts w:cs="Arial"/>
          <w:noProof/>
          <w:color w:val="000000" w:themeColor="text1"/>
          <w:lang w:bidi="en-US"/>
        </w:rPr>
        <w:t>submit</w:t>
      </w:r>
      <w:r w:rsidRPr="009A6FB8">
        <w:rPr>
          <w:rFonts w:cs="Arial"/>
          <w:color w:val="000000" w:themeColor="text1"/>
          <w:lang w:bidi="en-US"/>
        </w:rPr>
        <w:t xml:space="preserve"> their DCI data independently</w:t>
      </w:r>
      <w:r w:rsidRPr="009A6FB8">
        <w:rPr>
          <w:rFonts w:cs="Arial"/>
          <w:lang w:bidi="en-US"/>
        </w:rPr>
        <w:t xml:space="preserve">.  In this case, the </w:t>
      </w:r>
      <w:r w:rsidRPr="00D5421F">
        <w:rPr>
          <w:rFonts w:cs="Arial"/>
          <w:noProof/>
          <w:lang w:bidi="en-US"/>
        </w:rPr>
        <w:t>burden</w:t>
      </w:r>
      <w:r w:rsidRPr="009A6FB8">
        <w:rPr>
          <w:rFonts w:cs="Arial"/>
          <w:lang w:bidi="en-US"/>
        </w:rPr>
        <w:t xml:space="preserve"> per consortium member would be equal to that in Table </w:t>
      </w:r>
      <w:r w:rsidR="00A52A6A">
        <w:rPr>
          <w:rFonts w:cs="Arial"/>
          <w:lang w:bidi="en-US"/>
        </w:rPr>
        <w:t>3</w:t>
      </w:r>
      <w:r w:rsidRPr="009A6FB8">
        <w:rPr>
          <w:rFonts w:cs="Arial"/>
          <w:lang w:bidi="en-US"/>
        </w:rPr>
        <w:t xml:space="preserve"> for D</w:t>
      </w:r>
      <w:r w:rsidR="00517204">
        <w:rPr>
          <w:rFonts w:cs="Arial"/>
          <w:lang w:bidi="en-US"/>
        </w:rPr>
        <w:t xml:space="preserve">ata </w:t>
      </w:r>
      <w:r w:rsidRPr="009A6FB8">
        <w:rPr>
          <w:rFonts w:cs="Arial"/>
          <w:lang w:bidi="en-US"/>
        </w:rPr>
        <w:t xml:space="preserve">Generators.  Unlike typical data generators, however, consortiums face additional paperwork burden activities, such as meetings and correspondence to coordinate consortium activities.  Industry provided EPA with information to support that approximately 21 consortiums exist and typical consortium activities that result in paperwork burden.  </w:t>
      </w:r>
      <w:r w:rsidRPr="009A6FB8">
        <w:rPr>
          <w:rFonts w:cs="Arial"/>
        </w:rPr>
        <w:t xml:space="preserve">Details on consortium activities and the methodology used for calculating total consortium paperwork burden are located in </w:t>
      </w:r>
      <w:r w:rsidR="00A52A6A">
        <w:rPr>
          <w:rFonts w:cs="Arial"/>
        </w:rPr>
        <w:t xml:space="preserve">Attachment </w:t>
      </w:r>
      <w:r w:rsidR="00C71245">
        <w:rPr>
          <w:rFonts w:cs="Arial"/>
        </w:rPr>
        <w:t>B</w:t>
      </w:r>
      <w:r w:rsidR="00A52A6A">
        <w:rPr>
          <w:rFonts w:cs="Arial"/>
        </w:rPr>
        <w:t xml:space="preserve">, </w:t>
      </w:r>
      <w:r w:rsidRPr="009A6FB8">
        <w:rPr>
          <w:rFonts w:cs="Arial"/>
        </w:rPr>
        <w:t>Appendix C.</w:t>
      </w:r>
    </w:p>
    <w:p w:rsidR="005C14A8" w:rsidRPr="009A6FB8" w:rsidRDefault="005C14A8" w:rsidP="005C14A8">
      <w:pPr>
        <w:rPr>
          <w:rFonts w:cs="Arial"/>
        </w:rPr>
      </w:pPr>
    </w:p>
    <w:p w:rsidR="00702852" w:rsidRDefault="002B293B" w:rsidP="009A6FB8">
      <w:pPr>
        <w:pStyle w:val="Heading3"/>
        <w:ind w:left="720"/>
        <w:rPr>
          <w:rFonts w:cs="Arial"/>
          <w:lang w:bidi="en-US"/>
        </w:rPr>
      </w:pPr>
      <w:bookmarkStart w:id="67" w:name="_Toc482020575"/>
      <w:bookmarkStart w:id="68" w:name="_Toc489017118"/>
      <w:r>
        <w:rPr>
          <w:rFonts w:cs="Arial"/>
          <w:lang w:bidi="en-US"/>
        </w:rPr>
        <w:t>3(a)(vi).  Projected DCIs to be issued</w:t>
      </w:r>
      <w:bookmarkEnd w:id="67"/>
      <w:bookmarkEnd w:id="68"/>
      <w:r>
        <w:rPr>
          <w:rFonts w:cs="Arial"/>
          <w:lang w:bidi="en-US"/>
        </w:rPr>
        <w:t xml:space="preserve">   </w:t>
      </w:r>
    </w:p>
    <w:p w:rsidR="002B293B" w:rsidRPr="009A6FB8" w:rsidRDefault="002B293B" w:rsidP="009A6FB8">
      <w:pPr>
        <w:rPr>
          <w:lang w:bidi="en-US"/>
        </w:rPr>
      </w:pPr>
    </w:p>
    <w:p w:rsidR="00702852" w:rsidRPr="00702852" w:rsidRDefault="00702852" w:rsidP="00702852">
      <w:pPr>
        <w:rPr>
          <w:rFonts w:cs="Arial"/>
          <w:lang w:bidi="en-US"/>
        </w:rPr>
      </w:pPr>
      <w:r w:rsidRPr="00702852">
        <w:rPr>
          <w:rFonts w:cs="Arial"/>
          <w:lang w:bidi="en-US"/>
        </w:rPr>
        <w:t xml:space="preserve">The Agency estimates that 122 companies will receive a DCI request annually.  For more information on methodologies used in estimating the total number of DCI recipients and burdens to DCI recipients, see Attachment </w:t>
      </w:r>
      <w:r w:rsidR="00C71245">
        <w:rPr>
          <w:rFonts w:cs="Arial"/>
          <w:lang w:bidi="en-US"/>
        </w:rPr>
        <w:t>B</w:t>
      </w:r>
      <w:r w:rsidRPr="00702852">
        <w:rPr>
          <w:rFonts w:cs="Arial"/>
          <w:lang w:bidi="en-US"/>
        </w:rPr>
        <w:t xml:space="preserve">, Appendix A.  </w:t>
      </w:r>
    </w:p>
    <w:p w:rsidR="00702852" w:rsidRPr="00702852" w:rsidRDefault="00702852" w:rsidP="00702852">
      <w:pPr>
        <w:rPr>
          <w:rFonts w:cs="Arial"/>
          <w:lang w:bidi="en-US"/>
        </w:rPr>
      </w:pPr>
      <w:r w:rsidRPr="00702852">
        <w:rPr>
          <w:rFonts w:cs="Arial"/>
          <w:lang w:bidi="en-US"/>
        </w:rPr>
        <w:t xml:space="preserve">EPA expects to issue approximately </w:t>
      </w:r>
      <w:r w:rsidR="001C7C36">
        <w:rPr>
          <w:rFonts w:cs="Arial"/>
          <w:lang w:bidi="en-US"/>
        </w:rPr>
        <w:t>221</w:t>
      </w:r>
      <w:r w:rsidRPr="00702852">
        <w:rPr>
          <w:rFonts w:cs="Arial"/>
          <w:lang w:bidi="en-US"/>
        </w:rPr>
        <w:t xml:space="preserve"> DCIs annually over the next three years that will require data generation. This estimate for data generators does not include voluntarily submitted data as they are not DCIs (i.e., IC Groups 2, 3, 8</w:t>
      </w:r>
      <w:r w:rsidR="00F166D1">
        <w:rPr>
          <w:rFonts w:cs="Arial"/>
          <w:lang w:bidi="en-US"/>
        </w:rPr>
        <w:t xml:space="preserve"> and 9)</w:t>
      </w:r>
      <w:r w:rsidRPr="00702852">
        <w:rPr>
          <w:rFonts w:cs="Arial"/>
          <w:lang w:bidi="en-US"/>
        </w:rPr>
        <w:t xml:space="preserve"> in Table 2 are excluded from this estimate). </w:t>
      </w:r>
    </w:p>
    <w:p w:rsidR="00702852" w:rsidRPr="00702852" w:rsidRDefault="00702852" w:rsidP="00702852">
      <w:pPr>
        <w:rPr>
          <w:rFonts w:cs="Arial"/>
          <w:lang w:bidi="en-US"/>
        </w:rPr>
      </w:pPr>
    </w:p>
    <w:p w:rsidR="005C14A8" w:rsidRPr="009A6FB8" w:rsidRDefault="005C14A8" w:rsidP="005C14A8">
      <w:pPr>
        <w:rPr>
          <w:rFonts w:cs="Arial"/>
        </w:rPr>
      </w:pPr>
      <w:r w:rsidRPr="009A6FB8">
        <w:rPr>
          <w:rFonts w:cs="Arial"/>
        </w:rPr>
        <w:t>The breakdown of the regulatory decisions for DCIs that EPA expects to make over the next three years (201</w:t>
      </w:r>
      <w:r w:rsidR="001C7C36">
        <w:rPr>
          <w:rFonts w:cs="Arial"/>
        </w:rPr>
        <w:t>8</w:t>
      </w:r>
      <w:r w:rsidRPr="009A6FB8">
        <w:rPr>
          <w:rFonts w:cs="Arial"/>
        </w:rPr>
        <w:t>-20</w:t>
      </w:r>
      <w:r w:rsidR="001F0CFC">
        <w:rPr>
          <w:rFonts w:cs="Arial"/>
        </w:rPr>
        <w:t>2</w:t>
      </w:r>
      <w:r w:rsidR="001C7C36">
        <w:rPr>
          <w:rFonts w:cs="Arial"/>
        </w:rPr>
        <w:t>1</w:t>
      </w:r>
      <w:r w:rsidRPr="009A6FB8">
        <w:rPr>
          <w:rFonts w:cs="Arial"/>
        </w:rPr>
        <w:t>) is as follows:</w:t>
      </w:r>
    </w:p>
    <w:p w:rsidR="001C7C36" w:rsidRDefault="001C7C36" w:rsidP="00D5421F">
      <w:pPr>
        <w:pStyle w:val="NoSpacing"/>
        <w:rPr>
          <w:rFonts w:cs="Arial"/>
          <w:b/>
        </w:rPr>
      </w:pPr>
    </w:p>
    <w:p w:rsidR="009A7AF6" w:rsidRDefault="009A7AF6">
      <w:pPr>
        <w:spacing w:after="200" w:line="276" w:lineRule="auto"/>
        <w:rPr>
          <w:rFonts w:cs="Arial"/>
          <w:b/>
        </w:rPr>
      </w:pPr>
      <w:r>
        <w:rPr>
          <w:rFonts w:cs="Arial"/>
          <w:b/>
        </w:rPr>
        <w:br w:type="page"/>
      </w:r>
    </w:p>
    <w:p w:rsidR="002256EA" w:rsidRDefault="005C14A8" w:rsidP="00D5421F">
      <w:pPr>
        <w:pStyle w:val="NoSpacing"/>
      </w:pPr>
      <w:r w:rsidRPr="009A6FB8">
        <w:rPr>
          <w:rFonts w:cs="Arial"/>
          <w:b/>
        </w:rPr>
        <w:t xml:space="preserve">Table </w:t>
      </w:r>
      <w:r w:rsidR="00202EAA" w:rsidRPr="009A6FB8">
        <w:rPr>
          <w:rFonts w:cs="Arial"/>
          <w:b/>
        </w:rPr>
        <w:t>2</w:t>
      </w:r>
      <w:r w:rsidRPr="009A6FB8">
        <w:rPr>
          <w:rFonts w:cs="Arial"/>
          <w:b/>
        </w:rPr>
        <w:t xml:space="preserve">: Estimated Number of </w:t>
      </w:r>
      <w:r w:rsidR="00702660">
        <w:rPr>
          <w:rFonts w:cs="Arial"/>
          <w:b/>
        </w:rPr>
        <w:t>A</w:t>
      </w:r>
      <w:r w:rsidR="00A52A6A" w:rsidRPr="009A6FB8">
        <w:rPr>
          <w:rFonts w:cs="Arial"/>
          <w:b/>
        </w:rPr>
        <w:t xml:space="preserve">nnual </w:t>
      </w:r>
      <w:r w:rsidRPr="009A6FB8">
        <w:rPr>
          <w:rFonts w:cs="Arial"/>
          <w:b/>
        </w:rPr>
        <w:t>DCIs by IC Group</w:t>
      </w:r>
      <w:r w:rsidR="00702660">
        <w:rPr>
          <w:rFonts w:cs="Arial"/>
          <w:b/>
        </w:rPr>
        <w:t xml:space="preserve"> (FY 2018 – 2021)</w:t>
      </w:r>
    </w:p>
    <w:tbl>
      <w:tblPr>
        <w:tblW w:w="0" w:type="auto"/>
        <w:tblInd w:w="103" w:type="dxa"/>
        <w:tblLook w:val="04A0" w:firstRow="1" w:lastRow="0" w:firstColumn="1" w:lastColumn="0" w:noHBand="0" w:noVBand="1"/>
      </w:tblPr>
      <w:tblGrid>
        <w:gridCol w:w="1104"/>
        <w:gridCol w:w="4065"/>
        <w:gridCol w:w="1792"/>
        <w:gridCol w:w="1792"/>
      </w:tblGrid>
      <w:tr w:rsidR="001C7C36" w:rsidRPr="001C7C36" w:rsidTr="00637187">
        <w:trPr>
          <w:trHeight w:val="10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C7C36" w:rsidRPr="001C7C36" w:rsidRDefault="001C7C36" w:rsidP="00637187">
            <w:pPr>
              <w:jc w:val="center"/>
              <w:rPr>
                <w:rFonts w:cs="Arial"/>
                <w:b/>
                <w:bCs/>
                <w:color w:val="000000"/>
                <w:sz w:val="20"/>
                <w:szCs w:val="20"/>
              </w:rPr>
            </w:pPr>
            <w:r w:rsidRPr="001C7C36">
              <w:rPr>
                <w:rFonts w:cs="Arial"/>
                <w:b/>
                <w:bCs/>
                <w:color w:val="000000"/>
                <w:sz w:val="20"/>
                <w:szCs w:val="20"/>
              </w:rPr>
              <w:t>IC Number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7C36" w:rsidRPr="001C7C36" w:rsidRDefault="001C7C36" w:rsidP="00637187">
            <w:pPr>
              <w:jc w:val="center"/>
              <w:rPr>
                <w:rFonts w:cs="Arial"/>
                <w:b/>
                <w:bCs/>
                <w:color w:val="000000"/>
                <w:sz w:val="20"/>
                <w:szCs w:val="20"/>
              </w:rPr>
            </w:pPr>
            <w:r w:rsidRPr="001C7C36">
              <w:rPr>
                <w:rFonts w:cs="Arial"/>
                <w:b/>
                <w:bCs/>
                <w:color w:val="000000"/>
                <w:sz w:val="20"/>
                <w:szCs w:val="20"/>
              </w:rPr>
              <w:t>IC Group</w:t>
            </w:r>
          </w:p>
        </w:tc>
        <w:tc>
          <w:tcPr>
            <w:tcW w:w="0" w:type="auto"/>
            <w:tcBorders>
              <w:top w:val="single" w:sz="4" w:space="0" w:color="auto"/>
              <w:left w:val="nil"/>
              <w:bottom w:val="single" w:sz="4" w:space="0" w:color="auto"/>
              <w:right w:val="single" w:sz="4" w:space="0" w:color="auto"/>
            </w:tcBorders>
            <w:shd w:val="clear" w:color="auto" w:fill="auto"/>
            <w:vAlign w:val="center"/>
          </w:tcPr>
          <w:p w:rsidR="001C7C36" w:rsidRPr="001C7C36" w:rsidRDefault="001C7C36" w:rsidP="00637187">
            <w:pPr>
              <w:jc w:val="center"/>
              <w:rPr>
                <w:rFonts w:cs="Arial"/>
                <w:b/>
                <w:bCs/>
                <w:color w:val="000000"/>
                <w:sz w:val="20"/>
                <w:szCs w:val="20"/>
              </w:rPr>
            </w:pPr>
            <w:r w:rsidRPr="001C7C36">
              <w:rPr>
                <w:rFonts w:cs="Arial"/>
                <w:b/>
                <w:bCs/>
                <w:color w:val="000000"/>
                <w:sz w:val="20"/>
                <w:szCs w:val="20"/>
              </w:rPr>
              <w:t>Total DCIs 1-Year Period*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C7C36" w:rsidRPr="001C7C36" w:rsidRDefault="001C7C36" w:rsidP="00637187">
            <w:pPr>
              <w:jc w:val="center"/>
              <w:rPr>
                <w:rFonts w:cs="Arial"/>
                <w:b/>
                <w:bCs/>
                <w:color w:val="000000"/>
                <w:sz w:val="20"/>
                <w:szCs w:val="20"/>
              </w:rPr>
            </w:pPr>
            <w:r w:rsidRPr="001C7C36">
              <w:rPr>
                <w:rFonts w:cs="Arial"/>
                <w:b/>
                <w:bCs/>
                <w:color w:val="000000"/>
                <w:sz w:val="20"/>
                <w:szCs w:val="20"/>
              </w:rPr>
              <w:t>Total DCIs 3-Year Period*</w:t>
            </w:r>
          </w:p>
        </w:tc>
      </w:tr>
      <w:tr w:rsidR="001C7C36" w:rsidRPr="001C7C36" w:rsidTr="00637187">
        <w:trPr>
          <w:trHeight w:val="48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C7C36" w:rsidRPr="001C7C36" w:rsidRDefault="001C7C36" w:rsidP="00637187">
            <w:pPr>
              <w:jc w:val="center"/>
              <w:rPr>
                <w:rFonts w:cs="Arial"/>
                <w:color w:val="000000"/>
                <w:sz w:val="20"/>
                <w:szCs w:val="20"/>
              </w:rPr>
            </w:pPr>
            <w:r w:rsidRPr="001C7C36">
              <w:rPr>
                <w:rFonts w:cs="Arial"/>
                <w:color w:val="000000"/>
                <w:sz w:val="20"/>
                <w:szCs w:val="2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7C36" w:rsidRPr="001C7C36" w:rsidRDefault="001C7C36" w:rsidP="00637187">
            <w:pPr>
              <w:rPr>
                <w:rFonts w:cs="Arial"/>
                <w:color w:val="000000"/>
                <w:sz w:val="20"/>
                <w:szCs w:val="20"/>
              </w:rPr>
            </w:pPr>
            <w:r w:rsidRPr="001C7C36">
              <w:rPr>
                <w:rFonts w:cs="Arial"/>
                <w:color w:val="000000"/>
                <w:sz w:val="20"/>
                <w:szCs w:val="20"/>
              </w:rPr>
              <w:t>Reregistration DCIs: Confirmatory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C7C36" w:rsidRPr="001C7C36" w:rsidRDefault="001C7C36" w:rsidP="00637187">
            <w:pPr>
              <w:jc w:val="center"/>
              <w:rPr>
                <w:rFonts w:cs="Arial"/>
                <w:sz w:val="20"/>
                <w:szCs w:val="20"/>
              </w:rPr>
            </w:pPr>
            <w:r w:rsidRPr="001C7C36">
              <w:rPr>
                <w:rFonts w:cs="Arial"/>
                <w:sz w:val="20"/>
                <w:szCs w:val="20"/>
              </w:rPr>
              <w:t>23.7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C7C36" w:rsidRPr="001C7C36" w:rsidRDefault="001C7C36" w:rsidP="00637187">
            <w:pPr>
              <w:jc w:val="center"/>
              <w:rPr>
                <w:rFonts w:cs="Arial"/>
                <w:sz w:val="20"/>
                <w:szCs w:val="20"/>
              </w:rPr>
            </w:pPr>
            <w:r w:rsidRPr="001C7C36">
              <w:rPr>
                <w:rFonts w:cs="Arial"/>
                <w:sz w:val="20"/>
                <w:szCs w:val="20"/>
              </w:rPr>
              <w:t>71</w:t>
            </w:r>
          </w:p>
        </w:tc>
      </w:tr>
      <w:tr w:rsidR="001C7C36" w:rsidRPr="001C7C36" w:rsidTr="00637187">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7C36" w:rsidRPr="001C7C36" w:rsidRDefault="001C7C36" w:rsidP="00637187">
            <w:pPr>
              <w:jc w:val="center"/>
              <w:rPr>
                <w:rFonts w:cs="Arial"/>
                <w:color w:val="000000"/>
                <w:sz w:val="20"/>
                <w:szCs w:val="20"/>
              </w:rPr>
            </w:pPr>
            <w:r w:rsidRPr="001C7C36">
              <w:rPr>
                <w:rFonts w:cs="Arial"/>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1C7C36" w:rsidRPr="001C7C36" w:rsidRDefault="001C7C36" w:rsidP="00637187">
            <w:pPr>
              <w:rPr>
                <w:rFonts w:cs="Arial"/>
                <w:color w:val="000000"/>
                <w:sz w:val="20"/>
                <w:szCs w:val="20"/>
              </w:rPr>
            </w:pPr>
            <w:r w:rsidRPr="001C7C36">
              <w:rPr>
                <w:rFonts w:cs="Arial"/>
                <w:color w:val="000000"/>
                <w:sz w:val="20"/>
                <w:szCs w:val="20"/>
              </w:rPr>
              <w:t xml:space="preserve">Reregistration: Voluntarily Submitted Data </w:t>
            </w:r>
          </w:p>
          <w:p w:rsidR="001C7C36" w:rsidRPr="001C7C36" w:rsidRDefault="001C7C36" w:rsidP="00637187">
            <w:pPr>
              <w:rPr>
                <w:rFonts w:cs="Arial"/>
                <w:color w:val="000000"/>
                <w:sz w:val="20"/>
                <w:szCs w:val="20"/>
              </w:rPr>
            </w:pPr>
            <w:r w:rsidRPr="001C7C36">
              <w:rPr>
                <w:rFonts w:cs="Arial"/>
                <w:color w:val="000000"/>
                <w:sz w:val="20"/>
                <w:szCs w:val="20"/>
              </w:rPr>
              <w:t>(Low Burden Studies)</w:t>
            </w:r>
          </w:p>
        </w:tc>
        <w:tc>
          <w:tcPr>
            <w:tcW w:w="0" w:type="auto"/>
            <w:vMerge w:val="restart"/>
            <w:tcBorders>
              <w:top w:val="single" w:sz="4" w:space="0" w:color="auto"/>
              <w:left w:val="single" w:sz="4" w:space="0" w:color="auto"/>
              <w:right w:val="single" w:sz="4" w:space="0" w:color="auto"/>
            </w:tcBorders>
            <w:shd w:val="clear" w:color="auto" w:fill="auto"/>
            <w:vAlign w:val="center"/>
          </w:tcPr>
          <w:p w:rsidR="001C7C36" w:rsidRPr="001C7C36" w:rsidRDefault="001C7C36" w:rsidP="00637187">
            <w:pPr>
              <w:jc w:val="center"/>
              <w:rPr>
                <w:rFonts w:cs="Arial"/>
                <w:sz w:val="20"/>
                <w:szCs w:val="20"/>
              </w:rPr>
            </w:pPr>
            <w:r w:rsidRPr="001C7C36">
              <w:rPr>
                <w:rFonts w:cs="Arial"/>
                <w:sz w:val="20"/>
                <w:szCs w:val="20"/>
              </w:rPr>
              <w:t>0.3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1C7C36" w:rsidRPr="001C7C36" w:rsidRDefault="001C7C36" w:rsidP="00637187">
            <w:pPr>
              <w:jc w:val="center"/>
              <w:rPr>
                <w:rFonts w:cs="Arial"/>
                <w:sz w:val="20"/>
                <w:szCs w:val="20"/>
              </w:rPr>
            </w:pPr>
            <w:r w:rsidRPr="001C7C36">
              <w:rPr>
                <w:rFonts w:cs="Arial"/>
                <w:sz w:val="20"/>
                <w:szCs w:val="20"/>
              </w:rPr>
              <w:t>1</w:t>
            </w:r>
          </w:p>
        </w:tc>
      </w:tr>
      <w:tr w:rsidR="001C7C36" w:rsidRPr="001C7C36" w:rsidTr="00637187">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7C36" w:rsidRPr="001C7C36" w:rsidRDefault="001C7C36" w:rsidP="00637187">
            <w:pPr>
              <w:jc w:val="center"/>
              <w:rPr>
                <w:rFonts w:cs="Arial"/>
                <w:color w:val="000000"/>
                <w:sz w:val="20"/>
                <w:szCs w:val="20"/>
              </w:rPr>
            </w:pPr>
            <w:r w:rsidRPr="001C7C36">
              <w:rPr>
                <w:rFonts w:cs="Arial"/>
                <w:color w:val="000000"/>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1C7C36" w:rsidRPr="001C7C36" w:rsidRDefault="001C7C36" w:rsidP="00637187">
            <w:pPr>
              <w:rPr>
                <w:rFonts w:cs="Arial"/>
                <w:color w:val="000000"/>
                <w:sz w:val="20"/>
                <w:szCs w:val="20"/>
              </w:rPr>
            </w:pPr>
            <w:r w:rsidRPr="001C7C36">
              <w:rPr>
                <w:rFonts w:cs="Arial"/>
                <w:color w:val="000000"/>
                <w:sz w:val="20"/>
                <w:szCs w:val="20"/>
              </w:rPr>
              <w:t>Reregistration: Voluntarily Submitted Data</w:t>
            </w:r>
          </w:p>
          <w:p w:rsidR="001C7C36" w:rsidRPr="001C7C36" w:rsidRDefault="001C7C36" w:rsidP="00637187">
            <w:pPr>
              <w:rPr>
                <w:rFonts w:cs="Arial"/>
                <w:color w:val="000000"/>
                <w:sz w:val="20"/>
                <w:szCs w:val="20"/>
              </w:rPr>
            </w:pPr>
            <w:r w:rsidRPr="001C7C36">
              <w:rPr>
                <w:rFonts w:cs="Arial"/>
                <w:color w:val="000000"/>
                <w:sz w:val="20"/>
                <w:szCs w:val="20"/>
              </w:rPr>
              <w:t>(High Burden Studies)</w:t>
            </w:r>
          </w:p>
        </w:tc>
        <w:tc>
          <w:tcPr>
            <w:tcW w:w="0" w:type="auto"/>
            <w:vMerge/>
            <w:tcBorders>
              <w:left w:val="single" w:sz="4" w:space="0" w:color="auto"/>
              <w:bottom w:val="single" w:sz="4" w:space="0" w:color="auto"/>
              <w:right w:val="single" w:sz="4" w:space="0" w:color="auto"/>
            </w:tcBorders>
            <w:shd w:val="clear" w:color="auto" w:fill="auto"/>
            <w:vAlign w:val="center"/>
          </w:tcPr>
          <w:p w:rsidR="001C7C36" w:rsidRPr="001C7C36" w:rsidRDefault="001C7C36" w:rsidP="00637187">
            <w:pPr>
              <w:rPr>
                <w:rFonts w:cs="Arial"/>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C7C36" w:rsidRPr="001C7C36" w:rsidRDefault="001C7C36" w:rsidP="00637187">
            <w:pPr>
              <w:jc w:val="center"/>
              <w:rPr>
                <w:rFonts w:cs="Arial"/>
                <w:sz w:val="20"/>
                <w:szCs w:val="20"/>
              </w:rPr>
            </w:pPr>
          </w:p>
        </w:tc>
      </w:tr>
      <w:tr w:rsidR="001C7C36" w:rsidRPr="001C7C36" w:rsidTr="00637187">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7C36" w:rsidRPr="001C7C36" w:rsidRDefault="001C7C36" w:rsidP="00637187">
            <w:pPr>
              <w:jc w:val="center"/>
              <w:rPr>
                <w:rFonts w:cs="Arial"/>
                <w:color w:val="000000"/>
                <w:sz w:val="20"/>
                <w:szCs w:val="20"/>
              </w:rPr>
            </w:pPr>
            <w:r w:rsidRPr="001C7C36">
              <w:rPr>
                <w:rFonts w:cs="Arial"/>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rsidR="001C7C36" w:rsidRPr="001C7C36" w:rsidRDefault="001C7C36" w:rsidP="00637187">
            <w:pPr>
              <w:rPr>
                <w:rFonts w:cs="Arial"/>
                <w:color w:val="000000"/>
                <w:sz w:val="20"/>
                <w:szCs w:val="20"/>
              </w:rPr>
            </w:pPr>
            <w:r w:rsidRPr="001C7C36">
              <w:rPr>
                <w:rFonts w:cs="Arial"/>
                <w:color w:val="000000"/>
                <w:sz w:val="20"/>
                <w:szCs w:val="20"/>
              </w:rPr>
              <w:t>Reregistration DCIs: Product Specific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C7C36" w:rsidRPr="001C7C36" w:rsidRDefault="001C7C36" w:rsidP="00637187">
            <w:pPr>
              <w:jc w:val="center"/>
              <w:rPr>
                <w:rFonts w:cs="Arial"/>
                <w:sz w:val="20"/>
                <w:szCs w:val="20"/>
              </w:rPr>
            </w:pPr>
            <w:r w:rsidRPr="001C7C36">
              <w:rPr>
                <w:rFonts w:cs="Arial"/>
                <w:sz w:val="20"/>
                <w:szCs w:val="20"/>
              </w:rPr>
              <w:t>20.3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1C7C36" w:rsidRPr="001C7C36" w:rsidRDefault="001C7C36" w:rsidP="00637187">
            <w:pPr>
              <w:jc w:val="center"/>
              <w:rPr>
                <w:rFonts w:cs="Arial"/>
                <w:sz w:val="20"/>
                <w:szCs w:val="20"/>
              </w:rPr>
            </w:pPr>
            <w:r w:rsidRPr="001C7C36">
              <w:rPr>
                <w:rFonts w:cs="Arial"/>
                <w:sz w:val="20"/>
                <w:szCs w:val="20"/>
              </w:rPr>
              <w:t>61</w:t>
            </w:r>
          </w:p>
        </w:tc>
      </w:tr>
      <w:tr w:rsidR="001C7C36" w:rsidRPr="001C7C36" w:rsidTr="00637187">
        <w:trPr>
          <w:trHeight w:val="24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7C36" w:rsidRPr="001C7C36" w:rsidRDefault="001C7C36" w:rsidP="00637187">
            <w:pPr>
              <w:jc w:val="center"/>
              <w:rPr>
                <w:rFonts w:cs="Arial"/>
                <w:color w:val="000000"/>
                <w:sz w:val="20"/>
                <w:szCs w:val="20"/>
              </w:rPr>
            </w:pPr>
            <w:r w:rsidRPr="001C7C36">
              <w:rPr>
                <w:rFonts w:cs="Arial"/>
                <w:color w:val="000000"/>
                <w:sz w:val="20"/>
                <w:szCs w:val="20"/>
              </w:rPr>
              <w:t>5</w:t>
            </w:r>
          </w:p>
        </w:tc>
        <w:tc>
          <w:tcPr>
            <w:tcW w:w="0" w:type="auto"/>
            <w:tcBorders>
              <w:top w:val="nil"/>
              <w:left w:val="nil"/>
              <w:bottom w:val="single" w:sz="4" w:space="0" w:color="auto"/>
              <w:right w:val="single" w:sz="4" w:space="0" w:color="auto"/>
            </w:tcBorders>
            <w:shd w:val="clear" w:color="auto" w:fill="auto"/>
            <w:vAlign w:val="center"/>
          </w:tcPr>
          <w:p w:rsidR="001C7C36" w:rsidRPr="001C7C36" w:rsidRDefault="001C7C36" w:rsidP="00637187">
            <w:pPr>
              <w:rPr>
                <w:rFonts w:cs="Arial"/>
                <w:color w:val="000000"/>
                <w:sz w:val="20"/>
                <w:szCs w:val="20"/>
              </w:rPr>
            </w:pPr>
            <w:r w:rsidRPr="001C7C36">
              <w:rPr>
                <w:rFonts w:cs="Arial"/>
                <w:color w:val="000000"/>
                <w:sz w:val="20"/>
                <w:szCs w:val="20"/>
              </w:rPr>
              <w:t>Maintenance DCI</w:t>
            </w:r>
            <w:r w:rsidRPr="001C7C36">
              <w:rPr>
                <w:rFonts w:cs="Arial"/>
                <w:b/>
                <w:color w:val="000000"/>
                <w:sz w:val="20"/>
                <w:szCs w:val="20"/>
                <w:vertAlign w:val="superscrip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C7C36" w:rsidRPr="001C7C36" w:rsidRDefault="001C7C36" w:rsidP="00637187">
            <w:pPr>
              <w:jc w:val="center"/>
              <w:rPr>
                <w:rFonts w:cs="Arial"/>
                <w:sz w:val="20"/>
                <w:szCs w:val="20"/>
              </w:rPr>
            </w:pPr>
            <w:r w:rsidRPr="001C7C36">
              <w:rPr>
                <w:rFonts w:cs="Arial"/>
                <w:sz w:val="20"/>
                <w:szCs w:val="20"/>
              </w:rPr>
              <w:t>35 – NTIP</w:t>
            </w:r>
          </w:p>
          <w:p w:rsidR="001C7C36" w:rsidRPr="001C7C36" w:rsidRDefault="001C7C36" w:rsidP="00637187">
            <w:pPr>
              <w:jc w:val="center"/>
              <w:rPr>
                <w:rFonts w:cs="Arial"/>
                <w:sz w:val="20"/>
                <w:szCs w:val="20"/>
              </w:rPr>
            </w:pPr>
            <w:r w:rsidRPr="001C7C36">
              <w:rPr>
                <w:rFonts w:cs="Arial"/>
                <w:sz w:val="20"/>
                <w:szCs w:val="20"/>
              </w:rPr>
              <w:t>0.3 - Efficacy</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1C7C36" w:rsidRPr="001C7C36" w:rsidRDefault="001C7C36" w:rsidP="00637187">
            <w:pPr>
              <w:jc w:val="center"/>
              <w:rPr>
                <w:rFonts w:cs="Arial"/>
                <w:sz w:val="20"/>
                <w:szCs w:val="20"/>
              </w:rPr>
            </w:pPr>
            <w:r w:rsidRPr="001C7C36">
              <w:rPr>
                <w:rFonts w:cs="Arial"/>
                <w:sz w:val="20"/>
                <w:szCs w:val="20"/>
              </w:rPr>
              <w:t>105 – NTIP</w:t>
            </w:r>
          </w:p>
          <w:p w:rsidR="001C7C36" w:rsidRPr="001C7C36" w:rsidRDefault="001C7C36" w:rsidP="00637187">
            <w:pPr>
              <w:jc w:val="center"/>
              <w:rPr>
                <w:rFonts w:cs="Arial"/>
                <w:sz w:val="20"/>
                <w:szCs w:val="20"/>
              </w:rPr>
            </w:pPr>
            <w:r w:rsidRPr="001C7C36">
              <w:rPr>
                <w:rFonts w:cs="Arial"/>
                <w:sz w:val="20"/>
                <w:szCs w:val="20"/>
              </w:rPr>
              <w:t>1 - Efficacy</w:t>
            </w:r>
          </w:p>
        </w:tc>
      </w:tr>
      <w:tr w:rsidR="001C7C36" w:rsidRPr="001C7C36" w:rsidTr="00637187">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7C36" w:rsidRPr="001C7C36" w:rsidRDefault="001C7C36" w:rsidP="00637187">
            <w:pPr>
              <w:jc w:val="center"/>
              <w:rPr>
                <w:rFonts w:cs="Arial"/>
                <w:color w:val="000000"/>
                <w:sz w:val="20"/>
                <w:szCs w:val="20"/>
              </w:rPr>
            </w:pPr>
            <w:r w:rsidRPr="001C7C36">
              <w:rPr>
                <w:rFonts w:cs="Arial"/>
                <w:color w:val="000000"/>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rsidR="001C7C36" w:rsidRPr="001C7C36" w:rsidRDefault="001C7C36" w:rsidP="00637187">
            <w:pPr>
              <w:rPr>
                <w:rFonts w:cs="Arial"/>
                <w:color w:val="000000"/>
                <w:sz w:val="20"/>
                <w:szCs w:val="20"/>
              </w:rPr>
            </w:pPr>
            <w:r w:rsidRPr="001C7C36">
              <w:rPr>
                <w:rFonts w:cs="Arial"/>
                <w:color w:val="000000"/>
                <w:sz w:val="20"/>
                <w:szCs w:val="20"/>
              </w:rPr>
              <w:t>Registration Review DCIs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C7C36" w:rsidRPr="001C7C36" w:rsidRDefault="001C7C36" w:rsidP="00637187">
            <w:pPr>
              <w:jc w:val="center"/>
              <w:rPr>
                <w:rFonts w:cs="Arial"/>
                <w:sz w:val="20"/>
                <w:szCs w:val="20"/>
              </w:rPr>
            </w:pPr>
            <w:r w:rsidRPr="001C7C36">
              <w:rPr>
                <w:rFonts w:cs="Arial"/>
                <w:sz w:val="20"/>
                <w:szCs w:val="20"/>
              </w:rPr>
              <w:t>61.3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1C7C36" w:rsidRPr="001C7C36" w:rsidRDefault="001C7C36" w:rsidP="00637187">
            <w:pPr>
              <w:jc w:val="center"/>
              <w:rPr>
                <w:rFonts w:cs="Arial"/>
                <w:sz w:val="20"/>
                <w:szCs w:val="20"/>
              </w:rPr>
            </w:pPr>
            <w:r w:rsidRPr="001C7C36">
              <w:rPr>
                <w:rFonts w:cs="Arial"/>
                <w:sz w:val="20"/>
                <w:szCs w:val="20"/>
              </w:rPr>
              <w:t>184</w:t>
            </w:r>
          </w:p>
        </w:tc>
      </w:tr>
      <w:tr w:rsidR="001C7C36" w:rsidRPr="001C7C36" w:rsidTr="00637187">
        <w:trPr>
          <w:trHeight w:val="483"/>
        </w:trPr>
        <w:tc>
          <w:tcPr>
            <w:tcW w:w="0" w:type="auto"/>
            <w:tcBorders>
              <w:top w:val="nil"/>
              <w:left w:val="single" w:sz="4" w:space="0" w:color="auto"/>
              <w:bottom w:val="single" w:sz="4" w:space="0" w:color="auto"/>
              <w:right w:val="single" w:sz="4" w:space="0" w:color="auto"/>
            </w:tcBorders>
            <w:shd w:val="clear" w:color="auto" w:fill="auto"/>
            <w:vAlign w:val="center"/>
          </w:tcPr>
          <w:p w:rsidR="001C7C36" w:rsidRPr="001C7C36" w:rsidRDefault="001C7C36" w:rsidP="00637187">
            <w:pPr>
              <w:jc w:val="center"/>
              <w:rPr>
                <w:rFonts w:cs="Arial"/>
                <w:color w:val="000000"/>
                <w:sz w:val="20"/>
                <w:szCs w:val="20"/>
              </w:rPr>
            </w:pPr>
            <w:r w:rsidRPr="001C7C36">
              <w:rPr>
                <w:rFonts w:cs="Arial"/>
                <w:color w:val="000000"/>
                <w:sz w:val="20"/>
                <w:szCs w:val="20"/>
              </w:rPr>
              <w:t>7</w:t>
            </w:r>
          </w:p>
        </w:tc>
        <w:tc>
          <w:tcPr>
            <w:tcW w:w="0" w:type="auto"/>
            <w:tcBorders>
              <w:top w:val="nil"/>
              <w:left w:val="nil"/>
              <w:bottom w:val="single" w:sz="4" w:space="0" w:color="auto"/>
              <w:right w:val="single" w:sz="4" w:space="0" w:color="auto"/>
            </w:tcBorders>
            <w:shd w:val="clear" w:color="auto" w:fill="auto"/>
            <w:vAlign w:val="center"/>
          </w:tcPr>
          <w:p w:rsidR="001C7C36" w:rsidRPr="001C7C36" w:rsidRDefault="001C7C36" w:rsidP="00637187">
            <w:pPr>
              <w:rPr>
                <w:rFonts w:cs="Arial"/>
                <w:color w:val="000000"/>
                <w:sz w:val="20"/>
                <w:szCs w:val="20"/>
              </w:rPr>
            </w:pPr>
            <w:r w:rsidRPr="001C7C36">
              <w:rPr>
                <w:rFonts w:cs="Arial"/>
                <w:color w:val="000000"/>
                <w:sz w:val="20"/>
                <w:szCs w:val="20"/>
              </w:rPr>
              <w:t>Registration Review Resistance Management Plans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C7C36" w:rsidRPr="001C7C36" w:rsidRDefault="001C7C36" w:rsidP="00637187">
            <w:pPr>
              <w:jc w:val="center"/>
              <w:rPr>
                <w:rFonts w:cs="Arial"/>
                <w:sz w:val="20"/>
                <w:szCs w:val="20"/>
              </w:rPr>
            </w:pPr>
            <w:r w:rsidRPr="001C7C36">
              <w:rPr>
                <w:rFonts w:cs="Arial"/>
                <w:sz w:val="20"/>
                <w:szCs w:val="20"/>
              </w:rPr>
              <w:t>79</w:t>
            </w:r>
          </w:p>
        </w:tc>
        <w:tc>
          <w:tcPr>
            <w:tcW w:w="0" w:type="auto"/>
            <w:tcBorders>
              <w:top w:val="nil"/>
              <w:left w:val="single" w:sz="4" w:space="0" w:color="auto"/>
              <w:bottom w:val="single" w:sz="4" w:space="0" w:color="auto"/>
              <w:right w:val="single" w:sz="4" w:space="0" w:color="auto"/>
            </w:tcBorders>
            <w:shd w:val="clear" w:color="auto" w:fill="auto"/>
            <w:vAlign w:val="center"/>
          </w:tcPr>
          <w:p w:rsidR="001C7C36" w:rsidRPr="001C7C36" w:rsidRDefault="001C7C36" w:rsidP="00637187">
            <w:pPr>
              <w:jc w:val="center"/>
              <w:rPr>
                <w:rFonts w:cs="Arial"/>
                <w:sz w:val="20"/>
                <w:szCs w:val="20"/>
              </w:rPr>
            </w:pPr>
            <w:r w:rsidRPr="001C7C36">
              <w:rPr>
                <w:rFonts w:cs="Arial"/>
                <w:sz w:val="20"/>
                <w:szCs w:val="20"/>
              </w:rPr>
              <w:t>237</w:t>
            </w:r>
          </w:p>
        </w:tc>
      </w:tr>
      <w:tr w:rsidR="001C7C36" w:rsidRPr="001C7C36" w:rsidTr="00637187">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7C36" w:rsidRPr="001C7C36" w:rsidRDefault="001C7C36" w:rsidP="00637187">
            <w:pPr>
              <w:jc w:val="center"/>
              <w:rPr>
                <w:rFonts w:cs="Arial"/>
                <w:color w:val="000000"/>
                <w:sz w:val="20"/>
                <w:szCs w:val="20"/>
              </w:rPr>
            </w:pPr>
            <w:r w:rsidRPr="001C7C36">
              <w:rPr>
                <w:rFonts w:cs="Arial"/>
                <w:color w:val="000000"/>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rsidR="001C7C36" w:rsidRPr="001C7C36" w:rsidRDefault="001C7C36" w:rsidP="00637187">
            <w:pPr>
              <w:rPr>
                <w:rFonts w:cs="Arial"/>
                <w:color w:val="000000"/>
                <w:sz w:val="20"/>
                <w:szCs w:val="20"/>
              </w:rPr>
            </w:pPr>
            <w:r w:rsidRPr="001C7C36">
              <w:rPr>
                <w:rFonts w:cs="Arial"/>
                <w:color w:val="000000"/>
                <w:sz w:val="20"/>
                <w:szCs w:val="20"/>
              </w:rPr>
              <w:t>Registration Review: Voluntarily Submitted Data (Low Burden Studies)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C7C36" w:rsidRPr="001C7C36" w:rsidRDefault="001747A3" w:rsidP="00637187">
            <w:pPr>
              <w:jc w:val="center"/>
              <w:rPr>
                <w:rFonts w:cs="Arial"/>
                <w:sz w:val="20"/>
                <w:szCs w:val="20"/>
              </w:rPr>
            </w:pPr>
            <w:r>
              <w:rPr>
                <w:rFonts w:cs="Arial"/>
                <w:sz w:val="20"/>
                <w:szCs w:val="20"/>
              </w:rPr>
              <w:t>50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C7C36" w:rsidRPr="001C7C36" w:rsidRDefault="001747A3" w:rsidP="00637187">
            <w:pPr>
              <w:jc w:val="center"/>
              <w:rPr>
                <w:rFonts w:cs="Arial"/>
                <w:sz w:val="20"/>
                <w:szCs w:val="20"/>
              </w:rPr>
            </w:pPr>
            <w:r>
              <w:rPr>
                <w:rFonts w:cs="Arial"/>
                <w:sz w:val="20"/>
                <w:szCs w:val="20"/>
              </w:rPr>
              <w:t>150</w:t>
            </w:r>
          </w:p>
        </w:tc>
      </w:tr>
      <w:tr w:rsidR="001C7C36" w:rsidRPr="001C7C36" w:rsidTr="00637187">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7C36" w:rsidRPr="001C7C36" w:rsidRDefault="001C7C36" w:rsidP="00637187">
            <w:pPr>
              <w:jc w:val="center"/>
              <w:rPr>
                <w:rFonts w:cs="Arial"/>
                <w:color w:val="000000"/>
                <w:sz w:val="20"/>
                <w:szCs w:val="20"/>
              </w:rPr>
            </w:pPr>
            <w:r w:rsidRPr="001C7C36">
              <w:rPr>
                <w:rFonts w:cs="Arial"/>
                <w:color w:val="000000"/>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rsidR="001C7C36" w:rsidRPr="001C7C36" w:rsidRDefault="001C7C36" w:rsidP="00637187">
            <w:pPr>
              <w:rPr>
                <w:rFonts w:cs="Arial"/>
                <w:color w:val="000000"/>
                <w:sz w:val="20"/>
                <w:szCs w:val="20"/>
              </w:rPr>
            </w:pPr>
            <w:r w:rsidRPr="001C7C36">
              <w:rPr>
                <w:rFonts w:cs="Arial"/>
                <w:color w:val="000000"/>
                <w:sz w:val="20"/>
                <w:szCs w:val="20"/>
              </w:rPr>
              <w:t>Registration Review: Voluntarily Submitted Data (High Burden Studies)</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C7C36" w:rsidRPr="001C7C36" w:rsidRDefault="001C7C36" w:rsidP="00637187">
            <w:pPr>
              <w:jc w:val="center"/>
              <w:rPr>
                <w:rFonts w:cs="Arial"/>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7C36" w:rsidRPr="001C7C36" w:rsidRDefault="001C7C36" w:rsidP="00637187">
            <w:pPr>
              <w:jc w:val="center"/>
              <w:rPr>
                <w:rFonts w:cs="Arial"/>
                <w:sz w:val="20"/>
                <w:szCs w:val="20"/>
              </w:rPr>
            </w:pPr>
          </w:p>
        </w:tc>
      </w:tr>
      <w:tr w:rsidR="001C7C36" w:rsidRPr="001C7C36" w:rsidTr="00637187">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7C36" w:rsidRPr="001C7C36" w:rsidRDefault="001C7C36" w:rsidP="00637187">
            <w:pPr>
              <w:jc w:val="center"/>
              <w:rPr>
                <w:rFonts w:cs="Arial"/>
                <w:color w:val="000000"/>
                <w:sz w:val="20"/>
                <w:szCs w:val="20"/>
              </w:rPr>
            </w:pPr>
            <w:r w:rsidRPr="001C7C36">
              <w:rPr>
                <w:rFonts w:cs="Arial"/>
                <w:color w:val="000000"/>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rsidR="001C7C36" w:rsidRPr="001C7C36" w:rsidRDefault="001C7C36" w:rsidP="00637187">
            <w:pPr>
              <w:rPr>
                <w:rFonts w:cs="Arial"/>
                <w:color w:val="000000"/>
                <w:sz w:val="20"/>
                <w:szCs w:val="20"/>
              </w:rPr>
            </w:pPr>
            <w:r w:rsidRPr="001C7C36">
              <w:rPr>
                <w:rFonts w:cs="Arial"/>
                <w:color w:val="000000"/>
                <w:sz w:val="20"/>
                <w:szCs w:val="20"/>
              </w:rPr>
              <w:t>Anticipated Residue DCIs: Base Set of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C7C36" w:rsidRPr="001C7C36" w:rsidRDefault="001C7C36" w:rsidP="00637187">
            <w:pPr>
              <w:jc w:val="center"/>
              <w:rPr>
                <w:rFonts w:cs="Arial"/>
                <w:sz w:val="20"/>
                <w:szCs w:val="20"/>
              </w:rPr>
            </w:pPr>
            <w:r w:rsidRPr="001C7C36">
              <w:rPr>
                <w:rFonts w:cs="Arial"/>
                <w:sz w:val="20"/>
                <w:szCs w:val="20"/>
              </w:rPr>
              <w:t>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C7C36" w:rsidRPr="001C7C36" w:rsidRDefault="001C7C36" w:rsidP="00637187">
            <w:pPr>
              <w:jc w:val="center"/>
              <w:rPr>
                <w:rFonts w:cs="Arial"/>
                <w:sz w:val="20"/>
                <w:szCs w:val="20"/>
              </w:rPr>
            </w:pPr>
            <w:r w:rsidRPr="001C7C36">
              <w:rPr>
                <w:rFonts w:cs="Arial"/>
                <w:sz w:val="20"/>
                <w:szCs w:val="20"/>
              </w:rPr>
              <w:t>1</w:t>
            </w:r>
          </w:p>
        </w:tc>
      </w:tr>
      <w:tr w:rsidR="001C7C36" w:rsidRPr="001C7C36" w:rsidTr="00637187">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7C36" w:rsidRPr="001C7C36" w:rsidRDefault="001C7C36" w:rsidP="00637187">
            <w:pPr>
              <w:jc w:val="center"/>
              <w:rPr>
                <w:rFonts w:cs="Arial"/>
                <w:color w:val="000000"/>
                <w:sz w:val="20"/>
                <w:szCs w:val="20"/>
              </w:rPr>
            </w:pPr>
            <w:r w:rsidRPr="001C7C36">
              <w:rPr>
                <w:rFonts w:cs="Arial"/>
                <w:color w:val="000000"/>
                <w:sz w:val="20"/>
                <w:szCs w:val="20"/>
              </w:rPr>
              <w:t>11</w:t>
            </w:r>
          </w:p>
        </w:tc>
        <w:tc>
          <w:tcPr>
            <w:tcW w:w="0" w:type="auto"/>
            <w:tcBorders>
              <w:top w:val="nil"/>
              <w:left w:val="nil"/>
              <w:bottom w:val="single" w:sz="4" w:space="0" w:color="auto"/>
              <w:right w:val="single" w:sz="4" w:space="0" w:color="auto"/>
            </w:tcBorders>
            <w:shd w:val="clear" w:color="auto" w:fill="auto"/>
            <w:vAlign w:val="center"/>
            <w:hideMark/>
          </w:tcPr>
          <w:p w:rsidR="001C7C36" w:rsidRPr="001C7C36" w:rsidRDefault="001C7C36" w:rsidP="00637187">
            <w:pPr>
              <w:rPr>
                <w:rFonts w:cs="Arial"/>
                <w:color w:val="000000"/>
                <w:sz w:val="20"/>
                <w:szCs w:val="20"/>
              </w:rPr>
            </w:pPr>
            <w:r w:rsidRPr="001C7C36">
              <w:rPr>
                <w:rFonts w:cs="Arial"/>
                <w:color w:val="000000"/>
                <w:sz w:val="20"/>
                <w:szCs w:val="20"/>
              </w:rPr>
              <w:t>Anticipated Residue DCIs:  Verification of Use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C7C36" w:rsidRPr="001C7C36" w:rsidRDefault="001C7C36" w:rsidP="00637187">
            <w:pPr>
              <w:jc w:val="center"/>
              <w:rPr>
                <w:rFonts w:cs="Arial"/>
                <w:sz w:val="20"/>
                <w:szCs w:val="20"/>
              </w:rPr>
            </w:pPr>
            <w:r w:rsidRPr="001C7C36">
              <w:rPr>
                <w:rFonts w:cs="Arial"/>
                <w:sz w:val="20"/>
                <w:szCs w:val="20"/>
              </w:rPr>
              <w:t>0.3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1C7C36" w:rsidRPr="001C7C36" w:rsidRDefault="001C7C36" w:rsidP="00637187">
            <w:pPr>
              <w:jc w:val="center"/>
              <w:rPr>
                <w:rFonts w:cs="Arial"/>
                <w:sz w:val="20"/>
                <w:szCs w:val="20"/>
              </w:rPr>
            </w:pPr>
            <w:r w:rsidRPr="001C7C36">
              <w:rPr>
                <w:rFonts w:cs="Arial"/>
                <w:sz w:val="20"/>
                <w:szCs w:val="20"/>
              </w:rPr>
              <w:t>1</w:t>
            </w:r>
          </w:p>
        </w:tc>
      </w:tr>
      <w:tr w:rsidR="001C7C36" w:rsidRPr="001C7C36" w:rsidTr="00637187">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7C36" w:rsidRPr="001C7C36" w:rsidRDefault="001C7C36" w:rsidP="00637187">
            <w:pPr>
              <w:jc w:val="center"/>
              <w:rPr>
                <w:rFonts w:cs="Arial"/>
                <w:color w:val="000000"/>
                <w:sz w:val="20"/>
                <w:szCs w:val="20"/>
              </w:rPr>
            </w:pPr>
            <w:r w:rsidRPr="001C7C36">
              <w:rPr>
                <w:rFonts w:cs="Arial"/>
                <w:color w:val="000000"/>
                <w:sz w:val="20"/>
                <w:szCs w:val="20"/>
              </w:rPr>
              <w:t>12</w:t>
            </w:r>
          </w:p>
        </w:tc>
        <w:tc>
          <w:tcPr>
            <w:tcW w:w="0" w:type="auto"/>
            <w:tcBorders>
              <w:top w:val="nil"/>
              <w:left w:val="nil"/>
              <w:bottom w:val="single" w:sz="4" w:space="0" w:color="auto"/>
              <w:right w:val="single" w:sz="4" w:space="0" w:color="auto"/>
            </w:tcBorders>
            <w:shd w:val="clear" w:color="auto" w:fill="auto"/>
            <w:vAlign w:val="center"/>
            <w:hideMark/>
          </w:tcPr>
          <w:p w:rsidR="001C7C36" w:rsidRPr="001C7C36" w:rsidRDefault="001C7C36" w:rsidP="00637187">
            <w:pPr>
              <w:rPr>
                <w:rFonts w:cs="Arial"/>
                <w:color w:val="000000"/>
                <w:sz w:val="20"/>
                <w:szCs w:val="20"/>
              </w:rPr>
            </w:pPr>
            <w:r w:rsidRPr="001C7C36">
              <w:rPr>
                <w:rFonts w:cs="Arial"/>
                <w:color w:val="000000"/>
                <w:sz w:val="20"/>
                <w:szCs w:val="20"/>
              </w:rPr>
              <w:t>Anticipated Residue DCIs: Updated Public Source Monitoring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C7C36" w:rsidRPr="001C7C36" w:rsidRDefault="001C7C36" w:rsidP="00637187">
            <w:pPr>
              <w:jc w:val="center"/>
              <w:rPr>
                <w:rFonts w:cs="Arial"/>
                <w:sz w:val="20"/>
                <w:szCs w:val="20"/>
              </w:rPr>
            </w:pPr>
            <w:r w:rsidRPr="001C7C36">
              <w:rPr>
                <w:rFonts w:cs="Arial"/>
                <w:sz w:val="20"/>
                <w:szCs w:val="20"/>
              </w:rPr>
              <w:t>0.3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1C7C36" w:rsidRPr="001C7C36" w:rsidRDefault="001C7C36" w:rsidP="00637187">
            <w:pPr>
              <w:jc w:val="center"/>
              <w:rPr>
                <w:rFonts w:cs="Arial"/>
                <w:sz w:val="20"/>
                <w:szCs w:val="20"/>
              </w:rPr>
            </w:pPr>
            <w:r w:rsidRPr="001C7C36">
              <w:rPr>
                <w:rFonts w:cs="Arial"/>
                <w:sz w:val="20"/>
                <w:szCs w:val="20"/>
              </w:rPr>
              <w:t>1</w:t>
            </w:r>
          </w:p>
        </w:tc>
      </w:tr>
      <w:tr w:rsidR="001C7C36" w:rsidRPr="001C7C36" w:rsidTr="00637187">
        <w:trPr>
          <w:trHeight w:val="48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C7C36" w:rsidRPr="001C7C36" w:rsidRDefault="001C7C36" w:rsidP="00637187">
            <w:pPr>
              <w:jc w:val="center"/>
              <w:rPr>
                <w:rFonts w:cs="Arial"/>
                <w:color w:val="000000"/>
                <w:sz w:val="20"/>
                <w:szCs w:val="20"/>
              </w:rPr>
            </w:pPr>
            <w:r w:rsidRPr="001C7C36">
              <w:rPr>
                <w:rFonts w:cs="Arial"/>
                <w:color w:val="000000"/>
                <w:sz w:val="20"/>
                <w:szCs w:val="20"/>
              </w:rPr>
              <w:t>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7C36" w:rsidRPr="001C7C36" w:rsidRDefault="001C7C36" w:rsidP="00637187">
            <w:pPr>
              <w:rPr>
                <w:rFonts w:cs="Arial"/>
                <w:color w:val="000000"/>
                <w:sz w:val="20"/>
                <w:szCs w:val="20"/>
              </w:rPr>
            </w:pPr>
            <w:r w:rsidRPr="001C7C36">
              <w:rPr>
                <w:rFonts w:cs="Arial"/>
                <w:color w:val="000000"/>
                <w:sz w:val="20"/>
                <w:szCs w:val="20"/>
              </w:rPr>
              <w:t>DCIs for Percent Crop Treated Estimates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C7C36" w:rsidRPr="001C7C36" w:rsidRDefault="001C7C36" w:rsidP="00637187">
            <w:pPr>
              <w:jc w:val="center"/>
              <w:rPr>
                <w:rFonts w:cs="Arial"/>
                <w:sz w:val="20"/>
                <w:szCs w:val="20"/>
              </w:rPr>
            </w:pPr>
            <w:r w:rsidRPr="001C7C36">
              <w:rPr>
                <w:rFonts w:cs="Arial"/>
                <w:sz w:val="20"/>
                <w:szCs w:val="20"/>
              </w:rPr>
              <w:t>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C7C36" w:rsidRPr="001C7C36" w:rsidRDefault="001C7C36" w:rsidP="00637187">
            <w:pPr>
              <w:jc w:val="center"/>
              <w:rPr>
                <w:rFonts w:cs="Arial"/>
                <w:sz w:val="20"/>
                <w:szCs w:val="20"/>
              </w:rPr>
            </w:pPr>
            <w:r w:rsidRPr="001C7C36">
              <w:rPr>
                <w:rFonts w:cs="Arial"/>
                <w:sz w:val="20"/>
                <w:szCs w:val="20"/>
              </w:rPr>
              <w:t>1</w:t>
            </w:r>
          </w:p>
        </w:tc>
      </w:tr>
      <w:tr w:rsidR="001C7C36" w:rsidRPr="001C7C36" w:rsidTr="00637187">
        <w:trPr>
          <w:trHeight w:val="483"/>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C7C36" w:rsidRPr="001C7C36" w:rsidRDefault="001C7C36" w:rsidP="00637187">
            <w:pPr>
              <w:jc w:val="right"/>
              <w:rPr>
                <w:rFonts w:cs="Arial"/>
                <w:b/>
                <w:i/>
                <w:color w:val="000000"/>
                <w:sz w:val="20"/>
                <w:szCs w:val="20"/>
              </w:rPr>
            </w:pPr>
            <w:r w:rsidRPr="001C7C36">
              <w:rPr>
                <w:rFonts w:cs="Arial"/>
                <w:b/>
                <w:i/>
                <w:color w:val="000000"/>
                <w:sz w:val="20"/>
                <w:szCs w:val="20"/>
              </w:rPr>
              <w:t>Total DCIs*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C7C36" w:rsidRPr="001C7C36" w:rsidRDefault="001C7C36" w:rsidP="00637187">
            <w:pPr>
              <w:jc w:val="center"/>
              <w:rPr>
                <w:rFonts w:cs="Arial"/>
                <w:b/>
                <w:i/>
                <w:sz w:val="20"/>
                <w:szCs w:val="20"/>
              </w:rPr>
            </w:pPr>
            <w:r w:rsidRPr="001C7C36">
              <w:rPr>
                <w:rFonts w:cs="Arial"/>
                <w:b/>
                <w:i/>
                <w:sz w:val="20"/>
                <w:szCs w:val="20"/>
              </w:rPr>
              <w:t>221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C7C36" w:rsidRPr="001C7C36" w:rsidRDefault="001C7C36" w:rsidP="00637187">
            <w:pPr>
              <w:jc w:val="center"/>
              <w:rPr>
                <w:rFonts w:cs="Arial"/>
                <w:b/>
                <w:i/>
                <w:sz w:val="20"/>
                <w:szCs w:val="20"/>
              </w:rPr>
            </w:pPr>
            <w:r w:rsidRPr="001C7C36">
              <w:rPr>
                <w:rFonts w:cs="Arial"/>
                <w:b/>
                <w:i/>
                <w:sz w:val="20"/>
                <w:szCs w:val="20"/>
              </w:rPr>
              <w:t>663</w:t>
            </w:r>
          </w:p>
        </w:tc>
      </w:tr>
      <w:tr w:rsidR="001C7C36" w:rsidRPr="001C7C36" w:rsidTr="00637187">
        <w:trPr>
          <w:trHeight w:val="483"/>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C7C36" w:rsidRPr="001C7C36" w:rsidRDefault="001C7C36" w:rsidP="00637187">
            <w:pPr>
              <w:jc w:val="right"/>
              <w:rPr>
                <w:rFonts w:cs="Arial"/>
                <w:b/>
                <w:i/>
                <w:color w:val="000000"/>
                <w:sz w:val="20"/>
                <w:szCs w:val="20"/>
              </w:rPr>
            </w:pPr>
            <w:r w:rsidRPr="001C7C36">
              <w:rPr>
                <w:rFonts w:cs="Arial"/>
                <w:b/>
                <w:i/>
                <w:color w:val="000000"/>
                <w:sz w:val="20"/>
                <w:szCs w:val="20"/>
              </w:rPr>
              <w:t>Total Voluntarily Submitted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C7C36" w:rsidRPr="001C7C36" w:rsidRDefault="001747A3" w:rsidP="00637187">
            <w:pPr>
              <w:jc w:val="center"/>
              <w:rPr>
                <w:rFonts w:cs="Arial"/>
                <w:b/>
                <w:i/>
                <w:sz w:val="20"/>
                <w:szCs w:val="20"/>
              </w:rPr>
            </w:pPr>
            <w:r>
              <w:rPr>
                <w:rFonts w:cs="Arial"/>
                <w:b/>
                <w:i/>
                <w:sz w:val="20"/>
                <w:szCs w:val="20"/>
              </w:rPr>
              <w:t>50.7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C7C36" w:rsidRPr="001C7C36" w:rsidRDefault="001747A3" w:rsidP="00637187">
            <w:pPr>
              <w:jc w:val="center"/>
              <w:rPr>
                <w:rFonts w:cs="Arial"/>
                <w:b/>
                <w:i/>
                <w:sz w:val="20"/>
                <w:szCs w:val="20"/>
              </w:rPr>
            </w:pPr>
            <w:r>
              <w:rPr>
                <w:rFonts w:cs="Arial"/>
                <w:b/>
                <w:i/>
                <w:sz w:val="20"/>
                <w:szCs w:val="20"/>
              </w:rPr>
              <w:t>151</w:t>
            </w:r>
          </w:p>
        </w:tc>
      </w:tr>
    </w:tbl>
    <w:p w:rsidR="001C7C36" w:rsidRPr="001C7C36" w:rsidRDefault="001C7C36" w:rsidP="001C7C36">
      <w:pPr>
        <w:ind w:left="180" w:hanging="180"/>
        <w:rPr>
          <w:rFonts w:eastAsiaTheme="minorEastAsia" w:cs="Arial"/>
          <w:sz w:val="20"/>
          <w:szCs w:val="20"/>
          <w:lang w:bidi="en-US"/>
        </w:rPr>
      </w:pPr>
      <w:r w:rsidRPr="001C7C36">
        <w:rPr>
          <w:rFonts w:eastAsiaTheme="minorEastAsia" w:cs="Arial"/>
          <w:b/>
          <w:sz w:val="20"/>
          <w:szCs w:val="20"/>
          <w:vertAlign w:val="superscript"/>
          <w:lang w:bidi="en-US"/>
        </w:rPr>
        <w:t>1</w:t>
      </w:r>
      <w:r w:rsidRPr="001C7C36">
        <w:rPr>
          <w:rFonts w:eastAsiaTheme="minorEastAsia" w:cs="Arial"/>
          <w:sz w:val="20"/>
          <w:szCs w:val="20"/>
          <w:lang w:bidi="en-US"/>
        </w:rPr>
        <w:t>Includes Non-Target Insect Pollinator (NTIP) and Efficacy Studies</w:t>
      </w:r>
    </w:p>
    <w:p w:rsidR="001C7C36" w:rsidRPr="001C7C36" w:rsidRDefault="001C7C36" w:rsidP="001C7C36">
      <w:pPr>
        <w:ind w:left="180" w:hanging="180"/>
        <w:rPr>
          <w:rFonts w:cs="Arial"/>
          <w:sz w:val="20"/>
          <w:szCs w:val="20"/>
        </w:rPr>
      </w:pPr>
      <w:r w:rsidRPr="001C7C36">
        <w:rPr>
          <w:rFonts w:eastAsiaTheme="minorEastAsia" w:cs="Arial"/>
          <w:sz w:val="20"/>
          <w:szCs w:val="20"/>
          <w:lang w:bidi="en-US"/>
        </w:rPr>
        <w:t>*</w:t>
      </w:r>
      <w:r w:rsidRPr="001C7C36">
        <w:rPr>
          <w:rFonts w:cs="Arial"/>
          <w:sz w:val="20"/>
          <w:szCs w:val="20"/>
        </w:rPr>
        <w:t xml:space="preserve"> Counts for IC Groups 2, 3, 8, and 9 are for voluntarily submitte</w:t>
      </w:r>
      <w:r w:rsidR="0042316C">
        <w:rPr>
          <w:rFonts w:cs="Arial"/>
          <w:sz w:val="20"/>
          <w:szCs w:val="20"/>
        </w:rPr>
        <w:t xml:space="preserve">d data—i.e., they are not DCIs. </w:t>
      </w:r>
      <w:r w:rsidRPr="001C7C36">
        <w:rPr>
          <w:rFonts w:cs="Arial"/>
          <w:sz w:val="20"/>
          <w:szCs w:val="20"/>
        </w:rPr>
        <w:t>Therefore, the total DCI count does not include these estimates.</w:t>
      </w:r>
      <w:r w:rsidR="0042316C">
        <w:rPr>
          <w:rFonts w:cs="Arial"/>
          <w:sz w:val="20"/>
          <w:szCs w:val="20"/>
        </w:rPr>
        <w:t xml:space="preserve"> </w:t>
      </w:r>
      <w:r w:rsidRPr="001C7C36">
        <w:rPr>
          <w:rFonts w:cs="Arial"/>
          <w:sz w:val="20"/>
          <w:szCs w:val="20"/>
        </w:rPr>
        <w:t>Numbers may not add due to rounding.</w:t>
      </w:r>
    </w:p>
    <w:p w:rsidR="009D3FC5" w:rsidRPr="00D651D2" w:rsidRDefault="001C7C36" w:rsidP="00883958">
      <w:r>
        <w:br w:type="page"/>
      </w:r>
    </w:p>
    <w:p w:rsidR="00A9430D" w:rsidRPr="00D651D2" w:rsidRDefault="009D3FC5" w:rsidP="00A9430D">
      <w:r>
        <w:rPr>
          <w:lang w:bidi="en-US"/>
        </w:rPr>
        <w:t xml:space="preserve">The following programs involve reviews of existing registrations that could result in a determination that additional data are necessary for a decision, and which would be sought through the issuance of a DCI under FIFRA </w:t>
      </w:r>
      <w:r>
        <w:rPr>
          <w:rFonts w:cs="Arial"/>
          <w:lang w:bidi="en-US"/>
        </w:rPr>
        <w:t>§</w:t>
      </w:r>
      <w:r>
        <w:rPr>
          <w:lang w:bidi="en-US"/>
        </w:rPr>
        <w:t>3(c)(2)(B).</w:t>
      </w:r>
      <w:r w:rsidR="00A9430D" w:rsidRPr="00A9430D">
        <w:rPr>
          <w:rStyle w:val="FootnoteReference"/>
          <w:vertAlign w:val="superscript"/>
        </w:rPr>
        <w:t xml:space="preserve"> </w:t>
      </w:r>
      <w:r w:rsidR="00A9430D" w:rsidRPr="001C0B06">
        <w:rPr>
          <w:rStyle w:val="FootnoteReference"/>
          <w:vertAlign w:val="superscript"/>
        </w:rPr>
        <w:footnoteReference w:id="10"/>
      </w:r>
    </w:p>
    <w:p w:rsidR="009D3FC5" w:rsidRPr="002B34A0" w:rsidRDefault="009D3FC5" w:rsidP="009D3FC5">
      <w:pPr>
        <w:rPr>
          <w:lang w:bidi="en-US"/>
        </w:rPr>
      </w:pPr>
    </w:p>
    <w:p w:rsidR="009D3FC5" w:rsidRDefault="009D3FC5" w:rsidP="009D3FC5">
      <w:pPr>
        <w:rPr>
          <w:lang w:bidi="en-US"/>
        </w:rPr>
      </w:pPr>
    </w:p>
    <w:p w:rsidR="00C267CB" w:rsidRDefault="009D3FC5" w:rsidP="00B610CF">
      <w:pPr>
        <w:pStyle w:val="Heading3"/>
        <w:numPr>
          <w:ilvl w:val="2"/>
          <w:numId w:val="42"/>
        </w:numPr>
        <w:tabs>
          <w:tab w:val="left" w:pos="1800"/>
        </w:tabs>
        <w:spacing w:after="200"/>
        <w:rPr>
          <w:lang w:bidi="en-US"/>
        </w:rPr>
      </w:pPr>
      <w:bookmarkStart w:id="69" w:name="_Toc482020576"/>
      <w:bookmarkStart w:id="70" w:name="_Toc489017119"/>
      <w:r w:rsidRPr="005463D1">
        <w:rPr>
          <w:lang w:bidi="en-US"/>
        </w:rPr>
        <w:t>Reregistration</w:t>
      </w:r>
      <w:r>
        <w:rPr>
          <w:lang w:bidi="en-US"/>
        </w:rPr>
        <w:t xml:space="preserve"> Program</w:t>
      </w:r>
      <w:bookmarkEnd w:id="69"/>
      <w:bookmarkEnd w:id="70"/>
    </w:p>
    <w:p w:rsidR="009D3FC5" w:rsidRDefault="009D3FC5" w:rsidP="003C76C7">
      <w:pPr>
        <w:pStyle w:val="ListParagraph"/>
        <w:ind w:left="0"/>
      </w:pPr>
      <w:r w:rsidRPr="007B075C">
        <w:rPr>
          <w:bCs/>
        </w:rPr>
        <w:t>FIFRA</w:t>
      </w:r>
      <w:r w:rsidRPr="007B075C">
        <w:rPr>
          <w:b/>
          <w:bCs/>
        </w:rPr>
        <w:t xml:space="preserve"> </w:t>
      </w:r>
      <w:r w:rsidRPr="007B075C">
        <w:rPr>
          <w:rFonts w:cs="Arial"/>
          <w:bCs/>
        </w:rPr>
        <w:t>§</w:t>
      </w:r>
      <w:r w:rsidRPr="007B075C">
        <w:rPr>
          <w:bCs/>
        </w:rPr>
        <w:t>4</w:t>
      </w:r>
      <w:r w:rsidRPr="00680F94">
        <w:rPr>
          <w:rStyle w:val="FootnoteReference"/>
          <w:bCs/>
          <w:vertAlign w:val="superscript"/>
        </w:rPr>
        <w:footnoteReference w:id="11"/>
      </w:r>
      <w:r w:rsidRPr="007B075C">
        <w:rPr>
          <w:bCs/>
        </w:rPr>
        <w:t xml:space="preserve"> requires EPA</w:t>
      </w:r>
      <w:r w:rsidRPr="002B34A0">
        <w:t xml:space="preserve"> to </w:t>
      </w:r>
      <w:r w:rsidRPr="005463D1">
        <w:t>re-assess</w:t>
      </w:r>
      <w:r w:rsidRPr="002B34A0">
        <w:t xml:space="preserve"> the health and safety data for all pesticide active ingredients registered before November 1, 1984, to determine whether these “older” pesticides meet the criteria for registration that would be expected of a pesticide </w:t>
      </w:r>
      <w:r w:rsidRPr="005463D1">
        <w:t>being registered</w:t>
      </w:r>
      <w:r w:rsidRPr="002B34A0">
        <w:t xml:space="preserve"> today for the first time. </w:t>
      </w:r>
      <w:r>
        <w:t xml:space="preserve">FIFRA </w:t>
      </w:r>
      <w:r w:rsidRPr="001E6980">
        <w:t>§</w:t>
      </w:r>
      <w:r w:rsidRPr="002B34A0">
        <w:t xml:space="preserve">4 directs EPA to use </w:t>
      </w:r>
      <w:r>
        <w:t xml:space="preserve">FIFRA </w:t>
      </w:r>
      <w:r w:rsidRPr="007B075C">
        <w:rPr>
          <w:rFonts w:cs="Arial"/>
        </w:rPr>
        <w:t>§</w:t>
      </w:r>
      <w:r w:rsidRPr="002B34A0">
        <w:t xml:space="preserve">3(c)(2)(B) authority to obtain the required data. While, </w:t>
      </w:r>
      <w:r w:rsidRPr="005463D1">
        <w:t>Reregistration</w:t>
      </w:r>
      <w:r w:rsidRPr="002B34A0">
        <w:t xml:space="preserve"> Eligibility Decisions (REDs) </w:t>
      </w:r>
      <w:r w:rsidRPr="005463D1">
        <w:t>were completed</w:t>
      </w:r>
      <w:r w:rsidRPr="002B34A0">
        <w:t xml:space="preserve"> by 2006 for food-use pesticide ingredients and 2008 for </w:t>
      </w:r>
      <w:r w:rsidRPr="005463D1">
        <w:t>non-food</w:t>
      </w:r>
      <w:r w:rsidRPr="002B34A0">
        <w:t xml:space="preserve"> use pesticide ingredients, the Agency still </w:t>
      </w:r>
      <w:r w:rsidR="00912386">
        <w:t xml:space="preserve">has several DCIs </w:t>
      </w:r>
      <w:r w:rsidRPr="002B34A0">
        <w:t xml:space="preserve">to issue </w:t>
      </w:r>
      <w:r w:rsidRPr="001C7C36">
        <w:t>after FY 201</w:t>
      </w:r>
      <w:r w:rsidR="001C0B06" w:rsidRPr="001C7C36">
        <w:t>7</w:t>
      </w:r>
      <w:r w:rsidRPr="001C7C36">
        <w:t xml:space="preserve"> to </w:t>
      </w:r>
      <w:r w:rsidRPr="002B34A0">
        <w:t>close out the program</w:t>
      </w:r>
      <w:r>
        <w:t xml:space="preserve"> (e.g., </w:t>
      </w:r>
      <w:r w:rsidRPr="005463D1">
        <w:t xml:space="preserve">to resolve conservative assumptions that may </w:t>
      </w:r>
      <w:r w:rsidRPr="007D6E48">
        <w:t>have been used in the risk assessment pending the de</w:t>
      </w:r>
      <w:r w:rsidRPr="005463D1">
        <w:t>velopment of data).</w:t>
      </w:r>
      <w:r w:rsidRPr="002B34A0">
        <w:t xml:space="preserve"> </w:t>
      </w:r>
    </w:p>
    <w:p w:rsidR="003C76C7" w:rsidRDefault="003C76C7" w:rsidP="003C76C7">
      <w:pPr>
        <w:pStyle w:val="ListParagraph"/>
        <w:ind w:left="0"/>
      </w:pPr>
    </w:p>
    <w:p w:rsidR="009D3FC5" w:rsidRPr="002B34A0" w:rsidRDefault="009D3FC5" w:rsidP="005D7BD1">
      <w:pPr>
        <w:rPr>
          <w:lang w:bidi="en-US"/>
        </w:rPr>
      </w:pPr>
    </w:p>
    <w:p w:rsidR="002D04A7" w:rsidRDefault="002D04A7" w:rsidP="00B610CF">
      <w:pPr>
        <w:pStyle w:val="Heading3"/>
        <w:numPr>
          <w:ilvl w:val="2"/>
          <w:numId w:val="42"/>
        </w:numPr>
        <w:tabs>
          <w:tab w:val="left" w:pos="1800"/>
        </w:tabs>
        <w:spacing w:after="200"/>
        <w:rPr>
          <w:lang w:bidi="en-US"/>
        </w:rPr>
      </w:pPr>
      <w:bookmarkStart w:id="71" w:name="_Toc482020577"/>
      <w:bookmarkStart w:id="72" w:name="_Toc489017120"/>
      <w:r>
        <w:t>Registration</w:t>
      </w:r>
      <w:r w:rsidR="00B025D6">
        <w:t xml:space="preserve"> </w:t>
      </w:r>
      <w:r>
        <w:t>Review</w:t>
      </w:r>
      <w:r w:rsidR="003C76C7">
        <w:t xml:space="preserve"> Program</w:t>
      </w:r>
      <w:bookmarkEnd w:id="71"/>
      <w:bookmarkEnd w:id="72"/>
    </w:p>
    <w:p w:rsidR="003C76C7" w:rsidRDefault="003C76C7" w:rsidP="003C76C7">
      <w:pPr>
        <w:pStyle w:val="ListParagraph"/>
        <w:ind w:left="0"/>
        <w:rPr>
          <w:b/>
        </w:rPr>
      </w:pPr>
      <w:r w:rsidRPr="005463D1">
        <w:t>FIFRA §3(g)</w:t>
      </w:r>
      <w:r w:rsidRPr="007D6E48">
        <w:rPr>
          <w:rStyle w:val="FootnoteReference"/>
          <w:vertAlign w:val="superscript"/>
        </w:rPr>
        <w:footnoteReference w:id="12"/>
      </w:r>
      <w:r w:rsidRPr="005463D1">
        <w:t xml:space="preserve"> directs EPA to establish by regulation procedures for periodically reviewing pesticide registrations, and to complete each pesticide's registration review no later than every 15 years.</w:t>
      </w:r>
      <w:r w:rsidRPr="00A46202">
        <w:t xml:space="preserve"> The purpose of this review is to assure that a pesticide continues to meet the FIFRA standard for registration. The procedural regulations </w:t>
      </w:r>
      <w:r w:rsidRPr="005463D1">
        <w:t>were promulgated</w:t>
      </w:r>
      <w:r w:rsidRPr="00A46202">
        <w:t xml:space="preserve"> in 2006 as 40 CFR part 155, subpart C.</w:t>
      </w:r>
      <w:r w:rsidRPr="00356731">
        <w:rPr>
          <w:rStyle w:val="FootnoteReference"/>
          <w:vertAlign w:val="superscript"/>
        </w:rPr>
        <w:footnoteReference w:id="13"/>
      </w:r>
      <w:r w:rsidR="00F653F0" w:rsidRPr="00A46202">
        <w:t xml:space="preserve"> EPA’s</w:t>
      </w:r>
      <w:r w:rsidRPr="005463D1">
        <w:t xml:space="preserve"> regulation contains provisions to help achieve the goal of reviewing each pesticide every 15 years to assure that the pesticide continues </w:t>
      </w:r>
      <w:r w:rsidRPr="007D6E48">
        <w:t>to pose no risk of unreasonable adverse effects on human health or the environment.</w:t>
      </w:r>
      <w:r w:rsidRPr="002B34A0">
        <w:t xml:space="preserve"> The Pesticide Registration Improvement </w:t>
      </w:r>
      <w:r w:rsidRPr="005463D1">
        <w:t>Act</w:t>
      </w:r>
      <w:r w:rsidR="005D6B88">
        <w:t xml:space="preserve"> (PRIA)</w:t>
      </w:r>
      <w:r w:rsidRPr="005463D1">
        <w:rPr>
          <w:rStyle w:val="FootnoteReference"/>
          <w:vertAlign w:val="superscript"/>
        </w:rPr>
        <w:footnoteReference w:id="14"/>
      </w:r>
      <w:r w:rsidRPr="002B34A0">
        <w:t>, requires EPA to complete registration review decisions for all currently-registered pesticides</w:t>
      </w:r>
      <w:r>
        <w:t xml:space="preserve"> </w:t>
      </w:r>
      <w:r w:rsidRPr="00A46202">
        <w:t>by October 1, 2022</w:t>
      </w:r>
      <w:r w:rsidRPr="002B34A0">
        <w:t xml:space="preserve">.  </w:t>
      </w:r>
      <w:r w:rsidRPr="005463D1">
        <w:t>FIFRA §3(g)</w:t>
      </w:r>
      <w:r w:rsidRPr="007D6E48">
        <w:t xml:space="preserve"> instructs EPA to use the FIFRA §3(c)(2)(B) authority to obtain data determined to be necessary to complete the assessment, reviews and decisions called for under FIFRA </w:t>
      </w:r>
      <w:r w:rsidRPr="005463D1">
        <w:rPr>
          <w:rFonts w:cs="Arial"/>
        </w:rPr>
        <w:t>§</w:t>
      </w:r>
      <w:r w:rsidRPr="005463D1">
        <w:t>3(g).</w:t>
      </w:r>
      <w:r w:rsidRPr="00A46202">
        <w:rPr>
          <w:b/>
        </w:rPr>
        <w:t xml:space="preserve"> </w:t>
      </w:r>
    </w:p>
    <w:p w:rsidR="003C76C7" w:rsidRDefault="003C76C7" w:rsidP="003C76C7">
      <w:pPr>
        <w:pStyle w:val="ListParagraph"/>
        <w:ind w:left="0"/>
      </w:pPr>
      <w:r w:rsidRPr="002B34A0">
        <w:t>In</w:t>
      </w:r>
      <w:r>
        <w:t xml:space="preserve"> addition, EPA intends for these </w:t>
      </w:r>
      <w:r w:rsidRPr="002B34A0">
        <w:t>review</w:t>
      </w:r>
      <w:r>
        <w:t>s</w:t>
      </w:r>
      <w:r w:rsidRPr="002B34A0">
        <w:t xml:space="preserve"> </w:t>
      </w:r>
      <w:r w:rsidRPr="005463D1">
        <w:t>to also involve</w:t>
      </w:r>
      <w:r>
        <w:t xml:space="preserve"> </w:t>
      </w:r>
      <w:r w:rsidRPr="002B34A0">
        <w:t>the review of data related to endangered species</w:t>
      </w:r>
      <w:r>
        <w:t xml:space="preserve"> and endocrine effects:</w:t>
      </w:r>
      <w:r w:rsidRPr="002B34A0">
        <w:t xml:space="preserve">  </w:t>
      </w:r>
    </w:p>
    <w:p w:rsidR="003C76C7" w:rsidRDefault="003C76C7" w:rsidP="003C76C7">
      <w:pPr>
        <w:pStyle w:val="ListParagraph"/>
      </w:pPr>
    </w:p>
    <w:p w:rsidR="003C76C7" w:rsidRPr="0098584B" w:rsidRDefault="003C76C7" w:rsidP="003C76C7">
      <w:pPr>
        <w:pStyle w:val="ListParagraph"/>
        <w:numPr>
          <w:ilvl w:val="1"/>
          <w:numId w:val="10"/>
        </w:numPr>
        <w:ind w:left="720"/>
      </w:pPr>
      <w:r w:rsidRPr="00A46202">
        <w:rPr>
          <w:b/>
        </w:rPr>
        <w:t>Endangered Species Protection Program (ESPP):</w:t>
      </w:r>
      <w:r w:rsidRPr="002B34A0">
        <w:t xml:space="preserve">  EPA regards the ESPP, which concerns endangered species assessments (effects determinations) required under the Endangered Species Act</w:t>
      </w:r>
      <w:r>
        <w:t xml:space="preserve"> (ESA)</w:t>
      </w:r>
      <w:r w:rsidRPr="00A46202">
        <w:rPr>
          <w:rStyle w:val="FootnoteReference"/>
          <w:vertAlign w:val="superscript"/>
        </w:rPr>
        <w:footnoteReference w:id="15"/>
      </w:r>
      <w:r w:rsidRPr="002B34A0">
        <w:t xml:space="preserve">, as part of the risk characterization of the pesticide under Registration Review.  </w:t>
      </w:r>
      <w:r w:rsidRPr="0015601E">
        <w:t>FIFRA §</w:t>
      </w:r>
      <w:r w:rsidRPr="002B34A0">
        <w:t xml:space="preserve">3(g) instructs EPA to use the </w:t>
      </w:r>
      <w:r w:rsidRPr="005463D1">
        <w:t>FIFRA</w:t>
      </w:r>
      <w:r w:rsidRPr="0015601E">
        <w:t xml:space="preserve"> §</w:t>
      </w:r>
      <w:r w:rsidRPr="002B34A0">
        <w:t>3(c)(2)(B) authority to obtain the required data.</w:t>
      </w:r>
      <w:r w:rsidRPr="00A46202">
        <w:rPr>
          <w:b/>
        </w:rPr>
        <w:t xml:space="preserve"> </w:t>
      </w:r>
    </w:p>
    <w:p w:rsidR="003C76C7" w:rsidRPr="00A46202" w:rsidRDefault="003C76C7" w:rsidP="003C76C7">
      <w:pPr>
        <w:pStyle w:val="ListParagraph"/>
        <w:ind w:hanging="360"/>
      </w:pPr>
    </w:p>
    <w:p w:rsidR="003C76C7" w:rsidRDefault="003C76C7" w:rsidP="003C76C7">
      <w:pPr>
        <w:pStyle w:val="ListParagraph"/>
        <w:numPr>
          <w:ilvl w:val="1"/>
          <w:numId w:val="10"/>
        </w:numPr>
        <w:ind w:left="720"/>
      </w:pPr>
      <w:r w:rsidRPr="0051135E">
        <w:rPr>
          <w:b/>
        </w:rPr>
        <w:t xml:space="preserve">Endocrine Disruptor Screening Program (EDSP): </w:t>
      </w:r>
      <w:r w:rsidRPr="002B34A0">
        <w:t xml:space="preserve"> </w:t>
      </w:r>
      <w:r w:rsidRPr="00F854A7">
        <w:t xml:space="preserve">EPA </w:t>
      </w:r>
      <w:r>
        <w:t xml:space="preserve">intends to consider </w:t>
      </w:r>
      <w:r w:rsidRPr="00F854A7">
        <w:t>endocrine effects</w:t>
      </w:r>
      <w:r>
        <w:t xml:space="preserve"> pursuant to FFDCA </w:t>
      </w:r>
      <w:r w:rsidRPr="0051135E">
        <w:rPr>
          <w:rFonts w:cs="Arial"/>
        </w:rPr>
        <w:t>§</w:t>
      </w:r>
      <w:r>
        <w:t>408(p)</w:t>
      </w:r>
      <w:r w:rsidRPr="00DC2E81">
        <w:rPr>
          <w:rStyle w:val="FootnoteReference"/>
          <w:vertAlign w:val="superscript"/>
        </w:rPr>
        <w:footnoteReference w:id="16"/>
      </w:r>
      <w:r>
        <w:t xml:space="preserve"> as</w:t>
      </w:r>
      <w:r w:rsidRPr="00F854A7">
        <w:t xml:space="preserve"> part of the risk characterization of the pesticide under Registration Review.</w:t>
      </w:r>
      <w:r w:rsidRPr="0051135E">
        <w:rPr>
          <w:rFonts w:eastAsiaTheme="minorHAnsi"/>
          <w:vertAlign w:val="superscript"/>
        </w:rPr>
        <w:t xml:space="preserve"> </w:t>
      </w:r>
      <w:r w:rsidRPr="00DC2E81">
        <w:rPr>
          <w:vertAlign w:val="superscript"/>
        </w:rPr>
        <w:footnoteReference w:id="17"/>
      </w:r>
      <w:r>
        <w:t xml:space="preserve"> FFDCA </w:t>
      </w:r>
      <w:r w:rsidRPr="0051135E">
        <w:rPr>
          <w:rFonts w:cs="Arial"/>
        </w:rPr>
        <w:t>§</w:t>
      </w:r>
      <w:r w:rsidRPr="002B34A0">
        <w:t xml:space="preserve">408(p) mandates the issuance of Orders requiring screening of substances for their potential endocrine disruptor effects.  </w:t>
      </w:r>
      <w:r w:rsidRPr="0015601E">
        <w:t>FIFRA §</w:t>
      </w:r>
      <w:r w:rsidRPr="002B34A0">
        <w:t>3(c)(2)(B) of FIFRA also provides a means of obtaining needed data</w:t>
      </w:r>
      <w:r>
        <w:t xml:space="preserve"> for pesticides</w:t>
      </w:r>
      <w:r w:rsidRPr="002B34A0">
        <w:t xml:space="preserve">.  Thus, under the EDSP program two types of data collection authorities </w:t>
      </w:r>
      <w:r>
        <w:t>allow</w:t>
      </w:r>
      <w:r w:rsidRPr="002B34A0">
        <w:t xml:space="preserve"> the Agency to address endocrine disruptor screening and testing</w:t>
      </w:r>
      <w:r>
        <w:t xml:space="preserve"> data needs: </w:t>
      </w:r>
      <w:r w:rsidRPr="002B34A0">
        <w:t xml:space="preserve">DCIs and 408(p) orders. </w:t>
      </w:r>
      <w:r>
        <w:t xml:space="preserve">In establishing the policy and procedures for issuing 408(p) orders under the EDSP, EPA indicated that it intended to integrate the considerations under the EDSP with the </w:t>
      </w:r>
      <w:r w:rsidRPr="002B34A0">
        <w:t xml:space="preserve">Registration Review activities </w:t>
      </w:r>
      <w:r>
        <w:t xml:space="preserve">whenever possible.  EPA believes that doing this will provide efficiencies for everyone involved. Please note, however, the information collection activities associated with the issuance of 408(p) orders </w:t>
      </w:r>
      <w:r w:rsidRPr="005463D1">
        <w:t>are already covered</w:t>
      </w:r>
      <w:r>
        <w:t xml:space="preserve"> </w:t>
      </w:r>
      <w:r w:rsidRPr="005463D1">
        <w:t>by</w:t>
      </w:r>
      <w:r>
        <w:t xml:space="preserve"> another ICR, identified under EPA ICR No. 2249.03 and approved under OMB Control No. 2070-0176.  As such, the issuance of 408(p) orders for Registration Review chemicals is not currently covered by this ICR. </w:t>
      </w:r>
      <w:r w:rsidRPr="002B34A0">
        <w:t xml:space="preserve">  </w:t>
      </w:r>
    </w:p>
    <w:p w:rsidR="003C76C7" w:rsidRDefault="003C76C7" w:rsidP="003C76C7">
      <w:pPr>
        <w:pStyle w:val="ListParagraph"/>
        <w:rPr>
          <w:b/>
        </w:rPr>
      </w:pPr>
    </w:p>
    <w:p w:rsidR="009D3FC5" w:rsidRDefault="009D3FC5" w:rsidP="009D3FC5">
      <w:pPr>
        <w:pStyle w:val="NoSpacing"/>
      </w:pPr>
    </w:p>
    <w:p w:rsidR="007F50C4" w:rsidRPr="007F50C4" w:rsidRDefault="007F50C4" w:rsidP="00B610CF">
      <w:pPr>
        <w:pStyle w:val="Heading3"/>
        <w:numPr>
          <w:ilvl w:val="2"/>
          <w:numId w:val="42"/>
        </w:numPr>
        <w:tabs>
          <w:tab w:val="left" w:pos="1800"/>
        </w:tabs>
        <w:spacing w:after="200"/>
        <w:ind w:left="1800" w:hanging="1080"/>
      </w:pPr>
      <w:bookmarkStart w:id="73" w:name="_Toc482020578"/>
      <w:bookmarkStart w:id="74" w:name="_Toc489017121"/>
      <w:r>
        <w:t>Tolerance Assessment</w:t>
      </w:r>
      <w:r w:rsidR="00B025D6">
        <w:t xml:space="preserve"> </w:t>
      </w:r>
      <w:r>
        <w:t xml:space="preserve">Program </w:t>
      </w:r>
      <w:r w:rsidRPr="007F50C4">
        <w:t>(Anticipated Residue/Per</w:t>
      </w:r>
      <w:r>
        <w:t>cent Crop Treated Information)</w:t>
      </w:r>
      <w:bookmarkEnd w:id="73"/>
      <w:bookmarkEnd w:id="74"/>
    </w:p>
    <w:p w:rsidR="007F50C4" w:rsidRDefault="007F50C4" w:rsidP="007F50C4">
      <w:pPr>
        <w:pStyle w:val="ListParagraph"/>
        <w:ind w:left="0"/>
      </w:pPr>
      <w:r w:rsidRPr="002B34A0">
        <w:t xml:space="preserve">Under </w:t>
      </w:r>
      <w:r>
        <w:t xml:space="preserve">FFDCA </w:t>
      </w:r>
      <w:r w:rsidRPr="0015601E">
        <w:t>§</w:t>
      </w:r>
      <w:r w:rsidRPr="002B34A0">
        <w:t xml:space="preserve">408, before a pesticide may be used on food or feed crops, the Agency must establish a tolerance for the pesticide residues on that crop or </w:t>
      </w:r>
      <w:r w:rsidRPr="005463D1">
        <w:t>established</w:t>
      </w:r>
      <w:r w:rsidRPr="002B34A0">
        <w:t xml:space="preserve"> an exemption from the requirement to have a tolerance.  </w:t>
      </w:r>
      <w:r w:rsidRPr="005463D1">
        <w:t>In order to conduct the required evaluation, a Pesticide Registrant may be required to submit specific data necessary to demonstrate that residues do not exceed the residue levels used to establish the tolerance.</w:t>
      </w:r>
      <w:r w:rsidRPr="00F31B27">
        <w:t xml:space="preserve"> Under the authority of FIFRA §3(c)(2)(B), the Agency will issue a DCI to obtain any additional data that </w:t>
      </w:r>
      <w:r w:rsidRPr="005463D1">
        <w:t>is determined</w:t>
      </w:r>
      <w:r w:rsidRPr="00F31B27">
        <w:t xml:space="preserve"> to be necessary for the decisions that must be made under this program. </w:t>
      </w:r>
      <w:r w:rsidRPr="0015601E">
        <w:t>F</w:t>
      </w:r>
      <w:r>
        <w:t>FDC</w:t>
      </w:r>
      <w:r w:rsidRPr="0015601E">
        <w:t>A §</w:t>
      </w:r>
      <w:r w:rsidRPr="002B34A0">
        <w:t xml:space="preserve">408(b)(2)(E) and (F) authorize the use of anticipated or actual residue (ARs) data and percent crop treated (PCT) data to establish, modify, maintain, or revoke a tolerance for a pesticide.  FFDCA requires that if AR data </w:t>
      </w:r>
      <w:r w:rsidRPr="005463D1">
        <w:t>are used</w:t>
      </w:r>
      <w:r w:rsidRPr="002B34A0">
        <w:t xml:space="preserve">, </w:t>
      </w:r>
      <w:r w:rsidR="00774253">
        <w:t xml:space="preserve">any additional data must be submitted at </w:t>
      </w:r>
      <w:r w:rsidR="000C6F50">
        <w:t xml:space="preserve">least </w:t>
      </w:r>
      <w:r w:rsidR="000C6F50" w:rsidRPr="002B34A0">
        <w:t>five</w:t>
      </w:r>
      <w:r w:rsidRPr="002B34A0">
        <w:t xml:space="preserve"> years after a tolerance </w:t>
      </w:r>
      <w:r w:rsidRPr="005463D1">
        <w:t>is initially established</w:t>
      </w:r>
      <w:r w:rsidRPr="002B34A0">
        <w:t xml:space="preserve">.  If PCT data </w:t>
      </w:r>
      <w:r w:rsidRPr="005463D1">
        <w:t>are used</w:t>
      </w:r>
      <w:r w:rsidRPr="002B34A0">
        <w:t xml:space="preserve">, FFDCA affords EPA the discretion to obtain additional data if any or all of several conditions, including but not limited to the following, </w:t>
      </w:r>
      <w:r w:rsidRPr="005463D1">
        <w:t>are met</w:t>
      </w:r>
      <w:r w:rsidRPr="002B34A0">
        <w:t>:</w:t>
      </w:r>
    </w:p>
    <w:p w:rsidR="007F50C4" w:rsidRDefault="007F50C4" w:rsidP="007F50C4">
      <w:pPr>
        <w:pStyle w:val="ListParagraph"/>
        <w:numPr>
          <w:ilvl w:val="1"/>
          <w:numId w:val="11"/>
        </w:numPr>
        <w:spacing w:before="60"/>
        <w:ind w:left="720"/>
        <w:contextualSpacing w:val="0"/>
      </w:pPr>
      <w:r w:rsidRPr="005463D1">
        <w:t>the</w:t>
      </w:r>
      <w:r w:rsidRPr="002B34A0">
        <w:t xml:space="preserve"> existing data </w:t>
      </w:r>
      <w:r w:rsidRPr="005463D1">
        <w:t>have been found</w:t>
      </w:r>
      <w:r w:rsidRPr="002B34A0">
        <w:t xml:space="preserve"> unreliable; </w:t>
      </w:r>
    </w:p>
    <w:p w:rsidR="007F50C4" w:rsidRDefault="007F50C4" w:rsidP="007F50C4">
      <w:pPr>
        <w:pStyle w:val="ListParagraph"/>
        <w:numPr>
          <w:ilvl w:val="1"/>
          <w:numId w:val="11"/>
        </w:numPr>
        <w:ind w:left="720"/>
      </w:pPr>
      <w:r w:rsidRPr="005463D1">
        <w:t>exposure</w:t>
      </w:r>
      <w:r w:rsidRPr="002B34A0">
        <w:t xml:space="preserve"> estimates underestimate exposures for any significant popul</w:t>
      </w:r>
      <w:r>
        <w:t>ation group; and</w:t>
      </w:r>
    </w:p>
    <w:p w:rsidR="007F50C4" w:rsidRPr="002B34A0" w:rsidRDefault="007F50C4" w:rsidP="007F50C4">
      <w:pPr>
        <w:pStyle w:val="ListParagraph"/>
        <w:numPr>
          <w:ilvl w:val="1"/>
          <w:numId w:val="11"/>
        </w:numPr>
        <w:ind w:left="720"/>
      </w:pPr>
      <w:r w:rsidRPr="005463D1">
        <w:t>dietary</w:t>
      </w:r>
      <w:r w:rsidRPr="002B34A0">
        <w:t xml:space="preserve"> exposure must be re-evaluated periodically. </w:t>
      </w:r>
    </w:p>
    <w:p w:rsidR="007F50C4" w:rsidRDefault="007F50C4" w:rsidP="007F50C4">
      <w:pPr>
        <w:rPr>
          <w:lang w:bidi="en-US"/>
        </w:rPr>
      </w:pPr>
    </w:p>
    <w:p w:rsidR="005D7BD1" w:rsidRPr="009D3FC5" w:rsidRDefault="00080E81" w:rsidP="009D3FC5">
      <w:pPr>
        <w:pStyle w:val="NoSpacing"/>
      </w:pPr>
      <w:r>
        <w:t xml:space="preserve"> </w:t>
      </w:r>
    </w:p>
    <w:p w:rsidR="00382A56" w:rsidRDefault="00594115" w:rsidP="00B610CF">
      <w:pPr>
        <w:pStyle w:val="Heading3"/>
        <w:numPr>
          <w:ilvl w:val="2"/>
          <w:numId w:val="42"/>
        </w:numPr>
        <w:tabs>
          <w:tab w:val="left" w:pos="1800"/>
        </w:tabs>
        <w:spacing w:after="200"/>
      </w:pPr>
      <w:bookmarkStart w:id="75" w:name="_Toc482020579"/>
      <w:bookmarkStart w:id="76" w:name="_Toc489017122"/>
      <w:r w:rsidRPr="001C7C36">
        <w:t>Maintenance</w:t>
      </w:r>
      <w:r w:rsidR="001E534B" w:rsidRPr="001C7C36">
        <w:t xml:space="preserve"> </w:t>
      </w:r>
      <w:r w:rsidR="00382A56" w:rsidRPr="001C7C36">
        <w:t>DCIs</w:t>
      </w:r>
      <w:bookmarkEnd w:id="75"/>
      <w:bookmarkEnd w:id="76"/>
    </w:p>
    <w:p w:rsidR="007B2791" w:rsidRPr="007B2791" w:rsidRDefault="007B2791" w:rsidP="007B2791"/>
    <w:p w:rsidR="007F50C4" w:rsidRPr="001C7C36" w:rsidRDefault="00B93B8B" w:rsidP="00382A56">
      <w:pPr>
        <w:pStyle w:val="Heading3"/>
        <w:tabs>
          <w:tab w:val="left" w:pos="1800"/>
        </w:tabs>
        <w:spacing w:after="200"/>
        <w:rPr>
          <w:b w:val="0"/>
        </w:rPr>
      </w:pPr>
      <w:bookmarkStart w:id="77" w:name="_Toc482020580"/>
      <w:bookmarkStart w:id="78" w:name="_Toc489017123"/>
      <w:r w:rsidRPr="001C7C36">
        <w:rPr>
          <w:b w:val="0"/>
        </w:rPr>
        <w:t xml:space="preserve">Section 3(c) (2) (B) of FIFRA provides a means of obtaining </w:t>
      </w:r>
      <w:r w:rsidR="00460905" w:rsidRPr="001C7C36">
        <w:rPr>
          <w:b w:val="0"/>
        </w:rPr>
        <w:t>needed additional</w:t>
      </w:r>
      <w:r w:rsidRPr="001C7C36">
        <w:rPr>
          <w:b w:val="0"/>
        </w:rPr>
        <w:t xml:space="preserve"> data</w:t>
      </w:r>
      <w:r w:rsidR="00460905" w:rsidRPr="001C7C36">
        <w:rPr>
          <w:b w:val="0"/>
        </w:rPr>
        <w:t xml:space="preserve"> “to maintain in effect an existing registration of a pesticide”</w:t>
      </w:r>
      <w:r w:rsidRPr="001C7C36">
        <w:rPr>
          <w:b w:val="0"/>
        </w:rPr>
        <w:t xml:space="preserve">. </w:t>
      </w:r>
      <w:r w:rsidR="000212B9" w:rsidRPr="001C7C36">
        <w:rPr>
          <w:b w:val="0"/>
        </w:rPr>
        <w:t>A need for a data call-in may</w:t>
      </w:r>
      <w:r w:rsidR="002C3C35" w:rsidRPr="001C7C36">
        <w:rPr>
          <w:b w:val="0"/>
        </w:rPr>
        <w:t xml:space="preserve"> </w:t>
      </w:r>
      <w:r w:rsidR="000212B9" w:rsidRPr="001C7C36">
        <w:rPr>
          <w:b w:val="0"/>
        </w:rPr>
        <w:t xml:space="preserve">arise from </w:t>
      </w:r>
      <w:r w:rsidR="00460905" w:rsidRPr="001C7C36">
        <w:rPr>
          <w:b w:val="0"/>
        </w:rPr>
        <w:t xml:space="preserve">evolving of scientific understanding and methodologies, </w:t>
      </w:r>
      <w:r w:rsidR="000212B9" w:rsidRPr="001C7C36">
        <w:rPr>
          <w:b w:val="0"/>
        </w:rPr>
        <w:t xml:space="preserve">changes in the discovery of deficiencies in previously submitted data, or from the </w:t>
      </w:r>
      <w:r w:rsidR="00003DF0" w:rsidRPr="001C7C36">
        <w:rPr>
          <w:b w:val="0"/>
        </w:rPr>
        <w:t xml:space="preserve">new </w:t>
      </w:r>
      <w:r w:rsidR="000212B9" w:rsidRPr="001C7C36">
        <w:rPr>
          <w:b w:val="0"/>
        </w:rPr>
        <w:t xml:space="preserve">discovery of specific attributes of the pesticide or its ingredients. </w:t>
      </w:r>
      <w:r w:rsidR="00BC2354" w:rsidRPr="001C7C36">
        <w:rPr>
          <w:b w:val="0"/>
        </w:rPr>
        <w:t xml:space="preserve">For example, </w:t>
      </w:r>
      <w:r w:rsidR="00BE74AF" w:rsidRPr="001C7C36">
        <w:rPr>
          <w:b w:val="0"/>
        </w:rPr>
        <w:t xml:space="preserve">such data </w:t>
      </w:r>
      <w:r w:rsidR="00BC2354" w:rsidRPr="001C7C36">
        <w:rPr>
          <w:b w:val="0"/>
        </w:rPr>
        <w:t>may be</w:t>
      </w:r>
      <w:r w:rsidR="00BE74AF" w:rsidRPr="001C7C36">
        <w:rPr>
          <w:b w:val="0"/>
        </w:rPr>
        <w:t xml:space="preserve"> needed in support of Agency enforcement cases resulting from consumer complaints about the product, its storage stability, the integrity of its container, or exaggerated advertising claims.  </w:t>
      </w:r>
      <w:r w:rsidR="00BC2354" w:rsidRPr="001C7C36">
        <w:rPr>
          <w:b w:val="0"/>
        </w:rPr>
        <w:t>A</w:t>
      </w:r>
      <w:r w:rsidR="00BE74AF" w:rsidRPr="001C7C36">
        <w:rPr>
          <w:b w:val="0"/>
        </w:rPr>
        <w:t xml:space="preserve"> DCI might </w:t>
      </w:r>
      <w:r w:rsidR="00BC2354" w:rsidRPr="001C7C36">
        <w:rPr>
          <w:b w:val="0"/>
        </w:rPr>
        <w:t xml:space="preserve">also </w:t>
      </w:r>
      <w:r w:rsidR="00BE74AF" w:rsidRPr="001C7C36">
        <w:rPr>
          <w:b w:val="0"/>
        </w:rPr>
        <w:t xml:space="preserve">be needed to confirm product performance of public health pesticides or a new type of manufacturing process may call into question </w:t>
      </w:r>
      <w:r w:rsidR="00BC2354" w:rsidRPr="001C7C36">
        <w:rPr>
          <w:b w:val="0"/>
        </w:rPr>
        <w:t>data</w:t>
      </w:r>
      <w:r w:rsidR="00BE74AF" w:rsidRPr="001C7C36">
        <w:rPr>
          <w:b w:val="0"/>
        </w:rPr>
        <w:t xml:space="preserve"> submitted for a pesticide registration using older manufacturing technologies no longer used today. </w:t>
      </w:r>
      <w:r w:rsidR="000212B9" w:rsidRPr="001C7C36">
        <w:rPr>
          <w:b w:val="0"/>
        </w:rPr>
        <w:t>Th</w:t>
      </w:r>
      <w:r w:rsidR="00BE74AF" w:rsidRPr="001C7C36">
        <w:rPr>
          <w:b w:val="0"/>
        </w:rPr>
        <w:t xml:space="preserve">ese situations </w:t>
      </w:r>
      <w:r w:rsidR="000212B9" w:rsidRPr="001C7C36">
        <w:rPr>
          <w:b w:val="0"/>
        </w:rPr>
        <w:t xml:space="preserve">may give rise to </w:t>
      </w:r>
      <w:r w:rsidR="00BE74AF" w:rsidRPr="001C7C36">
        <w:rPr>
          <w:b w:val="0"/>
        </w:rPr>
        <w:t xml:space="preserve">new </w:t>
      </w:r>
      <w:r w:rsidR="000212B9" w:rsidRPr="001C7C36">
        <w:rPr>
          <w:b w:val="0"/>
        </w:rPr>
        <w:t>concerns such as observed or suspected adverse human health or environmental effects attributed to the use of a pesticide</w:t>
      </w:r>
      <w:r w:rsidR="002C3C35" w:rsidRPr="001C7C36">
        <w:rPr>
          <w:b w:val="0"/>
        </w:rPr>
        <w:t xml:space="preserve"> </w:t>
      </w:r>
      <w:r w:rsidR="00BE74AF" w:rsidRPr="001C7C36">
        <w:rPr>
          <w:b w:val="0"/>
        </w:rPr>
        <w:t xml:space="preserve">that were not </w:t>
      </w:r>
      <w:r w:rsidR="002C3C35" w:rsidRPr="001C7C36">
        <w:rPr>
          <w:b w:val="0"/>
        </w:rPr>
        <w:t xml:space="preserve">present at the time of the </w:t>
      </w:r>
      <w:r w:rsidR="00BE74AF" w:rsidRPr="001C7C36">
        <w:rPr>
          <w:b w:val="0"/>
        </w:rPr>
        <w:t xml:space="preserve">original </w:t>
      </w:r>
      <w:r w:rsidR="002C3C35" w:rsidRPr="001C7C36">
        <w:rPr>
          <w:b w:val="0"/>
        </w:rPr>
        <w:t>registration</w:t>
      </w:r>
      <w:r w:rsidR="001C7C36" w:rsidRPr="001C7C36">
        <w:rPr>
          <w:b w:val="0"/>
        </w:rPr>
        <w:t xml:space="preserve"> or </w:t>
      </w:r>
      <w:r w:rsidR="000212B9" w:rsidRPr="001C7C36">
        <w:rPr>
          <w:b w:val="0"/>
        </w:rPr>
        <w:t>from unanticipated circumstances</w:t>
      </w:r>
      <w:r w:rsidR="00035DE8" w:rsidRPr="001C7C36">
        <w:rPr>
          <w:b w:val="0"/>
        </w:rPr>
        <w:t xml:space="preserve"> such as changes in pathogens of public health concern</w:t>
      </w:r>
      <w:r w:rsidR="000212B9" w:rsidRPr="001C7C36">
        <w:rPr>
          <w:b w:val="0"/>
        </w:rPr>
        <w:t xml:space="preserve">, new </w:t>
      </w:r>
      <w:r w:rsidR="00442E02" w:rsidRPr="001C7C36">
        <w:rPr>
          <w:b w:val="0"/>
        </w:rPr>
        <w:t xml:space="preserve">EPA </w:t>
      </w:r>
      <w:r w:rsidR="000212B9" w:rsidRPr="001C7C36">
        <w:rPr>
          <w:b w:val="0"/>
        </w:rPr>
        <w:t>initiatives</w:t>
      </w:r>
      <w:r w:rsidR="00BC2354" w:rsidRPr="001C7C36">
        <w:rPr>
          <w:b w:val="0"/>
        </w:rPr>
        <w:t>,</w:t>
      </w:r>
      <w:r w:rsidR="00382A56" w:rsidRPr="001C7C36">
        <w:rPr>
          <w:b w:val="0"/>
        </w:rPr>
        <w:t xml:space="preserve"> or </w:t>
      </w:r>
      <w:r w:rsidR="000212B9" w:rsidRPr="001C7C36">
        <w:rPr>
          <w:b w:val="0"/>
        </w:rPr>
        <w:t>the evolution of scientific</w:t>
      </w:r>
      <w:r w:rsidR="00035DE8" w:rsidRPr="001C7C36">
        <w:rPr>
          <w:b w:val="0"/>
        </w:rPr>
        <w:t xml:space="preserve"> test</w:t>
      </w:r>
      <w:r w:rsidR="002C3C35" w:rsidRPr="001C7C36">
        <w:rPr>
          <w:b w:val="0"/>
        </w:rPr>
        <w:t xml:space="preserve"> </w:t>
      </w:r>
      <w:r w:rsidR="00382A56" w:rsidRPr="001C7C36">
        <w:rPr>
          <w:b w:val="0"/>
        </w:rPr>
        <w:t>methodologies</w:t>
      </w:r>
      <w:r w:rsidR="002C3C35" w:rsidRPr="001C7C36">
        <w:rPr>
          <w:b w:val="0"/>
        </w:rPr>
        <w:t xml:space="preserve"> or manufacturing technologies</w:t>
      </w:r>
      <w:r w:rsidR="00382A56" w:rsidRPr="001C7C36">
        <w:rPr>
          <w:b w:val="0"/>
        </w:rPr>
        <w:t>.</w:t>
      </w:r>
      <w:bookmarkEnd w:id="77"/>
      <w:r w:rsidR="000212B9" w:rsidRPr="001C7C36">
        <w:rPr>
          <w:b w:val="0"/>
        </w:rPr>
        <w:t xml:space="preserve"> </w:t>
      </w:r>
      <w:r w:rsidR="005C78C9">
        <w:rPr>
          <w:b w:val="0"/>
        </w:rPr>
        <w:t>This IC category replaces the old IC named “Enforcement and Unanticipated Incident” activities in the currently approved ICR.</w:t>
      </w:r>
      <w:bookmarkEnd w:id="78"/>
      <w:r w:rsidR="005C78C9">
        <w:rPr>
          <w:b w:val="0"/>
        </w:rPr>
        <w:t xml:space="preserve">   </w:t>
      </w:r>
      <w:r w:rsidR="000212B9" w:rsidRPr="001C7C36">
        <w:rPr>
          <w:b w:val="0"/>
        </w:rPr>
        <w:t xml:space="preserve"> </w:t>
      </w:r>
    </w:p>
    <w:p w:rsidR="00B74424" w:rsidRDefault="00D567ED" w:rsidP="009A6FB8">
      <w:pPr>
        <w:pStyle w:val="NoSpacing"/>
        <w:rPr>
          <w:sz w:val="20"/>
          <w:szCs w:val="20"/>
          <w:vertAlign w:val="superscript"/>
          <w:lang w:bidi="en-US"/>
        </w:rPr>
      </w:pPr>
      <w:r>
        <w:rPr>
          <w:sz w:val="20"/>
          <w:szCs w:val="20"/>
          <w:vertAlign w:val="superscript"/>
          <w:lang w:bidi="en-US"/>
        </w:rPr>
        <w:tab/>
      </w:r>
    </w:p>
    <w:p w:rsidR="001724C5" w:rsidRDefault="001724C5" w:rsidP="009A6FB8">
      <w:pPr>
        <w:pStyle w:val="NoSpacing"/>
        <w:ind w:firstLine="720"/>
        <w:outlineLvl w:val="2"/>
        <w:rPr>
          <w:b/>
          <w:bCs/>
          <w:lang w:bidi="en-US"/>
        </w:rPr>
      </w:pPr>
    </w:p>
    <w:p w:rsidR="001724C5" w:rsidRDefault="001724C5" w:rsidP="009A6FB8">
      <w:pPr>
        <w:pStyle w:val="NoSpacing"/>
        <w:ind w:firstLine="720"/>
        <w:outlineLvl w:val="2"/>
        <w:rPr>
          <w:b/>
          <w:bCs/>
          <w:lang w:bidi="en-US"/>
        </w:rPr>
      </w:pPr>
    </w:p>
    <w:p w:rsidR="001724C5" w:rsidRDefault="001724C5" w:rsidP="009A6FB8">
      <w:pPr>
        <w:pStyle w:val="NoSpacing"/>
        <w:ind w:firstLine="720"/>
        <w:outlineLvl w:val="2"/>
        <w:rPr>
          <w:b/>
          <w:bCs/>
          <w:lang w:bidi="en-US"/>
        </w:rPr>
      </w:pPr>
    </w:p>
    <w:p w:rsidR="00B74424" w:rsidRPr="00DA0DD3" w:rsidRDefault="00B74424" w:rsidP="009A6FB8">
      <w:pPr>
        <w:pStyle w:val="NoSpacing"/>
        <w:ind w:firstLine="720"/>
        <w:outlineLvl w:val="2"/>
        <w:rPr>
          <w:b/>
          <w:bCs/>
          <w:lang w:bidi="en-US"/>
        </w:rPr>
      </w:pPr>
      <w:r w:rsidRPr="00DA0DD3">
        <w:rPr>
          <w:b/>
          <w:bCs/>
          <w:lang w:bidi="en-US"/>
        </w:rPr>
        <w:t xml:space="preserve"> </w:t>
      </w:r>
      <w:bookmarkStart w:id="79" w:name="_Toc482020581"/>
      <w:r w:rsidR="00D567ED" w:rsidRPr="00DA0DD3">
        <w:rPr>
          <w:b/>
          <w:bCs/>
          <w:lang w:bidi="en-US"/>
        </w:rPr>
        <w:t>3(b).   Estimated DCI-Related Annual Respondent Burden and Costs per Company/DCI</w:t>
      </w:r>
      <w:bookmarkEnd w:id="79"/>
    </w:p>
    <w:p w:rsidR="00B610CF" w:rsidRPr="00B610CF" w:rsidRDefault="00B20FED" w:rsidP="00B610CF">
      <w:pPr>
        <w:pStyle w:val="Heading3"/>
        <w:tabs>
          <w:tab w:val="left" w:pos="720"/>
        </w:tabs>
        <w:spacing w:after="200"/>
        <w:rPr>
          <w:rFonts w:cs="Arial"/>
          <w:b w:val="0"/>
          <w:szCs w:val="24"/>
        </w:rPr>
      </w:pPr>
      <w:bookmarkStart w:id="80" w:name="_Toc489017125"/>
      <w:r w:rsidRPr="00B610CF">
        <w:rPr>
          <w:rFonts w:cs="Arial"/>
          <w:b w:val="0"/>
          <w:lang w:bidi="en-US"/>
        </w:rPr>
        <w:t>The Agency has updated the estimated wages, benefits and overhead for all labor categories for affected industries, state government, and EPA employees based on publicly available data from the US Bureau of Labor Statistics. The formulas used to estimate the labor rates and formulas used to derive the fully loaded rates and overhead costs for this ICR renewal are listed in Attachment C</w:t>
      </w:r>
      <w:r w:rsidR="000C6F50" w:rsidRPr="00B610CF">
        <w:rPr>
          <w:rFonts w:cs="Arial"/>
          <w:b w:val="0"/>
          <w:lang w:bidi="en-US"/>
        </w:rPr>
        <w:t>.</w:t>
      </w:r>
      <w:r w:rsidRPr="00B610CF">
        <w:rPr>
          <w:rFonts w:cs="Arial"/>
          <w:b w:val="0"/>
          <w:lang w:bidi="en-US"/>
        </w:rPr>
        <w:t xml:space="preserve">  </w:t>
      </w:r>
      <w:r w:rsidR="00B74424" w:rsidRPr="00B610CF">
        <w:rPr>
          <w:rFonts w:cs="Arial"/>
          <w:b w:val="0"/>
          <w:lang w:bidi="en-US"/>
        </w:rPr>
        <w:t xml:space="preserve">Tables 3 and 4 provide information on the burden and costs faced by DCI </w:t>
      </w:r>
      <w:r w:rsidR="00B610CF" w:rsidRPr="00B610CF">
        <w:rPr>
          <w:rFonts w:cs="Arial"/>
          <w:b w:val="0"/>
          <w:szCs w:val="24"/>
        </w:rPr>
        <w:t>recipients, data generators, and consortium participants.  Respondent costs are based on managerial, technical and clerical wage rates estimated at $126.56, $71.69, and $42.97 per hour, respectively.  These wage rates are based on 2015 wage rates estimated by the Bureau of Labor Statistics (BLS) for the North American Industry Classification System (NAICS) for pesticide registrants (NAICS code 325300).</w:t>
      </w:r>
      <w:bookmarkEnd w:id="80"/>
    </w:p>
    <w:p w:rsidR="005D6B88" w:rsidRPr="00B74424" w:rsidRDefault="00B74424" w:rsidP="005D6B88">
      <w:pPr>
        <w:rPr>
          <w:lang w:bidi="en-US"/>
        </w:rPr>
      </w:pPr>
      <w:r w:rsidRPr="00B74424">
        <w:rPr>
          <w:bCs/>
          <w:lang w:bidi="en-US"/>
        </w:rPr>
        <w:t xml:space="preserve">Table </w:t>
      </w:r>
      <w:r w:rsidR="005D6B88">
        <w:rPr>
          <w:bCs/>
          <w:lang w:bidi="en-US"/>
        </w:rPr>
        <w:t>3</w:t>
      </w:r>
      <w:r w:rsidRPr="00B74424">
        <w:rPr>
          <w:bCs/>
          <w:lang w:bidi="en-US"/>
        </w:rPr>
        <w:t xml:space="preserve"> outlines burden and cost to these three groups per company </w:t>
      </w:r>
      <w:r w:rsidR="005D6B88">
        <w:rPr>
          <w:bCs/>
          <w:lang w:bidi="en-US"/>
        </w:rPr>
        <w:t xml:space="preserve">or </w:t>
      </w:r>
      <w:r w:rsidRPr="00B74424">
        <w:rPr>
          <w:bCs/>
          <w:lang w:bidi="en-US"/>
        </w:rPr>
        <w:t>DCI</w:t>
      </w:r>
      <w:r w:rsidR="005D6B88">
        <w:rPr>
          <w:bCs/>
          <w:lang w:bidi="en-US"/>
        </w:rPr>
        <w:t>. F</w:t>
      </w:r>
      <w:r w:rsidRPr="00B74424">
        <w:rPr>
          <w:bCs/>
          <w:lang w:bidi="en-US"/>
        </w:rPr>
        <w:t xml:space="preserve">or </w:t>
      </w:r>
      <w:r w:rsidR="00425F6D">
        <w:rPr>
          <w:bCs/>
          <w:lang w:bidi="en-US"/>
        </w:rPr>
        <w:t xml:space="preserve">DCI </w:t>
      </w:r>
      <w:r w:rsidRPr="00B74424">
        <w:rPr>
          <w:bCs/>
          <w:lang w:bidi="en-US"/>
        </w:rPr>
        <w:t>recipients, burden is estimated by company since companies are responsible for responding to the 90-day notice</w:t>
      </w:r>
      <w:r w:rsidR="005D6B88">
        <w:rPr>
          <w:bCs/>
          <w:lang w:bidi="en-US"/>
        </w:rPr>
        <w:t>.  F</w:t>
      </w:r>
      <w:r w:rsidRPr="00B74424">
        <w:rPr>
          <w:bCs/>
          <w:lang w:bidi="en-US"/>
        </w:rPr>
        <w:t xml:space="preserve">or data </w:t>
      </w:r>
      <w:r w:rsidR="001710E8" w:rsidRPr="00B74424">
        <w:rPr>
          <w:bCs/>
          <w:lang w:bidi="en-US"/>
        </w:rPr>
        <w:t>generators,</w:t>
      </w:r>
      <w:r w:rsidR="001710E8">
        <w:rPr>
          <w:bCs/>
          <w:lang w:bidi="en-US"/>
        </w:rPr>
        <w:t xml:space="preserve"> the burden is based on the </w:t>
      </w:r>
      <w:r w:rsidRPr="00B74424">
        <w:rPr>
          <w:bCs/>
          <w:lang w:bidi="en-US"/>
        </w:rPr>
        <w:t>assum</w:t>
      </w:r>
      <w:r w:rsidR="001710E8">
        <w:rPr>
          <w:bCs/>
          <w:lang w:bidi="en-US"/>
        </w:rPr>
        <w:t xml:space="preserve">ption </w:t>
      </w:r>
      <w:r w:rsidRPr="00B74424">
        <w:rPr>
          <w:bCs/>
          <w:lang w:bidi="en-US"/>
        </w:rPr>
        <w:t xml:space="preserve">that only one data package is being submitted by one or more companies for each DCI. </w:t>
      </w:r>
      <w:bookmarkStart w:id="81" w:name="_Ref367866508"/>
      <w:bookmarkStart w:id="82" w:name="_Toc367880464"/>
      <w:bookmarkStart w:id="83" w:name="_Ref367694438"/>
      <w:r w:rsidR="005D6B88" w:rsidRPr="00B74424">
        <w:rPr>
          <w:lang w:bidi="en-US"/>
        </w:rPr>
        <w:t xml:space="preserve">Methods used for calculating the cost and burden for cases under each IC Group vary. For a review of methods used in these calculations, refer to </w:t>
      </w:r>
      <w:r w:rsidR="005D6B88">
        <w:rPr>
          <w:lang w:bidi="en-US"/>
        </w:rPr>
        <w:t xml:space="preserve">Attachment B, </w:t>
      </w:r>
      <w:r w:rsidR="005D6B88" w:rsidRPr="00B74424">
        <w:rPr>
          <w:lang w:bidi="en-US"/>
        </w:rPr>
        <w:t xml:space="preserve">Appendix A, B, and C.  </w:t>
      </w:r>
    </w:p>
    <w:p w:rsidR="00B74424" w:rsidRPr="009A6FB8" w:rsidRDefault="00B74424" w:rsidP="009A6FB8">
      <w:pPr>
        <w:pStyle w:val="NoSpacing"/>
        <w:rPr>
          <w:lang w:bidi="en-US"/>
        </w:rPr>
      </w:pPr>
    </w:p>
    <w:p w:rsidR="00B74424" w:rsidRDefault="00B74424" w:rsidP="00B74424">
      <w:pPr>
        <w:rPr>
          <w:b/>
          <w:bCs/>
          <w:lang w:bidi="en-US"/>
        </w:rPr>
      </w:pPr>
      <w:r w:rsidRPr="00B74424">
        <w:rPr>
          <w:b/>
          <w:bCs/>
          <w:lang w:bidi="en-US"/>
        </w:rPr>
        <w:t xml:space="preserve">Table </w:t>
      </w:r>
      <w:bookmarkEnd w:id="81"/>
      <w:r>
        <w:rPr>
          <w:b/>
          <w:bCs/>
          <w:lang w:bidi="en-US"/>
        </w:rPr>
        <w:t>3</w:t>
      </w:r>
      <w:r w:rsidRPr="00B74424">
        <w:rPr>
          <w:b/>
          <w:bCs/>
          <w:lang w:bidi="en-US"/>
        </w:rPr>
        <w:t>: Estimated DCI-Related Annual Respondent Burden and Costs</w:t>
      </w:r>
      <w:bookmarkEnd w:id="82"/>
      <w:r w:rsidRPr="00B74424">
        <w:rPr>
          <w:b/>
          <w:bCs/>
          <w:lang w:bidi="en-US"/>
        </w:rPr>
        <w:t xml:space="preserve"> </w:t>
      </w:r>
      <w:bookmarkEnd w:id="83"/>
      <w:r w:rsidRPr="00B74424">
        <w:rPr>
          <w:b/>
          <w:bCs/>
          <w:lang w:bidi="en-US"/>
        </w:rPr>
        <w:t xml:space="preserve">per Company/DCI* </w:t>
      </w:r>
    </w:p>
    <w:tbl>
      <w:tblPr>
        <w:tblW w:w="8756" w:type="dxa"/>
        <w:tblLook w:val="04A0" w:firstRow="1" w:lastRow="0" w:firstColumn="1" w:lastColumn="0" w:noHBand="0" w:noVBand="1"/>
      </w:tblPr>
      <w:tblGrid>
        <w:gridCol w:w="1555"/>
        <w:gridCol w:w="667"/>
        <w:gridCol w:w="977"/>
        <w:gridCol w:w="767"/>
        <w:gridCol w:w="1117"/>
        <w:gridCol w:w="667"/>
        <w:gridCol w:w="1077"/>
        <w:gridCol w:w="812"/>
        <w:gridCol w:w="1117"/>
      </w:tblGrid>
      <w:tr w:rsidR="001C7C36" w:rsidRPr="00AF3B2A" w:rsidTr="001C7C36">
        <w:trPr>
          <w:trHeight w:val="315"/>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1C7C36" w:rsidRPr="00AF3B2A" w:rsidRDefault="001C7C36" w:rsidP="00637187">
            <w:pPr>
              <w:rPr>
                <w:b/>
                <w:bCs/>
                <w:color w:val="000000"/>
                <w:sz w:val="18"/>
                <w:szCs w:val="18"/>
              </w:rPr>
            </w:pPr>
            <w:r w:rsidRPr="00AF3B2A">
              <w:rPr>
                <w:b/>
                <w:bCs/>
                <w:color w:val="000000"/>
                <w:sz w:val="18"/>
                <w:szCs w:val="18"/>
              </w:rPr>
              <w:t>Activity Category</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rsidR="001C7C36" w:rsidRPr="00AF3B2A" w:rsidRDefault="001C7C36" w:rsidP="00637187">
            <w:pPr>
              <w:jc w:val="center"/>
              <w:rPr>
                <w:b/>
                <w:bCs/>
                <w:color w:val="000000"/>
                <w:sz w:val="18"/>
                <w:szCs w:val="18"/>
              </w:rPr>
            </w:pPr>
            <w:r w:rsidRPr="00AF3B2A">
              <w:rPr>
                <w:b/>
                <w:bCs/>
                <w:color w:val="000000"/>
                <w:sz w:val="18"/>
                <w:szCs w:val="18"/>
              </w:rPr>
              <w:t>Clerical</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rsidR="001C7C36" w:rsidRPr="00AF3B2A" w:rsidRDefault="001C7C36" w:rsidP="00637187">
            <w:pPr>
              <w:jc w:val="center"/>
              <w:rPr>
                <w:b/>
                <w:bCs/>
                <w:color w:val="000000"/>
                <w:sz w:val="18"/>
                <w:szCs w:val="18"/>
              </w:rPr>
            </w:pPr>
            <w:r w:rsidRPr="00AF3B2A">
              <w:rPr>
                <w:b/>
                <w:bCs/>
                <w:color w:val="000000"/>
                <w:sz w:val="18"/>
                <w:szCs w:val="18"/>
              </w:rPr>
              <w:t>Technical</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rsidR="001C7C36" w:rsidRPr="00AF3B2A" w:rsidRDefault="001C7C36" w:rsidP="00637187">
            <w:pPr>
              <w:jc w:val="center"/>
              <w:rPr>
                <w:b/>
                <w:bCs/>
                <w:color w:val="000000"/>
                <w:sz w:val="18"/>
                <w:szCs w:val="18"/>
              </w:rPr>
            </w:pPr>
            <w:r w:rsidRPr="00AF3B2A">
              <w:rPr>
                <w:b/>
                <w:bCs/>
                <w:color w:val="000000"/>
                <w:sz w:val="18"/>
                <w:szCs w:val="18"/>
              </w:rPr>
              <w:t>Manager</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rsidR="001C7C36" w:rsidRPr="00AF3B2A" w:rsidRDefault="001C7C36" w:rsidP="00637187">
            <w:pPr>
              <w:jc w:val="center"/>
              <w:rPr>
                <w:b/>
                <w:bCs/>
                <w:color w:val="000000"/>
                <w:sz w:val="18"/>
                <w:szCs w:val="18"/>
              </w:rPr>
            </w:pPr>
            <w:r w:rsidRPr="00AF3B2A">
              <w:rPr>
                <w:b/>
                <w:bCs/>
                <w:color w:val="000000"/>
                <w:sz w:val="18"/>
                <w:szCs w:val="18"/>
              </w:rPr>
              <w:t>Totals</w:t>
            </w:r>
          </w:p>
        </w:tc>
      </w:tr>
      <w:tr w:rsidR="001C7C36" w:rsidRPr="00AF3B2A" w:rsidTr="001C7C36">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1C7C36" w:rsidRPr="00AF3B2A" w:rsidRDefault="001C7C36" w:rsidP="00637187">
            <w:pPr>
              <w:rPr>
                <w:b/>
                <w:bCs/>
                <w:color w:val="000000"/>
                <w:sz w:val="18"/>
                <w:szCs w:val="18"/>
              </w:rPr>
            </w:pPr>
          </w:p>
        </w:tc>
        <w:tc>
          <w:tcPr>
            <w:tcW w:w="0" w:type="auto"/>
            <w:tcBorders>
              <w:top w:val="nil"/>
              <w:left w:val="nil"/>
              <w:bottom w:val="single" w:sz="8" w:space="0" w:color="auto"/>
              <w:right w:val="single" w:sz="8" w:space="0" w:color="auto"/>
            </w:tcBorders>
            <w:shd w:val="clear" w:color="000000" w:fill="D9D9D9"/>
            <w:vAlign w:val="center"/>
            <w:hideMark/>
          </w:tcPr>
          <w:p w:rsidR="001C7C36" w:rsidRPr="00AF3B2A" w:rsidRDefault="001C7C36" w:rsidP="00637187">
            <w:pPr>
              <w:jc w:val="center"/>
              <w:rPr>
                <w:color w:val="000000"/>
                <w:sz w:val="18"/>
                <w:szCs w:val="18"/>
              </w:rPr>
            </w:pPr>
            <w:r w:rsidRPr="00AF3B2A">
              <w:rPr>
                <w:color w:val="000000"/>
                <w:sz w:val="18"/>
                <w:szCs w:val="18"/>
              </w:rPr>
              <w:t>Hrs.</w:t>
            </w:r>
          </w:p>
        </w:tc>
        <w:tc>
          <w:tcPr>
            <w:tcW w:w="0" w:type="auto"/>
            <w:tcBorders>
              <w:top w:val="nil"/>
              <w:left w:val="nil"/>
              <w:bottom w:val="single" w:sz="8" w:space="0" w:color="auto"/>
              <w:right w:val="single" w:sz="8" w:space="0" w:color="auto"/>
            </w:tcBorders>
            <w:shd w:val="clear" w:color="000000" w:fill="D9D9D9"/>
            <w:vAlign w:val="center"/>
            <w:hideMark/>
          </w:tcPr>
          <w:p w:rsidR="001C7C36" w:rsidRPr="00AF3B2A" w:rsidRDefault="001C7C36" w:rsidP="00637187">
            <w:pPr>
              <w:jc w:val="center"/>
              <w:rPr>
                <w:color w:val="000000"/>
                <w:sz w:val="18"/>
                <w:szCs w:val="18"/>
              </w:rPr>
            </w:pPr>
            <w:r w:rsidRPr="00AF3B2A">
              <w:rPr>
                <w:color w:val="000000"/>
                <w:sz w:val="18"/>
                <w:szCs w:val="18"/>
              </w:rPr>
              <w:t>$42.97/hr</w:t>
            </w:r>
          </w:p>
        </w:tc>
        <w:tc>
          <w:tcPr>
            <w:tcW w:w="0" w:type="auto"/>
            <w:tcBorders>
              <w:top w:val="nil"/>
              <w:left w:val="nil"/>
              <w:bottom w:val="single" w:sz="8" w:space="0" w:color="auto"/>
              <w:right w:val="single" w:sz="8" w:space="0" w:color="auto"/>
            </w:tcBorders>
            <w:shd w:val="clear" w:color="000000" w:fill="D9D9D9"/>
            <w:vAlign w:val="center"/>
            <w:hideMark/>
          </w:tcPr>
          <w:p w:rsidR="001C7C36" w:rsidRPr="00AF3B2A" w:rsidRDefault="001C7C36" w:rsidP="00637187">
            <w:pPr>
              <w:jc w:val="center"/>
              <w:rPr>
                <w:color w:val="000000"/>
                <w:sz w:val="18"/>
                <w:szCs w:val="18"/>
              </w:rPr>
            </w:pPr>
            <w:r w:rsidRPr="00AF3B2A">
              <w:rPr>
                <w:color w:val="000000"/>
                <w:sz w:val="18"/>
                <w:szCs w:val="18"/>
              </w:rPr>
              <w:t>Hrs.</w:t>
            </w:r>
          </w:p>
        </w:tc>
        <w:tc>
          <w:tcPr>
            <w:tcW w:w="0" w:type="auto"/>
            <w:tcBorders>
              <w:top w:val="nil"/>
              <w:left w:val="nil"/>
              <w:bottom w:val="single" w:sz="8" w:space="0" w:color="auto"/>
              <w:right w:val="single" w:sz="8" w:space="0" w:color="auto"/>
            </w:tcBorders>
            <w:shd w:val="clear" w:color="000000" w:fill="D9D9D9"/>
            <w:vAlign w:val="center"/>
            <w:hideMark/>
          </w:tcPr>
          <w:p w:rsidR="001C7C36" w:rsidRPr="00AF3B2A" w:rsidRDefault="001C7C36" w:rsidP="00637187">
            <w:pPr>
              <w:jc w:val="center"/>
              <w:rPr>
                <w:color w:val="000000"/>
                <w:sz w:val="18"/>
                <w:szCs w:val="18"/>
              </w:rPr>
            </w:pPr>
            <w:r w:rsidRPr="00AF3B2A">
              <w:rPr>
                <w:color w:val="000000"/>
                <w:sz w:val="18"/>
                <w:szCs w:val="18"/>
              </w:rPr>
              <w:t>$71.69/hr</w:t>
            </w:r>
          </w:p>
        </w:tc>
        <w:tc>
          <w:tcPr>
            <w:tcW w:w="0" w:type="auto"/>
            <w:tcBorders>
              <w:top w:val="nil"/>
              <w:left w:val="nil"/>
              <w:bottom w:val="single" w:sz="8" w:space="0" w:color="auto"/>
              <w:right w:val="single" w:sz="8" w:space="0" w:color="auto"/>
            </w:tcBorders>
            <w:shd w:val="clear" w:color="000000" w:fill="D9D9D9"/>
            <w:vAlign w:val="center"/>
            <w:hideMark/>
          </w:tcPr>
          <w:p w:rsidR="001C7C36" w:rsidRPr="00AF3B2A" w:rsidRDefault="001C7C36" w:rsidP="00637187">
            <w:pPr>
              <w:jc w:val="center"/>
              <w:rPr>
                <w:color w:val="000000"/>
                <w:sz w:val="18"/>
                <w:szCs w:val="18"/>
              </w:rPr>
            </w:pPr>
            <w:r w:rsidRPr="00AF3B2A">
              <w:rPr>
                <w:color w:val="000000"/>
                <w:sz w:val="18"/>
                <w:szCs w:val="18"/>
              </w:rPr>
              <w:t>Hrs.</w:t>
            </w:r>
          </w:p>
        </w:tc>
        <w:tc>
          <w:tcPr>
            <w:tcW w:w="0" w:type="auto"/>
            <w:tcBorders>
              <w:top w:val="nil"/>
              <w:left w:val="nil"/>
              <w:bottom w:val="single" w:sz="8" w:space="0" w:color="auto"/>
              <w:right w:val="single" w:sz="8" w:space="0" w:color="auto"/>
            </w:tcBorders>
            <w:shd w:val="clear" w:color="000000" w:fill="D9D9D9"/>
            <w:vAlign w:val="center"/>
            <w:hideMark/>
          </w:tcPr>
          <w:p w:rsidR="001C7C36" w:rsidRPr="00AF3B2A" w:rsidRDefault="001C7C36" w:rsidP="00637187">
            <w:pPr>
              <w:jc w:val="center"/>
              <w:rPr>
                <w:color w:val="000000"/>
                <w:sz w:val="18"/>
                <w:szCs w:val="18"/>
              </w:rPr>
            </w:pPr>
            <w:r w:rsidRPr="00AF3B2A">
              <w:rPr>
                <w:color w:val="000000"/>
                <w:sz w:val="18"/>
                <w:szCs w:val="18"/>
              </w:rPr>
              <w:t>$126.56/hr</w:t>
            </w:r>
          </w:p>
        </w:tc>
        <w:tc>
          <w:tcPr>
            <w:tcW w:w="0" w:type="auto"/>
            <w:tcBorders>
              <w:top w:val="nil"/>
              <w:left w:val="nil"/>
              <w:bottom w:val="single" w:sz="8" w:space="0" w:color="auto"/>
              <w:right w:val="single" w:sz="8" w:space="0" w:color="auto"/>
            </w:tcBorders>
            <w:shd w:val="clear" w:color="000000" w:fill="D9D9D9"/>
            <w:vAlign w:val="center"/>
            <w:hideMark/>
          </w:tcPr>
          <w:p w:rsidR="001C7C36" w:rsidRPr="00AF3B2A" w:rsidRDefault="001C7C36" w:rsidP="00637187">
            <w:pPr>
              <w:jc w:val="center"/>
              <w:rPr>
                <w:color w:val="000000"/>
                <w:sz w:val="18"/>
                <w:szCs w:val="18"/>
              </w:rPr>
            </w:pPr>
            <w:r w:rsidRPr="00AF3B2A">
              <w:rPr>
                <w:color w:val="000000"/>
                <w:sz w:val="18"/>
                <w:szCs w:val="18"/>
              </w:rPr>
              <w:t>Burden (hrs)</w:t>
            </w:r>
          </w:p>
        </w:tc>
        <w:tc>
          <w:tcPr>
            <w:tcW w:w="0" w:type="auto"/>
            <w:tcBorders>
              <w:top w:val="nil"/>
              <w:left w:val="nil"/>
              <w:bottom w:val="single" w:sz="8" w:space="0" w:color="auto"/>
              <w:right w:val="single" w:sz="8" w:space="0" w:color="auto"/>
            </w:tcBorders>
            <w:shd w:val="clear" w:color="000000" w:fill="D9D9D9"/>
            <w:vAlign w:val="center"/>
            <w:hideMark/>
          </w:tcPr>
          <w:p w:rsidR="001C7C36" w:rsidRPr="00AF3B2A" w:rsidRDefault="001C7C36" w:rsidP="00637187">
            <w:pPr>
              <w:jc w:val="center"/>
              <w:rPr>
                <w:color w:val="000000"/>
                <w:sz w:val="18"/>
                <w:szCs w:val="18"/>
              </w:rPr>
            </w:pPr>
            <w:r w:rsidRPr="00AF3B2A">
              <w:rPr>
                <w:color w:val="000000"/>
                <w:sz w:val="18"/>
                <w:szCs w:val="18"/>
              </w:rPr>
              <w:t>Costs ($)</w:t>
            </w:r>
          </w:p>
        </w:tc>
      </w:tr>
      <w:tr w:rsidR="001C7C36" w:rsidRPr="00AF3B2A" w:rsidTr="001C7C36">
        <w:trPr>
          <w:trHeight w:val="315"/>
        </w:trPr>
        <w:tc>
          <w:tcPr>
            <w:tcW w:w="0" w:type="auto"/>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1C7C36" w:rsidRPr="00AF3B2A" w:rsidRDefault="001C7C36" w:rsidP="00637187">
            <w:pPr>
              <w:rPr>
                <w:b/>
                <w:bCs/>
                <w:color w:val="000000"/>
                <w:sz w:val="18"/>
                <w:szCs w:val="18"/>
              </w:rPr>
            </w:pPr>
            <w:r w:rsidRPr="00AF3B2A">
              <w:rPr>
                <w:b/>
                <w:bCs/>
                <w:color w:val="000000"/>
                <w:sz w:val="18"/>
                <w:szCs w:val="18"/>
              </w:rPr>
              <w:t xml:space="preserve">IC Category – DCI Recipients </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7</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$502</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12</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$1,519</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19</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$2,021</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$43</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$43</w:t>
            </w:r>
          </w:p>
        </w:tc>
      </w:tr>
      <w:tr w:rsidR="001C7C36" w:rsidRPr="00AF3B2A" w:rsidTr="001C7C36">
        <w:trPr>
          <w:trHeight w:val="315"/>
        </w:trPr>
        <w:tc>
          <w:tcPr>
            <w:tcW w:w="0" w:type="auto"/>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1C7C36" w:rsidRPr="00AF3B2A" w:rsidRDefault="001C7C36" w:rsidP="00637187">
            <w:pPr>
              <w:rPr>
                <w:b/>
                <w:bCs/>
                <w:color w:val="000000"/>
                <w:sz w:val="18"/>
                <w:szCs w:val="18"/>
              </w:rPr>
            </w:pPr>
            <w:r w:rsidRPr="00AF3B2A">
              <w:rPr>
                <w:b/>
                <w:bCs/>
                <w:color w:val="000000"/>
                <w:sz w:val="18"/>
                <w:szCs w:val="18"/>
              </w:rPr>
              <w:t>IC Category – Data Generators</w:t>
            </w:r>
            <w:r w:rsidRPr="00AF3B2A">
              <w:rPr>
                <w:color w:val="000000"/>
                <w:sz w:val="18"/>
                <w:szCs w:val="18"/>
                <w:vertAlign w:val="superscript"/>
              </w:rPr>
              <w:t>1</w:t>
            </w:r>
          </w:p>
        </w:tc>
      </w:tr>
      <w:tr w:rsidR="001C7C36" w:rsidRPr="00AF3B2A" w:rsidTr="001C7C36">
        <w:trPr>
          <w:trHeight w:val="315"/>
        </w:trPr>
        <w:tc>
          <w:tcPr>
            <w:tcW w:w="0" w:type="auto"/>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1C7C36" w:rsidRPr="00AF3B2A" w:rsidRDefault="001C7C36" w:rsidP="00637187">
            <w:pPr>
              <w:jc w:val="center"/>
              <w:rPr>
                <w:i/>
                <w:iCs/>
                <w:color w:val="000000"/>
                <w:sz w:val="18"/>
                <w:szCs w:val="18"/>
              </w:rPr>
            </w:pPr>
            <w:r w:rsidRPr="00AF3B2A">
              <w:rPr>
                <w:i/>
                <w:iCs/>
                <w:color w:val="000000"/>
                <w:sz w:val="18"/>
                <w:szCs w:val="18"/>
              </w:rPr>
              <w:t>Reregistration Program DCIs</w:t>
            </w:r>
          </w:p>
        </w:tc>
      </w:tr>
      <w:tr w:rsidR="001C7C36" w:rsidRPr="00AF3B2A" w:rsidTr="001C7C36">
        <w:trPr>
          <w:trHeight w:val="315"/>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1C7C36" w:rsidRPr="00AF3B2A" w:rsidRDefault="001C7C36" w:rsidP="00637187">
            <w:pPr>
              <w:rPr>
                <w:color w:val="000000"/>
                <w:sz w:val="18"/>
                <w:szCs w:val="18"/>
                <w:u w:val="single"/>
              </w:rPr>
            </w:pPr>
            <w:r w:rsidRPr="00AF3B2A">
              <w:rPr>
                <w:color w:val="000000"/>
                <w:sz w:val="18"/>
                <w:szCs w:val="18"/>
                <w:u w:val="single"/>
              </w:rPr>
              <w:t>1) Confirmatory DCIs</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Reporting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835</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$35,886</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4,070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$291,760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576</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$72,852</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5,480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$400,498</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732</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$31,443</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134</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$16,920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865</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$48,363</w:t>
            </w:r>
          </w:p>
        </w:tc>
      </w:tr>
      <w:tr w:rsidR="001C7C36" w:rsidRPr="00AF3B2A" w:rsidTr="001C7C36">
        <w:trPr>
          <w:trHeight w:val="315"/>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1C7C36" w:rsidRPr="00AF3B2A" w:rsidRDefault="001C7C36" w:rsidP="00637187">
            <w:pPr>
              <w:rPr>
                <w:color w:val="000000"/>
                <w:sz w:val="18"/>
                <w:szCs w:val="18"/>
                <w:u w:val="single"/>
              </w:rPr>
            </w:pPr>
            <w:r w:rsidRPr="00AF3B2A">
              <w:rPr>
                <w:color w:val="000000"/>
                <w:sz w:val="18"/>
                <w:szCs w:val="18"/>
                <w:u w:val="single"/>
              </w:rPr>
              <w:t>2) Product Specific DCIs</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Reporting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127</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$5,471</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619</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$44,348</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86</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$10,846</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832</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$60,665</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111</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$4,764</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22</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$2,799</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133</w:t>
            </w:r>
          </w:p>
        </w:tc>
        <w:tc>
          <w:tcPr>
            <w:tcW w:w="0" w:type="auto"/>
            <w:tcBorders>
              <w:top w:val="nil"/>
              <w:left w:val="nil"/>
              <w:bottom w:val="single" w:sz="8" w:space="0" w:color="auto"/>
              <w:right w:val="single" w:sz="8" w:space="0" w:color="auto"/>
            </w:tcBorders>
            <w:shd w:val="clear" w:color="auto" w:fill="auto"/>
            <w:vAlign w:val="center"/>
            <w:hideMark/>
          </w:tcPr>
          <w:p w:rsidR="001C7C36" w:rsidRDefault="001C7C36" w:rsidP="00637187">
            <w:pPr>
              <w:jc w:val="right"/>
              <w:rPr>
                <w:color w:val="000000"/>
                <w:sz w:val="18"/>
                <w:szCs w:val="18"/>
              </w:rPr>
            </w:pPr>
            <w:r w:rsidRPr="00AF3B2A">
              <w:rPr>
                <w:color w:val="000000"/>
                <w:sz w:val="18"/>
                <w:szCs w:val="18"/>
              </w:rPr>
              <w:t>$7,563</w:t>
            </w:r>
          </w:p>
          <w:p w:rsidR="009A7AF6" w:rsidRPr="009A7AF6" w:rsidRDefault="009A7AF6" w:rsidP="009A7AF6">
            <w:pPr>
              <w:pStyle w:val="NoSpacing"/>
            </w:pPr>
          </w:p>
        </w:tc>
      </w:tr>
      <w:tr w:rsidR="001C7C36" w:rsidRPr="00AF3B2A" w:rsidTr="001C7C36">
        <w:trPr>
          <w:trHeight w:val="315"/>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1C7C36" w:rsidRPr="00AF3B2A" w:rsidRDefault="001C7C36" w:rsidP="00637187">
            <w:pPr>
              <w:rPr>
                <w:color w:val="000000"/>
                <w:sz w:val="18"/>
                <w:szCs w:val="18"/>
                <w:u w:val="single"/>
              </w:rPr>
            </w:pPr>
            <w:r w:rsidRPr="00AF3B2A">
              <w:rPr>
                <w:color w:val="000000"/>
                <w:sz w:val="18"/>
                <w:szCs w:val="18"/>
                <w:u w:val="single"/>
              </w:rPr>
              <w:t>3) Reregistration: Voluntarily Submitted Low Burden Studies</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Reporting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87</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$3,723</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422</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$30,252</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65</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$8,185</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573</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$42,160</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76</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$3,258</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9</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$1,123</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85</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$4,381</w:t>
            </w:r>
          </w:p>
        </w:tc>
      </w:tr>
      <w:tr w:rsidR="001C7C36" w:rsidRPr="00AF3B2A" w:rsidTr="001C7C36">
        <w:trPr>
          <w:trHeight w:val="315"/>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1C7C36" w:rsidRPr="00AF3B2A" w:rsidRDefault="001C7C36" w:rsidP="00637187">
            <w:pPr>
              <w:rPr>
                <w:color w:val="000000"/>
                <w:sz w:val="18"/>
                <w:szCs w:val="18"/>
                <w:u w:val="single"/>
              </w:rPr>
            </w:pPr>
            <w:r w:rsidRPr="00AF3B2A">
              <w:rPr>
                <w:color w:val="000000"/>
                <w:sz w:val="18"/>
                <w:szCs w:val="18"/>
                <w:u w:val="single"/>
              </w:rPr>
              <w:t>4) Reregistration: Voluntarily Submitted High Burden Studies</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Reporting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479</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$20,577</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2,334</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$167,287</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326</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$41,317</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3,139</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$229,181</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420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$18,028</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80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$10,156</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500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$28,184</w:t>
            </w:r>
          </w:p>
        </w:tc>
      </w:tr>
      <w:tr w:rsidR="001C7C36" w:rsidRPr="00AF3B2A" w:rsidTr="001C7C36">
        <w:trPr>
          <w:trHeight w:val="315"/>
        </w:trPr>
        <w:tc>
          <w:tcPr>
            <w:tcW w:w="0" w:type="auto"/>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1C7C36" w:rsidRPr="00AF3B2A" w:rsidRDefault="001C7C36" w:rsidP="00637187">
            <w:pPr>
              <w:jc w:val="center"/>
              <w:rPr>
                <w:i/>
                <w:iCs/>
                <w:color w:val="000000"/>
                <w:sz w:val="18"/>
                <w:szCs w:val="18"/>
              </w:rPr>
            </w:pPr>
            <w:r w:rsidRPr="00AF3B2A">
              <w:rPr>
                <w:i/>
                <w:iCs/>
                <w:color w:val="000000"/>
                <w:sz w:val="18"/>
                <w:szCs w:val="18"/>
              </w:rPr>
              <w:t>Maintenance and Registration Review DCIs</w:t>
            </w:r>
          </w:p>
        </w:tc>
      </w:tr>
      <w:tr w:rsidR="001C7C36" w:rsidRPr="00AF3B2A" w:rsidTr="001C7C36">
        <w:trPr>
          <w:trHeight w:val="315"/>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1C7C36" w:rsidRPr="00AF3B2A" w:rsidRDefault="001C7C36" w:rsidP="00637187">
            <w:pPr>
              <w:rPr>
                <w:color w:val="000000"/>
                <w:sz w:val="18"/>
                <w:szCs w:val="18"/>
                <w:u w:val="single"/>
              </w:rPr>
            </w:pPr>
            <w:r w:rsidRPr="00AF3B2A">
              <w:rPr>
                <w:color w:val="000000"/>
                <w:sz w:val="18"/>
                <w:szCs w:val="18"/>
                <w:u w:val="single"/>
              </w:rPr>
              <w:t>5) Maintenance DCIs</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Reporting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450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$19,322</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2,188</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$156,889</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320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$40,536</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2,958</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$216,747</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393</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$16,883</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61</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$7,737</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454</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$24,621</w:t>
            </w:r>
          </w:p>
        </w:tc>
      </w:tr>
      <w:tr w:rsidR="001C7C36" w:rsidRPr="00AF3B2A" w:rsidTr="001C7C36">
        <w:trPr>
          <w:trHeight w:val="315"/>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1C7C36" w:rsidRPr="00AF3B2A" w:rsidRDefault="001C7C36" w:rsidP="00637187">
            <w:pPr>
              <w:rPr>
                <w:color w:val="000000"/>
                <w:sz w:val="18"/>
                <w:szCs w:val="18"/>
                <w:u w:val="single"/>
              </w:rPr>
            </w:pPr>
            <w:r w:rsidRPr="00AF3B2A">
              <w:rPr>
                <w:color w:val="000000"/>
                <w:sz w:val="18"/>
                <w:szCs w:val="18"/>
                <w:u w:val="single"/>
              </w:rPr>
              <w:t>6) Registration Review DCIs</w:t>
            </w:r>
          </w:p>
        </w:tc>
      </w:tr>
      <w:tr w:rsidR="001C7C36" w:rsidRPr="005B78F6" w:rsidTr="002F6463">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Reporting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3,213</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$138,095</w:t>
            </w:r>
          </w:p>
        </w:tc>
        <w:tc>
          <w:tcPr>
            <w:tcW w:w="0" w:type="auto"/>
            <w:tcBorders>
              <w:top w:val="nil"/>
              <w:left w:val="nil"/>
              <w:bottom w:val="single" w:sz="8" w:space="0" w:color="auto"/>
              <w:right w:val="single" w:sz="8" w:space="0" w:color="auto"/>
            </w:tcBorders>
            <w:shd w:val="clear" w:color="auto" w:fill="auto"/>
            <w:vAlign w:val="center"/>
            <w:hideMark/>
          </w:tcPr>
          <w:p w:rsidR="001C7C36" w:rsidRPr="005B78F6" w:rsidRDefault="002F6463" w:rsidP="00637187">
            <w:pPr>
              <w:jc w:val="right"/>
              <w:rPr>
                <w:color w:val="000000"/>
                <w:sz w:val="18"/>
                <w:szCs w:val="18"/>
              </w:rPr>
            </w:pPr>
            <w:r w:rsidRPr="005B78F6">
              <w:rPr>
                <w:color w:val="000000"/>
                <w:sz w:val="18"/>
                <w:szCs w:val="18"/>
              </w:rPr>
              <w:t>15,916</w:t>
            </w:r>
          </w:p>
        </w:tc>
        <w:tc>
          <w:tcPr>
            <w:tcW w:w="0" w:type="auto"/>
            <w:tcBorders>
              <w:top w:val="nil"/>
              <w:left w:val="nil"/>
              <w:bottom w:val="single" w:sz="8" w:space="0" w:color="auto"/>
              <w:right w:val="single" w:sz="8" w:space="0" w:color="auto"/>
            </w:tcBorders>
            <w:shd w:val="clear" w:color="auto" w:fill="auto"/>
            <w:vAlign w:val="center"/>
            <w:hideMark/>
          </w:tcPr>
          <w:p w:rsidR="001C7C36" w:rsidRPr="005B78F6" w:rsidRDefault="002F6463" w:rsidP="00637187">
            <w:pPr>
              <w:jc w:val="right"/>
              <w:rPr>
                <w:color w:val="000000"/>
                <w:sz w:val="18"/>
                <w:szCs w:val="18"/>
              </w:rPr>
            </w:pPr>
            <w:r w:rsidRPr="005B78F6">
              <w:rPr>
                <w:color w:val="000000"/>
                <w:sz w:val="18"/>
                <w:szCs w:val="18"/>
              </w:rPr>
              <w:t>$1,141,005</w:t>
            </w:r>
          </w:p>
        </w:tc>
        <w:tc>
          <w:tcPr>
            <w:tcW w:w="0" w:type="auto"/>
            <w:tcBorders>
              <w:top w:val="nil"/>
              <w:left w:val="nil"/>
              <w:bottom w:val="single" w:sz="8" w:space="0" w:color="auto"/>
              <w:right w:val="single" w:sz="8" w:space="0" w:color="auto"/>
            </w:tcBorders>
            <w:shd w:val="clear" w:color="auto" w:fill="auto"/>
            <w:vAlign w:val="center"/>
          </w:tcPr>
          <w:p w:rsidR="002F6463" w:rsidRPr="005B78F6" w:rsidRDefault="002F6463" w:rsidP="002F6463">
            <w:pPr>
              <w:spacing w:line="256" w:lineRule="auto"/>
              <w:jc w:val="right"/>
              <w:rPr>
                <w:color w:val="000000"/>
                <w:sz w:val="18"/>
                <w:szCs w:val="18"/>
              </w:rPr>
            </w:pPr>
          </w:p>
          <w:p w:rsidR="002F6463" w:rsidRPr="005B78F6" w:rsidRDefault="002F6463" w:rsidP="002F6463">
            <w:pPr>
              <w:spacing w:line="256" w:lineRule="auto"/>
              <w:jc w:val="right"/>
              <w:rPr>
                <w:rFonts w:ascii="Times New Roman" w:hAnsi="Times New Roman"/>
                <w:color w:val="000000"/>
                <w:sz w:val="18"/>
                <w:szCs w:val="18"/>
              </w:rPr>
            </w:pPr>
            <w:r w:rsidRPr="005B78F6">
              <w:rPr>
                <w:color w:val="000000"/>
                <w:sz w:val="18"/>
                <w:szCs w:val="18"/>
              </w:rPr>
              <w:t>2,544</w:t>
            </w:r>
          </w:p>
          <w:p w:rsidR="001C7C36" w:rsidRPr="005B78F6" w:rsidRDefault="001C7C36" w:rsidP="00637187">
            <w:pPr>
              <w:jc w:val="right"/>
              <w:rPr>
                <w:color w:val="000000"/>
                <w:sz w:val="18"/>
                <w:szCs w:val="18"/>
              </w:rPr>
            </w:pPr>
          </w:p>
        </w:tc>
        <w:tc>
          <w:tcPr>
            <w:tcW w:w="0" w:type="auto"/>
            <w:tcBorders>
              <w:top w:val="nil"/>
              <w:left w:val="nil"/>
              <w:bottom w:val="single" w:sz="8" w:space="0" w:color="auto"/>
              <w:right w:val="single" w:sz="8" w:space="0" w:color="auto"/>
            </w:tcBorders>
            <w:shd w:val="clear" w:color="auto" w:fill="auto"/>
            <w:vAlign w:val="center"/>
          </w:tcPr>
          <w:p w:rsidR="001C7C36" w:rsidRPr="005B78F6" w:rsidRDefault="002F6463" w:rsidP="00637187">
            <w:pPr>
              <w:jc w:val="right"/>
              <w:rPr>
                <w:color w:val="000000"/>
                <w:sz w:val="18"/>
                <w:szCs w:val="18"/>
              </w:rPr>
            </w:pPr>
            <w:r w:rsidRPr="005B78F6">
              <w:rPr>
                <w:color w:val="000000"/>
                <w:sz w:val="18"/>
                <w:szCs w:val="18"/>
              </w:rPr>
              <w:t>$321,951</w:t>
            </w:r>
          </w:p>
        </w:tc>
        <w:tc>
          <w:tcPr>
            <w:tcW w:w="0" w:type="auto"/>
            <w:tcBorders>
              <w:top w:val="nil"/>
              <w:left w:val="nil"/>
              <w:bottom w:val="single" w:sz="8" w:space="0" w:color="auto"/>
              <w:right w:val="single" w:sz="8" w:space="0" w:color="auto"/>
            </w:tcBorders>
            <w:shd w:val="clear" w:color="auto" w:fill="auto"/>
            <w:vAlign w:val="center"/>
          </w:tcPr>
          <w:p w:rsidR="001C7C36" w:rsidRPr="005B78F6" w:rsidRDefault="002F6463" w:rsidP="00637187">
            <w:pPr>
              <w:jc w:val="right"/>
              <w:rPr>
                <w:color w:val="000000"/>
                <w:sz w:val="18"/>
                <w:szCs w:val="18"/>
              </w:rPr>
            </w:pPr>
            <w:r w:rsidRPr="005B78F6">
              <w:rPr>
                <w:color w:val="000000"/>
                <w:sz w:val="18"/>
                <w:szCs w:val="18"/>
              </w:rPr>
              <w:t>21,673</w:t>
            </w:r>
          </w:p>
        </w:tc>
        <w:tc>
          <w:tcPr>
            <w:tcW w:w="0" w:type="auto"/>
            <w:tcBorders>
              <w:top w:val="nil"/>
              <w:left w:val="nil"/>
              <w:bottom w:val="single" w:sz="8" w:space="0" w:color="auto"/>
              <w:right w:val="single" w:sz="8" w:space="0" w:color="auto"/>
            </w:tcBorders>
            <w:shd w:val="clear" w:color="auto" w:fill="auto"/>
            <w:vAlign w:val="center"/>
          </w:tcPr>
          <w:p w:rsidR="001C7C36" w:rsidRPr="005B78F6" w:rsidRDefault="002F6463" w:rsidP="00637187">
            <w:pPr>
              <w:jc w:val="right"/>
              <w:rPr>
                <w:color w:val="000000"/>
                <w:sz w:val="18"/>
                <w:szCs w:val="18"/>
              </w:rPr>
            </w:pPr>
            <w:r w:rsidRPr="005B78F6">
              <w:rPr>
                <w:color w:val="000000"/>
                <w:sz w:val="18"/>
                <w:szCs w:val="18"/>
              </w:rPr>
              <w:t>$1,601,051</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2,846</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$122,326</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525</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$66,462</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3,372</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$188,787</w:t>
            </w:r>
          </w:p>
        </w:tc>
      </w:tr>
      <w:tr w:rsidR="001C7C36" w:rsidRPr="00AF3B2A" w:rsidTr="001C7C36">
        <w:trPr>
          <w:trHeight w:val="315"/>
        </w:trPr>
        <w:tc>
          <w:tcPr>
            <w:tcW w:w="0" w:type="auto"/>
            <w:gridSpan w:val="9"/>
            <w:tcBorders>
              <w:top w:val="single" w:sz="8" w:space="0" w:color="auto"/>
              <w:left w:val="single" w:sz="8" w:space="0" w:color="auto"/>
              <w:bottom w:val="single" w:sz="8" w:space="0" w:color="auto"/>
              <w:right w:val="single" w:sz="8" w:space="0" w:color="000000"/>
            </w:tcBorders>
            <w:shd w:val="clear" w:color="000000" w:fill="D9D9D9"/>
            <w:vAlign w:val="center"/>
            <w:hideMark/>
          </w:tcPr>
          <w:p w:rsidR="001C7C36" w:rsidRPr="00AF3B2A" w:rsidRDefault="001C7C36" w:rsidP="00637187">
            <w:pPr>
              <w:rPr>
                <w:color w:val="000000"/>
                <w:sz w:val="18"/>
                <w:szCs w:val="18"/>
                <w:u w:val="single"/>
              </w:rPr>
            </w:pPr>
            <w:r w:rsidRPr="00AF3B2A">
              <w:rPr>
                <w:color w:val="000000"/>
                <w:sz w:val="18"/>
                <w:szCs w:val="18"/>
                <w:u w:val="single"/>
              </w:rPr>
              <w:t>7) Registration Review Resistance Management Plans</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Reporting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30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$2,152</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6</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$755</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36</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$2,907</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4</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$302</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4</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$302</w:t>
            </w:r>
          </w:p>
        </w:tc>
      </w:tr>
      <w:tr w:rsidR="001C7C36" w:rsidRPr="00AF3B2A" w:rsidTr="001C7C36">
        <w:trPr>
          <w:trHeight w:val="315"/>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1C7C36" w:rsidRPr="00AF3B2A" w:rsidRDefault="001C7C36" w:rsidP="00637187">
            <w:pPr>
              <w:rPr>
                <w:color w:val="000000"/>
                <w:sz w:val="18"/>
                <w:szCs w:val="18"/>
                <w:u w:val="single"/>
              </w:rPr>
            </w:pPr>
            <w:r w:rsidRPr="00AF3B2A">
              <w:rPr>
                <w:color w:val="000000"/>
                <w:sz w:val="18"/>
                <w:szCs w:val="18"/>
                <w:u w:val="single"/>
              </w:rPr>
              <w:t>8) Registration Review:  Voluntarily Submitted Low Burden Studies</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Reporting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87</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$3,723</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422</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$30,252</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65</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$8,185</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573</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$42,160</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76</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$3,258</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9</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$1,123</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85</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$4,381</w:t>
            </w:r>
          </w:p>
        </w:tc>
      </w:tr>
      <w:tr w:rsidR="001C7C36" w:rsidRPr="00AF3B2A" w:rsidTr="001C7C36">
        <w:trPr>
          <w:trHeight w:val="315"/>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1C7C36" w:rsidRPr="00AF3B2A" w:rsidRDefault="001C7C36" w:rsidP="00637187">
            <w:pPr>
              <w:rPr>
                <w:color w:val="000000"/>
                <w:sz w:val="18"/>
                <w:szCs w:val="18"/>
                <w:u w:val="single"/>
              </w:rPr>
            </w:pPr>
            <w:r w:rsidRPr="00AF3B2A">
              <w:rPr>
                <w:color w:val="000000"/>
                <w:sz w:val="18"/>
                <w:szCs w:val="18"/>
                <w:u w:val="single"/>
              </w:rPr>
              <w:t>9)  Registration Review:  Voluntarily Submitted High Burden Studies</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Reporting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479</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$20,577</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2,334</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$167,287</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326</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$41,317</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3,139</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$229,181</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420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$18,028</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80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$10,156</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500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$28,184</w:t>
            </w:r>
          </w:p>
        </w:tc>
      </w:tr>
      <w:tr w:rsidR="001C7C36" w:rsidRPr="00AF3B2A" w:rsidTr="001C7C36">
        <w:trPr>
          <w:trHeight w:val="315"/>
        </w:trPr>
        <w:tc>
          <w:tcPr>
            <w:tcW w:w="0" w:type="auto"/>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1C7C36" w:rsidRPr="00AF3B2A" w:rsidRDefault="001C7C36" w:rsidP="00637187">
            <w:pPr>
              <w:jc w:val="center"/>
              <w:rPr>
                <w:i/>
                <w:iCs/>
                <w:color w:val="000000"/>
                <w:sz w:val="18"/>
                <w:szCs w:val="18"/>
              </w:rPr>
            </w:pPr>
            <w:r w:rsidRPr="00AF3B2A">
              <w:rPr>
                <w:i/>
                <w:iCs/>
                <w:color w:val="000000"/>
                <w:sz w:val="18"/>
                <w:szCs w:val="18"/>
              </w:rPr>
              <w:t>Anticipated Residue/Percent Crop Treated DCIs</w:t>
            </w:r>
          </w:p>
        </w:tc>
      </w:tr>
      <w:tr w:rsidR="001C7C36" w:rsidRPr="00AF3B2A" w:rsidTr="001C7C36">
        <w:trPr>
          <w:trHeight w:val="315"/>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1C7C36" w:rsidRPr="00AF3B2A" w:rsidRDefault="001C7C36" w:rsidP="00637187">
            <w:pPr>
              <w:rPr>
                <w:color w:val="000000"/>
                <w:sz w:val="18"/>
                <w:szCs w:val="18"/>
                <w:u w:val="single"/>
              </w:rPr>
            </w:pPr>
            <w:r w:rsidRPr="00AF3B2A">
              <w:rPr>
                <w:color w:val="000000"/>
                <w:sz w:val="18"/>
                <w:szCs w:val="18"/>
                <w:u w:val="single"/>
              </w:rPr>
              <w:t>10) AR DCIs: Base Set of Data</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Reporting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3</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$114</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11,898</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$852,992</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5</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$598</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11,906</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$853,703</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$57</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$57</w:t>
            </w:r>
          </w:p>
        </w:tc>
      </w:tr>
      <w:tr w:rsidR="001C7C36" w:rsidRPr="00AF3B2A" w:rsidTr="001C7C36">
        <w:trPr>
          <w:trHeight w:val="315"/>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1C7C36" w:rsidRPr="00AF3B2A" w:rsidRDefault="001C7C36" w:rsidP="00637187">
            <w:pPr>
              <w:rPr>
                <w:color w:val="000000"/>
                <w:sz w:val="18"/>
                <w:szCs w:val="18"/>
                <w:u w:val="single"/>
              </w:rPr>
            </w:pPr>
            <w:r w:rsidRPr="00AF3B2A">
              <w:rPr>
                <w:color w:val="000000"/>
                <w:sz w:val="18"/>
                <w:szCs w:val="18"/>
                <w:u w:val="single"/>
              </w:rPr>
              <w:t>11) AR DCIs: Verification-of-use Data</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Reporting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15</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$651</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36</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$2,590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18</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$2,308</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70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$5,548</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$81</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$81</w:t>
            </w:r>
          </w:p>
        </w:tc>
      </w:tr>
      <w:tr w:rsidR="001C7C36" w:rsidRPr="00AF3B2A" w:rsidTr="001C7C36">
        <w:trPr>
          <w:trHeight w:val="315"/>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noWrap/>
            <w:vAlign w:val="center"/>
            <w:hideMark/>
          </w:tcPr>
          <w:p w:rsidR="001C7C36" w:rsidRPr="00AF3B2A" w:rsidRDefault="001C7C36" w:rsidP="00637187">
            <w:pPr>
              <w:rPr>
                <w:color w:val="000000"/>
                <w:sz w:val="18"/>
                <w:szCs w:val="18"/>
                <w:u w:val="single"/>
              </w:rPr>
            </w:pPr>
            <w:r w:rsidRPr="00AF3B2A">
              <w:rPr>
                <w:color w:val="000000"/>
                <w:sz w:val="18"/>
                <w:szCs w:val="18"/>
                <w:u w:val="single"/>
              </w:rPr>
              <w:t>12) AR DCIs: Updated Public Source Monitoring Data</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Reporting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14</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$615</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101</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$7,216</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16</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$1,977</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131</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$9,808</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$77</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$77</w:t>
            </w:r>
          </w:p>
        </w:tc>
      </w:tr>
      <w:tr w:rsidR="001C7C36" w:rsidRPr="00AF3B2A" w:rsidTr="001C7C36">
        <w:trPr>
          <w:trHeight w:val="315"/>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1C7C36" w:rsidRPr="00AF3B2A" w:rsidRDefault="001C7C36" w:rsidP="00637187">
            <w:pPr>
              <w:rPr>
                <w:color w:val="000000"/>
                <w:sz w:val="18"/>
                <w:szCs w:val="18"/>
                <w:u w:val="single"/>
              </w:rPr>
            </w:pPr>
            <w:r w:rsidRPr="00AF3B2A">
              <w:rPr>
                <w:color w:val="000000"/>
                <w:sz w:val="18"/>
                <w:szCs w:val="18"/>
                <w:u w:val="single"/>
              </w:rPr>
              <w:t>13) DCIs for Percent Crop Treated Estimates</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Reporting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3</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$126</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47</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$3,403</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$189</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52</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$3,718</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firstLineChars="100" w:firstLine="180"/>
              <w:rPr>
                <w:color w:val="000000"/>
                <w:sz w:val="18"/>
                <w:szCs w:val="18"/>
              </w:rPr>
            </w:pPr>
            <w:r w:rsidRPr="00AF3B2A">
              <w:rPr>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$63</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$63</w:t>
            </w:r>
          </w:p>
        </w:tc>
      </w:tr>
      <w:tr w:rsidR="001C7C36" w:rsidRPr="00AF3B2A" w:rsidTr="001C7C36">
        <w:trPr>
          <w:trHeight w:val="315"/>
        </w:trPr>
        <w:tc>
          <w:tcPr>
            <w:tcW w:w="0" w:type="auto"/>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1C7C36" w:rsidRPr="00AF3B2A" w:rsidRDefault="001C7C36" w:rsidP="00637187">
            <w:pPr>
              <w:rPr>
                <w:b/>
                <w:bCs/>
                <w:color w:val="000000"/>
                <w:sz w:val="18"/>
                <w:szCs w:val="18"/>
              </w:rPr>
            </w:pPr>
            <w:r w:rsidRPr="00AF3B2A">
              <w:rPr>
                <w:b/>
                <w:bCs/>
                <w:color w:val="000000"/>
                <w:sz w:val="18"/>
                <w:szCs w:val="18"/>
              </w:rPr>
              <w:t xml:space="preserve">IC Category </w:t>
            </w:r>
            <w:r>
              <w:rPr>
                <w:b/>
                <w:bCs/>
                <w:color w:val="000000"/>
                <w:sz w:val="18"/>
                <w:szCs w:val="18"/>
              </w:rPr>
              <w:t xml:space="preserve">- </w:t>
            </w:r>
            <w:r w:rsidRPr="00AF3B2A">
              <w:rPr>
                <w:b/>
                <w:bCs/>
                <w:color w:val="000000"/>
                <w:sz w:val="18"/>
                <w:szCs w:val="18"/>
              </w:rPr>
              <w:t>Consortiums</w:t>
            </w:r>
          </w:p>
        </w:tc>
      </w:tr>
      <w:tr w:rsidR="001C7C36" w:rsidRPr="00AF3B2A" w:rsidTr="001C7C36">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7C36" w:rsidRPr="00AF3B2A" w:rsidRDefault="001C7C36" w:rsidP="00637187">
            <w:pPr>
              <w:ind w:left="156"/>
              <w:rPr>
                <w:color w:val="000000"/>
                <w:sz w:val="18"/>
                <w:szCs w:val="18"/>
              </w:rPr>
            </w:pPr>
            <w:r w:rsidRPr="00AF3B2A">
              <w:rPr>
                <w:color w:val="000000"/>
                <w:sz w:val="18"/>
                <w:szCs w:val="18"/>
              </w:rPr>
              <w:t>Paperwork burden associated with operating a consortium</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510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$21,917</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800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$57,351</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810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$102,511</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2,120</w:t>
            </w:r>
          </w:p>
        </w:tc>
        <w:tc>
          <w:tcPr>
            <w:tcW w:w="0" w:type="auto"/>
            <w:tcBorders>
              <w:top w:val="nil"/>
              <w:left w:val="nil"/>
              <w:bottom w:val="single" w:sz="8" w:space="0" w:color="auto"/>
              <w:right w:val="single" w:sz="8" w:space="0" w:color="auto"/>
            </w:tcBorders>
            <w:shd w:val="clear" w:color="auto" w:fill="auto"/>
            <w:vAlign w:val="center"/>
            <w:hideMark/>
          </w:tcPr>
          <w:p w:rsidR="001C7C36" w:rsidRPr="00AF3B2A" w:rsidRDefault="001C7C36" w:rsidP="00637187">
            <w:pPr>
              <w:jc w:val="right"/>
              <w:rPr>
                <w:color w:val="000000"/>
                <w:sz w:val="18"/>
                <w:szCs w:val="18"/>
              </w:rPr>
            </w:pPr>
            <w:r w:rsidRPr="00AF3B2A">
              <w:rPr>
                <w:color w:val="000000"/>
                <w:sz w:val="18"/>
                <w:szCs w:val="18"/>
              </w:rPr>
              <w:t>$181,779</w:t>
            </w:r>
          </w:p>
        </w:tc>
      </w:tr>
    </w:tbl>
    <w:p w:rsidR="001C7C36" w:rsidRPr="00AF3B2A" w:rsidRDefault="001C7C36" w:rsidP="001C7C36">
      <w:pPr>
        <w:rPr>
          <w:i/>
          <w:sz w:val="18"/>
        </w:rPr>
      </w:pPr>
      <w:r w:rsidRPr="00AF3B2A">
        <w:rPr>
          <w:sz w:val="18"/>
        </w:rPr>
        <w:t>* Numbers may not add due to rounding.  Please refer to text for information on calculations presented in this table.</w:t>
      </w:r>
      <w:r w:rsidRPr="00AF3B2A">
        <w:rPr>
          <w:i/>
          <w:sz w:val="18"/>
        </w:rPr>
        <w:t xml:space="preserve">  </w:t>
      </w:r>
    </w:p>
    <w:p w:rsidR="001C7C36" w:rsidRPr="00AF3B2A" w:rsidRDefault="001C7C36" w:rsidP="001C7C36">
      <w:pPr>
        <w:rPr>
          <w:sz w:val="18"/>
        </w:rPr>
      </w:pPr>
      <w:r w:rsidRPr="00AF3B2A">
        <w:rPr>
          <w:sz w:val="18"/>
        </w:rPr>
        <w:t>Note that these estimates reflect burden and costs per company when referring to DCI recipients and per DCI when referring to data generators.  Methods used for calculating the cost and burden for cases under each IC Group vary.  For a review of methods used in these calculations, refer to Appendix A, B, and C.</w:t>
      </w:r>
    </w:p>
    <w:p w:rsidR="001C7C36" w:rsidRPr="001C7C36" w:rsidRDefault="001C7C36" w:rsidP="001C7C36">
      <w:pPr>
        <w:pStyle w:val="NoSpacing"/>
        <w:rPr>
          <w:lang w:bidi="en-US"/>
        </w:rPr>
      </w:pPr>
    </w:p>
    <w:p w:rsidR="00782832" w:rsidRDefault="00782832" w:rsidP="00B74424">
      <w:pPr>
        <w:rPr>
          <w:lang w:bidi="en-US"/>
        </w:rPr>
      </w:pPr>
    </w:p>
    <w:p w:rsidR="00782832" w:rsidRPr="005D7BD1" w:rsidRDefault="00B610CF" w:rsidP="00B610CF">
      <w:pPr>
        <w:pStyle w:val="Heading3"/>
        <w:tabs>
          <w:tab w:val="left" w:pos="1080"/>
        </w:tabs>
        <w:ind w:left="360"/>
      </w:pPr>
      <w:bookmarkStart w:id="84" w:name="_Toc482020582"/>
      <w:r>
        <w:t>3(b)(i).</w:t>
      </w:r>
      <w:r>
        <w:tab/>
      </w:r>
      <w:r w:rsidR="00782832">
        <w:t>Respondent Bottom</w:t>
      </w:r>
      <w:r w:rsidR="00D567ED">
        <w:t xml:space="preserve"> </w:t>
      </w:r>
      <w:r w:rsidR="00782832">
        <w:t xml:space="preserve">line: </w:t>
      </w:r>
      <w:r w:rsidR="00782832" w:rsidRPr="005D7BD1">
        <w:t>Total Estimated Burden and Costs</w:t>
      </w:r>
      <w:bookmarkEnd w:id="84"/>
    </w:p>
    <w:p w:rsidR="00782832" w:rsidRPr="00573A65" w:rsidRDefault="00782832" w:rsidP="00782832">
      <w:pPr>
        <w:pStyle w:val="NoSpacing"/>
        <w:tabs>
          <w:tab w:val="left" w:pos="1080"/>
        </w:tabs>
        <w:ind w:left="360"/>
      </w:pPr>
    </w:p>
    <w:p w:rsidR="00346D5E" w:rsidRPr="00346D5E" w:rsidRDefault="00782832" w:rsidP="00DB1510">
      <w:pPr>
        <w:pStyle w:val="NoSpacing"/>
        <w:tabs>
          <w:tab w:val="left" w:pos="1080"/>
        </w:tabs>
        <w:rPr>
          <w:lang w:bidi="en-US"/>
        </w:rPr>
      </w:pPr>
      <w:r w:rsidRPr="00573A65">
        <w:rPr>
          <w:lang w:bidi="en-US"/>
        </w:rPr>
        <w:t xml:space="preserve">Table </w:t>
      </w:r>
      <w:r w:rsidR="00D567ED">
        <w:rPr>
          <w:lang w:bidi="en-US"/>
        </w:rPr>
        <w:t>4</w:t>
      </w:r>
      <w:r w:rsidRPr="00573A65">
        <w:rPr>
          <w:lang w:bidi="en-US"/>
        </w:rPr>
        <w:t xml:space="preserve"> presents the </w:t>
      </w:r>
      <w:r w:rsidRPr="00573A65">
        <w:rPr>
          <w:bCs/>
          <w:lang w:bidi="en-US"/>
        </w:rPr>
        <w:t xml:space="preserve">total annual respondent burden hours for data recipients, data generators, and consortium members (excluding voluntary data submissions).  These calculations reflect recordkeeping, reporting, and total burden numbers for each IC group universe.  Refer to </w:t>
      </w:r>
      <w:r w:rsidR="00752F39">
        <w:rPr>
          <w:bCs/>
          <w:lang w:bidi="en-US"/>
        </w:rPr>
        <w:t>Attachment</w:t>
      </w:r>
      <w:r w:rsidR="001724C5">
        <w:rPr>
          <w:bCs/>
          <w:lang w:bidi="en-US"/>
        </w:rPr>
        <w:t xml:space="preserve"> </w:t>
      </w:r>
      <w:r w:rsidR="00752F39">
        <w:rPr>
          <w:bCs/>
          <w:lang w:bidi="en-US"/>
        </w:rPr>
        <w:t xml:space="preserve">1, </w:t>
      </w:r>
      <w:r w:rsidRPr="00573A65">
        <w:rPr>
          <w:bCs/>
          <w:lang w:bidi="en-US"/>
        </w:rPr>
        <w:t xml:space="preserve">Appendices A, B, and C for methodologies and formulas demonstrating how these estimates were calculated.  For example, the supporting text under Table A-1 in Appendix A demonstrates how the total burden hours and costs were calculated for data recipients.  Tables in </w:t>
      </w:r>
      <w:r w:rsidR="00752F39">
        <w:rPr>
          <w:bCs/>
          <w:lang w:bidi="en-US"/>
        </w:rPr>
        <w:t xml:space="preserve">Attachment </w:t>
      </w:r>
      <w:r w:rsidR="00C71245">
        <w:rPr>
          <w:bCs/>
          <w:lang w:bidi="en-US"/>
        </w:rPr>
        <w:t>B</w:t>
      </w:r>
      <w:r w:rsidR="00752F39">
        <w:rPr>
          <w:bCs/>
          <w:lang w:bidi="en-US"/>
        </w:rPr>
        <w:t xml:space="preserve">, </w:t>
      </w:r>
      <w:r w:rsidRPr="00573A65">
        <w:rPr>
          <w:bCs/>
          <w:lang w:bidi="en-US"/>
        </w:rPr>
        <w:t xml:space="preserve">Appendix B provide the same information for data generators by IC group.  </w:t>
      </w:r>
      <w:r w:rsidR="001724C5">
        <w:rPr>
          <w:bCs/>
          <w:lang w:bidi="en-US"/>
        </w:rPr>
        <w:t>The 3-year t</w:t>
      </w:r>
      <w:r w:rsidRPr="00573A65">
        <w:rPr>
          <w:bCs/>
          <w:lang w:bidi="en-US"/>
        </w:rPr>
        <w:t xml:space="preserve">otal bottom-line paperwork burden is estimated at </w:t>
      </w:r>
      <w:r w:rsidR="00C942DE">
        <w:rPr>
          <w:bCs/>
          <w:lang w:bidi="en-US"/>
        </w:rPr>
        <w:t>1,8</w:t>
      </w:r>
      <w:r w:rsidR="00FB4544">
        <w:rPr>
          <w:bCs/>
          <w:lang w:bidi="en-US"/>
        </w:rPr>
        <w:t>77,007</w:t>
      </w:r>
      <w:r w:rsidR="001724C5">
        <w:rPr>
          <w:bCs/>
          <w:lang w:bidi="en-US"/>
        </w:rPr>
        <w:t xml:space="preserve"> burden hours (or 6</w:t>
      </w:r>
      <w:r w:rsidR="00FB4544">
        <w:rPr>
          <w:bCs/>
          <w:lang w:bidi="en-US"/>
        </w:rPr>
        <w:t>25</w:t>
      </w:r>
      <w:r w:rsidR="001724C5">
        <w:rPr>
          <w:bCs/>
          <w:lang w:bidi="en-US"/>
        </w:rPr>
        <w:t>,</w:t>
      </w:r>
      <w:r w:rsidR="00FB4544">
        <w:rPr>
          <w:bCs/>
          <w:lang w:bidi="en-US"/>
        </w:rPr>
        <w:t>669</w:t>
      </w:r>
      <w:r w:rsidR="001724C5">
        <w:rPr>
          <w:bCs/>
          <w:lang w:bidi="en-US"/>
        </w:rPr>
        <w:t xml:space="preserve"> hours annually) </w:t>
      </w:r>
      <w:r w:rsidRPr="00573A65">
        <w:rPr>
          <w:lang w:bidi="en-US"/>
        </w:rPr>
        <w:t>which equates to $1</w:t>
      </w:r>
      <w:r w:rsidR="00C942DE">
        <w:rPr>
          <w:lang w:bidi="en-US"/>
        </w:rPr>
        <w:t>3</w:t>
      </w:r>
      <w:r w:rsidR="00FB4544">
        <w:rPr>
          <w:lang w:bidi="en-US"/>
        </w:rPr>
        <w:t>4</w:t>
      </w:r>
      <w:r w:rsidRPr="00573A65">
        <w:rPr>
          <w:lang w:bidi="en-US"/>
        </w:rPr>
        <w:t>,</w:t>
      </w:r>
      <w:r w:rsidR="00FB4544">
        <w:rPr>
          <w:lang w:bidi="en-US"/>
        </w:rPr>
        <w:t>671,171</w:t>
      </w:r>
      <w:r w:rsidRPr="00573A65">
        <w:rPr>
          <w:lang w:bidi="en-US"/>
        </w:rPr>
        <w:t xml:space="preserve"> </w:t>
      </w:r>
      <w:r w:rsidR="001724C5">
        <w:rPr>
          <w:lang w:bidi="en-US"/>
        </w:rPr>
        <w:t>in paperwork burden costs</w:t>
      </w:r>
      <w:r w:rsidR="004767DE">
        <w:rPr>
          <w:lang w:bidi="en-US"/>
        </w:rPr>
        <w:t xml:space="preserve"> </w:t>
      </w:r>
      <w:r w:rsidR="001724C5">
        <w:rPr>
          <w:lang w:bidi="en-US"/>
        </w:rPr>
        <w:t>(or $4</w:t>
      </w:r>
      <w:r w:rsidR="00FB4544">
        <w:rPr>
          <w:lang w:bidi="en-US"/>
        </w:rPr>
        <w:t>4,890,390</w:t>
      </w:r>
      <w:r w:rsidR="003821B2">
        <w:rPr>
          <w:lang w:bidi="en-US"/>
        </w:rPr>
        <w:t xml:space="preserve"> </w:t>
      </w:r>
      <w:r w:rsidR="001724C5">
        <w:rPr>
          <w:lang w:bidi="en-US"/>
        </w:rPr>
        <w:t>annually)</w:t>
      </w:r>
      <w:r w:rsidRPr="00573A65">
        <w:rPr>
          <w:lang w:bidi="en-US"/>
        </w:rPr>
        <w:t xml:space="preserve">.  </w:t>
      </w:r>
    </w:p>
    <w:p w:rsidR="00346D5E" w:rsidRPr="00346D5E" w:rsidRDefault="00346D5E" w:rsidP="009A6FB8">
      <w:pPr>
        <w:rPr>
          <w:lang w:bidi="en-US"/>
        </w:rPr>
      </w:pPr>
    </w:p>
    <w:p w:rsidR="00346D5E" w:rsidRDefault="00346D5E" w:rsidP="00782832">
      <w:pPr>
        <w:pStyle w:val="NoSpacing"/>
        <w:tabs>
          <w:tab w:val="left" w:pos="1080"/>
        </w:tabs>
        <w:rPr>
          <w:lang w:bidi="en-US"/>
        </w:rPr>
      </w:pPr>
    </w:p>
    <w:p w:rsidR="00B91638" w:rsidRDefault="00B91638" w:rsidP="00782832">
      <w:pPr>
        <w:pStyle w:val="NoSpacing"/>
        <w:tabs>
          <w:tab w:val="left" w:pos="1080"/>
        </w:tabs>
        <w:rPr>
          <w:sz w:val="20"/>
          <w:szCs w:val="20"/>
          <w:lang w:bidi="en-US"/>
        </w:rPr>
        <w:sectPr w:rsidR="00B91638" w:rsidSect="00DB1510">
          <w:headerReference w:type="even" r:id="rId11"/>
          <w:headerReference w:type="default" r:id="rId12"/>
          <w:footerReference w:type="even" r:id="rId13"/>
          <w:footerReference w:type="default" r:id="rId14"/>
          <w:headerReference w:type="first" r:id="rId15"/>
          <w:pgSz w:w="12240" w:h="15840"/>
          <w:pgMar w:top="1440" w:right="1800" w:bottom="1440" w:left="1800" w:header="720" w:footer="720" w:gutter="0"/>
          <w:cols w:space="720"/>
          <w:titlePg/>
          <w:docGrid w:linePitch="360"/>
        </w:sectPr>
      </w:pPr>
    </w:p>
    <w:p w:rsidR="00B610CF" w:rsidRPr="00AF3B2A" w:rsidRDefault="00B610CF" w:rsidP="00B610CF">
      <w:pPr>
        <w:pStyle w:val="NoSpacing"/>
        <w:rPr>
          <w:rFonts w:ascii="Times New Roman" w:hAnsi="Times New Roman"/>
          <w:b/>
        </w:rPr>
      </w:pPr>
      <w:bookmarkStart w:id="85" w:name="OLE_LINK4"/>
      <w:r w:rsidRPr="00AF3B2A">
        <w:rPr>
          <w:rFonts w:ascii="Times New Roman" w:hAnsi="Times New Roman"/>
          <w:b/>
        </w:rPr>
        <w:t xml:space="preserve">Table </w:t>
      </w:r>
      <w:r>
        <w:rPr>
          <w:rFonts w:ascii="Times New Roman" w:hAnsi="Times New Roman"/>
          <w:b/>
        </w:rPr>
        <w:t>4</w:t>
      </w:r>
      <w:r w:rsidRPr="00AF3B2A">
        <w:rPr>
          <w:rFonts w:ascii="Times New Roman" w:hAnsi="Times New Roman"/>
          <w:b/>
        </w:rPr>
        <w:t xml:space="preserve">: </w:t>
      </w:r>
      <w:r>
        <w:t>Respondent Bottom line</w:t>
      </w:r>
      <w:r w:rsidRPr="00B610CF">
        <w:rPr>
          <w:rFonts w:cs="Arial"/>
        </w:rPr>
        <w:t>:</w:t>
      </w:r>
      <w:r w:rsidRPr="00B610CF">
        <w:rPr>
          <w:rFonts w:cs="Arial"/>
          <w:b/>
        </w:rPr>
        <w:t xml:space="preserve"> </w:t>
      </w:r>
      <w:r w:rsidRPr="00B610CF">
        <w:rPr>
          <w:rFonts w:cs="Arial"/>
        </w:rPr>
        <w:t>Costs (3-year Totals)</w:t>
      </w:r>
    </w:p>
    <w:bookmarkEnd w:id="85"/>
    <w:tbl>
      <w:tblPr>
        <w:tblW w:w="0" w:type="auto"/>
        <w:tblLook w:val="04A0" w:firstRow="1" w:lastRow="0" w:firstColumn="1" w:lastColumn="0" w:noHBand="0" w:noVBand="1"/>
      </w:tblPr>
      <w:tblGrid>
        <w:gridCol w:w="222"/>
        <w:gridCol w:w="3270"/>
        <w:gridCol w:w="1017"/>
        <w:gridCol w:w="1427"/>
        <w:gridCol w:w="1017"/>
        <w:gridCol w:w="1318"/>
        <w:gridCol w:w="1427"/>
        <w:gridCol w:w="1318"/>
      </w:tblGrid>
      <w:tr w:rsidR="00B610CF" w:rsidRPr="00AF3B2A" w:rsidTr="001C4440">
        <w:trPr>
          <w:trHeight w:val="315"/>
        </w:trPr>
        <w:tc>
          <w:tcPr>
            <w:tcW w:w="0" w:type="auto"/>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610CF" w:rsidRPr="00AF3B2A" w:rsidRDefault="00B610CF" w:rsidP="001C4440">
            <w:pPr>
              <w:jc w:val="center"/>
              <w:rPr>
                <w:color w:val="000000"/>
                <w:sz w:val="18"/>
                <w:szCs w:val="18"/>
              </w:rPr>
            </w:pP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B610CF" w:rsidRPr="00AF3B2A" w:rsidRDefault="00B610CF" w:rsidP="001C4440">
            <w:pPr>
              <w:jc w:val="center"/>
              <w:rPr>
                <w:b/>
                <w:bCs/>
                <w:color w:val="000000"/>
                <w:sz w:val="18"/>
                <w:szCs w:val="18"/>
              </w:rPr>
            </w:pPr>
            <w:r w:rsidRPr="00AF3B2A">
              <w:rPr>
                <w:b/>
                <w:bCs/>
                <w:color w:val="000000"/>
                <w:sz w:val="18"/>
                <w:szCs w:val="18"/>
              </w:rPr>
              <w:t>Burden Hours</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B610CF" w:rsidRPr="00AF3B2A" w:rsidRDefault="00B610CF" w:rsidP="001C4440">
            <w:pPr>
              <w:jc w:val="center"/>
              <w:rPr>
                <w:b/>
                <w:bCs/>
                <w:color w:val="000000"/>
                <w:sz w:val="18"/>
                <w:szCs w:val="18"/>
              </w:rPr>
            </w:pPr>
            <w:r w:rsidRPr="00AF3B2A">
              <w:rPr>
                <w:b/>
                <w:bCs/>
                <w:color w:val="000000"/>
                <w:sz w:val="18"/>
                <w:szCs w:val="18"/>
              </w:rPr>
              <w:t>Costs</w:t>
            </w:r>
          </w:p>
        </w:tc>
      </w:tr>
      <w:tr w:rsidR="00B610CF" w:rsidRPr="00AF3B2A" w:rsidTr="001C4440">
        <w:trPr>
          <w:trHeight w:val="315"/>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B610CF" w:rsidRPr="00AF3B2A" w:rsidRDefault="00B610CF" w:rsidP="001C4440">
            <w:pPr>
              <w:rPr>
                <w:color w:val="000000"/>
                <w:sz w:val="18"/>
                <w:szCs w:val="18"/>
              </w:rPr>
            </w:pP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center"/>
              <w:rPr>
                <w:color w:val="000000"/>
                <w:sz w:val="18"/>
                <w:szCs w:val="18"/>
              </w:rPr>
            </w:pPr>
            <w:r w:rsidRPr="00AF3B2A">
              <w:rPr>
                <w:color w:val="000000"/>
                <w:sz w:val="18"/>
                <w:szCs w:val="18"/>
              </w:rPr>
              <w:t>Reporting</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center"/>
              <w:rPr>
                <w:color w:val="000000"/>
                <w:sz w:val="18"/>
                <w:szCs w:val="18"/>
              </w:rPr>
            </w:pPr>
            <w:r w:rsidRPr="00AF3B2A">
              <w:rPr>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B610CF" w:rsidRPr="00280AA7" w:rsidRDefault="00B610CF" w:rsidP="001C4440">
            <w:pPr>
              <w:jc w:val="center"/>
              <w:rPr>
                <w:b/>
                <w:color w:val="000000"/>
                <w:sz w:val="18"/>
                <w:szCs w:val="18"/>
              </w:rPr>
            </w:pPr>
            <w:r w:rsidRPr="00280AA7">
              <w:rPr>
                <w:b/>
                <w:color w:val="000000"/>
                <w:sz w:val="18"/>
                <w:szCs w:val="18"/>
              </w:rPr>
              <w:t>Total</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center"/>
              <w:rPr>
                <w:color w:val="000000"/>
                <w:sz w:val="18"/>
                <w:szCs w:val="18"/>
              </w:rPr>
            </w:pPr>
            <w:r w:rsidRPr="00AF3B2A">
              <w:rPr>
                <w:color w:val="000000"/>
                <w:sz w:val="18"/>
                <w:szCs w:val="18"/>
              </w:rPr>
              <w:t>Reporting</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center"/>
              <w:rPr>
                <w:color w:val="000000"/>
                <w:sz w:val="18"/>
                <w:szCs w:val="18"/>
              </w:rPr>
            </w:pPr>
            <w:r w:rsidRPr="00AF3B2A">
              <w:rPr>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B610CF" w:rsidRPr="00280AA7" w:rsidRDefault="00B610CF" w:rsidP="001C4440">
            <w:pPr>
              <w:jc w:val="center"/>
              <w:rPr>
                <w:b/>
                <w:color w:val="000000"/>
                <w:sz w:val="18"/>
                <w:szCs w:val="18"/>
              </w:rPr>
            </w:pPr>
            <w:r w:rsidRPr="00280AA7">
              <w:rPr>
                <w:b/>
                <w:color w:val="000000"/>
                <w:sz w:val="18"/>
                <w:szCs w:val="18"/>
              </w:rPr>
              <w:t>Total</w:t>
            </w:r>
          </w:p>
        </w:tc>
      </w:tr>
      <w:tr w:rsidR="00B610CF" w:rsidRPr="00AF3B2A" w:rsidTr="001C4440">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610CF" w:rsidRPr="00AF3B2A" w:rsidRDefault="00B610CF" w:rsidP="001C4440">
            <w:pPr>
              <w:rPr>
                <w:b/>
                <w:bCs/>
                <w:color w:val="000000"/>
                <w:sz w:val="18"/>
                <w:szCs w:val="18"/>
              </w:rPr>
            </w:pPr>
            <w:r w:rsidRPr="00AF3B2A">
              <w:rPr>
                <w:b/>
                <w:bCs/>
                <w:color w:val="000000"/>
                <w:sz w:val="18"/>
                <w:szCs w:val="18"/>
              </w:rPr>
              <w:t>Data Recipients</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2,318</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122</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b/>
                <w:bCs/>
                <w:color w:val="000000"/>
                <w:sz w:val="18"/>
                <w:szCs w:val="18"/>
              </w:rPr>
            </w:pPr>
            <w:r w:rsidRPr="00AF3B2A">
              <w:rPr>
                <w:b/>
                <w:bCs/>
                <w:color w:val="000000"/>
                <w:sz w:val="18"/>
                <w:szCs w:val="18"/>
              </w:rPr>
              <w:t>2,440</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$246,502</w:t>
            </w:r>
          </w:p>
        </w:tc>
        <w:tc>
          <w:tcPr>
            <w:tcW w:w="0" w:type="auto"/>
            <w:tcBorders>
              <w:top w:val="nil"/>
              <w:left w:val="nil"/>
              <w:bottom w:val="single" w:sz="8" w:space="0" w:color="auto"/>
              <w:right w:val="single" w:sz="8" w:space="0" w:color="auto"/>
            </w:tcBorders>
            <w:shd w:val="clear" w:color="auto" w:fill="auto"/>
            <w:noWrap/>
            <w:vAlign w:val="center"/>
            <w:hideMark/>
          </w:tcPr>
          <w:p w:rsidR="00B610CF" w:rsidRPr="00AF3B2A" w:rsidRDefault="00B610CF" w:rsidP="001C4440">
            <w:pPr>
              <w:jc w:val="right"/>
              <w:rPr>
                <w:color w:val="000000"/>
                <w:sz w:val="18"/>
                <w:szCs w:val="18"/>
              </w:rPr>
            </w:pPr>
            <w:r w:rsidRPr="00AF3B2A">
              <w:rPr>
                <w:color w:val="000000"/>
                <w:sz w:val="18"/>
                <w:szCs w:val="18"/>
              </w:rPr>
              <w:t>$5,243</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b/>
                <w:bCs/>
                <w:color w:val="000000"/>
                <w:sz w:val="18"/>
                <w:szCs w:val="18"/>
              </w:rPr>
            </w:pPr>
            <w:r w:rsidRPr="00AF3B2A">
              <w:rPr>
                <w:b/>
                <w:bCs/>
                <w:color w:val="000000"/>
                <w:sz w:val="18"/>
                <w:szCs w:val="18"/>
              </w:rPr>
              <w:t>$251,745</w:t>
            </w:r>
          </w:p>
        </w:tc>
      </w:tr>
      <w:tr w:rsidR="00B610CF" w:rsidRPr="00AF3B2A" w:rsidTr="001C4440">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610CF" w:rsidRPr="00AF3B2A" w:rsidRDefault="00B610CF" w:rsidP="001C4440">
            <w:pPr>
              <w:rPr>
                <w:b/>
                <w:bCs/>
                <w:color w:val="000000"/>
                <w:sz w:val="18"/>
                <w:szCs w:val="18"/>
              </w:rPr>
            </w:pPr>
            <w:r w:rsidRPr="00AF3B2A">
              <w:rPr>
                <w:b/>
                <w:bCs/>
                <w:color w:val="000000"/>
                <w:sz w:val="18"/>
                <w:szCs w:val="18"/>
              </w:rPr>
              <w:t>Data Generators</w:t>
            </w:r>
          </w:p>
        </w:tc>
      </w:tr>
      <w:tr w:rsidR="00B610CF" w:rsidRPr="00AF3B2A" w:rsidTr="001C4440">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610CF" w:rsidRPr="00AF3B2A" w:rsidRDefault="00B610CF" w:rsidP="001C4440">
            <w:pPr>
              <w:rPr>
                <w:i/>
                <w:iCs/>
                <w:color w:val="000000"/>
                <w:sz w:val="18"/>
                <w:szCs w:val="18"/>
              </w:rPr>
            </w:pPr>
            <w:r w:rsidRPr="00AF3B2A">
              <w:rPr>
                <w:i/>
                <w:iCs/>
                <w:color w:val="000000"/>
                <w:sz w:val="18"/>
                <w:szCs w:val="18"/>
              </w:rPr>
              <w:t>Reregistration Program DCIs</w:t>
            </w:r>
          </w:p>
        </w:tc>
      </w:tr>
      <w:tr w:rsidR="00B610CF" w:rsidRPr="00AF3B2A" w:rsidTr="001C4440">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B610CF" w:rsidRPr="00AF3B2A" w:rsidRDefault="00B610CF" w:rsidP="001C4440">
            <w:pPr>
              <w:jc w:val="center"/>
              <w:rPr>
                <w:color w:val="000000"/>
                <w:sz w:val="18"/>
                <w:szCs w:val="18"/>
              </w:rPr>
            </w:pP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rPr>
                <w:color w:val="000000"/>
                <w:sz w:val="18"/>
                <w:szCs w:val="18"/>
              </w:rPr>
            </w:pPr>
            <w:r w:rsidRPr="00AF3B2A">
              <w:rPr>
                <w:color w:val="000000"/>
                <w:sz w:val="18"/>
                <w:szCs w:val="18"/>
              </w:rPr>
              <w:t>Confirmatory DCIs</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129,705</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20,480</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b/>
                <w:bCs/>
                <w:color w:val="000000"/>
                <w:sz w:val="18"/>
                <w:szCs w:val="18"/>
              </w:rPr>
            </w:pPr>
            <w:r w:rsidRPr="00AF3B2A">
              <w:rPr>
                <w:b/>
                <w:bCs/>
                <w:color w:val="000000"/>
                <w:sz w:val="18"/>
                <w:szCs w:val="18"/>
              </w:rPr>
              <w:t>150,185</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$9,478,451</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$1,144,593</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b/>
                <w:bCs/>
                <w:color w:val="000000"/>
                <w:sz w:val="18"/>
                <w:szCs w:val="18"/>
              </w:rPr>
            </w:pPr>
            <w:r w:rsidRPr="00AF3B2A">
              <w:rPr>
                <w:b/>
                <w:bCs/>
                <w:color w:val="000000"/>
                <w:sz w:val="18"/>
                <w:szCs w:val="18"/>
              </w:rPr>
              <w:t>$10,623,044</w:t>
            </w:r>
          </w:p>
        </w:tc>
      </w:tr>
      <w:tr w:rsidR="00B610CF" w:rsidRPr="00AF3B2A" w:rsidTr="001C4440">
        <w:trPr>
          <w:trHeight w:val="315"/>
        </w:trPr>
        <w:tc>
          <w:tcPr>
            <w:tcW w:w="0" w:type="auto"/>
            <w:vMerge/>
            <w:tcBorders>
              <w:top w:val="nil"/>
              <w:left w:val="single" w:sz="8" w:space="0" w:color="auto"/>
              <w:bottom w:val="single" w:sz="8" w:space="0" w:color="000000"/>
              <w:right w:val="single" w:sz="8" w:space="0" w:color="auto"/>
            </w:tcBorders>
            <w:vAlign w:val="center"/>
            <w:hideMark/>
          </w:tcPr>
          <w:p w:rsidR="00B610CF" w:rsidRPr="00AF3B2A" w:rsidRDefault="00B610CF" w:rsidP="001C4440">
            <w:pPr>
              <w:rPr>
                <w:color w:val="000000"/>
                <w:sz w:val="18"/>
                <w:szCs w:val="18"/>
              </w:rPr>
            </w:pP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rPr>
                <w:color w:val="000000"/>
                <w:sz w:val="18"/>
                <w:szCs w:val="18"/>
              </w:rPr>
            </w:pPr>
            <w:r w:rsidRPr="00AF3B2A">
              <w:rPr>
                <w:color w:val="000000"/>
                <w:sz w:val="18"/>
                <w:szCs w:val="18"/>
              </w:rPr>
              <w:t>Product Specific DCIs</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16,910</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2,704</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b/>
                <w:bCs/>
                <w:color w:val="000000"/>
                <w:sz w:val="18"/>
                <w:szCs w:val="18"/>
              </w:rPr>
            </w:pPr>
            <w:r w:rsidRPr="00AF3B2A">
              <w:rPr>
                <w:b/>
                <w:bCs/>
                <w:color w:val="000000"/>
                <w:sz w:val="18"/>
                <w:szCs w:val="18"/>
              </w:rPr>
              <w:t>19,613</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$1,233,528</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$153,774</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b/>
                <w:bCs/>
                <w:color w:val="000000"/>
                <w:sz w:val="18"/>
                <w:szCs w:val="18"/>
              </w:rPr>
            </w:pPr>
            <w:r w:rsidRPr="00AF3B2A">
              <w:rPr>
                <w:b/>
                <w:bCs/>
                <w:color w:val="000000"/>
                <w:sz w:val="18"/>
                <w:szCs w:val="18"/>
              </w:rPr>
              <w:t>$1,387,302</w:t>
            </w:r>
          </w:p>
        </w:tc>
      </w:tr>
      <w:tr w:rsidR="00B610CF" w:rsidRPr="00AF3B2A" w:rsidTr="001C4440">
        <w:trPr>
          <w:trHeight w:val="315"/>
        </w:trPr>
        <w:tc>
          <w:tcPr>
            <w:tcW w:w="0" w:type="auto"/>
            <w:vMerge/>
            <w:tcBorders>
              <w:top w:val="nil"/>
              <w:left w:val="single" w:sz="8" w:space="0" w:color="auto"/>
              <w:bottom w:val="single" w:sz="8" w:space="0" w:color="000000"/>
              <w:right w:val="single" w:sz="8" w:space="0" w:color="auto"/>
            </w:tcBorders>
            <w:vAlign w:val="center"/>
            <w:hideMark/>
          </w:tcPr>
          <w:p w:rsidR="00B610CF" w:rsidRPr="00AF3B2A" w:rsidRDefault="00B610CF" w:rsidP="001C4440">
            <w:pPr>
              <w:rPr>
                <w:color w:val="000000"/>
                <w:sz w:val="18"/>
                <w:szCs w:val="18"/>
              </w:rPr>
            </w:pP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rPr>
                <w:color w:val="000000"/>
                <w:sz w:val="18"/>
                <w:szCs w:val="18"/>
              </w:rPr>
            </w:pPr>
            <w:r w:rsidRPr="00AF3B2A">
              <w:rPr>
                <w:color w:val="000000"/>
                <w:sz w:val="18"/>
                <w:szCs w:val="18"/>
              </w:rPr>
              <w:t>Voluntarily Submitted Low Burden Studies</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191</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28</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b/>
                <w:bCs/>
                <w:color w:val="000000"/>
                <w:sz w:val="18"/>
                <w:szCs w:val="18"/>
              </w:rPr>
            </w:pPr>
            <w:r w:rsidRPr="00AF3B2A">
              <w:rPr>
                <w:b/>
                <w:bCs/>
                <w:color w:val="000000"/>
                <w:sz w:val="18"/>
                <w:szCs w:val="18"/>
              </w:rPr>
              <w:t>219</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$14,053</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$1,460</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b/>
                <w:bCs/>
                <w:color w:val="000000"/>
                <w:sz w:val="18"/>
                <w:szCs w:val="18"/>
              </w:rPr>
            </w:pPr>
            <w:r w:rsidRPr="00AF3B2A">
              <w:rPr>
                <w:b/>
                <w:bCs/>
                <w:color w:val="000000"/>
                <w:sz w:val="18"/>
                <w:szCs w:val="18"/>
              </w:rPr>
              <w:t>$15,514</w:t>
            </w:r>
          </w:p>
        </w:tc>
      </w:tr>
      <w:tr w:rsidR="00B610CF" w:rsidRPr="00AF3B2A" w:rsidTr="001C4440">
        <w:trPr>
          <w:trHeight w:val="315"/>
        </w:trPr>
        <w:tc>
          <w:tcPr>
            <w:tcW w:w="0" w:type="auto"/>
            <w:vMerge/>
            <w:tcBorders>
              <w:top w:val="nil"/>
              <w:left w:val="single" w:sz="8" w:space="0" w:color="auto"/>
              <w:bottom w:val="single" w:sz="8" w:space="0" w:color="000000"/>
              <w:right w:val="single" w:sz="8" w:space="0" w:color="auto"/>
            </w:tcBorders>
            <w:vAlign w:val="center"/>
            <w:hideMark/>
          </w:tcPr>
          <w:p w:rsidR="00B610CF" w:rsidRPr="00AF3B2A" w:rsidRDefault="00B610CF" w:rsidP="001C4440">
            <w:pPr>
              <w:rPr>
                <w:color w:val="000000"/>
                <w:sz w:val="18"/>
                <w:szCs w:val="18"/>
              </w:rPr>
            </w:pP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rPr>
                <w:color w:val="000000"/>
                <w:sz w:val="18"/>
                <w:szCs w:val="18"/>
              </w:rPr>
            </w:pPr>
            <w:r w:rsidRPr="00AF3B2A">
              <w:rPr>
                <w:color w:val="000000"/>
                <w:sz w:val="18"/>
                <w:szCs w:val="18"/>
              </w:rPr>
              <w:t>Voluntarily Submitted High Burden Studies</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1,046</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167</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b/>
                <w:bCs/>
                <w:color w:val="000000"/>
                <w:sz w:val="18"/>
                <w:szCs w:val="18"/>
              </w:rPr>
            </w:pPr>
            <w:r w:rsidRPr="00AF3B2A">
              <w:rPr>
                <w:b/>
                <w:bCs/>
                <w:color w:val="000000"/>
                <w:sz w:val="18"/>
                <w:szCs w:val="18"/>
              </w:rPr>
              <w:t>1,213</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$76,394</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$9,395</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b/>
                <w:bCs/>
                <w:color w:val="000000"/>
                <w:sz w:val="18"/>
                <w:szCs w:val="18"/>
              </w:rPr>
            </w:pPr>
            <w:r w:rsidRPr="00AF3B2A">
              <w:rPr>
                <w:b/>
                <w:bCs/>
                <w:color w:val="000000"/>
                <w:sz w:val="18"/>
                <w:szCs w:val="18"/>
              </w:rPr>
              <w:t>$85,788</w:t>
            </w:r>
          </w:p>
        </w:tc>
      </w:tr>
      <w:tr w:rsidR="00B610CF" w:rsidRPr="00AF3B2A" w:rsidTr="001C4440">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610CF" w:rsidRPr="00AF3B2A" w:rsidRDefault="00B610CF" w:rsidP="001C4440">
            <w:pPr>
              <w:rPr>
                <w:i/>
                <w:iCs/>
                <w:color w:val="000000"/>
                <w:sz w:val="18"/>
                <w:szCs w:val="18"/>
              </w:rPr>
            </w:pPr>
            <w:r w:rsidRPr="00AF3B2A">
              <w:rPr>
                <w:i/>
                <w:iCs/>
                <w:color w:val="000000"/>
                <w:sz w:val="18"/>
                <w:szCs w:val="18"/>
              </w:rPr>
              <w:t>Maintenance and Registration Review DCIs</w:t>
            </w:r>
          </w:p>
        </w:tc>
      </w:tr>
      <w:tr w:rsidR="00B610CF" w:rsidRPr="00AF3B2A" w:rsidTr="001C4440">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B610CF" w:rsidRPr="00AF3B2A" w:rsidRDefault="00B610CF" w:rsidP="001C4440">
            <w:pPr>
              <w:jc w:val="center"/>
              <w:rPr>
                <w:color w:val="000000"/>
                <w:sz w:val="18"/>
                <w:szCs w:val="18"/>
              </w:rPr>
            </w:pP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rPr>
                <w:color w:val="000000"/>
                <w:sz w:val="18"/>
                <w:szCs w:val="18"/>
              </w:rPr>
            </w:pPr>
            <w:r w:rsidRPr="00AF3B2A">
              <w:rPr>
                <w:color w:val="000000"/>
                <w:sz w:val="18"/>
                <w:szCs w:val="18"/>
              </w:rPr>
              <w:t>Maintenance DCIs</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101,377</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15,549</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b/>
                <w:bCs/>
                <w:color w:val="000000"/>
                <w:sz w:val="18"/>
                <w:szCs w:val="18"/>
              </w:rPr>
            </w:pPr>
            <w:r w:rsidRPr="00AF3B2A">
              <w:rPr>
                <w:b/>
                <w:bCs/>
                <w:color w:val="000000"/>
                <w:sz w:val="18"/>
                <w:szCs w:val="18"/>
              </w:rPr>
              <w:t>116,925</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$7,427,823</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$842,633</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b/>
                <w:bCs/>
                <w:color w:val="000000"/>
                <w:sz w:val="18"/>
                <w:szCs w:val="18"/>
              </w:rPr>
            </w:pPr>
            <w:r w:rsidRPr="00AF3B2A">
              <w:rPr>
                <w:b/>
                <w:bCs/>
                <w:color w:val="000000"/>
                <w:sz w:val="18"/>
                <w:szCs w:val="18"/>
              </w:rPr>
              <w:t>$8,270,456</w:t>
            </w:r>
          </w:p>
        </w:tc>
      </w:tr>
      <w:tr w:rsidR="00B610CF" w:rsidRPr="00AF3B2A" w:rsidTr="00F400A3">
        <w:trPr>
          <w:trHeight w:val="315"/>
        </w:trPr>
        <w:tc>
          <w:tcPr>
            <w:tcW w:w="0" w:type="auto"/>
            <w:vMerge/>
            <w:tcBorders>
              <w:top w:val="nil"/>
              <w:left w:val="single" w:sz="8" w:space="0" w:color="auto"/>
              <w:bottom w:val="single" w:sz="8" w:space="0" w:color="000000"/>
              <w:right w:val="single" w:sz="8" w:space="0" w:color="auto"/>
            </w:tcBorders>
            <w:vAlign w:val="center"/>
            <w:hideMark/>
          </w:tcPr>
          <w:p w:rsidR="00B610CF" w:rsidRPr="00AF3B2A" w:rsidRDefault="00B610CF" w:rsidP="001C4440">
            <w:pPr>
              <w:rPr>
                <w:color w:val="000000"/>
                <w:sz w:val="18"/>
                <w:szCs w:val="18"/>
              </w:rPr>
            </w:pP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rPr>
                <w:color w:val="000000"/>
                <w:sz w:val="18"/>
                <w:szCs w:val="18"/>
              </w:rPr>
            </w:pPr>
            <w:r w:rsidRPr="00AF3B2A">
              <w:rPr>
                <w:color w:val="000000"/>
                <w:sz w:val="18"/>
                <w:szCs w:val="18"/>
              </w:rPr>
              <w:t>Registration Review DCIs</w:t>
            </w:r>
          </w:p>
        </w:tc>
        <w:tc>
          <w:tcPr>
            <w:tcW w:w="0" w:type="auto"/>
            <w:tcBorders>
              <w:top w:val="nil"/>
              <w:left w:val="nil"/>
              <w:bottom w:val="single" w:sz="8" w:space="0" w:color="auto"/>
              <w:right w:val="single" w:sz="8" w:space="0" w:color="auto"/>
            </w:tcBorders>
            <w:shd w:val="clear" w:color="auto" w:fill="auto"/>
            <w:noWrap/>
            <w:vAlign w:val="center"/>
          </w:tcPr>
          <w:p w:rsidR="00B610CF" w:rsidRPr="00AF3B2A" w:rsidRDefault="00F400A3" w:rsidP="001C4440">
            <w:pPr>
              <w:jc w:val="right"/>
              <w:rPr>
                <w:color w:val="000000"/>
                <w:sz w:val="18"/>
                <w:szCs w:val="18"/>
              </w:rPr>
            </w:pPr>
            <w:r>
              <w:rPr>
                <w:color w:val="000000"/>
                <w:sz w:val="18"/>
                <w:szCs w:val="18"/>
              </w:rPr>
              <w:t>1,329,299</w:t>
            </w:r>
          </w:p>
        </w:tc>
        <w:tc>
          <w:tcPr>
            <w:tcW w:w="0" w:type="auto"/>
            <w:tcBorders>
              <w:top w:val="nil"/>
              <w:left w:val="nil"/>
              <w:bottom w:val="single" w:sz="8" w:space="0" w:color="auto"/>
              <w:right w:val="single" w:sz="8" w:space="0" w:color="auto"/>
            </w:tcBorders>
            <w:shd w:val="clear" w:color="auto" w:fill="auto"/>
            <w:noWrap/>
            <w:vAlign w:val="center"/>
          </w:tcPr>
          <w:p w:rsidR="00B610CF" w:rsidRPr="00AF3B2A" w:rsidRDefault="00F400A3" w:rsidP="001C4440">
            <w:pPr>
              <w:jc w:val="right"/>
              <w:rPr>
                <w:color w:val="000000"/>
                <w:sz w:val="18"/>
                <w:szCs w:val="18"/>
              </w:rPr>
            </w:pPr>
            <w:r>
              <w:rPr>
                <w:color w:val="000000"/>
                <w:sz w:val="18"/>
                <w:szCs w:val="18"/>
              </w:rPr>
              <w:t>206,794</w:t>
            </w:r>
          </w:p>
        </w:tc>
        <w:tc>
          <w:tcPr>
            <w:tcW w:w="0" w:type="auto"/>
            <w:tcBorders>
              <w:top w:val="nil"/>
              <w:left w:val="nil"/>
              <w:bottom w:val="single" w:sz="8" w:space="0" w:color="auto"/>
              <w:right w:val="single" w:sz="8" w:space="0" w:color="auto"/>
            </w:tcBorders>
            <w:shd w:val="clear" w:color="auto" w:fill="auto"/>
            <w:vAlign w:val="center"/>
          </w:tcPr>
          <w:p w:rsidR="00B610CF" w:rsidRPr="00AF3B2A" w:rsidRDefault="00F400A3" w:rsidP="001C4440">
            <w:pPr>
              <w:jc w:val="right"/>
              <w:rPr>
                <w:b/>
                <w:bCs/>
                <w:color w:val="000000"/>
                <w:sz w:val="18"/>
                <w:szCs w:val="18"/>
              </w:rPr>
            </w:pPr>
            <w:r>
              <w:rPr>
                <w:b/>
                <w:bCs/>
                <w:color w:val="000000"/>
                <w:sz w:val="18"/>
                <w:szCs w:val="18"/>
              </w:rPr>
              <w:t>1,536,093</w:t>
            </w:r>
          </w:p>
        </w:tc>
        <w:tc>
          <w:tcPr>
            <w:tcW w:w="0" w:type="auto"/>
            <w:tcBorders>
              <w:top w:val="nil"/>
              <w:left w:val="nil"/>
              <w:bottom w:val="single" w:sz="8" w:space="0" w:color="auto"/>
              <w:right w:val="single" w:sz="8" w:space="0" w:color="auto"/>
            </w:tcBorders>
            <w:shd w:val="clear" w:color="auto" w:fill="auto"/>
            <w:noWrap/>
            <w:vAlign w:val="center"/>
          </w:tcPr>
          <w:p w:rsidR="00B610CF" w:rsidRPr="00AF3B2A" w:rsidRDefault="00F400A3" w:rsidP="001C4440">
            <w:pPr>
              <w:jc w:val="right"/>
              <w:rPr>
                <w:color w:val="000000"/>
                <w:sz w:val="18"/>
                <w:szCs w:val="18"/>
              </w:rPr>
            </w:pPr>
            <w:r>
              <w:rPr>
                <w:color w:val="000000"/>
                <w:sz w:val="18"/>
                <w:szCs w:val="18"/>
              </w:rPr>
              <w:t>$98,197,781</w:t>
            </w:r>
          </w:p>
        </w:tc>
        <w:tc>
          <w:tcPr>
            <w:tcW w:w="0" w:type="auto"/>
            <w:tcBorders>
              <w:top w:val="nil"/>
              <w:left w:val="nil"/>
              <w:bottom w:val="single" w:sz="8" w:space="0" w:color="auto"/>
              <w:right w:val="single" w:sz="8" w:space="0" w:color="auto"/>
            </w:tcBorders>
            <w:shd w:val="clear" w:color="auto" w:fill="auto"/>
            <w:noWrap/>
            <w:vAlign w:val="center"/>
          </w:tcPr>
          <w:p w:rsidR="00B610CF" w:rsidRPr="00AF3B2A" w:rsidRDefault="00F400A3" w:rsidP="001C4440">
            <w:pPr>
              <w:jc w:val="right"/>
              <w:rPr>
                <w:color w:val="000000"/>
                <w:sz w:val="18"/>
                <w:szCs w:val="18"/>
              </w:rPr>
            </w:pPr>
            <w:r>
              <w:rPr>
                <w:color w:val="000000"/>
                <w:sz w:val="18"/>
                <w:szCs w:val="18"/>
              </w:rPr>
              <w:t>$11,578,951</w:t>
            </w:r>
          </w:p>
        </w:tc>
        <w:tc>
          <w:tcPr>
            <w:tcW w:w="0" w:type="auto"/>
            <w:tcBorders>
              <w:top w:val="nil"/>
              <w:left w:val="nil"/>
              <w:bottom w:val="single" w:sz="8" w:space="0" w:color="auto"/>
              <w:right w:val="single" w:sz="8" w:space="0" w:color="auto"/>
            </w:tcBorders>
            <w:shd w:val="clear" w:color="auto" w:fill="auto"/>
            <w:vAlign w:val="center"/>
          </w:tcPr>
          <w:p w:rsidR="00B610CF" w:rsidRPr="00AF3B2A" w:rsidRDefault="00F400A3" w:rsidP="001C4440">
            <w:pPr>
              <w:jc w:val="right"/>
              <w:rPr>
                <w:b/>
                <w:bCs/>
                <w:color w:val="000000"/>
                <w:sz w:val="18"/>
                <w:szCs w:val="18"/>
              </w:rPr>
            </w:pPr>
            <w:r>
              <w:rPr>
                <w:b/>
                <w:bCs/>
                <w:color w:val="000000"/>
                <w:sz w:val="18"/>
                <w:szCs w:val="18"/>
              </w:rPr>
              <w:t>$109,776,732</w:t>
            </w:r>
          </w:p>
        </w:tc>
      </w:tr>
      <w:tr w:rsidR="00B610CF" w:rsidRPr="00AF3B2A" w:rsidTr="001C4440">
        <w:trPr>
          <w:trHeight w:val="945"/>
        </w:trPr>
        <w:tc>
          <w:tcPr>
            <w:tcW w:w="0" w:type="auto"/>
            <w:vMerge/>
            <w:tcBorders>
              <w:top w:val="nil"/>
              <w:left w:val="single" w:sz="8" w:space="0" w:color="auto"/>
              <w:bottom w:val="single" w:sz="8" w:space="0" w:color="000000"/>
              <w:right w:val="single" w:sz="8" w:space="0" w:color="auto"/>
            </w:tcBorders>
            <w:vAlign w:val="center"/>
            <w:hideMark/>
          </w:tcPr>
          <w:p w:rsidR="00B610CF" w:rsidRPr="00AF3B2A" w:rsidRDefault="00B610CF" w:rsidP="001C4440">
            <w:pPr>
              <w:rPr>
                <w:color w:val="000000"/>
                <w:sz w:val="18"/>
                <w:szCs w:val="18"/>
              </w:rPr>
            </w:pPr>
          </w:p>
        </w:tc>
        <w:tc>
          <w:tcPr>
            <w:tcW w:w="0" w:type="auto"/>
            <w:tcBorders>
              <w:top w:val="single" w:sz="8" w:space="0" w:color="auto"/>
              <w:left w:val="nil"/>
              <w:bottom w:val="single" w:sz="4" w:space="0" w:color="auto"/>
              <w:right w:val="single" w:sz="8" w:space="0" w:color="auto"/>
            </w:tcBorders>
            <w:shd w:val="clear" w:color="auto" w:fill="auto"/>
            <w:vAlign w:val="center"/>
          </w:tcPr>
          <w:p w:rsidR="00B610CF" w:rsidRPr="00AF3B2A" w:rsidRDefault="00B610CF" w:rsidP="001C4440">
            <w:pPr>
              <w:rPr>
                <w:color w:val="000000"/>
                <w:sz w:val="18"/>
                <w:szCs w:val="18"/>
              </w:rPr>
            </w:pPr>
            <w:r w:rsidRPr="00AF3B2A">
              <w:rPr>
                <w:color w:val="000000"/>
                <w:sz w:val="18"/>
                <w:szCs w:val="18"/>
              </w:rPr>
              <w:t>Registration Review Resistance Management Plans</w:t>
            </w:r>
          </w:p>
        </w:tc>
        <w:tc>
          <w:tcPr>
            <w:tcW w:w="0" w:type="auto"/>
            <w:tcBorders>
              <w:top w:val="single" w:sz="8" w:space="0" w:color="auto"/>
              <w:left w:val="nil"/>
              <w:bottom w:val="single" w:sz="4" w:space="0" w:color="auto"/>
              <w:right w:val="single" w:sz="8" w:space="0" w:color="auto"/>
            </w:tcBorders>
            <w:shd w:val="clear" w:color="auto" w:fill="auto"/>
            <w:vAlign w:val="center"/>
          </w:tcPr>
          <w:p w:rsidR="00B610CF" w:rsidRPr="00AF3B2A" w:rsidRDefault="00B610CF" w:rsidP="001C4440">
            <w:pPr>
              <w:jc w:val="right"/>
              <w:rPr>
                <w:color w:val="000000"/>
                <w:sz w:val="18"/>
                <w:szCs w:val="18"/>
              </w:rPr>
            </w:pPr>
            <w:r w:rsidRPr="00AF3B2A">
              <w:rPr>
                <w:color w:val="000000"/>
                <w:sz w:val="18"/>
                <w:szCs w:val="18"/>
              </w:rPr>
              <w:t>2,843</w:t>
            </w:r>
          </w:p>
        </w:tc>
        <w:tc>
          <w:tcPr>
            <w:tcW w:w="0" w:type="auto"/>
            <w:tcBorders>
              <w:top w:val="single" w:sz="8" w:space="0" w:color="auto"/>
              <w:left w:val="nil"/>
              <w:bottom w:val="single" w:sz="4" w:space="0" w:color="auto"/>
              <w:right w:val="single" w:sz="8" w:space="0" w:color="auto"/>
            </w:tcBorders>
            <w:shd w:val="clear" w:color="auto" w:fill="auto"/>
            <w:vAlign w:val="center"/>
          </w:tcPr>
          <w:p w:rsidR="00B610CF" w:rsidRPr="00AF3B2A" w:rsidRDefault="00B610CF" w:rsidP="001C4440">
            <w:pPr>
              <w:jc w:val="right"/>
              <w:rPr>
                <w:color w:val="000000"/>
                <w:sz w:val="18"/>
                <w:szCs w:val="18"/>
              </w:rPr>
            </w:pPr>
            <w:r w:rsidRPr="00AF3B2A">
              <w:rPr>
                <w:color w:val="000000"/>
                <w:sz w:val="18"/>
                <w:szCs w:val="18"/>
              </w:rPr>
              <w:t>333</w:t>
            </w:r>
          </w:p>
        </w:tc>
        <w:tc>
          <w:tcPr>
            <w:tcW w:w="0" w:type="auto"/>
            <w:tcBorders>
              <w:top w:val="single" w:sz="8" w:space="0" w:color="auto"/>
              <w:left w:val="nil"/>
              <w:bottom w:val="single" w:sz="4" w:space="0" w:color="auto"/>
              <w:right w:val="single" w:sz="8" w:space="0" w:color="auto"/>
            </w:tcBorders>
            <w:shd w:val="clear" w:color="auto" w:fill="auto"/>
            <w:vAlign w:val="center"/>
          </w:tcPr>
          <w:p w:rsidR="00B610CF" w:rsidRPr="00AF3B2A" w:rsidRDefault="00B610CF" w:rsidP="001C4440">
            <w:pPr>
              <w:jc w:val="right"/>
              <w:rPr>
                <w:b/>
                <w:bCs/>
                <w:color w:val="000000"/>
                <w:sz w:val="18"/>
                <w:szCs w:val="18"/>
              </w:rPr>
            </w:pPr>
            <w:r w:rsidRPr="00AF3B2A">
              <w:rPr>
                <w:b/>
                <w:bCs/>
                <w:color w:val="000000"/>
                <w:sz w:val="18"/>
                <w:szCs w:val="18"/>
              </w:rPr>
              <w:t>3,176</w:t>
            </w:r>
          </w:p>
        </w:tc>
        <w:tc>
          <w:tcPr>
            <w:tcW w:w="0" w:type="auto"/>
            <w:tcBorders>
              <w:top w:val="single" w:sz="8" w:space="0" w:color="auto"/>
              <w:left w:val="nil"/>
              <w:bottom w:val="single" w:sz="4" w:space="0" w:color="auto"/>
              <w:right w:val="single" w:sz="8" w:space="0" w:color="auto"/>
            </w:tcBorders>
            <w:shd w:val="clear" w:color="auto" w:fill="auto"/>
            <w:vAlign w:val="center"/>
          </w:tcPr>
          <w:p w:rsidR="00B610CF" w:rsidRPr="00AF3B2A" w:rsidRDefault="00B610CF" w:rsidP="001C4440">
            <w:pPr>
              <w:jc w:val="right"/>
              <w:rPr>
                <w:color w:val="000000"/>
                <w:sz w:val="18"/>
                <w:szCs w:val="18"/>
              </w:rPr>
            </w:pPr>
            <w:r w:rsidRPr="00AF3B2A">
              <w:rPr>
                <w:color w:val="000000"/>
                <w:sz w:val="18"/>
                <w:szCs w:val="18"/>
              </w:rPr>
              <w:t>$229,651</w:t>
            </w:r>
          </w:p>
        </w:tc>
        <w:tc>
          <w:tcPr>
            <w:tcW w:w="0" w:type="auto"/>
            <w:tcBorders>
              <w:top w:val="single" w:sz="8" w:space="0" w:color="auto"/>
              <w:left w:val="nil"/>
              <w:bottom w:val="single" w:sz="4" w:space="0" w:color="auto"/>
              <w:right w:val="single" w:sz="8" w:space="0" w:color="auto"/>
            </w:tcBorders>
            <w:shd w:val="clear" w:color="auto" w:fill="auto"/>
            <w:vAlign w:val="center"/>
          </w:tcPr>
          <w:p w:rsidR="00B610CF" w:rsidRPr="00AF3B2A" w:rsidRDefault="00B610CF" w:rsidP="001C4440">
            <w:pPr>
              <w:jc w:val="right"/>
              <w:rPr>
                <w:color w:val="000000"/>
                <w:sz w:val="18"/>
                <w:szCs w:val="18"/>
              </w:rPr>
            </w:pPr>
            <w:r w:rsidRPr="00AF3B2A">
              <w:rPr>
                <w:color w:val="000000"/>
                <w:sz w:val="18"/>
                <w:szCs w:val="18"/>
              </w:rPr>
              <w:t>$23,860</w:t>
            </w:r>
          </w:p>
        </w:tc>
        <w:tc>
          <w:tcPr>
            <w:tcW w:w="0" w:type="auto"/>
            <w:tcBorders>
              <w:top w:val="single" w:sz="8" w:space="0" w:color="auto"/>
              <w:left w:val="nil"/>
              <w:bottom w:val="single" w:sz="4" w:space="0" w:color="auto"/>
              <w:right w:val="single" w:sz="8" w:space="0" w:color="auto"/>
            </w:tcBorders>
            <w:shd w:val="clear" w:color="auto" w:fill="auto"/>
            <w:vAlign w:val="center"/>
          </w:tcPr>
          <w:p w:rsidR="00B610CF" w:rsidRPr="00AF3B2A" w:rsidRDefault="00B610CF" w:rsidP="001C4440">
            <w:pPr>
              <w:jc w:val="right"/>
              <w:rPr>
                <w:b/>
                <w:bCs/>
                <w:color w:val="000000"/>
                <w:sz w:val="18"/>
                <w:szCs w:val="18"/>
              </w:rPr>
            </w:pPr>
            <w:r w:rsidRPr="00AF3B2A">
              <w:rPr>
                <w:b/>
                <w:bCs/>
                <w:color w:val="000000"/>
                <w:sz w:val="18"/>
                <w:szCs w:val="18"/>
              </w:rPr>
              <w:t>$253,511</w:t>
            </w:r>
          </w:p>
        </w:tc>
      </w:tr>
      <w:tr w:rsidR="00B610CF" w:rsidRPr="00AF3B2A" w:rsidTr="00F400A3">
        <w:trPr>
          <w:trHeight w:val="315"/>
        </w:trPr>
        <w:tc>
          <w:tcPr>
            <w:tcW w:w="0" w:type="auto"/>
            <w:vMerge/>
            <w:tcBorders>
              <w:top w:val="nil"/>
              <w:left w:val="single" w:sz="8" w:space="0" w:color="auto"/>
              <w:bottom w:val="single" w:sz="8" w:space="0" w:color="000000"/>
              <w:right w:val="single" w:sz="8" w:space="0" w:color="auto"/>
            </w:tcBorders>
            <w:vAlign w:val="center"/>
            <w:hideMark/>
          </w:tcPr>
          <w:p w:rsidR="00B610CF" w:rsidRPr="00AF3B2A" w:rsidRDefault="00B610CF" w:rsidP="001C4440">
            <w:pPr>
              <w:rPr>
                <w:color w:val="000000"/>
                <w:sz w:val="18"/>
                <w:szCs w:val="18"/>
              </w:rPr>
            </w:pP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B610CF" w:rsidRPr="00AF3B2A" w:rsidRDefault="00B610CF" w:rsidP="001C4440">
            <w:pPr>
              <w:rPr>
                <w:color w:val="000000"/>
                <w:sz w:val="18"/>
                <w:szCs w:val="18"/>
              </w:rPr>
            </w:pPr>
            <w:r w:rsidRPr="00AF3B2A">
              <w:rPr>
                <w:color w:val="000000"/>
                <w:sz w:val="18"/>
                <w:szCs w:val="18"/>
              </w:rPr>
              <w:t>Registration Review: Voluntarily Submitted Low Burden Studies</w:t>
            </w:r>
          </w:p>
        </w:tc>
        <w:tc>
          <w:tcPr>
            <w:tcW w:w="0" w:type="auto"/>
            <w:tcBorders>
              <w:top w:val="single" w:sz="4" w:space="0" w:color="auto"/>
              <w:left w:val="nil"/>
              <w:bottom w:val="single" w:sz="8" w:space="0" w:color="auto"/>
              <w:right w:val="single" w:sz="8" w:space="0" w:color="auto"/>
            </w:tcBorders>
            <w:shd w:val="clear" w:color="auto" w:fill="auto"/>
            <w:vAlign w:val="center"/>
          </w:tcPr>
          <w:p w:rsidR="00B610CF" w:rsidRPr="00AF3B2A" w:rsidRDefault="00F400A3" w:rsidP="001C4440">
            <w:pPr>
              <w:jc w:val="right"/>
              <w:rPr>
                <w:color w:val="000000"/>
                <w:sz w:val="18"/>
                <w:szCs w:val="18"/>
              </w:rPr>
            </w:pPr>
            <w:r>
              <w:rPr>
                <w:color w:val="000000"/>
                <w:sz w:val="18"/>
                <w:szCs w:val="18"/>
              </w:rPr>
              <w:t>28,665</w:t>
            </w:r>
          </w:p>
        </w:tc>
        <w:tc>
          <w:tcPr>
            <w:tcW w:w="0" w:type="auto"/>
            <w:tcBorders>
              <w:top w:val="single" w:sz="4" w:space="0" w:color="auto"/>
              <w:left w:val="nil"/>
              <w:bottom w:val="single" w:sz="8" w:space="0" w:color="auto"/>
              <w:right w:val="single" w:sz="8" w:space="0" w:color="auto"/>
            </w:tcBorders>
            <w:shd w:val="clear" w:color="auto" w:fill="auto"/>
            <w:vAlign w:val="center"/>
          </w:tcPr>
          <w:p w:rsidR="00B610CF" w:rsidRPr="00AF3B2A" w:rsidRDefault="00F400A3" w:rsidP="001C4440">
            <w:pPr>
              <w:jc w:val="right"/>
              <w:rPr>
                <w:color w:val="000000"/>
                <w:sz w:val="18"/>
                <w:szCs w:val="18"/>
              </w:rPr>
            </w:pPr>
            <w:r>
              <w:rPr>
                <w:color w:val="000000"/>
                <w:sz w:val="18"/>
                <w:szCs w:val="18"/>
              </w:rPr>
              <w:t>4,234</w:t>
            </w:r>
          </w:p>
        </w:tc>
        <w:tc>
          <w:tcPr>
            <w:tcW w:w="0" w:type="auto"/>
            <w:tcBorders>
              <w:top w:val="single" w:sz="4" w:space="0" w:color="auto"/>
              <w:left w:val="nil"/>
              <w:bottom w:val="single" w:sz="8" w:space="0" w:color="auto"/>
              <w:right w:val="single" w:sz="8" w:space="0" w:color="auto"/>
            </w:tcBorders>
            <w:shd w:val="clear" w:color="auto" w:fill="auto"/>
            <w:vAlign w:val="center"/>
          </w:tcPr>
          <w:p w:rsidR="00B610CF" w:rsidRPr="00AF3B2A" w:rsidRDefault="00F400A3" w:rsidP="001C4440">
            <w:pPr>
              <w:jc w:val="right"/>
              <w:rPr>
                <w:b/>
                <w:bCs/>
                <w:color w:val="000000"/>
                <w:sz w:val="18"/>
                <w:szCs w:val="18"/>
              </w:rPr>
            </w:pPr>
            <w:r>
              <w:rPr>
                <w:b/>
                <w:bCs/>
                <w:color w:val="000000"/>
                <w:sz w:val="18"/>
                <w:szCs w:val="18"/>
              </w:rPr>
              <w:t>32,899</w:t>
            </w:r>
          </w:p>
        </w:tc>
        <w:tc>
          <w:tcPr>
            <w:tcW w:w="0" w:type="auto"/>
            <w:tcBorders>
              <w:top w:val="single" w:sz="4" w:space="0" w:color="auto"/>
              <w:left w:val="nil"/>
              <w:bottom w:val="single" w:sz="8" w:space="0" w:color="auto"/>
              <w:right w:val="single" w:sz="8" w:space="0" w:color="auto"/>
            </w:tcBorders>
            <w:shd w:val="clear" w:color="auto" w:fill="auto"/>
            <w:vAlign w:val="center"/>
          </w:tcPr>
          <w:p w:rsidR="00B610CF" w:rsidRPr="00AF3B2A" w:rsidRDefault="00F400A3" w:rsidP="001C4440">
            <w:pPr>
              <w:jc w:val="right"/>
              <w:rPr>
                <w:color w:val="000000"/>
                <w:sz w:val="18"/>
                <w:szCs w:val="18"/>
              </w:rPr>
            </w:pPr>
            <w:r>
              <w:rPr>
                <w:color w:val="000000"/>
                <w:sz w:val="18"/>
                <w:szCs w:val="18"/>
              </w:rPr>
              <w:t>$2,107,986</w:t>
            </w:r>
          </w:p>
        </w:tc>
        <w:tc>
          <w:tcPr>
            <w:tcW w:w="0" w:type="auto"/>
            <w:tcBorders>
              <w:top w:val="single" w:sz="4" w:space="0" w:color="auto"/>
              <w:left w:val="nil"/>
              <w:bottom w:val="single" w:sz="8" w:space="0" w:color="auto"/>
              <w:right w:val="single" w:sz="8" w:space="0" w:color="auto"/>
            </w:tcBorders>
            <w:shd w:val="clear" w:color="auto" w:fill="auto"/>
            <w:vAlign w:val="center"/>
          </w:tcPr>
          <w:p w:rsidR="00B610CF" w:rsidRPr="00AF3B2A" w:rsidRDefault="00F400A3" w:rsidP="001C4440">
            <w:pPr>
              <w:jc w:val="right"/>
              <w:rPr>
                <w:color w:val="000000"/>
                <w:sz w:val="18"/>
                <w:szCs w:val="18"/>
              </w:rPr>
            </w:pPr>
            <w:r>
              <w:rPr>
                <w:color w:val="000000"/>
                <w:sz w:val="18"/>
                <w:szCs w:val="18"/>
              </w:rPr>
              <w:t>$219,064</w:t>
            </w:r>
          </w:p>
        </w:tc>
        <w:tc>
          <w:tcPr>
            <w:tcW w:w="0" w:type="auto"/>
            <w:tcBorders>
              <w:top w:val="single" w:sz="4" w:space="0" w:color="auto"/>
              <w:left w:val="nil"/>
              <w:bottom w:val="single" w:sz="8" w:space="0" w:color="auto"/>
              <w:right w:val="single" w:sz="8" w:space="0" w:color="auto"/>
            </w:tcBorders>
            <w:shd w:val="clear" w:color="auto" w:fill="auto"/>
            <w:vAlign w:val="center"/>
          </w:tcPr>
          <w:p w:rsidR="00B610CF" w:rsidRPr="00AF3B2A" w:rsidRDefault="00F400A3" w:rsidP="001C4440">
            <w:pPr>
              <w:jc w:val="right"/>
              <w:rPr>
                <w:b/>
                <w:bCs/>
                <w:color w:val="000000"/>
                <w:sz w:val="18"/>
                <w:szCs w:val="18"/>
              </w:rPr>
            </w:pPr>
            <w:r>
              <w:rPr>
                <w:b/>
                <w:bCs/>
                <w:color w:val="000000"/>
                <w:sz w:val="18"/>
                <w:szCs w:val="18"/>
              </w:rPr>
              <w:t>$2,327,050</w:t>
            </w:r>
          </w:p>
        </w:tc>
      </w:tr>
      <w:tr w:rsidR="00B610CF" w:rsidRPr="00AF3B2A" w:rsidTr="00F400A3">
        <w:trPr>
          <w:trHeight w:val="315"/>
        </w:trPr>
        <w:tc>
          <w:tcPr>
            <w:tcW w:w="0" w:type="auto"/>
            <w:vMerge/>
            <w:tcBorders>
              <w:top w:val="nil"/>
              <w:left w:val="single" w:sz="8" w:space="0" w:color="auto"/>
              <w:bottom w:val="single" w:sz="8" w:space="0" w:color="000000"/>
              <w:right w:val="single" w:sz="8" w:space="0" w:color="auto"/>
            </w:tcBorders>
            <w:vAlign w:val="center"/>
            <w:hideMark/>
          </w:tcPr>
          <w:p w:rsidR="00B610CF" w:rsidRPr="00AF3B2A" w:rsidRDefault="00B610CF" w:rsidP="001C4440">
            <w:pPr>
              <w:rPr>
                <w:color w:val="000000"/>
                <w:sz w:val="18"/>
                <w:szCs w:val="18"/>
              </w:rPr>
            </w:pP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rPr>
                <w:color w:val="000000"/>
                <w:sz w:val="18"/>
                <w:szCs w:val="18"/>
              </w:rPr>
            </w:pPr>
            <w:r w:rsidRPr="00AF3B2A">
              <w:rPr>
                <w:color w:val="000000"/>
                <w:sz w:val="18"/>
                <w:szCs w:val="18"/>
              </w:rPr>
              <w:t>Registration Review: Voluntarily Submitted High Burden Studies</w:t>
            </w:r>
          </w:p>
        </w:tc>
        <w:tc>
          <w:tcPr>
            <w:tcW w:w="0" w:type="auto"/>
            <w:tcBorders>
              <w:top w:val="nil"/>
              <w:left w:val="nil"/>
              <w:bottom w:val="single" w:sz="8" w:space="0" w:color="auto"/>
              <w:right w:val="single" w:sz="8" w:space="0" w:color="auto"/>
            </w:tcBorders>
            <w:shd w:val="clear" w:color="auto" w:fill="auto"/>
            <w:vAlign w:val="center"/>
          </w:tcPr>
          <w:p w:rsidR="00B610CF" w:rsidRPr="00AF3B2A" w:rsidRDefault="00F400A3" w:rsidP="001C4440">
            <w:pPr>
              <w:jc w:val="right"/>
              <w:rPr>
                <w:color w:val="000000"/>
                <w:sz w:val="18"/>
                <w:szCs w:val="18"/>
              </w:rPr>
            </w:pPr>
            <w:r>
              <w:rPr>
                <w:color w:val="000000"/>
                <w:sz w:val="18"/>
                <w:szCs w:val="18"/>
              </w:rPr>
              <w:t>156,940</w:t>
            </w:r>
          </w:p>
        </w:tc>
        <w:tc>
          <w:tcPr>
            <w:tcW w:w="0" w:type="auto"/>
            <w:tcBorders>
              <w:top w:val="nil"/>
              <w:left w:val="nil"/>
              <w:bottom w:val="single" w:sz="8" w:space="0" w:color="auto"/>
              <w:right w:val="single" w:sz="8" w:space="0" w:color="auto"/>
            </w:tcBorders>
            <w:shd w:val="clear" w:color="auto" w:fill="auto"/>
            <w:vAlign w:val="center"/>
          </w:tcPr>
          <w:p w:rsidR="00B610CF" w:rsidRPr="00AF3B2A" w:rsidRDefault="00F400A3" w:rsidP="001C4440">
            <w:pPr>
              <w:jc w:val="right"/>
              <w:rPr>
                <w:color w:val="000000"/>
                <w:sz w:val="18"/>
                <w:szCs w:val="18"/>
              </w:rPr>
            </w:pPr>
            <w:r>
              <w:rPr>
                <w:color w:val="000000"/>
                <w:sz w:val="18"/>
                <w:szCs w:val="18"/>
              </w:rPr>
              <w:t>24,988</w:t>
            </w:r>
          </w:p>
        </w:tc>
        <w:tc>
          <w:tcPr>
            <w:tcW w:w="0" w:type="auto"/>
            <w:tcBorders>
              <w:top w:val="nil"/>
              <w:left w:val="nil"/>
              <w:bottom w:val="single" w:sz="8" w:space="0" w:color="auto"/>
              <w:right w:val="single" w:sz="8" w:space="0" w:color="auto"/>
            </w:tcBorders>
            <w:shd w:val="clear" w:color="auto" w:fill="auto"/>
            <w:vAlign w:val="center"/>
          </w:tcPr>
          <w:p w:rsidR="00B610CF" w:rsidRPr="00AF3B2A" w:rsidRDefault="00F400A3" w:rsidP="001C4440">
            <w:pPr>
              <w:jc w:val="right"/>
              <w:rPr>
                <w:b/>
                <w:bCs/>
                <w:color w:val="000000"/>
                <w:sz w:val="18"/>
                <w:szCs w:val="18"/>
              </w:rPr>
            </w:pPr>
            <w:r>
              <w:rPr>
                <w:b/>
                <w:bCs/>
                <w:color w:val="000000"/>
                <w:sz w:val="18"/>
                <w:szCs w:val="18"/>
              </w:rPr>
              <w:t>181,927</w:t>
            </w:r>
          </w:p>
        </w:tc>
        <w:tc>
          <w:tcPr>
            <w:tcW w:w="0" w:type="auto"/>
            <w:tcBorders>
              <w:top w:val="nil"/>
              <w:left w:val="nil"/>
              <w:bottom w:val="single" w:sz="8" w:space="0" w:color="auto"/>
              <w:right w:val="single" w:sz="8" w:space="0" w:color="auto"/>
            </w:tcBorders>
            <w:shd w:val="clear" w:color="auto" w:fill="auto"/>
            <w:vAlign w:val="center"/>
          </w:tcPr>
          <w:p w:rsidR="00B610CF" w:rsidRPr="00AF3B2A" w:rsidRDefault="00F400A3" w:rsidP="001C4440">
            <w:pPr>
              <w:jc w:val="right"/>
              <w:rPr>
                <w:color w:val="000000"/>
                <w:sz w:val="18"/>
                <w:szCs w:val="18"/>
              </w:rPr>
            </w:pPr>
            <w:r>
              <w:rPr>
                <w:color w:val="000000"/>
                <w:sz w:val="18"/>
                <w:szCs w:val="18"/>
              </w:rPr>
              <w:t>$11,459,042</w:t>
            </w:r>
          </w:p>
        </w:tc>
        <w:tc>
          <w:tcPr>
            <w:tcW w:w="0" w:type="auto"/>
            <w:tcBorders>
              <w:top w:val="nil"/>
              <w:left w:val="nil"/>
              <w:bottom w:val="single" w:sz="8" w:space="0" w:color="auto"/>
              <w:right w:val="single" w:sz="8" w:space="0" w:color="auto"/>
            </w:tcBorders>
            <w:shd w:val="clear" w:color="auto" w:fill="auto"/>
            <w:vAlign w:val="center"/>
          </w:tcPr>
          <w:p w:rsidR="00B610CF" w:rsidRPr="00AF3B2A" w:rsidRDefault="00F400A3" w:rsidP="001C4440">
            <w:pPr>
              <w:jc w:val="right"/>
              <w:rPr>
                <w:color w:val="000000"/>
                <w:sz w:val="18"/>
                <w:szCs w:val="18"/>
              </w:rPr>
            </w:pPr>
            <w:r>
              <w:rPr>
                <w:color w:val="000000"/>
                <w:sz w:val="18"/>
                <w:szCs w:val="18"/>
              </w:rPr>
              <w:t>$1,409,208</w:t>
            </w:r>
          </w:p>
        </w:tc>
        <w:tc>
          <w:tcPr>
            <w:tcW w:w="0" w:type="auto"/>
            <w:tcBorders>
              <w:top w:val="nil"/>
              <w:left w:val="nil"/>
              <w:bottom w:val="single" w:sz="8" w:space="0" w:color="auto"/>
              <w:right w:val="single" w:sz="8" w:space="0" w:color="auto"/>
            </w:tcBorders>
            <w:shd w:val="clear" w:color="auto" w:fill="auto"/>
            <w:vAlign w:val="center"/>
          </w:tcPr>
          <w:p w:rsidR="00B610CF" w:rsidRPr="00AF3B2A" w:rsidRDefault="00F400A3" w:rsidP="001C4440">
            <w:pPr>
              <w:jc w:val="right"/>
              <w:rPr>
                <w:b/>
                <w:bCs/>
                <w:color w:val="000000"/>
                <w:sz w:val="18"/>
                <w:szCs w:val="18"/>
              </w:rPr>
            </w:pPr>
            <w:r>
              <w:rPr>
                <w:b/>
                <w:bCs/>
                <w:color w:val="000000"/>
                <w:sz w:val="18"/>
                <w:szCs w:val="18"/>
              </w:rPr>
              <w:t>$12,868,250</w:t>
            </w:r>
          </w:p>
        </w:tc>
      </w:tr>
      <w:tr w:rsidR="00B610CF" w:rsidRPr="00AF3B2A" w:rsidTr="001C4440">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610CF" w:rsidRPr="00AF3B2A" w:rsidRDefault="00B610CF" w:rsidP="001C4440">
            <w:pPr>
              <w:rPr>
                <w:i/>
                <w:iCs/>
                <w:color w:val="000000"/>
                <w:sz w:val="18"/>
                <w:szCs w:val="18"/>
              </w:rPr>
            </w:pPr>
            <w:r w:rsidRPr="00AF3B2A">
              <w:rPr>
                <w:i/>
                <w:iCs/>
                <w:color w:val="000000"/>
                <w:sz w:val="18"/>
                <w:szCs w:val="18"/>
              </w:rPr>
              <w:t>Anticipated Residue/Percent Crop Treated DCIs</w:t>
            </w:r>
          </w:p>
        </w:tc>
      </w:tr>
      <w:tr w:rsidR="00B610CF" w:rsidRPr="00AF3B2A" w:rsidTr="001C4440">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B610CF" w:rsidRPr="00AF3B2A" w:rsidRDefault="00B610CF" w:rsidP="001C4440">
            <w:pPr>
              <w:jc w:val="center"/>
              <w:rPr>
                <w:color w:val="000000"/>
                <w:sz w:val="18"/>
                <w:szCs w:val="18"/>
              </w:rPr>
            </w:pPr>
          </w:p>
        </w:tc>
        <w:tc>
          <w:tcPr>
            <w:tcW w:w="0" w:type="auto"/>
            <w:tcBorders>
              <w:top w:val="nil"/>
              <w:left w:val="nil"/>
              <w:bottom w:val="single" w:sz="8" w:space="0" w:color="auto"/>
              <w:right w:val="single" w:sz="8" w:space="0" w:color="auto"/>
            </w:tcBorders>
            <w:shd w:val="clear" w:color="000000" w:fill="FFFFFF"/>
            <w:vAlign w:val="center"/>
            <w:hideMark/>
          </w:tcPr>
          <w:p w:rsidR="00B610CF" w:rsidRPr="00AF3B2A" w:rsidRDefault="00B610CF" w:rsidP="001C4440">
            <w:pPr>
              <w:rPr>
                <w:color w:val="000000"/>
                <w:sz w:val="18"/>
                <w:szCs w:val="18"/>
              </w:rPr>
            </w:pPr>
            <w:r w:rsidRPr="00AF3B2A">
              <w:rPr>
                <w:color w:val="000000"/>
                <w:sz w:val="18"/>
                <w:szCs w:val="18"/>
              </w:rPr>
              <w:t>AR DCIs: Base Set of Data</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3,969</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0.4</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b/>
                <w:bCs/>
                <w:color w:val="000000"/>
                <w:sz w:val="18"/>
                <w:szCs w:val="18"/>
              </w:rPr>
            </w:pPr>
            <w:r w:rsidRPr="00AF3B2A">
              <w:rPr>
                <w:b/>
                <w:bCs/>
                <w:color w:val="000000"/>
                <w:sz w:val="18"/>
                <w:szCs w:val="18"/>
              </w:rPr>
              <w:t>3,969</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$284,568</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$19</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b/>
                <w:bCs/>
                <w:color w:val="000000"/>
                <w:sz w:val="18"/>
                <w:szCs w:val="18"/>
              </w:rPr>
            </w:pPr>
            <w:r w:rsidRPr="00AF3B2A">
              <w:rPr>
                <w:b/>
                <w:bCs/>
                <w:color w:val="000000"/>
                <w:sz w:val="18"/>
                <w:szCs w:val="18"/>
              </w:rPr>
              <w:t>$284,587</w:t>
            </w:r>
          </w:p>
        </w:tc>
      </w:tr>
      <w:tr w:rsidR="00B610CF" w:rsidRPr="00AF3B2A" w:rsidTr="001C4440">
        <w:trPr>
          <w:trHeight w:val="315"/>
        </w:trPr>
        <w:tc>
          <w:tcPr>
            <w:tcW w:w="0" w:type="auto"/>
            <w:vMerge/>
            <w:tcBorders>
              <w:top w:val="nil"/>
              <w:left w:val="single" w:sz="8" w:space="0" w:color="auto"/>
              <w:bottom w:val="single" w:sz="8" w:space="0" w:color="000000"/>
              <w:right w:val="single" w:sz="8" w:space="0" w:color="auto"/>
            </w:tcBorders>
            <w:vAlign w:val="center"/>
            <w:hideMark/>
          </w:tcPr>
          <w:p w:rsidR="00B610CF" w:rsidRPr="00AF3B2A" w:rsidRDefault="00B610CF" w:rsidP="001C4440">
            <w:pPr>
              <w:rPr>
                <w:color w:val="000000"/>
                <w:sz w:val="18"/>
                <w:szCs w:val="18"/>
              </w:rPr>
            </w:pPr>
          </w:p>
        </w:tc>
        <w:tc>
          <w:tcPr>
            <w:tcW w:w="0" w:type="auto"/>
            <w:tcBorders>
              <w:top w:val="nil"/>
              <w:left w:val="nil"/>
              <w:bottom w:val="single" w:sz="8" w:space="0" w:color="auto"/>
              <w:right w:val="single" w:sz="8" w:space="0" w:color="auto"/>
            </w:tcBorders>
            <w:shd w:val="clear" w:color="000000" w:fill="FFFFFF"/>
            <w:vAlign w:val="center"/>
            <w:hideMark/>
          </w:tcPr>
          <w:p w:rsidR="00B610CF" w:rsidRPr="00AF3B2A" w:rsidRDefault="00B610CF" w:rsidP="001C4440">
            <w:pPr>
              <w:rPr>
                <w:color w:val="000000"/>
                <w:sz w:val="18"/>
                <w:szCs w:val="18"/>
              </w:rPr>
            </w:pPr>
            <w:r w:rsidRPr="00AF3B2A">
              <w:rPr>
                <w:color w:val="000000"/>
                <w:sz w:val="18"/>
                <w:szCs w:val="18"/>
              </w:rPr>
              <w:t>AR DCIs: Verification-of-use Data</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23</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0.6</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b/>
                <w:bCs/>
                <w:color w:val="000000"/>
                <w:sz w:val="18"/>
                <w:szCs w:val="18"/>
              </w:rPr>
            </w:pPr>
            <w:r w:rsidRPr="00AF3B2A">
              <w:rPr>
                <w:b/>
                <w:bCs/>
                <w:color w:val="000000"/>
                <w:sz w:val="18"/>
                <w:szCs w:val="18"/>
              </w:rPr>
              <w:t>24</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$1,849</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$27</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b/>
                <w:bCs/>
                <w:color w:val="000000"/>
                <w:sz w:val="18"/>
                <w:szCs w:val="18"/>
              </w:rPr>
            </w:pPr>
            <w:r w:rsidRPr="00AF3B2A">
              <w:rPr>
                <w:b/>
                <w:bCs/>
                <w:color w:val="000000"/>
                <w:sz w:val="18"/>
                <w:szCs w:val="18"/>
              </w:rPr>
              <w:t>$1,877</w:t>
            </w:r>
          </w:p>
        </w:tc>
      </w:tr>
      <w:tr w:rsidR="00B610CF" w:rsidRPr="00AF3B2A" w:rsidTr="001C4440">
        <w:trPr>
          <w:trHeight w:val="315"/>
        </w:trPr>
        <w:tc>
          <w:tcPr>
            <w:tcW w:w="0" w:type="auto"/>
            <w:vMerge/>
            <w:tcBorders>
              <w:top w:val="nil"/>
              <w:left w:val="single" w:sz="8" w:space="0" w:color="auto"/>
              <w:bottom w:val="single" w:sz="8" w:space="0" w:color="000000"/>
              <w:right w:val="single" w:sz="8" w:space="0" w:color="auto"/>
            </w:tcBorders>
            <w:vAlign w:val="center"/>
            <w:hideMark/>
          </w:tcPr>
          <w:p w:rsidR="00B610CF" w:rsidRPr="00AF3B2A" w:rsidRDefault="00B610CF" w:rsidP="001C4440">
            <w:pPr>
              <w:rPr>
                <w:color w:val="000000"/>
                <w:sz w:val="18"/>
                <w:szCs w:val="18"/>
              </w:rPr>
            </w:pPr>
          </w:p>
        </w:tc>
        <w:tc>
          <w:tcPr>
            <w:tcW w:w="0" w:type="auto"/>
            <w:tcBorders>
              <w:top w:val="nil"/>
              <w:left w:val="nil"/>
              <w:bottom w:val="single" w:sz="8" w:space="0" w:color="auto"/>
              <w:right w:val="single" w:sz="8" w:space="0" w:color="auto"/>
            </w:tcBorders>
            <w:shd w:val="clear" w:color="000000" w:fill="FFFFFF"/>
            <w:vAlign w:val="center"/>
            <w:hideMark/>
          </w:tcPr>
          <w:p w:rsidR="00B610CF" w:rsidRPr="00AF3B2A" w:rsidRDefault="00B610CF" w:rsidP="001C4440">
            <w:pPr>
              <w:rPr>
                <w:color w:val="000000"/>
                <w:sz w:val="18"/>
                <w:szCs w:val="18"/>
              </w:rPr>
            </w:pPr>
            <w:r w:rsidRPr="00AF3B2A">
              <w:rPr>
                <w:color w:val="000000"/>
                <w:sz w:val="18"/>
                <w:szCs w:val="18"/>
              </w:rPr>
              <w:t>AR DCIs: Updated Public Source Monitoring Data</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44</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0.6</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b/>
                <w:bCs/>
                <w:color w:val="000000"/>
                <w:sz w:val="18"/>
                <w:szCs w:val="18"/>
              </w:rPr>
            </w:pPr>
            <w:r w:rsidRPr="00AF3B2A">
              <w:rPr>
                <w:b/>
                <w:bCs/>
                <w:color w:val="000000"/>
                <w:sz w:val="18"/>
                <w:szCs w:val="18"/>
              </w:rPr>
              <w:t>44</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$3,269</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$26</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b/>
                <w:bCs/>
                <w:color w:val="000000"/>
                <w:sz w:val="18"/>
                <w:szCs w:val="18"/>
              </w:rPr>
            </w:pPr>
            <w:r w:rsidRPr="00AF3B2A">
              <w:rPr>
                <w:b/>
                <w:bCs/>
                <w:color w:val="000000"/>
                <w:sz w:val="18"/>
                <w:szCs w:val="18"/>
              </w:rPr>
              <w:t>$3,295</w:t>
            </w:r>
          </w:p>
        </w:tc>
      </w:tr>
      <w:tr w:rsidR="00B610CF" w:rsidRPr="00AF3B2A" w:rsidTr="001C4440">
        <w:trPr>
          <w:trHeight w:val="315"/>
        </w:trPr>
        <w:tc>
          <w:tcPr>
            <w:tcW w:w="0" w:type="auto"/>
            <w:vMerge/>
            <w:tcBorders>
              <w:top w:val="nil"/>
              <w:left w:val="single" w:sz="8" w:space="0" w:color="auto"/>
              <w:bottom w:val="single" w:sz="8" w:space="0" w:color="000000"/>
              <w:right w:val="single" w:sz="8" w:space="0" w:color="auto"/>
            </w:tcBorders>
            <w:vAlign w:val="center"/>
            <w:hideMark/>
          </w:tcPr>
          <w:p w:rsidR="00B610CF" w:rsidRPr="00AF3B2A" w:rsidRDefault="00B610CF" w:rsidP="001C4440">
            <w:pPr>
              <w:rPr>
                <w:color w:val="000000"/>
                <w:sz w:val="18"/>
                <w:szCs w:val="18"/>
              </w:rPr>
            </w:pP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rPr>
                <w:color w:val="000000"/>
                <w:sz w:val="18"/>
                <w:szCs w:val="18"/>
              </w:rPr>
            </w:pPr>
            <w:r w:rsidRPr="00AF3B2A">
              <w:rPr>
                <w:color w:val="000000"/>
                <w:sz w:val="18"/>
                <w:szCs w:val="18"/>
              </w:rPr>
              <w:t>DCIs for Percent Crop Treated Estimates</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17</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0.5</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b/>
                <w:bCs/>
                <w:color w:val="000000"/>
                <w:sz w:val="18"/>
                <w:szCs w:val="18"/>
              </w:rPr>
            </w:pPr>
            <w:r w:rsidRPr="00AF3B2A">
              <w:rPr>
                <w:b/>
                <w:bCs/>
                <w:color w:val="000000"/>
                <w:sz w:val="18"/>
                <w:szCs w:val="18"/>
              </w:rPr>
              <w:t>18</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$1,239</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color w:val="000000"/>
                <w:sz w:val="18"/>
                <w:szCs w:val="18"/>
              </w:rPr>
            </w:pPr>
            <w:r w:rsidRPr="00AF3B2A">
              <w:rPr>
                <w:color w:val="000000"/>
                <w:sz w:val="18"/>
                <w:szCs w:val="18"/>
              </w:rPr>
              <w:t>$21</w:t>
            </w:r>
          </w:p>
        </w:tc>
        <w:tc>
          <w:tcPr>
            <w:tcW w:w="0" w:type="auto"/>
            <w:tcBorders>
              <w:top w:val="nil"/>
              <w:left w:val="nil"/>
              <w:bottom w:val="single" w:sz="8" w:space="0" w:color="auto"/>
              <w:right w:val="single" w:sz="8" w:space="0" w:color="auto"/>
            </w:tcBorders>
            <w:shd w:val="clear" w:color="auto" w:fill="auto"/>
            <w:vAlign w:val="center"/>
            <w:hideMark/>
          </w:tcPr>
          <w:p w:rsidR="00B610CF" w:rsidRPr="00AF3B2A" w:rsidRDefault="00B610CF" w:rsidP="001C4440">
            <w:pPr>
              <w:jc w:val="right"/>
              <w:rPr>
                <w:b/>
                <w:bCs/>
                <w:color w:val="000000"/>
                <w:sz w:val="18"/>
                <w:szCs w:val="18"/>
              </w:rPr>
            </w:pPr>
            <w:r w:rsidRPr="00AF3B2A">
              <w:rPr>
                <w:b/>
                <w:bCs/>
                <w:color w:val="000000"/>
                <w:sz w:val="18"/>
                <w:szCs w:val="18"/>
              </w:rPr>
              <w:t>$1,260</w:t>
            </w:r>
          </w:p>
        </w:tc>
      </w:tr>
      <w:tr w:rsidR="00B610CF" w:rsidRPr="00AF3B2A" w:rsidTr="001C4440">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610CF" w:rsidRPr="00AF3B2A" w:rsidRDefault="00B610CF" w:rsidP="001C4440">
            <w:pPr>
              <w:rPr>
                <w:b/>
                <w:bCs/>
                <w:color w:val="000000"/>
                <w:sz w:val="18"/>
                <w:szCs w:val="18"/>
              </w:rPr>
            </w:pPr>
          </w:p>
        </w:tc>
      </w:tr>
      <w:tr w:rsidR="00B610CF" w:rsidRPr="00280AA7" w:rsidTr="00F02922">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610CF" w:rsidRPr="00280AA7" w:rsidRDefault="00B610CF" w:rsidP="001C4440">
            <w:pPr>
              <w:jc w:val="center"/>
              <w:rPr>
                <w:b/>
                <w:bCs/>
                <w:i/>
                <w:iCs/>
                <w:color w:val="000000"/>
                <w:sz w:val="18"/>
                <w:szCs w:val="18"/>
              </w:rPr>
            </w:pPr>
            <w:r w:rsidRPr="00280AA7">
              <w:rPr>
                <w:b/>
                <w:bCs/>
                <w:i/>
                <w:iCs/>
                <w:color w:val="000000"/>
                <w:sz w:val="18"/>
                <w:szCs w:val="18"/>
              </w:rPr>
              <w:t>DCI Data Generator Total</w:t>
            </w:r>
          </w:p>
        </w:tc>
        <w:tc>
          <w:tcPr>
            <w:tcW w:w="0" w:type="auto"/>
            <w:tcBorders>
              <w:top w:val="nil"/>
              <w:left w:val="nil"/>
              <w:bottom w:val="single" w:sz="8" w:space="0" w:color="auto"/>
              <w:right w:val="single" w:sz="8" w:space="0" w:color="auto"/>
            </w:tcBorders>
            <w:shd w:val="clear" w:color="auto" w:fill="auto"/>
            <w:vAlign w:val="center"/>
          </w:tcPr>
          <w:p w:rsidR="00B610CF" w:rsidRPr="00280AA7" w:rsidRDefault="00F02922" w:rsidP="001C4440">
            <w:pPr>
              <w:jc w:val="right"/>
              <w:rPr>
                <w:b/>
                <w:bCs/>
                <w:i/>
                <w:color w:val="000000"/>
                <w:sz w:val="18"/>
                <w:szCs w:val="18"/>
              </w:rPr>
            </w:pPr>
            <w:r>
              <w:rPr>
                <w:b/>
                <w:bCs/>
                <w:i/>
                <w:color w:val="000000"/>
                <w:sz w:val="18"/>
                <w:szCs w:val="18"/>
              </w:rPr>
              <w:t>1,584,185</w:t>
            </w:r>
          </w:p>
        </w:tc>
        <w:tc>
          <w:tcPr>
            <w:tcW w:w="0" w:type="auto"/>
            <w:tcBorders>
              <w:top w:val="nil"/>
              <w:left w:val="nil"/>
              <w:bottom w:val="single" w:sz="8" w:space="0" w:color="auto"/>
              <w:right w:val="single" w:sz="8" w:space="0" w:color="auto"/>
            </w:tcBorders>
            <w:shd w:val="clear" w:color="auto" w:fill="auto"/>
            <w:vAlign w:val="center"/>
          </w:tcPr>
          <w:p w:rsidR="00B610CF" w:rsidRPr="00280AA7" w:rsidRDefault="00F02922" w:rsidP="001C4440">
            <w:pPr>
              <w:jc w:val="right"/>
              <w:rPr>
                <w:b/>
                <w:bCs/>
                <w:i/>
                <w:color w:val="000000"/>
                <w:sz w:val="18"/>
                <w:szCs w:val="18"/>
              </w:rPr>
            </w:pPr>
            <w:r>
              <w:rPr>
                <w:b/>
                <w:bCs/>
                <w:i/>
                <w:color w:val="000000"/>
                <w:sz w:val="18"/>
                <w:szCs w:val="18"/>
              </w:rPr>
              <w:t>245,862</w:t>
            </w:r>
          </w:p>
        </w:tc>
        <w:tc>
          <w:tcPr>
            <w:tcW w:w="0" w:type="auto"/>
            <w:tcBorders>
              <w:top w:val="nil"/>
              <w:left w:val="nil"/>
              <w:bottom w:val="single" w:sz="8" w:space="0" w:color="auto"/>
              <w:right w:val="single" w:sz="8" w:space="0" w:color="auto"/>
            </w:tcBorders>
            <w:shd w:val="clear" w:color="auto" w:fill="auto"/>
            <w:vAlign w:val="center"/>
          </w:tcPr>
          <w:p w:rsidR="00B610CF" w:rsidRPr="00280AA7" w:rsidRDefault="00F02922" w:rsidP="001C4440">
            <w:pPr>
              <w:jc w:val="right"/>
              <w:rPr>
                <w:b/>
                <w:bCs/>
                <w:i/>
                <w:color w:val="000000"/>
                <w:sz w:val="18"/>
                <w:szCs w:val="18"/>
              </w:rPr>
            </w:pPr>
            <w:r>
              <w:rPr>
                <w:b/>
                <w:bCs/>
                <w:i/>
                <w:color w:val="000000"/>
                <w:sz w:val="18"/>
                <w:szCs w:val="18"/>
              </w:rPr>
              <w:t>1,830,047</w:t>
            </w:r>
          </w:p>
        </w:tc>
        <w:tc>
          <w:tcPr>
            <w:tcW w:w="0" w:type="auto"/>
            <w:tcBorders>
              <w:top w:val="nil"/>
              <w:left w:val="nil"/>
              <w:bottom w:val="single" w:sz="8" w:space="0" w:color="auto"/>
              <w:right w:val="single" w:sz="8" w:space="0" w:color="auto"/>
            </w:tcBorders>
            <w:shd w:val="clear" w:color="auto" w:fill="auto"/>
            <w:vAlign w:val="center"/>
          </w:tcPr>
          <w:p w:rsidR="00B610CF" w:rsidRPr="00280AA7" w:rsidRDefault="00F02922" w:rsidP="001C4440">
            <w:pPr>
              <w:jc w:val="right"/>
              <w:rPr>
                <w:b/>
                <w:bCs/>
                <w:i/>
                <w:color w:val="000000"/>
                <w:sz w:val="18"/>
                <w:szCs w:val="18"/>
              </w:rPr>
            </w:pPr>
            <w:r>
              <w:rPr>
                <w:b/>
                <w:bCs/>
                <w:i/>
                <w:color w:val="000000"/>
                <w:sz w:val="18"/>
                <w:szCs w:val="18"/>
              </w:rPr>
              <w:t>$116,858,160</w:t>
            </w:r>
          </w:p>
        </w:tc>
        <w:tc>
          <w:tcPr>
            <w:tcW w:w="0" w:type="auto"/>
            <w:tcBorders>
              <w:top w:val="nil"/>
              <w:left w:val="nil"/>
              <w:bottom w:val="single" w:sz="8" w:space="0" w:color="auto"/>
              <w:right w:val="single" w:sz="8" w:space="0" w:color="auto"/>
            </w:tcBorders>
            <w:shd w:val="clear" w:color="auto" w:fill="auto"/>
            <w:vAlign w:val="center"/>
          </w:tcPr>
          <w:p w:rsidR="00B610CF" w:rsidRPr="00280AA7" w:rsidRDefault="00F02922" w:rsidP="001C4440">
            <w:pPr>
              <w:jc w:val="right"/>
              <w:rPr>
                <w:b/>
                <w:bCs/>
                <w:i/>
                <w:color w:val="000000"/>
                <w:sz w:val="18"/>
                <w:szCs w:val="18"/>
              </w:rPr>
            </w:pPr>
            <w:r>
              <w:rPr>
                <w:b/>
                <w:bCs/>
                <w:i/>
                <w:color w:val="000000"/>
                <w:sz w:val="18"/>
                <w:szCs w:val="18"/>
              </w:rPr>
              <w:t>$13,743,903</w:t>
            </w:r>
          </w:p>
        </w:tc>
        <w:tc>
          <w:tcPr>
            <w:tcW w:w="0" w:type="auto"/>
            <w:tcBorders>
              <w:top w:val="nil"/>
              <w:left w:val="nil"/>
              <w:bottom w:val="single" w:sz="8" w:space="0" w:color="auto"/>
              <w:right w:val="single" w:sz="8" w:space="0" w:color="auto"/>
            </w:tcBorders>
            <w:shd w:val="clear" w:color="auto" w:fill="auto"/>
            <w:vAlign w:val="center"/>
          </w:tcPr>
          <w:p w:rsidR="00B610CF" w:rsidRPr="00280AA7" w:rsidRDefault="00F02922" w:rsidP="001C4440">
            <w:pPr>
              <w:jc w:val="right"/>
              <w:rPr>
                <w:b/>
                <w:bCs/>
                <w:i/>
                <w:color w:val="000000"/>
                <w:sz w:val="18"/>
                <w:szCs w:val="18"/>
              </w:rPr>
            </w:pPr>
            <w:r>
              <w:rPr>
                <w:b/>
                <w:bCs/>
                <w:i/>
                <w:color w:val="000000"/>
                <w:sz w:val="18"/>
                <w:szCs w:val="18"/>
              </w:rPr>
              <w:t>$130,602,062</w:t>
            </w:r>
          </w:p>
        </w:tc>
      </w:tr>
      <w:tr w:rsidR="00B610CF" w:rsidRPr="00AF3B2A" w:rsidTr="001C4440">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610CF" w:rsidRPr="00AF3B2A" w:rsidRDefault="00B610CF" w:rsidP="001C4440">
            <w:pPr>
              <w:jc w:val="center"/>
              <w:rPr>
                <w:b/>
                <w:bCs/>
                <w:color w:val="000000"/>
                <w:sz w:val="18"/>
                <w:szCs w:val="18"/>
              </w:rPr>
            </w:pP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B610CF" w:rsidRPr="00AF3B2A" w:rsidRDefault="00B610CF" w:rsidP="001C4440">
            <w:pPr>
              <w:jc w:val="center"/>
              <w:rPr>
                <w:color w:val="000000"/>
                <w:sz w:val="18"/>
                <w:szCs w:val="18"/>
              </w:rPr>
            </w:pPr>
            <w:r w:rsidRPr="00AF3B2A">
              <w:rPr>
                <w:color w:val="000000"/>
                <w:sz w:val="18"/>
                <w:szCs w:val="18"/>
              </w:rPr>
              <w:t>Operating Activities Burden Hours</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B610CF" w:rsidRPr="00AF3B2A" w:rsidRDefault="00B610CF" w:rsidP="001C4440">
            <w:pPr>
              <w:jc w:val="center"/>
              <w:rPr>
                <w:color w:val="000000"/>
                <w:sz w:val="18"/>
                <w:szCs w:val="18"/>
              </w:rPr>
            </w:pPr>
            <w:r w:rsidRPr="00AF3B2A">
              <w:rPr>
                <w:color w:val="000000"/>
                <w:sz w:val="18"/>
                <w:szCs w:val="18"/>
              </w:rPr>
              <w:t>Operating Activities Cost</w:t>
            </w:r>
          </w:p>
        </w:tc>
      </w:tr>
      <w:tr w:rsidR="00B610CF" w:rsidRPr="00280AA7" w:rsidTr="001C4440">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610CF" w:rsidRPr="00280AA7" w:rsidRDefault="00B610CF" w:rsidP="001C4440">
            <w:pPr>
              <w:rPr>
                <w:bCs/>
                <w:color w:val="000000"/>
                <w:sz w:val="18"/>
                <w:szCs w:val="18"/>
              </w:rPr>
            </w:pPr>
            <w:r w:rsidRPr="00280AA7">
              <w:rPr>
                <w:bCs/>
                <w:color w:val="000000"/>
                <w:sz w:val="18"/>
                <w:szCs w:val="18"/>
              </w:rPr>
              <w:t>Consortium Members</w:t>
            </w:r>
          </w:p>
        </w:tc>
        <w:tc>
          <w:tcPr>
            <w:tcW w:w="0" w:type="auto"/>
            <w:tcBorders>
              <w:top w:val="nil"/>
              <w:left w:val="nil"/>
              <w:bottom w:val="single" w:sz="8" w:space="0" w:color="auto"/>
              <w:right w:val="single" w:sz="8" w:space="0" w:color="auto"/>
            </w:tcBorders>
            <w:shd w:val="clear" w:color="auto" w:fill="auto"/>
            <w:noWrap/>
            <w:vAlign w:val="center"/>
            <w:hideMark/>
          </w:tcPr>
          <w:p w:rsidR="00B610CF" w:rsidRPr="00280AA7" w:rsidRDefault="00B610CF" w:rsidP="001C4440">
            <w:pPr>
              <w:jc w:val="center"/>
              <w:rPr>
                <w:color w:val="000000"/>
                <w:sz w:val="18"/>
                <w:szCs w:val="18"/>
              </w:rPr>
            </w:pPr>
            <w:r w:rsidRPr="00280AA7">
              <w:rPr>
                <w:color w:val="000000"/>
                <w:sz w:val="18"/>
                <w:szCs w:val="18"/>
              </w:rPr>
              <w:t>-</w:t>
            </w:r>
          </w:p>
        </w:tc>
        <w:tc>
          <w:tcPr>
            <w:tcW w:w="0" w:type="auto"/>
            <w:tcBorders>
              <w:top w:val="nil"/>
              <w:left w:val="nil"/>
              <w:bottom w:val="single" w:sz="8" w:space="0" w:color="auto"/>
              <w:right w:val="single" w:sz="8" w:space="0" w:color="auto"/>
            </w:tcBorders>
            <w:shd w:val="clear" w:color="auto" w:fill="auto"/>
            <w:noWrap/>
            <w:vAlign w:val="center"/>
            <w:hideMark/>
          </w:tcPr>
          <w:p w:rsidR="00B610CF" w:rsidRPr="00280AA7" w:rsidRDefault="00B610CF" w:rsidP="001C4440">
            <w:pPr>
              <w:jc w:val="center"/>
              <w:rPr>
                <w:color w:val="000000"/>
                <w:sz w:val="18"/>
                <w:szCs w:val="18"/>
              </w:rPr>
            </w:pPr>
            <w:r w:rsidRPr="00280AA7">
              <w:rPr>
                <w:color w:val="000000"/>
                <w:sz w:val="18"/>
                <w:szCs w:val="18"/>
              </w:rPr>
              <w:t>-</w:t>
            </w:r>
          </w:p>
        </w:tc>
        <w:tc>
          <w:tcPr>
            <w:tcW w:w="0" w:type="auto"/>
            <w:tcBorders>
              <w:top w:val="nil"/>
              <w:left w:val="nil"/>
              <w:bottom w:val="single" w:sz="8" w:space="0" w:color="auto"/>
              <w:right w:val="single" w:sz="8" w:space="0" w:color="auto"/>
            </w:tcBorders>
            <w:shd w:val="clear" w:color="auto" w:fill="auto"/>
            <w:vAlign w:val="center"/>
            <w:hideMark/>
          </w:tcPr>
          <w:p w:rsidR="00B610CF" w:rsidRPr="00280AA7" w:rsidRDefault="00B610CF" w:rsidP="001C4440">
            <w:pPr>
              <w:jc w:val="right"/>
              <w:rPr>
                <w:color w:val="000000"/>
                <w:sz w:val="18"/>
                <w:szCs w:val="18"/>
              </w:rPr>
            </w:pPr>
            <w:r w:rsidRPr="00280AA7">
              <w:rPr>
                <w:color w:val="000000"/>
                <w:sz w:val="18"/>
                <w:szCs w:val="18"/>
              </w:rPr>
              <w:t>44,520</w:t>
            </w:r>
          </w:p>
        </w:tc>
        <w:tc>
          <w:tcPr>
            <w:tcW w:w="0" w:type="auto"/>
            <w:tcBorders>
              <w:top w:val="nil"/>
              <w:left w:val="nil"/>
              <w:bottom w:val="single" w:sz="8" w:space="0" w:color="auto"/>
              <w:right w:val="single" w:sz="8" w:space="0" w:color="auto"/>
            </w:tcBorders>
            <w:shd w:val="clear" w:color="auto" w:fill="auto"/>
            <w:noWrap/>
            <w:vAlign w:val="center"/>
            <w:hideMark/>
          </w:tcPr>
          <w:p w:rsidR="00B610CF" w:rsidRPr="00280AA7" w:rsidRDefault="00B610CF" w:rsidP="001C4440">
            <w:pPr>
              <w:jc w:val="center"/>
              <w:rPr>
                <w:color w:val="000000"/>
                <w:sz w:val="18"/>
                <w:szCs w:val="18"/>
              </w:rPr>
            </w:pPr>
            <w:r w:rsidRPr="00280AA7">
              <w:rPr>
                <w:color w:val="000000"/>
                <w:sz w:val="18"/>
                <w:szCs w:val="18"/>
              </w:rPr>
              <w:t>-</w:t>
            </w:r>
          </w:p>
        </w:tc>
        <w:tc>
          <w:tcPr>
            <w:tcW w:w="0" w:type="auto"/>
            <w:tcBorders>
              <w:top w:val="nil"/>
              <w:left w:val="nil"/>
              <w:bottom w:val="single" w:sz="8" w:space="0" w:color="auto"/>
              <w:right w:val="single" w:sz="8" w:space="0" w:color="auto"/>
            </w:tcBorders>
            <w:shd w:val="clear" w:color="auto" w:fill="auto"/>
            <w:noWrap/>
            <w:vAlign w:val="center"/>
            <w:hideMark/>
          </w:tcPr>
          <w:p w:rsidR="00B610CF" w:rsidRPr="00280AA7" w:rsidRDefault="00B610CF" w:rsidP="001C4440">
            <w:pPr>
              <w:jc w:val="center"/>
              <w:rPr>
                <w:color w:val="000000"/>
                <w:sz w:val="18"/>
                <w:szCs w:val="18"/>
              </w:rPr>
            </w:pPr>
            <w:r w:rsidRPr="00280AA7">
              <w:rPr>
                <w:color w:val="000000"/>
                <w:sz w:val="18"/>
                <w:szCs w:val="18"/>
              </w:rPr>
              <w:t>-</w:t>
            </w:r>
          </w:p>
        </w:tc>
        <w:tc>
          <w:tcPr>
            <w:tcW w:w="0" w:type="auto"/>
            <w:tcBorders>
              <w:top w:val="nil"/>
              <w:left w:val="nil"/>
              <w:bottom w:val="single" w:sz="8" w:space="0" w:color="auto"/>
              <w:right w:val="single" w:sz="8" w:space="0" w:color="auto"/>
            </w:tcBorders>
            <w:shd w:val="clear" w:color="auto" w:fill="auto"/>
            <w:vAlign w:val="center"/>
            <w:hideMark/>
          </w:tcPr>
          <w:p w:rsidR="00B610CF" w:rsidRPr="00280AA7" w:rsidRDefault="00B610CF" w:rsidP="001C4440">
            <w:pPr>
              <w:jc w:val="right"/>
              <w:rPr>
                <w:color w:val="000000"/>
                <w:sz w:val="18"/>
                <w:szCs w:val="18"/>
              </w:rPr>
            </w:pPr>
            <w:r w:rsidRPr="00280AA7">
              <w:rPr>
                <w:color w:val="000000"/>
                <w:sz w:val="18"/>
                <w:szCs w:val="18"/>
              </w:rPr>
              <w:t>$3,817,364</w:t>
            </w:r>
          </w:p>
        </w:tc>
      </w:tr>
      <w:tr w:rsidR="00B610CF" w:rsidRPr="00280AA7" w:rsidTr="00F02922">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610CF" w:rsidRPr="00280AA7" w:rsidRDefault="00B610CF" w:rsidP="004767DE">
            <w:pPr>
              <w:rPr>
                <w:b/>
                <w:bCs/>
                <w:i/>
                <w:color w:val="000000"/>
                <w:sz w:val="18"/>
                <w:szCs w:val="18"/>
              </w:rPr>
            </w:pPr>
            <w:r w:rsidRPr="00280AA7">
              <w:rPr>
                <w:b/>
                <w:bCs/>
                <w:i/>
                <w:color w:val="000000"/>
                <w:sz w:val="18"/>
                <w:szCs w:val="18"/>
              </w:rPr>
              <w:t>Total Burden</w:t>
            </w:r>
          </w:p>
        </w:tc>
        <w:tc>
          <w:tcPr>
            <w:tcW w:w="0" w:type="auto"/>
            <w:tcBorders>
              <w:top w:val="nil"/>
              <w:left w:val="nil"/>
              <w:bottom w:val="single" w:sz="8" w:space="0" w:color="auto"/>
              <w:right w:val="single" w:sz="8" w:space="0" w:color="auto"/>
            </w:tcBorders>
            <w:shd w:val="clear" w:color="auto" w:fill="auto"/>
            <w:vAlign w:val="center"/>
          </w:tcPr>
          <w:p w:rsidR="00B610CF" w:rsidRPr="00280AA7" w:rsidRDefault="00F02922" w:rsidP="001C4440">
            <w:pPr>
              <w:jc w:val="right"/>
              <w:rPr>
                <w:b/>
                <w:bCs/>
                <w:i/>
                <w:color w:val="000000"/>
                <w:sz w:val="18"/>
                <w:szCs w:val="18"/>
              </w:rPr>
            </w:pPr>
            <w:r>
              <w:rPr>
                <w:b/>
                <w:bCs/>
                <w:i/>
                <w:color w:val="000000"/>
                <w:sz w:val="18"/>
                <w:szCs w:val="18"/>
              </w:rPr>
              <w:t>1,586,503</w:t>
            </w:r>
          </w:p>
        </w:tc>
        <w:tc>
          <w:tcPr>
            <w:tcW w:w="0" w:type="auto"/>
            <w:tcBorders>
              <w:top w:val="nil"/>
              <w:left w:val="nil"/>
              <w:bottom w:val="single" w:sz="8" w:space="0" w:color="auto"/>
              <w:right w:val="single" w:sz="8" w:space="0" w:color="auto"/>
            </w:tcBorders>
            <w:shd w:val="clear" w:color="auto" w:fill="auto"/>
            <w:vAlign w:val="center"/>
          </w:tcPr>
          <w:p w:rsidR="00B610CF" w:rsidRPr="00280AA7" w:rsidRDefault="00F02922" w:rsidP="001C4440">
            <w:pPr>
              <w:jc w:val="right"/>
              <w:rPr>
                <w:b/>
                <w:bCs/>
                <w:i/>
                <w:color w:val="000000"/>
                <w:sz w:val="18"/>
                <w:szCs w:val="18"/>
              </w:rPr>
            </w:pPr>
            <w:r>
              <w:rPr>
                <w:b/>
                <w:bCs/>
                <w:i/>
                <w:color w:val="000000"/>
                <w:sz w:val="18"/>
                <w:szCs w:val="18"/>
              </w:rPr>
              <w:t>245,984</w:t>
            </w:r>
          </w:p>
        </w:tc>
        <w:tc>
          <w:tcPr>
            <w:tcW w:w="0" w:type="auto"/>
            <w:tcBorders>
              <w:top w:val="nil"/>
              <w:left w:val="nil"/>
              <w:bottom w:val="single" w:sz="8" w:space="0" w:color="auto"/>
              <w:right w:val="single" w:sz="8" w:space="0" w:color="auto"/>
            </w:tcBorders>
            <w:shd w:val="clear" w:color="auto" w:fill="auto"/>
            <w:vAlign w:val="center"/>
          </w:tcPr>
          <w:p w:rsidR="00F02922" w:rsidRDefault="00F02922" w:rsidP="00F02922">
            <w:pPr>
              <w:spacing w:line="256" w:lineRule="auto"/>
              <w:jc w:val="right"/>
              <w:rPr>
                <w:b/>
                <w:bCs/>
                <w:i/>
                <w:color w:val="000000"/>
                <w:sz w:val="18"/>
                <w:szCs w:val="18"/>
              </w:rPr>
            </w:pPr>
          </w:p>
          <w:p w:rsidR="00F02922" w:rsidRDefault="00F02922" w:rsidP="00F02922">
            <w:pPr>
              <w:spacing w:line="256" w:lineRule="auto"/>
              <w:jc w:val="right"/>
              <w:rPr>
                <w:rFonts w:ascii="Times New Roman" w:hAnsi="Times New Roman"/>
                <w:b/>
                <w:bCs/>
                <w:i/>
                <w:color w:val="000000"/>
                <w:sz w:val="18"/>
                <w:szCs w:val="18"/>
              </w:rPr>
            </w:pPr>
            <w:r>
              <w:rPr>
                <w:b/>
                <w:bCs/>
                <w:i/>
                <w:color w:val="000000"/>
                <w:sz w:val="18"/>
                <w:szCs w:val="18"/>
              </w:rPr>
              <w:t>1,877,007</w:t>
            </w:r>
          </w:p>
          <w:p w:rsidR="00B610CF" w:rsidRPr="00280AA7" w:rsidRDefault="00B610CF" w:rsidP="001C4440">
            <w:pPr>
              <w:jc w:val="right"/>
              <w:rPr>
                <w:b/>
                <w:bCs/>
                <w:i/>
                <w:color w:val="000000"/>
                <w:sz w:val="18"/>
                <w:szCs w:val="18"/>
              </w:rPr>
            </w:pPr>
          </w:p>
        </w:tc>
        <w:tc>
          <w:tcPr>
            <w:tcW w:w="0" w:type="auto"/>
            <w:tcBorders>
              <w:top w:val="nil"/>
              <w:left w:val="nil"/>
              <w:bottom w:val="single" w:sz="8" w:space="0" w:color="auto"/>
              <w:right w:val="single" w:sz="8" w:space="0" w:color="auto"/>
            </w:tcBorders>
            <w:shd w:val="clear" w:color="auto" w:fill="auto"/>
            <w:noWrap/>
            <w:vAlign w:val="center"/>
          </w:tcPr>
          <w:p w:rsidR="00B610CF" w:rsidRPr="00280AA7" w:rsidRDefault="00F02922" w:rsidP="001C4440">
            <w:pPr>
              <w:jc w:val="right"/>
              <w:rPr>
                <w:b/>
                <w:bCs/>
                <w:i/>
                <w:color w:val="000000"/>
                <w:sz w:val="18"/>
                <w:szCs w:val="18"/>
              </w:rPr>
            </w:pPr>
            <w:r>
              <w:rPr>
                <w:b/>
                <w:bCs/>
                <w:i/>
                <w:color w:val="000000"/>
                <w:sz w:val="18"/>
                <w:szCs w:val="18"/>
              </w:rPr>
              <w:t>$117,104,661</w:t>
            </w:r>
          </w:p>
        </w:tc>
        <w:tc>
          <w:tcPr>
            <w:tcW w:w="0" w:type="auto"/>
            <w:tcBorders>
              <w:top w:val="nil"/>
              <w:left w:val="nil"/>
              <w:bottom w:val="single" w:sz="8" w:space="0" w:color="auto"/>
              <w:right w:val="single" w:sz="8" w:space="0" w:color="auto"/>
            </w:tcBorders>
            <w:shd w:val="clear" w:color="auto" w:fill="auto"/>
            <w:noWrap/>
            <w:vAlign w:val="center"/>
          </w:tcPr>
          <w:p w:rsidR="00B610CF" w:rsidRPr="00280AA7" w:rsidRDefault="00F02922" w:rsidP="001C4440">
            <w:pPr>
              <w:jc w:val="right"/>
              <w:rPr>
                <w:b/>
                <w:bCs/>
                <w:i/>
                <w:color w:val="000000"/>
                <w:sz w:val="18"/>
                <w:szCs w:val="18"/>
              </w:rPr>
            </w:pPr>
            <w:r>
              <w:rPr>
                <w:b/>
                <w:bCs/>
                <w:i/>
                <w:color w:val="000000"/>
                <w:sz w:val="18"/>
                <w:szCs w:val="18"/>
              </w:rPr>
              <w:t>$13,749,146</w:t>
            </w:r>
          </w:p>
        </w:tc>
        <w:tc>
          <w:tcPr>
            <w:tcW w:w="0" w:type="auto"/>
            <w:tcBorders>
              <w:top w:val="nil"/>
              <w:left w:val="nil"/>
              <w:bottom w:val="single" w:sz="8" w:space="0" w:color="auto"/>
              <w:right w:val="single" w:sz="8" w:space="0" w:color="auto"/>
            </w:tcBorders>
            <w:shd w:val="clear" w:color="auto" w:fill="auto"/>
            <w:noWrap/>
            <w:vAlign w:val="center"/>
          </w:tcPr>
          <w:p w:rsidR="00B610CF" w:rsidRPr="00280AA7" w:rsidRDefault="00F02922" w:rsidP="001C4440">
            <w:pPr>
              <w:jc w:val="right"/>
              <w:rPr>
                <w:b/>
                <w:bCs/>
                <w:i/>
                <w:color w:val="000000"/>
                <w:sz w:val="18"/>
                <w:szCs w:val="18"/>
              </w:rPr>
            </w:pPr>
            <w:r>
              <w:rPr>
                <w:b/>
                <w:bCs/>
                <w:i/>
                <w:color w:val="000000"/>
                <w:sz w:val="18"/>
                <w:szCs w:val="18"/>
              </w:rPr>
              <w:t>$134,671,171</w:t>
            </w:r>
          </w:p>
        </w:tc>
      </w:tr>
    </w:tbl>
    <w:p w:rsidR="00B610CF" w:rsidRPr="00AF3B2A" w:rsidRDefault="00B610CF" w:rsidP="00B610CF">
      <w:pPr>
        <w:pStyle w:val="NoSpacing"/>
        <w:rPr>
          <w:rFonts w:ascii="Times New Roman" w:hAnsi="Times New Roman"/>
          <w:b/>
          <w:sz w:val="14"/>
          <w:szCs w:val="16"/>
        </w:rPr>
      </w:pPr>
      <w:r w:rsidRPr="00AF3B2A">
        <w:rPr>
          <w:rFonts w:ascii="Times New Roman" w:hAnsi="Times New Roman"/>
          <w:sz w:val="20"/>
        </w:rPr>
        <w:t xml:space="preserve">Numbers may not add due to rounding. Please refer to text for information on calculations presented in this table. </w:t>
      </w:r>
      <w:r w:rsidRPr="00AF3B2A">
        <w:rPr>
          <w:rFonts w:ascii="Times New Roman" w:hAnsi="Times New Roman"/>
          <w:i/>
          <w:sz w:val="20"/>
        </w:rPr>
        <w:t xml:space="preserve"> </w:t>
      </w:r>
      <w:r w:rsidRPr="00AF3B2A">
        <w:rPr>
          <w:rFonts w:ascii="Times New Roman" w:hAnsi="Times New Roman"/>
          <w:sz w:val="20"/>
        </w:rPr>
        <w:t xml:space="preserve">Methods used for calculating the cost and burden for cases under each IC Group vary.  For a review of methods used in these calculations, refer to Appendices A, </w:t>
      </w:r>
      <w:r w:rsidRPr="00AF3B2A">
        <w:rPr>
          <w:rFonts w:ascii="Times New Roman" w:hAnsi="Times New Roman"/>
          <w:noProof/>
          <w:sz w:val="20"/>
        </w:rPr>
        <w:t>B,</w:t>
      </w:r>
      <w:r w:rsidRPr="00AF3B2A">
        <w:rPr>
          <w:rFonts w:ascii="Times New Roman" w:hAnsi="Times New Roman"/>
          <w:sz w:val="20"/>
        </w:rPr>
        <w:t xml:space="preserve"> and C.</w:t>
      </w:r>
    </w:p>
    <w:p w:rsidR="00B610CF" w:rsidRPr="00AF3B2A" w:rsidRDefault="00B610CF" w:rsidP="00B610CF">
      <w:pPr>
        <w:rPr>
          <w:b/>
        </w:rPr>
      </w:pPr>
    </w:p>
    <w:p w:rsidR="008E3BB8" w:rsidRDefault="008E3BB8" w:rsidP="009A6FB8">
      <w:pPr>
        <w:spacing w:after="200" w:line="276" w:lineRule="auto"/>
        <w:rPr>
          <w:lang w:bidi="en-US"/>
        </w:rPr>
        <w:sectPr w:rsidR="008E3BB8" w:rsidSect="00B610CF">
          <w:headerReference w:type="default" r:id="rId16"/>
          <w:footerReference w:type="default" r:id="rId17"/>
          <w:pgSz w:w="12240" w:h="15840" w:code="1"/>
          <w:pgMar w:top="720" w:right="720" w:bottom="720" w:left="720" w:header="720" w:footer="720" w:gutter="0"/>
          <w:cols w:space="720"/>
          <w:docGrid w:linePitch="360"/>
        </w:sectPr>
      </w:pPr>
    </w:p>
    <w:p w:rsidR="00782832" w:rsidRDefault="00D567ED" w:rsidP="00DB1510">
      <w:pPr>
        <w:pStyle w:val="NoSpacing"/>
        <w:tabs>
          <w:tab w:val="left" w:pos="1080"/>
        </w:tabs>
        <w:rPr>
          <w:lang w:bidi="en-US"/>
        </w:rPr>
      </w:pPr>
      <w:r>
        <w:rPr>
          <w:lang w:bidi="en-US"/>
        </w:rPr>
        <w:t xml:space="preserve">   </w:t>
      </w:r>
      <w:r w:rsidR="00223012">
        <w:rPr>
          <w:lang w:bidi="en-US"/>
        </w:rPr>
        <w:t xml:space="preserve">    </w:t>
      </w:r>
    </w:p>
    <w:p w:rsidR="002B34A0" w:rsidRPr="002B34A0" w:rsidRDefault="007F50C4" w:rsidP="00CC4227">
      <w:pPr>
        <w:pStyle w:val="Heading1"/>
        <w:numPr>
          <w:ilvl w:val="0"/>
          <w:numId w:val="42"/>
        </w:numPr>
        <w:rPr>
          <w:lang w:bidi="en-US"/>
        </w:rPr>
      </w:pPr>
      <w:bookmarkStart w:id="86" w:name="_Toc405541235"/>
      <w:bookmarkStart w:id="87" w:name="_Toc405729140"/>
      <w:bookmarkStart w:id="88" w:name="_Toc405729351"/>
      <w:bookmarkStart w:id="89" w:name="_Toc405541236"/>
      <w:bookmarkStart w:id="90" w:name="_Toc405729141"/>
      <w:bookmarkStart w:id="91" w:name="_Toc405729352"/>
      <w:bookmarkStart w:id="92" w:name="_Toc482020583"/>
      <w:bookmarkEnd w:id="86"/>
      <w:bookmarkEnd w:id="87"/>
      <w:bookmarkEnd w:id="88"/>
      <w:bookmarkEnd w:id="89"/>
      <w:bookmarkEnd w:id="90"/>
      <w:bookmarkEnd w:id="91"/>
      <w:r w:rsidRPr="002B34A0">
        <w:rPr>
          <w:lang w:bidi="en-US"/>
        </w:rPr>
        <w:t>PRACTICAL UTILITY/USERS OF THE DATA</w:t>
      </w:r>
      <w:bookmarkEnd w:id="92"/>
      <w:r w:rsidRPr="002B34A0">
        <w:rPr>
          <w:lang w:bidi="en-US"/>
        </w:rPr>
        <w:t xml:space="preserve">   </w:t>
      </w:r>
    </w:p>
    <w:p w:rsidR="00260275" w:rsidRPr="00260275" w:rsidRDefault="002B34A0" w:rsidP="00260275">
      <w:pPr>
        <w:rPr>
          <w:lang w:bidi="en-US"/>
        </w:rPr>
      </w:pPr>
      <w:r w:rsidRPr="005463D1">
        <w:rPr>
          <w:lang w:bidi="en-US"/>
        </w:rPr>
        <w:t xml:space="preserve">EPA uses the information collected </w:t>
      </w:r>
      <w:r w:rsidR="00736998" w:rsidRPr="00D5421F">
        <w:rPr>
          <w:noProof/>
          <w:lang w:bidi="en-US"/>
        </w:rPr>
        <w:t>under this ICR</w:t>
      </w:r>
      <w:r w:rsidR="00736998" w:rsidRPr="005463D1">
        <w:rPr>
          <w:lang w:bidi="en-US"/>
        </w:rPr>
        <w:t xml:space="preserve"> </w:t>
      </w:r>
      <w:r w:rsidRPr="007D6E48">
        <w:rPr>
          <w:lang w:bidi="en-US"/>
        </w:rPr>
        <w:t xml:space="preserve">to carry out its statutory responsibilities under </w:t>
      </w:r>
      <w:r w:rsidR="001E6980" w:rsidRPr="005463D1">
        <w:rPr>
          <w:lang w:bidi="en-US"/>
        </w:rPr>
        <w:t xml:space="preserve">FIFRA §§ </w:t>
      </w:r>
      <w:r w:rsidRPr="005463D1">
        <w:rPr>
          <w:bCs/>
          <w:lang w:bidi="en-US"/>
        </w:rPr>
        <w:t xml:space="preserve">4, </w:t>
      </w:r>
      <w:r w:rsidRPr="005463D1">
        <w:rPr>
          <w:lang w:bidi="en-US"/>
        </w:rPr>
        <w:t xml:space="preserve">3(g), 6(b), and </w:t>
      </w:r>
      <w:r w:rsidR="001E6980" w:rsidRPr="005463D1">
        <w:rPr>
          <w:lang w:bidi="en-US"/>
        </w:rPr>
        <w:t>FFDCA §</w:t>
      </w:r>
      <w:r w:rsidRPr="005463D1">
        <w:rPr>
          <w:lang w:bidi="en-US"/>
        </w:rPr>
        <w:t>408.</w:t>
      </w:r>
      <w:r w:rsidRPr="002B34A0">
        <w:rPr>
          <w:lang w:bidi="en-US"/>
        </w:rPr>
        <w:t xml:space="preserve">  </w:t>
      </w:r>
      <w:r w:rsidRPr="005463D1">
        <w:rPr>
          <w:lang w:bidi="en-US"/>
        </w:rPr>
        <w:t>The data colle</w:t>
      </w:r>
      <w:r w:rsidR="00736998" w:rsidRPr="005463D1">
        <w:rPr>
          <w:lang w:bidi="en-US"/>
        </w:rPr>
        <w:t xml:space="preserve">cted allows EPA to consider the </w:t>
      </w:r>
      <w:r w:rsidRPr="007D6E48">
        <w:rPr>
          <w:lang w:bidi="en-US"/>
        </w:rPr>
        <w:t>data or information in making a r</w:t>
      </w:r>
      <w:r w:rsidRPr="005463D1">
        <w:rPr>
          <w:lang w:bidi="en-US"/>
        </w:rPr>
        <w:t>egistration decision and assess whether the continued registration of an existing pesticide causes an unreasonable adverse effect on human health or the environment.</w:t>
      </w:r>
      <w:r w:rsidRPr="002B34A0">
        <w:rPr>
          <w:lang w:bidi="en-US"/>
        </w:rPr>
        <w:t xml:space="preserve">  </w:t>
      </w:r>
      <w:r w:rsidR="00260275" w:rsidRPr="005463D1">
        <w:rPr>
          <w:lang w:bidi="en-US"/>
        </w:rPr>
        <w:t xml:space="preserve">The data and information collected under this ICR </w:t>
      </w:r>
      <w:r w:rsidR="00490016">
        <w:rPr>
          <w:noProof/>
          <w:lang w:bidi="en-US"/>
        </w:rPr>
        <w:t>are</w:t>
      </w:r>
      <w:r w:rsidR="00260275" w:rsidRPr="005463D1">
        <w:rPr>
          <w:lang w:bidi="en-US"/>
        </w:rPr>
        <w:t xml:space="preserve"> used</w:t>
      </w:r>
      <w:r w:rsidR="00260275" w:rsidRPr="007D6E48">
        <w:rPr>
          <w:lang w:bidi="en-US"/>
        </w:rPr>
        <w:t xml:space="preserve"> by Agency scientists to assess </w:t>
      </w:r>
      <w:r w:rsidR="00260275" w:rsidRPr="005463D1">
        <w:rPr>
          <w:lang w:bidi="en-US"/>
        </w:rPr>
        <w:t>and characterize pesticide risks, and to determine whether the pesticide continues to meet the standards established by federal law.</w:t>
      </w:r>
      <w:r w:rsidR="00260275" w:rsidRPr="00260275">
        <w:rPr>
          <w:lang w:bidi="en-US"/>
        </w:rPr>
        <w:t xml:space="preserve">    </w:t>
      </w:r>
    </w:p>
    <w:p w:rsidR="002B34A0" w:rsidRPr="002B34A0" w:rsidRDefault="002B34A0" w:rsidP="002B34A0">
      <w:pPr>
        <w:rPr>
          <w:lang w:bidi="en-US"/>
        </w:rPr>
      </w:pPr>
    </w:p>
    <w:p w:rsidR="002E3969" w:rsidRPr="002B34A0" w:rsidRDefault="00736998" w:rsidP="002E3969">
      <w:pPr>
        <w:rPr>
          <w:lang w:bidi="en-US"/>
        </w:rPr>
      </w:pPr>
      <w:r w:rsidRPr="00736998">
        <w:rPr>
          <w:lang w:bidi="en-US"/>
        </w:rPr>
        <w:t xml:space="preserve">Through a rigorous scientific and public process, EPA specifies the kinds of data and information necessary to make </w:t>
      </w:r>
      <w:r w:rsidR="002E3969">
        <w:rPr>
          <w:lang w:bidi="en-US"/>
        </w:rPr>
        <w:t xml:space="preserve">the </w:t>
      </w:r>
      <w:r w:rsidRPr="00736998">
        <w:rPr>
          <w:lang w:bidi="en-US"/>
        </w:rPr>
        <w:t xml:space="preserve">regulatory judgments </w:t>
      </w:r>
      <w:r w:rsidR="002E3969">
        <w:rPr>
          <w:lang w:bidi="en-US"/>
        </w:rPr>
        <w:t xml:space="preserve">required </w:t>
      </w:r>
      <w:r w:rsidRPr="00736998">
        <w:rPr>
          <w:lang w:bidi="en-US"/>
        </w:rPr>
        <w:t xml:space="preserve">under FIFRA </w:t>
      </w:r>
      <w:r w:rsidR="002E3969">
        <w:rPr>
          <w:lang w:bidi="en-US"/>
        </w:rPr>
        <w:t xml:space="preserve">and </w:t>
      </w:r>
      <w:r w:rsidRPr="00736998">
        <w:rPr>
          <w:lang w:bidi="en-US"/>
        </w:rPr>
        <w:t xml:space="preserve">FFDCA. </w:t>
      </w:r>
    </w:p>
    <w:p w:rsidR="002E3969" w:rsidRDefault="002B34A0" w:rsidP="002B34A0">
      <w:pPr>
        <w:rPr>
          <w:lang w:bidi="en-US"/>
        </w:rPr>
      </w:pPr>
      <w:r w:rsidRPr="002B34A0">
        <w:rPr>
          <w:lang w:bidi="en-US"/>
        </w:rPr>
        <w:t xml:space="preserve">Some of these </w:t>
      </w:r>
      <w:r w:rsidR="002E3969">
        <w:rPr>
          <w:lang w:bidi="en-US"/>
        </w:rPr>
        <w:t xml:space="preserve">judgments </w:t>
      </w:r>
      <w:r w:rsidRPr="002B34A0">
        <w:rPr>
          <w:lang w:bidi="en-US"/>
        </w:rPr>
        <w:t xml:space="preserve">include, but </w:t>
      </w:r>
      <w:r w:rsidRPr="005463D1">
        <w:rPr>
          <w:lang w:bidi="en-US"/>
        </w:rPr>
        <w:t>are not limited</w:t>
      </w:r>
      <w:r w:rsidRPr="002B34A0">
        <w:rPr>
          <w:lang w:bidi="en-US"/>
        </w:rPr>
        <w:t xml:space="preserve"> to</w:t>
      </w:r>
      <w:r w:rsidR="002E3969">
        <w:rPr>
          <w:lang w:bidi="en-US"/>
        </w:rPr>
        <w:t>:</w:t>
      </w:r>
    </w:p>
    <w:p w:rsidR="002E3969" w:rsidRDefault="002E3969" w:rsidP="00260275">
      <w:pPr>
        <w:pStyle w:val="ListParagraph"/>
        <w:numPr>
          <w:ilvl w:val="0"/>
          <w:numId w:val="6"/>
        </w:numPr>
        <w:spacing w:before="120"/>
        <w:contextualSpacing w:val="0"/>
      </w:pPr>
      <w:r>
        <w:t>D</w:t>
      </w:r>
      <w:r w:rsidR="002B34A0" w:rsidRPr="002B34A0">
        <w:t>etermin</w:t>
      </w:r>
      <w:r>
        <w:t>e</w:t>
      </w:r>
      <w:r w:rsidR="002B34A0" w:rsidRPr="002B34A0">
        <w:t xml:space="preserve"> if a pesticide can be registered or remain registered because it does not cause an unreasonable adverse effect on human health or the environment</w:t>
      </w:r>
      <w:r>
        <w:t>.</w:t>
      </w:r>
      <w:r w:rsidR="002B34A0" w:rsidRPr="002B34A0">
        <w:t xml:space="preserve"> </w:t>
      </w:r>
    </w:p>
    <w:p w:rsidR="002E3969" w:rsidRDefault="002E3969" w:rsidP="00260275">
      <w:pPr>
        <w:pStyle w:val="ListParagraph"/>
        <w:numPr>
          <w:ilvl w:val="0"/>
          <w:numId w:val="6"/>
        </w:numPr>
        <w:spacing w:before="120"/>
        <w:contextualSpacing w:val="0"/>
      </w:pPr>
      <w:r w:rsidRPr="005463D1">
        <w:t>D</w:t>
      </w:r>
      <w:r w:rsidR="002B34A0" w:rsidRPr="005463D1">
        <w:t>etermin</w:t>
      </w:r>
      <w:r w:rsidRPr="007D6E48">
        <w:t>e</w:t>
      </w:r>
      <w:r w:rsidR="002B34A0" w:rsidRPr="005463D1">
        <w:t xml:space="preserve"> if a pesticide has the potential to interact with the endocrine system, and meeting the safety standard of </w:t>
      </w:r>
      <w:r w:rsidR="001E6980" w:rsidRPr="005463D1">
        <w:t>FFDCA §</w:t>
      </w:r>
      <w:r w:rsidR="002B34A0" w:rsidRPr="005463D1">
        <w:t>408</w:t>
      </w:r>
      <w:r w:rsidRPr="005463D1">
        <w:t>.</w:t>
      </w:r>
    </w:p>
    <w:p w:rsidR="0071473E" w:rsidRDefault="0071473E" w:rsidP="00260275">
      <w:pPr>
        <w:pStyle w:val="ListParagraph"/>
        <w:numPr>
          <w:ilvl w:val="0"/>
          <w:numId w:val="6"/>
        </w:numPr>
        <w:spacing w:before="120"/>
        <w:contextualSpacing w:val="0"/>
      </w:pPr>
      <w:r>
        <w:t xml:space="preserve">Determine if a pesticide </w:t>
      </w:r>
      <w:r w:rsidRPr="0071473E">
        <w:rPr>
          <w:lang w:val="en"/>
        </w:rPr>
        <w:t>might harm a listed species</w:t>
      </w:r>
      <w:r>
        <w:rPr>
          <w:lang w:val="en"/>
        </w:rPr>
        <w:t>,</w:t>
      </w:r>
      <w:r w:rsidRPr="0071473E">
        <w:rPr>
          <w:lang w:val="en"/>
        </w:rPr>
        <w:t xml:space="preserve"> </w:t>
      </w:r>
      <w:r>
        <w:rPr>
          <w:lang w:val="en"/>
        </w:rPr>
        <w:t xml:space="preserve">under the Endangered Species Act, </w:t>
      </w:r>
      <w:r w:rsidRPr="0071473E">
        <w:rPr>
          <w:lang w:val="en"/>
        </w:rPr>
        <w:t>or its designated critical habitat</w:t>
      </w:r>
      <w:r>
        <w:rPr>
          <w:lang w:val="en"/>
        </w:rPr>
        <w:t xml:space="preserve">. </w:t>
      </w:r>
      <w:r w:rsidRPr="0071473E">
        <w:rPr>
          <w:lang w:val="en"/>
        </w:rPr>
        <w:t> </w:t>
      </w:r>
    </w:p>
    <w:p w:rsidR="002E3969" w:rsidRDefault="002E3969" w:rsidP="00260275">
      <w:pPr>
        <w:pStyle w:val="ListParagraph"/>
        <w:numPr>
          <w:ilvl w:val="0"/>
          <w:numId w:val="6"/>
        </w:numPr>
        <w:spacing w:before="120"/>
        <w:contextualSpacing w:val="0"/>
      </w:pPr>
      <w:r>
        <w:t>Determine if</w:t>
      </w:r>
      <w:r w:rsidR="002B34A0" w:rsidRPr="002B34A0">
        <w:t xml:space="preserve"> pesticide residues in food or feed will result in a reasonable certainty of no harm to human health from aggregate exposure through </w:t>
      </w:r>
      <w:r w:rsidR="002B34A0" w:rsidRPr="00D5421F">
        <w:rPr>
          <w:noProof/>
        </w:rPr>
        <w:t>dietary</w:t>
      </w:r>
      <w:r w:rsidR="002B34A0" w:rsidRPr="002B34A0">
        <w:t xml:space="preserve">, </w:t>
      </w:r>
      <w:r w:rsidR="002B34A0" w:rsidRPr="005463D1">
        <w:t>non-occupational</w:t>
      </w:r>
      <w:r w:rsidR="002B34A0" w:rsidRPr="002B34A0">
        <w:t xml:space="preserve">, and drinking water routes of exposure.  </w:t>
      </w:r>
    </w:p>
    <w:p w:rsidR="002E3969" w:rsidRDefault="002B34A0" w:rsidP="00260275">
      <w:pPr>
        <w:pStyle w:val="ListParagraph"/>
        <w:numPr>
          <w:ilvl w:val="0"/>
          <w:numId w:val="6"/>
        </w:numPr>
        <w:spacing w:before="120"/>
        <w:contextualSpacing w:val="0"/>
      </w:pPr>
      <w:r w:rsidRPr="002B34A0">
        <w:t xml:space="preserve">EPA must also consider the cumulative effects of pesticides that share a “common mechanism of toxicity,” consider </w:t>
      </w:r>
      <w:r w:rsidRPr="005463D1">
        <w:t>special</w:t>
      </w:r>
      <w:r w:rsidRPr="002B34A0">
        <w:t xml:space="preserve"> sensitivities of infants and children </w:t>
      </w:r>
    </w:p>
    <w:p w:rsidR="002E3969" w:rsidRDefault="002B34A0" w:rsidP="00260275">
      <w:pPr>
        <w:pStyle w:val="ListParagraph"/>
        <w:numPr>
          <w:ilvl w:val="0"/>
          <w:numId w:val="6"/>
        </w:numPr>
        <w:spacing w:before="120"/>
        <w:contextualSpacing w:val="0"/>
      </w:pPr>
      <w:r w:rsidRPr="005463D1">
        <w:t xml:space="preserve">EPA evaluates the data </w:t>
      </w:r>
      <w:r w:rsidR="00490016">
        <w:t xml:space="preserve">submitted </w:t>
      </w:r>
      <w:r w:rsidR="00490016" w:rsidRPr="00D5421F">
        <w:rPr>
          <w:noProof/>
        </w:rPr>
        <w:t>b</w:t>
      </w:r>
      <w:r w:rsidR="00490016">
        <w:rPr>
          <w:noProof/>
        </w:rPr>
        <w:t xml:space="preserve">y </w:t>
      </w:r>
      <w:r w:rsidRPr="00D5421F">
        <w:rPr>
          <w:noProof/>
        </w:rPr>
        <w:t>registrants</w:t>
      </w:r>
      <w:r w:rsidRPr="005463D1">
        <w:t xml:space="preserve"> to ensure that residues in or on food are not above the residue levels relied on for establishing the tolerance.</w:t>
      </w:r>
      <w:r w:rsidRPr="002B34A0">
        <w:t xml:space="preserve">  If the submitted residue data demonstrates that the residue levels are above the levels relied on for establishing the tolerance, EPA will take appropriate action to modify or revoke the tolerance. </w:t>
      </w:r>
    </w:p>
    <w:p w:rsidR="002B34A0" w:rsidRPr="002B34A0" w:rsidRDefault="002B34A0" w:rsidP="00260275">
      <w:pPr>
        <w:pStyle w:val="ListParagraph"/>
        <w:numPr>
          <w:ilvl w:val="0"/>
          <w:numId w:val="6"/>
        </w:numPr>
        <w:spacing w:before="120"/>
        <w:contextualSpacing w:val="0"/>
      </w:pPr>
      <w:r w:rsidRPr="002B34A0">
        <w:t xml:space="preserve">Inherent in EPA’s review </w:t>
      </w:r>
      <w:r w:rsidR="005378CD">
        <w:rPr>
          <w:noProof/>
        </w:rPr>
        <w:t>of</w:t>
      </w:r>
      <w:r w:rsidR="002E3969">
        <w:t xml:space="preserve"> most of the programs </w:t>
      </w:r>
      <w:r w:rsidRPr="002B34A0">
        <w:t>is an evaluation of the risks posed by the pesticide</w:t>
      </w:r>
      <w:r w:rsidR="002E3969">
        <w:t xml:space="preserve">, </w:t>
      </w:r>
      <w:r w:rsidRPr="002B34A0">
        <w:t xml:space="preserve">which </w:t>
      </w:r>
      <w:r w:rsidR="002E3969">
        <w:t xml:space="preserve">may also </w:t>
      </w:r>
      <w:r w:rsidRPr="002B34A0">
        <w:t>result in risk mitigation</w:t>
      </w:r>
      <w:r w:rsidR="002E3969">
        <w:t xml:space="preserve"> </w:t>
      </w:r>
      <w:r w:rsidR="00071069">
        <w:t>considerations</w:t>
      </w:r>
      <w:r w:rsidRPr="002B34A0">
        <w:t>.</w:t>
      </w:r>
    </w:p>
    <w:p w:rsidR="002B34A0" w:rsidRPr="002B34A0" w:rsidRDefault="002B34A0" w:rsidP="002B34A0">
      <w:pPr>
        <w:rPr>
          <w:lang w:bidi="en-US"/>
        </w:rPr>
      </w:pPr>
    </w:p>
    <w:p w:rsidR="002B34A0" w:rsidRDefault="00260275" w:rsidP="002B34A0">
      <w:pPr>
        <w:rPr>
          <w:lang w:bidi="en-US"/>
        </w:rPr>
      </w:pPr>
      <w:r>
        <w:rPr>
          <w:lang w:bidi="en-US"/>
        </w:rPr>
        <w:t xml:space="preserve">The availability of data and information about the pesticide </w:t>
      </w:r>
      <w:r w:rsidR="002B34A0" w:rsidRPr="002B34A0">
        <w:rPr>
          <w:lang w:bidi="en-US"/>
        </w:rPr>
        <w:t xml:space="preserve">is essential to perform quality and accurate risk </w:t>
      </w:r>
      <w:r>
        <w:rPr>
          <w:lang w:bidi="en-US"/>
        </w:rPr>
        <w:t xml:space="preserve">assessment that </w:t>
      </w:r>
      <w:r w:rsidR="002B34A0" w:rsidRPr="002B34A0">
        <w:rPr>
          <w:lang w:bidi="en-US"/>
        </w:rPr>
        <w:t>impact Agency decisions</w:t>
      </w:r>
      <w:r>
        <w:rPr>
          <w:lang w:bidi="en-US"/>
        </w:rPr>
        <w:t xml:space="preserve">, which may </w:t>
      </w:r>
      <w:r w:rsidR="002B34A0" w:rsidRPr="002B34A0">
        <w:rPr>
          <w:lang w:bidi="en-US"/>
        </w:rPr>
        <w:t xml:space="preserve">result in a more or less </w:t>
      </w:r>
      <w:r w:rsidR="002B34A0" w:rsidRPr="00D5421F">
        <w:rPr>
          <w:noProof/>
          <w:lang w:bidi="en-US"/>
        </w:rPr>
        <w:t>restrictive</w:t>
      </w:r>
      <w:r w:rsidR="002B34A0" w:rsidRPr="002B34A0">
        <w:rPr>
          <w:lang w:bidi="en-US"/>
        </w:rPr>
        <w:t xml:space="preserve"> pesticide use.  The lack of data will mean that there would be a higher degree of uncertainty and the potential for effects or exposures cannot be accurately characterized, </w:t>
      </w:r>
      <w:r>
        <w:rPr>
          <w:lang w:bidi="en-US"/>
        </w:rPr>
        <w:t xml:space="preserve">often requiring the use of </w:t>
      </w:r>
      <w:r w:rsidR="002B34A0" w:rsidRPr="002B34A0">
        <w:rPr>
          <w:lang w:bidi="en-US"/>
        </w:rPr>
        <w:t xml:space="preserve">conservative assumptions in lieu of the data.  Use of conservative assumptions may result in </w:t>
      </w:r>
      <w:r w:rsidR="002B34A0" w:rsidRPr="00D5421F">
        <w:rPr>
          <w:noProof/>
          <w:lang w:bidi="en-US"/>
        </w:rPr>
        <w:t>overestimates</w:t>
      </w:r>
      <w:r w:rsidR="002B34A0" w:rsidRPr="002B34A0">
        <w:rPr>
          <w:lang w:bidi="en-US"/>
        </w:rPr>
        <w:t xml:space="preserve"> of potential effects or exposures or limit the flexibility the registrants and Agency have when complying with </w:t>
      </w:r>
      <w:r w:rsidR="002E3969">
        <w:rPr>
          <w:lang w:bidi="en-US"/>
        </w:rPr>
        <w:t>other mandates</w:t>
      </w:r>
      <w:r w:rsidR="002B34A0" w:rsidRPr="002B34A0">
        <w:rPr>
          <w:lang w:bidi="en-US"/>
        </w:rPr>
        <w:t>, e.g.</w:t>
      </w:r>
      <w:r w:rsidR="002E3969">
        <w:rPr>
          <w:lang w:bidi="en-US"/>
        </w:rPr>
        <w:t>,</w:t>
      </w:r>
      <w:r w:rsidR="002B34A0" w:rsidRPr="002B34A0">
        <w:rPr>
          <w:lang w:bidi="en-US"/>
        </w:rPr>
        <w:t xml:space="preserve"> </w:t>
      </w:r>
      <w:r>
        <w:rPr>
          <w:lang w:bidi="en-US"/>
        </w:rPr>
        <w:t>ESA</w:t>
      </w:r>
      <w:r w:rsidR="002B34A0" w:rsidRPr="002B34A0">
        <w:rPr>
          <w:lang w:bidi="en-US"/>
        </w:rPr>
        <w:t xml:space="preserve">.  Limited flexibility can result in use restrictions </w:t>
      </w:r>
      <w:r w:rsidR="005A566C">
        <w:rPr>
          <w:lang w:bidi="en-US"/>
        </w:rPr>
        <w:t>that</w:t>
      </w:r>
      <w:r w:rsidR="002B34A0" w:rsidRPr="002B34A0">
        <w:rPr>
          <w:lang w:bidi="en-US"/>
        </w:rPr>
        <w:t xml:space="preserve"> </w:t>
      </w:r>
      <w:r>
        <w:rPr>
          <w:lang w:bidi="en-US"/>
        </w:rPr>
        <w:t>could have</w:t>
      </w:r>
      <w:r w:rsidR="002B34A0" w:rsidRPr="002B34A0">
        <w:rPr>
          <w:lang w:bidi="en-US"/>
        </w:rPr>
        <w:t xml:space="preserve"> otherwise be</w:t>
      </w:r>
      <w:r>
        <w:rPr>
          <w:lang w:bidi="en-US"/>
        </w:rPr>
        <w:t>en</w:t>
      </w:r>
      <w:r w:rsidR="002B34A0" w:rsidRPr="002B34A0">
        <w:rPr>
          <w:lang w:bidi="en-US"/>
        </w:rPr>
        <w:t xml:space="preserve"> avoided.  If new data or information show that the risk </w:t>
      </w:r>
      <w:r w:rsidR="002B34A0" w:rsidRPr="005463D1">
        <w:rPr>
          <w:lang w:bidi="en-US"/>
        </w:rPr>
        <w:t>is increased</w:t>
      </w:r>
      <w:r w:rsidR="002B34A0" w:rsidRPr="002B34A0">
        <w:rPr>
          <w:lang w:bidi="en-US"/>
        </w:rPr>
        <w:t xml:space="preserve">, then additional mitigation may be needed to address potential risks of concern.  However, if the new data or information </w:t>
      </w:r>
      <w:r w:rsidR="002B34A0" w:rsidRPr="00D5421F">
        <w:rPr>
          <w:noProof/>
          <w:lang w:bidi="en-US"/>
        </w:rPr>
        <w:t>show</w:t>
      </w:r>
      <w:r w:rsidR="002B34A0" w:rsidRPr="002B34A0">
        <w:rPr>
          <w:lang w:bidi="en-US"/>
        </w:rPr>
        <w:t xml:space="preserve"> that the risk is </w:t>
      </w:r>
      <w:r w:rsidR="002E3969">
        <w:rPr>
          <w:lang w:bidi="en-US"/>
        </w:rPr>
        <w:t>less than previously assumed</w:t>
      </w:r>
      <w:r w:rsidR="002B34A0" w:rsidRPr="002B34A0">
        <w:rPr>
          <w:lang w:bidi="en-US"/>
        </w:rPr>
        <w:t>, then the registrants may be able to expand uses</w:t>
      </w:r>
      <w:r w:rsidR="002E3969">
        <w:rPr>
          <w:lang w:bidi="en-US"/>
        </w:rPr>
        <w:t xml:space="preserve"> or the Agency may be able to reduce restrictions previously imposed</w:t>
      </w:r>
      <w:r w:rsidR="002B34A0" w:rsidRPr="002B34A0">
        <w:rPr>
          <w:lang w:bidi="en-US"/>
        </w:rPr>
        <w:t xml:space="preserve">. </w:t>
      </w:r>
    </w:p>
    <w:p w:rsidR="005A566C" w:rsidRDefault="005A566C" w:rsidP="005A566C">
      <w:pPr>
        <w:pStyle w:val="NoSpacing"/>
        <w:rPr>
          <w:lang w:bidi="en-US"/>
        </w:rPr>
      </w:pPr>
    </w:p>
    <w:p w:rsidR="00D358D9" w:rsidRDefault="005A566C" w:rsidP="00D358D9">
      <w:pPr>
        <w:pStyle w:val="NoSpacing"/>
        <w:rPr>
          <w:lang w:bidi="en-US"/>
        </w:rPr>
      </w:pPr>
      <w:r>
        <w:rPr>
          <w:lang w:bidi="en-US"/>
        </w:rPr>
        <w:t xml:space="preserve">The issuance of a DCI may also </w:t>
      </w:r>
      <w:r w:rsidR="00D358D9">
        <w:rPr>
          <w:lang w:bidi="en-US"/>
        </w:rPr>
        <w:t xml:space="preserve">help registrants in asserting their rights with regard to the </w:t>
      </w:r>
      <w:r w:rsidR="00D358D9" w:rsidRPr="00D358D9">
        <w:rPr>
          <w:lang w:bidi="en-US"/>
        </w:rPr>
        <w:t xml:space="preserve">exclusive use or </w:t>
      </w:r>
      <w:r>
        <w:rPr>
          <w:lang w:bidi="en-US"/>
        </w:rPr>
        <w:t>data compensation provisions under FIFRA</w:t>
      </w:r>
      <w:r w:rsidR="00D358D9">
        <w:rPr>
          <w:lang w:bidi="en-US"/>
        </w:rPr>
        <w:t xml:space="preserve"> </w:t>
      </w:r>
      <w:r w:rsidR="00D358D9" w:rsidRPr="00D358D9">
        <w:rPr>
          <w:lang w:bidi="en-US"/>
        </w:rPr>
        <w:t>§3(c)(1</w:t>
      </w:r>
      <w:r w:rsidR="00D358D9">
        <w:rPr>
          <w:lang w:bidi="en-US"/>
        </w:rPr>
        <w:t>)(F); as well as facilitating collaborative efforts to generate data when such opportunities are available</w:t>
      </w:r>
      <w:r>
        <w:rPr>
          <w:lang w:bidi="en-US"/>
        </w:rPr>
        <w:t>.</w:t>
      </w:r>
    </w:p>
    <w:p w:rsidR="00D358D9" w:rsidRDefault="00D358D9" w:rsidP="00D358D9">
      <w:pPr>
        <w:pStyle w:val="NoSpacing"/>
        <w:rPr>
          <w:lang w:bidi="en-US"/>
        </w:rPr>
      </w:pPr>
    </w:p>
    <w:p w:rsidR="008F3996" w:rsidRDefault="00D358D9" w:rsidP="00A05BD4">
      <w:pPr>
        <w:pStyle w:val="NoSpacing"/>
        <w:rPr>
          <w:lang w:bidi="en-US"/>
        </w:rPr>
      </w:pPr>
      <w:r w:rsidRPr="005463D1">
        <w:rPr>
          <w:lang w:bidi="en-US"/>
        </w:rPr>
        <w:t xml:space="preserve">In general, the practical utility of the data that might be collected through a DCI </w:t>
      </w:r>
      <w:r w:rsidR="008F3996" w:rsidRPr="005463D1">
        <w:rPr>
          <w:lang w:bidi="en-US"/>
        </w:rPr>
        <w:t>has been determined</w:t>
      </w:r>
      <w:r w:rsidR="008F3996" w:rsidRPr="007D6E48">
        <w:rPr>
          <w:lang w:bidi="en-US"/>
        </w:rPr>
        <w:t xml:space="preserve"> to</w:t>
      </w:r>
      <w:r w:rsidR="008F3996" w:rsidRPr="005463D1">
        <w:rPr>
          <w:lang w:bidi="en-US"/>
        </w:rPr>
        <w:t xml:space="preserve"> be necessary in order to answer specific questions about the safety of the pesticide product before the Agency can register it.</w:t>
      </w:r>
      <w:r w:rsidR="008F3996">
        <w:rPr>
          <w:lang w:bidi="en-US"/>
        </w:rPr>
        <w:t xml:space="preserve"> </w:t>
      </w:r>
      <w:r w:rsidR="008F3996" w:rsidRPr="005463D1">
        <w:rPr>
          <w:lang w:bidi="en-US"/>
        </w:rPr>
        <w:t>Although the issuance of a particular DCI is based</w:t>
      </w:r>
      <w:r w:rsidR="008F3996" w:rsidRPr="007D6E48">
        <w:rPr>
          <w:lang w:bidi="en-US"/>
        </w:rPr>
        <w:t xml:space="preserve"> on the circumstances presented by the individual pesticide chemical, EPA has</w:t>
      </w:r>
      <w:r w:rsidR="008F3996" w:rsidRPr="005463D1">
        <w:rPr>
          <w:lang w:bidi="en-US"/>
        </w:rPr>
        <w:t xml:space="preserve"> established data requirements based on the pesticide type and intended use patterns, while maintaining flexibility to address individual circumstances when appropriate.</w:t>
      </w:r>
      <w:r w:rsidR="008F3996">
        <w:rPr>
          <w:lang w:bidi="en-US"/>
        </w:rPr>
        <w:t xml:space="preserve"> </w:t>
      </w:r>
    </w:p>
    <w:p w:rsidR="008F3996" w:rsidRDefault="008F3996" w:rsidP="00A05BD4">
      <w:pPr>
        <w:pStyle w:val="NoSpacing"/>
        <w:rPr>
          <w:lang w:bidi="en-US"/>
        </w:rPr>
      </w:pPr>
    </w:p>
    <w:p w:rsidR="00AC2D0F" w:rsidRDefault="00AC2D0F" w:rsidP="00A05BD4">
      <w:pPr>
        <w:pStyle w:val="NoSpacing"/>
        <w:rPr>
          <w:lang w:bidi="en-US"/>
        </w:rPr>
      </w:pPr>
      <w:r w:rsidRPr="005463D1">
        <w:rPr>
          <w:lang w:bidi="en-US"/>
        </w:rPr>
        <w:t>Under any of the programs covered by this ICR, a</w:t>
      </w:r>
      <w:r w:rsidR="008F3996" w:rsidRPr="005463D1">
        <w:rPr>
          <w:lang w:bidi="en-US"/>
        </w:rPr>
        <w:t xml:space="preserve"> </w:t>
      </w:r>
      <w:r w:rsidRPr="007D6E48">
        <w:rPr>
          <w:lang w:bidi="en-US"/>
        </w:rPr>
        <w:t>particular request for data may ser</w:t>
      </w:r>
      <w:r w:rsidRPr="005463D1">
        <w:rPr>
          <w:lang w:bidi="en-US"/>
        </w:rPr>
        <w:t>ve a specific purpose, either in terms of its function or use in the assessment that supports the Agency’s regulatory judgments about the risks and benefits of the pesticide under FIFRA §§ 3, 4 and 5, and to determine the safety of pesticide chemical residues under FFDCA §408.</w:t>
      </w:r>
    </w:p>
    <w:p w:rsidR="00AC2D0F" w:rsidRDefault="00AC2D0F" w:rsidP="00A05BD4">
      <w:pPr>
        <w:pStyle w:val="NoSpacing"/>
        <w:rPr>
          <w:lang w:bidi="en-US"/>
        </w:rPr>
      </w:pPr>
    </w:p>
    <w:p w:rsidR="002B34A0" w:rsidRPr="007F50C4" w:rsidRDefault="00412D81" w:rsidP="008D44FC">
      <w:pPr>
        <w:pStyle w:val="Heading3"/>
        <w:numPr>
          <w:ilvl w:val="1"/>
          <w:numId w:val="42"/>
        </w:numPr>
        <w:tabs>
          <w:tab w:val="left" w:pos="1080"/>
        </w:tabs>
        <w:spacing w:after="200"/>
        <w:ind w:left="360"/>
        <w:rPr>
          <w:rStyle w:val="Heading2Char"/>
          <w:b/>
          <w:bCs/>
        </w:rPr>
      </w:pPr>
      <w:bookmarkStart w:id="93" w:name="_Toc482020584"/>
      <w:r>
        <w:t xml:space="preserve">General </w:t>
      </w:r>
      <w:r w:rsidR="00AC2D0F">
        <w:t>Purpose</w:t>
      </w:r>
      <w:r w:rsidR="00A05BD4">
        <w:t xml:space="preserve"> </w:t>
      </w:r>
      <w:r w:rsidR="000A185F">
        <w:t>Ca</w:t>
      </w:r>
      <w:r w:rsidR="00070ACE">
        <w:t>tegories</w:t>
      </w:r>
      <w:bookmarkEnd w:id="93"/>
    </w:p>
    <w:p w:rsidR="002B34A0" w:rsidRPr="002B34A0" w:rsidRDefault="002B34A0" w:rsidP="002B34A0">
      <w:pPr>
        <w:rPr>
          <w:lang w:bidi="en-US"/>
        </w:rPr>
      </w:pPr>
      <w:r w:rsidRPr="002B34A0">
        <w:rPr>
          <w:lang w:bidi="en-US"/>
        </w:rPr>
        <w:t xml:space="preserve">The data that EPA </w:t>
      </w:r>
      <w:r w:rsidR="00A05BD4">
        <w:rPr>
          <w:lang w:bidi="en-US"/>
        </w:rPr>
        <w:t xml:space="preserve">may </w:t>
      </w:r>
      <w:r w:rsidRPr="002B34A0">
        <w:rPr>
          <w:lang w:bidi="en-US"/>
        </w:rPr>
        <w:t xml:space="preserve">collect </w:t>
      </w:r>
      <w:r w:rsidR="00A05BD4">
        <w:rPr>
          <w:lang w:bidi="en-US"/>
        </w:rPr>
        <w:t xml:space="preserve">under a DCI may be grouped into </w:t>
      </w:r>
      <w:r w:rsidRPr="002B34A0">
        <w:rPr>
          <w:lang w:bidi="en-US"/>
        </w:rPr>
        <w:t xml:space="preserve">four general </w:t>
      </w:r>
      <w:r w:rsidR="00AC2D0F">
        <w:rPr>
          <w:lang w:bidi="en-US"/>
        </w:rPr>
        <w:t xml:space="preserve">purpose </w:t>
      </w:r>
      <w:r w:rsidRPr="002B34A0">
        <w:rPr>
          <w:lang w:bidi="en-US"/>
        </w:rPr>
        <w:t xml:space="preserve">categories:  </w:t>
      </w:r>
      <w:r w:rsidRPr="00D5421F">
        <w:rPr>
          <w:noProof/>
          <w:lang w:bidi="en-US"/>
        </w:rPr>
        <w:t>confirmatory</w:t>
      </w:r>
      <w:r w:rsidRPr="002B34A0">
        <w:rPr>
          <w:lang w:bidi="en-US"/>
        </w:rPr>
        <w:t xml:space="preserve"> data, </w:t>
      </w:r>
      <w:r w:rsidR="00C6615B" w:rsidRPr="00C6615B">
        <w:rPr>
          <w:lang w:bidi="en-US"/>
        </w:rPr>
        <w:t xml:space="preserve">chemical-specific data, </w:t>
      </w:r>
      <w:r w:rsidRPr="002B34A0">
        <w:rPr>
          <w:lang w:bidi="en-US"/>
        </w:rPr>
        <w:t xml:space="preserve">product-specific data, </w:t>
      </w:r>
      <w:r w:rsidR="00C6615B">
        <w:rPr>
          <w:lang w:bidi="en-US"/>
        </w:rPr>
        <w:t xml:space="preserve">and </w:t>
      </w:r>
      <w:r w:rsidR="00C6615B" w:rsidRPr="00D5421F">
        <w:rPr>
          <w:noProof/>
          <w:lang w:bidi="en-US"/>
        </w:rPr>
        <w:t>voluntary</w:t>
      </w:r>
      <w:r w:rsidR="00C6615B">
        <w:rPr>
          <w:lang w:bidi="en-US"/>
        </w:rPr>
        <w:t xml:space="preserve"> data</w:t>
      </w:r>
      <w:r w:rsidRPr="002B34A0">
        <w:rPr>
          <w:lang w:bidi="en-US"/>
        </w:rPr>
        <w:t xml:space="preserve">. </w:t>
      </w:r>
    </w:p>
    <w:p w:rsidR="002B34A0" w:rsidRPr="002B34A0" w:rsidRDefault="002B34A0" w:rsidP="002B34A0">
      <w:pPr>
        <w:rPr>
          <w:lang w:bidi="en-US"/>
        </w:rPr>
      </w:pPr>
    </w:p>
    <w:p w:rsidR="002B34A0" w:rsidRDefault="002B34A0" w:rsidP="002B34A0">
      <w:pPr>
        <w:rPr>
          <w:lang w:bidi="en-US"/>
        </w:rPr>
      </w:pPr>
      <w:r w:rsidRPr="00176015">
        <w:rPr>
          <w:i/>
          <w:iCs/>
          <w:u w:val="single"/>
          <w:lang w:bidi="en-US"/>
        </w:rPr>
        <w:t>Confirmatory Data</w:t>
      </w:r>
      <w:r w:rsidRPr="00176015">
        <w:rPr>
          <w:u w:val="single"/>
          <w:lang w:bidi="en-US"/>
        </w:rPr>
        <w:t>.</w:t>
      </w:r>
      <w:r w:rsidRPr="002B34A0">
        <w:rPr>
          <w:lang w:bidi="en-US"/>
        </w:rPr>
        <w:t xml:space="preserve">  In making a regulatory decision</w:t>
      </w:r>
      <w:r w:rsidR="00C6615B">
        <w:rPr>
          <w:lang w:bidi="en-US"/>
        </w:rPr>
        <w:t xml:space="preserve"> related to </w:t>
      </w:r>
      <w:r w:rsidR="00C6615B" w:rsidRPr="00D5421F">
        <w:rPr>
          <w:noProof/>
          <w:lang w:bidi="en-US"/>
        </w:rPr>
        <w:t>a registration</w:t>
      </w:r>
      <w:r w:rsidR="00C6615B">
        <w:rPr>
          <w:lang w:bidi="en-US"/>
        </w:rPr>
        <w:t xml:space="preserve"> under review</w:t>
      </w:r>
      <w:r w:rsidRPr="002B34A0">
        <w:rPr>
          <w:lang w:bidi="en-US"/>
        </w:rPr>
        <w:t xml:space="preserve">, additional </w:t>
      </w:r>
      <w:r w:rsidR="00176015">
        <w:rPr>
          <w:lang w:bidi="en-US"/>
        </w:rPr>
        <w:t>data</w:t>
      </w:r>
      <w:r w:rsidRPr="002B34A0">
        <w:rPr>
          <w:lang w:bidi="en-US"/>
        </w:rPr>
        <w:t xml:space="preserve"> </w:t>
      </w:r>
      <w:r w:rsidR="00176015">
        <w:rPr>
          <w:lang w:bidi="en-US"/>
        </w:rPr>
        <w:t xml:space="preserve">or information are </w:t>
      </w:r>
      <w:r w:rsidRPr="002B34A0">
        <w:rPr>
          <w:lang w:bidi="en-US"/>
        </w:rPr>
        <w:t xml:space="preserve">sometimes </w:t>
      </w:r>
      <w:r w:rsidR="00C6615B">
        <w:rPr>
          <w:lang w:bidi="en-US"/>
        </w:rPr>
        <w:t>necessary</w:t>
      </w:r>
      <w:r w:rsidR="00176015">
        <w:rPr>
          <w:lang w:bidi="en-US"/>
        </w:rPr>
        <w:t xml:space="preserve"> </w:t>
      </w:r>
      <w:r w:rsidRPr="002B34A0">
        <w:rPr>
          <w:lang w:bidi="en-US"/>
        </w:rPr>
        <w:t xml:space="preserve">to confirm </w:t>
      </w:r>
      <w:r w:rsidR="00176015">
        <w:rPr>
          <w:lang w:bidi="en-US"/>
        </w:rPr>
        <w:t xml:space="preserve">assumptions used in </w:t>
      </w:r>
      <w:r w:rsidRPr="002B34A0">
        <w:rPr>
          <w:lang w:bidi="en-US"/>
        </w:rPr>
        <w:t xml:space="preserve">the risk assessments, </w:t>
      </w:r>
      <w:r w:rsidR="00176015">
        <w:rPr>
          <w:lang w:bidi="en-US"/>
        </w:rPr>
        <w:t xml:space="preserve">the </w:t>
      </w:r>
      <w:r w:rsidR="00176015" w:rsidRPr="005463D1">
        <w:rPr>
          <w:lang w:bidi="en-US"/>
        </w:rPr>
        <w:t>Agency’s</w:t>
      </w:r>
      <w:r w:rsidR="00176015">
        <w:rPr>
          <w:lang w:bidi="en-US"/>
        </w:rPr>
        <w:t xml:space="preserve"> </w:t>
      </w:r>
      <w:r w:rsidRPr="002B34A0">
        <w:rPr>
          <w:lang w:bidi="en-US"/>
        </w:rPr>
        <w:t>findings o</w:t>
      </w:r>
      <w:r w:rsidR="00C6615B">
        <w:rPr>
          <w:lang w:bidi="en-US"/>
        </w:rPr>
        <w:t>r conclusions about a pesticide</w:t>
      </w:r>
      <w:r w:rsidRPr="002B34A0">
        <w:rPr>
          <w:lang w:bidi="en-US"/>
        </w:rPr>
        <w:t xml:space="preserve">.  </w:t>
      </w:r>
    </w:p>
    <w:p w:rsidR="00C6615B" w:rsidRDefault="00C6615B" w:rsidP="00C6615B">
      <w:pPr>
        <w:pStyle w:val="NoSpacing"/>
        <w:rPr>
          <w:lang w:bidi="en-US"/>
        </w:rPr>
      </w:pPr>
    </w:p>
    <w:p w:rsidR="00C6615B" w:rsidRPr="00C6615B" w:rsidRDefault="00C6615B" w:rsidP="00C6615B">
      <w:pPr>
        <w:pStyle w:val="NoSpacing"/>
        <w:rPr>
          <w:lang w:bidi="en-US"/>
        </w:rPr>
      </w:pPr>
      <w:r w:rsidRPr="00C6615B">
        <w:rPr>
          <w:i/>
          <w:iCs/>
          <w:u w:val="single"/>
          <w:lang w:bidi="en-US"/>
        </w:rPr>
        <w:t>Chemical-Specific Data</w:t>
      </w:r>
      <w:r w:rsidRPr="00C6615B">
        <w:rPr>
          <w:u w:val="single"/>
          <w:lang w:bidi="en-US"/>
        </w:rPr>
        <w:t>.</w:t>
      </w:r>
      <w:r w:rsidRPr="00C6615B">
        <w:rPr>
          <w:lang w:bidi="en-US"/>
        </w:rPr>
        <w:t xml:space="preserve">  In making a regulatory decision related to </w:t>
      </w:r>
      <w:r w:rsidRPr="00D5421F">
        <w:rPr>
          <w:noProof/>
          <w:lang w:bidi="en-US"/>
        </w:rPr>
        <w:t>a registration</w:t>
      </w:r>
      <w:r w:rsidRPr="00C6615B">
        <w:rPr>
          <w:lang w:bidi="en-US"/>
        </w:rPr>
        <w:t xml:space="preserve"> under review, additional data or information are sometimes </w:t>
      </w:r>
      <w:r>
        <w:rPr>
          <w:lang w:bidi="en-US"/>
        </w:rPr>
        <w:t xml:space="preserve">necessary </w:t>
      </w:r>
      <w:r w:rsidRPr="00C6615B">
        <w:rPr>
          <w:lang w:bidi="en-US"/>
        </w:rPr>
        <w:t xml:space="preserve">to determine whether the registration can continue in effect without change, or if modifications to the registration will be </w:t>
      </w:r>
      <w:r w:rsidRPr="00D5421F">
        <w:rPr>
          <w:noProof/>
          <w:lang w:bidi="en-US"/>
        </w:rPr>
        <w:t>necessary</w:t>
      </w:r>
      <w:r w:rsidRPr="00C6615B">
        <w:rPr>
          <w:lang w:bidi="en-US"/>
        </w:rPr>
        <w:t xml:space="preserve"> to reduce risks of concern.</w:t>
      </w:r>
      <w:r>
        <w:rPr>
          <w:lang w:bidi="en-US"/>
        </w:rPr>
        <w:t xml:space="preserve"> Such data needs </w:t>
      </w:r>
      <w:r w:rsidRPr="005463D1">
        <w:rPr>
          <w:lang w:bidi="en-US"/>
        </w:rPr>
        <w:t>are determined</w:t>
      </w:r>
      <w:r>
        <w:rPr>
          <w:lang w:bidi="en-US"/>
        </w:rPr>
        <w:t xml:space="preserve"> </w:t>
      </w:r>
      <w:r w:rsidR="005378CD">
        <w:rPr>
          <w:noProof/>
          <w:lang w:bidi="en-US"/>
        </w:rPr>
        <w:t>by</w:t>
      </w:r>
      <w:r>
        <w:rPr>
          <w:lang w:bidi="en-US"/>
        </w:rPr>
        <w:t xml:space="preserve"> a chemical or active</w:t>
      </w:r>
      <w:r w:rsidR="000A185F">
        <w:rPr>
          <w:lang w:bidi="en-US"/>
        </w:rPr>
        <w:t xml:space="preserve"> ingredient level and </w:t>
      </w:r>
      <w:r w:rsidR="000A185F" w:rsidRPr="005463D1">
        <w:rPr>
          <w:lang w:bidi="en-US"/>
        </w:rPr>
        <w:t>are used</w:t>
      </w:r>
      <w:r w:rsidR="000A185F">
        <w:rPr>
          <w:lang w:bidi="en-US"/>
        </w:rPr>
        <w:t xml:space="preserve"> for making all decisions regarding that chemical or active ingredient. </w:t>
      </w:r>
    </w:p>
    <w:p w:rsidR="00C6615B" w:rsidRPr="00C6615B" w:rsidRDefault="00C6615B" w:rsidP="00C6615B">
      <w:pPr>
        <w:pStyle w:val="NoSpacing"/>
        <w:rPr>
          <w:lang w:bidi="en-US"/>
        </w:rPr>
      </w:pPr>
    </w:p>
    <w:p w:rsidR="002B34A0" w:rsidRPr="002B34A0" w:rsidRDefault="002B34A0" w:rsidP="002B34A0">
      <w:pPr>
        <w:rPr>
          <w:lang w:bidi="en-US"/>
        </w:rPr>
      </w:pPr>
      <w:r w:rsidRPr="00176015">
        <w:rPr>
          <w:i/>
          <w:iCs/>
          <w:u w:val="single"/>
          <w:lang w:bidi="en-US"/>
        </w:rPr>
        <w:t>Product-Specific Data</w:t>
      </w:r>
      <w:r w:rsidRPr="00176015">
        <w:rPr>
          <w:u w:val="single"/>
          <w:lang w:bidi="en-US"/>
        </w:rPr>
        <w:t>.</w:t>
      </w:r>
      <w:r w:rsidRPr="002B34A0">
        <w:rPr>
          <w:lang w:bidi="en-US"/>
        </w:rPr>
        <w:t xml:space="preserve">  After the existing data supporting a pesticide </w:t>
      </w:r>
      <w:r w:rsidR="000A185F">
        <w:rPr>
          <w:lang w:bidi="en-US"/>
        </w:rPr>
        <w:t xml:space="preserve">on a chemical or </w:t>
      </w:r>
      <w:r w:rsidR="00176015">
        <w:rPr>
          <w:lang w:bidi="en-US"/>
        </w:rPr>
        <w:t xml:space="preserve">active ingredient </w:t>
      </w:r>
      <w:r w:rsidR="000A185F">
        <w:rPr>
          <w:lang w:bidi="en-US"/>
        </w:rPr>
        <w:t xml:space="preserve">basis </w:t>
      </w:r>
      <w:r w:rsidRPr="005463D1">
        <w:rPr>
          <w:lang w:bidi="en-US"/>
        </w:rPr>
        <w:t xml:space="preserve">are </w:t>
      </w:r>
      <w:r w:rsidRPr="00D5421F">
        <w:rPr>
          <w:noProof/>
          <w:lang w:bidi="en-US"/>
        </w:rPr>
        <w:t>evaluated</w:t>
      </w:r>
      <w:r w:rsidR="005378CD">
        <w:rPr>
          <w:noProof/>
          <w:lang w:bidi="en-US"/>
        </w:rPr>
        <w:t>,</w:t>
      </w:r>
      <w:r w:rsidRPr="002B34A0">
        <w:rPr>
          <w:lang w:bidi="en-US"/>
        </w:rPr>
        <w:t xml:space="preserve"> and a regulatory determination </w:t>
      </w:r>
      <w:r w:rsidRPr="005463D1">
        <w:rPr>
          <w:lang w:bidi="en-US"/>
        </w:rPr>
        <w:t>is made</w:t>
      </w:r>
      <w:r w:rsidRPr="002B34A0">
        <w:rPr>
          <w:lang w:bidi="en-US"/>
        </w:rPr>
        <w:t>, EPA’s focus turns to the information and data required to make regulatory decisions at the product-specific level.  For every end-use product (that is</w:t>
      </w:r>
      <w:r w:rsidRPr="005463D1">
        <w:rPr>
          <w:lang w:bidi="en-US"/>
        </w:rPr>
        <w:t>,</w:t>
      </w:r>
      <w:r w:rsidRPr="002B34A0">
        <w:rPr>
          <w:lang w:bidi="en-US"/>
        </w:rPr>
        <w:t xml:space="preserve"> every product that contains an active ingredient), registrants </w:t>
      </w:r>
      <w:r w:rsidRPr="005463D1">
        <w:rPr>
          <w:lang w:bidi="en-US"/>
        </w:rPr>
        <w:t>are required</w:t>
      </w:r>
      <w:r w:rsidRPr="002B34A0">
        <w:rPr>
          <w:lang w:bidi="en-US"/>
        </w:rPr>
        <w:t xml:space="preserve"> to submit certain data specific to the product as formulated and sold (including</w:t>
      </w:r>
      <w:r w:rsidR="006756F2">
        <w:rPr>
          <w:lang w:bidi="en-US"/>
        </w:rPr>
        <w:t>, but not limited to,</w:t>
      </w:r>
      <w:r w:rsidRPr="002B34A0">
        <w:rPr>
          <w:lang w:bidi="en-US"/>
        </w:rPr>
        <w:t xml:space="preserve"> acute toxicity, product chemistry </w:t>
      </w:r>
      <w:r w:rsidRPr="00D5421F">
        <w:rPr>
          <w:noProof/>
          <w:lang w:bidi="en-US"/>
        </w:rPr>
        <w:t>studies</w:t>
      </w:r>
      <w:r w:rsidR="005378CD">
        <w:rPr>
          <w:noProof/>
          <w:lang w:bidi="en-US"/>
        </w:rPr>
        <w:t>,</w:t>
      </w:r>
      <w:r w:rsidRPr="002B34A0">
        <w:rPr>
          <w:lang w:bidi="en-US"/>
        </w:rPr>
        <w:t xml:space="preserve"> and </w:t>
      </w:r>
      <w:r w:rsidR="00176015">
        <w:rPr>
          <w:lang w:bidi="en-US"/>
        </w:rPr>
        <w:t xml:space="preserve">product-specific </w:t>
      </w:r>
      <w:r w:rsidRPr="002B34A0">
        <w:rPr>
          <w:lang w:bidi="en-US"/>
        </w:rPr>
        <w:t xml:space="preserve">labeling).  In certain instances, the Agency requires the registrant to submit a Confidential Statement of Formula.  </w:t>
      </w:r>
      <w:r w:rsidRPr="005463D1">
        <w:rPr>
          <w:lang w:bidi="en-US"/>
        </w:rPr>
        <w:t xml:space="preserve">For </w:t>
      </w:r>
      <w:r w:rsidRPr="00D5421F">
        <w:rPr>
          <w:noProof/>
          <w:lang w:bidi="en-US"/>
        </w:rPr>
        <w:t>example</w:t>
      </w:r>
      <w:r w:rsidR="005378CD">
        <w:rPr>
          <w:noProof/>
          <w:lang w:bidi="en-US"/>
        </w:rPr>
        <w:t>,</w:t>
      </w:r>
      <w:r w:rsidRPr="002B34A0">
        <w:rPr>
          <w:lang w:bidi="en-US"/>
        </w:rPr>
        <w:t xml:space="preserve"> </w:t>
      </w:r>
      <w:r w:rsidR="005378CD">
        <w:rPr>
          <w:lang w:bidi="en-US"/>
        </w:rPr>
        <w:t>r</w:t>
      </w:r>
      <w:r w:rsidRPr="002B34A0">
        <w:rPr>
          <w:lang w:bidi="en-US"/>
        </w:rPr>
        <w:t xml:space="preserve">egistrants </w:t>
      </w:r>
      <w:r w:rsidRPr="005463D1">
        <w:rPr>
          <w:lang w:bidi="en-US"/>
        </w:rPr>
        <w:t>are required</w:t>
      </w:r>
      <w:r w:rsidRPr="002B34A0">
        <w:rPr>
          <w:lang w:bidi="en-US"/>
        </w:rPr>
        <w:t xml:space="preserve"> to </w:t>
      </w:r>
      <w:r w:rsidRPr="00D5421F">
        <w:rPr>
          <w:noProof/>
          <w:lang w:bidi="en-US"/>
        </w:rPr>
        <w:t>submit</w:t>
      </w:r>
      <w:r w:rsidRPr="002B34A0">
        <w:rPr>
          <w:lang w:bidi="en-US"/>
        </w:rPr>
        <w:t xml:space="preserve"> a Confidential Statement of Formula (EPA Form 8570-4)</w:t>
      </w:r>
      <w:r w:rsidR="00176015" w:rsidRPr="00176015">
        <w:rPr>
          <w:rStyle w:val="FootnoteReference"/>
          <w:vertAlign w:val="superscript"/>
          <w:lang w:bidi="en-US"/>
        </w:rPr>
        <w:footnoteReference w:id="18"/>
      </w:r>
      <w:r w:rsidRPr="002B34A0">
        <w:rPr>
          <w:lang w:bidi="en-US"/>
        </w:rPr>
        <w:t xml:space="preserve"> to comply with registration-related requirements under </w:t>
      </w:r>
      <w:r w:rsidR="0015601E" w:rsidRPr="0015601E">
        <w:rPr>
          <w:lang w:bidi="en-US"/>
        </w:rPr>
        <w:t>FIFRA §</w:t>
      </w:r>
      <w:r w:rsidRPr="002B34A0">
        <w:rPr>
          <w:lang w:bidi="en-US"/>
        </w:rPr>
        <w:t xml:space="preserve">3, when a registrant seeks to add uses for a currently-registered pesticide, or when the registrant changes a registered pesticide’s formulation.  </w:t>
      </w:r>
      <w:r w:rsidRPr="005463D1">
        <w:rPr>
          <w:lang w:bidi="en-US"/>
        </w:rPr>
        <w:t>Thus, information and data are essential to making the final regulatory decision regarding the partic</w:t>
      </w:r>
      <w:r w:rsidR="00176015" w:rsidRPr="005463D1">
        <w:rPr>
          <w:lang w:bidi="en-US"/>
        </w:rPr>
        <w:t xml:space="preserve">ulars of a </w:t>
      </w:r>
      <w:r w:rsidR="00176015" w:rsidRPr="00D5421F">
        <w:rPr>
          <w:noProof/>
          <w:lang w:bidi="en-US"/>
        </w:rPr>
        <w:t>specific</w:t>
      </w:r>
      <w:r w:rsidR="00176015" w:rsidRPr="007D6E48">
        <w:rPr>
          <w:lang w:bidi="en-US"/>
        </w:rPr>
        <w:t xml:space="preserve"> product.</w:t>
      </w:r>
      <w:r w:rsidR="00176015">
        <w:rPr>
          <w:lang w:bidi="en-US"/>
        </w:rPr>
        <w:t xml:space="preserve"> </w:t>
      </w:r>
    </w:p>
    <w:p w:rsidR="002B34A0" w:rsidRPr="002B34A0" w:rsidRDefault="002B34A0" w:rsidP="002B34A0">
      <w:pPr>
        <w:rPr>
          <w:lang w:bidi="en-US"/>
        </w:rPr>
      </w:pPr>
      <w:r w:rsidRPr="002B34A0">
        <w:rPr>
          <w:lang w:bidi="en-US"/>
        </w:rPr>
        <w:t xml:space="preserve">  </w:t>
      </w:r>
    </w:p>
    <w:p w:rsidR="00C6615B" w:rsidRDefault="002B34A0" w:rsidP="002B34A0">
      <w:pPr>
        <w:rPr>
          <w:lang w:bidi="en-US"/>
        </w:rPr>
      </w:pPr>
      <w:r w:rsidRPr="00176015">
        <w:rPr>
          <w:i/>
          <w:iCs/>
          <w:u w:val="single"/>
          <w:lang w:bidi="en-US"/>
        </w:rPr>
        <w:t>Voluntary Data</w:t>
      </w:r>
      <w:r w:rsidRPr="00176015">
        <w:rPr>
          <w:u w:val="single"/>
          <w:lang w:bidi="en-US"/>
        </w:rPr>
        <w:t>.</w:t>
      </w:r>
      <w:r w:rsidRPr="002B34A0">
        <w:rPr>
          <w:lang w:bidi="en-US"/>
        </w:rPr>
        <w:t xml:space="preserve">  Historically, registrants (and other interested parties) have voluntarily submitted data to EPA that was not specifically required and/or requested</w:t>
      </w:r>
      <w:r w:rsidR="00176015">
        <w:rPr>
          <w:lang w:bidi="en-US"/>
        </w:rPr>
        <w:t>, but nonetheless data or information that the registrant wanted EPA to consider in making its decisions</w:t>
      </w:r>
      <w:r w:rsidRPr="002B34A0">
        <w:rPr>
          <w:lang w:bidi="en-US"/>
        </w:rPr>
        <w:t xml:space="preserve">.  </w:t>
      </w:r>
      <w:r w:rsidRPr="005463D1">
        <w:rPr>
          <w:lang w:bidi="en-US"/>
        </w:rPr>
        <w:t xml:space="preserve">A small percentage of FIFRA registrants will always submit </w:t>
      </w:r>
      <w:r w:rsidRPr="00D5421F">
        <w:rPr>
          <w:noProof/>
          <w:lang w:bidi="en-US"/>
        </w:rPr>
        <w:t>voluntary</w:t>
      </w:r>
      <w:r w:rsidRPr="005463D1">
        <w:rPr>
          <w:lang w:bidi="en-US"/>
        </w:rPr>
        <w:t xml:space="preserve"> data to support a new and/or alternative scientific approach </w:t>
      </w:r>
      <w:r w:rsidR="00176015" w:rsidRPr="005463D1">
        <w:rPr>
          <w:lang w:bidi="en-US"/>
        </w:rPr>
        <w:t xml:space="preserve">for meeting a </w:t>
      </w:r>
      <w:r w:rsidRPr="007D6E48">
        <w:rPr>
          <w:lang w:bidi="en-US"/>
        </w:rPr>
        <w:t xml:space="preserve">data requirement </w:t>
      </w:r>
      <w:r w:rsidR="00176015" w:rsidRPr="005463D1">
        <w:rPr>
          <w:lang w:bidi="en-US"/>
        </w:rPr>
        <w:t xml:space="preserve">that is </w:t>
      </w:r>
      <w:r w:rsidRPr="005463D1">
        <w:rPr>
          <w:lang w:bidi="en-US"/>
        </w:rPr>
        <w:t>needed to obtain or retain a pesticide registration.</w:t>
      </w:r>
      <w:r w:rsidRPr="002B34A0">
        <w:rPr>
          <w:lang w:bidi="en-US"/>
        </w:rPr>
        <w:t xml:space="preserve">  </w:t>
      </w:r>
      <w:r w:rsidR="00176015">
        <w:rPr>
          <w:lang w:bidi="en-US"/>
        </w:rPr>
        <w:t xml:space="preserve">On occasion, </w:t>
      </w:r>
      <w:r w:rsidRPr="002B34A0">
        <w:rPr>
          <w:lang w:bidi="en-US"/>
        </w:rPr>
        <w:t xml:space="preserve">EPA has </w:t>
      </w:r>
      <w:r w:rsidR="00176015">
        <w:rPr>
          <w:lang w:bidi="en-US"/>
        </w:rPr>
        <w:t>suggest</w:t>
      </w:r>
      <w:r w:rsidRPr="002B34A0">
        <w:rPr>
          <w:lang w:bidi="en-US"/>
        </w:rPr>
        <w:t xml:space="preserve">ed </w:t>
      </w:r>
      <w:r w:rsidR="00176015">
        <w:rPr>
          <w:lang w:bidi="en-US"/>
        </w:rPr>
        <w:t xml:space="preserve">that certain data or information </w:t>
      </w:r>
      <w:r w:rsidR="00176015" w:rsidRPr="005463D1">
        <w:rPr>
          <w:lang w:bidi="en-US"/>
        </w:rPr>
        <w:t>be</w:t>
      </w:r>
      <w:r w:rsidR="00176015">
        <w:rPr>
          <w:lang w:bidi="en-US"/>
        </w:rPr>
        <w:t xml:space="preserve"> </w:t>
      </w:r>
      <w:r w:rsidRPr="002B34A0">
        <w:rPr>
          <w:lang w:bidi="en-US"/>
        </w:rPr>
        <w:t>voluntar</w:t>
      </w:r>
      <w:r w:rsidR="00176015">
        <w:rPr>
          <w:lang w:bidi="en-US"/>
        </w:rPr>
        <w:t>il</w:t>
      </w:r>
      <w:r w:rsidRPr="002B34A0">
        <w:rPr>
          <w:lang w:bidi="en-US"/>
        </w:rPr>
        <w:t>y submitted to the Agency</w:t>
      </w:r>
      <w:r w:rsidR="00CD16D6">
        <w:rPr>
          <w:lang w:bidi="en-US"/>
        </w:rPr>
        <w:t>. H</w:t>
      </w:r>
      <w:r w:rsidR="00DD742D">
        <w:rPr>
          <w:lang w:bidi="en-US"/>
        </w:rPr>
        <w:t xml:space="preserve">owever, the </w:t>
      </w:r>
      <w:r w:rsidRPr="007D6E48">
        <w:rPr>
          <w:lang w:bidi="en-US"/>
        </w:rPr>
        <w:t xml:space="preserve">Agency does not </w:t>
      </w:r>
      <w:r w:rsidRPr="00911936">
        <w:rPr>
          <w:lang w:bidi="en-US"/>
        </w:rPr>
        <w:t xml:space="preserve">anticipate large volumes of </w:t>
      </w:r>
      <w:r w:rsidRPr="00911936">
        <w:rPr>
          <w:noProof/>
          <w:lang w:bidi="en-US"/>
        </w:rPr>
        <w:t>voluntary</w:t>
      </w:r>
      <w:r w:rsidRPr="00911936">
        <w:rPr>
          <w:lang w:bidi="en-US"/>
        </w:rPr>
        <w:t xml:space="preserve"> data to be </w:t>
      </w:r>
      <w:r w:rsidRPr="00911936">
        <w:rPr>
          <w:noProof/>
          <w:lang w:bidi="en-US"/>
        </w:rPr>
        <w:t>submitted</w:t>
      </w:r>
      <w:r w:rsidRPr="00911936">
        <w:rPr>
          <w:lang w:bidi="en-US"/>
        </w:rPr>
        <w:t xml:space="preserve"> for the current statutor</w:t>
      </w:r>
      <w:r w:rsidR="00CD16D6" w:rsidRPr="00911936">
        <w:rPr>
          <w:lang w:bidi="en-US"/>
        </w:rPr>
        <w:t>ily</w:t>
      </w:r>
      <w:r w:rsidRPr="00911936">
        <w:rPr>
          <w:lang w:bidi="en-US"/>
        </w:rPr>
        <w:t xml:space="preserve"> mandated programs.</w:t>
      </w:r>
      <w:r w:rsidR="00C6615B" w:rsidRPr="00911936">
        <w:rPr>
          <w:lang w:bidi="en-US"/>
        </w:rPr>
        <w:t xml:space="preserve"> </w:t>
      </w:r>
      <w:r w:rsidR="00C22C5F" w:rsidRPr="00911936">
        <w:rPr>
          <w:lang w:bidi="en-US"/>
        </w:rPr>
        <w:t>In response to an Industry recommendation, t</w:t>
      </w:r>
      <w:r w:rsidR="00C22C5F" w:rsidRPr="00911936">
        <w:t>he Agency has revised the estimates for voluntary submissions to one submission per chemical case (or 50 submissions per year), with the expected range of potential annual burden from voluntary submission</w:t>
      </w:r>
      <w:r w:rsidR="000F15CB" w:rsidRPr="00911936">
        <w:t>s</w:t>
      </w:r>
      <w:r w:rsidR="00C22C5F" w:rsidRPr="00911936">
        <w:t xml:space="preserve"> </w:t>
      </w:r>
      <w:r w:rsidR="000F15CB" w:rsidRPr="00911936">
        <w:t xml:space="preserve">from </w:t>
      </w:r>
      <w:r w:rsidR="00C22C5F" w:rsidRPr="00911936">
        <w:t>32,899 to 181,927 burden hours.</w:t>
      </w:r>
    </w:p>
    <w:p w:rsidR="002B34A0" w:rsidRPr="002B34A0" w:rsidRDefault="002B34A0" w:rsidP="002B34A0">
      <w:pPr>
        <w:rPr>
          <w:lang w:bidi="en-US"/>
        </w:rPr>
      </w:pPr>
    </w:p>
    <w:p w:rsidR="000A185F" w:rsidRPr="002E3969" w:rsidRDefault="009A7344" w:rsidP="008D44FC">
      <w:pPr>
        <w:pStyle w:val="Heading3"/>
        <w:numPr>
          <w:ilvl w:val="1"/>
          <w:numId w:val="42"/>
        </w:numPr>
        <w:tabs>
          <w:tab w:val="left" w:pos="1080"/>
        </w:tabs>
        <w:spacing w:after="200"/>
        <w:ind w:left="360"/>
        <w:rPr>
          <w:i/>
        </w:rPr>
      </w:pPr>
      <w:bookmarkStart w:id="94" w:name="_Toc482020585"/>
      <w:r>
        <w:t xml:space="preserve">EPA </w:t>
      </w:r>
      <w:r w:rsidR="00AC2D0F">
        <w:t xml:space="preserve">Use of Data in the </w:t>
      </w:r>
      <w:r w:rsidR="00D71846">
        <w:t>Assessments</w:t>
      </w:r>
      <w:bookmarkEnd w:id="94"/>
      <w:r w:rsidR="00412D81">
        <w:t xml:space="preserve"> </w:t>
      </w:r>
    </w:p>
    <w:p w:rsidR="00185866" w:rsidRDefault="00D651D2" w:rsidP="00D651D2">
      <w:pPr>
        <w:pStyle w:val="NoSpacing"/>
        <w:rPr>
          <w:lang w:bidi="en-US"/>
        </w:rPr>
      </w:pPr>
      <w:r w:rsidRPr="00D651D2">
        <w:rPr>
          <w:lang w:bidi="en-US"/>
        </w:rPr>
        <w:t xml:space="preserve">In general, EPA may use a DCI to request, or the registrant may voluntarily submit, the data from </w:t>
      </w:r>
      <w:r w:rsidR="009A7344">
        <w:rPr>
          <w:lang w:bidi="en-US"/>
        </w:rPr>
        <w:t>several</w:t>
      </w:r>
      <w:r w:rsidRPr="00D651D2">
        <w:rPr>
          <w:lang w:bidi="en-US"/>
        </w:rPr>
        <w:t xml:space="preserve"> categories and study types</w:t>
      </w:r>
      <w:r w:rsidR="009A7344">
        <w:rPr>
          <w:lang w:bidi="en-US"/>
        </w:rPr>
        <w:t xml:space="preserve">, which reflect how the requirements in 40 CFR part 158 </w:t>
      </w:r>
      <w:r w:rsidR="009A7344" w:rsidRPr="005463D1">
        <w:rPr>
          <w:lang w:bidi="en-US"/>
        </w:rPr>
        <w:t>are organized</w:t>
      </w:r>
      <w:r w:rsidR="009A7344">
        <w:rPr>
          <w:lang w:bidi="en-US"/>
        </w:rPr>
        <w:t xml:space="preserve">.  The </w:t>
      </w:r>
      <w:r w:rsidR="00185866" w:rsidRPr="00185866">
        <w:rPr>
          <w:lang w:bidi="en-US"/>
        </w:rPr>
        <w:t>studies required under 40 CFR part 158 provide the scientific basis for characterizing the potential risks associated with pesticide exposure.</w:t>
      </w:r>
      <w:r w:rsidRPr="00D651D2">
        <w:rPr>
          <w:lang w:bidi="en-US"/>
        </w:rPr>
        <w:t xml:space="preserve"> </w:t>
      </w:r>
    </w:p>
    <w:p w:rsidR="00185866" w:rsidRDefault="00185866" w:rsidP="00D651D2">
      <w:pPr>
        <w:pStyle w:val="NoSpacing"/>
        <w:rPr>
          <w:lang w:bidi="en-US"/>
        </w:rPr>
      </w:pPr>
    </w:p>
    <w:p w:rsidR="00185866" w:rsidRPr="00185866" w:rsidRDefault="00185866" w:rsidP="00185866">
      <w:pPr>
        <w:pStyle w:val="NoSpacing"/>
        <w:rPr>
          <w:lang w:bidi="en-US"/>
        </w:rPr>
      </w:pPr>
      <w:r w:rsidRPr="00185866">
        <w:rPr>
          <w:lang w:bidi="en-US"/>
        </w:rPr>
        <w:t>EPA provided OPP staff with guidance to assist them in focusing on the information most relevant to the assessment.</w:t>
      </w:r>
      <w:r w:rsidRPr="00185866">
        <w:rPr>
          <w:rStyle w:val="FootnoteReference"/>
          <w:vertAlign w:val="superscript"/>
          <w:lang w:bidi="en-US"/>
        </w:rPr>
        <w:footnoteReference w:id="19"/>
      </w:r>
      <w:r w:rsidRPr="00185866">
        <w:rPr>
          <w:lang w:bidi="en-US"/>
        </w:rPr>
        <w:t xml:space="preserve"> </w:t>
      </w:r>
      <w:r w:rsidRPr="005463D1">
        <w:rPr>
          <w:lang w:bidi="en-US"/>
        </w:rPr>
        <w:t xml:space="preserve">EPA’s goal is to ensure there is sufficient information </w:t>
      </w:r>
      <w:r w:rsidRPr="00D5421F">
        <w:rPr>
          <w:noProof/>
          <w:lang w:bidi="en-US"/>
        </w:rPr>
        <w:t>to reliably support</w:t>
      </w:r>
      <w:r w:rsidRPr="005463D1">
        <w:rPr>
          <w:lang w:bidi="en-US"/>
        </w:rPr>
        <w:t xml:space="preserve"> registration decisions that are protective of public health and the environment while avoiding the generation and evaluation of data that </w:t>
      </w:r>
      <w:r w:rsidRPr="007D6E48">
        <w:rPr>
          <w:lang w:bidi="en-US"/>
        </w:rPr>
        <w:t>does not materially influence the scientific certainty of a regulatory decision.</w:t>
      </w:r>
      <w:r w:rsidRPr="00185866">
        <w:rPr>
          <w:lang w:bidi="en-US"/>
        </w:rPr>
        <w:t xml:space="preserve"> It is </w:t>
      </w:r>
      <w:r w:rsidRPr="005463D1">
        <w:rPr>
          <w:lang w:bidi="en-US"/>
        </w:rPr>
        <w:t>important</w:t>
      </w:r>
      <w:r w:rsidRPr="00185866">
        <w:rPr>
          <w:lang w:bidi="en-US"/>
        </w:rPr>
        <w:t xml:space="preserve"> </w:t>
      </w:r>
      <w:r w:rsidR="00226E77">
        <w:rPr>
          <w:noProof/>
          <w:lang w:bidi="en-US"/>
        </w:rPr>
        <w:t>only to</w:t>
      </w:r>
      <w:r w:rsidRPr="00D5421F">
        <w:rPr>
          <w:noProof/>
          <w:lang w:bidi="en-US"/>
        </w:rPr>
        <w:t xml:space="preserve"> require</w:t>
      </w:r>
      <w:r w:rsidRPr="00185866">
        <w:rPr>
          <w:lang w:bidi="en-US"/>
        </w:rPr>
        <w:t xml:space="preserve"> data that adequately inform regulatory decision making and thereby avoid unnecessary use of time and resources, </w:t>
      </w:r>
      <w:r w:rsidRPr="00D5421F">
        <w:rPr>
          <w:noProof/>
          <w:lang w:bidi="en-US"/>
        </w:rPr>
        <w:t>data generation</w:t>
      </w:r>
      <w:r w:rsidRPr="00185866">
        <w:rPr>
          <w:lang w:bidi="en-US"/>
        </w:rPr>
        <w:t xml:space="preserve"> costs, and animal testing.</w:t>
      </w:r>
      <w:r>
        <w:rPr>
          <w:lang w:bidi="en-US"/>
        </w:rPr>
        <w:t xml:space="preserve"> </w:t>
      </w:r>
      <w:r w:rsidRPr="00185866">
        <w:rPr>
          <w:lang w:bidi="en-US"/>
        </w:rPr>
        <w:t xml:space="preserve">This guidance is consistent with </w:t>
      </w:r>
      <w:r w:rsidR="000B7454" w:rsidRPr="000B7454">
        <w:rPr>
          <w:lang w:bidi="en-US"/>
        </w:rPr>
        <w:t xml:space="preserve">OPP’s strategic direction of using “Integrated Approaches to Testing and </w:t>
      </w:r>
      <w:r w:rsidR="000B7454" w:rsidRPr="00D5421F">
        <w:rPr>
          <w:noProof/>
          <w:lang w:bidi="en-US"/>
        </w:rPr>
        <w:t>Assessment”</w:t>
      </w:r>
      <w:r w:rsidR="00226E77">
        <w:rPr>
          <w:noProof/>
          <w:lang w:bidi="en-US"/>
        </w:rPr>
        <w:t xml:space="preserve"> </w:t>
      </w:r>
      <w:r w:rsidR="000B7454" w:rsidRPr="00D5421F">
        <w:rPr>
          <w:rStyle w:val="FootnoteReference"/>
          <w:noProof/>
          <w:vertAlign w:val="superscript"/>
          <w:lang w:bidi="en-US"/>
        </w:rPr>
        <w:footnoteReference w:id="20"/>
      </w:r>
      <w:r w:rsidRPr="00185866">
        <w:rPr>
          <w:lang w:bidi="en-US"/>
        </w:rPr>
        <w:t xml:space="preserve"> which promotes a hypothesis based, systematic, integrative use of exposure and hazard information for assessing pesticide risk. OPP’s strategic direction is consistent with the 2007 and 2009 National Research Council reports, Toxicity Testing in the 21st Century: A Vision and a Strategy and Science and Decisions: Advancing Risk Assessment. </w:t>
      </w:r>
    </w:p>
    <w:p w:rsidR="00D651D2" w:rsidRDefault="00D651D2" w:rsidP="00D651D2">
      <w:pPr>
        <w:pStyle w:val="NoSpacing"/>
        <w:rPr>
          <w:lang w:bidi="en-US"/>
        </w:rPr>
      </w:pPr>
    </w:p>
    <w:p w:rsidR="00185866" w:rsidRDefault="00185866" w:rsidP="00D651D2">
      <w:pPr>
        <w:pStyle w:val="NoSpacing"/>
        <w:rPr>
          <w:lang w:bidi="en-US"/>
        </w:rPr>
      </w:pPr>
      <w:r>
        <w:rPr>
          <w:lang w:bidi="en-US"/>
        </w:rPr>
        <w:t>In keeping with applicable EPA guidance, the data collected through a DCI may be used by EPA in the following ways.</w:t>
      </w:r>
    </w:p>
    <w:p w:rsidR="00D651D2" w:rsidRPr="00D651D2" w:rsidRDefault="00D651D2" w:rsidP="00D651D2">
      <w:pPr>
        <w:pStyle w:val="NoSpacing"/>
        <w:rPr>
          <w:lang w:bidi="en-US"/>
        </w:rPr>
      </w:pPr>
    </w:p>
    <w:p w:rsidR="00D651D2" w:rsidRPr="00D651D2" w:rsidRDefault="00D651D2" w:rsidP="00D651D2">
      <w:pPr>
        <w:pStyle w:val="NoSpacing"/>
        <w:rPr>
          <w:lang w:bidi="en-US"/>
        </w:rPr>
      </w:pPr>
      <w:r w:rsidRPr="00D651D2">
        <w:rPr>
          <w:b/>
          <w:bCs/>
          <w:lang w:bidi="en-US"/>
        </w:rPr>
        <w:t xml:space="preserve">Data about Product Performance </w:t>
      </w:r>
      <w:r w:rsidRPr="00D651D2">
        <w:rPr>
          <w:bCs/>
          <w:lang w:bidi="en-US"/>
        </w:rPr>
        <w:t>–</w:t>
      </w:r>
      <w:r w:rsidRPr="00D651D2">
        <w:rPr>
          <w:b/>
          <w:bCs/>
          <w:lang w:bidi="en-US"/>
        </w:rPr>
        <w:t xml:space="preserve"> </w:t>
      </w:r>
      <w:r w:rsidRPr="00D651D2">
        <w:rPr>
          <w:lang w:bidi="en-US"/>
        </w:rPr>
        <w:t xml:space="preserve">Requirements to develop data on product performance provide a mechanism to ensure that pesticide products will control the pests listed on the label and that unnecessary pesticide exposure to the environment will not occur as a result of the use of </w:t>
      </w:r>
      <w:r w:rsidRPr="00D5421F">
        <w:rPr>
          <w:noProof/>
          <w:lang w:bidi="en-US"/>
        </w:rPr>
        <w:t>ineffective</w:t>
      </w:r>
      <w:r w:rsidRPr="00D651D2">
        <w:rPr>
          <w:lang w:bidi="en-US"/>
        </w:rPr>
        <w:t xml:space="preserve"> products. </w:t>
      </w:r>
      <w:r w:rsidRPr="005463D1">
        <w:rPr>
          <w:lang w:bidi="en-US"/>
        </w:rPr>
        <w:t>Specific performance standards are used</w:t>
      </w:r>
      <w:r w:rsidRPr="007D6E48">
        <w:rPr>
          <w:lang w:bidi="en-US"/>
        </w:rPr>
        <w:t xml:space="preserve"> to validate the efficacy data in the public health areas, including disinfectants used to control microorganisms infectious to humans in any </w:t>
      </w:r>
      <w:r w:rsidRPr="00D5421F">
        <w:rPr>
          <w:noProof/>
          <w:lang w:bidi="en-US"/>
        </w:rPr>
        <w:t>area</w:t>
      </w:r>
      <w:r w:rsidRPr="007D6E48">
        <w:rPr>
          <w:lang w:bidi="en-US"/>
        </w:rPr>
        <w:t xml:space="preserve"> of the inanimate enviro</w:t>
      </w:r>
      <w:r w:rsidRPr="005463D1">
        <w:rPr>
          <w:lang w:bidi="en-US"/>
        </w:rPr>
        <w:t>nment and those pesticides used to control vertebrates (such as rodents, birds, bats, and skunks) and invertebrates (ticks, mosquitoes, etc.</w:t>
      </w:r>
      <w:r w:rsidRPr="00D651D2">
        <w:rPr>
          <w:lang w:bidi="en-US"/>
        </w:rPr>
        <w:t xml:space="preserve">) </w:t>
      </w:r>
      <w:r w:rsidRPr="005463D1">
        <w:rPr>
          <w:lang w:bidi="en-US"/>
        </w:rPr>
        <w:t>that</w:t>
      </w:r>
      <w:r w:rsidRPr="00D651D2">
        <w:rPr>
          <w:lang w:bidi="en-US"/>
        </w:rPr>
        <w:t xml:space="preserve"> may directly or indirectly transmit diseases to humans. </w:t>
      </w:r>
    </w:p>
    <w:p w:rsidR="00D651D2" w:rsidRPr="00D651D2" w:rsidRDefault="00D651D2" w:rsidP="00D651D2">
      <w:pPr>
        <w:pStyle w:val="NoSpacing"/>
        <w:rPr>
          <w:b/>
          <w:bCs/>
          <w:lang w:bidi="en-US"/>
        </w:rPr>
      </w:pPr>
    </w:p>
    <w:p w:rsidR="00D651D2" w:rsidRPr="00D651D2" w:rsidRDefault="00D651D2" w:rsidP="00D651D2">
      <w:pPr>
        <w:pStyle w:val="NoSpacing"/>
        <w:rPr>
          <w:lang w:bidi="en-US"/>
        </w:rPr>
      </w:pPr>
      <w:r w:rsidRPr="00D651D2">
        <w:rPr>
          <w:b/>
          <w:bCs/>
          <w:lang w:bidi="en-US"/>
        </w:rPr>
        <w:t xml:space="preserve">Data from Studies that Determine Hazard to Humans and Domestic Animals – </w:t>
      </w:r>
      <w:r w:rsidRPr="00D651D2">
        <w:rPr>
          <w:lang w:bidi="en-US"/>
        </w:rPr>
        <w:t xml:space="preserve">Data required to assess hazards to humans and domestic animals </w:t>
      </w:r>
      <w:r w:rsidRPr="005463D1">
        <w:rPr>
          <w:lang w:bidi="en-US"/>
        </w:rPr>
        <w:t>are derived</w:t>
      </w:r>
      <w:r w:rsidRPr="00D651D2">
        <w:rPr>
          <w:lang w:bidi="en-US"/>
        </w:rPr>
        <w:t xml:space="preserve"> from a variety of acute, subchronic, and chronic toxicity tests, and tests to assess mutagenicity and pesticide metabolism. </w:t>
      </w:r>
    </w:p>
    <w:p w:rsidR="00D651D2" w:rsidRPr="00D651D2" w:rsidRDefault="00D651D2" w:rsidP="00D651D2">
      <w:pPr>
        <w:pStyle w:val="NoSpacing"/>
        <w:rPr>
          <w:lang w:bidi="en-US"/>
        </w:rPr>
      </w:pPr>
    </w:p>
    <w:p w:rsidR="00D651D2" w:rsidRPr="00D651D2" w:rsidRDefault="00D651D2" w:rsidP="00185866">
      <w:pPr>
        <w:pStyle w:val="NoSpacing"/>
        <w:ind w:left="360"/>
        <w:rPr>
          <w:lang w:bidi="en-US"/>
        </w:rPr>
      </w:pPr>
      <w:r w:rsidRPr="00D651D2">
        <w:rPr>
          <w:b/>
          <w:bCs/>
          <w:lang w:bidi="en-US"/>
        </w:rPr>
        <w:t xml:space="preserve">Acute Studies – </w:t>
      </w:r>
      <w:r w:rsidRPr="00D651D2">
        <w:rPr>
          <w:lang w:bidi="en-US"/>
        </w:rPr>
        <w:t xml:space="preserve">Determination of acute oral, </w:t>
      </w:r>
      <w:r w:rsidRPr="005463D1">
        <w:rPr>
          <w:lang w:bidi="en-US"/>
        </w:rPr>
        <w:t>dermal</w:t>
      </w:r>
      <w:r w:rsidRPr="00D651D2">
        <w:rPr>
          <w:lang w:bidi="en-US"/>
        </w:rPr>
        <w:t xml:space="preserve">, and inhalation toxicity is usually the initial step in the assessment and evaluation of the toxic characteristics of a pesticide. </w:t>
      </w:r>
      <w:r w:rsidRPr="005463D1">
        <w:rPr>
          <w:lang w:bidi="en-US"/>
        </w:rPr>
        <w:t>These data provide information on health hazards likely to arise soon after, and as a result of, short-term exposure.</w:t>
      </w:r>
      <w:r w:rsidRPr="00D651D2">
        <w:rPr>
          <w:lang w:bidi="en-US"/>
        </w:rPr>
        <w:t xml:space="preserve"> Data from acute studies </w:t>
      </w:r>
      <w:r w:rsidRPr="005463D1">
        <w:rPr>
          <w:lang w:bidi="en-US"/>
        </w:rPr>
        <w:t>serve</w:t>
      </w:r>
      <w:r w:rsidRPr="00D651D2">
        <w:rPr>
          <w:lang w:bidi="en-US"/>
        </w:rPr>
        <w:t xml:space="preserve"> as a basis for classification and precautionary labeling. </w:t>
      </w:r>
      <w:r w:rsidRPr="005463D1">
        <w:rPr>
          <w:lang w:bidi="en-US"/>
        </w:rPr>
        <w:t>For example, acute toxicity data are used</w:t>
      </w:r>
      <w:r w:rsidRPr="007D6E48">
        <w:rPr>
          <w:lang w:bidi="en-US"/>
        </w:rPr>
        <w:t xml:space="preserve"> to calculate farm worker reentry intervals and to develop precautionary label statements pertaining to protective </w:t>
      </w:r>
      <w:r w:rsidRPr="005463D1">
        <w:rPr>
          <w:lang w:bidi="en-US"/>
        </w:rPr>
        <w:t>clothing requirements for applicators.</w:t>
      </w:r>
      <w:r w:rsidRPr="00D651D2">
        <w:rPr>
          <w:lang w:bidi="en-US"/>
        </w:rPr>
        <w:t xml:space="preserve"> They also: </w:t>
      </w:r>
    </w:p>
    <w:p w:rsidR="00D651D2" w:rsidRPr="00D651D2" w:rsidRDefault="00D651D2" w:rsidP="00D651D2">
      <w:pPr>
        <w:pStyle w:val="NoSpacing"/>
        <w:numPr>
          <w:ilvl w:val="0"/>
          <w:numId w:val="7"/>
        </w:numPr>
        <w:rPr>
          <w:lang w:bidi="en-US"/>
        </w:rPr>
      </w:pPr>
      <w:r w:rsidRPr="005463D1">
        <w:rPr>
          <w:lang w:bidi="en-US"/>
        </w:rPr>
        <w:t>provide</w:t>
      </w:r>
      <w:r w:rsidRPr="00D651D2">
        <w:rPr>
          <w:lang w:bidi="en-US"/>
        </w:rPr>
        <w:t xml:space="preserve"> information used in establishing the appropriate dose levels in subchronic and other studies; </w:t>
      </w:r>
    </w:p>
    <w:p w:rsidR="00D651D2" w:rsidRPr="00D651D2" w:rsidRDefault="00D651D2" w:rsidP="00D651D2">
      <w:pPr>
        <w:pStyle w:val="NoSpacing"/>
        <w:numPr>
          <w:ilvl w:val="0"/>
          <w:numId w:val="7"/>
        </w:numPr>
        <w:rPr>
          <w:lang w:bidi="en-US"/>
        </w:rPr>
      </w:pPr>
      <w:r w:rsidRPr="005463D1">
        <w:rPr>
          <w:lang w:bidi="en-US"/>
        </w:rPr>
        <w:t>provide</w:t>
      </w:r>
      <w:r w:rsidRPr="00D651D2">
        <w:rPr>
          <w:lang w:bidi="en-US"/>
        </w:rPr>
        <w:t xml:space="preserve"> initial information on the mode of toxic action(s) of a substance; </w:t>
      </w:r>
    </w:p>
    <w:p w:rsidR="00D651D2" w:rsidRPr="00D651D2" w:rsidRDefault="00D651D2" w:rsidP="00D651D2">
      <w:pPr>
        <w:pStyle w:val="NoSpacing"/>
        <w:numPr>
          <w:ilvl w:val="0"/>
          <w:numId w:val="7"/>
        </w:numPr>
        <w:rPr>
          <w:lang w:bidi="en-US"/>
        </w:rPr>
      </w:pPr>
      <w:r w:rsidRPr="005463D1">
        <w:rPr>
          <w:lang w:bidi="en-US"/>
        </w:rPr>
        <w:t>determine</w:t>
      </w:r>
      <w:r w:rsidRPr="00D651D2">
        <w:rPr>
          <w:lang w:bidi="en-US"/>
        </w:rPr>
        <w:t xml:space="preserve"> the need for child-resistant packaging; and </w:t>
      </w:r>
    </w:p>
    <w:p w:rsidR="00D651D2" w:rsidRPr="00D651D2" w:rsidRDefault="00D651D2" w:rsidP="00D651D2">
      <w:pPr>
        <w:pStyle w:val="NoSpacing"/>
        <w:numPr>
          <w:ilvl w:val="0"/>
          <w:numId w:val="7"/>
        </w:numPr>
        <w:rPr>
          <w:lang w:bidi="en-US"/>
        </w:rPr>
      </w:pPr>
      <w:r w:rsidRPr="005463D1">
        <w:rPr>
          <w:lang w:bidi="en-US"/>
        </w:rPr>
        <w:t>determine</w:t>
      </w:r>
      <w:r w:rsidRPr="00D651D2">
        <w:rPr>
          <w:lang w:bidi="en-US"/>
        </w:rPr>
        <w:t xml:space="preserve"> the need to restrict</w:t>
      </w:r>
      <w:r w:rsidR="00226E77">
        <w:rPr>
          <w:lang w:bidi="en-US"/>
        </w:rPr>
        <w:t xml:space="preserve"> the</w:t>
      </w:r>
      <w:r w:rsidRPr="00D651D2">
        <w:rPr>
          <w:lang w:bidi="en-US"/>
        </w:rPr>
        <w:t xml:space="preserve"> </w:t>
      </w:r>
      <w:r w:rsidRPr="00D5421F">
        <w:rPr>
          <w:noProof/>
          <w:lang w:bidi="en-US"/>
        </w:rPr>
        <w:t>use</w:t>
      </w:r>
      <w:r w:rsidRPr="00D651D2">
        <w:rPr>
          <w:lang w:bidi="en-US"/>
        </w:rPr>
        <w:t xml:space="preserve"> of the pesticide to trained applicators or in other ways to minimize human and environmental hazards. </w:t>
      </w:r>
    </w:p>
    <w:p w:rsidR="00D651D2" w:rsidRPr="00D651D2" w:rsidRDefault="00D651D2" w:rsidP="00D651D2">
      <w:pPr>
        <w:pStyle w:val="NoSpacing"/>
        <w:rPr>
          <w:lang w:bidi="en-US"/>
        </w:rPr>
      </w:pPr>
    </w:p>
    <w:p w:rsidR="00D651D2" w:rsidRPr="00D651D2" w:rsidRDefault="00D651D2" w:rsidP="00185866">
      <w:pPr>
        <w:pStyle w:val="NoSpacing"/>
        <w:ind w:left="360"/>
        <w:rPr>
          <w:lang w:bidi="en-US"/>
        </w:rPr>
      </w:pPr>
      <w:r w:rsidRPr="00D651D2">
        <w:rPr>
          <w:lang w:bidi="en-US"/>
        </w:rPr>
        <w:t xml:space="preserve">Information derived from </w:t>
      </w:r>
      <w:r w:rsidRPr="00D5421F">
        <w:rPr>
          <w:noProof/>
          <w:lang w:bidi="en-US"/>
        </w:rPr>
        <w:t>primary</w:t>
      </w:r>
      <w:r w:rsidRPr="00D651D2">
        <w:rPr>
          <w:lang w:bidi="en-US"/>
        </w:rPr>
        <w:t xml:space="preserve"> eye and primary </w:t>
      </w:r>
      <w:r w:rsidRPr="005463D1">
        <w:rPr>
          <w:lang w:bidi="en-US"/>
        </w:rPr>
        <w:t>dermal</w:t>
      </w:r>
      <w:r w:rsidRPr="00D651D2">
        <w:rPr>
          <w:lang w:bidi="en-US"/>
        </w:rPr>
        <w:t xml:space="preserve"> irritation studies serves to identify possible hazards from exposure of the eyes, associated mucous membranes, and skin. </w:t>
      </w:r>
    </w:p>
    <w:p w:rsidR="00D651D2" w:rsidRPr="00D651D2" w:rsidRDefault="00D651D2" w:rsidP="00D651D2">
      <w:pPr>
        <w:pStyle w:val="NoSpacing"/>
        <w:rPr>
          <w:lang w:bidi="en-US"/>
        </w:rPr>
      </w:pPr>
    </w:p>
    <w:p w:rsidR="00D651D2" w:rsidRPr="00D651D2" w:rsidRDefault="00D651D2" w:rsidP="00185866">
      <w:pPr>
        <w:pStyle w:val="NoSpacing"/>
        <w:ind w:left="360"/>
        <w:rPr>
          <w:lang w:bidi="en-US"/>
        </w:rPr>
      </w:pPr>
      <w:r w:rsidRPr="00D651D2">
        <w:rPr>
          <w:b/>
          <w:bCs/>
          <w:lang w:bidi="en-US"/>
        </w:rPr>
        <w:t xml:space="preserve">Subchronic Studies – </w:t>
      </w:r>
      <w:r w:rsidRPr="00D651D2">
        <w:rPr>
          <w:lang w:bidi="en-US"/>
        </w:rPr>
        <w:t xml:space="preserve">Subchronic tests provide information on health hazards that may arise from repeated exposures over a limited </w:t>
      </w:r>
      <w:r w:rsidRPr="005463D1">
        <w:rPr>
          <w:lang w:bidi="en-US"/>
        </w:rPr>
        <w:t>period of time</w:t>
      </w:r>
      <w:r w:rsidRPr="00D651D2">
        <w:rPr>
          <w:lang w:bidi="en-US"/>
        </w:rPr>
        <w:t xml:space="preserve">. They provide information on target organs and accumulation potential. The resulting data are also useful in selecting dose levels for chronic studies and for establishing safety criteria for human exposure. These tests are not capable of detecting those effects that have a long latency period for expression (e.g., </w:t>
      </w:r>
      <w:r w:rsidRPr="005463D1">
        <w:rPr>
          <w:lang w:bidi="en-US"/>
        </w:rPr>
        <w:t>carcinogenicity</w:t>
      </w:r>
      <w:r w:rsidRPr="00D651D2">
        <w:rPr>
          <w:lang w:bidi="en-US"/>
        </w:rPr>
        <w:t xml:space="preserve">). </w:t>
      </w:r>
    </w:p>
    <w:p w:rsidR="00D651D2" w:rsidRPr="00D651D2" w:rsidRDefault="00D651D2" w:rsidP="00D651D2">
      <w:pPr>
        <w:pStyle w:val="NoSpacing"/>
        <w:rPr>
          <w:lang w:bidi="en-US"/>
        </w:rPr>
      </w:pPr>
    </w:p>
    <w:p w:rsidR="00D651D2" w:rsidRPr="00D651D2" w:rsidRDefault="00D651D2" w:rsidP="00185866">
      <w:pPr>
        <w:pStyle w:val="NoSpacing"/>
        <w:ind w:left="360"/>
        <w:rPr>
          <w:lang w:bidi="en-US"/>
        </w:rPr>
      </w:pPr>
      <w:r w:rsidRPr="00D651D2">
        <w:rPr>
          <w:b/>
          <w:bCs/>
          <w:lang w:bidi="en-US"/>
        </w:rPr>
        <w:t xml:space="preserve">Chronic Studies – </w:t>
      </w:r>
      <w:r w:rsidRPr="00D651D2">
        <w:rPr>
          <w:lang w:bidi="en-US"/>
        </w:rPr>
        <w:t xml:space="preserve">Chronic toxicity (usually conducted by feeding the test substance to the test species) studies </w:t>
      </w:r>
      <w:r w:rsidRPr="005463D1">
        <w:rPr>
          <w:lang w:bidi="en-US"/>
        </w:rPr>
        <w:t>are intended</w:t>
      </w:r>
      <w:r w:rsidRPr="00D651D2">
        <w:rPr>
          <w:lang w:bidi="en-US"/>
        </w:rPr>
        <w:t xml:space="preserve"> to determine the effects of a substance in a mammalian species following prolonged and repeated exposure. Under the conditions of this test, effects that have a long latency period or are cumulative should be detected. </w:t>
      </w:r>
      <w:r w:rsidRPr="005463D1">
        <w:rPr>
          <w:lang w:bidi="en-US"/>
        </w:rPr>
        <w:t>The purpose of long-term carcinogenicity studies is to observe test animals over most of their life span for the development of neoplastic lesions during or after exposure to various doses of a test substance by an appropriate route of administration.</w:t>
      </w:r>
      <w:r w:rsidRPr="00D651D2">
        <w:rPr>
          <w:lang w:bidi="en-US"/>
        </w:rPr>
        <w:t xml:space="preserve"> </w:t>
      </w:r>
    </w:p>
    <w:p w:rsidR="00D651D2" w:rsidRPr="00D651D2" w:rsidRDefault="00D651D2" w:rsidP="00D651D2">
      <w:pPr>
        <w:pStyle w:val="NoSpacing"/>
        <w:rPr>
          <w:lang w:bidi="en-US"/>
        </w:rPr>
      </w:pPr>
    </w:p>
    <w:p w:rsidR="00D651D2" w:rsidRPr="00D651D2" w:rsidRDefault="00D651D2" w:rsidP="00D651D2">
      <w:pPr>
        <w:pStyle w:val="NoSpacing"/>
        <w:rPr>
          <w:lang w:bidi="en-US"/>
        </w:rPr>
      </w:pPr>
      <w:r w:rsidRPr="005463D1">
        <w:rPr>
          <w:b/>
          <w:bCs/>
          <w:lang w:bidi="en-US"/>
        </w:rPr>
        <w:t xml:space="preserve">Data from Studies that Determine Hazard to Nontarget Organisms – </w:t>
      </w:r>
      <w:r w:rsidRPr="005463D1">
        <w:rPr>
          <w:lang w:bidi="en-US"/>
        </w:rPr>
        <w:t xml:space="preserve">The information required to assess hazards to nontarget organisms </w:t>
      </w:r>
      <w:r w:rsidRPr="007D6E48">
        <w:rPr>
          <w:lang w:bidi="en-US"/>
        </w:rPr>
        <w:t>are derived from tests to determine pesticidal effects on birds, mammals, fish, terrestrial and aquatic invertebrates, and plants.</w:t>
      </w:r>
      <w:r w:rsidRPr="00D651D2">
        <w:rPr>
          <w:lang w:bidi="en-US"/>
        </w:rPr>
        <w:t xml:space="preserve"> These tests include short-term acute, subacute, reproduction, simulated field, and full field studies arranged in a hierarchical or tier system that progresses from the basic laboratory tests to the applied field tests. The results of each tier of tests must be evaluated to determine the potential of the pesticide to cause harmful effects and to determine whether further testing </w:t>
      </w:r>
      <w:r w:rsidRPr="005463D1">
        <w:rPr>
          <w:lang w:bidi="en-US"/>
        </w:rPr>
        <w:t>is required</w:t>
      </w:r>
      <w:r w:rsidRPr="00D651D2">
        <w:rPr>
          <w:lang w:bidi="en-US"/>
        </w:rPr>
        <w:t xml:space="preserve">. A purpose common to all data requirements is to </w:t>
      </w:r>
      <w:r w:rsidRPr="00D5421F">
        <w:rPr>
          <w:noProof/>
          <w:lang w:bidi="en-US"/>
        </w:rPr>
        <w:t>help determine</w:t>
      </w:r>
      <w:r w:rsidRPr="00D651D2">
        <w:rPr>
          <w:lang w:bidi="en-US"/>
        </w:rPr>
        <w:t xml:space="preserve"> the need for (and appropriate wording for) precautionary label statements to minimize the potential harm to nontarget organisms. </w:t>
      </w:r>
    </w:p>
    <w:p w:rsidR="00D651D2" w:rsidRPr="00D651D2" w:rsidRDefault="00D651D2" w:rsidP="00D651D2">
      <w:pPr>
        <w:pStyle w:val="NoSpacing"/>
        <w:rPr>
          <w:lang w:bidi="en-US"/>
        </w:rPr>
      </w:pPr>
    </w:p>
    <w:p w:rsidR="00D651D2" w:rsidRPr="00D651D2" w:rsidRDefault="00D651D2" w:rsidP="00185866">
      <w:pPr>
        <w:pStyle w:val="NoSpacing"/>
        <w:ind w:left="360"/>
        <w:rPr>
          <w:lang w:bidi="en-US"/>
        </w:rPr>
      </w:pPr>
      <w:r w:rsidRPr="00D651D2">
        <w:rPr>
          <w:b/>
          <w:bCs/>
          <w:lang w:bidi="en-US"/>
        </w:rPr>
        <w:t xml:space="preserve">Acute and Subacute Studies – </w:t>
      </w:r>
      <w:r w:rsidRPr="00D651D2">
        <w:rPr>
          <w:lang w:bidi="en-US"/>
        </w:rPr>
        <w:t xml:space="preserve">The short-term acute and subacute laboratory studies provide basic toxicity information that serves as a starting point for the hazard assessment. These data </w:t>
      </w:r>
      <w:r w:rsidRPr="005463D1">
        <w:rPr>
          <w:lang w:bidi="en-US"/>
        </w:rPr>
        <w:t>are used</w:t>
      </w:r>
      <w:r w:rsidRPr="00D651D2">
        <w:rPr>
          <w:lang w:bidi="en-US"/>
        </w:rPr>
        <w:t xml:space="preserve"> to: </w:t>
      </w:r>
    </w:p>
    <w:p w:rsidR="00D651D2" w:rsidRPr="00D651D2" w:rsidRDefault="00D651D2" w:rsidP="00D651D2">
      <w:pPr>
        <w:pStyle w:val="NoSpacing"/>
        <w:numPr>
          <w:ilvl w:val="0"/>
          <w:numId w:val="7"/>
        </w:numPr>
        <w:rPr>
          <w:lang w:bidi="en-US"/>
        </w:rPr>
      </w:pPr>
      <w:r w:rsidRPr="005463D1">
        <w:rPr>
          <w:lang w:bidi="en-US"/>
        </w:rPr>
        <w:t>establish</w:t>
      </w:r>
      <w:r w:rsidRPr="00D651D2">
        <w:rPr>
          <w:lang w:bidi="en-US"/>
        </w:rPr>
        <w:t xml:space="preserve"> acute toxicity levels of the active ingredient to the test organisms; </w:t>
      </w:r>
    </w:p>
    <w:p w:rsidR="00D651D2" w:rsidRPr="00D651D2" w:rsidRDefault="00D651D2" w:rsidP="00D651D2">
      <w:pPr>
        <w:pStyle w:val="NoSpacing"/>
        <w:numPr>
          <w:ilvl w:val="0"/>
          <w:numId w:val="7"/>
        </w:numPr>
        <w:rPr>
          <w:lang w:bidi="en-US"/>
        </w:rPr>
      </w:pPr>
      <w:r w:rsidRPr="005463D1">
        <w:rPr>
          <w:lang w:bidi="en-US"/>
        </w:rPr>
        <w:t>compare</w:t>
      </w:r>
      <w:r w:rsidRPr="00D651D2">
        <w:rPr>
          <w:lang w:bidi="en-US"/>
        </w:rPr>
        <w:t xml:space="preserve"> toxicity information with measured or estimated pesticide residues in the environment in order to assess potential effects on fish, wildlife, plants, and other nontarget organisms; and </w:t>
      </w:r>
    </w:p>
    <w:p w:rsidR="00D651D2" w:rsidRPr="00D651D2" w:rsidRDefault="00D651D2" w:rsidP="00D651D2">
      <w:pPr>
        <w:pStyle w:val="NoSpacing"/>
        <w:numPr>
          <w:ilvl w:val="0"/>
          <w:numId w:val="7"/>
        </w:numPr>
        <w:rPr>
          <w:lang w:bidi="en-US"/>
        </w:rPr>
      </w:pPr>
      <w:r w:rsidRPr="005463D1">
        <w:rPr>
          <w:lang w:bidi="en-US"/>
        </w:rPr>
        <w:t>indicate</w:t>
      </w:r>
      <w:r w:rsidRPr="00D651D2">
        <w:rPr>
          <w:lang w:bidi="en-US"/>
        </w:rPr>
        <w:t xml:space="preserve"> whether further laboratory and/or field studies </w:t>
      </w:r>
      <w:r w:rsidRPr="005463D1">
        <w:rPr>
          <w:lang w:bidi="en-US"/>
        </w:rPr>
        <w:t>are needed</w:t>
      </w:r>
      <w:r w:rsidRPr="00D651D2">
        <w:rPr>
          <w:lang w:bidi="en-US"/>
        </w:rPr>
        <w:t xml:space="preserve">. </w:t>
      </w:r>
    </w:p>
    <w:p w:rsidR="00D651D2" w:rsidRPr="00D651D2" w:rsidRDefault="00D651D2" w:rsidP="00D651D2">
      <w:pPr>
        <w:pStyle w:val="NoSpacing"/>
        <w:rPr>
          <w:b/>
          <w:bCs/>
          <w:lang w:bidi="en-US"/>
        </w:rPr>
      </w:pPr>
    </w:p>
    <w:p w:rsidR="00D651D2" w:rsidRPr="00D651D2" w:rsidRDefault="00D651D2" w:rsidP="00185866">
      <w:pPr>
        <w:pStyle w:val="NoSpacing"/>
        <w:ind w:left="360"/>
        <w:rPr>
          <w:lang w:bidi="en-US"/>
        </w:rPr>
      </w:pPr>
      <w:r w:rsidRPr="00D651D2">
        <w:rPr>
          <w:b/>
          <w:bCs/>
          <w:lang w:bidi="en-US"/>
        </w:rPr>
        <w:t xml:space="preserve">Chronic and Field Studies – </w:t>
      </w:r>
      <w:r w:rsidRPr="00D651D2">
        <w:rPr>
          <w:lang w:bidi="en-US"/>
        </w:rPr>
        <w:t xml:space="preserve">Additional studies (i.e., </w:t>
      </w:r>
      <w:r w:rsidRPr="005463D1">
        <w:rPr>
          <w:lang w:bidi="en-US"/>
        </w:rPr>
        <w:t>avian</w:t>
      </w:r>
      <w:r w:rsidRPr="00D651D2">
        <w:rPr>
          <w:lang w:bidi="en-US"/>
        </w:rPr>
        <w:t xml:space="preserve">, fish, and invertebrate reproduction; life cycle studies; and plant field studies) may be required when basic data and environmental conditions suggest possible problems. Data from these studies </w:t>
      </w:r>
      <w:r w:rsidRPr="005463D1">
        <w:rPr>
          <w:lang w:bidi="en-US"/>
        </w:rPr>
        <w:t>are used</w:t>
      </w:r>
      <w:r w:rsidRPr="00D651D2">
        <w:rPr>
          <w:lang w:bidi="en-US"/>
        </w:rPr>
        <w:t xml:space="preserve"> to: </w:t>
      </w:r>
    </w:p>
    <w:p w:rsidR="00D651D2" w:rsidRPr="00D651D2" w:rsidRDefault="00D651D2" w:rsidP="00D651D2">
      <w:pPr>
        <w:pStyle w:val="NoSpacing"/>
        <w:numPr>
          <w:ilvl w:val="0"/>
          <w:numId w:val="7"/>
        </w:numPr>
        <w:rPr>
          <w:lang w:bidi="en-US"/>
        </w:rPr>
      </w:pPr>
      <w:r w:rsidRPr="005463D1">
        <w:rPr>
          <w:lang w:bidi="en-US"/>
        </w:rPr>
        <w:t xml:space="preserve">estimate </w:t>
      </w:r>
      <w:r w:rsidRPr="007D6E48">
        <w:rPr>
          <w:lang w:bidi="en-US"/>
        </w:rPr>
        <w:t>the potential for chronic effects, taking into account the measured or estimated residues in the environment; and</w:t>
      </w:r>
      <w:r w:rsidRPr="00D651D2">
        <w:rPr>
          <w:lang w:bidi="en-US"/>
        </w:rPr>
        <w:t xml:space="preserve"> </w:t>
      </w:r>
    </w:p>
    <w:p w:rsidR="00D651D2" w:rsidRPr="00D651D2" w:rsidRDefault="00D651D2" w:rsidP="00D651D2">
      <w:pPr>
        <w:pStyle w:val="NoSpacing"/>
        <w:numPr>
          <w:ilvl w:val="0"/>
          <w:numId w:val="7"/>
        </w:numPr>
        <w:rPr>
          <w:lang w:bidi="en-US"/>
        </w:rPr>
      </w:pPr>
      <w:r w:rsidRPr="005463D1">
        <w:rPr>
          <w:lang w:bidi="en-US"/>
        </w:rPr>
        <w:t>determine</w:t>
      </w:r>
      <w:r w:rsidRPr="00D651D2">
        <w:rPr>
          <w:lang w:bidi="en-US"/>
        </w:rPr>
        <w:t xml:space="preserve"> if </w:t>
      </w:r>
      <w:r w:rsidRPr="00D5421F">
        <w:rPr>
          <w:noProof/>
          <w:lang w:bidi="en-US"/>
        </w:rPr>
        <w:t>additional</w:t>
      </w:r>
      <w:r w:rsidRPr="00D651D2">
        <w:rPr>
          <w:lang w:bidi="en-US"/>
        </w:rPr>
        <w:t xml:space="preserve"> field or laboratory data are necessary </w:t>
      </w:r>
      <w:r w:rsidRPr="00D5421F">
        <w:rPr>
          <w:noProof/>
          <w:lang w:bidi="en-US"/>
        </w:rPr>
        <w:t xml:space="preserve">to </w:t>
      </w:r>
      <w:r w:rsidR="00226E77">
        <w:rPr>
          <w:noProof/>
          <w:lang w:bidi="en-US"/>
        </w:rPr>
        <w:t>evaluate further</w:t>
      </w:r>
      <w:r w:rsidRPr="00D651D2">
        <w:rPr>
          <w:lang w:bidi="en-US"/>
        </w:rPr>
        <w:t xml:space="preserve"> hazards. </w:t>
      </w:r>
    </w:p>
    <w:p w:rsidR="00D651D2" w:rsidRPr="00D651D2" w:rsidRDefault="00D651D2" w:rsidP="00D651D2">
      <w:pPr>
        <w:pStyle w:val="NoSpacing"/>
        <w:rPr>
          <w:lang w:bidi="en-US"/>
        </w:rPr>
      </w:pPr>
    </w:p>
    <w:p w:rsidR="00D651D2" w:rsidRPr="00D651D2" w:rsidRDefault="00D651D2" w:rsidP="00185866">
      <w:pPr>
        <w:pStyle w:val="NoSpacing"/>
        <w:ind w:left="360"/>
        <w:rPr>
          <w:lang w:bidi="en-US"/>
        </w:rPr>
      </w:pPr>
      <w:r w:rsidRPr="00D651D2">
        <w:rPr>
          <w:lang w:bidi="en-US"/>
        </w:rPr>
        <w:t xml:space="preserve">Simulated field and/or field data </w:t>
      </w:r>
      <w:r w:rsidRPr="005463D1">
        <w:rPr>
          <w:lang w:bidi="en-US"/>
        </w:rPr>
        <w:t>are used</w:t>
      </w:r>
      <w:r w:rsidRPr="00D651D2">
        <w:rPr>
          <w:lang w:bidi="en-US"/>
        </w:rPr>
        <w:t xml:space="preserve"> to examine acute and chronic adverse effects on captive or monitored fish and wildlife populations under natural or near-natural environments. </w:t>
      </w:r>
      <w:r w:rsidRPr="005463D1">
        <w:rPr>
          <w:lang w:bidi="en-US"/>
        </w:rPr>
        <w:t>Such studies are required</w:t>
      </w:r>
      <w:r w:rsidRPr="007D6E48">
        <w:rPr>
          <w:lang w:bidi="en-US"/>
        </w:rPr>
        <w:t xml:space="preserve"> only when predictions as to possible adverse effects in les</w:t>
      </w:r>
      <w:r w:rsidRPr="005463D1">
        <w:rPr>
          <w:lang w:bidi="en-US"/>
        </w:rPr>
        <w:t>s extensive studies cannot be made, or when the potential for harmful effects is high.</w:t>
      </w:r>
      <w:r w:rsidRPr="00D651D2">
        <w:rPr>
          <w:lang w:bidi="en-US"/>
        </w:rPr>
        <w:t xml:space="preserve"> </w:t>
      </w:r>
    </w:p>
    <w:p w:rsidR="00D651D2" w:rsidRDefault="00D651D2" w:rsidP="00D651D2">
      <w:pPr>
        <w:pStyle w:val="NoSpacing"/>
        <w:rPr>
          <w:b/>
          <w:bCs/>
          <w:lang w:bidi="en-US"/>
        </w:rPr>
      </w:pPr>
    </w:p>
    <w:p w:rsidR="008C7DCA" w:rsidRDefault="000B2224" w:rsidP="008C7DCA">
      <w:pPr>
        <w:pStyle w:val="NoSpacing"/>
        <w:rPr>
          <w:b/>
          <w:bCs/>
          <w:lang w:bidi="en-US"/>
        </w:rPr>
      </w:pPr>
      <w:r>
        <w:rPr>
          <w:b/>
          <w:bCs/>
          <w:lang w:bidi="en-US"/>
        </w:rPr>
        <w:t>Data on Occupational and Residential Exposure</w:t>
      </w:r>
      <w:r w:rsidR="008C7DCA">
        <w:rPr>
          <w:b/>
          <w:bCs/>
          <w:lang w:bidi="en-US"/>
        </w:rPr>
        <w:t xml:space="preserve"> </w:t>
      </w:r>
      <w:r w:rsidR="008C7DCA" w:rsidRPr="008C7DCA">
        <w:rPr>
          <w:bCs/>
          <w:lang w:bidi="en-US"/>
        </w:rPr>
        <w:t>may be required to assess hazard to farm workers or exposure for pesticide applicators and users.</w:t>
      </w:r>
      <w:r w:rsidR="008C7DCA">
        <w:rPr>
          <w:bCs/>
          <w:lang w:bidi="en-US"/>
        </w:rPr>
        <w:t xml:space="preserve"> </w:t>
      </w:r>
    </w:p>
    <w:p w:rsidR="008C7DCA" w:rsidRDefault="008C7DCA" w:rsidP="008C7DCA">
      <w:pPr>
        <w:pStyle w:val="NoSpacing"/>
        <w:rPr>
          <w:b/>
          <w:bCs/>
          <w:lang w:bidi="en-US"/>
        </w:rPr>
      </w:pPr>
    </w:p>
    <w:p w:rsidR="00D651D2" w:rsidRPr="00D651D2" w:rsidRDefault="008C7DCA" w:rsidP="008C7DCA">
      <w:pPr>
        <w:pStyle w:val="NoSpacing"/>
        <w:numPr>
          <w:ilvl w:val="0"/>
          <w:numId w:val="41"/>
        </w:numPr>
        <w:rPr>
          <w:lang w:bidi="en-US"/>
        </w:rPr>
      </w:pPr>
      <w:r w:rsidRPr="008C7DCA">
        <w:rPr>
          <w:b/>
          <w:bCs/>
          <w:lang w:bidi="en-US"/>
        </w:rPr>
        <w:t xml:space="preserve">Post-Application Exposure Studies </w:t>
      </w:r>
      <w:r>
        <w:rPr>
          <w:b/>
          <w:bCs/>
          <w:lang w:bidi="en-US"/>
        </w:rPr>
        <w:t xml:space="preserve">- </w:t>
      </w:r>
      <w:r w:rsidR="00D651D2" w:rsidRPr="00D651D2">
        <w:rPr>
          <w:lang w:bidi="en-US"/>
        </w:rPr>
        <w:t xml:space="preserve">Data </w:t>
      </w:r>
      <w:r w:rsidR="00D651D2" w:rsidRPr="00D5421F">
        <w:rPr>
          <w:noProof/>
          <w:lang w:bidi="en-US"/>
        </w:rPr>
        <w:t>required</w:t>
      </w:r>
      <w:r w:rsidR="00D651D2" w:rsidRPr="00D651D2">
        <w:rPr>
          <w:lang w:bidi="en-US"/>
        </w:rPr>
        <w:t xml:space="preserve"> to assess hazard to farm employees resulting from reentry into </w:t>
      </w:r>
      <w:r w:rsidR="00D651D2" w:rsidRPr="005463D1">
        <w:rPr>
          <w:lang w:bidi="en-US"/>
        </w:rPr>
        <w:t>areas treated</w:t>
      </w:r>
      <w:r w:rsidR="00D651D2" w:rsidRPr="00D651D2">
        <w:rPr>
          <w:lang w:bidi="en-US"/>
        </w:rPr>
        <w:t xml:space="preserve"> with pesticides </w:t>
      </w:r>
      <w:r w:rsidR="00D651D2" w:rsidRPr="005463D1">
        <w:rPr>
          <w:lang w:bidi="en-US"/>
        </w:rPr>
        <w:t>are derived</w:t>
      </w:r>
      <w:r w:rsidR="00D651D2" w:rsidRPr="00D651D2">
        <w:rPr>
          <w:lang w:bidi="en-US"/>
        </w:rPr>
        <w:t xml:space="preserve"> from studies on toxicity, residue dissipation, and human exposure. </w:t>
      </w:r>
      <w:r w:rsidR="00B3377A">
        <w:rPr>
          <w:lang w:bidi="en-US"/>
        </w:rPr>
        <w:t xml:space="preserve">Data may also be required to assess residential exposure. </w:t>
      </w:r>
      <w:r w:rsidR="00D651D2" w:rsidRPr="005463D1">
        <w:rPr>
          <w:lang w:bidi="en-US"/>
        </w:rPr>
        <w:t>Monitoring data generated during exposure studies are used</w:t>
      </w:r>
      <w:r w:rsidR="00D651D2" w:rsidRPr="007D6E48">
        <w:rPr>
          <w:lang w:bidi="en-US"/>
        </w:rPr>
        <w:t xml:space="preserve"> to determine how much pesticide people may be exposed to after application and to establish how </w:t>
      </w:r>
      <w:r w:rsidR="00D651D2" w:rsidRPr="00D5421F">
        <w:rPr>
          <w:noProof/>
          <w:lang w:bidi="en-US"/>
        </w:rPr>
        <w:t>long</w:t>
      </w:r>
      <w:r w:rsidR="00D651D2" w:rsidRPr="007D6E48">
        <w:rPr>
          <w:lang w:bidi="en-US"/>
        </w:rPr>
        <w:t xml:space="preserve"> workers must wait before reentering a tre</w:t>
      </w:r>
      <w:r w:rsidR="00D651D2" w:rsidRPr="005463D1">
        <w:rPr>
          <w:lang w:bidi="en-US"/>
        </w:rPr>
        <w:t>ated area.</w:t>
      </w:r>
      <w:r w:rsidR="00D651D2" w:rsidRPr="00D651D2">
        <w:rPr>
          <w:lang w:bidi="en-US"/>
        </w:rPr>
        <w:t xml:space="preserve"> </w:t>
      </w:r>
    </w:p>
    <w:p w:rsidR="00D651D2" w:rsidRPr="00D651D2" w:rsidRDefault="00D651D2" w:rsidP="008C7DCA">
      <w:pPr>
        <w:pStyle w:val="NoSpacing"/>
        <w:ind w:left="720"/>
        <w:rPr>
          <w:lang w:bidi="en-US"/>
        </w:rPr>
      </w:pPr>
    </w:p>
    <w:p w:rsidR="00D651D2" w:rsidRPr="00D651D2" w:rsidRDefault="008C7DCA" w:rsidP="008C7DCA">
      <w:pPr>
        <w:pStyle w:val="NoSpacing"/>
        <w:numPr>
          <w:ilvl w:val="0"/>
          <w:numId w:val="40"/>
        </w:numPr>
        <w:rPr>
          <w:lang w:bidi="en-US"/>
        </w:rPr>
      </w:pPr>
      <w:r w:rsidRPr="008C7DCA">
        <w:rPr>
          <w:b/>
          <w:bCs/>
          <w:lang w:bidi="en-US"/>
        </w:rPr>
        <w:t>Applicator/User Exposure Studies</w:t>
      </w:r>
      <w:r w:rsidRPr="008C7DCA">
        <w:rPr>
          <w:bCs/>
          <w:lang w:bidi="en-US"/>
        </w:rPr>
        <w:t xml:space="preserve"> -</w:t>
      </w:r>
      <w:r w:rsidR="00D651D2" w:rsidRPr="00D651D2">
        <w:rPr>
          <w:lang w:bidi="en-US"/>
        </w:rPr>
        <w:t xml:space="preserve">EPA requires applicator/user exposure data for all pesticides to evaluate the potential risks to people applying the pesticide, i.e., </w:t>
      </w:r>
      <w:r w:rsidR="00D651D2" w:rsidRPr="005463D1">
        <w:rPr>
          <w:lang w:bidi="en-US"/>
        </w:rPr>
        <w:t>those</w:t>
      </w:r>
      <w:r w:rsidR="00D651D2" w:rsidRPr="00D651D2">
        <w:rPr>
          <w:lang w:bidi="en-US"/>
        </w:rPr>
        <w:t xml:space="preserve"> who may be exposed to higher concentrations of the pesticide through handling, including mixing or applying. </w:t>
      </w:r>
    </w:p>
    <w:p w:rsidR="00D651D2" w:rsidRPr="00D651D2" w:rsidRDefault="00D651D2" w:rsidP="00D651D2">
      <w:pPr>
        <w:pStyle w:val="NoSpacing"/>
        <w:rPr>
          <w:lang w:bidi="en-US"/>
        </w:rPr>
      </w:pPr>
    </w:p>
    <w:p w:rsidR="00D651D2" w:rsidRPr="00D651D2" w:rsidRDefault="00D651D2" w:rsidP="00D651D2">
      <w:pPr>
        <w:pStyle w:val="NoSpacing"/>
        <w:rPr>
          <w:lang w:bidi="en-US"/>
        </w:rPr>
      </w:pPr>
      <w:r w:rsidRPr="00D651D2">
        <w:rPr>
          <w:b/>
          <w:bCs/>
          <w:lang w:bidi="en-US"/>
        </w:rPr>
        <w:t xml:space="preserve">Pesticide Spray Drift Evaluation – </w:t>
      </w:r>
      <w:r w:rsidRPr="00D651D2">
        <w:rPr>
          <w:lang w:bidi="en-US"/>
        </w:rPr>
        <w:t xml:space="preserve">Data required to evaluate pesticide spray drift </w:t>
      </w:r>
      <w:r w:rsidRPr="005463D1">
        <w:rPr>
          <w:lang w:bidi="en-US"/>
        </w:rPr>
        <w:t>are derived</w:t>
      </w:r>
      <w:r w:rsidRPr="00D651D2">
        <w:rPr>
          <w:lang w:bidi="en-US"/>
        </w:rPr>
        <w:t xml:space="preserve"> from studies on the range of droplet sizes and spray drift field evaluations. These data contribute to</w:t>
      </w:r>
      <w:r w:rsidR="00226E77">
        <w:rPr>
          <w:lang w:bidi="en-US"/>
        </w:rPr>
        <w:t xml:space="preserve"> the</w:t>
      </w:r>
      <w:r w:rsidRPr="00D651D2">
        <w:rPr>
          <w:lang w:bidi="en-US"/>
        </w:rPr>
        <w:t xml:space="preserve"> </w:t>
      </w:r>
      <w:r w:rsidRPr="00D5421F">
        <w:rPr>
          <w:noProof/>
          <w:lang w:bidi="en-US"/>
        </w:rPr>
        <w:t>development</w:t>
      </w:r>
      <w:r w:rsidRPr="00D651D2">
        <w:rPr>
          <w:lang w:bidi="en-US"/>
        </w:rPr>
        <w:t xml:space="preserve"> of the overall exposure estimate. Along with data on toxicity for humans, fish, and wildlife, or plants, data on spray drift </w:t>
      </w:r>
      <w:r w:rsidRPr="005463D1">
        <w:rPr>
          <w:lang w:bidi="en-US"/>
        </w:rPr>
        <w:t>are used</w:t>
      </w:r>
      <w:r w:rsidRPr="00D651D2">
        <w:rPr>
          <w:lang w:bidi="en-US"/>
        </w:rPr>
        <w:t xml:space="preserve"> to assess the potential exposure of these organisms to pesticides. A purpose common to all these tests is to provide data to help determine the need (and appropriate wording) for precautionary labeling to minimize the potential harm to nontarget organisms. </w:t>
      </w:r>
    </w:p>
    <w:p w:rsidR="00D651D2" w:rsidRPr="00D651D2" w:rsidRDefault="00D651D2" w:rsidP="00D651D2">
      <w:pPr>
        <w:pStyle w:val="NoSpacing"/>
        <w:rPr>
          <w:lang w:bidi="en-US"/>
        </w:rPr>
      </w:pPr>
    </w:p>
    <w:p w:rsidR="00D651D2" w:rsidRPr="00D651D2" w:rsidRDefault="00D651D2" w:rsidP="00D651D2">
      <w:pPr>
        <w:pStyle w:val="NoSpacing"/>
        <w:rPr>
          <w:lang w:bidi="en-US"/>
        </w:rPr>
      </w:pPr>
      <w:r w:rsidRPr="005463D1">
        <w:rPr>
          <w:b/>
          <w:bCs/>
          <w:lang w:bidi="en-US"/>
        </w:rPr>
        <w:t xml:space="preserve">Environmental Fate – </w:t>
      </w:r>
      <w:r w:rsidRPr="005463D1">
        <w:rPr>
          <w:lang w:bidi="en-US"/>
        </w:rPr>
        <w:t>EPA uses the data generated by environmental fate studies to:</w:t>
      </w:r>
      <w:r w:rsidRPr="00D651D2">
        <w:rPr>
          <w:lang w:bidi="en-US"/>
        </w:rPr>
        <w:t xml:space="preserve"> </w:t>
      </w:r>
    </w:p>
    <w:p w:rsidR="00D651D2" w:rsidRPr="00D651D2" w:rsidRDefault="00D651D2" w:rsidP="00D651D2">
      <w:pPr>
        <w:pStyle w:val="NoSpacing"/>
        <w:numPr>
          <w:ilvl w:val="0"/>
          <w:numId w:val="8"/>
        </w:numPr>
        <w:rPr>
          <w:lang w:bidi="en-US"/>
        </w:rPr>
      </w:pPr>
      <w:r w:rsidRPr="005463D1">
        <w:rPr>
          <w:lang w:bidi="en-US"/>
        </w:rPr>
        <w:t>assess</w:t>
      </w:r>
      <w:r w:rsidRPr="00D651D2">
        <w:rPr>
          <w:lang w:bidi="en-US"/>
        </w:rPr>
        <w:t xml:space="preserve"> the presence of widely distributed and persistent pesticides in the environment that may result in loss of usable land, surface water, ground water, and wildlife resources; </w:t>
      </w:r>
    </w:p>
    <w:p w:rsidR="00D651D2" w:rsidRPr="00D651D2" w:rsidRDefault="00D651D2" w:rsidP="00D651D2">
      <w:pPr>
        <w:pStyle w:val="NoSpacing"/>
        <w:numPr>
          <w:ilvl w:val="0"/>
          <w:numId w:val="8"/>
        </w:numPr>
        <w:rPr>
          <w:lang w:bidi="en-US"/>
        </w:rPr>
      </w:pPr>
      <w:r w:rsidRPr="005463D1">
        <w:rPr>
          <w:lang w:bidi="en-US"/>
        </w:rPr>
        <w:t>assess</w:t>
      </w:r>
      <w:r w:rsidRPr="00D651D2">
        <w:rPr>
          <w:lang w:bidi="en-US"/>
        </w:rPr>
        <w:t xml:space="preserve"> the potential environmental exposure of other nontarget organisms, such as fish, wildlife, and plants, to pesticides; and </w:t>
      </w:r>
    </w:p>
    <w:p w:rsidR="00D651D2" w:rsidRPr="00D651D2" w:rsidRDefault="00D651D2" w:rsidP="00D651D2">
      <w:pPr>
        <w:pStyle w:val="NoSpacing"/>
        <w:numPr>
          <w:ilvl w:val="0"/>
          <w:numId w:val="8"/>
        </w:numPr>
        <w:rPr>
          <w:lang w:bidi="en-US"/>
        </w:rPr>
      </w:pPr>
      <w:r w:rsidRPr="005463D1">
        <w:rPr>
          <w:lang w:bidi="en-US"/>
        </w:rPr>
        <w:t>help estimate expected environm</w:t>
      </w:r>
      <w:r w:rsidRPr="007D6E48">
        <w:rPr>
          <w:lang w:bidi="en-US"/>
        </w:rPr>
        <w:t>ental concentrations of pesticides in specific habitats where threatened or endangered species or other wildlife populations at risk are found.</w:t>
      </w:r>
      <w:r w:rsidRPr="00D651D2">
        <w:rPr>
          <w:lang w:bidi="en-US"/>
        </w:rPr>
        <w:t xml:space="preserve"> </w:t>
      </w:r>
    </w:p>
    <w:p w:rsidR="00D651D2" w:rsidRPr="00D651D2" w:rsidRDefault="00D651D2" w:rsidP="00D651D2">
      <w:pPr>
        <w:pStyle w:val="NoSpacing"/>
        <w:numPr>
          <w:ilvl w:val="1"/>
          <w:numId w:val="7"/>
        </w:numPr>
        <w:rPr>
          <w:lang w:bidi="en-US"/>
        </w:rPr>
      </w:pPr>
    </w:p>
    <w:p w:rsidR="00D651D2" w:rsidRPr="00D651D2" w:rsidRDefault="00D651D2" w:rsidP="00D651D2">
      <w:pPr>
        <w:pStyle w:val="NoSpacing"/>
        <w:rPr>
          <w:lang w:bidi="en-US"/>
        </w:rPr>
      </w:pPr>
      <w:r w:rsidRPr="00D651D2">
        <w:rPr>
          <w:b/>
          <w:bCs/>
          <w:lang w:bidi="en-US"/>
        </w:rPr>
        <w:t xml:space="preserve">Residue Chemistry – </w:t>
      </w:r>
      <w:r w:rsidRPr="00D651D2">
        <w:rPr>
          <w:lang w:bidi="en-US"/>
        </w:rPr>
        <w:t xml:space="preserve">EPA uses residue chemistry data to estimate the exposure of the general population to pesticide residues in food </w:t>
      </w:r>
      <w:r w:rsidR="00FA3E9A">
        <w:rPr>
          <w:lang w:bidi="en-US"/>
        </w:rPr>
        <w:t xml:space="preserve">or materials preserved with pesticides </w:t>
      </w:r>
      <w:r w:rsidRPr="00D651D2">
        <w:rPr>
          <w:lang w:bidi="en-US"/>
        </w:rPr>
        <w:t xml:space="preserve">and for setting and enforcing tolerances for pesticide residues in food or feed. The Agency can estimate the amount and nature of residues likely to be present in food or animal feed because of a proposed pesticide usage by evaluating information on: </w:t>
      </w:r>
    </w:p>
    <w:p w:rsidR="00D651D2" w:rsidRPr="00D651D2" w:rsidRDefault="00226E77" w:rsidP="00D651D2">
      <w:pPr>
        <w:pStyle w:val="NoSpacing"/>
        <w:numPr>
          <w:ilvl w:val="0"/>
          <w:numId w:val="9"/>
        </w:numPr>
        <w:rPr>
          <w:lang w:bidi="en-US"/>
        </w:rPr>
      </w:pPr>
      <w:r w:rsidRPr="00D5421F">
        <w:rPr>
          <w:noProof/>
          <w:lang w:bidi="en-US"/>
        </w:rPr>
        <w:t>T</w:t>
      </w:r>
      <w:r w:rsidR="00D651D2" w:rsidRPr="00D5421F">
        <w:rPr>
          <w:noProof/>
          <w:lang w:bidi="en-US"/>
        </w:rPr>
        <w:t>he chemical identity and composition of the pesticide product</w:t>
      </w:r>
      <w:r w:rsidR="00D651D2" w:rsidRPr="00D651D2">
        <w:rPr>
          <w:lang w:bidi="en-US"/>
        </w:rPr>
        <w:t xml:space="preserve">; </w:t>
      </w:r>
    </w:p>
    <w:p w:rsidR="00D651D2" w:rsidRPr="00D651D2" w:rsidRDefault="00D651D2" w:rsidP="00D651D2">
      <w:pPr>
        <w:pStyle w:val="NoSpacing"/>
        <w:numPr>
          <w:ilvl w:val="0"/>
          <w:numId w:val="9"/>
        </w:numPr>
        <w:rPr>
          <w:lang w:bidi="en-US"/>
        </w:rPr>
      </w:pPr>
      <w:r w:rsidRPr="005463D1">
        <w:rPr>
          <w:lang w:bidi="en-US"/>
        </w:rPr>
        <w:t>the</w:t>
      </w:r>
      <w:r w:rsidRPr="00D651D2">
        <w:rPr>
          <w:lang w:bidi="en-US"/>
        </w:rPr>
        <w:t xml:space="preserve"> amounts, frequency, and time of pesticide application; and </w:t>
      </w:r>
    </w:p>
    <w:p w:rsidR="00D651D2" w:rsidRPr="00D651D2" w:rsidRDefault="00D651D2" w:rsidP="00D651D2">
      <w:pPr>
        <w:pStyle w:val="NoSpacing"/>
        <w:numPr>
          <w:ilvl w:val="0"/>
          <w:numId w:val="9"/>
        </w:numPr>
        <w:rPr>
          <w:lang w:bidi="en-US"/>
        </w:rPr>
      </w:pPr>
      <w:r w:rsidRPr="005463D1">
        <w:rPr>
          <w:lang w:bidi="en-US"/>
        </w:rPr>
        <w:t>test</w:t>
      </w:r>
      <w:r w:rsidRPr="00D651D2">
        <w:rPr>
          <w:lang w:bidi="en-US"/>
        </w:rPr>
        <w:t xml:space="preserve"> results on the amount of residues remaining on or in the treated food</w:t>
      </w:r>
      <w:r w:rsidR="00FA3E9A">
        <w:rPr>
          <w:lang w:bidi="en-US"/>
        </w:rPr>
        <w:t>,</w:t>
      </w:r>
      <w:r w:rsidRPr="00D651D2">
        <w:rPr>
          <w:lang w:bidi="en-US"/>
        </w:rPr>
        <w:t xml:space="preserve"> feed</w:t>
      </w:r>
      <w:r w:rsidR="00FA3E9A">
        <w:rPr>
          <w:lang w:bidi="en-US"/>
        </w:rPr>
        <w:t xml:space="preserve"> or material preserved with the pesticide</w:t>
      </w:r>
      <w:r w:rsidRPr="00D651D2">
        <w:rPr>
          <w:lang w:bidi="en-US"/>
        </w:rPr>
        <w:t>.</w:t>
      </w:r>
    </w:p>
    <w:p w:rsidR="00E8468E" w:rsidRDefault="00E8468E" w:rsidP="008427A3">
      <w:pPr>
        <w:pStyle w:val="NoSpacing"/>
        <w:rPr>
          <w:lang w:bidi="en-US"/>
        </w:rPr>
      </w:pPr>
    </w:p>
    <w:p w:rsidR="00FE1363" w:rsidRDefault="00FE1363" w:rsidP="000A185F">
      <w:pPr>
        <w:pStyle w:val="NoSpacing"/>
        <w:rPr>
          <w:lang w:bidi="en-US"/>
        </w:rPr>
      </w:pPr>
    </w:p>
    <w:p w:rsidR="009D497D" w:rsidRDefault="00E1095D" w:rsidP="00CC4227">
      <w:pPr>
        <w:pStyle w:val="Heading1"/>
        <w:numPr>
          <w:ilvl w:val="0"/>
          <w:numId w:val="42"/>
        </w:numPr>
        <w:rPr>
          <w:lang w:bidi="en-US"/>
        </w:rPr>
      </w:pPr>
      <w:bookmarkStart w:id="95" w:name="_Toc482020586"/>
      <w:r>
        <w:rPr>
          <w:lang w:bidi="en-US"/>
        </w:rPr>
        <w:t xml:space="preserve">PRA </w:t>
      </w:r>
      <w:r w:rsidR="00327C9E" w:rsidRPr="009D497D">
        <w:rPr>
          <w:lang w:bidi="en-US"/>
        </w:rPr>
        <w:t>CRITERIA</w:t>
      </w:r>
      <w:r>
        <w:rPr>
          <w:lang w:bidi="en-US"/>
        </w:rPr>
        <w:t xml:space="preserve">, </w:t>
      </w:r>
      <w:r w:rsidRPr="00D5421F">
        <w:rPr>
          <w:noProof/>
          <w:lang w:bidi="en-US"/>
        </w:rPr>
        <w:t>GUIDELINES</w:t>
      </w:r>
      <w:r w:rsidR="00226E77">
        <w:rPr>
          <w:noProof/>
          <w:lang w:bidi="en-US"/>
        </w:rPr>
        <w:t>,</w:t>
      </w:r>
      <w:r>
        <w:rPr>
          <w:lang w:bidi="en-US"/>
        </w:rPr>
        <w:t xml:space="preserve"> AND REQUIREMENTS</w:t>
      </w:r>
      <w:bookmarkEnd w:id="95"/>
    </w:p>
    <w:p w:rsidR="00FB0FC4" w:rsidRPr="00FB0FC4" w:rsidRDefault="00FB0FC4" w:rsidP="008D44FC">
      <w:pPr>
        <w:pStyle w:val="Heading2"/>
        <w:numPr>
          <w:ilvl w:val="1"/>
          <w:numId w:val="42"/>
        </w:numPr>
        <w:tabs>
          <w:tab w:val="left" w:pos="1080"/>
        </w:tabs>
        <w:ind w:left="360"/>
        <w:rPr>
          <w:lang w:bidi="en-US"/>
        </w:rPr>
      </w:pPr>
      <w:bookmarkStart w:id="96" w:name="_Toc482020587"/>
      <w:r w:rsidRPr="00FB0FC4">
        <w:rPr>
          <w:lang w:bidi="en-US"/>
        </w:rPr>
        <w:t>Small Entity Flexibility</w:t>
      </w:r>
      <w:bookmarkEnd w:id="96"/>
    </w:p>
    <w:p w:rsidR="00FB0FC4" w:rsidRPr="00FB0FC4" w:rsidRDefault="00FB0FC4" w:rsidP="00FB0FC4">
      <w:pPr>
        <w:pStyle w:val="NoSpacing"/>
        <w:tabs>
          <w:tab w:val="left" w:pos="1080"/>
        </w:tabs>
        <w:rPr>
          <w:lang w:bidi="en-US"/>
        </w:rPr>
      </w:pPr>
      <w:r w:rsidRPr="00FB0FC4">
        <w:rPr>
          <w:lang w:bidi="en-US"/>
        </w:rPr>
        <w:t>Currently, pesticide registrants may be divided into two groups.  Approximately 10 percent of the total: manufacture or import chemical active ingredients intended for use as pesticides, sell these active ingredients to other firms for formulation into pesticid</w:t>
      </w:r>
      <w:r w:rsidR="00EA2C44">
        <w:rPr>
          <w:lang w:bidi="en-US"/>
        </w:rPr>
        <w:t xml:space="preserve">e products, and/or make the end </w:t>
      </w:r>
      <w:r w:rsidRPr="00FB0FC4">
        <w:rPr>
          <w:lang w:bidi="en-US"/>
        </w:rPr>
        <w:t>products themselves.  The second, and by far the larger, group of registrants purchase the active ingredients in their pesticide products from members of the first group, and combine them with pesticide inert ingredients or sometimes simply repackage them to make their end</w:t>
      </w:r>
      <w:r w:rsidRPr="00FB0FC4">
        <w:rPr>
          <w:lang w:bidi="en-US"/>
        </w:rPr>
        <w:noBreakHyphen/>
        <w:t>use products.</w:t>
      </w:r>
    </w:p>
    <w:p w:rsidR="00FB0FC4" w:rsidRPr="00FB0FC4" w:rsidRDefault="00FB0FC4" w:rsidP="00FB0FC4">
      <w:pPr>
        <w:pStyle w:val="NoSpacing"/>
        <w:tabs>
          <w:tab w:val="left" w:pos="1080"/>
        </w:tabs>
        <w:rPr>
          <w:lang w:bidi="en-US"/>
        </w:rPr>
      </w:pPr>
    </w:p>
    <w:p w:rsidR="00FB0FC4" w:rsidRDefault="00FB0FC4" w:rsidP="00FB0FC4">
      <w:pPr>
        <w:pStyle w:val="NoSpacing"/>
        <w:tabs>
          <w:tab w:val="left" w:pos="1080"/>
        </w:tabs>
        <w:rPr>
          <w:lang w:bidi="en-US"/>
        </w:rPr>
      </w:pPr>
      <w:r w:rsidRPr="00FB0FC4">
        <w:rPr>
          <w:lang w:bidi="en-US"/>
        </w:rPr>
        <w:t xml:space="preserve">This second group </w:t>
      </w:r>
      <w:r w:rsidRPr="005463D1">
        <w:rPr>
          <w:lang w:bidi="en-US"/>
        </w:rPr>
        <w:t>is primarily comprised</w:t>
      </w:r>
      <w:r w:rsidRPr="00FB0FC4">
        <w:rPr>
          <w:lang w:bidi="en-US"/>
        </w:rPr>
        <w:t xml:space="preserve"> of small businesses.  </w:t>
      </w:r>
      <w:r w:rsidRPr="005463D1">
        <w:rPr>
          <w:lang w:bidi="en-US"/>
        </w:rPr>
        <w:t>When small businesses use a registered source of the active ingredient to formulate their products, they generally are exempt from generating health and safety data for pesticide active ingredients ("generic data").</w:t>
      </w:r>
      <w:r w:rsidRPr="00FB0FC4">
        <w:rPr>
          <w:lang w:bidi="en-US"/>
        </w:rPr>
        <w:t xml:space="preserve">  Consequently, they usually need only respond to a DCI for active ingredient data by claiming the "generic data exemption" </w:t>
      </w:r>
      <w:r w:rsidR="00CC4227">
        <w:rPr>
          <w:lang w:bidi="en-US"/>
        </w:rPr>
        <w:t xml:space="preserve">and </w:t>
      </w:r>
      <w:r w:rsidRPr="005463D1">
        <w:rPr>
          <w:lang w:bidi="en-US"/>
        </w:rPr>
        <w:t>do not incur any other information burden associated with the data call</w:t>
      </w:r>
      <w:r w:rsidRPr="005463D1">
        <w:rPr>
          <w:lang w:bidi="en-US"/>
        </w:rPr>
        <w:noBreakHyphen/>
        <w:t>in.</w:t>
      </w:r>
    </w:p>
    <w:p w:rsidR="00FB0FC4" w:rsidRPr="00FB0FC4" w:rsidRDefault="00FB0FC4" w:rsidP="00FB0FC4">
      <w:pPr>
        <w:pStyle w:val="NoSpacing"/>
        <w:tabs>
          <w:tab w:val="left" w:pos="1080"/>
        </w:tabs>
        <w:rPr>
          <w:lang w:bidi="en-US"/>
        </w:rPr>
      </w:pPr>
    </w:p>
    <w:p w:rsidR="002B34A0" w:rsidRPr="009D497D" w:rsidRDefault="00E1095D" w:rsidP="008D44FC">
      <w:pPr>
        <w:pStyle w:val="Heading2"/>
        <w:numPr>
          <w:ilvl w:val="1"/>
          <w:numId w:val="42"/>
        </w:numPr>
        <w:tabs>
          <w:tab w:val="left" w:pos="1080"/>
        </w:tabs>
        <w:ind w:left="360"/>
        <w:rPr>
          <w:lang w:bidi="en-US"/>
        </w:rPr>
      </w:pPr>
      <w:bookmarkStart w:id="97" w:name="_Toc482020588"/>
      <w:r>
        <w:rPr>
          <w:lang w:bidi="en-US"/>
        </w:rPr>
        <w:t>Non-D</w:t>
      </w:r>
      <w:r w:rsidR="002B34A0" w:rsidRPr="009D497D">
        <w:rPr>
          <w:lang w:bidi="en-US"/>
        </w:rPr>
        <w:t>uplication</w:t>
      </w:r>
      <w:bookmarkEnd w:id="97"/>
    </w:p>
    <w:p w:rsidR="009D497D" w:rsidRDefault="002B34A0" w:rsidP="002B34A0">
      <w:pPr>
        <w:rPr>
          <w:lang w:bidi="en-US"/>
        </w:rPr>
      </w:pPr>
      <w:r w:rsidRPr="002B34A0">
        <w:rPr>
          <w:lang w:bidi="en-US"/>
        </w:rPr>
        <w:t>This information collection is specific to the needs of the federal pesticide laws negating the need for similar data by other federal agencies or any other office within EPA.  Prior to requesting any information</w:t>
      </w:r>
      <w:r w:rsidR="009D497D">
        <w:rPr>
          <w:lang w:bidi="en-US"/>
        </w:rPr>
        <w:t>,</w:t>
      </w:r>
      <w:r w:rsidRPr="002B34A0">
        <w:rPr>
          <w:lang w:bidi="en-US"/>
        </w:rPr>
        <w:t xml:space="preserve"> the Agency must review existing records for the availability of the information that it is considering requesting.  The Agency maintains files on all pesticide chemicals, which includes all correspondence and information/data submitted. Before any DCI </w:t>
      </w:r>
      <w:r w:rsidRPr="005463D1">
        <w:rPr>
          <w:lang w:bidi="en-US"/>
        </w:rPr>
        <w:t>is issued</w:t>
      </w:r>
      <w:r w:rsidRPr="002B34A0">
        <w:rPr>
          <w:lang w:bidi="en-US"/>
        </w:rPr>
        <w:t xml:space="preserve">, these files </w:t>
      </w:r>
      <w:r w:rsidRPr="005463D1">
        <w:rPr>
          <w:lang w:bidi="en-US"/>
        </w:rPr>
        <w:t>are referenced</w:t>
      </w:r>
      <w:r w:rsidRPr="002B34A0">
        <w:rPr>
          <w:lang w:bidi="en-US"/>
        </w:rPr>
        <w:t xml:space="preserve"> to determine whether the necessary data are already on hand, thereby eliminating duplicative data requests.  For example, a majority of the percent-crop-treated information can currently be obtained internally</w:t>
      </w:r>
      <w:r w:rsidRPr="005463D1">
        <w:rPr>
          <w:lang w:bidi="en-US"/>
        </w:rPr>
        <w:t>,</w:t>
      </w:r>
      <w:r w:rsidRPr="002B34A0">
        <w:rPr>
          <w:lang w:bidi="en-US"/>
        </w:rPr>
        <w:t xml:space="preserve"> </w:t>
      </w:r>
      <w:r w:rsidRPr="00D5421F">
        <w:rPr>
          <w:noProof/>
          <w:lang w:bidi="en-US"/>
        </w:rPr>
        <w:t>thus</w:t>
      </w:r>
      <w:r w:rsidR="00226E77">
        <w:rPr>
          <w:noProof/>
          <w:lang w:bidi="en-US"/>
        </w:rPr>
        <w:t>,</w:t>
      </w:r>
      <w:r w:rsidRPr="002B34A0">
        <w:rPr>
          <w:lang w:bidi="en-US"/>
        </w:rPr>
        <w:t xml:space="preserve"> DCIs will only be issued when more data is necessary.  The data for </w:t>
      </w:r>
      <w:r w:rsidRPr="00D5421F">
        <w:rPr>
          <w:noProof/>
          <w:lang w:bidi="en-US"/>
        </w:rPr>
        <w:t>anticipated</w:t>
      </w:r>
      <w:r w:rsidRPr="002B34A0">
        <w:rPr>
          <w:lang w:bidi="en-US"/>
        </w:rPr>
        <w:t xml:space="preserve"> residues, on the other hand, are unique to the requirements of FIFRA, and, therefore, must be submitted to the Agency.  </w:t>
      </w:r>
    </w:p>
    <w:p w:rsidR="009D497D" w:rsidRDefault="009D497D" w:rsidP="002B34A0">
      <w:pPr>
        <w:rPr>
          <w:lang w:bidi="en-US"/>
        </w:rPr>
      </w:pPr>
    </w:p>
    <w:p w:rsidR="002B34A0" w:rsidRPr="002B34A0" w:rsidRDefault="009D497D" w:rsidP="002B34A0">
      <w:pPr>
        <w:rPr>
          <w:lang w:bidi="en-US"/>
        </w:rPr>
      </w:pPr>
      <w:r w:rsidRPr="005463D1">
        <w:rPr>
          <w:lang w:bidi="en-US"/>
        </w:rPr>
        <w:t xml:space="preserve">In addition, </w:t>
      </w:r>
      <w:r w:rsidR="002B34A0" w:rsidRPr="005463D1">
        <w:rPr>
          <w:lang w:bidi="en-US"/>
        </w:rPr>
        <w:t>EPA facilitates a variety of public comment periods for all the review programs</w:t>
      </w:r>
      <w:r w:rsidRPr="007D6E48">
        <w:rPr>
          <w:lang w:bidi="en-US"/>
        </w:rPr>
        <w:t xml:space="preserve"> covered by this ICR</w:t>
      </w:r>
      <w:r w:rsidR="002B34A0" w:rsidRPr="005463D1">
        <w:rPr>
          <w:lang w:bidi="en-US"/>
        </w:rPr>
        <w:t xml:space="preserve">, the result of which may modify the </w:t>
      </w:r>
      <w:r w:rsidRPr="005463D1">
        <w:rPr>
          <w:lang w:bidi="en-US"/>
        </w:rPr>
        <w:t xml:space="preserve">data that is included in a specific </w:t>
      </w:r>
      <w:r w:rsidR="002B34A0" w:rsidRPr="005463D1">
        <w:rPr>
          <w:lang w:bidi="en-US"/>
        </w:rPr>
        <w:t>DCI if warranted by information provided by registrants or the public.</w:t>
      </w:r>
      <w:r w:rsidR="002B34A0" w:rsidRPr="002B34A0">
        <w:rPr>
          <w:lang w:bidi="en-US"/>
        </w:rPr>
        <w:t xml:space="preserve">  </w:t>
      </w:r>
    </w:p>
    <w:p w:rsidR="002B34A0" w:rsidRPr="002B34A0" w:rsidRDefault="002B34A0" w:rsidP="002B34A0">
      <w:pPr>
        <w:rPr>
          <w:lang w:bidi="en-US"/>
        </w:rPr>
      </w:pPr>
      <w:r w:rsidRPr="002B34A0">
        <w:rPr>
          <w:lang w:bidi="en-US"/>
        </w:rPr>
        <w:t xml:space="preserve"> </w:t>
      </w:r>
    </w:p>
    <w:p w:rsidR="002B34A0" w:rsidRDefault="002B34A0" w:rsidP="002B34A0">
      <w:pPr>
        <w:rPr>
          <w:lang w:bidi="en-US"/>
        </w:rPr>
      </w:pPr>
      <w:r w:rsidRPr="005463D1">
        <w:rPr>
          <w:lang w:bidi="en-US"/>
        </w:rPr>
        <w:t xml:space="preserve">OPP </w:t>
      </w:r>
      <w:r w:rsidR="009D497D" w:rsidRPr="005463D1">
        <w:rPr>
          <w:lang w:bidi="en-US"/>
        </w:rPr>
        <w:t xml:space="preserve">also </w:t>
      </w:r>
      <w:r w:rsidRPr="007D6E48">
        <w:rPr>
          <w:lang w:bidi="en-US"/>
        </w:rPr>
        <w:t>encourages cost-sharing agreements among manufacturers of specific pesticide</w:t>
      </w:r>
      <w:r w:rsidRPr="005463D1">
        <w:rPr>
          <w:lang w:bidi="en-US"/>
        </w:rPr>
        <w:t xml:space="preserve"> chemicals in order to minimize the </w:t>
      </w:r>
      <w:r w:rsidR="00D95B40" w:rsidRPr="005463D1">
        <w:rPr>
          <w:lang w:bidi="en-US"/>
        </w:rPr>
        <w:t xml:space="preserve">potential </w:t>
      </w:r>
      <w:r w:rsidRPr="005463D1">
        <w:rPr>
          <w:lang w:bidi="en-US"/>
        </w:rPr>
        <w:t xml:space="preserve">duplication of laboratory tests, minimize animal testing, and reduce the costs </w:t>
      </w:r>
      <w:r w:rsidR="00226E77">
        <w:rPr>
          <w:noProof/>
          <w:lang w:bidi="en-US"/>
        </w:rPr>
        <w:t>of</w:t>
      </w:r>
      <w:r w:rsidRPr="005463D1">
        <w:rPr>
          <w:lang w:bidi="en-US"/>
        </w:rPr>
        <w:t xml:space="preserve"> developing the data.</w:t>
      </w:r>
      <w:r w:rsidRPr="002B34A0">
        <w:rPr>
          <w:lang w:bidi="en-US"/>
        </w:rPr>
        <w:t xml:space="preserve"> All DCI notices explain the statutory provisions for cost-sharing agreements under </w:t>
      </w:r>
      <w:r w:rsidRPr="005463D1">
        <w:rPr>
          <w:lang w:bidi="en-US"/>
        </w:rPr>
        <w:t>FIFRA</w:t>
      </w:r>
      <w:r w:rsidR="00D95B40">
        <w:rPr>
          <w:lang w:bidi="en-US"/>
        </w:rPr>
        <w:t xml:space="preserve">, as well as the various response opportunities, which include the citation to or submission of </w:t>
      </w:r>
      <w:r w:rsidRPr="002B34A0">
        <w:rPr>
          <w:lang w:bidi="en-US"/>
        </w:rPr>
        <w:t xml:space="preserve">other scientifically relevant data that they believe </w:t>
      </w:r>
      <w:r w:rsidR="00D95B40">
        <w:rPr>
          <w:lang w:bidi="en-US"/>
        </w:rPr>
        <w:t xml:space="preserve">satisfies the DCI. </w:t>
      </w:r>
    </w:p>
    <w:p w:rsidR="00E1095D" w:rsidRPr="002B34A0" w:rsidRDefault="00E1095D" w:rsidP="00E1095D">
      <w:pPr>
        <w:rPr>
          <w:b/>
          <w:lang w:bidi="en-US"/>
        </w:rPr>
      </w:pPr>
    </w:p>
    <w:p w:rsidR="00CC4227" w:rsidRPr="00CC4227" w:rsidRDefault="00CC4227" w:rsidP="00CC4227">
      <w:pPr>
        <w:pStyle w:val="ListParagraph"/>
        <w:keepNext/>
        <w:keepLines/>
        <w:numPr>
          <w:ilvl w:val="0"/>
          <w:numId w:val="44"/>
        </w:numPr>
        <w:tabs>
          <w:tab w:val="left" w:pos="1800"/>
        </w:tabs>
        <w:spacing w:after="200"/>
        <w:contextualSpacing w:val="0"/>
        <w:outlineLvl w:val="2"/>
        <w:rPr>
          <w:rFonts w:eastAsiaTheme="majorEastAsia" w:cstheme="majorBidi"/>
          <w:b/>
          <w:bCs/>
          <w:vanish/>
          <w:lang w:bidi="ar-SA"/>
        </w:rPr>
      </w:pPr>
      <w:bookmarkStart w:id="98" w:name="_Toc489017011"/>
      <w:bookmarkStart w:id="99" w:name="_Toc489017133"/>
      <w:bookmarkStart w:id="100" w:name="_Toc489017187"/>
      <w:bookmarkStart w:id="101" w:name="_Toc482020589"/>
      <w:bookmarkEnd w:id="98"/>
      <w:bookmarkEnd w:id="99"/>
      <w:bookmarkEnd w:id="100"/>
    </w:p>
    <w:p w:rsidR="00CC4227" w:rsidRPr="00CC4227" w:rsidRDefault="00CC4227" w:rsidP="00CC4227">
      <w:pPr>
        <w:pStyle w:val="ListParagraph"/>
        <w:keepNext/>
        <w:keepLines/>
        <w:numPr>
          <w:ilvl w:val="0"/>
          <w:numId w:val="44"/>
        </w:numPr>
        <w:tabs>
          <w:tab w:val="left" w:pos="1800"/>
        </w:tabs>
        <w:spacing w:after="200"/>
        <w:contextualSpacing w:val="0"/>
        <w:outlineLvl w:val="2"/>
        <w:rPr>
          <w:rFonts w:eastAsiaTheme="majorEastAsia" w:cstheme="majorBidi"/>
          <w:b/>
          <w:bCs/>
          <w:vanish/>
          <w:lang w:bidi="ar-SA"/>
        </w:rPr>
      </w:pPr>
      <w:bookmarkStart w:id="102" w:name="_Toc489017012"/>
      <w:bookmarkStart w:id="103" w:name="_Toc489017134"/>
      <w:bookmarkStart w:id="104" w:name="_Toc489017188"/>
      <w:bookmarkEnd w:id="102"/>
      <w:bookmarkEnd w:id="103"/>
      <w:bookmarkEnd w:id="104"/>
    </w:p>
    <w:p w:rsidR="00E1095D" w:rsidRPr="002B34A0" w:rsidRDefault="00CC4227" w:rsidP="008D44FC">
      <w:pPr>
        <w:pStyle w:val="Heading2"/>
        <w:ind w:left="360"/>
      </w:pPr>
      <w:r>
        <w:t>5(c). U</w:t>
      </w:r>
      <w:r w:rsidR="00E1095D">
        <w:t>se of Existing Forms</w:t>
      </w:r>
      <w:bookmarkEnd w:id="101"/>
    </w:p>
    <w:p w:rsidR="00E1095D" w:rsidRPr="002B34A0" w:rsidRDefault="00E1095D" w:rsidP="00E1095D">
      <w:pPr>
        <w:rPr>
          <w:lang w:bidi="en-US"/>
        </w:rPr>
      </w:pPr>
      <w:r w:rsidRPr="002B34A0">
        <w:rPr>
          <w:lang w:bidi="en-US"/>
        </w:rPr>
        <w:t xml:space="preserve">The forms associated with </w:t>
      </w:r>
      <w:r>
        <w:rPr>
          <w:lang w:bidi="en-US"/>
        </w:rPr>
        <w:t xml:space="preserve">the DCI activities covered by </w:t>
      </w:r>
      <w:r w:rsidRPr="002B34A0">
        <w:rPr>
          <w:lang w:bidi="en-US"/>
        </w:rPr>
        <w:t xml:space="preserve">this ICR </w:t>
      </w:r>
      <w:r w:rsidRPr="005463D1">
        <w:rPr>
          <w:lang w:bidi="en-US"/>
        </w:rPr>
        <w:t>are already approved</w:t>
      </w:r>
      <w:r w:rsidRPr="002B34A0">
        <w:rPr>
          <w:lang w:bidi="en-US"/>
        </w:rPr>
        <w:t xml:space="preserve"> under OMB Control </w:t>
      </w:r>
      <w:r>
        <w:rPr>
          <w:lang w:bidi="en-US"/>
        </w:rPr>
        <w:t xml:space="preserve">No. 2070-0060 and </w:t>
      </w:r>
      <w:r w:rsidRPr="005463D1">
        <w:rPr>
          <w:lang w:bidi="en-US"/>
        </w:rPr>
        <w:t>are also used</w:t>
      </w:r>
      <w:r w:rsidRPr="00667805">
        <w:rPr>
          <w:lang w:bidi="en-US"/>
        </w:rPr>
        <w:t xml:space="preserve"> for other inform</w:t>
      </w:r>
      <w:r>
        <w:rPr>
          <w:lang w:bidi="en-US"/>
        </w:rPr>
        <w:t xml:space="preserve">ation collection activities that </w:t>
      </w:r>
      <w:r w:rsidRPr="005463D1">
        <w:rPr>
          <w:lang w:bidi="en-US"/>
        </w:rPr>
        <w:t>are not covered</w:t>
      </w:r>
      <w:r>
        <w:rPr>
          <w:lang w:bidi="en-US"/>
        </w:rPr>
        <w:t xml:space="preserve"> </w:t>
      </w:r>
      <w:r w:rsidRPr="005463D1">
        <w:rPr>
          <w:lang w:bidi="en-US"/>
        </w:rPr>
        <w:t>by</w:t>
      </w:r>
      <w:r>
        <w:rPr>
          <w:lang w:bidi="en-US"/>
        </w:rPr>
        <w:t xml:space="preserve"> this ICR</w:t>
      </w:r>
      <w:r w:rsidRPr="002B34A0">
        <w:rPr>
          <w:lang w:bidi="en-US"/>
        </w:rPr>
        <w:t>.</w:t>
      </w:r>
      <w:r>
        <w:rPr>
          <w:lang w:bidi="en-US"/>
        </w:rPr>
        <w:t xml:space="preserve">  </w:t>
      </w:r>
      <w:r w:rsidRPr="002B34A0">
        <w:rPr>
          <w:lang w:bidi="en-US"/>
        </w:rPr>
        <w:t>Specifically</w:t>
      </w:r>
      <w:r>
        <w:rPr>
          <w:lang w:bidi="en-US"/>
        </w:rPr>
        <w:t xml:space="preserve">, the following Forms </w:t>
      </w:r>
      <w:r w:rsidRPr="005463D1">
        <w:rPr>
          <w:lang w:bidi="en-US"/>
        </w:rPr>
        <w:t>are used</w:t>
      </w:r>
      <w:r>
        <w:rPr>
          <w:lang w:bidi="en-US"/>
        </w:rPr>
        <w:t xml:space="preserve"> in the context of DCI </w:t>
      </w:r>
      <w:r w:rsidRPr="005463D1">
        <w:rPr>
          <w:lang w:bidi="en-US"/>
        </w:rPr>
        <w:t>activities</w:t>
      </w:r>
      <w:r w:rsidR="00BC0006">
        <w:rPr>
          <w:lang w:bidi="en-US"/>
        </w:rPr>
        <w:t>.</w:t>
      </w:r>
      <w:r w:rsidR="00EA2C44" w:rsidRPr="005463D1">
        <w:rPr>
          <w:rStyle w:val="FootnoteReference"/>
          <w:vertAlign w:val="superscript"/>
          <w:lang w:bidi="en-US"/>
        </w:rPr>
        <w:footnoteReference w:id="21"/>
      </w:r>
    </w:p>
    <w:p w:rsidR="00E1095D" w:rsidRPr="002B34A0" w:rsidRDefault="00E1095D" w:rsidP="00D5421F">
      <w:pPr>
        <w:ind w:left="360"/>
      </w:pPr>
      <w:r w:rsidRPr="005463D1">
        <w:t>Confidential Statement of Formula, (EPA Form 8570-4).</w:t>
      </w:r>
    </w:p>
    <w:p w:rsidR="00E1095D" w:rsidRDefault="00E1095D" w:rsidP="00E1095D">
      <w:pPr>
        <w:pStyle w:val="ListParagraph"/>
        <w:numPr>
          <w:ilvl w:val="0"/>
          <w:numId w:val="16"/>
        </w:numPr>
      </w:pPr>
      <w:r w:rsidRPr="005463D1">
        <w:t xml:space="preserve">Formulator's </w:t>
      </w:r>
      <w:r w:rsidRPr="007D6E48">
        <w:t>Exemption Statement, (EPA Form 8570-27).</w:t>
      </w:r>
    </w:p>
    <w:p w:rsidR="00E1095D" w:rsidRDefault="00E1095D" w:rsidP="00E1095D">
      <w:pPr>
        <w:pStyle w:val="ListParagraph"/>
        <w:numPr>
          <w:ilvl w:val="0"/>
          <w:numId w:val="16"/>
        </w:numPr>
      </w:pPr>
      <w:r w:rsidRPr="005463D1">
        <w:t>Certification of Compliance with Data Gap Procedures (EPA Form 8570-28).</w:t>
      </w:r>
    </w:p>
    <w:p w:rsidR="00E1095D" w:rsidRDefault="00E1095D" w:rsidP="00E1095D">
      <w:pPr>
        <w:pStyle w:val="ListParagraph"/>
        <w:numPr>
          <w:ilvl w:val="0"/>
          <w:numId w:val="16"/>
        </w:numPr>
      </w:pPr>
      <w:r w:rsidRPr="002B34A0">
        <w:t xml:space="preserve">Certification of Attempt to </w:t>
      </w:r>
      <w:r w:rsidRPr="00D5421F">
        <w:rPr>
          <w:noProof/>
        </w:rPr>
        <w:t>Enter</w:t>
      </w:r>
      <w:r w:rsidRPr="002B34A0">
        <w:t xml:space="preserve"> into an Agreement with Registrants for Development of Data (EPA Form 8570-32)</w:t>
      </w:r>
      <w:r>
        <w:t xml:space="preserve">. </w:t>
      </w:r>
    </w:p>
    <w:p w:rsidR="00E1095D" w:rsidRDefault="00E1095D" w:rsidP="00E1095D">
      <w:pPr>
        <w:pStyle w:val="ListParagraph"/>
        <w:numPr>
          <w:ilvl w:val="0"/>
          <w:numId w:val="16"/>
        </w:numPr>
      </w:pPr>
      <w:r w:rsidRPr="002B34A0">
        <w:t>Certification with Respect to Citation of Data (in Pesticide Registration (PR) Notice 98</w:t>
      </w:r>
      <w:r w:rsidRPr="002B34A0">
        <w:noBreakHyphen/>
        <w:t>5) (EPA Form 8570-34)</w:t>
      </w:r>
      <w:r>
        <w:t>.</w:t>
      </w:r>
    </w:p>
    <w:p w:rsidR="00E1095D" w:rsidRDefault="00E1095D" w:rsidP="00E1095D">
      <w:pPr>
        <w:pStyle w:val="ListParagraph"/>
        <w:numPr>
          <w:ilvl w:val="0"/>
          <w:numId w:val="16"/>
        </w:numPr>
      </w:pPr>
      <w:r w:rsidRPr="002B34A0">
        <w:t>Data Matrix (also in PR Notice 98</w:t>
      </w:r>
      <w:r w:rsidRPr="002B34A0">
        <w:noBreakHyphen/>
        <w:t>5) (EPA Form 8570-35</w:t>
      </w:r>
      <w:r>
        <w:t xml:space="preserve">). </w:t>
      </w:r>
    </w:p>
    <w:p w:rsidR="00E1095D" w:rsidRDefault="00E1095D" w:rsidP="00E1095D">
      <w:pPr>
        <w:pStyle w:val="ListParagraph"/>
        <w:numPr>
          <w:ilvl w:val="0"/>
          <w:numId w:val="16"/>
        </w:numPr>
      </w:pPr>
      <w:r w:rsidRPr="005463D1">
        <w:t>Summary of the Physical/Chemical Properties (EPA Form 8570-36).</w:t>
      </w:r>
    </w:p>
    <w:p w:rsidR="00E1095D" w:rsidRDefault="00E1095D" w:rsidP="00E1095D">
      <w:pPr>
        <w:pStyle w:val="ListParagraph"/>
        <w:numPr>
          <w:ilvl w:val="0"/>
          <w:numId w:val="16"/>
        </w:numPr>
      </w:pPr>
      <w:r w:rsidRPr="005463D1">
        <w:t>Self-Certification Statement for the Physical/Chemical Properties (EPA Form 8570-37)</w:t>
      </w:r>
      <w:r w:rsidRPr="007D6E48">
        <w:t>.</w:t>
      </w:r>
      <w:r>
        <w:t xml:space="preserve"> </w:t>
      </w:r>
    </w:p>
    <w:p w:rsidR="00E1095D" w:rsidRDefault="00E1095D" w:rsidP="00E1095D">
      <w:pPr>
        <w:pStyle w:val="ListParagraph"/>
      </w:pPr>
    </w:p>
    <w:p w:rsidR="00E1095D" w:rsidRDefault="00E1095D" w:rsidP="00E1095D">
      <w:pPr>
        <w:pStyle w:val="ListParagraph"/>
        <w:ind w:left="0"/>
      </w:pPr>
      <w:r w:rsidRPr="005463D1">
        <w:t>The following Forms were previously approved</w:t>
      </w:r>
      <w:r w:rsidRPr="007D6E48">
        <w:t xml:space="preserve"> for use under this ICR, and are automatically generated by EPA’s computer databases and are pre-populated with information that is </w:t>
      </w:r>
      <w:r w:rsidRPr="00D5421F">
        <w:rPr>
          <w:noProof/>
        </w:rPr>
        <w:t>specific</w:t>
      </w:r>
      <w:r w:rsidRPr="007D6E48">
        <w:t xml:space="preserve"> to each ind</w:t>
      </w:r>
      <w:r w:rsidRPr="005463D1">
        <w:t>ividual registrant or recipient of the specific DCI for a given pesticide.</w:t>
      </w:r>
      <w:r w:rsidRPr="00667805">
        <w:t xml:space="preserve">  To reduce respondent burden, EPA will continue to generate the </w:t>
      </w:r>
      <w:r w:rsidRPr="005463D1">
        <w:t>pre-populated</w:t>
      </w:r>
      <w:r w:rsidRPr="00667805">
        <w:t xml:space="preserve">, registrant-specific forms through the </w:t>
      </w:r>
      <w:r w:rsidRPr="005463D1">
        <w:t>Agency’s</w:t>
      </w:r>
      <w:r w:rsidRPr="00667805">
        <w:t xml:space="preserve"> computer system when preparing to issue Data </w:t>
      </w:r>
      <w:r w:rsidRPr="005463D1">
        <w:t>Call-In</w:t>
      </w:r>
      <w:r w:rsidRPr="00667805">
        <w:t xml:space="preserve"> notices.</w:t>
      </w:r>
    </w:p>
    <w:p w:rsidR="00E1095D" w:rsidRDefault="00E1095D" w:rsidP="00E1095D">
      <w:pPr>
        <w:pStyle w:val="ListParagraph"/>
        <w:numPr>
          <w:ilvl w:val="0"/>
          <w:numId w:val="16"/>
        </w:numPr>
      </w:pPr>
      <w:r w:rsidRPr="005463D1">
        <w:t>Requirements Status and Registrant’s</w:t>
      </w:r>
      <w:r w:rsidRPr="007D6E48">
        <w:t xml:space="preserve"> Response (EPA Form 6300-3).</w:t>
      </w:r>
    </w:p>
    <w:p w:rsidR="00E1095D" w:rsidRDefault="00E1095D" w:rsidP="00E1095D">
      <w:pPr>
        <w:pStyle w:val="ListParagraph"/>
        <w:numPr>
          <w:ilvl w:val="0"/>
          <w:numId w:val="16"/>
        </w:numPr>
      </w:pPr>
      <w:r w:rsidRPr="005463D1">
        <w:t>Data Call-In</w:t>
      </w:r>
      <w:r w:rsidRPr="007D6E48">
        <w:t xml:space="preserve"> Response Form (EPA Form 6300-4).</w:t>
      </w:r>
    </w:p>
    <w:p w:rsidR="00A362B3" w:rsidRDefault="00A362B3" w:rsidP="009A6FB8">
      <w:pPr>
        <w:pStyle w:val="Heading3"/>
        <w:tabs>
          <w:tab w:val="left" w:pos="1800"/>
        </w:tabs>
        <w:spacing w:after="200"/>
        <w:ind w:left="1080"/>
      </w:pPr>
    </w:p>
    <w:p w:rsidR="0067403D" w:rsidRDefault="0067403D" w:rsidP="00E91D79">
      <w:pPr>
        <w:pStyle w:val="Heading3"/>
        <w:ind w:left="360"/>
      </w:pPr>
      <w:bookmarkStart w:id="105" w:name="_Toc482020590"/>
      <w:r>
        <w:t>5(</w:t>
      </w:r>
      <w:r w:rsidR="00CC4227">
        <w:t>d</w:t>
      </w:r>
      <w:r>
        <w:t xml:space="preserve">).  </w:t>
      </w:r>
      <w:r w:rsidR="00E1095D">
        <w:t xml:space="preserve">Use of </w:t>
      </w:r>
      <w:r w:rsidR="00E1095D" w:rsidRPr="00E1095D">
        <w:t>Technology to Facilitate Collection Activities</w:t>
      </w:r>
      <w:bookmarkEnd w:id="105"/>
    </w:p>
    <w:p w:rsidR="0067403D" w:rsidRPr="0067403D" w:rsidRDefault="0067403D" w:rsidP="009B796A">
      <w:pPr>
        <w:pStyle w:val="NoSpacing"/>
      </w:pPr>
    </w:p>
    <w:p w:rsidR="00CF6687" w:rsidRPr="00B93B8B" w:rsidRDefault="009B796A" w:rsidP="00CF6687">
      <w:pPr>
        <w:rPr>
          <w:lang w:bidi="en-US"/>
        </w:rPr>
      </w:pPr>
      <w:r w:rsidRPr="00B93B8B">
        <w:rPr>
          <w:lang w:bidi="en-US"/>
        </w:rPr>
        <w:t>In September 2015, OPP debuted a new electronic system for pesticide applications, the Pesticide Submission Portal.</w:t>
      </w:r>
      <w:r w:rsidRPr="00B93B8B">
        <w:rPr>
          <w:vertAlign w:val="superscript"/>
          <w:lang w:bidi="en-US"/>
        </w:rPr>
        <w:t xml:space="preserve"> </w:t>
      </w:r>
      <w:r w:rsidRPr="00B93B8B">
        <w:rPr>
          <w:lang w:bidi="en-US"/>
        </w:rPr>
        <w:t xml:space="preserve"> </w:t>
      </w:r>
      <w:r w:rsidR="00333631" w:rsidRPr="00B93B8B">
        <w:rPr>
          <w:lang w:bidi="en-US"/>
        </w:rPr>
        <w:t>In February 2016</w:t>
      </w:r>
      <w:r w:rsidR="00B93B8B">
        <w:rPr>
          <w:lang w:bidi="en-US"/>
        </w:rPr>
        <w:t>,</w:t>
      </w:r>
      <w:r w:rsidR="00333631" w:rsidRPr="00B93B8B">
        <w:rPr>
          <w:lang w:bidi="en-US"/>
        </w:rPr>
        <w:t xml:space="preserve"> EPA began to accept DCI response package</w:t>
      </w:r>
      <w:r w:rsidR="00B93B8B" w:rsidRPr="00B93B8B">
        <w:rPr>
          <w:lang w:bidi="en-US"/>
        </w:rPr>
        <w:t>s</w:t>
      </w:r>
      <w:r w:rsidR="00333631" w:rsidRPr="00B93B8B">
        <w:rPr>
          <w:lang w:bidi="en-US"/>
        </w:rPr>
        <w:t xml:space="preserve"> through the PSP.  </w:t>
      </w:r>
      <w:r w:rsidRPr="00B93B8B">
        <w:rPr>
          <w:lang w:bidi="en-US"/>
        </w:rPr>
        <w:t xml:space="preserve">EPA will continue to accept paper, CD and DVD applications but encourages applicants to take advantage of this new, more efficient option. </w:t>
      </w:r>
      <w:r w:rsidR="00CF6687" w:rsidRPr="00B93B8B">
        <w:rPr>
          <w:lang w:bidi="en-US"/>
        </w:rPr>
        <w:t xml:space="preserve">For registrants currently submitting CDs or DVDs using the e-Dossier downloadable tool or their own builder tools using EPA’s XML guidance, they may use the portal and forego the courier costs to send to EPA. For electronic submissions, applicants do not need to submit multiple copies of any pieces of their application, the requirement for multiple copies of data and five copies draft </w:t>
      </w:r>
      <w:r w:rsidR="00CF6687" w:rsidRPr="00B93B8B">
        <w:rPr>
          <w:noProof/>
          <w:lang w:bidi="en-US"/>
        </w:rPr>
        <w:t>labeling</w:t>
      </w:r>
      <w:r w:rsidR="00CF6687" w:rsidRPr="00B93B8B">
        <w:rPr>
          <w:lang w:bidi="en-US"/>
        </w:rPr>
        <w:t xml:space="preserve"> only applies to paper submissions. Additional benefits of using the Portal include a status indicator that allows registrants to track the movement of their </w:t>
      </w:r>
      <w:r w:rsidR="00CF6687" w:rsidRPr="00B93B8B">
        <w:rPr>
          <w:noProof/>
          <w:lang w:bidi="en-US"/>
        </w:rPr>
        <w:t>submissions</w:t>
      </w:r>
      <w:r w:rsidR="00CF6687" w:rsidRPr="00B93B8B">
        <w:rPr>
          <w:lang w:bidi="en-US"/>
        </w:rPr>
        <w:t xml:space="preserve"> and automatically generated MRID numbers.  Guidance </w:t>
      </w:r>
      <w:r w:rsidR="00226E77" w:rsidRPr="00B93B8B">
        <w:rPr>
          <w:noProof/>
          <w:lang w:bidi="en-US"/>
        </w:rPr>
        <w:t>for</w:t>
      </w:r>
      <w:r w:rsidR="00CF6687" w:rsidRPr="00B93B8B">
        <w:rPr>
          <w:lang w:bidi="en-US"/>
        </w:rPr>
        <w:t xml:space="preserve"> electronic submission through the Pesticide Portal is available to applicants at </w:t>
      </w:r>
      <w:hyperlink r:id="rId18" w:history="1">
        <w:r w:rsidR="00B93B8B" w:rsidRPr="00B93B8B">
          <w:rPr>
            <w:rStyle w:val="Hyperlink"/>
            <w:lang w:bidi="en-US"/>
          </w:rPr>
          <w:t>https://www.epa.gov/pesticide-registration/electronic-submissions-pesticide-applications</w:t>
        </w:r>
      </w:hyperlink>
      <w:r w:rsidR="00CF6687" w:rsidRPr="00B93B8B">
        <w:rPr>
          <w:lang w:bidi="en-US"/>
        </w:rPr>
        <w:t>.</w:t>
      </w:r>
    </w:p>
    <w:p w:rsidR="00CF6687" w:rsidRPr="00B93B8B" w:rsidRDefault="00CF6687" w:rsidP="00CF6687">
      <w:pPr>
        <w:rPr>
          <w:lang w:bidi="en-US"/>
        </w:rPr>
      </w:pPr>
      <w:r w:rsidRPr="00B93B8B">
        <w:rPr>
          <w:lang w:bidi="en-US"/>
        </w:rPr>
        <w:t xml:space="preserve"> </w:t>
      </w:r>
    </w:p>
    <w:p w:rsidR="002D3222" w:rsidRPr="002B34A0" w:rsidRDefault="002D3222" w:rsidP="002D3222">
      <w:pPr>
        <w:rPr>
          <w:lang w:bidi="en-US"/>
        </w:rPr>
      </w:pPr>
      <w:r w:rsidRPr="00B93B8B">
        <w:rPr>
          <w:lang w:bidi="en-US"/>
        </w:rPr>
        <w:t xml:space="preserve">The Agency's pesticide program, along with the pesticide industry, recognizes the advantages in terms of accuracy, speed, cost and personnel from electronic data transfer technologies.  In addition, OPP continues to consult with industry associations and other federal </w:t>
      </w:r>
      <w:r w:rsidRPr="00B93B8B">
        <w:rPr>
          <w:noProof/>
          <w:lang w:bidi="en-US"/>
        </w:rPr>
        <w:t>agencies</w:t>
      </w:r>
      <w:r w:rsidRPr="00B93B8B">
        <w:rPr>
          <w:lang w:bidi="en-US"/>
        </w:rPr>
        <w:t xml:space="preserve"> and is participating in an Agency-wide workgroup to develop electronic reporting standards intended to facilitate the submission and use of information about pesticides.</w:t>
      </w:r>
      <w:r w:rsidRPr="002B34A0">
        <w:rPr>
          <w:lang w:bidi="en-US"/>
        </w:rPr>
        <w:t xml:space="preserve"> </w:t>
      </w:r>
    </w:p>
    <w:p w:rsidR="00FB0FC4" w:rsidRDefault="00FB0FC4" w:rsidP="00FB0FC4">
      <w:pPr>
        <w:pStyle w:val="ListParagraph"/>
        <w:ind w:left="1710"/>
      </w:pPr>
    </w:p>
    <w:p w:rsidR="00FB0FC4" w:rsidRPr="002B34A0" w:rsidRDefault="00CC4227" w:rsidP="00E91D79">
      <w:pPr>
        <w:pStyle w:val="Heading2"/>
        <w:ind w:left="360"/>
      </w:pPr>
      <w:bookmarkStart w:id="106" w:name="_Toc482020591"/>
      <w:r>
        <w:t xml:space="preserve">5(e).  </w:t>
      </w:r>
      <w:r w:rsidR="00FB0FC4" w:rsidRPr="00FB0FC4">
        <w:t>Collection Schedule</w:t>
      </w:r>
      <w:bookmarkEnd w:id="106"/>
    </w:p>
    <w:p w:rsidR="00FB0FC4" w:rsidRPr="002B34A0" w:rsidRDefault="00FB0FC4" w:rsidP="00FB0FC4">
      <w:pPr>
        <w:rPr>
          <w:lang w:bidi="en-US"/>
        </w:rPr>
      </w:pPr>
      <w:r w:rsidRPr="002B34A0">
        <w:rPr>
          <w:lang w:bidi="en-US"/>
        </w:rPr>
        <w:t xml:space="preserve">There is not a collection schedule per </w:t>
      </w:r>
      <w:r w:rsidRPr="005463D1">
        <w:rPr>
          <w:lang w:bidi="en-US"/>
        </w:rPr>
        <w:t>se</w:t>
      </w:r>
      <w:r w:rsidRPr="002B34A0">
        <w:rPr>
          <w:lang w:bidi="en-US"/>
        </w:rPr>
        <w:t xml:space="preserve">.  DCIs </w:t>
      </w:r>
      <w:r w:rsidRPr="005463D1">
        <w:rPr>
          <w:lang w:bidi="en-US"/>
        </w:rPr>
        <w:t>are issued</w:t>
      </w:r>
      <w:r w:rsidRPr="002B34A0">
        <w:rPr>
          <w:lang w:bidi="en-US"/>
        </w:rPr>
        <w:t xml:space="preserve"> when the need </w:t>
      </w:r>
      <w:r w:rsidRPr="005463D1">
        <w:rPr>
          <w:lang w:bidi="en-US"/>
        </w:rPr>
        <w:t>is identified</w:t>
      </w:r>
      <w:r w:rsidRPr="002B34A0">
        <w:rPr>
          <w:lang w:bidi="en-US"/>
        </w:rPr>
        <w:t xml:space="preserve">.  </w:t>
      </w:r>
      <w:r w:rsidRPr="005463D1">
        <w:rPr>
          <w:lang w:bidi="en-US"/>
        </w:rPr>
        <w:t xml:space="preserve">The time frame in which the respondents must then submit the requested material </w:t>
      </w:r>
      <w:r w:rsidRPr="007D6E48">
        <w:rPr>
          <w:lang w:bidi="en-US"/>
        </w:rPr>
        <w:t xml:space="preserve">is specifically established for each DCI based on the individual circumstances surrounding the particular DCI and </w:t>
      </w:r>
      <w:r w:rsidRPr="00D5421F">
        <w:rPr>
          <w:noProof/>
          <w:lang w:bidi="en-US"/>
        </w:rPr>
        <w:t>applicable</w:t>
      </w:r>
      <w:r w:rsidRPr="007D6E48">
        <w:rPr>
          <w:lang w:bidi="en-US"/>
        </w:rPr>
        <w:t xml:space="preserve"> review.</w:t>
      </w:r>
      <w:r w:rsidR="00223012">
        <w:rPr>
          <w:lang w:bidi="en-US"/>
        </w:rPr>
        <w:t xml:space="preserve">  However, as discussed in Section 3(b) </w:t>
      </w:r>
      <w:r w:rsidR="00223012" w:rsidRPr="00223012">
        <w:rPr>
          <w:i/>
          <w:lang w:bidi="en-US"/>
        </w:rPr>
        <w:t>Programs Involving DCIs</w:t>
      </w:r>
      <w:r w:rsidR="00223012">
        <w:rPr>
          <w:lang w:bidi="en-US"/>
        </w:rPr>
        <w:t>, a variety of FIFRA programs require EPA to conduct periodic review</w:t>
      </w:r>
      <w:r w:rsidR="009C12B7">
        <w:rPr>
          <w:lang w:bidi="en-US"/>
        </w:rPr>
        <w:t>s</w:t>
      </w:r>
      <w:r w:rsidR="00223012">
        <w:rPr>
          <w:lang w:bidi="en-US"/>
        </w:rPr>
        <w:t xml:space="preserve"> to ensure the pesticide continues to pose no risk of unreasonable adverse effects on human health or the environment. Th</w:t>
      </w:r>
      <w:r w:rsidR="009C12B7">
        <w:rPr>
          <w:lang w:bidi="en-US"/>
        </w:rPr>
        <w:t>ese</w:t>
      </w:r>
      <w:r w:rsidR="00223012">
        <w:rPr>
          <w:lang w:bidi="en-US"/>
        </w:rPr>
        <w:t xml:space="preserve"> review process</w:t>
      </w:r>
      <w:r w:rsidR="009C12B7">
        <w:rPr>
          <w:lang w:bidi="en-US"/>
        </w:rPr>
        <w:t>es</w:t>
      </w:r>
      <w:r w:rsidR="00223012">
        <w:rPr>
          <w:lang w:bidi="en-US"/>
        </w:rPr>
        <w:t xml:space="preserve"> generate the bulk of the DCI determinations. </w:t>
      </w:r>
      <w:r w:rsidRPr="002B34A0">
        <w:rPr>
          <w:lang w:bidi="en-US"/>
        </w:rPr>
        <w:t xml:space="preserve">For a variety of reasons, most manufacturers wait to generate new data and/or submit new/existing data until EPA issues the DCI. One of the most </w:t>
      </w:r>
      <w:r w:rsidRPr="005463D1">
        <w:rPr>
          <w:lang w:bidi="en-US"/>
        </w:rPr>
        <w:t>important</w:t>
      </w:r>
      <w:r w:rsidRPr="002B34A0">
        <w:rPr>
          <w:lang w:bidi="en-US"/>
        </w:rPr>
        <w:t xml:space="preserve"> </w:t>
      </w:r>
      <w:r w:rsidRPr="00D5421F">
        <w:rPr>
          <w:noProof/>
          <w:lang w:bidi="en-US"/>
        </w:rPr>
        <w:t>reasons</w:t>
      </w:r>
      <w:r w:rsidRPr="002B34A0">
        <w:rPr>
          <w:lang w:bidi="en-US"/>
        </w:rPr>
        <w:t xml:space="preserve"> for this is that EPA’s issuance of a DCI is a public statement that the data </w:t>
      </w:r>
      <w:r w:rsidRPr="005463D1">
        <w:rPr>
          <w:lang w:bidi="en-US"/>
        </w:rPr>
        <w:t>are needed</w:t>
      </w:r>
      <w:r w:rsidRPr="002B34A0">
        <w:rPr>
          <w:lang w:bidi="en-US"/>
        </w:rPr>
        <w:t xml:space="preserve">, and </w:t>
      </w:r>
      <w:r w:rsidRPr="005463D1">
        <w:rPr>
          <w:lang w:bidi="en-US"/>
        </w:rPr>
        <w:t>will be relied</w:t>
      </w:r>
      <w:r w:rsidRPr="002B34A0">
        <w:rPr>
          <w:lang w:bidi="en-US"/>
        </w:rPr>
        <w:t xml:space="preserve"> on, thus “triggering” the data compensation provisions of </w:t>
      </w:r>
      <w:r w:rsidR="00EA2C44">
        <w:rPr>
          <w:lang w:bidi="en-US"/>
        </w:rPr>
        <w:t xml:space="preserve">FIFRA </w:t>
      </w:r>
      <w:r w:rsidRPr="005F7651">
        <w:rPr>
          <w:lang w:bidi="en-US"/>
        </w:rPr>
        <w:t>§</w:t>
      </w:r>
      <w:r w:rsidRPr="002B34A0">
        <w:rPr>
          <w:lang w:bidi="en-US"/>
        </w:rPr>
        <w:t xml:space="preserve">3(g)(1)(B).  </w:t>
      </w:r>
    </w:p>
    <w:p w:rsidR="00FB0FC4" w:rsidRPr="002B34A0" w:rsidRDefault="00FB0FC4" w:rsidP="00FB0FC4">
      <w:pPr>
        <w:rPr>
          <w:lang w:bidi="en-US"/>
        </w:rPr>
      </w:pPr>
    </w:p>
    <w:p w:rsidR="00FB0FC4" w:rsidRPr="002B34A0" w:rsidRDefault="00FB0FC4" w:rsidP="00FB0FC4">
      <w:pPr>
        <w:rPr>
          <w:lang w:bidi="en-US"/>
        </w:rPr>
      </w:pPr>
      <w:r w:rsidRPr="005463D1">
        <w:rPr>
          <w:lang w:bidi="en-US"/>
        </w:rPr>
        <w:t>As part of the cons</w:t>
      </w:r>
      <w:r w:rsidR="002D3CB7">
        <w:rPr>
          <w:lang w:bidi="en-US"/>
        </w:rPr>
        <w:t>u</w:t>
      </w:r>
      <w:r w:rsidRPr="005463D1">
        <w:rPr>
          <w:lang w:bidi="en-US"/>
        </w:rPr>
        <w:t>l</w:t>
      </w:r>
      <w:r w:rsidR="008478AD">
        <w:rPr>
          <w:lang w:bidi="en-US"/>
        </w:rPr>
        <w:t>t</w:t>
      </w:r>
      <w:r w:rsidRPr="005463D1">
        <w:rPr>
          <w:lang w:bidi="en-US"/>
        </w:rPr>
        <w:t>ation</w:t>
      </w:r>
      <w:r w:rsidRPr="007D6E48">
        <w:rPr>
          <w:lang w:bidi="en-US"/>
        </w:rPr>
        <w:t xml:space="preserve"> and public participation process, EPA generally works </w:t>
      </w:r>
      <w:r w:rsidRPr="00D5421F">
        <w:rPr>
          <w:noProof/>
          <w:lang w:bidi="en-US"/>
        </w:rPr>
        <w:t>with respondents</w:t>
      </w:r>
      <w:r w:rsidRPr="007D6E48">
        <w:rPr>
          <w:lang w:bidi="en-US"/>
        </w:rPr>
        <w:t xml:space="preserve"> to ensure that sufficient time is built into the individual DCIs to allow </w:t>
      </w:r>
      <w:r w:rsidRPr="00D5421F">
        <w:rPr>
          <w:noProof/>
          <w:lang w:bidi="en-US"/>
        </w:rPr>
        <w:t>for respondents</w:t>
      </w:r>
      <w:r w:rsidRPr="007D6E48">
        <w:rPr>
          <w:lang w:bidi="en-US"/>
        </w:rPr>
        <w:t xml:space="preserve"> to gather and submit the reque</w:t>
      </w:r>
      <w:r w:rsidRPr="005463D1">
        <w:rPr>
          <w:lang w:bidi="en-US"/>
        </w:rPr>
        <w:t>sted information.</w:t>
      </w:r>
      <w:r w:rsidRPr="002B34A0">
        <w:rPr>
          <w:lang w:bidi="en-US"/>
        </w:rPr>
        <w:t xml:space="preserve"> However, the timing of AR/PCT-related DCIs and respondent data submissions is somewhat different.</w:t>
      </w:r>
    </w:p>
    <w:p w:rsidR="00FB0FC4" w:rsidRPr="002B34A0" w:rsidRDefault="00FB0FC4" w:rsidP="00FB0FC4">
      <w:pPr>
        <w:rPr>
          <w:lang w:bidi="en-US"/>
        </w:rPr>
      </w:pPr>
    </w:p>
    <w:p w:rsidR="00FB0FC4" w:rsidRPr="00E1095D" w:rsidRDefault="00FB0FC4" w:rsidP="00FB0FC4">
      <w:pPr>
        <w:pStyle w:val="ListParagraph"/>
        <w:ind w:left="0"/>
      </w:pPr>
      <w:r w:rsidRPr="005463D1">
        <w:t>AR DCIs will generally be issued whenever ARs data is relied</w:t>
      </w:r>
      <w:r w:rsidRPr="007D6E48">
        <w:t xml:space="preserve"> upon, </w:t>
      </w:r>
      <w:r w:rsidRPr="00D5421F">
        <w:rPr>
          <w:noProof/>
        </w:rPr>
        <w:t>either to establish new tolerances or</w:t>
      </w:r>
      <w:r w:rsidRPr="007D6E48">
        <w:t xml:space="preserve"> </w:t>
      </w:r>
      <w:r w:rsidR="00226E77">
        <w:t xml:space="preserve">to </w:t>
      </w:r>
      <w:r w:rsidRPr="007D6E48">
        <w:t>reassess existing tolerances.</w:t>
      </w:r>
      <w:r w:rsidRPr="002B34A0">
        <w:t xml:space="preserve">  </w:t>
      </w:r>
      <w:r w:rsidRPr="005463D1">
        <w:t>Registrants have five years before data must generally be submitted in support of the ARs used.</w:t>
      </w:r>
      <w:r w:rsidR="00F577ED">
        <w:t xml:space="preserve"> </w:t>
      </w:r>
      <w:r w:rsidRPr="002B34A0">
        <w:t xml:space="preserve"> Data must also be periodically reviewed when PCT estimates </w:t>
      </w:r>
      <w:r w:rsidRPr="005463D1">
        <w:t>are relied</w:t>
      </w:r>
      <w:r w:rsidRPr="002B34A0">
        <w:t xml:space="preserve"> upon, but in most cases the Agency will be able </w:t>
      </w:r>
      <w:r w:rsidRPr="00D5421F">
        <w:rPr>
          <w:noProof/>
        </w:rPr>
        <w:t xml:space="preserve">to </w:t>
      </w:r>
      <w:r w:rsidR="00226E77">
        <w:rPr>
          <w:noProof/>
        </w:rPr>
        <w:t>collect internally</w:t>
      </w:r>
      <w:r w:rsidRPr="002B34A0">
        <w:t xml:space="preserve"> or generate this data.  EPA will issue PCT DCIs in cases where the Agency is unable to obtain </w:t>
      </w:r>
      <w:r w:rsidRPr="005463D1">
        <w:t>the information</w:t>
      </w:r>
      <w:r w:rsidRPr="002B34A0">
        <w:t xml:space="preserve"> on its own.  In these cases, the registrant must submit data within five years of the use of PCT estimates.  Additional time </w:t>
      </w:r>
      <w:r w:rsidRPr="005463D1">
        <w:t>is provided</w:t>
      </w:r>
      <w:r w:rsidRPr="002B34A0">
        <w:t xml:space="preserve"> for</w:t>
      </w:r>
      <w:r w:rsidR="00226E77">
        <w:t xml:space="preserve"> the</w:t>
      </w:r>
      <w:r w:rsidRPr="002B34A0">
        <w:t xml:space="preserve"> </w:t>
      </w:r>
      <w:r w:rsidRPr="00D5421F">
        <w:rPr>
          <w:noProof/>
        </w:rPr>
        <w:t>development</w:t>
      </w:r>
      <w:r w:rsidRPr="002B34A0">
        <w:t xml:space="preserve"> of new studies appropriate to the nature of the studies required.</w:t>
      </w:r>
    </w:p>
    <w:p w:rsidR="00E1095D" w:rsidRPr="00E1095D" w:rsidRDefault="00E1095D" w:rsidP="00E1095D">
      <w:pPr>
        <w:pStyle w:val="NoSpacing"/>
        <w:rPr>
          <w:lang w:bidi="en-US"/>
        </w:rPr>
      </w:pPr>
    </w:p>
    <w:p w:rsidR="002B34A0" w:rsidRPr="002B34A0" w:rsidRDefault="00CC4227" w:rsidP="00E91D79">
      <w:pPr>
        <w:pStyle w:val="Heading3"/>
        <w:tabs>
          <w:tab w:val="left" w:pos="1800"/>
        </w:tabs>
        <w:spacing w:after="200"/>
        <w:ind w:left="360"/>
      </w:pPr>
      <w:bookmarkStart w:id="107" w:name="_Toc482020592"/>
      <w:r>
        <w:t xml:space="preserve">5(f).  </w:t>
      </w:r>
      <w:r w:rsidR="002B34A0" w:rsidRPr="003A268B">
        <w:t>Effects of Less Frequent Collection</w:t>
      </w:r>
      <w:bookmarkEnd w:id="107"/>
      <w:r w:rsidR="002B34A0" w:rsidRPr="003A268B">
        <w:t xml:space="preserve"> </w:t>
      </w:r>
    </w:p>
    <w:p w:rsidR="003A268B" w:rsidRDefault="003A268B" w:rsidP="00E25D46">
      <w:pPr>
        <w:rPr>
          <w:lang w:bidi="en-US"/>
        </w:rPr>
      </w:pPr>
      <w:r w:rsidRPr="005463D1">
        <w:rPr>
          <w:lang w:bidi="en-US"/>
        </w:rPr>
        <w:t>The frequency of collection</w:t>
      </w:r>
      <w:r w:rsidRPr="007D6E48">
        <w:rPr>
          <w:lang w:bidi="en-US"/>
        </w:rPr>
        <w:t xml:space="preserve"> is on occasion in response to the receipt of a DCI requesting specific information.</w:t>
      </w:r>
      <w:r>
        <w:rPr>
          <w:lang w:bidi="en-US"/>
        </w:rPr>
        <w:t xml:space="preserve"> </w:t>
      </w:r>
      <w:r w:rsidRPr="005463D1">
        <w:rPr>
          <w:lang w:bidi="en-US"/>
        </w:rPr>
        <w:t>DCIs are</w:t>
      </w:r>
      <w:r w:rsidRPr="007D6E48">
        <w:rPr>
          <w:lang w:bidi="en-US"/>
        </w:rPr>
        <w:t xml:space="preserve"> issued on occasion based on the Agency’s dete</w:t>
      </w:r>
      <w:r w:rsidRPr="005463D1">
        <w:rPr>
          <w:lang w:bidi="en-US"/>
        </w:rPr>
        <w:t>rmination of an identified need for the data for a particular pesticide</w:t>
      </w:r>
      <w:r w:rsidR="00E25D46" w:rsidRPr="005463D1">
        <w:rPr>
          <w:lang w:bidi="en-US"/>
        </w:rPr>
        <w:t>.</w:t>
      </w:r>
      <w:r w:rsidR="00E25D46">
        <w:rPr>
          <w:lang w:bidi="en-US"/>
        </w:rPr>
        <w:t xml:space="preserve"> </w:t>
      </w:r>
      <w:r w:rsidR="00E25D46" w:rsidRPr="005463D1">
        <w:rPr>
          <w:lang w:bidi="en-US"/>
        </w:rPr>
        <w:t>As such, a specific DCI is typically issued</w:t>
      </w:r>
      <w:r w:rsidR="00E25D46" w:rsidRPr="007D6E48">
        <w:rPr>
          <w:lang w:bidi="en-US"/>
        </w:rPr>
        <w:t xml:space="preserve"> once per respondent (i.e.,</w:t>
      </w:r>
      <w:r w:rsidR="00E25D46">
        <w:rPr>
          <w:lang w:bidi="en-US"/>
        </w:rPr>
        <w:t xml:space="preserve"> </w:t>
      </w:r>
      <w:r w:rsidR="00E25D46" w:rsidRPr="005463D1">
        <w:rPr>
          <w:lang w:bidi="en-US"/>
        </w:rPr>
        <w:t>pesticide</w:t>
      </w:r>
      <w:r w:rsidR="00E25D46">
        <w:rPr>
          <w:lang w:bidi="en-US"/>
        </w:rPr>
        <w:t>, data,</w:t>
      </w:r>
      <w:r w:rsidR="00226E77">
        <w:rPr>
          <w:lang w:bidi="en-US"/>
        </w:rPr>
        <w:t xml:space="preserve"> and the</w:t>
      </w:r>
      <w:r w:rsidR="00E25D46">
        <w:rPr>
          <w:lang w:bidi="en-US"/>
        </w:rPr>
        <w:t xml:space="preserve"> </w:t>
      </w:r>
      <w:r w:rsidR="00E25D46" w:rsidRPr="00D5421F">
        <w:rPr>
          <w:noProof/>
          <w:lang w:bidi="en-US"/>
        </w:rPr>
        <w:t>respondent</w:t>
      </w:r>
      <w:r w:rsidR="00E25D46">
        <w:rPr>
          <w:lang w:bidi="en-US"/>
        </w:rPr>
        <w:t xml:space="preserve"> combination is unique).  Given the </w:t>
      </w:r>
      <w:r w:rsidR="00E25D46" w:rsidRPr="00D5421F">
        <w:rPr>
          <w:noProof/>
          <w:lang w:bidi="en-US"/>
        </w:rPr>
        <w:t>on</w:t>
      </w:r>
      <w:r w:rsidR="00226E77">
        <w:rPr>
          <w:noProof/>
          <w:lang w:bidi="en-US"/>
        </w:rPr>
        <w:t xml:space="preserve"> </w:t>
      </w:r>
      <w:r w:rsidR="00E25D46" w:rsidRPr="00D5421F">
        <w:rPr>
          <w:noProof/>
          <w:lang w:bidi="en-US"/>
        </w:rPr>
        <w:t>occasion</w:t>
      </w:r>
      <w:r w:rsidR="00E25D46">
        <w:rPr>
          <w:lang w:bidi="en-US"/>
        </w:rPr>
        <w:t xml:space="preserve"> and single frequency of this collection, there </w:t>
      </w:r>
      <w:r w:rsidR="00E25D46" w:rsidRPr="005463D1">
        <w:rPr>
          <w:lang w:bidi="en-US"/>
        </w:rPr>
        <w:t>isn’t</w:t>
      </w:r>
      <w:r w:rsidR="00E25D46">
        <w:rPr>
          <w:lang w:bidi="en-US"/>
        </w:rPr>
        <w:t xml:space="preserve"> an opportunity to consider a less </w:t>
      </w:r>
      <w:r w:rsidR="00E25D46" w:rsidRPr="00D5421F">
        <w:rPr>
          <w:noProof/>
          <w:lang w:bidi="en-US"/>
        </w:rPr>
        <w:t>frequent</w:t>
      </w:r>
      <w:r w:rsidR="00E25D46">
        <w:rPr>
          <w:lang w:bidi="en-US"/>
        </w:rPr>
        <w:t xml:space="preserve"> collection. </w:t>
      </w:r>
    </w:p>
    <w:p w:rsidR="003A268B" w:rsidRDefault="003A268B" w:rsidP="002B34A0">
      <w:pPr>
        <w:rPr>
          <w:lang w:bidi="en-US"/>
        </w:rPr>
      </w:pPr>
    </w:p>
    <w:p w:rsidR="002B34A0" w:rsidRDefault="002B34A0" w:rsidP="002B34A0">
      <w:pPr>
        <w:rPr>
          <w:lang w:bidi="en-US"/>
        </w:rPr>
      </w:pPr>
      <w:r w:rsidRPr="002B34A0">
        <w:rPr>
          <w:lang w:bidi="en-US"/>
        </w:rPr>
        <w:t xml:space="preserve">AR or PCT information </w:t>
      </w:r>
      <w:r w:rsidRPr="005463D1">
        <w:rPr>
          <w:lang w:bidi="en-US"/>
        </w:rPr>
        <w:t>is collected</w:t>
      </w:r>
      <w:r w:rsidRPr="002B34A0">
        <w:rPr>
          <w:lang w:bidi="en-US"/>
        </w:rPr>
        <w:t xml:space="preserve"> one time within the five years preceding the reliance on such data.  The AR or PCT information </w:t>
      </w:r>
      <w:r w:rsidRPr="00D5421F">
        <w:rPr>
          <w:noProof/>
          <w:lang w:bidi="en-US"/>
        </w:rPr>
        <w:t>collection</w:t>
      </w:r>
      <w:r w:rsidRPr="002B34A0">
        <w:rPr>
          <w:lang w:bidi="en-US"/>
        </w:rPr>
        <w:t xml:space="preserve"> </w:t>
      </w:r>
      <w:r w:rsidRPr="005463D1">
        <w:rPr>
          <w:lang w:bidi="en-US"/>
        </w:rPr>
        <w:t>is required</w:t>
      </w:r>
      <w:r w:rsidRPr="002B34A0">
        <w:rPr>
          <w:lang w:bidi="en-US"/>
        </w:rPr>
        <w:t xml:space="preserve"> by </w:t>
      </w:r>
      <w:r w:rsidR="001E6980">
        <w:rPr>
          <w:lang w:bidi="en-US"/>
        </w:rPr>
        <w:t xml:space="preserve">FFDCA </w:t>
      </w:r>
      <w:r w:rsidR="001E6980" w:rsidRPr="001E6980">
        <w:rPr>
          <w:lang w:bidi="en-US"/>
        </w:rPr>
        <w:t>§§</w:t>
      </w:r>
      <w:r w:rsidRPr="002B34A0">
        <w:rPr>
          <w:lang w:bidi="en-US"/>
        </w:rPr>
        <w:t xml:space="preserve"> 408(b)(2)(E)(I) </w:t>
      </w:r>
      <w:r w:rsidRPr="005463D1">
        <w:rPr>
          <w:lang w:bidi="en-US"/>
        </w:rPr>
        <w:t>and</w:t>
      </w:r>
      <w:r w:rsidRPr="002B34A0">
        <w:rPr>
          <w:lang w:bidi="en-US"/>
        </w:rPr>
        <w:t xml:space="preserve"> 408(b)(2)(F) and cannot be collected less frequently.  </w:t>
      </w:r>
    </w:p>
    <w:p w:rsidR="00E25D46" w:rsidRDefault="00E25D46" w:rsidP="00E25D46">
      <w:pPr>
        <w:pStyle w:val="NoSpacing"/>
        <w:rPr>
          <w:lang w:bidi="en-US"/>
        </w:rPr>
      </w:pPr>
    </w:p>
    <w:p w:rsidR="00E25D46" w:rsidRPr="00E25D46" w:rsidRDefault="00E25D46" w:rsidP="00E25D46">
      <w:pPr>
        <w:pStyle w:val="NoSpacing"/>
        <w:rPr>
          <w:lang w:bidi="en-US"/>
        </w:rPr>
      </w:pPr>
      <w:r>
        <w:rPr>
          <w:lang w:bidi="en-US"/>
        </w:rPr>
        <w:t>For each DCI issued, the respondent provides an initial response, and</w:t>
      </w:r>
      <w:r w:rsidRPr="005463D1">
        <w:rPr>
          <w:lang w:bidi="en-US"/>
        </w:rPr>
        <w:t>,</w:t>
      </w:r>
      <w:r>
        <w:rPr>
          <w:lang w:bidi="en-US"/>
        </w:rPr>
        <w:t xml:space="preserve"> as determined by the nature of that initial response, may also provide a study status report for </w:t>
      </w:r>
      <w:r w:rsidRPr="005463D1">
        <w:rPr>
          <w:lang w:bidi="en-US"/>
        </w:rPr>
        <w:t>multi-year</w:t>
      </w:r>
      <w:r>
        <w:rPr>
          <w:lang w:bidi="en-US"/>
        </w:rPr>
        <w:t xml:space="preserve"> studies, and then submit the final data.</w:t>
      </w:r>
    </w:p>
    <w:p w:rsidR="00E1095D" w:rsidRDefault="00E1095D" w:rsidP="000E7B38">
      <w:pPr>
        <w:pStyle w:val="NoSpacing"/>
        <w:rPr>
          <w:lang w:bidi="en-US"/>
        </w:rPr>
      </w:pPr>
    </w:p>
    <w:p w:rsidR="002B34A0" w:rsidRPr="002B34A0" w:rsidRDefault="00CC4227" w:rsidP="00E91D79">
      <w:pPr>
        <w:pStyle w:val="Heading2"/>
        <w:tabs>
          <w:tab w:val="left" w:pos="1080"/>
        </w:tabs>
        <w:ind w:left="360"/>
      </w:pPr>
      <w:bookmarkStart w:id="108" w:name="_Toc482020593"/>
      <w:r>
        <w:t xml:space="preserve">5(g).  </w:t>
      </w:r>
      <w:r w:rsidR="002B34A0" w:rsidRPr="00327C9E">
        <w:t>Confidentiality</w:t>
      </w:r>
      <w:bookmarkEnd w:id="108"/>
    </w:p>
    <w:p w:rsidR="002B34A0" w:rsidRPr="002B34A0" w:rsidRDefault="002B34A0" w:rsidP="002B34A0">
      <w:pPr>
        <w:rPr>
          <w:lang w:bidi="en-US"/>
        </w:rPr>
      </w:pPr>
      <w:r w:rsidRPr="002B34A0">
        <w:rPr>
          <w:lang w:bidi="en-US"/>
        </w:rPr>
        <w:t xml:space="preserve">Except as provided in FIFRA </w:t>
      </w:r>
      <w:r w:rsidR="005F7651" w:rsidRPr="005F7651">
        <w:rPr>
          <w:lang w:bidi="en-US"/>
        </w:rPr>
        <w:t>§</w:t>
      </w:r>
      <w:r w:rsidRPr="002B34A0">
        <w:rPr>
          <w:lang w:bidi="en-US"/>
        </w:rPr>
        <w:t xml:space="preserve">10(d)(1)(A), (B) or (C), health and safety data submitted by registrants under FIFRA must be made available by the Agency upon request from anyone not affiliated with a </w:t>
      </w:r>
      <w:r w:rsidRPr="00D5421F">
        <w:rPr>
          <w:noProof/>
          <w:lang w:bidi="en-US"/>
        </w:rPr>
        <w:t>multinational</w:t>
      </w:r>
      <w:r w:rsidRPr="002B34A0">
        <w:rPr>
          <w:lang w:bidi="en-US"/>
        </w:rPr>
        <w:t xml:space="preserve"> pesticide firm. These exceptions, however, specifically prohibit disclosure of the inert ingredients in a pesticide or of its manufacturing, quality control processes, sales and production data, or trade secrets. </w:t>
      </w:r>
    </w:p>
    <w:p w:rsidR="002B34A0" w:rsidRPr="002B34A0" w:rsidRDefault="002B34A0" w:rsidP="002B34A0">
      <w:pPr>
        <w:rPr>
          <w:lang w:bidi="en-US"/>
        </w:rPr>
      </w:pPr>
    </w:p>
    <w:p w:rsidR="002B34A0" w:rsidRPr="002B34A0" w:rsidRDefault="002B34A0" w:rsidP="002B34A0">
      <w:pPr>
        <w:rPr>
          <w:lang w:bidi="en-US"/>
        </w:rPr>
      </w:pPr>
      <w:r w:rsidRPr="005463D1">
        <w:rPr>
          <w:lang w:bidi="en-US"/>
        </w:rPr>
        <w:t>Registrants may claim at the time of submission that specific data are subject to treatment as confidential for reasons other than falling within the exclusions for mandatory release.</w:t>
      </w:r>
      <w:r w:rsidRPr="002B34A0">
        <w:rPr>
          <w:lang w:bidi="en-US"/>
        </w:rPr>
        <w:t xml:space="preserve"> All data subject to such claims, or falling within FIFRA </w:t>
      </w:r>
      <w:r w:rsidR="005F7651" w:rsidRPr="005F7651">
        <w:rPr>
          <w:lang w:bidi="en-US"/>
        </w:rPr>
        <w:t>§</w:t>
      </w:r>
      <w:r w:rsidRPr="002B34A0">
        <w:rPr>
          <w:lang w:bidi="en-US"/>
        </w:rPr>
        <w:t xml:space="preserve">10(d)(1)(A), (B), or (C) </w:t>
      </w:r>
      <w:r w:rsidRPr="005463D1">
        <w:rPr>
          <w:lang w:bidi="en-US"/>
        </w:rPr>
        <w:t>are handled</w:t>
      </w:r>
      <w:r w:rsidRPr="002B34A0">
        <w:rPr>
          <w:lang w:bidi="en-US"/>
        </w:rPr>
        <w:t xml:space="preserve"> strictly in accordance with the provisions of the </w:t>
      </w:r>
      <w:hyperlink r:id="rId19" w:history="1">
        <w:r w:rsidRPr="00215B59">
          <w:rPr>
            <w:rStyle w:val="Hyperlink"/>
            <w:lang w:bidi="en-US"/>
          </w:rPr>
          <w:t>FIFRA Confidential Business Information Security Manual.</w:t>
        </w:r>
      </w:hyperlink>
      <w:r w:rsidR="00215B59">
        <w:rPr>
          <w:vertAlign w:val="superscript"/>
          <w:lang w:bidi="en-US"/>
        </w:rPr>
        <w:t xml:space="preserve"> </w:t>
      </w:r>
      <w:r w:rsidRPr="002B34A0">
        <w:rPr>
          <w:lang w:bidi="en-US"/>
        </w:rPr>
        <w:t xml:space="preserve"> The manual requires that all CBI must be marked or flagged as such</w:t>
      </w:r>
      <w:r w:rsidRPr="005463D1">
        <w:rPr>
          <w:lang w:bidi="en-US"/>
        </w:rPr>
        <w:t>,</w:t>
      </w:r>
      <w:r w:rsidRPr="002B34A0">
        <w:rPr>
          <w:lang w:bidi="en-US"/>
        </w:rPr>
        <w:t xml:space="preserve"> all CBI must be kept in secure (double</w:t>
      </w:r>
      <w:r w:rsidRPr="002B34A0">
        <w:rPr>
          <w:lang w:bidi="en-US"/>
        </w:rPr>
        <w:noBreakHyphen/>
        <w:t>locked) areas, and all CBI intended to be destroyed must be cleared by a Document Control Officer and shredded.</w:t>
      </w:r>
    </w:p>
    <w:p w:rsidR="002B34A0" w:rsidRPr="002B34A0" w:rsidRDefault="002B34A0" w:rsidP="002B34A0">
      <w:pPr>
        <w:rPr>
          <w:lang w:bidi="en-US"/>
        </w:rPr>
      </w:pPr>
    </w:p>
    <w:p w:rsidR="002B34A0" w:rsidRPr="002B34A0" w:rsidRDefault="00CC4227" w:rsidP="00E91D79">
      <w:pPr>
        <w:pStyle w:val="Heading2"/>
        <w:tabs>
          <w:tab w:val="left" w:pos="1080"/>
        </w:tabs>
        <w:ind w:left="360"/>
      </w:pPr>
      <w:bookmarkStart w:id="109" w:name="_Toc482020594"/>
      <w:r>
        <w:t xml:space="preserve">5(h).  </w:t>
      </w:r>
      <w:r w:rsidR="002B34A0" w:rsidRPr="00327C9E">
        <w:t xml:space="preserve">Sensitive </w:t>
      </w:r>
      <w:r w:rsidR="00E1095D">
        <w:t>Q</w:t>
      </w:r>
      <w:r w:rsidR="002B34A0" w:rsidRPr="00327C9E">
        <w:t>uestions</w:t>
      </w:r>
      <w:bookmarkEnd w:id="109"/>
    </w:p>
    <w:p w:rsidR="00E1095D" w:rsidRDefault="002B34A0" w:rsidP="00E1095D">
      <w:pPr>
        <w:rPr>
          <w:lang w:bidi="en-US"/>
        </w:rPr>
      </w:pPr>
      <w:r w:rsidRPr="002B34A0">
        <w:rPr>
          <w:lang w:bidi="en-US"/>
        </w:rPr>
        <w:t xml:space="preserve">No information of a sensitive or private nature </w:t>
      </w:r>
      <w:r w:rsidRPr="005463D1">
        <w:rPr>
          <w:lang w:bidi="en-US"/>
        </w:rPr>
        <w:t>is requested</w:t>
      </w:r>
      <w:r w:rsidRPr="002B34A0">
        <w:rPr>
          <w:lang w:bidi="en-US"/>
        </w:rPr>
        <w:t xml:space="preserve"> in conjunction with this information collection activity, and this information </w:t>
      </w:r>
      <w:r w:rsidRPr="00D5421F">
        <w:rPr>
          <w:noProof/>
          <w:lang w:bidi="en-US"/>
        </w:rPr>
        <w:t>collection</w:t>
      </w:r>
      <w:r w:rsidRPr="002B34A0">
        <w:rPr>
          <w:lang w:bidi="en-US"/>
        </w:rPr>
        <w:t xml:space="preserve"> activity complies with the provisions of the Privacy Act of 1974 and OMB Circular A</w:t>
      </w:r>
      <w:r w:rsidRPr="002B34A0">
        <w:rPr>
          <w:lang w:bidi="en-US"/>
        </w:rPr>
        <w:noBreakHyphen/>
        <w:t>108.</w:t>
      </w:r>
    </w:p>
    <w:p w:rsidR="00E1095D" w:rsidRPr="002B34A0" w:rsidRDefault="00E1095D" w:rsidP="00E1095D">
      <w:pPr>
        <w:rPr>
          <w:lang w:bidi="en-US"/>
        </w:rPr>
      </w:pPr>
    </w:p>
    <w:p w:rsidR="00E1095D" w:rsidRPr="00E25D46" w:rsidRDefault="00CC4227" w:rsidP="00E91D79">
      <w:pPr>
        <w:pStyle w:val="Heading2"/>
        <w:tabs>
          <w:tab w:val="left" w:pos="1080"/>
        </w:tabs>
        <w:ind w:left="360"/>
      </w:pPr>
      <w:bookmarkStart w:id="110" w:name="_Toc482020595"/>
      <w:r>
        <w:t xml:space="preserve">5(i).  </w:t>
      </w:r>
      <w:r w:rsidR="00E1095D">
        <w:t xml:space="preserve">Other </w:t>
      </w:r>
      <w:r w:rsidR="00E1095D" w:rsidRPr="00E25D46">
        <w:t xml:space="preserve">General </w:t>
      </w:r>
      <w:r w:rsidR="00E1095D">
        <w:t xml:space="preserve">PRA </w:t>
      </w:r>
      <w:r w:rsidR="00E1095D" w:rsidRPr="00E25D46">
        <w:t>Guidelines</w:t>
      </w:r>
      <w:bookmarkEnd w:id="110"/>
    </w:p>
    <w:p w:rsidR="00E1095D" w:rsidRDefault="00E1095D" w:rsidP="00E1095D">
      <w:pPr>
        <w:rPr>
          <w:lang w:bidi="en-US"/>
        </w:rPr>
      </w:pPr>
      <w:r w:rsidRPr="005463D1">
        <w:rPr>
          <w:lang w:bidi="en-US"/>
        </w:rPr>
        <w:t xml:space="preserve">The only PRA </w:t>
      </w:r>
      <w:r w:rsidRPr="007D6E48">
        <w:rPr>
          <w:lang w:bidi="en-US"/>
        </w:rPr>
        <w:t>guideline that may be exceeded in this collection is the time period for retaining records related to the studies conducted to generate the data that is submi</w:t>
      </w:r>
      <w:r w:rsidRPr="005463D1">
        <w:rPr>
          <w:lang w:bidi="en-US"/>
        </w:rPr>
        <w:t>tted to EPA.</w:t>
      </w:r>
      <w:r w:rsidRPr="002B34A0">
        <w:rPr>
          <w:lang w:bidi="en-US"/>
        </w:rPr>
        <w:t xml:space="preserve"> Pursuant to FIFRA §8, EPA recordkeeping requirements in 40 CFR 169.2(k) state that records containing research data relating to registered pesticides be retained as long as the registration is valid and the producer remains in business.  Registrations are valid until they are either voluntarily canceled or withdrawn by the registrant or until EPA has cause to suspend or cancel the registration.  Since the average period of marketability of a pesticide ranges from 15 to 30 years, the PRA guidelines specifying that data other than health, medical or tax records not be required to be retained for more than three years </w:t>
      </w:r>
      <w:r w:rsidRPr="005463D1">
        <w:rPr>
          <w:lang w:bidi="en-US"/>
        </w:rPr>
        <w:t>will be exceeded</w:t>
      </w:r>
      <w:r w:rsidRPr="002B34A0">
        <w:rPr>
          <w:lang w:bidi="en-US"/>
        </w:rPr>
        <w:t xml:space="preserve"> in this collection activity.</w:t>
      </w:r>
    </w:p>
    <w:p w:rsidR="00E1095D" w:rsidRDefault="00E1095D" w:rsidP="00E1095D">
      <w:pPr>
        <w:pStyle w:val="NoSpacing"/>
        <w:rPr>
          <w:lang w:bidi="en-US"/>
        </w:rPr>
      </w:pPr>
    </w:p>
    <w:p w:rsidR="00E1095D" w:rsidRDefault="00E1095D" w:rsidP="00E1095D">
      <w:pPr>
        <w:pStyle w:val="NoSpacing"/>
        <w:rPr>
          <w:lang w:bidi="en-US"/>
        </w:rPr>
      </w:pPr>
      <w:r>
        <w:rPr>
          <w:lang w:bidi="en-US"/>
        </w:rPr>
        <w:t xml:space="preserve">In addition, pursuant to </w:t>
      </w:r>
      <w:r w:rsidRPr="000E7B38">
        <w:rPr>
          <w:lang w:bidi="en-US"/>
        </w:rPr>
        <w:t>5 CFR 1320.5(a)(1)(</w:t>
      </w:r>
      <w:r w:rsidRPr="005463D1">
        <w:rPr>
          <w:lang w:bidi="en-US"/>
        </w:rPr>
        <w:t>iii</w:t>
      </w:r>
      <w:r w:rsidRPr="000E7B38">
        <w:rPr>
          <w:lang w:bidi="en-US"/>
        </w:rPr>
        <w:t xml:space="preserve">)(C), </w:t>
      </w:r>
      <w:r>
        <w:rPr>
          <w:lang w:bidi="en-US"/>
        </w:rPr>
        <w:t xml:space="preserve">EPA previously sought </w:t>
      </w:r>
      <w:r w:rsidRPr="005463D1">
        <w:rPr>
          <w:lang w:bidi="en-US"/>
        </w:rPr>
        <w:t>and</w:t>
      </w:r>
      <w:r>
        <w:rPr>
          <w:lang w:bidi="en-US"/>
        </w:rPr>
        <w:t xml:space="preserve"> OMB provided approval for the elimination of </w:t>
      </w:r>
      <w:r w:rsidRPr="000E7B38">
        <w:rPr>
          <w:lang w:bidi="en-US"/>
        </w:rPr>
        <w:t>expiration dates on the</w:t>
      </w:r>
      <w:r>
        <w:rPr>
          <w:lang w:bidi="en-US"/>
        </w:rPr>
        <w:t xml:space="preserve"> forms that may be used as part of the DCI activities covered by this ICR. The justification for doing so included the statutory basis for the collections; the </w:t>
      </w:r>
      <w:r w:rsidR="002D3222" w:rsidRPr="005463D1">
        <w:rPr>
          <w:lang w:bidi="en-US"/>
        </w:rPr>
        <w:t>stability</w:t>
      </w:r>
      <w:r>
        <w:rPr>
          <w:lang w:bidi="en-US"/>
        </w:rPr>
        <w:t xml:space="preserve"> of the information collected; the general use of the forms for multiple purposes; and the use of </w:t>
      </w:r>
      <w:r w:rsidRPr="005463D1">
        <w:rPr>
          <w:lang w:bidi="en-US"/>
        </w:rPr>
        <w:t>pre-populated</w:t>
      </w:r>
      <w:r>
        <w:rPr>
          <w:lang w:bidi="en-US"/>
        </w:rPr>
        <w:t xml:space="preserve"> or numbered forms.  Although these forms </w:t>
      </w:r>
      <w:r w:rsidRPr="005463D1">
        <w:rPr>
          <w:lang w:bidi="en-US"/>
        </w:rPr>
        <w:t>are not established</w:t>
      </w:r>
      <w:r>
        <w:rPr>
          <w:lang w:bidi="en-US"/>
        </w:rPr>
        <w:t xml:space="preserve"> under this ICR, EPA notes that it will continue to </w:t>
      </w:r>
      <w:r w:rsidRPr="000E7B38">
        <w:rPr>
          <w:lang w:bidi="en-US"/>
        </w:rPr>
        <w:t xml:space="preserve">omit the expiration dates on these forms.  </w:t>
      </w:r>
    </w:p>
    <w:p w:rsidR="00E1095D" w:rsidRDefault="00E1095D" w:rsidP="00E1095D">
      <w:pPr>
        <w:pStyle w:val="NoSpacing"/>
        <w:rPr>
          <w:lang w:bidi="en-US"/>
        </w:rPr>
      </w:pPr>
    </w:p>
    <w:p w:rsidR="002B34A0" w:rsidRDefault="002B34A0" w:rsidP="002B34A0">
      <w:pPr>
        <w:rPr>
          <w:b/>
          <w:bCs/>
          <w:lang w:bidi="en-US"/>
        </w:rPr>
      </w:pPr>
    </w:p>
    <w:p w:rsidR="00E1095D" w:rsidRPr="00E1095D" w:rsidRDefault="00CC4227" w:rsidP="00CC4227">
      <w:pPr>
        <w:pStyle w:val="Heading1"/>
      </w:pPr>
      <w:bookmarkStart w:id="111" w:name="_Toc482020596"/>
      <w:r>
        <w:t xml:space="preserve">6.  </w:t>
      </w:r>
      <w:r w:rsidR="00E1095D" w:rsidRPr="00E1095D">
        <w:t>STAKEHOLDER INVOLVEMENT</w:t>
      </w:r>
      <w:bookmarkEnd w:id="111"/>
      <w:r w:rsidR="00E1095D" w:rsidRPr="00E1095D">
        <w:t xml:space="preserve"> </w:t>
      </w:r>
    </w:p>
    <w:p w:rsidR="00E1095D" w:rsidRPr="002B34A0" w:rsidRDefault="00CC4227" w:rsidP="00E91D79">
      <w:pPr>
        <w:pStyle w:val="Heading2"/>
        <w:tabs>
          <w:tab w:val="left" w:pos="1080"/>
        </w:tabs>
        <w:ind w:left="360"/>
      </w:pPr>
      <w:bookmarkStart w:id="112" w:name="_Toc482020597"/>
      <w:r>
        <w:t xml:space="preserve">6(a).  </w:t>
      </w:r>
      <w:r w:rsidR="00E1095D" w:rsidRPr="00D95B40">
        <w:t>Consultations</w:t>
      </w:r>
      <w:bookmarkEnd w:id="112"/>
    </w:p>
    <w:p w:rsidR="00E1095D" w:rsidRPr="002B34A0" w:rsidRDefault="00E1095D" w:rsidP="00E1095D">
      <w:pPr>
        <w:rPr>
          <w:lang w:bidi="en-US"/>
        </w:rPr>
      </w:pPr>
      <w:r w:rsidRPr="005463D1">
        <w:rPr>
          <w:lang w:bidi="en-US"/>
        </w:rPr>
        <w:t xml:space="preserve">Consultation and/or dialogue between registrants and the Agency concerning data </w:t>
      </w:r>
      <w:r w:rsidRPr="00D5421F">
        <w:rPr>
          <w:noProof/>
          <w:lang w:bidi="en-US"/>
        </w:rPr>
        <w:t>requirements</w:t>
      </w:r>
      <w:r w:rsidRPr="007D6E48">
        <w:rPr>
          <w:lang w:bidi="en-US"/>
        </w:rPr>
        <w:t xml:space="preserve"> need </w:t>
      </w:r>
      <w:r w:rsidRPr="00D5421F">
        <w:rPr>
          <w:noProof/>
          <w:lang w:bidi="en-US"/>
        </w:rPr>
        <w:t>for</w:t>
      </w:r>
      <w:r w:rsidRPr="007D6E48">
        <w:rPr>
          <w:lang w:bidi="en-US"/>
        </w:rPr>
        <w:t xml:space="preserve"> particular information and the protocol to be used to conduct the study are frequent and ongoing.</w:t>
      </w:r>
      <w:r w:rsidRPr="002B34A0">
        <w:rPr>
          <w:lang w:bidi="en-US"/>
        </w:rPr>
        <w:t xml:space="preserve">    </w:t>
      </w:r>
    </w:p>
    <w:p w:rsidR="00E1095D" w:rsidRPr="002B34A0" w:rsidRDefault="00E1095D" w:rsidP="00E1095D">
      <w:pPr>
        <w:rPr>
          <w:lang w:bidi="en-US"/>
        </w:rPr>
      </w:pPr>
    </w:p>
    <w:p w:rsidR="00E1095D" w:rsidRPr="002B34A0" w:rsidRDefault="00E1095D" w:rsidP="00E1095D">
      <w:pPr>
        <w:rPr>
          <w:lang w:bidi="en-US"/>
        </w:rPr>
      </w:pPr>
      <w:r w:rsidRPr="005463D1">
        <w:rPr>
          <w:lang w:bidi="en-US"/>
        </w:rPr>
        <w:t>Generally, all programs discussed in this ICR are intrinsically woven</w:t>
      </w:r>
      <w:r w:rsidRPr="007D6E48">
        <w:rPr>
          <w:lang w:bidi="en-US"/>
        </w:rPr>
        <w:t xml:space="preserve"> </w:t>
      </w:r>
      <w:r w:rsidR="00226E77">
        <w:rPr>
          <w:noProof/>
          <w:lang w:bidi="en-US"/>
        </w:rPr>
        <w:t>into</w:t>
      </w:r>
      <w:r w:rsidRPr="007D6E48">
        <w:rPr>
          <w:lang w:bidi="en-US"/>
        </w:rPr>
        <w:t xml:space="preserve"> the Agency's public participation review process.</w:t>
      </w:r>
      <w:r w:rsidRPr="002B34A0">
        <w:rPr>
          <w:lang w:bidi="en-US"/>
        </w:rPr>
        <w:t xml:space="preserve"> Stakeholders and the public have a number of opportunities for input, consultation and involvement throughout the process, including but not limited to issues such as the need for additional data. Significant public comments </w:t>
      </w:r>
      <w:r w:rsidRPr="005463D1">
        <w:rPr>
          <w:lang w:bidi="en-US"/>
        </w:rPr>
        <w:t>will be addressed</w:t>
      </w:r>
      <w:r w:rsidRPr="002B34A0">
        <w:rPr>
          <w:lang w:bidi="en-US"/>
        </w:rPr>
        <w:t xml:space="preserve"> prior to issuing DCIs. Until the DCI </w:t>
      </w:r>
      <w:r w:rsidRPr="005463D1">
        <w:rPr>
          <w:lang w:bidi="en-US"/>
        </w:rPr>
        <w:t>is issued</w:t>
      </w:r>
      <w:r w:rsidRPr="002B34A0">
        <w:rPr>
          <w:lang w:bidi="en-US"/>
        </w:rPr>
        <w:t xml:space="preserve">, registrants </w:t>
      </w:r>
      <w:r w:rsidRPr="005463D1">
        <w:rPr>
          <w:lang w:bidi="en-US"/>
        </w:rPr>
        <w:t>are not required</w:t>
      </w:r>
      <w:r w:rsidRPr="002B34A0">
        <w:rPr>
          <w:lang w:bidi="en-US"/>
        </w:rPr>
        <w:t xml:space="preserve"> to submit data. This integrated public participation framework provides consistent, predictable opportunities for public and stakeholder involvement through public comment periods at regular intervals to help inform EPA’s regulatory </w:t>
      </w:r>
      <w:r w:rsidRPr="00D5421F">
        <w:rPr>
          <w:noProof/>
          <w:lang w:bidi="en-US"/>
        </w:rPr>
        <w:t>decision</w:t>
      </w:r>
      <w:r w:rsidR="00226E77">
        <w:rPr>
          <w:noProof/>
          <w:lang w:bidi="en-US"/>
        </w:rPr>
        <w:t>-</w:t>
      </w:r>
      <w:r w:rsidRPr="00D5421F">
        <w:rPr>
          <w:noProof/>
          <w:lang w:bidi="en-US"/>
        </w:rPr>
        <w:t>making</w:t>
      </w:r>
      <w:r w:rsidRPr="002B34A0">
        <w:rPr>
          <w:lang w:bidi="en-US"/>
        </w:rPr>
        <w:t xml:space="preserve">. </w:t>
      </w:r>
    </w:p>
    <w:p w:rsidR="00E1095D" w:rsidRPr="002B34A0" w:rsidRDefault="00E1095D" w:rsidP="00E1095D">
      <w:pPr>
        <w:rPr>
          <w:lang w:bidi="en-US"/>
        </w:rPr>
      </w:pPr>
    </w:p>
    <w:p w:rsidR="00E1095D" w:rsidRPr="002B34A0" w:rsidRDefault="00E1095D" w:rsidP="00E1095D">
      <w:pPr>
        <w:rPr>
          <w:lang w:bidi="en-US"/>
        </w:rPr>
      </w:pPr>
      <w:r w:rsidRPr="005463D1">
        <w:rPr>
          <w:lang w:bidi="en-US"/>
        </w:rPr>
        <w:t>EPA’s formalized public participation process for reregistration</w:t>
      </w:r>
      <w:r w:rsidRPr="007D6E48">
        <w:rPr>
          <w:lang w:bidi="en-US"/>
        </w:rPr>
        <w:t xml:space="preserve"> and tolerance reassessment re</w:t>
      </w:r>
      <w:r w:rsidRPr="005463D1">
        <w:rPr>
          <w:lang w:bidi="en-US"/>
        </w:rPr>
        <w:t>cognizes that all pesticides do not present the same degree of risk or complexity of issues, and accordingly describes the ways in which the Agency tailor the public participation process to the uses and risks of each pesticide and to obtain public input as needed while still making timely decisions and meeting statutory deadlines and program goals.</w:t>
      </w:r>
      <w:r w:rsidRPr="005463D1">
        <w:rPr>
          <w:rStyle w:val="FootnoteReference"/>
          <w:vertAlign w:val="superscript"/>
          <w:lang w:bidi="en-US"/>
        </w:rPr>
        <w:footnoteReference w:id="22"/>
      </w:r>
      <w:r w:rsidRPr="002B34A0">
        <w:rPr>
          <w:lang w:bidi="en-US"/>
        </w:rPr>
        <w:t xml:space="preserve">  </w:t>
      </w:r>
    </w:p>
    <w:p w:rsidR="00E1095D" w:rsidRPr="002B34A0" w:rsidRDefault="00E1095D" w:rsidP="00E1095D">
      <w:pPr>
        <w:rPr>
          <w:lang w:bidi="en-US"/>
        </w:rPr>
      </w:pPr>
    </w:p>
    <w:p w:rsidR="00E1095D" w:rsidRDefault="00E1095D" w:rsidP="00E1095D">
      <w:pPr>
        <w:rPr>
          <w:lang w:bidi="en-US"/>
        </w:rPr>
      </w:pPr>
      <w:r w:rsidRPr="005463D1">
        <w:rPr>
          <w:lang w:bidi="en-US"/>
        </w:rPr>
        <w:t>The process for registration review, including public participation, is described</w:t>
      </w:r>
      <w:r w:rsidRPr="007D6E48">
        <w:rPr>
          <w:lang w:bidi="en-US"/>
        </w:rPr>
        <w:t xml:space="preserve"> in the procedural rule for registration review (see 40 CFR part 155) and i</w:t>
      </w:r>
      <w:r w:rsidRPr="005463D1">
        <w:rPr>
          <w:lang w:bidi="en-US"/>
        </w:rPr>
        <w:t xml:space="preserve">s summarized on the Agency’s </w:t>
      </w:r>
      <w:r w:rsidRPr="00D5421F">
        <w:rPr>
          <w:noProof/>
          <w:lang w:bidi="en-US"/>
        </w:rPr>
        <w:t>website</w:t>
      </w:r>
      <w:r w:rsidRPr="005463D1">
        <w:rPr>
          <w:lang w:bidi="en-US"/>
        </w:rPr>
        <w:t xml:space="preserve"> at </w:t>
      </w:r>
      <w:hyperlink r:id="rId20" w:history="1">
        <w:r w:rsidR="006A7027" w:rsidRPr="00E85B88">
          <w:rPr>
            <w:rStyle w:val="Hyperlink"/>
            <w:lang w:bidi="en-US"/>
          </w:rPr>
          <w:t>https://www.epa.gov/pesticide-reevaluation/focus-meetings-pesticide-registration-review</w:t>
        </w:r>
      </w:hyperlink>
    </w:p>
    <w:p w:rsidR="006A7027" w:rsidRPr="006A7027" w:rsidRDefault="006A7027" w:rsidP="006A7027">
      <w:pPr>
        <w:pStyle w:val="NoSpacing"/>
        <w:rPr>
          <w:lang w:bidi="en-US"/>
        </w:rPr>
      </w:pPr>
    </w:p>
    <w:p w:rsidR="00E1095D" w:rsidRPr="002B34A0" w:rsidRDefault="00E1095D" w:rsidP="00E1095D">
      <w:pPr>
        <w:rPr>
          <w:lang w:bidi="en-US"/>
        </w:rPr>
      </w:pPr>
    </w:p>
    <w:p w:rsidR="00E1095D" w:rsidRPr="002B34A0" w:rsidRDefault="00E1095D" w:rsidP="00E1095D">
      <w:pPr>
        <w:rPr>
          <w:lang w:bidi="en-US"/>
        </w:rPr>
      </w:pPr>
      <w:r w:rsidRPr="005463D1">
        <w:rPr>
          <w:lang w:bidi="en-US"/>
        </w:rPr>
        <w:t>EPA intends the E</w:t>
      </w:r>
      <w:r w:rsidR="00474274">
        <w:rPr>
          <w:lang w:bidi="en-US"/>
        </w:rPr>
        <w:t xml:space="preserve">ndangered Species </w:t>
      </w:r>
      <w:r w:rsidRPr="005463D1">
        <w:rPr>
          <w:lang w:bidi="en-US"/>
        </w:rPr>
        <w:t>P</w:t>
      </w:r>
      <w:r w:rsidR="00474274">
        <w:rPr>
          <w:lang w:bidi="en-US"/>
        </w:rPr>
        <w:t xml:space="preserve">rotection </w:t>
      </w:r>
      <w:r w:rsidRPr="005463D1">
        <w:rPr>
          <w:lang w:bidi="en-US"/>
        </w:rPr>
        <w:t>P</w:t>
      </w:r>
      <w:r w:rsidR="008478AD">
        <w:rPr>
          <w:lang w:bidi="en-US"/>
        </w:rPr>
        <w:t>rogram</w:t>
      </w:r>
      <w:r w:rsidRPr="005463D1">
        <w:rPr>
          <w:lang w:bidi="en-US"/>
        </w:rPr>
        <w:t xml:space="preserve"> </w:t>
      </w:r>
      <w:r w:rsidR="008478AD">
        <w:rPr>
          <w:lang w:bidi="en-US"/>
        </w:rPr>
        <w:t xml:space="preserve">(ESPP) </w:t>
      </w:r>
      <w:r w:rsidRPr="005463D1">
        <w:rPr>
          <w:lang w:bidi="en-US"/>
        </w:rPr>
        <w:t>to be flexible and to modify it as necessary to achieve the goals of protecting listed species and minimizing the impact on pesticide users.</w:t>
      </w:r>
      <w:r w:rsidRPr="002B34A0">
        <w:rPr>
          <w:lang w:bidi="en-US"/>
        </w:rPr>
        <w:t xml:space="preserve">  </w:t>
      </w:r>
      <w:r w:rsidRPr="005463D1">
        <w:rPr>
          <w:lang w:bidi="en-US"/>
        </w:rPr>
        <w:t>When geographically specific use limitations are necessary, they are reflected</w:t>
      </w:r>
      <w:r w:rsidRPr="007D6E48">
        <w:rPr>
          <w:lang w:bidi="en-US"/>
        </w:rPr>
        <w:t xml:space="preserve"> in Endangered Species Protection </w:t>
      </w:r>
      <w:r w:rsidRPr="00D5421F">
        <w:rPr>
          <w:noProof/>
          <w:lang w:bidi="en-US"/>
        </w:rPr>
        <w:t>Bulletins</w:t>
      </w:r>
      <w:r w:rsidR="00226E77">
        <w:rPr>
          <w:noProof/>
          <w:lang w:bidi="en-US"/>
        </w:rPr>
        <w:t>,</w:t>
      </w:r>
      <w:r w:rsidRPr="007D6E48">
        <w:rPr>
          <w:lang w:bidi="en-US"/>
        </w:rPr>
        <w:t xml:space="preserve"> which are posted at </w:t>
      </w:r>
      <w:hyperlink r:id="rId21" w:history="1">
        <w:r w:rsidRPr="005463D1">
          <w:rPr>
            <w:rStyle w:val="Hyperlink"/>
            <w:lang w:bidi="en-US"/>
          </w:rPr>
          <w:t>http://www.epa.gov/oppfead1/endanger/bulletins.htm</w:t>
        </w:r>
      </w:hyperlink>
      <w:r w:rsidRPr="005463D1">
        <w:rPr>
          <w:lang w:bidi="en-US"/>
        </w:rPr>
        <w:t>.</w:t>
      </w:r>
      <w:r>
        <w:rPr>
          <w:lang w:bidi="en-US"/>
        </w:rPr>
        <w:t xml:space="preserve"> </w:t>
      </w:r>
      <w:r w:rsidRPr="002B34A0">
        <w:rPr>
          <w:lang w:bidi="en-US"/>
        </w:rPr>
        <w:t xml:space="preserve">ESPP incorporates public participation within existing processes of registration, </w:t>
      </w:r>
      <w:r w:rsidRPr="005463D1">
        <w:rPr>
          <w:lang w:bidi="en-US"/>
        </w:rPr>
        <w:t>reregistration</w:t>
      </w:r>
      <w:r w:rsidRPr="002B34A0">
        <w:rPr>
          <w:lang w:bidi="en-US"/>
        </w:rPr>
        <w:t xml:space="preserve">, and registration review. The processes for public </w:t>
      </w:r>
      <w:r w:rsidRPr="00D5421F">
        <w:rPr>
          <w:noProof/>
          <w:lang w:bidi="en-US"/>
        </w:rPr>
        <w:t>participation</w:t>
      </w:r>
      <w:r w:rsidRPr="002B34A0">
        <w:rPr>
          <w:lang w:bidi="en-US"/>
        </w:rPr>
        <w:t xml:space="preserve"> during registration and registration review </w:t>
      </w:r>
      <w:r w:rsidRPr="005463D1">
        <w:rPr>
          <w:lang w:bidi="en-US"/>
        </w:rPr>
        <w:t>are described</w:t>
      </w:r>
      <w:r w:rsidRPr="002B34A0">
        <w:rPr>
          <w:lang w:bidi="en-US"/>
        </w:rPr>
        <w:t xml:space="preserve"> in the above paragraph.  In general, there are three </w:t>
      </w:r>
      <w:r w:rsidRPr="005463D1">
        <w:rPr>
          <w:lang w:bidi="en-US"/>
        </w:rPr>
        <w:t>major</w:t>
      </w:r>
      <w:r w:rsidRPr="002B34A0">
        <w:rPr>
          <w:lang w:bidi="en-US"/>
        </w:rPr>
        <w:t xml:space="preserve"> phases of a listed species assessment that provide </w:t>
      </w:r>
      <w:r w:rsidRPr="005463D1">
        <w:rPr>
          <w:lang w:bidi="en-US"/>
        </w:rPr>
        <w:t>opportunity</w:t>
      </w:r>
      <w:r w:rsidRPr="002B34A0">
        <w:rPr>
          <w:lang w:bidi="en-US"/>
        </w:rPr>
        <w:t xml:space="preserve"> for public input; (1) prior to a “may affect” determination by EPA, (2) when identifying potential mitigation if a risk assessment identifies a listed species concern, and (3) prior to issuance of a Biological Opinion to EPA by the Services. </w:t>
      </w:r>
    </w:p>
    <w:p w:rsidR="00E1095D" w:rsidRPr="002B34A0" w:rsidRDefault="00E1095D" w:rsidP="00E1095D">
      <w:pPr>
        <w:rPr>
          <w:lang w:bidi="en-US"/>
        </w:rPr>
      </w:pPr>
    </w:p>
    <w:p w:rsidR="00E1095D" w:rsidRPr="002B34A0" w:rsidRDefault="00E1095D" w:rsidP="00E1095D">
      <w:pPr>
        <w:rPr>
          <w:lang w:bidi="en-US"/>
        </w:rPr>
      </w:pPr>
      <w:r w:rsidRPr="002B34A0">
        <w:rPr>
          <w:lang w:bidi="en-US"/>
        </w:rPr>
        <w:t xml:space="preserve">For all programs covered under this ICR, updates are </w:t>
      </w:r>
      <w:r>
        <w:rPr>
          <w:lang w:bidi="en-US"/>
        </w:rPr>
        <w:t xml:space="preserve">also </w:t>
      </w:r>
      <w:r w:rsidRPr="002B34A0">
        <w:rPr>
          <w:lang w:bidi="en-US"/>
        </w:rPr>
        <w:t xml:space="preserve">available </w:t>
      </w:r>
      <w:r>
        <w:rPr>
          <w:lang w:bidi="en-US"/>
        </w:rPr>
        <w:t xml:space="preserve">to anyone interested </w:t>
      </w:r>
      <w:r w:rsidRPr="002B34A0">
        <w:rPr>
          <w:lang w:bidi="en-US"/>
        </w:rPr>
        <w:t xml:space="preserve">by e-mail.  </w:t>
      </w:r>
      <w:r w:rsidR="001E053D">
        <w:rPr>
          <w:lang w:bidi="en-US"/>
        </w:rPr>
        <w:t xml:space="preserve">For over a decade, </w:t>
      </w:r>
      <w:r w:rsidRPr="002B34A0">
        <w:rPr>
          <w:lang w:bidi="en-US"/>
        </w:rPr>
        <w:t xml:space="preserve">EPA </w:t>
      </w:r>
      <w:r w:rsidR="001E053D">
        <w:rPr>
          <w:lang w:bidi="en-US"/>
        </w:rPr>
        <w:t>has maintained a</w:t>
      </w:r>
      <w:r w:rsidRPr="002B34A0">
        <w:rPr>
          <w:lang w:bidi="en-US"/>
        </w:rPr>
        <w:t xml:space="preserve"> </w:t>
      </w:r>
      <w:r w:rsidRPr="005463D1">
        <w:rPr>
          <w:lang w:bidi="en-US"/>
        </w:rPr>
        <w:t>list</w:t>
      </w:r>
      <w:r w:rsidR="00583007">
        <w:rPr>
          <w:lang w:bidi="en-US"/>
        </w:rPr>
        <w:t xml:space="preserve"> </w:t>
      </w:r>
      <w:r w:rsidRPr="005463D1">
        <w:rPr>
          <w:lang w:bidi="en-US"/>
        </w:rPr>
        <w:t>server</w:t>
      </w:r>
      <w:r w:rsidRPr="002B34A0">
        <w:rPr>
          <w:lang w:bidi="en-US"/>
        </w:rPr>
        <w:t xml:space="preserve"> (Listserv) or “mailing group.”  Interested parties may sign up to receive periodic e-mail notifications announcing the availability of program materials. Also, EPA provides for public comment in notices published in the Federal Register.  A list of past publications is available through the appropriate websites.</w:t>
      </w:r>
    </w:p>
    <w:p w:rsidR="00E1095D" w:rsidRPr="002B34A0" w:rsidRDefault="00E1095D" w:rsidP="00E1095D">
      <w:pPr>
        <w:rPr>
          <w:lang w:bidi="en-US"/>
        </w:rPr>
      </w:pPr>
    </w:p>
    <w:p w:rsidR="00E1095D" w:rsidRPr="002B34A0" w:rsidRDefault="00E1095D" w:rsidP="00E1095D">
      <w:pPr>
        <w:rPr>
          <w:lang w:bidi="en-US"/>
        </w:rPr>
      </w:pPr>
      <w:r w:rsidRPr="002B34A0">
        <w:rPr>
          <w:lang w:bidi="en-US"/>
        </w:rPr>
        <w:t xml:space="preserve">If appropriate to resolve scientific questions, the Agency may also seek peer review and/or advice from the FIFRA Science Advisory Panel SAP.  The FIFRA SAP is a Federal advisory committee established in 1975 under FIFRA that operates in accordance with requirements of the Federal Advisory Committee Act. </w:t>
      </w:r>
      <w:r w:rsidRPr="005463D1">
        <w:rPr>
          <w:lang w:bidi="en-US"/>
        </w:rPr>
        <w:t>The FIFRA SAP is composed</w:t>
      </w:r>
      <w:r w:rsidRPr="007D6E48">
        <w:rPr>
          <w:lang w:bidi="en-US"/>
        </w:rPr>
        <w:t xml:space="preserve"> of a permanent panel consisting of seven members who are appoint</w:t>
      </w:r>
      <w:r w:rsidRPr="005463D1">
        <w:rPr>
          <w:lang w:bidi="en-US"/>
        </w:rPr>
        <w:t>ed by the EPA Administrator from nominees provided by the National Institutes of Health and the National Science Foundation.</w:t>
      </w:r>
      <w:r w:rsidRPr="002B34A0">
        <w:rPr>
          <w:lang w:bidi="en-US"/>
        </w:rPr>
        <w:t xml:space="preserve">  FIFRA, as amended, established a Science Review Board consisting of at least 60 scientists who are available to the FIFRA SAP on an ad hoc basis to assist in reviews conducted by the Panel.</w:t>
      </w:r>
    </w:p>
    <w:p w:rsidR="00E1095D" w:rsidRPr="002B34A0" w:rsidRDefault="00E1095D" w:rsidP="00E1095D">
      <w:pPr>
        <w:rPr>
          <w:lang w:bidi="en-US"/>
        </w:rPr>
      </w:pPr>
    </w:p>
    <w:p w:rsidR="00E1095D" w:rsidRDefault="00E1095D" w:rsidP="00E1095D">
      <w:pPr>
        <w:rPr>
          <w:lang w:bidi="en-US"/>
        </w:rPr>
      </w:pPr>
      <w:r w:rsidRPr="005463D1">
        <w:rPr>
          <w:lang w:bidi="en-US"/>
        </w:rPr>
        <w:t>As part of</w:t>
      </w:r>
      <w:r w:rsidR="00210AC8">
        <w:rPr>
          <w:lang w:bidi="en-US"/>
        </w:rPr>
        <w:t xml:space="preserve"> t</w:t>
      </w:r>
      <w:r w:rsidR="00210AC8" w:rsidRPr="005463D1">
        <w:rPr>
          <w:lang w:bidi="en-US"/>
        </w:rPr>
        <w:t>h</w:t>
      </w:r>
      <w:r w:rsidR="005F3869">
        <w:rPr>
          <w:lang w:bidi="en-US"/>
        </w:rPr>
        <w:t>is</w:t>
      </w:r>
      <w:r w:rsidRPr="005463D1">
        <w:rPr>
          <w:lang w:bidi="en-US"/>
        </w:rPr>
        <w:t xml:space="preserve"> ICR</w:t>
      </w:r>
      <w:r w:rsidRPr="007D6E48">
        <w:rPr>
          <w:lang w:bidi="en-US"/>
        </w:rPr>
        <w:t xml:space="preserve"> renewal process EPA </w:t>
      </w:r>
      <w:r w:rsidR="005F3869">
        <w:rPr>
          <w:lang w:bidi="en-US"/>
        </w:rPr>
        <w:t xml:space="preserve">has </w:t>
      </w:r>
      <w:r w:rsidRPr="007D6E48">
        <w:rPr>
          <w:lang w:bidi="en-US"/>
        </w:rPr>
        <w:t>solicit</w:t>
      </w:r>
      <w:r w:rsidR="005F3869">
        <w:rPr>
          <w:lang w:bidi="en-US"/>
        </w:rPr>
        <w:t>ed</w:t>
      </w:r>
      <w:r w:rsidRPr="007D6E48">
        <w:rPr>
          <w:lang w:bidi="en-US"/>
        </w:rPr>
        <w:t xml:space="preserve"> comment from several individual respondents to seek specific feedback on the proposed burden and costs in this proposal.</w:t>
      </w:r>
      <w:r w:rsidRPr="002B34A0">
        <w:rPr>
          <w:lang w:bidi="en-US"/>
        </w:rPr>
        <w:t xml:space="preserve"> </w:t>
      </w:r>
      <w:r w:rsidR="00210AC8" w:rsidRPr="00210AC8">
        <w:rPr>
          <w:lang w:bidi="en-US"/>
        </w:rPr>
        <w:t xml:space="preserve">In December 2013, the Agency held a DCI Response Burden Assessment Workshop with industry stakeholders. As part of the reassessment, OPP consulted with industry about the Agency burden assumptions, the methodology used to estimate the </w:t>
      </w:r>
      <w:r w:rsidR="00210AC8" w:rsidRPr="00D5421F">
        <w:rPr>
          <w:noProof/>
          <w:lang w:bidi="en-US"/>
        </w:rPr>
        <w:t>burden</w:t>
      </w:r>
      <w:r w:rsidR="00210AC8" w:rsidRPr="00210AC8">
        <w:rPr>
          <w:lang w:bidi="en-US"/>
        </w:rPr>
        <w:t>, the time estimates for conducting PRA activities, and the accuracy of and appropriate distribution of the labor rates.</w:t>
      </w:r>
      <w:r w:rsidR="00210AC8" w:rsidRPr="00210AC8">
        <w:rPr>
          <w:vertAlign w:val="superscript"/>
          <w:lang w:bidi="en-US"/>
        </w:rPr>
        <w:t xml:space="preserve"> </w:t>
      </w:r>
      <w:r w:rsidR="00210AC8" w:rsidRPr="00210AC8">
        <w:rPr>
          <w:vertAlign w:val="superscript"/>
          <w:lang w:bidi="en-US"/>
        </w:rPr>
        <w:footnoteReference w:id="23"/>
      </w:r>
      <w:r w:rsidR="00210AC8" w:rsidRPr="00210AC8">
        <w:rPr>
          <w:lang w:bidi="en-US"/>
        </w:rPr>
        <w:t xml:space="preserve"> </w:t>
      </w:r>
      <w:r w:rsidRPr="002B34A0">
        <w:rPr>
          <w:lang w:bidi="en-US"/>
        </w:rPr>
        <w:t xml:space="preserve"> </w:t>
      </w:r>
      <w:r w:rsidR="00EE6147">
        <w:rPr>
          <w:lang w:bidi="en-US"/>
        </w:rPr>
        <w:t xml:space="preserve">Industry feedback provided the basis for the revisions to the burden </w:t>
      </w:r>
      <w:r w:rsidR="001E053D">
        <w:rPr>
          <w:lang w:bidi="en-US"/>
        </w:rPr>
        <w:t>methodology</w:t>
      </w:r>
      <w:r w:rsidR="00EE6147">
        <w:rPr>
          <w:lang w:bidi="en-US"/>
        </w:rPr>
        <w:t xml:space="preserve"> used in this ICR.  </w:t>
      </w:r>
      <w:r w:rsidR="00210AC8">
        <w:rPr>
          <w:lang w:bidi="en-US"/>
        </w:rPr>
        <w:t xml:space="preserve">See Attachment </w:t>
      </w:r>
      <w:r w:rsidR="00C71245">
        <w:rPr>
          <w:lang w:bidi="en-US"/>
        </w:rPr>
        <w:t>B</w:t>
      </w:r>
    </w:p>
    <w:p w:rsidR="00E1095D" w:rsidRDefault="00E1095D" w:rsidP="00E1095D">
      <w:pPr>
        <w:pStyle w:val="NoSpacing"/>
        <w:rPr>
          <w:lang w:bidi="en-US"/>
        </w:rPr>
      </w:pPr>
    </w:p>
    <w:p w:rsidR="005D7BD1" w:rsidRPr="002B34A0" w:rsidRDefault="00CC4227" w:rsidP="00E91D79">
      <w:pPr>
        <w:pStyle w:val="Heading2"/>
        <w:tabs>
          <w:tab w:val="left" w:pos="1080"/>
        </w:tabs>
        <w:ind w:left="360"/>
      </w:pPr>
      <w:bookmarkStart w:id="113" w:name="_Toc482020598"/>
      <w:r>
        <w:t xml:space="preserve">6(b).  </w:t>
      </w:r>
      <w:r w:rsidR="005D7BD1" w:rsidRPr="00D95B40">
        <w:t>Public Notice Required Prior to ICR Submission to OMB</w:t>
      </w:r>
      <w:bookmarkEnd w:id="113"/>
    </w:p>
    <w:p w:rsidR="005B78F6" w:rsidRDefault="005D7BD1" w:rsidP="005B78F6">
      <w:pPr>
        <w:rPr>
          <w:lang w:bidi="en-US"/>
        </w:rPr>
      </w:pPr>
      <w:r w:rsidRPr="00911936">
        <w:rPr>
          <w:lang w:bidi="en-US"/>
        </w:rPr>
        <w:t>Pursuant to 5 CFR 1320.8(d), EPA publish</w:t>
      </w:r>
      <w:r w:rsidR="005B78F6" w:rsidRPr="00911936">
        <w:rPr>
          <w:lang w:bidi="en-US"/>
        </w:rPr>
        <w:t>ed</w:t>
      </w:r>
      <w:r w:rsidRPr="00911936">
        <w:rPr>
          <w:lang w:bidi="en-US"/>
        </w:rPr>
        <w:t xml:space="preserve"> Federal Register (FR) notice</w:t>
      </w:r>
      <w:r w:rsidR="005B78F6" w:rsidRPr="00911936">
        <w:rPr>
          <w:lang w:bidi="en-US"/>
        </w:rPr>
        <w:t>s 82 FR 39997, August 23, 2017 and 83 FR 3344, January 24, 2018</w:t>
      </w:r>
      <w:r w:rsidRPr="00911936">
        <w:rPr>
          <w:lang w:bidi="en-US"/>
        </w:rPr>
        <w:t xml:space="preserve"> soliciting comment on this information collection activity and the Agency’s intent to renew and request OMB approval of this ICR.    </w:t>
      </w:r>
      <w:r w:rsidR="005B78F6" w:rsidRPr="00911936">
        <w:rPr>
          <w:lang w:bidi="en-US"/>
        </w:rPr>
        <w:t xml:space="preserve">The Agency received seven public comments which have been placed in the docket for this action. The Agency </w:t>
      </w:r>
      <w:r w:rsidR="00DC09AA" w:rsidRPr="00911936">
        <w:rPr>
          <w:lang w:bidi="en-US"/>
        </w:rPr>
        <w:t xml:space="preserve">will post </w:t>
      </w:r>
      <w:r w:rsidR="005B78F6" w:rsidRPr="00911936">
        <w:rPr>
          <w:lang w:bidi="en-US"/>
        </w:rPr>
        <w:t xml:space="preserve">a response to the public comments received in the docket EPA-HQ-OPP-2016-0109 </w:t>
      </w:r>
      <w:r w:rsidR="008759B0" w:rsidRPr="00911936">
        <w:rPr>
          <w:lang w:bidi="en-US"/>
        </w:rPr>
        <w:t xml:space="preserve">accessible </w:t>
      </w:r>
      <w:r w:rsidR="005B78F6" w:rsidRPr="00911936">
        <w:rPr>
          <w:lang w:bidi="en-US"/>
        </w:rPr>
        <w:t xml:space="preserve">at </w:t>
      </w:r>
      <w:hyperlink r:id="rId22" w:history="1">
        <w:r w:rsidR="005B78F6" w:rsidRPr="00911936">
          <w:rPr>
            <w:rStyle w:val="Hyperlink"/>
            <w:lang w:bidi="en-US"/>
          </w:rPr>
          <w:t>http://www.regulations.gov</w:t>
        </w:r>
      </w:hyperlink>
      <w:r w:rsidR="005B78F6" w:rsidRPr="00911936">
        <w:rPr>
          <w:lang w:bidi="en-US"/>
        </w:rPr>
        <w:t>.</w:t>
      </w:r>
    </w:p>
    <w:p w:rsidR="00E1095D" w:rsidRPr="00E1095D" w:rsidRDefault="00E1095D" w:rsidP="00E1095D">
      <w:pPr>
        <w:pStyle w:val="NoSpacing"/>
        <w:rPr>
          <w:lang w:bidi="en-US"/>
        </w:rPr>
      </w:pPr>
    </w:p>
    <w:p w:rsidR="00EA7743" w:rsidRDefault="00CC4227" w:rsidP="00CC4227">
      <w:pPr>
        <w:pStyle w:val="Heading1"/>
        <w:rPr>
          <w:lang w:bidi="en-US"/>
        </w:rPr>
      </w:pPr>
      <w:bookmarkStart w:id="114" w:name="_Toc482020599"/>
      <w:r>
        <w:t xml:space="preserve">7.  </w:t>
      </w:r>
      <w:r w:rsidR="005D7BD1" w:rsidRPr="005D7BD1">
        <w:t>AGENCY ACTIVITIES &amp; ESTIMATED COSTS</w:t>
      </w:r>
      <w:bookmarkEnd w:id="114"/>
    </w:p>
    <w:p w:rsidR="002B34A0" w:rsidRPr="002B34A0" w:rsidRDefault="00CC4227" w:rsidP="00E91D79">
      <w:pPr>
        <w:pStyle w:val="Heading2"/>
        <w:tabs>
          <w:tab w:val="left" w:pos="1080"/>
        </w:tabs>
        <w:ind w:left="360"/>
        <w:rPr>
          <w:lang w:bidi="en-US"/>
        </w:rPr>
      </w:pPr>
      <w:bookmarkStart w:id="115" w:name="_Toc482020600"/>
      <w:r>
        <w:rPr>
          <w:lang w:bidi="en-US"/>
        </w:rPr>
        <w:t xml:space="preserve">7(a).  </w:t>
      </w:r>
      <w:r w:rsidR="002B34A0" w:rsidRPr="00FB0FC4">
        <w:rPr>
          <w:lang w:bidi="en-US"/>
        </w:rPr>
        <w:t>Agency Activities</w:t>
      </w:r>
      <w:bookmarkEnd w:id="115"/>
    </w:p>
    <w:p w:rsidR="002B34A0" w:rsidRPr="002B34A0" w:rsidRDefault="002B34A0" w:rsidP="002B34A0">
      <w:pPr>
        <w:rPr>
          <w:lang w:bidi="en-US"/>
        </w:rPr>
      </w:pPr>
      <w:r w:rsidRPr="002B34A0">
        <w:rPr>
          <w:lang w:bidi="en-US"/>
        </w:rPr>
        <w:t>The following Agency activities are necessary to conduct a DCI or Order under this ICR:</w:t>
      </w:r>
    </w:p>
    <w:p w:rsidR="002B34A0" w:rsidRPr="002B34A0" w:rsidRDefault="002B34A0" w:rsidP="002B34A0">
      <w:pPr>
        <w:rPr>
          <w:lang w:bidi="en-US"/>
        </w:rPr>
      </w:pPr>
    </w:p>
    <w:tbl>
      <w:tblPr>
        <w:tblW w:w="0" w:type="auto"/>
        <w:tblInd w:w="120" w:type="dxa"/>
        <w:tblLayout w:type="fixed"/>
        <w:tblCellMar>
          <w:left w:w="120" w:type="dxa"/>
          <w:right w:w="120" w:type="dxa"/>
        </w:tblCellMar>
        <w:tblLook w:val="0000" w:firstRow="0" w:lastRow="0" w:firstColumn="0" w:lastColumn="0" w:noHBand="0" w:noVBand="0"/>
      </w:tblPr>
      <w:tblGrid>
        <w:gridCol w:w="3330"/>
        <w:gridCol w:w="6030"/>
      </w:tblGrid>
      <w:tr w:rsidR="002B34A0" w:rsidRPr="002B34A0" w:rsidTr="002B34A0">
        <w:tc>
          <w:tcPr>
            <w:tcW w:w="3330" w:type="dxa"/>
            <w:tcBorders>
              <w:top w:val="single" w:sz="7" w:space="0" w:color="000000"/>
              <w:left w:val="single" w:sz="7" w:space="0" w:color="000000"/>
              <w:bottom w:val="single" w:sz="7" w:space="0" w:color="000000"/>
              <w:right w:val="single" w:sz="7" w:space="0" w:color="000000"/>
            </w:tcBorders>
          </w:tcPr>
          <w:p w:rsidR="002B34A0" w:rsidRPr="002B34A0" w:rsidRDefault="002B34A0" w:rsidP="009A617B">
            <w:pPr>
              <w:rPr>
                <w:lang w:bidi="en-US"/>
              </w:rPr>
            </w:pPr>
            <w:r w:rsidRPr="005463D1">
              <w:rPr>
                <w:lang w:bidi="en-US"/>
              </w:rPr>
              <w:t>develop</w:t>
            </w:r>
            <w:r w:rsidRPr="002B34A0">
              <w:rPr>
                <w:lang w:bidi="en-US"/>
              </w:rPr>
              <w:t xml:space="preserve"> </w:t>
            </w:r>
            <w:r w:rsidR="009A7AF6" w:rsidRPr="002B34A0">
              <w:rPr>
                <w:lang w:bidi="en-US"/>
              </w:rPr>
              <w:t>DCI correspondence</w:t>
            </w:r>
            <w:r w:rsidRPr="002B34A0">
              <w:rPr>
                <w:lang w:bidi="en-US"/>
              </w:rPr>
              <w:t xml:space="preserve"> </w:t>
            </w:r>
          </w:p>
        </w:tc>
        <w:tc>
          <w:tcPr>
            <w:tcW w:w="6030" w:type="dxa"/>
            <w:tcBorders>
              <w:top w:val="single" w:sz="7" w:space="0" w:color="000000"/>
              <w:left w:val="single" w:sz="7" w:space="0" w:color="000000"/>
              <w:bottom w:val="single" w:sz="7" w:space="0" w:color="000000"/>
              <w:right w:val="single" w:sz="7" w:space="0" w:color="000000"/>
            </w:tcBorders>
          </w:tcPr>
          <w:p w:rsidR="002B34A0" w:rsidRPr="002B34A0" w:rsidRDefault="002B34A0" w:rsidP="009A617B">
            <w:pPr>
              <w:rPr>
                <w:lang w:bidi="en-US"/>
              </w:rPr>
            </w:pPr>
            <w:r w:rsidRPr="005463D1">
              <w:rPr>
                <w:lang w:bidi="en-US"/>
              </w:rPr>
              <w:t>prepare</w:t>
            </w:r>
            <w:r w:rsidRPr="002B34A0">
              <w:rPr>
                <w:lang w:bidi="en-US"/>
              </w:rPr>
              <w:t xml:space="preserve"> the DCI letter identifying all the data needed</w:t>
            </w:r>
          </w:p>
        </w:tc>
      </w:tr>
      <w:tr w:rsidR="002B34A0" w:rsidRPr="002B34A0" w:rsidTr="002B34A0">
        <w:tc>
          <w:tcPr>
            <w:tcW w:w="3330" w:type="dxa"/>
            <w:tcBorders>
              <w:top w:val="single" w:sz="7" w:space="0" w:color="000000"/>
              <w:left w:val="single" w:sz="7" w:space="0" w:color="000000"/>
              <w:bottom w:val="single" w:sz="7" w:space="0" w:color="000000"/>
              <w:right w:val="single" w:sz="7" w:space="0" w:color="000000"/>
            </w:tcBorders>
          </w:tcPr>
          <w:p w:rsidR="002B34A0" w:rsidRPr="002B34A0" w:rsidRDefault="002B34A0" w:rsidP="002B34A0">
            <w:pPr>
              <w:rPr>
                <w:lang w:bidi="en-US"/>
              </w:rPr>
            </w:pPr>
            <w:r w:rsidRPr="002B34A0">
              <w:rPr>
                <w:lang w:bidi="en-US"/>
              </w:rPr>
              <w:t>answer registrants' questions</w:t>
            </w:r>
          </w:p>
        </w:tc>
        <w:tc>
          <w:tcPr>
            <w:tcW w:w="6030" w:type="dxa"/>
            <w:tcBorders>
              <w:top w:val="single" w:sz="7" w:space="0" w:color="000000"/>
              <w:left w:val="single" w:sz="7" w:space="0" w:color="000000"/>
              <w:bottom w:val="single" w:sz="7" w:space="0" w:color="000000"/>
              <w:right w:val="single" w:sz="7" w:space="0" w:color="000000"/>
            </w:tcBorders>
          </w:tcPr>
          <w:p w:rsidR="002B34A0" w:rsidRPr="002B34A0" w:rsidRDefault="002B34A0" w:rsidP="009A617B">
            <w:pPr>
              <w:rPr>
                <w:lang w:bidi="en-US"/>
              </w:rPr>
            </w:pPr>
            <w:r w:rsidRPr="005463D1">
              <w:rPr>
                <w:lang w:bidi="en-US"/>
              </w:rPr>
              <w:t>respond</w:t>
            </w:r>
            <w:r w:rsidRPr="002B34A0">
              <w:rPr>
                <w:lang w:bidi="en-US"/>
              </w:rPr>
              <w:t xml:space="preserve"> to any questions the registrant may have </w:t>
            </w:r>
            <w:r w:rsidRPr="005463D1">
              <w:rPr>
                <w:lang w:bidi="en-US"/>
              </w:rPr>
              <w:t>regarding</w:t>
            </w:r>
            <w:r w:rsidRPr="002B34A0">
              <w:rPr>
                <w:lang w:bidi="en-US"/>
              </w:rPr>
              <w:t xml:space="preserve"> the DCI </w:t>
            </w:r>
          </w:p>
        </w:tc>
      </w:tr>
      <w:tr w:rsidR="002B34A0" w:rsidRPr="002B34A0" w:rsidTr="002B34A0">
        <w:tc>
          <w:tcPr>
            <w:tcW w:w="3330" w:type="dxa"/>
            <w:tcBorders>
              <w:top w:val="single" w:sz="7" w:space="0" w:color="000000"/>
              <w:left w:val="single" w:sz="7" w:space="0" w:color="000000"/>
              <w:bottom w:val="single" w:sz="7" w:space="0" w:color="000000"/>
              <w:right w:val="single" w:sz="7" w:space="0" w:color="000000"/>
            </w:tcBorders>
          </w:tcPr>
          <w:p w:rsidR="002B34A0" w:rsidRPr="002B34A0" w:rsidRDefault="002B34A0" w:rsidP="002B34A0">
            <w:pPr>
              <w:rPr>
                <w:lang w:bidi="en-US"/>
              </w:rPr>
            </w:pPr>
            <w:r w:rsidRPr="002B34A0">
              <w:rPr>
                <w:lang w:bidi="en-US"/>
              </w:rPr>
              <w:t xml:space="preserve">review data submissions </w:t>
            </w:r>
          </w:p>
        </w:tc>
        <w:tc>
          <w:tcPr>
            <w:tcW w:w="6030" w:type="dxa"/>
            <w:tcBorders>
              <w:top w:val="single" w:sz="7" w:space="0" w:color="000000"/>
              <w:left w:val="single" w:sz="7" w:space="0" w:color="000000"/>
              <w:bottom w:val="single" w:sz="7" w:space="0" w:color="000000"/>
              <w:right w:val="single" w:sz="7" w:space="0" w:color="000000"/>
            </w:tcBorders>
          </w:tcPr>
          <w:p w:rsidR="002B34A0" w:rsidRPr="002B34A0" w:rsidRDefault="002B34A0" w:rsidP="002B34A0">
            <w:pPr>
              <w:rPr>
                <w:lang w:bidi="en-US"/>
              </w:rPr>
            </w:pPr>
            <w:r w:rsidRPr="005463D1">
              <w:rPr>
                <w:lang w:bidi="en-US"/>
              </w:rPr>
              <w:t>review</w:t>
            </w:r>
            <w:r w:rsidRPr="002B34A0">
              <w:rPr>
                <w:lang w:bidi="en-US"/>
              </w:rPr>
              <w:t xml:space="preserve"> data submissions for completeness and appropriateness</w:t>
            </w:r>
          </w:p>
        </w:tc>
      </w:tr>
      <w:tr w:rsidR="002B34A0" w:rsidRPr="002B34A0" w:rsidTr="002B34A0">
        <w:tc>
          <w:tcPr>
            <w:tcW w:w="3330" w:type="dxa"/>
            <w:tcBorders>
              <w:top w:val="single" w:sz="7" w:space="0" w:color="000000"/>
              <w:left w:val="single" w:sz="7" w:space="0" w:color="000000"/>
              <w:bottom w:val="single" w:sz="7" w:space="0" w:color="000000"/>
              <w:right w:val="single" w:sz="7" w:space="0" w:color="000000"/>
            </w:tcBorders>
          </w:tcPr>
          <w:p w:rsidR="002B34A0" w:rsidRPr="002B34A0" w:rsidRDefault="002B34A0" w:rsidP="009A617B">
            <w:pPr>
              <w:rPr>
                <w:lang w:bidi="en-US"/>
              </w:rPr>
            </w:pPr>
            <w:r w:rsidRPr="002B34A0">
              <w:rPr>
                <w:lang w:bidi="en-US"/>
              </w:rPr>
              <w:t xml:space="preserve">record DCI submissions </w:t>
            </w:r>
          </w:p>
        </w:tc>
        <w:tc>
          <w:tcPr>
            <w:tcW w:w="6030" w:type="dxa"/>
            <w:tcBorders>
              <w:top w:val="single" w:sz="7" w:space="0" w:color="000000"/>
              <w:left w:val="single" w:sz="7" w:space="0" w:color="000000"/>
              <w:bottom w:val="single" w:sz="7" w:space="0" w:color="000000"/>
              <w:right w:val="single" w:sz="7" w:space="0" w:color="000000"/>
            </w:tcBorders>
          </w:tcPr>
          <w:p w:rsidR="002B34A0" w:rsidRPr="002B34A0" w:rsidRDefault="002B34A0" w:rsidP="002B34A0">
            <w:pPr>
              <w:rPr>
                <w:lang w:bidi="en-US"/>
              </w:rPr>
            </w:pPr>
            <w:r w:rsidRPr="005463D1">
              <w:rPr>
                <w:lang w:bidi="en-US"/>
              </w:rPr>
              <w:t>record</w:t>
            </w:r>
            <w:r w:rsidRPr="002B34A0">
              <w:rPr>
                <w:lang w:bidi="en-US"/>
              </w:rPr>
              <w:t xml:space="preserve"> submissions in </w:t>
            </w:r>
            <w:r w:rsidRPr="00D5421F">
              <w:rPr>
                <w:noProof/>
                <w:lang w:bidi="en-US"/>
              </w:rPr>
              <w:t>tracking</w:t>
            </w:r>
            <w:r w:rsidRPr="005463D1">
              <w:rPr>
                <w:lang w:bidi="en-US"/>
              </w:rPr>
              <w:t xml:space="preserve"> system</w:t>
            </w:r>
            <w:r w:rsidRPr="002B34A0">
              <w:rPr>
                <w:lang w:bidi="en-US"/>
              </w:rPr>
              <w:t xml:space="preserve"> for internal review</w:t>
            </w:r>
          </w:p>
        </w:tc>
      </w:tr>
      <w:tr w:rsidR="002B34A0" w:rsidRPr="002B34A0" w:rsidTr="002B34A0">
        <w:tc>
          <w:tcPr>
            <w:tcW w:w="3330" w:type="dxa"/>
            <w:tcBorders>
              <w:top w:val="single" w:sz="7" w:space="0" w:color="000000"/>
              <w:left w:val="single" w:sz="7" w:space="0" w:color="000000"/>
              <w:bottom w:val="single" w:sz="7" w:space="0" w:color="000000"/>
              <w:right w:val="single" w:sz="7" w:space="0" w:color="000000"/>
            </w:tcBorders>
          </w:tcPr>
          <w:p w:rsidR="002B34A0" w:rsidRPr="002B34A0" w:rsidRDefault="002B34A0" w:rsidP="002B34A0">
            <w:pPr>
              <w:rPr>
                <w:lang w:bidi="en-US"/>
              </w:rPr>
            </w:pPr>
            <w:r w:rsidRPr="002B34A0">
              <w:rPr>
                <w:lang w:bidi="en-US"/>
              </w:rPr>
              <w:t xml:space="preserve">analyze data   </w:t>
            </w:r>
          </w:p>
        </w:tc>
        <w:tc>
          <w:tcPr>
            <w:tcW w:w="6030" w:type="dxa"/>
            <w:tcBorders>
              <w:top w:val="single" w:sz="7" w:space="0" w:color="000000"/>
              <w:left w:val="single" w:sz="7" w:space="0" w:color="000000"/>
              <w:bottom w:val="single" w:sz="7" w:space="0" w:color="000000"/>
              <w:right w:val="single" w:sz="7" w:space="0" w:color="000000"/>
            </w:tcBorders>
          </w:tcPr>
          <w:p w:rsidR="002B34A0" w:rsidRPr="002B34A0" w:rsidRDefault="002B34A0" w:rsidP="002B34A0">
            <w:pPr>
              <w:rPr>
                <w:lang w:bidi="en-US"/>
              </w:rPr>
            </w:pPr>
            <w:r w:rsidRPr="005463D1">
              <w:rPr>
                <w:lang w:bidi="en-US"/>
              </w:rPr>
              <w:t>conduct</w:t>
            </w:r>
            <w:r w:rsidRPr="002B34A0">
              <w:rPr>
                <w:lang w:bidi="en-US"/>
              </w:rPr>
              <w:t xml:space="preserve"> scientific reviews of data</w:t>
            </w:r>
          </w:p>
        </w:tc>
      </w:tr>
      <w:tr w:rsidR="002B34A0" w:rsidRPr="002B34A0" w:rsidTr="002B34A0">
        <w:tc>
          <w:tcPr>
            <w:tcW w:w="3330" w:type="dxa"/>
            <w:tcBorders>
              <w:top w:val="single" w:sz="7" w:space="0" w:color="000000"/>
              <w:left w:val="single" w:sz="7" w:space="0" w:color="000000"/>
              <w:bottom w:val="single" w:sz="7" w:space="0" w:color="000000"/>
              <w:right w:val="single" w:sz="7" w:space="0" w:color="000000"/>
            </w:tcBorders>
          </w:tcPr>
          <w:p w:rsidR="002B34A0" w:rsidRPr="002B34A0" w:rsidRDefault="002B34A0" w:rsidP="002B34A0">
            <w:pPr>
              <w:rPr>
                <w:lang w:bidi="en-US"/>
              </w:rPr>
            </w:pPr>
            <w:r w:rsidRPr="002B34A0">
              <w:rPr>
                <w:lang w:bidi="en-US"/>
              </w:rPr>
              <w:t xml:space="preserve">store data </w:t>
            </w:r>
          </w:p>
        </w:tc>
        <w:tc>
          <w:tcPr>
            <w:tcW w:w="6030" w:type="dxa"/>
            <w:tcBorders>
              <w:top w:val="single" w:sz="7" w:space="0" w:color="000000"/>
              <w:left w:val="single" w:sz="7" w:space="0" w:color="000000"/>
              <w:bottom w:val="single" w:sz="7" w:space="0" w:color="000000"/>
              <w:right w:val="single" w:sz="7" w:space="0" w:color="000000"/>
            </w:tcBorders>
          </w:tcPr>
          <w:p w:rsidR="002B34A0" w:rsidRPr="002B34A0" w:rsidRDefault="002B34A0" w:rsidP="002B34A0">
            <w:pPr>
              <w:rPr>
                <w:lang w:bidi="en-US"/>
              </w:rPr>
            </w:pPr>
            <w:r w:rsidRPr="005463D1">
              <w:rPr>
                <w:lang w:bidi="en-US"/>
              </w:rPr>
              <w:t>index</w:t>
            </w:r>
            <w:r w:rsidRPr="002B34A0">
              <w:rPr>
                <w:lang w:bidi="en-US"/>
              </w:rPr>
              <w:t xml:space="preserve"> data and store it in Agency files</w:t>
            </w:r>
          </w:p>
        </w:tc>
      </w:tr>
    </w:tbl>
    <w:p w:rsidR="00EA7743" w:rsidRDefault="00EA7743" w:rsidP="00FB0FC4">
      <w:pPr>
        <w:pStyle w:val="Heading2"/>
        <w:ind w:left="360"/>
        <w:rPr>
          <w:lang w:bidi="en-US"/>
        </w:rPr>
      </w:pPr>
    </w:p>
    <w:p w:rsidR="002B34A0" w:rsidRPr="002B34A0" w:rsidRDefault="00CC4227" w:rsidP="00E91D79">
      <w:pPr>
        <w:pStyle w:val="Heading2"/>
        <w:tabs>
          <w:tab w:val="left" w:pos="1080"/>
        </w:tabs>
        <w:ind w:left="360"/>
        <w:rPr>
          <w:lang w:bidi="en-US"/>
        </w:rPr>
      </w:pPr>
      <w:bookmarkStart w:id="116" w:name="_Toc482020601"/>
      <w:r>
        <w:rPr>
          <w:lang w:bidi="en-US"/>
        </w:rPr>
        <w:t xml:space="preserve">7(b).  </w:t>
      </w:r>
      <w:r w:rsidR="002B34A0" w:rsidRPr="002B34A0">
        <w:rPr>
          <w:lang w:bidi="en-US"/>
        </w:rPr>
        <w:t>Collection Methodology and Management</w:t>
      </w:r>
      <w:bookmarkEnd w:id="116"/>
      <w:r w:rsidR="002B34A0" w:rsidRPr="002B34A0">
        <w:rPr>
          <w:lang w:bidi="en-US"/>
        </w:rPr>
        <w:t xml:space="preserve"> </w:t>
      </w:r>
    </w:p>
    <w:p w:rsidR="002B34A0" w:rsidRPr="002B34A0" w:rsidRDefault="002B34A0" w:rsidP="002B34A0">
      <w:pPr>
        <w:rPr>
          <w:lang w:bidi="en-US"/>
        </w:rPr>
      </w:pPr>
      <w:r w:rsidRPr="002B34A0">
        <w:rPr>
          <w:lang w:bidi="en-US"/>
        </w:rPr>
        <w:t xml:space="preserve">After initiating a statutorily mandated pesticide review whether a Special Review, closeout of a </w:t>
      </w:r>
      <w:r w:rsidRPr="005463D1">
        <w:rPr>
          <w:lang w:bidi="en-US"/>
        </w:rPr>
        <w:t>Reregistration</w:t>
      </w:r>
      <w:r w:rsidRPr="002B34A0">
        <w:rPr>
          <w:lang w:bidi="en-US"/>
        </w:rPr>
        <w:t xml:space="preserve"> Review, a Registration Review or </w:t>
      </w:r>
      <w:r w:rsidRPr="00D5421F">
        <w:rPr>
          <w:noProof/>
          <w:lang w:bidi="en-US"/>
        </w:rPr>
        <w:t>a AR</w:t>
      </w:r>
      <w:r w:rsidRPr="002B34A0">
        <w:rPr>
          <w:lang w:bidi="en-US"/>
        </w:rPr>
        <w:t xml:space="preserve"> or PCT Review and determining that additional data </w:t>
      </w:r>
      <w:r w:rsidRPr="005463D1">
        <w:rPr>
          <w:lang w:bidi="en-US"/>
        </w:rPr>
        <w:t>are needed</w:t>
      </w:r>
      <w:r w:rsidRPr="002B34A0">
        <w:rPr>
          <w:lang w:bidi="en-US"/>
        </w:rPr>
        <w:t xml:space="preserve">, the Agency will issue a DCI when the need for additional data </w:t>
      </w:r>
      <w:r w:rsidRPr="005463D1">
        <w:rPr>
          <w:lang w:bidi="en-US"/>
        </w:rPr>
        <w:t>has been identified</w:t>
      </w:r>
      <w:r w:rsidRPr="002B34A0">
        <w:rPr>
          <w:lang w:bidi="en-US"/>
        </w:rPr>
        <w:t xml:space="preserve">. </w:t>
      </w:r>
    </w:p>
    <w:p w:rsidR="002B34A0" w:rsidRPr="002B34A0" w:rsidRDefault="002B34A0" w:rsidP="002B34A0">
      <w:pPr>
        <w:rPr>
          <w:lang w:bidi="en-US"/>
        </w:rPr>
      </w:pPr>
    </w:p>
    <w:p w:rsidR="002B34A0" w:rsidRPr="002B34A0" w:rsidRDefault="002B34A0" w:rsidP="002B34A0">
      <w:pPr>
        <w:rPr>
          <w:lang w:bidi="en-US"/>
        </w:rPr>
      </w:pPr>
      <w:r w:rsidRPr="00D5421F">
        <w:rPr>
          <w:noProof/>
          <w:lang w:bidi="en-US"/>
        </w:rPr>
        <w:t>The</w:t>
      </w:r>
      <w:r w:rsidRPr="005463D1">
        <w:rPr>
          <w:lang w:bidi="en-US"/>
        </w:rPr>
        <w:t xml:space="preserve"> Pesticide Registration Information System (PRISM) software application developed</w:t>
      </w:r>
      <w:r w:rsidRPr="007D6E48">
        <w:rPr>
          <w:lang w:bidi="en-US"/>
        </w:rPr>
        <w:t xml:space="preserve"> </w:t>
      </w:r>
      <w:r w:rsidR="00226E77" w:rsidRPr="00D5421F">
        <w:rPr>
          <w:noProof/>
          <w:lang w:bidi="en-US"/>
        </w:rPr>
        <w:t>with</w:t>
      </w:r>
      <w:r w:rsidRPr="00D5421F">
        <w:rPr>
          <w:noProof/>
          <w:lang w:bidi="en-US"/>
        </w:rPr>
        <w:t>in OPP</w:t>
      </w:r>
      <w:r w:rsidRPr="007D6E48">
        <w:rPr>
          <w:lang w:bidi="en-US"/>
        </w:rPr>
        <w:t xml:space="preserve"> integrate</w:t>
      </w:r>
      <w:r w:rsidR="00226E77">
        <w:rPr>
          <w:lang w:bidi="en-US"/>
        </w:rPr>
        <w:t>s</w:t>
      </w:r>
      <w:r w:rsidRPr="007D6E48">
        <w:rPr>
          <w:lang w:bidi="en-US"/>
        </w:rPr>
        <w:t xml:space="preserve"> </w:t>
      </w:r>
      <w:r w:rsidR="00226E77">
        <w:rPr>
          <w:lang w:bidi="en-US"/>
        </w:rPr>
        <w:t xml:space="preserve">the </w:t>
      </w:r>
      <w:r w:rsidRPr="007D6E48">
        <w:rPr>
          <w:lang w:bidi="en-US"/>
        </w:rPr>
        <w:t>functionality ne</w:t>
      </w:r>
      <w:r w:rsidRPr="005463D1">
        <w:rPr>
          <w:lang w:bidi="en-US"/>
        </w:rPr>
        <w:t>cessary to support the Registration Review and EDSP (Endocrine Disrupter Screening Program)</w:t>
      </w:r>
      <w:r w:rsidR="00CB1488" w:rsidRPr="00CB1488">
        <w:rPr>
          <w:rStyle w:val="FootnoteReference"/>
          <w:vertAlign w:val="superscript"/>
          <w:lang w:bidi="en-US"/>
        </w:rPr>
        <w:footnoteReference w:id="24"/>
      </w:r>
      <w:r w:rsidRPr="005463D1">
        <w:rPr>
          <w:lang w:bidi="en-US"/>
        </w:rPr>
        <w:t xml:space="preserve"> programs.</w:t>
      </w:r>
      <w:r w:rsidRPr="002B34A0">
        <w:rPr>
          <w:lang w:bidi="en-US"/>
        </w:rPr>
        <w:t xml:space="preserve"> PRISM supports many of the Registration Review and EDSP processes associated </w:t>
      </w:r>
      <w:r w:rsidR="00226E77">
        <w:rPr>
          <w:noProof/>
          <w:lang w:bidi="en-US"/>
        </w:rPr>
        <w:t>with</w:t>
      </w:r>
      <w:r w:rsidRPr="002B34A0">
        <w:rPr>
          <w:lang w:bidi="en-US"/>
        </w:rPr>
        <w:t xml:space="preserve"> tracking, including DCIs</w:t>
      </w:r>
      <w:r w:rsidRPr="005463D1">
        <w:rPr>
          <w:lang w:bidi="en-US"/>
        </w:rPr>
        <w:t>,</w:t>
      </w:r>
      <w:r w:rsidRPr="002B34A0">
        <w:rPr>
          <w:lang w:bidi="en-US"/>
        </w:rPr>
        <w:t xml:space="preserve"> 408(p) orders </w:t>
      </w:r>
      <w:r w:rsidRPr="005463D1">
        <w:rPr>
          <w:lang w:bidi="en-US"/>
        </w:rPr>
        <w:t>s</w:t>
      </w:r>
      <w:r w:rsidRPr="002B34A0">
        <w:rPr>
          <w:lang w:bidi="en-US"/>
        </w:rPr>
        <w:t xml:space="preserve">, and data submissions.  PRISM serves as a replacement for the equivalent functionality provided by the Office of Pesticide Programs Information Network (OPPIN) application.  PRISM </w:t>
      </w:r>
      <w:r w:rsidRPr="005463D1">
        <w:rPr>
          <w:lang w:bidi="en-US"/>
        </w:rPr>
        <w:t>was enhanced</w:t>
      </w:r>
      <w:r w:rsidRPr="002B34A0">
        <w:rPr>
          <w:lang w:bidi="en-US"/>
        </w:rPr>
        <w:t xml:space="preserve"> to accept electronic registration (e-Registration) documents.  </w:t>
      </w:r>
      <w:r w:rsidRPr="005463D1">
        <w:rPr>
          <w:lang w:bidi="en-US"/>
        </w:rPr>
        <w:t xml:space="preserve">The e-Submission module of PRISM supports the processing of a number of specific application documents (FIFRA </w:t>
      </w:r>
      <w:r w:rsidR="005F7651" w:rsidRPr="005463D1">
        <w:rPr>
          <w:lang w:bidi="en-US"/>
        </w:rPr>
        <w:t>§</w:t>
      </w:r>
      <w:r w:rsidRPr="007D6E48">
        <w:rPr>
          <w:lang w:bidi="en-US"/>
        </w:rPr>
        <w:t xml:space="preserve">3 new applications, </w:t>
      </w:r>
      <w:r w:rsidR="005F7651" w:rsidRPr="005463D1">
        <w:rPr>
          <w:lang w:bidi="en-US"/>
        </w:rPr>
        <w:t>§</w:t>
      </w:r>
      <w:r w:rsidRPr="005463D1">
        <w:rPr>
          <w:lang w:bidi="en-US"/>
        </w:rPr>
        <w:t xml:space="preserve">3 amendments, experimental use permits, petitions for tolerances, and </w:t>
      </w:r>
      <w:r w:rsidRPr="00D5421F">
        <w:rPr>
          <w:noProof/>
          <w:lang w:bidi="en-US"/>
        </w:rPr>
        <w:t>applications</w:t>
      </w:r>
      <w:r w:rsidRPr="005463D1">
        <w:rPr>
          <w:lang w:bidi="en-US"/>
        </w:rPr>
        <w:t xml:space="preserve"> for supplemental distributor products) required for pesticide applications.</w:t>
      </w:r>
      <w:r w:rsidRPr="002B34A0">
        <w:rPr>
          <w:lang w:bidi="en-US"/>
        </w:rPr>
        <w:t xml:space="preserve">  OPP continues to track </w:t>
      </w:r>
      <w:r w:rsidRPr="005463D1">
        <w:rPr>
          <w:lang w:bidi="en-US"/>
        </w:rPr>
        <w:t>Reregistration</w:t>
      </w:r>
      <w:r w:rsidRPr="002B34A0">
        <w:rPr>
          <w:lang w:bidi="en-US"/>
        </w:rPr>
        <w:t xml:space="preserve"> program information, including DCIs, registrant responses, and </w:t>
      </w:r>
      <w:r w:rsidRPr="005463D1">
        <w:rPr>
          <w:lang w:bidi="en-US"/>
        </w:rPr>
        <w:t>reregistration</w:t>
      </w:r>
      <w:r w:rsidRPr="002B34A0">
        <w:rPr>
          <w:lang w:bidi="en-US"/>
        </w:rPr>
        <w:t xml:space="preserve"> data submissions through OPPIN.  </w:t>
      </w:r>
      <w:r w:rsidRPr="005463D1">
        <w:rPr>
          <w:lang w:bidi="en-US"/>
        </w:rPr>
        <w:t>Also</w:t>
      </w:r>
      <w:r w:rsidRPr="002B34A0">
        <w:rPr>
          <w:lang w:bidi="en-US"/>
        </w:rPr>
        <w:t xml:space="preserve"> currently, OPPIN lists the bibliography of data submitters for all the DCIs.  All correspondence associated with the issuance and response to the DCI </w:t>
      </w:r>
      <w:r w:rsidRPr="005463D1">
        <w:rPr>
          <w:lang w:bidi="en-US"/>
        </w:rPr>
        <w:t>is filed</w:t>
      </w:r>
      <w:r w:rsidRPr="002B34A0">
        <w:rPr>
          <w:lang w:bidi="en-US"/>
        </w:rPr>
        <w:t xml:space="preserve"> in the master registration file or ‘registration jacket’ of affected products.  </w:t>
      </w:r>
      <w:r w:rsidRPr="005463D1">
        <w:rPr>
          <w:lang w:bidi="en-US"/>
        </w:rPr>
        <w:t>Failures</w:t>
      </w:r>
      <w:r w:rsidRPr="002B34A0">
        <w:rPr>
          <w:lang w:bidi="en-US"/>
        </w:rPr>
        <w:t xml:space="preserve"> to comply with DCI requirements </w:t>
      </w:r>
      <w:r w:rsidRPr="005463D1">
        <w:rPr>
          <w:lang w:bidi="en-US"/>
        </w:rPr>
        <w:t>are referred</w:t>
      </w:r>
      <w:r w:rsidRPr="002B34A0">
        <w:rPr>
          <w:lang w:bidi="en-US"/>
        </w:rPr>
        <w:t xml:space="preserve"> to EPA's Office of Enforcement </w:t>
      </w:r>
      <w:r w:rsidRPr="005463D1">
        <w:rPr>
          <w:lang w:bidi="en-US"/>
        </w:rPr>
        <w:t>and</w:t>
      </w:r>
      <w:r w:rsidRPr="002B34A0">
        <w:rPr>
          <w:lang w:bidi="en-US"/>
        </w:rPr>
        <w:t xml:space="preserve"> Compliance Assurance for appropriate </w:t>
      </w:r>
      <w:r w:rsidRPr="00D5421F">
        <w:rPr>
          <w:noProof/>
          <w:lang w:bidi="en-US"/>
        </w:rPr>
        <w:t>follow</w:t>
      </w:r>
      <w:r w:rsidR="00226E77">
        <w:rPr>
          <w:noProof/>
          <w:lang w:bidi="en-US"/>
        </w:rPr>
        <w:t>-</w:t>
      </w:r>
      <w:r w:rsidRPr="00D5421F">
        <w:rPr>
          <w:noProof/>
          <w:lang w:bidi="en-US"/>
        </w:rPr>
        <w:t>up</w:t>
      </w:r>
      <w:r w:rsidRPr="002B34A0">
        <w:rPr>
          <w:lang w:bidi="en-US"/>
        </w:rPr>
        <w:t xml:space="preserve"> actions.</w:t>
      </w:r>
    </w:p>
    <w:p w:rsidR="002B34A0" w:rsidRPr="002B34A0" w:rsidRDefault="002B34A0" w:rsidP="002B34A0">
      <w:pPr>
        <w:rPr>
          <w:lang w:bidi="en-US"/>
        </w:rPr>
      </w:pPr>
    </w:p>
    <w:p w:rsidR="002B34A0" w:rsidRPr="002B34A0" w:rsidRDefault="002B34A0" w:rsidP="002B34A0">
      <w:pPr>
        <w:rPr>
          <w:lang w:bidi="en-US"/>
        </w:rPr>
      </w:pPr>
      <w:r w:rsidRPr="002B34A0">
        <w:rPr>
          <w:lang w:bidi="en-US"/>
        </w:rPr>
        <w:t xml:space="preserve">Although the Agency does not publish the submitted information, public access to the OPPIN bibliography </w:t>
      </w:r>
      <w:r w:rsidRPr="005463D1">
        <w:rPr>
          <w:lang w:bidi="en-US"/>
        </w:rPr>
        <w:t>is made</w:t>
      </w:r>
      <w:r w:rsidRPr="002B34A0">
        <w:rPr>
          <w:lang w:bidi="en-US"/>
        </w:rPr>
        <w:t xml:space="preserve"> through the National Pesticides Information Retrieval System (NPIRS).  NPIRS supports searches of the OPPIN database by chemical, subject, submission date, laboratory, guideline number, and document type.  The public may request copies of </w:t>
      </w:r>
      <w:r w:rsidRPr="005463D1">
        <w:rPr>
          <w:lang w:bidi="en-US"/>
        </w:rPr>
        <w:t>non-confidential</w:t>
      </w:r>
      <w:r w:rsidRPr="002B34A0">
        <w:rPr>
          <w:lang w:bidi="en-US"/>
        </w:rPr>
        <w:t xml:space="preserve"> studies through FOIA.</w:t>
      </w:r>
    </w:p>
    <w:p w:rsidR="002B34A0" w:rsidRPr="002B34A0" w:rsidRDefault="002B34A0" w:rsidP="002B34A0">
      <w:pPr>
        <w:rPr>
          <w:lang w:bidi="en-US"/>
        </w:rPr>
      </w:pPr>
    </w:p>
    <w:p w:rsidR="00EA7743" w:rsidRDefault="00EA7743" w:rsidP="00FB0FC4">
      <w:pPr>
        <w:ind w:left="360"/>
        <w:rPr>
          <w:lang w:bidi="en-US"/>
        </w:rPr>
      </w:pPr>
    </w:p>
    <w:p w:rsidR="00FB0FC4" w:rsidRPr="00EA7743" w:rsidRDefault="00CC4227" w:rsidP="00E91D79">
      <w:pPr>
        <w:pStyle w:val="Heading2"/>
        <w:tabs>
          <w:tab w:val="left" w:pos="1080"/>
        </w:tabs>
        <w:ind w:left="360"/>
      </w:pPr>
      <w:bookmarkStart w:id="117" w:name="_Toc482020602"/>
      <w:r>
        <w:t xml:space="preserve">7(c).  </w:t>
      </w:r>
      <w:r w:rsidR="00327CF3" w:rsidRPr="00EA7743">
        <w:t>Agency Burden and Costs</w:t>
      </w:r>
      <w:bookmarkEnd w:id="117"/>
    </w:p>
    <w:p w:rsidR="000F4CEA" w:rsidRPr="000F4CEA" w:rsidRDefault="00653AB8" w:rsidP="000F4CEA">
      <w:pPr>
        <w:rPr>
          <w:rFonts w:cs="Arial"/>
        </w:rPr>
      </w:pPr>
      <w:r w:rsidRPr="000F4CEA">
        <w:rPr>
          <w:rFonts w:cs="Arial"/>
        </w:rPr>
        <w:t xml:space="preserve">While Agency </w:t>
      </w:r>
      <w:r w:rsidR="004B4EE5">
        <w:rPr>
          <w:rFonts w:cs="Arial"/>
        </w:rPr>
        <w:t xml:space="preserve">burden activities for processing all </w:t>
      </w:r>
      <w:r w:rsidRPr="000F4CEA">
        <w:rPr>
          <w:rFonts w:cs="Arial"/>
        </w:rPr>
        <w:t xml:space="preserve">DCIs is substantially similar, the Agency burden and </w:t>
      </w:r>
      <w:r w:rsidR="00777552" w:rsidRPr="000F4CEA">
        <w:rPr>
          <w:rFonts w:cs="Arial"/>
        </w:rPr>
        <w:t xml:space="preserve">cost </w:t>
      </w:r>
      <w:r w:rsidR="00226E77">
        <w:rPr>
          <w:rFonts w:cs="Arial"/>
          <w:noProof/>
        </w:rPr>
        <w:t>are</w:t>
      </w:r>
      <w:r w:rsidRPr="000F4CEA">
        <w:rPr>
          <w:rFonts w:cs="Arial"/>
        </w:rPr>
        <w:t xml:space="preserve"> commensurate with the amount of data to be analyzed</w:t>
      </w:r>
      <w:r w:rsidR="004B4EE5">
        <w:rPr>
          <w:rFonts w:cs="Arial"/>
        </w:rPr>
        <w:t xml:space="preserve"> and the specific DCI.  </w:t>
      </w:r>
      <w:r w:rsidRPr="000F4CEA">
        <w:rPr>
          <w:rFonts w:cs="Arial"/>
        </w:rPr>
        <w:t>A detailed breakout of the Agency burden and cost for the different types of DCIs</w:t>
      </w:r>
      <w:r w:rsidR="004B4EE5">
        <w:rPr>
          <w:rFonts w:cs="Arial"/>
        </w:rPr>
        <w:t xml:space="preserve"> for the</w:t>
      </w:r>
      <w:r w:rsidR="000F4CEA">
        <w:rPr>
          <w:rFonts w:cs="Arial"/>
        </w:rPr>
        <w:t xml:space="preserve"> Reregistra</w:t>
      </w:r>
      <w:r w:rsidR="004B4EE5">
        <w:rPr>
          <w:rFonts w:cs="Arial"/>
        </w:rPr>
        <w:t>ti</w:t>
      </w:r>
      <w:r w:rsidR="000F4CEA">
        <w:rPr>
          <w:rFonts w:cs="Arial"/>
        </w:rPr>
        <w:t xml:space="preserve">on, Registration Review, Special Review, AR and PCT </w:t>
      </w:r>
      <w:r w:rsidR="004B4EE5">
        <w:rPr>
          <w:rFonts w:cs="Arial"/>
        </w:rPr>
        <w:t>pr</w:t>
      </w:r>
      <w:r w:rsidR="00B20FED">
        <w:rPr>
          <w:rFonts w:cs="Arial"/>
        </w:rPr>
        <w:t>o</w:t>
      </w:r>
      <w:r w:rsidR="004B4EE5">
        <w:rPr>
          <w:rFonts w:cs="Arial"/>
        </w:rPr>
        <w:t xml:space="preserve">grams </w:t>
      </w:r>
      <w:r w:rsidR="000F4CEA">
        <w:rPr>
          <w:rFonts w:cs="Arial"/>
        </w:rPr>
        <w:t xml:space="preserve">are </w:t>
      </w:r>
      <w:r w:rsidRPr="000F4CEA">
        <w:rPr>
          <w:rFonts w:cs="Arial"/>
        </w:rPr>
        <w:t xml:space="preserve">in Attachment </w:t>
      </w:r>
      <w:r w:rsidR="005719AF">
        <w:rPr>
          <w:rFonts w:cs="Arial"/>
        </w:rPr>
        <w:t>B, Appendices A, B and C.</w:t>
      </w:r>
      <w:r w:rsidRPr="000F4CEA">
        <w:rPr>
          <w:rFonts w:cs="Arial"/>
        </w:rPr>
        <w:t xml:space="preserve"> </w:t>
      </w:r>
      <w:r w:rsidR="000F4CEA" w:rsidRPr="000F4CEA">
        <w:rPr>
          <w:rFonts w:cs="Arial"/>
        </w:rPr>
        <w:t xml:space="preserve">The Agency </w:t>
      </w:r>
      <w:r w:rsidR="000F4CEA" w:rsidRPr="00D5421F">
        <w:rPr>
          <w:rFonts w:cs="Arial"/>
          <w:noProof/>
        </w:rPr>
        <w:t>labor</w:t>
      </w:r>
      <w:r w:rsidR="00226E77">
        <w:rPr>
          <w:rFonts w:cs="Arial"/>
          <w:noProof/>
        </w:rPr>
        <w:t>,</w:t>
      </w:r>
      <w:r w:rsidR="000F4CEA" w:rsidRPr="000F4CEA">
        <w:rPr>
          <w:rFonts w:cs="Arial"/>
        </w:rPr>
        <w:t xml:space="preserve"> and wage rate calculations are in Attachment </w:t>
      </w:r>
      <w:r w:rsidR="00B20FED">
        <w:rPr>
          <w:rFonts w:cs="Arial"/>
        </w:rPr>
        <w:t>C</w:t>
      </w:r>
      <w:r w:rsidR="000F4CEA" w:rsidRPr="000F4CEA">
        <w:rPr>
          <w:rFonts w:cs="Arial"/>
        </w:rPr>
        <w:t xml:space="preserve">. </w:t>
      </w:r>
    </w:p>
    <w:p w:rsidR="000F4CEA" w:rsidRDefault="000F4CEA" w:rsidP="000F4CEA">
      <w:pPr>
        <w:pStyle w:val="ListParagraph"/>
        <w:ind w:left="360"/>
        <w:rPr>
          <w:rFonts w:cs="Arial"/>
        </w:rPr>
      </w:pPr>
    </w:p>
    <w:p w:rsidR="002B34A0" w:rsidRPr="002B34A0" w:rsidRDefault="002B34A0" w:rsidP="002B34A0">
      <w:pPr>
        <w:rPr>
          <w:lang w:bidi="en-US"/>
        </w:rPr>
      </w:pPr>
    </w:p>
    <w:p w:rsidR="00EA7743" w:rsidRDefault="00CC4227" w:rsidP="00E91D79">
      <w:pPr>
        <w:pStyle w:val="Heading2"/>
        <w:tabs>
          <w:tab w:val="left" w:pos="1080"/>
        </w:tabs>
        <w:ind w:left="360"/>
        <w:rPr>
          <w:lang w:bidi="en-US"/>
        </w:rPr>
      </w:pPr>
      <w:bookmarkStart w:id="118" w:name="_Toc482020603"/>
      <w:r>
        <w:rPr>
          <w:lang w:bidi="en-US"/>
        </w:rPr>
        <w:t xml:space="preserve">7(d).  </w:t>
      </w:r>
      <w:r w:rsidR="00EA7743">
        <w:rPr>
          <w:lang w:bidi="en-US"/>
        </w:rPr>
        <w:t>Agency Burden and Cost Estimates</w:t>
      </w:r>
      <w:r w:rsidR="004B4EE5">
        <w:rPr>
          <w:lang w:bidi="en-US"/>
        </w:rPr>
        <w:t xml:space="preserve"> – Bottom Line Master Chart</w:t>
      </w:r>
      <w:bookmarkEnd w:id="118"/>
    </w:p>
    <w:p w:rsidR="004B4EE5" w:rsidRPr="004B4EE5" w:rsidRDefault="004B4EE5" w:rsidP="004B4EE5">
      <w:pPr>
        <w:rPr>
          <w:lang w:bidi="en-US"/>
        </w:rPr>
      </w:pPr>
      <w:r>
        <w:rPr>
          <w:lang w:bidi="en-US"/>
        </w:rPr>
        <w:t xml:space="preserve">Table 5 provides a summary of the </w:t>
      </w:r>
      <w:r w:rsidR="00990F55">
        <w:rPr>
          <w:lang w:bidi="en-US"/>
        </w:rPr>
        <w:t>3-year</w:t>
      </w:r>
      <w:r>
        <w:rPr>
          <w:lang w:bidi="en-US"/>
        </w:rPr>
        <w:t xml:space="preserve"> total estimated Agen</w:t>
      </w:r>
      <w:r w:rsidR="005C2106">
        <w:rPr>
          <w:lang w:bidi="en-US"/>
        </w:rPr>
        <w:t>c</w:t>
      </w:r>
      <w:r>
        <w:rPr>
          <w:lang w:bidi="en-US"/>
        </w:rPr>
        <w:t>y burden and cost for all DCI pr</w:t>
      </w:r>
      <w:r w:rsidR="00B20FED">
        <w:rPr>
          <w:lang w:bidi="en-US"/>
        </w:rPr>
        <w:t>o</w:t>
      </w:r>
      <w:r>
        <w:rPr>
          <w:lang w:bidi="en-US"/>
        </w:rPr>
        <w:t>grams.</w:t>
      </w:r>
      <w:r w:rsidR="00C124C5">
        <w:rPr>
          <w:lang w:bidi="en-US"/>
        </w:rPr>
        <w:t xml:space="preserve"> Annual A</w:t>
      </w:r>
      <w:r w:rsidR="006A7027">
        <w:rPr>
          <w:lang w:bidi="en-US"/>
        </w:rPr>
        <w:t xml:space="preserve">gency burden hours for DCI activities are estimated at 9410 hours at a cost of $751,759.     </w:t>
      </w:r>
    </w:p>
    <w:p w:rsidR="004B4EE5" w:rsidRDefault="004B4EE5" w:rsidP="004B4EE5">
      <w:pPr>
        <w:rPr>
          <w:lang w:bidi="en-US"/>
        </w:rPr>
      </w:pPr>
    </w:p>
    <w:p w:rsidR="004B4EE5" w:rsidRPr="004B4EE5" w:rsidRDefault="004B4EE5" w:rsidP="004B4EE5">
      <w:pPr>
        <w:rPr>
          <w:lang w:bidi="en-US"/>
        </w:rPr>
      </w:pPr>
      <w:r>
        <w:rPr>
          <w:lang w:bidi="en-US"/>
        </w:rPr>
        <w:t>Table 5.</w:t>
      </w:r>
      <w:r w:rsidR="00990F55">
        <w:rPr>
          <w:lang w:bidi="en-US"/>
        </w:rPr>
        <w:t xml:space="preserve"> Summary</w:t>
      </w:r>
      <w:r w:rsidR="00C124C5">
        <w:rPr>
          <w:lang w:bidi="en-US"/>
        </w:rPr>
        <w:t xml:space="preserve"> of Agency DCI Paperwork Burden and Cost</w:t>
      </w:r>
      <w:r w:rsidR="00990F55">
        <w:rPr>
          <w:lang w:bidi="en-US"/>
        </w:rPr>
        <w:t xml:space="preserve"> (3-year totals)   </w:t>
      </w:r>
    </w:p>
    <w:tbl>
      <w:tblPr>
        <w:tblW w:w="0" w:type="auto"/>
        <w:tblLook w:val="04A0" w:firstRow="1" w:lastRow="0" w:firstColumn="1" w:lastColumn="0" w:noHBand="0" w:noVBand="1"/>
      </w:tblPr>
      <w:tblGrid>
        <w:gridCol w:w="2826"/>
        <w:gridCol w:w="1084"/>
        <w:gridCol w:w="1562"/>
        <w:gridCol w:w="828"/>
        <w:gridCol w:w="1217"/>
        <w:gridCol w:w="1562"/>
        <w:gridCol w:w="1217"/>
      </w:tblGrid>
      <w:tr w:rsidR="001C01DB" w:rsidRPr="00AF3B2A" w:rsidTr="00C870E8">
        <w:trPr>
          <w:trHeight w:val="31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C01DB" w:rsidRPr="00AF3B2A" w:rsidRDefault="001C01DB" w:rsidP="00C870E8">
            <w:pPr>
              <w:keepNext/>
              <w:keepLines/>
              <w:contextualSpacing/>
              <w:rPr>
                <w:color w:val="000000"/>
                <w:sz w:val="22"/>
              </w:rPr>
            </w:pP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1C01DB" w:rsidRPr="00AF3B2A" w:rsidRDefault="001C01DB" w:rsidP="00C870E8">
            <w:pPr>
              <w:keepNext/>
              <w:keepLines/>
              <w:contextualSpacing/>
              <w:jc w:val="center"/>
              <w:rPr>
                <w:b/>
                <w:bCs/>
                <w:color w:val="000000"/>
                <w:sz w:val="20"/>
                <w:szCs w:val="20"/>
              </w:rPr>
            </w:pPr>
            <w:r w:rsidRPr="00AF3B2A">
              <w:rPr>
                <w:b/>
                <w:bCs/>
                <w:color w:val="000000"/>
                <w:sz w:val="20"/>
                <w:szCs w:val="20"/>
              </w:rPr>
              <w:t>Burden Hours</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1C01DB" w:rsidRPr="00AF3B2A" w:rsidRDefault="001C01DB" w:rsidP="00C870E8">
            <w:pPr>
              <w:keepNext/>
              <w:keepLines/>
              <w:contextualSpacing/>
              <w:jc w:val="center"/>
              <w:rPr>
                <w:b/>
                <w:bCs/>
                <w:color w:val="000000"/>
                <w:sz w:val="20"/>
                <w:szCs w:val="20"/>
              </w:rPr>
            </w:pPr>
            <w:r w:rsidRPr="00AF3B2A">
              <w:rPr>
                <w:b/>
                <w:bCs/>
                <w:color w:val="000000"/>
                <w:sz w:val="20"/>
                <w:szCs w:val="20"/>
              </w:rPr>
              <w:t>Costs</w:t>
            </w:r>
          </w:p>
        </w:tc>
      </w:tr>
      <w:tr w:rsidR="001C01DB" w:rsidRPr="00AF3B2A" w:rsidTr="00C870E8">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1C01DB" w:rsidRPr="00AF3B2A" w:rsidRDefault="001C01DB" w:rsidP="00C870E8">
            <w:pPr>
              <w:keepNext/>
              <w:keepLines/>
              <w:contextualSpacing/>
              <w:rPr>
                <w:color w:val="000000"/>
                <w:sz w:val="22"/>
              </w:rPr>
            </w:pPr>
          </w:p>
        </w:tc>
        <w:tc>
          <w:tcPr>
            <w:tcW w:w="0" w:type="auto"/>
            <w:tcBorders>
              <w:top w:val="nil"/>
              <w:left w:val="nil"/>
              <w:bottom w:val="single" w:sz="8" w:space="0" w:color="auto"/>
              <w:right w:val="single" w:sz="8" w:space="0" w:color="auto"/>
            </w:tcBorders>
            <w:shd w:val="clear" w:color="auto" w:fill="auto"/>
            <w:vAlign w:val="center"/>
            <w:hideMark/>
          </w:tcPr>
          <w:p w:rsidR="001C01DB" w:rsidRPr="00AF3B2A" w:rsidRDefault="001C01DB" w:rsidP="00C870E8">
            <w:pPr>
              <w:keepNext/>
              <w:keepLines/>
              <w:contextualSpacing/>
              <w:jc w:val="center"/>
              <w:rPr>
                <w:color w:val="000000"/>
                <w:sz w:val="20"/>
                <w:szCs w:val="20"/>
              </w:rPr>
            </w:pPr>
            <w:r w:rsidRPr="00AF3B2A">
              <w:rPr>
                <w:color w:val="000000"/>
                <w:sz w:val="20"/>
                <w:szCs w:val="20"/>
              </w:rPr>
              <w:t>Reporting</w:t>
            </w:r>
          </w:p>
        </w:tc>
        <w:tc>
          <w:tcPr>
            <w:tcW w:w="0" w:type="auto"/>
            <w:tcBorders>
              <w:top w:val="nil"/>
              <w:left w:val="nil"/>
              <w:bottom w:val="single" w:sz="8" w:space="0" w:color="auto"/>
              <w:right w:val="single" w:sz="8" w:space="0" w:color="auto"/>
            </w:tcBorders>
            <w:shd w:val="clear" w:color="auto" w:fill="auto"/>
            <w:vAlign w:val="center"/>
            <w:hideMark/>
          </w:tcPr>
          <w:p w:rsidR="001C01DB" w:rsidRPr="00AF3B2A" w:rsidRDefault="001C01DB" w:rsidP="00C870E8">
            <w:pPr>
              <w:keepNext/>
              <w:keepLines/>
              <w:contextualSpacing/>
              <w:jc w:val="center"/>
              <w:rPr>
                <w:color w:val="000000"/>
                <w:sz w:val="20"/>
                <w:szCs w:val="20"/>
              </w:rPr>
            </w:pPr>
            <w:r w:rsidRPr="00AF3B2A">
              <w:rPr>
                <w:color w:val="000000"/>
                <w:sz w:val="20"/>
                <w:szCs w:val="20"/>
              </w:rPr>
              <w:t>Recordkeeping</w:t>
            </w:r>
          </w:p>
        </w:tc>
        <w:tc>
          <w:tcPr>
            <w:tcW w:w="0" w:type="auto"/>
            <w:tcBorders>
              <w:top w:val="nil"/>
              <w:left w:val="nil"/>
              <w:bottom w:val="single" w:sz="8" w:space="0" w:color="auto"/>
              <w:right w:val="single" w:sz="8" w:space="0" w:color="auto"/>
            </w:tcBorders>
            <w:shd w:val="clear" w:color="auto" w:fill="auto"/>
            <w:vAlign w:val="center"/>
            <w:hideMark/>
          </w:tcPr>
          <w:p w:rsidR="001C01DB" w:rsidRPr="00AF3B2A" w:rsidRDefault="001C01DB" w:rsidP="00C870E8">
            <w:pPr>
              <w:keepNext/>
              <w:keepLines/>
              <w:contextualSpacing/>
              <w:jc w:val="center"/>
              <w:rPr>
                <w:color w:val="000000"/>
                <w:sz w:val="20"/>
                <w:szCs w:val="20"/>
              </w:rPr>
            </w:pPr>
            <w:r w:rsidRPr="00AF3B2A">
              <w:rPr>
                <w:color w:val="000000"/>
                <w:sz w:val="20"/>
                <w:szCs w:val="20"/>
              </w:rPr>
              <w:t>Total</w:t>
            </w:r>
          </w:p>
        </w:tc>
        <w:tc>
          <w:tcPr>
            <w:tcW w:w="0" w:type="auto"/>
            <w:tcBorders>
              <w:top w:val="nil"/>
              <w:left w:val="nil"/>
              <w:bottom w:val="single" w:sz="8" w:space="0" w:color="auto"/>
              <w:right w:val="single" w:sz="8" w:space="0" w:color="auto"/>
            </w:tcBorders>
            <w:shd w:val="clear" w:color="auto" w:fill="auto"/>
            <w:vAlign w:val="center"/>
            <w:hideMark/>
          </w:tcPr>
          <w:p w:rsidR="001C01DB" w:rsidRPr="00AF3B2A" w:rsidRDefault="001C01DB" w:rsidP="00C870E8">
            <w:pPr>
              <w:keepNext/>
              <w:keepLines/>
              <w:contextualSpacing/>
              <w:jc w:val="center"/>
              <w:rPr>
                <w:color w:val="000000"/>
                <w:sz w:val="20"/>
                <w:szCs w:val="20"/>
              </w:rPr>
            </w:pPr>
            <w:r w:rsidRPr="00AF3B2A">
              <w:rPr>
                <w:color w:val="000000"/>
                <w:sz w:val="20"/>
                <w:szCs w:val="20"/>
              </w:rPr>
              <w:t>Reporting</w:t>
            </w:r>
          </w:p>
        </w:tc>
        <w:tc>
          <w:tcPr>
            <w:tcW w:w="0" w:type="auto"/>
            <w:tcBorders>
              <w:top w:val="nil"/>
              <w:left w:val="nil"/>
              <w:bottom w:val="single" w:sz="8" w:space="0" w:color="auto"/>
              <w:right w:val="single" w:sz="8" w:space="0" w:color="auto"/>
            </w:tcBorders>
            <w:shd w:val="clear" w:color="auto" w:fill="auto"/>
            <w:vAlign w:val="center"/>
            <w:hideMark/>
          </w:tcPr>
          <w:p w:rsidR="001C01DB" w:rsidRPr="00AF3B2A" w:rsidRDefault="001C01DB" w:rsidP="00C870E8">
            <w:pPr>
              <w:keepNext/>
              <w:keepLines/>
              <w:contextualSpacing/>
              <w:jc w:val="center"/>
              <w:rPr>
                <w:color w:val="000000"/>
                <w:sz w:val="20"/>
                <w:szCs w:val="20"/>
              </w:rPr>
            </w:pPr>
            <w:r w:rsidRPr="00AF3B2A">
              <w:rPr>
                <w:color w:val="000000"/>
                <w:sz w:val="20"/>
                <w:szCs w:val="20"/>
              </w:rPr>
              <w:t>Recordkeeping</w:t>
            </w:r>
          </w:p>
        </w:tc>
        <w:tc>
          <w:tcPr>
            <w:tcW w:w="0" w:type="auto"/>
            <w:tcBorders>
              <w:top w:val="nil"/>
              <w:left w:val="nil"/>
              <w:bottom w:val="single" w:sz="8" w:space="0" w:color="auto"/>
              <w:right w:val="single" w:sz="8" w:space="0" w:color="auto"/>
            </w:tcBorders>
            <w:shd w:val="clear" w:color="auto" w:fill="auto"/>
            <w:vAlign w:val="center"/>
            <w:hideMark/>
          </w:tcPr>
          <w:p w:rsidR="001C01DB" w:rsidRPr="00AF3B2A" w:rsidRDefault="001C01DB" w:rsidP="00C870E8">
            <w:pPr>
              <w:keepNext/>
              <w:keepLines/>
              <w:contextualSpacing/>
              <w:jc w:val="center"/>
              <w:rPr>
                <w:color w:val="000000"/>
                <w:sz w:val="20"/>
                <w:szCs w:val="20"/>
              </w:rPr>
            </w:pPr>
            <w:r w:rsidRPr="00AF3B2A">
              <w:rPr>
                <w:color w:val="000000"/>
                <w:sz w:val="20"/>
                <w:szCs w:val="20"/>
              </w:rPr>
              <w:t>Total</w:t>
            </w:r>
          </w:p>
        </w:tc>
      </w:tr>
      <w:tr w:rsidR="001C01DB" w:rsidRPr="00280AA7" w:rsidTr="00C870E8">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rPr>
                <w:bCs/>
                <w:color w:val="000000"/>
                <w:sz w:val="20"/>
                <w:szCs w:val="20"/>
              </w:rPr>
            </w:pPr>
            <w:r w:rsidRPr="00280AA7">
              <w:rPr>
                <w:bCs/>
                <w:color w:val="000000"/>
                <w:sz w:val="20"/>
                <w:szCs w:val="20"/>
              </w:rPr>
              <w:t>Reregistration Program DCIs</w:t>
            </w:r>
          </w:p>
        </w:tc>
        <w:tc>
          <w:tcPr>
            <w:tcW w:w="0" w:type="auto"/>
            <w:tcBorders>
              <w:top w:val="nil"/>
              <w:left w:val="nil"/>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jc w:val="right"/>
              <w:rPr>
                <w:color w:val="000000"/>
                <w:sz w:val="20"/>
                <w:szCs w:val="20"/>
              </w:rPr>
            </w:pPr>
            <w:r w:rsidRPr="00280AA7">
              <w:rPr>
                <w:color w:val="000000"/>
                <w:sz w:val="20"/>
                <w:szCs w:val="20"/>
              </w:rPr>
              <w:t>14,339</w:t>
            </w:r>
          </w:p>
        </w:tc>
        <w:tc>
          <w:tcPr>
            <w:tcW w:w="0" w:type="auto"/>
            <w:tcBorders>
              <w:top w:val="nil"/>
              <w:left w:val="nil"/>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jc w:val="right"/>
              <w:rPr>
                <w:color w:val="000000"/>
                <w:sz w:val="20"/>
                <w:szCs w:val="20"/>
              </w:rPr>
            </w:pPr>
            <w:r w:rsidRPr="00280AA7">
              <w:rPr>
                <w:color w:val="000000"/>
                <w:sz w:val="20"/>
                <w:szCs w:val="20"/>
              </w:rPr>
              <w:t>198</w:t>
            </w:r>
          </w:p>
        </w:tc>
        <w:tc>
          <w:tcPr>
            <w:tcW w:w="0" w:type="auto"/>
            <w:tcBorders>
              <w:top w:val="nil"/>
              <w:left w:val="nil"/>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jc w:val="right"/>
              <w:rPr>
                <w:color w:val="000000"/>
                <w:sz w:val="20"/>
                <w:szCs w:val="20"/>
              </w:rPr>
            </w:pPr>
            <w:r w:rsidRPr="00280AA7">
              <w:rPr>
                <w:color w:val="000000"/>
                <w:sz w:val="20"/>
                <w:szCs w:val="20"/>
              </w:rPr>
              <w:t>14,537</w:t>
            </w:r>
          </w:p>
        </w:tc>
        <w:tc>
          <w:tcPr>
            <w:tcW w:w="0" w:type="auto"/>
            <w:tcBorders>
              <w:top w:val="nil"/>
              <w:left w:val="nil"/>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jc w:val="right"/>
              <w:rPr>
                <w:color w:val="000000"/>
                <w:sz w:val="20"/>
                <w:szCs w:val="20"/>
              </w:rPr>
            </w:pPr>
            <w:r w:rsidRPr="00280AA7">
              <w:rPr>
                <w:color w:val="000000"/>
                <w:sz w:val="20"/>
                <w:szCs w:val="20"/>
              </w:rPr>
              <w:t>$1,168,974</w:t>
            </w:r>
          </w:p>
        </w:tc>
        <w:tc>
          <w:tcPr>
            <w:tcW w:w="0" w:type="auto"/>
            <w:tcBorders>
              <w:top w:val="nil"/>
              <w:left w:val="nil"/>
              <w:bottom w:val="single" w:sz="8" w:space="0" w:color="auto"/>
              <w:right w:val="single" w:sz="8" w:space="0" w:color="auto"/>
            </w:tcBorders>
            <w:shd w:val="clear" w:color="auto" w:fill="auto"/>
            <w:noWrap/>
            <w:vAlign w:val="center"/>
            <w:hideMark/>
          </w:tcPr>
          <w:p w:rsidR="001C01DB" w:rsidRPr="00280AA7" w:rsidRDefault="001C01DB" w:rsidP="00C870E8">
            <w:pPr>
              <w:keepNext/>
              <w:keepLines/>
              <w:contextualSpacing/>
              <w:jc w:val="right"/>
              <w:rPr>
                <w:color w:val="000000"/>
                <w:sz w:val="20"/>
                <w:szCs w:val="20"/>
              </w:rPr>
            </w:pPr>
            <w:r w:rsidRPr="00280AA7">
              <w:rPr>
                <w:color w:val="000000"/>
                <w:sz w:val="20"/>
                <w:szCs w:val="20"/>
              </w:rPr>
              <w:t>$9,190</w:t>
            </w:r>
          </w:p>
        </w:tc>
        <w:tc>
          <w:tcPr>
            <w:tcW w:w="0" w:type="auto"/>
            <w:tcBorders>
              <w:top w:val="nil"/>
              <w:left w:val="nil"/>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jc w:val="right"/>
              <w:rPr>
                <w:color w:val="000000"/>
                <w:sz w:val="20"/>
                <w:szCs w:val="20"/>
              </w:rPr>
            </w:pPr>
            <w:r w:rsidRPr="00280AA7">
              <w:rPr>
                <w:color w:val="000000"/>
                <w:sz w:val="20"/>
                <w:szCs w:val="20"/>
              </w:rPr>
              <w:t>$1,178,164</w:t>
            </w:r>
          </w:p>
        </w:tc>
      </w:tr>
      <w:tr w:rsidR="001C01DB" w:rsidRPr="00280AA7" w:rsidTr="00C870E8">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rPr>
                <w:bCs/>
                <w:color w:val="000000"/>
                <w:sz w:val="20"/>
                <w:szCs w:val="20"/>
              </w:rPr>
            </w:pPr>
            <w:r w:rsidRPr="00280AA7">
              <w:rPr>
                <w:bCs/>
                <w:color w:val="000000"/>
                <w:sz w:val="20"/>
                <w:szCs w:val="20"/>
              </w:rPr>
              <w:t>Maintenance DCI</w:t>
            </w:r>
          </w:p>
        </w:tc>
        <w:tc>
          <w:tcPr>
            <w:tcW w:w="0" w:type="auto"/>
            <w:tcBorders>
              <w:top w:val="nil"/>
              <w:left w:val="nil"/>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jc w:val="right"/>
              <w:rPr>
                <w:color w:val="000000"/>
                <w:sz w:val="20"/>
                <w:szCs w:val="20"/>
              </w:rPr>
            </w:pPr>
            <w:r w:rsidRPr="00280AA7">
              <w:rPr>
                <w:color w:val="000000"/>
                <w:sz w:val="20"/>
                <w:szCs w:val="20"/>
              </w:rPr>
              <w:t>7,170</w:t>
            </w:r>
          </w:p>
        </w:tc>
        <w:tc>
          <w:tcPr>
            <w:tcW w:w="0" w:type="auto"/>
            <w:tcBorders>
              <w:top w:val="nil"/>
              <w:left w:val="nil"/>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jc w:val="right"/>
              <w:rPr>
                <w:color w:val="000000"/>
                <w:sz w:val="20"/>
                <w:szCs w:val="20"/>
              </w:rPr>
            </w:pPr>
            <w:r w:rsidRPr="00280AA7">
              <w:rPr>
                <w:color w:val="000000"/>
                <w:sz w:val="20"/>
                <w:szCs w:val="20"/>
              </w:rPr>
              <w:t>99</w:t>
            </w:r>
          </w:p>
        </w:tc>
        <w:tc>
          <w:tcPr>
            <w:tcW w:w="0" w:type="auto"/>
            <w:tcBorders>
              <w:top w:val="nil"/>
              <w:left w:val="nil"/>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jc w:val="right"/>
              <w:rPr>
                <w:color w:val="000000"/>
                <w:sz w:val="20"/>
                <w:szCs w:val="20"/>
              </w:rPr>
            </w:pPr>
            <w:r w:rsidRPr="00280AA7">
              <w:rPr>
                <w:color w:val="000000"/>
                <w:sz w:val="20"/>
                <w:szCs w:val="20"/>
              </w:rPr>
              <w:t>7,269</w:t>
            </w:r>
          </w:p>
        </w:tc>
        <w:tc>
          <w:tcPr>
            <w:tcW w:w="0" w:type="auto"/>
            <w:tcBorders>
              <w:top w:val="nil"/>
              <w:left w:val="nil"/>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jc w:val="right"/>
              <w:rPr>
                <w:color w:val="000000"/>
                <w:sz w:val="20"/>
                <w:szCs w:val="20"/>
              </w:rPr>
            </w:pPr>
            <w:r w:rsidRPr="00280AA7">
              <w:rPr>
                <w:color w:val="000000"/>
                <w:sz w:val="20"/>
                <w:szCs w:val="20"/>
              </w:rPr>
              <w:t>$584,487</w:t>
            </w:r>
          </w:p>
        </w:tc>
        <w:tc>
          <w:tcPr>
            <w:tcW w:w="0" w:type="auto"/>
            <w:tcBorders>
              <w:top w:val="nil"/>
              <w:left w:val="nil"/>
              <w:bottom w:val="single" w:sz="8" w:space="0" w:color="auto"/>
              <w:right w:val="single" w:sz="8" w:space="0" w:color="auto"/>
            </w:tcBorders>
            <w:shd w:val="clear" w:color="auto" w:fill="auto"/>
            <w:noWrap/>
            <w:vAlign w:val="center"/>
            <w:hideMark/>
          </w:tcPr>
          <w:p w:rsidR="001C01DB" w:rsidRPr="00280AA7" w:rsidRDefault="001C01DB" w:rsidP="00C870E8">
            <w:pPr>
              <w:keepNext/>
              <w:keepLines/>
              <w:contextualSpacing/>
              <w:jc w:val="right"/>
              <w:rPr>
                <w:color w:val="000000"/>
                <w:sz w:val="20"/>
                <w:szCs w:val="20"/>
              </w:rPr>
            </w:pPr>
            <w:r w:rsidRPr="00280AA7">
              <w:rPr>
                <w:color w:val="000000"/>
                <w:sz w:val="20"/>
                <w:szCs w:val="20"/>
              </w:rPr>
              <w:t>$4,595</w:t>
            </w:r>
          </w:p>
        </w:tc>
        <w:tc>
          <w:tcPr>
            <w:tcW w:w="0" w:type="auto"/>
            <w:tcBorders>
              <w:top w:val="nil"/>
              <w:left w:val="nil"/>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jc w:val="right"/>
              <w:rPr>
                <w:color w:val="000000"/>
                <w:sz w:val="20"/>
                <w:szCs w:val="20"/>
              </w:rPr>
            </w:pPr>
            <w:r w:rsidRPr="00280AA7">
              <w:rPr>
                <w:color w:val="000000"/>
                <w:sz w:val="20"/>
                <w:szCs w:val="20"/>
              </w:rPr>
              <w:t>$589,082</w:t>
            </w:r>
          </w:p>
        </w:tc>
      </w:tr>
      <w:tr w:rsidR="001C01DB" w:rsidRPr="00280AA7" w:rsidTr="00C870E8">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rPr>
                <w:bCs/>
                <w:color w:val="000000"/>
                <w:sz w:val="20"/>
                <w:szCs w:val="20"/>
              </w:rPr>
            </w:pPr>
            <w:r w:rsidRPr="00280AA7">
              <w:rPr>
                <w:bCs/>
                <w:color w:val="000000"/>
                <w:sz w:val="20"/>
                <w:szCs w:val="20"/>
              </w:rPr>
              <w:t>Registration Review DCIs</w:t>
            </w:r>
          </w:p>
        </w:tc>
        <w:tc>
          <w:tcPr>
            <w:tcW w:w="0" w:type="auto"/>
            <w:tcBorders>
              <w:top w:val="nil"/>
              <w:left w:val="nil"/>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jc w:val="right"/>
              <w:rPr>
                <w:color w:val="000000"/>
                <w:sz w:val="20"/>
                <w:szCs w:val="20"/>
              </w:rPr>
            </w:pPr>
            <w:r w:rsidRPr="00280AA7">
              <w:rPr>
                <w:color w:val="000000"/>
                <w:sz w:val="20"/>
                <w:szCs w:val="20"/>
              </w:rPr>
              <w:t>5,618</w:t>
            </w:r>
          </w:p>
        </w:tc>
        <w:tc>
          <w:tcPr>
            <w:tcW w:w="0" w:type="auto"/>
            <w:tcBorders>
              <w:top w:val="nil"/>
              <w:left w:val="nil"/>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jc w:val="right"/>
              <w:rPr>
                <w:color w:val="000000"/>
                <w:sz w:val="20"/>
                <w:szCs w:val="20"/>
              </w:rPr>
            </w:pPr>
            <w:r w:rsidRPr="00280AA7">
              <w:rPr>
                <w:color w:val="000000"/>
                <w:sz w:val="20"/>
                <w:szCs w:val="20"/>
              </w:rPr>
              <w:t>737</w:t>
            </w:r>
          </w:p>
        </w:tc>
        <w:tc>
          <w:tcPr>
            <w:tcW w:w="0" w:type="auto"/>
            <w:tcBorders>
              <w:top w:val="nil"/>
              <w:left w:val="nil"/>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jc w:val="right"/>
              <w:rPr>
                <w:color w:val="000000"/>
                <w:sz w:val="20"/>
                <w:szCs w:val="20"/>
              </w:rPr>
            </w:pPr>
            <w:r w:rsidRPr="00280AA7">
              <w:rPr>
                <w:color w:val="000000"/>
                <w:sz w:val="20"/>
                <w:szCs w:val="20"/>
              </w:rPr>
              <w:t>6,354</w:t>
            </w:r>
          </w:p>
        </w:tc>
        <w:tc>
          <w:tcPr>
            <w:tcW w:w="0" w:type="auto"/>
            <w:tcBorders>
              <w:top w:val="nil"/>
              <w:left w:val="nil"/>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jc w:val="right"/>
              <w:rPr>
                <w:color w:val="000000"/>
                <w:sz w:val="20"/>
                <w:szCs w:val="20"/>
              </w:rPr>
            </w:pPr>
            <w:r w:rsidRPr="00280AA7">
              <w:rPr>
                <w:color w:val="000000"/>
                <w:sz w:val="20"/>
                <w:szCs w:val="20"/>
              </w:rPr>
              <w:t>$448,228</w:t>
            </w:r>
          </w:p>
        </w:tc>
        <w:tc>
          <w:tcPr>
            <w:tcW w:w="0" w:type="auto"/>
            <w:tcBorders>
              <w:top w:val="nil"/>
              <w:left w:val="nil"/>
              <w:bottom w:val="single" w:sz="8" w:space="0" w:color="auto"/>
              <w:right w:val="single" w:sz="8" w:space="0" w:color="auto"/>
            </w:tcBorders>
            <w:shd w:val="clear" w:color="auto" w:fill="auto"/>
            <w:noWrap/>
            <w:vAlign w:val="center"/>
            <w:hideMark/>
          </w:tcPr>
          <w:p w:rsidR="001C01DB" w:rsidRPr="00280AA7" w:rsidRDefault="001C01DB" w:rsidP="00C870E8">
            <w:pPr>
              <w:keepNext/>
              <w:keepLines/>
              <w:contextualSpacing/>
              <w:jc w:val="right"/>
              <w:rPr>
                <w:color w:val="000000"/>
                <w:sz w:val="20"/>
                <w:szCs w:val="20"/>
              </w:rPr>
            </w:pPr>
            <w:r w:rsidRPr="00280AA7">
              <w:rPr>
                <w:color w:val="000000"/>
                <w:sz w:val="20"/>
                <w:szCs w:val="20"/>
              </w:rPr>
              <w:t>$34,195</w:t>
            </w:r>
          </w:p>
        </w:tc>
        <w:tc>
          <w:tcPr>
            <w:tcW w:w="0" w:type="auto"/>
            <w:tcBorders>
              <w:top w:val="nil"/>
              <w:left w:val="nil"/>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jc w:val="right"/>
              <w:rPr>
                <w:color w:val="000000"/>
                <w:sz w:val="20"/>
                <w:szCs w:val="20"/>
              </w:rPr>
            </w:pPr>
            <w:r w:rsidRPr="00280AA7">
              <w:rPr>
                <w:color w:val="000000"/>
                <w:sz w:val="20"/>
                <w:szCs w:val="20"/>
              </w:rPr>
              <w:t>$482,423</w:t>
            </w:r>
          </w:p>
        </w:tc>
      </w:tr>
      <w:tr w:rsidR="001C01DB" w:rsidRPr="00280AA7" w:rsidTr="00C870E8">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rPr>
                <w:bCs/>
                <w:color w:val="000000"/>
                <w:sz w:val="20"/>
                <w:szCs w:val="20"/>
              </w:rPr>
            </w:pPr>
            <w:r w:rsidRPr="00280AA7">
              <w:rPr>
                <w:bCs/>
                <w:color w:val="000000"/>
                <w:sz w:val="20"/>
                <w:szCs w:val="20"/>
              </w:rPr>
              <w:t>Anticipated Residue/Percent Crop Treated DCIs</w:t>
            </w:r>
          </w:p>
        </w:tc>
        <w:tc>
          <w:tcPr>
            <w:tcW w:w="0" w:type="auto"/>
            <w:tcBorders>
              <w:top w:val="nil"/>
              <w:left w:val="nil"/>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jc w:val="right"/>
              <w:rPr>
                <w:color w:val="000000"/>
                <w:sz w:val="20"/>
                <w:szCs w:val="20"/>
              </w:rPr>
            </w:pPr>
            <w:r w:rsidRPr="00280AA7">
              <w:rPr>
                <w:color w:val="000000"/>
                <w:sz w:val="20"/>
                <w:szCs w:val="20"/>
              </w:rPr>
              <w:t>12</w:t>
            </w:r>
          </w:p>
        </w:tc>
        <w:tc>
          <w:tcPr>
            <w:tcW w:w="0" w:type="auto"/>
            <w:tcBorders>
              <w:top w:val="nil"/>
              <w:left w:val="nil"/>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jc w:val="right"/>
              <w:rPr>
                <w:color w:val="000000"/>
                <w:sz w:val="20"/>
                <w:szCs w:val="20"/>
              </w:rPr>
            </w:pPr>
            <w:r w:rsidRPr="00280AA7">
              <w:rPr>
                <w:color w:val="000000"/>
                <w:sz w:val="20"/>
                <w:szCs w:val="20"/>
              </w:rPr>
              <w:t>60</w:t>
            </w:r>
          </w:p>
        </w:tc>
        <w:tc>
          <w:tcPr>
            <w:tcW w:w="0" w:type="auto"/>
            <w:tcBorders>
              <w:top w:val="nil"/>
              <w:left w:val="nil"/>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jc w:val="right"/>
              <w:rPr>
                <w:color w:val="000000"/>
                <w:sz w:val="20"/>
                <w:szCs w:val="20"/>
              </w:rPr>
            </w:pPr>
            <w:r w:rsidRPr="00280AA7">
              <w:rPr>
                <w:color w:val="000000"/>
                <w:sz w:val="20"/>
                <w:szCs w:val="20"/>
              </w:rPr>
              <w:t>72</w:t>
            </w:r>
          </w:p>
        </w:tc>
        <w:tc>
          <w:tcPr>
            <w:tcW w:w="0" w:type="auto"/>
            <w:tcBorders>
              <w:top w:val="nil"/>
              <w:left w:val="nil"/>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jc w:val="right"/>
              <w:rPr>
                <w:color w:val="000000"/>
                <w:sz w:val="20"/>
                <w:szCs w:val="20"/>
              </w:rPr>
            </w:pPr>
            <w:r w:rsidRPr="00280AA7">
              <w:rPr>
                <w:color w:val="000000"/>
                <w:sz w:val="20"/>
                <w:szCs w:val="20"/>
              </w:rPr>
              <w:t>$697</w:t>
            </w:r>
          </w:p>
        </w:tc>
        <w:tc>
          <w:tcPr>
            <w:tcW w:w="0" w:type="auto"/>
            <w:tcBorders>
              <w:top w:val="nil"/>
              <w:left w:val="nil"/>
              <w:bottom w:val="single" w:sz="8" w:space="0" w:color="auto"/>
              <w:right w:val="single" w:sz="8" w:space="0" w:color="auto"/>
            </w:tcBorders>
            <w:shd w:val="clear" w:color="auto" w:fill="auto"/>
            <w:noWrap/>
            <w:vAlign w:val="center"/>
            <w:hideMark/>
          </w:tcPr>
          <w:p w:rsidR="001C01DB" w:rsidRPr="00280AA7" w:rsidRDefault="001C01DB" w:rsidP="00C870E8">
            <w:pPr>
              <w:keepNext/>
              <w:keepLines/>
              <w:contextualSpacing/>
              <w:jc w:val="right"/>
              <w:rPr>
                <w:color w:val="000000"/>
                <w:sz w:val="20"/>
                <w:szCs w:val="20"/>
              </w:rPr>
            </w:pPr>
            <w:r w:rsidRPr="00280AA7">
              <w:rPr>
                <w:color w:val="000000"/>
                <w:sz w:val="20"/>
                <w:szCs w:val="20"/>
              </w:rPr>
              <w:t>$4,886</w:t>
            </w:r>
          </w:p>
        </w:tc>
        <w:tc>
          <w:tcPr>
            <w:tcW w:w="0" w:type="auto"/>
            <w:tcBorders>
              <w:top w:val="nil"/>
              <w:left w:val="nil"/>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jc w:val="right"/>
              <w:rPr>
                <w:color w:val="000000"/>
                <w:sz w:val="20"/>
                <w:szCs w:val="20"/>
              </w:rPr>
            </w:pPr>
            <w:r w:rsidRPr="00280AA7">
              <w:rPr>
                <w:color w:val="000000"/>
                <w:sz w:val="20"/>
                <w:szCs w:val="20"/>
              </w:rPr>
              <w:t>$5,583</w:t>
            </w:r>
          </w:p>
        </w:tc>
      </w:tr>
      <w:tr w:rsidR="001C01DB" w:rsidRPr="00280AA7" w:rsidTr="00C870E8">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C01DB" w:rsidRPr="00280AA7" w:rsidRDefault="001C01DB" w:rsidP="001C01DB">
            <w:pPr>
              <w:keepNext/>
              <w:keepLines/>
              <w:contextualSpacing/>
              <w:rPr>
                <w:b/>
                <w:bCs/>
                <w:i/>
                <w:color w:val="000000"/>
                <w:sz w:val="20"/>
                <w:szCs w:val="20"/>
              </w:rPr>
            </w:pPr>
            <w:r w:rsidRPr="00280AA7">
              <w:rPr>
                <w:b/>
                <w:bCs/>
                <w:i/>
                <w:color w:val="000000"/>
                <w:sz w:val="20"/>
                <w:szCs w:val="20"/>
              </w:rPr>
              <w:t>Total Agency Burden</w:t>
            </w:r>
          </w:p>
        </w:tc>
        <w:tc>
          <w:tcPr>
            <w:tcW w:w="0" w:type="auto"/>
            <w:tcBorders>
              <w:top w:val="nil"/>
              <w:left w:val="nil"/>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jc w:val="right"/>
              <w:rPr>
                <w:b/>
                <w:bCs/>
                <w:i/>
                <w:color w:val="000000"/>
                <w:sz w:val="20"/>
                <w:szCs w:val="20"/>
              </w:rPr>
            </w:pPr>
            <w:r w:rsidRPr="00280AA7">
              <w:rPr>
                <w:b/>
                <w:bCs/>
                <w:i/>
                <w:color w:val="000000"/>
                <w:sz w:val="20"/>
                <w:szCs w:val="20"/>
              </w:rPr>
              <w:t>27,138</w:t>
            </w:r>
          </w:p>
        </w:tc>
        <w:tc>
          <w:tcPr>
            <w:tcW w:w="0" w:type="auto"/>
            <w:tcBorders>
              <w:top w:val="nil"/>
              <w:left w:val="nil"/>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jc w:val="right"/>
              <w:rPr>
                <w:b/>
                <w:bCs/>
                <w:i/>
                <w:color w:val="000000"/>
                <w:sz w:val="20"/>
                <w:szCs w:val="20"/>
              </w:rPr>
            </w:pPr>
            <w:r w:rsidRPr="00280AA7">
              <w:rPr>
                <w:b/>
                <w:bCs/>
                <w:i/>
                <w:color w:val="000000"/>
                <w:sz w:val="20"/>
                <w:szCs w:val="20"/>
              </w:rPr>
              <w:t>1,094</w:t>
            </w:r>
          </w:p>
        </w:tc>
        <w:tc>
          <w:tcPr>
            <w:tcW w:w="0" w:type="auto"/>
            <w:tcBorders>
              <w:top w:val="nil"/>
              <w:left w:val="nil"/>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jc w:val="right"/>
              <w:rPr>
                <w:b/>
                <w:bCs/>
                <w:i/>
                <w:color w:val="000000"/>
                <w:sz w:val="20"/>
                <w:szCs w:val="20"/>
              </w:rPr>
            </w:pPr>
            <w:r w:rsidRPr="00280AA7">
              <w:rPr>
                <w:b/>
                <w:bCs/>
                <w:i/>
                <w:color w:val="000000"/>
                <w:sz w:val="20"/>
                <w:szCs w:val="20"/>
              </w:rPr>
              <w:t>28,232</w:t>
            </w:r>
          </w:p>
        </w:tc>
        <w:tc>
          <w:tcPr>
            <w:tcW w:w="0" w:type="auto"/>
            <w:tcBorders>
              <w:top w:val="nil"/>
              <w:left w:val="nil"/>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jc w:val="right"/>
              <w:rPr>
                <w:b/>
                <w:bCs/>
                <w:i/>
                <w:color w:val="000000"/>
                <w:sz w:val="20"/>
                <w:szCs w:val="20"/>
              </w:rPr>
            </w:pPr>
            <w:r w:rsidRPr="00280AA7">
              <w:rPr>
                <w:b/>
                <w:bCs/>
                <w:i/>
                <w:color w:val="000000"/>
                <w:sz w:val="20"/>
                <w:szCs w:val="20"/>
              </w:rPr>
              <w:t>$2,202,386</w:t>
            </w:r>
          </w:p>
        </w:tc>
        <w:tc>
          <w:tcPr>
            <w:tcW w:w="0" w:type="auto"/>
            <w:tcBorders>
              <w:top w:val="nil"/>
              <w:left w:val="nil"/>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jc w:val="right"/>
              <w:rPr>
                <w:b/>
                <w:bCs/>
                <w:i/>
                <w:color w:val="000000"/>
                <w:sz w:val="20"/>
                <w:szCs w:val="20"/>
              </w:rPr>
            </w:pPr>
            <w:r w:rsidRPr="00280AA7">
              <w:rPr>
                <w:b/>
                <w:bCs/>
                <w:i/>
                <w:color w:val="000000"/>
                <w:sz w:val="20"/>
                <w:szCs w:val="20"/>
              </w:rPr>
              <w:t>$52,865</w:t>
            </w:r>
          </w:p>
        </w:tc>
        <w:tc>
          <w:tcPr>
            <w:tcW w:w="0" w:type="auto"/>
            <w:tcBorders>
              <w:top w:val="nil"/>
              <w:left w:val="nil"/>
              <w:bottom w:val="single" w:sz="8" w:space="0" w:color="auto"/>
              <w:right w:val="single" w:sz="8" w:space="0" w:color="auto"/>
            </w:tcBorders>
            <w:shd w:val="clear" w:color="auto" w:fill="auto"/>
            <w:vAlign w:val="center"/>
            <w:hideMark/>
          </w:tcPr>
          <w:p w:rsidR="001C01DB" w:rsidRPr="00280AA7" w:rsidRDefault="001C01DB" w:rsidP="00C870E8">
            <w:pPr>
              <w:keepNext/>
              <w:keepLines/>
              <w:contextualSpacing/>
              <w:jc w:val="right"/>
              <w:rPr>
                <w:b/>
                <w:bCs/>
                <w:i/>
                <w:color w:val="000000"/>
                <w:sz w:val="20"/>
                <w:szCs w:val="20"/>
              </w:rPr>
            </w:pPr>
            <w:r w:rsidRPr="00280AA7">
              <w:rPr>
                <w:b/>
                <w:bCs/>
                <w:i/>
                <w:color w:val="000000"/>
                <w:sz w:val="20"/>
                <w:szCs w:val="20"/>
              </w:rPr>
              <w:t>$2,255,251</w:t>
            </w:r>
          </w:p>
        </w:tc>
      </w:tr>
    </w:tbl>
    <w:p w:rsidR="001C01DB" w:rsidRPr="00AF3B2A" w:rsidRDefault="001C01DB" w:rsidP="001C01DB">
      <w:r w:rsidRPr="00AF3B2A">
        <w:rPr>
          <w:sz w:val="20"/>
        </w:rPr>
        <w:t xml:space="preserve">Numbers may not add due to rounding. Please refer to text for information on calculations presented in this table. </w:t>
      </w:r>
      <w:r w:rsidRPr="00AF3B2A">
        <w:rPr>
          <w:i/>
          <w:sz w:val="20"/>
        </w:rPr>
        <w:t xml:space="preserve"> </w:t>
      </w:r>
      <w:r w:rsidRPr="00AF3B2A">
        <w:rPr>
          <w:sz w:val="20"/>
        </w:rPr>
        <w:t>Methods used for calculating the cost and burden vary for each type of DCI.  For a review of methods used in these calculations, refer to Appendices B.</w:t>
      </w:r>
    </w:p>
    <w:p w:rsidR="00CD1237" w:rsidRDefault="00CD1237" w:rsidP="00EA7743">
      <w:pPr>
        <w:pStyle w:val="NoSpacing"/>
        <w:rPr>
          <w:rFonts w:asciiTheme="minorHAnsi" w:hAnsiTheme="minorHAnsi"/>
          <w:sz w:val="22"/>
        </w:rPr>
      </w:pPr>
    </w:p>
    <w:p w:rsidR="00EA7743" w:rsidRPr="00EA7743" w:rsidRDefault="00EA7743" w:rsidP="00EA7743">
      <w:pPr>
        <w:pStyle w:val="NoSpacing"/>
        <w:rPr>
          <w:lang w:bidi="en-US"/>
        </w:rPr>
      </w:pPr>
    </w:p>
    <w:p w:rsidR="002B34A0" w:rsidRPr="00327CF3" w:rsidRDefault="00CC4227" w:rsidP="00CC4227">
      <w:pPr>
        <w:pStyle w:val="Heading1"/>
        <w:rPr>
          <w:lang w:bidi="en-US"/>
        </w:rPr>
      </w:pPr>
      <w:bookmarkStart w:id="119" w:name="_Toc482020604"/>
      <w:r>
        <w:rPr>
          <w:lang w:bidi="en-US"/>
        </w:rPr>
        <w:t xml:space="preserve">8.  </w:t>
      </w:r>
      <w:r w:rsidR="00327CF3">
        <w:rPr>
          <w:lang w:bidi="en-US"/>
        </w:rPr>
        <w:t>PRA</w:t>
      </w:r>
      <w:r w:rsidR="00327CF3" w:rsidRPr="00327CF3">
        <w:rPr>
          <w:lang w:bidi="en-US"/>
        </w:rPr>
        <w:t xml:space="preserve"> BURDEN STATEMENT</w:t>
      </w:r>
      <w:bookmarkEnd w:id="119"/>
    </w:p>
    <w:p w:rsidR="00327CF3" w:rsidRDefault="00327CF3" w:rsidP="00327CF3">
      <w:pPr>
        <w:pStyle w:val="NoSpacing"/>
        <w:rPr>
          <w:lang w:bidi="en-US"/>
        </w:rPr>
      </w:pPr>
      <w:r>
        <w:t>Under the PRA, a</w:t>
      </w:r>
      <w:r w:rsidRPr="005F3E0E">
        <w:t xml:space="preserve">n </w:t>
      </w:r>
      <w:r w:rsidR="0000355B">
        <w:t>A</w:t>
      </w:r>
      <w:r w:rsidRPr="005F3E0E">
        <w:t xml:space="preserve">gency may not conduct or sponsor, and a person </w:t>
      </w:r>
      <w:r w:rsidRPr="005463D1">
        <w:t>is not required</w:t>
      </w:r>
      <w:r w:rsidRPr="005F3E0E">
        <w:t xml:space="preserve"> to respond to, a collection of information unless it displays a currently valid OMB control number. </w:t>
      </w:r>
      <w:r w:rsidR="00226E77">
        <w:t>A</w:t>
      </w:r>
      <w:r w:rsidR="00226E77" w:rsidRPr="00226E77">
        <w:t xml:space="preserve">fter appearing in the </w:t>
      </w:r>
      <w:r w:rsidR="00226E77" w:rsidRPr="00226E77">
        <w:rPr>
          <w:b/>
          <w:i/>
        </w:rPr>
        <w:t>Federal Register</w:t>
      </w:r>
      <w:r w:rsidR="00226E77" w:rsidRPr="00226E77">
        <w:t xml:space="preserve">, </w:t>
      </w:r>
      <w:r w:rsidR="00226E77">
        <w:t>t</w:t>
      </w:r>
      <w:r w:rsidRPr="005463D1">
        <w:t xml:space="preserve">he OMB control numbers for EPA’s regulations in title 40 of the CFR, </w:t>
      </w:r>
      <w:r w:rsidRPr="007D6E48">
        <w:t xml:space="preserve">are listed in 40 CFR part 9 </w:t>
      </w:r>
      <w:r w:rsidRPr="005463D1">
        <w:t>and included on the related collection instrument or form, if applicable.</w:t>
      </w:r>
      <w:r>
        <w:t xml:space="preserve"> </w:t>
      </w:r>
      <w:r w:rsidR="00226E77">
        <w:rPr>
          <w:noProof/>
          <w:lang w:bidi="en-US"/>
        </w:rPr>
        <w:t>The b</w:t>
      </w:r>
      <w:r w:rsidRPr="00D5421F">
        <w:rPr>
          <w:noProof/>
          <w:lang w:bidi="en-US"/>
        </w:rPr>
        <w:t>urden</w:t>
      </w:r>
      <w:r w:rsidRPr="004124F7">
        <w:rPr>
          <w:lang w:bidi="en-US"/>
        </w:rPr>
        <w:t xml:space="preserve"> </w:t>
      </w:r>
      <w:r w:rsidRPr="005463D1">
        <w:rPr>
          <w:lang w:bidi="en-US"/>
        </w:rPr>
        <w:t>is defined</w:t>
      </w:r>
      <w:r w:rsidRPr="004124F7">
        <w:rPr>
          <w:lang w:bidi="en-US"/>
        </w:rPr>
        <w:t xml:space="preserve"> at </w:t>
      </w:r>
      <w:r w:rsidRPr="00790716">
        <w:rPr>
          <w:lang w:bidi="en-US"/>
        </w:rPr>
        <w:t>5 CFR 1320.3(b)</w:t>
      </w:r>
      <w:r>
        <w:rPr>
          <w:lang w:bidi="en-US"/>
        </w:rPr>
        <w:t>.</w:t>
      </w:r>
    </w:p>
    <w:p w:rsidR="00327CF3" w:rsidRDefault="00327CF3" w:rsidP="00327CF3">
      <w:pPr>
        <w:pStyle w:val="NoSpacing"/>
        <w:rPr>
          <w:lang w:bidi="en-US"/>
        </w:rPr>
      </w:pPr>
    </w:p>
    <w:p w:rsidR="00327CF3" w:rsidRPr="00911936" w:rsidRDefault="00327CF3" w:rsidP="00327CF3">
      <w:pPr>
        <w:pStyle w:val="NoSpacing"/>
      </w:pPr>
      <w:r w:rsidRPr="00990F55">
        <w:rPr>
          <w:bCs/>
          <w:lang w:bidi="en-US"/>
        </w:rPr>
        <w:t xml:space="preserve">The response burden for this ICR is estimated to </w:t>
      </w:r>
      <w:r w:rsidRPr="00990F55">
        <w:rPr>
          <w:lang w:bidi="en-US"/>
        </w:rPr>
        <w:t xml:space="preserve">range between </w:t>
      </w:r>
      <w:r w:rsidR="009C459F" w:rsidRPr="00990F55">
        <w:rPr>
          <w:lang w:bidi="en-US"/>
        </w:rPr>
        <w:t xml:space="preserve">20 </w:t>
      </w:r>
      <w:r w:rsidRPr="00990F55">
        <w:rPr>
          <w:lang w:bidi="en-US"/>
        </w:rPr>
        <w:t xml:space="preserve">and </w:t>
      </w:r>
      <w:r w:rsidR="00990F55" w:rsidRPr="00990F55">
        <w:rPr>
          <w:lang w:bidi="en-US"/>
        </w:rPr>
        <w:t>8182</w:t>
      </w:r>
      <w:r w:rsidRPr="00990F55">
        <w:rPr>
          <w:lang w:bidi="en-US"/>
        </w:rPr>
        <w:t xml:space="preserve"> hours per response, depending on the particulars </w:t>
      </w:r>
      <w:r w:rsidRPr="00911936">
        <w:rPr>
          <w:lang w:bidi="en-US"/>
        </w:rPr>
        <w:t>associated with the individual DCI. The</w:t>
      </w:r>
      <w:r w:rsidRPr="00911936">
        <w:rPr>
          <w:bCs/>
          <w:lang w:bidi="en-US"/>
        </w:rPr>
        <w:t xml:space="preserve"> total annualized burden for this ICR is estimated to be </w:t>
      </w:r>
      <w:r w:rsidR="00D60F90" w:rsidRPr="00911936">
        <w:rPr>
          <w:bCs/>
          <w:lang w:bidi="en-US"/>
        </w:rPr>
        <w:t>625,669</w:t>
      </w:r>
      <w:r w:rsidRPr="00911936">
        <w:rPr>
          <w:bCs/>
          <w:lang w:val="en-CA" w:bidi="en-US"/>
        </w:rPr>
        <w:t xml:space="preserve"> hours</w:t>
      </w:r>
      <w:r w:rsidRPr="00911936">
        <w:rPr>
          <w:bCs/>
          <w:lang w:bidi="en-US"/>
        </w:rPr>
        <w:t xml:space="preserve"> </w:t>
      </w:r>
      <w:r w:rsidR="003C31F9" w:rsidRPr="00911936">
        <w:rPr>
          <w:bCs/>
          <w:lang w:bidi="en-US"/>
        </w:rPr>
        <w:t xml:space="preserve">at a cost of </w:t>
      </w:r>
      <w:r w:rsidR="00122E25" w:rsidRPr="00911936">
        <w:rPr>
          <w:bCs/>
          <w:lang w:bidi="en-US"/>
        </w:rPr>
        <w:t>$</w:t>
      </w:r>
      <w:r w:rsidR="00D60F90" w:rsidRPr="00911936">
        <w:rPr>
          <w:bCs/>
          <w:lang w:bidi="en-US"/>
        </w:rPr>
        <w:t>44</w:t>
      </w:r>
      <w:r w:rsidR="00990F55" w:rsidRPr="00911936">
        <w:rPr>
          <w:bCs/>
          <w:lang w:bidi="en-US"/>
        </w:rPr>
        <w:t>,</w:t>
      </w:r>
      <w:r w:rsidR="00D60F90" w:rsidRPr="00911936">
        <w:rPr>
          <w:bCs/>
          <w:lang w:bidi="en-US"/>
        </w:rPr>
        <w:t>890</w:t>
      </w:r>
      <w:r w:rsidR="00990F55" w:rsidRPr="00911936">
        <w:rPr>
          <w:bCs/>
          <w:lang w:bidi="en-US"/>
        </w:rPr>
        <w:t>,</w:t>
      </w:r>
      <w:r w:rsidR="00D60F90" w:rsidRPr="00911936">
        <w:rPr>
          <w:bCs/>
          <w:lang w:bidi="en-US"/>
        </w:rPr>
        <w:t>390</w:t>
      </w:r>
      <w:r w:rsidR="00A803A9" w:rsidRPr="00911936">
        <w:rPr>
          <w:lang w:bidi="en-US"/>
        </w:rPr>
        <w:t xml:space="preserve">. Mailing costs for DCIs are not included in the estimates since electronic submissions are now </w:t>
      </w:r>
      <w:r w:rsidR="00A803A9" w:rsidRPr="00911936">
        <w:rPr>
          <w:noProof/>
          <w:lang w:bidi="en-US"/>
        </w:rPr>
        <w:t>accepted</w:t>
      </w:r>
      <w:r w:rsidR="00226E77" w:rsidRPr="00911936">
        <w:rPr>
          <w:noProof/>
          <w:lang w:bidi="en-US"/>
        </w:rPr>
        <w:t>,</w:t>
      </w:r>
      <w:r w:rsidR="00A803A9" w:rsidRPr="00911936">
        <w:rPr>
          <w:lang w:bidi="en-US"/>
        </w:rPr>
        <w:t xml:space="preserve"> and it is typical practice for registrants to submit data using this method. See </w:t>
      </w:r>
      <w:hyperlink r:id="rId23" w:history="1">
        <w:r w:rsidR="00A803A9" w:rsidRPr="00911936">
          <w:rPr>
            <w:rStyle w:val="Hyperlink"/>
            <w:lang w:bidi="en-US"/>
          </w:rPr>
          <w:t>http://www.epa.gov/pesticide-registration/e-submission-resource-documents-assembly-electronic-packages-and-discs</w:t>
        </w:r>
      </w:hyperlink>
      <w:r w:rsidR="00A803A9" w:rsidRPr="00911936">
        <w:rPr>
          <w:lang w:bidi="en-US"/>
        </w:rPr>
        <w:t xml:space="preserve">. In the case that DCI submissions are submitted using certified mail, it is estimated that the cost to submit an individual DCI would be no more than $20 </w:t>
      </w:r>
    </w:p>
    <w:p w:rsidR="00327CF3" w:rsidRPr="00911936" w:rsidRDefault="00327CF3" w:rsidP="002B34A0"/>
    <w:p w:rsidR="00EC368A" w:rsidRPr="00911936" w:rsidRDefault="00EC368A" w:rsidP="00EC368A">
      <w:pPr>
        <w:pStyle w:val="NoSpacing"/>
        <w:rPr>
          <w:lang w:bidi="en-US"/>
        </w:rPr>
      </w:pPr>
    </w:p>
    <w:p w:rsidR="00515023" w:rsidRDefault="00EC368A" w:rsidP="00515023">
      <w:pPr>
        <w:pStyle w:val="NoSpacing"/>
        <w:rPr>
          <w:lang w:bidi="en-US"/>
        </w:rPr>
      </w:pPr>
      <w:r w:rsidRPr="00911936">
        <w:rPr>
          <w:b/>
        </w:rPr>
        <w:t>Changes in Burden Estimates:</w:t>
      </w:r>
      <w:r w:rsidRPr="00911936">
        <w:rPr>
          <w:lang w:bidi="en-US"/>
        </w:rPr>
        <w:t xml:space="preserve"> </w:t>
      </w:r>
      <w:r w:rsidR="00C85D91" w:rsidRPr="00911936">
        <w:rPr>
          <w:lang w:bidi="en-US"/>
        </w:rPr>
        <w:t xml:space="preserve">This ICR represents an increase of </w:t>
      </w:r>
      <w:r w:rsidR="001754BF" w:rsidRPr="00911936">
        <w:rPr>
          <w:lang w:bidi="en-US"/>
        </w:rPr>
        <w:t>362,368</w:t>
      </w:r>
      <w:r w:rsidR="00C85D91" w:rsidRPr="00911936">
        <w:rPr>
          <w:lang w:bidi="en-US"/>
        </w:rPr>
        <w:t xml:space="preserve"> hours (</w:t>
      </w:r>
      <w:r w:rsidR="001754BF" w:rsidRPr="00911936">
        <w:rPr>
          <w:lang w:bidi="en-US"/>
        </w:rPr>
        <w:t>625</w:t>
      </w:r>
      <w:r w:rsidR="00C85D91" w:rsidRPr="00911936">
        <w:rPr>
          <w:lang w:bidi="en-US"/>
        </w:rPr>
        <w:t>,</w:t>
      </w:r>
      <w:r w:rsidR="001754BF" w:rsidRPr="00911936">
        <w:rPr>
          <w:lang w:bidi="en-US"/>
        </w:rPr>
        <w:t>669</w:t>
      </w:r>
      <w:r w:rsidR="00C85D91" w:rsidRPr="00911936">
        <w:rPr>
          <w:lang w:bidi="en-US"/>
        </w:rPr>
        <w:t xml:space="preserve"> – 262,301) in the total estimated annualized burden compared with that currently approved by OMB. The burden increase is a cumulative result of the program implementing new methodologies to calculate respondent burden, the inclusion of a new IC group - consortium participants - to more accurately reflect the respondent burden, renaming and recalculating an existing IC group from Enforcement and Unanticipated Incident activities to Maintenance DCIs, and the acceleration of the Registration Review Program.  All of these activities have</w:t>
      </w:r>
      <w:r w:rsidR="00C85D91">
        <w:rPr>
          <w:lang w:bidi="en-US"/>
        </w:rPr>
        <w:t xml:space="preserve"> contributed to the significant i</w:t>
      </w:r>
      <w:r w:rsidR="00C85D91" w:rsidRPr="004D3B41">
        <w:rPr>
          <w:lang w:bidi="en-US"/>
        </w:rPr>
        <w:t>ncrease in</w:t>
      </w:r>
      <w:r w:rsidR="00C85D91">
        <w:rPr>
          <w:lang w:bidi="en-US"/>
        </w:rPr>
        <w:t xml:space="preserve"> </w:t>
      </w:r>
      <w:r w:rsidR="00C85D91" w:rsidRPr="004D3B41">
        <w:rPr>
          <w:lang w:bidi="en-US"/>
        </w:rPr>
        <w:t xml:space="preserve">number of DCIs </w:t>
      </w:r>
      <w:r w:rsidR="00C85D91">
        <w:rPr>
          <w:lang w:bidi="en-US"/>
        </w:rPr>
        <w:t xml:space="preserve">to be </w:t>
      </w:r>
      <w:r w:rsidR="00C85D91" w:rsidRPr="004D3B41">
        <w:rPr>
          <w:lang w:bidi="en-US"/>
        </w:rPr>
        <w:t xml:space="preserve">issued </w:t>
      </w:r>
      <w:r w:rsidR="00C85D91">
        <w:rPr>
          <w:lang w:bidi="en-US"/>
        </w:rPr>
        <w:t xml:space="preserve">(221 </w:t>
      </w:r>
      <w:r w:rsidR="00C85D91" w:rsidRPr="003C2489">
        <w:rPr>
          <w:noProof/>
          <w:lang w:bidi="en-US"/>
        </w:rPr>
        <w:t>vers</w:t>
      </w:r>
      <w:r w:rsidR="00C85D91">
        <w:rPr>
          <w:noProof/>
          <w:lang w:bidi="en-US"/>
        </w:rPr>
        <w:t>u</w:t>
      </w:r>
      <w:r w:rsidR="00C85D91" w:rsidRPr="003C2489">
        <w:rPr>
          <w:noProof/>
          <w:lang w:bidi="en-US"/>
        </w:rPr>
        <w:t>s</w:t>
      </w:r>
      <w:r w:rsidR="00C85D91" w:rsidRPr="004D3B41">
        <w:rPr>
          <w:lang w:bidi="en-US"/>
        </w:rPr>
        <w:t xml:space="preserve"> </w:t>
      </w:r>
      <w:r w:rsidR="00C85D91">
        <w:rPr>
          <w:lang w:bidi="en-US"/>
        </w:rPr>
        <w:t xml:space="preserve">45) annually. </w:t>
      </w:r>
      <w:r w:rsidR="00515023" w:rsidRPr="00E6153F">
        <w:rPr>
          <w:lang w:bidi="en-US"/>
        </w:rPr>
        <w:t xml:space="preserve">This change </w:t>
      </w:r>
      <w:r w:rsidR="00515023" w:rsidRPr="003C2489">
        <w:rPr>
          <w:noProof/>
          <w:lang w:bidi="en-US"/>
        </w:rPr>
        <w:t>represents a</w:t>
      </w:r>
      <w:r w:rsidR="00515023" w:rsidRPr="00E6153F">
        <w:rPr>
          <w:lang w:bidi="en-US"/>
        </w:rPr>
        <w:t xml:space="preserve"> program adjustment.</w:t>
      </w:r>
      <w:r w:rsidR="00515023">
        <w:rPr>
          <w:lang w:bidi="en-US"/>
        </w:rPr>
        <w:t xml:space="preserve"> </w:t>
      </w:r>
    </w:p>
    <w:p w:rsidR="00515023" w:rsidRPr="00E6153F" w:rsidRDefault="00515023" w:rsidP="00515023">
      <w:pPr>
        <w:pStyle w:val="NoSpacing"/>
        <w:rPr>
          <w:lang w:bidi="en-US"/>
        </w:rPr>
      </w:pPr>
    </w:p>
    <w:p w:rsidR="00EC368A" w:rsidRPr="00EC368A" w:rsidRDefault="00EC368A" w:rsidP="00EC368A">
      <w:pPr>
        <w:pStyle w:val="NoSpacing"/>
      </w:pPr>
    </w:p>
    <w:p w:rsidR="00327CF3" w:rsidRDefault="00CC4227" w:rsidP="00CC4227">
      <w:pPr>
        <w:pStyle w:val="Heading1"/>
      </w:pPr>
      <w:bookmarkStart w:id="120" w:name="_Toc482020605"/>
      <w:r>
        <w:t xml:space="preserve">9.  </w:t>
      </w:r>
      <w:r w:rsidR="00327CF3">
        <w:t>DOCKET INFORMATION</w:t>
      </w:r>
      <w:bookmarkEnd w:id="120"/>
    </w:p>
    <w:p w:rsidR="00327CF3" w:rsidRDefault="002B34A0" w:rsidP="002B34A0">
      <w:pPr>
        <w:rPr>
          <w:lang w:bidi="en-US"/>
        </w:rPr>
      </w:pPr>
      <w:r w:rsidRPr="002B34A0">
        <w:rPr>
          <w:lang w:bidi="en-US"/>
        </w:rPr>
        <w:t>The Agency has established a docket for this ICR under Docket ID No</w:t>
      </w:r>
      <w:r w:rsidRPr="006B51C8">
        <w:rPr>
          <w:lang w:bidi="en-US"/>
        </w:rPr>
        <w:t>. EPA-HQ-OPP-201</w:t>
      </w:r>
      <w:r w:rsidR="007C32B8" w:rsidRPr="006B51C8">
        <w:rPr>
          <w:lang w:bidi="en-US"/>
        </w:rPr>
        <w:t>6</w:t>
      </w:r>
      <w:r w:rsidRPr="006B51C8">
        <w:rPr>
          <w:b/>
          <w:lang w:bidi="en-US"/>
        </w:rPr>
        <w:t>-</w:t>
      </w:r>
      <w:r w:rsidR="006B51C8" w:rsidRPr="00515023">
        <w:rPr>
          <w:lang w:bidi="en-US"/>
        </w:rPr>
        <w:t>0109</w:t>
      </w:r>
      <w:r w:rsidRPr="00515023">
        <w:rPr>
          <w:lang w:bidi="en-US"/>
        </w:rPr>
        <w:t>,</w:t>
      </w:r>
      <w:r w:rsidRPr="002B34A0">
        <w:rPr>
          <w:lang w:bidi="en-US"/>
        </w:rPr>
        <w:t xml:space="preserve"> which is available for online viewing at </w:t>
      </w:r>
      <w:hyperlink r:id="rId24" w:history="1">
        <w:r w:rsidRPr="002B34A0">
          <w:rPr>
            <w:rStyle w:val="Hyperlink"/>
            <w:lang w:bidi="en-US"/>
          </w:rPr>
          <w:t>www.regulations.gov</w:t>
        </w:r>
      </w:hyperlink>
      <w:r w:rsidRPr="002B34A0">
        <w:rPr>
          <w:lang w:bidi="en-US"/>
        </w:rPr>
        <w:t xml:space="preserve">, </w:t>
      </w:r>
      <w:r w:rsidRPr="005463D1">
        <w:rPr>
          <w:lang w:bidi="en-US"/>
        </w:rPr>
        <w:t>or</w:t>
      </w:r>
      <w:r w:rsidRPr="002B34A0">
        <w:rPr>
          <w:lang w:bidi="en-US"/>
        </w:rPr>
        <w:t xml:space="preserve"> in person viewing at </w:t>
      </w:r>
      <w:r w:rsidR="00327CF3">
        <w:rPr>
          <w:lang w:bidi="en-US"/>
        </w:rPr>
        <w:t xml:space="preserve">[insert updated information]. </w:t>
      </w:r>
    </w:p>
    <w:p w:rsidR="00327CF3" w:rsidRDefault="00327CF3" w:rsidP="002B34A0">
      <w:pPr>
        <w:rPr>
          <w:lang w:bidi="en-US"/>
        </w:rPr>
      </w:pPr>
    </w:p>
    <w:p w:rsidR="002B34A0" w:rsidRPr="002B34A0" w:rsidRDefault="005A31BA" w:rsidP="002B34A0">
      <w:pPr>
        <w:rPr>
          <w:lang w:bidi="en-US"/>
        </w:rPr>
      </w:pPr>
      <w:r>
        <w:rPr>
          <w:lang w:bidi="en-US"/>
        </w:rPr>
        <w:t>C</w:t>
      </w:r>
      <w:r w:rsidR="002B34A0" w:rsidRPr="002B34A0">
        <w:rPr>
          <w:lang w:bidi="en-US"/>
        </w:rPr>
        <w:t>omment</w:t>
      </w:r>
      <w:r>
        <w:rPr>
          <w:lang w:bidi="en-US"/>
        </w:rPr>
        <w:t xml:space="preserve"> on </w:t>
      </w:r>
      <w:r w:rsidR="002B34A0" w:rsidRPr="002B34A0">
        <w:rPr>
          <w:lang w:bidi="en-US"/>
        </w:rPr>
        <w:t xml:space="preserve">the </w:t>
      </w:r>
      <w:r w:rsidR="002B34A0" w:rsidRPr="005463D1">
        <w:rPr>
          <w:lang w:bidi="en-US"/>
        </w:rPr>
        <w:t>Agency's</w:t>
      </w:r>
      <w:r w:rsidR="002B34A0" w:rsidRPr="002B34A0">
        <w:rPr>
          <w:lang w:bidi="en-US"/>
        </w:rPr>
        <w:t xml:space="preserve"> need for this information, the accuracy of the provided burden estimates and any suggested methods for minimizing respondent burden, including the use of automated collection techniques.  </w:t>
      </w:r>
    </w:p>
    <w:p w:rsidR="002B34A0" w:rsidRPr="002B34A0" w:rsidRDefault="002B34A0" w:rsidP="002B34A0">
      <w:pPr>
        <w:rPr>
          <w:lang w:bidi="en-US"/>
        </w:rPr>
      </w:pPr>
    </w:p>
    <w:p w:rsidR="002B34A0" w:rsidRPr="002B34A0" w:rsidRDefault="00327CF3" w:rsidP="002B34A0">
      <w:pPr>
        <w:rPr>
          <w:lang w:bidi="en-US"/>
        </w:rPr>
      </w:pPr>
      <w:r>
        <w:rPr>
          <w:lang w:bidi="en-US"/>
        </w:rPr>
        <w:t>Submit c</w:t>
      </w:r>
      <w:r w:rsidR="002B34A0" w:rsidRPr="002B34A0">
        <w:rPr>
          <w:lang w:bidi="en-US"/>
        </w:rPr>
        <w:t>omments</w:t>
      </w:r>
      <w:r w:rsidR="005A31BA">
        <w:rPr>
          <w:lang w:bidi="en-US"/>
        </w:rPr>
        <w:t xml:space="preserve"> </w:t>
      </w:r>
      <w:r w:rsidR="005A31BA">
        <w:t>to</w:t>
      </w:r>
      <w:r w:rsidR="002B34A0" w:rsidRPr="002B34A0">
        <w:rPr>
          <w:lang w:bidi="en-US"/>
        </w:rPr>
        <w:t xml:space="preserve"> </w:t>
      </w:r>
      <w:r w:rsidR="005A31BA">
        <w:rPr>
          <w:lang w:bidi="en-US"/>
        </w:rPr>
        <w:t xml:space="preserve">(1) </w:t>
      </w:r>
      <w:r w:rsidR="002B34A0" w:rsidRPr="002B34A0">
        <w:rPr>
          <w:lang w:bidi="en-US"/>
        </w:rPr>
        <w:t xml:space="preserve">EPA </w:t>
      </w:r>
      <w:r w:rsidR="005A31BA">
        <w:rPr>
          <w:lang w:bidi="en-US"/>
        </w:rPr>
        <w:t xml:space="preserve">online </w:t>
      </w:r>
      <w:r w:rsidR="002B34A0" w:rsidRPr="002B34A0">
        <w:rPr>
          <w:lang w:bidi="en-US"/>
        </w:rPr>
        <w:t xml:space="preserve">through </w:t>
      </w:r>
      <w:r w:rsidR="002B34A0" w:rsidRPr="005A31BA">
        <w:rPr>
          <w:lang w:bidi="en-US"/>
        </w:rPr>
        <w:t>http://www.regulations.gov</w:t>
      </w:r>
      <w:r w:rsidR="002B34A0" w:rsidRPr="002B34A0">
        <w:rPr>
          <w:lang w:bidi="en-US"/>
        </w:rPr>
        <w:t xml:space="preserve"> </w:t>
      </w:r>
      <w:r>
        <w:rPr>
          <w:lang w:bidi="en-US"/>
        </w:rPr>
        <w:t xml:space="preserve">and </w:t>
      </w:r>
      <w:r w:rsidR="005A31BA">
        <w:rPr>
          <w:lang w:bidi="en-US"/>
        </w:rPr>
        <w:t xml:space="preserve">(2) </w:t>
      </w:r>
      <w:r w:rsidR="005A31BA" w:rsidRPr="00BE7FD6">
        <w:t xml:space="preserve">OMB </w:t>
      </w:r>
      <w:r w:rsidR="005A31BA">
        <w:t>via e</w:t>
      </w:r>
      <w:r w:rsidR="005A31BA" w:rsidRPr="00FF7A1C">
        <w:t xml:space="preserve">mail to </w:t>
      </w:r>
      <w:hyperlink r:id="rId25" w:history="1">
        <w:r w:rsidR="005A31BA" w:rsidRPr="002C22FB">
          <w:rPr>
            <w:rStyle w:val="Hyperlink"/>
            <w:i/>
          </w:rPr>
          <w:t>oira_submission@omb.eop.gov</w:t>
        </w:r>
      </w:hyperlink>
      <w:r w:rsidR="005A31BA">
        <w:t xml:space="preserve"> and address your comments to the OMB </w:t>
      </w:r>
      <w:r w:rsidR="005A31BA" w:rsidRPr="00FF7A1C">
        <w:t xml:space="preserve">Desk Officer for </w:t>
      </w:r>
      <w:r w:rsidR="005A31BA">
        <w:t>EPA.</w:t>
      </w:r>
      <w:r w:rsidR="005A31BA">
        <w:rPr>
          <w:lang w:bidi="en-US"/>
        </w:rPr>
        <w:t xml:space="preserve"> </w:t>
      </w:r>
      <w:r w:rsidR="002B34A0" w:rsidRPr="002B34A0">
        <w:rPr>
          <w:lang w:bidi="en-US"/>
        </w:rPr>
        <w:t xml:space="preserve">Include docket ID No. </w:t>
      </w:r>
      <w:r w:rsidR="002B34A0" w:rsidRPr="00391CDA">
        <w:rPr>
          <w:lang w:bidi="en-US"/>
        </w:rPr>
        <w:t>EPA-HQ-OPP</w:t>
      </w:r>
      <w:r w:rsidR="002B34A0" w:rsidRPr="006B51C8">
        <w:rPr>
          <w:lang w:bidi="en-US"/>
        </w:rPr>
        <w:t>-201</w:t>
      </w:r>
      <w:r w:rsidR="007C32B8" w:rsidRPr="006B51C8">
        <w:rPr>
          <w:lang w:bidi="en-US"/>
        </w:rPr>
        <w:t>6</w:t>
      </w:r>
      <w:r w:rsidR="002B34A0" w:rsidRPr="006B51C8">
        <w:rPr>
          <w:lang w:bidi="en-US"/>
        </w:rPr>
        <w:t>-</w:t>
      </w:r>
      <w:r w:rsidR="006B51C8" w:rsidRPr="006B51C8">
        <w:rPr>
          <w:lang w:bidi="en-US"/>
        </w:rPr>
        <w:t>0109</w:t>
      </w:r>
      <w:r w:rsidR="002B34A0" w:rsidRPr="002B34A0">
        <w:rPr>
          <w:lang w:bidi="en-US"/>
        </w:rPr>
        <w:t xml:space="preserve"> and OMB control number 2070-0174; in any correspondence but do not submit any DCI or other related information (e.g., </w:t>
      </w:r>
      <w:r w:rsidR="002B34A0" w:rsidRPr="005463D1">
        <w:rPr>
          <w:lang w:bidi="en-US"/>
        </w:rPr>
        <w:t>forms</w:t>
      </w:r>
      <w:r w:rsidR="002B34A0" w:rsidRPr="002B34A0">
        <w:rPr>
          <w:lang w:bidi="en-US"/>
        </w:rPr>
        <w:t xml:space="preserve">, reports, etc.) </w:t>
      </w:r>
      <w:r w:rsidR="002B34A0" w:rsidRPr="005463D1">
        <w:rPr>
          <w:lang w:bidi="en-US"/>
        </w:rPr>
        <w:t>to</w:t>
      </w:r>
      <w:r w:rsidR="002B34A0" w:rsidRPr="002B34A0">
        <w:rPr>
          <w:lang w:bidi="en-US"/>
        </w:rPr>
        <w:t xml:space="preserve"> these addresses.  </w:t>
      </w:r>
    </w:p>
    <w:p w:rsidR="002B34A0" w:rsidRPr="002B34A0" w:rsidRDefault="002B34A0" w:rsidP="002B34A0">
      <w:pPr>
        <w:rPr>
          <w:lang w:bidi="en-US"/>
        </w:rPr>
      </w:pPr>
    </w:p>
    <w:p w:rsidR="002B34A0" w:rsidRPr="002B34A0" w:rsidRDefault="002B34A0" w:rsidP="002B34A0">
      <w:pPr>
        <w:rPr>
          <w:lang w:bidi="en-US"/>
        </w:rPr>
      </w:pPr>
    </w:p>
    <w:p w:rsidR="002B34A0" w:rsidRPr="002B34A0" w:rsidRDefault="00CC4227" w:rsidP="00CC4227">
      <w:pPr>
        <w:pStyle w:val="Heading1"/>
        <w:rPr>
          <w:lang w:bidi="en-US"/>
        </w:rPr>
      </w:pPr>
      <w:bookmarkStart w:id="121" w:name="_Toc482020606"/>
      <w:r>
        <w:rPr>
          <w:lang w:bidi="en-US"/>
        </w:rPr>
        <w:t xml:space="preserve">10.  </w:t>
      </w:r>
      <w:r w:rsidR="002B34A0" w:rsidRPr="002B34A0">
        <w:rPr>
          <w:lang w:bidi="en-US"/>
        </w:rPr>
        <w:t>ATTACHMENTS TO THE SUPPORTING STATEMENT</w:t>
      </w:r>
      <w:bookmarkEnd w:id="121"/>
    </w:p>
    <w:p w:rsidR="002B34A0" w:rsidRDefault="002B34A0" w:rsidP="002B34A0">
      <w:pPr>
        <w:rPr>
          <w:lang w:bidi="en-US"/>
        </w:rPr>
      </w:pPr>
      <w:r w:rsidRPr="002B34A0">
        <w:rPr>
          <w:lang w:bidi="en-US"/>
        </w:rPr>
        <w:t xml:space="preserve">Attachments to the supporting statement are available in the public docket established for this ICR under docket identification number </w:t>
      </w:r>
      <w:r w:rsidRPr="006B51C8">
        <w:rPr>
          <w:lang w:bidi="en-US"/>
        </w:rPr>
        <w:t>EPA-HQ-OPP-201</w:t>
      </w:r>
      <w:r w:rsidR="007C32B8" w:rsidRPr="006B51C8">
        <w:rPr>
          <w:lang w:bidi="en-US"/>
        </w:rPr>
        <w:t>6</w:t>
      </w:r>
      <w:r w:rsidRPr="006B51C8">
        <w:rPr>
          <w:lang w:bidi="en-US"/>
        </w:rPr>
        <w:t>-</w:t>
      </w:r>
      <w:r w:rsidR="006B51C8" w:rsidRPr="006B51C8">
        <w:rPr>
          <w:lang w:bidi="en-US"/>
        </w:rPr>
        <w:t>0109</w:t>
      </w:r>
      <w:r w:rsidRPr="006B51C8">
        <w:rPr>
          <w:lang w:bidi="en-US"/>
        </w:rPr>
        <w:t>.</w:t>
      </w:r>
      <w:r w:rsidRPr="002B34A0">
        <w:rPr>
          <w:b/>
          <w:lang w:bidi="en-US"/>
        </w:rPr>
        <w:t xml:space="preserve">  </w:t>
      </w:r>
      <w:r w:rsidRPr="002B34A0">
        <w:rPr>
          <w:lang w:bidi="en-US"/>
        </w:rPr>
        <w:t xml:space="preserve">These attachments are available for online viewing at </w:t>
      </w:r>
      <w:hyperlink r:id="rId26" w:history="1">
        <w:r w:rsidRPr="002B34A0">
          <w:rPr>
            <w:rStyle w:val="Hyperlink"/>
            <w:lang w:bidi="en-US"/>
          </w:rPr>
          <w:t>www.regulations.gov</w:t>
        </w:r>
      </w:hyperlink>
      <w:r w:rsidRPr="002B34A0">
        <w:rPr>
          <w:lang w:bidi="en-US"/>
        </w:rPr>
        <w:t xml:space="preserve"> </w:t>
      </w:r>
      <w:r w:rsidRPr="005463D1">
        <w:rPr>
          <w:lang w:bidi="en-US"/>
        </w:rPr>
        <w:t>or otherwise accessed as described in this section 6(f) of the sup</w:t>
      </w:r>
      <w:r w:rsidRPr="007D6E48">
        <w:rPr>
          <w:lang w:bidi="en-US"/>
        </w:rPr>
        <w:t>porting statement.</w:t>
      </w:r>
    </w:p>
    <w:p w:rsidR="00530BF7" w:rsidRDefault="00530BF7" w:rsidP="008E4761">
      <w:pPr>
        <w:pStyle w:val="NoSpacing"/>
        <w:rPr>
          <w:lang w:bidi="en-US"/>
        </w:rPr>
      </w:pPr>
    </w:p>
    <w:p w:rsidR="00530BF7" w:rsidRPr="008E4761" w:rsidRDefault="00530BF7" w:rsidP="008E4761">
      <w:pPr>
        <w:pStyle w:val="NoSpacing"/>
        <w:ind w:left="720"/>
        <w:rPr>
          <w:b/>
          <w:lang w:bidi="en-US"/>
        </w:rPr>
      </w:pPr>
    </w:p>
    <w:p w:rsidR="002B34A0" w:rsidRPr="002B34A0" w:rsidRDefault="002B34A0" w:rsidP="002B34A0">
      <w:pPr>
        <w:rPr>
          <w:b/>
          <w:lang w:bidi="en-US"/>
        </w:rPr>
      </w:pPr>
    </w:p>
    <w:tbl>
      <w:tblPr>
        <w:tblW w:w="10154" w:type="dxa"/>
        <w:tblLayout w:type="fixed"/>
        <w:tblLook w:val="01E0" w:firstRow="1" w:lastRow="1" w:firstColumn="1" w:lastColumn="1" w:noHBand="0" w:noVBand="0"/>
      </w:tblPr>
      <w:tblGrid>
        <w:gridCol w:w="1908"/>
        <w:gridCol w:w="360"/>
        <w:gridCol w:w="342"/>
        <w:gridCol w:w="236"/>
        <w:gridCol w:w="6730"/>
        <w:gridCol w:w="578"/>
      </w:tblGrid>
      <w:tr w:rsidR="00C656B4" w:rsidRPr="002B34A0" w:rsidTr="00B33874">
        <w:trPr>
          <w:gridAfter w:val="1"/>
          <w:wAfter w:w="578" w:type="dxa"/>
        </w:trPr>
        <w:tc>
          <w:tcPr>
            <w:tcW w:w="1908" w:type="dxa"/>
          </w:tcPr>
          <w:p w:rsidR="00C656B4" w:rsidRPr="002B34A0" w:rsidRDefault="00C656B4" w:rsidP="005A31BA">
            <w:pPr>
              <w:rPr>
                <w:b/>
                <w:bCs/>
                <w:lang w:bidi="en-US"/>
              </w:rPr>
            </w:pPr>
            <w:r w:rsidRPr="002B34A0">
              <w:rPr>
                <w:b/>
                <w:bCs/>
                <w:lang w:bidi="en-US"/>
              </w:rPr>
              <w:t xml:space="preserve">Attachment </w:t>
            </w:r>
            <w:r w:rsidR="005A31BA">
              <w:rPr>
                <w:b/>
                <w:bCs/>
                <w:lang w:bidi="en-US"/>
              </w:rPr>
              <w:t>A</w:t>
            </w:r>
            <w:r w:rsidRPr="002B34A0">
              <w:rPr>
                <w:b/>
                <w:bCs/>
                <w:lang w:bidi="en-US"/>
              </w:rPr>
              <w:t>:</w:t>
            </w:r>
          </w:p>
        </w:tc>
        <w:tc>
          <w:tcPr>
            <w:tcW w:w="7668" w:type="dxa"/>
            <w:gridSpan w:val="4"/>
          </w:tcPr>
          <w:p w:rsidR="00C656B4" w:rsidRPr="002B34A0" w:rsidRDefault="00C656B4" w:rsidP="00790716">
            <w:pPr>
              <w:spacing w:after="120"/>
              <w:rPr>
                <w:bCs/>
                <w:lang w:bidi="en-US"/>
              </w:rPr>
            </w:pPr>
            <w:r w:rsidRPr="002B34A0">
              <w:rPr>
                <w:lang w:bidi="en-US"/>
              </w:rPr>
              <w:t xml:space="preserve">Forms that </w:t>
            </w:r>
            <w:r w:rsidRPr="005463D1">
              <w:rPr>
                <w:lang w:bidi="en-US"/>
              </w:rPr>
              <w:t>are commonly associated</w:t>
            </w:r>
            <w:r w:rsidRPr="002B34A0">
              <w:rPr>
                <w:lang w:bidi="en-US"/>
              </w:rPr>
              <w:t xml:space="preserve"> with Data Call-ins </w:t>
            </w:r>
            <w:r w:rsidR="00FB77D7">
              <w:rPr>
                <w:lang w:bidi="en-US"/>
              </w:rPr>
              <w:t xml:space="preserve">are </w:t>
            </w:r>
            <w:r w:rsidR="00FB77D7" w:rsidRPr="002B34A0">
              <w:rPr>
                <w:lang w:bidi="en-US"/>
              </w:rPr>
              <w:t>available</w:t>
            </w:r>
            <w:r w:rsidRPr="002B34A0">
              <w:rPr>
                <w:lang w:bidi="en-US"/>
              </w:rPr>
              <w:t xml:space="preserve"> electronically at</w:t>
            </w:r>
            <w:r w:rsidR="006009A2">
              <w:rPr>
                <w:lang w:bidi="en-US"/>
              </w:rPr>
              <w:t>:</w:t>
            </w:r>
            <w:r w:rsidRPr="002B34A0">
              <w:rPr>
                <w:lang w:bidi="en-US"/>
              </w:rPr>
              <w:t xml:space="preserve"> </w:t>
            </w:r>
            <w:hyperlink r:id="rId27" w:history="1">
              <w:r w:rsidR="00790716" w:rsidRPr="00E85B88">
                <w:rPr>
                  <w:rStyle w:val="Hyperlink"/>
                  <w:lang w:bidi="en-US"/>
                </w:rPr>
                <w:t>https://www.epa.gov/pesticide-registration/label-review-manual</w:t>
              </w:r>
            </w:hyperlink>
            <w:r w:rsidR="00790716">
              <w:rPr>
                <w:lang w:bidi="en-US"/>
              </w:rPr>
              <w:t xml:space="preserve"> in the forms section.  </w:t>
            </w:r>
          </w:p>
        </w:tc>
      </w:tr>
      <w:tr w:rsidR="00C656B4" w:rsidRPr="002B34A0" w:rsidTr="00B33874">
        <w:trPr>
          <w:gridAfter w:val="1"/>
          <w:wAfter w:w="578" w:type="dxa"/>
        </w:trPr>
        <w:tc>
          <w:tcPr>
            <w:tcW w:w="1908" w:type="dxa"/>
          </w:tcPr>
          <w:p w:rsidR="00C656B4" w:rsidRPr="002B34A0" w:rsidRDefault="00C656B4" w:rsidP="002B34A0">
            <w:pPr>
              <w:rPr>
                <w:b/>
                <w:bCs/>
                <w:lang w:bidi="en-US"/>
              </w:rPr>
            </w:pPr>
          </w:p>
        </w:tc>
        <w:tc>
          <w:tcPr>
            <w:tcW w:w="360" w:type="dxa"/>
          </w:tcPr>
          <w:p w:rsidR="00C656B4" w:rsidRPr="002B34A0" w:rsidRDefault="00C656B4" w:rsidP="000530F2">
            <w:pPr>
              <w:spacing w:after="120"/>
              <w:rPr>
                <w:bCs/>
                <w:lang w:bidi="en-US"/>
              </w:rPr>
            </w:pPr>
          </w:p>
        </w:tc>
        <w:tc>
          <w:tcPr>
            <w:tcW w:w="7308" w:type="dxa"/>
            <w:gridSpan w:val="3"/>
          </w:tcPr>
          <w:p w:rsidR="00C656B4" w:rsidRPr="002B34A0" w:rsidRDefault="00C656B4" w:rsidP="000530F2">
            <w:pPr>
              <w:spacing w:after="120"/>
              <w:rPr>
                <w:bCs/>
                <w:lang w:bidi="en-US"/>
              </w:rPr>
            </w:pPr>
            <w:r w:rsidRPr="002B34A0">
              <w:rPr>
                <w:i/>
                <w:lang w:bidi="en-US"/>
              </w:rPr>
              <w:t>EPA Form No. 8570-4</w:t>
            </w:r>
            <w:r w:rsidRPr="002B34A0">
              <w:rPr>
                <w:lang w:bidi="en-US"/>
              </w:rPr>
              <w:t xml:space="preserve"> - Confidential Statement of Formula</w:t>
            </w:r>
          </w:p>
        </w:tc>
      </w:tr>
      <w:tr w:rsidR="00C656B4" w:rsidRPr="002B34A0" w:rsidTr="00B33874">
        <w:trPr>
          <w:gridAfter w:val="1"/>
          <w:wAfter w:w="578" w:type="dxa"/>
        </w:trPr>
        <w:tc>
          <w:tcPr>
            <w:tcW w:w="1908" w:type="dxa"/>
          </w:tcPr>
          <w:p w:rsidR="00C656B4" w:rsidRPr="002B34A0" w:rsidRDefault="00C656B4" w:rsidP="002B34A0">
            <w:pPr>
              <w:rPr>
                <w:b/>
                <w:bCs/>
                <w:lang w:bidi="en-US"/>
              </w:rPr>
            </w:pPr>
          </w:p>
        </w:tc>
        <w:tc>
          <w:tcPr>
            <w:tcW w:w="360" w:type="dxa"/>
          </w:tcPr>
          <w:p w:rsidR="00C656B4" w:rsidRPr="002B34A0" w:rsidRDefault="00C656B4" w:rsidP="000530F2">
            <w:pPr>
              <w:spacing w:after="120"/>
              <w:rPr>
                <w:b/>
                <w:bCs/>
                <w:lang w:bidi="en-US"/>
              </w:rPr>
            </w:pPr>
          </w:p>
        </w:tc>
        <w:tc>
          <w:tcPr>
            <w:tcW w:w="7308" w:type="dxa"/>
            <w:gridSpan w:val="3"/>
          </w:tcPr>
          <w:p w:rsidR="00C656B4" w:rsidRPr="002B34A0" w:rsidRDefault="00C656B4" w:rsidP="000530F2">
            <w:pPr>
              <w:spacing w:after="120"/>
              <w:rPr>
                <w:bCs/>
                <w:lang w:bidi="en-US"/>
              </w:rPr>
            </w:pPr>
            <w:r w:rsidRPr="002B34A0">
              <w:rPr>
                <w:i/>
                <w:lang w:bidi="en-US"/>
              </w:rPr>
              <w:t>EPA Form No. 8570-27</w:t>
            </w:r>
            <w:r w:rsidRPr="002B34A0">
              <w:rPr>
                <w:lang w:bidi="en-US"/>
              </w:rPr>
              <w:t xml:space="preserve"> - </w:t>
            </w:r>
            <w:r w:rsidRPr="005463D1">
              <w:rPr>
                <w:lang w:bidi="en-US"/>
              </w:rPr>
              <w:t>Formulator's</w:t>
            </w:r>
            <w:r w:rsidRPr="002B34A0">
              <w:rPr>
                <w:lang w:bidi="en-US"/>
              </w:rPr>
              <w:t xml:space="preserve"> Exemption Statement</w:t>
            </w:r>
          </w:p>
        </w:tc>
      </w:tr>
      <w:tr w:rsidR="00C656B4" w:rsidRPr="002B34A0" w:rsidTr="00B33874">
        <w:trPr>
          <w:gridAfter w:val="1"/>
          <w:wAfter w:w="578" w:type="dxa"/>
        </w:trPr>
        <w:tc>
          <w:tcPr>
            <w:tcW w:w="1908" w:type="dxa"/>
          </w:tcPr>
          <w:p w:rsidR="00C656B4" w:rsidRPr="002B34A0" w:rsidRDefault="00C656B4" w:rsidP="002B34A0">
            <w:pPr>
              <w:rPr>
                <w:b/>
                <w:bCs/>
                <w:lang w:bidi="en-US"/>
              </w:rPr>
            </w:pPr>
          </w:p>
        </w:tc>
        <w:tc>
          <w:tcPr>
            <w:tcW w:w="360" w:type="dxa"/>
          </w:tcPr>
          <w:p w:rsidR="00C656B4" w:rsidRPr="002B34A0" w:rsidRDefault="00C656B4" w:rsidP="000530F2">
            <w:pPr>
              <w:spacing w:after="120"/>
              <w:rPr>
                <w:b/>
                <w:bCs/>
                <w:lang w:bidi="en-US"/>
              </w:rPr>
            </w:pPr>
          </w:p>
        </w:tc>
        <w:tc>
          <w:tcPr>
            <w:tcW w:w="7308" w:type="dxa"/>
            <w:gridSpan w:val="3"/>
          </w:tcPr>
          <w:p w:rsidR="00C656B4" w:rsidRPr="002B34A0" w:rsidRDefault="00C656B4" w:rsidP="000530F2">
            <w:pPr>
              <w:spacing w:after="120"/>
              <w:rPr>
                <w:bCs/>
                <w:lang w:bidi="en-US"/>
              </w:rPr>
            </w:pPr>
            <w:r w:rsidRPr="002B34A0">
              <w:rPr>
                <w:bCs/>
                <w:i/>
                <w:lang w:bidi="en-US"/>
              </w:rPr>
              <w:t>EPA Form No. 8570-28</w:t>
            </w:r>
            <w:r w:rsidRPr="002B34A0">
              <w:rPr>
                <w:bCs/>
                <w:lang w:bidi="en-US"/>
              </w:rPr>
              <w:t xml:space="preserve"> - Certification of Compliance with Data Gap Procedures</w:t>
            </w:r>
          </w:p>
        </w:tc>
      </w:tr>
      <w:tr w:rsidR="00C656B4" w:rsidRPr="002B34A0" w:rsidTr="00B33874">
        <w:trPr>
          <w:gridAfter w:val="1"/>
          <w:wAfter w:w="578" w:type="dxa"/>
        </w:trPr>
        <w:tc>
          <w:tcPr>
            <w:tcW w:w="1908" w:type="dxa"/>
          </w:tcPr>
          <w:p w:rsidR="00C656B4" w:rsidRPr="002B34A0" w:rsidRDefault="00C656B4" w:rsidP="002B34A0">
            <w:pPr>
              <w:rPr>
                <w:b/>
                <w:bCs/>
                <w:lang w:bidi="en-US"/>
              </w:rPr>
            </w:pPr>
          </w:p>
        </w:tc>
        <w:tc>
          <w:tcPr>
            <w:tcW w:w="360" w:type="dxa"/>
          </w:tcPr>
          <w:p w:rsidR="00C656B4" w:rsidRPr="002B34A0" w:rsidRDefault="00C656B4" w:rsidP="000530F2">
            <w:pPr>
              <w:spacing w:after="120"/>
              <w:rPr>
                <w:b/>
                <w:bCs/>
                <w:lang w:bidi="en-US"/>
              </w:rPr>
            </w:pPr>
          </w:p>
        </w:tc>
        <w:tc>
          <w:tcPr>
            <w:tcW w:w="7308" w:type="dxa"/>
            <w:gridSpan w:val="3"/>
          </w:tcPr>
          <w:p w:rsidR="00C656B4" w:rsidRPr="002B34A0" w:rsidRDefault="00C656B4" w:rsidP="000530F2">
            <w:pPr>
              <w:spacing w:after="120"/>
              <w:rPr>
                <w:bCs/>
                <w:lang w:bidi="en-US"/>
              </w:rPr>
            </w:pPr>
            <w:r w:rsidRPr="002B34A0">
              <w:rPr>
                <w:bCs/>
                <w:i/>
                <w:lang w:bidi="en-US"/>
              </w:rPr>
              <w:t xml:space="preserve">EPA Form No. 8570-32 </w:t>
            </w:r>
            <w:r w:rsidRPr="002B34A0">
              <w:rPr>
                <w:bCs/>
                <w:lang w:bidi="en-US"/>
              </w:rPr>
              <w:t>- Certification of Attempt to Enter into an Agreement with Registrants for Development of Data Form</w:t>
            </w:r>
          </w:p>
        </w:tc>
      </w:tr>
      <w:tr w:rsidR="00C656B4" w:rsidRPr="002B34A0" w:rsidTr="00B33874">
        <w:trPr>
          <w:gridAfter w:val="1"/>
          <w:wAfter w:w="578" w:type="dxa"/>
        </w:trPr>
        <w:tc>
          <w:tcPr>
            <w:tcW w:w="1908" w:type="dxa"/>
          </w:tcPr>
          <w:p w:rsidR="00C656B4" w:rsidRPr="002B34A0" w:rsidRDefault="00C656B4" w:rsidP="002B34A0">
            <w:pPr>
              <w:rPr>
                <w:b/>
                <w:bCs/>
                <w:lang w:bidi="en-US"/>
              </w:rPr>
            </w:pPr>
          </w:p>
        </w:tc>
        <w:tc>
          <w:tcPr>
            <w:tcW w:w="360" w:type="dxa"/>
          </w:tcPr>
          <w:p w:rsidR="00C656B4" w:rsidRPr="002B34A0" w:rsidRDefault="00C656B4" w:rsidP="000530F2">
            <w:pPr>
              <w:spacing w:after="120"/>
              <w:rPr>
                <w:b/>
                <w:bCs/>
                <w:lang w:bidi="en-US"/>
              </w:rPr>
            </w:pPr>
          </w:p>
        </w:tc>
        <w:tc>
          <w:tcPr>
            <w:tcW w:w="7308" w:type="dxa"/>
            <w:gridSpan w:val="3"/>
          </w:tcPr>
          <w:p w:rsidR="00C656B4" w:rsidRPr="002B34A0" w:rsidRDefault="00C656B4" w:rsidP="000530F2">
            <w:pPr>
              <w:spacing w:after="120"/>
              <w:rPr>
                <w:bCs/>
                <w:lang w:bidi="en-US"/>
              </w:rPr>
            </w:pPr>
            <w:r w:rsidRPr="002B34A0">
              <w:rPr>
                <w:i/>
                <w:lang w:bidi="en-US"/>
              </w:rPr>
              <w:t>EPA Form No. 8570-34</w:t>
            </w:r>
            <w:r w:rsidRPr="002B34A0">
              <w:rPr>
                <w:lang w:bidi="en-US"/>
              </w:rPr>
              <w:t xml:space="preserve"> - Certification with Respect to Citation of Data Form</w:t>
            </w:r>
          </w:p>
        </w:tc>
      </w:tr>
      <w:tr w:rsidR="00C656B4" w:rsidRPr="002B34A0" w:rsidTr="00B33874">
        <w:trPr>
          <w:gridAfter w:val="1"/>
          <w:wAfter w:w="578" w:type="dxa"/>
        </w:trPr>
        <w:tc>
          <w:tcPr>
            <w:tcW w:w="1908" w:type="dxa"/>
          </w:tcPr>
          <w:p w:rsidR="00C656B4" w:rsidRPr="002B34A0" w:rsidRDefault="00C656B4" w:rsidP="002B34A0">
            <w:pPr>
              <w:rPr>
                <w:b/>
                <w:bCs/>
                <w:lang w:bidi="en-US"/>
              </w:rPr>
            </w:pPr>
          </w:p>
        </w:tc>
        <w:tc>
          <w:tcPr>
            <w:tcW w:w="360" w:type="dxa"/>
          </w:tcPr>
          <w:p w:rsidR="00C656B4" w:rsidRPr="002B34A0" w:rsidRDefault="00C656B4" w:rsidP="000530F2">
            <w:pPr>
              <w:spacing w:after="120"/>
              <w:rPr>
                <w:b/>
                <w:bCs/>
                <w:lang w:bidi="en-US"/>
              </w:rPr>
            </w:pPr>
          </w:p>
        </w:tc>
        <w:tc>
          <w:tcPr>
            <w:tcW w:w="7308" w:type="dxa"/>
            <w:gridSpan w:val="3"/>
          </w:tcPr>
          <w:p w:rsidR="00C656B4" w:rsidRPr="002B34A0" w:rsidRDefault="00C656B4" w:rsidP="000530F2">
            <w:pPr>
              <w:spacing w:after="120"/>
              <w:rPr>
                <w:bCs/>
                <w:lang w:bidi="en-US"/>
              </w:rPr>
            </w:pPr>
            <w:r w:rsidRPr="002B34A0">
              <w:rPr>
                <w:i/>
                <w:lang w:bidi="en-US"/>
              </w:rPr>
              <w:t>EPA Form No. 8570-35</w:t>
            </w:r>
            <w:r w:rsidRPr="002B34A0">
              <w:rPr>
                <w:lang w:bidi="en-US"/>
              </w:rPr>
              <w:t xml:space="preserve"> - Data Matrix Form</w:t>
            </w:r>
          </w:p>
        </w:tc>
      </w:tr>
      <w:tr w:rsidR="00C656B4" w:rsidRPr="002B34A0" w:rsidTr="00B33874">
        <w:trPr>
          <w:gridAfter w:val="1"/>
          <w:wAfter w:w="578" w:type="dxa"/>
        </w:trPr>
        <w:tc>
          <w:tcPr>
            <w:tcW w:w="1908" w:type="dxa"/>
          </w:tcPr>
          <w:p w:rsidR="00C656B4" w:rsidRPr="002B34A0" w:rsidRDefault="00C656B4" w:rsidP="002B34A0">
            <w:pPr>
              <w:rPr>
                <w:b/>
                <w:bCs/>
                <w:lang w:bidi="en-US"/>
              </w:rPr>
            </w:pPr>
          </w:p>
        </w:tc>
        <w:tc>
          <w:tcPr>
            <w:tcW w:w="360" w:type="dxa"/>
          </w:tcPr>
          <w:p w:rsidR="00C656B4" w:rsidRPr="002B34A0" w:rsidRDefault="00C656B4" w:rsidP="000530F2">
            <w:pPr>
              <w:spacing w:after="120"/>
              <w:rPr>
                <w:b/>
                <w:bCs/>
                <w:lang w:bidi="en-US"/>
              </w:rPr>
            </w:pPr>
          </w:p>
        </w:tc>
        <w:tc>
          <w:tcPr>
            <w:tcW w:w="7308" w:type="dxa"/>
            <w:gridSpan w:val="3"/>
          </w:tcPr>
          <w:p w:rsidR="00C656B4" w:rsidRPr="002B34A0" w:rsidRDefault="00C656B4" w:rsidP="000530F2">
            <w:pPr>
              <w:spacing w:after="120"/>
              <w:rPr>
                <w:bCs/>
                <w:i/>
                <w:lang w:bidi="en-US"/>
              </w:rPr>
            </w:pPr>
            <w:r w:rsidRPr="002B34A0">
              <w:rPr>
                <w:i/>
                <w:lang w:bidi="en-US"/>
              </w:rPr>
              <w:t xml:space="preserve">EPA Form No. 8570-36 - </w:t>
            </w:r>
            <w:r w:rsidRPr="002B34A0">
              <w:rPr>
                <w:lang w:bidi="en-US"/>
              </w:rPr>
              <w:t>Summary of the Physical/Chemical Properties Form</w:t>
            </w:r>
          </w:p>
        </w:tc>
      </w:tr>
      <w:tr w:rsidR="00C656B4" w:rsidRPr="002B34A0" w:rsidTr="00B33874">
        <w:trPr>
          <w:gridAfter w:val="1"/>
          <w:wAfter w:w="578" w:type="dxa"/>
        </w:trPr>
        <w:tc>
          <w:tcPr>
            <w:tcW w:w="1908" w:type="dxa"/>
          </w:tcPr>
          <w:p w:rsidR="00C656B4" w:rsidRPr="002B34A0" w:rsidRDefault="00C656B4" w:rsidP="002B34A0">
            <w:pPr>
              <w:rPr>
                <w:b/>
                <w:bCs/>
                <w:lang w:bidi="en-US"/>
              </w:rPr>
            </w:pPr>
          </w:p>
        </w:tc>
        <w:tc>
          <w:tcPr>
            <w:tcW w:w="360" w:type="dxa"/>
          </w:tcPr>
          <w:p w:rsidR="00C656B4" w:rsidRPr="002B34A0" w:rsidRDefault="00C656B4" w:rsidP="000530F2">
            <w:pPr>
              <w:spacing w:after="120"/>
              <w:rPr>
                <w:b/>
                <w:bCs/>
                <w:lang w:bidi="en-US"/>
              </w:rPr>
            </w:pPr>
          </w:p>
        </w:tc>
        <w:tc>
          <w:tcPr>
            <w:tcW w:w="7308" w:type="dxa"/>
            <w:gridSpan w:val="3"/>
          </w:tcPr>
          <w:p w:rsidR="00C656B4" w:rsidRPr="002B34A0" w:rsidRDefault="00C656B4" w:rsidP="000530F2">
            <w:pPr>
              <w:spacing w:after="120"/>
              <w:rPr>
                <w:i/>
                <w:lang w:bidi="en-US"/>
              </w:rPr>
            </w:pPr>
            <w:r w:rsidRPr="002B34A0">
              <w:rPr>
                <w:i/>
                <w:lang w:bidi="en-US"/>
              </w:rPr>
              <w:t xml:space="preserve">EPA Form No. 8570-37 - </w:t>
            </w:r>
            <w:r w:rsidRPr="002B34A0">
              <w:rPr>
                <w:lang w:bidi="en-US"/>
              </w:rPr>
              <w:t>Self-Certification Statement for the Physical/Chemical Properties</w:t>
            </w:r>
          </w:p>
        </w:tc>
      </w:tr>
      <w:tr w:rsidR="00C656B4" w:rsidRPr="002B34A0" w:rsidTr="00B33874">
        <w:trPr>
          <w:gridAfter w:val="1"/>
          <w:wAfter w:w="578" w:type="dxa"/>
        </w:trPr>
        <w:tc>
          <w:tcPr>
            <w:tcW w:w="1908" w:type="dxa"/>
          </w:tcPr>
          <w:p w:rsidR="00C656B4" w:rsidRPr="002B34A0" w:rsidRDefault="00C656B4" w:rsidP="002B34A0">
            <w:pPr>
              <w:rPr>
                <w:b/>
                <w:bCs/>
                <w:lang w:bidi="en-US"/>
              </w:rPr>
            </w:pPr>
          </w:p>
        </w:tc>
        <w:tc>
          <w:tcPr>
            <w:tcW w:w="360" w:type="dxa"/>
          </w:tcPr>
          <w:p w:rsidR="00C656B4" w:rsidRPr="002B34A0" w:rsidRDefault="00C656B4" w:rsidP="000530F2">
            <w:pPr>
              <w:spacing w:after="120"/>
              <w:rPr>
                <w:b/>
                <w:bCs/>
                <w:lang w:bidi="en-US"/>
              </w:rPr>
            </w:pPr>
          </w:p>
        </w:tc>
        <w:tc>
          <w:tcPr>
            <w:tcW w:w="7308" w:type="dxa"/>
            <w:gridSpan w:val="3"/>
          </w:tcPr>
          <w:p w:rsidR="00A71A03" w:rsidRDefault="00C656B4" w:rsidP="000530F2">
            <w:pPr>
              <w:spacing w:after="120"/>
              <w:rPr>
                <w:lang w:bidi="en-US"/>
              </w:rPr>
            </w:pPr>
            <w:r w:rsidRPr="00D57E48">
              <w:rPr>
                <w:lang w:bidi="en-US"/>
              </w:rPr>
              <w:t xml:space="preserve">The remaining forms are computer generated and uniquely pre-populated and sent directly to individual registrants. </w:t>
            </w:r>
            <w:r w:rsidR="00A71A03">
              <w:rPr>
                <w:lang w:bidi="en-US"/>
              </w:rPr>
              <w:t>The forms below are part of the multipage DCI notice which contain</w:t>
            </w:r>
            <w:r w:rsidRPr="00D57E48">
              <w:rPr>
                <w:lang w:bidi="en-US"/>
              </w:rPr>
              <w:t xml:space="preserve"> </w:t>
            </w:r>
            <w:r w:rsidR="00A71A03">
              <w:rPr>
                <w:lang w:bidi="en-US"/>
              </w:rPr>
              <w:t>s</w:t>
            </w:r>
            <w:r w:rsidR="00D57E48">
              <w:rPr>
                <w:lang w:bidi="en-US"/>
              </w:rPr>
              <w:t xml:space="preserve">amples </w:t>
            </w:r>
            <w:r w:rsidR="00A71A03">
              <w:rPr>
                <w:lang w:bidi="en-US"/>
              </w:rPr>
              <w:t>of the forms and instructions below.  This information has been provided to OMB directly.</w:t>
            </w:r>
          </w:p>
          <w:p w:rsidR="00C656B4" w:rsidRPr="00D57E48" w:rsidRDefault="00D57E48" w:rsidP="000530F2">
            <w:pPr>
              <w:spacing w:after="120"/>
              <w:rPr>
                <w:lang w:bidi="en-US"/>
              </w:rPr>
            </w:pPr>
            <w:r>
              <w:rPr>
                <w:lang w:bidi="en-US"/>
              </w:rPr>
              <w:t xml:space="preserve"> </w:t>
            </w:r>
            <w:r w:rsidR="00C656B4" w:rsidRPr="00D57E48">
              <w:rPr>
                <w:i/>
                <w:lang w:bidi="en-US"/>
              </w:rPr>
              <w:t xml:space="preserve">EPA Form No. 6300-3 - </w:t>
            </w:r>
            <w:r w:rsidR="00C656B4" w:rsidRPr="00D57E48">
              <w:rPr>
                <w:lang w:bidi="en-US"/>
              </w:rPr>
              <w:t xml:space="preserve">Requirements Status and Registrant’s Response. </w:t>
            </w:r>
          </w:p>
          <w:p w:rsidR="00C656B4" w:rsidRPr="00D57E48" w:rsidRDefault="00C656B4" w:rsidP="000530F2">
            <w:pPr>
              <w:spacing w:after="120"/>
              <w:rPr>
                <w:i/>
                <w:highlight w:val="yellow"/>
                <w:lang w:bidi="en-US"/>
              </w:rPr>
            </w:pPr>
            <w:r w:rsidRPr="00D57E48">
              <w:rPr>
                <w:i/>
                <w:lang w:bidi="en-US"/>
              </w:rPr>
              <w:t xml:space="preserve">EPA Form No. 6300-4 - </w:t>
            </w:r>
            <w:r w:rsidRPr="00D57E48">
              <w:rPr>
                <w:lang w:bidi="en-US"/>
              </w:rPr>
              <w:t xml:space="preserve">Data Call-In Response Form. </w:t>
            </w:r>
          </w:p>
        </w:tc>
      </w:tr>
      <w:tr w:rsidR="00C656B4" w:rsidRPr="002B34A0" w:rsidTr="00B33874">
        <w:tc>
          <w:tcPr>
            <w:tcW w:w="2610" w:type="dxa"/>
            <w:gridSpan w:val="3"/>
          </w:tcPr>
          <w:p w:rsidR="00C656B4" w:rsidRPr="002B34A0" w:rsidRDefault="00C656B4" w:rsidP="002B34A0">
            <w:pPr>
              <w:rPr>
                <w:b/>
                <w:bCs/>
                <w:lang w:bidi="en-US"/>
              </w:rPr>
            </w:pPr>
          </w:p>
        </w:tc>
        <w:tc>
          <w:tcPr>
            <w:tcW w:w="236" w:type="dxa"/>
          </w:tcPr>
          <w:p w:rsidR="00C656B4" w:rsidRPr="002B34A0" w:rsidRDefault="00C656B4" w:rsidP="000530F2">
            <w:pPr>
              <w:spacing w:after="120"/>
              <w:rPr>
                <w:b/>
                <w:bCs/>
                <w:lang w:bidi="en-US"/>
              </w:rPr>
            </w:pPr>
          </w:p>
        </w:tc>
        <w:tc>
          <w:tcPr>
            <w:tcW w:w="7308" w:type="dxa"/>
            <w:gridSpan w:val="2"/>
          </w:tcPr>
          <w:p w:rsidR="00C656B4" w:rsidRPr="002B34A0" w:rsidRDefault="00C656B4" w:rsidP="000530F2">
            <w:pPr>
              <w:spacing w:after="120"/>
              <w:rPr>
                <w:i/>
                <w:lang w:bidi="en-US"/>
              </w:rPr>
            </w:pPr>
          </w:p>
        </w:tc>
      </w:tr>
      <w:tr w:rsidR="00C656B4" w:rsidRPr="002B34A0" w:rsidTr="00B33874">
        <w:trPr>
          <w:gridAfter w:val="1"/>
          <w:wAfter w:w="578" w:type="dxa"/>
          <w:trHeight w:val="4536"/>
        </w:trPr>
        <w:tc>
          <w:tcPr>
            <w:tcW w:w="2610" w:type="dxa"/>
            <w:gridSpan w:val="3"/>
          </w:tcPr>
          <w:p w:rsidR="00C76F85" w:rsidRDefault="00C656B4" w:rsidP="005A31BA">
            <w:pPr>
              <w:rPr>
                <w:b/>
                <w:bCs/>
                <w:lang w:bidi="en-US"/>
              </w:rPr>
            </w:pPr>
            <w:r w:rsidRPr="002B34A0">
              <w:rPr>
                <w:b/>
                <w:bCs/>
                <w:lang w:bidi="en-US"/>
              </w:rPr>
              <w:t xml:space="preserve">Attachment </w:t>
            </w:r>
            <w:r w:rsidR="005A31BA">
              <w:rPr>
                <w:b/>
                <w:bCs/>
                <w:lang w:bidi="en-US"/>
              </w:rPr>
              <w:t>B</w:t>
            </w:r>
            <w:r w:rsidRPr="002B34A0">
              <w:rPr>
                <w:b/>
                <w:bCs/>
                <w:lang w:bidi="en-US"/>
              </w:rPr>
              <w:t>:</w:t>
            </w:r>
          </w:p>
          <w:p w:rsidR="00C76F85" w:rsidRPr="00C76F85" w:rsidRDefault="00C76F85" w:rsidP="00C76F85">
            <w:pPr>
              <w:rPr>
                <w:lang w:bidi="en-US"/>
              </w:rPr>
            </w:pPr>
          </w:p>
          <w:p w:rsidR="00C76F85" w:rsidRPr="00C76F85" w:rsidRDefault="00C76F85" w:rsidP="00C76F85">
            <w:pPr>
              <w:rPr>
                <w:lang w:bidi="en-US"/>
              </w:rPr>
            </w:pPr>
          </w:p>
          <w:p w:rsidR="00C76F85" w:rsidRPr="00C76F85" w:rsidRDefault="00C76F85" w:rsidP="00C76F85">
            <w:pPr>
              <w:rPr>
                <w:lang w:bidi="en-US"/>
              </w:rPr>
            </w:pPr>
          </w:p>
          <w:p w:rsidR="00C76F85" w:rsidRPr="00C76F85" w:rsidRDefault="00C76F85" w:rsidP="00C76F85">
            <w:pPr>
              <w:rPr>
                <w:lang w:bidi="en-US"/>
              </w:rPr>
            </w:pPr>
          </w:p>
          <w:p w:rsidR="00C76F85" w:rsidRPr="00C76F85" w:rsidRDefault="00C76F85" w:rsidP="00C76F85">
            <w:pPr>
              <w:rPr>
                <w:lang w:bidi="en-US"/>
              </w:rPr>
            </w:pPr>
          </w:p>
          <w:p w:rsidR="00C76F85" w:rsidRPr="00C76F85" w:rsidRDefault="00C76F85" w:rsidP="00C76F85">
            <w:pPr>
              <w:rPr>
                <w:lang w:bidi="en-US"/>
              </w:rPr>
            </w:pPr>
          </w:p>
          <w:p w:rsidR="00C76F85" w:rsidRPr="00C76F85" w:rsidRDefault="00C76F85" w:rsidP="00C76F85">
            <w:pPr>
              <w:rPr>
                <w:lang w:bidi="en-US"/>
              </w:rPr>
            </w:pPr>
          </w:p>
          <w:p w:rsidR="00C76F85" w:rsidRPr="00C76F85" w:rsidRDefault="00C76F85" w:rsidP="00C76F85">
            <w:pPr>
              <w:rPr>
                <w:lang w:bidi="en-US"/>
              </w:rPr>
            </w:pPr>
          </w:p>
          <w:p w:rsidR="00C76F85" w:rsidRPr="00C76F85" w:rsidRDefault="00C76F85" w:rsidP="00C76F85">
            <w:pPr>
              <w:rPr>
                <w:lang w:bidi="en-US"/>
              </w:rPr>
            </w:pPr>
          </w:p>
          <w:p w:rsidR="00C76F85" w:rsidRPr="00C76F85" w:rsidRDefault="00C76F85" w:rsidP="00C76F85">
            <w:pPr>
              <w:rPr>
                <w:lang w:bidi="en-US"/>
              </w:rPr>
            </w:pPr>
          </w:p>
          <w:p w:rsidR="00C76F85" w:rsidRPr="00C76F85" w:rsidRDefault="00C76F85" w:rsidP="00C76F85">
            <w:pPr>
              <w:rPr>
                <w:lang w:bidi="en-US"/>
              </w:rPr>
            </w:pPr>
          </w:p>
          <w:p w:rsidR="00C76F85" w:rsidRPr="00C76F85" w:rsidRDefault="00C76F85" w:rsidP="00C76F85">
            <w:pPr>
              <w:rPr>
                <w:lang w:bidi="en-US"/>
              </w:rPr>
            </w:pPr>
          </w:p>
          <w:p w:rsidR="00C76F85" w:rsidRPr="00C76F85" w:rsidRDefault="00C76F85" w:rsidP="00C76F85">
            <w:pPr>
              <w:rPr>
                <w:lang w:bidi="en-US"/>
              </w:rPr>
            </w:pPr>
          </w:p>
          <w:p w:rsidR="00C76F85" w:rsidRDefault="00C76F85" w:rsidP="00C76F85">
            <w:pPr>
              <w:rPr>
                <w:lang w:bidi="en-US"/>
              </w:rPr>
            </w:pPr>
          </w:p>
          <w:p w:rsidR="00C656B4" w:rsidRDefault="00C656B4" w:rsidP="00C76F85">
            <w:pPr>
              <w:rPr>
                <w:lang w:bidi="en-US"/>
              </w:rPr>
            </w:pPr>
          </w:p>
          <w:p w:rsidR="00C76F85" w:rsidRPr="00C76F85" w:rsidRDefault="00C76F85" w:rsidP="00C76F85">
            <w:pPr>
              <w:pStyle w:val="NoSpacing"/>
              <w:rPr>
                <w:lang w:bidi="en-US"/>
              </w:rPr>
            </w:pPr>
          </w:p>
        </w:tc>
        <w:tc>
          <w:tcPr>
            <w:tcW w:w="6966" w:type="dxa"/>
            <w:gridSpan w:val="2"/>
          </w:tcPr>
          <w:p w:rsidR="008E4761" w:rsidRDefault="008E4761" w:rsidP="008E4761">
            <w:pPr>
              <w:spacing w:after="120"/>
              <w:rPr>
                <w:bCs/>
                <w:lang w:bidi="en-US"/>
              </w:rPr>
            </w:pPr>
            <w:r w:rsidRPr="008E4761">
              <w:rPr>
                <w:bCs/>
                <w:lang w:bidi="en-US"/>
              </w:rPr>
              <w:t>Office of Pesticide Programs 2014 Revised General Methodology and assumptions Used to Estimate Paperwork Response Burden for Pesticide Data Call-In Recipients</w:t>
            </w:r>
            <w:r w:rsidR="00C63FA9">
              <w:rPr>
                <w:bCs/>
                <w:lang w:bidi="en-US"/>
              </w:rPr>
              <w:t>,</w:t>
            </w:r>
            <w:r w:rsidRPr="008E4761">
              <w:rPr>
                <w:bCs/>
                <w:lang w:bidi="en-US"/>
              </w:rPr>
              <w:t xml:space="preserve"> November</w:t>
            </w:r>
            <w:r w:rsidR="00C63FA9">
              <w:rPr>
                <w:bCs/>
                <w:lang w:bidi="en-US"/>
              </w:rPr>
              <w:t xml:space="preserve"> </w:t>
            </w:r>
            <w:r w:rsidRPr="008E4761">
              <w:rPr>
                <w:bCs/>
                <w:lang w:bidi="en-US"/>
              </w:rPr>
              <w:t xml:space="preserve">2014.  This methodology </w:t>
            </w:r>
            <w:r w:rsidR="009C459F" w:rsidRPr="008E4761">
              <w:rPr>
                <w:bCs/>
                <w:lang w:bidi="en-US"/>
              </w:rPr>
              <w:t>includes</w:t>
            </w:r>
            <w:r w:rsidR="009C459F">
              <w:rPr>
                <w:bCs/>
                <w:lang w:bidi="en-US"/>
              </w:rPr>
              <w:t xml:space="preserve"> the</w:t>
            </w:r>
            <w:r>
              <w:rPr>
                <w:bCs/>
                <w:lang w:bidi="en-US"/>
              </w:rPr>
              <w:t xml:space="preserve"> calculations for paperwork burden and costs of data generation activities. </w:t>
            </w:r>
          </w:p>
          <w:p w:rsidR="002B2F68" w:rsidRDefault="002B2F68" w:rsidP="002B2F68">
            <w:pPr>
              <w:pStyle w:val="NoSpacing"/>
              <w:rPr>
                <w:lang w:bidi="en-US"/>
              </w:rPr>
            </w:pPr>
            <w:r w:rsidRPr="002B2F68">
              <w:rPr>
                <w:b/>
                <w:i/>
                <w:lang w:bidi="en-US"/>
              </w:rPr>
              <w:t>Appendix</w:t>
            </w:r>
            <w:r w:rsidRPr="002B2F68">
              <w:rPr>
                <w:i/>
                <w:lang w:bidi="en-US"/>
              </w:rPr>
              <w:t xml:space="preserve"> –</w:t>
            </w:r>
            <w:r w:rsidRPr="002B2F68">
              <w:rPr>
                <w:b/>
                <w:i/>
                <w:lang w:bidi="en-US"/>
              </w:rPr>
              <w:t xml:space="preserve"> A</w:t>
            </w:r>
            <w:r>
              <w:rPr>
                <w:lang w:bidi="en-US"/>
              </w:rPr>
              <w:t xml:space="preserve"> Estimated Burden Hours and Costs for DCI Recipients</w:t>
            </w:r>
          </w:p>
          <w:p w:rsidR="002B2F68" w:rsidRDefault="002B2F68" w:rsidP="002B2F68">
            <w:pPr>
              <w:pStyle w:val="NoSpacing"/>
              <w:rPr>
                <w:lang w:bidi="en-US"/>
              </w:rPr>
            </w:pPr>
            <w:r w:rsidRPr="002B2F68">
              <w:rPr>
                <w:b/>
                <w:i/>
                <w:lang w:bidi="en-US"/>
              </w:rPr>
              <w:t>Appendix – B</w:t>
            </w:r>
            <w:r>
              <w:rPr>
                <w:lang w:bidi="en-US"/>
              </w:rPr>
              <w:t xml:space="preserve"> Estimated Burden Hours and Costs for DCI Collection Activities for Data Generators, by IC Group</w:t>
            </w:r>
          </w:p>
          <w:p w:rsidR="002B2F68" w:rsidRDefault="002B2F68" w:rsidP="002B2F68">
            <w:pPr>
              <w:pStyle w:val="NoSpacing"/>
              <w:rPr>
                <w:lang w:bidi="en-US"/>
              </w:rPr>
            </w:pPr>
            <w:r w:rsidRPr="002B2F68">
              <w:rPr>
                <w:b/>
                <w:i/>
                <w:lang w:bidi="en-US"/>
              </w:rPr>
              <w:t>Appendix – C</w:t>
            </w:r>
            <w:r>
              <w:rPr>
                <w:lang w:bidi="en-US"/>
              </w:rPr>
              <w:t xml:space="preserve"> Estimated Burden Hours and Costs for </w:t>
            </w:r>
            <w:r w:rsidR="00C63FA9">
              <w:rPr>
                <w:lang w:bidi="en-US"/>
              </w:rPr>
              <w:t>Consortium</w:t>
            </w:r>
            <w:r>
              <w:rPr>
                <w:lang w:bidi="en-US"/>
              </w:rPr>
              <w:t xml:space="preserve"> Activities</w:t>
            </w:r>
          </w:p>
          <w:p w:rsidR="002B2F68" w:rsidRDefault="002B2F68" w:rsidP="002B2F68">
            <w:pPr>
              <w:pStyle w:val="NoSpacing"/>
              <w:rPr>
                <w:lang w:bidi="en-US"/>
              </w:rPr>
            </w:pPr>
            <w:r w:rsidRPr="002B2F68">
              <w:rPr>
                <w:b/>
                <w:i/>
                <w:lang w:bidi="en-US"/>
              </w:rPr>
              <w:t>Appendix – D</w:t>
            </w:r>
            <w:r>
              <w:rPr>
                <w:lang w:bidi="en-US"/>
              </w:rPr>
              <w:t xml:space="preserve"> General </w:t>
            </w:r>
            <w:r w:rsidR="00C63FA9">
              <w:rPr>
                <w:lang w:bidi="en-US"/>
              </w:rPr>
              <w:t>Methodology</w:t>
            </w:r>
            <w:r>
              <w:rPr>
                <w:lang w:bidi="en-US"/>
              </w:rPr>
              <w:t xml:space="preserve"> used to Estimate Paperwork Burden Hours and Costs by the Office of Pesticide Programs for Submission of Required Data/Information for Responding to a Data Call-in Notice</w:t>
            </w:r>
            <w:r w:rsidR="00C63FA9">
              <w:rPr>
                <w:lang w:bidi="en-US"/>
              </w:rPr>
              <w:t xml:space="preserve">, October 2007. </w:t>
            </w:r>
            <w:r>
              <w:rPr>
                <w:lang w:bidi="en-US"/>
              </w:rPr>
              <w:t xml:space="preserve">  </w:t>
            </w:r>
          </w:p>
          <w:p w:rsidR="00855982" w:rsidRPr="002B2F68" w:rsidRDefault="00855982" w:rsidP="002B2F68">
            <w:pPr>
              <w:pStyle w:val="NoSpacing"/>
              <w:rPr>
                <w:lang w:bidi="en-US"/>
              </w:rPr>
            </w:pPr>
            <w:r w:rsidRPr="00855982">
              <w:rPr>
                <w:b/>
                <w:i/>
                <w:lang w:bidi="en-US"/>
              </w:rPr>
              <w:t>Appendix – E</w:t>
            </w:r>
            <w:r>
              <w:rPr>
                <w:lang w:bidi="en-US"/>
              </w:rPr>
              <w:t xml:space="preserve"> </w:t>
            </w:r>
            <w:r w:rsidRPr="009A617B">
              <w:rPr>
                <w:bCs/>
                <w:lang w:bidi="en-US"/>
              </w:rPr>
              <w:t>Non-</w:t>
            </w:r>
            <w:r w:rsidR="00B33874">
              <w:rPr>
                <w:bCs/>
                <w:lang w:bidi="en-US"/>
              </w:rPr>
              <w:t>C</w:t>
            </w:r>
            <w:r w:rsidRPr="009A617B">
              <w:rPr>
                <w:bCs/>
                <w:lang w:bidi="en-US"/>
              </w:rPr>
              <w:t xml:space="preserve">odified </w:t>
            </w:r>
            <w:r>
              <w:rPr>
                <w:bCs/>
                <w:lang w:bidi="en-US"/>
              </w:rPr>
              <w:t>S</w:t>
            </w:r>
            <w:r w:rsidRPr="009A617B">
              <w:rPr>
                <w:bCs/>
                <w:lang w:bidi="en-US"/>
              </w:rPr>
              <w:t>tud</w:t>
            </w:r>
            <w:r>
              <w:rPr>
                <w:bCs/>
                <w:lang w:bidi="en-US"/>
              </w:rPr>
              <w:t>y</w:t>
            </w:r>
            <w:r w:rsidRPr="009A617B">
              <w:rPr>
                <w:bCs/>
                <w:lang w:bidi="en-US"/>
              </w:rPr>
              <w:t xml:space="preserve"> </w:t>
            </w:r>
            <w:r>
              <w:rPr>
                <w:bCs/>
                <w:lang w:bidi="en-US"/>
              </w:rPr>
              <w:t>Justifications, May 15, 2015.</w:t>
            </w:r>
          </w:p>
          <w:tbl>
            <w:tblPr>
              <w:tblW w:w="9576" w:type="dxa"/>
              <w:tblLayout w:type="fixed"/>
              <w:tblLook w:val="01E0" w:firstRow="1" w:lastRow="1" w:firstColumn="1" w:lastColumn="1" w:noHBand="0" w:noVBand="0"/>
            </w:tblPr>
            <w:tblGrid>
              <w:gridCol w:w="1908"/>
              <w:gridCol w:w="7668"/>
            </w:tblGrid>
            <w:tr w:rsidR="00BF04CC" w:rsidRPr="009A617B" w:rsidTr="00BF04CC">
              <w:tc>
                <w:tcPr>
                  <w:tcW w:w="1908" w:type="dxa"/>
                </w:tcPr>
                <w:p w:rsidR="00BF04CC" w:rsidRPr="009A617B" w:rsidRDefault="00BF04CC" w:rsidP="00855982">
                  <w:pPr>
                    <w:rPr>
                      <w:bCs/>
                      <w:lang w:bidi="en-US"/>
                    </w:rPr>
                  </w:pPr>
                </w:p>
              </w:tc>
              <w:tc>
                <w:tcPr>
                  <w:tcW w:w="7668" w:type="dxa"/>
                </w:tcPr>
                <w:p w:rsidR="00BF04CC" w:rsidRPr="009A617B" w:rsidRDefault="00BF04CC" w:rsidP="00BF04CC">
                  <w:pPr>
                    <w:spacing w:after="120"/>
                    <w:jc w:val="both"/>
                    <w:rPr>
                      <w:bCs/>
                      <w:lang w:bidi="en-US"/>
                    </w:rPr>
                  </w:pPr>
                </w:p>
              </w:tc>
            </w:tr>
          </w:tbl>
          <w:p w:rsidR="00C656B4" w:rsidRPr="002B34A0" w:rsidRDefault="00C656B4" w:rsidP="00EA7743">
            <w:pPr>
              <w:spacing w:after="120"/>
              <w:rPr>
                <w:bCs/>
                <w:lang w:bidi="en-US"/>
              </w:rPr>
            </w:pPr>
          </w:p>
        </w:tc>
      </w:tr>
      <w:tr w:rsidR="00C656B4" w:rsidRPr="002B34A0" w:rsidTr="00B33874">
        <w:trPr>
          <w:gridAfter w:val="1"/>
          <w:wAfter w:w="578" w:type="dxa"/>
        </w:trPr>
        <w:tc>
          <w:tcPr>
            <w:tcW w:w="2610" w:type="dxa"/>
            <w:gridSpan w:val="3"/>
          </w:tcPr>
          <w:p w:rsidR="00C656B4" w:rsidRDefault="00E745AD" w:rsidP="009711CB">
            <w:pPr>
              <w:rPr>
                <w:b/>
                <w:bCs/>
                <w:lang w:bidi="en-US"/>
              </w:rPr>
            </w:pPr>
            <w:r>
              <w:rPr>
                <w:b/>
                <w:bCs/>
                <w:lang w:bidi="en-US"/>
              </w:rPr>
              <w:t>Attachment C:</w:t>
            </w:r>
          </w:p>
          <w:p w:rsidR="00E745AD" w:rsidRDefault="00E745AD" w:rsidP="009711CB">
            <w:pPr>
              <w:pStyle w:val="NoSpacing"/>
              <w:rPr>
                <w:lang w:bidi="en-US"/>
              </w:rPr>
            </w:pPr>
          </w:p>
          <w:p w:rsidR="00663940" w:rsidRDefault="00663940" w:rsidP="009711CB">
            <w:pPr>
              <w:pStyle w:val="NoSpacing"/>
              <w:rPr>
                <w:b/>
                <w:lang w:bidi="en-US"/>
              </w:rPr>
            </w:pPr>
          </w:p>
          <w:p w:rsidR="00E745AD" w:rsidRPr="00E745AD" w:rsidRDefault="00E745AD" w:rsidP="009711CB">
            <w:pPr>
              <w:pStyle w:val="NoSpacing"/>
              <w:spacing w:line="276" w:lineRule="auto"/>
              <w:rPr>
                <w:b/>
                <w:lang w:bidi="en-US"/>
              </w:rPr>
            </w:pPr>
          </w:p>
        </w:tc>
        <w:tc>
          <w:tcPr>
            <w:tcW w:w="6966" w:type="dxa"/>
            <w:gridSpan w:val="2"/>
          </w:tcPr>
          <w:p w:rsidR="00C76F85" w:rsidRDefault="00663940" w:rsidP="00E745AD">
            <w:pPr>
              <w:spacing w:after="120"/>
              <w:rPr>
                <w:lang w:bidi="en-US"/>
              </w:rPr>
            </w:pPr>
            <w:r w:rsidRPr="00D5421F">
              <w:rPr>
                <w:noProof/>
                <w:lang w:bidi="en-US"/>
              </w:rPr>
              <w:t>Work sheets</w:t>
            </w:r>
            <w:r>
              <w:rPr>
                <w:lang w:bidi="en-US"/>
              </w:rPr>
              <w:t xml:space="preserve"> </w:t>
            </w:r>
            <w:r w:rsidRPr="00EA7743">
              <w:rPr>
                <w:lang w:bidi="en-US"/>
              </w:rPr>
              <w:t xml:space="preserve">to Calculate Industry </w:t>
            </w:r>
            <w:r>
              <w:rPr>
                <w:lang w:bidi="en-US"/>
              </w:rPr>
              <w:t xml:space="preserve">and EPA </w:t>
            </w:r>
            <w:r w:rsidRPr="00EA7743">
              <w:rPr>
                <w:lang w:bidi="en-US"/>
              </w:rPr>
              <w:t>Labor Costs</w:t>
            </w:r>
            <w:r>
              <w:rPr>
                <w:lang w:bidi="en-US"/>
              </w:rPr>
              <w:t xml:space="preserve"> </w:t>
            </w:r>
            <w:r w:rsidRPr="006A394B">
              <w:t>(20</w:t>
            </w:r>
            <w:r w:rsidR="003C468D">
              <w:t>15</w:t>
            </w:r>
            <w:r w:rsidRPr="006A394B">
              <w:t>).</w:t>
            </w:r>
            <w:r>
              <w:t xml:space="preserve">  </w:t>
            </w:r>
          </w:p>
          <w:p w:rsidR="009A3DC0" w:rsidRDefault="009A3DC0" w:rsidP="009A3DC0">
            <w:pPr>
              <w:pStyle w:val="NoSpacing"/>
              <w:spacing w:line="276" w:lineRule="auto"/>
              <w:rPr>
                <w:i/>
                <w:lang w:bidi="en-US"/>
              </w:rPr>
            </w:pPr>
          </w:p>
          <w:p w:rsidR="009711CB" w:rsidRPr="005B78F6" w:rsidRDefault="009711CB" w:rsidP="005B78F6">
            <w:pPr>
              <w:pStyle w:val="NoSpacing"/>
              <w:spacing w:line="276" w:lineRule="auto"/>
              <w:rPr>
                <w:lang w:bidi="en-US"/>
              </w:rPr>
            </w:pPr>
          </w:p>
        </w:tc>
      </w:tr>
      <w:tr w:rsidR="00C656B4" w:rsidRPr="002B34A0" w:rsidTr="00B33874">
        <w:trPr>
          <w:gridAfter w:val="1"/>
          <w:wAfter w:w="578" w:type="dxa"/>
        </w:trPr>
        <w:tc>
          <w:tcPr>
            <w:tcW w:w="2610" w:type="dxa"/>
            <w:gridSpan w:val="3"/>
          </w:tcPr>
          <w:p w:rsidR="00C656B4" w:rsidRPr="002B34A0" w:rsidRDefault="00C656B4" w:rsidP="009711CB">
            <w:pPr>
              <w:rPr>
                <w:b/>
                <w:bCs/>
                <w:lang w:bidi="en-US"/>
              </w:rPr>
            </w:pPr>
          </w:p>
        </w:tc>
        <w:tc>
          <w:tcPr>
            <w:tcW w:w="6966" w:type="dxa"/>
            <w:gridSpan w:val="2"/>
          </w:tcPr>
          <w:p w:rsidR="00C656B4" w:rsidRPr="002B34A0" w:rsidRDefault="00C656B4" w:rsidP="00E745AD">
            <w:pPr>
              <w:spacing w:after="120"/>
              <w:rPr>
                <w:bCs/>
                <w:lang w:bidi="en-US"/>
              </w:rPr>
            </w:pPr>
          </w:p>
        </w:tc>
      </w:tr>
    </w:tbl>
    <w:p w:rsidR="002B34A0" w:rsidRDefault="002B34A0" w:rsidP="00EA7743"/>
    <w:sectPr w:rsidR="002B34A0" w:rsidSect="00DB15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AE4" w:rsidRDefault="00973AE4" w:rsidP="002B34A0">
      <w:r>
        <w:separator/>
      </w:r>
    </w:p>
  </w:endnote>
  <w:endnote w:type="continuationSeparator" w:id="0">
    <w:p w:rsidR="00973AE4" w:rsidRDefault="00973AE4" w:rsidP="002B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9C" w:rsidRDefault="00AD709C" w:rsidP="007828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709C" w:rsidRDefault="00AD709C" w:rsidP="0078283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415775"/>
      <w:docPartObj>
        <w:docPartGallery w:val="Page Numbers (Bottom of Page)"/>
        <w:docPartUnique/>
      </w:docPartObj>
    </w:sdtPr>
    <w:sdtEndPr/>
    <w:sdtContent>
      <w:p w:rsidR="00AD709C" w:rsidRDefault="00AD709C">
        <w:pPr>
          <w:pStyle w:val="Footer"/>
          <w:jc w:val="right"/>
        </w:pPr>
        <w:r w:rsidRPr="00825184">
          <w:rPr>
            <w:rFonts w:ascii="Times New Roman" w:hAnsi="Times New Roman"/>
          </w:rPr>
          <w:fldChar w:fldCharType="begin"/>
        </w:r>
        <w:r w:rsidRPr="00825184">
          <w:rPr>
            <w:rFonts w:ascii="Times New Roman" w:hAnsi="Times New Roman"/>
          </w:rPr>
          <w:instrText xml:space="preserve"> PAGE   \* MERGEFORMAT </w:instrText>
        </w:r>
        <w:r w:rsidRPr="00825184">
          <w:rPr>
            <w:rFonts w:ascii="Times New Roman" w:hAnsi="Times New Roman"/>
          </w:rPr>
          <w:fldChar w:fldCharType="separate"/>
        </w:r>
        <w:r w:rsidR="005F3535">
          <w:rPr>
            <w:rFonts w:ascii="Times New Roman" w:hAnsi="Times New Roman"/>
            <w:noProof/>
          </w:rPr>
          <w:t>2</w:t>
        </w:r>
        <w:r w:rsidRPr="00825184">
          <w:rPr>
            <w:rFonts w:ascii="Times New Roman" w:hAnsi="Times New Roman"/>
          </w:rPr>
          <w:fldChar w:fldCharType="end"/>
        </w:r>
      </w:p>
    </w:sdtContent>
  </w:sdt>
  <w:p w:rsidR="00AD709C" w:rsidRDefault="00AD709C" w:rsidP="0078283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636465"/>
      <w:docPartObj>
        <w:docPartGallery w:val="Page Numbers (Bottom of Page)"/>
        <w:docPartUnique/>
      </w:docPartObj>
    </w:sdtPr>
    <w:sdtEndPr>
      <w:rPr>
        <w:noProof/>
      </w:rPr>
    </w:sdtEndPr>
    <w:sdtContent>
      <w:p w:rsidR="00CC4227" w:rsidRDefault="00CC4227">
        <w:pPr>
          <w:pStyle w:val="Footer"/>
          <w:jc w:val="right"/>
        </w:pPr>
        <w:r>
          <w:fldChar w:fldCharType="begin"/>
        </w:r>
        <w:r>
          <w:instrText xml:space="preserve"> PAGE   \* MERGEFORMAT </w:instrText>
        </w:r>
        <w:r>
          <w:fldChar w:fldCharType="separate"/>
        </w:r>
        <w:r w:rsidR="002A74C8">
          <w:rPr>
            <w:noProof/>
          </w:rPr>
          <w:t>27</w:t>
        </w:r>
        <w:r>
          <w:rPr>
            <w:noProof/>
          </w:rPr>
          <w:fldChar w:fldCharType="end"/>
        </w:r>
      </w:p>
    </w:sdtContent>
  </w:sdt>
  <w:p w:rsidR="00AD709C" w:rsidRDefault="00AD709C" w:rsidP="002B34A0">
    <w:pPr>
      <w:pStyle w:val="Footer"/>
      <w:spacing w:before="1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AE4" w:rsidRDefault="00973AE4" w:rsidP="002B34A0">
      <w:r>
        <w:separator/>
      </w:r>
    </w:p>
  </w:footnote>
  <w:footnote w:type="continuationSeparator" w:id="0">
    <w:p w:rsidR="00973AE4" w:rsidRDefault="00973AE4" w:rsidP="002B34A0">
      <w:r>
        <w:continuationSeparator/>
      </w:r>
    </w:p>
  </w:footnote>
  <w:footnote w:id="1">
    <w:p w:rsidR="00AD709C" w:rsidRDefault="00AD709C" w:rsidP="00E62F2E">
      <w:pPr>
        <w:pStyle w:val="FootnoteText"/>
      </w:pPr>
      <w:r w:rsidRPr="00BD757F">
        <w:rPr>
          <w:rStyle w:val="FootnoteReference"/>
          <w:rFonts w:ascii="Arial" w:hAnsi="Arial" w:cs="Arial"/>
          <w:vertAlign w:val="superscript"/>
        </w:rPr>
        <w:footnoteRef/>
      </w:r>
      <w:r w:rsidRPr="00BD757F">
        <w:rPr>
          <w:rFonts w:ascii="Arial" w:hAnsi="Arial" w:cs="Arial"/>
          <w:vertAlign w:val="superscript"/>
        </w:rPr>
        <w:t xml:space="preserve"> </w:t>
      </w:r>
      <w:hyperlink r:id="rId1" w:history="1">
        <w:r w:rsidRPr="0063236E">
          <w:rPr>
            <w:rStyle w:val="Hyperlink"/>
            <w:rFonts w:ascii="Arial" w:hAnsi="Arial" w:cs="Arial"/>
          </w:rPr>
          <w:t xml:space="preserve">44 USC 3501 </w:t>
        </w:r>
        <w:r w:rsidRPr="0063236E">
          <w:rPr>
            <w:rStyle w:val="Hyperlink"/>
            <w:rFonts w:ascii="Arial" w:hAnsi="Arial" w:cs="Arial"/>
            <w:i/>
            <w:iCs/>
          </w:rPr>
          <w:t>et seq</w:t>
        </w:r>
        <w:r w:rsidRPr="0063236E">
          <w:rPr>
            <w:rStyle w:val="Hyperlink"/>
            <w:rFonts w:ascii="Arial" w:hAnsi="Arial" w:cs="Arial"/>
          </w:rPr>
          <w:t>.</w:t>
        </w:r>
      </w:hyperlink>
    </w:p>
  </w:footnote>
  <w:footnote w:id="2">
    <w:p w:rsidR="00AD709C" w:rsidRPr="00BD757F" w:rsidRDefault="005F3535">
      <w:pPr>
        <w:pStyle w:val="FootnoteText"/>
        <w:rPr>
          <w:rFonts w:ascii="Arial" w:hAnsi="Arial" w:cs="Arial"/>
        </w:rPr>
      </w:pPr>
      <w:hyperlink r:id="rId2" w:history="1">
        <w:r w:rsidR="00AD709C" w:rsidRPr="0063236E">
          <w:rPr>
            <w:rStyle w:val="Hyperlink"/>
            <w:rFonts w:ascii="Arial" w:hAnsi="Arial" w:cs="Arial"/>
            <w:vertAlign w:val="superscript"/>
          </w:rPr>
          <w:footnoteRef/>
        </w:r>
        <w:r w:rsidR="00AD709C" w:rsidRPr="0063236E">
          <w:rPr>
            <w:rStyle w:val="Hyperlink"/>
            <w:rFonts w:ascii="Arial" w:hAnsi="Arial" w:cs="Arial"/>
          </w:rPr>
          <w:t xml:space="preserve"> 7 USC 136 </w:t>
        </w:r>
        <w:r w:rsidR="00AD709C" w:rsidRPr="0063236E">
          <w:rPr>
            <w:rStyle w:val="Hyperlink"/>
            <w:rFonts w:ascii="Arial" w:hAnsi="Arial" w:cs="Arial"/>
            <w:i/>
          </w:rPr>
          <w:t>et seq.</w:t>
        </w:r>
      </w:hyperlink>
    </w:p>
  </w:footnote>
  <w:footnote w:id="3">
    <w:p w:rsidR="00AD709C" w:rsidRPr="003C148D" w:rsidRDefault="00AD709C">
      <w:pPr>
        <w:pStyle w:val="FootnoteText"/>
        <w:rPr>
          <w:rFonts w:ascii="Arial" w:hAnsi="Arial" w:cs="Arial"/>
        </w:rPr>
      </w:pPr>
      <w:r w:rsidRPr="003C148D">
        <w:rPr>
          <w:rStyle w:val="FootnoteReference"/>
          <w:rFonts w:ascii="Arial" w:hAnsi="Arial" w:cs="Arial"/>
          <w:vertAlign w:val="superscript"/>
        </w:rPr>
        <w:footnoteRef/>
      </w:r>
      <w:r w:rsidRPr="003C148D">
        <w:rPr>
          <w:rFonts w:ascii="Arial" w:hAnsi="Arial" w:cs="Arial"/>
        </w:rPr>
        <w:t xml:space="preserve"> </w:t>
      </w:r>
      <w:hyperlink r:id="rId3" w:history="1">
        <w:r w:rsidRPr="0063236E">
          <w:rPr>
            <w:rStyle w:val="Hyperlink"/>
            <w:rFonts w:ascii="Arial" w:eastAsia="Times New Roman" w:hAnsi="Arial" w:cs="Arial"/>
          </w:rPr>
          <w:t>21 USC 346</w:t>
        </w:r>
      </w:hyperlink>
      <w:r w:rsidRPr="0063236E">
        <w:rPr>
          <w:rFonts w:ascii="Arial" w:eastAsia="Times New Roman" w:hAnsi="Arial" w:cs="Arial"/>
        </w:rPr>
        <w:t>a</w:t>
      </w:r>
    </w:p>
  </w:footnote>
  <w:footnote w:id="4">
    <w:p w:rsidR="00AD709C" w:rsidRDefault="00AD709C" w:rsidP="00C1516C">
      <w:pPr>
        <w:pStyle w:val="FootnoteText"/>
      </w:pPr>
      <w:r>
        <w:rPr>
          <w:rStyle w:val="FootnoteReference"/>
        </w:rPr>
        <w:footnoteRef/>
      </w:r>
      <w:r>
        <w:t xml:space="preserve"> EPA’s Pesticide Re-evaluation Division found that typical GDCI packets averaged 40 pages; certified mailing cost for this size package are approximately $20. </w:t>
      </w:r>
    </w:p>
  </w:footnote>
  <w:footnote w:id="5">
    <w:p w:rsidR="00AD709C" w:rsidRDefault="00AD709C">
      <w:pPr>
        <w:pStyle w:val="FootnoteText"/>
        <w:rPr>
          <w:rFonts w:ascii="Arial" w:hAnsi="Arial" w:cs="Arial"/>
        </w:rPr>
      </w:pPr>
      <w:r w:rsidRPr="00282443">
        <w:rPr>
          <w:rStyle w:val="FootnoteReference"/>
          <w:rFonts w:ascii="Arial" w:hAnsi="Arial" w:cs="Arial"/>
          <w:vertAlign w:val="superscript"/>
        </w:rPr>
        <w:footnoteRef/>
      </w:r>
      <w:r w:rsidRPr="00282443">
        <w:rPr>
          <w:rFonts w:ascii="Arial" w:hAnsi="Arial" w:cs="Arial"/>
          <w:vertAlign w:val="superscript"/>
        </w:rPr>
        <w:t xml:space="preserve"> </w:t>
      </w:r>
      <w:r w:rsidRPr="00282443">
        <w:rPr>
          <w:rFonts w:ascii="Arial" w:hAnsi="Arial" w:cs="Arial"/>
        </w:rPr>
        <w:t xml:space="preserve"> The OCSPP Harmonized Test Guidelines are available at</w:t>
      </w:r>
      <w:r>
        <w:rPr>
          <w:rFonts w:ascii="Arial" w:hAnsi="Arial" w:cs="Arial"/>
        </w:rPr>
        <w:t xml:space="preserve"> </w:t>
      </w:r>
      <w:hyperlink r:id="rId4" w:history="1">
        <w:r w:rsidRPr="001B4486">
          <w:rPr>
            <w:rStyle w:val="Hyperlink"/>
            <w:rFonts w:ascii="Arial" w:hAnsi="Arial" w:cs="Arial"/>
          </w:rPr>
          <w:t>http://www.epa.gov/test-guidelines-pesticides-and-toxic-substances/master-list-test-guidelines-pesticides-and-toxic</w:t>
        </w:r>
      </w:hyperlink>
    </w:p>
    <w:p w:rsidR="00AD709C" w:rsidRDefault="00AD709C">
      <w:pPr>
        <w:pStyle w:val="FootnoteText"/>
        <w:rPr>
          <w:rFonts w:ascii="Arial" w:hAnsi="Arial" w:cs="Arial"/>
        </w:rPr>
      </w:pPr>
    </w:p>
    <w:p w:rsidR="00AD709C" w:rsidRPr="00282443" w:rsidRDefault="00AD709C">
      <w:pPr>
        <w:pStyle w:val="FootnoteText"/>
        <w:rPr>
          <w:rFonts w:ascii="Arial" w:hAnsi="Arial" w:cs="Arial"/>
        </w:rPr>
      </w:pPr>
      <w:r w:rsidRPr="00CF1D44" w:rsidDel="00CF1D44">
        <w:rPr>
          <w:rFonts w:ascii="Arial" w:hAnsi="Arial" w:cs="Arial"/>
        </w:rPr>
        <w:t xml:space="preserve"> </w:t>
      </w:r>
    </w:p>
  </w:footnote>
  <w:footnote w:id="6">
    <w:p w:rsidR="00AD709C" w:rsidRDefault="00AD709C">
      <w:pPr>
        <w:pStyle w:val="FootnoteText"/>
      </w:pPr>
      <w:r>
        <w:rPr>
          <w:rStyle w:val="FootnoteReference"/>
        </w:rPr>
        <w:footnoteRef/>
      </w:r>
      <w:r>
        <w:t xml:space="preserve"> See Appendix D.   </w:t>
      </w:r>
    </w:p>
  </w:footnote>
  <w:footnote w:id="7">
    <w:p w:rsidR="00AD709C" w:rsidRPr="003011EE" w:rsidRDefault="00AD709C" w:rsidP="00F22C15">
      <w:pPr>
        <w:pStyle w:val="FootnoteText"/>
        <w:rPr>
          <w:rFonts w:ascii="Calibri" w:hAnsi="Calibri"/>
        </w:rPr>
      </w:pPr>
      <w:r w:rsidRPr="009A3245">
        <w:rPr>
          <w:rStyle w:val="FootnoteReference"/>
          <w:rFonts w:cs="Times New Roman"/>
        </w:rPr>
        <w:footnoteRef/>
      </w:r>
      <w:r w:rsidRPr="009A3245">
        <w:rPr>
          <w:rFonts w:cs="Times New Roman"/>
        </w:rPr>
        <w:t xml:space="preserve"> On December 12, 2013, The Office Pesticide Programs sponsored a DCI Response Burden Assessment Workshop.  Industry participants included, but were not limited to: representatives from BASF, the DOW Chemical Company, the American Chemistry Council Biocides Panel, Steptoe and Johnson, LLP, Technology Sciences Group Inc., Monsanto, and </w:t>
      </w:r>
      <w:r w:rsidRPr="00391CDA">
        <w:rPr>
          <w:rFonts w:cs="Times New Roman"/>
        </w:rPr>
        <w:t>SC Johnson.  Meeting materials and Industry comments are part of the docket for the ICR renewal at</w:t>
      </w:r>
      <w:r w:rsidRPr="00391CDA">
        <w:rPr>
          <w:rFonts w:cs="Times New Roman"/>
          <w:b/>
        </w:rPr>
        <w:t xml:space="preserve">: </w:t>
      </w:r>
      <w:r w:rsidRPr="0042316C">
        <w:rPr>
          <w:rFonts w:cs="Times New Roman"/>
        </w:rPr>
        <w:t>EPA-HQ-OPP- 2016-0109</w:t>
      </w:r>
      <w:r w:rsidRPr="0042316C">
        <w:rPr>
          <w:rFonts w:ascii="Calibri" w:hAnsi="Calibri"/>
        </w:rPr>
        <w:t>.</w:t>
      </w:r>
      <w:r w:rsidRPr="00391CDA">
        <w:rPr>
          <w:rFonts w:ascii="Calibri" w:hAnsi="Calibri"/>
          <w:b/>
        </w:rPr>
        <w:t xml:space="preserve"> </w:t>
      </w:r>
      <w:r w:rsidRPr="00391CDA">
        <w:rPr>
          <w:rFonts w:ascii="Calibri" w:hAnsi="Calibri"/>
        </w:rPr>
        <w:t xml:space="preserve">     </w:t>
      </w:r>
    </w:p>
  </w:footnote>
  <w:footnote w:id="8">
    <w:p w:rsidR="00AD709C" w:rsidRDefault="00AD709C" w:rsidP="002F5F87">
      <w:pPr>
        <w:pStyle w:val="FootnoteText"/>
      </w:pPr>
      <w:r w:rsidRPr="009A6FB8">
        <w:rPr>
          <w:rStyle w:val="FootnoteReference"/>
          <w:vertAlign w:val="superscript"/>
        </w:rPr>
        <w:footnoteRef/>
      </w:r>
      <w:r w:rsidRPr="009A6FB8">
        <w:rPr>
          <w:vertAlign w:val="superscript"/>
        </w:rPr>
        <w:t xml:space="preserve"> </w:t>
      </w:r>
      <w:r w:rsidRPr="00D24FBE">
        <w:t xml:space="preserve">As part of the 2007 methodology, the Agency identified three response phases: Phase 1: the initial response; Phase 2: data generation and Phase 3: data submission to EPA.  The Phase </w:t>
      </w:r>
      <w:r>
        <w:t xml:space="preserve">1, Phase 2 </w:t>
      </w:r>
      <w:r w:rsidRPr="00D24FBE">
        <w:t xml:space="preserve">and Phase 3 response activity burden hours and costs are accounted </w:t>
      </w:r>
      <w:r>
        <w:t xml:space="preserve">for as </w:t>
      </w:r>
      <w:r w:rsidRPr="00D24FBE">
        <w:t>subset</w:t>
      </w:r>
      <w:r>
        <w:t>s</w:t>
      </w:r>
      <w:r w:rsidRPr="00D24FBE">
        <w:t xml:space="preserve"> of the paperwork burden estimates for information collection activities that are related to generating data to respond to a DCI.</w:t>
      </w:r>
      <w:r>
        <w:t xml:space="preserve"> </w:t>
      </w:r>
      <w:r w:rsidRPr="00D24FBE">
        <w:t xml:space="preserve"> </w:t>
      </w:r>
      <w:r>
        <w:t xml:space="preserve">These burdens are accounted for as part of the 35% of the test burden and cost.  </w:t>
      </w:r>
    </w:p>
  </w:footnote>
  <w:footnote w:id="9">
    <w:p w:rsidR="00AD709C" w:rsidRDefault="00AD709C">
      <w:pPr>
        <w:pStyle w:val="FootnoteText"/>
      </w:pPr>
      <w:r>
        <w:rPr>
          <w:rStyle w:val="FootnoteReference"/>
        </w:rPr>
        <w:footnoteRef/>
      </w:r>
      <w:r>
        <w:t xml:space="preserve"> See Appendix D. </w:t>
      </w:r>
    </w:p>
  </w:footnote>
  <w:footnote w:id="10">
    <w:p w:rsidR="00AD709C" w:rsidRPr="00583007" w:rsidRDefault="00AD709C" w:rsidP="00A9430D">
      <w:pPr>
        <w:pStyle w:val="FootnoteText"/>
        <w:rPr>
          <w:rFonts w:cs="Times New Roman"/>
        </w:rPr>
      </w:pPr>
      <w:r w:rsidRPr="00583007">
        <w:rPr>
          <w:rStyle w:val="FootnoteReference"/>
          <w:rFonts w:cs="Times New Roman"/>
          <w:vertAlign w:val="superscript"/>
        </w:rPr>
        <w:footnoteRef/>
      </w:r>
      <w:r w:rsidRPr="00583007">
        <w:rPr>
          <w:rFonts w:cs="Times New Roman"/>
        </w:rPr>
        <w:t xml:space="preserve"> Though rarely used, EPA may conduct a Special Review (40 CFR 154.7) if EPA believes that a pesticide poses risks of unreasonable adverse effects on human health or the environment.  Section 3(c) (2) (B) of FIFRA provides a means of obtaining any needed data. However, for this ICR renewal no burden is calculated for this program since the EPA has not </w:t>
      </w:r>
      <w:r>
        <w:rPr>
          <w:rFonts w:cs="Times New Roman"/>
        </w:rPr>
        <w:t xml:space="preserve">conducted </w:t>
      </w:r>
      <w:r w:rsidRPr="00583007">
        <w:rPr>
          <w:rFonts w:cs="Times New Roman"/>
        </w:rPr>
        <w:t xml:space="preserve">a special review for over a decade.  </w:t>
      </w:r>
    </w:p>
  </w:footnote>
  <w:footnote w:id="11">
    <w:p w:rsidR="00AD709C" w:rsidRPr="00583007" w:rsidRDefault="00AD709C" w:rsidP="009D3FC5">
      <w:pPr>
        <w:pStyle w:val="FootnoteText"/>
        <w:rPr>
          <w:rFonts w:cs="Times New Roman"/>
        </w:rPr>
      </w:pPr>
      <w:r w:rsidRPr="00583007">
        <w:rPr>
          <w:rStyle w:val="FootnoteReference"/>
          <w:rFonts w:cs="Times New Roman"/>
          <w:vertAlign w:val="superscript"/>
        </w:rPr>
        <w:footnoteRef/>
      </w:r>
      <w:r w:rsidRPr="00583007">
        <w:rPr>
          <w:rFonts w:cs="Times New Roman"/>
        </w:rPr>
        <w:t xml:space="preserve"> </w:t>
      </w:r>
      <w:hyperlink r:id="rId5" w:history="1">
        <w:r w:rsidRPr="00583007">
          <w:rPr>
            <w:rStyle w:val="Hyperlink"/>
            <w:rFonts w:cs="Times New Roman"/>
          </w:rPr>
          <w:t>7 USC 136a-1</w:t>
        </w:r>
      </w:hyperlink>
    </w:p>
  </w:footnote>
  <w:footnote w:id="12">
    <w:p w:rsidR="00AD709C" w:rsidRPr="00583007" w:rsidRDefault="00AD709C" w:rsidP="003C76C7">
      <w:pPr>
        <w:pStyle w:val="FootnoteText"/>
        <w:rPr>
          <w:rFonts w:cs="Times New Roman"/>
        </w:rPr>
      </w:pPr>
      <w:r w:rsidRPr="00583007">
        <w:rPr>
          <w:rStyle w:val="FootnoteReference"/>
          <w:rFonts w:cs="Times New Roman"/>
          <w:vertAlign w:val="superscript"/>
        </w:rPr>
        <w:footnoteRef/>
      </w:r>
      <w:r w:rsidRPr="00583007">
        <w:rPr>
          <w:rFonts w:cs="Times New Roman"/>
        </w:rPr>
        <w:t xml:space="preserve"> </w:t>
      </w:r>
      <w:hyperlink r:id="rId6" w:history="1">
        <w:r w:rsidRPr="00583007">
          <w:rPr>
            <w:rStyle w:val="Hyperlink"/>
            <w:rFonts w:cs="Times New Roman"/>
          </w:rPr>
          <w:t>7 USC 136a(g)</w:t>
        </w:r>
      </w:hyperlink>
    </w:p>
  </w:footnote>
  <w:footnote w:id="13">
    <w:p w:rsidR="00AD709C" w:rsidRPr="00583007" w:rsidRDefault="00AD709C" w:rsidP="003C76C7">
      <w:pPr>
        <w:pStyle w:val="FootnoteText"/>
        <w:rPr>
          <w:rFonts w:cs="Times New Roman"/>
        </w:rPr>
      </w:pPr>
      <w:r w:rsidRPr="00583007">
        <w:rPr>
          <w:rStyle w:val="FootnoteReference"/>
          <w:rFonts w:cs="Times New Roman"/>
          <w:vertAlign w:val="superscript"/>
        </w:rPr>
        <w:footnoteRef/>
      </w:r>
      <w:r w:rsidRPr="00583007">
        <w:rPr>
          <w:rFonts w:cs="Times New Roman"/>
        </w:rPr>
        <w:t xml:space="preserve"> </w:t>
      </w:r>
      <w:r w:rsidRPr="001724C5">
        <w:rPr>
          <w:rFonts w:cs="Times New Roman"/>
        </w:rPr>
        <w:t>71 FR 45719, August 9, 2006.</w:t>
      </w:r>
    </w:p>
  </w:footnote>
  <w:footnote w:id="14">
    <w:p w:rsidR="00AD709C" w:rsidRDefault="00AD709C" w:rsidP="003C76C7">
      <w:pPr>
        <w:pStyle w:val="FootnoteText"/>
      </w:pPr>
      <w:r w:rsidRPr="00583007">
        <w:rPr>
          <w:rStyle w:val="FootnoteReference"/>
          <w:rFonts w:cs="Times New Roman"/>
          <w:vertAlign w:val="superscript"/>
        </w:rPr>
        <w:footnoteRef/>
      </w:r>
      <w:r w:rsidRPr="00583007">
        <w:rPr>
          <w:rFonts w:cs="Times New Roman"/>
        </w:rPr>
        <w:t xml:space="preserve"> </w:t>
      </w:r>
      <w:r w:rsidRPr="001724C5">
        <w:rPr>
          <w:rFonts w:cs="Times New Roman"/>
        </w:rPr>
        <w:t xml:space="preserve">7 USC 136w-8. For more information about PRIA, go to </w:t>
      </w:r>
      <w:hyperlink r:id="rId7" w:history="1">
        <w:r w:rsidR="001724C5" w:rsidRPr="001724C5">
          <w:rPr>
            <w:rStyle w:val="Hyperlink"/>
            <w:rFonts w:cs="Times New Roman"/>
          </w:rPr>
          <w:t>Pesticide Registration Improvement Extension Act (PRIA 3) of 2012 | US EPA</w:t>
        </w:r>
      </w:hyperlink>
    </w:p>
  </w:footnote>
  <w:footnote w:id="15">
    <w:p w:rsidR="00AD709C" w:rsidRPr="00A9430D" w:rsidRDefault="00AD709C" w:rsidP="003C76C7">
      <w:pPr>
        <w:pStyle w:val="FootnoteText"/>
        <w:rPr>
          <w:rFonts w:cs="Times New Roman"/>
        </w:rPr>
      </w:pPr>
      <w:r w:rsidRPr="00A9430D">
        <w:rPr>
          <w:rStyle w:val="FootnoteReference"/>
          <w:rFonts w:cs="Times New Roman"/>
          <w:vertAlign w:val="superscript"/>
        </w:rPr>
        <w:footnoteRef/>
      </w:r>
      <w:hyperlink r:id="rId8" w:history="1">
        <w:r w:rsidRPr="00A9430D">
          <w:rPr>
            <w:rStyle w:val="Hyperlink"/>
            <w:rFonts w:cs="Times New Roman"/>
          </w:rPr>
          <w:t xml:space="preserve">16 USC 1531 </w:t>
        </w:r>
        <w:r w:rsidRPr="00A9430D">
          <w:rPr>
            <w:rStyle w:val="Hyperlink"/>
            <w:rFonts w:cs="Times New Roman"/>
            <w:i/>
          </w:rPr>
          <w:t>et seq</w:t>
        </w:r>
      </w:hyperlink>
      <w:r w:rsidRPr="00A9430D">
        <w:rPr>
          <w:rFonts w:cs="Times New Roman"/>
          <w:i/>
        </w:rPr>
        <w:t xml:space="preserve">. </w:t>
      </w:r>
      <w:r w:rsidRPr="00A9430D">
        <w:rPr>
          <w:rFonts w:cs="Times New Roman"/>
        </w:rPr>
        <w:t xml:space="preserve">For information about the ESPP, go to </w:t>
      </w:r>
      <w:hyperlink r:id="rId9" w:history="1">
        <w:r w:rsidRPr="00A9430D">
          <w:rPr>
            <w:rStyle w:val="Hyperlink"/>
            <w:rFonts w:cs="Times New Roman"/>
          </w:rPr>
          <w:t>http://www.epa.gov/espp/</w:t>
        </w:r>
      </w:hyperlink>
      <w:r w:rsidRPr="00A9430D">
        <w:rPr>
          <w:rFonts w:cs="Times New Roman"/>
        </w:rPr>
        <w:t>.</w:t>
      </w:r>
    </w:p>
  </w:footnote>
  <w:footnote w:id="16">
    <w:p w:rsidR="00AD709C" w:rsidRPr="00A9430D" w:rsidRDefault="00AD709C" w:rsidP="003C76C7">
      <w:pPr>
        <w:pStyle w:val="FootnoteText"/>
        <w:rPr>
          <w:rFonts w:cs="Times New Roman"/>
        </w:rPr>
      </w:pPr>
      <w:r w:rsidRPr="00A9430D">
        <w:rPr>
          <w:rStyle w:val="FootnoteReference"/>
          <w:rFonts w:cs="Times New Roman"/>
          <w:vertAlign w:val="superscript"/>
        </w:rPr>
        <w:footnoteRef/>
      </w:r>
      <w:r w:rsidRPr="00A9430D">
        <w:rPr>
          <w:rFonts w:cs="Times New Roman"/>
        </w:rPr>
        <w:t xml:space="preserve">  </w:t>
      </w:r>
      <w:hyperlink r:id="rId10" w:history="1">
        <w:r w:rsidRPr="00A9430D">
          <w:rPr>
            <w:rStyle w:val="Hyperlink"/>
            <w:rFonts w:cs="Times New Roman"/>
          </w:rPr>
          <w:t>21 USC 346a(p)</w:t>
        </w:r>
      </w:hyperlink>
      <w:r w:rsidRPr="00A9430D">
        <w:rPr>
          <w:rFonts w:cs="Times New Roman"/>
        </w:rPr>
        <w:t xml:space="preserve">. </w:t>
      </w:r>
    </w:p>
  </w:footnote>
  <w:footnote w:id="17">
    <w:p w:rsidR="001724C5" w:rsidRDefault="00AD709C" w:rsidP="003C76C7">
      <w:pPr>
        <w:pStyle w:val="FootnoteText"/>
        <w:rPr>
          <w:rFonts w:cs="Times New Roman"/>
        </w:rPr>
      </w:pPr>
      <w:r w:rsidRPr="00A9430D">
        <w:rPr>
          <w:rStyle w:val="FootnoteReference"/>
          <w:rFonts w:cs="Times New Roman"/>
          <w:vertAlign w:val="superscript"/>
        </w:rPr>
        <w:footnoteRef/>
      </w:r>
      <w:r w:rsidRPr="00A9430D">
        <w:rPr>
          <w:rFonts w:cs="Times New Roman"/>
        </w:rPr>
        <w:t xml:space="preserve">  For information about the EDSP, go to</w:t>
      </w:r>
      <w:r w:rsidR="001724C5" w:rsidRPr="001724C5">
        <w:t xml:space="preserve"> </w:t>
      </w:r>
      <w:hyperlink r:id="rId11" w:history="1">
        <w:r w:rsidR="001724C5" w:rsidRPr="00E85B88">
          <w:rPr>
            <w:rStyle w:val="Hyperlink"/>
            <w:rFonts w:cs="Times New Roman"/>
          </w:rPr>
          <w:t>https://www.epa.gov/endocrine-disruption</w:t>
        </w:r>
      </w:hyperlink>
    </w:p>
    <w:p w:rsidR="00AD709C" w:rsidRPr="00DC2E81" w:rsidRDefault="00AD709C" w:rsidP="003C76C7">
      <w:pPr>
        <w:pStyle w:val="FootnoteText"/>
        <w:rPr>
          <w:rFonts w:ascii="Arial" w:hAnsi="Arial" w:cs="Arial"/>
        </w:rPr>
      </w:pPr>
      <w:r w:rsidRPr="00A9430D">
        <w:rPr>
          <w:rFonts w:cs="Times New Roman"/>
        </w:rPr>
        <w:t xml:space="preserve"> </w:t>
      </w:r>
    </w:p>
  </w:footnote>
  <w:footnote w:id="18">
    <w:p w:rsidR="00AD709C" w:rsidRPr="00583007" w:rsidRDefault="00AD709C">
      <w:pPr>
        <w:pStyle w:val="FootnoteText"/>
        <w:rPr>
          <w:rFonts w:cs="Times New Roman"/>
        </w:rPr>
      </w:pPr>
      <w:r w:rsidRPr="00583007">
        <w:rPr>
          <w:rStyle w:val="FootnoteReference"/>
          <w:rFonts w:cs="Times New Roman"/>
          <w:vertAlign w:val="superscript"/>
        </w:rPr>
        <w:footnoteRef/>
      </w:r>
      <w:r w:rsidRPr="00583007">
        <w:rPr>
          <w:rFonts w:cs="Times New Roman"/>
        </w:rPr>
        <w:t xml:space="preserve">  The paperwork burden for the submission of Form 8570-4 is covered under OMB Control No. 2070-0060, identified under EPA ICR. No. 0277, and entitled “</w:t>
      </w:r>
      <w:r w:rsidRPr="00583007">
        <w:rPr>
          <w:rFonts w:cs="Times New Roman"/>
          <w:i/>
        </w:rPr>
        <w:t>A</w:t>
      </w:r>
      <w:r w:rsidRPr="00583007">
        <w:rPr>
          <w:rFonts w:cs="Times New Roman"/>
          <w:i/>
          <w:iCs/>
        </w:rPr>
        <w:t>pplication for New/Amended Pesticide Registration</w:t>
      </w:r>
      <w:r w:rsidRPr="00583007">
        <w:rPr>
          <w:rFonts w:cs="Times New Roman"/>
        </w:rPr>
        <w:t>.”</w:t>
      </w:r>
    </w:p>
  </w:footnote>
  <w:footnote w:id="19">
    <w:p w:rsidR="00AD709C" w:rsidRPr="00583007" w:rsidRDefault="00AD709C">
      <w:pPr>
        <w:pStyle w:val="FootnoteText"/>
        <w:rPr>
          <w:rFonts w:cs="Times New Roman"/>
        </w:rPr>
      </w:pPr>
      <w:r w:rsidRPr="00583007">
        <w:rPr>
          <w:rStyle w:val="FootnoteReference"/>
          <w:rFonts w:cs="Times New Roman"/>
          <w:vertAlign w:val="superscript"/>
        </w:rPr>
        <w:footnoteRef/>
      </w:r>
      <w:r w:rsidRPr="00583007">
        <w:rPr>
          <w:rFonts w:cs="Times New Roman"/>
          <w:vertAlign w:val="superscript"/>
        </w:rPr>
        <w:t xml:space="preserve"> </w:t>
      </w:r>
      <w:r w:rsidRPr="00583007">
        <w:rPr>
          <w:rFonts w:cs="Times New Roman"/>
        </w:rPr>
        <w:t>See EPA document entitled “</w:t>
      </w:r>
      <w:hyperlink r:id="rId12" w:history="1">
        <w:r w:rsidRPr="006A7027">
          <w:rPr>
            <w:rStyle w:val="Hyperlink"/>
            <w:rFonts w:cs="Times New Roman"/>
          </w:rPr>
          <w:t>Guiding Principles for Data Requirements”</w:t>
        </w:r>
      </w:hyperlink>
      <w:r w:rsidRPr="00583007">
        <w:rPr>
          <w:rFonts w:cs="Times New Roman"/>
        </w:rPr>
        <w:t xml:space="preserve"> (May 31, 2013).</w:t>
      </w:r>
    </w:p>
  </w:footnote>
  <w:footnote w:id="20">
    <w:p w:rsidR="00AD709C" w:rsidRPr="00583007" w:rsidRDefault="00AD709C">
      <w:pPr>
        <w:pStyle w:val="FootnoteText"/>
        <w:rPr>
          <w:rFonts w:cs="Times New Roman"/>
        </w:rPr>
      </w:pPr>
      <w:r w:rsidRPr="00583007">
        <w:rPr>
          <w:rStyle w:val="FootnoteReference"/>
          <w:rFonts w:cs="Times New Roman"/>
          <w:vertAlign w:val="superscript"/>
        </w:rPr>
        <w:footnoteRef/>
      </w:r>
      <w:r w:rsidRPr="00583007">
        <w:rPr>
          <w:rFonts w:cs="Times New Roman"/>
        </w:rPr>
        <w:t xml:space="preserve"> See FIFRA Science Advisory Panel Consultation May24-26, 2011 at </w:t>
      </w:r>
      <w:hyperlink r:id="rId13" w:history="1">
        <w:r w:rsidRPr="00583007">
          <w:rPr>
            <w:rStyle w:val="Hyperlink"/>
            <w:rFonts w:cs="Times New Roman"/>
          </w:rPr>
          <w:t>http://yosemite.epa.gov/sab/sabproduct.nsf/373C1DB0E0591296852579F2005BECB3/$File/OPP+SAP+document-May2011.pdf</w:t>
        </w:r>
      </w:hyperlink>
    </w:p>
    <w:p w:rsidR="00AD709C" w:rsidRDefault="00AD709C">
      <w:pPr>
        <w:pStyle w:val="FootnoteText"/>
      </w:pPr>
    </w:p>
  </w:footnote>
  <w:footnote w:id="21">
    <w:p w:rsidR="00AD709C" w:rsidRPr="00EA2C44" w:rsidRDefault="00AD709C">
      <w:pPr>
        <w:pStyle w:val="FootnoteText"/>
        <w:rPr>
          <w:rFonts w:ascii="Arial" w:hAnsi="Arial" w:cs="Arial"/>
        </w:rPr>
      </w:pPr>
      <w:r w:rsidRPr="00EA2C44">
        <w:rPr>
          <w:rStyle w:val="FootnoteReference"/>
          <w:rFonts w:ascii="Arial" w:hAnsi="Arial" w:cs="Arial"/>
          <w:vertAlign w:val="superscript"/>
        </w:rPr>
        <w:footnoteRef/>
      </w:r>
      <w:r w:rsidRPr="00EA2C44">
        <w:rPr>
          <w:rFonts w:ascii="Arial" w:hAnsi="Arial" w:cs="Arial"/>
        </w:rPr>
        <w:t xml:space="preserve"> See Attachment</w:t>
      </w:r>
      <w:r>
        <w:rPr>
          <w:rFonts w:ascii="Arial" w:hAnsi="Arial" w:cs="Arial"/>
        </w:rPr>
        <w:t xml:space="preserve"> A</w:t>
      </w:r>
      <w:r w:rsidRPr="00EA2C44">
        <w:rPr>
          <w:rFonts w:ascii="Arial" w:hAnsi="Arial" w:cs="Arial"/>
        </w:rPr>
        <w:t>.</w:t>
      </w:r>
    </w:p>
  </w:footnote>
  <w:footnote w:id="22">
    <w:p w:rsidR="00AD709C" w:rsidRPr="00583007" w:rsidRDefault="00AD709C" w:rsidP="00E1095D">
      <w:pPr>
        <w:pStyle w:val="FootnoteText"/>
        <w:rPr>
          <w:rFonts w:cs="Times New Roman"/>
        </w:rPr>
      </w:pPr>
      <w:r w:rsidRPr="00583007">
        <w:rPr>
          <w:rStyle w:val="FootnoteReference"/>
          <w:rFonts w:cs="Times New Roman"/>
          <w:vertAlign w:val="superscript"/>
        </w:rPr>
        <w:footnoteRef/>
      </w:r>
      <w:r w:rsidRPr="00583007">
        <w:rPr>
          <w:rFonts w:cs="Times New Roman"/>
        </w:rPr>
        <w:t xml:space="preserve">  </w:t>
      </w:r>
      <w:r w:rsidRPr="006A7027">
        <w:rPr>
          <w:rFonts w:cs="Times New Roman"/>
        </w:rPr>
        <w:t>69 FR 26819</w:t>
      </w:r>
      <w:r w:rsidRPr="00583007">
        <w:rPr>
          <w:rFonts w:cs="Times New Roman"/>
        </w:rPr>
        <w:t>, May 14, 2004</w:t>
      </w:r>
    </w:p>
  </w:footnote>
  <w:footnote w:id="23">
    <w:p w:rsidR="00AD709C" w:rsidRPr="006A7027" w:rsidRDefault="00AD709C" w:rsidP="00210AC8">
      <w:pPr>
        <w:pStyle w:val="FootnoteText"/>
        <w:rPr>
          <w:rFonts w:ascii="Calibri" w:hAnsi="Calibri"/>
        </w:rPr>
      </w:pPr>
      <w:r w:rsidRPr="009A3245">
        <w:rPr>
          <w:rStyle w:val="FootnoteReference"/>
          <w:rFonts w:cs="Times New Roman"/>
        </w:rPr>
        <w:footnoteRef/>
      </w:r>
      <w:r w:rsidRPr="009A3245">
        <w:rPr>
          <w:rFonts w:cs="Times New Roman"/>
        </w:rPr>
        <w:t xml:space="preserve"> On December 12, 2013, The Office Pesticide Programs sponsored a DCI Response Burden Assessment Workshop.  Industry participants included, but were not limited to: representatives from BASF, the DOW Chemical Company, the American Chemistry Council Biocides Panel, Steptoe and Johnson, LLP, Technology Sciences Group Inc., Monsanto, and SC Johnson.  Meeting materials and Industry comments are part of the docket for the ICR renewal </w:t>
      </w:r>
      <w:r w:rsidRPr="00391CDA">
        <w:rPr>
          <w:rFonts w:cs="Times New Roman"/>
        </w:rPr>
        <w:t>at</w:t>
      </w:r>
      <w:r w:rsidRPr="006A7027">
        <w:rPr>
          <w:rFonts w:cs="Times New Roman"/>
        </w:rPr>
        <w:t>: EPA-HQ-OPP- 2016-0109</w:t>
      </w:r>
      <w:r w:rsidRPr="006A7027">
        <w:rPr>
          <w:rFonts w:ascii="Calibri" w:hAnsi="Calibri"/>
        </w:rPr>
        <w:t xml:space="preserve">.      </w:t>
      </w:r>
    </w:p>
  </w:footnote>
  <w:footnote w:id="24">
    <w:p w:rsidR="00AD709C" w:rsidRPr="00583007" w:rsidRDefault="00AD709C">
      <w:pPr>
        <w:pStyle w:val="FootnoteText"/>
        <w:rPr>
          <w:rFonts w:cs="Times New Roman"/>
        </w:rPr>
      </w:pPr>
      <w:r w:rsidRPr="00583007">
        <w:rPr>
          <w:rStyle w:val="FootnoteReference"/>
          <w:rFonts w:cs="Times New Roman"/>
        </w:rPr>
        <w:footnoteRef/>
      </w:r>
      <w:r w:rsidRPr="00583007">
        <w:rPr>
          <w:rFonts w:cs="Times New Roman"/>
        </w:rPr>
        <w:t xml:space="preserve"> As noted earlier in section 3(b)(ii), the information collection activities associated with EDSP are already covered by another ICR.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9C" w:rsidRDefault="00AD709C" w:rsidP="007828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709C" w:rsidRDefault="00AD709C" w:rsidP="0078283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9C" w:rsidRDefault="00AD709C" w:rsidP="00782832">
    <w:pPr>
      <w:pStyle w:val="Header"/>
      <w:framePr w:wrap="around" w:vAnchor="text" w:hAnchor="margin" w:xAlign="right" w:y="1"/>
      <w:rPr>
        <w:rStyle w:val="PageNumber"/>
      </w:rPr>
    </w:pPr>
  </w:p>
  <w:p w:rsidR="00AD709C" w:rsidRPr="00DD4346" w:rsidRDefault="00AD709C" w:rsidP="00782832">
    <w:pPr>
      <w:pStyle w:val="Header"/>
      <w:ind w:right="360"/>
      <w:jc w:val="center"/>
    </w:pPr>
    <w:r>
      <w:rPr>
        <w:b/>
      </w:rPr>
      <w:tab/>
    </w:r>
    <w:r>
      <w:rPr>
        <w:b/>
      </w:rPr>
      <w:tab/>
    </w:r>
    <w:r>
      <w:rPr>
        <w:b/>
      </w:rPr>
      <w:tab/>
    </w:r>
    <w:r>
      <w:rPr>
        <w:b/>
      </w:rPr>
      <w:tab/>
    </w:r>
    <w:r>
      <w:rPr>
        <w:b/>
      </w:rPr>
      <w:tab/>
    </w:r>
    <w:r>
      <w:rPr>
        <w:b/>
      </w:rPr>
      <w:tab/>
    </w:r>
    <w:r>
      <w:rPr>
        <w: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CF1" w:rsidRPr="00B16CF1" w:rsidRDefault="002A74C8" w:rsidP="00B16CF1">
    <w:pPr>
      <w:pStyle w:val="Header"/>
      <w:rPr>
        <w:sz w:val="18"/>
        <w:szCs w:val="18"/>
      </w:rPr>
    </w:pPr>
    <w:r>
      <w:rPr>
        <w:sz w:val="18"/>
        <w:szCs w:val="18"/>
      </w:rPr>
      <w:t>June 11</w:t>
    </w:r>
    <w:r w:rsidR="006C7801">
      <w:rPr>
        <w:sz w:val="18"/>
        <w:szCs w:val="18"/>
      </w:rPr>
      <w:t>, 2018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9C" w:rsidRDefault="00AD709C">
    <w:pPr>
      <w:pStyle w:val="Header"/>
    </w:pPr>
  </w:p>
  <w:p w:rsidR="00AD709C" w:rsidRDefault="00AD70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9"/>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1473DF9"/>
    <w:multiLevelType w:val="multilevel"/>
    <w:tmpl w:val="18A49C7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1EE4077"/>
    <w:multiLevelType w:val="multilevel"/>
    <w:tmpl w:val="D870D62E"/>
    <w:lvl w:ilvl="0">
      <w:start w:val="1"/>
      <w:numFmt w:val="decimal"/>
      <w:lvlText w:val="%1."/>
      <w:lvlJc w:val="left"/>
      <w:pPr>
        <w:ind w:left="360" w:hanging="360"/>
      </w:pPr>
      <w:rPr>
        <w:rFonts w:hint="default"/>
      </w:rPr>
    </w:lvl>
    <w:lvl w:ilvl="1">
      <w:start w:val="1"/>
      <w:numFmt w:val="lowerLetter"/>
      <w:lvlText w:val="%1(%2)."/>
      <w:lvlJc w:val="left"/>
      <w:pPr>
        <w:ind w:left="360" w:firstLine="0"/>
      </w:pPr>
      <w:rPr>
        <w:rFonts w:hint="default"/>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2F35AE1"/>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3515C75"/>
    <w:multiLevelType w:val="multilevel"/>
    <w:tmpl w:val="7A128E1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PicBulletId w:val="0"/>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nsid w:val="05611428"/>
    <w:multiLevelType w:val="multilevel"/>
    <w:tmpl w:val="E5C0775C"/>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strike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EBE4888"/>
    <w:multiLevelType w:val="hybridMultilevel"/>
    <w:tmpl w:val="F1A86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E4CC3C2">
      <w:numFmt w:val="bullet"/>
      <w:lvlText w:val="–"/>
      <w:lvlJc w:val="left"/>
      <w:pPr>
        <w:ind w:left="2880" w:hanging="1080"/>
      </w:pPr>
      <w:rPr>
        <w:rFonts w:ascii="Arial" w:eastAsiaTheme="minorHAnsi" w:hAnsi="Arial" w:cstheme="minorBidi"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4342C0"/>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1E0709D"/>
    <w:multiLevelType w:val="hybridMultilevel"/>
    <w:tmpl w:val="0BBE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404AAE"/>
    <w:multiLevelType w:val="multilevel"/>
    <w:tmpl w:val="18A49C7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F262449"/>
    <w:multiLevelType w:val="hybridMultilevel"/>
    <w:tmpl w:val="8548C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034689"/>
    <w:multiLevelType w:val="hybridMultilevel"/>
    <w:tmpl w:val="85F6D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671A1F"/>
    <w:multiLevelType w:val="hybridMultilevel"/>
    <w:tmpl w:val="AC164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1787F6D"/>
    <w:multiLevelType w:val="hybridMultilevel"/>
    <w:tmpl w:val="9BAE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124508"/>
    <w:multiLevelType w:val="multilevel"/>
    <w:tmpl w:val="18A49C7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4CB19A2"/>
    <w:multiLevelType w:val="hybridMultilevel"/>
    <w:tmpl w:val="C6A4281A"/>
    <w:lvl w:ilvl="0" w:tplc="04090001">
      <w:start w:val="1"/>
      <w:numFmt w:val="bullet"/>
      <w:lvlText w:val=""/>
      <w:lvlJc w:val="left"/>
      <w:pPr>
        <w:tabs>
          <w:tab w:val="num" w:pos="720"/>
        </w:tabs>
        <w:ind w:left="720" w:hanging="360"/>
      </w:pPr>
      <w:rPr>
        <w:rFonts w:ascii="Symbol" w:hAnsi="Symbol" w:hint="default"/>
      </w:rPr>
    </w:lvl>
    <w:lvl w:ilvl="1" w:tplc="4B2C6A42">
      <w:start w:val="3"/>
      <w:numFmt w:val="upperRoman"/>
      <w:lvlText w:val="%2."/>
      <w:lvlJc w:val="right"/>
      <w:pPr>
        <w:tabs>
          <w:tab w:val="num" w:pos="1260"/>
        </w:tabs>
        <w:ind w:left="1260" w:hanging="18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02580E"/>
    <w:multiLevelType w:val="hybridMultilevel"/>
    <w:tmpl w:val="AABA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4D72A4"/>
    <w:multiLevelType w:val="multilevel"/>
    <w:tmpl w:val="18A49C7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8D338E8"/>
    <w:multiLevelType w:val="hybridMultilevel"/>
    <w:tmpl w:val="D2F6B5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95092F"/>
    <w:multiLevelType w:val="hybridMultilevel"/>
    <w:tmpl w:val="4802C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0122B1"/>
    <w:multiLevelType w:val="multilevel"/>
    <w:tmpl w:val="18A49C7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1A2330C"/>
    <w:multiLevelType w:val="multilevel"/>
    <w:tmpl w:val="873ED748"/>
    <w:lvl w:ilvl="0">
      <w:start w:val="5"/>
      <w:numFmt w:val="decimal"/>
      <w:lvlText w:val="%1."/>
      <w:lvlJc w:val="left"/>
      <w:pPr>
        <w:ind w:left="360" w:hanging="360"/>
      </w:pPr>
      <w:rPr>
        <w:rFonts w:hint="default"/>
        <w:b/>
      </w:rPr>
    </w:lvl>
    <w:lvl w:ilvl="1">
      <w:start w:val="2"/>
      <w:numFmt w:val="lowerLetter"/>
      <w:lvlText w:val="%1(%2)."/>
      <w:lvlJc w:val="left"/>
      <w:pPr>
        <w:ind w:left="720" w:firstLine="0"/>
      </w:pPr>
      <w:rPr>
        <w:rFonts w:hint="default"/>
        <w:b/>
        <w:i w:val="0"/>
      </w:rPr>
    </w:lvl>
    <w:lvl w:ilvl="2">
      <w:start w:val="6"/>
      <w:numFmt w:val="lowerRoman"/>
      <w:lvlText w:val="%1(%2)(%3)."/>
      <w:lvlJc w:val="left"/>
      <w:pPr>
        <w:ind w:left="1080" w:hanging="360"/>
      </w:pPr>
      <w:rPr>
        <w:rFonts w:hint="default"/>
        <w:b/>
        <w:i w:val="0"/>
        <w:strike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B42C48"/>
    <w:multiLevelType w:val="hybridMultilevel"/>
    <w:tmpl w:val="D68C3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AEC0321"/>
    <w:multiLevelType w:val="multilevel"/>
    <w:tmpl w:val="18A49C7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EA02339"/>
    <w:multiLevelType w:val="hybridMultilevel"/>
    <w:tmpl w:val="9B6A98C2"/>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A26395"/>
    <w:multiLevelType w:val="multilevel"/>
    <w:tmpl w:val="18A49C7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06328D8"/>
    <w:multiLevelType w:val="multilevel"/>
    <w:tmpl w:val="18A49C7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2821588"/>
    <w:multiLevelType w:val="hybridMultilevel"/>
    <w:tmpl w:val="553A2A1E"/>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F06257"/>
    <w:multiLevelType w:val="hybridMultilevel"/>
    <w:tmpl w:val="92228B9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5D2941FB"/>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DCE68E4"/>
    <w:multiLevelType w:val="multilevel"/>
    <w:tmpl w:val="18A49C7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1886A0B"/>
    <w:multiLevelType w:val="hybridMultilevel"/>
    <w:tmpl w:val="D676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9A2D04"/>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1D620A1"/>
    <w:multiLevelType w:val="hybridMultilevel"/>
    <w:tmpl w:val="1690E0C6"/>
    <w:name w:val="EA"/>
    <w:lvl w:ilvl="0" w:tplc="A2203EC6">
      <w:start w:val="1"/>
      <w:numFmt w:val="bullet"/>
      <w:lvlText w:val=""/>
      <w:lvlJc w:val="left"/>
      <w:pPr>
        <w:tabs>
          <w:tab w:val="num" w:pos="1440"/>
        </w:tabs>
        <w:ind w:left="1440" w:hanging="360"/>
      </w:pPr>
      <w:rPr>
        <w:rFonts w:ascii="Symbol" w:hAnsi="Symbol" w:hint="default"/>
      </w:rPr>
    </w:lvl>
    <w:lvl w:ilvl="1" w:tplc="BB4264E6" w:tentative="1">
      <w:start w:val="1"/>
      <w:numFmt w:val="bullet"/>
      <w:lvlText w:val="o"/>
      <w:lvlJc w:val="left"/>
      <w:pPr>
        <w:tabs>
          <w:tab w:val="num" w:pos="2160"/>
        </w:tabs>
        <w:ind w:left="2160" w:hanging="360"/>
      </w:pPr>
      <w:rPr>
        <w:rFonts w:ascii="Courier New" w:hAnsi="Courier New" w:cs="Courier New" w:hint="default"/>
      </w:rPr>
    </w:lvl>
    <w:lvl w:ilvl="2" w:tplc="630420AC" w:tentative="1">
      <w:start w:val="1"/>
      <w:numFmt w:val="bullet"/>
      <w:lvlText w:val=""/>
      <w:lvlJc w:val="left"/>
      <w:pPr>
        <w:tabs>
          <w:tab w:val="num" w:pos="2880"/>
        </w:tabs>
        <w:ind w:left="2880" w:hanging="360"/>
      </w:pPr>
      <w:rPr>
        <w:rFonts w:ascii="Wingdings" w:hAnsi="Wingdings" w:hint="default"/>
      </w:rPr>
    </w:lvl>
    <w:lvl w:ilvl="3" w:tplc="D4BCBC38" w:tentative="1">
      <w:start w:val="1"/>
      <w:numFmt w:val="bullet"/>
      <w:lvlText w:val=""/>
      <w:lvlJc w:val="left"/>
      <w:pPr>
        <w:tabs>
          <w:tab w:val="num" w:pos="3600"/>
        </w:tabs>
        <w:ind w:left="3600" w:hanging="360"/>
      </w:pPr>
      <w:rPr>
        <w:rFonts w:ascii="Symbol" w:hAnsi="Symbol" w:hint="default"/>
      </w:rPr>
    </w:lvl>
    <w:lvl w:ilvl="4" w:tplc="42CE29EA" w:tentative="1">
      <w:start w:val="1"/>
      <w:numFmt w:val="bullet"/>
      <w:lvlText w:val="o"/>
      <w:lvlJc w:val="left"/>
      <w:pPr>
        <w:tabs>
          <w:tab w:val="num" w:pos="4320"/>
        </w:tabs>
        <w:ind w:left="4320" w:hanging="360"/>
      </w:pPr>
      <w:rPr>
        <w:rFonts w:ascii="Courier New" w:hAnsi="Courier New" w:cs="Courier New" w:hint="default"/>
      </w:rPr>
    </w:lvl>
    <w:lvl w:ilvl="5" w:tplc="424E23B2" w:tentative="1">
      <w:start w:val="1"/>
      <w:numFmt w:val="bullet"/>
      <w:lvlText w:val=""/>
      <w:lvlJc w:val="left"/>
      <w:pPr>
        <w:tabs>
          <w:tab w:val="num" w:pos="5040"/>
        </w:tabs>
        <w:ind w:left="5040" w:hanging="360"/>
      </w:pPr>
      <w:rPr>
        <w:rFonts w:ascii="Wingdings" w:hAnsi="Wingdings" w:hint="default"/>
      </w:rPr>
    </w:lvl>
    <w:lvl w:ilvl="6" w:tplc="B08ED7AA" w:tentative="1">
      <w:start w:val="1"/>
      <w:numFmt w:val="bullet"/>
      <w:lvlText w:val=""/>
      <w:lvlJc w:val="left"/>
      <w:pPr>
        <w:tabs>
          <w:tab w:val="num" w:pos="5760"/>
        </w:tabs>
        <w:ind w:left="5760" w:hanging="360"/>
      </w:pPr>
      <w:rPr>
        <w:rFonts w:ascii="Symbol" w:hAnsi="Symbol" w:hint="default"/>
      </w:rPr>
    </w:lvl>
    <w:lvl w:ilvl="7" w:tplc="179C35A6" w:tentative="1">
      <w:start w:val="1"/>
      <w:numFmt w:val="bullet"/>
      <w:lvlText w:val="o"/>
      <w:lvlJc w:val="left"/>
      <w:pPr>
        <w:tabs>
          <w:tab w:val="num" w:pos="6480"/>
        </w:tabs>
        <w:ind w:left="6480" w:hanging="360"/>
      </w:pPr>
      <w:rPr>
        <w:rFonts w:ascii="Courier New" w:hAnsi="Courier New" w:cs="Courier New" w:hint="default"/>
      </w:rPr>
    </w:lvl>
    <w:lvl w:ilvl="8" w:tplc="B0425068" w:tentative="1">
      <w:start w:val="1"/>
      <w:numFmt w:val="bullet"/>
      <w:lvlText w:val=""/>
      <w:lvlJc w:val="left"/>
      <w:pPr>
        <w:tabs>
          <w:tab w:val="num" w:pos="7200"/>
        </w:tabs>
        <w:ind w:left="7200" w:hanging="360"/>
      </w:pPr>
      <w:rPr>
        <w:rFonts w:ascii="Wingdings" w:hAnsi="Wingdings" w:hint="default"/>
      </w:rPr>
    </w:lvl>
  </w:abstractNum>
  <w:abstractNum w:abstractNumId="38">
    <w:nsid w:val="62E3677F"/>
    <w:multiLevelType w:val="multilevel"/>
    <w:tmpl w:val="18A49C7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3A21B5A"/>
    <w:multiLevelType w:val="hybridMultilevel"/>
    <w:tmpl w:val="631ECB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FDB04AB"/>
    <w:multiLevelType w:val="hybridMultilevel"/>
    <w:tmpl w:val="8A58D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pStyle w:val="Level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05405BB"/>
    <w:multiLevelType w:val="hybridMultilevel"/>
    <w:tmpl w:val="1DA6C9AA"/>
    <w:lvl w:ilvl="0" w:tplc="3294B44E">
      <w:start w:val="1"/>
      <w:numFmt w:val="bullet"/>
      <w:lvlText w:val="•"/>
      <w:lvlJc w:val="left"/>
      <w:pPr>
        <w:tabs>
          <w:tab w:val="num" w:pos="720"/>
        </w:tabs>
        <w:ind w:left="720" w:hanging="360"/>
      </w:pPr>
      <w:rPr>
        <w:rFonts w:ascii="Times New Roman" w:hAnsi="Times New Roman" w:hint="default"/>
      </w:rPr>
    </w:lvl>
    <w:lvl w:ilvl="1" w:tplc="8664195E">
      <w:start w:val="891"/>
      <w:numFmt w:val="bullet"/>
      <w:lvlText w:val="–"/>
      <w:lvlJc w:val="left"/>
      <w:pPr>
        <w:tabs>
          <w:tab w:val="num" w:pos="1440"/>
        </w:tabs>
        <w:ind w:left="1440" w:hanging="360"/>
      </w:pPr>
      <w:rPr>
        <w:rFonts w:ascii="Times New Roman" w:hAnsi="Times New Roman" w:hint="default"/>
      </w:rPr>
    </w:lvl>
    <w:lvl w:ilvl="2" w:tplc="8AFA081A">
      <w:start w:val="1"/>
      <w:numFmt w:val="bullet"/>
      <w:lvlText w:val="•"/>
      <w:lvlJc w:val="left"/>
      <w:pPr>
        <w:tabs>
          <w:tab w:val="num" w:pos="2160"/>
        </w:tabs>
        <w:ind w:left="2160" w:hanging="360"/>
      </w:pPr>
      <w:rPr>
        <w:rFonts w:ascii="Times New Roman" w:hAnsi="Times New Roman" w:hint="default"/>
      </w:rPr>
    </w:lvl>
    <w:lvl w:ilvl="3" w:tplc="06462406" w:tentative="1">
      <w:start w:val="1"/>
      <w:numFmt w:val="bullet"/>
      <w:lvlText w:val="•"/>
      <w:lvlJc w:val="left"/>
      <w:pPr>
        <w:tabs>
          <w:tab w:val="num" w:pos="2880"/>
        </w:tabs>
        <w:ind w:left="2880" w:hanging="360"/>
      </w:pPr>
      <w:rPr>
        <w:rFonts w:ascii="Times New Roman" w:hAnsi="Times New Roman" w:hint="default"/>
      </w:rPr>
    </w:lvl>
    <w:lvl w:ilvl="4" w:tplc="69683E1A" w:tentative="1">
      <w:start w:val="1"/>
      <w:numFmt w:val="bullet"/>
      <w:lvlText w:val="•"/>
      <w:lvlJc w:val="left"/>
      <w:pPr>
        <w:tabs>
          <w:tab w:val="num" w:pos="3600"/>
        </w:tabs>
        <w:ind w:left="3600" w:hanging="360"/>
      </w:pPr>
      <w:rPr>
        <w:rFonts w:ascii="Times New Roman" w:hAnsi="Times New Roman" w:hint="default"/>
      </w:rPr>
    </w:lvl>
    <w:lvl w:ilvl="5" w:tplc="0082EA02" w:tentative="1">
      <w:start w:val="1"/>
      <w:numFmt w:val="bullet"/>
      <w:lvlText w:val="•"/>
      <w:lvlJc w:val="left"/>
      <w:pPr>
        <w:tabs>
          <w:tab w:val="num" w:pos="4320"/>
        </w:tabs>
        <w:ind w:left="4320" w:hanging="360"/>
      </w:pPr>
      <w:rPr>
        <w:rFonts w:ascii="Times New Roman" w:hAnsi="Times New Roman" w:hint="default"/>
      </w:rPr>
    </w:lvl>
    <w:lvl w:ilvl="6" w:tplc="F71A58AA" w:tentative="1">
      <w:start w:val="1"/>
      <w:numFmt w:val="bullet"/>
      <w:lvlText w:val="•"/>
      <w:lvlJc w:val="left"/>
      <w:pPr>
        <w:tabs>
          <w:tab w:val="num" w:pos="5040"/>
        </w:tabs>
        <w:ind w:left="5040" w:hanging="360"/>
      </w:pPr>
      <w:rPr>
        <w:rFonts w:ascii="Times New Roman" w:hAnsi="Times New Roman" w:hint="default"/>
      </w:rPr>
    </w:lvl>
    <w:lvl w:ilvl="7" w:tplc="F34E7762" w:tentative="1">
      <w:start w:val="1"/>
      <w:numFmt w:val="bullet"/>
      <w:lvlText w:val="•"/>
      <w:lvlJc w:val="left"/>
      <w:pPr>
        <w:tabs>
          <w:tab w:val="num" w:pos="5760"/>
        </w:tabs>
        <w:ind w:left="5760" w:hanging="360"/>
      </w:pPr>
      <w:rPr>
        <w:rFonts w:ascii="Times New Roman" w:hAnsi="Times New Roman" w:hint="default"/>
      </w:rPr>
    </w:lvl>
    <w:lvl w:ilvl="8" w:tplc="6E622438" w:tentative="1">
      <w:start w:val="1"/>
      <w:numFmt w:val="bullet"/>
      <w:lvlText w:val="•"/>
      <w:lvlJc w:val="left"/>
      <w:pPr>
        <w:tabs>
          <w:tab w:val="num" w:pos="6480"/>
        </w:tabs>
        <w:ind w:left="6480" w:hanging="360"/>
      </w:pPr>
      <w:rPr>
        <w:rFonts w:ascii="Times New Roman" w:hAnsi="Times New Roman" w:hint="default"/>
      </w:rPr>
    </w:lvl>
  </w:abstractNum>
  <w:abstractNum w:abstractNumId="42">
    <w:nsid w:val="75807482"/>
    <w:multiLevelType w:val="multilevel"/>
    <w:tmpl w:val="D870D62E"/>
    <w:lvl w:ilvl="0">
      <w:start w:val="1"/>
      <w:numFmt w:val="decimal"/>
      <w:lvlText w:val="%1."/>
      <w:lvlJc w:val="left"/>
      <w:pPr>
        <w:ind w:left="360" w:hanging="360"/>
      </w:pPr>
      <w:rPr>
        <w:rFonts w:hint="default"/>
      </w:rPr>
    </w:lvl>
    <w:lvl w:ilvl="1">
      <w:start w:val="1"/>
      <w:numFmt w:val="lowerLetter"/>
      <w:lvlText w:val="%1(%2)."/>
      <w:lvlJc w:val="left"/>
      <w:pPr>
        <w:ind w:left="360" w:firstLine="0"/>
      </w:pPr>
      <w:rPr>
        <w:rFonts w:hint="default"/>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6056E61"/>
    <w:multiLevelType w:val="hybridMultilevel"/>
    <w:tmpl w:val="78B89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7501199"/>
    <w:multiLevelType w:val="multilevel"/>
    <w:tmpl w:val="18A49C7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78BC227C"/>
    <w:multiLevelType w:val="multilevel"/>
    <w:tmpl w:val="68448CCA"/>
    <w:lvl w:ilvl="0">
      <w:start w:val="3"/>
      <w:numFmt w:val="decimal"/>
      <w:lvlText w:val="%1."/>
      <w:lvlJc w:val="left"/>
      <w:pPr>
        <w:ind w:left="360" w:hanging="360"/>
      </w:pPr>
      <w:rPr>
        <w:rFonts w:hint="default"/>
        <w:b/>
      </w:rPr>
    </w:lvl>
    <w:lvl w:ilvl="1">
      <w:start w:val="1"/>
      <w:numFmt w:val="lowerLetter"/>
      <w:lvlText w:val="%1(%2)."/>
      <w:lvlJc w:val="left"/>
      <w:pPr>
        <w:ind w:left="720" w:firstLine="0"/>
      </w:pPr>
      <w:rPr>
        <w:rFonts w:hint="default"/>
        <w:b/>
        <w:i w:val="0"/>
      </w:rPr>
    </w:lvl>
    <w:lvl w:ilvl="2">
      <w:start w:val="7"/>
      <w:numFmt w:val="lowerRoman"/>
      <w:lvlText w:val="%1(%2)(%3)."/>
      <w:lvlJc w:val="left"/>
      <w:pPr>
        <w:ind w:left="1080" w:hanging="360"/>
      </w:pPr>
      <w:rPr>
        <w:rFonts w:hint="default"/>
        <w:b/>
        <w:i w:val="0"/>
        <w:strike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7BA67476"/>
    <w:multiLevelType w:val="multilevel"/>
    <w:tmpl w:val="68448CCA"/>
    <w:lvl w:ilvl="0">
      <w:start w:val="3"/>
      <w:numFmt w:val="decimal"/>
      <w:lvlText w:val="%1."/>
      <w:lvlJc w:val="left"/>
      <w:pPr>
        <w:ind w:left="360" w:hanging="360"/>
      </w:pPr>
      <w:rPr>
        <w:rFonts w:hint="default"/>
        <w:b/>
      </w:rPr>
    </w:lvl>
    <w:lvl w:ilvl="1">
      <w:start w:val="1"/>
      <w:numFmt w:val="lowerLetter"/>
      <w:lvlText w:val="%1(%2)."/>
      <w:lvlJc w:val="left"/>
      <w:pPr>
        <w:ind w:left="720" w:firstLine="0"/>
      </w:pPr>
      <w:rPr>
        <w:rFonts w:hint="default"/>
        <w:b/>
        <w:i w:val="0"/>
      </w:rPr>
    </w:lvl>
    <w:lvl w:ilvl="2">
      <w:start w:val="7"/>
      <w:numFmt w:val="lowerRoman"/>
      <w:lvlText w:val="%1(%2)(%3)."/>
      <w:lvlJc w:val="left"/>
      <w:pPr>
        <w:ind w:left="1080" w:hanging="360"/>
      </w:pPr>
      <w:rPr>
        <w:rFonts w:hint="default"/>
        <w:b/>
        <w:i w:val="0"/>
        <w:strike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9"/>
  </w:num>
  <w:num w:numId="4">
    <w:abstractNumId w:val="20"/>
  </w:num>
  <w:num w:numId="5">
    <w:abstractNumId w:val="12"/>
  </w:num>
  <w:num w:numId="6">
    <w:abstractNumId w:val="14"/>
  </w:num>
  <w:num w:numId="7">
    <w:abstractNumId w:val="8"/>
  </w:num>
  <w:num w:numId="8">
    <w:abstractNumId w:val="28"/>
  </w:num>
  <w:num w:numId="9">
    <w:abstractNumId w:val="31"/>
  </w:num>
  <w:num w:numId="10">
    <w:abstractNumId w:val="10"/>
  </w:num>
  <w:num w:numId="11">
    <w:abstractNumId w:val="39"/>
  </w:num>
  <w:num w:numId="12">
    <w:abstractNumId w:val="35"/>
  </w:num>
  <w:num w:numId="13">
    <w:abstractNumId w:val="6"/>
  </w:num>
  <w:num w:numId="14">
    <w:abstractNumId w:val="37"/>
  </w:num>
  <w:num w:numId="15">
    <w:abstractNumId w:val="42"/>
  </w:num>
  <w:num w:numId="16">
    <w:abstractNumId w:val="23"/>
  </w:num>
  <w:num w:numId="17">
    <w:abstractNumId w:val="21"/>
  </w:num>
  <w:num w:numId="18">
    <w:abstractNumId w:val="34"/>
  </w:num>
  <w:num w:numId="19">
    <w:abstractNumId w:val="41"/>
  </w:num>
  <w:num w:numId="20">
    <w:abstractNumId w:val="22"/>
  </w:num>
  <w:num w:numId="21">
    <w:abstractNumId w:val="29"/>
  </w:num>
  <w:num w:numId="22">
    <w:abstractNumId w:val="30"/>
  </w:num>
  <w:num w:numId="23">
    <w:abstractNumId w:val="17"/>
  </w:num>
  <w:num w:numId="24">
    <w:abstractNumId w:val="24"/>
  </w:num>
  <w:num w:numId="25">
    <w:abstractNumId w:val="5"/>
  </w:num>
  <w:num w:numId="26">
    <w:abstractNumId w:val="32"/>
  </w:num>
  <w:num w:numId="27">
    <w:abstractNumId w:val="18"/>
  </w:num>
  <w:num w:numId="28">
    <w:abstractNumId w:val="19"/>
  </w:num>
  <w:num w:numId="29">
    <w:abstractNumId w:val="15"/>
  </w:num>
  <w:num w:numId="30">
    <w:abstractNumId w:val="13"/>
  </w:num>
  <w:num w:numId="31">
    <w:abstractNumId w:val="27"/>
  </w:num>
  <w:num w:numId="32">
    <w:abstractNumId w:val="38"/>
  </w:num>
  <w:num w:numId="33">
    <w:abstractNumId w:val="44"/>
  </w:num>
  <w:num w:numId="34">
    <w:abstractNumId w:val="33"/>
  </w:num>
  <w:num w:numId="35">
    <w:abstractNumId w:val="36"/>
  </w:num>
  <w:num w:numId="36">
    <w:abstractNumId w:val="40"/>
  </w:num>
  <w:num w:numId="37">
    <w:abstractNumId w:val="11"/>
  </w:num>
  <w:num w:numId="38">
    <w:abstractNumId w:val="7"/>
  </w:num>
  <w:num w:numId="39">
    <w:abstractNumId w:val="16"/>
  </w:num>
  <w:num w:numId="40">
    <w:abstractNumId w:val="26"/>
  </w:num>
  <w:num w:numId="41">
    <w:abstractNumId w:val="43"/>
  </w:num>
  <w:num w:numId="42">
    <w:abstractNumId w:val="46"/>
  </w:num>
  <w:num w:numId="43">
    <w:abstractNumId w:val="25"/>
  </w:num>
  <w:num w:numId="44">
    <w:abstractNumId w:val="4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MDO2NDQ0MzQyMza2NLZU0lEKTi0uzszPAykwNqoFAOVtbD4tAAAA"/>
  </w:docVars>
  <w:rsids>
    <w:rsidRoot w:val="002B34A0"/>
    <w:rsid w:val="00000DFC"/>
    <w:rsid w:val="000023BA"/>
    <w:rsid w:val="0000355B"/>
    <w:rsid w:val="00003DF0"/>
    <w:rsid w:val="000069E3"/>
    <w:rsid w:val="00012C7C"/>
    <w:rsid w:val="0001621B"/>
    <w:rsid w:val="000212B9"/>
    <w:rsid w:val="000224CF"/>
    <w:rsid w:val="0002255B"/>
    <w:rsid w:val="00025B15"/>
    <w:rsid w:val="00025F44"/>
    <w:rsid w:val="00032FBE"/>
    <w:rsid w:val="00035DE8"/>
    <w:rsid w:val="00051107"/>
    <w:rsid w:val="000530F2"/>
    <w:rsid w:val="000569AD"/>
    <w:rsid w:val="0005745C"/>
    <w:rsid w:val="0007083B"/>
    <w:rsid w:val="00070ACE"/>
    <w:rsid w:val="00071069"/>
    <w:rsid w:val="00071DBA"/>
    <w:rsid w:val="00080514"/>
    <w:rsid w:val="00080604"/>
    <w:rsid w:val="000809FA"/>
    <w:rsid w:val="00080E81"/>
    <w:rsid w:val="00086F45"/>
    <w:rsid w:val="00097B26"/>
    <w:rsid w:val="000A185F"/>
    <w:rsid w:val="000A2293"/>
    <w:rsid w:val="000A26C2"/>
    <w:rsid w:val="000A409C"/>
    <w:rsid w:val="000A47DB"/>
    <w:rsid w:val="000B2224"/>
    <w:rsid w:val="000B7454"/>
    <w:rsid w:val="000C6DBC"/>
    <w:rsid w:val="000C6F50"/>
    <w:rsid w:val="000C6FF6"/>
    <w:rsid w:val="000C7C7B"/>
    <w:rsid w:val="000D3066"/>
    <w:rsid w:val="000D50B9"/>
    <w:rsid w:val="000E1C35"/>
    <w:rsid w:val="000E4501"/>
    <w:rsid w:val="000E7B38"/>
    <w:rsid w:val="000F15CB"/>
    <w:rsid w:val="000F4CEA"/>
    <w:rsid w:val="00102878"/>
    <w:rsid w:val="00106EE5"/>
    <w:rsid w:val="00110EB7"/>
    <w:rsid w:val="00111059"/>
    <w:rsid w:val="00122E25"/>
    <w:rsid w:val="00126EAC"/>
    <w:rsid w:val="001278E6"/>
    <w:rsid w:val="00133B3B"/>
    <w:rsid w:val="00136D8F"/>
    <w:rsid w:val="00141FB5"/>
    <w:rsid w:val="00155A85"/>
    <w:rsid w:val="0015601E"/>
    <w:rsid w:val="001678AF"/>
    <w:rsid w:val="001710E8"/>
    <w:rsid w:val="001724C5"/>
    <w:rsid w:val="0017422D"/>
    <w:rsid w:val="001747A3"/>
    <w:rsid w:val="001754BF"/>
    <w:rsid w:val="0017586A"/>
    <w:rsid w:val="00176015"/>
    <w:rsid w:val="0017683C"/>
    <w:rsid w:val="00180088"/>
    <w:rsid w:val="00180228"/>
    <w:rsid w:val="0018440A"/>
    <w:rsid w:val="00185866"/>
    <w:rsid w:val="00186998"/>
    <w:rsid w:val="00190472"/>
    <w:rsid w:val="00191892"/>
    <w:rsid w:val="00196AB6"/>
    <w:rsid w:val="00197152"/>
    <w:rsid w:val="001A2773"/>
    <w:rsid w:val="001C01DB"/>
    <w:rsid w:val="001C0B06"/>
    <w:rsid w:val="001C105B"/>
    <w:rsid w:val="001C6F0B"/>
    <w:rsid w:val="001C7C36"/>
    <w:rsid w:val="001D228A"/>
    <w:rsid w:val="001D3125"/>
    <w:rsid w:val="001E053D"/>
    <w:rsid w:val="001E06E3"/>
    <w:rsid w:val="001E0724"/>
    <w:rsid w:val="001E0A1B"/>
    <w:rsid w:val="001E534B"/>
    <w:rsid w:val="001E56F4"/>
    <w:rsid w:val="001E6980"/>
    <w:rsid w:val="001F0CFC"/>
    <w:rsid w:val="001F52BB"/>
    <w:rsid w:val="00202DD7"/>
    <w:rsid w:val="00202EAA"/>
    <w:rsid w:val="00210AC8"/>
    <w:rsid w:val="00215B59"/>
    <w:rsid w:val="00215F6B"/>
    <w:rsid w:val="0022217E"/>
    <w:rsid w:val="00223012"/>
    <w:rsid w:val="002256EA"/>
    <w:rsid w:val="00226E77"/>
    <w:rsid w:val="002321AA"/>
    <w:rsid w:val="00246934"/>
    <w:rsid w:val="00250574"/>
    <w:rsid w:val="002529E5"/>
    <w:rsid w:val="00260275"/>
    <w:rsid w:val="00262369"/>
    <w:rsid w:val="00264CB1"/>
    <w:rsid w:val="0026594B"/>
    <w:rsid w:val="0027022E"/>
    <w:rsid w:val="00272617"/>
    <w:rsid w:val="00275BC7"/>
    <w:rsid w:val="00276A41"/>
    <w:rsid w:val="00282443"/>
    <w:rsid w:val="002828CF"/>
    <w:rsid w:val="00286682"/>
    <w:rsid w:val="00286822"/>
    <w:rsid w:val="0029141D"/>
    <w:rsid w:val="00291EA2"/>
    <w:rsid w:val="00293CB4"/>
    <w:rsid w:val="00295EE8"/>
    <w:rsid w:val="00296BF6"/>
    <w:rsid w:val="002A0BEE"/>
    <w:rsid w:val="002A246B"/>
    <w:rsid w:val="002A288D"/>
    <w:rsid w:val="002A5784"/>
    <w:rsid w:val="002A74C8"/>
    <w:rsid w:val="002B293B"/>
    <w:rsid w:val="002B2F68"/>
    <w:rsid w:val="002B34A0"/>
    <w:rsid w:val="002B40A2"/>
    <w:rsid w:val="002C0F56"/>
    <w:rsid w:val="002C3245"/>
    <w:rsid w:val="002C395B"/>
    <w:rsid w:val="002C3C35"/>
    <w:rsid w:val="002D04A7"/>
    <w:rsid w:val="002D0FCC"/>
    <w:rsid w:val="002D3008"/>
    <w:rsid w:val="002D3222"/>
    <w:rsid w:val="002D3CB7"/>
    <w:rsid w:val="002E3969"/>
    <w:rsid w:val="002E51C6"/>
    <w:rsid w:val="002E58DE"/>
    <w:rsid w:val="002F01B9"/>
    <w:rsid w:val="002F0591"/>
    <w:rsid w:val="002F3C1C"/>
    <w:rsid w:val="002F5E41"/>
    <w:rsid w:val="002F5F87"/>
    <w:rsid w:val="002F6463"/>
    <w:rsid w:val="002F6AE4"/>
    <w:rsid w:val="0032425B"/>
    <w:rsid w:val="00327C9E"/>
    <w:rsid w:val="00327CF3"/>
    <w:rsid w:val="00333631"/>
    <w:rsid w:val="0033540C"/>
    <w:rsid w:val="0033668C"/>
    <w:rsid w:val="0034370B"/>
    <w:rsid w:val="00346D5E"/>
    <w:rsid w:val="00351079"/>
    <w:rsid w:val="00356731"/>
    <w:rsid w:val="00360250"/>
    <w:rsid w:val="0036061B"/>
    <w:rsid w:val="0036430D"/>
    <w:rsid w:val="00366372"/>
    <w:rsid w:val="003676EE"/>
    <w:rsid w:val="003750C6"/>
    <w:rsid w:val="003821B2"/>
    <w:rsid w:val="00382A56"/>
    <w:rsid w:val="00387A71"/>
    <w:rsid w:val="0039067F"/>
    <w:rsid w:val="00391CDA"/>
    <w:rsid w:val="0039497C"/>
    <w:rsid w:val="003A1D8D"/>
    <w:rsid w:val="003A268B"/>
    <w:rsid w:val="003A4FAF"/>
    <w:rsid w:val="003A5E99"/>
    <w:rsid w:val="003A7FD9"/>
    <w:rsid w:val="003B24B3"/>
    <w:rsid w:val="003C148D"/>
    <w:rsid w:val="003C2489"/>
    <w:rsid w:val="003C26C1"/>
    <w:rsid w:val="003C31F9"/>
    <w:rsid w:val="003C468D"/>
    <w:rsid w:val="003C76C7"/>
    <w:rsid w:val="003D2F08"/>
    <w:rsid w:val="003F03AF"/>
    <w:rsid w:val="00411099"/>
    <w:rsid w:val="004124F7"/>
    <w:rsid w:val="00412D81"/>
    <w:rsid w:val="00413204"/>
    <w:rsid w:val="0042316C"/>
    <w:rsid w:val="0042561C"/>
    <w:rsid w:val="00425F6D"/>
    <w:rsid w:val="00432D88"/>
    <w:rsid w:val="00442E02"/>
    <w:rsid w:val="00446301"/>
    <w:rsid w:val="00460905"/>
    <w:rsid w:val="004646F4"/>
    <w:rsid w:val="00474274"/>
    <w:rsid w:val="004767DE"/>
    <w:rsid w:val="0047703D"/>
    <w:rsid w:val="00484B2B"/>
    <w:rsid w:val="00486BAC"/>
    <w:rsid w:val="00490016"/>
    <w:rsid w:val="00492A30"/>
    <w:rsid w:val="00492D3D"/>
    <w:rsid w:val="00497A51"/>
    <w:rsid w:val="004A492D"/>
    <w:rsid w:val="004B3889"/>
    <w:rsid w:val="004B4EE5"/>
    <w:rsid w:val="004C2AAE"/>
    <w:rsid w:val="004D3B41"/>
    <w:rsid w:val="004E0B31"/>
    <w:rsid w:val="004E341A"/>
    <w:rsid w:val="004E4BE9"/>
    <w:rsid w:val="004E61F0"/>
    <w:rsid w:val="004F6A1E"/>
    <w:rsid w:val="005011A7"/>
    <w:rsid w:val="005017EF"/>
    <w:rsid w:val="00503C49"/>
    <w:rsid w:val="0051135E"/>
    <w:rsid w:val="00515023"/>
    <w:rsid w:val="00515B81"/>
    <w:rsid w:val="00515EF9"/>
    <w:rsid w:val="00517204"/>
    <w:rsid w:val="005177B9"/>
    <w:rsid w:val="00520119"/>
    <w:rsid w:val="00530BF7"/>
    <w:rsid w:val="00534528"/>
    <w:rsid w:val="005357E6"/>
    <w:rsid w:val="005378CD"/>
    <w:rsid w:val="005463D1"/>
    <w:rsid w:val="00551F16"/>
    <w:rsid w:val="0055547B"/>
    <w:rsid w:val="00560461"/>
    <w:rsid w:val="00561863"/>
    <w:rsid w:val="005666FA"/>
    <w:rsid w:val="00571165"/>
    <w:rsid w:val="005719AF"/>
    <w:rsid w:val="00573699"/>
    <w:rsid w:val="0057494A"/>
    <w:rsid w:val="00575707"/>
    <w:rsid w:val="00583007"/>
    <w:rsid w:val="00594115"/>
    <w:rsid w:val="005950C7"/>
    <w:rsid w:val="005A30AA"/>
    <w:rsid w:val="005A31BA"/>
    <w:rsid w:val="005A4921"/>
    <w:rsid w:val="005A566C"/>
    <w:rsid w:val="005B78F6"/>
    <w:rsid w:val="005C14A8"/>
    <w:rsid w:val="005C1955"/>
    <w:rsid w:val="005C2106"/>
    <w:rsid w:val="005C78C9"/>
    <w:rsid w:val="005D573B"/>
    <w:rsid w:val="005D6B88"/>
    <w:rsid w:val="005D7BD1"/>
    <w:rsid w:val="005E02F5"/>
    <w:rsid w:val="005E077C"/>
    <w:rsid w:val="005E26DC"/>
    <w:rsid w:val="005E3CBB"/>
    <w:rsid w:val="005E5369"/>
    <w:rsid w:val="005E5978"/>
    <w:rsid w:val="005E64E6"/>
    <w:rsid w:val="005E7D3F"/>
    <w:rsid w:val="005F0DA4"/>
    <w:rsid w:val="005F3535"/>
    <w:rsid w:val="005F3869"/>
    <w:rsid w:val="005F7651"/>
    <w:rsid w:val="006006B6"/>
    <w:rsid w:val="006009A2"/>
    <w:rsid w:val="006126A9"/>
    <w:rsid w:val="006141E9"/>
    <w:rsid w:val="006163A6"/>
    <w:rsid w:val="00624051"/>
    <w:rsid w:val="006248D7"/>
    <w:rsid w:val="00630594"/>
    <w:rsid w:val="0063236E"/>
    <w:rsid w:val="00637AAC"/>
    <w:rsid w:val="0064488E"/>
    <w:rsid w:val="00645B11"/>
    <w:rsid w:val="00645D2F"/>
    <w:rsid w:val="0064799A"/>
    <w:rsid w:val="00653AB8"/>
    <w:rsid w:val="006556F3"/>
    <w:rsid w:val="00655C61"/>
    <w:rsid w:val="00662C78"/>
    <w:rsid w:val="00663940"/>
    <w:rsid w:val="006649DF"/>
    <w:rsid w:val="00667805"/>
    <w:rsid w:val="00671DB1"/>
    <w:rsid w:val="0067403D"/>
    <w:rsid w:val="006756F2"/>
    <w:rsid w:val="00680F94"/>
    <w:rsid w:val="006817BA"/>
    <w:rsid w:val="0068511A"/>
    <w:rsid w:val="0069173F"/>
    <w:rsid w:val="006972E8"/>
    <w:rsid w:val="00697C88"/>
    <w:rsid w:val="006A4635"/>
    <w:rsid w:val="006A7027"/>
    <w:rsid w:val="006B0387"/>
    <w:rsid w:val="006B4509"/>
    <w:rsid w:val="006B51C8"/>
    <w:rsid w:val="006B5685"/>
    <w:rsid w:val="006B73DE"/>
    <w:rsid w:val="006C62A0"/>
    <w:rsid w:val="006C7801"/>
    <w:rsid w:val="006C7C07"/>
    <w:rsid w:val="006D104B"/>
    <w:rsid w:val="006D5D97"/>
    <w:rsid w:val="006D7B41"/>
    <w:rsid w:val="006E0D0F"/>
    <w:rsid w:val="006E74DA"/>
    <w:rsid w:val="006F7758"/>
    <w:rsid w:val="00702660"/>
    <w:rsid w:val="00702852"/>
    <w:rsid w:val="00706153"/>
    <w:rsid w:val="00707599"/>
    <w:rsid w:val="00710118"/>
    <w:rsid w:val="00713EC1"/>
    <w:rsid w:val="0071473E"/>
    <w:rsid w:val="00724A6A"/>
    <w:rsid w:val="00732EC4"/>
    <w:rsid w:val="00736998"/>
    <w:rsid w:val="0074618F"/>
    <w:rsid w:val="0075081D"/>
    <w:rsid w:val="00752F39"/>
    <w:rsid w:val="00757A93"/>
    <w:rsid w:val="00761E61"/>
    <w:rsid w:val="007639A9"/>
    <w:rsid w:val="007645FB"/>
    <w:rsid w:val="00765C56"/>
    <w:rsid w:val="00774253"/>
    <w:rsid w:val="00777552"/>
    <w:rsid w:val="00782832"/>
    <w:rsid w:val="00782F81"/>
    <w:rsid w:val="00790716"/>
    <w:rsid w:val="00793390"/>
    <w:rsid w:val="00793C37"/>
    <w:rsid w:val="007B075C"/>
    <w:rsid w:val="007B2791"/>
    <w:rsid w:val="007C32B8"/>
    <w:rsid w:val="007D26E3"/>
    <w:rsid w:val="007D3C80"/>
    <w:rsid w:val="007D6E48"/>
    <w:rsid w:val="007E3DA7"/>
    <w:rsid w:val="007F09A2"/>
    <w:rsid w:val="007F3DCB"/>
    <w:rsid w:val="007F50C4"/>
    <w:rsid w:val="007F7D4F"/>
    <w:rsid w:val="00803B04"/>
    <w:rsid w:val="008123F7"/>
    <w:rsid w:val="00813B78"/>
    <w:rsid w:val="00814E8F"/>
    <w:rsid w:val="0081741E"/>
    <w:rsid w:val="00830289"/>
    <w:rsid w:val="00834C8B"/>
    <w:rsid w:val="008427A3"/>
    <w:rsid w:val="008478AD"/>
    <w:rsid w:val="00851F43"/>
    <w:rsid w:val="00855982"/>
    <w:rsid w:val="00855CC0"/>
    <w:rsid w:val="00860EB6"/>
    <w:rsid w:val="00860F48"/>
    <w:rsid w:val="008641DA"/>
    <w:rsid w:val="00865AE8"/>
    <w:rsid w:val="008675BB"/>
    <w:rsid w:val="008678CE"/>
    <w:rsid w:val="0087509B"/>
    <w:rsid w:val="008759B0"/>
    <w:rsid w:val="00883958"/>
    <w:rsid w:val="00890627"/>
    <w:rsid w:val="00896FD3"/>
    <w:rsid w:val="008A325C"/>
    <w:rsid w:val="008B2652"/>
    <w:rsid w:val="008B7176"/>
    <w:rsid w:val="008C7DCA"/>
    <w:rsid w:val="008D26A9"/>
    <w:rsid w:val="008D44FC"/>
    <w:rsid w:val="008D7033"/>
    <w:rsid w:val="008D7C3D"/>
    <w:rsid w:val="008E2771"/>
    <w:rsid w:val="008E3BB8"/>
    <w:rsid w:val="008E4507"/>
    <w:rsid w:val="008E4761"/>
    <w:rsid w:val="008F3996"/>
    <w:rsid w:val="0090045F"/>
    <w:rsid w:val="00901041"/>
    <w:rsid w:val="0090761B"/>
    <w:rsid w:val="00911936"/>
    <w:rsid w:val="00912386"/>
    <w:rsid w:val="00915C8E"/>
    <w:rsid w:val="00943756"/>
    <w:rsid w:val="00947E1B"/>
    <w:rsid w:val="00952B07"/>
    <w:rsid w:val="00961018"/>
    <w:rsid w:val="00970E5D"/>
    <w:rsid w:val="009711CB"/>
    <w:rsid w:val="00973AE4"/>
    <w:rsid w:val="009761C9"/>
    <w:rsid w:val="009810E5"/>
    <w:rsid w:val="0098584B"/>
    <w:rsid w:val="00990F55"/>
    <w:rsid w:val="00991434"/>
    <w:rsid w:val="009920C4"/>
    <w:rsid w:val="009923A1"/>
    <w:rsid w:val="009A3A4E"/>
    <w:rsid w:val="009A3DC0"/>
    <w:rsid w:val="009A617B"/>
    <w:rsid w:val="009A6FB8"/>
    <w:rsid w:val="009A7344"/>
    <w:rsid w:val="009A7AF6"/>
    <w:rsid w:val="009A7AFD"/>
    <w:rsid w:val="009B796A"/>
    <w:rsid w:val="009C12B7"/>
    <w:rsid w:val="009C2D66"/>
    <w:rsid w:val="009C459F"/>
    <w:rsid w:val="009C78D0"/>
    <w:rsid w:val="009D0211"/>
    <w:rsid w:val="009D2AA8"/>
    <w:rsid w:val="009D3FC5"/>
    <w:rsid w:val="009D497D"/>
    <w:rsid w:val="009D72B9"/>
    <w:rsid w:val="009D77E6"/>
    <w:rsid w:val="009E5742"/>
    <w:rsid w:val="009F05CE"/>
    <w:rsid w:val="009F4C01"/>
    <w:rsid w:val="00A05BD4"/>
    <w:rsid w:val="00A10706"/>
    <w:rsid w:val="00A20D94"/>
    <w:rsid w:val="00A21638"/>
    <w:rsid w:val="00A216DF"/>
    <w:rsid w:val="00A31DE5"/>
    <w:rsid w:val="00A322C3"/>
    <w:rsid w:val="00A362B3"/>
    <w:rsid w:val="00A37577"/>
    <w:rsid w:val="00A412C0"/>
    <w:rsid w:val="00A41CD9"/>
    <w:rsid w:val="00A46202"/>
    <w:rsid w:val="00A5154F"/>
    <w:rsid w:val="00A5188E"/>
    <w:rsid w:val="00A52393"/>
    <w:rsid w:val="00A52A6A"/>
    <w:rsid w:val="00A54EB6"/>
    <w:rsid w:val="00A54FCC"/>
    <w:rsid w:val="00A57D03"/>
    <w:rsid w:val="00A604C6"/>
    <w:rsid w:val="00A71A03"/>
    <w:rsid w:val="00A803A9"/>
    <w:rsid w:val="00A84026"/>
    <w:rsid w:val="00A87B5C"/>
    <w:rsid w:val="00A915D1"/>
    <w:rsid w:val="00A9430D"/>
    <w:rsid w:val="00A95722"/>
    <w:rsid w:val="00AA777E"/>
    <w:rsid w:val="00AB0AA4"/>
    <w:rsid w:val="00AB5C53"/>
    <w:rsid w:val="00AC2D0F"/>
    <w:rsid w:val="00AD709C"/>
    <w:rsid w:val="00AE2CE6"/>
    <w:rsid w:val="00AF4CFB"/>
    <w:rsid w:val="00B0057B"/>
    <w:rsid w:val="00B025D6"/>
    <w:rsid w:val="00B12BA4"/>
    <w:rsid w:val="00B12D5F"/>
    <w:rsid w:val="00B14F3D"/>
    <w:rsid w:val="00B1697D"/>
    <w:rsid w:val="00B16CF1"/>
    <w:rsid w:val="00B20FED"/>
    <w:rsid w:val="00B276AC"/>
    <w:rsid w:val="00B3377A"/>
    <w:rsid w:val="00B33874"/>
    <w:rsid w:val="00B40256"/>
    <w:rsid w:val="00B4517A"/>
    <w:rsid w:val="00B56EC1"/>
    <w:rsid w:val="00B610CF"/>
    <w:rsid w:val="00B628D9"/>
    <w:rsid w:val="00B63384"/>
    <w:rsid w:val="00B74424"/>
    <w:rsid w:val="00B75E11"/>
    <w:rsid w:val="00B818BA"/>
    <w:rsid w:val="00B830A9"/>
    <w:rsid w:val="00B83BB3"/>
    <w:rsid w:val="00B91638"/>
    <w:rsid w:val="00B93B8B"/>
    <w:rsid w:val="00B96097"/>
    <w:rsid w:val="00BA0426"/>
    <w:rsid w:val="00BA318E"/>
    <w:rsid w:val="00BB305F"/>
    <w:rsid w:val="00BB30D4"/>
    <w:rsid w:val="00BB5ADC"/>
    <w:rsid w:val="00BC0006"/>
    <w:rsid w:val="00BC2280"/>
    <w:rsid w:val="00BC2354"/>
    <w:rsid w:val="00BC5A9D"/>
    <w:rsid w:val="00BD6CBA"/>
    <w:rsid w:val="00BD757F"/>
    <w:rsid w:val="00BE725C"/>
    <w:rsid w:val="00BE74AF"/>
    <w:rsid w:val="00BF04CC"/>
    <w:rsid w:val="00BF25D2"/>
    <w:rsid w:val="00BF6140"/>
    <w:rsid w:val="00BF7613"/>
    <w:rsid w:val="00C0262E"/>
    <w:rsid w:val="00C05D50"/>
    <w:rsid w:val="00C07A21"/>
    <w:rsid w:val="00C124C5"/>
    <w:rsid w:val="00C1516C"/>
    <w:rsid w:val="00C22341"/>
    <w:rsid w:val="00C22C5F"/>
    <w:rsid w:val="00C23B7A"/>
    <w:rsid w:val="00C267CB"/>
    <w:rsid w:val="00C40DE4"/>
    <w:rsid w:val="00C42CD9"/>
    <w:rsid w:val="00C441BD"/>
    <w:rsid w:val="00C5141F"/>
    <w:rsid w:val="00C54579"/>
    <w:rsid w:val="00C5490C"/>
    <w:rsid w:val="00C55431"/>
    <w:rsid w:val="00C5572D"/>
    <w:rsid w:val="00C62F93"/>
    <w:rsid w:val="00C63425"/>
    <w:rsid w:val="00C63D09"/>
    <w:rsid w:val="00C63FA9"/>
    <w:rsid w:val="00C656B4"/>
    <w:rsid w:val="00C65E10"/>
    <w:rsid w:val="00C6615B"/>
    <w:rsid w:val="00C662CD"/>
    <w:rsid w:val="00C67E3F"/>
    <w:rsid w:val="00C71245"/>
    <w:rsid w:val="00C71BAF"/>
    <w:rsid w:val="00C73643"/>
    <w:rsid w:val="00C76F85"/>
    <w:rsid w:val="00C82999"/>
    <w:rsid w:val="00C85568"/>
    <w:rsid w:val="00C85D91"/>
    <w:rsid w:val="00C877BF"/>
    <w:rsid w:val="00C942DE"/>
    <w:rsid w:val="00CA4D5A"/>
    <w:rsid w:val="00CA58B6"/>
    <w:rsid w:val="00CB10B9"/>
    <w:rsid w:val="00CB1488"/>
    <w:rsid w:val="00CB74A6"/>
    <w:rsid w:val="00CC2EF6"/>
    <w:rsid w:val="00CC33D6"/>
    <w:rsid w:val="00CC4227"/>
    <w:rsid w:val="00CC4C55"/>
    <w:rsid w:val="00CD1237"/>
    <w:rsid w:val="00CD16D6"/>
    <w:rsid w:val="00CE2004"/>
    <w:rsid w:val="00CE293D"/>
    <w:rsid w:val="00CE4398"/>
    <w:rsid w:val="00CF18F4"/>
    <w:rsid w:val="00CF1D44"/>
    <w:rsid w:val="00CF4847"/>
    <w:rsid w:val="00CF4CEF"/>
    <w:rsid w:val="00CF6687"/>
    <w:rsid w:val="00D05509"/>
    <w:rsid w:val="00D06616"/>
    <w:rsid w:val="00D257F8"/>
    <w:rsid w:val="00D32845"/>
    <w:rsid w:val="00D35442"/>
    <w:rsid w:val="00D358D9"/>
    <w:rsid w:val="00D3733D"/>
    <w:rsid w:val="00D37943"/>
    <w:rsid w:val="00D477A9"/>
    <w:rsid w:val="00D5421F"/>
    <w:rsid w:val="00D548A7"/>
    <w:rsid w:val="00D567ED"/>
    <w:rsid w:val="00D57E48"/>
    <w:rsid w:val="00D60F90"/>
    <w:rsid w:val="00D625DE"/>
    <w:rsid w:val="00D651D2"/>
    <w:rsid w:val="00D715E5"/>
    <w:rsid w:val="00D71846"/>
    <w:rsid w:val="00D74614"/>
    <w:rsid w:val="00D74C17"/>
    <w:rsid w:val="00D86406"/>
    <w:rsid w:val="00D914B3"/>
    <w:rsid w:val="00D925BD"/>
    <w:rsid w:val="00D95B40"/>
    <w:rsid w:val="00DA0DD3"/>
    <w:rsid w:val="00DA6548"/>
    <w:rsid w:val="00DB1510"/>
    <w:rsid w:val="00DB77F0"/>
    <w:rsid w:val="00DC0302"/>
    <w:rsid w:val="00DC09AA"/>
    <w:rsid w:val="00DC2E81"/>
    <w:rsid w:val="00DC54E8"/>
    <w:rsid w:val="00DD66CB"/>
    <w:rsid w:val="00DD742D"/>
    <w:rsid w:val="00DE516D"/>
    <w:rsid w:val="00DF5383"/>
    <w:rsid w:val="00E07432"/>
    <w:rsid w:val="00E1095D"/>
    <w:rsid w:val="00E13DD6"/>
    <w:rsid w:val="00E15654"/>
    <w:rsid w:val="00E25D46"/>
    <w:rsid w:val="00E54675"/>
    <w:rsid w:val="00E55AAF"/>
    <w:rsid w:val="00E6094D"/>
    <w:rsid w:val="00E6153F"/>
    <w:rsid w:val="00E62F2E"/>
    <w:rsid w:val="00E72A51"/>
    <w:rsid w:val="00E745AD"/>
    <w:rsid w:val="00E75525"/>
    <w:rsid w:val="00E75EAB"/>
    <w:rsid w:val="00E76268"/>
    <w:rsid w:val="00E8468E"/>
    <w:rsid w:val="00E85530"/>
    <w:rsid w:val="00E91D79"/>
    <w:rsid w:val="00E97E4F"/>
    <w:rsid w:val="00EA260A"/>
    <w:rsid w:val="00EA2C44"/>
    <w:rsid w:val="00EA45E2"/>
    <w:rsid w:val="00EA7743"/>
    <w:rsid w:val="00EB3B36"/>
    <w:rsid w:val="00EC368A"/>
    <w:rsid w:val="00ED29D8"/>
    <w:rsid w:val="00ED4B4E"/>
    <w:rsid w:val="00ED7875"/>
    <w:rsid w:val="00ED78F4"/>
    <w:rsid w:val="00EE6147"/>
    <w:rsid w:val="00EE6696"/>
    <w:rsid w:val="00EF1E7A"/>
    <w:rsid w:val="00EF2003"/>
    <w:rsid w:val="00EF45C5"/>
    <w:rsid w:val="00F0035E"/>
    <w:rsid w:val="00F0101F"/>
    <w:rsid w:val="00F015B0"/>
    <w:rsid w:val="00F02922"/>
    <w:rsid w:val="00F05B45"/>
    <w:rsid w:val="00F06B4C"/>
    <w:rsid w:val="00F11847"/>
    <w:rsid w:val="00F1407C"/>
    <w:rsid w:val="00F14869"/>
    <w:rsid w:val="00F166D1"/>
    <w:rsid w:val="00F22C15"/>
    <w:rsid w:val="00F31015"/>
    <w:rsid w:val="00F31B27"/>
    <w:rsid w:val="00F400A3"/>
    <w:rsid w:val="00F43A5C"/>
    <w:rsid w:val="00F44411"/>
    <w:rsid w:val="00F4632E"/>
    <w:rsid w:val="00F4635F"/>
    <w:rsid w:val="00F4763C"/>
    <w:rsid w:val="00F5691D"/>
    <w:rsid w:val="00F577ED"/>
    <w:rsid w:val="00F61896"/>
    <w:rsid w:val="00F653F0"/>
    <w:rsid w:val="00F65CA5"/>
    <w:rsid w:val="00F748A8"/>
    <w:rsid w:val="00F854A7"/>
    <w:rsid w:val="00F924B5"/>
    <w:rsid w:val="00FA0B1D"/>
    <w:rsid w:val="00FA0C44"/>
    <w:rsid w:val="00FA20DF"/>
    <w:rsid w:val="00FA3DEC"/>
    <w:rsid w:val="00FA3E9A"/>
    <w:rsid w:val="00FB0FC4"/>
    <w:rsid w:val="00FB4544"/>
    <w:rsid w:val="00FB77D7"/>
    <w:rsid w:val="00FC768C"/>
    <w:rsid w:val="00FD7D16"/>
    <w:rsid w:val="00FE1363"/>
    <w:rsid w:val="00FE1581"/>
    <w:rsid w:val="00FF6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18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Normal Table" w:semiHidden="0" w:unhideWhenUsed="0"/>
    <w:lsdException w:name="annotation subject" w:uiPriority="0"/>
    <w:lsdException w:name="Table Web 1"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uiPriority w:val="9"/>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uiPriority w:val="99"/>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basedOn w:val="Normal"/>
    <w:link w:val="FootnoteTextChar"/>
    <w:uiPriority w:val="99"/>
    <w:rsid w:val="002B34A0"/>
    <w:rPr>
      <w:rFonts w:ascii="Times New Roman" w:eastAsiaTheme="minorEastAsia" w:hAnsi="Times New Roman"/>
      <w:sz w:val="20"/>
      <w:szCs w:val="20"/>
      <w:lang w:bidi="en-US"/>
    </w:rPr>
  </w:style>
  <w:style w:type="character" w:customStyle="1" w:styleId="FootnoteTextChar">
    <w:name w:val="Footnote Text Char"/>
    <w:basedOn w:val="DefaultParagraphFont"/>
    <w:link w:val="FootnoteText"/>
    <w:uiPriority w:val="99"/>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semiHidden/>
    <w:rsid w:val="002B34A0"/>
    <w:rPr>
      <w:sz w:val="16"/>
      <w:szCs w:val="16"/>
    </w:rPr>
  </w:style>
  <w:style w:type="paragraph" w:styleId="CommentText">
    <w:name w:val="annotation text"/>
    <w:basedOn w:val="Normal"/>
    <w:link w:val="CommentTextChar"/>
    <w:semiHidden/>
    <w:rsid w:val="002B34A0"/>
    <w:rPr>
      <w:rFonts w:eastAsiaTheme="minorEastAsia"/>
      <w:sz w:val="20"/>
      <w:szCs w:val="20"/>
      <w:lang w:bidi="en-US"/>
    </w:rPr>
  </w:style>
  <w:style w:type="character" w:customStyle="1" w:styleId="CommentTextChar">
    <w:name w:val="Comment Text Char"/>
    <w:basedOn w:val="DefaultParagraphFont"/>
    <w:link w:val="CommentText"/>
    <w:uiPriority w:val="99"/>
    <w:semiHidden/>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0530F2"/>
    <w:pPr>
      <w:spacing w:after="100"/>
    </w:pPr>
  </w:style>
  <w:style w:type="paragraph" w:styleId="TOC2">
    <w:name w:val="toc 2"/>
    <w:basedOn w:val="Normal"/>
    <w:next w:val="Normal"/>
    <w:autoRedefine/>
    <w:uiPriority w:val="39"/>
    <w:unhideWhenUsed/>
    <w:rsid w:val="007B2791"/>
    <w:pPr>
      <w:spacing w:before="120" w:after="120"/>
      <w:ind w:left="245" w:right="360"/>
    </w:pPr>
    <w:rPr>
      <w:rFonts w:ascii="Times New Roman" w:hAnsi="Times New Roman"/>
    </w:rPr>
  </w:style>
  <w:style w:type="paragraph" w:styleId="TOC3">
    <w:name w:val="toc 3"/>
    <w:basedOn w:val="Normal"/>
    <w:next w:val="Normal"/>
    <w:autoRedefine/>
    <w:uiPriority w:val="39"/>
    <w:unhideWhenUsed/>
    <w:rsid w:val="00D651D2"/>
    <w:pPr>
      <w:spacing w:after="100"/>
      <w:ind w:left="480"/>
    </w:pPr>
  </w:style>
  <w:style w:type="paragraph" w:customStyle="1" w:styleId="Level4">
    <w:name w:val="Level 4"/>
    <w:basedOn w:val="Normal"/>
    <w:rsid w:val="002F5F87"/>
    <w:pPr>
      <w:widowControl w:val="0"/>
      <w:numPr>
        <w:ilvl w:val="3"/>
        <w:numId w:val="36"/>
      </w:numPr>
      <w:autoSpaceDE w:val="0"/>
      <w:autoSpaceDN w:val="0"/>
      <w:adjustRightInd w:val="0"/>
      <w:ind w:left="1440"/>
      <w:outlineLvl w:val="3"/>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Normal Table" w:semiHidden="0" w:unhideWhenUsed="0"/>
    <w:lsdException w:name="annotation subject" w:uiPriority="0"/>
    <w:lsdException w:name="Table Web 1"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uiPriority w:val="9"/>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uiPriority w:val="99"/>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basedOn w:val="Normal"/>
    <w:link w:val="FootnoteTextChar"/>
    <w:uiPriority w:val="99"/>
    <w:rsid w:val="002B34A0"/>
    <w:rPr>
      <w:rFonts w:ascii="Times New Roman" w:eastAsiaTheme="minorEastAsia" w:hAnsi="Times New Roman"/>
      <w:sz w:val="20"/>
      <w:szCs w:val="20"/>
      <w:lang w:bidi="en-US"/>
    </w:rPr>
  </w:style>
  <w:style w:type="character" w:customStyle="1" w:styleId="FootnoteTextChar">
    <w:name w:val="Footnote Text Char"/>
    <w:basedOn w:val="DefaultParagraphFont"/>
    <w:link w:val="FootnoteText"/>
    <w:uiPriority w:val="99"/>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semiHidden/>
    <w:rsid w:val="002B34A0"/>
    <w:rPr>
      <w:sz w:val="16"/>
      <w:szCs w:val="16"/>
    </w:rPr>
  </w:style>
  <w:style w:type="paragraph" w:styleId="CommentText">
    <w:name w:val="annotation text"/>
    <w:basedOn w:val="Normal"/>
    <w:link w:val="CommentTextChar"/>
    <w:semiHidden/>
    <w:rsid w:val="002B34A0"/>
    <w:rPr>
      <w:rFonts w:eastAsiaTheme="minorEastAsia"/>
      <w:sz w:val="20"/>
      <w:szCs w:val="20"/>
      <w:lang w:bidi="en-US"/>
    </w:rPr>
  </w:style>
  <w:style w:type="character" w:customStyle="1" w:styleId="CommentTextChar">
    <w:name w:val="Comment Text Char"/>
    <w:basedOn w:val="DefaultParagraphFont"/>
    <w:link w:val="CommentText"/>
    <w:uiPriority w:val="99"/>
    <w:semiHidden/>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0530F2"/>
    <w:pPr>
      <w:spacing w:after="100"/>
    </w:pPr>
  </w:style>
  <w:style w:type="paragraph" w:styleId="TOC2">
    <w:name w:val="toc 2"/>
    <w:basedOn w:val="Normal"/>
    <w:next w:val="Normal"/>
    <w:autoRedefine/>
    <w:uiPriority w:val="39"/>
    <w:unhideWhenUsed/>
    <w:rsid w:val="007B2791"/>
    <w:pPr>
      <w:spacing w:before="120" w:after="120"/>
      <w:ind w:left="245" w:right="360"/>
    </w:pPr>
    <w:rPr>
      <w:rFonts w:ascii="Times New Roman" w:hAnsi="Times New Roman"/>
    </w:rPr>
  </w:style>
  <w:style w:type="paragraph" w:styleId="TOC3">
    <w:name w:val="toc 3"/>
    <w:basedOn w:val="Normal"/>
    <w:next w:val="Normal"/>
    <w:autoRedefine/>
    <w:uiPriority w:val="39"/>
    <w:unhideWhenUsed/>
    <w:rsid w:val="00D651D2"/>
    <w:pPr>
      <w:spacing w:after="100"/>
      <w:ind w:left="480"/>
    </w:pPr>
  </w:style>
  <w:style w:type="paragraph" w:customStyle="1" w:styleId="Level4">
    <w:name w:val="Level 4"/>
    <w:basedOn w:val="Normal"/>
    <w:rsid w:val="002F5F87"/>
    <w:pPr>
      <w:widowControl w:val="0"/>
      <w:numPr>
        <w:ilvl w:val="3"/>
        <w:numId w:val="36"/>
      </w:numPr>
      <w:autoSpaceDE w:val="0"/>
      <w:autoSpaceDN w:val="0"/>
      <w:adjustRightInd w:val="0"/>
      <w:ind w:left="1440"/>
      <w:outlineLvl w:val="3"/>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370">
      <w:bodyDiv w:val="1"/>
      <w:marLeft w:val="0"/>
      <w:marRight w:val="0"/>
      <w:marTop w:val="0"/>
      <w:marBottom w:val="0"/>
      <w:divBdr>
        <w:top w:val="none" w:sz="0" w:space="0" w:color="auto"/>
        <w:left w:val="none" w:sz="0" w:space="0" w:color="auto"/>
        <w:bottom w:val="none" w:sz="0" w:space="0" w:color="auto"/>
        <w:right w:val="none" w:sz="0" w:space="0" w:color="auto"/>
      </w:divBdr>
    </w:div>
    <w:div w:id="7489258">
      <w:bodyDiv w:val="1"/>
      <w:marLeft w:val="0"/>
      <w:marRight w:val="0"/>
      <w:marTop w:val="0"/>
      <w:marBottom w:val="0"/>
      <w:divBdr>
        <w:top w:val="none" w:sz="0" w:space="0" w:color="auto"/>
        <w:left w:val="none" w:sz="0" w:space="0" w:color="auto"/>
        <w:bottom w:val="none" w:sz="0" w:space="0" w:color="auto"/>
        <w:right w:val="none" w:sz="0" w:space="0" w:color="auto"/>
      </w:divBdr>
    </w:div>
    <w:div w:id="8215532">
      <w:bodyDiv w:val="1"/>
      <w:marLeft w:val="0"/>
      <w:marRight w:val="0"/>
      <w:marTop w:val="0"/>
      <w:marBottom w:val="0"/>
      <w:divBdr>
        <w:top w:val="none" w:sz="0" w:space="0" w:color="auto"/>
        <w:left w:val="none" w:sz="0" w:space="0" w:color="auto"/>
        <w:bottom w:val="none" w:sz="0" w:space="0" w:color="auto"/>
        <w:right w:val="none" w:sz="0" w:space="0" w:color="auto"/>
      </w:divBdr>
    </w:div>
    <w:div w:id="12152564">
      <w:bodyDiv w:val="1"/>
      <w:marLeft w:val="0"/>
      <w:marRight w:val="0"/>
      <w:marTop w:val="0"/>
      <w:marBottom w:val="0"/>
      <w:divBdr>
        <w:top w:val="none" w:sz="0" w:space="0" w:color="auto"/>
        <w:left w:val="none" w:sz="0" w:space="0" w:color="auto"/>
        <w:bottom w:val="none" w:sz="0" w:space="0" w:color="auto"/>
        <w:right w:val="none" w:sz="0" w:space="0" w:color="auto"/>
      </w:divBdr>
    </w:div>
    <w:div w:id="13924573">
      <w:bodyDiv w:val="1"/>
      <w:marLeft w:val="0"/>
      <w:marRight w:val="0"/>
      <w:marTop w:val="0"/>
      <w:marBottom w:val="0"/>
      <w:divBdr>
        <w:top w:val="none" w:sz="0" w:space="0" w:color="auto"/>
        <w:left w:val="none" w:sz="0" w:space="0" w:color="auto"/>
        <w:bottom w:val="none" w:sz="0" w:space="0" w:color="auto"/>
        <w:right w:val="none" w:sz="0" w:space="0" w:color="auto"/>
      </w:divBdr>
    </w:div>
    <w:div w:id="15230460">
      <w:bodyDiv w:val="1"/>
      <w:marLeft w:val="0"/>
      <w:marRight w:val="0"/>
      <w:marTop w:val="0"/>
      <w:marBottom w:val="0"/>
      <w:divBdr>
        <w:top w:val="none" w:sz="0" w:space="0" w:color="auto"/>
        <w:left w:val="none" w:sz="0" w:space="0" w:color="auto"/>
        <w:bottom w:val="none" w:sz="0" w:space="0" w:color="auto"/>
        <w:right w:val="none" w:sz="0" w:space="0" w:color="auto"/>
      </w:divBdr>
    </w:div>
    <w:div w:id="35786703">
      <w:bodyDiv w:val="1"/>
      <w:marLeft w:val="0"/>
      <w:marRight w:val="0"/>
      <w:marTop w:val="0"/>
      <w:marBottom w:val="0"/>
      <w:divBdr>
        <w:top w:val="none" w:sz="0" w:space="0" w:color="auto"/>
        <w:left w:val="none" w:sz="0" w:space="0" w:color="auto"/>
        <w:bottom w:val="none" w:sz="0" w:space="0" w:color="auto"/>
        <w:right w:val="none" w:sz="0" w:space="0" w:color="auto"/>
      </w:divBdr>
    </w:div>
    <w:div w:id="37709256">
      <w:bodyDiv w:val="1"/>
      <w:marLeft w:val="0"/>
      <w:marRight w:val="0"/>
      <w:marTop w:val="0"/>
      <w:marBottom w:val="0"/>
      <w:divBdr>
        <w:top w:val="none" w:sz="0" w:space="0" w:color="auto"/>
        <w:left w:val="none" w:sz="0" w:space="0" w:color="auto"/>
        <w:bottom w:val="none" w:sz="0" w:space="0" w:color="auto"/>
        <w:right w:val="none" w:sz="0" w:space="0" w:color="auto"/>
      </w:divBdr>
    </w:div>
    <w:div w:id="47270075">
      <w:bodyDiv w:val="1"/>
      <w:marLeft w:val="0"/>
      <w:marRight w:val="0"/>
      <w:marTop w:val="0"/>
      <w:marBottom w:val="0"/>
      <w:divBdr>
        <w:top w:val="none" w:sz="0" w:space="0" w:color="auto"/>
        <w:left w:val="none" w:sz="0" w:space="0" w:color="auto"/>
        <w:bottom w:val="none" w:sz="0" w:space="0" w:color="auto"/>
        <w:right w:val="none" w:sz="0" w:space="0" w:color="auto"/>
      </w:divBdr>
    </w:div>
    <w:div w:id="58132761">
      <w:bodyDiv w:val="1"/>
      <w:marLeft w:val="0"/>
      <w:marRight w:val="0"/>
      <w:marTop w:val="0"/>
      <w:marBottom w:val="0"/>
      <w:divBdr>
        <w:top w:val="none" w:sz="0" w:space="0" w:color="auto"/>
        <w:left w:val="none" w:sz="0" w:space="0" w:color="auto"/>
        <w:bottom w:val="none" w:sz="0" w:space="0" w:color="auto"/>
        <w:right w:val="none" w:sz="0" w:space="0" w:color="auto"/>
      </w:divBdr>
    </w:div>
    <w:div w:id="59257742">
      <w:bodyDiv w:val="1"/>
      <w:marLeft w:val="0"/>
      <w:marRight w:val="0"/>
      <w:marTop w:val="0"/>
      <w:marBottom w:val="0"/>
      <w:divBdr>
        <w:top w:val="none" w:sz="0" w:space="0" w:color="auto"/>
        <w:left w:val="none" w:sz="0" w:space="0" w:color="auto"/>
        <w:bottom w:val="none" w:sz="0" w:space="0" w:color="auto"/>
        <w:right w:val="none" w:sz="0" w:space="0" w:color="auto"/>
      </w:divBdr>
    </w:div>
    <w:div w:id="62725020">
      <w:bodyDiv w:val="1"/>
      <w:marLeft w:val="0"/>
      <w:marRight w:val="0"/>
      <w:marTop w:val="0"/>
      <w:marBottom w:val="0"/>
      <w:divBdr>
        <w:top w:val="none" w:sz="0" w:space="0" w:color="auto"/>
        <w:left w:val="none" w:sz="0" w:space="0" w:color="auto"/>
        <w:bottom w:val="none" w:sz="0" w:space="0" w:color="auto"/>
        <w:right w:val="none" w:sz="0" w:space="0" w:color="auto"/>
      </w:divBdr>
    </w:div>
    <w:div w:id="63995155">
      <w:bodyDiv w:val="1"/>
      <w:marLeft w:val="0"/>
      <w:marRight w:val="0"/>
      <w:marTop w:val="0"/>
      <w:marBottom w:val="0"/>
      <w:divBdr>
        <w:top w:val="none" w:sz="0" w:space="0" w:color="auto"/>
        <w:left w:val="none" w:sz="0" w:space="0" w:color="auto"/>
        <w:bottom w:val="none" w:sz="0" w:space="0" w:color="auto"/>
        <w:right w:val="none" w:sz="0" w:space="0" w:color="auto"/>
      </w:divBdr>
    </w:div>
    <w:div w:id="70858732">
      <w:bodyDiv w:val="1"/>
      <w:marLeft w:val="0"/>
      <w:marRight w:val="0"/>
      <w:marTop w:val="0"/>
      <w:marBottom w:val="0"/>
      <w:divBdr>
        <w:top w:val="none" w:sz="0" w:space="0" w:color="auto"/>
        <w:left w:val="none" w:sz="0" w:space="0" w:color="auto"/>
        <w:bottom w:val="none" w:sz="0" w:space="0" w:color="auto"/>
        <w:right w:val="none" w:sz="0" w:space="0" w:color="auto"/>
      </w:divBdr>
    </w:div>
    <w:div w:id="74520050">
      <w:bodyDiv w:val="1"/>
      <w:marLeft w:val="0"/>
      <w:marRight w:val="0"/>
      <w:marTop w:val="0"/>
      <w:marBottom w:val="0"/>
      <w:divBdr>
        <w:top w:val="none" w:sz="0" w:space="0" w:color="auto"/>
        <w:left w:val="none" w:sz="0" w:space="0" w:color="auto"/>
        <w:bottom w:val="none" w:sz="0" w:space="0" w:color="auto"/>
        <w:right w:val="none" w:sz="0" w:space="0" w:color="auto"/>
      </w:divBdr>
    </w:div>
    <w:div w:id="75442058">
      <w:bodyDiv w:val="1"/>
      <w:marLeft w:val="0"/>
      <w:marRight w:val="0"/>
      <w:marTop w:val="0"/>
      <w:marBottom w:val="0"/>
      <w:divBdr>
        <w:top w:val="none" w:sz="0" w:space="0" w:color="auto"/>
        <w:left w:val="none" w:sz="0" w:space="0" w:color="auto"/>
        <w:bottom w:val="none" w:sz="0" w:space="0" w:color="auto"/>
        <w:right w:val="none" w:sz="0" w:space="0" w:color="auto"/>
      </w:divBdr>
    </w:div>
    <w:div w:id="76633694">
      <w:bodyDiv w:val="1"/>
      <w:marLeft w:val="0"/>
      <w:marRight w:val="0"/>
      <w:marTop w:val="0"/>
      <w:marBottom w:val="0"/>
      <w:divBdr>
        <w:top w:val="none" w:sz="0" w:space="0" w:color="auto"/>
        <w:left w:val="none" w:sz="0" w:space="0" w:color="auto"/>
        <w:bottom w:val="none" w:sz="0" w:space="0" w:color="auto"/>
        <w:right w:val="none" w:sz="0" w:space="0" w:color="auto"/>
      </w:divBdr>
    </w:div>
    <w:div w:id="79375474">
      <w:bodyDiv w:val="1"/>
      <w:marLeft w:val="0"/>
      <w:marRight w:val="0"/>
      <w:marTop w:val="0"/>
      <w:marBottom w:val="0"/>
      <w:divBdr>
        <w:top w:val="none" w:sz="0" w:space="0" w:color="auto"/>
        <w:left w:val="none" w:sz="0" w:space="0" w:color="auto"/>
        <w:bottom w:val="none" w:sz="0" w:space="0" w:color="auto"/>
        <w:right w:val="none" w:sz="0" w:space="0" w:color="auto"/>
      </w:divBdr>
    </w:div>
    <w:div w:id="87624506">
      <w:bodyDiv w:val="1"/>
      <w:marLeft w:val="0"/>
      <w:marRight w:val="0"/>
      <w:marTop w:val="0"/>
      <w:marBottom w:val="0"/>
      <w:divBdr>
        <w:top w:val="none" w:sz="0" w:space="0" w:color="auto"/>
        <w:left w:val="none" w:sz="0" w:space="0" w:color="auto"/>
        <w:bottom w:val="none" w:sz="0" w:space="0" w:color="auto"/>
        <w:right w:val="none" w:sz="0" w:space="0" w:color="auto"/>
      </w:divBdr>
    </w:div>
    <w:div w:id="88744374">
      <w:bodyDiv w:val="1"/>
      <w:marLeft w:val="0"/>
      <w:marRight w:val="0"/>
      <w:marTop w:val="0"/>
      <w:marBottom w:val="0"/>
      <w:divBdr>
        <w:top w:val="none" w:sz="0" w:space="0" w:color="auto"/>
        <w:left w:val="none" w:sz="0" w:space="0" w:color="auto"/>
        <w:bottom w:val="none" w:sz="0" w:space="0" w:color="auto"/>
        <w:right w:val="none" w:sz="0" w:space="0" w:color="auto"/>
      </w:divBdr>
    </w:div>
    <w:div w:id="89283241">
      <w:bodyDiv w:val="1"/>
      <w:marLeft w:val="0"/>
      <w:marRight w:val="0"/>
      <w:marTop w:val="0"/>
      <w:marBottom w:val="0"/>
      <w:divBdr>
        <w:top w:val="none" w:sz="0" w:space="0" w:color="auto"/>
        <w:left w:val="none" w:sz="0" w:space="0" w:color="auto"/>
        <w:bottom w:val="none" w:sz="0" w:space="0" w:color="auto"/>
        <w:right w:val="none" w:sz="0" w:space="0" w:color="auto"/>
      </w:divBdr>
    </w:div>
    <w:div w:id="90708409">
      <w:bodyDiv w:val="1"/>
      <w:marLeft w:val="0"/>
      <w:marRight w:val="0"/>
      <w:marTop w:val="0"/>
      <w:marBottom w:val="0"/>
      <w:divBdr>
        <w:top w:val="none" w:sz="0" w:space="0" w:color="auto"/>
        <w:left w:val="none" w:sz="0" w:space="0" w:color="auto"/>
        <w:bottom w:val="none" w:sz="0" w:space="0" w:color="auto"/>
        <w:right w:val="none" w:sz="0" w:space="0" w:color="auto"/>
      </w:divBdr>
    </w:div>
    <w:div w:id="91709318">
      <w:bodyDiv w:val="1"/>
      <w:marLeft w:val="0"/>
      <w:marRight w:val="0"/>
      <w:marTop w:val="0"/>
      <w:marBottom w:val="0"/>
      <w:divBdr>
        <w:top w:val="none" w:sz="0" w:space="0" w:color="auto"/>
        <w:left w:val="none" w:sz="0" w:space="0" w:color="auto"/>
        <w:bottom w:val="none" w:sz="0" w:space="0" w:color="auto"/>
        <w:right w:val="none" w:sz="0" w:space="0" w:color="auto"/>
      </w:divBdr>
    </w:div>
    <w:div w:id="96295039">
      <w:bodyDiv w:val="1"/>
      <w:marLeft w:val="0"/>
      <w:marRight w:val="0"/>
      <w:marTop w:val="0"/>
      <w:marBottom w:val="0"/>
      <w:divBdr>
        <w:top w:val="none" w:sz="0" w:space="0" w:color="auto"/>
        <w:left w:val="none" w:sz="0" w:space="0" w:color="auto"/>
        <w:bottom w:val="none" w:sz="0" w:space="0" w:color="auto"/>
        <w:right w:val="none" w:sz="0" w:space="0" w:color="auto"/>
      </w:divBdr>
    </w:div>
    <w:div w:id="102580460">
      <w:bodyDiv w:val="1"/>
      <w:marLeft w:val="0"/>
      <w:marRight w:val="0"/>
      <w:marTop w:val="0"/>
      <w:marBottom w:val="0"/>
      <w:divBdr>
        <w:top w:val="none" w:sz="0" w:space="0" w:color="auto"/>
        <w:left w:val="none" w:sz="0" w:space="0" w:color="auto"/>
        <w:bottom w:val="none" w:sz="0" w:space="0" w:color="auto"/>
        <w:right w:val="none" w:sz="0" w:space="0" w:color="auto"/>
      </w:divBdr>
    </w:div>
    <w:div w:id="114913746">
      <w:bodyDiv w:val="1"/>
      <w:marLeft w:val="0"/>
      <w:marRight w:val="0"/>
      <w:marTop w:val="0"/>
      <w:marBottom w:val="0"/>
      <w:divBdr>
        <w:top w:val="none" w:sz="0" w:space="0" w:color="auto"/>
        <w:left w:val="none" w:sz="0" w:space="0" w:color="auto"/>
        <w:bottom w:val="none" w:sz="0" w:space="0" w:color="auto"/>
        <w:right w:val="none" w:sz="0" w:space="0" w:color="auto"/>
      </w:divBdr>
    </w:div>
    <w:div w:id="121652788">
      <w:bodyDiv w:val="1"/>
      <w:marLeft w:val="0"/>
      <w:marRight w:val="0"/>
      <w:marTop w:val="0"/>
      <w:marBottom w:val="0"/>
      <w:divBdr>
        <w:top w:val="none" w:sz="0" w:space="0" w:color="auto"/>
        <w:left w:val="none" w:sz="0" w:space="0" w:color="auto"/>
        <w:bottom w:val="none" w:sz="0" w:space="0" w:color="auto"/>
        <w:right w:val="none" w:sz="0" w:space="0" w:color="auto"/>
      </w:divBdr>
    </w:div>
    <w:div w:id="130055284">
      <w:bodyDiv w:val="1"/>
      <w:marLeft w:val="0"/>
      <w:marRight w:val="0"/>
      <w:marTop w:val="0"/>
      <w:marBottom w:val="0"/>
      <w:divBdr>
        <w:top w:val="none" w:sz="0" w:space="0" w:color="auto"/>
        <w:left w:val="none" w:sz="0" w:space="0" w:color="auto"/>
        <w:bottom w:val="none" w:sz="0" w:space="0" w:color="auto"/>
        <w:right w:val="none" w:sz="0" w:space="0" w:color="auto"/>
      </w:divBdr>
    </w:div>
    <w:div w:id="131947717">
      <w:bodyDiv w:val="1"/>
      <w:marLeft w:val="0"/>
      <w:marRight w:val="0"/>
      <w:marTop w:val="0"/>
      <w:marBottom w:val="0"/>
      <w:divBdr>
        <w:top w:val="none" w:sz="0" w:space="0" w:color="auto"/>
        <w:left w:val="none" w:sz="0" w:space="0" w:color="auto"/>
        <w:bottom w:val="none" w:sz="0" w:space="0" w:color="auto"/>
        <w:right w:val="none" w:sz="0" w:space="0" w:color="auto"/>
      </w:divBdr>
    </w:div>
    <w:div w:id="138812657">
      <w:bodyDiv w:val="1"/>
      <w:marLeft w:val="0"/>
      <w:marRight w:val="0"/>
      <w:marTop w:val="0"/>
      <w:marBottom w:val="0"/>
      <w:divBdr>
        <w:top w:val="none" w:sz="0" w:space="0" w:color="auto"/>
        <w:left w:val="none" w:sz="0" w:space="0" w:color="auto"/>
        <w:bottom w:val="none" w:sz="0" w:space="0" w:color="auto"/>
        <w:right w:val="none" w:sz="0" w:space="0" w:color="auto"/>
      </w:divBdr>
    </w:div>
    <w:div w:id="160588490">
      <w:bodyDiv w:val="1"/>
      <w:marLeft w:val="0"/>
      <w:marRight w:val="0"/>
      <w:marTop w:val="0"/>
      <w:marBottom w:val="0"/>
      <w:divBdr>
        <w:top w:val="none" w:sz="0" w:space="0" w:color="auto"/>
        <w:left w:val="none" w:sz="0" w:space="0" w:color="auto"/>
        <w:bottom w:val="none" w:sz="0" w:space="0" w:color="auto"/>
        <w:right w:val="none" w:sz="0" w:space="0" w:color="auto"/>
      </w:divBdr>
    </w:div>
    <w:div w:id="161749320">
      <w:bodyDiv w:val="1"/>
      <w:marLeft w:val="0"/>
      <w:marRight w:val="0"/>
      <w:marTop w:val="0"/>
      <w:marBottom w:val="0"/>
      <w:divBdr>
        <w:top w:val="none" w:sz="0" w:space="0" w:color="auto"/>
        <w:left w:val="none" w:sz="0" w:space="0" w:color="auto"/>
        <w:bottom w:val="none" w:sz="0" w:space="0" w:color="auto"/>
        <w:right w:val="none" w:sz="0" w:space="0" w:color="auto"/>
      </w:divBdr>
    </w:div>
    <w:div w:id="163128095">
      <w:bodyDiv w:val="1"/>
      <w:marLeft w:val="0"/>
      <w:marRight w:val="0"/>
      <w:marTop w:val="0"/>
      <w:marBottom w:val="0"/>
      <w:divBdr>
        <w:top w:val="none" w:sz="0" w:space="0" w:color="auto"/>
        <w:left w:val="none" w:sz="0" w:space="0" w:color="auto"/>
        <w:bottom w:val="none" w:sz="0" w:space="0" w:color="auto"/>
        <w:right w:val="none" w:sz="0" w:space="0" w:color="auto"/>
      </w:divBdr>
    </w:div>
    <w:div w:id="166138156">
      <w:bodyDiv w:val="1"/>
      <w:marLeft w:val="0"/>
      <w:marRight w:val="0"/>
      <w:marTop w:val="0"/>
      <w:marBottom w:val="0"/>
      <w:divBdr>
        <w:top w:val="none" w:sz="0" w:space="0" w:color="auto"/>
        <w:left w:val="none" w:sz="0" w:space="0" w:color="auto"/>
        <w:bottom w:val="none" w:sz="0" w:space="0" w:color="auto"/>
        <w:right w:val="none" w:sz="0" w:space="0" w:color="auto"/>
      </w:divBdr>
    </w:div>
    <w:div w:id="178468141">
      <w:bodyDiv w:val="1"/>
      <w:marLeft w:val="0"/>
      <w:marRight w:val="0"/>
      <w:marTop w:val="0"/>
      <w:marBottom w:val="0"/>
      <w:divBdr>
        <w:top w:val="none" w:sz="0" w:space="0" w:color="auto"/>
        <w:left w:val="none" w:sz="0" w:space="0" w:color="auto"/>
        <w:bottom w:val="none" w:sz="0" w:space="0" w:color="auto"/>
        <w:right w:val="none" w:sz="0" w:space="0" w:color="auto"/>
      </w:divBdr>
    </w:div>
    <w:div w:id="178542120">
      <w:bodyDiv w:val="1"/>
      <w:marLeft w:val="0"/>
      <w:marRight w:val="0"/>
      <w:marTop w:val="0"/>
      <w:marBottom w:val="0"/>
      <w:divBdr>
        <w:top w:val="none" w:sz="0" w:space="0" w:color="auto"/>
        <w:left w:val="none" w:sz="0" w:space="0" w:color="auto"/>
        <w:bottom w:val="none" w:sz="0" w:space="0" w:color="auto"/>
        <w:right w:val="none" w:sz="0" w:space="0" w:color="auto"/>
      </w:divBdr>
    </w:div>
    <w:div w:id="184056109">
      <w:bodyDiv w:val="1"/>
      <w:marLeft w:val="0"/>
      <w:marRight w:val="0"/>
      <w:marTop w:val="0"/>
      <w:marBottom w:val="0"/>
      <w:divBdr>
        <w:top w:val="none" w:sz="0" w:space="0" w:color="auto"/>
        <w:left w:val="none" w:sz="0" w:space="0" w:color="auto"/>
        <w:bottom w:val="none" w:sz="0" w:space="0" w:color="auto"/>
        <w:right w:val="none" w:sz="0" w:space="0" w:color="auto"/>
      </w:divBdr>
    </w:div>
    <w:div w:id="184096544">
      <w:bodyDiv w:val="1"/>
      <w:marLeft w:val="0"/>
      <w:marRight w:val="0"/>
      <w:marTop w:val="0"/>
      <w:marBottom w:val="0"/>
      <w:divBdr>
        <w:top w:val="none" w:sz="0" w:space="0" w:color="auto"/>
        <w:left w:val="none" w:sz="0" w:space="0" w:color="auto"/>
        <w:bottom w:val="none" w:sz="0" w:space="0" w:color="auto"/>
        <w:right w:val="none" w:sz="0" w:space="0" w:color="auto"/>
      </w:divBdr>
    </w:div>
    <w:div w:id="189803699">
      <w:bodyDiv w:val="1"/>
      <w:marLeft w:val="0"/>
      <w:marRight w:val="0"/>
      <w:marTop w:val="0"/>
      <w:marBottom w:val="0"/>
      <w:divBdr>
        <w:top w:val="none" w:sz="0" w:space="0" w:color="auto"/>
        <w:left w:val="none" w:sz="0" w:space="0" w:color="auto"/>
        <w:bottom w:val="none" w:sz="0" w:space="0" w:color="auto"/>
        <w:right w:val="none" w:sz="0" w:space="0" w:color="auto"/>
      </w:divBdr>
    </w:div>
    <w:div w:id="198201241">
      <w:bodyDiv w:val="1"/>
      <w:marLeft w:val="0"/>
      <w:marRight w:val="0"/>
      <w:marTop w:val="0"/>
      <w:marBottom w:val="0"/>
      <w:divBdr>
        <w:top w:val="none" w:sz="0" w:space="0" w:color="auto"/>
        <w:left w:val="none" w:sz="0" w:space="0" w:color="auto"/>
        <w:bottom w:val="none" w:sz="0" w:space="0" w:color="auto"/>
        <w:right w:val="none" w:sz="0" w:space="0" w:color="auto"/>
      </w:divBdr>
    </w:div>
    <w:div w:id="204871991">
      <w:bodyDiv w:val="1"/>
      <w:marLeft w:val="0"/>
      <w:marRight w:val="0"/>
      <w:marTop w:val="0"/>
      <w:marBottom w:val="0"/>
      <w:divBdr>
        <w:top w:val="none" w:sz="0" w:space="0" w:color="auto"/>
        <w:left w:val="none" w:sz="0" w:space="0" w:color="auto"/>
        <w:bottom w:val="none" w:sz="0" w:space="0" w:color="auto"/>
        <w:right w:val="none" w:sz="0" w:space="0" w:color="auto"/>
      </w:divBdr>
    </w:div>
    <w:div w:id="212205817">
      <w:bodyDiv w:val="1"/>
      <w:marLeft w:val="0"/>
      <w:marRight w:val="0"/>
      <w:marTop w:val="0"/>
      <w:marBottom w:val="0"/>
      <w:divBdr>
        <w:top w:val="none" w:sz="0" w:space="0" w:color="auto"/>
        <w:left w:val="none" w:sz="0" w:space="0" w:color="auto"/>
        <w:bottom w:val="none" w:sz="0" w:space="0" w:color="auto"/>
        <w:right w:val="none" w:sz="0" w:space="0" w:color="auto"/>
      </w:divBdr>
    </w:div>
    <w:div w:id="212542157">
      <w:bodyDiv w:val="1"/>
      <w:marLeft w:val="0"/>
      <w:marRight w:val="0"/>
      <w:marTop w:val="0"/>
      <w:marBottom w:val="0"/>
      <w:divBdr>
        <w:top w:val="none" w:sz="0" w:space="0" w:color="auto"/>
        <w:left w:val="none" w:sz="0" w:space="0" w:color="auto"/>
        <w:bottom w:val="none" w:sz="0" w:space="0" w:color="auto"/>
        <w:right w:val="none" w:sz="0" w:space="0" w:color="auto"/>
      </w:divBdr>
    </w:div>
    <w:div w:id="218712783">
      <w:bodyDiv w:val="1"/>
      <w:marLeft w:val="0"/>
      <w:marRight w:val="0"/>
      <w:marTop w:val="0"/>
      <w:marBottom w:val="0"/>
      <w:divBdr>
        <w:top w:val="none" w:sz="0" w:space="0" w:color="auto"/>
        <w:left w:val="none" w:sz="0" w:space="0" w:color="auto"/>
        <w:bottom w:val="none" w:sz="0" w:space="0" w:color="auto"/>
        <w:right w:val="none" w:sz="0" w:space="0" w:color="auto"/>
      </w:divBdr>
    </w:div>
    <w:div w:id="228225072">
      <w:bodyDiv w:val="1"/>
      <w:marLeft w:val="0"/>
      <w:marRight w:val="0"/>
      <w:marTop w:val="0"/>
      <w:marBottom w:val="0"/>
      <w:divBdr>
        <w:top w:val="none" w:sz="0" w:space="0" w:color="auto"/>
        <w:left w:val="none" w:sz="0" w:space="0" w:color="auto"/>
        <w:bottom w:val="none" w:sz="0" w:space="0" w:color="auto"/>
        <w:right w:val="none" w:sz="0" w:space="0" w:color="auto"/>
      </w:divBdr>
    </w:div>
    <w:div w:id="233122880">
      <w:bodyDiv w:val="1"/>
      <w:marLeft w:val="0"/>
      <w:marRight w:val="0"/>
      <w:marTop w:val="0"/>
      <w:marBottom w:val="0"/>
      <w:divBdr>
        <w:top w:val="none" w:sz="0" w:space="0" w:color="auto"/>
        <w:left w:val="none" w:sz="0" w:space="0" w:color="auto"/>
        <w:bottom w:val="none" w:sz="0" w:space="0" w:color="auto"/>
        <w:right w:val="none" w:sz="0" w:space="0" w:color="auto"/>
      </w:divBdr>
    </w:div>
    <w:div w:id="234895294">
      <w:bodyDiv w:val="1"/>
      <w:marLeft w:val="0"/>
      <w:marRight w:val="0"/>
      <w:marTop w:val="0"/>
      <w:marBottom w:val="0"/>
      <w:divBdr>
        <w:top w:val="none" w:sz="0" w:space="0" w:color="auto"/>
        <w:left w:val="none" w:sz="0" w:space="0" w:color="auto"/>
        <w:bottom w:val="none" w:sz="0" w:space="0" w:color="auto"/>
        <w:right w:val="none" w:sz="0" w:space="0" w:color="auto"/>
      </w:divBdr>
    </w:div>
    <w:div w:id="235628183">
      <w:bodyDiv w:val="1"/>
      <w:marLeft w:val="0"/>
      <w:marRight w:val="0"/>
      <w:marTop w:val="0"/>
      <w:marBottom w:val="0"/>
      <w:divBdr>
        <w:top w:val="none" w:sz="0" w:space="0" w:color="auto"/>
        <w:left w:val="none" w:sz="0" w:space="0" w:color="auto"/>
        <w:bottom w:val="none" w:sz="0" w:space="0" w:color="auto"/>
        <w:right w:val="none" w:sz="0" w:space="0" w:color="auto"/>
      </w:divBdr>
    </w:div>
    <w:div w:id="260726194">
      <w:bodyDiv w:val="1"/>
      <w:marLeft w:val="0"/>
      <w:marRight w:val="0"/>
      <w:marTop w:val="0"/>
      <w:marBottom w:val="0"/>
      <w:divBdr>
        <w:top w:val="none" w:sz="0" w:space="0" w:color="auto"/>
        <w:left w:val="none" w:sz="0" w:space="0" w:color="auto"/>
        <w:bottom w:val="none" w:sz="0" w:space="0" w:color="auto"/>
        <w:right w:val="none" w:sz="0" w:space="0" w:color="auto"/>
      </w:divBdr>
    </w:div>
    <w:div w:id="268053008">
      <w:bodyDiv w:val="1"/>
      <w:marLeft w:val="0"/>
      <w:marRight w:val="0"/>
      <w:marTop w:val="0"/>
      <w:marBottom w:val="0"/>
      <w:divBdr>
        <w:top w:val="none" w:sz="0" w:space="0" w:color="auto"/>
        <w:left w:val="none" w:sz="0" w:space="0" w:color="auto"/>
        <w:bottom w:val="none" w:sz="0" w:space="0" w:color="auto"/>
        <w:right w:val="none" w:sz="0" w:space="0" w:color="auto"/>
      </w:divBdr>
    </w:div>
    <w:div w:id="281111641">
      <w:bodyDiv w:val="1"/>
      <w:marLeft w:val="0"/>
      <w:marRight w:val="0"/>
      <w:marTop w:val="0"/>
      <w:marBottom w:val="0"/>
      <w:divBdr>
        <w:top w:val="none" w:sz="0" w:space="0" w:color="auto"/>
        <w:left w:val="none" w:sz="0" w:space="0" w:color="auto"/>
        <w:bottom w:val="none" w:sz="0" w:space="0" w:color="auto"/>
        <w:right w:val="none" w:sz="0" w:space="0" w:color="auto"/>
      </w:divBdr>
    </w:div>
    <w:div w:id="281229557">
      <w:bodyDiv w:val="1"/>
      <w:marLeft w:val="0"/>
      <w:marRight w:val="0"/>
      <w:marTop w:val="0"/>
      <w:marBottom w:val="0"/>
      <w:divBdr>
        <w:top w:val="none" w:sz="0" w:space="0" w:color="auto"/>
        <w:left w:val="none" w:sz="0" w:space="0" w:color="auto"/>
        <w:bottom w:val="none" w:sz="0" w:space="0" w:color="auto"/>
        <w:right w:val="none" w:sz="0" w:space="0" w:color="auto"/>
      </w:divBdr>
    </w:div>
    <w:div w:id="282929559">
      <w:bodyDiv w:val="1"/>
      <w:marLeft w:val="0"/>
      <w:marRight w:val="0"/>
      <w:marTop w:val="0"/>
      <w:marBottom w:val="0"/>
      <w:divBdr>
        <w:top w:val="none" w:sz="0" w:space="0" w:color="auto"/>
        <w:left w:val="none" w:sz="0" w:space="0" w:color="auto"/>
        <w:bottom w:val="none" w:sz="0" w:space="0" w:color="auto"/>
        <w:right w:val="none" w:sz="0" w:space="0" w:color="auto"/>
      </w:divBdr>
    </w:div>
    <w:div w:id="288168242">
      <w:bodyDiv w:val="1"/>
      <w:marLeft w:val="0"/>
      <w:marRight w:val="0"/>
      <w:marTop w:val="0"/>
      <w:marBottom w:val="0"/>
      <w:divBdr>
        <w:top w:val="none" w:sz="0" w:space="0" w:color="auto"/>
        <w:left w:val="none" w:sz="0" w:space="0" w:color="auto"/>
        <w:bottom w:val="none" w:sz="0" w:space="0" w:color="auto"/>
        <w:right w:val="none" w:sz="0" w:space="0" w:color="auto"/>
      </w:divBdr>
    </w:div>
    <w:div w:id="288391125">
      <w:bodyDiv w:val="1"/>
      <w:marLeft w:val="0"/>
      <w:marRight w:val="0"/>
      <w:marTop w:val="0"/>
      <w:marBottom w:val="0"/>
      <w:divBdr>
        <w:top w:val="none" w:sz="0" w:space="0" w:color="auto"/>
        <w:left w:val="none" w:sz="0" w:space="0" w:color="auto"/>
        <w:bottom w:val="none" w:sz="0" w:space="0" w:color="auto"/>
        <w:right w:val="none" w:sz="0" w:space="0" w:color="auto"/>
      </w:divBdr>
    </w:div>
    <w:div w:id="291332231">
      <w:bodyDiv w:val="1"/>
      <w:marLeft w:val="0"/>
      <w:marRight w:val="0"/>
      <w:marTop w:val="0"/>
      <w:marBottom w:val="0"/>
      <w:divBdr>
        <w:top w:val="none" w:sz="0" w:space="0" w:color="auto"/>
        <w:left w:val="none" w:sz="0" w:space="0" w:color="auto"/>
        <w:bottom w:val="none" w:sz="0" w:space="0" w:color="auto"/>
        <w:right w:val="none" w:sz="0" w:space="0" w:color="auto"/>
      </w:divBdr>
    </w:div>
    <w:div w:id="314992034">
      <w:bodyDiv w:val="1"/>
      <w:marLeft w:val="0"/>
      <w:marRight w:val="0"/>
      <w:marTop w:val="0"/>
      <w:marBottom w:val="0"/>
      <w:divBdr>
        <w:top w:val="none" w:sz="0" w:space="0" w:color="auto"/>
        <w:left w:val="none" w:sz="0" w:space="0" w:color="auto"/>
        <w:bottom w:val="none" w:sz="0" w:space="0" w:color="auto"/>
        <w:right w:val="none" w:sz="0" w:space="0" w:color="auto"/>
      </w:divBdr>
    </w:div>
    <w:div w:id="315766139">
      <w:bodyDiv w:val="1"/>
      <w:marLeft w:val="0"/>
      <w:marRight w:val="0"/>
      <w:marTop w:val="0"/>
      <w:marBottom w:val="0"/>
      <w:divBdr>
        <w:top w:val="none" w:sz="0" w:space="0" w:color="auto"/>
        <w:left w:val="none" w:sz="0" w:space="0" w:color="auto"/>
        <w:bottom w:val="none" w:sz="0" w:space="0" w:color="auto"/>
        <w:right w:val="none" w:sz="0" w:space="0" w:color="auto"/>
      </w:divBdr>
    </w:div>
    <w:div w:id="323048761">
      <w:bodyDiv w:val="1"/>
      <w:marLeft w:val="0"/>
      <w:marRight w:val="0"/>
      <w:marTop w:val="0"/>
      <w:marBottom w:val="0"/>
      <w:divBdr>
        <w:top w:val="none" w:sz="0" w:space="0" w:color="auto"/>
        <w:left w:val="none" w:sz="0" w:space="0" w:color="auto"/>
        <w:bottom w:val="none" w:sz="0" w:space="0" w:color="auto"/>
        <w:right w:val="none" w:sz="0" w:space="0" w:color="auto"/>
      </w:divBdr>
    </w:div>
    <w:div w:id="330257651">
      <w:bodyDiv w:val="1"/>
      <w:marLeft w:val="0"/>
      <w:marRight w:val="0"/>
      <w:marTop w:val="0"/>
      <w:marBottom w:val="0"/>
      <w:divBdr>
        <w:top w:val="none" w:sz="0" w:space="0" w:color="auto"/>
        <w:left w:val="none" w:sz="0" w:space="0" w:color="auto"/>
        <w:bottom w:val="none" w:sz="0" w:space="0" w:color="auto"/>
        <w:right w:val="none" w:sz="0" w:space="0" w:color="auto"/>
      </w:divBdr>
    </w:div>
    <w:div w:id="334385953">
      <w:bodyDiv w:val="1"/>
      <w:marLeft w:val="0"/>
      <w:marRight w:val="0"/>
      <w:marTop w:val="0"/>
      <w:marBottom w:val="0"/>
      <w:divBdr>
        <w:top w:val="none" w:sz="0" w:space="0" w:color="auto"/>
        <w:left w:val="none" w:sz="0" w:space="0" w:color="auto"/>
        <w:bottom w:val="none" w:sz="0" w:space="0" w:color="auto"/>
        <w:right w:val="none" w:sz="0" w:space="0" w:color="auto"/>
      </w:divBdr>
    </w:div>
    <w:div w:id="335352789">
      <w:bodyDiv w:val="1"/>
      <w:marLeft w:val="0"/>
      <w:marRight w:val="0"/>
      <w:marTop w:val="0"/>
      <w:marBottom w:val="0"/>
      <w:divBdr>
        <w:top w:val="none" w:sz="0" w:space="0" w:color="auto"/>
        <w:left w:val="none" w:sz="0" w:space="0" w:color="auto"/>
        <w:bottom w:val="none" w:sz="0" w:space="0" w:color="auto"/>
        <w:right w:val="none" w:sz="0" w:space="0" w:color="auto"/>
      </w:divBdr>
    </w:div>
    <w:div w:id="336999398">
      <w:bodyDiv w:val="1"/>
      <w:marLeft w:val="0"/>
      <w:marRight w:val="0"/>
      <w:marTop w:val="0"/>
      <w:marBottom w:val="0"/>
      <w:divBdr>
        <w:top w:val="none" w:sz="0" w:space="0" w:color="auto"/>
        <w:left w:val="none" w:sz="0" w:space="0" w:color="auto"/>
        <w:bottom w:val="none" w:sz="0" w:space="0" w:color="auto"/>
        <w:right w:val="none" w:sz="0" w:space="0" w:color="auto"/>
      </w:divBdr>
    </w:div>
    <w:div w:id="342125347">
      <w:bodyDiv w:val="1"/>
      <w:marLeft w:val="0"/>
      <w:marRight w:val="0"/>
      <w:marTop w:val="0"/>
      <w:marBottom w:val="0"/>
      <w:divBdr>
        <w:top w:val="none" w:sz="0" w:space="0" w:color="auto"/>
        <w:left w:val="none" w:sz="0" w:space="0" w:color="auto"/>
        <w:bottom w:val="none" w:sz="0" w:space="0" w:color="auto"/>
        <w:right w:val="none" w:sz="0" w:space="0" w:color="auto"/>
      </w:divBdr>
    </w:div>
    <w:div w:id="346562644">
      <w:bodyDiv w:val="1"/>
      <w:marLeft w:val="0"/>
      <w:marRight w:val="0"/>
      <w:marTop w:val="0"/>
      <w:marBottom w:val="0"/>
      <w:divBdr>
        <w:top w:val="none" w:sz="0" w:space="0" w:color="auto"/>
        <w:left w:val="none" w:sz="0" w:space="0" w:color="auto"/>
        <w:bottom w:val="none" w:sz="0" w:space="0" w:color="auto"/>
        <w:right w:val="none" w:sz="0" w:space="0" w:color="auto"/>
      </w:divBdr>
    </w:div>
    <w:div w:id="351490988">
      <w:bodyDiv w:val="1"/>
      <w:marLeft w:val="0"/>
      <w:marRight w:val="0"/>
      <w:marTop w:val="0"/>
      <w:marBottom w:val="0"/>
      <w:divBdr>
        <w:top w:val="none" w:sz="0" w:space="0" w:color="auto"/>
        <w:left w:val="none" w:sz="0" w:space="0" w:color="auto"/>
        <w:bottom w:val="none" w:sz="0" w:space="0" w:color="auto"/>
        <w:right w:val="none" w:sz="0" w:space="0" w:color="auto"/>
      </w:divBdr>
    </w:div>
    <w:div w:id="367724564">
      <w:bodyDiv w:val="1"/>
      <w:marLeft w:val="0"/>
      <w:marRight w:val="0"/>
      <w:marTop w:val="0"/>
      <w:marBottom w:val="0"/>
      <w:divBdr>
        <w:top w:val="none" w:sz="0" w:space="0" w:color="auto"/>
        <w:left w:val="none" w:sz="0" w:space="0" w:color="auto"/>
        <w:bottom w:val="none" w:sz="0" w:space="0" w:color="auto"/>
        <w:right w:val="none" w:sz="0" w:space="0" w:color="auto"/>
      </w:divBdr>
    </w:div>
    <w:div w:id="369768449">
      <w:bodyDiv w:val="1"/>
      <w:marLeft w:val="0"/>
      <w:marRight w:val="0"/>
      <w:marTop w:val="0"/>
      <w:marBottom w:val="0"/>
      <w:divBdr>
        <w:top w:val="none" w:sz="0" w:space="0" w:color="auto"/>
        <w:left w:val="none" w:sz="0" w:space="0" w:color="auto"/>
        <w:bottom w:val="none" w:sz="0" w:space="0" w:color="auto"/>
        <w:right w:val="none" w:sz="0" w:space="0" w:color="auto"/>
      </w:divBdr>
    </w:div>
    <w:div w:id="374237061">
      <w:bodyDiv w:val="1"/>
      <w:marLeft w:val="0"/>
      <w:marRight w:val="0"/>
      <w:marTop w:val="0"/>
      <w:marBottom w:val="0"/>
      <w:divBdr>
        <w:top w:val="none" w:sz="0" w:space="0" w:color="auto"/>
        <w:left w:val="none" w:sz="0" w:space="0" w:color="auto"/>
        <w:bottom w:val="none" w:sz="0" w:space="0" w:color="auto"/>
        <w:right w:val="none" w:sz="0" w:space="0" w:color="auto"/>
      </w:divBdr>
    </w:div>
    <w:div w:id="381442102">
      <w:bodyDiv w:val="1"/>
      <w:marLeft w:val="0"/>
      <w:marRight w:val="0"/>
      <w:marTop w:val="0"/>
      <w:marBottom w:val="0"/>
      <w:divBdr>
        <w:top w:val="none" w:sz="0" w:space="0" w:color="auto"/>
        <w:left w:val="none" w:sz="0" w:space="0" w:color="auto"/>
        <w:bottom w:val="none" w:sz="0" w:space="0" w:color="auto"/>
        <w:right w:val="none" w:sz="0" w:space="0" w:color="auto"/>
      </w:divBdr>
    </w:div>
    <w:div w:id="383985618">
      <w:bodyDiv w:val="1"/>
      <w:marLeft w:val="0"/>
      <w:marRight w:val="0"/>
      <w:marTop w:val="0"/>
      <w:marBottom w:val="0"/>
      <w:divBdr>
        <w:top w:val="none" w:sz="0" w:space="0" w:color="auto"/>
        <w:left w:val="none" w:sz="0" w:space="0" w:color="auto"/>
        <w:bottom w:val="none" w:sz="0" w:space="0" w:color="auto"/>
        <w:right w:val="none" w:sz="0" w:space="0" w:color="auto"/>
      </w:divBdr>
    </w:div>
    <w:div w:id="385186619">
      <w:bodyDiv w:val="1"/>
      <w:marLeft w:val="0"/>
      <w:marRight w:val="0"/>
      <w:marTop w:val="0"/>
      <w:marBottom w:val="0"/>
      <w:divBdr>
        <w:top w:val="none" w:sz="0" w:space="0" w:color="auto"/>
        <w:left w:val="none" w:sz="0" w:space="0" w:color="auto"/>
        <w:bottom w:val="none" w:sz="0" w:space="0" w:color="auto"/>
        <w:right w:val="none" w:sz="0" w:space="0" w:color="auto"/>
      </w:divBdr>
    </w:div>
    <w:div w:id="386995338">
      <w:bodyDiv w:val="1"/>
      <w:marLeft w:val="0"/>
      <w:marRight w:val="0"/>
      <w:marTop w:val="0"/>
      <w:marBottom w:val="0"/>
      <w:divBdr>
        <w:top w:val="none" w:sz="0" w:space="0" w:color="auto"/>
        <w:left w:val="none" w:sz="0" w:space="0" w:color="auto"/>
        <w:bottom w:val="none" w:sz="0" w:space="0" w:color="auto"/>
        <w:right w:val="none" w:sz="0" w:space="0" w:color="auto"/>
      </w:divBdr>
    </w:div>
    <w:div w:id="390423473">
      <w:bodyDiv w:val="1"/>
      <w:marLeft w:val="0"/>
      <w:marRight w:val="0"/>
      <w:marTop w:val="0"/>
      <w:marBottom w:val="0"/>
      <w:divBdr>
        <w:top w:val="none" w:sz="0" w:space="0" w:color="auto"/>
        <w:left w:val="none" w:sz="0" w:space="0" w:color="auto"/>
        <w:bottom w:val="none" w:sz="0" w:space="0" w:color="auto"/>
        <w:right w:val="none" w:sz="0" w:space="0" w:color="auto"/>
      </w:divBdr>
    </w:div>
    <w:div w:id="393897082">
      <w:bodyDiv w:val="1"/>
      <w:marLeft w:val="0"/>
      <w:marRight w:val="0"/>
      <w:marTop w:val="0"/>
      <w:marBottom w:val="0"/>
      <w:divBdr>
        <w:top w:val="none" w:sz="0" w:space="0" w:color="auto"/>
        <w:left w:val="none" w:sz="0" w:space="0" w:color="auto"/>
        <w:bottom w:val="none" w:sz="0" w:space="0" w:color="auto"/>
        <w:right w:val="none" w:sz="0" w:space="0" w:color="auto"/>
      </w:divBdr>
    </w:div>
    <w:div w:id="394545853">
      <w:bodyDiv w:val="1"/>
      <w:marLeft w:val="0"/>
      <w:marRight w:val="0"/>
      <w:marTop w:val="0"/>
      <w:marBottom w:val="0"/>
      <w:divBdr>
        <w:top w:val="none" w:sz="0" w:space="0" w:color="auto"/>
        <w:left w:val="none" w:sz="0" w:space="0" w:color="auto"/>
        <w:bottom w:val="none" w:sz="0" w:space="0" w:color="auto"/>
        <w:right w:val="none" w:sz="0" w:space="0" w:color="auto"/>
      </w:divBdr>
    </w:div>
    <w:div w:id="400711956">
      <w:bodyDiv w:val="1"/>
      <w:marLeft w:val="0"/>
      <w:marRight w:val="0"/>
      <w:marTop w:val="0"/>
      <w:marBottom w:val="0"/>
      <w:divBdr>
        <w:top w:val="none" w:sz="0" w:space="0" w:color="auto"/>
        <w:left w:val="none" w:sz="0" w:space="0" w:color="auto"/>
        <w:bottom w:val="none" w:sz="0" w:space="0" w:color="auto"/>
        <w:right w:val="none" w:sz="0" w:space="0" w:color="auto"/>
      </w:divBdr>
    </w:div>
    <w:div w:id="405881837">
      <w:bodyDiv w:val="1"/>
      <w:marLeft w:val="0"/>
      <w:marRight w:val="5"/>
      <w:marTop w:val="0"/>
      <w:marBottom w:val="600"/>
      <w:divBdr>
        <w:top w:val="none" w:sz="0" w:space="0" w:color="auto"/>
        <w:left w:val="none" w:sz="0" w:space="0" w:color="auto"/>
        <w:bottom w:val="none" w:sz="0" w:space="0" w:color="auto"/>
        <w:right w:val="none" w:sz="0" w:space="0" w:color="auto"/>
      </w:divBdr>
      <w:divsChild>
        <w:div w:id="558244046">
          <w:marLeft w:val="2265"/>
          <w:marRight w:val="0"/>
          <w:marTop w:val="450"/>
          <w:marBottom w:val="300"/>
          <w:divBdr>
            <w:top w:val="none" w:sz="0" w:space="0" w:color="auto"/>
            <w:left w:val="none" w:sz="0" w:space="0" w:color="auto"/>
            <w:bottom w:val="none" w:sz="0" w:space="0" w:color="auto"/>
            <w:right w:val="none" w:sz="0" w:space="0" w:color="auto"/>
          </w:divBdr>
        </w:div>
      </w:divsChild>
    </w:div>
    <w:div w:id="406999097">
      <w:bodyDiv w:val="1"/>
      <w:marLeft w:val="0"/>
      <w:marRight w:val="0"/>
      <w:marTop w:val="0"/>
      <w:marBottom w:val="0"/>
      <w:divBdr>
        <w:top w:val="none" w:sz="0" w:space="0" w:color="auto"/>
        <w:left w:val="none" w:sz="0" w:space="0" w:color="auto"/>
        <w:bottom w:val="none" w:sz="0" w:space="0" w:color="auto"/>
        <w:right w:val="none" w:sz="0" w:space="0" w:color="auto"/>
      </w:divBdr>
    </w:div>
    <w:div w:id="407927127">
      <w:bodyDiv w:val="1"/>
      <w:marLeft w:val="0"/>
      <w:marRight w:val="0"/>
      <w:marTop w:val="0"/>
      <w:marBottom w:val="0"/>
      <w:divBdr>
        <w:top w:val="none" w:sz="0" w:space="0" w:color="auto"/>
        <w:left w:val="none" w:sz="0" w:space="0" w:color="auto"/>
        <w:bottom w:val="none" w:sz="0" w:space="0" w:color="auto"/>
        <w:right w:val="none" w:sz="0" w:space="0" w:color="auto"/>
      </w:divBdr>
    </w:div>
    <w:div w:id="414202630">
      <w:bodyDiv w:val="1"/>
      <w:marLeft w:val="0"/>
      <w:marRight w:val="0"/>
      <w:marTop w:val="0"/>
      <w:marBottom w:val="0"/>
      <w:divBdr>
        <w:top w:val="none" w:sz="0" w:space="0" w:color="auto"/>
        <w:left w:val="none" w:sz="0" w:space="0" w:color="auto"/>
        <w:bottom w:val="none" w:sz="0" w:space="0" w:color="auto"/>
        <w:right w:val="none" w:sz="0" w:space="0" w:color="auto"/>
      </w:divBdr>
    </w:div>
    <w:div w:id="415787946">
      <w:bodyDiv w:val="1"/>
      <w:marLeft w:val="0"/>
      <w:marRight w:val="0"/>
      <w:marTop w:val="0"/>
      <w:marBottom w:val="0"/>
      <w:divBdr>
        <w:top w:val="none" w:sz="0" w:space="0" w:color="auto"/>
        <w:left w:val="none" w:sz="0" w:space="0" w:color="auto"/>
        <w:bottom w:val="none" w:sz="0" w:space="0" w:color="auto"/>
        <w:right w:val="none" w:sz="0" w:space="0" w:color="auto"/>
      </w:divBdr>
    </w:div>
    <w:div w:id="420951865">
      <w:bodyDiv w:val="1"/>
      <w:marLeft w:val="0"/>
      <w:marRight w:val="0"/>
      <w:marTop w:val="0"/>
      <w:marBottom w:val="0"/>
      <w:divBdr>
        <w:top w:val="none" w:sz="0" w:space="0" w:color="auto"/>
        <w:left w:val="none" w:sz="0" w:space="0" w:color="auto"/>
        <w:bottom w:val="none" w:sz="0" w:space="0" w:color="auto"/>
        <w:right w:val="none" w:sz="0" w:space="0" w:color="auto"/>
      </w:divBdr>
    </w:div>
    <w:div w:id="427580905">
      <w:bodyDiv w:val="1"/>
      <w:marLeft w:val="0"/>
      <w:marRight w:val="0"/>
      <w:marTop w:val="0"/>
      <w:marBottom w:val="0"/>
      <w:divBdr>
        <w:top w:val="none" w:sz="0" w:space="0" w:color="auto"/>
        <w:left w:val="none" w:sz="0" w:space="0" w:color="auto"/>
        <w:bottom w:val="none" w:sz="0" w:space="0" w:color="auto"/>
        <w:right w:val="none" w:sz="0" w:space="0" w:color="auto"/>
      </w:divBdr>
    </w:div>
    <w:div w:id="428887831">
      <w:bodyDiv w:val="1"/>
      <w:marLeft w:val="0"/>
      <w:marRight w:val="0"/>
      <w:marTop w:val="0"/>
      <w:marBottom w:val="0"/>
      <w:divBdr>
        <w:top w:val="none" w:sz="0" w:space="0" w:color="auto"/>
        <w:left w:val="none" w:sz="0" w:space="0" w:color="auto"/>
        <w:bottom w:val="none" w:sz="0" w:space="0" w:color="auto"/>
        <w:right w:val="none" w:sz="0" w:space="0" w:color="auto"/>
      </w:divBdr>
    </w:div>
    <w:div w:id="432941061">
      <w:bodyDiv w:val="1"/>
      <w:marLeft w:val="0"/>
      <w:marRight w:val="0"/>
      <w:marTop w:val="0"/>
      <w:marBottom w:val="0"/>
      <w:divBdr>
        <w:top w:val="none" w:sz="0" w:space="0" w:color="auto"/>
        <w:left w:val="none" w:sz="0" w:space="0" w:color="auto"/>
        <w:bottom w:val="none" w:sz="0" w:space="0" w:color="auto"/>
        <w:right w:val="none" w:sz="0" w:space="0" w:color="auto"/>
      </w:divBdr>
    </w:div>
    <w:div w:id="435834872">
      <w:bodyDiv w:val="1"/>
      <w:marLeft w:val="0"/>
      <w:marRight w:val="0"/>
      <w:marTop w:val="0"/>
      <w:marBottom w:val="0"/>
      <w:divBdr>
        <w:top w:val="none" w:sz="0" w:space="0" w:color="auto"/>
        <w:left w:val="none" w:sz="0" w:space="0" w:color="auto"/>
        <w:bottom w:val="none" w:sz="0" w:space="0" w:color="auto"/>
        <w:right w:val="none" w:sz="0" w:space="0" w:color="auto"/>
      </w:divBdr>
    </w:div>
    <w:div w:id="438532531">
      <w:bodyDiv w:val="1"/>
      <w:marLeft w:val="0"/>
      <w:marRight w:val="0"/>
      <w:marTop w:val="0"/>
      <w:marBottom w:val="0"/>
      <w:divBdr>
        <w:top w:val="none" w:sz="0" w:space="0" w:color="auto"/>
        <w:left w:val="none" w:sz="0" w:space="0" w:color="auto"/>
        <w:bottom w:val="none" w:sz="0" w:space="0" w:color="auto"/>
        <w:right w:val="none" w:sz="0" w:space="0" w:color="auto"/>
      </w:divBdr>
    </w:div>
    <w:div w:id="438840107">
      <w:bodyDiv w:val="1"/>
      <w:marLeft w:val="0"/>
      <w:marRight w:val="0"/>
      <w:marTop w:val="0"/>
      <w:marBottom w:val="0"/>
      <w:divBdr>
        <w:top w:val="none" w:sz="0" w:space="0" w:color="auto"/>
        <w:left w:val="none" w:sz="0" w:space="0" w:color="auto"/>
        <w:bottom w:val="none" w:sz="0" w:space="0" w:color="auto"/>
        <w:right w:val="none" w:sz="0" w:space="0" w:color="auto"/>
      </w:divBdr>
    </w:div>
    <w:div w:id="439491710">
      <w:bodyDiv w:val="1"/>
      <w:marLeft w:val="0"/>
      <w:marRight w:val="0"/>
      <w:marTop w:val="0"/>
      <w:marBottom w:val="0"/>
      <w:divBdr>
        <w:top w:val="none" w:sz="0" w:space="0" w:color="auto"/>
        <w:left w:val="none" w:sz="0" w:space="0" w:color="auto"/>
        <w:bottom w:val="none" w:sz="0" w:space="0" w:color="auto"/>
        <w:right w:val="none" w:sz="0" w:space="0" w:color="auto"/>
      </w:divBdr>
    </w:div>
    <w:div w:id="442841093">
      <w:bodyDiv w:val="1"/>
      <w:marLeft w:val="0"/>
      <w:marRight w:val="0"/>
      <w:marTop w:val="0"/>
      <w:marBottom w:val="0"/>
      <w:divBdr>
        <w:top w:val="none" w:sz="0" w:space="0" w:color="auto"/>
        <w:left w:val="none" w:sz="0" w:space="0" w:color="auto"/>
        <w:bottom w:val="none" w:sz="0" w:space="0" w:color="auto"/>
        <w:right w:val="none" w:sz="0" w:space="0" w:color="auto"/>
      </w:divBdr>
    </w:div>
    <w:div w:id="444737693">
      <w:bodyDiv w:val="1"/>
      <w:marLeft w:val="0"/>
      <w:marRight w:val="0"/>
      <w:marTop w:val="0"/>
      <w:marBottom w:val="0"/>
      <w:divBdr>
        <w:top w:val="none" w:sz="0" w:space="0" w:color="auto"/>
        <w:left w:val="none" w:sz="0" w:space="0" w:color="auto"/>
        <w:bottom w:val="none" w:sz="0" w:space="0" w:color="auto"/>
        <w:right w:val="none" w:sz="0" w:space="0" w:color="auto"/>
      </w:divBdr>
    </w:div>
    <w:div w:id="446776163">
      <w:bodyDiv w:val="1"/>
      <w:marLeft w:val="0"/>
      <w:marRight w:val="0"/>
      <w:marTop w:val="0"/>
      <w:marBottom w:val="0"/>
      <w:divBdr>
        <w:top w:val="none" w:sz="0" w:space="0" w:color="auto"/>
        <w:left w:val="none" w:sz="0" w:space="0" w:color="auto"/>
        <w:bottom w:val="none" w:sz="0" w:space="0" w:color="auto"/>
        <w:right w:val="none" w:sz="0" w:space="0" w:color="auto"/>
      </w:divBdr>
    </w:div>
    <w:div w:id="449669535">
      <w:bodyDiv w:val="1"/>
      <w:marLeft w:val="0"/>
      <w:marRight w:val="0"/>
      <w:marTop w:val="0"/>
      <w:marBottom w:val="0"/>
      <w:divBdr>
        <w:top w:val="none" w:sz="0" w:space="0" w:color="auto"/>
        <w:left w:val="none" w:sz="0" w:space="0" w:color="auto"/>
        <w:bottom w:val="none" w:sz="0" w:space="0" w:color="auto"/>
        <w:right w:val="none" w:sz="0" w:space="0" w:color="auto"/>
      </w:divBdr>
    </w:div>
    <w:div w:id="451703919">
      <w:bodyDiv w:val="1"/>
      <w:marLeft w:val="0"/>
      <w:marRight w:val="0"/>
      <w:marTop w:val="0"/>
      <w:marBottom w:val="0"/>
      <w:divBdr>
        <w:top w:val="none" w:sz="0" w:space="0" w:color="auto"/>
        <w:left w:val="none" w:sz="0" w:space="0" w:color="auto"/>
        <w:bottom w:val="none" w:sz="0" w:space="0" w:color="auto"/>
        <w:right w:val="none" w:sz="0" w:space="0" w:color="auto"/>
      </w:divBdr>
    </w:div>
    <w:div w:id="452797298">
      <w:bodyDiv w:val="1"/>
      <w:marLeft w:val="0"/>
      <w:marRight w:val="0"/>
      <w:marTop w:val="0"/>
      <w:marBottom w:val="0"/>
      <w:divBdr>
        <w:top w:val="none" w:sz="0" w:space="0" w:color="auto"/>
        <w:left w:val="none" w:sz="0" w:space="0" w:color="auto"/>
        <w:bottom w:val="none" w:sz="0" w:space="0" w:color="auto"/>
        <w:right w:val="none" w:sz="0" w:space="0" w:color="auto"/>
      </w:divBdr>
    </w:div>
    <w:div w:id="453449319">
      <w:bodyDiv w:val="1"/>
      <w:marLeft w:val="0"/>
      <w:marRight w:val="0"/>
      <w:marTop w:val="0"/>
      <w:marBottom w:val="0"/>
      <w:divBdr>
        <w:top w:val="none" w:sz="0" w:space="0" w:color="auto"/>
        <w:left w:val="none" w:sz="0" w:space="0" w:color="auto"/>
        <w:bottom w:val="none" w:sz="0" w:space="0" w:color="auto"/>
        <w:right w:val="none" w:sz="0" w:space="0" w:color="auto"/>
      </w:divBdr>
    </w:div>
    <w:div w:id="455300011">
      <w:bodyDiv w:val="1"/>
      <w:marLeft w:val="0"/>
      <w:marRight w:val="0"/>
      <w:marTop w:val="0"/>
      <w:marBottom w:val="0"/>
      <w:divBdr>
        <w:top w:val="none" w:sz="0" w:space="0" w:color="auto"/>
        <w:left w:val="none" w:sz="0" w:space="0" w:color="auto"/>
        <w:bottom w:val="none" w:sz="0" w:space="0" w:color="auto"/>
        <w:right w:val="none" w:sz="0" w:space="0" w:color="auto"/>
      </w:divBdr>
    </w:div>
    <w:div w:id="464201951">
      <w:bodyDiv w:val="1"/>
      <w:marLeft w:val="0"/>
      <w:marRight w:val="5"/>
      <w:marTop w:val="0"/>
      <w:marBottom w:val="476"/>
      <w:divBdr>
        <w:top w:val="none" w:sz="0" w:space="0" w:color="auto"/>
        <w:left w:val="none" w:sz="0" w:space="0" w:color="auto"/>
        <w:bottom w:val="none" w:sz="0" w:space="0" w:color="auto"/>
        <w:right w:val="none" w:sz="0" w:space="0" w:color="auto"/>
      </w:divBdr>
      <w:divsChild>
        <w:div w:id="25177879">
          <w:marLeft w:val="1797"/>
          <w:marRight w:val="0"/>
          <w:marTop w:val="357"/>
          <w:marBottom w:val="238"/>
          <w:divBdr>
            <w:top w:val="none" w:sz="0" w:space="0" w:color="auto"/>
            <w:left w:val="none" w:sz="0" w:space="0" w:color="auto"/>
            <w:bottom w:val="none" w:sz="0" w:space="0" w:color="auto"/>
            <w:right w:val="none" w:sz="0" w:space="0" w:color="auto"/>
          </w:divBdr>
        </w:div>
      </w:divsChild>
    </w:div>
    <w:div w:id="479268669">
      <w:bodyDiv w:val="1"/>
      <w:marLeft w:val="0"/>
      <w:marRight w:val="0"/>
      <w:marTop w:val="0"/>
      <w:marBottom w:val="0"/>
      <w:divBdr>
        <w:top w:val="none" w:sz="0" w:space="0" w:color="auto"/>
        <w:left w:val="none" w:sz="0" w:space="0" w:color="auto"/>
        <w:bottom w:val="none" w:sz="0" w:space="0" w:color="auto"/>
        <w:right w:val="none" w:sz="0" w:space="0" w:color="auto"/>
      </w:divBdr>
    </w:div>
    <w:div w:id="485899363">
      <w:bodyDiv w:val="1"/>
      <w:marLeft w:val="0"/>
      <w:marRight w:val="0"/>
      <w:marTop w:val="0"/>
      <w:marBottom w:val="0"/>
      <w:divBdr>
        <w:top w:val="none" w:sz="0" w:space="0" w:color="auto"/>
        <w:left w:val="none" w:sz="0" w:space="0" w:color="auto"/>
        <w:bottom w:val="none" w:sz="0" w:space="0" w:color="auto"/>
        <w:right w:val="none" w:sz="0" w:space="0" w:color="auto"/>
      </w:divBdr>
    </w:div>
    <w:div w:id="486286655">
      <w:bodyDiv w:val="1"/>
      <w:marLeft w:val="0"/>
      <w:marRight w:val="0"/>
      <w:marTop w:val="0"/>
      <w:marBottom w:val="0"/>
      <w:divBdr>
        <w:top w:val="none" w:sz="0" w:space="0" w:color="auto"/>
        <w:left w:val="none" w:sz="0" w:space="0" w:color="auto"/>
        <w:bottom w:val="none" w:sz="0" w:space="0" w:color="auto"/>
        <w:right w:val="none" w:sz="0" w:space="0" w:color="auto"/>
      </w:divBdr>
    </w:div>
    <w:div w:id="492839260">
      <w:bodyDiv w:val="1"/>
      <w:marLeft w:val="0"/>
      <w:marRight w:val="0"/>
      <w:marTop w:val="0"/>
      <w:marBottom w:val="0"/>
      <w:divBdr>
        <w:top w:val="none" w:sz="0" w:space="0" w:color="auto"/>
        <w:left w:val="none" w:sz="0" w:space="0" w:color="auto"/>
        <w:bottom w:val="none" w:sz="0" w:space="0" w:color="auto"/>
        <w:right w:val="none" w:sz="0" w:space="0" w:color="auto"/>
      </w:divBdr>
    </w:div>
    <w:div w:id="493647167">
      <w:bodyDiv w:val="1"/>
      <w:marLeft w:val="0"/>
      <w:marRight w:val="0"/>
      <w:marTop w:val="0"/>
      <w:marBottom w:val="0"/>
      <w:divBdr>
        <w:top w:val="none" w:sz="0" w:space="0" w:color="auto"/>
        <w:left w:val="none" w:sz="0" w:space="0" w:color="auto"/>
        <w:bottom w:val="none" w:sz="0" w:space="0" w:color="auto"/>
        <w:right w:val="none" w:sz="0" w:space="0" w:color="auto"/>
      </w:divBdr>
    </w:div>
    <w:div w:id="500509859">
      <w:bodyDiv w:val="1"/>
      <w:marLeft w:val="0"/>
      <w:marRight w:val="0"/>
      <w:marTop w:val="0"/>
      <w:marBottom w:val="0"/>
      <w:divBdr>
        <w:top w:val="none" w:sz="0" w:space="0" w:color="auto"/>
        <w:left w:val="none" w:sz="0" w:space="0" w:color="auto"/>
        <w:bottom w:val="none" w:sz="0" w:space="0" w:color="auto"/>
        <w:right w:val="none" w:sz="0" w:space="0" w:color="auto"/>
      </w:divBdr>
    </w:div>
    <w:div w:id="501552348">
      <w:bodyDiv w:val="1"/>
      <w:marLeft w:val="0"/>
      <w:marRight w:val="0"/>
      <w:marTop w:val="0"/>
      <w:marBottom w:val="0"/>
      <w:divBdr>
        <w:top w:val="none" w:sz="0" w:space="0" w:color="auto"/>
        <w:left w:val="none" w:sz="0" w:space="0" w:color="auto"/>
        <w:bottom w:val="none" w:sz="0" w:space="0" w:color="auto"/>
        <w:right w:val="none" w:sz="0" w:space="0" w:color="auto"/>
      </w:divBdr>
    </w:div>
    <w:div w:id="504057085">
      <w:bodyDiv w:val="1"/>
      <w:marLeft w:val="0"/>
      <w:marRight w:val="0"/>
      <w:marTop w:val="0"/>
      <w:marBottom w:val="0"/>
      <w:divBdr>
        <w:top w:val="none" w:sz="0" w:space="0" w:color="auto"/>
        <w:left w:val="none" w:sz="0" w:space="0" w:color="auto"/>
        <w:bottom w:val="none" w:sz="0" w:space="0" w:color="auto"/>
        <w:right w:val="none" w:sz="0" w:space="0" w:color="auto"/>
      </w:divBdr>
    </w:div>
    <w:div w:id="504519631">
      <w:bodyDiv w:val="1"/>
      <w:marLeft w:val="0"/>
      <w:marRight w:val="0"/>
      <w:marTop w:val="0"/>
      <w:marBottom w:val="0"/>
      <w:divBdr>
        <w:top w:val="none" w:sz="0" w:space="0" w:color="auto"/>
        <w:left w:val="none" w:sz="0" w:space="0" w:color="auto"/>
        <w:bottom w:val="none" w:sz="0" w:space="0" w:color="auto"/>
        <w:right w:val="none" w:sz="0" w:space="0" w:color="auto"/>
      </w:divBdr>
    </w:div>
    <w:div w:id="504905404">
      <w:bodyDiv w:val="1"/>
      <w:marLeft w:val="0"/>
      <w:marRight w:val="0"/>
      <w:marTop w:val="0"/>
      <w:marBottom w:val="0"/>
      <w:divBdr>
        <w:top w:val="none" w:sz="0" w:space="0" w:color="auto"/>
        <w:left w:val="none" w:sz="0" w:space="0" w:color="auto"/>
        <w:bottom w:val="none" w:sz="0" w:space="0" w:color="auto"/>
        <w:right w:val="none" w:sz="0" w:space="0" w:color="auto"/>
      </w:divBdr>
    </w:div>
    <w:div w:id="514199773">
      <w:bodyDiv w:val="1"/>
      <w:marLeft w:val="0"/>
      <w:marRight w:val="0"/>
      <w:marTop w:val="0"/>
      <w:marBottom w:val="0"/>
      <w:divBdr>
        <w:top w:val="none" w:sz="0" w:space="0" w:color="auto"/>
        <w:left w:val="none" w:sz="0" w:space="0" w:color="auto"/>
        <w:bottom w:val="none" w:sz="0" w:space="0" w:color="auto"/>
        <w:right w:val="none" w:sz="0" w:space="0" w:color="auto"/>
      </w:divBdr>
    </w:div>
    <w:div w:id="514921539">
      <w:bodyDiv w:val="1"/>
      <w:marLeft w:val="0"/>
      <w:marRight w:val="0"/>
      <w:marTop w:val="0"/>
      <w:marBottom w:val="0"/>
      <w:divBdr>
        <w:top w:val="none" w:sz="0" w:space="0" w:color="auto"/>
        <w:left w:val="none" w:sz="0" w:space="0" w:color="auto"/>
        <w:bottom w:val="none" w:sz="0" w:space="0" w:color="auto"/>
        <w:right w:val="none" w:sz="0" w:space="0" w:color="auto"/>
      </w:divBdr>
    </w:div>
    <w:div w:id="515117180">
      <w:bodyDiv w:val="1"/>
      <w:marLeft w:val="0"/>
      <w:marRight w:val="0"/>
      <w:marTop w:val="0"/>
      <w:marBottom w:val="0"/>
      <w:divBdr>
        <w:top w:val="none" w:sz="0" w:space="0" w:color="auto"/>
        <w:left w:val="none" w:sz="0" w:space="0" w:color="auto"/>
        <w:bottom w:val="none" w:sz="0" w:space="0" w:color="auto"/>
        <w:right w:val="none" w:sz="0" w:space="0" w:color="auto"/>
      </w:divBdr>
    </w:div>
    <w:div w:id="529300721">
      <w:bodyDiv w:val="1"/>
      <w:marLeft w:val="0"/>
      <w:marRight w:val="0"/>
      <w:marTop w:val="0"/>
      <w:marBottom w:val="0"/>
      <w:divBdr>
        <w:top w:val="none" w:sz="0" w:space="0" w:color="auto"/>
        <w:left w:val="none" w:sz="0" w:space="0" w:color="auto"/>
        <w:bottom w:val="none" w:sz="0" w:space="0" w:color="auto"/>
        <w:right w:val="none" w:sz="0" w:space="0" w:color="auto"/>
      </w:divBdr>
    </w:div>
    <w:div w:id="537937903">
      <w:bodyDiv w:val="1"/>
      <w:marLeft w:val="0"/>
      <w:marRight w:val="0"/>
      <w:marTop w:val="0"/>
      <w:marBottom w:val="0"/>
      <w:divBdr>
        <w:top w:val="none" w:sz="0" w:space="0" w:color="auto"/>
        <w:left w:val="none" w:sz="0" w:space="0" w:color="auto"/>
        <w:bottom w:val="none" w:sz="0" w:space="0" w:color="auto"/>
        <w:right w:val="none" w:sz="0" w:space="0" w:color="auto"/>
      </w:divBdr>
    </w:div>
    <w:div w:id="551843666">
      <w:bodyDiv w:val="1"/>
      <w:marLeft w:val="0"/>
      <w:marRight w:val="0"/>
      <w:marTop w:val="0"/>
      <w:marBottom w:val="0"/>
      <w:divBdr>
        <w:top w:val="none" w:sz="0" w:space="0" w:color="auto"/>
        <w:left w:val="none" w:sz="0" w:space="0" w:color="auto"/>
        <w:bottom w:val="none" w:sz="0" w:space="0" w:color="auto"/>
        <w:right w:val="none" w:sz="0" w:space="0" w:color="auto"/>
      </w:divBdr>
    </w:div>
    <w:div w:id="552277765">
      <w:bodyDiv w:val="1"/>
      <w:marLeft w:val="0"/>
      <w:marRight w:val="0"/>
      <w:marTop w:val="0"/>
      <w:marBottom w:val="0"/>
      <w:divBdr>
        <w:top w:val="none" w:sz="0" w:space="0" w:color="auto"/>
        <w:left w:val="none" w:sz="0" w:space="0" w:color="auto"/>
        <w:bottom w:val="none" w:sz="0" w:space="0" w:color="auto"/>
        <w:right w:val="none" w:sz="0" w:space="0" w:color="auto"/>
      </w:divBdr>
    </w:div>
    <w:div w:id="556429546">
      <w:bodyDiv w:val="1"/>
      <w:marLeft w:val="0"/>
      <w:marRight w:val="0"/>
      <w:marTop w:val="0"/>
      <w:marBottom w:val="0"/>
      <w:divBdr>
        <w:top w:val="none" w:sz="0" w:space="0" w:color="auto"/>
        <w:left w:val="none" w:sz="0" w:space="0" w:color="auto"/>
        <w:bottom w:val="none" w:sz="0" w:space="0" w:color="auto"/>
        <w:right w:val="none" w:sz="0" w:space="0" w:color="auto"/>
      </w:divBdr>
    </w:div>
    <w:div w:id="557058601">
      <w:bodyDiv w:val="1"/>
      <w:marLeft w:val="0"/>
      <w:marRight w:val="0"/>
      <w:marTop w:val="0"/>
      <w:marBottom w:val="0"/>
      <w:divBdr>
        <w:top w:val="none" w:sz="0" w:space="0" w:color="auto"/>
        <w:left w:val="none" w:sz="0" w:space="0" w:color="auto"/>
        <w:bottom w:val="none" w:sz="0" w:space="0" w:color="auto"/>
        <w:right w:val="none" w:sz="0" w:space="0" w:color="auto"/>
      </w:divBdr>
    </w:div>
    <w:div w:id="557939864">
      <w:bodyDiv w:val="1"/>
      <w:marLeft w:val="0"/>
      <w:marRight w:val="0"/>
      <w:marTop w:val="0"/>
      <w:marBottom w:val="0"/>
      <w:divBdr>
        <w:top w:val="none" w:sz="0" w:space="0" w:color="auto"/>
        <w:left w:val="none" w:sz="0" w:space="0" w:color="auto"/>
        <w:bottom w:val="none" w:sz="0" w:space="0" w:color="auto"/>
        <w:right w:val="none" w:sz="0" w:space="0" w:color="auto"/>
      </w:divBdr>
    </w:div>
    <w:div w:id="569392569">
      <w:bodyDiv w:val="1"/>
      <w:marLeft w:val="0"/>
      <w:marRight w:val="0"/>
      <w:marTop w:val="0"/>
      <w:marBottom w:val="0"/>
      <w:divBdr>
        <w:top w:val="none" w:sz="0" w:space="0" w:color="auto"/>
        <w:left w:val="none" w:sz="0" w:space="0" w:color="auto"/>
        <w:bottom w:val="none" w:sz="0" w:space="0" w:color="auto"/>
        <w:right w:val="none" w:sz="0" w:space="0" w:color="auto"/>
      </w:divBdr>
    </w:div>
    <w:div w:id="570696492">
      <w:bodyDiv w:val="1"/>
      <w:marLeft w:val="0"/>
      <w:marRight w:val="0"/>
      <w:marTop w:val="0"/>
      <w:marBottom w:val="0"/>
      <w:divBdr>
        <w:top w:val="none" w:sz="0" w:space="0" w:color="auto"/>
        <w:left w:val="none" w:sz="0" w:space="0" w:color="auto"/>
        <w:bottom w:val="none" w:sz="0" w:space="0" w:color="auto"/>
        <w:right w:val="none" w:sz="0" w:space="0" w:color="auto"/>
      </w:divBdr>
    </w:div>
    <w:div w:id="575431881">
      <w:bodyDiv w:val="1"/>
      <w:marLeft w:val="0"/>
      <w:marRight w:val="0"/>
      <w:marTop w:val="0"/>
      <w:marBottom w:val="0"/>
      <w:divBdr>
        <w:top w:val="none" w:sz="0" w:space="0" w:color="auto"/>
        <w:left w:val="none" w:sz="0" w:space="0" w:color="auto"/>
        <w:bottom w:val="none" w:sz="0" w:space="0" w:color="auto"/>
        <w:right w:val="none" w:sz="0" w:space="0" w:color="auto"/>
      </w:divBdr>
    </w:div>
    <w:div w:id="592476134">
      <w:bodyDiv w:val="1"/>
      <w:marLeft w:val="0"/>
      <w:marRight w:val="0"/>
      <w:marTop w:val="0"/>
      <w:marBottom w:val="0"/>
      <w:divBdr>
        <w:top w:val="none" w:sz="0" w:space="0" w:color="auto"/>
        <w:left w:val="none" w:sz="0" w:space="0" w:color="auto"/>
        <w:bottom w:val="none" w:sz="0" w:space="0" w:color="auto"/>
        <w:right w:val="none" w:sz="0" w:space="0" w:color="auto"/>
      </w:divBdr>
    </w:div>
    <w:div w:id="594630211">
      <w:bodyDiv w:val="1"/>
      <w:marLeft w:val="0"/>
      <w:marRight w:val="0"/>
      <w:marTop w:val="0"/>
      <w:marBottom w:val="0"/>
      <w:divBdr>
        <w:top w:val="none" w:sz="0" w:space="0" w:color="auto"/>
        <w:left w:val="none" w:sz="0" w:space="0" w:color="auto"/>
        <w:bottom w:val="none" w:sz="0" w:space="0" w:color="auto"/>
        <w:right w:val="none" w:sz="0" w:space="0" w:color="auto"/>
      </w:divBdr>
    </w:div>
    <w:div w:id="598686296">
      <w:bodyDiv w:val="1"/>
      <w:marLeft w:val="0"/>
      <w:marRight w:val="0"/>
      <w:marTop w:val="0"/>
      <w:marBottom w:val="0"/>
      <w:divBdr>
        <w:top w:val="none" w:sz="0" w:space="0" w:color="auto"/>
        <w:left w:val="none" w:sz="0" w:space="0" w:color="auto"/>
        <w:bottom w:val="none" w:sz="0" w:space="0" w:color="auto"/>
        <w:right w:val="none" w:sz="0" w:space="0" w:color="auto"/>
      </w:divBdr>
    </w:div>
    <w:div w:id="599608181">
      <w:bodyDiv w:val="1"/>
      <w:marLeft w:val="0"/>
      <w:marRight w:val="0"/>
      <w:marTop w:val="0"/>
      <w:marBottom w:val="0"/>
      <w:divBdr>
        <w:top w:val="none" w:sz="0" w:space="0" w:color="auto"/>
        <w:left w:val="none" w:sz="0" w:space="0" w:color="auto"/>
        <w:bottom w:val="none" w:sz="0" w:space="0" w:color="auto"/>
        <w:right w:val="none" w:sz="0" w:space="0" w:color="auto"/>
      </w:divBdr>
    </w:div>
    <w:div w:id="602107965">
      <w:bodyDiv w:val="1"/>
      <w:marLeft w:val="0"/>
      <w:marRight w:val="0"/>
      <w:marTop w:val="0"/>
      <w:marBottom w:val="0"/>
      <w:divBdr>
        <w:top w:val="none" w:sz="0" w:space="0" w:color="auto"/>
        <w:left w:val="none" w:sz="0" w:space="0" w:color="auto"/>
        <w:bottom w:val="none" w:sz="0" w:space="0" w:color="auto"/>
        <w:right w:val="none" w:sz="0" w:space="0" w:color="auto"/>
      </w:divBdr>
    </w:div>
    <w:div w:id="602886598">
      <w:bodyDiv w:val="1"/>
      <w:marLeft w:val="0"/>
      <w:marRight w:val="0"/>
      <w:marTop w:val="0"/>
      <w:marBottom w:val="0"/>
      <w:divBdr>
        <w:top w:val="none" w:sz="0" w:space="0" w:color="auto"/>
        <w:left w:val="none" w:sz="0" w:space="0" w:color="auto"/>
        <w:bottom w:val="none" w:sz="0" w:space="0" w:color="auto"/>
        <w:right w:val="none" w:sz="0" w:space="0" w:color="auto"/>
      </w:divBdr>
    </w:div>
    <w:div w:id="603029426">
      <w:bodyDiv w:val="1"/>
      <w:marLeft w:val="0"/>
      <w:marRight w:val="0"/>
      <w:marTop w:val="0"/>
      <w:marBottom w:val="0"/>
      <w:divBdr>
        <w:top w:val="none" w:sz="0" w:space="0" w:color="auto"/>
        <w:left w:val="none" w:sz="0" w:space="0" w:color="auto"/>
        <w:bottom w:val="none" w:sz="0" w:space="0" w:color="auto"/>
        <w:right w:val="none" w:sz="0" w:space="0" w:color="auto"/>
      </w:divBdr>
    </w:div>
    <w:div w:id="610281986">
      <w:bodyDiv w:val="1"/>
      <w:marLeft w:val="0"/>
      <w:marRight w:val="0"/>
      <w:marTop w:val="0"/>
      <w:marBottom w:val="0"/>
      <w:divBdr>
        <w:top w:val="none" w:sz="0" w:space="0" w:color="auto"/>
        <w:left w:val="none" w:sz="0" w:space="0" w:color="auto"/>
        <w:bottom w:val="none" w:sz="0" w:space="0" w:color="auto"/>
        <w:right w:val="none" w:sz="0" w:space="0" w:color="auto"/>
      </w:divBdr>
    </w:div>
    <w:div w:id="611935275">
      <w:bodyDiv w:val="1"/>
      <w:marLeft w:val="0"/>
      <w:marRight w:val="0"/>
      <w:marTop w:val="0"/>
      <w:marBottom w:val="0"/>
      <w:divBdr>
        <w:top w:val="none" w:sz="0" w:space="0" w:color="auto"/>
        <w:left w:val="none" w:sz="0" w:space="0" w:color="auto"/>
        <w:bottom w:val="none" w:sz="0" w:space="0" w:color="auto"/>
        <w:right w:val="none" w:sz="0" w:space="0" w:color="auto"/>
      </w:divBdr>
    </w:div>
    <w:div w:id="624431999">
      <w:bodyDiv w:val="1"/>
      <w:marLeft w:val="0"/>
      <w:marRight w:val="0"/>
      <w:marTop w:val="0"/>
      <w:marBottom w:val="0"/>
      <w:divBdr>
        <w:top w:val="none" w:sz="0" w:space="0" w:color="auto"/>
        <w:left w:val="none" w:sz="0" w:space="0" w:color="auto"/>
        <w:bottom w:val="none" w:sz="0" w:space="0" w:color="auto"/>
        <w:right w:val="none" w:sz="0" w:space="0" w:color="auto"/>
      </w:divBdr>
    </w:div>
    <w:div w:id="625043074">
      <w:bodyDiv w:val="1"/>
      <w:marLeft w:val="0"/>
      <w:marRight w:val="0"/>
      <w:marTop w:val="0"/>
      <w:marBottom w:val="0"/>
      <w:divBdr>
        <w:top w:val="none" w:sz="0" w:space="0" w:color="auto"/>
        <w:left w:val="none" w:sz="0" w:space="0" w:color="auto"/>
        <w:bottom w:val="none" w:sz="0" w:space="0" w:color="auto"/>
        <w:right w:val="none" w:sz="0" w:space="0" w:color="auto"/>
      </w:divBdr>
    </w:div>
    <w:div w:id="626350631">
      <w:bodyDiv w:val="1"/>
      <w:marLeft w:val="0"/>
      <w:marRight w:val="0"/>
      <w:marTop w:val="0"/>
      <w:marBottom w:val="0"/>
      <w:divBdr>
        <w:top w:val="none" w:sz="0" w:space="0" w:color="auto"/>
        <w:left w:val="none" w:sz="0" w:space="0" w:color="auto"/>
        <w:bottom w:val="none" w:sz="0" w:space="0" w:color="auto"/>
        <w:right w:val="none" w:sz="0" w:space="0" w:color="auto"/>
      </w:divBdr>
    </w:div>
    <w:div w:id="631444233">
      <w:bodyDiv w:val="1"/>
      <w:marLeft w:val="0"/>
      <w:marRight w:val="0"/>
      <w:marTop w:val="0"/>
      <w:marBottom w:val="0"/>
      <w:divBdr>
        <w:top w:val="none" w:sz="0" w:space="0" w:color="auto"/>
        <w:left w:val="none" w:sz="0" w:space="0" w:color="auto"/>
        <w:bottom w:val="none" w:sz="0" w:space="0" w:color="auto"/>
        <w:right w:val="none" w:sz="0" w:space="0" w:color="auto"/>
      </w:divBdr>
    </w:div>
    <w:div w:id="638416704">
      <w:bodyDiv w:val="1"/>
      <w:marLeft w:val="0"/>
      <w:marRight w:val="0"/>
      <w:marTop w:val="0"/>
      <w:marBottom w:val="0"/>
      <w:divBdr>
        <w:top w:val="none" w:sz="0" w:space="0" w:color="auto"/>
        <w:left w:val="none" w:sz="0" w:space="0" w:color="auto"/>
        <w:bottom w:val="none" w:sz="0" w:space="0" w:color="auto"/>
        <w:right w:val="none" w:sz="0" w:space="0" w:color="auto"/>
      </w:divBdr>
    </w:div>
    <w:div w:id="641694784">
      <w:bodyDiv w:val="1"/>
      <w:marLeft w:val="0"/>
      <w:marRight w:val="0"/>
      <w:marTop w:val="0"/>
      <w:marBottom w:val="0"/>
      <w:divBdr>
        <w:top w:val="none" w:sz="0" w:space="0" w:color="auto"/>
        <w:left w:val="none" w:sz="0" w:space="0" w:color="auto"/>
        <w:bottom w:val="none" w:sz="0" w:space="0" w:color="auto"/>
        <w:right w:val="none" w:sz="0" w:space="0" w:color="auto"/>
      </w:divBdr>
    </w:div>
    <w:div w:id="642199846">
      <w:bodyDiv w:val="1"/>
      <w:marLeft w:val="0"/>
      <w:marRight w:val="0"/>
      <w:marTop w:val="0"/>
      <w:marBottom w:val="0"/>
      <w:divBdr>
        <w:top w:val="none" w:sz="0" w:space="0" w:color="auto"/>
        <w:left w:val="none" w:sz="0" w:space="0" w:color="auto"/>
        <w:bottom w:val="none" w:sz="0" w:space="0" w:color="auto"/>
        <w:right w:val="none" w:sz="0" w:space="0" w:color="auto"/>
      </w:divBdr>
    </w:div>
    <w:div w:id="643194161">
      <w:bodyDiv w:val="1"/>
      <w:marLeft w:val="0"/>
      <w:marRight w:val="0"/>
      <w:marTop w:val="0"/>
      <w:marBottom w:val="0"/>
      <w:divBdr>
        <w:top w:val="none" w:sz="0" w:space="0" w:color="auto"/>
        <w:left w:val="none" w:sz="0" w:space="0" w:color="auto"/>
        <w:bottom w:val="none" w:sz="0" w:space="0" w:color="auto"/>
        <w:right w:val="none" w:sz="0" w:space="0" w:color="auto"/>
      </w:divBdr>
    </w:div>
    <w:div w:id="652494055">
      <w:bodyDiv w:val="1"/>
      <w:marLeft w:val="0"/>
      <w:marRight w:val="0"/>
      <w:marTop w:val="0"/>
      <w:marBottom w:val="0"/>
      <w:divBdr>
        <w:top w:val="none" w:sz="0" w:space="0" w:color="auto"/>
        <w:left w:val="none" w:sz="0" w:space="0" w:color="auto"/>
        <w:bottom w:val="none" w:sz="0" w:space="0" w:color="auto"/>
        <w:right w:val="none" w:sz="0" w:space="0" w:color="auto"/>
      </w:divBdr>
    </w:div>
    <w:div w:id="669797228">
      <w:bodyDiv w:val="1"/>
      <w:marLeft w:val="0"/>
      <w:marRight w:val="0"/>
      <w:marTop w:val="0"/>
      <w:marBottom w:val="0"/>
      <w:divBdr>
        <w:top w:val="none" w:sz="0" w:space="0" w:color="auto"/>
        <w:left w:val="none" w:sz="0" w:space="0" w:color="auto"/>
        <w:bottom w:val="none" w:sz="0" w:space="0" w:color="auto"/>
        <w:right w:val="none" w:sz="0" w:space="0" w:color="auto"/>
      </w:divBdr>
    </w:div>
    <w:div w:id="671448672">
      <w:bodyDiv w:val="1"/>
      <w:marLeft w:val="0"/>
      <w:marRight w:val="5"/>
      <w:marTop w:val="0"/>
      <w:marBottom w:val="476"/>
      <w:divBdr>
        <w:top w:val="none" w:sz="0" w:space="0" w:color="auto"/>
        <w:left w:val="none" w:sz="0" w:space="0" w:color="auto"/>
        <w:bottom w:val="none" w:sz="0" w:space="0" w:color="auto"/>
        <w:right w:val="none" w:sz="0" w:space="0" w:color="auto"/>
      </w:divBdr>
      <w:divsChild>
        <w:div w:id="1179202037">
          <w:marLeft w:val="1797"/>
          <w:marRight w:val="0"/>
          <w:marTop w:val="357"/>
          <w:marBottom w:val="238"/>
          <w:divBdr>
            <w:top w:val="none" w:sz="0" w:space="0" w:color="auto"/>
            <w:left w:val="none" w:sz="0" w:space="0" w:color="auto"/>
            <w:bottom w:val="none" w:sz="0" w:space="0" w:color="auto"/>
            <w:right w:val="none" w:sz="0" w:space="0" w:color="auto"/>
          </w:divBdr>
        </w:div>
      </w:divsChild>
    </w:div>
    <w:div w:id="674915193">
      <w:bodyDiv w:val="1"/>
      <w:marLeft w:val="0"/>
      <w:marRight w:val="0"/>
      <w:marTop w:val="0"/>
      <w:marBottom w:val="0"/>
      <w:divBdr>
        <w:top w:val="none" w:sz="0" w:space="0" w:color="auto"/>
        <w:left w:val="none" w:sz="0" w:space="0" w:color="auto"/>
        <w:bottom w:val="none" w:sz="0" w:space="0" w:color="auto"/>
        <w:right w:val="none" w:sz="0" w:space="0" w:color="auto"/>
      </w:divBdr>
    </w:div>
    <w:div w:id="682974078">
      <w:bodyDiv w:val="1"/>
      <w:marLeft w:val="0"/>
      <w:marRight w:val="0"/>
      <w:marTop w:val="0"/>
      <w:marBottom w:val="0"/>
      <w:divBdr>
        <w:top w:val="none" w:sz="0" w:space="0" w:color="auto"/>
        <w:left w:val="none" w:sz="0" w:space="0" w:color="auto"/>
        <w:bottom w:val="none" w:sz="0" w:space="0" w:color="auto"/>
        <w:right w:val="none" w:sz="0" w:space="0" w:color="auto"/>
      </w:divBdr>
    </w:div>
    <w:div w:id="710149776">
      <w:bodyDiv w:val="1"/>
      <w:marLeft w:val="0"/>
      <w:marRight w:val="0"/>
      <w:marTop w:val="0"/>
      <w:marBottom w:val="0"/>
      <w:divBdr>
        <w:top w:val="none" w:sz="0" w:space="0" w:color="auto"/>
        <w:left w:val="none" w:sz="0" w:space="0" w:color="auto"/>
        <w:bottom w:val="none" w:sz="0" w:space="0" w:color="auto"/>
        <w:right w:val="none" w:sz="0" w:space="0" w:color="auto"/>
      </w:divBdr>
    </w:div>
    <w:div w:id="721370261">
      <w:bodyDiv w:val="1"/>
      <w:marLeft w:val="0"/>
      <w:marRight w:val="0"/>
      <w:marTop w:val="0"/>
      <w:marBottom w:val="0"/>
      <w:divBdr>
        <w:top w:val="none" w:sz="0" w:space="0" w:color="auto"/>
        <w:left w:val="none" w:sz="0" w:space="0" w:color="auto"/>
        <w:bottom w:val="none" w:sz="0" w:space="0" w:color="auto"/>
        <w:right w:val="none" w:sz="0" w:space="0" w:color="auto"/>
      </w:divBdr>
    </w:div>
    <w:div w:id="725490224">
      <w:bodyDiv w:val="1"/>
      <w:marLeft w:val="0"/>
      <w:marRight w:val="0"/>
      <w:marTop w:val="0"/>
      <w:marBottom w:val="0"/>
      <w:divBdr>
        <w:top w:val="none" w:sz="0" w:space="0" w:color="auto"/>
        <w:left w:val="none" w:sz="0" w:space="0" w:color="auto"/>
        <w:bottom w:val="none" w:sz="0" w:space="0" w:color="auto"/>
        <w:right w:val="none" w:sz="0" w:space="0" w:color="auto"/>
      </w:divBdr>
    </w:div>
    <w:div w:id="726756690">
      <w:bodyDiv w:val="1"/>
      <w:marLeft w:val="0"/>
      <w:marRight w:val="0"/>
      <w:marTop w:val="0"/>
      <w:marBottom w:val="0"/>
      <w:divBdr>
        <w:top w:val="none" w:sz="0" w:space="0" w:color="auto"/>
        <w:left w:val="none" w:sz="0" w:space="0" w:color="auto"/>
        <w:bottom w:val="none" w:sz="0" w:space="0" w:color="auto"/>
        <w:right w:val="none" w:sz="0" w:space="0" w:color="auto"/>
      </w:divBdr>
    </w:div>
    <w:div w:id="735278370">
      <w:bodyDiv w:val="1"/>
      <w:marLeft w:val="0"/>
      <w:marRight w:val="0"/>
      <w:marTop w:val="0"/>
      <w:marBottom w:val="0"/>
      <w:divBdr>
        <w:top w:val="none" w:sz="0" w:space="0" w:color="auto"/>
        <w:left w:val="none" w:sz="0" w:space="0" w:color="auto"/>
        <w:bottom w:val="none" w:sz="0" w:space="0" w:color="auto"/>
        <w:right w:val="none" w:sz="0" w:space="0" w:color="auto"/>
      </w:divBdr>
    </w:div>
    <w:div w:id="739641889">
      <w:bodyDiv w:val="1"/>
      <w:marLeft w:val="0"/>
      <w:marRight w:val="0"/>
      <w:marTop w:val="0"/>
      <w:marBottom w:val="0"/>
      <w:divBdr>
        <w:top w:val="none" w:sz="0" w:space="0" w:color="auto"/>
        <w:left w:val="none" w:sz="0" w:space="0" w:color="auto"/>
        <w:bottom w:val="none" w:sz="0" w:space="0" w:color="auto"/>
        <w:right w:val="none" w:sz="0" w:space="0" w:color="auto"/>
      </w:divBdr>
    </w:div>
    <w:div w:id="741106339">
      <w:bodyDiv w:val="1"/>
      <w:marLeft w:val="0"/>
      <w:marRight w:val="0"/>
      <w:marTop w:val="0"/>
      <w:marBottom w:val="0"/>
      <w:divBdr>
        <w:top w:val="none" w:sz="0" w:space="0" w:color="auto"/>
        <w:left w:val="none" w:sz="0" w:space="0" w:color="auto"/>
        <w:bottom w:val="none" w:sz="0" w:space="0" w:color="auto"/>
        <w:right w:val="none" w:sz="0" w:space="0" w:color="auto"/>
      </w:divBdr>
    </w:div>
    <w:div w:id="741683466">
      <w:bodyDiv w:val="1"/>
      <w:marLeft w:val="0"/>
      <w:marRight w:val="0"/>
      <w:marTop w:val="0"/>
      <w:marBottom w:val="0"/>
      <w:divBdr>
        <w:top w:val="none" w:sz="0" w:space="0" w:color="auto"/>
        <w:left w:val="none" w:sz="0" w:space="0" w:color="auto"/>
        <w:bottom w:val="none" w:sz="0" w:space="0" w:color="auto"/>
        <w:right w:val="none" w:sz="0" w:space="0" w:color="auto"/>
      </w:divBdr>
    </w:div>
    <w:div w:id="743382586">
      <w:bodyDiv w:val="1"/>
      <w:marLeft w:val="0"/>
      <w:marRight w:val="0"/>
      <w:marTop w:val="0"/>
      <w:marBottom w:val="0"/>
      <w:divBdr>
        <w:top w:val="none" w:sz="0" w:space="0" w:color="auto"/>
        <w:left w:val="none" w:sz="0" w:space="0" w:color="auto"/>
        <w:bottom w:val="none" w:sz="0" w:space="0" w:color="auto"/>
        <w:right w:val="none" w:sz="0" w:space="0" w:color="auto"/>
      </w:divBdr>
    </w:div>
    <w:div w:id="749817247">
      <w:bodyDiv w:val="1"/>
      <w:marLeft w:val="0"/>
      <w:marRight w:val="0"/>
      <w:marTop w:val="0"/>
      <w:marBottom w:val="0"/>
      <w:divBdr>
        <w:top w:val="none" w:sz="0" w:space="0" w:color="auto"/>
        <w:left w:val="none" w:sz="0" w:space="0" w:color="auto"/>
        <w:bottom w:val="none" w:sz="0" w:space="0" w:color="auto"/>
        <w:right w:val="none" w:sz="0" w:space="0" w:color="auto"/>
      </w:divBdr>
    </w:div>
    <w:div w:id="752896701">
      <w:bodyDiv w:val="1"/>
      <w:marLeft w:val="0"/>
      <w:marRight w:val="0"/>
      <w:marTop w:val="0"/>
      <w:marBottom w:val="0"/>
      <w:divBdr>
        <w:top w:val="none" w:sz="0" w:space="0" w:color="auto"/>
        <w:left w:val="none" w:sz="0" w:space="0" w:color="auto"/>
        <w:bottom w:val="none" w:sz="0" w:space="0" w:color="auto"/>
        <w:right w:val="none" w:sz="0" w:space="0" w:color="auto"/>
      </w:divBdr>
    </w:div>
    <w:div w:id="768158201">
      <w:bodyDiv w:val="1"/>
      <w:marLeft w:val="0"/>
      <w:marRight w:val="0"/>
      <w:marTop w:val="0"/>
      <w:marBottom w:val="0"/>
      <w:divBdr>
        <w:top w:val="none" w:sz="0" w:space="0" w:color="auto"/>
        <w:left w:val="none" w:sz="0" w:space="0" w:color="auto"/>
        <w:bottom w:val="none" w:sz="0" w:space="0" w:color="auto"/>
        <w:right w:val="none" w:sz="0" w:space="0" w:color="auto"/>
      </w:divBdr>
    </w:div>
    <w:div w:id="768231625">
      <w:bodyDiv w:val="1"/>
      <w:marLeft w:val="0"/>
      <w:marRight w:val="0"/>
      <w:marTop w:val="0"/>
      <w:marBottom w:val="0"/>
      <w:divBdr>
        <w:top w:val="none" w:sz="0" w:space="0" w:color="auto"/>
        <w:left w:val="none" w:sz="0" w:space="0" w:color="auto"/>
        <w:bottom w:val="none" w:sz="0" w:space="0" w:color="auto"/>
        <w:right w:val="none" w:sz="0" w:space="0" w:color="auto"/>
      </w:divBdr>
    </w:div>
    <w:div w:id="769392725">
      <w:bodyDiv w:val="1"/>
      <w:marLeft w:val="0"/>
      <w:marRight w:val="5"/>
      <w:marTop w:val="0"/>
      <w:marBottom w:val="476"/>
      <w:divBdr>
        <w:top w:val="none" w:sz="0" w:space="0" w:color="auto"/>
        <w:left w:val="none" w:sz="0" w:space="0" w:color="auto"/>
        <w:bottom w:val="none" w:sz="0" w:space="0" w:color="auto"/>
        <w:right w:val="none" w:sz="0" w:space="0" w:color="auto"/>
      </w:divBdr>
      <w:divsChild>
        <w:div w:id="1951161185">
          <w:marLeft w:val="1797"/>
          <w:marRight w:val="0"/>
          <w:marTop w:val="357"/>
          <w:marBottom w:val="238"/>
          <w:divBdr>
            <w:top w:val="none" w:sz="0" w:space="0" w:color="auto"/>
            <w:left w:val="none" w:sz="0" w:space="0" w:color="auto"/>
            <w:bottom w:val="none" w:sz="0" w:space="0" w:color="auto"/>
            <w:right w:val="none" w:sz="0" w:space="0" w:color="auto"/>
          </w:divBdr>
        </w:div>
      </w:divsChild>
    </w:div>
    <w:div w:id="778261060">
      <w:bodyDiv w:val="1"/>
      <w:marLeft w:val="0"/>
      <w:marRight w:val="0"/>
      <w:marTop w:val="0"/>
      <w:marBottom w:val="0"/>
      <w:divBdr>
        <w:top w:val="none" w:sz="0" w:space="0" w:color="auto"/>
        <w:left w:val="none" w:sz="0" w:space="0" w:color="auto"/>
        <w:bottom w:val="none" w:sz="0" w:space="0" w:color="auto"/>
        <w:right w:val="none" w:sz="0" w:space="0" w:color="auto"/>
      </w:divBdr>
    </w:div>
    <w:div w:id="780685440">
      <w:bodyDiv w:val="1"/>
      <w:marLeft w:val="0"/>
      <w:marRight w:val="0"/>
      <w:marTop w:val="0"/>
      <w:marBottom w:val="0"/>
      <w:divBdr>
        <w:top w:val="none" w:sz="0" w:space="0" w:color="auto"/>
        <w:left w:val="none" w:sz="0" w:space="0" w:color="auto"/>
        <w:bottom w:val="none" w:sz="0" w:space="0" w:color="auto"/>
        <w:right w:val="none" w:sz="0" w:space="0" w:color="auto"/>
      </w:divBdr>
    </w:div>
    <w:div w:id="781346195">
      <w:bodyDiv w:val="1"/>
      <w:marLeft w:val="0"/>
      <w:marRight w:val="0"/>
      <w:marTop w:val="0"/>
      <w:marBottom w:val="0"/>
      <w:divBdr>
        <w:top w:val="none" w:sz="0" w:space="0" w:color="auto"/>
        <w:left w:val="none" w:sz="0" w:space="0" w:color="auto"/>
        <w:bottom w:val="none" w:sz="0" w:space="0" w:color="auto"/>
        <w:right w:val="none" w:sz="0" w:space="0" w:color="auto"/>
      </w:divBdr>
    </w:div>
    <w:div w:id="787622162">
      <w:bodyDiv w:val="1"/>
      <w:marLeft w:val="0"/>
      <w:marRight w:val="0"/>
      <w:marTop w:val="0"/>
      <w:marBottom w:val="0"/>
      <w:divBdr>
        <w:top w:val="none" w:sz="0" w:space="0" w:color="auto"/>
        <w:left w:val="none" w:sz="0" w:space="0" w:color="auto"/>
        <w:bottom w:val="none" w:sz="0" w:space="0" w:color="auto"/>
        <w:right w:val="none" w:sz="0" w:space="0" w:color="auto"/>
      </w:divBdr>
    </w:div>
    <w:div w:id="797188947">
      <w:bodyDiv w:val="1"/>
      <w:marLeft w:val="0"/>
      <w:marRight w:val="0"/>
      <w:marTop w:val="0"/>
      <w:marBottom w:val="0"/>
      <w:divBdr>
        <w:top w:val="none" w:sz="0" w:space="0" w:color="auto"/>
        <w:left w:val="none" w:sz="0" w:space="0" w:color="auto"/>
        <w:bottom w:val="none" w:sz="0" w:space="0" w:color="auto"/>
        <w:right w:val="none" w:sz="0" w:space="0" w:color="auto"/>
      </w:divBdr>
    </w:div>
    <w:div w:id="799998517">
      <w:bodyDiv w:val="1"/>
      <w:marLeft w:val="0"/>
      <w:marRight w:val="0"/>
      <w:marTop w:val="0"/>
      <w:marBottom w:val="0"/>
      <w:divBdr>
        <w:top w:val="none" w:sz="0" w:space="0" w:color="auto"/>
        <w:left w:val="none" w:sz="0" w:space="0" w:color="auto"/>
        <w:bottom w:val="none" w:sz="0" w:space="0" w:color="auto"/>
        <w:right w:val="none" w:sz="0" w:space="0" w:color="auto"/>
      </w:divBdr>
    </w:div>
    <w:div w:id="802775874">
      <w:bodyDiv w:val="1"/>
      <w:marLeft w:val="0"/>
      <w:marRight w:val="0"/>
      <w:marTop w:val="0"/>
      <w:marBottom w:val="0"/>
      <w:divBdr>
        <w:top w:val="none" w:sz="0" w:space="0" w:color="auto"/>
        <w:left w:val="none" w:sz="0" w:space="0" w:color="auto"/>
        <w:bottom w:val="none" w:sz="0" w:space="0" w:color="auto"/>
        <w:right w:val="none" w:sz="0" w:space="0" w:color="auto"/>
      </w:divBdr>
    </w:div>
    <w:div w:id="805051932">
      <w:bodyDiv w:val="1"/>
      <w:marLeft w:val="0"/>
      <w:marRight w:val="0"/>
      <w:marTop w:val="0"/>
      <w:marBottom w:val="0"/>
      <w:divBdr>
        <w:top w:val="none" w:sz="0" w:space="0" w:color="auto"/>
        <w:left w:val="none" w:sz="0" w:space="0" w:color="auto"/>
        <w:bottom w:val="none" w:sz="0" w:space="0" w:color="auto"/>
        <w:right w:val="none" w:sz="0" w:space="0" w:color="auto"/>
      </w:divBdr>
    </w:div>
    <w:div w:id="812481394">
      <w:bodyDiv w:val="1"/>
      <w:marLeft w:val="0"/>
      <w:marRight w:val="0"/>
      <w:marTop w:val="0"/>
      <w:marBottom w:val="0"/>
      <w:divBdr>
        <w:top w:val="none" w:sz="0" w:space="0" w:color="auto"/>
        <w:left w:val="none" w:sz="0" w:space="0" w:color="auto"/>
        <w:bottom w:val="none" w:sz="0" w:space="0" w:color="auto"/>
        <w:right w:val="none" w:sz="0" w:space="0" w:color="auto"/>
      </w:divBdr>
    </w:div>
    <w:div w:id="814839469">
      <w:bodyDiv w:val="1"/>
      <w:marLeft w:val="0"/>
      <w:marRight w:val="0"/>
      <w:marTop w:val="0"/>
      <w:marBottom w:val="0"/>
      <w:divBdr>
        <w:top w:val="none" w:sz="0" w:space="0" w:color="auto"/>
        <w:left w:val="none" w:sz="0" w:space="0" w:color="auto"/>
        <w:bottom w:val="none" w:sz="0" w:space="0" w:color="auto"/>
        <w:right w:val="none" w:sz="0" w:space="0" w:color="auto"/>
      </w:divBdr>
    </w:div>
    <w:div w:id="820077774">
      <w:bodyDiv w:val="1"/>
      <w:marLeft w:val="0"/>
      <w:marRight w:val="0"/>
      <w:marTop w:val="0"/>
      <w:marBottom w:val="0"/>
      <w:divBdr>
        <w:top w:val="none" w:sz="0" w:space="0" w:color="auto"/>
        <w:left w:val="none" w:sz="0" w:space="0" w:color="auto"/>
        <w:bottom w:val="none" w:sz="0" w:space="0" w:color="auto"/>
        <w:right w:val="none" w:sz="0" w:space="0" w:color="auto"/>
      </w:divBdr>
    </w:div>
    <w:div w:id="826441186">
      <w:bodyDiv w:val="1"/>
      <w:marLeft w:val="0"/>
      <w:marRight w:val="0"/>
      <w:marTop w:val="0"/>
      <w:marBottom w:val="0"/>
      <w:divBdr>
        <w:top w:val="none" w:sz="0" w:space="0" w:color="auto"/>
        <w:left w:val="none" w:sz="0" w:space="0" w:color="auto"/>
        <w:bottom w:val="none" w:sz="0" w:space="0" w:color="auto"/>
        <w:right w:val="none" w:sz="0" w:space="0" w:color="auto"/>
      </w:divBdr>
    </w:div>
    <w:div w:id="827134664">
      <w:bodyDiv w:val="1"/>
      <w:marLeft w:val="0"/>
      <w:marRight w:val="0"/>
      <w:marTop w:val="0"/>
      <w:marBottom w:val="0"/>
      <w:divBdr>
        <w:top w:val="none" w:sz="0" w:space="0" w:color="auto"/>
        <w:left w:val="none" w:sz="0" w:space="0" w:color="auto"/>
        <w:bottom w:val="none" w:sz="0" w:space="0" w:color="auto"/>
        <w:right w:val="none" w:sz="0" w:space="0" w:color="auto"/>
      </w:divBdr>
    </w:div>
    <w:div w:id="829366805">
      <w:bodyDiv w:val="1"/>
      <w:marLeft w:val="0"/>
      <w:marRight w:val="0"/>
      <w:marTop w:val="0"/>
      <w:marBottom w:val="0"/>
      <w:divBdr>
        <w:top w:val="none" w:sz="0" w:space="0" w:color="auto"/>
        <w:left w:val="none" w:sz="0" w:space="0" w:color="auto"/>
        <w:bottom w:val="none" w:sz="0" w:space="0" w:color="auto"/>
        <w:right w:val="none" w:sz="0" w:space="0" w:color="auto"/>
      </w:divBdr>
    </w:div>
    <w:div w:id="832137850">
      <w:bodyDiv w:val="1"/>
      <w:marLeft w:val="0"/>
      <w:marRight w:val="0"/>
      <w:marTop w:val="0"/>
      <w:marBottom w:val="0"/>
      <w:divBdr>
        <w:top w:val="none" w:sz="0" w:space="0" w:color="auto"/>
        <w:left w:val="none" w:sz="0" w:space="0" w:color="auto"/>
        <w:bottom w:val="none" w:sz="0" w:space="0" w:color="auto"/>
        <w:right w:val="none" w:sz="0" w:space="0" w:color="auto"/>
      </w:divBdr>
    </w:div>
    <w:div w:id="838273116">
      <w:bodyDiv w:val="1"/>
      <w:marLeft w:val="0"/>
      <w:marRight w:val="0"/>
      <w:marTop w:val="0"/>
      <w:marBottom w:val="0"/>
      <w:divBdr>
        <w:top w:val="none" w:sz="0" w:space="0" w:color="auto"/>
        <w:left w:val="none" w:sz="0" w:space="0" w:color="auto"/>
        <w:bottom w:val="none" w:sz="0" w:space="0" w:color="auto"/>
        <w:right w:val="none" w:sz="0" w:space="0" w:color="auto"/>
      </w:divBdr>
    </w:div>
    <w:div w:id="839999868">
      <w:bodyDiv w:val="1"/>
      <w:marLeft w:val="0"/>
      <w:marRight w:val="0"/>
      <w:marTop w:val="0"/>
      <w:marBottom w:val="0"/>
      <w:divBdr>
        <w:top w:val="none" w:sz="0" w:space="0" w:color="auto"/>
        <w:left w:val="none" w:sz="0" w:space="0" w:color="auto"/>
        <w:bottom w:val="none" w:sz="0" w:space="0" w:color="auto"/>
        <w:right w:val="none" w:sz="0" w:space="0" w:color="auto"/>
      </w:divBdr>
    </w:div>
    <w:div w:id="852453825">
      <w:bodyDiv w:val="1"/>
      <w:marLeft w:val="0"/>
      <w:marRight w:val="0"/>
      <w:marTop w:val="0"/>
      <w:marBottom w:val="0"/>
      <w:divBdr>
        <w:top w:val="none" w:sz="0" w:space="0" w:color="auto"/>
        <w:left w:val="none" w:sz="0" w:space="0" w:color="auto"/>
        <w:bottom w:val="none" w:sz="0" w:space="0" w:color="auto"/>
        <w:right w:val="none" w:sz="0" w:space="0" w:color="auto"/>
      </w:divBdr>
    </w:div>
    <w:div w:id="854223273">
      <w:bodyDiv w:val="1"/>
      <w:marLeft w:val="0"/>
      <w:marRight w:val="0"/>
      <w:marTop w:val="0"/>
      <w:marBottom w:val="0"/>
      <w:divBdr>
        <w:top w:val="none" w:sz="0" w:space="0" w:color="auto"/>
        <w:left w:val="none" w:sz="0" w:space="0" w:color="auto"/>
        <w:bottom w:val="none" w:sz="0" w:space="0" w:color="auto"/>
        <w:right w:val="none" w:sz="0" w:space="0" w:color="auto"/>
      </w:divBdr>
    </w:div>
    <w:div w:id="859707100">
      <w:bodyDiv w:val="1"/>
      <w:marLeft w:val="0"/>
      <w:marRight w:val="0"/>
      <w:marTop w:val="0"/>
      <w:marBottom w:val="0"/>
      <w:divBdr>
        <w:top w:val="none" w:sz="0" w:space="0" w:color="auto"/>
        <w:left w:val="none" w:sz="0" w:space="0" w:color="auto"/>
        <w:bottom w:val="none" w:sz="0" w:space="0" w:color="auto"/>
        <w:right w:val="none" w:sz="0" w:space="0" w:color="auto"/>
      </w:divBdr>
    </w:div>
    <w:div w:id="860824136">
      <w:bodyDiv w:val="1"/>
      <w:marLeft w:val="0"/>
      <w:marRight w:val="0"/>
      <w:marTop w:val="0"/>
      <w:marBottom w:val="0"/>
      <w:divBdr>
        <w:top w:val="none" w:sz="0" w:space="0" w:color="auto"/>
        <w:left w:val="none" w:sz="0" w:space="0" w:color="auto"/>
        <w:bottom w:val="none" w:sz="0" w:space="0" w:color="auto"/>
        <w:right w:val="none" w:sz="0" w:space="0" w:color="auto"/>
      </w:divBdr>
    </w:div>
    <w:div w:id="863400309">
      <w:bodyDiv w:val="1"/>
      <w:marLeft w:val="0"/>
      <w:marRight w:val="0"/>
      <w:marTop w:val="0"/>
      <w:marBottom w:val="0"/>
      <w:divBdr>
        <w:top w:val="none" w:sz="0" w:space="0" w:color="auto"/>
        <w:left w:val="none" w:sz="0" w:space="0" w:color="auto"/>
        <w:bottom w:val="none" w:sz="0" w:space="0" w:color="auto"/>
        <w:right w:val="none" w:sz="0" w:space="0" w:color="auto"/>
      </w:divBdr>
    </w:div>
    <w:div w:id="865019357">
      <w:bodyDiv w:val="1"/>
      <w:marLeft w:val="0"/>
      <w:marRight w:val="0"/>
      <w:marTop w:val="0"/>
      <w:marBottom w:val="0"/>
      <w:divBdr>
        <w:top w:val="none" w:sz="0" w:space="0" w:color="auto"/>
        <w:left w:val="none" w:sz="0" w:space="0" w:color="auto"/>
        <w:bottom w:val="none" w:sz="0" w:space="0" w:color="auto"/>
        <w:right w:val="none" w:sz="0" w:space="0" w:color="auto"/>
      </w:divBdr>
    </w:div>
    <w:div w:id="870924786">
      <w:bodyDiv w:val="1"/>
      <w:marLeft w:val="0"/>
      <w:marRight w:val="0"/>
      <w:marTop w:val="0"/>
      <w:marBottom w:val="0"/>
      <w:divBdr>
        <w:top w:val="none" w:sz="0" w:space="0" w:color="auto"/>
        <w:left w:val="none" w:sz="0" w:space="0" w:color="auto"/>
        <w:bottom w:val="none" w:sz="0" w:space="0" w:color="auto"/>
        <w:right w:val="none" w:sz="0" w:space="0" w:color="auto"/>
      </w:divBdr>
    </w:div>
    <w:div w:id="879321849">
      <w:bodyDiv w:val="1"/>
      <w:marLeft w:val="0"/>
      <w:marRight w:val="0"/>
      <w:marTop w:val="0"/>
      <w:marBottom w:val="0"/>
      <w:divBdr>
        <w:top w:val="none" w:sz="0" w:space="0" w:color="auto"/>
        <w:left w:val="none" w:sz="0" w:space="0" w:color="auto"/>
        <w:bottom w:val="none" w:sz="0" w:space="0" w:color="auto"/>
        <w:right w:val="none" w:sz="0" w:space="0" w:color="auto"/>
      </w:divBdr>
    </w:div>
    <w:div w:id="880020944">
      <w:bodyDiv w:val="1"/>
      <w:marLeft w:val="0"/>
      <w:marRight w:val="0"/>
      <w:marTop w:val="0"/>
      <w:marBottom w:val="0"/>
      <w:divBdr>
        <w:top w:val="none" w:sz="0" w:space="0" w:color="auto"/>
        <w:left w:val="none" w:sz="0" w:space="0" w:color="auto"/>
        <w:bottom w:val="none" w:sz="0" w:space="0" w:color="auto"/>
        <w:right w:val="none" w:sz="0" w:space="0" w:color="auto"/>
      </w:divBdr>
    </w:div>
    <w:div w:id="884487830">
      <w:bodyDiv w:val="1"/>
      <w:marLeft w:val="0"/>
      <w:marRight w:val="0"/>
      <w:marTop w:val="0"/>
      <w:marBottom w:val="0"/>
      <w:divBdr>
        <w:top w:val="none" w:sz="0" w:space="0" w:color="auto"/>
        <w:left w:val="none" w:sz="0" w:space="0" w:color="auto"/>
        <w:bottom w:val="none" w:sz="0" w:space="0" w:color="auto"/>
        <w:right w:val="none" w:sz="0" w:space="0" w:color="auto"/>
      </w:divBdr>
    </w:div>
    <w:div w:id="887760371">
      <w:bodyDiv w:val="1"/>
      <w:marLeft w:val="0"/>
      <w:marRight w:val="0"/>
      <w:marTop w:val="0"/>
      <w:marBottom w:val="0"/>
      <w:divBdr>
        <w:top w:val="none" w:sz="0" w:space="0" w:color="auto"/>
        <w:left w:val="none" w:sz="0" w:space="0" w:color="auto"/>
        <w:bottom w:val="none" w:sz="0" w:space="0" w:color="auto"/>
        <w:right w:val="none" w:sz="0" w:space="0" w:color="auto"/>
      </w:divBdr>
    </w:div>
    <w:div w:id="889269198">
      <w:bodyDiv w:val="1"/>
      <w:marLeft w:val="0"/>
      <w:marRight w:val="0"/>
      <w:marTop w:val="0"/>
      <w:marBottom w:val="0"/>
      <w:divBdr>
        <w:top w:val="none" w:sz="0" w:space="0" w:color="auto"/>
        <w:left w:val="none" w:sz="0" w:space="0" w:color="auto"/>
        <w:bottom w:val="none" w:sz="0" w:space="0" w:color="auto"/>
        <w:right w:val="none" w:sz="0" w:space="0" w:color="auto"/>
      </w:divBdr>
    </w:div>
    <w:div w:id="891304566">
      <w:bodyDiv w:val="1"/>
      <w:marLeft w:val="0"/>
      <w:marRight w:val="0"/>
      <w:marTop w:val="0"/>
      <w:marBottom w:val="0"/>
      <w:divBdr>
        <w:top w:val="none" w:sz="0" w:space="0" w:color="auto"/>
        <w:left w:val="none" w:sz="0" w:space="0" w:color="auto"/>
        <w:bottom w:val="none" w:sz="0" w:space="0" w:color="auto"/>
        <w:right w:val="none" w:sz="0" w:space="0" w:color="auto"/>
      </w:divBdr>
    </w:div>
    <w:div w:id="892934146">
      <w:bodyDiv w:val="1"/>
      <w:marLeft w:val="0"/>
      <w:marRight w:val="0"/>
      <w:marTop w:val="0"/>
      <w:marBottom w:val="0"/>
      <w:divBdr>
        <w:top w:val="none" w:sz="0" w:space="0" w:color="auto"/>
        <w:left w:val="none" w:sz="0" w:space="0" w:color="auto"/>
        <w:bottom w:val="none" w:sz="0" w:space="0" w:color="auto"/>
        <w:right w:val="none" w:sz="0" w:space="0" w:color="auto"/>
      </w:divBdr>
    </w:div>
    <w:div w:id="894118980">
      <w:bodyDiv w:val="1"/>
      <w:marLeft w:val="0"/>
      <w:marRight w:val="0"/>
      <w:marTop w:val="0"/>
      <w:marBottom w:val="0"/>
      <w:divBdr>
        <w:top w:val="none" w:sz="0" w:space="0" w:color="auto"/>
        <w:left w:val="none" w:sz="0" w:space="0" w:color="auto"/>
        <w:bottom w:val="none" w:sz="0" w:space="0" w:color="auto"/>
        <w:right w:val="none" w:sz="0" w:space="0" w:color="auto"/>
      </w:divBdr>
    </w:div>
    <w:div w:id="894315018">
      <w:bodyDiv w:val="1"/>
      <w:marLeft w:val="0"/>
      <w:marRight w:val="0"/>
      <w:marTop w:val="0"/>
      <w:marBottom w:val="0"/>
      <w:divBdr>
        <w:top w:val="none" w:sz="0" w:space="0" w:color="auto"/>
        <w:left w:val="none" w:sz="0" w:space="0" w:color="auto"/>
        <w:bottom w:val="none" w:sz="0" w:space="0" w:color="auto"/>
        <w:right w:val="none" w:sz="0" w:space="0" w:color="auto"/>
      </w:divBdr>
    </w:div>
    <w:div w:id="900096702">
      <w:bodyDiv w:val="1"/>
      <w:marLeft w:val="0"/>
      <w:marRight w:val="0"/>
      <w:marTop w:val="0"/>
      <w:marBottom w:val="0"/>
      <w:divBdr>
        <w:top w:val="none" w:sz="0" w:space="0" w:color="auto"/>
        <w:left w:val="none" w:sz="0" w:space="0" w:color="auto"/>
        <w:bottom w:val="none" w:sz="0" w:space="0" w:color="auto"/>
        <w:right w:val="none" w:sz="0" w:space="0" w:color="auto"/>
      </w:divBdr>
    </w:div>
    <w:div w:id="907305051">
      <w:bodyDiv w:val="1"/>
      <w:marLeft w:val="0"/>
      <w:marRight w:val="0"/>
      <w:marTop w:val="0"/>
      <w:marBottom w:val="0"/>
      <w:divBdr>
        <w:top w:val="none" w:sz="0" w:space="0" w:color="auto"/>
        <w:left w:val="none" w:sz="0" w:space="0" w:color="auto"/>
        <w:bottom w:val="none" w:sz="0" w:space="0" w:color="auto"/>
        <w:right w:val="none" w:sz="0" w:space="0" w:color="auto"/>
      </w:divBdr>
    </w:div>
    <w:div w:id="929045242">
      <w:bodyDiv w:val="1"/>
      <w:marLeft w:val="0"/>
      <w:marRight w:val="0"/>
      <w:marTop w:val="0"/>
      <w:marBottom w:val="0"/>
      <w:divBdr>
        <w:top w:val="none" w:sz="0" w:space="0" w:color="auto"/>
        <w:left w:val="none" w:sz="0" w:space="0" w:color="auto"/>
        <w:bottom w:val="none" w:sz="0" w:space="0" w:color="auto"/>
        <w:right w:val="none" w:sz="0" w:space="0" w:color="auto"/>
      </w:divBdr>
    </w:div>
    <w:div w:id="929198795">
      <w:bodyDiv w:val="1"/>
      <w:marLeft w:val="0"/>
      <w:marRight w:val="0"/>
      <w:marTop w:val="0"/>
      <w:marBottom w:val="0"/>
      <w:divBdr>
        <w:top w:val="none" w:sz="0" w:space="0" w:color="auto"/>
        <w:left w:val="none" w:sz="0" w:space="0" w:color="auto"/>
        <w:bottom w:val="none" w:sz="0" w:space="0" w:color="auto"/>
        <w:right w:val="none" w:sz="0" w:space="0" w:color="auto"/>
      </w:divBdr>
    </w:div>
    <w:div w:id="930624071">
      <w:bodyDiv w:val="1"/>
      <w:marLeft w:val="0"/>
      <w:marRight w:val="0"/>
      <w:marTop w:val="0"/>
      <w:marBottom w:val="0"/>
      <w:divBdr>
        <w:top w:val="none" w:sz="0" w:space="0" w:color="auto"/>
        <w:left w:val="none" w:sz="0" w:space="0" w:color="auto"/>
        <w:bottom w:val="none" w:sz="0" w:space="0" w:color="auto"/>
        <w:right w:val="none" w:sz="0" w:space="0" w:color="auto"/>
      </w:divBdr>
    </w:div>
    <w:div w:id="931087015">
      <w:bodyDiv w:val="1"/>
      <w:marLeft w:val="0"/>
      <w:marRight w:val="0"/>
      <w:marTop w:val="0"/>
      <w:marBottom w:val="0"/>
      <w:divBdr>
        <w:top w:val="none" w:sz="0" w:space="0" w:color="auto"/>
        <w:left w:val="none" w:sz="0" w:space="0" w:color="auto"/>
        <w:bottom w:val="none" w:sz="0" w:space="0" w:color="auto"/>
        <w:right w:val="none" w:sz="0" w:space="0" w:color="auto"/>
      </w:divBdr>
    </w:div>
    <w:div w:id="932057956">
      <w:bodyDiv w:val="1"/>
      <w:marLeft w:val="0"/>
      <w:marRight w:val="0"/>
      <w:marTop w:val="0"/>
      <w:marBottom w:val="0"/>
      <w:divBdr>
        <w:top w:val="none" w:sz="0" w:space="0" w:color="auto"/>
        <w:left w:val="none" w:sz="0" w:space="0" w:color="auto"/>
        <w:bottom w:val="none" w:sz="0" w:space="0" w:color="auto"/>
        <w:right w:val="none" w:sz="0" w:space="0" w:color="auto"/>
      </w:divBdr>
    </w:div>
    <w:div w:id="945581778">
      <w:bodyDiv w:val="1"/>
      <w:marLeft w:val="0"/>
      <w:marRight w:val="0"/>
      <w:marTop w:val="0"/>
      <w:marBottom w:val="0"/>
      <w:divBdr>
        <w:top w:val="none" w:sz="0" w:space="0" w:color="auto"/>
        <w:left w:val="none" w:sz="0" w:space="0" w:color="auto"/>
        <w:bottom w:val="none" w:sz="0" w:space="0" w:color="auto"/>
        <w:right w:val="none" w:sz="0" w:space="0" w:color="auto"/>
      </w:divBdr>
    </w:div>
    <w:div w:id="947352905">
      <w:bodyDiv w:val="1"/>
      <w:marLeft w:val="0"/>
      <w:marRight w:val="0"/>
      <w:marTop w:val="0"/>
      <w:marBottom w:val="0"/>
      <w:divBdr>
        <w:top w:val="none" w:sz="0" w:space="0" w:color="auto"/>
        <w:left w:val="none" w:sz="0" w:space="0" w:color="auto"/>
        <w:bottom w:val="none" w:sz="0" w:space="0" w:color="auto"/>
        <w:right w:val="none" w:sz="0" w:space="0" w:color="auto"/>
      </w:divBdr>
    </w:div>
    <w:div w:id="948582024">
      <w:bodyDiv w:val="1"/>
      <w:marLeft w:val="0"/>
      <w:marRight w:val="0"/>
      <w:marTop w:val="0"/>
      <w:marBottom w:val="0"/>
      <w:divBdr>
        <w:top w:val="none" w:sz="0" w:space="0" w:color="auto"/>
        <w:left w:val="none" w:sz="0" w:space="0" w:color="auto"/>
        <w:bottom w:val="none" w:sz="0" w:space="0" w:color="auto"/>
        <w:right w:val="none" w:sz="0" w:space="0" w:color="auto"/>
      </w:divBdr>
    </w:div>
    <w:div w:id="958947577">
      <w:bodyDiv w:val="1"/>
      <w:marLeft w:val="0"/>
      <w:marRight w:val="0"/>
      <w:marTop w:val="0"/>
      <w:marBottom w:val="0"/>
      <w:divBdr>
        <w:top w:val="none" w:sz="0" w:space="0" w:color="auto"/>
        <w:left w:val="none" w:sz="0" w:space="0" w:color="auto"/>
        <w:bottom w:val="none" w:sz="0" w:space="0" w:color="auto"/>
        <w:right w:val="none" w:sz="0" w:space="0" w:color="auto"/>
      </w:divBdr>
    </w:div>
    <w:div w:id="959338091">
      <w:bodyDiv w:val="1"/>
      <w:marLeft w:val="0"/>
      <w:marRight w:val="0"/>
      <w:marTop w:val="0"/>
      <w:marBottom w:val="0"/>
      <w:divBdr>
        <w:top w:val="none" w:sz="0" w:space="0" w:color="auto"/>
        <w:left w:val="none" w:sz="0" w:space="0" w:color="auto"/>
        <w:bottom w:val="none" w:sz="0" w:space="0" w:color="auto"/>
        <w:right w:val="none" w:sz="0" w:space="0" w:color="auto"/>
      </w:divBdr>
    </w:div>
    <w:div w:id="960838392">
      <w:bodyDiv w:val="1"/>
      <w:marLeft w:val="0"/>
      <w:marRight w:val="0"/>
      <w:marTop w:val="0"/>
      <w:marBottom w:val="0"/>
      <w:divBdr>
        <w:top w:val="none" w:sz="0" w:space="0" w:color="auto"/>
        <w:left w:val="none" w:sz="0" w:space="0" w:color="auto"/>
        <w:bottom w:val="none" w:sz="0" w:space="0" w:color="auto"/>
        <w:right w:val="none" w:sz="0" w:space="0" w:color="auto"/>
      </w:divBdr>
    </w:div>
    <w:div w:id="977340845">
      <w:bodyDiv w:val="1"/>
      <w:marLeft w:val="0"/>
      <w:marRight w:val="0"/>
      <w:marTop w:val="0"/>
      <w:marBottom w:val="0"/>
      <w:divBdr>
        <w:top w:val="none" w:sz="0" w:space="0" w:color="auto"/>
        <w:left w:val="none" w:sz="0" w:space="0" w:color="auto"/>
        <w:bottom w:val="none" w:sz="0" w:space="0" w:color="auto"/>
        <w:right w:val="none" w:sz="0" w:space="0" w:color="auto"/>
      </w:divBdr>
    </w:div>
    <w:div w:id="977606627">
      <w:bodyDiv w:val="1"/>
      <w:marLeft w:val="0"/>
      <w:marRight w:val="0"/>
      <w:marTop w:val="0"/>
      <w:marBottom w:val="0"/>
      <w:divBdr>
        <w:top w:val="none" w:sz="0" w:space="0" w:color="auto"/>
        <w:left w:val="none" w:sz="0" w:space="0" w:color="auto"/>
        <w:bottom w:val="none" w:sz="0" w:space="0" w:color="auto"/>
        <w:right w:val="none" w:sz="0" w:space="0" w:color="auto"/>
      </w:divBdr>
    </w:div>
    <w:div w:id="978681146">
      <w:bodyDiv w:val="1"/>
      <w:marLeft w:val="0"/>
      <w:marRight w:val="0"/>
      <w:marTop w:val="0"/>
      <w:marBottom w:val="0"/>
      <w:divBdr>
        <w:top w:val="none" w:sz="0" w:space="0" w:color="auto"/>
        <w:left w:val="none" w:sz="0" w:space="0" w:color="auto"/>
        <w:bottom w:val="none" w:sz="0" w:space="0" w:color="auto"/>
        <w:right w:val="none" w:sz="0" w:space="0" w:color="auto"/>
      </w:divBdr>
    </w:div>
    <w:div w:id="984816219">
      <w:bodyDiv w:val="1"/>
      <w:marLeft w:val="0"/>
      <w:marRight w:val="0"/>
      <w:marTop w:val="0"/>
      <w:marBottom w:val="0"/>
      <w:divBdr>
        <w:top w:val="none" w:sz="0" w:space="0" w:color="auto"/>
        <w:left w:val="none" w:sz="0" w:space="0" w:color="auto"/>
        <w:bottom w:val="none" w:sz="0" w:space="0" w:color="auto"/>
        <w:right w:val="none" w:sz="0" w:space="0" w:color="auto"/>
      </w:divBdr>
    </w:div>
    <w:div w:id="989287969">
      <w:bodyDiv w:val="1"/>
      <w:marLeft w:val="0"/>
      <w:marRight w:val="0"/>
      <w:marTop w:val="0"/>
      <w:marBottom w:val="0"/>
      <w:divBdr>
        <w:top w:val="none" w:sz="0" w:space="0" w:color="auto"/>
        <w:left w:val="none" w:sz="0" w:space="0" w:color="auto"/>
        <w:bottom w:val="none" w:sz="0" w:space="0" w:color="auto"/>
        <w:right w:val="none" w:sz="0" w:space="0" w:color="auto"/>
      </w:divBdr>
    </w:div>
    <w:div w:id="990912096">
      <w:bodyDiv w:val="1"/>
      <w:marLeft w:val="0"/>
      <w:marRight w:val="0"/>
      <w:marTop w:val="0"/>
      <w:marBottom w:val="0"/>
      <w:divBdr>
        <w:top w:val="none" w:sz="0" w:space="0" w:color="auto"/>
        <w:left w:val="none" w:sz="0" w:space="0" w:color="auto"/>
        <w:bottom w:val="none" w:sz="0" w:space="0" w:color="auto"/>
        <w:right w:val="none" w:sz="0" w:space="0" w:color="auto"/>
      </w:divBdr>
    </w:div>
    <w:div w:id="993340568">
      <w:bodyDiv w:val="1"/>
      <w:marLeft w:val="0"/>
      <w:marRight w:val="0"/>
      <w:marTop w:val="0"/>
      <w:marBottom w:val="0"/>
      <w:divBdr>
        <w:top w:val="none" w:sz="0" w:space="0" w:color="auto"/>
        <w:left w:val="none" w:sz="0" w:space="0" w:color="auto"/>
        <w:bottom w:val="none" w:sz="0" w:space="0" w:color="auto"/>
        <w:right w:val="none" w:sz="0" w:space="0" w:color="auto"/>
      </w:divBdr>
    </w:div>
    <w:div w:id="996105267">
      <w:bodyDiv w:val="1"/>
      <w:marLeft w:val="0"/>
      <w:marRight w:val="0"/>
      <w:marTop w:val="0"/>
      <w:marBottom w:val="0"/>
      <w:divBdr>
        <w:top w:val="none" w:sz="0" w:space="0" w:color="auto"/>
        <w:left w:val="none" w:sz="0" w:space="0" w:color="auto"/>
        <w:bottom w:val="none" w:sz="0" w:space="0" w:color="auto"/>
        <w:right w:val="none" w:sz="0" w:space="0" w:color="auto"/>
      </w:divBdr>
    </w:div>
    <w:div w:id="1002853150">
      <w:bodyDiv w:val="1"/>
      <w:marLeft w:val="0"/>
      <w:marRight w:val="0"/>
      <w:marTop w:val="0"/>
      <w:marBottom w:val="0"/>
      <w:divBdr>
        <w:top w:val="none" w:sz="0" w:space="0" w:color="auto"/>
        <w:left w:val="none" w:sz="0" w:space="0" w:color="auto"/>
        <w:bottom w:val="none" w:sz="0" w:space="0" w:color="auto"/>
        <w:right w:val="none" w:sz="0" w:space="0" w:color="auto"/>
      </w:divBdr>
    </w:div>
    <w:div w:id="1008020717">
      <w:bodyDiv w:val="1"/>
      <w:marLeft w:val="0"/>
      <w:marRight w:val="0"/>
      <w:marTop w:val="0"/>
      <w:marBottom w:val="0"/>
      <w:divBdr>
        <w:top w:val="none" w:sz="0" w:space="0" w:color="auto"/>
        <w:left w:val="none" w:sz="0" w:space="0" w:color="auto"/>
        <w:bottom w:val="none" w:sz="0" w:space="0" w:color="auto"/>
        <w:right w:val="none" w:sz="0" w:space="0" w:color="auto"/>
      </w:divBdr>
    </w:div>
    <w:div w:id="1016033652">
      <w:bodyDiv w:val="1"/>
      <w:marLeft w:val="0"/>
      <w:marRight w:val="0"/>
      <w:marTop w:val="0"/>
      <w:marBottom w:val="0"/>
      <w:divBdr>
        <w:top w:val="none" w:sz="0" w:space="0" w:color="auto"/>
        <w:left w:val="none" w:sz="0" w:space="0" w:color="auto"/>
        <w:bottom w:val="none" w:sz="0" w:space="0" w:color="auto"/>
        <w:right w:val="none" w:sz="0" w:space="0" w:color="auto"/>
      </w:divBdr>
    </w:div>
    <w:div w:id="1018889379">
      <w:bodyDiv w:val="1"/>
      <w:marLeft w:val="0"/>
      <w:marRight w:val="0"/>
      <w:marTop w:val="0"/>
      <w:marBottom w:val="0"/>
      <w:divBdr>
        <w:top w:val="none" w:sz="0" w:space="0" w:color="auto"/>
        <w:left w:val="none" w:sz="0" w:space="0" w:color="auto"/>
        <w:bottom w:val="none" w:sz="0" w:space="0" w:color="auto"/>
        <w:right w:val="none" w:sz="0" w:space="0" w:color="auto"/>
      </w:divBdr>
    </w:div>
    <w:div w:id="1020664406">
      <w:bodyDiv w:val="1"/>
      <w:marLeft w:val="0"/>
      <w:marRight w:val="0"/>
      <w:marTop w:val="0"/>
      <w:marBottom w:val="0"/>
      <w:divBdr>
        <w:top w:val="none" w:sz="0" w:space="0" w:color="auto"/>
        <w:left w:val="none" w:sz="0" w:space="0" w:color="auto"/>
        <w:bottom w:val="none" w:sz="0" w:space="0" w:color="auto"/>
        <w:right w:val="none" w:sz="0" w:space="0" w:color="auto"/>
      </w:divBdr>
    </w:div>
    <w:div w:id="1037582807">
      <w:bodyDiv w:val="1"/>
      <w:marLeft w:val="0"/>
      <w:marRight w:val="0"/>
      <w:marTop w:val="0"/>
      <w:marBottom w:val="0"/>
      <w:divBdr>
        <w:top w:val="none" w:sz="0" w:space="0" w:color="auto"/>
        <w:left w:val="none" w:sz="0" w:space="0" w:color="auto"/>
        <w:bottom w:val="none" w:sz="0" w:space="0" w:color="auto"/>
        <w:right w:val="none" w:sz="0" w:space="0" w:color="auto"/>
      </w:divBdr>
    </w:div>
    <w:div w:id="1039892023">
      <w:bodyDiv w:val="1"/>
      <w:marLeft w:val="0"/>
      <w:marRight w:val="0"/>
      <w:marTop w:val="0"/>
      <w:marBottom w:val="0"/>
      <w:divBdr>
        <w:top w:val="none" w:sz="0" w:space="0" w:color="auto"/>
        <w:left w:val="none" w:sz="0" w:space="0" w:color="auto"/>
        <w:bottom w:val="none" w:sz="0" w:space="0" w:color="auto"/>
        <w:right w:val="none" w:sz="0" w:space="0" w:color="auto"/>
      </w:divBdr>
    </w:div>
    <w:div w:id="1042562775">
      <w:bodyDiv w:val="1"/>
      <w:marLeft w:val="0"/>
      <w:marRight w:val="0"/>
      <w:marTop w:val="0"/>
      <w:marBottom w:val="0"/>
      <w:divBdr>
        <w:top w:val="none" w:sz="0" w:space="0" w:color="auto"/>
        <w:left w:val="none" w:sz="0" w:space="0" w:color="auto"/>
        <w:bottom w:val="none" w:sz="0" w:space="0" w:color="auto"/>
        <w:right w:val="none" w:sz="0" w:space="0" w:color="auto"/>
      </w:divBdr>
    </w:div>
    <w:div w:id="1047602166">
      <w:bodyDiv w:val="1"/>
      <w:marLeft w:val="0"/>
      <w:marRight w:val="0"/>
      <w:marTop w:val="0"/>
      <w:marBottom w:val="0"/>
      <w:divBdr>
        <w:top w:val="none" w:sz="0" w:space="0" w:color="auto"/>
        <w:left w:val="none" w:sz="0" w:space="0" w:color="auto"/>
        <w:bottom w:val="none" w:sz="0" w:space="0" w:color="auto"/>
        <w:right w:val="none" w:sz="0" w:space="0" w:color="auto"/>
      </w:divBdr>
    </w:div>
    <w:div w:id="1050112964">
      <w:bodyDiv w:val="1"/>
      <w:marLeft w:val="0"/>
      <w:marRight w:val="0"/>
      <w:marTop w:val="0"/>
      <w:marBottom w:val="0"/>
      <w:divBdr>
        <w:top w:val="none" w:sz="0" w:space="0" w:color="auto"/>
        <w:left w:val="none" w:sz="0" w:space="0" w:color="auto"/>
        <w:bottom w:val="none" w:sz="0" w:space="0" w:color="auto"/>
        <w:right w:val="none" w:sz="0" w:space="0" w:color="auto"/>
      </w:divBdr>
    </w:div>
    <w:div w:id="1065563307">
      <w:bodyDiv w:val="1"/>
      <w:marLeft w:val="0"/>
      <w:marRight w:val="0"/>
      <w:marTop w:val="0"/>
      <w:marBottom w:val="0"/>
      <w:divBdr>
        <w:top w:val="none" w:sz="0" w:space="0" w:color="auto"/>
        <w:left w:val="none" w:sz="0" w:space="0" w:color="auto"/>
        <w:bottom w:val="none" w:sz="0" w:space="0" w:color="auto"/>
        <w:right w:val="none" w:sz="0" w:space="0" w:color="auto"/>
      </w:divBdr>
    </w:div>
    <w:div w:id="1070231515">
      <w:bodyDiv w:val="1"/>
      <w:marLeft w:val="0"/>
      <w:marRight w:val="0"/>
      <w:marTop w:val="0"/>
      <w:marBottom w:val="0"/>
      <w:divBdr>
        <w:top w:val="none" w:sz="0" w:space="0" w:color="auto"/>
        <w:left w:val="none" w:sz="0" w:space="0" w:color="auto"/>
        <w:bottom w:val="none" w:sz="0" w:space="0" w:color="auto"/>
        <w:right w:val="none" w:sz="0" w:space="0" w:color="auto"/>
      </w:divBdr>
    </w:div>
    <w:div w:id="1078331156">
      <w:bodyDiv w:val="1"/>
      <w:marLeft w:val="0"/>
      <w:marRight w:val="0"/>
      <w:marTop w:val="0"/>
      <w:marBottom w:val="0"/>
      <w:divBdr>
        <w:top w:val="none" w:sz="0" w:space="0" w:color="auto"/>
        <w:left w:val="none" w:sz="0" w:space="0" w:color="auto"/>
        <w:bottom w:val="none" w:sz="0" w:space="0" w:color="auto"/>
        <w:right w:val="none" w:sz="0" w:space="0" w:color="auto"/>
      </w:divBdr>
    </w:div>
    <w:div w:id="1082989125">
      <w:bodyDiv w:val="1"/>
      <w:marLeft w:val="0"/>
      <w:marRight w:val="0"/>
      <w:marTop w:val="0"/>
      <w:marBottom w:val="0"/>
      <w:divBdr>
        <w:top w:val="none" w:sz="0" w:space="0" w:color="auto"/>
        <w:left w:val="none" w:sz="0" w:space="0" w:color="auto"/>
        <w:bottom w:val="none" w:sz="0" w:space="0" w:color="auto"/>
        <w:right w:val="none" w:sz="0" w:space="0" w:color="auto"/>
      </w:divBdr>
    </w:div>
    <w:div w:id="1086420609">
      <w:bodyDiv w:val="1"/>
      <w:marLeft w:val="0"/>
      <w:marRight w:val="0"/>
      <w:marTop w:val="0"/>
      <w:marBottom w:val="0"/>
      <w:divBdr>
        <w:top w:val="none" w:sz="0" w:space="0" w:color="auto"/>
        <w:left w:val="none" w:sz="0" w:space="0" w:color="auto"/>
        <w:bottom w:val="none" w:sz="0" w:space="0" w:color="auto"/>
        <w:right w:val="none" w:sz="0" w:space="0" w:color="auto"/>
      </w:divBdr>
    </w:div>
    <w:div w:id="1095397102">
      <w:bodyDiv w:val="1"/>
      <w:marLeft w:val="0"/>
      <w:marRight w:val="0"/>
      <w:marTop w:val="0"/>
      <w:marBottom w:val="0"/>
      <w:divBdr>
        <w:top w:val="none" w:sz="0" w:space="0" w:color="auto"/>
        <w:left w:val="none" w:sz="0" w:space="0" w:color="auto"/>
        <w:bottom w:val="none" w:sz="0" w:space="0" w:color="auto"/>
        <w:right w:val="none" w:sz="0" w:space="0" w:color="auto"/>
      </w:divBdr>
    </w:div>
    <w:div w:id="1096025388">
      <w:bodyDiv w:val="1"/>
      <w:marLeft w:val="0"/>
      <w:marRight w:val="0"/>
      <w:marTop w:val="0"/>
      <w:marBottom w:val="0"/>
      <w:divBdr>
        <w:top w:val="none" w:sz="0" w:space="0" w:color="auto"/>
        <w:left w:val="none" w:sz="0" w:space="0" w:color="auto"/>
        <w:bottom w:val="none" w:sz="0" w:space="0" w:color="auto"/>
        <w:right w:val="none" w:sz="0" w:space="0" w:color="auto"/>
      </w:divBdr>
    </w:div>
    <w:div w:id="1106195451">
      <w:bodyDiv w:val="1"/>
      <w:marLeft w:val="0"/>
      <w:marRight w:val="0"/>
      <w:marTop w:val="0"/>
      <w:marBottom w:val="0"/>
      <w:divBdr>
        <w:top w:val="none" w:sz="0" w:space="0" w:color="auto"/>
        <w:left w:val="none" w:sz="0" w:space="0" w:color="auto"/>
        <w:bottom w:val="none" w:sz="0" w:space="0" w:color="auto"/>
        <w:right w:val="none" w:sz="0" w:space="0" w:color="auto"/>
      </w:divBdr>
    </w:div>
    <w:div w:id="1111628386">
      <w:bodyDiv w:val="1"/>
      <w:marLeft w:val="0"/>
      <w:marRight w:val="0"/>
      <w:marTop w:val="0"/>
      <w:marBottom w:val="0"/>
      <w:divBdr>
        <w:top w:val="none" w:sz="0" w:space="0" w:color="auto"/>
        <w:left w:val="none" w:sz="0" w:space="0" w:color="auto"/>
        <w:bottom w:val="none" w:sz="0" w:space="0" w:color="auto"/>
        <w:right w:val="none" w:sz="0" w:space="0" w:color="auto"/>
      </w:divBdr>
    </w:div>
    <w:div w:id="1112435277">
      <w:bodyDiv w:val="1"/>
      <w:marLeft w:val="0"/>
      <w:marRight w:val="0"/>
      <w:marTop w:val="0"/>
      <w:marBottom w:val="0"/>
      <w:divBdr>
        <w:top w:val="none" w:sz="0" w:space="0" w:color="auto"/>
        <w:left w:val="none" w:sz="0" w:space="0" w:color="auto"/>
        <w:bottom w:val="none" w:sz="0" w:space="0" w:color="auto"/>
        <w:right w:val="none" w:sz="0" w:space="0" w:color="auto"/>
      </w:divBdr>
    </w:div>
    <w:div w:id="1113479042">
      <w:bodyDiv w:val="1"/>
      <w:marLeft w:val="0"/>
      <w:marRight w:val="0"/>
      <w:marTop w:val="0"/>
      <w:marBottom w:val="0"/>
      <w:divBdr>
        <w:top w:val="none" w:sz="0" w:space="0" w:color="auto"/>
        <w:left w:val="none" w:sz="0" w:space="0" w:color="auto"/>
        <w:bottom w:val="none" w:sz="0" w:space="0" w:color="auto"/>
        <w:right w:val="none" w:sz="0" w:space="0" w:color="auto"/>
      </w:divBdr>
    </w:div>
    <w:div w:id="1115952184">
      <w:bodyDiv w:val="1"/>
      <w:marLeft w:val="0"/>
      <w:marRight w:val="0"/>
      <w:marTop w:val="0"/>
      <w:marBottom w:val="0"/>
      <w:divBdr>
        <w:top w:val="none" w:sz="0" w:space="0" w:color="auto"/>
        <w:left w:val="none" w:sz="0" w:space="0" w:color="auto"/>
        <w:bottom w:val="none" w:sz="0" w:space="0" w:color="auto"/>
        <w:right w:val="none" w:sz="0" w:space="0" w:color="auto"/>
      </w:divBdr>
    </w:div>
    <w:div w:id="1123617574">
      <w:bodyDiv w:val="1"/>
      <w:marLeft w:val="0"/>
      <w:marRight w:val="0"/>
      <w:marTop w:val="0"/>
      <w:marBottom w:val="0"/>
      <w:divBdr>
        <w:top w:val="none" w:sz="0" w:space="0" w:color="auto"/>
        <w:left w:val="none" w:sz="0" w:space="0" w:color="auto"/>
        <w:bottom w:val="none" w:sz="0" w:space="0" w:color="auto"/>
        <w:right w:val="none" w:sz="0" w:space="0" w:color="auto"/>
      </w:divBdr>
    </w:div>
    <w:div w:id="1144274022">
      <w:bodyDiv w:val="1"/>
      <w:marLeft w:val="0"/>
      <w:marRight w:val="0"/>
      <w:marTop w:val="0"/>
      <w:marBottom w:val="0"/>
      <w:divBdr>
        <w:top w:val="none" w:sz="0" w:space="0" w:color="auto"/>
        <w:left w:val="none" w:sz="0" w:space="0" w:color="auto"/>
        <w:bottom w:val="none" w:sz="0" w:space="0" w:color="auto"/>
        <w:right w:val="none" w:sz="0" w:space="0" w:color="auto"/>
      </w:divBdr>
    </w:div>
    <w:div w:id="1146512083">
      <w:bodyDiv w:val="1"/>
      <w:marLeft w:val="0"/>
      <w:marRight w:val="0"/>
      <w:marTop w:val="0"/>
      <w:marBottom w:val="0"/>
      <w:divBdr>
        <w:top w:val="none" w:sz="0" w:space="0" w:color="auto"/>
        <w:left w:val="none" w:sz="0" w:space="0" w:color="auto"/>
        <w:bottom w:val="none" w:sz="0" w:space="0" w:color="auto"/>
        <w:right w:val="none" w:sz="0" w:space="0" w:color="auto"/>
      </w:divBdr>
    </w:div>
    <w:div w:id="1159930066">
      <w:bodyDiv w:val="1"/>
      <w:marLeft w:val="0"/>
      <w:marRight w:val="0"/>
      <w:marTop w:val="0"/>
      <w:marBottom w:val="0"/>
      <w:divBdr>
        <w:top w:val="none" w:sz="0" w:space="0" w:color="auto"/>
        <w:left w:val="none" w:sz="0" w:space="0" w:color="auto"/>
        <w:bottom w:val="none" w:sz="0" w:space="0" w:color="auto"/>
        <w:right w:val="none" w:sz="0" w:space="0" w:color="auto"/>
      </w:divBdr>
    </w:div>
    <w:div w:id="1160124073">
      <w:bodyDiv w:val="1"/>
      <w:marLeft w:val="0"/>
      <w:marRight w:val="0"/>
      <w:marTop w:val="0"/>
      <w:marBottom w:val="0"/>
      <w:divBdr>
        <w:top w:val="none" w:sz="0" w:space="0" w:color="auto"/>
        <w:left w:val="none" w:sz="0" w:space="0" w:color="auto"/>
        <w:bottom w:val="none" w:sz="0" w:space="0" w:color="auto"/>
        <w:right w:val="none" w:sz="0" w:space="0" w:color="auto"/>
      </w:divBdr>
    </w:div>
    <w:div w:id="1172600732">
      <w:bodyDiv w:val="1"/>
      <w:marLeft w:val="0"/>
      <w:marRight w:val="0"/>
      <w:marTop w:val="0"/>
      <w:marBottom w:val="0"/>
      <w:divBdr>
        <w:top w:val="none" w:sz="0" w:space="0" w:color="auto"/>
        <w:left w:val="none" w:sz="0" w:space="0" w:color="auto"/>
        <w:bottom w:val="none" w:sz="0" w:space="0" w:color="auto"/>
        <w:right w:val="none" w:sz="0" w:space="0" w:color="auto"/>
      </w:divBdr>
    </w:div>
    <w:div w:id="1196696141">
      <w:bodyDiv w:val="1"/>
      <w:marLeft w:val="0"/>
      <w:marRight w:val="0"/>
      <w:marTop w:val="0"/>
      <w:marBottom w:val="0"/>
      <w:divBdr>
        <w:top w:val="none" w:sz="0" w:space="0" w:color="auto"/>
        <w:left w:val="none" w:sz="0" w:space="0" w:color="auto"/>
        <w:bottom w:val="none" w:sz="0" w:space="0" w:color="auto"/>
        <w:right w:val="none" w:sz="0" w:space="0" w:color="auto"/>
      </w:divBdr>
    </w:div>
    <w:div w:id="1199392374">
      <w:bodyDiv w:val="1"/>
      <w:marLeft w:val="0"/>
      <w:marRight w:val="0"/>
      <w:marTop w:val="0"/>
      <w:marBottom w:val="0"/>
      <w:divBdr>
        <w:top w:val="none" w:sz="0" w:space="0" w:color="auto"/>
        <w:left w:val="none" w:sz="0" w:space="0" w:color="auto"/>
        <w:bottom w:val="none" w:sz="0" w:space="0" w:color="auto"/>
        <w:right w:val="none" w:sz="0" w:space="0" w:color="auto"/>
      </w:divBdr>
    </w:div>
    <w:div w:id="1201284975">
      <w:bodyDiv w:val="1"/>
      <w:marLeft w:val="0"/>
      <w:marRight w:val="0"/>
      <w:marTop w:val="0"/>
      <w:marBottom w:val="0"/>
      <w:divBdr>
        <w:top w:val="none" w:sz="0" w:space="0" w:color="auto"/>
        <w:left w:val="none" w:sz="0" w:space="0" w:color="auto"/>
        <w:bottom w:val="none" w:sz="0" w:space="0" w:color="auto"/>
        <w:right w:val="none" w:sz="0" w:space="0" w:color="auto"/>
      </w:divBdr>
    </w:div>
    <w:div w:id="1202523591">
      <w:bodyDiv w:val="1"/>
      <w:marLeft w:val="0"/>
      <w:marRight w:val="0"/>
      <w:marTop w:val="0"/>
      <w:marBottom w:val="0"/>
      <w:divBdr>
        <w:top w:val="none" w:sz="0" w:space="0" w:color="auto"/>
        <w:left w:val="none" w:sz="0" w:space="0" w:color="auto"/>
        <w:bottom w:val="none" w:sz="0" w:space="0" w:color="auto"/>
        <w:right w:val="none" w:sz="0" w:space="0" w:color="auto"/>
      </w:divBdr>
    </w:div>
    <w:div w:id="1205361233">
      <w:bodyDiv w:val="1"/>
      <w:marLeft w:val="0"/>
      <w:marRight w:val="0"/>
      <w:marTop w:val="0"/>
      <w:marBottom w:val="0"/>
      <w:divBdr>
        <w:top w:val="none" w:sz="0" w:space="0" w:color="auto"/>
        <w:left w:val="none" w:sz="0" w:space="0" w:color="auto"/>
        <w:bottom w:val="none" w:sz="0" w:space="0" w:color="auto"/>
        <w:right w:val="none" w:sz="0" w:space="0" w:color="auto"/>
      </w:divBdr>
    </w:div>
    <w:div w:id="1205480396">
      <w:bodyDiv w:val="1"/>
      <w:marLeft w:val="0"/>
      <w:marRight w:val="0"/>
      <w:marTop w:val="0"/>
      <w:marBottom w:val="0"/>
      <w:divBdr>
        <w:top w:val="none" w:sz="0" w:space="0" w:color="auto"/>
        <w:left w:val="none" w:sz="0" w:space="0" w:color="auto"/>
        <w:bottom w:val="none" w:sz="0" w:space="0" w:color="auto"/>
        <w:right w:val="none" w:sz="0" w:space="0" w:color="auto"/>
      </w:divBdr>
    </w:div>
    <w:div w:id="1211307616">
      <w:bodyDiv w:val="1"/>
      <w:marLeft w:val="0"/>
      <w:marRight w:val="0"/>
      <w:marTop w:val="0"/>
      <w:marBottom w:val="0"/>
      <w:divBdr>
        <w:top w:val="none" w:sz="0" w:space="0" w:color="auto"/>
        <w:left w:val="none" w:sz="0" w:space="0" w:color="auto"/>
        <w:bottom w:val="none" w:sz="0" w:space="0" w:color="auto"/>
        <w:right w:val="none" w:sz="0" w:space="0" w:color="auto"/>
      </w:divBdr>
    </w:div>
    <w:div w:id="1220285122">
      <w:bodyDiv w:val="1"/>
      <w:marLeft w:val="0"/>
      <w:marRight w:val="0"/>
      <w:marTop w:val="0"/>
      <w:marBottom w:val="0"/>
      <w:divBdr>
        <w:top w:val="none" w:sz="0" w:space="0" w:color="auto"/>
        <w:left w:val="none" w:sz="0" w:space="0" w:color="auto"/>
        <w:bottom w:val="none" w:sz="0" w:space="0" w:color="auto"/>
        <w:right w:val="none" w:sz="0" w:space="0" w:color="auto"/>
      </w:divBdr>
    </w:div>
    <w:div w:id="1223641376">
      <w:bodyDiv w:val="1"/>
      <w:marLeft w:val="0"/>
      <w:marRight w:val="0"/>
      <w:marTop w:val="0"/>
      <w:marBottom w:val="0"/>
      <w:divBdr>
        <w:top w:val="none" w:sz="0" w:space="0" w:color="auto"/>
        <w:left w:val="none" w:sz="0" w:space="0" w:color="auto"/>
        <w:bottom w:val="none" w:sz="0" w:space="0" w:color="auto"/>
        <w:right w:val="none" w:sz="0" w:space="0" w:color="auto"/>
      </w:divBdr>
    </w:div>
    <w:div w:id="1238438951">
      <w:bodyDiv w:val="1"/>
      <w:marLeft w:val="0"/>
      <w:marRight w:val="0"/>
      <w:marTop w:val="0"/>
      <w:marBottom w:val="0"/>
      <w:divBdr>
        <w:top w:val="none" w:sz="0" w:space="0" w:color="auto"/>
        <w:left w:val="none" w:sz="0" w:space="0" w:color="auto"/>
        <w:bottom w:val="none" w:sz="0" w:space="0" w:color="auto"/>
        <w:right w:val="none" w:sz="0" w:space="0" w:color="auto"/>
      </w:divBdr>
    </w:div>
    <w:div w:id="1242061056">
      <w:bodyDiv w:val="1"/>
      <w:marLeft w:val="0"/>
      <w:marRight w:val="0"/>
      <w:marTop w:val="0"/>
      <w:marBottom w:val="0"/>
      <w:divBdr>
        <w:top w:val="none" w:sz="0" w:space="0" w:color="auto"/>
        <w:left w:val="none" w:sz="0" w:space="0" w:color="auto"/>
        <w:bottom w:val="none" w:sz="0" w:space="0" w:color="auto"/>
        <w:right w:val="none" w:sz="0" w:space="0" w:color="auto"/>
      </w:divBdr>
    </w:div>
    <w:div w:id="1242520590">
      <w:bodyDiv w:val="1"/>
      <w:marLeft w:val="0"/>
      <w:marRight w:val="0"/>
      <w:marTop w:val="0"/>
      <w:marBottom w:val="0"/>
      <w:divBdr>
        <w:top w:val="none" w:sz="0" w:space="0" w:color="auto"/>
        <w:left w:val="none" w:sz="0" w:space="0" w:color="auto"/>
        <w:bottom w:val="none" w:sz="0" w:space="0" w:color="auto"/>
        <w:right w:val="none" w:sz="0" w:space="0" w:color="auto"/>
      </w:divBdr>
    </w:div>
    <w:div w:id="1243099741">
      <w:bodyDiv w:val="1"/>
      <w:marLeft w:val="0"/>
      <w:marRight w:val="0"/>
      <w:marTop w:val="0"/>
      <w:marBottom w:val="0"/>
      <w:divBdr>
        <w:top w:val="none" w:sz="0" w:space="0" w:color="auto"/>
        <w:left w:val="none" w:sz="0" w:space="0" w:color="auto"/>
        <w:bottom w:val="none" w:sz="0" w:space="0" w:color="auto"/>
        <w:right w:val="none" w:sz="0" w:space="0" w:color="auto"/>
      </w:divBdr>
    </w:div>
    <w:div w:id="1243837480">
      <w:bodyDiv w:val="1"/>
      <w:marLeft w:val="0"/>
      <w:marRight w:val="0"/>
      <w:marTop w:val="0"/>
      <w:marBottom w:val="0"/>
      <w:divBdr>
        <w:top w:val="none" w:sz="0" w:space="0" w:color="auto"/>
        <w:left w:val="none" w:sz="0" w:space="0" w:color="auto"/>
        <w:bottom w:val="none" w:sz="0" w:space="0" w:color="auto"/>
        <w:right w:val="none" w:sz="0" w:space="0" w:color="auto"/>
      </w:divBdr>
    </w:div>
    <w:div w:id="1247225892">
      <w:bodyDiv w:val="1"/>
      <w:marLeft w:val="0"/>
      <w:marRight w:val="0"/>
      <w:marTop w:val="0"/>
      <w:marBottom w:val="0"/>
      <w:divBdr>
        <w:top w:val="none" w:sz="0" w:space="0" w:color="auto"/>
        <w:left w:val="none" w:sz="0" w:space="0" w:color="auto"/>
        <w:bottom w:val="none" w:sz="0" w:space="0" w:color="auto"/>
        <w:right w:val="none" w:sz="0" w:space="0" w:color="auto"/>
      </w:divBdr>
    </w:div>
    <w:div w:id="1248344734">
      <w:bodyDiv w:val="1"/>
      <w:marLeft w:val="0"/>
      <w:marRight w:val="0"/>
      <w:marTop w:val="0"/>
      <w:marBottom w:val="0"/>
      <w:divBdr>
        <w:top w:val="none" w:sz="0" w:space="0" w:color="auto"/>
        <w:left w:val="none" w:sz="0" w:space="0" w:color="auto"/>
        <w:bottom w:val="none" w:sz="0" w:space="0" w:color="auto"/>
        <w:right w:val="none" w:sz="0" w:space="0" w:color="auto"/>
      </w:divBdr>
    </w:div>
    <w:div w:id="1249003860">
      <w:bodyDiv w:val="1"/>
      <w:marLeft w:val="0"/>
      <w:marRight w:val="0"/>
      <w:marTop w:val="0"/>
      <w:marBottom w:val="0"/>
      <w:divBdr>
        <w:top w:val="none" w:sz="0" w:space="0" w:color="auto"/>
        <w:left w:val="none" w:sz="0" w:space="0" w:color="auto"/>
        <w:bottom w:val="none" w:sz="0" w:space="0" w:color="auto"/>
        <w:right w:val="none" w:sz="0" w:space="0" w:color="auto"/>
      </w:divBdr>
    </w:div>
    <w:div w:id="1252741641">
      <w:bodyDiv w:val="1"/>
      <w:marLeft w:val="0"/>
      <w:marRight w:val="0"/>
      <w:marTop w:val="0"/>
      <w:marBottom w:val="0"/>
      <w:divBdr>
        <w:top w:val="none" w:sz="0" w:space="0" w:color="auto"/>
        <w:left w:val="none" w:sz="0" w:space="0" w:color="auto"/>
        <w:bottom w:val="none" w:sz="0" w:space="0" w:color="auto"/>
        <w:right w:val="none" w:sz="0" w:space="0" w:color="auto"/>
      </w:divBdr>
    </w:div>
    <w:div w:id="1253473613">
      <w:bodyDiv w:val="1"/>
      <w:marLeft w:val="0"/>
      <w:marRight w:val="0"/>
      <w:marTop w:val="0"/>
      <w:marBottom w:val="0"/>
      <w:divBdr>
        <w:top w:val="none" w:sz="0" w:space="0" w:color="auto"/>
        <w:left w:val="none" w:sz="0" w:space="0" w:color="auto"/>
        <w:bottom w:val="none" w:sz="0" w:space="0" w:color="auto"/>
        <w:right w:val="none" w:sz="0" w:space="0" w:color="auto"/>
      </w:divBdr>
    </w:div>
    <w:div w:id="1255437665">
      <w:bodyDiv w:val="1"/>
      <w:marLeft w:val="0"/>
      <w:marRight w:val="0"/>
      <w:marTop w:val="0"/>
      <w:marBottom w:val="0"/>
      <w:divBdr>
        <w:top w:val="none" w:sz="0" w:space="0" w:color="auto"/>
        <w:left w:val="none" w:sz="0" w:space="0" w:color="auto"/>
        <w:bottom w:val="none" w:sz="0" w:space="0" w:color="auto"/>
        <w:right w:val="none" w:sz="0" w:space="0" w:color="auto"/>
      </w:divBdr>
    </w:div>
    <w:div w:id="1255895167">
      <w:bodyDiv w:val="1"/>
      <w:marLeft w:val="0"/>
      <w:marRight w:val="0"/>
      <w:marTop w:val="0"/>
      <w:marBottom w:val="0"/>
      <w:divBdr>
        <w:top w:val="none" w:sz="0" w:space="0" w:color="auto"/>
        <w:left w:val="none" w:sz="0" w:space="0" w:color="auto"/>
        <w:bottom w:val="none" w:sz="0" w:space="0" w:color="auto"/>
        <w:right w:val="none" w:sz="0" w:space="0" w:color="auto"/>
      </w:divBdr>
    </w:div>
    <w:div w:id="1260989813">
      <w:bodyDiv w:val="1"/>
      <w:marLeft w:val="0"/>
      <w:marRight w:val="0"/>
      <w:marTop w:val="0"/>
      <w:marBottom w:val="0"/>
      <w:divBdr>
        <w:top w:val="none" w:sz="0" w:space="0" w:color="auto"/>
        <w:left w:val="none" w:sz="0" w:space="0" w:color="auto"/>
        <w:bottom w:val="none" w:sz="0" w:space="0" w:color="auto"/>
        <w:right w:val="none" w:sz="0" w:space="0" w:color="auto"/>
      </w:divBdr>
    </w:div>
    <w:div w:id="1270628184">
      <w:bodyDiv w:val="1"/>
      <w:marLeft w:val="0"/>
      <w:marRight w:val="0"/>
      <w:marTop w:val="0"/>
      <w:marBottom w:val="0"/>
      <w:divBdr>
        <w:top w:val="none" w:sz="0" w:space="0" w:color="auto"/>
        <w:left w:val="none" w:sz="0" w:space="0" w:color="auto"/>
        <w:bottom w:val="none" w:sz="0" w:space="0" w:color="auto"/>
        <w:right w:val="none" w:sz="0" w:space="0" w:color="auto"/>
      </w:divBdr>
    </w:div>
    <w:div w:id="1271201930">
      <w:bodyDiv w:val="1"/>
      <w:marLeft w:val="0"/>
      <w:marRight w:val="0"/>
      <w:marTop w:val="0"/>
      <w:marBottom w:val="0"/>
      <w:divBdr>
        <w:top w:val="none" w:sz="0" w:space="0" w:color="auto"/>
        <w:left w:val="none" w:sz="0" w:space="0" w:color="auto"/>
        <w:bottom w:val="none" w:sz="0" w:space="0" w:color="auto"/>
        <w:right w:val="none" w:sz="0" w:space="0" w:color="auto"/>
      </w:divBdr>
    </w:div>
    <w:div w:id="1272778915">
      <w:bodyDiv w:val="1"/>
      <w:marLeft w:val="0"/>
      <w:marRight w:val="0"/>
      <w:marTop w:val="0"/>
      <w:marBottom w:val="0"/>
      <w:divBdr>
        <w:top w:val="none" w:sz="0" w:space="0" w:color="auto"/>
        <w:left w:val="none" w:sz="0" w:space="0" w:color="auto"/>
        <w:bottom w:val="none" w:sz="0" w:space="0" w:color="auto"/>
        <w:right w:val="none" w:sz="0" w:space="0" w:color="auto"/>
      </w:divBdr>
    </w:div>
    <w:div w:id="1276131619">
      <w:bodyDiv w:val="1"/>
      <w:marLeft w:val="0"/>
      <w:marRight w:val="0"/>
      <w:marTop w:val="0"/>
      <w:marBottom w:val="0"/>
      <w:divBdr>
        <w:top w:val="none" w:sz="0" w:space="0" w:color="auto"/>
        <w:left w:val="none" w:sz="0" w:space="0" w:color="auto"/>
        <w:bottom w:val="none" w:sz="0" w:space="0" w:color="auto"/>
        <w:right w:val="none" w:sz="0" w:space="0" w:color="auto"/>
      </w:divBdr>
    </w:div>
    <w:div w:id="1276596968">
      <w:bodyDiv w:val="1"/>
      <w:marLeft w:val="0"/>
      <w:marRight w:val="0"/>
      <w:marTop w:val="0"/>
      <w:marBottom w:val="0"/>
      <w:divBdr>
        <w:top w:val="none" w:sz="0" w:space="0" w:color="auto"/>
        <w:left w:val="none" w:sz="0" w:space="0" w:color="auto"/>
        <w:bottom w:val="none" w:sz="0" w:space="0" w:color="auto"/>
        <w:right w:val="none" w:sz="0" w:space="0" w:color="auto"/>
      </w:divBdr>
    </w:div>
    <w:div w:id="1276669657">
      <w:bodyDiv w:val="1"/>
      <w:marLeft w:val="0"/>
      <w:marRight w:val="0"/>
      <w:marTop w:val="0"/>
      <w:marBottom w:val="0"/>
      <w:divBdr>
        <w:top w:val="none" w:sz="0" w:space="0" w:color="auto"/>
        <w:left w:val="none" w:sz="0" w:space="0" w:color="auto"/>
        <w:bottom w:val="none" w:sz="0" w:space="0" w:color="auto"/>
        <w:right w:val="none" w:sz="0" w:space="0" w:color="auto"/>
      </w:divBdr>
    </w:div>
    <w:div w:id="1292437358">
      <w:bodyDiv w:val="1"/>
      <w:marLeft w:val="0"/>
      <w:marRight w:val="0"/>
      <w:marTop w:val="0"/>
      <w:marBottom w:val="0"/>
      <w:divBdr>
        <w:top w:val="none" w:sz="0" w:space="0" w:color="auto"/>
        <w:left w:val="none" w:sz="0" w:space="0" w:color="auto"/>
        <w:bottom w:val="none" w:sz="0" w:space="0" w:color="auto"/>
        <w:right w:val="none" w:sz="0" w:space="0" w:color="auto"/>
      </w:divBdr>
    </w:div>
    <w:div w:id="1297416402">
      <w:bodyDiv w:val="1"/>
      <w:marLeft w:val="0"/>
      <w:marRight w:val="0"/>
      <w:marTop w:val="0"/>
      <w:marBottom w:val="0"/>
      <w:divBdr>
        <w:top w:val="none" w:sz="0" w:space="0" w:color="auto"/>
        <w:left w:val="none" w:sz="0" w:space="0" w:color="auto"/>
        <w:bottom w:val="none" w:sz="0" w:space="0" w:color="auto"/>
        <w:right w:val="none" w:sz="0" w:space="0" w:color="auto"/>
      </w:divBdr>
    </w:div>
    <w:div w:id="1309702824">
      <w:bodyDiv w:val="1"/>
      <w:marLeft w:val="0"/>
      <w:marRight w:val="0"/>
      <w:marTop w:val="0"/>
      <w:marBottom w:val="0"/>
      <w:divBdr>
        <w:top w:val="none" w:sz="0" w:space="0" w:color="auto"/>
        <w:left w:val="none" w:sz="0" w:space="0" w:color="auto"/>
        <w:bottom w:val="none" w:sz="0" w:space="0" w:color="auto"/>
        <w:right w:val="none" w:sz="0" w:space="0" w:color="auto"/>
      </w:divBdr>
    </w:div>
    <w:div w:id="1313214440">
      <w:bodyDiv w:val="1"/>
      <w:marLeft w:val="0"/>
      <w:marRight w:val="5"/>
      <w:marTop w:val="0"/>
      <w:marBottom w:val="476"/>
      <w:divBdr>
        <w:top w:val="none" w:sz="0" w:space="0" w:color="auto"/>
        <w:left w:val="none" w:sz="0" w:space="0" w:color="auto"/>
        <w:bottom w:val="none" w:sz="0" w:space="0" w:color="auto"/>
        <w:right w:val="none" w:sz="0" w:space="0" w:color="auto"/>
      </w:divBdr>
      <w:divsChild>
        <w:div w:id="56320776">
          <w:marLeft w:val="1797"/>
          <w:marRight w:val="0"/>
          <w:marTop w:val="357"/>
          <w:marBottom w:val="238"/>
          <w:divBdr>
            <w:top w:val="none" w:sz="0" w:space="0" w:color="auto"/>
            <w:left w:val="none" w:sz="0" w:space="0" w:color="auto"/>
            <w:bottom w:val="none" w:sz="0" w:space="0" w:color="auto"/>
            <w:right w:val="none" w:sz="0" w:space="0" w:color="auto"/>
          </w:divBdr>
        </w:div>
      </w:divsChild>
    </w:div>
    <w:div w:id="1314142685">
      <w:bodyDiv w:val="1"/>
      <w:marLeft w:val="0"/>
      <w:marRight w:val="0"/>
      <w:marTop w:val="0"/>
      <w:marBottom w:val="0"/>
      <w:divBdr>
        <w:top w:val="none" w:sz="0" w:space="0" w:color="auto"/>
        <w:left w:val="none" w:sz="0" w:space="0" w:color="auto"/>
        <w:bottom w:val="none" w:sz="0" w:space="0" w:color="auto"/>
        <w:right w:val="none" w:sz="0" w:space="0" w:color="auto"/>
      </w:divBdr>
    </w:div>
    <w:div w:id="1317025681">
      <w:bodyDiv w:val="1"/>
      <w:marLeft w:val="0"/>
      <w:marRight w:val="0"/>
      <w:marTop w:val="0"/>
      <w:marBottom w:val="0"/>
      <w:divBdr>
        <w:top w:val="none" w:sz="0" w:space="0" w:color="auto"/>
        <w:left w:val="none" w:sz="0" w:space="0" w:color="auto"/>
        <w:bottom w:val="none" w:sz="0" w:space="0" w:color="auto"/>
        <w:right w:val="none" w:sz="0" w:space="0" w:color="auto"/>
      </w:divBdr>
    </w:div>
    <w:div w:id="1317370183">
      <w:bodyDiv w:val="1"/>
      <w:marLeft w:val="0"/>
      <w:marRight w:val="0"/>
      <w:marTop w:val="0"/>
      <w:marBottom w:val="0"/>
      <w:divBdr>
        <w:top w:val="none" w:sz="0" w:space="0" w:color="auto"/>
        <w:left w:val="none" w:sz="0" w:space="0" w:color="auto"/>
        <w:bottom w:val="none" w:sz="0" w:space="0" w:color="auto"/>
        <w:right w:val="none" w:sz="0" w:space="0" w:color="auto"/>
      </w:divBdr>
    </w:div>
    <w:div w:id="1319730193">
      <w:bodyDiv w:val="1"/>
      <w:marLeft w:val="0"/>
      <w:marRight w:val="0"/>
      <w:marTop w:val="0"/>
      <w:marBottom w:val="0"/>
      <w:divBdr>
        <w:top w:val="none" w:sz="0" w:space="0" w:color="auto"/>
        <w:left w:val="none" w:sz="0" w:space="0" w:color="auto"/>
        <w:bottom w:val="none" w:sz="0" w:space="0" w:color="auto"/>
        <w:right w:val="none" w:sz="0" w:space="0" w:color="auto"/>
      </w:divBdr>
    </w:div>
    <w:div w:id="1326055518">
      <w:bodyDiv w:val="1"/>
      <w:marLeft w:val="0"/>
      <w:marRight w:val="0"/>
      <w:marTop w:val="0"/>
      <w:marBottom w:val="0"/>
      <w:divBdr>
        <w:top w:val="none" w:sz="0" w:space="0" w:color="auto"/>
        <w:left w:val="none" w:sz="0" w:space="0" w:color="auto"/>
        <w:bottom w:val="none" w:sz="0" w:space="0" w:color="auto"/>
        <w:right w:val="none" w:sz="0" w:space="0" w:color="auto"/>
      </w:divBdr>
    </w:div>
    <w:div w:id="1326854723">
      <w:bodyDiv w:val="1"/>
      <w:marLeft w:val="0"/>
      <w:marRight w:val="0"/>
      <w:marTop w:val="0"/>
      <w:marBottom w:val="0"/>
      <w:divBdr>
        <w:top w:val="none" w:sz="0" w:space="0" w:color="auto"/>
        <w:left w:val="none" w:sz="0" w:space="0" w:color="auto"/>
        <w:bottom w:val="none" w:sz="0" w:space="0" w:color="auto"/>
        <w:right w:val="none" w:sz="0" w:space="0" w:color="auto"/>
      </w:divBdr>
    </w:div>
    <w:div w:id="1328751599">
      <w:bodyDiv w:val="1"/>
      <w:marLeft w:val="0"/>
      <w:marRight w:val="0"/>
      <w:marTop w:val="0"/>
      <w:marBottom w:val="0"/>
      <w:divBdr>
        <w:top w:val="none" w:sz="0" w:space="0" w:color="auto"/>
        <w:left w:val="none" w:sz="0" w:space="0" w:color="auto"/>
        <w:bottom w:val="none" w:sz="0" w:space="0" w:color="auto"/>
        <w:right w:val="none" w:sz="0" w:space="0" w:color="auto"/>
      </w:divBdr>
    </w:div>
    <w:div w:id="1329870727">
      <w:bodyDiv w:val="1"/>
      <w:marLeft w:val="0"/>
      <w:marRight w:val="0"/>
      <w:marTop w:val="0"/>
      <w:marBottom w:val="0"/>
      <w:divBdr>
        <w:top w:val="none" w:sz="0" w:space="0" w:color="auto"/>
        <w:left w:val="none" w:sz="0" w:space="0" w:color="auto"/>
        <w:bottom w:val="none" w:sz="0" w:space="0" w:color="auto"/>
        <w:right w:val="none" w:sz="0" w:space="0" w:color="auto"/>
      </w:divBdr>
    </w:div>
    <w:div w:id="1332366046">
      <w:bodyDiv w:val="1"/>
      <w:marLeft w:val="0"/>
      <w:marRight w:val="0"/>
      <w:marTop w:val="0"/>
      <w:marBottom w:val="0"/>
      <w:divBdr>
        <w:top w:val="none" w:sz="0" w:space="0" w:color="auto"/>
        <w:left w:val="none" w:sz="0" w:space="0" w:color="auto"/>
        <w:bottom w:val="none" w:sz="0" w:space="0" w:color="auto"/>
        <w:right w:val="none" w:sz="0" w:space="0" w:color="auto"/>
      </w:divBdr>
    </w:div>
    <w:div w:id="1336952817">
      <w:bodyDiv w:val="1"/>
      <w:marLeft w:val="0"/>
      <w:marRight w:val="0"/>
      <w:marTop w:val="0"/>
      <w:marBottom w:val="0"/>
      <w:divBdr>
        <w:top w:val="none" w:sz="0" w:space="0" w:color="auto"/>
        <w:left w:val="none" w:sz="0" w:space="0" w:color="auto"/>
        <w:bottom w:val="none" w:sz="0" w:space="0" w:color="auto"/>
        <w:right w:val="none" w:sz="0" w:space="0" w:color="auto"/>
      </w:divBdr>
    </w:div>
    <w:div w:id="1344093560">
      <w:bodyDiv w:val="1"/>
      <w:marLeft w:val="0"/>
      <w:marRight w:val="0"/>
      <w:marTop w:val="0"/>
      <w:marBottom w:val="0"/>
      <w:divBdr>
        <w:top w:val="none" w:sz="0" w:space="0" w:color="auto"/>
        <w:left w:val="none" w:sz="0" w:space="0" w:color="auto"/>
        <w:bottom w:val="none" w:sz="0" w:space="0" w:color="auto"/>
        <w:right w:val="none" w:sz="0" w:space="0" w:color="auto"/>
      </w:divBdr>
    </w:div>
    <w:div w:id="1354453382">
      <w:bodyDiv w:val="1"/>
      <w:marLeft w:val="0"/>
      <w:marRight w:val="0"/>
      <w:marTop w:val="0"/>
      <w:marBottom w:val="0"/>
      <w:divBdr>
        <w:top w:val="none" w:sz="0" w:space="0" w:color="auto"/>
        <w:left w:val="none" w:sz="0" w:space="0" w:color="auto"/>
        <w:bottom w:val="none" w:sz="0" w:space="0" w:color="auto"/>
        <w:right w:val="none" w:sz="0" w:space="0" w:color="auto"/>
      </w:divBdr>
    </w:div>
    <w:div w:id="1359548001">
      <w:bodyDiv w:val="1"/>
      <w:marLeft w:val="0"/>
      <w:marRight w:val="0"/>
      <w:marTop w:val="0"/>
      <w:marBottom w:val="0"/>
      <w:divBdr>
        <w:top w:val="none" w:sz="0" w:space="0" w:color="auto"/>
        <w:left w:val="none" w:sz="0" w:space="0" w:color="auto"/>
        <w:bottom w:val="none" w:sz="0" w:space="0" w:color="auto"/>
        <w:right w:val="none" w:sz="0" w:space="0" w:color="auto"/>
      </w:divBdr>
    </w:div>
    <w:div w:id="1360081793">
      <w:bodyDiv w:val="1"/>
      <w:marLeft w:val="0"/>
      <w:marRight w:val="0"/>
      <w:marTop w:val="0"/>
      <w:marBottom w:val="0"/>
      <w:divBdr>
        <w:top w:val="none" w:sz="0" w:space="0" w:color="auto"/>
        <w:left w:val="none" w:sz="0" w:space="0" w:color="auto"/>
        <w:bottom w:val="none" w:sz="0" w:space="0" w:color="auto"/>
        <w:right w:val="none" w:sz="0" w:space="0" w:color="auto"/>
      </w:divBdr>
    </w:div>
    <w:div w:id="1362128664">
      <w:bodyDiv w:val="1"/>
      <w:marLeft w:val="0"/>
      <w:marRight w:val="0"/>
      <w:marTop w:val="0"/>
      <w:marBottom w:val="0"/>
      <w:divBdr>
        <w:top w:val="none" w:sz="0" w:space="0" w:color="auto"/>
        <w:left w:val="none" w:sz="0" w:space="0" w:color="auto"/>
        <w:bottom w:val="none" w:sz="0" w:space="0" w:color="auto"/>
        <w:right w:val="none" w:sz="0" w:space="0" w:color="auto"/>
      </w:divBdr>
    </w:div>
    <w:div w:id="1373461038">
      <w:bodyDiv w:val="1"/>
      <w:marLeft w:val="0"/>
      <w:marRight w:val="0"/>
      <w:marTop w:val="0"/>
      <w:marBottom w:val="0"/>
      <w:divBdr>
        <w:top w:val="none" w:sz="0" w:space="0" w:color="auto"/>
        <w:left w:val="none" w:sz="0" w:space="0" w:color="auto"/>
        <w:bottom w:val="none" w:sz="0" w:space="0" w:color="auto"/>
        <w:right w:val="none" w:sz="0" w:space="0" w:color="auto"/>
      </w:divBdr>
    </w:div>
    <w:div w:id="1378972165">
      <w:bodyDiv w:val="1"/>
      <w:marLeft w:val="0"/>
      <w:marRight w:val="0"/>
      <w:marTop w:val="0"/>
      <w:marBottom w:val="0"/>
      <w:divBdr>
        <w:top w:val="none" w:sz="0" w:space="0" w:color="auto"/>
        <w:left w:val="none" w:sz="0" w:space="0" w:color="auto"/>
        <w:bottom w:val="none" w:sz="0" w:space="0" w:color="auto"/>
        <w:right w:val="none" w:sz="0" w:space="0" w:color="auto"/>
      </w:divBdr>
    </w:div>
    <w:div w:id="1386680067">
      <w:bodyDiv w:val="1"/>
      <w:marLeft w:val="0"/>
      <w:marRight w:val="0"/>
      <w:marTop w:val="0"/>
      <w:marBottom w:val="0"/>
      <w:divBdr>
        <w:top w:val="none" w:sz="0" w:space="0" w:color="auto"/>
        <w:left w:val="none" w:sz="0" w:space="0" w:color="auto"/>
        <w:bottom w:val="none" w:sz="0" w:space="0" w:color="auto"/>
        <w:right w:val="none" w:sz="0" w:space="0" w:color="auto"/>
      </w:divBdr>
    </w:div>
    <w:div w:id="1392580735">
      <w:bodyDiv w:val="1"/>
      <w:marLeft w:val="0"/>
      <w:marRight w:val="0"/>
      <w:marTop w:val="0"/>
      <w:marBottom w:val="0"/>
      <w:divBdr>
        <w:top w:val="none" w:sz="0" w:space="0" w:color="auto"/>
        <w:left w:val="none" w:sz="0" w:space="0" w:color="auto"/>
        <w:bottom w:val="none" w:sz="0" w:space="0" w:color="auto"/>
        <w:right w:val="none" w:sz="0" w:space="0" w:color="auto"/>
      </w:divBdr>
    </w:div>
    <w:div w:id="1393773064">
      <w:bodyDiv w:val="1"/>
      <w:marLeft w:val="0"/>
      <w:marRight w:val="0"/>
      <w:marTop w:val="0"/>
      <w:marBottom w:val="0"/>
      <w:divBdr>
        <w:top w:val="none" w:sz="0" w:space="0" w:color="auto"/>
        <w:left w:val="none" w:sz="0" w:space="0" w:color="auto"/>
        <w:bottom w:val="none" w:sz="0" w:space="0" w:color="auto"/>
        <w:right w:val="none" w:sz="0" w:space="0" w:color="auto"/>
      </w:divBdr>
    </w:div>
    <w:div w:id="1394280781">
      <w:bodyDiv w:val="1"/>
      <w:marLeft w:val="0"/>
      <w:marRight w:val="0"/>
      <w:marTop w:val="0"/>
      <w:marBottom w:val="0"/>
      <w:divBdr>
        <w:top w:val="none" w:sz="0" w:space="0" w:color="auto"/>
        <w:left w:val="none" w:sz="0" w:space="0" w:color="auto"/>
        <w:bottom w:val="none" w:sz="0" w:space="0" w:color="auto"/>
        <w:right w:val="none" w:sz="0" w:space="0" w:color="auto"/>
      </w:divBdr>
    </w:div>
    <w:div w:id="1400136105">
      <w:bodyDiv w:val="1"/>
      <w:marLeft w:val="0"/>
      <w:marRight w:val="0"/>
      <w:marTop w:val="0"/>
      <w:marBottom w:val="0"/>
      <w:divBdr>
        <w:top w:val="none" w:sz="0" w:space="0" w:color="auto"/>
        <w:left w:val="none" w:sz="0" w:space="0" w:color="auto"/>
        <w:bottom w:val="none" w:sz="0" w:space="0" w:color="auto"/>
        <w:right w:val="none" w:sz="0" w:space="0" w:color="auto"/>
      </w:divBdr>
    </w:div>
    <w:div w:id="1411346348">
      <w:bodyDiv w:val="1"/>
      <w:marLeft w:val="0"/>
      <w:marRight w:val="0"/>
      <w:marTop w:val="0"/>
      <w:marBottom w:val="0"/>
      <w:divBdr>
        <w:top w:val="none" w:sz="0" w:space="0" w:color="auto"/>
        <w:left w:val="none" w:sz="0" w:space="0" w:color="auto"/>
        <w:bottom w:val="none" w:sz="0" w:space="0" w:color="auto"/>
        <w:right w:val="none" w:sz="0" w:space="0" w:color="auto"/>
      </w:divBdr>
    </w:div>
    <w:div w:id="1420056988">
      <w:bodyDiv w:val="1"/>
      <w:marLeft w:val="0"/>
      <w:marRight w:val="0"/>
      <w:marTop w:val="0"/>
      <w:marBottom w:val="0"/>
      <w:divBdr>
        <w:top w:val="none" w:sz="0" w:space="0" w:color="auto"/>
        <w:left w:val="none" w:sz="0" w:space="0" w:color="auto"/>
        <w:bottom w:val="none" w:sz="0" w:space="0" w:color="auto"/>
        <w:right w:val="none" w:sz="0" w:space="0" w:color="auto"/>
      </w:divBdr>
    </w:div>
    <w:div w:id="1431315626">
      <w:bodyDiv w:val="1"/>
      <w:marLeft w:val="0"/>
      <w:marRight w:val="0"/>
      <w:marTop w:val="0"/>
      <w:marBottom w:val="0"/>
      <w:divBdr>
        <w:top w:val="none" w:sz="0" w:space="0" w:color="auto"/>
        <w:left w:val="none" w:sz="0" w:space="0" w:color="auto"/>
        <w:bottom w:val="none" w:sz="0" w:space="0" w:color="auto"/>
        <w:right w:val="none" w:sz="0" w:space="0" w:color="auto"/>
      </w:divBdr>
    </w:div>
    <w:div w:id="1434981399">
      <w:bodyDiv w:val="1"/>
      <w:marLeft w:val="0"/>
      <w:marRight w:val="0"/>
      <w:marTop w:val="0"/>
      <w:marBottom w:val="0"/>
      <w:divBdr>
        <w:top w:val="none" w:sz="0" w:space="0" w:color="auto"/>
        <w:left w:val="none" w:sz="0" w:space="0" w:color="auto"/>
        <w:bottom w:val="none" w:sz="0" w:space="0" w:color="auto"/>
        <w:right w:val="none" w:sz="0" w:space="0" w:color="auto"/>
      </w:divBdr>
    </w:div>
    <w:div w:id="1438062545">
      <w:bodyDiv w:val="1"/>
      <w:marLeft w:val="0"/>
      <w:marRight w:val="0"/>
      <w:marTop w:val="0"/>
      <w:marBottom w:val="0"/>
      <w:divBdr>
        <w:top w:val="none" w:sz="0" w:space="0" w:color="auto"/>
        <w:left w:val="none" w:sz="0" w:space="0" w:color="auto"/>
        <w:bottom w:val="none" w:sz="0" w:space="0" w:color="auto"/>
        <w:right w:val="none" w:sz="0" w:space="0" w:color="auto"/>
      </w:divBdr>
    </w:div>
    <w:div w:id="1450590835">
      <w:bodyDiv w:val="1"/>
      <w:marLeft w:val="0"/>
      <w:marRight w:val="0"/>
      <w:marTop w:val="0"/>
      <w:marBottom w:val="0"/>
      <w:divBdr>
        <w:top w:val="none" w:sz="0" w:space="0" w:color="auto"/>
        <w:left w:val="none" w:sz="0" w:space="0" w:color="auto"/>
        <w:bottom w:val="none" w:sz="0" w:space="0" w:color="auto"/>
        <w:right w:val="none" w:sz="0" w:space="0" w:color="auto"/>
      </w:divBdr>
    </w:div>
    <w:div w:id="1453744147">
      <w:bodyDiv w:val="1"/>
      <w:marLeft w:val="0"/>
      <w:marRight w:val="0"/>
      <w:marTop w:val="0"/>
      <w:marBottom w:val="0"/>
      <w:divBdr>
        <w:top w:val="none" w:sz="0" w:space="0" w:color="auto"/>
        <w:left w:val="none" w:sz="0" w:space="0" w:color="auto"/>
        <w:bottom w:val="none" w:sz="0" w:space="0" w:color="auto"/>
        <w:right w:val="none" w:sz="0" w:space="0" w:color="auto"/>
      </w:divBdr>
    </w:div>
    <w:div w:id="1456949487">
      <w:bodyDiv w:val="1"/>
      <w:marLeft w:val="0"/>
      <w:marRight w:val="0"/>
      <w:marTop w:val="0"/>
      <w:marBottom w:val="0"/>
      <w:divBdr>
        <w:top w:val="none" w:sz="0" w:space="0" w:color="auto"/>
        <w:left w:val="none" w:sz="0" w:space="0" w:color="auto"/>
        <w:bottom w:val="none" w:sz="0" w:space="0" w:color="auto"/>
        <w:right w:val="none" w:sz="0" w:space="0" w:color="auto"/>
      </w:divBdr>
    </w:div>
    <w:div w:id="1460301656">
      <w:bodyDiv w:val="1"/>
      <w:marLeft w:val="0"/>
      <w:marRight w:val="0"/>
      <w:marTop w:val="0"/>
      <w:marBottom w:val="0"/>
      <w:divBdr>
        <w:top w:val="none" w:sz="0" w:space="0" w:color="auto"/>
        <w:left w:val="none" w:sz="0" w:space="0" w:color="auto"/>
        <w:bottom w:val="none" w:sz="0" w:space="0" w:color="auto"/>
        <w:right w:val="none" w:sz="0" w:space="0" w:color="auto"/>
      </w:divBdr>
    </w:div>
    <w:div w:id="1462073232">
      <w:bodyDiv w:val="1"/>
      <w:marLeft w:val="0"/>
      <w:marRight w:val="0"/>
      <w:marTop w:val="0"/>
      <w:marBottom w:val="0"/>
      <w:divBdr>
        <w:top w:val="none" w:sz="0" w:space="0" w:color="auto"/>
        <w:left w:val="none" w:sz="0" w:space="0" w:color="auto"/>
        <w:bottom w:val="none" w:sz="0" w:space="0" w:color="auto"/>
        <w:right w:val="none" w:sz="0" w:space="0" w:color="auto"/>
      </w:divBdr>
    </w:div>
    <w:div w:id="1466040843">
      <w:bodyDiv w:val="1"/>
      <w:marLeft w:val="0"/>
      <w:marRight w:val="0"/>
      <w:marTop w:val="0"/>
      <w:marBottom w:val="0"/>
      <w:divBdr>
        <w:top w:val="none" w:sz="0" w:space="0" w:color="auto"/>
        <w:left w:val="none" w:sz="0" w:space="0" w:color="auto"/>
        <w:bottom w:val="none" w:sz="0" w:space="0" w:color="auto"/>
        <w:right w:val="none" w:sz="0" w:space="0" w:color="auto"/>
      </w:divBdr>
    </w:div>
    <w:div w:id="1471630076">
      <w:bodyDiv w:val="1"/>
      <w:marLeft w:val="0"/>
      <w:marRight w:val="0"/>
      <w:marTop w:val="0"/>
      <w:marBottom w:val="0"/>
      <w:divBdr>
        <w:top w:val="none" w:sz="0" w:space="0" w:color="auto"/>
        <w:left w:val="none" w:sz="0" w:space="0" w:color="auto"/>
        <w:bottom w:val="none" w:sz="0" w:space="0" w:color="auto"/>
        <w:right w:val="none" w:sz="0" w:space="0" w:color="auto"/>
      </w:divBdr>
    </w:div>
    <w:div w:id="1476797452">
      <w:bodyDiv w:val="1"/>
      <w:marLeft w:val="0"/>
      <w:marRight w:val="0"/>
      <w:marTop w:val="0"/>
      <w:marBottom w:val="0"/>
      <w:divBdr>
        <w:top w:val="none" w:sz="0" w:space="0" w:color="auto"/>
        <w:left w:val="none" w:sz="0" w:space="0" w:color="auto"/>
        <w:bottom w:val="none" w:sz="0" w:space="0" w:color="auto"/>
        <w:right w:val="none" w:sz="0" w:space="0" w:color="auto"/>
      </w:divBdr>
    </w:div>
    <w:div w:id="1480146852">
      <w:bodyDiv w:val="1"/>
      <w:marLeft w:val="0"/>
      <w:marRight w:val="5"/>
      <w:marTop w:val="0"/>
      <w:marBottom w:val="476"/>
      <w:divBdr>
        <w:top w:val="none" w:sz="0" w:space="0" w:color="auto"/>
        <w:left w:val="none" w:sz="0" w:space="0" w:color="auto"/>
        <w:bottom w:val="none" w:sz="0" w:space="0" w:color="auto"/>
        <w:right w:val="none" w:sz="0" w:space="0" w:color="auto"/>
      </w:divBdr>
      <w:divsChild>
        <w:div w:id="316958746">
          <w:marLeft w:val="1797"/>
          <w:marRight w:val="0"/>
          <w:marTop w:val="357"/>
          <w:marBottom w:val="238"/>
          <w:divBdr>
            <w:top w:val="none" w:sz="0" w:space="0" w:color="auto"/>
            <w:left w:val="none" w:sz="0" w:space="0" w:color="auto"/>
            <w:bottom w:val="none" w:sz="0" w:space="0" w:color="auto"/>
            <w:right w:val="none" w:sz="0" w:space="0" w:color="auto"/>
          </w:divBdr>
        </w:div>
      </w:divsChild>
    </w:div>
    <w:div w:id="1484276627">
      <w:bodyDiv w:val="1"/>
      <w:marLeft w:val="0"/>
      <w:marRight w:val="0"/>
      <w:marTop w:val="0"/>
      <w:marBottom w:val="0"/>
      <w:divBdr>
        <w:top w:val="none" w:sz="0" w:space="0" w:color="auto"/>
        <w:left w:val="none" w:sz="0" w:space="0" w:color="auto"/>
        <w:bottom w:val="none" w:sz="0" w:space="0" w:color="auto"/>
        <w:right w:val="none" w:sz="0" w:space="0" w:color="auto"/>
      </w:divBdr>
    </w:div>
    <w:div w:id="1488201589">
      <w:bodyDiv w:val="1"/>
      <w:marLeft w:val="0"/>
      <w:marRight w:val="0"/>
      <w:marTop w:val="0"/>
      <w:marBottom w:val="0"/>
      <w:divBdr>
        <w:top w:val="none" w:sz="0" w:space="0" w:color="auto"/>
        <w:left w:val="none" w:sz="0" w:space="0" w:color="auto"/>
        <w:bottom w:val="none" w:sz="0" w:space="0" w:color="auto"/>
        <w:right w:val="none" w:sz="0" w:space="0" w:color="auto"/>
      </w:divBdr>
    </w:div>
    <w:div w:id="1489516665">
      <w:bodyDiv w:val="1"/>
      <w:marLeft w:val="0"/>
      <w:marRight w:val="0"/>
      <w:marTop w:val="0"/>
      <w:marBottom w:val="0"/>
      <w:divBdr>
        <w:top w:val="none" w:sz="0" w:space="0" w:color="auto"/>
        <w:left w:val="none" w:sz="0" w:space="0" w:color="auto"/>
        <w:bottom w:val="none" w:sz="0" w:space="0" w:color="auto"/>
        <w:right w:val="none" w:sz="0" w:space="0" w:color="auto"/>
      </w:divBdr>
    </w:div>
    <w:div w:id="1492017502">
      <w:bodyDiv w:val="1"/>
      <w:marLeft w:val="0"/>
      <w:marRight w:val="0"/>
      <w:marTop w:val="0"/>
      <w:marBottom w:val="0"/>
      <w:divBdr>
        <w:top w:val="none" w:sz="0" w:space="0" w:color="auto"/>
        <w:left w:val="none" w:sz="0" w:space="0" w:color="auto"/>
        <w:bottom w:val="none" w:sz="0" w:space="0" w:color="auto"/>
        <w:right w:val="none" w:sz="0" w:space="0" w:color="auto"/>
      </w:divBdr>
    </w:div>
    <w:div w:id="1500001941">
      <w:bodyDiv w:val="1"/>
      <w:marLeft w:val="0"/>
      <w:marRight w:val="0"/>
      <w:marTop w:val="0"/>
      <w:marBottom w:val="0"/>
      <w:divBdr>
        <w:top w:val="none" w:sz="0" w:space="0" w:color="auto"/>
        <w:left w:val="none" w:sz="0" w:space="0" w:color="auto"/>
        <w:bottom w:val="none" w:sz="0" w:space="0" w:color="auto"/>
        <w:right w:val="none" w:sz="0" w:space="0" w:color="auto"/>
      </w:divBdr>
    </w:div>
    <w:div w:id="1501852723">
      <w:bodyDiv w:val="1"/>
      <w:marLeft w:val="0"/>
      <w:marRight w:val="0"/>
      <w:marTop w:val="0"/>
      <w:marBottom w:val="0"/>
      <w:divBdr>
        <w:top w:val="none" w:sz="0" w:space="0" w:color="auto"/>
        <w:left w:val="none" w:sz="0" w:space="0" w:color="auto"/>
        <w:bottom w:val="none" w:sz="0" w:space="0" w:color="auto"/>
        <w:right w:val="none" w:sz="0" w:space="0" w:color="auto"/>
      </w:divBdr>
    </w:div>
    <w:div w:id="1503350911">
      <w:bodyDiv w:val="1"/>
      <w:marLeft w:val="0"/>
      <w:marRight w:val="0"/>
      <w:marTop w:val="0"/>
      <w:marBottom w:val="0"/>
      <w:divBdr>
        <w:top w:val="none" w:sz="0" w:space="0" w:color="auto"/>
        <w:left w:val="none" w:sz="0" w:space="0" w:color="auto"/>
        <w:bottom w:val="none" w:sz="0" w:space="0" w:color="auto"/>
        <w:right w:val="none" w:sz="0" w:space="0" w:color="auto"/>
      </w:divBdr>
    </w:div>
    <w:div w:id="1511675874">
      <w:bodyDiv w:val="1"/>
      <w:marLeft w:val="0"/>
      <w:marRight w:val="0"/>
      <w:marTop w:val="0"/>
      <w:marBottom w:val="0"/>
      <w:divBdr>
        <w:top w:val="none" w:sz="0" w:space="0" w:color="auto"/>
        <w:left w:val="none" w:sz="0" w:space="0" w:color="auto"/>
        <w:bottom w:val="none" w:sz="0" w:space="0" w:color="auto"/>
        <w:right w:val="none" w:sz="0" w:space="0" w:color="auto"/>
      </w:divBdr>
    </w:div>
    <w:div w:id="1513572354">
      <w:bodyDiv w:val="1"/>
      <w:marLeft w:val="0"/>
      <w:marRight w:val="0"/>
      <w:marTop w:val="0"/>
      <w:marBottom w:val="0"/>
      <w:divBdr>
        <w:top w:val="none" w:sz="0" w:space="0" w:color="auto"/>
        <w:left w:val="none" w:sz="0" w:space="0" w:color="auto"/>
        <w:bottom w:val="none" w:sz="0" w:space="0" w:color="auto"/>
        <w:right w:val="none" w:sz="0" w:space="0" w:color="auto"/>
      </w:divBdr>
    </w:div>
    <w:div w:id="1517034643">
      <w:bodyDiv w:val="1"/>
      <w:marLeft w:val="0"/>
      <w:marRight w:val="0"/>
      <w:marTop w:val="0"/>
      <w:marBottom w:val="0"/>
      <w:divBdr>
        <w:top w:val="none" w:sz="0" w:space="0" w:color="auto"/>
        <w:left w:val="none" w:sz="0" w:space="0" w:color="auto"/>
        <w:bottom w:val="none" w:sz="0" w:space="0" w:color="auto"/>
        <w:right w:val="none" w:sz="0" w:space="0" w:color="auto"/>
      </w:divBdr>
    </w:div>
    <w:div w:id="1528567891">
      <w:bodyDiv w:val="1"/>
      <w:marLeft w:val="0"/>
      <w:marRight w:val="0"/>
      <w:marTop w:val="0"/>
      <w:marBottom w:val="0"/>
      <w:divBdr>
        <w:top w:val="none" w:sz="0" w:space="0" w:color="auto"/>
        <w:left w:val="none" w:sz="0" w:space="0" w:color="auto"/>
        <w:bottom w:val="none" w:sz="0" w:space="0" w:color="auto"/>
        <w:right w:val="none" w:sz="0" w:space="0" w:color="auto"/>
      </w:divBdr>
    </w:div>
    <w:div w:id="1530485195">
      <w:bodyDiv w:val="1"/>
      <w:marLeft w:val="0"/>
      <w:marRight w:val="0"/>
      <w:marTop w:val="0"/>
      <w:marBottom w:val="0"/>
      <w:divBdr>
        <w:top w:val="none" w:sz="0" w:space="0" w:color="auto"/>
        <w:left w:val="none" w:sz="0" w:space="0" w:color="auto"/>
        <w:bottom w:val="none" w:sz="0" w:space="0" w:color="auto"/>
        <w:right w:val="none" w:sz="0" w:space="0" w:color="auto"/>
      </w:divBdr>
    </w:div>
    <w:div w:id="1532913858">
      <w:bodyDiv w:val="1"/>
      <w:marLeft w:val="0"/>
      <w:marRight w:val="0"/>
      <w:marTop w:val="0"/>
      <w:marBottom w:val="0"/>
      <w:divBdr>
        <w:top w:val="none" w:sz="0" w:space="0" w:color="auto"/>
        <w:left w:val="none" w:sz="0" w:space="0" w:color="auto"/>
        <w:bottom w:val="none" w:sz="0" w:space="0" w:color="auto"/>
        <w:right w:val="none" w:sz="0" w:space="0" w:color="auto"/>
      </w:divBdr>
    </w:div>
    <w:div w:id="1534223570">
      <w:bodyDiv w:val="1"/>
      <w:marLeft w:val="0"/>
      <w:marRight w:val="0"/>
      <w:marTop w:val="0"/>
      <w:marBottom w:val="0"/>
      <w:divBdr>
        <w:top w:val="none" w:sz="0" w:space="0" w:color="auto"/>
        <w:left w:val="none" w:sz="0" w:space="0" w:color="auto"/>
        <w:bottom w:val="none" w:sz="0" w:space="0" w:color="auto"/>
        <w:right w:val="none" w:sz="0" w:space="0" w:color="auto"/>
      </w:divBdr>
    </w:div>
    <w:div w:id="1537889224">
      <w:bodyDiv w:val="1"/>
      <w:marLeft w:val="0"/>
      <w:marRight w:val="0"/>
      <w:marTop w:val="0"/>
      <w:marBottom w:val="0"/>
      <w:divBdr>
        <w:top w:val="none" w:sz="0" w:space="0" w:color="auto"/>
        <w:left w:val="none" w:sz="0" w:space="0" w:color="auto"/>
        <w:bottom w:val="none" w:sz="0" w:space="0" w:color="auto"/>
        <w:right w:val="none" w:sz="0" w:space="0" w:color="auto"/>
      </w:divBdr>
    </w:div>
    <w:div w:id="1538080490">
      <w:bodyDiv w:val="1"/>
      <w:marLeft w:val="0"/>
      <w:marRight w:val="0"/>
      <w:marTop w:val="0"/>
      <w:marBottom w:val="0"/>
      <w:divBdr>
        <w:top w:val="none" w:sz="0" w:space="0" w:color="auto"/>
        <w:left w:val="none" w:sz="0" w:space="0" w:color="auto"/>
        <w:bottom w:val="none" w:sz="0" w:space="0" w:color="auto"/>
        <w:right w:val="none" w:sz="0" w:space="0" w:color="auto"/>
      </w:divBdr>
    </w:div>
    <w:div w:id="1540780445">
      <w:bodyDiv w:val="1"/>
      <w:marLeft w:val="0"/>
      <w:marRight w:val="0"/>
      <w:marTop w:val="0"/>
      <w:marBottom w:val="0"/>
      <w:divBdr>
        <w:top w:val="none" w:sz="0" w:space="0" w:color="auto"/>
        <w:left w:val="none" w:sz="0" w:space="0" w:color="auto"/>
        <w:bottom w:val="none" w:sz="0" w:space="0" w:color="auto"/>
        <w:right w:val="none" w:sz="0" w:space="0" w:color="auto"/>
      </w:divBdr>
    </w:div>
    <w:div w:id="1541698728">
      <w:bodyDiv w:val="1"/>
      <w:marLeft w:val="0"/>
      <w:marRight w:val="0"/>
      <w:marTop w:val="0"/>
      <w:marBottom w:val="0"/>
      <w:divBdr>
        <w:top w:val="none" w:sz="0" w:space="0" w:color="auto"/>
        <w:left w:val="none" w:sz="0" w:space="0" w:color="auto"/>
        <w:bottom w:val="none" w:sz="0" w:space="0" w:color="auto"/>
        <w:right w:val="none" w:sz="0" w:space="0" w:color="auto"/>
      </w:divBdr>
    </w:div>
    <w:div w:id="1544444752">
      <w:bodyDiv w:val="1"/>
      <w:marLeft w:val="0"/>
      <w:marRight w:val="0"/>
      <w:marTop w:val="0"/>
      <w:marBottom w:val="0"/>
      <w:divBdr>
        <w:top w:val="none" w:sz="0" w:space="0" w:color="auto"/>
        <w:left w:val="none" w:sz="0" w:space="0" w:color="auto"/>
        <w:bottom w:val="none" w:sz="0" w:space="0" w:color="auto"/>
        <w:right w:val="none" w:sz="0" w:space="0" w:color="auto"/>
      </w:divBdr>
    </w:div>
    <w:div w:id="1544749090">
      <w:bodyDiv w:val="1"/>
      <w:marLeft w:val="0"/>
      <w:marRight w:val="0"/>
      <w:marTop w:val="0"/>
      <w:marBottom w:val="0"/>
      <w:divBdr>
        <w:top w:val="none" w:sz="0" w:space="0" w:color="auto"/>
        <w:left w:val="none" w:sz="0" w:space="0" w:color="auto"/>
        <w:bottom w:val="none" w:sz="0" w:space="0" w:color="auto"/>
        <w:right w:val="none" w:sz="0" w:space="0" w:color="auto"/>
      </w:divBdr>
    </w:div>
    <w:div w:id="1549757373">
      <w:bodyDiv w:val="1"/>
      <w:marLeft w:val="0"/>
      <w:marRight w:val="0"/>
      <w:marTop w:val="0"/>
      <w:marBottom w:val="0"/>
      <w:divBdr>
        <w:top w:val="none" w:sz="0" w:space="0" w:color="auto"/>
        <w:left w:val="none" w:sz="0" w:space="0" w:color="auto"/>
        <w:bottom w:val="none" w:sz="0" w:space="0" w:color="auto"/>
        <w:right w:val="none" w:sz="0" w:space="0" w:color="auto"/>
      </w:divBdr>
    </w:div>
    <w:div w:id="1554001074">
      <w:bodyDiv w:val="1"/>
      <w:marLeft w:val="0"/>
      <w:marRight w:val="0"/>
      <w:marTop w:val="0"/>
      <w:marBottom w:val="0"/>
      <w:divBdr>
        <w:top w:val="none" w:sz="0" w:space="0" w:color="auto"/>
        <w:left w:val="none" w:sz="0" w:space="0" w:color="auto"/>
        <w:bottom w:val="none" w:sz="0" w:space="0" w:color="auto"/>
        <w:right w:val="none" w:sz="0" w:space="0" w:color="auto"/>
      </w:divBdr>
    </w:div>
    <w:div w:id="1561862782">
      <w:bodyDiv w:val="1"/>
      <w:marLeft w:val="0"/>
      <w:marRight w:val="0"/>
      <w:marTop w:val="0"/>
      <w:marBottom w:val="0"/>
      <w:divBdr>
        <w:top w:val="none" w:sz="0" w:space="0" w:color="auto"/>
        <w:left w:val="none" w:sz="0" w:space="0" w:color="auto"/>
        <w:bottom w:val="none" w:sz="0" w:space="0" w:color="auto"/>
        <w:right w:val="none" w:sz="0" w:space="0" w:color="auto"/>
      </w:divBdr>
    </w:div>
    <w:div w:id="1566332330">
      <w:bodyDiv w:val="1"/>
      <w:marLeft w:val="0"/>
      <w:marRight w:val="0"/>
      <w:marTop w:val="0"/>
      <w:marBottom w:val="0"/>
      <w:divBdr>
        <w:top w:val="none" w:sz="0" w:space="0" w:color="auto"/>
        <w:left w:val="none" w:sz="0" w:space="0" w:color="auto"/>
        <w:bottom w:val="none" w:sz="0" w:space="0" w:color="auto"/>
        <w:right w:val="none" w:sz="0" w:space="0" w:color="auto"/>
      </w:divBdr>
    </w:div>
    <w:div w:id="1568105832">
      <w:bodyDiv w:val="1"/>
      <w:marLeft w:val="0"/>
      <w:marRight w:val="0"/>
      <w:marTop w:val="0"/>
      <w:marBottom w:val="0"/>
      <w:divBdr>
        <w:top w:val="none" w:sz="0" w:space="0" w:color="auto"/>
        <w:left w:val="none" w:sz="0" w:space="0" w:color="auto"/>
        <w:bottom w:val="none" w:sz="0" w:space="0" w:color="auto"/>
        <w:right w:val="none" w:sz="0" w:space="0" w:color="auto"/>
      </w:divBdr>
    </w:div>
    <w:div w:id="1571847137">
      <w:bodyDiv w:val="1"/>
      <w:marLeft w:val="0"/>
      <w:marRight w:val="0"/>
      <w:marTop w:val="0"/>
      <w:marBottom w:val="0"/>
      <w:divBdr>
        <w:top w:val="none" w:sz="0" w:space="0" w:color="auto"/>
        <w:left w:val="none" w:sz="0" w:space="0" w:color="auto"/>
        <w:bottom w:val="none" w:sz="0" w:space="0" w:color="auto"/>
        <w:right w:val="none" w:sz="0" w:space="0" w:color="auto"/>
      </w:divBdr>
    </w:div>
    <w:div w:id="1576546025">
      <w:bodyDiv w:val="1"/>
      <w:marLeft w:val="0"/>
      <w:marRight w:val="0"/>
      <w:marTop w:val="0"/>
      <w:marBottom w:val="0"/>
      <w:divBdr>
        <w:top w:val="none" w:sz="0" w:space="0" w:color="auto"/>
        <w:left w:val="none" w:sz="0" w:space="0" w:color="auto"/>
        <w:bottom w:val="none" w:sz="0" w:space="0" w:color="auto"/>
        <w:right w:val="none" w:sz="0" w:space="0" w:color="auto"/>
      </w:divBdr>
    </w:div>
    <w:div w:id="1589385327">
      <w:bodyDiv w:val="1"/>
      <w:marLeft w:val="0"/>
      <w:marRight w:val="0"/>
      <w:marTop w:val="0"/>
      <w:marBottom w:val="0"/>
      <w:divBdr>
        <w:top w:val="none" w:sz="0" w:space="0" w:color="auto"/>
        <w:left w:val="none" w:sz="0" w:space="0" w:color="auto"/>
        <w:bottom w:val="none" w:sz="0" w:space="0" w:color="auto"/>
        <w:right w:val="none" w:sz="0" w:space="0" w:color="auto"/>
      </w:divBdr>
    </w:div>
    <w:div w:id="1590961215">
      <w:bodyDiv w:val="1"/>
      <w:marLeft w:val="0"/>
      <w:marRight w:val="0"/>
      <w:marTop w:val="0"/>
      <w:marBottom w:val="0"/>
      <w:divBdr>
        <w:top w:val="none" w:sz="0" w:space="0" w:color="auto"/>
        <w:left w:val="none" w:sz="0" w:space="0" w:color="auto"/>
        <w:bottom w:val="none" w:sz="0" w:space="0" w:color="auto"/>
        <w:right w:val="none" w:sz="0" w:space="0" w:color="auto"/>
      </w:divBdr>
    </w:div>
    <w:div w:id="1592008951">
      <w:bodyDiv w:val="1"/>
      <w:marLeft w:val="0"/>
      <w:marRight w:val="0"/>
      <w:marTop w:val="0"/>
      <w:marBottom w:val="0"/>
      <w:divBdr>
        <w:top w:val="none" w:sz="0" w:space="0" w:color="auto"/>
        <w:left w:val="none" w:sz="0" w:space="0" w:color="auto"/>
        <w:bottom w:val="none" w:sz="0" w:space="0" w:color="auto"/>
        <w:right w:val="none" w:sz="0" w:space="0" w:color="auto"/>
      </w:divBdr>
    </w:div>
    <w:div w:id="1603492208">
      <w:bodyDiv w:val="1"/>
      <w:marLeft w:val="0"/>
      <w:marRight w:val="0"/>
      <w:marTop w:val="0"/>
      <w:marBottom w:val="0"/>
      <w:divBdr>
        <w:top w:val="none" w:sz="0" w:space="0" w:color="auto"/>
        <w:left w:val="none" w:sz="0" w:space="0" w:color="auto"/>
        <w:bottom w:val="none" w:sz="0" w:space="0" w:color="auto"/>
        <w:right w:val="none" w:sz="0" w:space="0" w:color="auto"/>
      </w:divBdr>
    </w:div>
    <w:div w:id="1612517749">
      <w:bodyDiv w:val="1"/>
      <w:marLeft w:val="0"/>
      <w:marRight w:val="0"/>
      <w:marTop w:val="0"/>
      <w:marBottom w:val="0"/>
      <w:divBdr>
        <w:top w:val="none" w:sz="0" w:space="0" w:color="auto"/>
        <w:left w:val="none" w:sz="0" w:space="0" w:color="auto"/>
        <w:bottom w:val="none" w:sz="0" w:space="0" w:color="auto"/>
        <w:right w:val="none" w:sz="0" w:space="0" w:color="auto"/>
      </w:divBdr>
    </w:div>
    <w:div w:id="1613584102">
      <w:bodyDiv w:val="1"/>
      <w:marLeft w:val="0"/>
      <w:marRight w:val="0"/>
      <w:marTop w:val="0"/>
      <w:marBottom w:val="0"/>
      <w:divBdr>
        <w:top w:val="none" w:sz="0" w:space="0" w:color="auto"/>
        <w:left w:val="none" w:sz="0" w:space="0" w:color="auto"/>
        <w:bottom w:val="none" w:sz="0" w:space="0" w:color="auto"/>
        <w:right w:val="none" w:sz="0" w:space="0" w:color="auto"/>
      </w:divBdr>
    </w:div>
    <w:div w:id="1621179740">
      <w:bodyDiv w:val="1"/>
      <w:marLeft w:val="0"/>
      <w:marRight w:val="0"/>
      <w:marTop w:val="0"/>
      <w:marBottom w:val="0"/>
      <w:divBdr>
        <w:top w:val="none" w:sz="0" w:space="0" w:color="auto"/>
        <w:left w:val="none" w:sz="0" w:space="0" w:color="auto"/>
        <w:bottom w:val="none" w:sz="0" w:space="0" w:color="auto"/>
        <w:right w:val="none" w:sz="0" w:space="0" w:color="auto"/>
      </w:divBdr>
    </w:div>
    <w:div w:id="1629512352">
      <w:bodyDiv w:val="1"/>
      <w:marLeft w:val="0"/>
      <w:marRight w:val="0"/>
      <w:marTop w:val="0"/>
      <w:marBottom w:val="0"/>
      <w:divBdr>
        <w:top w:val="none" w:sz="0" w:space="0" w:color="auto"/>
        <w:left w:val="none" w:sz="0" w:space="0" w:color="auto"/>
        <w:bottom w:val="none" w:sz="0" w:space="0" w:color="auto"/>
        <w:right w:val="none" w:sz="0" w:space="0" w:color="auto"/>
      </w:divBdr>
    </w:div>
    <w:div w:id="1641618284">
      <w:bodyDiv w:val="1"/>
      <w:marLeft w:val="0"/>
      <w:marRight w:val="0"/>
      <w:marTop w:val="0"/>
      <w:marBottom w:val="0"/>
      <w:divBdr>
        <w:top w:val="none" w:sz="0" w:space="0" w:color="auto"/>
        <w:left w:val="none" w:sz="0" w:space="0" w:color="auto"/>
        <w:bottom w:val="none" w:sz="0" w:space="0" w:color="auto"/>
        <w:right w:val="none" w:sz="0" w:space="0" w:color="auto"/>
      </w:divBdr>
    </w:div>
    <w:div w:id="1642034560">
      <w:bodyDiv w:val="1"/>
      <w:marLeft w:val="0"/>
      <w:marRight w:val="0"/>
      <w:marTop w:val="0"/>
      <w:marBottom w:val="0"/>
      <w:divBdr>
        <w:top w:val="none" w:sz="0" w:space="0" w:color="auto"/>
        <w:left w:val="none" w:sz="0" w:space="0" w:color="auto"/>
        <w:bottom w:val="none" w:sz="0" w:space="0" w:color="auto"/>
        <w:right w:val="none" w:sz="0" w:space="0" w:color="auto"/>
      </w:divBdr>
    </w:div>
    <w:div w:id="1643657586">
      <w:bodyDiv w:val="1"/>
      <w:marLeft w:val="0"/>
      <w:marRight w:val="5"/>
      <w:marTop w:val="0"/>
      <w:marBottom w:val="600"/>
      <w:divBdr>
        <w:top w:val="none" w:sz="0" w:space="0" w:color="auto"/>
        <w:left w:val="none" w:sz="0" w:space="0" w:color="auto"/>
        <w:bottom w:val="none" w:sz="0" w:space="0" w:color="auto"/>
        <w:right w:val="none" w:sz="0" w:space="0" w:color="auto"/>
      </w:divBdr>
      <w:divsChild>
        <w:div w:id="1456483317">
          <w:marLeft w:val="2265"/>
          <w:marRight w:val="0"/>
          <w:marTop w:val="450"/>
          <w:marBottom w:val="300"/>
          <w:divBdr>
            <w:top w:val="none" w:sz="0" w:space="0" w:color="auto"/>
            <w:left w:val="none" w:sz="0" w:space="0" w:color="auto"/>
            <w:bottom w:val="none" w:sz="0" w:space="0" w:color="auto"/>
            <w:right w:val="none" w:sz="0" w:space="0" w:color="auto"/>
          </w:divBdr>
        </w:div>
      </w:divsChild>
    </w:div>
    <w:div w:id="1645350484">
      <w:bodyDiv w:val="1"/>
      <w:marLeft w:val="0"/>
      <w:marRight w:val="0"/>
      <w:marTop w:val="0"/>
      <w:marBottom w:val="0"/>
      <w:divBdr>
        <w:top w:val="none" w:sz="0" w:space="0" w:color="auto"/>
        <w:left w:val="none" w:sz="0" w:space="0" w:color="auto"/>
        <w:bottom w:val="none" w:sz="0" w:space="0" w:color="auto"/>
        <w:right w:val="none" w:sz="0" w:space="0" w:color="auto"/>
      </w:divBdr>
    </w:div>
    <w:div w:id="1649553606">
      <w:bodyDiv w:val="1"/>
      <w:marLeft w:val="0"/>
      <w:marRight w:val="0"/>
      <w:marTop w:val="0"/>
      <w:marBottom w:val="0"/>
      <w:divBdr>
        <w:top w:val="none" w:sz="0" w:space="0" w:color="auto"/>
        <w:left w:val="none" w:sz="0" w:space="0" w:color="auto"/>
        <w:bottom w:val="none" w:sz="0" w:space="0" w:color="auto"/>
        <w:right w:val="none" w:sz="0" w:space="0" w:color="auto"/>
      </w:divBdr>
    </w:div>
    <w:div w:id="1652832300">
      <w:bodyDiv w:val="1"/>
      <w:marLeft w:val="0"/>
      <w:marRight w:val="0"/>
      <w:marTop w:val="0"/>
      <w:marBottom w:val="0"/>
      <w:divBdr>
        <w:top w:val="none" w:sz="0" w:space="0" w:color="auto"/>
        <w:left w:val="none" w:sz="0" w:space="0" w:color="auto"/>
        <w:bottom w:val="none" w:sz="0" w:space="0" w:color="auto"/>
        <w:right w:val="none" w:sz="0" w:space="0" w:color="auto"/>
      </w:divBdr>
    </w:div>
    <w:div w:id="1660578448">
      <w:bodyDiv w:val="1"/>
      <w:marLeft w:val="0"/>
      <w:marRight w:val="0"/>
      <w:marTop w:val="0"/>
      <w:marBottom w:val="0"/>
      <w:divBdr>
        <w:top w:val="none" w:sz="0" w:space="0" w:color="auto"/>
        <w:left w:val="none" w:sz="0" w:space="0" w:color="auto"/>
        <w:bottom w:val="none" w:sz="0" w:space="0" w:color="auto"/>
        <w:right w:val="none" w:sz="0" w:space="0" w:color="auto"/>
      </w:divBdr>
    </w:div>
    <w:div w:id="1663121734">
      <w:bodyDiv w:val="1"/>
      <w:marLeft w:val="0"/>
      <w:marRight w:val="0"/>
      <w:marTop w:val="0"/>
      <w:marBottom w:val="0"/>
      <w:divBdr>
        <w:top w:val="none" w:sz="0" w:space="0" w:color="auto"/>
        <w:left w:val="none" w:sz="0" w:space="0" w:color="auto"/>
        <w:bottom w:val="none" w:sz="0" w:space="0" w:color="auto"/>
        <w:right w:val="none" w:sz="0" w:space="0" w:color="auto"/>
      </w:divBdr>
    </w:div>
    <w:div w:id="1666126739">
      <w:bodyDiv w:val="1"/>
      <w:marLeft w:val="0"/>
      <w:marRight w:val="0"/>
      <w:marTop w:val="0"/>
      <w:marBottom w:val="0"/>
      <w:divBdr>
        <w:top w:val="none" w:sz="0" w:space="0" w:color="auto"/>
        <w:left w:val="none" w:sz="0" w:space="0" w:color="auto"/>
        <w:bottom w:val="none" w:sz="0" w:space="0" w:color="auto"/>
        <w:right w:val="none" w:sz="0" w:space="0" w:color="auto"/>
      </w:divBdr>
    </w:div>
    <w:div w:id="1670671103">
      <w:bodyDiv w:val="1"/>
      <w:marLeft w:val="0"/>
      <w:marRight w:val="0"/>
      <w:marTop w:val="0"/>
      <w:marBottom w:val="0"/>
      <w:divBdr>
        <w:top w:val="none" w:sz="0" w:space="0" w:color="auto"/>
        <w:left w:val="none" w:sz="0" w:space="0" w:color="auto"/>
        <w:bottom w:val="none" w:sz="0" w:space="0" w:color="auto"/>
        <w:right w:val="none" w:sz="0" w:space="0" w:color="auto"/>
      </w:divBdr>
    </w:div>
    <w:div w:id="1672949231">
      <w:bodyDiv w:val="1"/>
      <w:marLeft w:val="0"/>
      <w:marRight w:val="0"/>
      <w:marTop w:val="0"/>
      <w:marBottom w:val="0"/>
      <w:divBdr>
        <w:top w:val="none" w:sz="0" w:space="0" w:color="auto"/>
        <w:left w:val="none" w:sz="0" w:space="0" w:color="auto"/>
        <w:bottom w:val="none" w:sz="0" w:space="0" w:color="auto"/>
        <w:right w:val="none" w:sz="0" w:space="0" w:color="auto"/>
      </w:divBdr>
    </w:div>
    <w:div w:id="1674450474">
      <w:bodyDiv w:val="1"/>
      <w:marLeft w:val="0"/>
      <w:marRight w:val="0"/>
      <w:marTop w:val="0"/>
      <w:marBottom w:val="0"/>
      <w:divBdr>
        <w:top w:val="none" w:sz="0" w:space="0" w:color="auto"/>
        <w:left w:val="none" w:sz="0" w:space="0" w:color="auto"/>
        <w:bottom w:val="none" w:sz="0" w:space="0" w:color="auto"/>
        <w:right w:val="none" w:sz="0" w:space="0" w:color="auto"/>
      </w:divBdr>
    </w:div>
    <w:div w:id="1677266986">
      <w:bodyDiv w:val="1"/>
      <w:marLeft w:val="0"/>
      <w:marRight w:val="0"/>
      <w:marTop w:val="0"/>
      <w:marBottom w:val="0"/>
      <w:divBdr>
        <w:top w:val="none" w:sz="0" w:space="0" w:color="auto"/>
        <w:left w:val="none" w:sz="0" w:space="0" w:color="auto"/>
        <w:bottom w:val="none" w:sz="0" w:space="0" w:color="auto"/>
        <w:right w:val="none" w:sz="0" w:space="0" w:color="auto"/>
      </w:divBdr>
    </w:div>
    <w:div w:id="1678654157">
      <w:bodyDiv w:val="1"/>
      <w:marLeft w:val="0"/>
      <w:marRight w:val="0"/>
      <w:marTop w:val="0"/>
      <w:marBottom w:val="0"/>
      <w:divBdr>
        <w:top w:val="none" w:sz="0" w:space="0" w:color="auto"/>
        <w:left w:val="none" w:sz="0" w:space="0" w:color="auto"/>
        <w:bottom w:val="none" w:sz="0" w:space="0" w:color="auto"/>
        <w:right w:val="none" w:sz="0" w:space="0" w:color="auto"/>
      </w:divBdr>
    </w:div>
    <w:div w:id="1689942246">
      <w:bodyDiv w:val="1"/>
      <w:marLeft w:val="0"/>
      <w:marRight w:val="0"/>
      <w:marTop w:val="0"/>
      <w:marBottom w:val="0"/>
      <w:divBdr>
        <w:top w:val="none" w:sz="0" w:space="0" w:color="auto"/>
        <w:left w:val="none" w:sz="0" w:space="0" w:color="auto"/>
        <w:bottom w:val="none" w:sz="0" w:space="0" w:color="auto"/>
        <w:right w:val="none" w:sz="0" w:space="0" w:color="auto"/>
      </w:divBdr>
    </w:div>
    <w:div w:id="1692104491">
      <w:bodyDiv w:val="1"/>
      <w:marLeft w:val="0"/>
      <w:marRight w:val="0"/>
      <w:marTop w:val="0"/>
      <w:marBottom w:val="0"/>
      <w:divBdr>
        <w:top w:val="none" w:sz="0" w:space="0" w:color="auto"/>
        <w:left w:val="none" w:sz="0" w:space="0" w:color="auto"/>
        <w:bottom w:val="none" w:sz="0" w:space="0" w:color="auto"/>
        <w:right w:val="none" w:sz="0" w:space="0" w:color="auto"/>
      </w:divBdr>
    </w:div>
    <w:div w:id="1692300254">
      <w:bodyDiv w:val="1"/>
      <w:marLeft w:val="0"/>
      <w:marRight w:val="0"/>
      <w:marTop w:val="0"/>
      <w:marBottom w:val="0"/>
      <w:divBdr>
        <w:top w:val="none" w:sz="0" w:space="0" w:color="auto"/>
        <w:left w:val="none" w:sz="0" w:space="0" w:color="auto"/>
        <w:bottom w:val="none" w:sz="0" w:space="0" w:color="auto"/>
        <w:right w:val="none" w:sz="0" w:space="0" w:color="auto"/>
      </w:divBdr>
    </w:div>
    <w:div w:id="1692412155">
      <w:bodyDiv w:val="1"/>
      <w:marLeft w:val="0"/>
      <w:marRight w:val="0"/>
      <w:marTop w:val="0"/>
      <w:marBottom w:val="0"/>
      <w:divBdr>
        <w:top w:val="none" w:sz="0" w:space="0" w:color="auto"/>
        <w:left w:val="none" w:sz="0" w:space="0" w:color="auto"/>
        <w:bottom w:val="none" w:sz="0" w:space="0" w:color="auto"/>
        <w:right w:val="none" w:sz="0" w:space="0" w:color="auto"/>
      </w:divBdr>
    </w:div>
    <w:div w:id="1701661693">
      <w:bodyDiv w:val="1"/>
      <w:marLeft w:val="0"/>
      <w:marRight w:val="5"/>
      <w:marTop w:val="0"/>
      <w:marBottom w:val="476"/>
      <w:divBdr>
        <w:top w:val="none" w:sz="0" w:space="0" w:color="auto"/>
        <w:left w:val="none" w:sz="0" w:space="0" w:color="auto"/>
        <w:bottom w:val="none" w:sz="0" w:space="0" w:color="auto"/>
        <w:right w:val="none" w:sz="0" w:space="0" w:color="auto"/>
      </w:divBdr>
      <w:divsChild>
        <w:div w:id="2079788135">
          <w:marLeft w:val="1797"/>
          <w:marRight w:val="0"/>
          <w:marTop w:val="357"/>
          <w:marBottom w:val="238"/>
          <w:divBdr>
            <w:top w:val="none" w:sz="0" w:space="0" w:color="auto"/>
            <w:left w:val="none" w:sz="0" w:space="0" w:color="auto"/>
            <w:bottom w:val="none" w:sz="0" w:space="0" w:color="auto"/>
            <w:right w:val="none" w:sz="0" w:space="0" w:color="auto"/>
          </w:divBdr>
        </w:div>
      </w:divsChild>
    </w:div>
    <w:div w:id="1703900008">
      <w:bodyDiv w:val="1"/>
      <w:marLeft w:val="0"/>
      <w:marRight w:val="0"/>
      <w:marTop w:val="0"/>
      <w:marBottom w:val="0"/>
      <w:divBdr>
        <w:top w:val="none" w:sz="0" w:space="0" w:color="auto"/>
        <w:left w:val="none" w:sz="0" w:space="0" w:color="auto"/>
        <w:bottom w:val="none" w:sz="0" w:space="0" w:color="auto"/>
        <w:right w:val="none" w:sz="0" w:space="0" w:color="auto"/>
      </w:divBdr>
    </w:div>
    <w:div w:id="1716734818">
      <w:bodyDiv w:val="1"/>
      <w:marLeft w:val="0"/>
      <w:marRight w:val="5"/>
      <w:marTop w:val="0"/>
      <w:marBottom w:val="600"/>
      <w:divBdr>
        <w:top w:val="none" w:sz="0" w:space="0" w:color="auto"/>
        <w:left w:val="none" w:sz="0" w:space="0" w:color="auto"/>
        <w:bottom w:val="none" w:sz="0" w:space="0" w:color="auto"/>
        <w:right w:val="none" w:sz="0" w:space="0" w:color="auto"/>
      </w:divBdr>
      <w:divsChild>
        <w:div w:id="93592744">
          <w:marLeft w:val="2265"/>
          <w:marRight w:val="0"/>
          <w:marTop w:val="450"/>
          <w:marBottom w:val="300"/>
          <w:divBdr>
            <w:top w:val="none" w:sz="0" w:space="0" w:color="auto"/>
            <w:left w:val="none" w:sz="0" w:space="0" w:color="auto"/>
            <w:bottom w:val="none" w:sz="0" w:space="0" w:color="auto"/>
            <w:right w:val="none" w:sz="0" w:space="0" w:color="auto"/>
          </w:divBdr>
        </w:div>
      </w:divsChild>
    </w:div>
    <w:div w:id="1717663244">
      <w:bodyDiv w:val="1"/>
      <w:marLeft w:val="0"/>
      <w:marRight w:val="0"/>
      <w:marTop w:val="0"/>
      <w:marBottom w:val="0"/>
      <w:divBdr>
        <w:top w:val="none" w:sz="0" w:space="0" w:color="auto"/>
        <w:left w:val="none" w:sz="0" w:space="0" w:color="auto"/>
        <w:bottom w:val="none" w:sz="0" w:space="0" w:color="auto"/>
        <w:right w:val="none" w:sz="0" w:space="0" w:color="auto"/>
      </w:divBdr>
    </w:div>
    <w:div w:id="1721243346">
      <w:bodyDiv w:val="1"/>
      <w:marLeft w:val="0"/>
      <w:marRight w:val="0"/>
      <w:marTop w:val="0"/>
      <w:marBottom w:val="0"/>
      <w:divBdr>
        <w:top w:val="none" w:sz="0" w:space="0" w:color="auto"/>
        <w:left w:val="none" w:sz="0" w:space="0" w:color="auto"/>
        <w:bottom w:val="none" w:sz="0" w:space="0" w:color="auto"/>
        <w:right w:val="none" w:sz="0" w:space="0" w:color="auto"/>
      </w:divBdr>
    </w:div>
    <w:div w:id="1724795515">
      <w:bodyDiv w:val="1"/>
      <w:marLeft w:val="0"/>
      <w:marRight w:val="0"/>
      <w:marTop w:val="0"/>
      <w:marBottom w:val="0"/>
      <w:divBdr>
        <w:top w:val="none" w:sz="0" w:space="0" w:color="auto"/>
        <w:left w:val="none" w:sz="0" w:space="0" w:color="auto"/>
        <w:bottom w:val="none" w:sz="0" w:space="0" w:color="auto"/>
        <w:right w:val="none" w:sz="0" w:space="0" w:color="auto"/>
      </w:divBdr>
    </w:div>
    <w:div w:id="1729957891">
      <w:bodyDiv w:val="1"/>
      <w:marLeft w:val="0"/>
      <w:marRight w:val="0"/>
      <w:marTop w:val="0"/>
      <w:marBottom w:val="0"/>
      <w:divBdr>
        <w:top w:val="none" w:sz="0" w:space="0" w:color="auto"/>
        <w:left w:val="none" w:sz="0" w:space="0" w:color="auto"/>
        <w:bottom w:val="none" w:sz="0" w:space="0" w:color="auto"/>
        <w:right w:val="none" w:sz="0" w:space="0" w:color="auto"/>
      </w:divBdr>
    </w:div>
    <w:div w:id="1744252459">
      <w:bodyDiv w:val="1"/>
      <w:marLeft w:val="0"/>
      <w:marRight w:val="0"/>
      <w:marTop w:val="0"/>
      <w:marBottom w:val="0"/>
      <w:divBdr>
        <w:top w:val="none" w:sz="0" w:space="0" w:color="auto"/>
        <w:left w:val="none" w:sz="0" w:space="0" w:color="auto"/>
        <w:bottom w:val="none" w:sz="0" w:space="0" w:color="auto"/>
        <w:right w:val="none" w:sz="0" w:space="0" w:color="auto"/>
      </w:divBdr>
    </w:div>
    <w:div w:id="1747266490">
      <w:bodyDiv w:val="1"/>
      <w:marLeft w:val="0"/>
      <w:marRight w:val="0"/>
      <w:marTop w:val="0"/>
      <w:marBottom w:val="0"/>
      <w:divBdr>
        <w:top w:val="none" w:sz="0" w:space="0" w:color="auto"/>
        <w:left w:val="none" w:sz="0" w:space="0" w:color="auto"/>
        <w:bottom w:val="none" w:sz="0" w:space="0" w:color="auto"/>
        <w:right w:val="none" w:sz="0" w:space="0" w:color="auto"/>
      </w:divBdr>
    </w:div>
    <w:div w:id="1750494134">
      <w:bodyDiv w:val="1"/>
      <w:marLeft w:val="0"/>
      <w:marRight w:val="0"/>
      <w:marTop w:val="0"/>
      <w:marBottom w:val="0"/>
      <w:divBdr>
        <w:top w:val="none" w:sz="0" w:space="0" w:color="auto"/>
        <w:left w:val="none" w:sz="0" w:space="0" w:color="auto"/>
        <w:bottom w:val="none" w:sz="0" w:space="0" w:color="auto"/>
        <w:right w:val="none" w:sz="0" w:space="0" w:color="auto"/>
      </w:divBdr>
    </w:div>
    <w:div w:id="1751191592">
      <w:bodyDiv w:val="1"/>
      <w:marLeft w:val="0"/>
      <w:marRight w:val="0"/>
      <w:marTop w:val="0"/>
      <w:marBottom w:val="0"/>
      <w:divBdr>
        <w:top w:val="none" w:sz="0" w:space="0" w:color="auto"/>
        <w:left w:val="none" w:sz="0" w:space="0" w:color="auto"/>
        <w:bottom w:val="none" w:sz="0" w:space="0" w:color="auto"/>
        <w:right w:val="none" w:sz="0" w:space="0" w:color="auto"/>
      </w:divBdr>
    </w:div>
    <w:div w:id="1756241153">
      <w:bodyDiv w:val="1"/>
      <w:marLeft w:val="0"/>
      <w:marRight w:val="0"/>
      <w:marTop w:val="0"/>
      <w:marBottom w:val="0"/>
      <w:divBdr>
        <w:top w:val="none" w:sz="0" w:space="0" w:color="auto"/>
        <w:left w:val="none" w:sz="0" w:space="0" w:color="auto"/>
        <w:bottom w:val="none" w:sz="0" w:space="0" w:color="auto"/>
        <w:right w:val="none" w:sz="0" w:space="0" w:color="auto"/>
      </w:divBdr>
    </w:div>
    <w:div w:id="1758402474">
      <w:bodyDiv w:val="1"/>
      <w:marLeft w:val="0"/>
      <w:marRight w:val="0"/>
      <w:marTop w:val="0"/>
      <w:marBottom w:val="0"/>
      <w:divBdr>
        <w:top w:val="none" w:sz="0" w:space="0" w:color="auto"/>
        <w:left w:val="none" w:sz="0" w:space="0" w:color="auto"/>
        <w:bottom w:val="none" w:sz="0" w:space="0" w:color="auto"/>
        <w:right w:val="none" w:sz="0" w:space="0" w:color="auto"/>
      </w:divBdr>
    </w:div>
    <w:div w:id="1762603667">
      <w:bodyDiv w:val="1"/>
      <w:marLeft w:val="0"/>
      <w:marRight w:val="0"/>
      <w:marTop w:val="0"/>
      <w:marBottom w:val="0"/>
      <w:divBdr>
        <w:top w:val="none" w:sz="0" w:space="0" w:color="auto"/>
        <w:left w:val="none" w:sz="0" w:space="0" w:color="auto"/>
        <w:bottom w:val="none" w:sz="0" w:space="0" w:color="auto"/>
        <w:right w:val="none" w:sz="0" w:space="0" w:color="auto"/>
      </w:divBdr>
    </w:div>
    <w:div w:id="1766878140">
      <w:bodyDiv w:val="1"/>
      <w:marLeft w:val="0"/>
      <w:marRight w:val="0"/>
      <w:marTop w:val="0"/>
      <w:marBottom w:val="0"/>
      <w:divBdr>
        <w:top w:val="none" w:sz="0" w:space="0" w:color="auto"/>
        <w:left w:val="none" w:sz="0" w:space="0" w:color="auto"/>
        <w:bottom w:val="none" w:sz="0" w:space="0" w:color="auto"/>
        <w:right w:val="none" w:sz="0" w:space="0" w:color="auto"/>
      </w:divBdr>
    </w:div>
    <w:div w:id="1769737278">
      <w:bodyDiv w:val="1"/>
      <w:marLeft w:val="0"/>
      <w:marRight w:val="0"/>
      <w:marTop w:val="0"/>
      <w:marBottom w:val="0"/>
      <w:divBdr>
        <w:top w:val="none" w:sz="0" w:space="0" w:color="auto"/>
        <w:left w:val="none" w:sz="0" w:space="0" w:color="auto"/>
        <w:bottom w:val="none" w:sz="0" w:space="0" w:color="auto"/>
        <w:right w:val="none" w:sz="0" w:space="0" w:color="auto"/>
      </w:divBdr>
    </w:div>
    <w:div w:id="1800296166">
      <w:bodyDiv w:val="1"/>
      <w:marLeft w:val="0"/>
      <w:marRight w:val="0"/>
      <w:marTop w:val="0"/>
      <w:marBottom w:val="0"/>
      <w:divBdr>
        <w:top w:val="none" w:sz="0" w:space="0" w:color="auto"/>
        <w:left w:val="none" w:sz="0" w:space="0" w:color="auto"/>
        <w:bottom w:val="none" w:sz="0" w:space="0" w:color="auto"/>
        <w:right w:val="none" w:sz="0" w:space="0" w:color="auto"/>
      </w:divBdr>
    </w:div>
    <w:div w:id="1811826221">
      <w:bodyDiv w:val="1"/>
      <w:marLeft w:val="0"/>
      <w:marRight w:val="0"/>
      <w:marTop w:val="0"/>
      <w:marBottom w:val="0"/>
      <w:divBdr>
        <w:top w:val="none" w:sz="0" w:space="0" w:color="auto"/>
        <w:left w:val="none" w:sz="0" w:space="0" w:color="auto"/>
        <w:bottom w:val="none" w:sz="0" w:space="0" w:color="auto"/>
        <w:right w:val="none" w:sz="0" w:space="0" w:color="auto"/>
      </w:divBdr>
    </w:div>
    <w:div w:id="1814443621">
      <w:bodyDiv w:val="1"/>
      <w:marLeft w:val="0"/>
      <w:marRight w:val="0"/>
      <w:marTop w:val="0"/>
      <w:marBottom w:val="0"/>
      <w:divBdr>
        <w:top w:val="none" w:sz="0" w:space="0" w:color="auto"/>
        <w:left w:val="none" w:sz="0" w:space="0" w:color="auto"/>
        <w:bottom w:val="none" w:sz="0" w:space="0" w:color="auto"/>
        <w:right w:val="none" w:sz="0" w:space="0" w:color="auto"/>
      </w:divBdr>
    </w:div>
    <w:div w:id="1821775685">
      <w:bodyDiv w:val="1"/>
      <w:marLeft w:val="0"/>
      <w:marRight w:val="0"/>
      <w:marTop w:val="0"/>
      <w:marBottom w:val="0"/>
      <w:divBdr>
        <w:top w:val="none" w:sz="0" w:space="0" w:color="auto"/>
        <w:left w:val="none" w:sz="0" w:space="0" w:color="auto"/>
        <w:bottom w:val="none" w:sz="0" w:space="0" w:color="auto"/>
        <w:right w:val="none" w:sz="0" w:space="0" w:color="auto"/>
      </w:divBdr>
    </w:div>
    <w:div w:id="1825077959">
      <w:bodyDiv w:val="1"/>
      <w:marLeft w:val="0"/>
      <w:marRight w:val="0"/>
      <w:marTop w:val="0"/>
      <w:marBottom w:val="0"/>
      <w:divBdr>
        <w:top w:val="none" w:sz="0" w:space="0" w:color="auto"/>
        <w:left w:val="none" w:sz="0" w:space="0" w:color="auto"/>
        <w:bottom w:val="none" w:sz="0" w:space="0" w:color="auto"/>
        <w:right w:val="none" w:sz="0" w:space="0" w:color="auto"/>
      </w:divBdr>
    </w:div>
    <w:div w:id="1826555046">
      <w:bodyDiv w:val="1"/>
      <w:marLeft w:val="0"/>
      <w:marRight w:val="0"/>
      <w:marTop w:val="0"/>
      <w:marBottom w:val="0"/>
      <w:divBdr>
        <w:top w:val="none" w:sz="0" w:space="0" w:color="auto"/>
        <w:left w:val="none" w:sz="0" w:space="0" w:color="auto"/>
        <w:bottom w:val="none" w:sz="0" w:space="0" w:color="auto"/>
        <w:right w:val="none" w:sz="0" w:space="0" w:color="auto"/>
      </w:divBdr>
    </w:div>
    <w:div w:id="1831747848">
      <w:bodyDiv w:val="1"/>
      <w:marLeft w:val="0"/>
      <w:marRight w:val="5"/>
      <w:marTop w:val="0"/>
      <w:marBottom w:val="476"/>
      <w:divBdr>
        <w:top w:val="none" w:sz="0" w:space="0" w:color="auto"/>
        <w:left w:val="none" w:sz="0" w:space="0" w:color="auto"/>
        <w:bottom w:val="none" w:sz="0" w:space="0" w:color="auto"/>
        <w:right w:val="none" w:sz="0" w:space="0" w:color="auto"/>
      </w:divBdr>
      <w:divsChild>
        <w:div w:id="1430736621">
          <w:marLeft w:val="1797"/>
          <w:marRight w:val="0"/>
          <w:marTop w:val="357"/>
          <w:marBottom w:val="238"/>
          <w:divBdr>
            <w:top w:val="none" w:sz="0" w:space="0" w:color="auto"/>
            <w:left w:val="none" w:sz="0" w:space="0" w:color="auto"/>
            <w:bottom w:val="none" w:sz="0" w:space="0" w:color="auto"/>
            <w:right w:val="none" w:sz="0" w:space="0" w:color="auto"/>
          </w:divBdr>
        </w:div>
      </w:divsChild>
    </w:div>
    <w:div w:id="1832669956">
      <w:bodyDiv w:val="1"/>
      <w:marLeft w:val="0"/>
      <w:marRight w:val="0"/>
      <w:marTop w:val="0"/>
      <w:marBottom w:val="0"/>
      <w:divBdr>
        <w:top w:val="none" w:sz="0" w:space="0" w:color="auto"/>
        <w:left w:val="none" w:sz="0" w:space="0" w:color="auto"/>
        <w:bottom w:val="none" w:sz="0" w:space="0" w:color="auto"/>
        <w:right w:val="none" w:sz="0" w:space="0" w:color="auto"/>
      </w:divBdr>
    </w:div>
    <w:div w:id="1851941632">
      <w:bodyDiv w:val="1"/>
      <w:marLeft w:val="0"/>
      <w:marRight w:val="0"/>
      <w:marTop w:val="0"/>
      <w:marBottom w:val="0"/>
      <w:divBdr>
        <w:top w:val="none" w:sz="0" w:space="0" w:color="auto"/>
        <w:left w:val="none" w:sz="0" w:space="0" w:color="auto"/>
        <w:bottom w:val="none" w:sz="0" w:space="0" w:color="auto"/>
        <w:right w:val="none" w:sz="0" w:space="0" w:color="auto"/>
      </w:divBdr>
    </w:div>
    <w:div w:id="1859735088">
      <w:bodyDiv w:val="1"/>
      <w:marLeft w:val="0"/>
      <w:marRight w:val="5"/>
      <w:marTop w:val="0"/>
      <w:marBottom w:val="476"/>
      <w:divBdr>
        <w:top w:val="none" w:sz="0" w:space="0" w:color="auto"/>
        <w:left w:val="none" w:sz="0" w:space="0" w:color="auto"/>
        <w:bottom w:val="none" w:sz="0" w:space="0" w:color="auto"/>
        <w:right w:val="none" w:sz="0" w:space="0" w:color="auto"/>
      </w:divBdr>
      <w:divsChild>
        <w:div w:id="1435007995">
          <w:marLeft w:val="1797"/>
          <w:marRight w:val="0"/>
          <w:marTop w:val="357"/>
          <w:marBottom w:val="238"/>
          <w:divBdr>
            <w:top w:val="none" w:sz="0" w:space="0" w:color="auto"/>
            <w:left w:val="none" w:sz="0" w:space="0" w:color="auto"/>
            <w:bottom w:val="none" w:sz="0" w:space="0" w:color="auto"/>
            <w:right w:val="none" w:sz="0" w:space="0" w:color="auto"/>
          </w:divBdr>
        </w:div>
      </w:divsChild>
    </w:div>
    <w:div w:id="1864400513">
      <w:bodyDiv w:val="1"/>
      <w:marLeft w:val="0"/>
      <w:marRight w:val="0"/>
      <w:marTop w:val="0"/>
      <w:marBottom w:val="0"/>
      <w:divBdr>
        <w:top w:val="none" w:sz="0" w:space="0" w:color="auto"/>
        <w:left w:val="none" w:sz="0" w:space="0" w:color="auto"/>
        <w:bottom w:val="none" w:sz="0" w:space="0" w:color="auto"/>
        <w:right w:val="none" w:sz="0" w:space="0" w:color="auto"/>
      </w:divBdr>
    </w:div>
    <w:div w:id="1876573771">
      <w:bodyDiv w:val="1"/>
      <w:marLeft w:val="0"/>
      <w:marRight w:val="0"/>
      <w:marTop w:val="0"/>
      <w:marBottom w:val="0"/>
      <w:divBdr>
        <w:top w:val="none" w:sz="0" w:space="0" w:color="auto"/>
        <w:left w:val="none" w:sz="0" w:space="0" w:color="auto"/>
        <w:bottom w:val="none" w:sz="0" w:space="0" w:color="auto"/>
        <w:right w:val="none" w:sz="0" w:space="0" w:color="auto"/>
      </w:divBdr>
    </w:div>
    <w:div w:id="1884554522">
      <w:bodyDiv w:val="1"/>
      <w:marLeft w:val="0"/>
      <w:marRight w:val="0"/>
      <w:marTop w:val="0"/>
      <w:marBottom w:val="0"/>
      <w:divBdr>
        <w:top w:val="none" w:sz="0" w:space="0" w:color="auto"/>
        <w:left w:val="none" w:sz="0" w:space="0" w:color="auto"/>
        <w:bottom w:val="none" w:sz="0" w:space="0" w:color="auto"/>
        <w:right w:val="none" w:sz="0" w:space="0" w:color="auto"/>
      </w:divBdr>
    </w:div>
    <w:div w:id="1884558979">
      <w:bodyDiv w:val="1"/>
      <w:marLeft w:val="0"/>
      <w:marRight w:val="0"/>
      <w:marTop w:val="0"/>
      <w:marBottom w:val="0"/>
      <w:divBdr>
        <w:top w:val="none" w:sz="0" w:space="0" w:color="auto"/>
        <w:left w:val="none" w:sz="0" w:space="0" w:color="auto"/>
        <w:bottom w:val="none" w:sz="0" w:space="0" w:color="auto"/>
        <w:right w:val="none" w:sz="0" w:space="0" w:color="auto"/>
      </w:divBdr>
    </w:div>
    <w:div w:id="1885487102">
      <w:bodyDiv w:val="1"/>
      <w:marLeft w:val="0"/>
      <w:marRight w:val="0"/>
      <w:marTop w:val="0"/>
      <w:marBottom w:val="0"/>
      <w:divBdr>
        <w:top w:val="none" w:sz="0" w:space="0" w:color="auto"/>
        <w:left w:val="none" w:sz="0" w:space="0" w:color="auto"/>
        <w:bottom w:val="none" w:sz="0" w:space="0" w:color="auto"/>
        <w:right w:val="none" w:sz="0" w:space="0" w:color="auto"/>
      </w:divBdr>
    </w:div>
    <w:div w:id="1890148667">
      <w:bodyDiv w:val="1"/>
      <w:marLeft w:val="0"/>
      <w:marRight w:val="0"/>
      <w:marTop w:val="0"/>
      <w:marBottom w:val="0"/>
      <w:divBdr>
        <w:top w:val="none" w:sz="0" w:space="0" w:color="auto"/>
        <w:left w:val="none" w:sz="0" w:space="0" w:color="auto"/>
        <w:bottom w:val="none" w:sz="0" w:space="0" w:color="auto"/>
        <w:right w:val="none" w:sz="0" w:space="0" w:color="auto"/>
      </w:divBdr>
    </w:div>
    <w:div w:id="1892843399">
      <w:bodyDiv w:val="1"/>
      <w:marLeft w:val="0"/>
      <w:marRight w:val="0"/>
      <w:marTop w:val="0"/>
      <w:marBottom w:val="0"/>
      <w:divBdr>
        <w:top w:val="none" w:sz="0" w:space="0" w:color="auto"/>
        <w:left w:val="none" w:sz="0" w:space="0" w:color="auto"/>
        <w:bottom w:val="none" w:sz="0" w:space="0" w:color="auto"/>
        <w:right w:val="none" w:sz="0" w:space="0" w:color="auto"/>
      </w:divBdr>
    </w:div>
    <w:div w:id="1898736064">
      <w:bodyDiv w:val="1"/>
      <w:marLeft w:val="0"/>
      <w:marRight w:val="0"/>
      <w:marTop w:val="0"/>
      <w:marBottom w:val="0"/>
      <w:divBdr>
        <w:top w:val="none" w:sz="0" w:space="0" w:color="auto"/>
        <w:left w:val="none" w:sz="0" w:space="0" w:color="auto"/>
        <w:bottom w:val="none" w:sz="0" w:space="0" w:color="auto"/>
        <w:right w:val="none" w:sz="0" w:space="0" w:color="auto"/>
      </w:divBdr>
    </w:div>
    <w:div w:id="1903514971">
      <w:bodyDiv w:val="1"/>
      <w:marLeft w:val="0"/>
      <w:marRight w:val="0"/>
      <w:marTop w:val="0"/>
      <w:marBottom w:val="0"/>
      <w:divBdr>
        <w:top w:val="none" w:sz="0" w:space="0" w:color="auto"/>
        <w:left w:val="none" w:sz="0" w:space="0" w:color="auto"/>
        <w:bottom w:val="none" w:sz="0" w:space="0" w:color="auto"/>
        <w:right w:val="none" w:sz="0" w:space="0" w:color="auto"/>
      </w:divBdr>
    </w:div>
    <w:div w:id="1904750450">
      <w:bodyDiv w:val="1"/>
      <w:marLeft w:val="0"/>
      <w:marRight w:val="5"/>
      <w:marTop w:val="0"/>
      <w:marBottom w:val="476"/>
      <w:divBdr>
        <w:top w:val="none" w:sz="0" w:space="0" w:color="auto"/>
        <w:left w:val="none" w:sz="0" w:space="0" w:color="auto"/>
        <w:bottom w:val="none" w:sz="0" w:space="0" w:color="auto"/>
        <w:right w:val="none" w:sz="0" w:space="0" w:color="auto"/>
      </w:divBdr>
      <w:divsChild>
        <w:div w:id="20279310">
          <w:marLeft w:val="1797"/>
          <w:marRight w:val="0"/>
          <w:marTop w:val="357"/>
          <w:marBottom w:val="238"/>
          <w:divBdr>
            <w:top w:val="none" w:sz="0" w:space="0" w:color="auto"/>
            <w:left w:val="none" w:sz="0" w:space="0" w:color="auto"/>
            <w:bottom w:val="none" w:sz="0" w:space="0" w:color="auto"/>
            <w:right w:val="none" w:sz="0" w:space="0" w:color="auto"/>
          </w:divBdr>
        </w:div>
      </w:divsChild>
    </w:div>
    <w:div w:id="1906187456">
      <w:bodyDiv w:val="1"/>
      <w:marLeft w:val="0"/>
      <w:marRight w:val="0"/>
      <w:marTop w:val="0"/>
      <w:marBottom w:val="0"/>
      <w:divBdr>
        <w:top w:val="none" w:sz="0" w:space="0" w:color="auto"/>
        <w:left w:val="none" w:sz="0" w:space="0" w:color="auto"/>
        <w:bottom w:val="none" w:sz="0" w:space="0" w:color="auto"/>
        <w:right w:val="none" w:sz="0" w:space="0" w:color="auto"/>
      </w:divBdr>
    </w:div>
    <w:div w:id="1906525017">
      <w:bodyDiv w:val="1"/>
      <w:marLeft w:val="0"/>
      <w:marRight w:val="0"/>
      <w:marTop w:val="0"/>
      <w:marBottom w:val="0"/>
      <w:divBdr>
        <w:top w:val="none" w:sz="0" w:space="0" w:color="auto"/>
        <w:left w:val="none" w:sz="0" w:space="0" w:color="auto"/>
        <w:bottom w:val="none" w:sz="0" w:space="0" w:color="auto"/>
        <w:right w:val="none" w:sz="0" w:space="0" w:color="auto"/>
      </w:divBdr>
    </w:div>
    <w:div w:id="1910920504">
      <w:bodyDiv w:val="1"/>
      <w:marLeft w:val="0"/>
      <w:marRight w:val="0"/>
      <w:marTop w:val="0"/>
      <w:marBottom w:val="0"/>
      <w:divBdr>
        <w:top w:val="none" w:sz="0" w:space="0" w:color="auto"/>
        <w:left w:val="none" w:sz="0" w:space="0" w:color="auto"/>
        <w:bottom w:val="none" w:sz="0" w:space="0" w:color="auto"/>
        <w:right w:val="none" w:sz="0" w:space="0" w:color="auto"/>
      </w:divBdr>
    </w:div>
    <w:div w:id="1911500858">
      <w:bodyDiv w:val="1"/>
      <w:marLeft w:val="0"/>
      <w:marRight w:val="0"/>
      <w:marTop w:val="0"/>
      <w:marBottom w:val="0"/>
      <w:divBdr>
        <w:top w:val="none" w:sz="0" w:space="0" w:color="auto"/>
        <w:left w:val="none" w:sz="0" w:space="0" w:color="auto"/>
        <w:bottom w:val="none" w:sz="0" w:space="0" w:color="auto"/>
        <w:right w:val="none" w:sz="0" w:space="0" w:color="auto"/>
      </w:divBdr>
    </w:div>
    <w:div w:id="1913468267">
      <w:bodyDiv w:val="1"/>
      <w:marLeft w:val="0"/>
      <w:marRight w:val="0"/>
      <w:marTop w:val="0"/>
      <w:marBottom w:val="0"/>
      <w:divBdr>
        <w:top w:val="none" w:sz="0" w:space="0" w:color="auto"/>
        <w:left w:val="none" w:sz="0" w:space="0" w:color="auto"/>
        <w:bottom w:val="none" w:sz="0" w:space="0" w:color="auto"/>
        <w:right w:val="none" w:sz="0" w:space="0" w:color="auto"/>
      </w:divBdr>
    </w:div>
    <w:div w:id="1932274976">
      <w:bodyDiv w:val="1"/>
      <w:marLeft w:val="0"/>
      <w:marRight w:val="0"/>
      <w:marTop w:val="0"/>
      <w:marBottom w:val="0"/>
      <w:divBdr>
        <w:top w:val="none" w:sz="0" w:space="0" w:color="auto"/>
        <w:left w:val="none" w:sz="0" w:space="0" w:color="auto"/>
        <w:bottom w:val="none" w:sz="0" w:space="0" w:color="auto"/>
        <w:right w:val="none" w:sz="0" w:space="0" w:color="auto"/>
      </w:divBdr>
    </w:div>
    <w:div w:id="1934896765">
      <w:bodyDiv w:val="1"/>
      <w:marLeft w:val="0"/>
      <w:marRight w:val="0"/>
      <w:marTop w:val="0"/>
      <w:marBottom w:val="0"/>
      <w:divBdr>
        <w:top w:val="none" w:sz="0" w:space="0" w:color="auto"/>
        <w:left w:val="none" w:sz="0" w:space="0" w:color="auto"/>
        <w:bottom w:val="none" w:sz="0" w:space="0" w:color="auto"/>
        <w:right w:val="none" w:sz="0" w:space="0" w:color="auto"/>
      </w:divBdr>
    </w:div>
    <w:div w:id="1941376364">
      <w:bodyDiv w:val="1"/>
      <w:marLeft w:val="0"/>
      <w:marRight w:val="0"/>
      <w:marTop w:val="0"/>
      <w:marBottom w:val="0"/>
      <w:divBdr>
        <w:top w:val="none" w:sz="0" w:space="0" w:color="auto"/>
        <w:left w:val="none" w:sz="0" w:space="0" w:color="auto"/>
        <w:bottom w:val="none" w:sz="0" w:space="0" w:color="auto"/>
        <w:right w:val="none" w:sz="0" w:space="0" w:color="auto"/>
      </w:divBdr>
    </w:div>
    <w:div w:id="1950745071">
      <w:bodyDiv w:val="1"/>
      <w:marLeft w:val="0"/>
      <w:marRight w:val="0"/>
      <w:marTop w:val="0"/>
      <w:marBottom w:val="0"/>
      <w:divBdr>
        <w:top w:val="none" w:sz="0" w:space="0" w:color="auto"/>
        <w:left w:val="none" w:sz="0" w:space="0" w:color="auto"/>
        <w:bottom w:val="none" w:sz="0" w:space="0" w:color="auto"/>
        <w:right w:val="none" w:sz="0" w:space="0" w:color="auto"/>
      </w:divBdr>
    </w:div>
    <w:div w:id="1955358281">
      <w:bodyDiv w:val="1"/>
      <w:marLeft w:val="0"/>
      <w:marRight w:val="0"/>
      <w:marTop w:val="0"/>
      <w:marBottom w:val="0"/>
      <w:divBdr>
        <w:top w:val="none" w:sz="0" w:space="0" w:color="auto"/>
        <w:left w:val="none" w:sz="0" w:space="0" w:color="auto"/>
        <w:bottom w:val="none" w:sz="0" w:space="0" w:color="auto"/>
        <w:right w:val="none" w:sz="0" w:space="0" w:color="auto"/>
      </w:divBdr>
    </w:div>
    <w:div w:id="1964538999">
      <w:bodyDiv w:val="1"/>
      <w:marLeft w:val="0"/>
      <w:marRight w:val="0"/>
      <w:marTop w:val="0"/>
      <w:marBottom w:val="0"/>
      <w:divBdr>
        <w:top w:val="none" w:sz="0" w:space="0" w:color="auto"/>
        <w:left w:val="none" w:sz="0" w:space="0" w:color="auto"/>
        <w:bottom w:val="none" w:sz="0" w:space="0" w:color="auto"/>
        <w:right w:val="none" w:sz="0" w:space="0" w:color="auto"/>
      </w:divBdr>
    </w:div>
    <w:div w:id="1968970733">
      <w:bodyDiv w:val="1"/>
      <w:marLeft w:val="0"/>
      <w:marRight w:val="0"/>
      <w:marTop w:val="0"/>
      <w:marBottom w:val="0"/>
      <w:divBdr>
        <w:top w:val="none" w:sz="0" w:space="0" w:color="auto"/>
        <w:left w:val="none" w:sz="0" w:space="0" w:color="auto"/>
        <w:bottom w:val="none" w:sz="0" w:space="0" w:color="auto"/>
        <w:right w:val="none" w:sz="0" w:space="0" w:color="auto"/>
      </w:divBdr>
    </w:div>
    <w:div w:id="1969818590">
      <w:bodyDiv w:val="1"/>
      <w:marLeft w:val="0"/>
      <w:marRight w:val="0"/>
      <w:marTop w:val="0"/>
      <w:marBottom w:val="0"/>
      <w:divBdr>
        <w:top w:val="none" w:sz="0" w:space="0" w:color="auto"/>
        <w:left w:val="none" w:sz="0" w:space="0" w:color="auto"/>
        <w:bottom w:val="none" w:sz="0" w:space="0" w:color="auto"/>
        <w:right w:val="none" w:sz="0" w:space="0" w:color="auto"/>
      </w:divBdr>
    </w:div>
    <w:div w:id="1982684446">
      <w:bodyDiv w:val="1"/>
      <w:marLeft w:val="0"/>
      <w:marRight w:val="0"/>
      <w:marTop w:val="0"/>
      <w:marBottom w:val="0"/>
      <w:divBdr>
        <w:top w:val="none" w:sz="0" w:space="0" w:color="auto"/>
        <w:left w:val="none" w:sz="0" w:space="0" w:color="auto"/>
        <w:bottom w:val="none" w:sz="0" w:space="0" w:color="auto"/>
        <w:right w:val="none" w:sz="0" w:space="0" w:color="auto"/>
      </w:divBdr>
    </w:div>
    <w:div w:id="1987272257">
      <w:bodyDiv w:val="1"/>
      <w:marLeft w:val="0"/>
      <w:marRight w:val="0"/>
      <w:marTop w:val="0"/>
      <w:marBottom w:val="0"/>
      <w:divBdr>
        <w:top w:val="none" w:sz="0" w:space="0" w:color="auto"/>
        <w:left w:val="none" w:sz="0" w:space="0" w:color="auto"/>
        <w:bottom w:val="none" w:sz="0" w:space="0" w:color="auto"/>
        <w:right w:val="none" w:sz="0" w:space="0" w:color="auto"/>
      </w:divBdr>
    </w:div>
    <w:div w:id="1990013629">
      <w:bodyDiv w:val="1"/>
      <w:marLeft w:val="0"/>
      <w:marRight w:val="0"/>
      <w:marTop w:val="0"/>
      <w:marBottom w:val="0"/>
      <w:divBdr>
        <w:top w:val="none" w:sz="0" w:space="0" w:color="auto"/>
        <w:left w:val="none" w:sz="0" w:space="0" w:color="auto"/>
        <w:bottom w:val="none" w:sz="0" w:space="0" w:color="auto"/>
        <w:right w:val="none" w:sz="0" w:space="0" w:color="auto"/>
      </w:divBdr>
    </w:div>
    <w:div w:id="1991129520">
      <w:bodyDiv w:val="1"/>
      <w:marLeft w:val="0"/>
      <w:marRight w:val="0"/>
      <w:marTop w:val="0"/>
      <w:marBottom w:val="0"/>
      <w:divBdr>
        <w:top w:val="none" w:sz="0" w:space="0" w:color="auto"/>
        <w:left w:val="none" w:sz="0" w:space="0" w:color="auto"/>
        <w:bottom w:val="none" w:sz="0" w:space="0" w:color="auto"/>
        <w:right w:val="none" w:sz="0" w:space="0" w:color="auto"/>
      </w:divBdr>
    </w:div>
    <w:div w:id="1992516205">
      <w:bodyDiv w:val="1"/>
      <w:marLeft w:val="0"/>
      <w:marRight w:val="0"/>
      <w:marTop w:val="0"/>
      <w:marBottom w:val="0"/>
      <w:divBdr>
        <w:top w:val="none" w:sz="0" w:space="0" w:color="auto"/>
        <w:left w:val="none" w:sz="0" w:space="0" w:color="auto"/>
        <w:bottom w:val="none" w:sz="0" w:space="0" w:color="auto"/>
        <w:right w:val="none" w:sz="0" w:space="0" w:color="auto"/>
      </w:divBdr>
    </w:div>
    <w:div w:id="1994724212">
      <w:bodyDiv w:val="1"/>
      <w:marLeft w:val="0"/>
      <w:marRight w:val="0"/>
      <w:marTop w:val="0"/>
      <w:marBottom w:val="0"/>
      <w:divBdr>
        <w:top w:val="none" w:sz="0" w:space="0" w:color="auto"/>
        <w:left w:val="none" w:sz="0" w:space="0" w:color="auto"/>
        <w:bottom w:val="none" w:sz="0" w:space="0" w:color="auto"/>
        <w:right w:val="none" w:sz="0" w:space="0" w:color="auto"/>
      </w:divBdr>
    </w:div>
    <w:div w:id="2008633106">
      <w:bodyDiv w:val="1"/>
      <w:marLeft w:val="0"/>
      <w:marRight w:val="0"/>
      <w:marTop w:val="0"/>
      <w:marBottom w:val="0"/>
      <w:divBdr>
        <w:top w:val="none" w:sz="0" w:space="0" w:color="auto"/>
        <w:left w:val="none" w:sz="0" w:space="0" w:color="auto"/>
        <w:bottom w:val="none" w:sz="0" w:space="0" w:color="auto"/>
        <w:right w:val="none" w:sz="0" w:space="0" w:color="auto"/>
      </w:divBdr>
    </w:div>
    <w:div w:id="2016374099">
      <w:bodyDiv w:val="1"/>
      <w:marLeft w:val="0"/>
      <w:marRight w:val="0"/>
      <w:marTop w:val="0"/>
      <w:marBottom w:val="0"/>
      <w:divBdr>
        <w:top w:val="none" w:sz="0" w:space="0" w:color="auto"/>
        <w:left w:val="none" w:sz="0" w:space="0" w:color="auto"/>
        <w:bottom w:val="none" w:sz="0" w:space="0" w:color="auto"/>
        <w:right w:val="none" w:sz="0" w:space="0" w:color="auto"/>
      </w:divBdr>
    </w:div>
    <w:div w:id="2023438161">
      <w:bodyDiv w:val="1"/>
      <w:marLeft w:val="0"/>
      <w:marRight w:val="0"/>
      <w:marTop w:val="0"/>
      <w:marBottom w:val="0"/>
      <w:divBdr>
        <w:top w:val="none" w:sz="0" w:space="0" w:color="auto"/>
        <w:left w:val="none" w:sz="0" w:space="0" w:color="auto"/>
        <w:bottom w:val="none" w:sz="0" w:space="0" w:color="auto"/>
        <w:right w:val="none" w:sz="0" w:space="0" w:color="auto"/>
      </w:divBdr>
    </w:div>
    <w:div w:id="2032143389">
      <w:bodyDiv w:val="1"/>
      <w:marLeft w:val="0"/>
      <w:marRight w:val="0"/>
      <w:marTop w:val="0"/>
      <w:marBottom w:val="0"/>
      <w:divBdr>
        <w:top w:val="none" w:sz="0" w:space="0" w:color="auto"/>
        <w:left w:val="none" w:sz="0" w:space="0" w:color="auto"/>
        <w:bottom w:val="none" w:sz="0" w:space="0" w:color="auto"/>
        <w:right w:val="none" w:sz="0" w:space="0" w:color="auto"/>
      </w:divBdr>
    </w:div>
    <w:div w:id="2032338364">
      <w:bodyDiv w:val="1"/>
      <w:marLeft w:val="0"/>
      <w:marRight w:val="0"/>
      <w:marTop w:val="0"/>
      <w:marBottom w:val="0"/>
      <w:divBdr>
        <w:top w:val="none" w:sz="0" w:space="0" w:color="auto"/>
        <w:left w:val="none" w:sz="0" w:space="0" w:color="auto"/>
        <w:bottom w:val="none" w:sz="0" w:space="0" w:color="auto"/>
        <w:right w:val="none" w:sz="0" w:space="0" w:color="auto"/>
      </w:divBdr>
    </w:div>
    <w:div w:id="2033996455">
      <w:bodyDiv w:val="1"/>
      <w:marLeft w:val="0"/>
      <w:marRight w:val="0"/>
      <w:marTop w:val="0"/>
      <w:marBottom w:val="0"/>
      <w:divBdr>
        <w:top w:val="none" w:sz="0" w:space="0" w:color="auto"/>
        <w:left w:val="none" w:sz="0" w:space="0" w:color="auto"/>
        <w:bottom w:val="none" w:sz="0" w:space="0" w:color="auto"/>
        <w:right w:val="none" w:sz="0" w:space="0" w:color="auto"/>
      </w:divBdr>
    </w:div>
    <w:div w:id="2040932123">
      <w:bodyDiv w:val="1"/>
      <w:marLeft w:val="0"/>
      <w:marRight w:val="0"/>
      <w:marTop w:val="0"/>
      <w:marBottom w:val="0"/>
      <w:divBdr>
        <w:top w:val="none" w:sz="0" w:space="0" w:color="auto"/>
        <w:left w:val="none" w:sz="0" w:space="0" w:color="auto"/>
        <w:bottom w:val="none" w:sz="0" w:space="0" w:color="auto"/>
        <w:right w:val="none" w:sz="0" w:space="0" w:color="auto"/>
      </w:divBdr>
    </w:div>
    <w:div w:id="2050375059">
      <w:bodyDiv w:val="1"/>
      <w:marLeft w:val="0"/>
      <w:marRight w:val="0"/>
      <w:marTop w:val="0"/>
      <w:marBottom w:val="0"/>
      <w:divBdr>
        <w:top w:val="none" w:sz="0" w:space="0" w:color="auto"/>
        <w:left w:val="none" w:sz="0" w:space="0" w:color="auto"/>
        <w:bottom w:val="none" w:sz="0" w:space="0" w:color="auto"/>
        <w:right w:val="none" w:sz="0" w:space="0" w:color="auto"/>
      </w:divBdr>
    </w:div>
    <w:div w:id="2065520432">
      <w:bodyDiv w:val="1"/>
      <w:marLeft w:val="0"/>
      <w:marRight w:val="0"/>
      <w:marTop w:val="0"/>
      <w:marBottom w:val="0"/>
      <w:divBdr>
        <w:top w:val="none" w:sz="0" w:space="0" w:color="auto"/>
        <w:left w:val="none" w:sz="0" w:space="0" w:color="auto"/>
        <w:bottom w:val="none" w:sz="0" w:space="0" w:color="auto"/>
        <w:right w:val="none" w:sz="0" w:space="0" w:color="auto"/>
      </w:divBdr>
    </w:div>
    <w:div w:id="2070030924">
      <w:bodyDiv w:val="1"/>
      <w:marLeft w:val="0"/>
      <w:marRight w:val="0"/>
      <w:marTop w:val="0"/>
      <w:marBottom w:val="0"/>
      <w:divBdr>
        <w:top w:val="none" w:sz="0" w:space="0" w:color="auto"/>
        <w:left w:val="none" w:sz="0" w:space="0" w:color="auto"/>
        <w:bottom w:val="none" w:sz="0" w:space="0" w:color="auto"/>
        <w:right w:val="none" w:sz="0" w:space="0" w:color="auto"/>
      </w:divBdr>
    </w:div>
    <w:div w:id="2072340766">
      <w:bodyDiv w:val="1"/>
      <w:marLeft w:val="0"/>
      <w:marRight w:val="0"/>
      <w:marTop w:val="0"/>
      <w:marBottom w:val="0"/>
      <w:divBdr>
        <w:top w:val="none" w:sz="0" w:space="0" w:color="auto"/>
        <w:left w:val="none" w:sz="0" w:space="0" w:color="auto"/>
        <w:bottom w:val="none" w:sz="0" w:space="0" w:color="auto"/>
        <w:right w:val="none" w:sz="0" w:space="0" w:color="auto"/>
      </w:divBdr>
    </w:div>
    <w:div w:id="2072578750">
      <w:bodyDiv w:val="1"/>
      <w:marLeft w:val="0"/>
      <w:marRight w:val="0"/>
      <w:marTop w:val="0"/>
      <w:marBottom w:val="0"/>
      <w:divBdr>
        <w:top w:val="none" w:sz="0" w:space="0" w:color="auto"/>
        <w:left w:val="none" w:sz="0" w:space="0" w:color="auto"/>
        <w:bottom w:val="none" w:sz="0" w:space="0" w:color="auto"/>
        <w:right w:val="none" w:sz="0" w:space="0" w:color="auto"/>
      </w:divBdr>
    </w:div>
    <w:div w:id="2075276672">
      <w:bodyDiv w:val="1"/>
      <w:marLeft w:val="0"/>
      <w:marRight w:val="0"/>
      <w:marTop w:val="0"/>
      <w:marBottom w:val="0"/>
      <w:divBdr>
        <w:top w:val="none" w:sz="0" w:space="0" w:color="auto"/>
        <w:left w:val="none" w:sz="0" w:space="0" w:color="auto"/>
        <w:bottom w:val="none" w:sz="0" w:space="0" w:color="auto"/>
        <w:right w:val="none" w:sz="0" w:space="0" w:color="auto"/>
      </w:divBdr>
    </w:div>
    <w:div w:id="2077240658">
      <w:bodyDiv w:val="1"/>
      <w:marLeft w:val="0"/>
      <w:marRight w:val="0"/>
      <w:marTop w:val="0"/>
      <w:marBottom w:val="0"/>
      <w:divBdr>
        <w:top w:val="none" w:sz="0" w:space="0" w:color="auto"/>
        <w:left w:val="none" w:sz="0" w:space="0" w:color="auto"/>
        <w:bottom w:val="none" w:sz="0" w:space="0" w:color="auto"/>
        <w:right w:val="none" w:sz="0" w:space="0" w:color="auto"/>
      </w:divBdr>
    </w:div>
    <w:div w:id="2077317004">
      <w:bodyDiv w:val="1"/>
      <w:marLeft w:val="0"/>
      <w:marRight w:val="0"/>
      <w:marTop w:val="0"/>
      <w:marBottom w:val="0"/>
      <w:divBdr>
        <w:top w:val="none" w:sz="0" w:space="0" w:color="auto"/>
        <w:left w:val="none" w:sz="0" w:space="0" w:color="auto"/>
        <w:bottom w:val="none" w:sz="0" w:space="0" w:color="auto"/>
        <w:right w:val="none" w:sz="0" w:space="0" w:color="auto"/>
      </w:divBdr>
    </w:div>
    <w:div w:id="2082408756">
      <w:bodyDiv w:val="1"/>
      <w:marLeft w:val="0"/>
      <w:marRight w:val="0"/>
      <w:marTop w:val="0"/>
      <w:marBottom w:val="0"/>
      <w:divBdr>
        <w:top w:val="none" w:sz="0" w:space="0" w:color="auto"/>
        <w:left w:val="none" w:sz="0" w:space="0" w:color="auto"/>
        <w:bottom w:val="none" w:sz="0" w:space="0" w:color="auto"/>
        <w:right w:val="none" w:sz="0" w:space="0" w:color="auto"/>
      </w:divBdr>
    </w:div>
    <w:div w:id="2095853541">
      <w:bodyDiv w:val="1"/>
      <w:marLeft w:val="0"/>
      <w:marRight w:val="0"/>
      <w:marTop w:val="0"/>
      <w:marBottom w:val="0"/>
      <w:divBdr>
        <w:top w:val="none" w:sz="0" w:space="0" w:color="auto"/>
        <w:left w:val="none" w:sz="0" w:space="0" w:color="auto"/>
        <w:bottom w:val="none" w:sz="0" w:space="0" w:color="auto"/>
        <w:right w:val="none" w:sz="0" w:space="0" w:color="auto"/>
      </w:divBdr>
    </w:div>
    <w:div w:id="2100827998">
      <w:bodyDiv w:val="1"/>
      <w:marLeft w:val="0"/>
      <w:marRight w:val="0"/>
      <w:marTop w:val="0"/>
      <w:marBottom w:val="0"/>
      <w:divBdr>
        <w:top w:val="none" w:sz="0" w:space="0" w:color="auto"/>
        <w:left w:val="none" w:sz="0" w:space="0" w:color="auto"/>
        <w:bottom w:val="none" w:sz="0" w:space="0" w:color="auto"/>
        <w:right w:val="none" w:sz="0" w:space="0" w:color="auto"/>
      </w:divBdr>
    </w:div>
    <w:div w:id="2105956043">
      <w:bodyDiv w:val="1"/>
      <w:marLeft w:val="0"/>
      <w:marRight w:val="0"/>
      <w:marTop w:val="0"/>
      <w:marBottom w:val="0"/>
      <w:divBdr>
        <w:top w:val="none" w:sz="0" w:space="0" w:color="auto"/>
        <w:left w:val="none" w:sz="0" w:space="0" w:color="auto"/>
        <w:bottom w:val="none" w:sz="0" w:space="0" w:color="auto"/>
        <w:right w:val="none" w:sz="0" w:space="0" w:color="auto"/>
      </w:divBdr>
    </w:div>
    <w:div w:id="2107116383">
      <w:bodyDiv w:val="1"/>
      <w:marLeft w:val="0"/>
      <w:marRight w:val="0"/>
      <w:marTop w:val="0"/>
      <w:marBottom w:val="0"/>
      <w:divBdr>
        <w:top w:val="none" w:sz="0" w:space="0" w:color="auto"/>
        <w:left w:val="none" w:sz="0" w:space="0" w:color="auto"/>
        <w:bottom w:val="none" w:sz="0" w:space="0" w:color="auto"/>
        <w:right w:val="none" w:sz="0" w:space="0" w:color="auto"/>
      </w:divBdr>
    </w:div>
    <w:div w:id="2108891185">
      <w:bodyDiv w:val="1"/>
      <w:marLeft w:val="0"/>
      <w:marRight w:val="0"/>
      <w:marTop w:val="0"/>
      <w:marBottom w:val="0"/>
      <w:divBdr>
        <w:top w:val="none" w:sz="0" w:space="0" w:color="auto"/>
        <w:left w:val="none" w:sz="0" w:space="0" w:color="auto"/>
        <w:bottom w:val="none" w:sz="0" w:space="0" w:color="auto"/>
        <w:right w:val="none" w:sz="0" w:space="0" w:color="auto"/>
      </w:divBdr>
    </w:div>
    <w:div w:id="2119838200">
      <w:bodyDiv w:val="1"/>
      <w:marLeft w:val="0"/>
      <w:marRight w:val="5"/>
      <w:marTop w:val="0"/>
      <w:marBottom w:val="476"/>
      <w:divBdr>
        <w:top w:val="none" w:sz="0" w:space="0" w:color="auto"/>
        <w:left w:val="none" w:sz="0" w:space="0" w:color="auto"/>
        <w:bottom w:val="none" w:sz="0" w:space="0" w:color="auto"/>
        <w:right w:val="none" w:sz="0" w:space="0" w:color="auto"/>
      </w:divBdr>
      <w:divsChild>
        <w:div w:id="1659378096">
          <w:marLeft w:val="1797"/>
          <w:marRight w:val="0"/>
          <w:marTop w:val="357"/>
          <w:marBottom w:val="238"/>
          <w:divBdr>
            <w:top w:val="none" w:sz="0" w:space="0" w:color="auto"/>
            <w:left w:val="none" w:sz="0" w:space="0" w:color="auto"/>
            <w:bottom w:val="none" w:sz="0" w:space="0" w:color="auto"/>
            <w:right w:val="none" w:sz="0" w:space="0" w:color="auto"/>
          </w:divBdr>
        </w:div>
      </w:divsChild>
    </w:div>
    <w:div w:id="2124615490">
      <w:bodyDiv w:val="1"/>
      <w:marLeft w:val="0"/>
      <w:marRight w:val="0"/>
      <w:marTop w:val="0"/>
      <w:marBottom w:val="0"/>
      <w:divBdr>
        <w:top w:val="none" w:sz="0" w:space="0" w:color="auto"/>
        <w:left w:val="none" w:sz="0" w:space="0" w:color="auto"/>
        <w:bottom w:val="none" w:sz="0" w:space="0" w:color="auto"/>
        <w:right w:val="none" w:sz="0" w:space="0" w:color="auto"/>
      </w:divBdr>
    </w:div>
    <w:div w:id="2143039267">
      <w:bodyDiv w:val="1"/>
      <w:marLeft w:val="0"/>
      <w:marRight w:val="0"/>
      <w:marTop w:val="0"/>
      <w:marBottom w:val="0"/>
      <w:divBdr>
        <w:top w:val="none" w:sz="0" w:space="0" w:color="auto"/>
        <w:left w:val="none" w:sz="0" w:space="0" w:color="auto"/>
        <w:bottom w:val="none" w:sz="0" w:space="0" w:color="auto"/>
        <w:right w:val="none" w:sz="0" w:space="0" w:color="auto"/>
      </w:divBdr>
    </w:div>
    <w:div w:id="2143577463">
      <w:bodyDiv w:val="1"/>
      <w:marLeft w:val="0"/>
      <w:marRight w:val="0"/>
      <w:marTop w:val="0"/>
      <w:marBottom w:val="0"/>
      <w:divBdr>
        <w:top w:val="none" w:sz="0" w:space="0" w:color="auto"/>
        <w:left w:val="none" w:sz="0" w:space="0" w:color="auto"/>
        <w:bottom w:val="none" w:sz="0" w:space="0" w:color="auto"/>
        <w:right w:val="none" w:sz="0" w:space="0" w:color="auto"/>
      </w:divBdr>
    </w:div>
    <w:div w:id="2145002593">
      <w:bodyDiv w:val="1"/>
      <w:marLeft w:val="0"/>
      <w:marRight w:val="0"/>
      <w:marTop w:val="0"/>
      <w:marBottom w:val="0"/>
      <w:divBdr>
        <w:top w:val="none" w:sz="0" w:space="0" w:color="auto"/>
        <w:left w:val="none" w:sz="0" w:space="0" w:color="auto"/>
        <w:bottom w:val="none" w:sz="0" w:space="0" w:color="auto"/>
        <w:right w:val="none" w:sz="0" w:space="0" w:color="auto"/>
      </w:divBdr>
    </w:div>
    <w:div w:id="214519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epa.gov/pesticide-registration/electronic-submissions-pesticide-applications" TargetMode="External"/><Relationship Id="rId26" Type="http://schemas.openxmlformats.org/officeDocument/2006/relationships/hyperlink" Target="http://www.regulations.gov/" TargetMode="External"/><Relationship Id="rId3" Type="http://schemas.openxmlformats.org/officeDocument/2006/relationships/styles" Target="styles.xml"/><Relationship Id="rId21" Type="http://schemas.openxmlformats.org/officeDocument/2006/relationships/hyperlink" Target="http://www.epa.gov/oppfead1/endanger/bulletins.htm"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mailto:oira_submission@omb.eop.gov"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epa.gov/pesticide-reevaluation/focus-meetings-pesticide-registration-revie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epa.gov/pesticide-registration/e-submission-resource-documents-assembly-electronic-packages-and-discs" TargetMode="External"/><Relationship Id="rId28" Type="http://schemas.openxmlformats.org/officeDocument/2006/relationships/fontTable" Target="fontTable.xml"/><Relationship Id="rId10" Type="http://schemas.openxmlformats.org/officeDocument/2006/relationships/hyperlink" Target="http://www.epa.gov/pesticide-registration/data-requirements" TargetMode="External"/><Relationship Id="rId19" Type="http://schemas.openxmlformats.org/officeDocument/2006/relationships/hyperlink" Target="http://nepis.epa.gov/Exe/ZyNET.exe/9100CIGV.TXT?ZyActionD=ZyDocument&amp;Client=EPA&amp;Index=1981+Thru+1985&amp;Docs=&amp;Query=&amp;Time=&amp;EndTime=&amp;SearchMethod=1&amp;TocRestrict=n&amp;Toc=&amp;TocEntry=&amp;QField=&amp;QFieldYear=&amp;QFieldMonth=&amp;QFieldDay=&amp;IntQFieldOp=0&amp;ExtQFieldOp=0&amp;XmlQuery=&amp;File=D%3A%5Czyfiles%5CIndex%20Data%5C81thru85%5CTxt%5C00000016%5C9100CIGV.txt&amp;User=ANONYMOUS&amp;Password=anonymous&amp;SortMethod=h%7C-&amp;MaximumDocuments=1&amp;FuzzyDegree=0&amp;ImageQuality=r75g8/r75g8/x150y150g16/i425&amp;Display=p%7Cf&amp;DefSeekPage=x&amp;SearchBack=ZyActionL&amp;Back=ZyActionS&amp;BackDesc=Results%20page&amp;MaximumPages=1&amp;ZyEntry=1&amp;SeekPage=x&amp;ZyPURL" TargetMode="External"/><Relationship Id="rId4" Type="http://schemas.microsoft.com/office/2007/relationships/stylesWithEffects" Target="stylesWithEffects.xml"/><Relationship Id="rId9" Type="http://schemas.openxmlformats.org/officeDocument/2006/relationships/hyperlink" Target="http://www.epa.gov/pesticide-registration/e-submission-resource-documents-assembly-electronic-packages-and-discs" TargetMode="External"/><Relationship Id="rId14" Type="http://schemas.openxmlformats.org/officeDocument/2006/relationships/footer" Target="footer2.xml"/><Relationship Id="rId22" Type="http://schemas.openxmlformats.org/officeDocument/2006/relationships/hyperlink" Target="http://www.regulations.gov" TargetMode="External"/><Relationship Id="rId27" Type="http://schemas.openxmlformats.org/officeDocument/2006/relationships/hyperlink" Target="https://www.epa.gov/pesticide-registration/label-review-manua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epa.gov/lawsregs/laws/esa.html" TargetMode="External"/><Relationship Id="rId13" Type="http://schemas.openxmlformats.org/officeDocument/2006/relationships/hyperlink" Target="http://yosemite.epa.gov/sab/sabproduct.nsf/373C1DB0E0591296852579F2005BECB3/$File/OPP+SAP+document-May2011.pdf" TargetMode="External"/><Relationship Id="rId3" Type="http://schemas.openxmlformats.org/officeDocument/2006/relationships/hyperlink" Target="http://www.gpo.gov/fdsys/pkg/USCODE-2008-title21/pdf/USCODE-2008-title21-chap9-subchapIV-sec346a.pdf" TargetMode="External"/><Relationship Id="rId7" Type="http://schemas.openxmlformats.org/officeDocument/2006/relationships/hyperlink" Target="https://www.epa.gov/pria-fees" TargetMode="External"/><Relationship Id="rId12" Type="http://schemas.openxmlformats.org/officeDocument/2006/relationships/hyperlink" Target="https://www.epa.gov/pesticide-registration/guiding-principles-data-requirements" TargetMode="External"/><Relationship Id="rId2" Type="http://schemas.openxmlformats.org/officeDocument/2006/relationships/hyperlink" Target="http://www.gpo.gov/fdsys/pkg/PLAW-110publ94/html/PLAW-110publ94.htm" TargetMode="External"/><Relationship Id="rId1" Type="http://schemas.openxmlformats.org/officeDocument/2006/relationships/hyperlink" Target="http://www.gpo.gov/fdsys/granule/USCODE-2010-title44/USCODE-2010-title44-chap35-subchapI-sec3501" TargetMode="External"/><Relationship Id="rId6" Type="http://schemas.openxmlformats.org/officeDocument/2006/relationships/hyperlink" Target="http://www.gpo.gov/fdsys/pkg/USCODE-2011-title7/html/USCODE-2011-title7-chap6-subchapII-sec136a.htm" TargetMode="External"/><Relationship Id="rId11" Type="http://schemas.openxmlformats.org/officeDocument/2006/relationships/hyperlink" Target="https://www.epa.gov/endocrine-disruption" TargetMode="External"/><Relationship Id="rId5" Type="http://schemas.openxmlformats.org/officeDocument/2006/relationships/hyperlink" Target="http://www.gpo.gov/fdsys/pkg/USCODE-2011-title7/html/USCODE-2011-title7-chap6-subchapII-sec136a-1.htm" TargetMode="External"/><Relationship Id="rId10" Type="http://schemas.openxmlformats.org/officeDocument/2006/relationships/hyperlink" Target="http://www.gpo.gov/fdsys/pkg/USCODE-2011-title21/html/USCODE-2011-title21-chap9-subchapIV-sec346a.htm" TargetMode="External"/><Relationship Id="rId4" Type="http://schemas.openxmlformats.org/officeDocument/2006/relationships/hyperlink" Target="http://www.epa.gov/test-guidelines-pesticides-and-toxic-substances/master-list-test-guidelines-pesticides-and-toxic" TargetMode="External"/><Relationship Id="rId9" Type="http://schemas.openxmlformats.org/officeDocument/2006/relationships/hyperlink" Target="http://www.epa.gov/es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B0040-58A2-4EDE-A174-84C43B7FA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14078</Words>
  <Characters>80249</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94139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Hofmann</dc:creator>
  <cp:lastModifiedBy>SYSTEM</cp:lastModifiedBy>
  <cp:revision>2</cp:revision>
  <cp:lastPrinted>2018-06-07T18:47:00Z</cp:lastPrinted>
  <dcterms:created xsi:type="dcterms:W3CDTF">2018-10-19T01:06:00Z</dcterms:created>
  <dcterms:modified xsi:type="dcterms:W3CDTF">2018-10-19T01:06:00Z</dcterms:modified>
</cp:coreProperties>
</file>