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732" w:rsidRDefault="00025732" w:rsidP="00025732">
      <w:pPr>
        <w:tabs>
          <w:tab w:val="clear" w:pos="432"/>
        </w:tabs>
        <w:ind w:firstLine="0"/>
        <w:jc w:val="center"/>
        <w:rPr>
          <w:rFonts w:ascii="Arial" w:hAnsi="Arial" w:cs="Arial"/>
          <w:b/>
          <w:sz w:val="36"/>
          <w:szCs w:val="36"/>
        </w:rPr>
      </w:pPr>
    </w:p>
    <w:p w:rsidR="00025732" w:rsidRDefault="00025732" w:rsidP="00025732">
      <w:pPr>
        <w:tabs>
          <w:tab w:val="clear" w:pos="432"/>
        </w:tabs>
        <w:ind w:firstLine="0"/>
        <w:jc w:val="center"/>
        <w:rPr>
          <w:rFonts w:ascii="Arial" w:hAnsi="Arial" w:cs="Arial"/>
          <w:b/>
          <w:sz w:val="36"/>
          <w:szCs w:val="36"/>
        </w:rPr>
      </w:pPr>
    </w:p>
    <w:p w:rsidR="00C53711" w:rsidRPr="000554A3" w:rsidRDefault="00025732" w:rsidP="00025732">
      <w:pPr>
        <w:tabs>
          <w:tab w:val="clear" w:pos="432"/>
        </w:tabs>
        <w:ind w:firstLine="0"/>
        <w:jc w:val="center"/>
        <w:rPr>
          <w:rFonts w:ascii="Arial" w:hAnsi="Arial" w:cs="Arial"/>
          <w:b/>
          <w:sz w:val="36"/>
          <w:szCs w:val="36"/>
        </w:rPr>
      </w:pPr>
      <w:r w:rsidRPr="000554A3">
        <w:rPr>
          <w:rFonts w:ascii="Arial" w:hAnsi="Arial" w:cs="Arial"/>
          <w:b/>
          <w:sz w:val="36"/>
          <w:szCs w:val="36"/>
        </w:rPr>
        <w:t xml:space="preserve">THE </w:t>
      </w:r>
      <w:r w:rsidR="001C53C6">
        <w:rPr>
          <w:rFonts w:ascii="Arial" w:hAnsi="Arial" w:cs="Arial"/>
          <w:b/>
          <w:sz w:val="36"/>
          <w:szCs w:val="36"/>
        </w:rPr>
        <w:t>RENT REFORM</w:t>
      </w:r>
      <w:r w:rsidRPr="000554A3">
        <w:rPr>
          <w:rFonts w:ascii="Arial" w:hAnsi="Arial" w:cs="Arial"/>
          <w:b/>
          <w:sz w:val="36"/>
          <w:szCs w:val="36"/>
        </w:rPr>
        <w:t xml:space="preserve"> </w:t>
      </w:r>
      <w:r w:rsidR="001C53C6">
        <w:rPr>
          <w:rFonts w:ascii="Arial" w:hAnsi="Arial" w:cs="Arial"/>
          <w:b/>
          <w:sz w:val="36"/>
          <w:szCs w:val="36"/>
        </w:rPr>
        <w:t>DEMONSTRATION</w:t>
      </w:r>
    </w:p>
    <w:p w:rsidR="00025732"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Pr="000554A3"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Pr="000554A3"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Pr="000554A3"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Pr="000554A3" w:rsidRDefault="00025732" w:rsidP="00025732">
      <w:pPr>
        <w:widowControl w:val="0"/>
        <w:tabs>
          <w:tab w:val="clear" w:pos="432"/>
        </w:tabs>
        <w:suppressAutoHyphens/>
        <w:spacing w:line="240" w:lineRule="auto"/>
        <w:ind w:firstLine="0"/>
        <w:jc w:val="center"/>
        <w:rPr>
          <w:rFonts w:ascii="Arial" w:hAnsi="Arial" w:cs="Arial"/>
          <w:b/>
          <w:bCs/>
          <w:sz w:val="28"/>
          <w:szCs w:val="28"/>
        </w:rPr>
      </w:pPr>
      <w:r w:rsidRPr="000554A3">
        <w:rPr>
          <w:rFonts w:ascii="Arial" w:hAnsi="Arial" w:cs="Arial"/>
          <w:b/>
          <w:sz w:val="28"/>
          <w:szCs w:val="28"/>
        </w:rPr>
        <w:tab/>
      </w:r>
      <w:r w:rsidRPr="000554A3">
        <w:rPr>
          <w:rFonts w:ascii="Arial" w:hAnsi="Arial" w:cs="Arial"/>
          <w:b/>
          <w:bCs/>
          <w:sz w:val="28"/>
          <w:szCs w:val="28"/>
        </w:rPr>
        <w:t xml:space="preserve">SUPPORTING STATEMENT </w:t>
      </w:r>
      <w:r>
        <w:rPr>
          <w:rFonts w:ascii="Arial" w:hAnsi="Arial" w:cs="Arial"/>
          <w:b/>
          <w:bCs/>
          <w:sz w:val="28"/>
          <w:szCs w:val="28"/>
        </w:rPr>
        <w:t xml:space="preserve">– </w:t>
      </w:r>
      <w:r w:rsidRPr="000554A3">
        <w:rPr>
          <w:rFonts w:ascii="Arial" w:hAnsi="Arial" w:cs="Arial"/>
          <w:b/>
          <w:bCs/>
          <w:sz w:val="28"/>
          <w:szCs w:val="28"/>
        </w:rPr>
        <w:t xml:space="preserve">PART </w:t>
      </w:r>
      <w:r>
        <w:rPr>
          <w:rFonts w:ascii="Arial" w:hAnsi="Arial" w:cs="Arial"/>
          <w:b/>
          <w:bCs/>
          <w:sz w:val="28"/>
          <w:szCs w:val="28"/>
        </w:rPr>
        <w:t>B</w:t>
      </w:r>
    </w:p>
    <w:p w:rsidR="00EC1608" w:rsidRDefault="00EC1608" w:rsidP="00025732">
      <w:pPr>
        <w:widowControl w:val="0"/>
        <w:tabs>
          <w:tab w:val="clear" w:pos="432"/>
        </w:tabs>
        <w:suppressAutoHyphens/>
        <w:spacing w:line="240" w:lineRule="auto"/>
        <w:ind w:firstLine="0"/>
        <w:jc w:val="center"/>
        <w:rPr>
          <w:rFonts w:ascii="Arial" w:hAnsi="Arial" w:cs="Arial"/>
          <w:b/>
          <w:bCs/>
          <w:color w:val="FF0000"/>
          <w:sz w:val="28"/>
          <w:szCs w:val="28"/>
          <w:u w:val="single"/>
        </w:rPr>
      </w:pPr>
    </w:p>
    <w:p w:rsidR="00025732" w:rsidRPr="0032184E" w:rsidRDefault="003648DA" w:rsidP="00025732">
      <w:pPr>
        <w:widowControl w:val="0"/>
        <w:tabs>
          <w:tab w:val="clear" w:pos="432"/>
        </w:tabs>
        <w:suppressAutoHyphens/>
        <w:spacing w:line="240" w:lineRule="auto"/>
        <w:ind w:firstLine="0"/>
        <w:jc w:val="center"/>
        <w:rPr>
          <w:rFonts w:ascii="Arial" w:hAnsi="Arial" w:cs="Arial"/>
          <w:b/>
          <w:bCs/>
          <w:color w:val="FF0000"/>
          <w:sz w:val="28"/>
          <w:szCs w:val="28"/>
          <w:u w:val="single"/>
        </w:rPr>
      </w:pPr>
      <w:r>
        <w:rPr>
          <w:rFonts w:ascii="Arial" w:hAnsi="Arial" w:cs="Arial"/>
          <w:b/>
          <w:bCs/>
          <w:color w:val="FF0000"/>
          <w:sz w:val="28"/>
          <w:szCs w:val="28"/>
          <w:u w:val="single"/>
        </w:rPr>
        <w:t xml:space="preserve"> </w:t>
      </w:r>
    </w:p>
    <w:p w:rsidR="00025732" w:rsidRDefault="00025732" w:rsidP="00025732">
      <w:pPr>
        <w:widowControl w:val="0"/>
        <w:tabs>
          <w:tab w:val="clear" w:pos="432"/>
        </w:tabs>
        <w:suppressAutoHyphens/>
        <w:spacing w:line="240" w:lineRule="auto"/>
        <w:ind w:firstLine="0"/>
        <w:jc w:val="center"/>
        <w:rPr>
          <w:rFonts w:ascii="Arial" w:hAnsi="Arial" w:cs="Arial"/>
          <w:b/>
          <w:bCs/>
          <w:sz w:val="28"/>
          <w:szCs w:val="28"/>
        </w:rPr>
      </w:pPr>
    </w:p>
    <w:p w:rsidR="00025732" w:rsidRDefault="00025732" w:rsidP="00025732">
      <w:pPr>
        <w:widowControl w:val="0"/>
        <w:tabs>
          <w:tab w:val="clear" w:pos="432"/>
        </w:tabs>
        <w:suppressAutoHyphens/>
        <w:spacing w:line="240" w:lineRule="auto"/>
        <w:ind w:firstLine="0"/>
        <w:jc w:val="center"/>
        <w:rPr>
          <w:rFonts w:ascii="Arial" w:hAnsi="Arial" w:cs="Arial"/>
          <w:b/>
          <w:bCs/>
          <w:sz w:val="28"/>
          <w:szCs w:val="28"/>
        </w:rPr>
      </w:pPr>
    </w:p>
    <w:p w:rsidR="00025732" w:rsidRPr="000554A3" w:rsidRDefault="00025732" w:rsidP="00025732">
      <w:pPr>
        <w:widowControl w:val="0"/>
        <w:tabs>
          <w:tab w:val="clear" w:pos="432"/>
        </w:tabs>
        <w:suppressAutoHyphens/>
        <w:spacing w:line="240" w:lineRule="auto"/>
        <w:ind w:firstLine="0"/>
        <w:jc w:val="center"/>
        <w:rPr>
          <w:rFonts w:ascii="Arial" w:hAnsi="Arial" w:cs="Arial"/>
          <w:b/>
          <w:bCs/>
          <w:sz w:val="28"/>
          <w:szCs w:val="28"/>
        </w:rPr>
      </w:pPr>
      <w:r w:rsidRPr="000554A3">
        <w:rPr>
          <w:rFonts w:ascii="Arial" w:hAnsi="Arial" w:cs="Arial"/>
          <w:b/>
          <w:bCs/>
          <w:sz w:val="28"/>
          <w:szCs w:val="28"/>
        </w:rPr>
        <w:t>OMB CLEARANCE PAC</w:t>
      </w:r>
      <w:r w:rsidR="00291CFB">
        <w:rPr>
          <w:rFonts w:ascii="Arial" w:hAnsi="Arial" w:cs="Arial"/>
          <w:b/>
          <w:bCs/>
          <w:sz w:val="28"/>
          <w:szCs w:val="28"/>
        </w:rPr>
        <w:t xml:space="preserve">KET </w:t>
      </w:r>
    </w:p>
    <w:p w:rsidR="00025732" w:rsidRPr="000554A3" w:rsidRDefault="00025732" w:rsidP="00025732">
      <w:pPr>
        <w:widowControl w:val="0"/>
        <w:suppressAutoHyphens/>
        <w:spacing w:line="240" w:lineRule="auto"/>
        <w:ind w:firstLine="0"/>
        <w:jc w:val="center"/>
        <w:rPr>
          <w:rFonts w:ascii="Arial" w:hAnsi="Arial" w:cs="Arial"/>
          <w:b/>
          <w:bCs/>
          <w:sz w:val="28"/>
          <w:szCs w:val="28"/>
        </w:rPr>
      </w:pPr>
    </w:p>
    <w:p w:rsidR="00025732" w:rsidRDefault="00CE39AC" w:rsidP="00025732">
      <w:pPr>
        <w:widowControl w:val="0"/>
        <w:suppressAutoHyphens/>
        <w:spacing w:line="240" w:lineRule="auto"/>
        <w:ind w:firstLine="0"/>
        <w:jc w:val="center"/>
        <w:rPr>
          <w:rFonts w:ascii="Arial" w:hAnsi="Arial" w:cs="Arial"/>
          <w:b/>
          <w:bCs/>
          <w:sz w:val="28"/>
          <w:szCs w:val="28"/>
        </w:rPr>
      </w:pPr>
      <w:r>
        <w:rPr>
          <w:rFonts w:ascii="Arial" w:hAnsi="Arial" w:cs="Arial"/>
          <w:b/>
          <w:bCs/>
          <w:sz w:val="28"/>
          <w:szCs w:val="28"/>
        </w:rPr>
        <w:t xml:space="preserve"> </w:t>
      </w:r>
    </w:p>
    <w:p w:rsidR="00025732" w:rsidRDefault="00025732" w:rsidP="00025732">
      <w:pPr>
        <w:widowControl w:val="0"/>
        <w:suppressAutoHyphens/>
        <w:spacing w:line="240" w:lineRule="auto"/>
        <w:ind w:firstLine="0"/>
        <w:jc w:val="center"/>
        <w:rPr>
          <w:rFonts w:ascii="Arial" w:hAnsi="Arial" w:cs="Arial"/>
          <w:b/>
          <w:bCs/>
          <w:sz w:val="28"/>
          <w:szCs w:val="28"/>
        </w:rPr>
      </w:pPr>
    </w:p>
    <w:p w:rsidR="000B5AB7" w:rsidRDefault="000B5AB7" w:rsidP="008254DB">
      <w:pPr>
        <w:widowControl w:val="0"/>
        <w:suppressAutoHyphens/>
        <w:spacing w:line="240" w:lineRule="auto"/>
        <w:ind w:firstLine="0"/>
        <w:jc w:val="center"/>
        <w:rPr>
          <w:rFonts w:ascii="Arial" w:hAnsi="Arial" w:cs="Arial"/>
          <w:b/>
          <w:bCs/>
          <w:sz w:val="28"/>
          <w:szCs w:val="28"/>
        </w:rPr>
      </w:pPr>
    </w:p>
    <w:p w:rsidR="00025732" w:rsidRDefault="004E3CAD" w:rsidP="00025732">
      <w:pPr>
        <w:widowControl w:val="0"/>
        <w:suppressAutoHyphens/>
        <w:spacing w:line="240" w:lineRule="auto"/>
        <w:ind w:firstLine="0"/>
        <w:jc w:val="center"/>
        <w:rPr>
          <w:rFonts w:ascii="Arial" w:hAnsi="Arial" w:cs="Arial"/>
          <w:b/>
          <w:bCs/>
          <w:sz w:val="28"/>
          <w:szCs w:val="28"/>
        </w:rPr>
      </w:pPr>
      <w:r>
        <w:rPr>
          <w:rFonts w:ascii="Arial" w:hAnsi="Arial" w:cs="Arial"/>
          <w:b/>
          <w:bCs/>
          <w:sz w:val="28"/>
          <w:szCs w:val="28"/>
        </w:rPr>
        <w:t xml:space="preserve">June </w:t>
      </w:r>
      <w:r w:rsidR="000D07CE">
        <w:rPr>
          <w:rFonts w:ascii="Arial" w:hAnsi="Arial" w:cs="Arial"/>
          <w:b/>
          <w:bCs/>
          <w:sz w:val="28"/>
          <w:szCs w:val="28"/>
        </w:rPr>
        <w:t>22</w:t>
      </w:r>
      <w:r w:rsidR="00165A8D">
        <w:rPr>
          <w:rFonts w:ascii="Arial" w:hAnsi="Arial" w:cs="Arial"/>
          <w:b/>
          <w:bCs/>
          <w:sz w:val="28"/>
          <w:szCs w:val="28"/>
        </w:rPr>
        <w:t>, 2015</w:t>
      </w:r>
    </w:p>
    <w:p w:rsidR="00165A8D" w:rsidRPr="000554A3" w:rsidRDefault="00165A8D" w:rsidP="00025732">
      <w:pPr>
        <w:widowControl w:val="0"/>
        <w:suppressAutoHyphens/>
        <w:spacing w:line="240" w:lineRule="auto"/>
        <w:ind w:firstLine="0"/>
        <w:jc w:val="center"/>
        <w:rPr>
          <w:rFonts w:ascii="Arial" w:hAnsi="Arial" w:cs="Arial"/>
          <w:b/>
          <w:bCs/>
          <w:sz w:val="28"/>
          <w:szCs w:val="28"/>
        </w:rPr>
      </w:pPr>
    </w:p>
    <w:p w:rsidR="00025732" w:rsidRPr="000554A3" w:rsidRDefault="00025732" w:rsidP="00025732">
      <w:pPr>
        <w:widowControl w:val="0"/>
        <w:tabs>
          <w:tab w:val="clear" w:pos="432"/>
        </w:tabs>
        <w:suppressAutoHyphens/>
        <w:spacing w:line="240" w:lineRule="auto"/>
        <w:ind w:firstLine="0"/>
        <w:jc w:val="center"/>
        <w:rPr>
          <w:rFonts w:ascii="Arial" w:hAnsi="Arial" w:cs="Arial"/>
          <w:b/>
          <w:bCs/>
          <w:sz w:val="28"/>
          <w:szCs w:val="28"/>
        </w:rPr>
      </w:pPr>
      <w:r w:rsidRPr="000554A3">
        <w:rPr>
          <w:rFonts w:ascii="Arial" w:hAnsi="Arial" w:cs="Arial"/>
          <w:b/>
          <w:bCs/>
          <w:sz w:val="28"/>
          <w:szCs w:val="28"/>
        </w:rPr>
        <w:t xml:space="preserve">Submitted to: </w:t>
      </w:r>
    </w:p>
    <w:p w:rsidR="00025732" w:rsidRPr="000554A3" w:rsidRDefault="00025732" w:rsidP="00025732">
      <w:pPr>
        <w:widowControl w:val="0"/>
        <w:suppressAutoHyphens/>
        <w:spacing w:line="240" w:lineRule="auto"/>
        <w:ind w:firstLine="0"/>
        <w:jc w:val="center"/>
        <w:rPr>
          <w:rFonts w:ascii="Arial" w:hAnsi="Arial" w:cs="Arial"/>
          <w:b/>
          <w:bCs/>
          <w:sz w:val="28"/>
          <w:szCs w:val="28"/>
        </w:rPr>
      </w:pPr>
    </w:p>
    <w:p w:rsidR="00025732" w:rsidRPr="000554A3" w:rsidRDefault="00025732" w:rsidP="00025732">
      <w:pPr>
        <w:widowControl w:val="0"/>
        <w:suppressAutoHyphens/>
        <w:spacing w:line="240" w:lineRule="auto"/>
        <w:ind w:firstLine="0"/>
        <w:jc w:val="center"/>
        <w:rPr>
          <w:rFonts w:ascii="Arial" w:hAnsi="Arial" w:cs="Arial"/>
          <w:b/>
          <w:bCs/>
          <w:sz w:val="28"/>
          <w:szCs w:val="28"/>
        </w:rPr>
      </w:pPr>
    </w:p>
    <w:p w:rsidR="00025732" w:rsidRPr="000554A3" w:rsidRDefault="00025732" w:rsidP="00025732">
      <w:pPr>
        <w:widowControl w:val="0"/>
        <w:tabs>
          <w:tab w:val="clear" w:pos="432"/>
          <w:tab w:val="left" w:pos="2505"/>
        </w:tabs>
        <w:suppressAutoHyphens/>
        <w:spacing w:line="240" w:lineRule="auto"/>
        <w:ind w:firstLine="0"/>
        <w:jc w:val="left"/>
        <w:rPr>
          <w:rFonts w:ascii="Arial" w:hAnsi="Arial" w:cs="Arial"/>
          <w:b/>
          <w:sz w:val="28"/>
          <w:szCs w:val="28"/>
        </w:rPr>
      </w:pPr>
    </w:p>
    <w:p w:rsidR="00025732" w:rsidRDefault="00025732" w:rsidP="00025732">
      <w:pPr>
        <w:widowControl w:val="0"/>
        <w:tabs>
          <w:tab w:val="clear" w:pos="432"/>
        </w:tabs>
        <w:suppressAutoHyphens/>
        <w:spacing w:line="240" w:lineRule="auto"/>
        <w:ind w:firstLine="0"/>
        <w:jc w:val="center"/>
        <w:rPr>
          <w:rFonts w:ascii="Arial" w:hAnsi="Arial" w:cs="Arial"/>
          <w:b/>
          <w:sz w:val="28"/>
          <w:szCs w:val="28"/>
        </w:rPr>
      </w:pPr>
      <w:r w:rsidRPr="000554A3">
        <w:rPr>
          <w:rFonts w:ascii="Arial" w:hAnsi="Arial" w:cs="Arial"/>
          <w:b/>
          <w:sz w:val="28"/>
          <w:szCs w:val="28"/>
          <w:lang w:val="yo-NG"/>
        </w:rPr>
        <w:t xml:space="preserve">U.S. </w:t>
      </w:r>
      <w:r w:rsidRPr="000554A3">
        <w:rPr>
          <w:rFonts w:ascii="Arial" w:hAnsi="Arial" w:cs="Arial"/>
          <w:b/>
          <w:sz w:val="28"/>
          <w:szCs w:val="28"/>
        </w:rPr>
        <w:t>Department of Housing and Urban Development</w:t>
      </w:r>
    </w:p>
    <w:p w:rsidR="00025732" w:rsidRDefault="00025732" w:rsidP="00025732">
      <w:pPr>
        <w:widowControl w:val="0"/>
        <w:tabs>
          <w:tab w:val="clear" w:pos="432"/>
        </w:tabs>
        <w:suppressAutoHyphens/>
        <w:spacing w:line="240" w:lineRule="auto"/>
        <w:ind w:firstLine="0"/>
        <w:jc w:val="center"/>
        <w:rPr>
          <w:rFonts w:ascii="Arial" w:hAnsi="Arial" w:cs="Arial"/>
          <w:b/>
          <w:sz w:val="28"/>
          <w:szCs w:val="28"/>
        </w:rPr>
      </w:pPr>
    </w:p>
    <w:p w:rsidR="0032184E" w:rsidRDefault="0032184E" w:rsidP="00025732">
      <w:pPr>
        <w:widowControl w:val="0"/>
        <w:suppressAutoHyphens/>
        <w:spacing w:line="240" w:lineRule="auto"/>
        <w:ind w:firstLine="0"/>
        <w:jc w:val="center"/>
        <w:rPr>
          <w:rFonts w:ascii="Arial" w:hAnsi="Arial" w:cs="Arial"/>
          <w:b/>
          <w:sz w:val="28"/>
          <w:szCs w:val="28"/>
        </w:rPr>
      </w:pPr>
    </w:p>
    <w:p w:rsidR="0032184E" w:rsidRDefault="0032184E" w:rsidP="00025732">
      <w:pPr>
        <w:widowControl w:val="0"/>
        <w:suppressAutoHyphens/>
        <w:spacing w:line="240" w:lineRule="auto"/>
        <w:ind w:firstLine="0"/>
        <w:jc w:val="center"/>
        <w:rPr>
          <w:rFonts w:ascii="Arial" w:hAnsi="Arial" w:cs="Arial"/>
          <w:b/>
          <w:sz w:val="28"/>
          <w:szCs w:val="28"/>
        </w:rPr>
      </w:pPr>
    </w:p>
    <w:p w:rsidR="0032184E" w:rsidRDefault="0032184E" w:rsidP="00025732">
      <w:pPr>
        <w:widowControl w:val="0"/>
        <w:suppressAutoHyphens/>
        <w:spacing w:line="240" w:lineRule="auto"/>
        <w:ind w:firstLine="0"/>
        <w:jc w:val="center"/>
        <w:rPr>
          <w:rFonts w:ascii="Arial" w:hAnsi="Arial" w:cs="Arial"/>
          <w:b/>
          <w:sz w:val="28"/>
          <w:szCs w:val="28"/>
        </w:rPr>
      </w:pPr>
    </w:p>
    <w:p w:rsidR="0032184E" w:rsidRDefault="0032184E" w:rsidP="00025732">
      <w:pPr>
        <w:widowControl w:val="0"/>
        <w:suppressAutoHyphens/>
        <w:spacing w:line="240" w:lineRule="auto"/>
        <w:ind w:firstLine="0"/>
        <w:jc w:val="center"/>
        <w:rPr>
          <w:rFonts w:ascii="Arial" w:hAnsi="Arial" w:cs="Arial"/>
          <w:b/>
          <w:sz w:val="28"/>
          <w:szCs w:val="28"/>
        </w:rPr>
      </w:pPr>
    </w:p>
    <w:p w:rsidR="0032184E" w:rsidRDefault="0032184E" w:rsidP="00025732">
      <w:pPr>
        <w:widowControl w:val="0"/>
        <w:suppressAutoHyphens/>
        <w:spacing w:line="240" w:lineRule="auto"/>
        <w:ind w:firstLine="0"/>
        <w:jc w:val="center"/>
        <w:rPr>
          <w:rFonts w:ascii="Arial" w:hAnsi="Arial" w:cs="Arial"/>
          <w:b/>
          <w:sz w:val="28"/>
          <w:szCs w:val="28"/>
        </w:rPr>
      </w:pPr>
    </w:p>
    <w:p w:rsidR="0032184E" w:rsidRDefault="0032184E" w:rsidP="00025732">
      <w:pPr>
        <w:widowControl w:val="0"/>
        <w:suppressAutoHyphens/>
        <w:spacing w:line="240" w:lineRule="auto"/>
        <w:ind w:firstLine="0"/>
        <w:jc w:val="center"/>
        <w:rPr>
          <w:rFonts w:ascii="Arial" w:hAnsi="Arial" w:cs="Arial"/>
          <w:b/>
          <w:sz w:val="28"/>
          <w:szCs w:val="28"/>
        </w:rPr>
      </w:pPr>
    </w:p>
    <w:p w:rsidR="00CD4188" w:rsidRDefault="00CD4188" w:rsidP="00025732">
      <w:pPr>
        <w:widowControl w:val="0"/>
        <w:suppressAutoHyphens/>
        <w:spacing w:line="240" w:lineRule="auto"/>
        <w:ind w:firstLine="0"/>
        <w:jc w:val="center"/>
        <w:rPr>
          <w:rFonts w:ascii="Arial" w:hAnsi="Arial" w:cs="Arial"/>
          <w:b/>
          <w:sz w:val="28"/>
          <w:szCs w:val="28"/>
        </w:rPr>
      </w:pPr>
    </w:p>
    <w:p w:rsidR="00CD4188" w:rsidRDefault="00CD4188" w:rsidP="00025732">
      <w:pPr>
        <w:widowControl w:val="0"/>
        <w:suppressAutoHyphens/>
        <w:spacing w:line="240" w:lineRule="auto"/>
        <w:ind w:firstLine="0"/>
        <w:jc w:val="center"/>
        <w:rPr>
          <w:rFonts w:ascii="Arial" w:hAnsi="Arial" w:cs="Arial"/>
          <w:b/>
          <w:sz w:val="28"/>
          <w:szCs w:val="28"/>
        </w:rPr>
      </w:pPr>
      <w:bookmarkStart w:id="0" w:name="_GoBack"/>
      <w:bookmarkEnd w:id="0"/>
    </w:p>
    <w:p w:rsidR="00025732" w:rsidRDefault="00025732" w:rsidP="00025732">
      <w:pPr>
        <w:widowControl w:val="0"/>
        <w:suppressAutoHyphens/>
        <w:spacing w:line="240" w:lineRule="auto"/>
        <w:ind w:firstLine="0"/>
        <w:jc w:val="center"/>
        <w:rPr>
          <w:rFonts w:ascii="Times New Roman" w:hAnsi="Times New Roman"/>
          <w:b/>
          <w:bCs/>
        </w:rPr>
      </w:pPr>
    </w:p>
    <w:p w:rsidR="009C5612" w:rsidRPr="00025732" w:rsidRDefault="009C5612" w:rsidP="00A3664B">
      <w:pPr>
        <w:tabs>
          <w:tab w:val="left" w:pos="720"/>
          <w:tab w:val="left" w:pos="1440"/>
          <w:tab w:val="left" w:pos="2160"/>
          <w:tab w:val="right" w:leader="dot" w:pos="9360"/>
        </w:tabs>
        <w:spacing w:after="240" w:line="240" w:lineRule="auto"/>
        <w:ind w:firstLine="0"/>
        <w:jc w:val="left"/>
        <w:rPr>
          <w:rFonts w:ascii="Arial" w:hAnsi="Arial" w:cs="Arial"/>
          <w:b/>
        </w:rPr>
      </w:pPr>
      <w:r w:rsidRPr="00025732">
        <w:rPr>
          <w:rFonts w:ascii="Arial" w:hAnsi="Arial" w:cs="Arial"/>
          <w:b/>
        </w:rPr>
        <w:lastRenderedPageBreak/>
        <w:t>B. COLLECTION OF INFORMATION USING STATISTICAL METHODS</w:t>
      </w:r>
    </w:p>
    <w:p w:rsidR="009C5612" w:rsidRPr="00025732" w:rsidRDefault="009C5612" w:rsidP="00025732">
      <w:pPr>
        <w:tabs>
          <w:tab w:val="left" w:pos="720"/>
          <w:tab w:val="left" w:pos="1440"/>
          <w:tab w:val="left" w:pos="2160"/>
          <w:tab w:val="right" w:leader="dot" w:pos="9360"/>
        </w:tabs>
        <w:spacing w:after="240" w:line="240" w:lineRule="auto"/>
        <w:ind w:firstLine="0"/>
        <w:jc w:val="left"/>
        <w:rPr>
          <w:rFonts w:ascii="Arial" w:hAnsi="Arial" w:cs="Arial"/>
          <w:b/>
        </w:rPr>
      </w:pPr>
      <w:r w:rsidRPr="00025732">
        <w:rPr>
          <w:rFonts w:ascii="Arial" w:hAnsi="Arial" w:cs="Arial"/>
          <w:b/>
        </w:rPr>
        <w:t>B1.  Respondent Universe, Sampling Selection, and Expected Response Rates</w:t>
      </w:r>
    </w:p>
    <w:p w:rsidR="003F4476" w:rsidRPr="00187FBB" w:rsidRDefault="00081ECA" w:rsidP="003648DA">
      <w:pPr>
        <w:pStyle w:val="ListParagraph"/>
        <w:ind w:left="0"/>
      </w:pPr>
      <w:r>
        <w:t xml:space="preserve">There are </w:t>
      </w:r>
      <w:r w:rsidR="003E75D9">
        <w:rPr>
          <w:rFonts w:eastAsia="Times New Roman"/>
        </w:rPr>
        <w:t xml:space="preserve">four MTW </w:t>
      </w:r>
      <w:r w:rsidR="00F20954">
        <w:rPr>
          <w:rFonts w:eastAsia="Times New Roman"/>
        </w:rPr>
        <w:t xml:space="preserve">public </w:t>
      </w:r>
      <w:r w:rsidR="003E75D9">
        <w:rPr>
          <w:rFonts w:eastAsia="Times New Roman"/>
        </w:rPr>
        <w:t xml:space="preserve">housing </w:t>
      </w:r>
      <w:r w:rsidR="00F20954">
        <w:rPr>
          <w:rFonts w:eastAsia="Times New Roman"/>
        </w:rPr>
        <w:t>agencies (PHAs)</w:t>
      </w:r>
      <w:r>
        <w:rPr>
          <w:rFonts w:eastAsia="Times New Roman"/>
        </w:rPr>
        <w:t xml:space="preserve"> participating in the Rent Reform Demonstration, includin</w:t>
      </w:r>
      <w:r w:rsidRPr="008B4B2A">
        <w:rPr>
          <w:rFonts w:eastAsia="Times New Roman"/>
        </w:rPr>
        <w:t>g</w:t>
      </w:r>
      <w:r w:rsidR="00165A8D">
        <w:rPr>
          <w:rFonts w:eastAsia="Times New Roman"/>
        </w:rPr>
        <w:t xml:space="preserve"> </w:t>
      </w:r>
      <w:r w:rsidR="00CC7785" w:rsidRPr="008B4B2A">
        <w:rPr>
          <w:rFonts w:eastAsia="Times New Roman"/>
        </w:rPr>
        <w:t xml:space="preserve">at </w:t>
      </w:r>
      <w:r w:rsidR="00657A5D" w:rsidRPr="008B4B2A">
        <w:rPr>
          <w:rFonts w:eastAsia="Times New Roman"/>
        </w:rPr>
        <w:t xml:space="preserve">least </w:t>
      </w:r>
      <w:r w:rsidR="00F20954" w:rsidRPr="008B4B2A">
        <w:rPr>
          <w:rFonts w:eastAsia="Times New Roman"/>
        </w:rPr>
        <w:t>2,000</w:t>
      </w:r>
      <w:r w:rsidR="009C5612" w:rsidRPr="008B4B2A">
        <w:rPr>
          <w:rFonts w:eastAsia="Times New Roman"/>
        </w:rPr>
        <w:t xml:space="preserve"> </w:t>
      </w:r>
      <w:r w:rsidR="001B40A2" w:rsidRPr="008B4B2A">
        <w:rPr>
          <w:rFonts w:eastAsia="Times New Roman"/>
        </w:rPr>
        <w:t>Housing Choic</w:t>
      </w:r>
      <w:r w:rsidR="001B40A2" w:rsidRPr="00187FBB">
        <w:rPr>
          <w:rFonts w:eastAsia="Times New Roman"/>
        </w:rPr>
        <w:t xml:space="preserve">e Voucher </w:t>
      </w:r>
      <w:r w:rsidR="00A330F9" w:rsidRPr="00187FBB">
        <w:rPr>
          <w:rFonts w:eastAsia="Times New Roman"/>
        </w:rPr>
        <w:t xml:space="preserve">(HCV) </w:t>
      </w:r>
      <w:r w:rsidR="009C5612" w:rsidRPr="00187FBB">
        <w:rPr>
          <w:rFonts w:eastAsia="Times New Roman"/>
        </w:rPr>
        <w:t>households</w:t>
      </w:r>
      <w:r w:rsidR="00C90585" w:rsidRPr="00187FBB">
        <w:rPr>
          <w:rFonts w:eastAsia="Times New Roman"/>
        </w:rPr>
        <w:t xml:space="preserve"> </w:t>
      </w:r>
      <w:r w:rsidR="00F20954">
        <w:rPr>
          <w:rFonts w:eastAsia="Times New Roman"/>
        </w:rPr>
        <w:t>at three</w:t>
      </w:r>
      <w:r w:rsidR="00F20954" w:rsidRPr="00187FBB">
        <w:rPr>
          <w:rFonts w:eastAsia="Times New Roman"/>
        </w:rPr>
        <w:t xml:space="preserve"> </w:t>
      </w:r>
      <w:r w:rsidR="00C90585" w:rsidRPr="00187FBB">
        <w:rPr>
          <w:rFonts w:eastAsia="Times New Roman"/>
        </w:rPr>
        <w:t>site</w:t>
      </w:r>
      <w:r w:rsidR="00F20954">
        <w:rPr>
          <w:rFonts w:eastAsia="Times New Roman"/>
        </w:rPr>
        <w:t xml:space="preserve">s </w:t>
      </w:r>
      <w:r w:rsidR="00F20954" w:rsidRPr="008B4B2A">
        <w:rPr>
          <w:rFonts w:eastAsia="Times New Roman"/>
        </w:rPr>
        <w:t>and 1,400 HCV households at one site</w:t>
      </w:r>
      <w:r w:rsidR="009C5612" w:rsidRPr="008B4B2A">
        <w:rPr>
          <w:rFonts w:eastAsia="Times New Roman"/>
        </w:rPr>
        <w:t>.</w:t>
      </w:r>
      <w:r w:rsidR="008B4B2A">
        <w:rPr>
          <w:rStyle w:val="FootnoteReference"/>
          <w:rFonts w:eastAsia="Times New Roman"/>
        </w:rPr>
        <w:footnoteReference w:id="1"/>
      </w:r>
      <w:r w:rsidR="009C5612" w:rsidRPr="008B4B2A">
        <w:rPr>
          <w:rFonts w:eastAsia="Times New Roman"/>
        </w:rPr>
        <w:t xml:space="preserve"> </w:t>
      </w:r>
      <w:r w:rsidR="00EC1608" w:rsidRPr="008B4B2A">
        <w:t>R</w:t>
      </w:r>
      <w:r w:rsidR="00EC1608" w:rsidRPr="00187FBB">
        <w:t xml:space="preserve">andom assignment procedures </w:t>
      </w:r>
      <w:r w:rsidR="00C67748">
        <w:t>are</w:t>
      </w:r>
      <w:r w:rsidR="00C67748" w:rsidRPr="00187FBB">
        <w:t xml:space="preserve"> </w:t>
      </w:r>
      <w:r w:rsidR="00EC1608" w:rsidRPr="00187FBB">
        <w:t>be</w:t>
      </w:r>
      <w:r w:rsidR="00C67748">
        <w:t>ing</w:t>
      </w:r>
      <w:r w:rsidR="00EC1608" w:rsidRPr="00187FBB">
        <w:t xml:space="preserve"> used to create </w:t>
      </w:r>
      <w:r w:rsidR="00C67748">
        <w:t>a New Rent Rules group and an Existing Rent Rules group in each site</w:t>
      </w:r>
      <w:r w:rsidR="00EC1608" w:rsidRPr="00187FBB">
        <w:t xml:space="preserve">. </w:t>
      </w:r>
    </w:p>
    <w:p w:rsidR="00EC1608" w:rsidRPr="00187FBB" w:rsidRDefault="00EC1608" w:rsidP="003648DA">
      <w:pPr>
        <w:pStyle w:val="ListParagraph"/>
        <w:ind w:left="0"/>
      </w:pPr>
      <w:r w:rsidRPr="00187FBB">
        <w:t xml:space="preserve"> </w:t>
      </w:r>
    </w:p>
    <w:p w:rsidR="00187FBB" w:rsidRPr="00187FBB" w:rsidRDefault="00187FBB" w:rsidP="00187FBB">
      <w:pPr>
        <w:tabs>
          <w:tab w:val="clear" w:pos="432"/>
        </w:tabs>
        <w:spacing w:line="240" w:lineRule="auto"/>
        <w:ind w:firstLine="0"/>
        <w:contextualSpacing/>
        <w:jc w:val="left"/>
        <w:rPr>
          <w:rFonts w:ascii="Times New Roman" w:eastAsia="Calibri" w:hAnsi="Times New Roman"/>
        </w:rPr>
      </w:pPr>
      <w:r w:rsidRPr="00823C94">
        <w:rPr>
          <w:rFonts w:ascii="Times New Roman" w:hAnsi="Times New Roman"/>
        </w:rPr>
        <w:t xml:space="preserve">Eligible sample members include voucher holders with vouchers that are administered under the (MTW) demonstration. Non-MTW Vouchers (i.e., Veterans Assisted Special Housing, Moderate Rehabilitation, and Shelter </w:t>
      </w:r>
      <w:proofErr w:type="gramStart"/>
      <w:r w:rsidRPr="00823C94">
        <w:rPr>
          <w:rFonts w:ascii="Times New Roman" w:hAnsi="Times New Roman"/>
        </w:rPr>
        <w:t>Plus</w:t>
      </w:r>
      <w:proofErr w:type="gramEnd"/>
      <w:r w:rsidRPr="00823C94">
        <w:rPr>
          <w:rFonts w:ascii="Times New Roman" w:hAnsi="Times New Roman"/>
        </w:rPr>
        <w:t xml:space="preserve"> Care), Enhanced Vouchers, </w:t>
      </w:r>
      <w:r w:rsidR="00BF73E4">
        <w:rPr>
          <w:rFonts w:ascii="Times New Roman" w:hAnsi="Times New Roman"/>
        </w:rPr>
        <w:t xml:space="preserve">and </w:t>
      </w:r>
      <w:r w:rsidRPr="00823C94">
        <w:rPr>
          <w:rFonts w:ascii="Times New Roman" w:hAnsi="Times New Roman"/>
        </w:rPr>
        <w:t xml:space="preserve">Project-Based Vouchers are excluded from the study.  Additionally, the study is focused on work-able populations and will not include elderly households, disabled households, households </w:t>
      </w:r>
      <w:r w:rsidR="007C4EDB">
        <w:rPr>
          <w:rFonts w:ascii="Times New Roman" w:hAnsi="Times New Roman"/>
        </w:rPr>
        <w:t>that</w:t>
      </w:r>
      <w:r w:rsidRPr="00823C94">
        <w:rPr>
          <w:rFonts w:ascii="Times New Roman" w:hAnsi="Times New Roman"/>
        </w:rPr>
        <w:t xml:space="preserve"> will become </w:t>
      </w:r>
      <w:r w:rsidR="007C4EDB">
        <w:rPr>
          <w:rFonts w:ascii="Times New Roman" w:hAnsi="Times New Roman"/>
        </w:rPr>
        <w:t>elderly</w:t>
      </w:r>
      <w:r w:rsidR="007C4EDB" w:rsidRPr="00823C94">
        <w:rPr>
          <w:rFonts w:ascii="Times New Roman" w:hAnsi="Times New Roman"/>
        </w:rPr>
        <w:t xml:space="preserve"> </w:t>
      </w:r>
      <w:r w:rsidRPr="00823C94">
        <w:rPr>
          <w:rFonts w:ascii="Times New Roman" w:hAnsi="Times New Roman"/>
        </w:rPr>
        <w:t>during the course of the long-term study</w:t>
      </w:r>
      <w:r w:rsidR="00373DA2" w:rsidRPr="00823C94">
        <w:rPr>
          <w:rFonts w:ascii="Times New Roman" w:hAnsi="Times New Roman"/>
        </w:rPr>
        <w:t xml:space="preserve">, or households where </w:t>
      </w:r>
      <w:r w:rsidR="007C4EDB">
        <w:rPr>
          <w:rFonts w:ascii="Times New Roman" w:hAnsi="Times New Roman"/>
        </w:rPr>
        <w:t>all members do</w:t>
      </w:r>
      <w:r w:rsidR="00373DA2" w:rsidRPr="00823C94">
        <w:rPr>
          <w:rFonts w:ascii="Times New Roman" w:hAnsi="Times New Roman"/>
        </w:rPr>
        <w:t xml:space="preserve"> not have legal status in the U.S</w:t>
      </w:r>
      <w:r w:rsidRPr="00823C94">
        <w:rPr>
          <w:rFonts w:ascii="Times New Roman" w:hAnsi="Times New Roman"/>
        </w:rPr>
        <w:t>.</w:t>
      </w:r>
      <w:r w:rsidR="00EE6E88" w:rsidRPr="00823C94">
        <w:rPr>
          <w:rFonts w:ascii="Times New Roman" w:hAnsi="Times New Roman"/>
        </w:rPr>
        <w:t xml:space="preserve">  </w:t>
      </w:r>
      <w:r w:rsidR="00E219A5">
        <w:rPr>
          <w:rFonts w:ascii="Times New Roman" w:hAnsi="Times New Roman"/>
        </w:rPr>
        <w:t xml:space="preserve">Lastly, if at the time of random assignment, households are </w:t>
      </w:r>
      <w:r w:rsidR="00EE6E88" w:rsidRPr="00823C94">
        <w:rPr>
          <w:rFonts w:ascii="Times New Roman" w:hAnsi="Times New Roman"/>
        </w:rPr>
        <w:t>receiving a child care deduction</w:t>
      </w:r>
      <w:r w:rsidR="00B60528">
        <w:rPr>
          <w:rFonts w:ascii="Times New Roman" w:hAnsi="Times New Roman"/>
        </w:rPr>
        <w:t xml:space="preserve">, </w:t>
      </w:r>
      <w:r w:rsidR="00B60528" w:rsidRPr="00823C94">
        <w:rPr>
          <w:rFonts w:ascii="Times New Roman" w:hAnsi="Times New Roman"/>
        </w:rPr>
        <w:t>participating in Family Self-Sufficiency</w:t>
      </w:r>
      <w:r w:rsidR="00B60528">
        <w:rPr>
          <w:rFonts w:ascii="Times New Roman" w:hAnsi="Times New Roman"/>
        </w:rPr>
        <w:t xml:space="preserve">, participating in </w:t>
      </w:r>
      <w:r w:rsidR="00B60528" w:rsidRPr="00823C94">
        <w:rPr>
          <w:rFonts w:ascii="Times New Roman" w:hAnsi="Times New Roman"/>
        </w:rPr>
        <w:t>homeownership programs</w:t>
      </w:r>
      <w:r w:rsidR="00E219A5">
        <w:rPr>
          <w:rFonts w:ascii="Times New Roman" w:hAnsi="Times New Roman"/>
        </w:rPr>
        <w:t>,</w:t>
      </w:r>
      <w:r w:rsidR="00B60528" w:rsidRPr="00823C94">
        <w:rPr>
          <w:rFonts w:ascii="Times New Roman" w:hAnsi="Times New Roman"/>
        </w:rPr>
        <w:t xml:space="preserve"> </w:t>
      </w:r>
      <w:r w:rsidR="00E219A5">
        <w:rPr>
          <w:rFonts w:ascii="Times New Roman" w:hAnsi="Times New Roman"/>
        </w:rPr>
        <w:t xml:space="preserve">or </w:t>
      </w:r>
      <w:r w:rsidR="00E219A5" w:rsidRPr="007C4EDB">
        <w:rPr>
          <w:rFonts w:ascii="Times New Roman" w:hAnsi="Times New Roman"/>
        </w:rPr>
        <w:t xml:space="preserve">have </w:t>
      </w:r>
      <w:r w:rsidR="00E219A5">
        <w:rPr>
          <w:rFonts w:ascii="Times New Roman" w:hAnsi="Times New Roman"/>
        </w:rPr>
        <w:t xml:space="preserve">zero </w:t>
      </w:r>
      <w:r w:rsidR="00E219A5" w:rsidRPr="007C4EDB">
        <w:rPr>
          <w:rFonts w:ascii="Times New Roman" w:hAnsi="Times New Roman"/>
        </w:rPr>
        <w:t>HAP</w:t>
      </w:r>
      <w:r w:rsidR="00E219A5">
        <w:rPr>
          <w:rFonts w:ascii="Times New Roman" w:hAnsi="Times New Roman"/>
        </w:rPr>
        <w:t>,</w:t>
      </w:r>
      <w:r w:rsidR="00E219A5" w:rsidRPr="00823C94">
        <w:rPr>
          <w:rFonts w:ascii="Times New Roman" w:hAnsi="Times New Roman"/>
        </w:rPr>
        <w:t xml:space="preserve"> </w:t>
      </w:r>
      <w:r w:rsidR="00E219A5">
        <w:rPr>
          <w:rFonts w:ascii="Times New Roman" w:hAnsi="Times New Roman"/>
        </w:rPr>
        <w:t>they</w:t>
      </w:r>
      <w:r w:rsidR="00EE6E88" w:rsidRPr="00823C94">
        <w:rPr>
          <w:rFonts w:ascii="Times New Roman" w:hAnsi="Times New Roman"/>
        </w:rPr>
        <w:t xml:space="preserve"> will</w:t>
      </w:r>
      <w:r w:rsidR="00A02EC6" w:rsidRPr="00823C94">
        <w:rPr>
          <w:rFonts w:ascii="Times New Roman" w:hAnsi="Times New Roman"/>
        </w:rPr>
        <w:t xml:space="preserve"> also be excluded from the study</w:t>
      </w:r>
      <w:r w:rsidR="00EE6E88" w:rsidRPr="00823C94">
        <w:rPr>
          <w:rFonts w:ascii="Times New Roman" w:hAnsi="Times New Roman"/>
        </w:rPr>
        <w:t>.</w:t>
      </w:r>
      <w:r w:rsidRPr="00823C94">
        <w:rPr>
          <w:rFonts w:ascii="Times New Roman" w:hAnsi="Times New Roman"/>
        </w:rPr>
        <w:t xml:space="preserve">  </w:t>
      </w:r>
    </w:p>
    <w:p w:rsidR="00187FBB" w:rsidRPr="00187FBB" w:rsidRDefault="00187FBB" w:rsidP="00187FBB">
      <w:pPr>
        <w:tabs>
          <w:tab w:val="clear" w:pos="432"/>
        </w:tabs>
        <w:spacing w:line="240" w:lineRule="auto"/>
        <w:ind w:firstLine="0"/>
        <w:contextualSpacing/>
        <w:jc w:val="left"/>
        <w:rPr>
          <w:rFonts w:ascii="Times New Roman" w:eastAsia="Calibri" w:hAnsi="Times New Roman"/>
        </w:rPr>
      </w:pPr>
    </w:p>
    <w:p w:rsidR="00EC1608" w:rsidRPr="00187FBB" w:rsidRDefault="007C4EDB" w:rsidP="00187FBB">
      <w:pPr>
        <w:tabs>
          <w:tab w:val="clear" w:pos="432"/>
        </w:tabs>
        <w:spacing w:line="240" w:lineRule="auto"/>
        <w:ind w:firstLine="0"/>
        <w:contextualSpacing/>
        <w:jc w:val="left"/>
        <w:rPr>
          <w:rFonts w:ascii="Times New Roman" w:hAnsi="Times New Roman"/>
        </w:rPr>
      </w:pPr>
      <w:r>
        <w:rPr>
          <w:rFonts w:ascii="Times New Roman" w:hAnsi="Times New Roman"/>
        </w:rPr>
        <w:t>A</w:t>
      </w:r>
      <w:r w:rsidR="00EC1608" w:rsidRPr="00187FBB">
        <w:rPr>
          <w:rFonts w:ascii="Times New Roman" w:hAnsi="Times New Roman"/>
        </w:rPr>
        <w:t xml:space="preserve">lthough the new rent policy </w:t>
      </w:r>
      <w:r w:rsidR="00081ECA">
        <w:rPr>
          <w:rFonts w:ascii="Times New Roman" w:hAnsi="Times New Roman"/>
        </w:rPr>
        <w:t>is</w:t>
      </w:r>
      <w:r w:rsidR="00081ECA" w:rsidRPr="00187FBB">
        <w:rPr>
          <w:rFonts w:ascii="Times New Roman" w:hAnsi="Times New Roman"/>
        </w:rPr>
        <w:t xml:space="preserve"> </w:t>
      </w:r>
      <w:r w:rsidR="00EC1608" w:rsidRPr="00187FBB">
        <w:rPr>
          <w:rFonts w:ascii="Times New Roman" w:hAnsi="Times New Roman"/>
        </w:rPr>
        <w:t xml:space="preserve">designed to be applicable to elderly and disabled tenants, and although the housing authorities may choose to apply the policy to them during the period of the demonstration, those tenants will not be included in the research sample. The reason is because we do not hypothesize that the new rent policies will have a substantial effect on work outcomes for this group. Furthermore, </w:t>
      </w:r>
      <w:r>
        <w:rPr>
          <w:rFonts w:ascii="Times New Roman" w:hAnsi="Times New Roman"/>
        </w:rPr>
        <w:t>given the</w:t>
      </w:r>
      <w:r w:rsidR="00EC1608" w:rsidRPr="00187FBB">
        <w:rPr>
          <w:rFonts w:ascii="Times New Roman" w:hAnsi="Times New Roman"/>
        </w:rPr>
        <w:t xml:space="preserve"> limited sample sizes indicated above</w:t>
      </w:r>
      <w:r w:rsidR="00E219A5">
        <w:rPr>
          <w:rFonts w:ascii="Times New Roman" w:hAnsi="Times New Roman"/>
        </w:rPr>
        <w:t>,</w:t>
      </w:r>
      <w:r w:rsidR="00EC1608" w:rsidRPr="00187FBB">
        <w:rPr>
          <w:rFonts w:ascii="Times New Roman" w:hAnsi="Times New Roman"/>
        </w:rPr>
        <w:t xml:space="preserve"> including elderly/disabled would reduce the sample sizes and statistical power available for estimating the effects on the working-age/nondisabled population for whom the new rent model is likely to have its largest employment effects. </w:t>
      </w:r>
    </w:p>
    <w:p w:rsidR="003648DA" w:rsidRPr="00187FBB" w:rsidRDefault="003648DA" w:rsidP="003648DA">
      <w:pPr>
        <w:pStyle w:val="ListParagraph"/>
        <w:ind w:left="0"/>
      </w:pPr>
    </w:p>
    <w:p w:rsidR="009C5612" w:rsidRPr="00187FBB" w:rsidRDefault="00081ECA" w:rsidP="003648DA">
      <w:pPr>
        <w:widowControl w:val="0"/>
        <w:spacing w:line="240" w:lineRule="auto"/>
        <w:ind w:firstLine="0"/>
        <w:jc w:val="left"/>
        <w:rPr>
          <w:rFonts w:ascii="Times New Roman" w:hAnsi="Times New Roman"/>
        </w:rPr>
      </w:pPr>
      <w:r w:rsidRPr="003C48BF">
        <w:rPr>
          <w:rFonts w:ascii="Times New Roman" w:hAnsi="Times New Roman"/>
        </w:rPr>
        <w:t xml:space="preserve">Random assignment and enrollment is currently underway in all four sites, with </w:t>
      </w:r>
      <w:r w:rsidR="00BE5D40" w:rsidRPr="003C48BF">
        <w:rPr>
          <w:rFonts w:ascii="Times New Roman" w:hAnsi="Times New Roman"/>
        </w:rPr>
        <w:t xml:space="preserve">the </w:t>
      </w:r>
      <w:r w:rsidR="00B25232" w:rsidRPr="003C48BF">
        <w:rPr>
          <w:rFonts w:ascii="Times New Roman" w:hAnsi="Times New Roman"/>
        </w:rPr>
        <w:t xml:space="preserve">expectation that the </w:t>
      </w:r>
      <w:r w:rsidR="00BE5D40" w:rsidRPr="003C48BF">
        <w:rPr>
          <w:rFonts w:ascii="Times New Roman" w:hAnsi="Times New Roman"/>
        </w:rPr>
        <w:t xml:space="preserve">full sample </w:t>
      </w:r>
      <w:r w:rsidR="00B25232" w:rsidRPr="003C48BF">
        <w:rPr>
          <w:rFonts w:ascii="Times New Roman" w:hAnsi="Times New Roman"/>
        </w:rPr>
        <w:t xml:space="preserve">will be </w:t>
      </w:r>
      <w:r w:rsidR="00BE5D40" w:rsidRPr="003C48BF">
        <w:rPr>
          <w:rFonts w:ascii="Times New Roman" w:hAnsi="Times New Roman"/>
        </w:rPr>
        <w:t xml:space="preserve">recertified </w:t>
      </w:r>
      <w:r w:rsidR="000D07CE" w:rsidRPr="003C48BF">
        <w:rPr>
          <w:rFonts w:ascii="Times New Roman" w:hAnsi="Times New Roman"/>
        </w:rPr>
        <w:t xml:space="preserve">– i.e., have new effective dates – </w:t>
      </w:r>
      <w:r w:rsidR="00BE5D40" w:rsidRPr="003C48BF">
        <w:rPr>
          <w:rFonts w:ascii="Times New Roman" w:hAnsi="Times New Roman"/>
        </w:rPr>
        <w:t>by January 2016 (across the study sites, the recertification process</w:t>
      </w:r>
      <w:r w:rsidR="0051255A" w:rsidRPr="003C48BF">
        <w:rPr>
          <w:rFonts w:ascii="Times New Roman" w:hAnsi="Times New Roman"/>
        </w:rPr>
        <w:t xml:space="preserve">, which renews the household’s housing subsidy, </w:t>
      </w:r>
      <w:r w:rsidR="00BE5D40" w:rsidRPr="003C48BF">
        <w:rPr>
          <w:rFonts w:ascii="Times New Roman" w:hAnsi="Times New Roman"/>
        </w:rPr>
        <w:t xml:space="preserve">can take from 90 to 180 days following the initial recertification </w:t>
      </w:r>
      <w:r w:rsidR="00446259" w:rsidRPr="003C48BF">
        <w:rPr>
          <w:rFonts w:ascii="Times New Roman" w:hAnsi="Times New Roman"/>
        </w:rPr>
        <w:t>and study enrollment meeting).</w:t>
      </w:r>
      <w:r w:rsidR="00446259">
        <w:rPr>
          <w:rFonts w:ascii="Times New Roman" w:hAnsi="Times New Roman"/>
        </w:rPr>
        <w:t xml:space="preserve"> </w:t>
      </w:r>
      <w:r w:rsidR="00BE5D40">
        <w:rPr>
          <w:rFonts w:ascii="Times New Roman" w:hAnsi="Times New Roman"/>
        </w:rPr>
        <w:t xml:space="preserve">  </w:t>
      </w:r>
    </w:p>
    <w:p w:rsidR="00025732" w:rsidRPr="003648DA" w:rsidRDefault="00025732" w:rsidP="003648DA">
      <w:pPr>
        <w:widowControl w:val="0"/>
        <w:spacing w:line="240" w:lineRule="auto"/>
        <w:ind w:firstLine="720"/>
        <w:jc w:val="left"/>
        <w:rPr>
          <w:rFonts w:ascii="Times New Roman" w:hAnsi="Times New Roman"/>
          <w:b/>
        </w:rPr>
      </w:pPr>
    </w:p>
    <w:p w:rsidR="009C5612" w:rsidRPr="003648DA" w:rsidRDefault="009C5612" w:rsidP="003648DA">
      <w:pPr>
        <w:widowControl w:val="0"/>
        <w:spacing w:line="240" w:lineRule="auto"/>
        <w:ind w:firstLine="720"/>
        <w:jc w:val="left"/>
        <w:rPr>
          <w:rFonts w:ascii="Arial" w:hAnsi="Arial" w:cs="Arial"/>
          <w:b/>
        </w:rPr>
      </w:pPr>
      <w:r w:rsidRPr="003648DA">
        <w:rPr>
          <w:rFonts w:ascii="Arial" w:hAnsi="Arial" w:cs="Arial"/>
          <w:b/>
        </w:rPr>
        <w:t xml:space="preserve">Number of </w:t>
      </w:r>
      <w:r w:rsidR="00D106AB" w:rsidRPr="003648DA">
        <w:rPr>
          <w:rFonts w:ascii="Arial" w:hAnsi="Arial" w:cs="Arial"/>
          <w:b/>
        </w:rPr>
        <w:t xml:space="preserve">MTW housing authorities </w:t>
      </w:r>
    </w:p>
    <w:p w:rsidR="009D4012" w:rsidRPr="003648DA" w:rsidRDefault="001B40A2" w:rsidP="003648DA">
      <w:pPr>
        <w:widowControl w:val="0"/>
        <w:spacing w:line="240" w:lineRule="auto"/>
        <w:ind w:firstLine="0"/>
        <w:jc w:val="left"/>
        <w:rPr>
          <w:rFonts w:ascii="Times New Roman" w:hAnsi="Times New Roman"/>
          <w:b/>
        </w:rPr>
      </w:pPr>
      <w:r w:rsidRPr="003648DA">
        <w:rPr>
          <w:rFonts w:ascii="Times New Roman" w:hAnsi="Times New Roman"/>
          <w:b/>
        </w:rPr>
        <w:tab/>
      </w:r>
    </w:p>
    <w:p w:rsidR="009C5612" w:rsidRPr="003648DA" w:rsidRDefault="0055724A" w:rsidP="003648DA">
      <w:pPr>
        <w:widowControl w:val="0"/>
        <w:spacing w:line="240" w:lineRule="auto"/>
        <w:ind w:firstLine="0"/>
        <w:jc w:val="left"/>
        <w:rPr>
          <w:rFonts w:ascii="Times New Roman" w:hAnsi="Times New Roman"/>
          <w:color w:val="000000"/>
        </w:rPr>
      </w:pPr>
      <w:r w:rsidRPr="003648DA">
        <w:rPr>
          <w:rFonts w:ascii="Times New Roman" w:hAnsi="Times New Roman"/>
          <w:color w:val="000000"/>
        </w:rPr>
        <w:t>The demonstration include</w:t>
      </w:r>
      <w:r w:rsidR="00081ECA">
        <w:rPr>
          <w:rFonts w:ascii="Times New Roman" w:hAnsi="Times New Roman"/>
          <w:color w:val="000000"/>
        </w:rPr>
        <w:t>s</w:t>
      </w:r>
      <w:r w:rsidRPr="003648DA">
        <w:rPr>
          <w:rFonts w:ascii="Times New Roman" w:hAnsi="Times New Roman"/>
          <w:color w:val="000000"/>
        </w:rPr>
        <w:t xml:space="preserve"> </w:t>
      </w:r>
      <w:r w:rsidR="00AE1800">
        <w:rPr>
          <w:rFonts w:ascii="Times New Roman" w:hAnsi="Times New Roman"/>
          <w:color w:val="000000"/>
        </w:rPr>
        <w:t>four</w:t>
      </w:r>
      <w:r w:rsidR="00AE1800" w:rsidRPr="003648DA">
        <w:rPr>
          <w:rFonts w:ascii="Times New Roman" w:hAnsi="Times New Roman"/>
          <w:color w:val="000000"/>
        </w:rPr>
        <w:t xml:space="preserve"> </w:t>
      </w:r>
      <w:r w:rsidR="00D106AB" w:rsidRPr="003648DA">
        <w:rPr>
          <w:rFonts w:ascii="Times New Roman" w:hAnsi="Times New Roman"/>
          <w:color w:val="000000"/>
        </w:rPr>
        <w:t>MTW</w:t>
      </w:r>
      <w:r w:rsidR="00F20954">
        <w:rPr>
          <w:rFonts w:ascii="Times New Roman" w:hAnsi="Times New Roman"/>
          <w:color w:val="000000"/>
        </w:rPr>
        <w:t xml:space="preserve"> PHAs</w:t>
      </w:r>
      <w:r w:rsidR="00081ECA">
        <w:rPr>
          <w:rFonts w:ascii="Times New Roman" w:hAnsi="Times New Roman"/>
          <w:color w:val="000000"/>
        </w:rPr>
        <w:t>:</w:t>
      </w:r>
      <w:r w:rsidR="00081ECA" w:rsidRPr="003648DA">
        <w:rPr>
          <w:rFonts w:ascii="Times New Roman" w:hAnsi="Times New Roman"/>
          <w:color w:val="000000"/>
        </w:rPr>
        <w:t xml:space="preserve"> </w:t>
      </w:r>
      <w:r w:rsidR="002A6183" w:rsidRPr="003648DA">
        <w:rPr>
          <w:rFonts w:ascii="Times New Roman" w:hAnsi="Times New Roman"/>
          <w:color w:val="000000"/>
        </w:rPr>
        <w:t xml:space="preserve">District of Columbia Housing Authority, </w:t>
      </w:r>
      <w:r w:rsidR="00B25232">
        <w:rPr>
          <w:rFonts w:ascii="Times New Roman" w:hAnsi="Times New Roman"/>
          <w:color w:val="000000"/>
        </w:rPr>
        <w:t xml:space="preserve">Lexington Housing Authority, </w:t>
      </w:r>
      <w:r w:rsidR="002A6183" w:rsidRPr="003648DA">
        <w:rPr>
          <w:rFonts w:ascii="Times New Roman" w:hAnsi="Times New Roman"/>
          <w:color w:val="000000"/>
        </w:rPr>
        <w:t>Louisville Metropolitan Housing Authority</w:t>
      </w:r>
      <w:proofErr w:type="gramStart"/>
      <w:r w:rsidR="002A6183" w:rsidRPr="003648DA">
        <w:rPr>
          <w:rFonts w:ascii="Times New Roman" w:hAnsi="Times New Roman"/>
          <w:color w:val="000000"/>
        </w:rPr>
        <w:t xml:space="preserve">, </w:t>
      </w:r>
      <w:r w:rsidR="00D13B2B">
        <w:rPr>
          <w:rFonts w:ascii="Times New Roman" w:hAnsi="Times New Roman"/>
          <w:color w:val="000000"/>
        </w:rPr>
        <w:t>,</w:t>
      </w:r>
      <w:proofErr w:type="gramEnd"/>
      <w:r w:rsidR="00D13B2B">
        <w:rPr>
          <w:rFonts w:ascii="Times New Roman" w:hAnsi="Times New Roman"/>
          <w:color w:val="000000"/>
        </w:rPr>
        <w:t xml:space="preserve"> </w:t>
      </w:r>
      <w:r w:rsidR="001E1B99">
        <w:rPr>
          <w:rFonts w:ascii="Times New Roman" w:hAnsi="Times New Roman"/>
          <w:color w:val="000000"/>
        </w:rPr>
        <w:t xml:space="preserve">and </w:t>
      </w:r>
      <w:r w:rsidR="002A6183" w:rsidRPr="003648DA">
        <w:rPr>
          <w:rFonts w:ascii="Times New Roman" w:hAnsi="Times New Roman"/>
          <w:color w:val="000000"/>
        </w:rPr>
        <w:t xml:space="preserve">San Antonio Housing Authority.  </w:t>
      </w:r>
      <w:r w:rsidR="00CE39AC" w:rsidRPr="001E1B99">
        <w:rPr>
          <w:rFonts w:ascii="Times New Roman" w:hAnsi="Times New Roman"/>
          <w:color w:val="000000"/>
        </w:rPr>
        <w:t>T</w:t>
      </w:r>
      <w:r w:rsidR="002A6183" w:rsidRPr="001E1B99">
        <w:rPr>
          <w:rFonts w:ascii="Times New Roman" w:hAnsi="Times New Roman"/>
          <w:color w:val="000000"/>
        </w:rPr>
        <w:t xml:space="preserve">hese </w:t>
      </w:r>
      <w:r w:rsidR="00F20954">
        <w:rPr>
          <w:rFonts w:ascii="Times New Roman" w:hAnsi="Times New Roman"/>
          <w:color w:val="000000"/>
        </w:rPr>
        <w:t>PHAs</w:t>
      </w:r>
      <w:r w:rsidR="002A6183" w:rsidRPr="001E1B99">
        <w:rPr>
          <w:rFonts w:ascii="Times New Roman" w:hAnsi="Times New Roman"/>
          <w:color w:val="000000"/>
        </w:rPr>
        <w:t xml:space="preserve"> have </w:t>
      </w:r>
      <w:r w:rsidR="00A90D05">
        <w:rPr>
          <w:rFonts w:ascii="Times New Roman" w:hAnsi="Times New Roman"/>
          <w:color w:val="000000"/>
        </w:rPr>
        <w:t>signed MOUs with</w:t>
      </w:r>
      <w:r w:rsidR="002A6183" w:rsidRPr="001E1B99">
        <w:rPr>
          <w:rFonts w:ascii="Times New Roman" w:hAnsi="Times New Roman"/>
          <w:color w:val="000000"/>
        </w:rPr>
        <w:t xml:space="preserve"> MDRC</w:t>
      </w:r>
      <w:r w:rsidR="00D106AB" w:rsidRPr="001E1B99">
        <w:rPr>
          <w:rFonts w:ascii="Times New Roman" w:hAnsi="Times New Roman"/>
          <w:color w:val="000000"/>
        </w:rPr>
        <w:t>,</w:t>
      </w:r>
      <w:r w:rsidR="002A6183" w:rsidRPr="003648DA">
        <w:rPr>
          <w:rFonts w:ascii="Times New Roman" w:hAnsi="Times New Roman"/>
          <w:color w:val="000000"/>
        </w:rPr>
        <w:t xml:space="preserve"> </w:t>
      </w:r>
      <w:r w:rsidR="00D46A44">
        <w:rPr>
          <w:rFonts w:ascii="Times New Roman" w:hAnsi="Times New Roman"/>
          <w:color w:val="000000"/>
        </w:rPr>
        <w:t>which cover activities and roles for the term of the evaluation</w:t>
      </w:r>
      <w:r w:rsidR="00A90D05">
        <w:rPr>
          <w:rFonts w:ascii="Times New Roman" w:hAnsi="Times New Roman"/>
          <w:color w:val="000000"/>
        </w:rPr>
        <w:t xml:space="preserve"> and identify data that the sites will provide to MDRC for the study</w:t>
      </w:r>
      <w:r w:rsidR="00D46A44">
        <w:rPr>
          <w:rFonts w:ascii="Times New Roman" w:hAnsi="Times New Roman"/>
          <w:color w:val="000000"/>
        </w:rPr>
        <w:t xml:space="preserve">. </w:t>
      </w:r>
    </w:p>
    <w:p w:rsidR="001B40A2" w:rsidRPr="003648DA" w:rsidRDefault="001B40A2" w:rsidP="003648DA">
      <w:pPr>
        <w:widowControl w:val="0"/>
        <w:spacing w:line="240" w:lineRule="auto"/>
        <w:jc w:val="left"/>
        <w:rPr>
          <w:rFonts w:ascii="Times New Roman" w:hAnsi="Times New Roman"/>
        </w:rPr>
      </w:pPr>
    </w:p>
    <w:p w:rsidR="000D07CE" w:rsidRDefault="000D07CE" w:rsidP="003648DA">
      <w:pPr>
        <w:pStyle w:val="Default"/>
        <w:spacing w:after="222"/>
        <w:ind w:firstLine="720"/>
        <w:rPr>
          <w:rFonts w:ascii="Arial" w:hAnsi="Arial" w:cs="Arial"/>
          <w:b/>
        </w:rPr>
      </w:pPr>
    </w:p>
    <w:p w:rsidR="00EC6D54" w:rsidRPr="003648DA" w:rsidRDefault="00EC6D54" w:rsidP="003648DA">
      <w:pPr>
        <w:pStyle w:val="Default"/>
        <w:spacing w:after="222"/>
        <w:ind w:firstLine="720"/>
        <w:rPr>
          <w:rFonts w:ascii="Arial" w:hAnsi="Arial" w:cs="Arial"/>
          <w:b/>
        </w:rPr>
      </w:pPr>
      <w:r w:rsidRPr="003648DA">
        <w:rPr>
          <w:rFonts w:ascii="Arial" w:hAnsi="Arial" w:cs="Arial"/>
          <w:b/>
        </w:rPr>
        <w:lastRenderedPageBreak/>
        <w:t xml:space="preserve">Criteria for </w:t>
      </w:r>
      <w:r w:rsidR="003413EF">
        <w:rPr>
          <w:rFonts w:ascii="Arial" w:hAnsi="Arial" w:cs="Arial"/>
          <w:b/>
        </w:rPr>
        <w:t>P</w:t>
      </w:r>
      <w:r w:rsidR="00D106AB" w:rsidRPr="003648DA">
        <w:rPr>
          <w:rFonts w:ascii="Arial" w:hAnsi="Arial" w:cs="Arial"/>
          <w:b/>
        </w:rPr>
        <w:t>HA</w:t>
      </w:r>
      <w:r w:rsidRPr="003648DA">
        <w:rPr>
          <w:rFonts w:ascii="Arial" w:hAnsi="Arial" w:cs="Arial"/>
          <w:b/>
        </w:rPr>
        <w:t xml:space="preserve"> Selection</w:t>
      </w:r>
    </w:p>
    <w:p w:rsidR="00F2575D" w:rsidRPr="003413EF" w:rsidRDefault="00F01F36" w:rsidP="00886B99">
      <w:pPr>
        <w:pStyle w:val="Default"/>
        <w:rPr>
          <w:rFonts w:ascii="Times New Roman" w:hAnsi="Times New Roman" w:cs="Times New Roman"/>
          <w:color w:val="auto"/>
        </w:rPr>
      </w:pPr>
      <w:r w:rsidRPr="003C48BF">
        <w:rPr>
          <w:rFonts w:ascii="Times New Roman" w:hAnsi="Times New Roman" w:cs="Times New Roman"/>
          <w:color w:val="auto"/>
        </w:rPr>
        <w:t xml:space="preserve">In consultation with </w:t>
      </w:r>
      <w:r w:rsidR="00B25232" w:rsidRPr="003C48BF">
        <w:rPr>
          <w:rFonts w:ascii="Times New Roman" w:hAnsi="Times New Roman" w:cs="Times New Roman"/>
          <w:color w:val="auto"/>
        </w:rPr>
        <w:t xml:space="preserve">HUD, </w:t>
      </w:r>
      <w:r w:rsidR="003413EF" w:rsidRPr="003C48BF">
        <w:rPr>
          <w:rFonts w:ascii="Times New Roman" w:hAnsi="Times New Roman" w:cs="Times New Roman"/>
          <w:color w:val="auto"/>
        </w:rPr>
        <w:t>MDRC</w:t>
      </w:r>
      <w:r w:rsidR="00B25232" w:rsidRPr="003C48BF">
        <w:rPr>
          <w:rFonts w:ascii="Times New Roman" w:hAnsi="Times New Roman" w:cs="Times New Roman"/>
          <w:color w:val="auto"/>
        </w:rPr>
        <w:t xml:space="preserve"> </w:t>
      </w:r>
      <w:r w:rsidR="003413EF" w:rsidRPr="003C48BF">
        <w:rPr>
          <w:rFonts w:ascii="Times New Roman" w:hAnsi="Times New Roman" w:cs="Times New Roman"/>
          <w:color w:val="auto"/>
        </w:rPr>
        <w:t>set out a number of guidelines for assembling a group of research sites.</w:t>
      </w:r>
      <w:r w:rsidR="003413EF">
        <w:rPr>
          <w:rFonts w:ascii="Times New Roman" w:hAnsi="Times New Roman" w:cs="Times New Roman"/>
          <w:color w:val="auto"/>
        </w:rPr>
        <w:t xml:space="preserve"> These guidelines gave higher priority to MTW agencies that had larger voucher programs and, thus, larger samples for a randomized trial, and that had not progressed too far in implementing an alternative rent policy of their own. This would allow them to provide a control group that would represent the traditional national 30-percent-of-income rent policy. In addition, we sought agencies that together would reflect important dimensions of the diversity of voucher holders and local conditions found among housing agencies across the country. This is important because one goal for evaluating the alternative rent policy is to determine whether it can be effective when operated for different types of tenants and in different contexts. Thus, we sought to recruit a pool of sites that would reflect some diversity in local housing markets, local labor markets, tenant race and ethnicity profiles, and other local or household characteristics that could present different kinds of challenges in finding work and, hence, tenants’ responses to the work incentives to be built into the alternative rent policy. It was also critical that a housing agency be willing to comply with random assignment and the other research demands of a rigorous demonstration, and to sustain both the alternative rent policy and its existing rent policy through to the end of the demonstration.</w:t>
      </w:r>
    </w:p>
    <w:p w:rsidR="00F2575D" w:rsidRDefault="00F2575D" w:rsidP="000E1245">
      <w:pPr>
        <w:spacing w:line="240" w:lineRule="auto"/>
        <w:ind w:firstLine="0"/>
        <w:jc w:val="left"/>
        <w:rPr>
          <w:rFonts w:ascii="Arial" w:hAnsi="Arial" w:cs="Arial"/>
          <w:b/>
        </w:rPr>
      </w:pPr>
    </w:p>
    <w:p w:rsidR="007C651E" w:rsidRPr="003648DA" w:rsidRDefault="007C651E" w:rsidP="000E1245">
      <w:pPr>
        <w:spacing w:line="240" w:lineRule="auto"/>
        <w:ind w:firstLine="0"/>
        <w:jc w:val="left"/>
        <w:rPr>
          <w:rFonts w:ascii="Arial" w:hAnsi="Arial" w:cs="Arial"/>
          <w:b/>
        </w:rPr>
      </w:pPr>
      <w:r w:rsidRPr="003648DA">
        <w:rPr>
          <w:rFonts w:ascii="Arial" w:hAnsi="Arial" w:cs="Arial"/>
          <w:b/>
        </w:rPr>
        <w:t>Expected Response Rates</w:t>
      </w:r>
    </w:p>
    <w:p w:rsidR="00C22CC8" w:rsidRPr="003648DA" w:rsidRDefault="00C22CC8" w:rsidP="003648DA">
      <w:pPr>
        <w:widowControl w:val="0"/>
        <w:spacing w:line="240" w:lineRule="auto"/>
        <w:jc w:val="left"/>
        <w:rPr>
          <w:rFonts w:ascii="Times New Roman" w:hAnsi="Times New Roman"/>
        </w:rPr>
      </w:pPr>
    </w:p>
    <w:p w:rsidR="00FA6DE9" w:rsidRPr="003648DA" w:rsidRDefault="007C651E" w:rsidP="00886B99">
      <w:pPr>
        <w:widowControl w:val="0"/>
        <w:spacing w:line="240" w:lineRule="auto"/>
        <w:ind w:firstLine="0"/>
        <w:jc w:val="left"/>
        <w:rPr>
          <w:rFonts w:ascii="Times New Roman" w:hAnsi="Times New Roman"/>
        </w:rPr>
      </w:pPr>
      <w:r w:rsidRPr="003648DA">
        <w:rPr>
          <w:rFonts w:ascii="Times New Roman" w:hAnsi="Times New Roman"/>
        </w:rPr>
        <w:t xml:space="preserve">As all data on the sample </w:t>
      </w:r>
      <w:r w:rsidR="0029642B" w:rsidRPr="003648DA">
        <w:rPr>
          <w:rFonts w:ascii="Times New Roman" w:hAnsi="Times New Roman"/>
        </w:rPr>
        <w:t xml:space="preserve">will be </w:t>
      </w:r>
      <w:r w:rsidR="00FA6DE9" w:rsidRPr="003648DA">
        <w:rPr>
          <w:rFonts w:ascii="Times New Roman" w:hAnsi="Times New Roman"/>
        </w:rPr>
        <w:t>derived</w:t>
      </w:r>
      <w:r w:rsidRPr="003648DA">
        <w:rPr>
          <w:rFonts w:ascii="Times New Roman" w:hAnsi="Times New Roman"/>
        </w:rPr>
        <w:t xml:space="preserve"> from</w:t>
      </w:r>
      <w:r w:rsidR="00A46A45">
        <w:rPr>
          <w:rFonts w:ascii="Times New Roman" w:hAnsi="Times New Roman"/>
        </w:rPr>
        <w:t xml:space="preserve"> </w:t>
      </w:r>
      <w:r w:rsidR="0051255A" w:rsidRPr="003648DA">
        <w:rPr>
          <w:rFonts w:ascii="Times New Roman" w:hAnsi="Times New Roman"/>
        </w:rPr>
        <w:t>administrative records</w:t>
      </w:r>
      <w:r w:rsidR="0051255A">
        <w:rPr>
          <w:rFonts w:ascii="Times New Roman" w:hAnsi="Times New Roman"/>
        </w:rPr>
        <w:t xml:space="preserve"> and </w:t>
      </w:r>
      <w:r w:rsidR="00B25232">
        <w:rPr>
          <w:rFonts w:ascii="Times New Roman" w:hAnsi="Times New Roman"/>
        </w:rPr>
        <w:t xml:space="preserve">in-person </w:t>
      </w:r>
      <w:r w:rsidR="00A46A45">
        <w:rPr>
          <w:rFonts w:ascii="Times New Roman" w:hAnsi="Times New Roman"/>
        </w:rPr>
        <w:t>interviews</w:t>
      </w:r>
      <w:r w:rsidRPr="003648DA">
        <w:rPr>
          <w:rFonts w:ascii="Times New Roman" w:hAnsi="Times New Roman"/>
        </w:rPr>
        <w:t xml:space="preserve">, </w:t>
      </w:r>
      <w:r w:rsidR="00DF0AED" w:rsidRPr="003648DA">
        <w:rPr>
          <w:rFonts w:ascii="Times New Roman" w:hAnsi="Times New Roman"/>
        </w:rPr>
        <w:t xml:space="preserve">we </w:t>
      </w:r>
      <w:r w:rsidR="00DB24FE" w:rsidRPr="003648DA">
        <w:rPr>
          <w:rFonts w:ascii="Times New Roman" w:hAnsi="Times New Roman"/>
        </w:rPr>
        <w:t xml:space="preserve">expect high data coverage for both the program and control groups. </w:t>
      </w:r>
    </w:p>
    <w:p w:rsidR="003648DA" w:rsidRPr="003648DA" w:rsidRDefault="003648DA" w:rsidP="00886B99">
      <w:pPr>
        <w:widowControl w:val="0"/>
        <w:spacing w:line="240" w:lineRule="auto"/>
        <w:ind w:firstLine="0"/>
        <w:jc w:val="left"/>
        <w:rPr>
          <w:rFonts w:ascii="Times New Roman" w:hAnsi="Times New Roman"/>
        </w:rPr>
      </w:pPr>
    </w:p>
    <w:p w:rsidR="007C651E" w:rsidRPr="003648DA" w:rsidRDefault="007C651E" w:rsidP="00886B99">
      <w:pPr>
        <w:spacing w:after="240" w:line="240" w:lineRule="auto"/>
        <w:ind w:firstLine="0"/>
        <w:jc w:val="left"/>
        <w:rPr>
          <w:rFonts w:ascii="Arial" w:hAnsi="Arial" w:cs="Arial"/>
          <w:b/>
        </w:rPr>
      </w:pPr>
      <w:r w:rsidRPr="003648DA">
        <w:rPr>
          <w:rFonts w:ascii="Arial" w:hAnsi="Arial" w:cs="Arial"/>
          <w:b/>
        </w:rPr>
        <w:t>B2.  Procedures for Data Collection and Statistical Analysis</w:t>
      </w:r>
    </w:p>
    <w:p w:rsidR="00157669" w:rsidRPr="003648DA" w:rsidRDefault="00157669" w:rsidP="00886B99">
      <w:pPr>
        <w:widowControl w:val="0"/>
        <w:spacing w:line="240" w:lineRule="auto"/>
        <w:ind w:firstLine="0"/>
        <w:jc w:val="left"/>
        <w:rPr>
          <w:rFonts w:ascii="Times New Roman" w:hAnsi="Times New Roman"/>
        </w:rPr>
      </w:pPr>
      <w:r w:rsidRPr="003648DA">
        <w:rPr>
          <w:rFonts w:ascii="Times New Roman" w:hAnsi="Times New Roman"/>
        </w:rPr>
        <w:t>The study involve</w:t>
      </w:r>
      <w:r w:rsidR="0067267A">
        <w:rPr>
          <w:rFonts w:ascii="Times New Roman" w:hAnsi="Times New Roman"/>
        </w:rPr>
        <w:t>s</w:t>
      </w:r>
      <w:r w:rsidRPr="003648DA">
        <w:rPr>
          <w:rFonts w:ascii="Times New Roman" w:hAnsi="Times New Roman"/>
        </w:rPr>
        <w:t xml:space="preserve"> randomly assigning </w:t>
      </w:r>
      <w:r w:rsidR="00575F9A" w:rsidRPr="003648DA">
        <w:rPr>
          <w:rFonts w:ascii="Times New Roman" w:hAnsi="Times New Roman"/>
        </w:rPr>
        <w:t xml:space="preserve">the </w:t>
      </w:r>
      <w:r w:rsidRPr="003648DA">
        <w:rPr>
          <w:rFonts w:ascii="Times New Roman" w:hAnsi="Times New Roman"/>
        </w:rPr>
        <w:t>total sample to one of two groups</w:t>
      </w:r>
      <w:r w:rsidR="00575F9A" w:rsidRPr="003648DA">
        <w:rPr>
          <w:rFonts w:ascii="Times New Roman" w:hAnsi="Times New Roman"/>
        </w:rPr>
        <w:t>:</w:t>
      </w:r>
    </w:p>
    <w:p w:rsidR="0042621C" w:rsidRPr="003648DA" w:rsidRDefault="0042621C" w:rsidP="00886B99">
      <w:pPr>
        <w:widowControl w:val="0"/>
        <w:spacing w:line="240" w:lineRule="auto"/>
        <w:jc w:val="left"/>
        <w:rPr>
          <w:rFonts w:ascii="Times New Roman" w:hAnsi="Times New Roman"/>
        </w:rPr>
      </w:pPr>
    </w:p>
    <w:p w:rsidR="00157669" w:rsidRPr="003648DA" w:rsidRDefault="00DF0AED" w:rsidP="00886B99">
      <w:pPr>
        <w:pStyle w:val="ListParagraph"/>
        <w:widowControl w:val="0"/>
        <w:numPr>
          <w:ilvl w:val="0"/>
          <w:numId w:val="2"/>
        </w:numPr>
      </w:pPr>
      <w:r w:rsidRPr="003648DA">
        <w:rPr>
          <w:b/>
        </w:rPr>
        <w:t xml:space="preserve">The </w:t>
      </w:r>
      <w:r w:rsidR="00630F60">
        <w:rPr>
          <w:b/>
        </w:rPr>
        <w:t xml:space="preserve">New Rent Rules </w:t>
      </w:r>
      <w:r w:rsidRPr="003648DA">
        <w:rPr>
          <w:b/>
        </w:rPr>
        <w:t>G</w:t>
      </w:r>
      <w:r w:rsidR="00157669" w:rsidRPr="003648DA">
        <w:rPr>
          <w:b/>
        </w:rPr>
        <w:t>roup</w:t>
      </w:r>
      <w:r w:rsidR="00157669" w:rsidRPr="003648DA">
        <w:t xml:space="preserve">. These individuals </w:t>
      </w:r>
      <w:r w:rsidR="00C670B5" w:rsidRPr="003648DA">
        <w:t xml:space="preserve">have their rent calculated according to the Rent Reform framework adopted by the </w:t>
      </w:r>
      <w:r w:rsidR="0051255A">
        <w:t>P</w:t>
      </w:r>
      <w:r w:rsidR="00C670B5" w:rsidRPr="003648DA">
        <w:t xml:space="preserve">HA, which includes that TTP is based on </w:t>
      </w:r>
      <w:r w:rsidR="006635F1">
        <w:t>2</w:t>
      </w:r>
      <w:r w:rsidR="00C30C47">
        <w:t>8</w:t>
      </w:r>
      <w:r w:rsidR="006635F1">
        <w:t xml:space="preserve"> percent </w:t>
      </w:r>
      <w:r w:rsidR="00C30C47">
        <w:t xml:space="preserve">of </w:t>
      </w:r>
      <w:r w:rsidR="00C670B5" w:rsidRPr="003648DA">
        <w:t>gross income, minimum rent instituted, a simplified utilities policy, and a 3-year recertification period</w:t>
      </w:r>
      <w:r w:rsidR="00157669" w:rsidRPr="003648DA">
        <w:t>.</w:t>
      </w:r>
    </w:p>
    <w:p w:rsidR="00157669" w:rsidRPr="003648DA" w:rsidRDefault="00157669" w:rsidP="00886B99">
      <w:pPr>
        <w:pStyle w:val="ListParagraph"/>
        <w:widowControl w:val="0"/>
      </w:pPr>
    </w:p>
    <w:p w:rsidR="00157669" w:rsidRPr="003648DA" w:rsidRDefault="00DF0AED" w:rsidP="00886B99">
      <w:pPr>
        <w:pStyle w:val="ListParagraph"/>
        <w:widowControl w:val="0"/>
        <w:numPr>
          <w:ilvl w:val="0"/>
          <w:numId w:val="2"/>
        </w:numPr>
      </w:pPr>
      <w:r w:rsidRPr="003648DA">
        <w:rPr>
          <w:b/>
        </w:rPr>
        <w:t xml:space="preserve">The </w:t>
      </w:r>
      <w:r w:rsidR="00B25232">
        <w:rPr>
          <w:b/>
        </w:rPr>
        <w:t>Existing</w:t>
      </w:r>
      <w:r w:rsidR="00630F60">
        <w:rPr>
          <w:b/>
        </w:rPr>
        <w:t xml:space="preserve"> Rent Rules </w:t>
      </w:r>
      <w:r w:rsidR="000E1245">
        <w:rPr>
          <w:b/>
        </w:rPr>
        <w:t>Group (or C</w:t>
      </w:r>
      <w:r w:rsidR="00157669" w:rsidRPr="003648DA">
        <w:rPr>
          <w:b/>
        </w:rPr>
        <w:t xml:space="preserve">ontrol </w:t>
      </w:r>
      <w:r w:rsidRPr="003648DA">
        <w:rPr>
          <w:b/>
        </w:rPr>
        <w:t>G</w:t>
      </w:r>
      <w:r w:rsidR="00157669" w:rsidRPr="003648DA">
        <w:rPr>
          <w:b/>
        </w:rPr>
        <w:t>roup</w:t>
      </w:r>
      <w:r w:rsidR="000E1245">
        <w:rPr>
          <w:b/>
        </w:rPr>
        <w:t>)</w:t>
      </w:r>
      <w:r w:rsidR="00157669" w:rsidRPr="003648DA">
        <w:t xml:space="preserve">. These individuals </w:t>
      </w:r>
      <w:r w:rsidR="0051255A">
        <w:t xml:space="preserve">are </w:t>
      </w:r>
      <w:r w:rsidR="00C670B5" w:rsidRPr="003648DA">
        <w:t xml:space="preserve">subject to the existing rent rules for </w:t>
      </w:r>
      <w:r w:rsidR="00AE23B6" w:rsidRPr="003648DA">
        <w:t>the</w:t>
      </w:r>
      <w:r w:rsidR="00575F9A" w:rsidRPr="003648DA">
        <w:t xml:space="preserve"> duration of the demonstration</w:t>
      </w:r>
      <w:r w:rsidR="00DB24FE" w:rsidRPr="003648DA">
        <w:t xml:space="preserve">, </w:t>
      </w:r>
      <w:r w:rsidR="00DB24FE" w:rsidRPr="001E1B99">
        <w:t xml:space="preserve">for </w:t>
      </w:r>
      <w:r w:rsidR="00165A8D">
        <w:t>up to</w:t>
      </w:r>
      <w:r w:rsidR="00DB24FE" w:rsidRPr="001E1B99">
        <w:t xml:space="preserve"> </w:t>
      </w:r>
      <w:r w:rsidR="00594AE7">
        <w:t>six</w:t>
      </w:r>
      <w:r w:rsidR="00594AE7" w:rsidRPr="001E1B99">
        <w:t xml:space="preserve"> </w:t>
      </w:r>
      <w:r w:rsidR="00DB24FE" w:rsidRPr="001E1B99">
        <w:t xml:space="preserve">years, </w:t>
      </w:r>
      <w:r w:rsidR="0078775E" w:rsidRPr="001E1B99">
        <w:t xml:space="preserve">into the second recertification period. </w:t>
      </w:r>
      <w:r w:rsidRPr="001E1B99">
        <w:t xml:space="preserve"> </w:t>
      </w:r>
      <w:r w:rsidR="0057397F" w:rsidRPr="001E1B99">
        <w:t xml:space="preserve"> </w:t>
      </w:r>
    </w:p>
    <w:p w:rsidR="00157669" w:rsidRPr="003648DA" w:rsidRDefault="00157669" w:rsidP="00886B99">
      <w:pPr>
        <w:widowControl w:val="0"/>
        <w:spacing w:line="240" w:lineRule="auto"/>
        <w:ind w:firstLine="720"/>
        <w:jc w:val="left"/>
        <w:rPr>
          <w:rFonts w:ascii="Times New Roman" w:hAnsi="Times New Roman"/>
        </w:rPr>
      </w:pPr>
    </w:p>
    <w:p w:rsidR="00DF0AED" w:rsidRPr="003648DA" w:rsidRDefault="00125E0F" w:rsidP="00886B99">
      <w:pPr>
        <w:widowControl w:val="0"/>
        <w:spacing w:line="240" w:lineRule="auto"/>
        <w:ind w:firstLine="0"/>
        <w:jc w:val="left"/>
        <w:rPr>
          <w:rFonts w:ascii="Times New Roman" w:hAnsi="Times New Roman"/>
        </w:rPr>
      </w:pPr>
      <w:r w:rsidRPr="003648DA">
        <w:rPr>
          <w:rFonts w:ascii="Times New Roman" w:hAnsi="Times New Roman"/>
        </w:rPr>
        <w:t xml:space="preserve">Eligible households </w:t>
      </w:r>
      <w:r w:rsidR="00AE1800">
        <w:rPr>
          <w:rFonts w:ascii="Times New Roman" w:hAnsi="Times New Roman"/>
        </w:rPr>
        <w:t>are</w:t>
      </w:r>
      <w:r w:rsidRPr="003648DA">
        <w:rPr>
          <w:rFonts w:ascii="Times New Roman" w:hAnsi="Times New Roman"/>
        </w:rPr>
        <w:t xml:space="preserve"> informed about the study and </w:t>
      </w:r>
      <w:r w:rsidR="00AD48AD">
        <w:rPr>
          <w:rFonts w:ascii="Times New Roman" w:hAnsi="Times New Roman"/>
        </w:rPr>
        <w:t>the study withdrawal</w:t>
      </w:r>
      <w:r w:rsidRPr="003648DA">
        <w:rPr>
          <w:rFonts w:ascii="Times New Roman" w:hAnsi="Times New Roman"/>
        </w:rPr>
        <w:t xml:space="preserve"> procedures at their regularly scheduled recertification meeting</w:t>
      </w:r>
      <w:r w:rsidR="0051255A">
        <w:rPr>
          <w:rFonts w:ascii="Times New Roman" w:hAnsi="Times New Roman"/>
        </w:rPr>
        <w:t xml:space="preserve">. </w:t>
      </w:r>
      <w:r w:rsidR="00DF0AED" w:rsidRPr="003648DA">
        <w:rPr>
          <w:rFonts w:ascii="Times New Roman" w:hAnsi="Times New Roman"/>
        </w:rPr>
        <w:t xml:space="preserve">As discussed in Supporting Statement </w:t>
      </w:r>
      <w:proofErr w:type="gramStart"/>
      <w:r w:rsidR="00DF0AED" w:rsidRPr="003648DA">
        <w:rPr>
          <w:rFonts w:ascii="Times New Roman" w:hAnsi="Times New Roman"/>
        </w:rPr>
        <w:t>A</w:t>
      </w:r>
      <w:proofErr w:type="gramEnd"/>
      <w:r w:rsidR="00DF0AED" w:rsidRPr="003648DA">
        <w:rPr>
          <w:rFonts w:ascii="Times New Roman" w:hAnsi="Times New Roman"/>
        </w:rPr>
        <w:t>, h</w:t>
      </w:r>
      <w:r w:rsidRPr="003648DA">
        <w:rPr>
          <w:rFonts w:ascii="Times New Roman" w:hAnsi="Times New Roman"/>
        </w:rPr>
        <w:t xml:space="preserve">ouseholds </w:t>
      </w:r>
      <w:r w:rsidR="00AE1800">
        <w:rPr>
          <w:rFonts w:ascii="Times New Roman" w:hAnsi="Times New Roman"/>
        </w:rPr>
        <w:t>are</w:t>
      </w:r>
      <w:r w:rsidRPr="003648DA">
        <w:rPr>
          <w:rFonts w:ascii="Times New Roman" w:hAnsi="Times New Roman"/>
        </w:rPr>
        <w:t xml:space="preserve"> asked to </w:t>
      </w:r>
      <w:r w:rsidR="00157669" w:rsidRPr="003648DA">
        <w:rPr>
          <w:rFonts w:ascii="Times New Roman" w:hAnsi="Times New Roman"/>
        </w:rPr>
        <w:t>complete the B</w:t>
      </w:r>
      <w:r w:rsidR="00DF0AED" w:rsidRPr="003648DA">
        <w:rPr>
          <w:rFonts w:ascii="Times New Roman" w:hAnsi="Times New Roman"/>
        </w:rPr>
        <w:t xml:space="preserve">aseline </w:t>
      </w:r>
      <w:r w:rsidR="00157669" w:rsidRPr="003648DA">
        <w:rPr>
          <w:rFonts w:ascii="Times New Roman" w:hAnsi="Times New Roman"/>
        </w:rPr>
        <w:t>I</w:t>
      </w:r>
      <w:r w:rsidR="00DF0AED" w:rsidRPr="003648DA">
        <w:rPr>
          <w:rFonts w:ascii="Times New Roman" w:hAnsi="Times New Roman"/>
        </w:rPr>
        <w:t xml:space="preserve">nformation </w:t>
      </w:r>
      <w:r w:rsidR="00157669" w:rsidRPr="003648DA">
        <w:rPr>
          <w:rFonts w:ascii="Times New Roman" w:hAnsi="Times New Roman"/>
        </w:rPr>
        <w:t>F</w:t>
      </w:r>
      <w:r w:rsidR="00DF0AED" w:rsidRPr="003648DA">
        <w:rPr>
          <w:rFonts w:ascii="Times New Roman" w:hAnsi="Times New Roman"/>
        </w:rPr>
        <w:t>orm (BIF)</w:t>
      </w:r>
      <w:r w:rsidRPr="003648DA">
        <w:rPr>
          <w:rFonts w:ascii="Times New Roman" w:hAnsi="Times New Roman"/>
        </w:rPr>
        <w:t xml:space="preserve"> and </w:t>
      </w:r>
      <w:r w:rsidR="00DF0AED" w:rsidRPr="003648DA">
        <w:rPr>
          <w:rFonts w:ascii="Times New Roman" w:hAnsi="Times New Roman"/>
        </w:rPr>
        <w:t xml:space="preserve">will be </w:t>
      </w:r>
      <w:r w:rsidRPr="003648DA">
        <w:rPr>
          <w:rFonts w:ascii="Times New Roman" w:hAnsi="Times New Roman"/>
        </w:rPr>
        <w:t>offered a small incentive for completing the BIF</w:t>
      </w:r>
      <w:r w:rsidR="00157669" w:rsidRPr="003648DA">
        <w:rPr>
          <w:rFonts w:ascii="Times New Roman" w:hAnsi="Times New Roman"/>
        </w:rPr>
        <w:t xml:space="preserve">. </w:t>
      </w:r>
    </w:p>
    <w:p w:rsidR="00DF0AED" w:rsidRPr="003648DA" w:rsidRDefault="00DF0AED" w:rsidP="00886B99">
      <w:pPr>
        <w:widowControl w:val="0"/>
        <w:spacing w:line="240" w:lineRule="auto"/>
        <w:ind w:firstLine="0"/>
        <w:jc w:val="left"/>
        <w:rPr>
          <w:rFonts w:ascii="Times New Roman" w:hAnsi="Times New Roman"/>
        </w:rPr>
      </w:pPr>
    </w:p>
    <w:p w:rsidR="00FE0842" w:rsidRDefault="00AE1800" w:rsidP="00886B99">
      <w:pPr>
        <w:widowControl w:val="0"/>
        <w:spacing w:line="240" w:lineRule="auto"/>
        <w:ind w:firstLine="0"/>
        <w:jc w:val="left"/>
        <w:rPr>
          <w:rFonts w:ascii="Times New Roman" w:hAnsi="Times New Roman"/>
        </w:rPr>
      </w:pPr>
      <w:r>
        <w:rPr>
          <w:rFonts w:ascii="Times New Roman" w:hAnsi="Times New Roman"/>
        </w:rPr>
        <w:t>P</w:t>
      </w:r>
      <w:r w:rsidR="00157669" w:rsidRPr="003648DA">
        <w:rPr>
          <w:rFonts w:ascii="Times New Roman" w:hAnsi="Times New Roman"/>
        </w:rPr>
        <w:t xml:space="preserve">articipants randomly selected </w:t>
      </w:r>
      <w:r w:rsidR="00DF0AED" w:rsidRPr="003648DA">
        <w:rPr>
          <w:rFonts w:ascii="Times New Roman" w:hAnsi="Times New Roman"/>
        </w:rPr>
        <w:t xml:space="preserve">to </w:t>
      </w:r>
      <w:r w:rsidR="009A2FC9" w:rsidRPr="003648DA">
        <w:rPr>
          <w:rFonts w:ascii="Times New Roman" w:hAnsi="Times New Roman"/>
        </w:rPr>
        <w:t xml:space="preserve">each group proceed with their usual recertification meeting </w:t>
      </w:r>
      <w:r w:rsidR="0078775E" w:rsidRPr="003648DA">
        <w:rPr>
          <w:rFonts w:ascii="Times New Roman" w:hAnsi="Times New Roman"/>
        </w:rPr>
        <w:t>(or at a specially scheduled meeting)</w:t>
      </w:r>
      <w:r w:rsidR="0059020A">
        <w:rPr>
          <w:rFonts w:ascii="Times New Roman" w:hAnsi="Times New Roman"/>
        </w:rPr>
        <w:t>.</w:t>
      </w:r>
      <w:r w:rsidR="009A2FC9" w:rsidRPr="003648DA">
        <w:rPr>
          <w:rFonts w:ascii="Times New Roman" w:hAnsi="Times New Roman"/>
        </w:rPr>
        <w:t xml:space="preserve"> </w:t>
      </w:r>
      <w:r w:rsidR="00163339">
        <w:rPr>
          <w:rFonts w:ascii="Times New Roman" w:hAnsi="Times New Roman"/>
        </w:rPr>
        <w:t>Housing subsidy specialist</w:t>
      </w:r>
      <w:r w:rsidR="003D7DBA">
        <w:rPr>
          <w:rFonts w:ascii="Times New Roman" w:hAnsi="Times New Roman"/>
        </w:rPr>
        <w:t>s</w:t>
      </w:r>
      <w:r w:rsidR="00163339">
        <w:rPr>
          <w:rFonts w:ascii="Times New Roman" w:hAnsi="Times New Roman"/>
        </w:rPr>
        <w:t xml:space="preserve"> </w:t>
      </w:r>
      <w:r w:rsidR="009A2FC9" w:rsidRPr="003648DA">
        <w:rPr>
          <w:rFonts w:ascii="Times New Roman" w:hAnsi="Times New Roman"/>
        </w:rPr>
        <w:t xml:space="preserve">explain to the </w:t>
      </w:r>
      <w:r w:rsidR="00630F60">
        <w:rPr>
          <w:rFonts w:ascii="Times New Roman" w:hAnsi="Times New Roman"/>
        </w:rPr>
        <w:t>New Rent Rules</w:t>
      </w:r>
      <w:r w:rsidR="009A2FC9" w:rsidRPr="003648DA">
        <w:rPr>
          <w:rFonts w:ascii="Times New Roman" w:hAnsi="Times New Roman"/>
        </w:rPr>
        <w:t xml:space="preserve"> group that the new longer recertification period allows them to increase their earnings without </w:t>
      </w:r>
      <w:r w:rsidR="006635F1">
        <w:rPr>
          <w:rFonts w:ascii="Times New Roman" w:hAnsi="Times New Roman"/>
        </w:rPr>
        <w:t xml:space="preserve">their </w:t>
      </w:r>
      <w:r w:rsidR="009A2FC9" w:rsidRPr="003648DA">
        <w:rPr>
          <w:rFonts w:ascii="Times New Roman" w:hAnsi="Times New Roman"/>
        </w:rPr>
        <w:t xml:space="preserve">TTP increasing and explain under what circumstances they will be eligible for an interim </w:t>
      </w:r>
      <w:r w:rsidR="009A2FC9" w:rsidRPr="003648DA">
        <w:rPr>
          <w:rFonts w:ascii="Times New Roman" w:hAnsi="Times New Roman"/>
        </w:rPr>
        <w:lastRenderedPageBreak/>
        <w:t>recertification</w:t>
      </w:r>
      <w:r w:rsidR="006635F1">
        <w:rPr>
          <w:rFonts w:ascii="Times New Roman" w:hAnsi="Times New Roman"/>
        </w:rPr>
        <w:t xml:space="preserve"> and the PHA’s hardship policy</w:t>
      </w:r>
      <w:r w:rsidR="009A2FC9" w:rsidRPr="003648DA">
        <w:rPr>
          <w:rFonts w:ascii="Times New Roman" w:hAnsi="Times New Roman"/>
        </w:rPr>
        <w:t xml:space="preserve">. </w:t>
      </w:r>
      <w:r w:rsidR="00163339">
        <w:rPr>
          <w:rFonts w:ascii="Times New Roman" w:hAnsi="Times New Roman"/>
        </w:rPr>
        <w:t>This discussion also touch</w:t>
      </w:r>
      <w:r w:rsidR="00FE0842">
        <w:rPr>
          <w:rFonts w:ascii="Times New Roman" w:hAnsi="Times New Roman"/>
        </w:rPr>
        <w:t>es</w:t>
      </w:r>
      <w:r w:rsidR="00163339">
        <w:rPr>
          <w:rFonts w:ascii="Times New Roman" w:hAnsi="Times New Roman"/>
        </w:rPr>
        <w:t xml:space="preserve"> on the other features of the new rent policy</w:t>
      </w:r>
      <w:r w:rsidR="00FE0842">
        <w:rPr>
          <w:rFonts w:ascii="Times New Roman" w:hAnsi="Times New Roman"/>
        </w:rPr>
        <w:t xml:space="preserve">.  </w:t>
      </w:r>
      <w:r w:rsidR="009A2FC9" w:rsidRPr="003648DA">
        <w:rPr>
          <w:rFonts w:ascii="Times New Roman" w:hAnsi="Times New Roman"/>
        </w:rPr>
        <w:t xml:space="preserve">The control group will still need to report changes in income as specified in the current </w:t>
      </w:r>
      <w:r w:rsidR="0051255A">
        <w:rPr>
          <w:rFonts w:ascii="Times New Roman" w:hAnsi="Times New Roman"/>
        </w:rPr>
        <w:t>P</w:t>
      </w:r>
      <w:r w:rsidR="009A2FC9" w:rsidRPr="003648DA">
        <w:rPr>
          <w:rFonts w:ascii="Times New Roman" w:hAnsi="Times New Roman"/>
        </w:rPr>
        <w:t xml:space="preserve">HA procedures. </w:t>
      </w:r>
    </w:p>
    <w:p w:rsidR="00FE0842" w:rsidRDefault="00FE0842" w:rsidP="003648DA">
      <w:pPr>
        <w:widowControl w:val="0"/>
        <w:spacing w:line="240" w:lineRule="auto"/>
        <w:ind w:firstLine="0"/>
        <w:jc w:val="left"/>
        <w:rPr>
          <w:rFonts w:ascii="Times New Roman" w:hAnsi="Times New Roman"/>
        </w:rPr>
      </w:pPr>
    </w:p>
    <w:p w:rsidR="00025732" w:rsidRPr="003648DA" w:rsidRDefault="00FE0842" w:rsidP="003648DA">
      <w:pPr>
        <w:widowControl w:val="0"/>
        <w:spacing w:line="240" w:lineRule="auto"/>
        <w:ind w:firstLine="0"/>
        <w:jc w:val="left"/>
        <w:rPr>
          <w:rFonts w:ascii="Times New Roman" w:hAnsi="Times New Roman"/>
        </w:rPr>
      </w:pPr>
      <w:r>
        <w:rPr>
          <w:rFonts w:ascii="Times New Roman" w:hAnsi="Times New Roman"/>
        </w:rPr>
        <w:t>In three sites,</w:t>
      </w:r>
      <w:r w:rsidR="00157669" w:rsidRPr="003648DA">
        <w:rPr>
          <w:rFonts w:ascii="Times New Roman" w:hAnsi="Times New Roman"/>
        </w:rPr>
        <w:t xml:space="preserve"> random assignment</w:t>
      </w:r>
      <w:r>
        <w:rPr>
          <w:rFonts w:ascii="Times New Roman" w:hAnsi="Times New Roman"/>
        </w:rPr>
        <w:t xml:space="preserve"> is built</w:t>
      </w:r>
      <w:r w:rsidR="00157669" w:rsidRPr="003648DA">
        <w:rPr>
          <w:rFonts w:ascii="Times New Roman" w:hAnsi="Times New Roman"/>
        </w:rPr>
        <w:t xml:space="preserve"> into </w:t>
      </w:r>
      <w:r w:rsidR="0033767F">
        <w:rPr>
          <w:rFonts w:ascii="Times New Roman" w:hAnsi="Times New Roman"/>
        </w:rPr>
        <w:t>the PHAs’</w:t>
      </w:r>
      <w:r w:rsidR="00157669" w:rsidRPr="003648DA">
        <w:rPr>
          <w:rFonts w:ascii="Times New Roman" w:hAnsi="Times New Roman"/>
        </w:rPr>
        <w:t xml:space="preserve"> automated systems</w:t>
      </w:r>
      <w:r>
        <w:rPr>
          <w:rFonts w:ascii="Times New Roman" w:hAnsi="Times New Roman"/>
        </w:rPr>
        <w:t xml:space="preserve"> and therefore minimizes disruptions to their normal work routines.  In the fourth site (DCHA), </w:t>
      </w:r>
      <w:r w:rsidR="009A2FC9" w:rsidRPr="003648DA">
        <w:rPr>
          <w:rFonts w:ascii="Times New Roman" w:hAnsi="Times New Roman"/>
        </w:rPr>
        <w:t>MDRC</w:t>
      </w:r>
      <w:r>
        <w:rPr>
          <w:rFonts w:ascii="Times New Roman" w:hAnsi="Times New Roman"/>
        </w:rPr>
        <w:t xml:space="preserve"> is</w:t>
      </w:r>
      <w:r w:rsidR="009A2FC9" w:rsidRPr="003648DA">
        <w:rPr>
          <w:rFonts w:ascii="Times New Roman" w:hAnsi="Times New Roman"/>
        </w:rPr>
        <w:t xml:space="preserve"> conducting random assignment </w:t>
      </w:r>
      <w:r>
        <w:rPr>
          <w:rFonts w:ascii="Times New Roman" w:hAnsi="Times New Roman"/>
        </w:rPr>
        <w:t xml:space="preserve">in two batches </w:t>
      </w:r>
      <w:r w:rsidR="009A2FC9" w:rsidRPr="003648DA">
        <w:rPr>
          <w:rFonts w:ascii="Times New Roman" w:hAnsi="Times New Roman"/>
        </w:rPr>
        <w:t>in advance for those households approaching recertification</w:t>
      </w:r>
      <w:r>
        <w:rPr>
          <w:rFonts w:ascii="Times New Roman" w:hAnsi="Times New Roman"/>
        </w:rPr>
        <w:t>.</w:t>
      </w:r>
      <w:r w:rsidDel="00FE0842">
        <w:rPr>
          <w:rFonts w:ascii="Times New Roman" w:hAnsi="Times New Roman"/>
        </w:rPr>
        <w:t xml:space="preserve"> </w:t>
      </w:r>
      <w:r w:rsidR="00157669" w:rsidRPr="003648DA">
        <w:rPr>
          <w:rFonts w:ascii="Times New Roman" w:hAnsi="Times New Roman"/>
        </w:rPr>
        <w:t>Once a</w:t>
      </w:r>
      <w:r w:rsidR="006635F1">
        <w:rPr>
          <w:rFonts w:ascii="Times New Roman" w:hAnsi="Times New Roman"/>
        </w:rPr>
        <w:t>n</w:t>
      </w:r>
      <w:r w:rsidR="00157669" w:rsidRPr="003648DA">
        <w:rPr>
          <w:rFonts w:ascii="Times New Roman" w:hAnsi="Times New Roman"/>
        </w:rPr>
        <w:t xml:space="preserve"> </w:t>
      </w:r>
      <w:r w:rsidR="006635F1">
        <w:rPr>
          <w:rFonts w:ascii="Times New Roman" w:hAnsi="Times New Roman"/>
        </w:rPr>
        <w:t>HCV</w:t>
      </w:r>
      <w:r w:rsidR="006635F1" w:rsidRPr="003648DA">
        <w:rPr>
          <w:rFonts w:ascii="Times New Roman" w:hAnsi="Times New Roman"/>
        </w:rPr>
        <w:t xml:space="preserve"> </w:t>
      </w:r>
      <w:r w:rsidR="00DF0AED" w:rsidRPr="003648DA">
        <w:rPr>
          <w:rFonts w:ascii="Times New Roman" w:hAnsi="Times New Roman"/>
        </w:rPr>
        <w:t>household</w:t>
      </w:r>
      <w:r w:rsidR="00157669" w:rsidRPr="003648DA">
        <w:rPr>
          <w:rStyle w:val="FootnoteReference"/>
          <w:rFonts w:ascii="Times New Roman" w:hAnsi="Times New Roman"/>
        </w:rPr>
        <w:footnoteReference w:id="2"/>
      </w:r>
      <w:r w:rsidR="00157669" w:rsidRPr="003648DA">
        <w:rPr>
          <w:rFonts w:ascii="Times New Roman" w:hAnsi="Times New Roman"/>
        </w:rPr>
        <w:t xml:space="preserve"> </w:t>
      </w:r>
      <w:r w:rsidR="00AE2365">
        <w:rPr>
          <w:rFonts w:ascii="Times New Roman" w:hAnsi="Times New Roman"/>
        </w:rPr>
        <w:t>is</w:t>
      </w:r>
      <w:r w:rsidR="00157669" w:rsidRPr="003648DA">
        <w:rPr>
          <w:rFonts w:ascii="Times New Roman" w:hAnsi="Times New Roman"/>
        </w:rPr>
        <w:t xml:space="preserve"> assigned to the program group, </w:t>
      </w:r>
      <w:r w:rsidR="006635F1">
        <w:rPr>
          <w:rFonts w:ascii="Times New Roman" w:hAnsi="Times New Roman"/>
        </w:rPr>
        <w:t>they</w:t>
      </w:r>
      <w:r w:rsidR="006635F1" w:rsidRPr="003648DA">
        <w:rPr>
          <w:rFonts w:ascii="Times New Roman" w:hAnsi="Times New Roman"/>
        </w:rPr>
        <w:t xml:space="preserve"> </w:t>
      </w:r>
      <w:r w:rsidR="00AE2365">
        <w:rPr>
          <w:rFonts w:ascii="Times New Roman" w:hAnsi="Times New Roman"/>
        </w:rPr>
        <w:t>are</w:t>
      </w:r>
      <w:r w:rsidR="00157669" w:rsidRPr="003648DA">
        <w:rPr>
          <w:rFonts w:ascii="Times New Roman" w:hAnsi="Times New Roman"/>
        </w:rPr>
        <w:t xml:space="preserve"> provided with information about their respective </w:t>
      </w:r>
      <w:r w:rsidR="00163339">
        <w:rPr>
          <w:rFonts w:ascii="Times New Roman" w:hAnsi="Times New Roman"/>
        </w:rPr>
        <w:t xml:space="preserve">rent policies. </w:t>
      </w:r>
      <w:r w:rsidR="00157669" w:rsidRPr="003648DA">
        <w:rPr>
          <w:rFonts w:ascii="Times New Roman" w:hAnsi="Times New Roman"/>
        </w:rPr>
        <w:t xml:space="preserve"> MDRC work</w:t>
      </w:r>
      <w:r w:rsidR="00AE2365">
        <w:rPr>
          <w:rFonts w:ascii="Times New Roman" w:hAnsi="Times New Roman"/>
        </w:rPr>
        <w:t>ed</w:t>
      </w:r>
      <w:r w:rsidR="00157669" w:rsidRPr="003648DA">
        <w:rPr>
          <w:rFonts w:ascii="Times New Roman" w:hAnsi="Times New Roman"/>
        </w:rPr>
        <w:t xml:space="preserve"> with the </w:t>
      </w:r>
      <w:r w:rsidR="006635F1">
        <w:rPr>
          <w:rFonts w:ascii="Times New Roman" w:hAnsi="Times New Roman"/>
        </w:rPr>
        <w:t>P</w:t>
      </w:r>
      <w:r w:rsidR="00492127" w:rsidRPr="003648DA">
        <w:rPr>
          <w:rFonts w:ascii="Times New Roman" w:hAnsi="Times New Roman"/>
        </w:rPr>
        <w:t xml:space="preserve">HAs </w:t>
      </w:r>
      <w:r w:rsidR="00157669" w:rsidRPr="003648DA">
        <w:rPr>
          <w:rFonts w:ascii="Times New Roman" w:hAnsi="Times New Roman"/>
        </w:rPr>
        <w:t xml:space="preserve">to develop </w:t>
      </w:r>
      <w:r w:rsidR="00492127" w:rsidRPr="003648DA">
        <w:rPr>
          <w:rFonts w:ascii="Times New Roman" w:hAnsi="Times New Roman"/>
        </w:rPr>
        <w:t xml:space="preserve">materials that discuss </w:t>
      </w:r>
      <w:r w:rsidR="00D46A44">
        <w:rPr>
          <w:rFonts w:ascii="Times New Roman" w:hAnsi="Times New Roman"/>
        </w:rPr>
        <w:t>all the elements of the rent reform model,</w:t>
      </w:r>
      <w:r w:rsidR="00B92262" w:rsidRPr="003648DA">
        <w:rPr>
          <w:rFonts w:ascii="Times New Roman" w:hAnsi="Times New Roman"/>
        </w:rPr>
        <w:t xml:space="preserve"> as well as methods to communicate </w:t>
      </w:r>
      <w:r w:rsidR="00583D34">
        <w:rPr>
          <w:rFonts w:ascii="Times New Roman" w:hAnsi="Times New Roman"/>
        </w:rPr>
        <w:t xml:space="preserve">to households </w:t>
      </w:r>
      <w:r w:rsidR="00B92262" w:rsidRPr="003648DA">
        <w:rPr>
          <w:rFonts w:ascii="Times New Roman" w:hAnsi="Times New Roman"/>
        </w:rPr>
        <w:t>the benefits of the longer recertification period</w:t>
      </w:r>
      <w:r w:rsidR="0078775E" w:rsidRPr="003648DA">
        <w:rPr>
          <w:rFonts w:ascii="Times New Roman" w:hAnsi="Times New Roman"/>
        </w:rPr>
        <w:t xml:space="preserve"> in allowing them to keep more of their earnings</w:t>
      </w:r>
      <w:r w:rsidR="00B92262" w:rsidRPr="003648DA">
        <w:rPr>
          <w:rFonts w:ascii="Times New Roman" w:hAnsi="Times New Roman"/>
        </w:rPr>
        <w:t xml:space="preserve">. </w:t>
      </w:r>
      <w:r w:rsidR="00157669" w:rsidRPr="003648DA">
        <w:rPr>
          <w:rFonts w:ascii="Times New Roman" w:hAnsi="Times New Roman"/>
        </w:rPr>
        <w:t xml:space="preserve">Families in the control group </w:t>
      </w:r>
      <w:r w:rsidR="00AE2365">
        <w:rPr>
          <w:rFonts w:ascii="Times New Roman" w:hAnsi="Times New Roman"/>
        </w:rPr>
        <w:t>are</w:t>
      </w:r>
      <w:r w:rsidR="00157669" w:rsidRPr="003648DA">
        <w:rPr>
          <w:rFonts w:ascii="Times New Roman" w:hAnsi="Times New Roman"/>
        </w:rPr>
        <w:t xml:space="preserve"> provided with </w:t>
      </w:r>
      <w:r w:rsidR="00492127" w:rsidRPr="003648DA">
        <w:rPr>
          <w:rFonts w:ascii="Times New Roman" w:hAnsi="Times New Roman"/>
        </w:rPr>
        <w:t>the usual materials that they would receive at their recertification meeting</w:t>
      </w:r>
      <w:r w:rsidR="00B92262" w:rsidRPr="003648DA">
        <w:rPr>
          <w:rFonts w:ascii="Times New Roman" w:hAnsi="Times New Roman"/>
        </w:rPr>
        <w:t xml:space="preserve">, and </w:t>
      </w:r>
      <w:r w:rsidR="00AE2365">
        <w:rPr>
          <w:rFonts w:ascii="Times New Roman" w:hAnsi="Times New Roman"/>
        </w:rPr>
        <w:t>are</w:t>
      </w:r>
      <w:r w:rsidR="00B92262" w:rsidRPr="003648DA">
        <w:rPr>
          <w:rFonts w:ascii="Times New Roman" w:hAnsi="Times New Roman"/>
        </w:rPr>
        <w:t xml:space="preserve"> subject to the existing </w:t>
      </w:r>
      <w:r w:rsidR="006635F1">
        <w:rPr>
          <w:rFonts w:ascii="Times New Roman" w:hAnsi="Times New Roman"/>
        </w:rPr>
        <w:t>re</w:t>
      </w:r>
      <w:r w:rsidR="00B92262" w:rsidRPr="003648DA">
        <w:rPr>
          <w:rFonts w:ascii="Times New Roman" w:hAnsi="Times New Roman"/>
        </w:rPr>
        <w:t>certification schedule</w:t>
      </w:r>
      <w:r w:rsidR="00492127" w:rsidRPr="003648DA">
        <w:rPr>
          <w:rFonts w:ascii="Times New Roman" w:hAnsi="Times New Roman"/>
        </w:rPr>
        <w:t xml:space="preserve">. </w:t>
      </w:r>
      <w:r w:rsidR="00157669" w:rsidRPr="003648DA">
        <w:rPr>
          <w:rFonts w:ascii="Times New Roman" w:hAnsi="Times New Roman"/>
        </w:rPr>
        <w:t xml:space="preserve"> </w:t>
      </w:r>
    </w:p>
    <w:p w:rsidR="00291CFB" w:rsidRDefault="00291CFB" w:rsidP="003648DA">
      <w:pPr>
        <w:spacing w:after="240" w:line="240" w:lineRule="auto"/>
        <w:ind w:firstLine="0"/>
        <w:jc w:val="left"/>
        <w:rPr>
          <w:rFonts w:ascii="Arial" w:hAnsi="Arial" w:cs="Arial"/>
          <w:b/>
          <w:iCs/>
          <w:u w:val="single"/>
        </w:rPr>
      </w:pPr>
    </w:p>
    <w:p w:rsidR="00157669" w:rsidRPr="003648DA" w:rsidRDefault="00157669" w:rsidP="003648DA">
      <w:pPr>
        <w:spacing w:after="240" w:line="240" w:lineRule="auto"/>
        <w:ind w:firstLine="0"/>
        <w:jc w:val="left"/>
        <w:rPr>
          <w:rFonts w:ascii="Arial" w:hAnsi="Arial" w:cs="Arial"/>
          <w:b/>
          <w:iCs/>
          <w:u w:val="single"/>
        </w:rPr>
      </w:pPr>
      <w:r w:rsidRPr="003648DA">
        <w:rPr>
          <w:rFonts w:ascii="Arial" w:hAnsi="Arial" w:cs="Arial"/>
          <w:b/>
          <w:iCs/>
          <w:u w:val="single"/>
        </w:rPr>
        <w:t>Statistical Impact Analysis</w:t>
      </w:r>
    </w:p>
    <w:p w:rsidR="0067267A" w:rsidRDefault="00B25232" w:rsidP="003648DA">
      <w:pPr>
        <w:widowControl w:val="0"/>
        <w:spacing w:line="240" w:lineRule="auto"/>
        <w:ind w:firstLine="0"/>
        <w:jc w:val="left"/>
        <w:rPr>
          <w:rFonts w:ascii="Times New Roman" w:hAnsi="Times New Roman"/>
        </w:rPr>
      </w:pPr>
      <w:r>
        <w:rPr>
          <w:rFonts w:ascii="Times New Roman" w:hAnsi="Times New Roman"/>
        </w:rPr>
        <w:t>The core i</w:t>
      </w:r>
      <w:r w:rsidR="00157669" w:rsidRPr="003648DA">
        <w:rPr>
          <w:rFonts w:ascii="Times New Roman" w:hAnsi="Times New Roman"/>
        </w:rPr>
        <w:t>mpact analysis</w:t>
      </w:r>
      <w:r w:rsidR="0051255A">
        <w:rPr>
          <w:rFonts w:ascii="Times New Roman" w:hAnsi="Times New Roman"/>
        </w:rPr>
        <w:t xml:space="preserve">, which includes the full study sample, </w:t>
      </w:r>
      <w:r w:rsidR="00157669" w:rsidRPr="003648DA">
        <w:rPr>
          <w:rFonts w:ascii="Times New Roman" w:hAnsi="Times New Roman"/>
        </w:rPr>
        <w:t xml:space="preserve">will assess the overall and independent effects of the </w:t>
      </w:r>
      <w:r w:rsidR="00115253" w:rsidRPr="003648DA">
        <w:rPr>
          <w:rFonts w:ascii="Times New Roman" w:hAnsi="Times New Roman"/>
        </w:rPr>
        <w:t>Rent Reform</w:t>
      </w:r>
      <w:r w:rsidR="00C21C94" w:rsidRPr="003648DA">
        <w:rPr>
          <w:rFonts w:ascii="Times New Roman" w:hAnsi="Times New Roman"/>
        </w:rPr>
        <w:t xml:space="preserve"> </w:t>
      </w:r>
      <w:r>
        <w:rPr>
          <w:rFonts w:ascii="Times New Roman" w:hAnsi="Times New Roman"/>
        </w:rPr>
        <w:t>d</w:t>
      </w:r>
      <w:r w:rsidR="00115253" w:rsidRPr="003648DA">
        <w:rPr>
          <w:rFonts w:ascii="Times New Roman" w:hAnsi="Times New Roman"/>
        </w:rPr>
        <w:t xml:space="preserve">emonstration </w:t>
      </w:r>
      <w:r w:rsidR="00157669" w:rsidRPr="003648DA">
        <w:rPr>
          <w:rFonts w:ascii="Times New Roman" w:hAnsi="Times New Roman"/>
        </w:rPr>
        <w:t>by comparing the key outcomes of th</w:t>
      </w:r>
      <w:r w:rsidR="00FA6DE9" w:rsidRPr="003648DA">
        <w:rPr>
          <w:rFonts w:ascii="Times New Roman" w:hAnsi="Times New Roman"/>
        </w:rPr>
        <w:t>e</w:t>
      </w:r>
      <w:r w:rsidR="00157669" w:rsidRPr="003648DA">
        <w:rPr>
          <w:rFonts w:ascii="Times New Roman" w:hAnsi="Times New Roman"/>
        </w:rPr>
        <w:t xml:space="preserve"> treatment group to the outcomes of the control group. </w:t>
      </w:r>
      <w:r w:rsidR="00157669" w:rsidRPr="00823C94">
        <w:rPr>
          <w:rFonts w:ascii="Times New Roman" w:hAnsi="Times New Roman"/>
        </w:rPr>
        <w:t xml:space="preserve">The study will track both the program and the control groups for </w:t>
      </w:r>
      <w:r w:rsidR="0067267A">
        <w:rPr>
          <w:rFonts w:ascii="Times New Roman" w:hAnsi="Times New Roman"/>
        </w:rPr>
        <w:t xml:space="preserve">the period of study, </w:t>
      </w:r>
      <w:r w:rsidR="00157669" w:rsidRPr="00823C94">
        <w:rPr>
          <w:rFonts w:ascii="Times New Roman" w:hAnsi="Times New Roman"/>
        </w:rPr>
        <w:t xml:space="preserve">using administrative </w:t>
      </w:r>
      <w:r w:rsidR="00142CE2">
        <w:rPr>
          <w:rFonts w:ascii="Times New Roman" w:hAnsi="Times New Roman"/>
        </w:rPr>
        <w:t xml:space="preserve">data </w:t>
      </w:r>
      <w:r w:rsidR="00157669" w:rsidRPr="00823C94">
        <w:rPr>
          <w:rFonts w:ascii="Times New Roman" w:hAnsi="Times New Roman"/>
        </w:rPr>
        <w:t>to measure outcomes.</w:t>
      </w:r>
      <w:r w:rsidR="00157669" w:rsidRPr="003648DA">
        <w:rPr>
          <w:rFonts w:ascii="Times New Roman" w:hAnsi="Times New Roman"/>
        </w:rPr>
        <w:t xml:space="preserve">  </w:t>
      </w:r>
    </w:p>
    <w:p w:rsidR="0067267A" w:rsidRPr="003648DA" w:rsidRDefault="0067267A" w:rsidP="003648DA">
      <w:pPr>
        <w:widowControl w:val="0"/>
        <w:spacing w:line="240" w:lineRule="auto"/>
        <w:ind w:firstLine="0"/>
        <w:jc w:val="left"/>
        <w:rPr>
          <w:rFonts w:ascii="Times New Roman" w:hAnsi="Times New Roman"/>
        </w:rPr>
      </w:pPr>
    </w:p>
    <w:p w:rsidR="00025732" w:rsidRPr="003648DA" w:rsidRDefault="00157669" w:rsidP="003648DA">
      <w:pPr>
        <w:spacing w:line="240" w:lineRule="auto"/>
        <w:ind w:firstLine="0"/>
        <w:jc w:val="left"/>
        <w:rPr>
          <w:rFonts w:ascii="Times New Roman" w:hAnsi="Times New Roman"/>
        </w:rPr>
      </w:pPr>
      <w:r w:rsidRPr="003648DA">
        <w:rPr>
          <w:rFonts w:ascii="Times New Roman" w:hAnsi="Times New Roman"/>
        </w:rPr>
        <w:t xml:space="preserve">The power of the experimental design for the </w:t>
      </w:r>
      <w:r w:rsidR="004E3926" w:rsidRPr="003648DA">
        <w:rPr>
          <w:rFonts w:ascii="Times New Roman" w:hAnsi="Times New Roman"/>
        </w:rPr>
        <w:t xml:space="preserve">Rent Reform </w:t>
      </w:r>
      <w:r w:rsidR="00B25232">
        <w:rPr>
          <w:rFonts w:ascii="Times New Roman" w:hAnsi="Times New Roman"/>
        </w:rPr>
        <w:t>d</w:t>
      </w:r>
      <w:r w:rsidR="00341925" w:rsidRPr="003648DA">
        <w:rPr>
          <w:rFonts w:ascii="Times New Roman" w:hAnsi="Times New Roman"/>
        </w:rPr>
        <w:t>emonstration</w:t>
      </w:r>
      <w:r w:rsidRPr="003648DA">
        <w:rPr>
          <w:rFonts w:ascii="Times New Roman" w:hAnsi="Times New Roman"/>
        </w:rPr>
        <w:t xml:space="preserve"> comes from the fact that random assignment ensures that the treatment and control groups are alike in all aspects of the distribution of observed and unobserved baseline and pre-baseline characteristics. As a result, any post-baseline differences between the two groups can be interpreted as effects of the intervention. </w:t>
      </w:r>
    </w:p>
    <w:p w:rsidR="00025732" w:rsidRPr="003648DA" w:rsidRDefault="00025732" w:rsidP="003648DA">
      <w:pPr>
        <w:spacing w:line="240" w:lineRule="auto"/>
        <w:jc w:val="left"/>
        <w:rPr>
          <w:rFonts w:ascii="Times New Roman" w:hAnsi="Times New Roman"/>
        </w:rPr>
      </w:pPr>
    </w:p>
    <w:p w:rsidR="00025732" w:rsidRPr="003648DA" w:rsidRDefault="00157669" w:rsidP="003648DA">
      <w:pPr>
        <w:spacing w:line="240" w:lineRule="auto"/>
        <w:ind w:firstLine="0"/>
        <w:jc w:val="left"/>
        <w:rPr>
          <w:rFonts w:ascii="Times New Roman" w:hAnsi="Times New Roman"/>
        </w:rPr>
      </w:pPr>
      <w:r w:rsidRPr="003648DA">
        <w:rPr>
          <w:rFonts w:ascii="Times New Roman" w:hAnsi="Times New Roman"/>
        </w:rPr>
        <w:t xml:space="preserve">Therefore, the basic estimation strategy is to compare average outcomes for the program and control groups. We will use regression adjustment to increase the power of statistical tests that are performed, in which the outcome, such as “employment during Year 1” is regressed on an indicator for program group status and a range of other background characteristics. </w:t>
      </w:r>
    </w:p>
    <w:p w:rsidR="00025732" w:rsidRPr="003648DA" w:rsidRDefault="00025732" w:rsidP="003648DA">
      <w:pPr>
        <w:spacing w:line="240" w:lineRule="auto"/>
        <w:ind w:firstLine="0"/>
        <w:jc w:val="left"/>
        <w:rPr>
          <w:rFonts w:ascii="Times New Roman" w:hAnsi="Times New Roman"/>
        </w:rPr>
      </w:pPr>
    </w:p>
    <w:p w:rsidR="00382B03" w:rsidRPr="003648DA" w:rsidRDefault="00382B03" w:rsidP="003648DA">
      <w:pPr>
        <w:autoSpaceDE w:val="0"/>
        <w:autoSpaceDN w:val="0"/>
        <w:adjustRightInd w:val="0"/>
        <w:spacing w:after="240" w:line="240" w:lineRule="auto"/>
        <w:ind w:firstLine="0"/>
        <w:jc w:val="left"/>
        <w:rPr>
          <w:rFonts w:ascii="Times New Roman" w:hAnsi="Times New Roman"/>
          <w:color w:val="000000"/>
        </w:rPr>
      </w:pPr>
      <w:r w:rsidRPr="003648DA">
        <w:rPr>
          <w:rFonts w:ascii="Times New Roman" w:hAnsi="Times New Roman"/>
          <w:color w:val="000000"/>
        </w:rPr>
        <w:t xml:space="preserve">The general form of the regression models which will be used to estimate program impacts is as follows:  </w:t>
      </w:r>
    </w:p>
    <w:p w:rsidR="00382B03" w:rsidRPr="003648DA" w:rsidRDefault="00382B03" w:rsidP="003648DA">
      <w:pPr>
        <w:autoSpaceDE w:val="0"/>
        <w:autoSpaceDN w:val="0"/>
        <w:adjustRightInd w:val="0"/>
        <w:spacing w:after="240" w:line="240" w:lineRule="auto"/>
        <w:ind w:firstLine="720"/>
        <w:jc w:val="left"/>
        <w:rPr>
          <w:rFonts w:ascii="Times New Roman" w:hAnsi="Times New Roman"/>
          <w:color w:val="000000"/>
        </w:rPr>
      </w:pPr>
      <w:r w:rsidRPr="003648DA">
        <w:rPr>
          <w:rFonts w:ascii="Times New Roman" w:hAnsi="Times New Roman"/>
          <w:i/>
          <w:iCs/>
          <w:color w:val="000000"/>
        </w:rPr>
        <w:t xml:space="preserve">Yi = α + βPi + </w:t>
      </w:r>
      <w:proofErr w:type="spellStart"/>
      <w:r w:rsidRPr="003648DA">
        <w:rPr>
          <w:rFonts w:ascii="Times New Roman" w:hAnsi="Times New Roman"/>
          <w:i/>
          <w:iCs/>
          <w:color w:val="000000"/>
        </w:rPr>
        <w:t>δXi</w:t>
      </w:r>
      <w:proofErr w:type="spellEnd"/>
      <w:r w:rsidRPr="003648DA">
        <w:rPr>
          <w:rFonts w:ascii="Times New Roman" w:hAnsi="Times New Roman"/>
          <w:i/>
          <w:iCs/>
          <w:color w:val="000000"/>
        </w:rPr>
        <w:t xml:space="preserve"> + </w:t>
      </w:r>
      <w:proofErr w:type="spellStart"/>
      <w:r w:rsidRPr="003648DA">
        <w:rPr>
          <w:rFonts w:ascii="Times New Roman" w:hAnsi="Times New Roman"/>
          <w:i/>
          <w:iCs/>
          <w:color w:val="000000"/>
        </w:rPr>
        <w:t>εi</w:t>
      </w:r>
      <w:proofErr w:type="spellEnd"/>
      <w:r w:rsidRPr="003648DA">
        <w:rPr>
          <w:rFonts w:ascii="Times New Roman" w:hAnsi="Times New Roman"/>
          <w:i/>
          <w:iCs/>
          <w:color w:val="000000"/>
        </w:rPr>
        <w:t xml:space="preserve"> </w:t>
      </w:r>
    </w:p>
    <w:p w:rsidR="00382B03" w:rsidRPr="003648DA" w:rsidRDefault="00382B03" w:rsidP="003648DA">
      <w:pPr>
        <w:autoSpaceDE w:val="0"/>
        <w:autoSpaceDN w:val="0"/>
        <w:adjustRightInd w:val="0"/>
        <w:spacing w:after="240" w:line="240" w:lineRule="auto"/>
        <w:ind w:firstLine="720"/>
        <w:jc w:val="left"/>
        <w:rPr>
          <w:rFonts w:ascii="Times New Roman" w:hAnsi="Times New Roman"/>
          <w:color w:val="000000"/>
        </w:rPr>
      </w:pPr>
      <w:proofErr w:type="gramStart"/>
      <w:r w:rsidRPr="003648DA">
        <w:rPr>
          <w:rFonts w:ascii="Times New Roman" w:hAnsi="Times New Roman"/>
          <w:color w:val="000000"/>
        </w:rPr>
        <w:t>where</w:t>
      </w:r>
      <w:proofErr w:type="gramEnd"/>
      <w:r w:rsidRPr="003648DA">
        <w:rPr>
          <w:rFonts w:ascii="Times New Roman" w:hAnsi="Times New Roman"/>
          <w:color w:val="000000"/>
        </w:rPr>
        <w:t xml:space="preserve"> </w:t>
      </w:r>
    </w:p>
    <w:p w:rsidR="00382B03" w:rsidRPr="003648DA" w:rsidRDefault="00382B03" w:rsidP="003648DA">
      <w:pPr>
        <w:autoSpaceDE w:val="0"/>
        <w:autoSpaceDN w:val="0"/>
        <w:adjustRightInd w:val="0"/>
        <w:spacing w:after="240" w:line="240" w:lineRule="auto"/>
        <w:ind w:firstLine="720"/>
        <w:jc w:val="left"/>
        <w:rPr>
          <w:rFonts w:ascii="Times New Roman" w:hAnsi="Times New Roman"/>
          <w:color w:val="000000"/>
        </w:rPr>
      </w:pPr>
      <w:r w:rsidRPr="003648DA">
        <w:rPr>
          <w:rFonts w:ascii="Times New Roman" w:hAnsi="Times New Roman"/>
          <w:i/>
          <w:color w:val="000000"/>
        </w:rPr>
        <w:t>Y</w:t>
      </w:r>
      <w:r w:rsidRPr="003648DA">
        <w:rPr>
          <w:rFonts w:ascii="Times New Roman" w:hAnsi="Times New Roman"/>
          <w:color w:val="000000"/>
          <w:vertAlign w:val="subscript"/>
        </w:rPr>
        <w:t>i</w:t>
      </w:r>
      <w:r w:rsidRPr="003648DA">
        <w:rPr>
          <w:rFonts w:ascii="Times New Roman" w:hAnsi="Times New Roman"/>
          <w:color w:val="000000"/>
        </w:rPr>
        <w:t xml:space="preserve"> is the outcome measure for sample member i; </w:t>
      </w:r>
    </w:p>
    <w:p w:rsidR="00382B03" w:rsidRPr="003648DA" w:rsidRDefault="00382B03" w:rsidP="003648DA">
      <w:pPr>
        <w:autoSpaceDE w:val="0"/>
        <w:autoSpaceDN w:val="0"/>
        <w:adjustRightInd w:val="0"/>
        <w:spacing w:after="240" w:line="240" w:lineRule="auto"/>
        <w:ind w:firstLine="720"/>
        <w:jc w:val="left"/>
        <w:rPr>
          <w:rFonts w:ascii="Times New Roman" w:hAnsi="Times New Roman"/>
          <w:color w:val="000000"/>
        </w:rPr>
      </w:pPr>
      <w:r w:rsidRPr="003648DA">
        <w:rPr>
          <w:rFonts w:ascii="Times New Roman" w:hAnsi="Times New Roman"/>
          <w:color w:val="000000"/>
        </w:rPr>
        <w:t>P</w:t>
      </w:r>
      <w:r w:rsidRPr="003648DA">
        <w:rPr>
          <w:rFonts w:ascii="Times New Roman" w:hAnsi="Times New Roman"/>
          <w:color w:val="000000"/>
          <w:vertAlign w:val="subscript"/>
        </w:rPr>
        <w:t>i</w:t>
      </w:r>
      <w:r w:rsidRPr="003648DA">
        <w:rPr>
          <w:rFonts w:ascii="Times New Roman" w:hAnsi="Times New Roman"/>
          <w:color w:val="000000"/>
        </w:rPr>
        <w:t xml:space="preserve"> equals one for program group members and zero for control group members; </w:t>
      </w:r>
    </w:p>
    <w:p w:rsidR="00382B03" w:rsidRPr="003648DA" w:rsidRDefault="00382B03" w:rsidP="003648DA">
      <w:pPr>
        <w:autoSpaceDE w:val="0"/>
        <w:autoSpaceDN w:val="0"/>
        <w:adjustRightInd w:val="0"/>
        <w:spacing w:after="240" w:line="240" w:lineRule="auto"/>
        <w:ind w:firstLine="720"/>
        <w:jc w:val="left"/>
        <w:rPr>
          <w:rFonts w:ascii="Times New Roman" w:hAnsi="Times New Roman"/>
          <w:color w:val="000000"/>
        </w:rPr>
      </w:pPr>
      <w:r w:rsidRPr="003648DA">
        <w:rPr>
          <w:rFonts w:ascii="Times New Roman" w:hAnsi="Times New Roman"/>
          <w:color w:val="000000"/>
        </w:rPr>
        <w:lastRenderedPageBreak/>
        <w:t>X</w:t>
      </w:r>
      <w:r w:rsidRPr="003648DA">
        <w:rPr>
          <w:rFonts w:ascii="Times New Roman" w:hAnsi="Times New Roman"/>
          <w:color w:val="000000"/>
          <w:vertAlign w:val="subscript"/>
        </w:rPr>
        <w:t>i</w:t>
      </w:r>
      <w:r w:rsidRPr="003648DA">
        <w:rPr>
          <w:rFonts w:ascii="Times New Roman" w:hAnsi="Times New Roman"/>
          <w:color w:val="000000"/>
        </w:rPr>
        <w:t xml:space="preserve"> is a set of background characteristics for sample member i; and </w:t>
      </w:r>
    </w:p>
    <w:p w:rsidR="00382B03" w:rsidRPr="003648DA" w:rsidRDefault="00382B03" w:rsidP="003648DA">
      <w:pPr>
        <w:autoSpaceDE w:val="0"/>
        <w:autoSpaceDN w:val="0"/>
        <w:adjustRightInd w:val="0"/>
        <w:spacing w:after="240" w:line="240" w:lineRule="auto"/>
        <w:ind w:firstLine="720"/>
        <w:jc w:val="left"/>
        <w:rPr>
          <w:rFonts w:ascii="Times New Roman" w:hAnsi="Times New Roman"/>
          <w:color w:val="000000"/>
        </w:rPr>
      </w:pPr>
      <w:proofErr w:type="spellStart"/>
      <w:proofErr w:type="gramStart"/>
      <w:r w:rsidRPr="003648DA">
        <w:rPr>
          <w:rFonts w:ascii="Times New Roman" w:hAnsi="Times New Roman"/>
          <w:color w:val="000000"/>
        </w:rPr>
        <w:t>ε</w:t>
      </w:r>
      <w:r w:rsidRPr="003648DA">
        <w:rPr>
          <w:rFonts w:ascii="Times New Roman" w:hAnsi="Times New Roman"/>
          <w:color w:val="000000"/>
          <w:vertAlign w:val="subscript"/>
        </w:rPr>
        <w:t>i</w:t>
      </w:r>
      <w:proofErr w:type="spellEnd"/>
      <w:proofErr w:type="gramEnd"/>
      <w:r w:rsidRPr="003648DA">
        <w:rPr>
          <w:rFonts w:ascii="Times New Roman" w:hAnsi="Times New Roman"/>
          <w:color w:val="000000"/>
        </w:rPr>
        <w:t xml:space="preserve"> is a random error term for sample member i.  </w:t>
      </w:r>
    </w:p>
    <w:p w:rsidR="00157669" w:rsidRPr="003648DA" w:rsidRDefault="00382B03" w:rsidP="003648DA">
      <w:pPr>
        <w:autoSpaceDE w:val="0"/>
        <w:autoSpaceDN w:val="0"/>
        <w:adjustRightInd w:val="0"/>
        <w:spacing w:after="240" w:line="240" w:lineRule="auto"/>
        <w:ind w:firstLine="0"/>
        <w:jc w:val="left"/>
        <w:rPr>
          <w:rFonts w:ascii="Times New Roman" w:hAnsi="Times New Roman"/>
          <w:color w:val="000000"/>
        </w:rPr>
      </w:pPr>
      <w:r w:rsidRPr="003648DA">
        <w:rPr>
          <w:rFonts w:ascii="Times New Roman" w:hAnsi="Times New Roman"/>
          <w:color w:val="000000"/>
        </w:rPr>
        <w:t xml:space="preserve">The coefficient β is interpreted as the impact of the program on the outcome.  The regression coefficients, δ, reflect the influence of background characteristics.  The functional form and estimation method will depend on the scale of measurement of the outcome for which impacts are estimates; for example, continuous outcomes will be estimated using ordinary least squares (OLS) regression. </w:t>
      </w:r>
      <w:r w:rsidRPr="003648DA">
        <w:rPr>
          <w:rFonts w:ascii="Times New Roman" w:hAnsi="Times New Roman"/>
        </w:rPr>
        <w:t xml:space="preserve">We can use </w:t>
      </w:r>
      <w:r w:rsidR="00157669" w:rsidRPr="003648DA">
        <w:rPr>
          <w:rFonts w:ascii="Times New Roman" w:hAnsi="Times New Roman"/>
        </w:rPr>
        <w:t xml:space="preserve">a more complex set of methods depending on the nature of the dependent variable and the type of issues being addressed, such as: logistic regressions for binary outcomes (e.g., employed or not); Poisson regressions for outcomes that take on only a few values (e.g., months of employment); and quantile regressions to examine the distribution of outcomes for continuous outcomes. </w:t>
      </w:r>
    </w:p>
    <w:p w:rsidR="00025732" w:rsidRPr="003648DA" w:rsidRDefault="00157669" w:rsidP="003648DA">
      <w:pPr>
        <w:tabs>
          <w:tab w:val="left" w:pos="4320"/>
        </w:tabs>
        <w:spacing w:line="240" w:lineRule="auto"/>
        <w:ind w:firstLine="0"/>
        <w:jc w:val="left"/>
        <w:rPr>
          <w:rFonts w:ascii="Times New Roman" w:hAnsi="Times New Roman"/>
        </w:rPr>
      </w:pPr>
      <w:r w:rsidRPr="003648DA">
        <w:rPr>
          <w:rFonts w:ascii="Times New Roman" w:hAnsi="Times New Roman"/>
        </w:rPr>
        <w:t xml:space="preserve">The evaluation will examine outcomes across a number of domains. When multiple outcomes are examined, the probability of finding statistically significant effects increases, even when the intervention has no effect. For example, if 10 outcomes are examined in a study of an ineffective treatment, it is likely that one of them will be statistically significant at the ten percent level by chance. While the statistical community has not reached consensus on the appropriate method of correcting for this problem, we propose to address it by being parsimonious in our selection of outcome variables. In particular, we plan to identify a set of “primary” outcomes and subgroups before beginning the impact analysis.  All other outcomes and subgroups will be considered “secondary” and will be used to provide context for the primary impact findings or to generate hypotheses about impacts. </w:t>
      </w:r>
      <w:proofErr w:type="spellStart"/>
      <w:r w:rsidRPr="003648DA">
        <w:rPr>
          <w:rFonts w:ascii="Times New Roman" w:hAnsi="Times New Roman"/>
        </w:rPr>
        <w:t>Schochet</w:t>
      </w:r>
      <w:proofErr w:type="spellEnd"/>
      <w:r w:rsidRPr="003648DA">
        <w:rPr>
          <w:rFonts w:ascii="Times New Roman" w:hAnsi="Times New Roman"/>
        </w:rPr>
        <w:t xml:space="preserve"> (2008) suggests that this strategy is flexible enough to credibly test the key hypotheses about the program, while at the same time allowing the analyst to examine a range of outcomes in a more exploratory manner in order to uncover policy-relevant information. </w:t>
      </w:r>
    </w:p>
    <w:p w:rsidR="00025732" w:rsidRPr="003648DA" w:rsidRDefault="00025732" w:rsidP="003648DA">
      <w:pPr>
        <w:tabs>
          <w:tab w:val="left" w:pos="4320"/>
        </w:tabs>
        <w:spacing w:line="240" w:lineRule="auto"/>
        <w:ind w:firstLine="0"/>
        <w:jc w:val="left"/>
        <w:rPr>
          <w:rFonts w:ascii="Times New Roman" w:hAnsi="Times New Roman"/>
        </w:rPr>
      </w:pPr>
    </w:p>
    <w:p w:rsidR="00DF0AED" w:rsidRPr="003648DA" w:rsidRDefault="00DB5BEB" w:rsidP="003648DA">
      <w:pPr>
        <w:spacing w:line="240" w:lineRule="auto"/>
        <w:ind w:firstLine="0"/>
        <w:jc w:val="left"/>
        <w:rPr>
          <w:rFonts w:ascii="Arial" w:hAnsi="Arial" w:cs="Arial"/>
          <w:b/>
        </w:rPr>
      </w:pPr>
      <w:r w:rsidRPr="003648DA">
        <w:rPr>
          <w:rFonts w:ascii="Arial" w:hAnsi="Arial" w:cs="Arial"/>
          <w:b/>
        </w:rPr>
        <w:tab/>
      </w:r>
      <w:r w:rsidRPr="003648DA">
        <w:rPr>
          <w:rFonts w:ascii="Arial" w:hAnsi="Arial" w:cs="Arial"/>
          <w:b/>
        </w:rPr>
        <w:tab/>
      </w:r>
      <w:r w:rsidR="00BD29B7" w:rsidRPr="003648DA">
        <w:rPr>
          <w:rFonts w:ascii="Arial" w:hAnsi="Arial" w:cs="Arial"/>
          <w:b/>
        </w:rPr>
        <w:t>Site-specific versus pooled impacts</w:t>
      </w:r>
    </w:p>
    <w:p w:rsidR="00DF0AED" w:rsidRPr="003648DA" w:rsidRDefault="00DF0AED" w:rsidP="003648DA">
      <w:pPr>
        <w:spacing w:line="240" w:lineRule="auto"/>
        <w:ind w:firstLine="0"/>
        <w:jc w:val="left"/>
        <w:rPr>
          <w:rFonts w:ascii="Times New Roman" w:hAnsi="Times New Roman"/>
          <w:b/>
        </w:rPr>
      </w:pPr>
    </w:p>
    <w:p w:rsidR="00BD29B7" w:rsidRPr="003648DA" w:rsidRDefault="00BD29B7" w:rsidP="003648DA">
      <w:pPr>
        <w:spacing w:line="240" w:lineRule="auto"/>
        <w:ind w:firstLine="0"/>
        <w:jc w:val="left"/>
        <w:rPr>
          <w:rFonts w:ascii="Times New Roman" w:hAnsi="Times New Roman"/>
        </w:rPr>
      </w:pPr>
      <w:r w:rsidRPr="003648DA">
        <w:rPr>
          <w:rFonts w:ascii="Times New Roman" w:hAnsi="Times New Roman"/>
        </w:rPr>
        <w:t xml:space="preserve">The core </w:t>
      </w:r>
      <w:r w:rsidR="0078775E" w:rsidRPr="003648DA">
        <w:rPr>
          <w:rFonts w:ascii="Times New Roman" w:hAnsi="Times New Roman"/>
        </w:rPr>
        <w:t xml:space="preserve">impact </w:t>
      </w:r>
      <w:r w:rsidRPr="003648DA">
        <w:rPr>
          <w:rFonts w:ascii="Times New Roman" w:hAnsi="Times New Roman"/>
        </w:rPr>
        <w:t xml:space="preserve">analysis of the full evaluation will estimate the model’s impacts for each site separately and </w:t>
      </w:r>
      <w:r w:rsidR="0099068B">
        <w:rPr>
          <w:rFonts w:ascii="Times New Roman" w:hAnsi="Times New Roman"/>
        </w:rPr>
        <w:t>for all sites combined</w:t>
      </w:r>
      <w:r w:rsidRPr="003648DA">
        <w:rPr>
          <w:rFonts w:ascii="Times New Roman" w:hAnsi="Times New Roman"/>
        </w:rPr>
        <w:t xml:space="preserve">. As discussed </w:t>
      </w:r>
      <w:r w:rsidR="0078775E" w:rsidRPr="003648DA">
        <w:rPr>
          <w:rFonts w:ascii="Times New Roman" w:hAnsi="Times New Roman"/>
        </w:rPr>
        <w:t>below</w:t>
      </w:r>
      <w:r w:rsidRPr="003648DA">
        <w:rPr>
          <w:rFonts w:ascii="Times New Roman" w:hAnsi="Times New Roman"/>
        </w:rPr>
        <w:t xml:space="preserve">, expected sample sizes at each </w:t>
      </w:r>
      <w:r w:rsidR="00D106AB" w:rsidRPr="003648DA">
        <w:rPr>
          <w:rFonts w:ascii="Times New Roman" w:hAnsi="Times New Roman"/>
        </w:rPr>
        <w:t>HA</w:t>
      </w:r>
      <w:r w:rsidR="0078775E" w:rsidRPr="003648DA">
        <w:rPr>
          <w:rFonts w:ascii="Times New Roman" w:hAnsi="Times New Roman"/>
        </w:rPr>
        <w:t xml:space="preserve"> </w:t>
      </w:r>
      <w:r w:rsidRPr="003648DA">
        <w:rPr>
          <w:rFonts w:ascii="Times New Roman" w:hAnsi="Times New Roman"/>
        </w:rPr>
        <w:t xml:space="preserve">should provide adequate statistical power for producing </w:t>
      </w:r>
      <w:r w:rsidR="00CA076C" w:rsidRPr="003648DA">
        <w:rPr>
          <w:rFonts w:ascii="Times New Roman" w:hAnsi="Times New Roman"/>
        </w:rPr>
        <w:t xml:space="preserve">policy-relevant </w:t>
      </w:r>
      <w:r w:rsidRPr="003648DA">
        <w:rPr>
          <w:rFonts w:ascii="Times New Roman" w:hAnsi="Times New Roman"/>
        </w:rPr>
        <w:t xml:space="preserve">site-specific impact estimates. Such estimates will allow us to test the robustness of the rent model – that is, each site will provide an independent replication test. If the model’s impacts are positive and consistent across the </w:t>
      </w:r>
      <w:r w:rsidR="00D106AB" w:rsidRPr="003648DA">
        <w:rPr>
          <w:rFonts w:ascii="Times New Roman" w:hAnsi="Times New Roman"/>
        </w:rPr>
        <w:t>HA</w:t>
      </w:r>
      <w:r w:rsidRPr="003648DA">
        <w:rPr>
          <w:rFonts w:ascii="Times New Roman" w:hAnsi="Times New Roman"/>
        </w:rPr>
        <w:t xml:space="preserve">s, we would have greater confidence that they were caused by rent reform and are not due to chance or site-specific factors. Such consistency would also indicate that rent reform can succeed under a variety of locations and types of tenants. Large and statistically significant variations in effects across sites may provide an opportunity to understand what local conditions and/or implementation factors influence the model’s effectiveness. </w:t>
      </w:r>
    </w:p>
    <w:p w:rsidR="00BD29B7" w:rsidRPr="003648DA" w:rsidRDefault="00BD29B7" w:rsidP="003648DA">
      <w:pPr>
        <w:spacing w:line="240" w:lineRule="auto"/>
        <w:ind w:firstLine="720"/>
        <w:jc w:val="left"/>
        <w:rPr>
          <w:rFonts w:ascii="Times New Roman" w:hAnsi="Times New Roman"/>
        </w:rPr>
      </w:pPr>
    </w:p>
    <w:p w:rsidR="00277B8D" w:rsidRPr="00277B8D" w:rsidRDefault="00277B8D" w:rsidP="00277B8D">
      <w:pPr>
        <w:spacing w:line="240" w:lineRule="auto"/>
        <w:ind w:firstLine="0"/>
        <w:jc w:val="left"/>
        <w:rPr>
          <w:rFonts w:ascii="Times New Roman" w:hAnsi="Times New Roman"/>
        </w:rPr>
      </w:pPr>
      <w:r w:rsidRPr="00277B8D">
        <w:rPr>
          <w:rFonts w:ascii="Times New Roman" w:hAnsi="Times New Roman"/>
        </w:rPr>
        <w:t xml:space="preserve">The impact analysis will also pool the housing agency samples to produce impact estimates for all sites combined. Pooling would increase precision of impact estimates, which becomes especially relevant when estimating effects for subgroups of the full sample. We may include DC in the pooled analysis if it is determined that the biennial recertification does not differ </w:t>
      </w:r>
      <w:r w:rsidRPr="00277B8D">
        <w:rPr>
          <w:rFonts w:ascii="Times New Roman" w:hAnsi="Times New Roman"/>
        </w:rPr>
        <w:lastRenderedPageBreak/>
        <w:t xml:space="preserve">significantly from the current traditional one-year policy in terms of work incentives. Although the control group in DC will be on a biennial recertification schedule, if their income increases by more than $10,000 per year, they will still need to adjust their TTP in the interim. Earnings from a full-time job at minimum wage would exceed this threshold; thus, the biennial recertification policy, when compared with the traditional annual policy, may create an increased financial incentive to move from non-work to part-time work at the minimum wage, and from part-time to full-time work, but not from non-work to full-time work (since this latter change would prompt an increase in TTP). Control group households will also continue to face no limit on the number of interim recertifications when their income declines. However, a final decision will depend on how many households appear to be affected by that policy’s $10,000 threshold and on the control </w:t>
      </w:r>
      <w:proofErr w:type="gramStart"/>
      <w:r w:rsidRPr="00277B8D">
        <w:rPr>
          <w:rFonts w:ascii="Times New Roman" w:hAnsi="Times New Roman"/>
        </w:rPr>
        <w:t>group’s understanding</w:t>
      </w:r>
      <w:proofErr w:type="gramEnd"/>
      <w:r w:rsidRPr="00277B8D">
        <w:rPr>
          <w:rFonts w:ascii="Times New Roman" w:hAnsi="Times New Roman"/>
        </w:rPr>
        <w:t xml:space="preserve"> of the biennial policy.</w:t>
      </w:r>
    </w:p>
    <w:p w:rsidR="00277B8D" w:rsidRPr="00F52DBA" w:rsidRDefault="00277B8D" w:rsidP="00277B8D">
      <w:pPr>
        <w:spacing w:line="240" w:lineRule="auto"/>
        <w:ind w:firstLine="0"/>
        <w:jc w:val="left"/>
        <w:rPr>
          <w:rFonts w:ascii="Times New Roman" w:hAnsi="Times New Roman"/>
        </w:rPr>
      </w:pPr>
    </w:p>
    <w:p w:rsidR="0028009C" w:rsidRPr="00F52DBA" w:rsidRDefault="00277B8D" w:rsidP="00A062B5">
      <w:pPr>
        <w:pStyle w:val="NoSpacing"/>
        <w:widowControl w:val="0"/>
        <w:rPr>
          <w:rFonts w:ascii="Times New Roman" w:eastAsia="Times New Roman" w:hAnsi="Times New Roman" w:cs="Times New Roman"/>
          <w:sz w:val="24"/>
          <w:szCs w:val="24"/>
        </w:rPr>
      </w:pPr>
      <w:r w:rsidRPr="00F52DBA">
        <w:rPr>
          <w:rFonts w:ascii="Times New Roman" w:hAnsi="Times New Roman"/>
          <w:sz w:val="24"/>
          <w:szCs w:val="24"/>
        </w:rPr>
        <w:t xml:space="preserve">As discussed earlier, Program group members in Louisville </w:t>
      </w:r>
      <w:r w:rsidR="0051255A">
        <w:rPr>
          <w:rFonts w:ascii="Times New Roman" w:hAnsi="Times New Roman"/>
          <w:sz w:val="24"/>
          <w:szCs w:val="24"/>
        </w:rPr>
        <w:t xml:space="preserve">are being </w:t>
      </w:r>
      <w:r w:rsidRPr="00F52DBA">
        <w:rPr>
          <w:rFonts w:ascii="Times New Roman" w:hAnsi="Times New Roman"/>
          <w:sz w:val="24"/>
          <w:szCs w:val="24"/>
        </w:rPr>
        <w:t>given the option to opt out of the rent reform policy and have their rent calculated according to whatever rent rules would normally apply to them if the</w:t>
      </w:r>
      <w:r w:rsidR="00142CE2" w:rsidRPr="00F52DBA">
        <w:rPr>
          <w:rFonts w:ascii="Times New Roman" w:hAnsi="Times New Roman"/>
          <w:sz w:val="24"/>
          <w:szCs w:val="24"/>
        </w:rPr>
        <w:t>y</w:t>
      </w:r>
      <w:r w:rsidRPr="00F52DBA">
        <w:rPr>
          <w:rFonts w:ascii="Times New Roman" w:hAnsi="Times New Roman"/>
          <w:sz w:val="24"/>
          <w:szCs w:val="24"/>
        </w:rPr>
        <w:t xml:space="preserve"> were not in the study at all. Whether Louisville will be included in the pooled analysis will depend on the extent to which members of the Program group opt out of the new rent rules and raise the risk of biased impact estimates.  </w:t>
      </w:r>
    </w:p>
    <w:p w:rsidR="0067267A" w:rsidRDefault="0067267A" w:rsidP="003648DA">
      <w:pPr>
        <w:pStyle w:val="NoSpacing"/>
        <w:widowControl w:val="0"/>
        <w:ind w:firstLine="720"/>
        <w:rPr>
          <w:rFonts w:ascii="Arial" w:hAnsi="Arial" w:cs="Arial"/>
          <w:b/>
          <w:bCs/>
          <w:sz w:val="24"/>
          <w:szCs w:val="24"/>
        </w:rPr>
      </w:pPr>
    </w:p>
    <w:p w:rsidR="00157669" w:rsidRPr="003648DA" w:rsidRDefault="00157669" w:rsidP="003648DA">
      <w:pPr>
        <w:pStyle w:val="NoSpacing"/>
        <w:widowControl w:val="0"/>
        <w:ind w:firstLine="720"/>
        <w:rPr>
          <w:rFonts w:ascii="Arial" w:hAnsi="Arial" w:cs="Arial"/>
          <w:b/>
          <w:bCs/>
          <w:sz w:val="24"/>
          <w:szCs w:val="24"/>
        </w:rPr>
      </w:pPr>
      <w:r w:rsidRPr="003648DA">
        <w:rPr>
          <w:rFonts w:ascii="Arial" w:hAnsi="Arial" w:cs="Arial"/>
          <w:b/>
          <w:bCs/>
          <w:sz w:val="24"/>
          <w:szCs w:val="24"/>
        </w:rPr>
        <w:t>Subgroups</w:t>
      </w:r>
    </w:p>
    <w:p w:rsidR="00157669" w:rsidRPr="003648DA" w:rsidRDefault="00157669" w:rsidP="003648DA">
      <w:pPr>
        <w:pStyle w:val="NoSpacing"/>
        <w:widowControl w:val="0"/>
        <w:rPr>
          <w:rFonts w:ascii="Times New Roman" w:hAnsi="Times New Roman" w:cs="Times New Roman"/>
          <w:b/>
          <w:bCs/>
          <w:sz w:val="24"/>
          <w:szCs w:val="24"/>
        </w:rPr>
      </w:pPr>
    </w:p>
    <w:p w:rsidR="0027491A" w:rsidRPr="003648DA" w:rsidRDefault="00157669" w:rsidP="003648DA">
      <w:pPr>
        <w:pStyle w:val="NoSpacing"/>
        <w:rPr>
          <w:rFonts w:ascii="Times New Roman" w:hAnsi="Times New Roman" w:cs="Times New Roman"/>
        </w:rPr>
      </w:pPr>
      <w:r w:rsidRPr="003648DA">
        <w:rPr>
          <w:rFonts w:ascii="Times New Roman" w:hAnsi="Times New Roman" w:cs="Times New Roman"/>
          <w:sz w:val="24"/>
          <w:szCs w:val="24"/>
        </w:rPr>
        <w:t xml:space="preserve">The impact analysis will also investigate whether the </w:t>
      </w:r>
      <w:r w:rsidR="00492475" w:rsidRPr="003648DA">
        <w:rPr>
          <w:rFonts w:ascii="Times New Roman" w:hAnsi="Times New Roman" w:cs="Times New Roman"/>
          <w:sz w:val="24"/>
          <w:szCs w:val="24"/>
        </w:rPr>
        <w:t xml:space="preserve">changes to the rent structure </w:t>
      </w:r>
      <w:r w:rsidRPr="003648DA">
        <w:rPr>
          <w:rFonts w:ascii="Times New Roman" w:hAnsi="Times New Roman" w:cs="Times New Roman"/>
          <w:sz w:val="24"/>
          <w:szCs w:val="24"/>
        </w:rPr>
        <w:t xml:space="preserve">worked especially well for particular subgroups of families. Subgroup impacts can be calculated in several </w:t>
      </w:r>
      <w:proofErr w:type="gramStart"/>
      <w:r w:rsidRPr="003648DA">
        <w:rPr>
          <w:rFonts w:ascii="Times New Roman" w:hAnsi="Times New Roman" w:cs="Times New Roman"/>
          <w:sz w:val="24"/>
          <w:szCs w:val="24"/>
        </w:rPr>
        <w:t>ways,</w:t>
      </w:r>
      <w:r w:rsidRPr="003648DA">
        <w:rPr>
          <w:rStyle w:val="FootnoteReference"/>
          <w:rFonts w:ascii="Times New Roman" w:hAnsi="Times New Roman" w:cs="Times New Roman"/>
          <w:sz w:val="24"/>
          <w:szCs w:val="24"/>
        </w:rPr>
        <w:footnoteReference w:id="3"/>
      </w:r>
      <w:proofErr w:type="gramEnd"/>
      <w:r w:rsidRPr="003648DA">
        <w:rPr>
          <w:rFonts w:ascii="Times New Roman" w:hAnsi="Times New Roman" w:cs="Times New Roman"/>
          <w:sz w:val="24"/>
          <w:szCs w:val="24"/>
        </w:rPr>
        <w:t xml:space="preserve"> and prior to the impact analysis, the evaluation team will finalize the method and prioritize the subgroups th</w:t>
      </w:r>
      <w:r w:rsidRPr="003648DA">
        <w:rPr>
          <w:rFonts w:ascii="Times New Roman" w:hAnsi="Times New Roman" w:cs="Times New Roman"/>
        </w:rPr>
        <w:t xml:space="preserve">at </w:t>
      </w:r>
      <w:r w:rsidRPr="003648DA">
        <w:rPr>
          <w:rFonts w:ascii="Times New Roman" w:hAnsi="Times New Roman" w:cs="Times New Roman"/>
          <w:sz w:val="24"/>
          <w:szCs w:val="24"/>
        </w:rPr>
        <w:t>are</w:t>
      </w:r>
      <w:r w:rsidRPr="003648DA">
        <w:rPr>
          <w:rFonts w:ascii="Times New Roman" w:hAnsi="Times New Roman" w:cs="Times New Roman"/>
        </w:rPr>
        <w:t xml:space="preserve"> </w:t>
      </w:r>
      <w:r w:rsidRPr="003648DA">
        <w:rPr>
          <w:rFonts w:ascii="Times New Roman" w:hAnsi="Times New Roman" w:cs="Times New Roman"/>
          <w:sz w:val="24"/>
          <w:szCs w:val="24"/>
        </w:rPr>
        <w:t>“confirmatory” and the remainder that are “exploratory.” The confirmatory subgroups will be specified in advance, in order to avoid the potential for data mining and the problem of multiple comparisons.</w:t>
      </w:r>
      <w:r w:rsidRPr="003648DA">
        <w:rPr>
          <w:rStyle w:val="FootnoteReference"/>
          <w:rFonts w:ascii="Times New Roman" w:hAnsi="Times New Roman" w:cs="Times New Roman"/>
          <w:sz w:val="24"/>
          <w:szCs w:val="24"/>
        </w:rPr>
        <w:footnoteReference w:id="4"/>
      </w:r>
      <w:r w:rsidRPr="003648DA">
        <w:rPr>
          <w:rFonts w:ascii="Times New Roman" w:hAnsi="Times New Roman" w:cs="Times New Roman"/>
          <w:sz w:val="24"/>
          <w:szCs w:val="24"/>
        </w:rPr>
        <w:t xml:space="preserve"> Subgroups can be chosen as confirmatory because prior theory suggests program differences by a subgroup dimension, because differences in impacts by a given dimension have been found in prior evaluations, or because a given subgroup is of great policy interest.</w:t>
      </w:r>
    </w:p>
    <w:p w:rsidR="0027491A" w:rsidRPr="003648DA" w:rsidRDefault="0027491A" w:rsidP="003648DA">
      <w:pPr>
        <w:pStyle w:val="NoSpacing"/>
        <w:widowControl w:val="0"/>
        <w:rPr>
          <w:rFonts w:ascii="Times New Roman" w:hAnsi="Times New Roman" w:cs="Times New Roman"/>
          <w:sz w:val="24"/>
          <w:szCs w:val="24"/>
        </w:rPr>
      </w:pPr>
    </w:p>
    <w:p w:rsidR="00492475" w:rsidRDefault="00277B8D" w:rsidP="003648DA">
      <w:pPr>
        <w:widowControl w:val="0"/>
        <w:spacing w:line="240" w:lineRule="auto"/>
        <w:ind w:firstLine="0"/>
        <w:jc w:val="left"/>
        <w:rPr>
          <w:rFonts w:ascii="Times New Roman" w:eastAsia="Calibri" w:hAnsi="Times New Roman"/>
        </w:rPr>
      </w:pPr>
      <w:r w:rsidRPr="00277B8D">
        <w:rPr>
          <w:rFonts w:ascii="Times New Roman" w:hAnsi="Times New Roman"/>
        </w:rPr>
        <w:t xml:space="preserve">At this stage, priority subgroups are likely to include subgroups defined according to work status at the time of random assignment (e.g., not working, working part-time, working full-time); family size and composition, especially in terms of whether or not the family is headed by a single parent, has more than one working-age adult, and the number and ages of non-adult children; adults’ education levels; and household income levels. MDRC will focus on a limited number of confirmatory priority subgroups for analysis.  MDRC will also seek to understand whether a family’s participation in a non-HUD, means-tested program prevented or deterred the </w:t>
      </w:r>
      <w:r w:rsidRPr="00277B8D">
        <w:rPr>
          <w:rFonts w:ascii="Times New Roman" w:hAnsi="Times New Roman"/>
        </w:rPr>
        <w:lastRenderedPageBreak/>
        <w:t xml:space="preserve">family from pursuing increased wages. </w:t>
      </w:r>
    </w:p>
    <w:p w:rsidR="0067267A" w:rsidRPr="003648DA" w:rsidRDefault="0067267A" w:rsidP="003648DA">
      <w:pPr>
        <w:widowControl w:val="0"/>
        <w:spacing w:line="240" w:lineRule="auto"/>
        <w:ind w:firstLine="0"/>
        <w:jc w:val="left"/>
        <w:rPr>
          <w:rFonts w:ascii="Arial" w:hAnsi="Arial" w:cs="Arial"/>
          <w:b/>
        </w:rPr>
      </w:pPr>
    </w:p>
    <w:p w:rsidR="00382B03" w:rsidRPr="003648DA" w:rsidRDefault="00DB5BEB" w:rsidP="003648DA">
      <w:pPr>
        <w:widowControl w:val="0"/>
        <w:spacing w:line="240" w:lineRule="auto"/>
        <w:ind w:firstLine="0"/>
        <w:jc w:val="left"/>
        <w:rPr>
          <w:rStyle w:val="CommentReference"/>
          <w:rFonts w:ascii="Arial" w:hAnsi="Arial" w:cs="Arial"/>
        </w:rPr>
      </w:pPr>
      <w:r w:rsidRPr="003648DA">
        <w:rPr>
          <w:rFonts w:ascii="Arial" w:hAnsi="Arial" w:cs="Arial"/>
          <w:b/>
        </w:rPr>
        <w:tab/>
      </w:r>
      <w:r w:rsidRPr="003648DA">
        <w:rPr>
          <w:rFonts w:ascii="Arial" w:hAnsi="Arial" w:cs="Arial"/>
          <w:b/>
        </w:rPr>
        <w:tab/>
      </w:r>
      <w:r w:rsidR="00382B03" w:rsidRPr="003648DA">
        <w:rPr>
          <w:rFonts w:ascii="Arial" w:hAnsi="Arial" w:cs="Arial"/>
          <w:b/>
        </w:rPr>
        <w:t>Minimum Detectable Effect Size</w:t>
      </w:r>
    </w:p>
    <w:p w:rsidR="00F47641" w:rsidRPr="00F47641" w:rsidRDefault="00F47641" w:rsidP="00F47641">
      <w:pPr>
        <w:widowControl w:val="0"/>
        <w:spacing w:line="240" w:lineRule="auto"/>
        <w:ind w:firstLine="0"/>
        <w:jc w:val="left"/>
        <w:rPr>
          <w:rFonts w:ascii="Times New Roman" w:hAnsi="Times New Roman"/>
          <w:b/>
          <w:bCs/>
        </w:rPr>
      </w:pPr>
      <w:r w:rsidRPr="00F47641">
        <w:rPr>
          <w:rFonts w:ascii="Times New Roman" w:hAnsi="Times New Roman"/>
          <w:b/>
          <w:bCs/>
        </w:rPr>
        <w:tab/>
      </w:r>
    </w:p>
    <w:p w:rsidR="00F47641" w:rsidRPr="00F47641" w:rsidRDefault="00F01F36" w:rsidP="00F47641">
      <w:pPr>
        <w:widowControl w:val="0"/>
        <w:spacing w:line="240" w:lineRule="auto"/>
        <w:ind w:firstLine="0"/>
        <w:jc w:val="left"/>
        <w:rPr>
          <w:rFonts w:ascii="Times New Roman" w:hAnsi="Times New Roman"/>
        </w:rPr>
      </w:pPr>
      <w:r>
        <w:rPr>
          <w:rFonts w:ascii="Times New Roman" w:hAnsi="Times New Roman"/>
        </w:rPr>
        <w:t>For the core impact study, a</w:t>
      </w:r>
      <w:r w:rsidR="00F47641" w:rsidRPr="00F47641">
        <w:rPr>
          <w:rFonts w:ascii="Times New Roman" w:hAnsi="Times New Roman"/>
        </w:rPr>
        <w:t xml:space="preserve"> sample size of 400 per research group is large enough to detect policy relevant impacts by site and for the pooled sample as well as for key subgroups.  However, smaller effects could be detected if the sample size were larger. </w:t>
      </w:r>
      <w:r w:rsidR="00A062B5">
        <w:rPr>
          <w:rFonts w:ascii="Times New Roman" w:hAnsi="Times New Roman"/>
        </w:rPr>
        <w:t xml:space="preserve">Currently, the sites have pledged samples of 700-1,000 </w:t>
      </w:r>
      <w:r w:rsidR="00A062B5" w:rsidRPr="00E44C64">
        <w:rPr>
          <w:rFonts w:ascii="Times New Roman" w:hAnsi="Times New Roman"/>
        </w:rPr>
        <w:t xml:space="preserve">households per research group, </w:t>
      </w:r>
      <w:r w:rsidR="00A062B5" w:rsidRPr="003C48BF">
        <w:rPr>
          <w:rFonts w:ascii="Times New Roman" w:hAnsi="Times New Roman"/>
        </w:rPr>
        <w:t>but it is very likely that one of the PHAs, the Lexington Housing Authority (</w:t>
      </w:r>
      <w:r w:rsidR="00A062B5" w:rsidRPr="003C48BF">
        <w:rPr>
          <w:rFonts w:ascii="Times New Roman" w:hAnsi="Times New Roman"/>
          <w:color w:val="000000"/>
        </w:rPr>
        <w:t xml:space="preserve">LHA), will generate smaller research groups (slightly over 500) because of the size of the </w:t>
      </w:r>
      <w:r w:rsidR="000D07CE" w:rsidRPr="003C48BF">
        <w:rPr>
          <w:rFonts w:ascii="Times New Roman" w:hAnsi="Times New Roman"/>
          <w:color w:val="000000"/>
        </w:rPr>
        <w:t xml:space="preserve">site’s </w:t>
      </w:r>
      <w:r w:rsidR="00A062B5" w:rsidRPr="003C48BF">
        <w:rPr>
          <w:rFonts w:ascii="Times New Roman" w:hAnsi="Times New Roman"/>
          <w:color w:val="000000"/>
        </w:rPr>
        <w:t>eligible population.</w:t>
      </w:r>
      <w:r w:rsidR="00A062B5" w:rsidRPr="003C48BF">
        <w:rPr>
          <w:rStyle w:val="FootnoteReference"/>
          <w:rFonts w:ascii="Times New Roman" w:hAnsi="Times New Roman"/>
        </w:rPr>
        <w:footnoteReference w:id="5"/>
      </w:r>
    </w:p>
    <w:p w:rsidR="00F47641" w:rsidRPr="00F47641" w:rsidRDefault="00F47641" w:rsidP="00F47641">
      <w:pPr>
        <w:widowControl w:val="0"/>
        <w:spacing w:line="240" w:lineRule="auto"/>
        <w:ind w:firstLine="0"/>
        <w:jc w:val="left"/>
        <w:rPr>
          <w:rFonts w:ascii="Times New Roman" w:hAnsi="Times New Roman"/>
        </w:rPr>
      </w:pPr>
    </w:p>
    <w:p w:rsidR="00F47641" w:rsidRPr="00F47641" w:rsidRDefault="00F47641" w:rsidP="00F47641">
      <w:pPr>
        <w:widowControl w:val="0"/>
        <w:tabs>
          <w:tab w:val="clear" w:pos="432"/>
        </w:tabs>
        <w:spacing w:line="240" w:lineRule="auto"/>
        <w:ind w:firstLine="0"/>
        <w:jc w:val="left"/>
        <w:rPr>
          <w:rFonts w:ascii="Times New Roman" w:eastAsia="Calibri" w:hAnsi="Times New Roman"/>
        </w:rPr>
      </w:pPr>
      <w:r w:rsidRPr="00F47641">
        <w:rPr>
          <w:rFonts w:ascii="Times New Roman" w:eastAsia="Calibri" w:hAnsi="Times New Roman"/>
        </w:rPr>
        <w:t xml:space="preserve">MDEs indicate the size of statistically significant program impacts that are likely to be observed or detected for a set of outcomes and a given sample size. </w:t>
      </w:r>
      <w:r w:rsidR="008F4921">
        <w:rPr>
          <w:rFonts w:ascii="Times New Roman" w:eastAsia="Calibri" w:hAnsi="Times New Roman"/>
        </w:rPr>
        <w:t xml:space="preserve">The table below shows estimated MDEs.  </w:t>
      </w:r>
      <w:r w:rsidRPr="00F47641">
        <w:rPr>
          <w:rFonts w:ascii="Times New Roman" w:eastAsia="Calibri" w:hAnsi="Times New Roman"/>
        </w:rPr>
        <w:t>Since these are estimates, the actual MDEs may be smaller or larger than what is shown here. The estimates shown are likely to be conservative, since they assume that baseline variables are not used in the impact model to improve precision. Pre-random assignment values of key outcomes, such as employment and earnings, are likely to be highly predictive of post-random assignment values of the same outcome. In this case, the increased precision brought about by including these variables in the impact model can reduce the MDEs considerably.</w:t>
      </w:r>
    </w:p>
    <w:p w:rsidR="00F47641" w:rsidRPr="00F47641" w:rsidRDefault="00F47641" w:rsidP="00F47641">
      <w:pPr>
        <w:widowControl w:val="0"/>
        <w:tabs>
          <w:tab w:val="clear" w:pos="432"/>
        </w:tabs>
        <w:spacing w:line="240" w:lineRule="auto"/>
        <w:ind w:firstLine="0"/>
        <w:jc w:val="left"/>
        <w:rPr>
          <w:rFonts w:ascii="Times New Roman" w:eastAsia="Calibri" w:hAnsi="Times New Roman"/>
        </w:rPr>
      </w:pPr>
    </w:p>
    <w:p w:rsidR="00F47641" w:rsidRPr="00F47641" w:rsidRDefault="00F47641" w:rsidP="00F47641">
      <w:pPr>
        <w:widowControl w:val="0"/>
        <w:spacing w:line="240" w:lineRule="auto"/>
        <w:ind w:firstLine="0"/>
        <w:jc w:val="left"/>
        <w:rPr>
          <w:rFonts w:ascii="Times New Roman" w:hAnsi="Times New Roman"/>
        </w:rPr>
      </w:pPr>
      <w:r w:rsidRPr="00F47641">
        <w:rPr>
          <w:rFonts w:ascii="Times New Roman" w:hAnsi="Times New Roman"/>
        </w:rPr>
        <w:t xml:space="preserve">The table below presents MDEs for the proposed site-specific sample sizes and pooled sample sizes, focusing on </w:t>
      </w:r>
      <w:r w:rsidR="00202C44">
        <w:rPr>
          <w:rFonts w:ascii="Times New Roman" w:hAnsi="Times New Roman"/>
        </w:rPr>
        <w:t>two</w:t>
      </w:r>
      <w:r w:rsidR="00202C44" w:rsidRPr="00F47641">
        <w:rPr>
          <w:rFonts w:ascii="Times New Roman" w:hAnsi="Times New Roman"/>
        </w:rPr>
        <w:t xml:space="preserve"> </w:t>
      </w:r>
      <w:r w:rsidRPr="00F47641">
        <w:rPr>
          <w:rFonts w:ascii="Times New Roman" w:hAnsi="Times New Roman"/>
        </w:rPr>
        <w:t>outcomes of interest: employment</w:t>
      </w:r>
      <w:r w:rsidR="00202C44">
        <w:rPr>
          <w:rFonts w:ascii="Times New Roman" w:hAnsi="Times New Roman"/>
        </w:rPr>
        <w:t xml:space="preserve"> and</w:t>
      </w:r>
      <w:r w:rsidR="00202C44" w:rsidRPr="00F47641">
        <w:rPr>
          <w:rFonts w:ascii="Times New Roman" w:hAnsi="Times New Roman"/>
        </w:rPr>
        <w:t xml:space="preserve"> </w:t>
      </w:r>
      <w:r w:rsidRPr="00F47641">
        <w:rPr>
          <w:rFonts w:ascii="Times New Roman" w:hAnsi="Times New Roman"/>
        </w:rPr>
        <w:t xml:space="preserve">earnings. Within each panel, the table presents MDEs for site-specific and pooled sample sizes. The columns represent </w:t>
      </w:r>
      <w:r w:rsidR="00462387">
        <w:rPr>
          <w:rFonts w:ascii="Times New Roman" w:hAnsi="Times New Roman"/>
        </w:rPr>
        <w:t xml:space="preserve">two </w:t>
      </w:r>
      <w:r w:rsidRPr="00F47641">
        <w:rPr>
          <w:rFonts w:ascii="Times New Roman" w:hAnsi="Times New Roman"/>
        </w:rPr>
        <w:t>different sample size assumptions</w:t>
      </w:r>
      <w:r w:rsidR="00462387">
        <w:rPr>
          <w:rFonts w:ascii="Times New Roman" w:hAnsi="Times New Roman"/>
        </w:rPr>
        <w:t xml:space="preserve">: </w:t>
      </w:r>
      <w:r w:rsidRPr="00F47641">
        <w:rPr>
          <w:rFonts w:ascii="Times New Roman" w:hAnsi="Times New Roman"/>
        </w:rPr>
        <w:t>lower-bound</w:t>
      </w:r>
      <w:r w:rsidR="00462387">
        <w:rPr>
          <w:rFonts w:ascii="Times New Roman" w:hAnsi="Times New Roman"/>
        </w:rPr>
        <w:t xml:space="preserve"> and</w:t>
      </w:r>
      <w:r w:rsidRPr="00F47641">
        <w:rPr>
          <w:rFonts w:ascii="Times New Roman" w:hAnsi="Times New Roman"/>
        </w:rPr>
        <w:t xml:space="preserve"> </w:t>
      </w:r>
      <w:r w:rsidR="00644731">
        <w:rPr>
          <w:rFonts w:ascii="Times New Roman" w:hAnsi="Times New Roman"/>
        </w:rPr>
        <w:t>the most recent count of eligible households who will be randomly assigned to the study</w:t>
      </w:r>
      <w:r w:rsidRPr="00F47641">
        <w:rPr>
          <w:rFonts w:ascii="Times New Roman" w:hAnsi="Times New Roman"/>
        </w:rPr>
        <w:t>.</w:t>
      </w:r>
      <w:r>
        <w:rPr>
          <w:rFonts w:ascii="Times New Roman" w:hAnsi="Times New Roman"/>
        </w:rPr>
        <w:t xml:space="preserve"> For </w:t>
      </w:r>
      <w:r w:rsidRPr="00F47641">
        <w:rPr>
          <w:rFonts w:ascii="Times New Roman" w:hAnsi="Times New Roman"/>
        </w:rPr>
        <w:t>site-specific analysis, the evaluation could detect effects (increases or decreases) as small as 8.35 percentage points on employment rates in a given year with the minimum required sample size (400 per study group), and would be able to detect effects as small as 5.3 (</w:t>
      </w:r>
      <w:r w:rsidRPr="00595B0E">
        <w:rPr>
          <w:rFonts w:ascii="Times New Roman" w:hAnsi="Times New Roman"/>
        </w:rPr>
        <w:t>San Antonio</w:t>
      </w:r>
      <w:r w:rsidR="00462387" w:rsidRPr="00595B0E">
        <w:rPr>
          <w:rFonts w:ascii="Times New Roman" w:hAnsi="Times New Roman"/>
        </w:rPr>
        <w:t>,</w:t>
      </w:r>
      <w:r w:rsidR="00462387">
        <w:rPr>
          <w:rFonts w:ascii="Times New Roman" w:hAnsi="Times New Roman"/>
        </w:rPr>
        <w:t xml:space="preserve"> Louisville and DC</w:t>
      </w:r>
      <w:r w:rsidRPr="00F47641">
        <w:rPr>
          <w:rFonts w:ascii="Times New Roman" w:hAnsi="Times New Roman"/>
        </w:rPr>
        <w:t xml:space="preserve">) percentage points on employment rates in a given year if the larger sample size (see pledged column) is achieved. </w:t>
      </w:r>
    </w:p>
    <w:p w:rsidR="00F47641" w:rsidRPr="00F47641" w:rsidRDefault="00F47641" w:rsidP="00F47641">
      <w:pPr>
        <w:widowControl w:val="0"/>
        <w:spacing w:line="240" w:lineRule="auto"/>
        <w:ind w:firstLine="0"/>
        <w:jc w:val="left"/>
        <w:rPr>
          <w:rFonts w:ascii="Times New Roman" w:hAnsi="Times New Roman"/>
        </w:rPr>
      </w:pPr>
    </w:p>
    <w:p w:rsidR="00F47641" w:rsidRPr="00F47641" w:rsidRDefault="00F47641" w:rsidP="00F47641">
      <w:pPr>
        <w:spacing w:line="240" w:lineRule="auto"/>
        <w:ind w:firstLine="0"/>
        <w:jc w:val="left"/>
        <w:rPr>
          <w:rFonts w:ascii="Times New Roman" w:hAnsi="Times New Roman"/>
        </w:rPr>
      </w:pPr>
      <w:r w:rsidRPr="00F47641">
        <w:rPr>
          <w:rFonts w:ascii="Times New Roman" w:hAnsi="Times New Roman"/>
        </w:rPr>
        <w:t>MDEs for earnings are shown in the table but are harder to predict, given the difficulty of predicting the variance of earnings. As shown in the table, smaller effects can be detected for the pooled sample</w:t>
      </w:r>
      <w:r>
        <w:rPr>
          <w:rFonts w:ascii="Times New Roman" w:hAnsi="Times New Roman"/>
        </w:rPr>
        <w:t xml:space="preserve">. </w:t>
      </w:r>
      <w:r w:rsidRPr="00F47641">
        <w:rPr>
          <w:rFonts w:ascii="Times New Roman" w:hAnsi="Times New Roman"/>
        </w:rPr>
        <w:t xml:space="preserve">The pooled MDEs assume two sets of sample size assumptions, including and excluding </w:t>
      </w:r>
      <w:r w:rsidR="00644731">
        <w:rPr>
          <w:rFonts w:ascii="Times New Roman" w:hAnsi="Times New Roman"/>
        </w:rPr>
        <w:t>Louisville</w:t>
      </w:r>
      <w:r w:rsidRPr="00F47641">
        <w:rPr>
          <w:rFonts w:ascii="Times New Roman" w:hAnsi="Times New Roman"/>
        </w:rPr>
        <w:t xml:space="preserve">. An assessment of DC’s </w:t>
      </w:r>
      <w:r w:rsidR="00644731">
        <w:rPr>
          <w:rFonts w:ascii="Times New Roman" w:hAnsi="Times New Roman"/>
        </w:rPr>
        <w:t xml:space="preserve">opt out rate will </w:t>
      </w:r>
      <w:r w:rsidRPr="00F47641">
        <w:rPr>
          <w:rFonts w:ascii="Times New Roman" w:hAnsi="Times New Roman"/>
        </w:rPr>
        <w:t xml:space="preserve">determine whether the impact analysis will include </w:t>
      </w:r>
      <w:r w:rsidR="00644731">
        <w:rPr>
          <w:rFonts w:ascii="Times New Roman" w:hAnsi="Times New Roman"/>
        </w:rPr>
        <w:t>Louisville</w:t>
      </w:r>
      <w:r w:rsidR="00644731" w:rsidRPr="00F47641">
        <w:rPr>
          <w:rFonts w:ascii="Times New Roman" w:hAnsi="Times New Roman"/>
        </w:rPr>
        <w:t xml:space="preserve"> </w:t>
      </w:r>
      <w:r w:rsidRPr="00F47641">
        <w:rPr>
          <w:rFonts w:ascii="Times New Roman" w:hAnsi="Times New Roman"/>
        </w:rPr>
        <w:t xml:space="preserve">in the pooled results. </w:t>
      </w:r>
    </w:p>
    <w:p w:rsidR="00F47641" w:rsidRPr="00F47641" w:rsidRDefault="00F47641" w:rsidP="00F47641">
      <w:pPr>
        <w:spacing w:line="240" w:lineRule="auto"/>
        <w:ind w:firstLine="0"/>
        <w:jc w:val="left"/>
        <w:rPr>
          <w:rFonts w:ascii="Times New Roman" w:hAnsi="Times New Roman"/>
        </w:rPr>
      </w:pPr>
    </w:p>
    <w:p w:rsidR="00F47641" w:rsidRPr="00F47641" w:rsidRDefault="00F47641" w:rsidP="00F47641">
      <w:pPr>
        <w:spacing w:line="240" w:lineRule="auto"/>
        <w:ind w:firstLine="0"/>
        <w:jc w:val="left"/>
        <w:rPr>
          <w:rFonts w:ascii="Times New Roman" w:hAnsi="Times New Roman"/>
        </w:rPr>
      </w:pPr>
      <w:r w:rsidRPr="00F47641">
        <w:rPr>
          <w:rFonts w:ascii="Times New Roman" w:hAnsi="Times New Roman"/>
        </w:rPr>
        <w:t xml:space="preserve">In sum, the proposed sample size is adequate for detecting effects on a range of outcomes that are relatively modest but still meaningful from a policy standpoint for both site-specific analysis and pooled analysis.   </w:t>
      </w:r>
    </w:p>
    <w:p w:rsidR="00CB3C76" w:rsidRDefault="00CB3C76">
      <w:pPr>
        <w:tabs>
          <w:tab w:val="clear" w:pos="432"/>
        </w:tabs>
        <w:spacing w:after="200" w:line="276" w:lineRule="auto"/>
        <w:ind w:firstLine="0"/>
        <w:jc w:val="left"/>
        <w:rPr>
          <w:rFonts w:ascii="Times New Roman" w:hAnsi="Times New Roman"/>
          <w:highlight w:val="yellow"/>
        </w:rPr>
      </w:pPr>
      <w:r>
        <w:rPr>
          <w:rFonts w:ascii="Times New Roman" w:hAnsi="Times New Roman"/>
          <w:highlight w:val="yellow"/>
        </w:rPr>
        <w:br w:type="page"/>
      </w:r>
    </w:p>
    <w:tbl>
      <w:tblPr>
        <w:tblStyle w:val="TableGrid"/>
        <w:tblpPr w:leftFromText="180" w:rightFromText="180" w:horzAnchor="margin" w:tblpY="645"/>
        <w:tblW w:w="9364" w:type="dxa"/>
        <w:tblLayout w:type="fixed"/>
        <w:tblCellMar>
          <w:left w:w="0" w:type="dxa"/>
          <w:right w:w="0" w:type="dxa"/>
        </w:tblCellMar>
        <w:tblLook w:val="04A0" w:firstRow="1" w:lastRow="0" w:firstColumn="1" w:lastColumn="0" w:noHBand="0" w:noVBand="1"/>
      </w:tblPr>
      <w:tblGrid>
        <w:gridCol w:w="2700"/>
        <w:gridCol w:w="1116"/>
        <w:gridCol w:w="1117"/>
        <w:gridCol w:w="1117"/>
        <w:gridCol w:w="1104"/>
        <w:gridCol w:w="1105"/>
        <w:gridCol w:w="1105"/>
      </w:tblGrid>
      <w:tr w:rsidR="00CB3C76" w:rsidRPr="00CB3C76" w:rsidTr="009D7407">
        <w:trPr>
          <w:trHeight w:val="972"/>
        </w:trPr>
        <w:tc>
          <w:tcPr>
            <w:tcW w:w="9364" w:type="dxa"/>
            <w:gridSpan w:val="7"/>
            <w:tcBorders>
              <w:top w:val="single" w:sz="4" w:space="0" w:color="auto"/>
              <w:left w:val="nil"/>
              <w:bottom w:val="nil"/>
              <w:right w:val="nil"/>
            </w:tcBorders>
            <w:vAlign w:val="center"/>
          </w:tcPr>
          <w:p w:rsidR="00CB3C76" w:rsidRPr="00CB3C76" w:rsidRDefault="00CB3C76" w:rsidP="00CB3C76">
            <w:pPr>
              <w:spacing w:before="120" w:line="240" w:lineRule="auto"/>
              <w:ind w:firstLine="0"/>
              <w:rPr>
                <w:rFonts w:asciiTheme="minorHAnsi" w:hAnsiTheme="minorHAnsi"/>
                <w:sz w:val="20"/>
                <w:szCs w:val="20"/>
              </w:rPr>
            </w:pPr>
            <w:r w:rsidRPr="00CB3C76">
              <w:rPr>
                <w:rFonts w:asciiTheme="minorHAnsi" w:hAnsiTheme="minorHAnsi"/>
                <w:b/>
                <w:sz w:val="20"/>
                <w:szCs w:val="20"/>
              </w:rPr>
              <w:lastRenderedPageBreak/>
              <w:t>Sample size</w:t>
            </w:r>
            <w:r w:rsidRPr="00CB3C76">
              <w:rPr>
                <w:rFonts w:asciiTheme="minorHAnsi" w:hAnsiTheme="minorHAnsi"/>
                <w:sz w:val="20"/>
                <w:szCs w:val="20"/>
              </w:rPr>
              <w:t xml:space="preserve">: N = Per </w:t>
            </w:r>
            <w:r w:rsidRPr="00CB3C76">
              <w:rPr>
                <w:rFonts w:asciiTheme="minorHAnsi" w:hAnsiTheme="minorHAnsi"/>
                <w:b/>
                <w:sz w:val="20"/>
                <w:szCs w:val="20"/>
              </w:rPr>
              <w:t>control</w:t>
            </w:r>
            <w:r w:rsidRPr="00CB3C76">
              <w:rPr>
                <w:rFonts w:asciiTheme="minorHAnsi" w:hAnsiTheme="minorHAnsi"/>
                <w:sz w:val="20"/>
                <w:szCs w:val="20"/>
              </w:rPr>
              <w:t xml:space="preserve"> or </w:t>
            </w:r>
            <w:r w:rsidRPr="00CB3C76">
              <w:rPr>
                <w:rFonts w:asciiTheme="minorHAnsi" w:hAnsiTheme="minorHAnsi"/>
                <w:b/>
                <w:sz w:val="20"/>
                <w:szCs w:val="20"/>
              </w:rPr>
              <w:t>program</w:t>
            </w:r>
            <w:r w:rsidRPr="00CB3C76">
              <w:rPr>
                <w:rFonts w:asciiTheme="minorHAnsi" w:hAnsiTheme="minorHAnsi"/>
                <w:sz w:val="20"/>
                <w:szCs w:val="20"/>
              </w:rPr>
              <w:t xml:space="preserve"> group, assuming equal size</w:t>
            </w:r>
          </w:p>
          <w:p w:rsidR="00CB3C76" w:rsidRPr="00CB3C76" w:rsidRDefault="00CB3C76" w:rsidP="00277B8D">
            <w:pPr>
              <w:spacing w:line="240" w:lineRule="auto"/>
              <w:ind w:firstLine="0"/>
              <w:rPr>
                <w:rFonts w:asciiTheme="minorHAnsi" w:hAnsiTheme="minorHAnsi"/>
                <w:sz w:val="20"/>
                <w:szCs w:val="20"/>
              </w:rPr>
            </w:pPr>
            <w:r w:rsidRPr="00CB3C76">
              <w:rPr>
                <w:rFonts w:asciiTheme="minorHAnsi" w:hAnsiTheme="minorHAnsi"/>
                <w:b/>
                <w:sz w:val="20"/>
                <w:szCs w:val="20"/>
              </w:rPr>
              <w:t>Assumptions</w:t>
            </w:r>
            <w:r w:rsidRPr="00CB3C76">
              <w:rPr>
                <w:rFonts w:asciiTheme="minorHAnsi" w:hAnsiTheme="minorHAnsi"/>
                <w:sz w:val="20"/>
                <w:szCs w:val="20"/>
              </w:rPr>
              <w:t>: Control group levels are assumed to be: 44 percent for employment</w:t>
            </w:r>
            <w:r w:rsidR="0067267A">
              <w:rPr>
                <w:rFonts w:asciiTheme="minorHAnsi" w:hAnsiTheme="minorHAnsi"/>
                <w:sz w:val="20"/>
                <w:szCs w:val="20"/>
              </w:rPr>
              <w:t xml:space="preserve"> </w:t>
            </w:r>
            <w:r w:rsidR="00277B8D">
              <w:rPr>
                <w:rFonts w:asciiTheme="minorHAnsi" w:hAnsiTheme="minorHAnsi"/>
                <w:sz w:val="20"/>
                <w:szCs w:val="20"/>
              </w:rPr>
              <w:t>and</w:t>
            </w:r>
            <w:r>
              <w:rPr>
                <w:rFonts w:asciiTheme="minorHAnsi" w:hAnsiTheme="minorHAnsi"/>
                <w:sz w:val="20"/>
                <w:szCs w:val="20"/>
              </w:rPr>
              <w:t xml:space="preserve"> </w:t>
            </w:r>
            <w:r w:rsidRPr="00CB3C76">
              <w:rPr>
                <w:rFonts w:asciiTheme="minorHAnsi" w:hAnsiTheme="minorHAnsi"/>
                <w:sz w:val="20"/>
                <w:szCs w:val="20"/>
              </w:rPr>
              <w:t xml:space="preserve">$7,000 for mean annual earnings, and $7,100 for the standard deviation of annual earnings.  MDE calculation for 2-tailed test at 10% significance and 80% statistical power.  Calculations assume that the R-squared for each impact equation is .10.  </w:t>
            </w:r>
          </w:p>
        </w:tc>
      </w:tr>
      <w:tr w:rsidR="00CB3C76" w:rsidRPr="00CB3C76" w:rsidTr="009D7407">
        <w:tc>
          <w:tcPr>
            <w:tcW w:w="9364" w:type="dxa"/>
            <w:gridSpan w:val="7"/>
            <w:tcBorders>
              <w:top w:val="nil"/>
              <w:left w:val="nil"/>
              <w:bottom w:val="nil"/>
              <w:right w:val="nil"/>
            </w:tcBorders>
            <w:vAlign w:val="center"/>
          </w:tcPr>
          <w:p w:rsidR="00CB3C76" w:rsidRPr="00CB3C76" w:rsidRDefault="00CB3C76" w:rsidP="00277B8D">
            <w:pPr>
              <w:spacing w:after="120" w:line="240" w:lineRule="auto"/>
              <w:jc w:val="center"/>
              <w:rPr>
                <w:rFonts w:asciiTheme="minorHAnsi" w:hAnsiTheme="minorHAnsi"/>
                <w:b/>
                <w:sz w:val="20"/>
                <w:szCs w:val="20"/>
              </w:rPr>
            </w:pPr>
          </w:p>
        </w:tc>
      </w:tr>
      <w:tr w:rsidR="00CB3C76" w:rsidRPr="00CB3C76" w:rsidTr="009D7407">
        <w:tc>
          <w:tcPr>
            <w:tcW w:w="9364" w:type="dxa"/>
            <w:gridSpan w:val="7"/>
            <w:tcBorders>
              <w:top w:val="nil"/>
              <w:left w:val="nil"/>
              <w:bottom w:val="single" w:sz="4" w:space="0" w:color="auto"/>
              <w:right w:val="nil"/>
            </w:tcBorders>
            <w:vAlign w:val="center"/>
          </w:tcPr>
          <w:p w:rsidR="00CB3C76" w:rsidRPr="00CB3C76" w:rsidRDefault="00CB3C76" w:rsidP="00277B8D">
            <w:pPr>
              <w:spacing w:after="120" w:line="240" w:lineRule="auto"/>
              <w:jc w:val="center"/>
              <w:rPr>
                <w:rFonts w:asciiTheme="minorHAnsi" w:hAnsiTheme="minorHAnsi"/>
                <w:b/>
                <w:sz w:val="20"/>
                <w:szCs w:val="20"/>
              </w:rPr>
            </w:pPr>
            <w:r w:rsidRPr="00CB3C76">
              <w:rPr>
                <w:rFonts w:asciiTheme="minorHAnsi" w:hAnsiTheme="minorHAnsi"/>
                <w:b/>
                <w:sz w:val="20"/>
                <w:szCs w:val="20"/>
              </w:rPr>
              <w:t>A. MDEs for Employment</w:t>
            </w:r>
          </w:p>
        </w:tc>
      </w:tr>
      <w:tr w:rsidR="00CB3C76" w:rsidRPr="00CB3C76" w:rsidTr="009D7407">
        <w:trPr>
          <w:trHeight w:val="109"/>
        </w:trPr>
        <w:tc>
          <w:tcPr>
            <w:tcW w:w="2700" w:type="dxa"/>
            <w:vMerge w:val="restart"/>
            <w:tcBorders>
              <w:top w:val="single" w:sz="4" w:space="0" w:color="auto"/>
              <w:left w:val="single" w:sz="4" w:space="0" w:color="auto"/>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b/>
                <w:sz w:val="20"/>
                <w:szCs w:val="20"/>
              </w:rPr>
              <w:t>Site</w:t>
            </w:r>
          </w:p>
        </w:tc>
        <w:tc>
          <w:tcPr>
            <w:tcW w:w="3350" w:type="dxa"/>
            <w:gridSpan w:val="3"/>
            <w:tcBorders>
              <w:top w:val="single" w:sz="4" w:space="0" w:color="auto"/>
              <w:left w:val="single" w:sz="4" w:space="0" w:color="auto"/>
              <w:bottom w:val="nil"/>
              <w:right w:val="single" w:sz="4" w:space="0" w:color="auto"/>
            </w:tcBorders>
            <w:vAlign w:val="bottom"/>
          </w:tcPr>
          <w:p w:rsidR="00CB3C76" w:rsidRPr="00CB3C76" w:rsidRDefault="00CB3C76" w:rsidP="00CB3C76">
            <w:pPr>
              <w:spacing w:after="80" w:line="240" w:lineRule="auto"/>
              <w:jc w:val="center"/>
              <w:rPr>
                <w:rFonts w:asciiTheme="minorHAnsi" w:hAnsiTheme="minorHAnsi"/>
                <w:b/>
                <w:sz w:val="20"/>
                <w:szCs w:val="20"/>
                <w:u w:val="single"/>
              </w:rPr>
            </w:pPr>
            <w:r w:rsidRPr="00CB3C76">
              <w:rPr>
                <w:rFonts w:asciiTheme="minorHAnsi" w:hAnsiTheme="minorHAnsi"/>
                <w:b/>
                <w:sz w:val="20"/>
                <w:szCs w:val="20"/>
                <w:u w:val="single"/>
              </w:rPr>
              <w:t xml:space="preserve"> Lower-Bound</w:t>
            </w:r>
          </w:p>
        </w:tc>
        <w:tc>
          <w:tcPr>
            <w:tcW w:w="3314" w:type="dxa"/>
            <w:gridSpan w:val="3"/>
            <w:tcBorders>
              <w:top w:val="single" w:sz="4" w:space="0" w:color="auto"/>
              <w:left w:val="single" w:sz="4" w:space="0" w:color="auto"/>
              <w:bottom w:val="nil"/>
              <w:right w:val="single" w:sz="4" w:space="0" w:color="auto"/>
            </w:tcBorders>
            <w:vAlign w:val="bottom"/>
          </w:tcPr>
          <w:p w:rsidR="00CB3C76" w:rsidRPr="00CB3C76" w:rsidRDefault="00CB3C76" w:rsidP="00CB3C76">
            <w:pPr>
              <w:spacing w:after="80" w:line="240" w:lineRule="auto"/>
              <w:jc w:val="center"/>
              <w:rPr>
                <w:rFonts w:asciiTheme="minorHAnsi" w:hAnsiTheme="minorHAnsi"/>
                <w:b/>
                <w:sz w:val="20"/>
                <w:szCs w:val="20"/>
                <w:u w:val="single"/>
              </w:rPr>
            </w:pPr>
            <w:r w:rsidRPr="00CB3C76">
              <w:rPr>
                <w:rFonts w:asciiTheme="minorHAnsi" w:hAnsiTheme="minorHAnsi"/>
                <w:b/>
                <w:sz w:val="20"/>
                <w:szCs w:val="20"/>
                <w:u w:val="single"/>
              </w:rPr>
              <w:t>Pledged</w:t>
            </w:r>
          </w:p>
        </w:tc>
      </w:tr>
      <w:tr w:rsidR="00CB3C76" w:rsidRPr="00CB3C76" w:rsidTr="009D7407">
        <w:trPr>
          <w:trHeight w:val="80"/>
        </w:trPr>
        <w:tc>
          <w:tcPr>
            <w:tcW w:w="2700" w:type="dxa"/>
            <w:vMerge/>
            <w:tcBorders>
              <w:left w:val="single" w:sz="4" w:space="0" w:color="auto"/>
              <w:bottom w:val="single" w:sz="4" w:space="0" w:color="auto"/>
              <w:right w:val="single" w:sz="4" w:space="0" w:color="auto"/>
            </w:tcBorders>
            <w:vAlign w:val="center"/>
          </w:tcPr>
          <w:p w:rsidR="00CB3C76" w:rsidRPr="00CB3C76" w:rsidRDefault="00CB3C76" w:rsidP="00CB3C76">
            <w:pPr>
              <w:spacing w:line="240" w:lineRule="auto"/>
              <w:jc w:val="center"/>
              <w:rPr>
                <w:rFonts w:asciiTheme="minorHAnsi" w:hAnsiTheme="minorHAnsi"/>
                <w:b/>
                <w:sz w:val="20"/>
                <w:szCs w:val="20"/>
              </w:rPr>
            </w:pPr>
          </w:p>
        </w:tc>
        <w:tc>
          <w:tcPr>
            <w:tcW w:w="1116" w:type="dxa"/>
            <w:tcBorders>
              <w:top w:val="nil"/>
              <w:left w:val="single" w:sz="4" w:space="0" w:color="auto"/>
              <w:bottom w:val="single" w:sz="4" w:space="0" w:color="auto"/>
              <w:right w:val="nil"/>
            </w:tcBorders>
            <w:vAlign w:val="bottom"/>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b/>
                <w:sz w:val="20"/>
                <w:szCs w:val="20"/>
              </w:rPr>
              <w:t>N</w:t>
            </w:r>
          </w:p>
        </w:tc>
        <w:tc>
          <w:tcPr>
            <w:tcW w:w="1117" w:type="dxa"/>
            <w:tcBorders>
              <w:top w:val="nil"/>
              <w:left w:val="nil"/>
              <w:bottom w:val="single" w:sz="4" w:space="0" w:color="auto"/>
              <w:right w:val="nil"/>
            </w:tcBorders>
            <w:vAlign w:val="bottom"/>
          </w:tcPr>
          <w:p w:rsidR="00CB3C76" w:rsidRPr="00CB3C76" w:rsidRDefault="00CB3C76" w:rsidP="00277B8D">
            <w:pPr>
              <w:tabs>
                <w:tab w:val="clear" w:pos="432"/>
              </w:tabs>
              <w:spacing w:line="240" w:lineRule="auto"/>
              <w:ind w:left="-108" w:firstLine="252"/>
              <w:jc w:val="center"/>
              <w:rPr>
                <w:rFonts w:asciiTheme="minorHAnsi" w:hAnsiTheme="minorHAnsi"/>
                <w:sz w:val="20"/>
                <w:szCs w:val="20"/>
              </w:rPr>
            </w:pPr>
            <w:r w:rsidRPr="00CB3C76">
              <w:rPr>
                <w:rFonts w:asciiTheme="minorHAnsi" w:hAnsiTheme="minorHAnsi"/>
                <w:b/>
                <w:sz w:val="20"/>
                <w:szCs w:val="20"/>
              </w:rPr>
              <w:t>Percentage Points</w:t>
            </w:r>
          </w:p>
        </w:tc>
        <w:tc>
          <w:tcPr>
            <w:tcW w:w="1117" w:type="dxa"/>
            <w:tcBorders>
              <w:top w:val="nil"/>
              <w:left w:val="nil"/>
              <w:bottom w:val="single" w:sz="4" w:space="0" w:color="auto"/>
              <w:right w:val="single" w:sz="4" w:space="0" w:color="auto"/>
            </w:tcBorders>
            <w:vAlign w:val="bottom"/>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b/>
                <w:sz w:val="20"/>
                <w:szCs w:val="20"/>
              </w:rPr>
              <w:t>%</w:t>
            </w:r>
          </w:p>
          <w:p w:rsidR="00CB3C76" w:rsidRPr="00CB3C76" w:rsidRDefault="00CB3C76" w:rsidP="00CB3C76">
            <w:pPr>
              <w:spacing w:line="240" w:lineRule="auto"/>
              <w:jc w:val="center"/>
              <w:rPr>
                <w:rFonts w:asciiTheme="minorHAnsi" w:hAnsiTheme="minorHAnsi"/>
                <w:b/>
                <w:sz w:val="20"/>
                <w:szCs w:val="20"/>
              </w:rPr>
            </w:pPr>
            <w:proofErr w:type="spellStart"/>
            <w:r w:rsidRPr="00CB3C76">
              <w:rPr>
                <w:rFonts w:asciiTheme="minorHAnsi" w:hAnsiTheme="minorHAnsi"/>
                <w:b/>
                <w:sz w:val="20"/>
                <w:szCs w:val="20"/>
              </w:rPr>
              <w:t>Chg</w:t>
            </w:r>
            <w:proofErr w:type="spellEnd"/>
          </w:p>
        </w:tc>
        <w:tc>
          <w:tcPr>
            <w:tcW w:w="1104" w:type="dxa"/>
            <w:tcBorders>
              <w:top w:val="nil"/>
              <w:left w:val="single" w:sz="4" w:space="0" w:color="auto"/>
              <w:bottom w:val="single" w:sz="4" w:space="0" w:color="auto"/>
              <w:right w:val="nil"/>
            </w:tcBorders>
            <w:vAlign w:val="bottom"/>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b/>
                <w:sz w:val="20"/>
                <w:szCs w:val="20"/>
              </w:rPr>
              <w:t>N</w:t>
            </w:r>
          </w:p>
        </w:tc>
        <w:tc>
          <w:tcPr>
            <w:tcW w:w="1105" w:type="dxa"/>
            <w:tcBorders>
              <w:top w:val="nil"/>
              <w:left w:val="nil"/>
              <w:bottom w:val="single" w:sz="4" w:space="0" w:color="auto"/>
              <w:right w:val="nil"/>
            </w:tcBorders>
            <w:vAlign w:val="bottom"/>
          </w:tcPr>
          <w:p w:rsidR="00CB3C76" w:rsidRPr="00CB3C76" w:rsidRDefault="00CB3C76" w:rsidP="00277B8D">
            <w:pPr>
              <w:spacing w:line="240" w:lineRule="auto"/>
              <w:ind w:left="-108" w:firstLine="244"/>
              <w:jc w:val="center"/>
              <w:rPr>
                <w:rFonts w:asciiTheme="minorHAnsi" w:hAnsiTheme="minorHAnsi"/>
                <w:sz w:val="20"/>
                <w:szCs w:val="20"/>
              </w:rPr>
            </w:pPr>
            <w:r w:rsidRPr="00CB3C76">
              <w:rPr>
                <w:rFonts w:asciiTheme="minorHAnsi" w:hAnsiTheme="minorHAnsi"/>
                <w:b/>
                <w:sz w:val="20"/>
                <w:szCs w:val="20"/>
              </w:rPr>
              <w:t>Percentage Points</w:t>
            </w:r>
          </w:p>
        </w:tc>
        <w:tc>
          <w:tcPr>
            <w:tcW w:w="1105" w:type="dxa"/>
            <w:tcBorders>
              <w:top w:val="nil"/>
              <w:left w:val="nil"/>
              <w:bottom w:val="single" w:sz="4" w:space="0" w:color="auto"/>
              <w:right w:val="single" w:sz="4" w:space="0" w:color="auto"/>
            </w:tcBorders>
            <w:vAlign w:val="bottom"/>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b/>
                <w:sz w:val="20"/>
                <w:szCs w:val="20"/>
              </w:rPr>
              <w:t>%</w:t>
            </w:r>
          </w:p>
          <w:p w:rsidR="00CB3C76" w:rsidRPr="00CB3C76" w:rsidRDefault="00CB3C76" w:rsidP="00CB3C76">
            <w:pPr>
              <w:spacing w:line="240" w:lineRule="auto"/>
              <w:jc w:val="center"/>
              <w:rPr>
                <w:rFonts w:asciiTheme="minorHAnsi" w:hAnsiTheme="minorHAnsi"/>
                <w:b/>
                <w:sz w:val="20"/>
                <w:szCs w:val="20"/>
              </w:rPr>
            </w:pPr>
            <w:proofErr w:type="spellStart"/>
            <w:r w:rsidRPr="00CB3C76">
              <w:rPr>
                <w:rFonts w:asciiTheme="minorHAnsi" w:hAnsiTheme="minorHAnsi"/>
                <w:b/>
                <w:sz w:val="20"/>
                <w:szCs w:val="20"/>
              </w:rPr>
              <w:t>Chg</w:t>
            </w:r>
            <w:proofErr w:type="spellEnd"/>
          </w:p>
        </w:tc>
      </w:tr>
      <w:tr w:rsidR="00CB3C76" w:rsidRPr="00CB3C76" w:rsidTr="009D7407">
        <w:trPr>
          <w:trHeight w:val="50"/>
        </w:trPr>
        <w:tc>
          <w:tcPr>
            <w:tcW w:w="2700" w:type="dxa"/>
            <w:tcBorders>
              <w:top w:val="single" w:sz="4" w:space="0" w:color="auto"/>
              <w:left w:val="single" w:sz="4" w:space="0" w:color="auto"/>
              <w:bottom w:val="nil"/>
              <w:right w:val="single" w:sz="4" w:space="0" w:color="auto"/>
            </w:tcBorders>
          </w:tcPr>
          <w:p w:rsidR="00CB3C76" w:rsidRPr="00CB3C76" w:rsidRDefault="00CB3C76" w:rsidP="00CB3C76">
            <w:pPr>
              <w:tabs>
                <w:tab w:val="clear" w:pos="432"/>
              </w:tabs>
              <w:spacing w:before="120" w:line="240" w:lineRule="auto"/>
              <w:ind w:firstLine="0"/>
              <w:rPr>
                <w:rFonts w:asciiTheme="minorHAnsi" w:hAnsiTheme="minorHAnsi"/>
                <w:sz w:val="20"/>
                <w:szCs w:val="20"/>
              </w:rPr>
            </w:pPr>
            <w:r w:rsidRPr="00CB3C76">
              <w:rPr>
                <w:rFonts w:asciiTheme="minorHAnsi" w:hAnsiTheme="minorHAnsi"/>
                <w:sz w:val="20"/>
                <w:szCs w:val="20"/>
              </w:rPr>
              <w:t xml:space="preserve">        Lexington, KY</w:t>
            </w:r>
          </w:p>
        </w:tc>
        <w:tc>
          <w:tcPr>
            <w:tcW w:w="1116" w:type="dxa"/>
            <w:tcBorders>
              <w:top w:val="nil"/>
              <w:left w:val="single" w:sz="4" w:space="0" w:color="auto"/>
              <w:bottom w:val="nil"/>
              <w:right w:val="nil"/>
            </w:tcBorders>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tcBorders>
              <w:top w:val="nil"/>
              <w:left w:val="nil"/>
              <w:bottom w:val="nil"/>
              <w:right w:val="nil"/>
            </w:tcBorders>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8.35</w:t>
            </w:r>
          </w:p>
        </w:tc>
        <w:tc>
          <w:tcPr>
            <w:tcW w:w="1117" w:type="dxa"/>
            <w:tcBorders>
              <w:top w:val="nil"/>
              <w:left w:val="nil"/>
              <w:bottom w:val="nil"/>
              <w:right w:val="single" w:sz="4" w:space="0" w:color="auto"/>
            </w:tcBorders>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18.9</w:t>
            </w:r>
          </w:p>
        </w:tc>
        <w:tc>
          <w:tcPr>
            <w:tcW w:w="1104" w:type="dxa"/>
            <w:tcBorders>
              <w:top w:val="nil"/>
              <w:left w:val="single" w:sz="4" w:space="0" w:color="auto"/>
              <w:bottom w:val="nil"/>
              <w:right w:val="nil"/>
            </w:tcBorders>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700</w:t>
            </w:r>
          </w:p>
        </w:tc>
        <w:tc>
          <w:tcPr>
            <w:tcW w:w="1105" w:type="dxa"/>
            <w:tcBorders>
              <w:top w:val="nil"/>
              <w:left w:val="nil"/>
              <w:bottom w:val="nil"/>
              <w:right w:val="nil"/>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6.3</w:t>
            </w:r>
          </w:p>
        </w:tc>
        <w:tc>
          <w:tcPr>
            <w:tcW w:w="1105" w:type="dxa"/>
            <w:tcBorders>
              <w:top w:val="nil"/>
              <w:left w:val="nil"/>
              <w:bottom w:val="nil"/>
              <w:right w:val="single" w:sz="4" w:space="0" w:color="auto"/>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14.3</w:t>
            </w:r>
          </w:p>
        </w:tc>
      </w:tr>
      <w:tr w:rsidR="00CB3C76" w:rsidRPr="00CB3C76" w:rsidTr="009D7407">
        <w:tc>
          <w:tcPr>
            <w:tcW w:w="2700" w:type="dxa"/>
            <w:tcBorders>
              <w:top w:val="nil"/>
              <w:left w:val="single" w:sz="4" w:space="0" w:color="auto"/>
              <w:bottom w:val="nil"/>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Louisville, KY</w:t>
            </w:r>
          </w:p>
        </w:tc>
        <w:tc>
          <w:tcPr>
            <w:tcW w:w="1116" w:type="dxa"/>
            <w:tcBorders>
              <w:top w:val="nil"/>
              <w:left w:val="single" w:sz="4" w:space="0" w:color="auto"/>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tcBorders>
              <w:top w:val="nil"/>
              <w:left w:val="nil"/>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8.35</w:t>
            </w:r>
          </w:p>
        </w:tc>
        <w:tc>
          <w:tcPr>
            <w:tcW w:w="1117" w:type="dxa"/>
            <w:tcBorders>
              <w:top w:val="nil"/>
              <w:left w:val="nil"/>
              <w:bottom w:val="nil"/>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18.9</w:t>
            </w:r>
          </w:p>
        </w:tc>
        <w:tc>
          <w:tcPr>
            <w:tcW w:w="1104" w:type="dxa"/>
            <w:tcBorders>
              <w:top w:val="nil"/>
              <w:left w:val="single" w:sz="4" w:space="0" w:color="auto"/>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tcBorders>
              <w:top w:val="nil"/>
              <w:left w:val="nil"/>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5.3</w:t>
            </w:r>
          </w:p>
        </w:tc>
        <w:tc>
          <w:tcPr>
            <w:tcW w:w="1105" w:type="dxa"/>
            <w:tcBorders>
              <w:top w:val="nil"/>
              <w:left w:val="nil"/>
              <w:bottom w:val="nil"/>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12.0</w:t>
            </w:r>
          </w:p>
        </w:tc>
      </w:tr>
      <w:tr w:rsidR="00CB3C76" w:rsidRPr="00CB3C76" w:rsidTr="009D7407">
        <w:tc>
          <w:tcPr>
            <w:tcW w:w="2700" w:type="dxa"/>
            <w:tcBorders>
              <w:top w:val="nil"/>
              <w:left w:val="single" w:sz="4" w:space="0" w:color="auto"/>
              <w:bottom w:val="nil"/>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San Antonio, TX</w:t>
            </w:r>
          </w:p>
        </w:tc>
        <w:tc>
          <w:tcPr>
            <w:tcW w:w="1116" w:type="dxa"/>
            <w:tcBorders>
              <w:top w:val="nil"/>
              <w:left w:val="single" w:sz="4" w:space="0" w:color="auto"/>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tcBorders>
              <w:top w:val="nil"/>
              <w:left w:val="nil"/>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8.35</w:t>
            </w:r>
          </w:p>
        </w:tc>
        <w:tc>
          <w:tcPr>
            <w:tcW w:w="1117" w:type="dxa"/>
            <w:tcBorders>
              <w:top w:val="nil"/>
              <w:left w:val="nil"/>
              <w:bottom w:val="nil"/>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18.9</w:t>
            </w:r>
          </w:p>
        </w:tc>
        <w:tc>
          <w:tcPr>
            <w:tcW w:w="1104" w:type="dxa"/>
            <w:tcBorders>
              <w:top w:val="nil"/>
              <w:left w:val="single" w:sz="4" w:space="0" w:color="auto"/>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tcBorders>
              <w:top w:val="nil"/>
              <w:left w:val="nil"/>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5.3</w:t>
            </w:r>
          </w:p>
        </w:tc>
        <w:tc>
          <w:tcPr>
            <w:tcW w:w="1105" w:type="dxa"/>
            <w:tcBorders>
              <w:top w:val="nil"/>
              <w:left w:val="nil"/>
              <w:bottom w:val="nil"/>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12.0</w:t>
            </w:r>
          </w:p>
        </w:tc>
      </w:tr>
      <w:tr w:rsidR="00CB3C76" w:rsidRPr="00CB3C76" w:rsidTr="009D7407">
        <w:tc>
          <w:tcPr>
            <w:tcW w:w="2700" w:type="dxa"/>
            <w:tcBorders>
              <w:top w:val="nil"/>
              <w:left w:val="single" w:sz="4" w:space="0" w:color="auto"/>
              <w:bottom w:val="nil"/>
              <w:right w:val="single" w:sz="4" w:space="0" w:color="auto"/>
            </w:tcBorders>
            <w:shd w:val="clear" w:color="auto" w:fill="auto"/>
          </w:tcPr>
          <w:p w:rsidR="00CB3C76" w:rsidRPr="00CB3C76" w:rsidRDefault="00CB3C76" w:rsidP="00CB3C76">
            <w:pPr>
              <w:tabs>
                <w:tab w:val="clear" w:pos="432"/>
              </w:tabs>
              <w:spacing w:line="240" w:lineRule="auto"/>
              <w:ind w:firstLine="0"/>
              <w:rPr>
                <w:rFonts w:asciiTheme="minorHAnsi" w:hAnsiTheme="minorHAnsi"/>
                <w:b/>
                <w:sz w:val="20"/>
                <w:szCs w:val="20"/>
              </w:rPr>
            </w:pPr>
            <w:r w:rsidRPr="00CB3C76">
              <w:rPr>
                <w:rFonts w:asciiTheme="minorHAnsi" w:hAnsiTheme="minorHAnsi"/>
                <w:sz w:val="20"/>
                <w:szCs w:val="20"/>
              </w:rPr>
              <w:t xml:space="preserve">        Washington, DC</w:t>
            </w:r>
          </w:p>
        </w:tc>
        <w:tc>
          <w:tcPr>
            <w:tcW w:w="1116" w:type="dxa"/>
            <w:tcBorders>
              <w:top w:val="nil"/>
              <w:left w:val="single" w:sz="4" w:space="0" w:color="auto"/>
              <w:bottom w:val="nil"/>
              <w:right w:val="nil"/>
            </w:tcBorders>
            <w:shd w:val="clear" w:color="auto" w:fill="auto"/>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sz w:val="20"/>
                <w:szCs w:val="20"/>
              </w:rPr>
              <w:t>400</w:t>
            </w:r>
          </w:p>
        </w:tc>
        <w:tc>
          <w:tcPr>
            <w:tcW w:w="1117" w:type="dxa"/>
            <w:tcBorders>
              <w:top w:val="nil"/>
              <w:left w:val="nil"/>
              <w:bottom w:val="nil"/>
              <w:right w:val="nil"/>
            </w:tcBorders>
            <w:shd w:val="clear" w:color="auto" w:fill="auto"/>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sz w:val="20"/>
                <w:szCs w:val="20"/>
              </w:rPr>
              <w:t>8.35</w:t>
            </w:r>
          </w:p>
        </w:tc>
        <w:tc>
          <w:tcPr>
            <w:tcW w:w="1117" w:type="dxa"/>
            <w:tcBorders>
              <w:top w:val="nil"/>
              <w:left w:val="nil"/>
              <w:bottom w:val="nil"/>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sz w:val="20"/>
                <w:szCs w:val="20"/>
              </w:rPr>
              <w:t>18.9</w:t>
            </w:r>
          </w:p>
        </w:tc>
        <w:tc>
          <w:tcPr>
            <w:tcW w:w="1104" w:type="dxa"/>
            <w:tcBorders>
              <w:top w:val="nil"/>
              <w:left w:val="single" w:sz="4" w:space="0" w:color="auto"/>
              <w:bottom w:val="nil"/>
              <w:right w:val="nil"/>
            </w:tcBorders>
            <w:shd w:val="clear" w:color="auto" w:fill="auto"/>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sz w:val="20"/>
                <w:szCs w:val="20"/>
              </w:rPr>
              <w:t>1,000</w:t>
            </w:r>
          </w:p>
        </w:tc>
        <w:tc>
          <w:tcPr>
            <w:tcW w:w="1105" w:type="dxa"/>
            <w:tcBorders>
              <w:top w:val="nil"/>
              <w:left w:val="nil"/>
              <w:bottom w:val="nil"/>
              <w:right w:val="nil"/>
            </w:tcBorders>
            <w:shd w:val="clear" w:color="auto" w:fill="auto"/>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sz w:val="20"/>
                <w:szCs w:val="20"/>
              </w:rPr>
              <w:t>5.3</w:t>
            </w:r>
          </w:p>
        </w:tc>
        <w:tc>
          <w:tcPr>
            <w:tcW w:w="1105" w:type="dxa"/>
            <w:tcBorders>
              <w:top w:val="nil"/>
              <w:left w:val="nil"/>
              <w:bottom w:val="nil"/>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sz w:val="20"/>
                <w:szCs w:val="20"/>
              </w:rPr>
              <w:t>12.0</w:t>
            </w:r>
          </w:p>
        </w:tc>
      </w:tr>
      <w:tr w:rsidR="00CB3C76" w:rsidRPr="00CB3C76" w:rsidTr="009D7407">
        <w:tc>
          <w:tcPr>
            <w:tcW w:w="2700" w:type="dxa"/>
            <w:tcBorders>
              <w:top w:val="nil"/>
              <w:left w:val="single" w:sz="4" w:space="0" w:color="auto"/>
              <w:bottom w:val="nil"/>
              <w:right w:val="single" w:sz="4" w:space="0" w:color="auto"/>
            </w:tcBorders>
            <w:shd w:val="clear" w:color="auto" w:fill="auto"/>
          </w:tcPr>
          <w:p w:rsidR="00CB3C76" w:rsidRPr="00CB3C76" w:rsidRDefault="00CB3C76" w:rsidP="00CB3C76">
            <w:pPr>
              <w:tabs>
                <w:tab w:val="clear" w:pos="432"/>
              </w:tabs>
              <w:spacing w:before="60" w:after="60" w:line="240" w:lineRule="auto"/>
              <w:ind w:firstLine="0"/>
              <w:rPr>
                <w:rFonts w:asciiTheme="minorHAnsi" w:hAnsiTheme="minorHAnsi"/>
                <w:b/>
                <w:sz w:val="20"/>
                <w:szCs w:val="20"/>
              </w:rPr>
            </w:pPr>
            <w:r w:rsidRPr="00CB3C76">
              <w:rPr>
                <w:rFonts w:asciiTheme="minorHAnsi" w:hAnsiTheme="minorHAnsi"/>
                <w:b/>
                <w:sz w:val="20"/>
                <w:szCs w:val="20"/>
              </w:rPr>
              <w:t xml:space="preserve">   Pooled, with Louisville</w:t>
            </w:r>
          </w:p>
        </w:tc>
        <w:tc>
          <w:tcPr>
            <w:tcW w:w="1116" w:type="dxa"/>
            <w:tcBorders>
              <w:top w:val="nil"/>
              <w:left w:val="single" w:sz="4" w:space="0" w:color="auto"/>
              <w:bottom w:val="nil"/>
              <w:right w:val="nil"/>
            </w:tcBorders>
            <w:shd w:val="clear" w:color="auto" w:fill="auto"/>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1,600</w:t>
            </w:r>
          </w:p>
        </w:tc>
        <w:tc>
          <w:tcPr>
            <w:tcW w:w="1117" w:type="dxa"/>
            <w:tcBorders>
              <w:top w:val="nil"/>
              <w:left w:val="nil"/>
              <w:bottom w:val="nil"/>
              <w:right w:val="nil"/>
            </w:tcBorders>
            <w:shd w:val="clear" w:color="auto" w:fill="auto"/>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4.15</w:t>
            </w:r>
          </w:p>
        </w:tc>
        <w:tc>
          <w:tcPr>
            <w:tcW w:w="1117" w:type="dxa"/>
            <w:tcBorders>
              <w:top w:val="nil"/>
              <w:left w:val="nil"/>
              <w:bottom w:val="nil"/>
              <w:right w:val="single" w:sz="4" w:space="0" w:color="auto"/>
            </w:tcBorders>
            <w:shd w:val="clear" w:color="auto" w:fill="auto"/>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9.4</w:t>
            </w:r>
          </w:p>
        </w:tc>
        <w:tc>
          <w:tcPr>
            <w:tcW w:w="1104" w:type="dxa"/>
            <w:tcBorders>
              <w:top w:val="nil"/>
              <w:left w:val="single" w:sz="4" w:space="0" w:color="auto"/>
              <w:bottom w:val="nil"/>
              <w:right w:val="nil"/>
            </w:tcBorders>
            <w:shd w:val="clear" w:color="auto" w:fill="auto"/>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3,700</w:t>
            </w:r>
          </w:p>
        </w:tc>
        <w:tc>
          <w:tcPr>
            <w:tcW w:w="1105" w:type="dxa"/>
            <w:tcBorders>
              <w:top w:val="nil"/>
              <w:left w:val="nil"/>
              <w:bottom w:val="nil"/>
              <w:right w:val="nil"/>
            </w:tcBorders>
            <w:shd w:val="clear" w:color="auto" w:fill="auto"/>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2.75</w:t>
            </w:r>
          </w:p>
        </w:tc>
        <w:tc>
          <w:tcPr>
            <w:tcW w:w="1105" w:type="dxa"/>
            <w:tcBorders>
              <w:top w:val="nil"/>
              <w:left w:val="nil"/>
              <w:bottom w:val="nil"/>
              <w:right w:val="single" w:sz="4" w:space="0" w:color="auto"/>
            </w:tcBorders>
            <w:shd w:val="clear" w:color="auto" w:fill="auto"/>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6.3</w:t>
            </w:r>
          </w:p>
        </w:tc>
      </w:tr>
      <w:tr w:rsidR="00CB3C76" w:rsidRPr="00CB3C76" w:rsidTr="009D7407">
        <w:tc>
          <w:tcPr>
            <w:tcW w:w="2700" w:type="dxa"/>
            <w:tcBorders>
              <w:top w:val="nil"/>
              <w:left w:val="single" w:sz="4" w:space="0" w:color="auto"/>
              <w:bottom w:val="single" w:sz="4" w:space="0" w:color="auto"/>
              <w:right w:val="single" w:sz="4" w:space="0" w:color="auto"/>
            </w:tcBorders>
          </w:tcPr>
          <w:p w:rsidR="00CB3C76" w:rsidRPr="00CB3C76" w:rsidRDefault="00CB3C76" w:rsidP="00CB3C76">
            <w:pPr>
              <w:tabs>
                <w:tab w:val="clear" w:pos="432"/>
              </w:tabs>
              <w:spacing w:after="60" w:line="240" w:lineRule="auto"/>
              <w:ind w:firstLine="0"/>
              <w:rPr>
                <w:rFonts w:asciiTheme="minorHAnsi" w:hAnsiTheme="minorHAnsi"/>
                <w:b/>
                <w:sz w:val="20"/>
                <w:szCs w:val="20"/>
              </w:rPr>
            </w:pPr>
            <w:r w:rsidRPr="00CB3C76">
              <w:rPr>
                <w:rFonts w:asciiTheme="minorHAnsi" w:hAnsiTheme="minorHAnsi"/>
                <w:b/>
                <w:sz w:val="20"/>
                <w:szCs w:val="20"/>
              </w:rPr>
              <w:t xml:space="preserve">   </w:t>
            </w:r>
            <w:proofErr w:type="spellStart"/>
            <w:r w:rsidRPr="00CB3C76">
              <w:rPr>
                <w:rFonts w:asciiTheme="minorHAnsi" w:hAnsiTheme="minorHAnsi"/>
                <w:b/>
                <w:sz w:val="20"/>
                <w:szCs w:val="20"/>
              </w:rPr>
              <w:t>Pooled,without</w:t>
            </w:r>
            <w:proofErr w:type="spellEnd"/>
            <w:r w:rsidRPr="00CB3C76">
              <w:rPr>
                <w:rFonts w:asciiTheme="minorHAnsi" w:hAnsiTheme="minorHAnsi"/>
                <w:b/>
                <w:sz w:val="20"/>
                <w:szCs w:val="20"/>
              </w:rPr>
              <w:t xml:space="preserve"> Louisville</w:t>
            </w:r>
            <w:r w:rsidRPr="00CB3C76">
              <w:rPr>
                <w:rFonts w:asciiTheme="minorHAnsi" w:hAnsiTheme="minorHAnsi"/>
                <w:b/>
                <w:sz w:val="20"/>
                <w:szCs w:val="20"/>
                <w:vertAlign w:val="superscript"/>
              </w:rPr>
              <w:t>1</w:t>
            </w:r>
          </w:p>
        </w:tc>
        <w:tc>
          <w:tcPr>
            <w:tcW w:w="1116" w:type="dxa"/>
            <w:tcBorders>
              <w:top w:val="nil"/>
              <w:left w:val="single" w:sz="4" w:space="0" w:color="auto"/>
              <w:bottom w:val="single" w:sz="4" w:space="0" w:color="auto"/>
              <w:right w:val="nil"/>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1,200</w:t>
            </w:r>
          </w:p>
        </w:tc>
        <w:tc>
          <w:tcPr>
            <w:tcW w:w="1117" w:type="dxa"/>
            <w:tcBorders>
              <w:top w:val="nil"/>
              <w:left w:val="nil"/>
              <w:bottom w:val="single" w:sz="4" w:space="0" w:color="auto"/>
              <w:right w:val="nil"/>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4.80</w:t>
            </w:r>
          </w:p>
        </w:tc>
        <w:tc>
          <w:tcPr>
            <w:tcW w:w="1117" w:type="dxa"/>
            <w:tcBorders>
              <w:top w:val="nil"/>
              <w:left w:val="nil"/>
              <w:bottom w:val="single" w:sz="4" w:space="0" w:color="auto"/>
              <w:right w:val="single" w:sz="4" w:space="0" w:color="auto"/>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10.9</w:t>
            </w:r>
          </w:p>
        </w:tc>
        <w:tc>
          <w:tcPr>
            <w:tcW w:w="1104" w:type="dxa"/>
            <w:tcBorders>
              <w:top w:val="nil"/>
              <w:left w:val="single" w:sz="4" w:space="0" w:color="auto"/>
              <w:bottom w:val="single" w:sz="4" w:space="0" w:color="auto"/>
              <w:right w:val="nil"/>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2,700</w:t>
            </w:r>
          </w:p>
        </w:tc>
        <w:tc>
          <w:tcPr>
            <w:tcW w:w="1105" w:type="dxa"/>
            <w:tcBorders>
              <w:top w:val="nil"/>
              <w:left w:val="nil"/>
              <w:bottom w:val="single" w:sz="4" w:space="0" w:color="auto"/>
              <w:right w:val="nil"/>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3.20</w:t>
            </w:r>
          </w:p>
        </w:tc>
        <w:tc>
          <w:tcPr>
            <w:tcW w:w="1105" w:type="dxa"/>
            <w:tcBorders>
              <w:top w:val="nil"/>
              <w:left w:val="nil"/>
              <w:bottom w:val="single" w:sz="4" w:space="0" w:color="auto"/>
              <w:right w:val="single" w:sz="4" w:space="0" w:color="auto"/>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7.2</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4" w:type="dxa"/>
            <w:gridSpan w:val="7"/>
            <w:tcBorders>
              <w:top w:val="single" w:sz="4" w:space="0" w:color="auto"/>
            </w:tcBorders>
            <w:vAlign w:val="center"/>
          </w:tcPr>
          <w:p w:rsidR="00CB3C76" w:rsidRPr="00CB3C76" w:rsidRDefault="00CB3C76" w:rsidP="00CB3C76">
            <w:pPr>
              <w:spacing w:line="240" w:lineRule="auto"/>
              <w:rPr>
                <w:rFonts w:asciiTheme="minorHAnsi" w:hAnsiTheme="minorHAnsi"/>
                <w:b/>
                <w:sz w:val="20"/>
                <w:szCs w:val="20"/>
              </w:rPr>
            </w:pP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4" w:type="dxa"/>
            <w:gridSpan w:val="7"/>
            <w:tcBorders>
              <w:bottom w:val="single" w:sz="4" w:space="0" w:color="auto"/>
            </w:tcBorders>
            <w:vAlign w:val="center"/>
          </w:tcPr>
          <w:p w:rsidR="00CB3C76" w:rsidRPr="00CB3C76" w:rsidRDefault="00CB3C76" w:rsidP="00CB3C76">
            <w:pPr>
              <w:spacing w:before="120" w:after="120" w:line="240" w:lineRule="auto"/>
              <w:jc w:val="center"/>
              <w:rPr>
                <w:rFonts w:asciiTheme="minorHAnsi" w:hAnsiTheme="minorHAnsi"/>
                <w:b/>
                <w:sz w:val="20"/>
                <w:szCs w:val="20"/>
              </w:rPr>
            </w:pPr>
            <w:r w:rsidRPr="00CB3C76">
              <w:rPr>
                <w:rFonts w:asciiTheme="minorHAnsi" w:hAnsiTheme="minorHAnsi"/>
                <w:b/>
                <w:sz w:val="20"/>
                <w:szCs w:val="20"/>
              </w:rPr>
              <w:t>B. MDEs for Annual Earnings</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
        </w:trPr>
        <w:tc>
          <w:tcPr>
            <w:tcW w:w="2700" w:type="dxa"/>
            <w:vMerge w:val="restart"/>
            <w:tcBorders>
              <w:top w:val="single" w:sz="4" w:space="0" w:color="auto"/>
              <w:left w:val="single" w:sz="4" w:space="0" w:color="auto"/>
              <w:bottom w:val="single" w:sz="4" w:space="0" w:color="auto"/>
              <w:right w:val="single" w:sz="4" w:space="0" w:color="auto"/>
            </w:tcBorders>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b/>
                <w:sz w:val="20"/>
                <w:szCs w:val="20"/>
              </w:rPr>
              <w:t>Site</w:t>
            </w:r>
          </w:p>
        </w:tc>
        <w:tc>
          <w:tcPr>
            <w:tcW w:w="3350" w:type="dxa"/>
            <w:gridSpan w:val="3"/>
            <w:tcBorders>
              <w:top w:val="single" w:sz="4" w:space="0" w:color="auto"/>
              <w:left w:val="single" w:sz="4" w:space="0" w:color="auto"/>
              <w:right w:val="single" w:sz="4" w:space="0" w:color="auto"/>
            </w:tcBorders>
            <w:vAlign w:val="bottom"/>
          </w:tcPr>
          <w:p w:rsidR="00CB3C76" w:rsidRPr="00CB3C76" w:rsidRDefault="00CB3C76" w:rsidP="00CB3C76">
            <w:pPr>
              <w:spacing w:after="80" w:line="240" w:lineRule="auto"/>
              <w:jc w:val="center"/>
              <w:rPr>
                <w:rFonts w:asciiTheme="minorHAnsi" w:hAnsiTheme="minorHAnsi"/>
                <w:b/>
                <w:sz w:val="20"/>
                <w:szCs w:val="20"/>
                <w:u w:val="single"/>
              </w:rPr>
            </w:pPr>
            <w:r w:rsidRPr="00CB3C76">
              <w:rPr>
                <w:rFonts w:asciiTheme="minorHAnsi" w:hAnsiTheme="minorHAnsi"/>
                <w:b/>
                <w:sz w:val="20"/>
                <w:szCs w:val="20"/>
                <w:u w:val="single"/>
              </w:rPr>
              <w:t xml:space="preserve"> Lower-Bound</w:t>
            </w:r>
          </w:p>
        </w:tc>
        <w:tc>
          <w:tcPr>
            <w:tcW w:w="3314" w:type="dxa"/>
            <w:gridSpan w:val="3"/>
            <w:tcBorders>
              <w:top w:val="single" w:sz="4" w:space="0" w:color="auto"/>
              <w:left w:val="single" w:sz="4" w:space="0" w:color="auto"/>
              <w:right w:val="single" w:sz="4" w:space="0" w:color="auto"/>
            </w:tcBorders>
            <w:vAlign w:val="bottom"/>
          </w:tcPr>
          <w:p w:rsidR="00CB3C76" w:rsidRPr="00CB3C76" w:rsidRDefault="00CB3C76" w:rsidP="00CB3C76">
            <w:pPr>
              <w:spacing w:after="80" w:line="240" w:lineRule="auto"/>
              <w:jc w:val="center"/>
              <w:rPr>
                <w:rFonts w:asciiTheme="minorHAnsi" w:hAnsiTheme="minorHAnsi"/>
                <w:b/>
                <w:sz w:val="20"/>
                <w:szCs w:val="20"/>
                <w:u w:val="single"/>
              </w:rPr>
            </w:pPr>
            <w:r w:rsidRPr="00CB3C76">
              <w:rPr>
                <w:rFonts w:asciiTheme="minorHAnsi" w:hAnsiTheme="minorHAnsi"/>
                <w:b/>
                <w:sz w:val="20"/>
                <w:szCs w:val="20"/>
                <w:u w:val="single"/>
              </w:rPr>
              <w:t>Pledged</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700" w:type="dxa"/>
            <w:vMerge/>
            <w:tcBorders>
              <w:left w:val="single" w:sz="4" w:space="0" w:color="auto"/>
              <w:bottom w:val="single" w:sz="4" w:space="0" w:color="auto"/>
              <w:right w:val="single" w:sz="4" w:space="0" w:color="auto"/>
            </w:tcBorders>
          </w:tcPr>
          <w:p w:rsidR="00CB3C76" w:rsidRPr="00CB3C76" w:rsidRDefault="00CB3C76" w:rsidP="00CB3C76">
            <w:pPr>
              <w:spacing w:line="240" w:lineRule="auto"/>
              <w:rPr>
                <w:rFonts w:asciiTheme="minorHAnsi" w:hAnsiTheme="minorHAnsi"/>
                <w:b/>
                <w:sz w:val="20"/>
                <w:szCs w:val="20"/>
              </w:rPr>
            </w:pPr>
          </w:p>
        </w:tc>
        <w:tc>
          <w:tcPr>
            <w:tcW w:w="1116" w:type="dxa"/>
            <w:tcBorders>
              <w:left w:val="single" w:sz="4" w:space="0" w:color="auto"/>
              <w:bottom w:val="single" w:sz="4" w:space="0" w:color="auto"/>
            </w:tcBorders>
            <w:vAlign w:val="bottom"/>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b/>
                <w:sz w:val="20"/>
                <w:szCs w:val="20"/>
              </w:rPr>
              <w:t>N</w:t>
            </w:r>
          </w:p>
        </w:tc>
        <w:tc>
          <w:tcPr>
            <w:tcW w:w="1117" w:type="dxa"/>
            <w:tcBorders>
              <w:bottom w:val="single" w:sz="4" w:space="0" w:color="auto"/>
            </w:tcBorders>
            <w:vAlign w:val="bottom"/>
          </w:tcPr>
          <w:p w:rsidR="00CB3C76" w:rsidRPr="00CB3C76" w:rsidRDefault="00CB3C76" w:rsidP="00CB3C76">
            <w:pPr>
              <w:spacing w:line="240" w:lineRule="auto"/>
              <w:ind w:left="-108" w:firstLine="108"/>
              <w:jc w:val="center"/>
              <w:rPr>
                <w:rFonts w:asciiTheme="minorHAnsi" w:hAnsiTheme="minorHAnsi"/>
                <w:sz w:val="20"/>
                <w:szCs w:val="20"/>
              </w:rPr>
            </w:pPr>
            <w:r w:rsidRPr="00CB3C76">
              <w:rPr>
                <w:rFonts w:asciiTheme="minorHAnsi" w:hAnsiTheme="minorHAnsi"/>
                <w:b/>
                <w:sz w:val="20"/>
                <w:szCs w:val="20"/>
              </w:rPr>
              <w:t>Dollars</w:t>
            </w:r>
          </w:p>
        </w:tc>
        <w:tc>
          <w:tcPr>
            <w:tcW w:w="1117" w:type="dxa"/>
            <w:tcBorders>
              <w:bottom w:val="single" w:sz="4" w:space="0" w:color="auto"/>
              <w:right w:val="single" w:sz="4" w:space="0" w:color="auto"/>
            </w:tcBorders>
            <w:vAlign w:val="bottom"/>
          </w:tcPr>
          <w:p w:rsidR="00CB3C76" w:rsidRPr="00CB3C76" w:rsidRDefault="00CB3C76" w:rsidP="00CB3C76">
            <w:pPr>
              <w:spacing w:line="240" w:lineRule="auto"/>
              <w:jc w:val="center"/>
              <w:rPr>
                <w:rFonts w:asciiTheme="minorHAnsi" w:hAnsiTheme="minorHAnsi"/>
                <w:b/>
                <w:color w:val="000000" w:themeColor="text1"/>
                <w:sz w:val="20"/>
                <w:szCs w:val="20"/>
              </w:rPr>
            </w:pPr>
            <w:r w:rsidRPr="00CB3C76">
              <w:rPr>
                <w:rFonts w:asciiTheme="minorHAnsi" w:hAnsiTheme="minorHAnsi"/>
                <w:b/>
                <w:color w:val="000000" w:themeColor="text1"/>
                <w:sz w:val="20"/>
                <w:szCs w:val="20"/>
              </w:rPr>
              <w:t>%</w:t>
            </w:r>
          </w:p>
          <w:p w:rsidR="00CB3C76" w:rsidRPr="00CB3C76" w:rsidRDefault="00CB3C76" w:rsidP="00CB3C76">
            <w:pPr>
              <w:spacing w:line="240" w:lineRule="auto"/>
              <w:jc w:val="center"/>
              <w:rPr>
                <w:rFonts w:asciiTheme="minorHAnsi" w:hAnsiTheme="minorHAnsi"/>
                <w:b/>
                <w:color w:val="000000" w:themeColor="text1"/>
                <w:sz w:val="20"/>
                <w:szCs w:val="20"/>
              </w:rPr>
            </w:pPr>
            <w:proofErr w:type="spellStart"/>
            <w:r w:rsidRPr="00CB3C76">
              <w:rPr>
                <w:rFonts w:asciiTheme="minorHAnsi" w:hAnsiTheme="minorHAnsi"/>
                <w:b/>
                <w:color w:val="000000" w:themeColor="text1"/>
                <w:sz w:val="20"/>
                <w:szCs w:val="20"/>
              </w:rPr>
              <w:t>Chg</w:t>
            </w:r>
            <w:proofErr w:type="spellEnd"/>
          </w:p>
        </w:tc>
        <w:tc>
          <w:tcPr>
            <w:tcW w:w="1104" w:type="dxa"/>
            <w:tcBorders>
              <w:left w:val="single" w:sz="4" w:space="0" w:color="auto"/>
              <w:bottom w:val="single" w:sz="4" w:space="0" w:color="auto"/>
            </w:tcBorders>
            <w:vAlign w:val="bottom"/>
          </w:tcPr>
          <w:p w:rsidR="00CB3C76" w:rsidRPr="00CB3C76" w:rsidRDefault="00CB3C76" w:rsidP="00CB3C76">
            <w:pPr>
              <w:spacing w:line="240" w:lineRule="auto"/>
              <w:jc w:val="center"/>
              <w:rPr>
                <w:rFonts w:asciiTheme="minorHAnsi" w:hAnsiTheme="minorHAnsi"/>
                <w:color w:val="000000" w:themeColor="text1"/>
                <w:sz w:val="20"/>
                <w:szCs w:val="20"/>
              </w:rPr>
            </w:pPr>
            <w:r w:rsidRPr="00CB3C76">
              <w:rPr>
                <w:rFonts w:asciiTheme="minorHAnsi" w:hAnsiTheme="minorHAnsi"/>
                <w:b/>
                <w:color w:val="000000" w:themeColor="text1"/>
                <w:sz w:val="20"/>
                <w:szCs w:val="20"/>
              </w:rPr>
              <w:t>N</w:t>
            </w:r>
          </w:p>
        </w:tc>
        <w:tc>
          <w:tcPr>
            <w:tcW w:w="1105" w:type="dxa"/>
            <w:tcBorders>
              <w:bottom w:val="single" w:sz="4" w:space="0" w:color="auto"/>
            </w:tcBorders>
            <w:vAlign w:val="bottom"/>
          </w:tcPr>
          <w:p w:rsidR="00CB3C76" w:rsidRPr="00CB3C76" w:rsidRDefault="00CB3C76" w:rsidP="00CB3C76">
            <w:pPr>
              <w:spacing w:line="240" w:lineRule="auto"/>
              <w:ind w:left="-108"/>
              <w:jc w:val="center"/>
              <w:rPr>
                <w:rFonts w:asciiTheme="minorHAnsi" w:hAnsiTheme="minorHAnsi"/>
                <w:color w:val="000000" w:themeColor="text1"/>
                <w:sz w:val="20"/>
                <w:szCs w:val="20"/>
              </w:rPr>
            </w:pPr>
            <w:r w:rsidRPr="00CB3C76">
              <w:rPr>
                <w:rFonts w:asciiTheme="minorHAnsi" w:hAnsiTheme="minorHAnsi"/>
                <w:b/>
                <w:color w:val="000000" w:themeColor="text1"/>
                <w:sz w:val="20"/>
                <w:szCs w:val="20"/>
              </w:rPr>
              <w:t>Dollars</w:t>
            </w:r>
          </w:p>
        </w:tc>
        <w:tc>
          <w:tcPr>
            <w:tcW w:w="1105" w:type="dxa"/>
            <w:tcBorders>
              <w:bottom w:val="single" w:sz="4" w:space="0" w:color="auto"/>
              <w:right w:val="single" w:sz="4" w:space="0" w:color="auto"/>
            </w:tcBorders>
            <w:vAlign w:val="bottom"/>
          </w:tcPr>
          <w:p w:rsidR="00CB3C76" w:rsidRPr="00CB3C76" w:rsidRDefault="00CB3C76" w:rsidP="00CB3C76">
            <w:pPr>
              <w:spacing w:line="240" w:lineRule="auto"/>
              <w:jc w:val="center"/>
              <w:rPr>
                <w:rFonts w:asciiTheme="minorHAnsi" w:hAnsiTheme="minorHAnsi"/>
                <w:b/>
                <w:color w:val="000000" w:themeColor="text1"/>
                <w:sz w:val="20"/>
                <w:szCs w:val="20"/>
              </w:rPr>
            </w:pPr>
            <w:r w:rsidRPr="00CB3C76">
              <w:rPr>
                <w:rFonts w:asciiTheme="minorHAnsi" w:hAnsiTheme="minorHAnsi"/>
                <w:b/>
                <w:color w:val="000000" w:themeColor="text1"/>
                <w:sz w:val="20"/>
                <w:szCs w:val="20"/>
              </w:rPr>
              <w:t>%</w:t>
            </w:r>
          </w:p>
          <w:p w:rsidR="00CB3C76" w:rsidRPr="00CB3C76" w:rsidRDefault="00CB3C76" w:rsidP="00CB3C76">
            <w:pPr>
              <w:spacing w:line="240" w:lineRule="auto"/>
              <w:jc w:val="center"/>
              <w:rPr>
                <w:rFonts w:asciiTheme="minorHAnsi" w:hAnsiTheme="minorHAnsi"/>
                <w:b/>
                <w:color w:val="000000" w:themeColor="text1"/>
                <w:sz w:val="20"/>
                <w:szCs w:val="20"/>
              </w:rPr>
            </w:pPr>
            <w:proofErr w:type="spellStart"/>
            <w:r w:rsidRPr="00CB3C76">
              <w:rPr>
                <w:rFonts w:asciiTheme="minorHAnsi" w:hAnsiTheme="minorHAnsi"/>
                <w:b/>
                <w:color w:val="000000" w:themeColor="text1"/>
                <w:sz w:val="20"/>
                <w:szCs w:val="20"/>
              </w:rPr>
              <w:t>Chg</w:t>
            </w:r>
            <w:proofErr w:type="spellEnd"/>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2700" w:type="dxa"/>
            <w:tcBorders>
              <w:top w:val="single" w:sz="4" w:space="0" w:color="auto"/>
              <w:left w:val="single" w:sz="4" w:space="0" w:color="auto"/>
              <w:right w:val="single" w:sz="4" w:space="0" w:color="auto"/>
            </w:tcBorders>
          </w:tcPr>
          <w:p w:rsidR="00CB3C76" w:rsidRPr="00CB3C76" w:rsidRDefault="00CB3C76" w:rsidP="00CB3C76">
            <w:pPr>
              <w:tabs>
                <w:tab w:val="clear" w:pos="432"/>
              </w:tabs>
              <w:spacing w:before="120" w:line="240" w:lineRule="auto"/>
              <w:ind w:firstLine="0"/>
              <w:rPr>
                <w:rFonts w:asciiTheme="minorHAnsi" w:hAnsiTheme="minorHAnsi"/>
                <w:sz w:val="20"/>
                <w:szCs w:val="20"/>
              </w:rPr>
            </w:pPr>
            <w:r w:rsidRPr="00CB3C76">
              <w:rPr>
                <w:rFonts w:asciiTheme="minorHAnsi" w:hAnsiTheme="minorHAnsi"/>
                <w:sz w:val="20"/>
                <w:szCs w:val="20"/>
              </w:rPr>
              <w:t xml:space="preserve">        Lexington, KY</w:t>
            </w:r>
          </w:p>
        </w:tc>
        <w:tc>
          <w:tcPr>
            <w:tcW w:w="1116" w:type="dxa"/>
            <w:tcBorders>
              <w:left w:val="single" w:sz="4" w:space="0" w:color="auto"/>
            </w:tcBorders>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$1,186</w:t>
            </w:r>
          </w:p>
        </w:tc>
        <w:tc>
          <w:tcPr>
            <w:tcW w:w="1117" w:type="dxa"/>
            <w:tcBorders>
              <w:right w:val="single" w:sz="4" w:space="0" w:color="auto"/>
            </w:tcBorders>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16.9</w:t>
            </w:r>
          </w:p>
        </w:tc>
        <w:tc>
          <w:tcPr>
            <w:tcW w:w="1104" w:type="dxa"/>
            <w:tcBorders>
              <w:left w:val="single" w:sz="4" w:space="0" w:color="auto"/>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700</w:t>
            </w:r>
          </w:p>
        </w:tc>
        <w:tc>
          <w:tcPr>
            <w:tcW w:w="1105" w:type="dxa"/>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$895</w:t>
            </w:r>
          </w:p>
        </w:tc>
        <w:tc>
          <w:tcPr>
            <w:tcW w:w="1105" w:type="dxa"/>
            <w:tcBorders>
              <w:right w:val="single" w:sz="4" w:space="0" w:color="auto"/>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12.8</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Louisville, KY</w:t>
            </w:r>
          </w:p>
        </w:tc>
        <w:tc>
          <w:tcPr>
            <w:tcW w:w="1116" w:type="dxa"/>
            <w:tcBorders>
              <w:lef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$1,186</w:t>
            </w:r>
          </w:p>
        </w:tc>
        <w:tc>
          <w:tcPr>
            <w:tcW w:w="1117" w:type="dxa"/>
            <w:tcBorders>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16.9</w:t>
            </w:r>
          </w:p>
        </w:tc>
        <w:tc>
          <w:tcPr>
            <w:tcW w:w="1104" w:type="dxa"/>
            <w:tcBorders>
              <w:lef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$753</w:t>
            </w:r>
          </w:p>
        </w:tc>
        <w:tc>
          <w:tcPr>
            <w:tcW w:w="1105" w:type="dxa"/>
            <w:tcBorders>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10.8</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San Antonio, TX</w:t>
            </w:r>
          </w:p>
        </w:tc>
        <w:tc>
          <w:tcPr>
            <w:tcW w:w="1116" w:type="dxa"/>
            <w:tcBorders>
              <w:lef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$1,186</w:t>
            </w:r>
          </w:p>
        </w:tc>
        <w:tc>
          <w:tcPr>
            <w:tcW w:w="1117" w:type="dxa"/>
            <w:tcBorders>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16.9</w:t>
            </w:r>
          </w:p>
        </w:tc>
        <w:tc>
          <w:tcPr>
            <w:tcW w:w="1104" w:type="dxa"/>
            <w:tcBorders>
              <w:lef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$753</w:t>
            </w:r>
          </w:p>
        </w:tc>
        <w:tc>
          <w:tcPr>
            <w:tcW w:w="1105" w:type="dxa"/>
            <w:tcBorders>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10.8</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Washington, DC</w:t>
            </w:r>
          </w:p>
        </w:tc>
        <w:tc>
          <w:tcPr>
            <w:tcW w:w="1116" w:type="dxa"/>
            <w:tcBorders>
              <w:lef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$1,186</w:t>
            </w:r>
          </w:p>
        </w:tc>
        <w:tc>
          <w:tcPr>
            <w:tcW w:w="1117" w:type="dxa"/>
            <w:tcBorders>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16.9</w:t>
            </w:r>
          </w:p>
        </w:tc>
        <w:tc>
          <w:tcPr>
            <w:tcW w:w="1104" w:type="dxa"/>
            <w:tcBorders>
              <w:lef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$753</w:t>
            </w:r>
          </w:p>
        </w:tc>
        <w:tc>
          <w:tcPr>
            <w:tcW w:w="1105" w:type="dxa"/>
            <w:tcBorders>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10.8</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right w:val="single" w:sz="4" w:space="0" w:color="auto"/>
            </w:tcBorders>
          </w:tcPr>
          <w:p w:rsidR="00CB3C76" w:rsidRPr="00CB3C76" w:rsidRDefault="00CB3C76" w:rsidP="00CB3C76">
            <w:pPr>
              <w:tabs>
                <w:tab w:val="clear" w:pos="432"/>
              </w:tabs>
              <w:spacing w:before="60" w:after="60" w:line="240" w:lineRule="auto"/>
              <w:ind w:firstLine="0"/>
              <w:rPr>
                <w:rFonts w:asciiTheme="minorHAnsi" w:hAnsiTheme="minorHAnsi"/>
                <w:b/>
                <w:sz w:val="20"/>
                <w:szCs w:val="20"/>
              </w:rPr>
            </w:pPr>
            <w:r w:rsidRPr="00CB3C76">
              <w:rPr>
                <w:rFonts w:asciiTheme="minorHAnsi" w:hAnsiTheme="minorHAnsi"/>
                <w:b/>
                <w:sz w:val="20"/>
                <w:szCs w:val="20"/>
              </w:rPr>
              <w:t xml:space="preserve">   Pooled, with Louisville</w:t>
            </w:r>
          </w:p>
        </w:tc>
        <w:tc>
          <w:tcPr>
            <w:tcW w:w="1116" w:type="dxa"/>
            <w:tcBorders>
              <w:left w:val="single" w:sz="4" w:space="0" w:color="auto"/>
            </w:tcBorders>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1,600</w:t>
            </w:r>
          </w:p>
        </w:tc>
        <w:tc>
          <w:tcPr>
            <w:tcW w:w="1117" w:type="dxa"/>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$589</w:t>
            </w:r>
          </w:p>
        </w:tc>
        <w:tc>
          <w:tcPr>
            <w:tcW w:w="1117" w:type="dxa"/>
            <w:tcBorders>
              <w:right w:val="single" w:sz="4" w:space="0" w:color="auto"/>
            </w:tcBorders>
            <w:vAlign w:val="center"/>
          </w:tcPr>
          <w:p w:rsidR="00CB3C76" w:rsidRPr="00CB3C76" w:rsidRDefault="00CB3C76" w:rsidP="00CB3C76">
            <w:pPr>
              <w:spacing w:before="60" w:after="60" w:line="240" w:lineRule="auto"/>
              <w:ind w:left="475" w:hanging="475"/>
              <w:jc w:val="center"/>
              <w:rPr>
                <w:rFonts w:asciiTheme="minorHAnsi" w:hAnsiTheme="minorHAnsi"/>
                <w:b/>
                <w:sz w:val="20"/>
                <w:szCs w:val="20"/>
              </w:rPr>
            </w:pPr>
            <w:r w:rsidRPr="00CB3C76">
              <w:rPr>
                <w:rFonts w:asciiTheme="minorHAnsi" w:hAnsiTheme="minorHAnsi"/>
                <w:b/>
                <w:sz w:val="20"/>
                <w:szCs w:val="20"/>
              </w:rPr>
              <w:t>8.4</w:t>
            </w:r>
          </w:p>
        </w:tc>
        <w:tc>
          <w:tcPr>
            <w:tcW w:w="1104" w:type="dxa"/>
            <w:tcBorders>
              <w:left w:val="single" w:sz="4" w:space="0" w:color="auto"/>
            </w:tcBorders>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3,700</w:t>
            </w:r>
          </w:p>
        </w:tc>
        <w:tc>
          <w:tcPr>
            <w:tcW w:w="1105" w:type="dxa"/>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$391</w:t>
            </w:r>
          </w:p>
        </w:tc>
        <w:tc>
          <w:tcPr>
            <w:tcW w:w="1105" w:type="dxa"/>
            <w:tcBorders>
              <w:right w:val="single" w:sz="4" w:space="0" w:color="auto"/>
            </w:tcBorders>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5.6</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bottom w:val="single" w:sz="4" w:space="0" w:color="auto"/>
              <w:right w:val="single" w:sz="4" w:space="0" w:color="auto"/>
            </w:tcBorders>
          </w:tcPr>
          <w:p w:rsidR="00CB3C76" w:rsidRPr="00CB3C76" w:rsidRDefault="00CB3C76" w:rsidP="00CB3C76">
            <w:pPr>
              <w:tabs>
                <w:tab w:val="clear" w:pos="432"/>
              </w:tabs>
              <w:spacing w:after="60" w:line="240" w:lineRule="auto"/>
              <w:ind w:firstLine="0"/>
              <w:rPr>
                <w:rFonts w:asciiTheme="minorHAnsi" w:hAnsiTheme="minorHAnsi"/>
                <w:b/>
                <w:sz w:val="20"/>
                <w:szCs w:val="20"/>
              </w:rPr>
            </w:pPr>
            <w:r w:rsidRPr="00CB3C76">
              <w:rPr>
                <w:rFonts w:asciiTheme="minorHAnsi" w:hAnsiTheme="minorHAnsi"/>
                <w:b/>
                <w:sz w:val="20"/>
                <w:szCs w:val="20"/>
              </w:rPr>
              <w:t xml:space="preserve">   Pooled, without Louisville</w:t>
            </w:r>
            <w:r w:rsidRPr="00CB3C76">
              <w:rPr>
                <w:rFonts w:asciiTheme="minorHAnsi" w:hAnsiTheme="minorHAnsi"/>
                <w:b/>
                <w:sz w:val="20"/>
                <w:szCs w:val="20"/>
                <w:vertAlign w:val="superscript"/>
              </w:rPr>
              <w:t>1</w:t>
            </w:r>
          </w:p>
        </w:tc>
        <w:tc>
          <w:tcPr>
            <w:tcW w:w="1116" w:type="dxa"/>
            <w:tcBorders>
              <w:left w:val="single" w:sz="4" w:space="0" w:color="auto"/>
              <w:bottom w:val="single" w:sz="4" w:space="0" w:color="auto"/>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1,200</w:t>
            </w:r>
          </w:p>
        </w:tc>
        <w:tc>
          <w:tcPr>
            <w:tcW w:w="1117" w:type="dxa"/>
            <w:tcBorders>
              <w:bottom w:val="single" w:sz="4" w:space="0" w:color="auto"/>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$682</w:t>
            </w:r>
          </w:p>
        </w:tc>
        <w:tc>
          <w:tcPr>
            <w:tcW w:w="1117" w:type="dxa"/>
            <w:tcBorders>
              <w:bottom w:val="single" w:sz="4" w:space="0" w:color="auto"/>
              <w:right w:val="single" w:sz="4" w:space="0" w:color="auto"/>
            </w:tcBorders>
            <w:vAlign w:val="center"/>
          </w:tcPr>
          <w:p w:rsidR="00CB3C76" w:rsidRPr="00CB3C76" w:rsidRDefault="00CB3C76" w:rsidP="00CB3C76">
            <w:pPr>
              <w:spacing w:after="60" w:line="240" w:lineRule="auto"/>
              <w:ind w:left="475" w:hanging="475"/>
              <w:jc w:val="center"/>
              <w:rPr>
                <w:rFonts w:asciiTheme="minorHAnsi" w:hAnsiTheme="minorHAnsi"/>
                <w:sz w:val="20"/>
                <w:szCs w:val="20"/>
              </w:rPr>
            </w:pPr>
            <w:r w:rsidRPr="00CB3C76">
              <w:rPr>
                <w:rFonts w:asciiTheme="minorHAnsi" w:hAnsiTheme="minorHAnsi"/>
                <w:b/>
                <w:sz w:val="20"/>
                <w:szCs w:val="20"/>
              </w:rPr>
              <w:t>9.7</w:t>
            </w:r>
          </w:p>
        </w:tc>
        <w:tc>
          <w:tcPr>
            <w:tcW w:w="1104" w:type="dxa"/>
            <w:tcBorders>
              <w:left w:val="single" w:sz="4" w:space="0" w:color="auto"/>
              <w:bottom w:val="single" w:sz="4" w:space="0" w:color="auto"/>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2,700</w:t>
            </w:r>
          </w:p>
        </w:tc>
        <w:tc>
          <w:tcPr>
            <w:tcW w:w="1105" w:type="dxa"/>
            <w:tcBorders>
              <w:bottom w:val="single" w:sz="4" w:space="0" w:color="auto"/>
            </w:tcBorders>
            <w:vAlign w:val="center"/>
          </w:tcPr>
          <w:p w:rsidR="00CB3C76" w:rsidRPr="00CB3C76" w:rsidRDefault="00CB3C76" w:rsidP="00CB3C76">
            <w:pPr>
              <w:spacing w:after="60" w:line="240" w:lineRule="auto"/>
              <w:jc w:val="center"/>
              <w:rPr>
                <w:rFonts w:asciiTheme="minorHAnsi" w:hAnsiTheme="minorHAnsi"/>
                <w:b/>
                <w:sz w:val="20"/>
                <w:szCs w:val="20"/>
              </w:rPr>
            </w:pPr>
            <w:r w:rsidRPr="00CB3C76">
              <w:rPr>
                <w:rFonts w:asciiTheme="minorHAnsi" w:hAnsiTheme="minorHAnsi"/>
                <w:b/>
                <w:sz w:val="20"/>
                <w:szCs w:val="20"/>
              </w:rPr>
              <w:t>$448</w:t>
            </w:r>
          </w:p>
        </w:tc>
        <w:tc>
          <w:tcPr>
            <w:tcW w:w="1105" w:type="dxa"/>
            <w:tcBorders>
              <w:bottom w:val="single" w:sz="4" w:space="0" w:color="auto"/>
              <w:right w:val="single" w:sz="4" w:space="0" w:color="auto"/>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6.4</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4" w:type="dxa"/>
            <w:gridSpan w:val="7"/>
            <w:tcBorders>
              <w:top w:val="single" w:sz="4" w:space="0" w:color="auto"/>
            </w:tcBorders>
            <w:vAlign w:val="center"/>
          </w:tcPr>
          <w:p w:rsidR="00CB3C76" w:rsidRPr="00CB3C76" w:rsidRDefault="0067267A" w:rsidP="00CB3C76">
            <w:pPr>
              <w:spacing w:line="240" w:lineRule="auto"/>
              <w:rPr>
                <w:rFonts w:asciiTheme="minorHAnsi" w:hAnsiTheme="minorHAnsi"/>
                <w:b/>
                <w:sz w:val="20"/>
                <w:szCs w:val="20"/>
              </w:rPr>
            </w:pPr>
            <w:r w:rsidRPr="00217B03">
              <w:rPr>
                <w:rFonts w:ascii="Times New Roman" w:hAnsi="Times New Roman"/>
                <w:noProof/>
                <w:highlight w:val="yellow"/>
              </w:rPr>
              <mc:AlternateContent>
                <mc:Choice Requires="wps">
                  <w:drawing>
                    <wp:anchor distT="0" distB="0" distL="114300" distR="114300" simplePos="0" relativeHeight="251668480" behindDoc="0" locked="0" layoutInCell="1" allowOverlap="1" wp14:anchorId="1E96878E" wp14:editId="0FDB265C">
                      <wp:simplePos x="0" y="0"/>
                      <wp:positionH relativeFrom="column">
                        <wp:posOffset>20955</wp:posOffset>
                      </wp:positionH>
                      <wp:positionV relativeFrom="paragraph">
                        <wp:posOffset>31750</wp:posOffset>
                      </wp:positionV>
                      <wp:extent cx="5977255" cy="361315"/>
                      <wp:effectExtent l="0" t="0" r="23495"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55" cy="361315"/>
                              </a:xfrm>
                              <a:prstGeom prst="rect">
                                <a:avLst/>
                              </a:prstGeom>
                              <a:solidFill>
                                <a:srgbClr val="FFFFFF"/>
                              </a:solidFill>
                              <a:ln w="9525">
                                <a:solidFill>
                                  <a:srgbClr val="000000"/>
                                </a:solidFill>
                                <a:miter lim="800000"/>
                                <a:headEnd/>
                                <a:tailEnd/>
                              </a:ln>
                            </wps:spPr>
                            <wps:txbx>
                              <w:txbxContent>
                                <w:p w:rsidR="00217B03" w:rsidRPr="00217B03" w:rsidRDefault="00217B03" w:rsidP="00217B03">
                                  <w:pPr>
                                    <w:spacing w:line="240" w:lineRule="auto"/>
                                    <w:ind w:firstLine="0"/>
                                    <w:rPr>
                                      <w:sz w:val="18"/>
                                      <w:szCs w:val="18"/>
                                    </w:rPr>
                                  </w:pPr>
                                  <w:r w:rsidRPr="00217B03">
                                    <w:rPr>
                                      <w:rFonts w:ascii="Times New Roman" w:hAnsi="Times New Roman"/>
                                      <w:sz w:val="18"/>
                                      <w:szCs w:val="18"/>
                                    </w:rPr>
                                    <w:t xml:space="preserve">NOTE: </w:t>
                                  </w:r>
                                  <w:r w:rsidRPr="00217B03">
                                    <w:rPr>
                                      <w:rFonts w:ascii="Times New Roman" w:hAnsi="Times New Roman"/>
                                      <w:sz w:val="18"/>
                                      <w:szCs w:val="18"/>
                                      <w:vertAlign w:val="superscript"/>
                                    </w:rPr>
                                    <w:t>1</w:t>
                                  </w:r>
                                  <w:r w:rsidRPr="00217B03">
                                    <w:rPr>
                                      <w:rFonts w:ascii="Times New Roman" w:hAnsi="Times New Roman"/>
                                      <w:sz w:val="18"/>
                                      <w:szCs w:val="18"/>
                                    </w:rPr>
                                    <w:t>Whether Louisville will be included in the pooled analysis will depend on the extent to which members of the new rent policy group opt out of that group and raise the risk of biased impact estimates.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2.5pt;width:470.65pt;height:2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">
                      <v:textbox>
                        <w:txbxContent>
                          <w:p w:rsidR="00217B03" w:rsidRPr="00217B03" w:rsidRDefault="00217B03" w:rsidP="00217B03">
                            <w:pPr>
                              <w:spacing w:line="240" w:lineRule="auto"/>
                              <w:ind w:firstLine="0"/>
                              <w:rPr>
                                <w:sz w:val="18"/>
                                <w:szCs w:val="18"/>
                              </w:rPr>
                            </w:pPr>
                            <w:r w:rsidRPr="00217B03">
                              <w:rPr>
                                <w:rFonts w:ascii="Times New Roman" w:hAnsi="Times New Roman"/>
                                <w:sz w:val="18"/>
                                <w:szCs w:val="18"/>
                              </w:rPr>
                              <w:t xml:space="preserve">NOTE: </w:t>
                            </w:r>
                            <w:r w:rsidRPr="00217B03">
                              <w:rPr>
                                <w:rFonts w:ascii="Times New Roman" w:hAnsi="Times New Roman"/>
                                <w:sz w:val="18"/>
                                <w:szCs w:val="18"/>
                                <w:vertAlign w:val="superscript"/>
                              </w:rPr>
                              <w:t>1</w:t>
                            </w:r>
                            <w:r w:rsidRPr="00217B03">
                              <w:rPr>
                                <w:rFonts w:ascii="Times New Roman" w:hAnsi="Times New Roman"/>
                                <w:sz w:val="18"/>
                                <w:szCs w:val="18"/>
                              </w:rPr>
                              <w:t>Whether Louisville will be included in the pooled analysis will depend on the extent to which members of the new rent policy group opt out of that group and raise the risk of biased impact estimates.</w:t>
                            </w:r>
                          </w:p>
                        </w:txbxContent>
                      </v:textbox>
                    </v:shape>
                  </w:pict>
                </mc:Fallback>
              </mc:AlternateContent>
            </w:r>
          </w:p>
        </w:tc>
      </w:tr>
    </w:tbl>
    <w:p w:rsidR="00136FE7" w:rsidRDefault="00CB3C76" w:rsidP="00CB3C76">
      <w:pPr>
        <w:tabs>
          <w:tab w:val="clear" w:pos="432"/>
        </w:tabs>
        <w:spacing w:after="200" w:line="240" w:lineRule="auto"/>
        <w:ind w:firstLine="0"/>
        <w:jc w:val="left"/>
        <w:rPr>
          <w:rFonts w:ascii="Times New Roman" w:hAnsi="Times New Roman"/>
          <w:highlight w:val="yellow"/>
        </w:rPr>
      </w:pPr>
      <w:r w:rsidRPr="00217B03">
        <w:rPr>
          <w:rFonts w:ascii="Times New Roman" w:eastAsia="Calibri" w:hAnsi="Times New Roman"/>
          <w:b/>
          <w:noProof/>
          <w:sz w:val="22"/>
          <w:szCs w:val="22"/>
          <w:u w:val="single"/>
        </w:rPr>
        <mc:AlternateContent>
          <mc:Choice Requires="wps">
            <w:drawing>
              <wp:anchor distT="0" distB="0" distL="114300" distR="114300" simplePos="0" relativeHeight="251666432" behindDoc="0" locked="0" layoutInCell="1" allowOverlap="1" wp14:anchorId="655B4DBE" wp14:editId="7AC2664F">
                <wp:simplePos x="0" y="0"/>
                <wp:positionH relativeFrom="margin">
                  <wp:posOffset>440690</wp:posOffset>
                </wp:positionH>
                <wp:positionV relativeFrom="paragraph">
                  <wp:posOffset>-98614</wp:posOffset>
                </wp:positionV>
                <wp:extent cx="4967785" cy="36849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785" cy="368490"/>
                        </a:xfrm>
                        <a:prstGeom prst="rect">
                          <a:avLst/>
                        </a:prstGeom>
                        <a:solidFill>
                          <a:srgbClr val="FFFFFF"/>
                        </a:solidFill>
                        <a:ln w="9525">
                          <a:noFill/>
                          <a:miter lim="800000"/>
                          <a:headEnd/>
                          <a:tailEnd/>
                        </a:ln>
                      </wps:spPr>
                      <wps:txbx>
                        <w:txbxContent>
                          <w:p w:rsidR="00CB3C76" w:rsidRPr="005E1B2C" w:rsidRDefault="00CB3C76" w:rsidP="00CB3C76">
                            <w:pPr>
                              <w:spacing w:line="240" w:lineRule="auto"/>
                              <w:jc w:val="center"/>
                              <w:rPr>
                                <w:rFonts w:ascii="Times New Roman" w:hAnsi="Times New Roman"/>
                                <w:b/>
                              </w:rPr>
                            </w:pPr>
                            <w:r w:rsidRPr="005E1B2C">
                              <w:rPr>
                                <w:rFonts w:ascii="Times New Roman" w:hAnsi="Times New Roman"/>
                                <w:b/>
                              </w:rPr>
                              <w:t>Sample Sizes and M</w:t>
                            </w:r>
                            <w:r>
                              <w:rPr>
                                <w:rFonts w:ascii="Times New Roman" w:hAnsi="Times New Roman"/>
                                <w:b/>
                              </w:rPr>
                              <w:t xml:space="preserve">inimum </w:t>
                            </w:r>
                            <w:r w:rsidRPr="005E1B2C">
                              <w:rPr>
                                <w:rFonts w:ascii="Times New Roman" w:hAnsi="Times New Roman"/>
                                <w:b/>
                              </w:rPr>
                              <w:t>D</w:t>
                            </w:r>
                            <w:r>
                              <w:rPr>
                                <w:rFonts w:ascii="Times New Roman" w:hAnsi="Times New Roman"/>
                                <w:b/>
                              </w:rPr>
                              <w:t xml:space="preserve">etectable </w:t>
                            </w:r>
                            <w:r w:rsidRPr="005E1B2C">
                              <w:rPr>
                                <w:rFonts w:ascii="Times New Roman" w:hAnsi="Times New Roman"/>
                                <w:b/>
                              </w:rPr>
                              <w:t>E</w:t>
                            </w:r>
                            <w:r>
                              <w:rPr>
                                <w:rFonts w:ascii="Times New Roman" w:hAnsi="Times New Roman"/>
                                <w:b/>
                              </w:rPr>
                              <w:t>ffect</w:t>
                            </w:r>
                            <w:r w:rsidRPr="005E1B2C">
                              <w:rPr>
                                <w:rFonts w:ascii="Times New Roman" w:hAnsi="Times New Roman"/>
                                <w:b/>
                              </w:rPr>
                              <w:t>s</w:t>
                            </w:r>
                            <w:r>
                              <w:rPr>
                                <w:rFonts w:ascii="Times New Roman" w:hAnsi="Times New Roman"/>
                                <w:b/>
                              </w:rPr>
                              <w:t xml:space="preserve"> (MDEs)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7pt;margin-top:-7.75pt;width:391.15pt;height:2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" stroked="f">
                <v:textbox>
                  <w:txbxContent>
                    <w:p w:rsidR="00CB3C76" w:rsidRPr="005E1B2C" w:rsidRDefault="00CB3C76" w:rsidP="00CB3C76">
                      <w:pPr>
                        <w:spacing w:line="240" w:lineRule="auto"/>
                        <w:jc w:val="center"/>
                        <w:rPr>
                          <w:rFonts w:ascii="Times New Roman" w:hAnsi="Times New Roman"/>
                          <w:b/>
                        </w:rPr>
                      </w:pPr>
                      <w:r w:rsidRPr="005E1B2C">
                        <w:rPr>
                          <w:rFonts w:ascii="Times New Roman" w:hAnsi="Times New Roman"/>
                          <w:b/>
                        </w:rPr>
                        <w:t>Sample Sizes and M</w:t>
                      </w:r>
                      <w:r>
                        <w:rPr>
                          <w:rFonts w:ascii="Times New Roman" w:hAnsi="Times New Roman"/>
                          <w:b/>
                        </w:rPr>
                        <w:t xml:space="preserve">inimum </w:t>
                      </w:r>
                      <w:r w:rsidRPr="005E1B2C">
                        <w:rPr>
                          <w:rFonts w:ascii="Times New Roman" w:hAnsi="Times New Roman"/>
                          <w:b/>
                        </w:rPr>
                        <w:t>D</w:t>
                      </w:r>
                      <w:r>
                        <w:rPr>
                          <w:rFonts w:ascii="Times New Roman" w:hAnsi="Times New Roman"/>
                          <w:b/>
                        </w:rPr>
                        <w:t xml:space="preserve">etectable </w:t>
                      </w:r>
                      <w:r w:rsidRPr="005E1B2C">
                        <w:rPr>
                          <w:rFonts w:ascii="Times New Roman" w:hAnsi="Times New Roman"/>
                          <w:b/>
                        </w:rPr>
                        <w:t>E</w:t>
                      </w:r>
                      <w:r>
                        <w:rPr>
                          <w:rFonts w:ascii="Times New Roman" w:hAnsi="Times New Roman"/>
                          <w:b/>
                        </w:rPr>
                        <w:t>ffect</w:t>
                      </w:r>
                      <w:r w:rsidRPr="005E1B2C">
                        <w:rPr>
                          <w:rFonts w:ascii="Times New Roman" w:hAnsi="Times New Roman"/>
                          <w:b/>
                        </w:rPr>
                        <w:t>s</w:t>
                      </w:r>
                      <w:r>
                        <w:rPr>
                          <w:rFonts w:ascii="Times New Roman" w:hAnsi="Times New Roman"/>
                          <w:b/>
                        </w:rPr>
                        <w:t xml:space="preserve"> (MDEs)</w:t>
                      </w:r>
                    </w:p>
                  </w:txbxContent>
                </v:textbox>
                <w10:wrap anchorx="margin"/>
              </v:shape>
            </w:pict>
          </mc:Fallback>
        </mc:AlternateContent>
      </w:r>
    </w:p>
    <w:p w:rsidR="00E92850" w:rsidRDefault="00E92850">
      <w:pPr>
        <w:tabs>
          <w:tab w:val="clear" w:pos="432"/>
        </w:tabs>
        <w:spacing w:after="200" w:line="276" w:lineRule="auto"/>
        <w:ind w:firstLine="0"/>
        <w:jc w:val="left"/>
        <w:rPr>
          <w:rFonts w:ascii="Times New Roman" w:hAnsi="Times New Roman"/>
          <w:highlight w:val="yellow"/>
        </w:rPr>
      </w:pPr>
    </w:p>
    <w:p w:rsidR="008F4921" w:rsidRDefault="008F4921">
      <w:pPr>
        <w:tabs>
          <w:tab w:val="clear" w:pos="432"/>
        </w:tabs>
        <w:spacing w:after="200" w:line="276" w:lineRule="auto"/>
        <w:ind w:firstLine="0"/>
        <w:jc w:val="left"/>
        <w:rPr>
          <w:rFonts w:ascii="Times New Roman" w:hAnsi="Times New Roman"/>
          <w:highlight w:val="yellow"/>
        </w:rPr>
      </w:pPr>
    </w:p>
    <w:p w:rsidR="00FF7DB6" w:rsidRPr="00A46A45" w:rsidRDefault="00FF7DB6" w:rsidP="00717401">
      <w:pPr>
        <w:tabs>
          <w:tab w:val="clear" w:pos="432"/>
        </w:tabs>
        <w:spacing w:after="200" w:line="276" w:lineRule="auto"/>
        <w:ind w:firstLine="0"/>
        <w:jc w:val="left"/>
        <w:rPr>
          <w:rFonts w:ascii="Arial" w:hAnsi="Arial" w:cs="Arial"/>
          <w:bCs/>
        </w:rPr>
      </w:pPr>
      <w:r w:rsidRPr="00A46A45">
        <w:rPr>
          <w:rFonts w:ascii="Arial" w:hAnsi="Arial" w:cs="Arial"/>
          <w:b/>
        </w:rPr>
        <w:t>B3.  Maximizing Response Rates and Issues of Nonresponse</w:t>
      </w:r>
    </w:p>
    <w:p w:rsidR="001B5B7C" w:rsidRDefault="000D07CE" w:rsidP="00886B99">
      <w:pPr>
        <w:spacing w:line="240" w:lineRule="auto"/>
        <w:ind w:firstLine="0"/>
        <w:jc w:val="left"/>
        <w:rPr>
          <w:rFonts w:ascii="Times New Roman" w:hAnsi="Times New Roman"/>
        </w:rPr>
      </w:pPr>
      <w:r w:rsidRPr="003C48BF">
        <w:rPr>
          <w:rFonts w:ascii="Times New Roman" w:hAnsi="Times New Roman"/>
        </w:rPr>
        <w:t>A</w:t>
      </w:r>
      <w:r w:rsidR="001B5B7C" w:rsidRPr="003C48BF">
        <w:rPr>
          <w:rFonts w:ascii="Times New Roman" w:hAnsi="Times New Roman"/>
        </w:rPr>
        <w:t>dministrative data sources</w:t>
      </w:r>
      <w:r w:rsidR="0051255A" w:rsidRPr="003C48BF">
        <w:rPr>
          <w:rFonts w:ascii="Times New Roman" w:hAnsi="Times New Roman"/>
        </w:rPr>
        <w:t xml:space="preserve">, key </w:t>
      </w:r>
      <w:r w:rsidRPr="003C48BF">
        <w:rPr>
          <w:rFonts w:ascii="Times New Roman" w:hAnsi="Times New Roman"/>
        </w:rPr>
        <w:t xml:space="preserve">to </w:t>
      </w:r>
      <w:r w:rsidR="0051255A" w:rsidRPr="003C48BF">
        <w:rPr>
          <w:rFonts w:ascii="Times New Roman" w:hAnsi="Times New Roman"/>
        </w:rPr>
        <w:t xml:space="preserve">the impact study and </w:t>
      </w:r>
      <w:r w:rsidR="001B5B7C" w:rsidRPr="003C48BF">
        <w:rPr>
          <w:rFonts w:ascii="Times New Roman" w:hAnsi="Times New Roman"/>
        </w:rPr>
        <w:t>included in this data collection request</w:t>
      </w:r>
      <w:r w:rsidR="0051255A" w:rsidRPr="003C48BF">
        <w:rPr>
          <w:rFonts w:ascii="Times New Roman" w:hAnsi="Times New Roman"/>
        </w:rPr>
        <w:t>,</w:t>
      </w:r>
      <w:r w:rsidR="001B5B7C" w:rsidRPr="003C48BF">
        <w:rPr>
          <w:rFonts w:ascii="Times New Roman" w:hAnsi="Times New Roman"/>
        </w:rPr>
        <w:t xml:space="preserve"> do not rely on participant response.</w:t>
      </w:r>
      <w:r w:rsidR="001B5B7C" w:rsidRPr="00A46A45">
        <w:rPr>
          <w:rFonts w:ascii="Times New Roman" w:hAnsi="Times New Roman"/>
        </w:rPr>
        <w:t xml:space="preserve">    </w:t>
      </w:r>
      <w:r w:rsidR="001B5B7C">
        <w:rPr>
          <w:rFonts w:ascii="Times New Roman" w:hAnsi="Times New Roman"/>
        </w:rPr>
        <w:t xml:space="preserve">  </w:t>
      </w:r>
    </w:p>
    <w:p w:rsidR="001B5B7C" w:rsidRPr="00A46A45" w:rsidRDefault="001B5B7C" w:rsidP="00886B99">
      <w:pPr>
        <w:spacing w:line="240" w:lineRule="auto"/>
        <w:ind w:firstLine="0"/>
        <w:jc w:val="left"/>
        <w:rPr>
          <w:rFonts w:ascii="Times New Roman" w:hAnsi="Times New Roman"/>
        </w:rPr>
      </w:pPr>
    </w:p>
    <w:p w:rsidR="001B5B7C" w:rsidRPr="003C48BF" w:rsidRDefault="00BC1D36" w:rsidP="00886B99">
      <w:pPr>
        <w:spacing w:line="240" w:lineRule="auto"/>
        <w:ind w:firstLine="0"/>
        <w:jc w:val="left"/>
        <w:rPr>
          <w:rFonts w:ascii="Times New Roman" w:hAnsi="Times New Roman"/>
        </w:rPr>
      </w:pPr>
      <w:r w:rsidRPr="003C48BF">
        <w:rPr>
          <w:rFonts w:ascii="Times New Roman" w:hAnsi="Times New Roman"/>
        </w:rPr>
        <w:t xml:space="preserve">For the </w:t>
      </w:r>
      <w:r w:rsidR="000D07CE" w:rsidRPr="003C48BF">
        <w:rPr>
          <w:rFonts w:ascii="Times New Roman" w:hAnsi="Times New Roman"/>
        </w:rPr>
        <w:t>p</w:t>
      </w:r>
      <w:r w:rsidR="00B25232" w:rsidRPr="003C48BF">
        <w:rPr>
          <w:rFonts w:ascii="Times New Roman" w:hAnsi="Times New Roman"/>
        </w:rPr>
        <w:t xml:space="preserve">articipant </w:t>
      </w:r>
      <w:r w:rsidRPr="003C48BF">
        <w:rPr>
          <w:rFonts w:ascii="Times New Roman" w:hAnsi="Times New Roman"/>
        </w:rPr>
        <w:t xml:space="preserve">interviews </w:t>
      </w:r>
      <w:r w:rsidR="00B25232" w:rsidRPr="003C48BF">
        <w:rPr>
          <w:rFonts w:ascii="Times New Roman" w:hAnsi="Times New Roman"/>
        </w:rPr>
        <w:t xml:space="preserve">proposed under this submission, </w:t>
      </w:r>
      <w:r w:rsidR="00D13B2B" w:rsidRPr="003C48BF">
        <w:rPr>
          <w:rFonts w:ascii="Times New Roman" w:hAnsi="Times New Roman"/>
        </w:rPr>
        <w:t xml:space="preserve">MDRC will work with each </w:t>
      </w:r>
      <w:r w:rsidR="00F01F36" w:rsidRPr="003C48BF">
        <w:rPr>
          <w:rFonts w:ascii="Times New Roman" w:hAnsi="Times New Roman"/>
        </w:rPr>
        <w:t xml:space="preserve">housing agency </w:t>
      </w:r>
      <w:r w:rsidR="00D13B2B" w:rsidRPr="003C48BF">
        <w:rPr>
          <w:rFonts w:ascii="Times New Roman" w:hAnsi="Times New Roman"/>
        </w:rPr>
        <w:t xml:space="preserve">to </w:t>
      </w:r>
      <w:r w:rsidR="00BD466C" w:rsidRPr="003C48BF">
        <w:rPr>
          <w:rFonts w:ascii="Times New Roman" w:hAnsi="Times New Roman"/>
        </w:rPr>
        <w:t xml:space="preserve">select </w:t>
      </w:r>
      <w:r w:rsidR="007545D2" w:rsidRPr="003C48BF">
        <w:rPr>
          <w:rFonts w:ascii="Times New Roman" w:hAnsi="Times New Roman"/>
        </w:rPr>
        <w:t xml:space="preserve">a diverse mix of </w:t>
      </w:r>
      <w:r w:rsidR="00D13B2B" w:rsidRPr="003C48BF">
        <w:rPr>
          <w:rFonts w:ascii="Times New Roman" w:hAnsi="Times New Roman"/>
        </w:rPr>
        <w:t>tenants</w:t>
      </w:r>
      <w:r w:rsidR="004E3CAD" w:rsidRPr="003C48BF">
        <w:rPr>
          <w:rFonts w:ascii="Times New Roman" w:hAnsi="Times New Roman"/>
        </w:rPr>
        <w:t xml:space="preserve"> </w:t>
      </w:r>
      <w:r w:rsidR="001B5B7C" w:rsidRPr="003C48BF">
        <w:rPr>
          <w:rFonts w:ascii="Times New Roman" w:hAnsi="Times New Roman"/>
        </w:rPr>
        <w:t xml:space="preserve">in </w:t>
      </w:r>
      <w:r w:rsidR="007545D2" w:rsidRPr="003C48BF">
        <w:rPr>
          <w:rFonts w:ascii="Times New Roman" w:hAnsi="Times New Roman"/>
        </w:rPr>
        <w:t xml:space="preserve">the </w:t>
      </w:r>
      <w:r w:rsidR="004E3CAD" w:rsidRPr="003C48BF">
        <w:rPr>
          <w:rFonts w:ascii="Times New Roman" w:hAnsi="Times New Roman"/>
        </w:rPr>
        <w:t>New Rent Rules group</w:t>
      </w:r>
      <w:r w:rsidR="007545D2" w:rsidRPr="003C48BF">
        <w:rPr>
          <w:rFonts w:ascii="Times New Roman" w:hAnsi="Times New Roman"/>
        </w:rPr>
        <w:t xml:space="preserve"> to serve as key informants. </w:t>
      </w:r>
      <w:r w:rsidR="00BD466C" w:rsidRPr="003C48BF">
        <w:rPr>
          <w:rFonts w:ascii="Times New Roman" w:hAnsi="Times New Roman"/>
        </w:rPr>
        <w:t xml:space="preserve">Using a purposive sampling approach, selection will focus on identifying participants who have experienced various aspects of the policy (for example, grace periods and hardship remedies) and those who </w:t>
      </w:r>
      <w:r w:rsidR="001B5B7C" w:rsidRPr="003C48BF">
        <w:rPr>
          <w:rFonts w:ascii="Times New Roman" w:hAnsi="Times New Roman"/>
        </w:rPr>
        <w:t>reflected different work statuses (</w:t>
      </w:r>
      <w:r w:rsidR="00BD466C" w:rsidRPr="003C48BF">
        <w:rPr>
          <w:rFonts w:ascii="Times New Roman" w:hAnsi="Times New Roman"/>
        </w:rPr>
        <w:t>employed</w:t>
      </w:r>
      <w:r w:rsidR="001B5B7C" w:rsidRPr="003C48BF">
        <w:rPr>
          <w:rFonts w:ascii="Times New Roman" w:hAnsi="Times New Roman"/>
        </w:rPr>
        <w:t xml:space="preserve"> </w:t>
      </w:r>
      <w:r w:rsidR="00BD466C" w:rsidRPr="003C48BF">
        <w:rPr>
          <w:rFonts w:ascii="Times New Roman" w:hAnsi="Times New Roman"/>
        </w:rPr>
        <w:t>/unemployed</w:t>
      </w:r>
      <w:r w:rsidR="001B5B7C" w:rsidRPr="003C48BF">
        <w:rPr>
          <w:rFonts w:ascii="Times New Roman" w:hAnsi="Times New Roman"/>
        </w:rPr>
        <w:t>)</w:t>
      </w:r>
      <w:r w:rsidR="00BD466C" w:rsidRPr="003C48BF">
        <w:rPr>
          <w:rFonts w:ascii="Times New Roman" w:hAnsi="Times New Roman"/>
        </w:rPr>
        <w:t xml:space="preserve"> at </w:t>
      </w:r>
      <w:r w:rsidR="00BD466C" w:rsidRPr="003C48BF">
        <w:rPr>
          <w:rFonts w:ascii="Times New Roman" w:hAnsi="Times New Roman"/>
        </w:rPr>
        <w:lastRenderedPageBreak/>
        <w:t xml:space="preserve">the time of study enrollment. </w:t>
      </w:r>
      <w:r w:rsidR="00886B99" w:rsidRPr="003C48BF">
        <w:rPr>
          <w:rFonts w:ascii="Times New Roman" w:hAnsi="Times New Roman"/>
        </w:rPr>
        <w:t xml:space="preserve">Given the small sample size, this approach will allow the research to learn and understand experiences from a diversity of perspectives and circumstances. </w:t>
      </w:r>
    </w:p>
    <w:p w:rsidR="00886B99" w:rsidRPr="003C48BF" w:rsidRDefault="00886B99" w:rsidP="00886B99">
      <w:pPr>
        <w:spacing w:line="240" w:lineRule="auto"/>
        <w:ind w:firstLine="0"/>
        <w:jc w:val="left"/>
        <w:rPr>
          <w:rFonts w:ascii="Times New Roman" w:hAnsi="Times New Roman"/>
        </w:rPr>
      </w:pPr>
    </w:p>
    <w:p w:rsidR="001B5B7C" w:rsidRPr="001B5B7C" w:rsidRDefault="001B5B7C" w:rsidP="00886B99">
      <w:pPr>
        <w:spacing w:line="240" w:lineRule="auto"/>
        <w:ind w:firstLine="0"/>
        <w:jc w:val="left"/>
        <w:rPr>
          <w:rFonts w:ascii="Times New Roman" w:eastAsia="Calibri" w:hAnsi="Times New Roman"/>
        </w:rPr>
      </w:pPr>
      <w:r w:rsidRPr="003C48BF">
        <w:rPr>
          <w:rFonts w:ascii="Times New Roman" w:hAnsi="Times New Roman"/>
        </w:rPr>
        <w:t xml:space="preserve">During the interview, </w:t>
      </w:r>
      <w:r w:rsidR="00886B99" w:rsidRPr="003C48BF">
        <w:rPr>
          <w:rFonts w:ascii="Times New Roman" w:hAnsi="Times New Roman"/>
        </w:rPr>
        <w:t xml:space="preserve">participants </w:t>
      </w:r>
      <w:r w:rsidRPr="003C48BF">
        <w:rPr>
          <w:rFonts w:ascii="Times New Roman" w:hAnsi="Times New Roman"/>
        </w:rPr>
        <w:t>will be encouraged to share their experiences</w:t>
      </w:r>
      <w:r w:rsidR="00886B99" w:rsidRPr="003C48BF">
        <w:rPr>
          <w:rFonts w:ascii="Times New Roman" w:hAnsi="Times New Roman"/>
        </w:rPr>
        <w:t>;</w:t>
      </w:r>
      <w:r w:rsidRPr="003C48BF">
        <w:rPr>
          <w:rFonts w:ascii="Times New Roman" w:hAnsi="Times New Roman"/>
        </w:rPr>
        <w:t xml:space="preserve"> informed that there are no program consequences (i.e., loss of benefits) for not answering any particular question</w:t>
      </w:r>
      <w:r w:rsidR="00886B99" w:rsidRPr="003C48BF">
        <w:rPr>
          <w:rFonts w:ascii="Times New Roman" w:hAnsi="Times New Roman"/>
        </w:rPr>
        <w:t>;</w:t>
      </w:r>
      <w:r w:rsidRPr="003C48BF">
        <w:rPr>
          <w:rFonts w:ascii="Times New Roman" w:hAnsi="Times New Roman"/>
        </w:rPr>
        <w:t xml:space="preserve"> and </w:t>
      </w:r>
      <w:r w:rsidR="00886B99" w:rsidRPr="003C48BF">
        <w:rPr>
          <w:rFonts w:ascii="Times New Roman" w:hAnsi="Times New Roman"/>
        </w:rPr>
        <w:t xml:space="preserve">told </w:t>
      </w:r>
      <w:r w:rsidRPr="003C48BF">
        <w:rPr>
          <w:rFonts w:ascii="Times New Roman" w:hAnsi="Times New Roman"/>
        </w:rPr>
        <w:t>that their name will not be associated with any information that they provide. Based on MDRC’s experience conducting qualitative research, individuals who participate in these types of interviews are interested in sharing their experiences, making non-response less of an issue.</w:t>
      </w:r>
      <w:r>
        <w:rPr>
          <w:rFonts w:ascii="Times New Roman" w:hAnsi="Times New Roman"/>
        </w:rPr>
        <w:t xml:space="preserve"> </w:t>
      </w:r>
    </w:p>
    <w:p w:rsidR="007545D2" w:rsidRDefault="007545D2" w:rsidP="003648DA">
      <w:pPr>
        <w:spacing w:line="240" w:lineRule="auto"/>
        <w:ind w:firstLine="0"/>
        <w:jc w:val="left"/>
        <w:rPr>
          <w:rFonts w:ascii="Times New Roman" w:hAnsi="Times New Roman"/>
        </w:rPr>
      </w:pPr>
    </w:p>
    <w:p w:rsidR="00B25232" w:rsidRDefault="00B25232" w:rsidP="003648DA">
      <w:pPr>
        <w:spacing w:line="240" w:lineRule="auto"/>
        <w:ind w:firstLine="0"/>
        <w:jc w:val="left"/>
        <w:rPr>
          <w:rFonts w:ascii="Arial" w:hAnsi="Arial" w:cs="Arial"/>
          <w:b/>
        </w:rPr>
      </w:pPr>
    </w:p>
    <w:p w:rsidR="00FF7DB6" w:rsidRPr="00990297" w:rsidRDefault="00FF7DB6" w:rsidP="003648DA">
      <w:pPr>
        <w:spacing w:line="240" w:lineRule="auto"/>
        <w:ind w:firstLine="0"/>
        <w:jc w:val="left"/>
        <w:rPr>
          <w:rFonts w:ascii="Arial" w:hAnsi="Arial" w:cs="Arial"/>
          <w:b/>
        </w:rPr>
      </w:pPr>
      <w:r w:rsidRPr="00990297">
        <w:rPr>
          <w:rFonts w:ascii="Arial" w:hAnsi="Arial" w:cs="Arial"/>
          <w:b/>
        </w:rPr>
        <w:t xml:space="preserve">B4.  Pre-Testing </w:t>
      </w:r>
    </w:p>
    <w:p w:rsidR="00FF7DB6" w:rsidRDefault="00622A28" w:rsidP="003648DA">
      <w:pPr>
        <w:pStyle w:val="Heading5"/>
        <w:spacing w:line="240" w:lineRule="auto"/>
        <w:ind w:firstLine="0"/>
        <w:jc w:val="left"/>
        <w:rPr>
          <w:rFonts w:ascii="Times New Roman" w:hAnsi="Times New Roman" w:cs="Times New Roman"/>
          <w:color w:val="auto"/>
        </w:rPr>
      </w:pPr>
      <w:r>
        <w:rPr>
          <w:rFonts w:ascii="Times New Roman" w:hAnsi="Times New Roman" w:cs="Times New Roman"/>
          <w:color w:val="auto"/>
        </w:rPr>
        <w:t xml:space="preserve">The interview protocols are designed to serve as semi-structured interview guides for </w:t>
      </w:r>
      <w:r w:rsidR="009B3B1D">
        <w:rPr>
          <w:rFonts w:ascii="Times New Roman" w:hAnsi="Times New Roman" w:cs="Times New Roman"/>
          <w:color w:val="auto"/>
        </w:rPr>
        <w:t xml:space="preserve">discussions </w:t>
      </w:r>
      <w:r>
        <w:rPr>
          <w:rFonts w:ascii="Times New Roman" w:hAnsi="Times New Roman" w:cs="Times New Roman"/>
          <w:color w:val="auto"/>
        </w:rPr>
        <w:t xml:space="preserve">with program staff and participants. </w:t>
      </w:r>
      <w:r w:rsidR="002A6137">
        <w:rPr>
          <w:rFonts w:ascii="Times New Roman" w:hAnsi="Times New Roman" w:cs="Times New Roman"/>
          <w:color w:val="auto"/>
        </w:rPr>
        <w:t xml:space="preserve">The development of these guides have been informed by the review of </w:t>
      </w:r>
      <w:r w:rsidR="00D83C61">
        <w:rPr>
          <w:rFonts w:ascii="Times New Roman" w:hAnsi="Times New Roman" w:cs="Times New Roman"/>
          <w:color w:val="auto"/>
        </w:rPr>
        <w:t xml:space="preserve">expert consultants, </w:t>
      </w:r>
      <w:r>
        <w:rPr>
          <w:rFonts w:ascii="Times New Roman" w:hAnsi="Times New Roman" w:cs="Times New Roman"/>
          <w:color w:val="auto"/>
        </w:rPr>
        <w:t>former PHA employees</w:t>
      </w:r>
      <w:r w:rsidR="00D83C61">
        <w:rPr>
          <w:rFonts w:ascii="Times New Roman" w:hAnsi="Times New Roman" w:cs="Times New Roman"/>
          <w:color w:val="auto"/>
        </w:rPr>
        <w:t xml:space="preserve">, </w:t>
      </w:r>
      <w:r w:rsidR="002A6137">
        <w:rPr>
          <w:rFonts w:ascii="Times New Roman" w:hAnsi="Times New Roman" w:cs="Times New Roman"/>
          <w:color w:val="auto"/>
        </w:rPr>
        <w:t xml:space="preserve">who are deeply familiar with the new rent rules and have reviewed the protocols for </w:t>
      </w:r>
      <w:r w:rsidR="00D83C61">
        <w:rPr>
          <w:rFonts w:ascii="Times New Roman" w:hAnsi="Times New Roman" w:cs="Times New Roman"/>
          <w:color w:val="auto"/>
        </w:rPr>
        <w:t xml:space="preserve">framing and </w:t>
      </w:r>
      <w:r>
        <w:rPr>
          <w:rFonts w:ascii="Times New Roman" w:hAnsi="Times New Roman" w:cs="Times New Roman"/>
          <w:color w:val="auto"/>
        </w:rPr>
        <w:t>clarity of content</w:t>
      </w:r>
      <w:r w:rsidR="00D83C61">
        <w:rPr>
          <w:rFonts w:ascii="Times New Roman" w:hAnsi="Times New Roman" w:cs="Times New Roman"/>
          <w:color w:val="auto"/>
        </w:rPr>
        <w:t xml:space="preserve">. </w:t>
      </w:r>
      <w:r>
        <w:rPr>
          <w:rFonts w:ascii="Times New Roman" w:hAnsi="Times New Roman" w:cs="Times New Roman"/>
          <w:color w:val="auto"/>
        </w:rPr>
        <w:t>Once in the field, we expect to try the protocols at one site, take stock, a</w:t>
      </w:r>
      <w:r w:rsidR="002A6137">
        <w:rPr>
          <w:rFonts w:ascii="Times New Roman" w:hAnsi="Times New Roman" w:cs="Times New Roman"/>
          <w:color w:val="auto"/>
        </w:rPr>
        <w:t xml:space="preserve">nd then see if any adjustments </w:t>
      </w:r>
      <w:r>
        <w:rPr>
          <w:rFonts w:ascii="Times New Roman" w:hAnsi="Times New Roman" w:cs="Times New Roman"/>
          <w:color w:val="auto"/>
        </w:rPr>
        <w:t>are necessary before the interview guides are used in other sites.  The content related to the new rent policy is unique to the sites and the staff oriented to it</w:t>
      </w:r>
      <w:r w:rsidR="002A6137">
        <w:rPr>
          <w:rFonts w:ascii="Times New Roman" w:hAnsi="Times New Roman" w:cs="Times New Roman"/>
          <w:color w:val="auto"/>
        </w:rPr>
        <w:t xml:space="preserve">, which limits </w:t>
      </w:r>
      <w:r>
        <w:rPr>
          <w:rFonts w:ascii="Times New Roman" w:hAnsi="Times New Roman" w:cs="Times New Roman"/>
          <w:color w:val="auto"/>
        </w:rPr>
        <w:t>the use of more standard pre-testing strategies</w:t>
      </w:r>
      <w:r w:rsidR="00F01F36">
        <w:rPr>
          <w:rFonts w:ascii="Times New Roman" w:hAnsi="Times New Roman" w:cs="Times New Roman"/>
          <w:color w:val="auto"/>
        </w:rPr>
        <w:t>.</w:t>
      </w:r>
      <w:r>
        <w:rPr>
          <w:rFonts w:ascii="Times New Roman" w:hAnsi="Times New Roman" w:cs="Times New Roman"/>
          <w:color w:val="auto"/>
        </w:rPr>
        <w:t xml:space="preserve"> </w:t>
      </w:r>
      <w:r w:rsidR="002A6137">
        <w:rPr>
          <w:rFonts w:ascii="Times New Roman" w:hAnsi="Times New Roman" w:cs="Times New Roman"/>
          <w:color w:val="auto"/>
        </w:rPr>
        <w:t>Further, for the staff interviews covered by this submission, we expect to meet with almost all the housing subsidy specialists assigned to work with the New Rules group</w:t>
      </w:r>
      <w:r w:rsidR="00A062B5">
        <w:rPr>
          <w:rFonts w:ascii="Times New Roman" w:hAnsi="Times New Roman" w:cs="Times New Roman"/>
          <w:color w:val="auto"/>
        </w:rPr>
        <w:t xml:space="preserve"> (to understand variation across staff, if any)</w:t>
      </w:r>
      <w:r w:rsidR="002A6137">
        <w:rPr>
          <w:rFonts w:ascii="Times New Roman" w:hAnsi="Times New Roman" w:cs="Times New Roman"/>
          <w:color w:val="auto"/>
        </w:rPr>
        <w:t>, ranging from two to eight across our study sites</w:t>
      </w:r>
      <w:r w:rsidR="00F01F36">
        <w:rPr>
          <w:rFonts w:ascii="Times New Roman" w:hAnsi="Times New Roman" w:cs="Times New Roman"/>
          <w:color w:val="auto"/>
        </w:rPr>
        <w:t>, so the sites themselves do not necessarily present pre-testing possibilities</w:t>
      </w:r>
      <w:r w:rsidR="002A6137">
        <w:rPr>
          <w:rFonts w:ascii="Times New Roman" w:hAnsi="Times New Roman" w:cs="Times New Roman"/>
          <w:color w:val="auto"/>
        </w:rPr>
        <w:t xml:space="preserve">. </w:t>
      </w:r>
    </w:p>
    <w:p w:rsidR="00821ED5" w:rsidRPr="0032184E" w:rsidRDefault="00821ED5" w:rsidP="003648DA">
      <w:pPr>
        <w:pStyle w:val="Heading5"/>
        <w:spacing w:line="240" w:lineRule="auto"/>
        <w:ind w:firstLine="0"/>
        <w:jc w:val="left"/>
        <w:rPr>
          <w:rFonts w:ascii="Arial" w:hAnsi="Arial" w:cs="Arial"/>
          <w:b/>
          <w:color w:val="auto"/>
        </w:rPr>
      </w:pPr>
      <w:r w:rsidRPr="0032184E">
        <w:rPr>
          <w:rFonts w:ascii="Arial" w:hAnsi="Arial" w:cs="Arial"/>
          <w:b/>
          <w:color w:val="auto"/>
        </w:rPr>
        <w:t>B5.  Individuals Consulted on Statistical Aspects and Individuals Collecting and/or Analyzing</w:t>
      </w:r>
      <w:r w:rsidRPr="0032184E">
        <w:rPr>
          <w:rFonts w:ascii="Arial" w:hAnsi="Arial" w:cs="Arial"/>
          <w:b/>
        </w:rPr>
        <w:t xml:space="preserve"> </w:t>
      </w:r>
      <w:r w:rsidRPr="0032184E">
        <w:rPr>
          <w:rFonts w:ascii="Arial" w:hAnsi="Arial" w:cs="Arial"/>
          <w:b/>
          <w:color w:val="auto"/>
        </w:rPr>
        <w:t>Data</w:t>
      </w:r>
    </w:p>
    <w:p w:rsidR="00025732" w:rsidRPr="0032184E" w:rsidRDefault="00025732" w:rsidP="00886B99">
      <w:pPr>
        <w:spacing w:line="240" w:lineRule="auto"/>
        <w:ind w:firstLine="0"/>
        <w:jc w:val="left"/>
        <w:rPr>
          <w:rFonts w:ascii="Arial" w:hAnsi="Arial" w:cs="Arial"/>
        </w:rPr>
      </w:pPr>
    </w:p>
    <w:p w:rsidR="009C5612" w:rsidRDefault="00821ED5" w:rsidP="00886B99">
      <w:pPr>
        <w:spacing w:line="240" w:lineRule="auto"/>
        <w:ind w:firstLine="0"/>
        <w:jc w:val="left"/>
        <w:rPr>
          <w:rFonts w:ascii="Times New Roman" w:hAnsi="Times New Roman"/>
        </w:rPr>
      </w:pPr>
      <w:r w:rsidRPr="00A3664B">
        <w:rPr>
          <w:rFonts w:ascii="Times New Roman" w:hAnsi="Times New Roman"/>
        </w:rPr>
        <w:t xml:space="preserve">The information for the </w:t>
      </w:r>
      <w:r w:rsidR="002044C0">
        <w:rPr>
          <w:rFonts w:ascii="Times New Roman" w:hAnsi="Times New Roman"/>
        </w:rPr>
        <w:t xml:space="preserve">Rent Reform </w:t>
      </w:r>
      <w:r w:rsidR="0051255A">
        <w:rPr>
          <w:rFonts w:ascii="Times New Roman" w:hAnsi="Times New Roman"/>
        </w:rPr>
        <w:t>d</w:t>
      </w:r>
      <w:r w:rsidR="002044C0">
        <w:rPr>
          <w:rFonts w:ascii="Times New Roman" w:hAnsi="Times New Roman"/>
        </w:rPr>
        <w:t>emonstration</w:t>
      </w:r>
      <w:r w:rsidRPr="00A3664B">
        <w:rPr>
          <w:rFonts w:ascii="Times New Roman" w:hAnsi="Times New Roman"/>
        </w:rPr>
        <w:t xml:space="preserve"> is being collected by MDRC and its subcontractors</w:t>
      </w:r>
      <w:r w:rsidR="00C22CC8">
        <w:rPr>
          <w:rFonts w:ascii="Times New Roman" w:hAnsi="Times New Roman"/>
        </w:rPr>
        <w:t xml:space="preserve"> </w:t>
      </w:r>
      <w:r w:rsidRPr="00A3664B">
        <w:rPr>
          <w:rFonts w:ascii="Times New Roman" w:hAnsi="Times New Roman"/>
        </w:rPr>
        <w:t xml:space="preserve">on behalf of </w:t>
      </w:r>
      <w:r w:rsidR="00322990">
        <w:rPr>
          <w:rFonts w:ascii="Times New Roman" w:hAnsi="Times New Roman"/>
        </w:rPr>
        <w:t xml:space="preserve">HUD. </w:t>
      </w:r>
      <w:r w:rsidRPr="00A3664B">
        <w:rPr>
          <w:rFonts w:ascii="Times New Roman" w:hAnsi="Times New Roman"/>
        </w:rPr>
        <w:t>With HUD oversight, MDRC and its subcontractors</w:t>
      </w:r>
      <w:r w:rsidR="00A330F9">
        <w:rPr>
          <w:rFonts w:ascii="Times New Roman" w:hAnsi="Times New Roman"/>
        </w:rPr>
        <w:t xml:space="preserve"> (Urban Institute, </w:t>
      </w:r>
      <w:r w:rsidR="0051255A">
        <w:rPr>
          <w:rFonts w:ascii="Times New Roman" w:hAnsi="Times New Roman"/>
        </w:rPr>
        <w:t xml:space="preserve">Branch Associates, </w:t>
      </w:r>
      <w:proofErr w:type="spellStart"/>
      <w:r w:rsidR="00A330F9">
        <w:rPr>
          <w:rFonts w:ascii="Times New Roman" w:hAnsi="Times New Roman"/>
        </w:rPr>
        <w:t>Quadel</w:t>
      </w:r>
      <w:proofErr w:type="spellEnd"/>
      <w:r w:rsidR="00A330F9">
        <w:rPr>
          <w:rFonts w:ascii="Times New Roman" w:hAnsi="Times New Roman"/>
        </w:rPr>
        <w:t xml:space="preserve">, and </w:t>
      </w:r>
      <w:proofErr w:type="spellStart"/>
      <w:r w:rsidR="00A330F9">
        <w:rPr>
          <w:rFonts w:ascii="Times New Roman" w:hAnsi="Times New Roman"/>
        </w:rPr>
        <w:t>Bronner</w:t>
      </w:r>
      <w:proofErr w:type="spellEnd"/>
      <w:r w:rsidR="00A330F9">
        <w:rPr>
          <w:rFonts w:ascii="Times New Roman" w:hAnsi="Times New Roman"/>
        </w:rPr>
        <w:t>)</w:t>
      </w:r>
      <w:r w:rsidR="00C460CD">
        <w:rPr>
          <w:rFonts w:ascii="Times New Roman" w:hAnsi="Times New Roman"/>
        </w:rPr>
        <w:t xml:space="preserve"> </w:t>
      </w:r>
      <w:r w:rsidR="00322990">
        <w:rPr>
          <w:rFonts w:ascii="Times New Roman" w:hAnsi="Times New Roman"/>
        </w:rPr>
        <w:t xml:space="preserve">are </w:t>
      </w:r>
      <w:r w:rsidRPr="00A3664B">
        <w:rPr>
          <w:rFonts w:ascii="Times New Roman" w:hAnsi="Times New Roman"/>
        </w:rPr>
        <w:t>responsible for developing the study documents included in this submission.</w:t>
      </w:r>
      <w:r w:rsidR="0042621C">
        <w:rPr>
          <w:rFonts w:ascii="Times New Roman" w:hAnsi="Times New Roman"/>
        </w:rPr>
        <w:t xml:space="preserve"> </w:t>
      </w:r>
      <w:r w:rsidR="00702F87" w:rsidRPr="00990297">
        <w:rPr>
          <w:rFonts w:ascii="Times New Roman" w:hAnsi="Times New Roman"/>
        </w:rPr>
        <w:t xml:space="preserve">The statistical aspects of the study were developed </w:t>
      </w:r>
      <w:r w:rsidR="00CA076C" w:rsidRPr="00990297">
        <w:rPr>
          <w:rFonts w:ascii="Times New Roman" w:hAnsi="Times New Roman"/>
        </w:rPr>
        <w:t xml:space="preserve">by Dr. Steven Nunez </w:t>
      </w:r>
      <w:r w:rsidR="00702F87" w:rsidRPr="00990297">
        <w:rPr>
          <w:rFonts w:ascii="Times New Roman" w:hAnsi="Times New Roman"/>
        </w:rPr>
        <w:t xml:space="preserve">in consultation with MDRC senior </w:t>
      </w:r>
      <w:r w:rsidR="00C53FED" w:rsidRPr="00990297">
        <w:rPr>
          <w:rFonts w:ascii="Times New Roman" w:hAnsi="Times New Roman"/>
        </w:rPr>
        <w:t xml:space="preserve">economist and </w:t>
      </w:r>
      <w:r w:rsidR="00702F87" w:rsidRPr="00990297">
        <w:rPr>
          <w:rFonts w:ascii="Times New Roman" w:hAnsi="Times New Roman"/>
        </w:rPr>
        <w:t xml:space="preserve">impact analyst, </w:t>
      </w:r>
      <w:r w:rsidR="00CA076C" w:rsidRPr="00990297">
        <w:rPr>
          <w:rFonts w:ascii="Times New Roman" w:hAnsi="Times New Roman"/>
        </w:rPr>
        <w:t xml:space="preserve">Dr. </w:t>
      </w:r>
      <w:r w:rsidR="00702F87" w:rsidRPr="00990297">
        <w:rPr>
          <w:rFonts w:ascii="Times New Roman" w:hAnsi="Times New Roman"/>
        </w:rPr>
        <w:t>Cynthia Miller</w:t>
      </w:r>
      <w:r w:rsidR="0051255A">
        <w:rPr>
          <w:rFonts w:ascii="Times New Roman" w:hAnsi="Times New Roman"/>
        </w:rPr>
        <w:t xml:space="preserve"> and</w:t>
      </w:r>
      <w:r w:rsidR="00F52D02">
        <w:rPr>
          <w:rFonts w:ascii="Times New Roman" w:hAnsi="Times New Roman"/>
        </w:rPr>
        <w:t xml:space="preserve"> two academic consultants, </w:t>
      </w:r>
      <w:r w:rsidR="0051255A">
        <w:rPr>
          <w:rFonts w:ascii="Times New Roman" w:hAnsi="Times New Roman"/>
        </w:rPr>
        <w:t>Professors Ingrid Gould-Ellen and John Goering, both national e</w:t>
      </w:r>
      <w:r w:rsidR="00F52D02">
        <w:rPr>
          <w:rFonts w:ascii="Times New Roman" w:hAnsi="Times New Roman"/>
        </w:rPr>
        <w:t xml:space="preserve">xperts. </w:t>
      </w:r>
    </w:p>
    <w:p w:rsidR="00CE4559" w:rsidRDefault="00CE4559" w:rsidP="00886B99">
      <w:pPr>
        <w:spacing w:line="240" w:lineRule="auto"/>
        <w:ind w:firstLine="0"/>
        <w:jc w:val="left"/>
        <w:rPr>
          <w:rFonts w:ascii="Times New Roman" w:hAnsi="Times New Roman"/>
        </w:rPr>
      </w:pPr>
    </w:p>
    <w:p w:rsidR="00CE4559" w:rsidRPr="00A3664B" w:rsidRDefault="00CE4559" w:rsidP="003648DA">
      <w:pPr>
        <w:spacing w:line="240" w:lineRule="auto"/>
        <w:ind w:firstLine="0"/>
        <w:jc w:val="left"/>
        <w:rPr>
          <w:rFonts w:ascii="Times New Roman" w:hAnsi="Times New Roman"/>
        </w:rPr>
      </w:pPr>
    </w:p>
    <w:sectPr w:rsidR="00CE4559" w:rsidRPr="00A3664B" w:rsidSect="00CB6BB3">
      <w:headerReference w:type="default" r:id="rId12"/>
      <w:footerReference w:type="default" r:id="rId13"/>
      <w:pgSz w:w="12240" w:h="15840"/>
      <w:pgMar w:top="144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D1B" w:rsidRDefault="003E1D1B" w:rsidP="009C5612">
      <w:pPr>
        <w:spacing w:line="240" w:lineRule="auto"/>
      </w:pPr>
      <w:r>
        <w:separator/>
      </w:r>
    </w:p>
  </w:endnote>
  <w:endnote w:type="continuationSeparator" w:id="0">
    <w:p w:rsidR="003E1D1B" w:rsidRDefault="003E1D1B" w:rsidP="009C5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660054"/>
      <w:docPartObj>
        <w:docPartGallery w:val="Page Numbers (Bottom of Page)"/>
        <w:docPartUnique/>
      </w:docPartObj>
    </w:sdtPr>
    <w:sdtEndPr>
      <w:rPr>
        <w:noProof/>
      </w:rPr>
    </w:sdtEndPr>
    <w:sdtContent>
      <w:p w:rsidR="00462387" w:rsidRDefault="00462387">
        <w:pPr>
          <w:pStyle w:val="Footer"/>
          <w:jc w:val="right"/>
        </w:pPr>
        <w:r>
          <w:fldChar w:fldCharType="begin"/>
        </w:r>
        <w:r>
          <w:instrText xml:space="preserve"> PAGE   \* MERGEFORMAT </w:instrText>
        </w:r>
        <w:r>
          <w:fldChar w:fldCharType="separate"/>
        </w:r>
        <w:r w:rsidR="00C210DF">
          <w:rPr>
            <w:noProof/>
          </w:rPr>
          <w:t>1</w:t>
        </w:r>
        <w:r>
          <w:rPr>
            <w:noProof/>
          </w:rPr>
          <w:fldChar w:fldCharType="end"/>
        </w:r>
      </w:p>
    </w:sdtContent>
  </w:sdt>
  <w:p w:rsidR="00462387" w:rsidRDefault="00462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D1B" w:rsidRDefault="003E1D1B" w:rsidP="009C5612">
      <w:pPr>
        <w:spacing w:line="240" w:lineRule="auto"/>
      </w:pPr>
      <w:r>
        <w:separator/>
      </w:r>
    </w:p>
  </w:footnote>
  <w:footnote w:type="continuationSeparator" w:id="0">
    <w:p w:rsidR="003E1D1B" w:rsidRDefault="003E1D1B" w:rsidP="009C5612">
      <w:pPr>
        <w:spacing w:line="240" w:lineRule="auto"/>
      </w:pPr>
      <w:r>
        <w:continuationSeparator/>
      </w:r>
    </w:p>
  </w:footnote>
  <w:footnote w:id="1">
    <w:p w:rsidR="008B4B2A" w:rsidRDefault="008B4B2A">
      <w:pPr>
        <w:pStyle w:val="FootnoteText"/>
      </w:pPr>
      <w:r>
        <w:rPr>
          <w:rStyle w:val="FootnoteReference"/>
        </w:rPr>
        <w:footnoteRef/>
      </w:r>
      <w:r>
        <w:t xml:space="preserve"> </w:t>
      </w:r>
      <w:r w:rsidR="00F42CD8">
        <w:t>This site, the Lexington Housing Authority (</w:t>
      </w:r>
      <w:r w:rsidR="00F42CD8">
        <w:rPr>
          <w:color w:val="000000"/>
        </w:rPr>
        <w:t xml:space="preserve">LHA) is enrolling all eligible households in the study. </w:t>
      </w:r>
      <w:r w:rsidR="000D07CE">
        <w:rPr>
          <w:color w:val="000000"/>
        </w:rPr>
        <w:t>T</w:t>
      </w:r>
      <w:r w:rsidR="00F42CD8">
        <w:rPr>
          <w:color w:val="000000"/>
        </w:rPr>
        <w:t xml:space="preserve">he final sample size will be closer to 1,100, lower than the </w:t>
      </w:r>
      <w:r w:rsidR="000D07CE">
        <w:rPr>
          <w:color w:val="000000"/>
        </w:rPr>
        <w:t xml:space="preserve">potential </w:t>
      </w:r>
      <w:r w:rsidR="00F42CD8">
        <w:rPr>
          <w:color w:val="000000"/>
        </w:rPr>
        <w:t>sample size</w:t>
      </w:r>
      <w:r w:rsidR="000D07CE">
        <w:rPr>
          <w:color w:val="000000"/>
        </w:rPr>
        <w:t xml:space="preserve"> projected by the site</w:t>
      </w:r>
      <w:r w:rsidR="00F42CD8">
        <w:rPr>
          <w:color w:val="000000"/>
        </w:rPr>
        <w:t xml:space="preserve">, but adequate to support the site-specific impact analysis.  </w:t>
      </w:r>
    </w:p>
  </w:footnote>
  <w:footnote w:id="2">
    <w:p w:rsidR="00462387" w:rsidRDefault="00462387" w:rsidP="00157669">
      <w:pPr>
        <w:pStyle w:val="FootnoteText"/>
      </w:pPr>
      <w:r>
        <w:rPr>
          <w:rStyle w:val="FootnoteReference"/>
        </w:rPr>
        <w:footnoteRef/>
      </w:r>
      <w:r>
        <w:t xml:space="preserve">  Housing subsidy and TTP is calculated based on household income, thus this is a household level intervention and random assignment will occur at the household level.  </w:t>
      </w:r>
    </w:p>
  </w:footnote>
  <w:footnote w:id="3">
    <w:p w:rsidR="00462387" w:rsidRPr="00C201A4" w:rsidRDefault="00462387" w:rsidP="00157669">
      <w:pPr>
        <w:pStyle w:val="FootnoteText"/>
      </w:pPr>
      <w:r w:rsidRPr="00C201A4">
        <w:rPr>
          <w:rStyle w:val="FootnoteReference"/>
        </w:rPr>
        <w:footnoteRef/>
      </w:r>
      <w:r w:rsidRPr="00C201A4">
        <w:t xml:space="preserve"> In “split-sample” subgroup analyses, the full sample is divided into two or more mutually exclusive and exhaustive groups, such as single-parent families at the point of random assignment versus two-parent families. Impacts are estimated for each group separately. A related type of subgroup analysis uses regression methods to see if the effects of the intervention vary significantly with a continuous baseline measure (or one that takes on many values), such as initial attendance levels or test scores. Finally, “conditional” subgroup analyses take this idea one step further by controlling for the effect of other baseline characteristics when estimating the relationship between a particular subgroup and program effects. </w:t>
      </w:r>
      <w:r>
        <w:t xml:space="preserve"> </w:t>
      </w:r>
    </w:p>
  </w:footnote>
  <w:footnote w:id="4">
    <w:p w:rsidR="00462387" w:rsidRPr="00AD055D" w:rsidRDefault="00462387" w:rsidP="00157669">
      <w:pPr>
        <w:pStyle w:val="FootnoteText"/>
      </w:pPr>
      <w:r w:rsidRPr="00C201A4">
        <w:rPr>
          <w:rStyle w:val="FootnoteReference"/>
        </w:rPr>
        <w:footnoteRef/>
      </w:r>
      <w:r w:rsidRPr="00C201A4">
        <w:t xml:space="preserve"> Restricting the analysis to a few confirmatory subgroups does not rule out the possibility of a more exploratory analysis of additional subgroups later in the evaluation.  Findings from this analysis would necessarily be more speculative and given less weight in the discussion of program impacts.</w:t>
      </w:r>
    </w:p>
  </w:footnote>
  <w:footnote w:id="5">
    <w:p w:rsidR="00A062B5" w:rsidRDefault="00A062B5" w:rsidP="00A062B5">
      <w:pPr>
        <w:pStyle w:val="FootnoteText"/>
      </w:pPr>
      <w:r>
        <w:rPr>
          <w:rStyle w:val="FootnoteReference"/>
        </w:rPr>
        <w:footnoteRef/>
      </w:r>
      <w:r>
        <w:t xml:space="preserve"> LHA’s expected sample size is lower than the projected sample size (1,400), </w:t>
      </w:r>
      <w:r w:rsidRPr="00E44C64">
        <w:rPr>
          <w:color w:val="000000"/>
        </w:rPr>
        <w:t xml:space="preserve">but </w:t>
      </w:r>
      <w:r>
        <w:rPr>
          <w:color w:val="000000"/>
        </w:rPr>
        <w:t xml:space="preserve">expected to be </w:t>
      </w:r>
      <w:r w:rsidRPr="00E44C64">
        <w:rPr>
          <w:color w:val="000000"/>
        </w:rPr>
        <w:t>adequate to support the site-specific impact analysis</w:t>
      </w:r>
      <w:r w:rsidRPr="00E44C64">
        <w:t>.</w:t>
      </w:r>
      <w:r>
        <w:t xml:space="preserve">    </w:t>
      </w:r>
      <w:r w:rsidRPr="00F4764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387" w:rsidRDefault="00462387" w:rsidP="00CB6BB3">
    <w:pPr>
      <w:pStyle w:val="Header"/>
      <w:ind w:firstLine="0"/>
      <w:rPr>
        <w:rFonts w:ascii="Arial" w:hAnsi="Arial" w:cs="Arial"/>
        <w:b/>
      </w:rPr>
    </w:pPr>
    <w:r>
      <w:rPr>
        <w:rFonts w:ascii="Arial" w:hAnsi="Arial" w:cs="Arial"/>
        <w:b/>
      </w:rPr>
      <w:t>RENT REFORM DEMONSTRATION</w:t>
    </w:r>
  </w:p>
  <w:p w:rsidR="00462387" w:rsidRPr="00025732" w:rsidRDefault="00462387" w:rsidP="00CB6BB3">
    <w:pPr>
      <w:pStyle w:val="Header"/>
      <w:ind w:firstLine="0"/>
      <w:rPr>
        <w:rFonts w:ascii="Arial" w:hAnsi="Arial" w:cs="Arial"/>
        <w:b/>
      </w:rPr>
    </w:pPr>
    <w:r w:rsidRPr="00025732">
      <w:rPr>
        <w:rFonts w:ascii="Arial" w:hAnsi="Arial" w:cs="Arial"/>
        <w:b/>
      </w:rPr>
      <w:t xml:space="preserve">SUPPORTING STATEMENT B </w:t>
    </w:r>
    <w:r w:rsidR="004E3CAD">
      <w:rPr>
        <w:rFonts w:ascii="Arial" w:hAnsi="Arial" w:cs="Arial"/>
        <w:b/>
      </w:rPr>
      <w:t xml:space="preserve"> </w:t>
    </w:r>
    <w:r w:rsidRPr="00025732">
      <w:rPr>
        <w:rFonts w:ascii="Arial" w:hAnsi="Arial" w:cs="Arial"/>
        <w:b/>
      </w:rPr>
      <w:tab/>
    </w:r>
    <w:r w:rsidRPr="00025732">
      <w:rPr>
        <w:rFonts w:ascii="Arial" w:hAnsi="Arial" w:cs="Arial"/>
        <w:b/>
      </w:rPr>
      <w:tab/>
    </w:r>
  </w:p>
  <w:p w:rsidR="00462387" w:rsidRPr="00B90239" w:rsidRDefault="00462387" w:rsidP="00B902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1AB0"/>
    <w:multiLevelType w:val="hybridMultilevel"/>
    <w:tmpl w:val="0C2AF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2A15EA"/>
    <w:multiLevelType w:val="hybridMultilevel"/>
    <w:tmpl w:val="DECE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2397A"/>
    <w:multiLevelType w:val="hybridMultilevel"/>
    <w:tmpl w:val="A8D6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DB1056"/>
    <w:multiLevelType w:val="hybridMultilevel"/>
    <w:tmpl w:val="154A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D1674A"/>
    <w:multiLevelType w:val="hybridMultilevel"/>
    <w:tmpl w:val="D2D6E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42E5320"/>
    <w:multiLevelType w:val="hybridMultilevel"/>
    <w:tmpl w:val="8A7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13DC7"/>
    <w:multiLevelType w:val="hybridMultilevel"/>
    <w:tmpl w:val="418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E7D07"/>
    <w:rsid w:val="00025732"/>
    <w:rsid w:val="00034A98"/>
    <w:rsid w:val="0005073E"/>
    <w:rsid w:val="000575FF"/>
    <w:rsid w:val="00077B4B"/>
    <w:rsid w:val="00081ECA"/>
    <w:rsid w:val="000B5AB7"/>
    <w:rsid w:val="000D07CE"/>
    <w:rsid w:val="000D50EB"/>
    <w:rsid w:val="000D7154"/>
    <w:rsid w:val="000E1245"/>
    <w:rsid w:val="000E71E3"/>
    <w:rsid w:val="000F7B78"/>
    <w:rsid w:val="00105DE8"/>
    <w:rsid w:val="00115253"/>
    <w:rsid w:val="00125E0F"/>
    <w:rsid w:val="001355B0"/>
    <w:rsid w:val="00136FE7"/>
    <w:rsid w:val="00142CE2"/>
    <w:rsid w:val="00144565"/>
    <w:rsid w:val="00157669"/>
    <w:rsid w:val="00161A8D"/>
    <w:rsid w:val="00163339"/>
    <w:rsid w:val="00165A8D"/>
    <w:rsid w:val="001706B0"/>
    <w:rsid w:val="001879A9"/>
    <w:rsid w:val="00187FBB"/>
    <w:rsid w:val="00190447"/>
    <w:rsid w:val="001B40A2"/>
    <w:rsid w:val="001B5B7C"/>
    <w:rsid w:val="001C53C6"/>
    <w:rsid w:val="001E1B99"/>
    <w:rsid w:val="001E2D86"/>
    <w:rsid w:val="00202C44"/>
    <w:rsid w:val="002044C0"/>
    <w:rsid w:val="00217B03"/>
    <w:rsid w:val="00256BF8"/>
    <w:rsid w:val="0026337B"/>
    <w:rsid w:val="00266123"/>
    <w:rsid w:val="0027491A"/>
    <w:rsid w:val="00277B8D"/>
    <w:rsid w:val="0028009C"/>
    <w:rsid w:val="00291CFB"/>
    <w:rsid w:val="00294529"/>
    <w:rsid w:val="0029642B"/>
    <w:rsid w:val="002A1AED"/>
    <w:rsid w:val="002A1FC4"/>
    <w:rsid w:val="002A6137"/>
    <w:rsid w:val="002A6183"/>
    <w:rsid w:val="002B1E5B"/>
    <w:rsid w:val="002C21A5"/>
    <w:rsid w:val="002D1671"/>
    <w:rsid w:val="002E7086"/>
    <w:rsid w:val="003027CE"/>
    <w:rsid w:val="003105AC"/>
    <w:rsid w:val="00316374"/>
    <w:rsid w:val="0032184E"/>
    <w:rsid w:val="00322990"/>
    <w:rsid w:val="0033767F"/>
    <w:rsid w:val="003413EF"/>
    <w:rsid w:val="00341925"/>
    <w:rsid w:val="003440FF"/>
    <w:rsid w:val="00351206"/>
    <w:rsid w:val="00357FEB"/>
    <w:rsid w:val="003648DA"/>
    <w:rsid w:val="00364BBF"/>
    <w:rsid w:val="003707AA"/>
    <w:rsid w:val="00371303"/>
    <w:rsid w:val="00373DA2"/>
    <w:rsid w:val="00382B03"/>
    <w:rsid w:val="00390805"/>
    <w:rsid w:val="00396B19"/>
    <w:rsid w:val="003A2B4E"/>
    <w:rsid w:val="003B4C5F"/>
    <w:rsid w:val="003C1C29"/>
    <w:rsid w:val="003C48BF"/>
    <w:rsid w:val="003D4E1A"/>
    <w:rsid w:val="003D5E5D"/>
    <w:rsid w:val="003D7DBA"/>
    <w:rsid w:val="003E1672"/>
    <w:rsid w:val="003E1D1B"/>
    <w:rsid w:val="003E75D9"/>
    <w:rsid w:val="003F3E73"/>
    <w:rsid w:val="003F4476"/>
    <w:rsid w:val="00404EFC"/>
    <w:rsid w:val="00422A39"/>
    <w:rsid w:val="0042621C"/>
    <w:rsid w:val="00432FDD"/>
    <w:rsid w:val="00446259"/>
    <w:rsid w:val="0045697E"/>
    <w:rsid w:val="00462387"/>
    <w:rsid w:val="00474CD9"/>
    <w:rsid w:val="00475A73"/>
    <w:rsid w:val="00477AE6"/>
    <w:rsid w:val="00492127"/>
    <w:rsid w:val="00492475"/>
    <w:rsid w:val="004958A4"/>
    <w:rsid w:val="004B2B0E"/>
    <w:rsid w:val="004C7AB8"/>
    <w:rsid w:val="004E3926"/>
    <w:rsid w:val="004E3CAD"/>
    <w:rsid w:val="004F0B44"/>
    <w:rsid w:val="004F20AA"/>
    <w:rsid w:val="0051255A"/>
    <w:rsid w:val="0051279D"/>
    <w:rsid w:val="00512CCA"/>
    <w:rsid w:val="00516355"/>
    <w:rsid w:val="00534646"/>
    <w:rsid w:val="00542349"/>
    <w:rsid w:val="0055243E"/>
    <w:rsid w:val="005525B8"/>
    <w:rsid w:val="0055724A"/>
    <w:rsid w:val="00566492"/>
    <w:rsid w:val="0057397F"/>
    <w:rsid w:val="00575F9A"/>
    <w:rsid w:val="00581692"/>
    <w:rsid w:val="00583D34"/>
    <w:rsid w:val="0059020A"/>
    <w:rsid w:val="00594AE7"/>
    <w:rsid w:val="00595B0E"/>
    <w:rsid w:val="005D281F"/>
    <w:rsid w:val="005D30F2"/>
    <w:rsid w:val="005E7CED"/>
    <w:rsid w:val="005F663E"/>
    <w:rsid w:val="00601C1C"/>
    <w:rsid w:val="00604140"/>
    <w:rsid w:val="00622A28"/>
    <w:rsid w:val="00630B5D"/>
    <w:rsid w:val="00630F60"/>
    <w:rsid w:val="00644731"/>
    <w:rsid w:val="00656869"/>
    <w:rsid w:val="00657A5D"/>
    <w:rsid w:val="006635F1"/>
    <w:rsid w:val="0067267A"/>
    <w:rsid w:val="006946FB"/>
    <w:rsid w:val="006B7352"/>
    <w:rsid w:val="006C0D93"/>
    <w:rsid w:val="006D2C6C"/>
    <w:rsid w:val="006E5FE8"/>
    <w:rsid w:val="006F45D3"/>
    <w:rsid w:val="00702F87"/>
    <w:rsid w:val="00711224"/>
    <w:rsid w:val="00717401"/>
    <w:rsid w:val="007177EE"/>
    <w:rsid w:val="00725620"/>
    <w:rsid w:val="00737A17"/>
    <w:rsid w:val="007545D2"/>
    <w:rsid w:val="007558AD"/>
    <w:rsid w:val="0076249D"/>
    <w:rsid w:val="00765790"/>
    <w:rsid w:val="0078775E"/>
    <w:rsid w:val="007A7DDF"/>
    <w:rsid w:val="007B40F2"/>
    <w:rsid w:val="007B50D0"/>
    <w:rsid w:val="007C4EDB"/>
    <w:rsid w:val="007C651E"/>
    <w:rsid w:val="007F5BCE"/>
    <w:rsid w:val="008107BE"/>
    <w:rsid w:val="00821ED5"/>
    <w:rsid w:val="00823C45"/>
    <w:rsid w:val="00823C94"/>
    <w:rsid w:val="008254DB"/>
    <w:rsid w:val="00841DAB"/>
    <w:rsid w:val="00850588"/>
    <w:rsid w:val="008552B7"/>
    <w:rsid w:val="00860FF2"/>
    <w:rsid w:val="0087121F"/>
    <w:rsid w:val="008754AF"/>
    <w:rsid w:val="008772C5"/>
    <w:rsid w:val="00886B99"/>
    <w:rsid w:val="008A04FF"/>
    <w:rsid w:val="008B4B2A"/>
    <w:rsid w:val="008B66D7"/>
    <w:rsid w:val="008B6BC7"/>
    <w:rsid w:val="008C38DE"/>
    <w:rsid w:val="008D28A9"/>
    <w:rsid w:val="008E7A00"/>
    <w:rsid w:val="008F304C"/>
    <w:rsid w:val="008F4921"/>
    <w:rsid w:val="00915F95"/>
    <w:rsid w:val="00921E35"/>
    <w:rsid w:val="00924CA4"/>
    <w:rsid w:val="0092605D"/>
    <w:rsid w:val="00926358"/>
    <w:rsid w:val="00972D13"/>
    <w:rsid w:val="00973CD5"/>
    <w:rsid w:val="00990297"/>
    <w:rsid w:val="0099068B"/>
    <w:rsid w:val="00994C9D"/>
    <w:rsid w:val="009A2173"/>
    <w:rsid w:val="009A2FC9"/>
    <w:rsid w:val="009B2A58"/>
    <w:rsid w:val="009B3B1D"/>
    <w:rsid w:val="009C0F64"/>
    <w:rsid w:val="009C2FEE"/>
    <w:rsid w:val="009C5612"/>
    <w:rsid w:val="009D3CCA"/>
    <w:rsid w:val="009D4012"/>
    <w:rsid w:val="009D5818"/>
    <w:rsid w:val="009D7407"/>
    <w:rsid w:val="009F0B15"/>
    <w:rsid w:val="009F1775"/>
    <w:rsid w:val="00A02EC6"/>
    <w:rsid w:val="00A05F9D"/>
    <w:rsid w:val="00A062B5"/>
    <w:rsid w:val="00A12BF6"/>
    <w:rsid w:val="00A3031B"/>
    <w:rsid w:val="00A31F75"/>
    <w:rsid w:val="00A330F9"/>
    <w:rsid w:val="00A3664B"/>
    <w:rsid w:val="00A46A45"/>
    <w:rsid w:val="00A64F5B"/>
    <w:rsid w:val="00A65E31"/>
    <w:rsid w:val="00A71C4C"/>
    <w:rsid w:val="00A76C49"/>
    <w:rsid w:val="00A90D05"/>
    <w:rsid w:val="00A94E3E"/>
    <w:rsid w:val="00AA3FA9"/>
    <w:rsid w:val="00AB21EB"/>
    <w:rsid w:val="00AC0C1D"/>
    <w:rsid w:val="00AD48AD"/>
    <w:rsid w:val="00AE1800"/>
    <w:rsid w:val="00AE2365"/>
    <w:rsid w:val="00AE23B6"/>
    <w:rsid w:val="00AF0B68"/>
    <w:rsid w:val="00AF738C"/>
    <w:rsid w:val="00B05E7A"/>
    <w:rsid w:val="00B107B1"/>
    <w:rsid w:val="00B16C79"/>
    <w:rsid w:val="00B25232"/>
    <w:rsid w:val="00B60528"/>
    <w:rsid w:val="00B76227"/>
    <w:rsid w:val="00B82B40"/>
    <w:rsid w:val="00B90239"/>
    <w:rsid w:val="00B92262"/>
    <w:rsid w:val="00B93C1A"/>
    <w:rsid w:val="00BA417D"/>
    <w:rsid w:val="00BC13D4"/>
    <w:rsid w:val="00BC1D36"/>
    <w:rsid w:val="00BD29B7"/>
    <w:rsid w:val="00BD466C"/>
    <w:rsid w:val="00BD54C4"/>
    <w:rsid w:val="00BD5839"/>
    <w:rsid w:val="00BE3879"/>
    <w:rsid w:val="00BE5D40"/>
    <w:rsid w:val="00BF73E4"/>
    <w:rsid w:val="00C11A7D"/>
    <w:rsid w:val="00C13CB2"/>
    <w:rsid w:val="00C210DF"/>
    <w:rsid w:val="00C21C94"/>
    <w:rsid w:val="00C22CC8"/>
    <w:rsid w:val="00C30C47"/>
    <w:rsid w:val="00C36BD9"/>
    <w:rsid w:val="00C460CD"/>
    <w:rsid w:val="00C46A4A"/>
    <w:rsid w:val="00C53711"/>
    <w:rsid w:val="00C53FED"/>
    <w:rsid w:val="00C5712C"/>
    <w:rsid w:val="00C634E9"/>
    <w:rsid w:val="00C670B5"/>
    <w:rsid w:val="00C67748"/>
    <w:rsid w:val="00C73BD8"/>
    <w:rsid w:val="00C7523F"/>
    <w:rsid w:val="00C90585"/>
    <w:rsid w:val="00C93B59"/>
    <w:rsid w:val="00C95BB1"/>
    <w:rsid w:val="00CA076C"/>
    <w:rsid w:val="00CA3E3A"/>
    <w:rsid w:val="00CB3C76"/>
    <w:rsid w:val="00CB6BB3"/>
    <w:rsid w:val="00CC6C14"/>
    <w:rsid w:val="00CC7785"/>
    <w:rsid w:val="00CD4188"/>
    <w:rsid w:val="00CE0E0E"/>
    <w:rsid w:val="00CE39AC"/>
    <w:rsid w:val="00CE4559"/>
    <w:rsid w:val="00CE4B88"/>
    <w:rsid w:val="00CE6C2C"/>
    <w:rsid w:val="00D106AB"/>
    <w:rsid w:val="00D13B2B"/>
    <w:rsid w:val="00D46A44"/>
    <w:rsid w:val="00D53CB0"/>
    <w:rsid w:val="00D63BD3"/>
    <w:rsid w:val="00D761D1"/>
    <w:rsid w:val="00D83C61"/>
    <w:rsid w:val="00D90D11"/>
    <w:rsid w:val="00D960F3"/>
    <w:rsid w:val="00DA6301"/>
    <w:rsid w:val="00DB24FE"/>
    <w:rsid w:val="00DB5616"/>
    <w:rsid w:val="00DB5BEB"/>
    <w:rsid w:val="00DE179A"/>
    <w:rsid w:val="00DE601E"/>
    <w:rsid w:val="00DE62D5"/>
    <w:rsid w:val="00DE7D07"/>
    <w:rsid w:val="00DF0AED"/>
    <w:rsid w:val="00E02EE2"/>
    <w:rsid w:val="00E10C83"/>
    <w:rsid w:val="00E219A5"/>
    <w:rsid w:val="00E56CA1"/>
    <w:rsid w:val="00E74C4E"/>
    <w:rsid w:val="00E92850"/>
    <w:rsid w:val="00EA1DF8"/>
    <w:rsid w:val="00EB72A3"/>
    <w:rsid w:val="00EC1608"/>
    <w:rsid w:val="00EC6D54"/>
    <w:rsid w:val="00EE1092"/>
    <w:rsid w:val="00EE6E88"/>
    <w:rsid w:val="00EF31F5"/>
    <w:rsid w:val="00EF3FF1"/>
    <w:rsid w:val="00EF65E3"/>
    <w:rsid w:val="00F01F36"/>
    <w:rsid w:val="00F16FFB"/>
    <w:rsid w:val="00F20954"/>
    <w:rsid w:val="00F24CE5"/>
    <w:rsid w:val="00F2575D"/>
    <w:rsid w:val="00F32A4F"/>
    <w:rsid w:val="00F42CD8"/>
    <w:rsid w:val="00F47641"/>
    <w:rsid w:val="00F52D02"/>
    <w:rsid w:val="00F52DBA"/>
    <w:rsid w:val="00F544B5"/>
    <w:rsid w:val="00F5703E"/>
    <w:rsid w:val="00F77577"/>
    <w:rsid w:val="00F96D70"/>
    <w:rsid w:val="00F97C97"/>
    <w:rsid w:val="00FA6DE9"/>
    <w:rsid w:val="00FE0842"/>
    <w:rsid w:val="00FE1942"/>
    <w:rsid w:val="00FE213E"/>
    <w:rsid w:val="00FE40CC"/>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5">
    <w:name w:val="heading 5"/>
    <w:basedOn w:val="Normal"/>
    <w:next w:val="Normal"/>
    <w:link w:val="Heading5Char"/>
    <w:uiPriority w:val="9"/>
    <w:semiHidden/>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semiHidden/>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C5612"/>
    <w:rPr>
      <w:rFonts w:ascii="Times New Roman" w:eastAsia="Calibri" w:hAnsi="Times New Roman" w:cs="Times New Roman"/>
      <w:sz w:val="20"/>
      <w:szCs w:val="20"/>
    </w:rPr>
  </w:style>
  <w:style w:type="character" w:styleId="FootnoteReference">
    <w:name w:val="footnote reference"/>
    <w:aliases w:val="*Footnote Reference"/>
    <w:uiPriority w:val="99"/>
    <w:rsid w:val="009C5612"/>
    <w:rPr>
      <w:vertAlign w:val="superscript"/>
    </w:rPr>
  </w:style>
  <w:style w:type="paragraph" w:styleId="ListParagraph">
    <w:name w:val="List Paragraph"/>
    <w:basedOn w:val="Normal"/>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link w:val="NoSpacingChar"/>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821ED5"/>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821ED5"/>
    <w:rPr>
      <w:rFonts w:ascii="Arial" w:eastAsia="Times New Roman" w:hAnsi="Arial" w:cs="Times New Roman"/>
      <w:sz w:val="28"/>
      <w:szCs w:val="28"/>
    </w:rPr>
  </w:style>
  <w:style w:type="character" w:customStyle="1" w:styleId="Heading5Char">
    <w:name w:val="Heading 5 Char"/>
    <w:basedOn w:val="DefaultParagraphFont"/>
    <w:link w:val="Heading5"/>
    <w:uiPriority w:val="9"/>
    <w:semiHidden/>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semiHidden/>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 w:type="character" w:customStyle="1" w:styleId="NoSpacingChar">
    <w:name w:val="No Spacing Char"/>
    <w:link w:val="NoSpacing"/>
    <w:uiPriority w:val="1"/>
    <w:rsid w:val="00034A98"/>
    <w:rPr>
      <w:rFonts w:ascii="Calibri" w:eastAsia="Calibri" w:hAnsi="Calibri" w:cs="Calibri"/>
    </w:rPr>
  </w:style>
  <w:style w:type="paragraph" w:styleId="PlainText">
    <w:name w:val="Plain Text"/>
    <w:basedOn w:val="Normal"/>
    <w:link w:val="PlainTextChar"/>
    <w:uiPriority w:val="99"/>
    <w:semiHidden/>
    <w:unhideWhenUsed/>
    <w:rsid w:val="00034A98"/>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034A98"/>
    <w:rPr>
      <w:rFonts w:ascii="Consolas" w:eastAsia="Calibri" w:hAnsi="Consolas" w:cs="Times New Roman"/>
      <w:sz w:val="21"/>
      <w:szCs w:val="21"/>
    </w:rPr>
  </w:style>
  <w:style w:type="paragraph" w:styleId="Revision">
    <w:name w:val="Revision"/>
    <w:hidden/>
    <w:uiPriority w:val="99"/>
    <w:semiHidden/>
    <w:rsid w:val="00921E35"/>
    <w:pPr>
      <w:spacing w:after="0" w:line="240" w:lineRule="auto"/>
    </w:pPr>
    <w:rPr>
      <w:rFonts w:ascii="Garamond" w:eastAsia="Times New Roman" w:hAnsi="Garamond" w:cs="Times New Roman"/>
      <w:sz w:val="24"/>
      <w:szCs w:val="24"/>
    </w:rPr>
  </w:style>
  <w:style w:type="table" w:styleId="TableGrid">
    <w:name w:val="Table Grid"/>
    <w:basedOn w:val="TableNormal"/>
    <w:uiPriority w:val="59"/>
    <w:rsid w:val="001E2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5">
    <w:name w:val="heading 5"/>
    <w:basedOn w:val="Normal"/>
    <w:next w:val="Normal"/>
    <w:link w:val="Heading5Char"/>
    <w:uiPriority w:val="9"/>
    <w:semiHidden/>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semiHidden/>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C5612"/>
    <w:rPr>
      <w:rFonts w:ascii="Times New Roman" w:eastAsia="Calibri" w:hAnsi="Times New Roman" w:cs="Times New Roman"/>
      <w:sz w:val="20"/>
      <w:szCs w:val="20"/>
    </w:rPr>
  </w:style>
  <w:style w:type="character" w:styleId="FootnoteReference">
    <w:name w:val="footnote reference"/>
    <w:aliases w:val="*Footnote Reference"/>
    <w:uiPriority w:val="99"/>
    <w:rsid w:val="009C5612"/>
    <w:rPr>
      <w:vertAlign w:val="superscript"/>
    </w:rPr>
  </w:style>
  <w:style w:type="paragraph" w:styleId="ListParagraph">
    <w:name w:val="List Paragraph"/>
    <w:basedOn w:val="Normal"/>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link w:val="NoSpacingChar"/>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821ED5"/>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821ED5"/>
    <w:rPr>
      <w:rFonts w:ascii="Arial" w:eastAsia="Times New Roman" w:hAnsi="Arial" w:cs="Times New Roman"/>
      <w:sz w:val="28"/>
      <w:szCs w:val="28"/>
    </w:rPr>
  </w:style>
  <w:style w:type="character" w:customStyle="1" w:styleId="Heading5Char">
    <w:name w:val="Heading 5 Char"/>
    <w:basedOn w:val="DefaultParagraphFont"/>
    <w:link w:val="Heading5"/>
    <w:uiPriority w:val="9"/>
    <w:semiHidden/>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semiHidden/>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 w:type="character" w:customStyle="1" w:styleId="NoSpacingChar">
    <w:name w:val="No Spacing Char"/>
    <w:link w:val="NoSpacing"/>
    <w:uiPriority w:val="1"/>
    <w:rsid w:val="00034A98"/>
    <w:rPr>
      <w:rFonts w:ascii="Calibri" w:eastAsia="Calibri" w:hAnsi="Calibri" w:cs="Calibri"/>
    </w:rPr>
  </w:style>
  <w:style w:type="paragraph" w:styleId="PlainText">
    <w:name w:val="Plain Text"/>
    <w:basedOn w:val="Normal"/>
    <w:link w:val="PlainTextChar"/>
    <w:uiPriority w:val="99"/>
    <w:semiHidden/>
    <w:unhideWhenUsed/>
    <w:rsid w:val="00034A98"/>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034A98"/>
    <w:rPr>
      <w:rFonts w:ascii="Consolas" w:eastAsia="Calibri" w:hAnsi="Consolas" w:cs="Times New Roman"/>
      <w:sz w:val="21"/>
      <w:szCs w:val="21"/>
    </w:rPr>
  </w:style>
  <w:style w:type="paragraph" w:styleId="Revision">
    <w:name w:val="Revision"/>
    <w:hidden/>
    <w:uiPriority w:val="99"/>
    <w:semiHidden/>
    <w:rsid w:val="00921E35"/>
    <w:pPr>
      <w:spacing w:after="0" w:line="240" w:lineRule="auto"/>
    </w:pPr>
    <w:rPr>
      <w:rFonts w:ascii="Garamond" w:eastAsia="Times New Roman" w:hAnsi="Garamond" w:cs="Times New Roman"/>
      <w:sz w:val="24"/>
      <w:szCs w:val="24"/>
    </w:rPr>
  </w:style>
  <w:style w:type="table" w:styleId="TableGrid">
    <w:name w:val="Table Grid"/>
    <w:basedOn w:val="TableNormal"/>
    <w:uiPriority w:val="59"/>
    <w:rsid w:val="001E2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4862">
      <w:bodyDiv w:val="1"/>
      <w:marLeft w:val="0"/>
      <w:marRight w:val="0"/>
      <w:marTop w:val="0"/>
      <w:marBottom w:val="0"/>
      <w:divBdr>
        <w:top w:val="none" w:sz="0" w:space="0" w:color="auto"/>
        <w:left w:val="none" w:sz="0" w:space="0" w:color="auto"/>
        <w:bottom w:val="none" w:sz="0" w:space="0" w:color="auto"/>
        <w:right w:val="none" w:sz="0" w:space="0" w:color="auto"/>
      </w:divBdr>
    </w:div>
    <w:div w:id="240993025">
      <w:bodyDiv w:val="1"/>
      <w:marLeft w:val="0"/>
      <w:marRight w:val="0"/>
      <w:marTop w:val="0"/>
      <w:marBottom w:val="0"/>
      <w:divBdr>
        <w:top w:val="none" w:sz="0" w:space="0" w:color="auto"/>
        <w:left w:val="none" w:sz="0" w:space="0" w:color="auto"/>
        <w:bottom w:val="none" w:sz="0" w:space="0" w:color="auto"/>
        <w:right w:val="none" w:sz="0" w:space="0" w:color="auto"/>
      </w:divBdr>
      <w:divsChild>
        <w:div w:id="1140538576">
          <w:marLeft w:val="0"/>
          <w:marRight w:val="0"/>
          <w:marTop w:val="0"/>
          <w:marBottom w:val="0"/>
          <w:divBdr>
            <w:top w:val="none" w:sz="0" w:space="0" w:color="auto"/>
            <w:left w:val="none" w:sz="0" w:space="0" w:color="auto"/>
            <w:bottom w:val="none" w:sz="0" w:space="0" w:color="auto"/>
            <w:right w:val="none" w:sz="0" w:space="0" w:color="auto"/>
          </w:divBdr>
        </w:div>
      </w:divsChild>
    </w:div>
    <w:div w:id="673649996">
      <w:bodyDiv w:val="1"/>
      <w:marLeft w:val="0"/>
      <w:marRight w:val="0"/>
      <w:marTop w:val="0"/>
      <w:marBottom w:val="0"/>
      <w:divBdr>
        <w:top w:val="none" w:sz="0" w:space="0" w:color="auto"/>
        <w:left w:val="none" w:sz="0" w:space="0" w:color="auto"/>
        <w:bottom w:val="none" w:sz="0" w:space="0" w:color="auto"/>
        <w:right w:val="none" w:sz="0" w:space="0" w:color="auto"/>
      </w:divBdr>
    </w:div>
    <w:div w:id="1789160015">
      <w:bodyDiv w:val="1"/>
      <w:marLeft w:val="0"/>
      <w:marRight w:val="0"/>
      <w:marTop w:val="0"/>
      <w:marBottom w:val="0"/>
      <w:divBdr>
        <w:top w:val="none" w:sz="0" w:space="0" w:color="auto"/>
        <w:left w:val="none" w:sz="0" w:space="0" w:color="auto"/>
        <w:bottom w:val="none" w:sz="0" w:space="0" w:color="auto"/>
        <w:right w:val="none" w:sz="0" w:space="0" w:color="auto"/>
      </w:divBdr>
    </w:div>
    <w:div w:id="20113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5FFD191111A814C9C4C0DA6291C759C" ma:contentTypeVersion="35" ma:contentTypeDescription="MDRC Project Documents - includes metadata - Document Type, Site, Team" ma:contentTypeScope="" ma:versionID="d2bc5bb5e6a03e08ccc8d05ed0fc4206">
  <xsd:schema xmlns:xsd="http://www.w3.org/2001/XMLSchema" xmlns:p="http://schemas.microsoft.com/office/2006/metadata/properties" xmlns:ns2="2f9a5c0b-2c7e-4d5f-be45-5778110944b3" xmlns:ns3="f23c63e7-3264-4fa0-bbac-fd47573de8ba" targetNamespace="http://schemas.microsoft.com/office/2006/metadata/properties" ma:root="true" ma:fieldsID="27010d569ed4d1ec540dbba8c3401f2d" ns2:_="" ns3:_="">
    <xsd:import namespace="2f9a5c0b-2c7e-4d5f-be45-5778110944b3"/>
    <xsd:import namespace="f23c63e7-3264-4fa0-bbac-fd47573de8ba"/>
    <xsd:element name="properties">
      <xsd:complexType>
        <xsd:sequence>
          <xsd:element name="documentManagement">
            <xsd:complexType>
              <xsd:all>
                <xsd:element ref="ns2:DocumentType0"/>
                <xsd:element ref="ns2:DetailedDocumentType" minOccurs="0"/>
                <xsd:element ref="ns3:Team" minOccurs="0"/>
                <xsd:element ref="ns2:Sub_x0020_Team" minOccurs="0"/>
                <xsd:element ref="ns2:Data_x0020_Type" minOccurs="0"/>
                <xsd:element ref="ns2:Review_x0020_Level"/>
                <xsd:element ref="ns2:Presentation_x0020_Documents" minOccurs="0"/>
                <xsd:element ref="ns2:Site0" minOccurs="0"/>
                <xsd:element ref="ns2:Product" minOccurs="0"/>
              </xsd:all>
            </xsd:complexType>
          </xsd:element>
        </xsd:sequence>
      </xsd:complexType>
    </xsd:element>
  </xsd:schema>
  <xsd:schema xmlns:xsd="http://www.w3.org/2001/XMLSchema" xmlns:dms="http://schemas.microsoft.com/office/2006/documentManagement/types" targetNamespace="2f9a5c0b-2c7e-4d5f-be45-5778110944b3" elementFormDefault="qualified">
    <xsd:import namespace="http://schemas.microsoft.com/office/2006/documentManagement/types"/>
    <xsd:element name="DocumentType0" ma:index="2" ma:displayName="Document Type" ma:format="Dropdown" ma:internalName="DocumentType0">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element name="DetailedDocumentType" ma:index="3" nillable="true" ma:displayName="Detailed Doc Type" ma:internalName="DetailedDocumentType" ma:requiredMultiChoice="true">
      <xsd:complexType>
        <xsd:complexContent>
          <xsd:extension base="dms:MultiChoice">
            <xsd:sequence>
              <xsd:element name="Value" maxOccurs="unbounded" minOccurs="0" nillable="true">
                <xsd:simpleType>
                  <xsd:restriction base="dms:Choice">
                    <xsd:enumeration value="Aggregate Data"/>
                    <xsd:enumeration value="Analysis Planning"/>
                    <xsd:enumeration value="Codebooks"/>
                    <xsd:enumeration value="Consent Forms"/>
                    <xsd:enumeration value="Conference Presentation"/>
                    <xsd:enumeration value="Data Documentation"/>
                    <xsd:enumeration value="Data Management Memos"/>
                    <xsd:enumeration value="Data Requests"/>
                    <xsd:enumeration value="Data Sharing Agreement"/>
                    <xsd:enumeration value="Figures"/>
                    <xsd:enumeration value="Interviews"/>
                    <xsd:enumeration value="IRB Documents"/>
                    <xsd:enumeration value="Literature Review / Prior Studies"/>
                    <xsd:enumeration value="Manual / Guidance Material"/>
                    <xsd:enumeration value="Meeting Materials"/>
                    <xsd:enumeration value="Meeting Notes Internal"/>
                    <xsd:enumeration value="Meeting Notes External"/>
                    <xsd:enumeration value="Monthly Reports"/>
                    <xsd:enumeration value="N/A"/>
                    <xsd:enumeration value="OMB"/>
                    <xsd:enumeration value="Oral Briefings"/>
                    <xsd:enumeration value="Other Presentations"/>
                    <xsd:enumeration value="Other Project Updates"/>
                    <xsd:enumeration value="Policy Briefs"/>
                    <xsd:enumeration value="Project Description"/>
                    <xsd:enumeration value="Proposal"/>
                    <xsd:enumeration value="Protocols"/>
                    <xsd:enumeration value="QC Memos"/>
                    <xsd:enumeration value="Recruitment &amp; Outreach"/>
                    <xsd:enumeration value="Report"/>
                    <xsd:enumeration value="Schedule"/>
                    <xsd:enumeration value="Site communication"/>
                    <xsd:enumeration value="Site MOU"/>
                    <xsd:enumeration value="Site Summary"/>
                    <xsd:enumeration value="Site Visit Notes"/>
                    <xsd:enumeration value="Survey Instruments"/>
                    <xsd:enumeration value="Tables"/>
                  </xsd:restriction>
                </xsd:simpleType>
              </xsd:element>
            </xsd:sequence>
          </xsd:extension>
        </xsd:complexContent>
      </xsd:complexType>
    </xsd:element>
    <xsd:element name="Sub_x0020_Team" ma:index="11" nillable="true" ma:displayName="Sub Team" ma:internalName="Sub_x0020_Team">
      <xsd:complexType>
        <xsd:complexContent>
          <xsd:extension base="dms:MultiChoice">
            <xsd:sequence>
              <xsd:element name="Value" maxOccurs="unbounded" minOccurs="0" nillable="true">
                <xsd:simpleType>
                  <xsd:restriction base="dms:Choice">
                    <xsd:enumeration value="Administrative Needs"/>
                    <xsd:enumeration value="Budget"/>
                    <xsd:enumeration value="Data Security"/>
                    <xsd:enumeration value="Early Assessment/ Pilot"/>
                    <xsd:enumeration value="Feasibility"/>
                    <xsd:enumeration value="Measurement"/>
                    <xsd:enumeration value="MIS"/>
                    <xsd:enumeration value="PUF"/>
                    <xsd:enumeration value="RA Start- Up/ Measurement"/>
                    <xsd:enumeration value="Recruitment/Site Selection"/>
                    <xsd:enumeration value="Survey"/>
                    <xsd:enumeration value="Technical Assistance"/>
                  </xsd:restriction>
                </xsd:simpleType>
              </xsd:element>
            </xsd:sequence>
          </xsd:extension>
        </xsd:complexContent>
      </xsd:complexType>
    </xsd:element>
    <xsd:element name="Data_x0020_Type" ma:index="12" nillable="true" ma:displayName="Data Type" ma:internalName="Data_x0020_Type">
      <xsd:complexType>
        <xsd:complexContent>
          <xsd:extension base="dms:MultiChoice">
            <xsd:sequence>
              <xsd:element name="Value" maxOccurs="unbounded" minOccurs="0" nillable="true">
                <xsd:simpleType>
                  <xsd:restriction base="dms:Choice">
                    <xsd:enumeration value="Baseline"/>
                    <xsd:enumeration value="Cost"/>
                    <xsd:enumeration value="Food Stamps"/>
                    <xsd:enumeration value="Housing"/>
                    <xsd:enumeration value="MIS"/>
                    <xsd:enumeration value="Net Income"/>
                    <xsd:enumeration value="Sample"/>
                    <xsd:enumeration value="Survey"/>
                    <xsd:enumeration value="TANF"/>
                    <xsd:enumeration value="UI/New Hires"/>
                    <xsd:enumeration value="N/A"/>
                  </xsd:restriction>
                </xsd:simpleType>
              </xsd:element>
            </xsd:sequence>
          </xsd:extension>
        </xsd:complexContent>
      </xsd:complexType>
    </xsd:element>
    <xsd:element name="Review_x0020_Level" ma:index="13" ma:displayName="Review Level" ma:default="Final" ma:format="RadioButtons" ma:internalName="Review_x0020_Level">
      <xsd:simpleType>
        <xsd:restriction base="dms:Choice">
          <xsd:enumeration value="Draft"/>
          <xsd:enumeration value="Not Reviewed"/>
          <xsd:enumeration value="Basic Review"/>
          <xsd:enumeration value="In-Depth Review"/>
          <xsd:enumeration value="Final"/>
        </xsd:restriction>
      </xsd:simpleType>
    </xsd:element>
    <xsd:element name="Presentation_x0020_Documents" ma:index="14" nillable="true" ma:displayName="Presentation Documents" ma:default="0" ma:internalName="Presentation_x0020_Documents">
      <xsd:simpleType>
        <xsd:restriction base="dms:Boolean"/>
      </xsd:simpleType>
    </xsd:element>
    <xsd:element name="Site0" ma:index="15" nillable="true" ma:displayName="Site" ma:list="{767dedb6-1dfe-4cb4-b6b9-af059c86930a}" ma:internalName="Site0" ma:showField="Title">
      <xsd:complexType>
        <xsd:complexContent>
          <xsd:extension base="dms:MultiChoiceLookup">
            <xsd:sequence>
              <xsd:element name="Value" type="dms:Lookup" maxOccurs="unbounded" minOccurs="0" nillable="true"/>
            </xsd:sequence>
          </xsd:extension>
        </xsd:complexContent>
      </xsd:complexType>
    </xsd:element>
    <xsd:element name="Product" ma:index="16" nillable="true" ma:displayName="Product" ma:description="Name of product, paper, or submission document with which the file is associated (e.g., a table that was used in Research Design Paper)" ma:internalName="Product">
      <xsd:complexType>
        <xsd:complexContent>
          <xsd:extension base="dms:MultiChoice">
            <xsd:sequence>
              <xsd:element name="Value" maxOccurs="unbounded" minOccurs="0" nillable="true">
                <xsd:simpleType>
                  <xsd:restriction base="dms:Choice">
                    <xsd:enumeration value="AAPAM Paper"/>
                    <xsd:enumeration value="OMB Clearance Packet"/>
                    <xsd:enumeration value="Operations Manual"/>
                    <xsd:enumeration value="Research Design Paper"/>
                    <xsd:enumeration value="Research Procedures Manual"/>
                  </xsd:restriction>
                </xsd:simpleType>
              </xsd:element>
            </xsd:sequence>
          </xsd:extension>
        </xsd:complexContent>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view_x0020_Level xmlns="2f9a5c0b-2c7e-4d5f-be45-5778110944b3">Final</Review_x0020_Level>
    <DetailedDocumentType xmlns="2f9a5c0b-2c7e-4d5f-be45-5778110944b3">
      <Value>OMB</Value>
    </DetailedDocumentType>
    <DocumentType0 xmlns="2f9a5c0b-2c7e-4d5f-be45-5778110944b3">Data Collection &amp; Acquisition</DocumentType0>
    <Sub_x0020_Team xmlns="2f9a5c0b-2c7e-4d5f-be45-5778110944b3"/>
    <Site0 xmlns="2f9a5c0b-2c7e-4d5f-be45-5778110944b3">
      <Value>12</Value>
    </Site0>
    <Team xmlns="f23c63e7-3264-4fa0-bbac-fd47573de8ba">
      <Value>Data</Value>
      <Value>Operations</Value>
    </Team>
    <Presentation_x0020_Documents xmlns="2f9a5c0b-2c7e-4d5f-be45-5778110944b3">false</Presentation_x0020_Documents>
    <Data_x0020_Type xmlns="2f9a5c0b-2c7e-4d5f-be45-5778110944b3"/>
    <Product xmlns="2f9a5c0b-2c7e-4d5f-be45-5778110944b3"/>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82324-60A4-461D-9E0D-4E456C768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5c0b-2c7e-4d5f-be45-5778110944b3"/>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BABB37-2D10-4627-B43F-6BDB3F368026}">
  <ds:schemaRefs>
    <ds:schemaRef ds:uri="http://schemas.microsoft.com/sharepoint/v3/contenttype/forms"/>
  </ds:schemaRefs>
</ds:datastoreItem>
</file>

<file path=customXml/itemProps3.xml><?xml version="1.0" encoding="utf-8"?>
<ds:datastoreItem xmlns:ds="http://schemas.openxmlformats.org/officeDocument/2006/customXml" ds:itemID="{D300F512-6C4B-4DE3-9756-E7E4225815B0}">
  <ds:schemaRefs>
    <ds:schemaRef ds:uri="http://schemas.microsoft.com/office/2006/metadata/properties"/>
    <ds:schemaRef ds:uri="2f9a5c0b-2c7e-4d5f-be45-5778110944b3"/>
    <ds:schemaRef ds:uri="f23c63e7-3264-4fa0-bbac-fd47573de8ba"/>
  </ds:schemaRefs>
</ds:datastoreItem>
</file>

<file path=customXml/itemProps4.xml><?xml version="1.0" encoding="utf-8"?>
<ds:datastoreItem xmlns:ds="http://schemas.openxmlformats.org/officeDocument/2006/customXml" ds:itemID="{5664C294-EBBF-42CE-8E6E-0AA61469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3283</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OMB Package Part B</vt:lpstr>
    </vt:vector>
  </TitlesOfParts>
  <Company>MDRC</Company>
  <LinksUpToDate>false</LinksUpToDate>
  <CharactersWithSpaces>21959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Part B</dc:title>
  <dc:creator>nunez</dc:creator>
  <cp:lastModifiedBy>Marina L Myhre</cp:lastModifiedBy>
  <cp:revision>2</cp:revision>
  <cp:lastPrinted>2014-01-17T18:34:00Z</cp:lastPrinted>
  <dcterms:created xsi:type="dcterms:W3CDTF">2015-06-22T16:50:00Z</dcterms:created>
  <dcterms:modified xsi:type="dcterms:W3CDTF">2015-06-22T16:50:00Z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0x010100D810F6CF721EB04581547F468DAB7A7A0055FFD191111A814C9C4C0DA6291C759C</vt:lpwstr>
  </property>
  <property fmtid="{D5CDD505-2E9C-101B-9397-08002B2CF9AE}" pid="4" name="_AdHocReviewCycleID">
    <vt:i4>1497837572</vt:i4>
  </property>
  <property fmtid="{D5CDD505-2E9C-101B-9397-08002B2CF9AE}" pid="5" name="_EmailSubject">
    <vt:lpwstr>Rent Reform Demonstration TO2 OMB Draft (Revised)</vt:lpwstr>
  </property>
  <property fmtid="{D5CDD505-2E9C-101B-9397-08002B2CF9AE}" pid="6" name="_AuthorEmail">
    <vt:lpwstr>Marina.L.Myhre@hud.gov</vt:lpwstr>
  </property>
  <property fmtid="{D5CDD505-2E9C-101B-9397-08002B2CF9AE}" pid="7" name="_AuthorEmailDisplayName">
    <vt:lpwstr>Myhre, Marina L</vt:lpwstr>
  </property>
</Properties>
</file>