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59" w:rsidRDefault="00540A59">
      <w:pPr>
        <w:pStyle w:val="BodyText"/>
        <w:spacing w:before="55"/>
        <w:ind w:left="100" w:right="109" w:firstLine="0"/>
        <w:rPr>
          <w:b w:val="0"/>
          <w:bCs w:val="0"/>
        </w:rPr>
      </w:pPr>
      <w:bookmarkStart w:id="0" w:name="_GoBack"/>
      <w:bookmarkEnd w:id="0"/>
      <w:r>
        <w:t>National Endowment for the Arts Application for Indemnification Supporting</w:t>
      </w:r>
      <w:r>
        <w:rPr>
          <w:spacing w:val="-34"/>
        </w:rPr>
        <w:t xml:space="preserve"> </w:t>
      </w:r>
      <w:r>
        <w:t>Statement</w:t>
      </w:r>
    </w:p>
    <w:p w:rsidR="002C5359" w:rsidRDefault="002C5359">
      <w:pPr>
        <w:spacing w:before="1"/>
        <w:rPr>
          <w:rFonts w:ascii="Arial" w:eastAsia="Arial" w:hAnsi="Arial" w:cs="Arial"/>
          <w:b/>
          <w:bCs/>
          <w:sz w:val="20"/>
          <w:szCs w:val="20"/>
        </w:rPr>
      </w:pPr>
    </w:p>
    <w:p w:rsidR="002C5359" w:rsidRDefault="00540A59">
      <w:pPr>
        <w:pStyle w:val="BodyText"/>
        <w:ind w:left="100" w:right="109" w:firstLine="0"/>
        <w:rPr>
          <w:b w:val="0"/>
          <w:bCs w:val="0"/>
        </w:rPr>
      </w:pPr>
      <w:r>
        <w:rPr>
          <w:spacing w:val="-3"/>
        </w:rPr>
        <w:t>A.</w:t>
      </w:r>
      <w:r>
        <w:rPr>
          <w:spacing w:val="-1"/>
        </w:rPr>
        <w:t xml:space="preserve"> </w:t>
      </w:r>
      <w:r>
        <w:t>Justification</w:t>
      </w:r>
    </w:p>
    <w:p w:rsidR="002C5359" w:rsidRDefault="002C5359">
      <w:pPr>
        <w:spacing w:before="10"/>
        <w:rPr>
          <w:rFonts w:ascii="Arial" w:eastAsia="Arial" w:hAnsi="Arial" w:cs="Arial"/>
          <w:b/>
          <w:bCs/>
          <w:sz w:val="19"/>
          <w:szCs w:val="19"/>
        </w:rPr>
      </w:pPr>
    </w:p>
    <w:p w:rsidR="002C5359" w:rsidRDefault="00540A59">
      <w:pPr>
        <w:pStyle w:val="ListParagraph"/>
        <w:numPr>
          <w:ilvl w:val="0"/>
          <w:numId w:val="2"/>
        </w:numPr>
        <w:tabs>
          <w:tab w:val="left" w:pos="461"/>
        </w:tabs>
        <w:ind w:right="197"/>
        <w:rPr>
          <w:rFonts w:ascii="Arial" w:eastAsia="Arial" w:hAnsi="Arial" w:cs="Arial"/>
          <w:sz w:val="20"/>
          <w:szCs w:val="20"/>
        </w:rPr>
      </w:pPr>
      <w:r>
        <w:rPr>
          <w:rFonts w:ascii="Arial"/>
          <w:b/>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w:t>
      </w:r>
      <w:r>
        <w:rPr>
          <w:rFonts w:ascii="Arial"/>
          <w:b/>
          <w:spacing w:val="-8"/>
          <w:sz w:val="20"/>
        </w:rPr>
        <w:t xml:space="preserve"> </w:t>
      </w:r>
      <w:r>
        <w:rPr>
          <w:rFonts w:ascii="Arial"/>
          <w:b/>
          <w:sz w:val="20"/>
        </w:rPr>
        <w:t>information.</w:t>
      </w:r>
    </w:p>
    <w:p w:rsidR="002C5359" w:rsidRDefault="002C5359">
      <w:pPr>
        <w:spacing w:before="1"/>
        <w:rPr>
          <w:rFonts w:ascii="Arial" w:eastAsia="Arial" w:hAnsi="Arial" w:cs="Arial"/>
          <w:b/>
          <w:bCs/>
          <w:sz w:val="20"/>
          <w:szCs w:val="20"/>
        </w:rPr>
      </w:pPr>
    </w:p>
    <w:p w:rsidR="002C5359" w:rsidRDefault="00540A59">
      <w:pPr>
        <w:ind w:left="460" w:right="114"/>
        <w:rPr>
          <w:rFonts w:ascii="Arial" w:eastAsia="Arial" w:hAnsi="Arial" w:cs="Arial"/>
          <w:sz w:val="20"/>
          <w:szCs w:val="20"/>
        </w:rPr>
      </w:pPr>
      <w:r>
        <w:rPr>
          <w:rFonts w:ascii="Arial"/>
          <w:sz w:val="20"/>
        </w:rPr>
        <w:t xml:space="preserve">This form is used by organizations applying to the Federal Council on the Arts and the Humanities (through the National Endowment for the Arts) for indemnification of eligible arts and artifacts, borrowed from </w:t>
      </w:r>
      <w:r w:rsidR="00C55F5D">
        <w:rPr>
          <w:rFonts w:ascii="Arial"/>
          <w:sz w:val="20"/>
        </w:rPr>
        <w:t>the United States f</w:t>
      </w:r>
      <w:r>
        <w:rPr>
          <w:rFonts w:ascii="Arial"/>
          <w:sz w:val="20"/>
        </w:rPr>
        <w:t>or exhibition in the United States. The indemnity agreement is backed by the full faith and credit of the United States. In the event of loss or damage to an indemnified object the Federal Council certifies the validity of the claim and requests payment from Congress. The Arts and Artifacts Indemnity Act (P.L. 94-158) requires such an application and specifies information which must be supplied. This statutory requirement is implemented by regulation at 45 C.F.R. 1160.4. (Copies of the statute and regulations are included in the</w:t>
      </w:r>
      <w:r>
        <w:rPr>
          <w:rFonts w:ascii="Arial"/>
          <w:spacing w:val="-28"/>
          <w:sz w:val="20"/>
        </w:rPr>
        <w:t xml:space="preserve"> </w:t>
      </w:r>
      <w:r>
        <w:rPr>
          <w:rFonts w:ascii="Arial"/>
          <w:sz w:val="20"/>
        </w:rPr>
        <w:t>Supplementary Documents.)</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168"/>
        <w:rPr>
          <w:rFonts w:ascii="Arial" w:eastAsia="Arial" w:hAnsi="Arial" w:cs="Arial"/>
          <w:sz w:val="20"/>
          <w:szCs w:val="20"/>
        </w:rPr>
      </w:pPr>
      <w:r>
        <w:rPr>
          <w:rFonts w:ascii="Arial"/>
          <w:b/>
          <w:sz w:val="20"/>
        </w:rPr>
        <w:t>Indicate how, by whom, and for what purpose the information is to be used. Except</w:t>
      </w:r>
      <w:r>
        <w:rPr>
          <w:rFonts w:ascii="Arial"/>
          <w:b/>
          <w:spacing w:val="-24"/>
          <w:sz w:val="20"/>
        </w:rPr>
        <w:t xml:space="preserve"> </w:t>
      </w:r>
      <w:r>
        <w:rPr>
          <w:rFonts w:ascii="Arial"/>
          <w:b/>
          <w:sz w:val="20"/>
        </w:rPr>
        <w:t>for a new collection, indicate the actual use the agency has made of the information received from the current</w:t>
      </w:r>
      <w:r>
        <w:rPr>
          <w:rFonts w:ascii="Arial"/>
          <w:b/>
          <w:spacing w:val="-14"/>
          <w:sz w:val="20"/>
        </w:rPr>
        <w:t xml:space="preserve"> </w:t>
      </w:r>
      <w:r>
        <w:rPr>
          <w:rFonts w:ascii="Arial"/>
          <w:b/>
          <w:sz w:val="20"/>
        </w:rPr>
        <w:t>collection.</w:t>
      </w:r>
    </w:p>
    <w:p w:rsidR="002C5359" w:rsidRDefault="002C5359">
      <w:pPr>
        <w:spacing w:before="3"/>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sz w:val="20"/>
        </w:rPr>
        <w:t>Applicants are non-profit entities, usually museums that organize traveling exhibitions. Applications are reviewed by the Indemnity Advisory Panel and the Federal Council on the Arts and the Humanities to determine whether to issue a Certificate of Indemnity.</w:t>
      </w:r>
      <w:r>
        <w:rPr>
          <w:rFonts w:ascii="Arial"/>
          <w:spacing w:val="-20"/>
          <w:sz w:val="20"/>
        </w:rPr>
        <w:t xml:space="preserve"> </w:t>
      </w:r>
      <w:r>
        <w:rPr>
          <w:rFonts w:ascii="Arial"/>
          <w:sz w:val="20"/>
        </w:rPr>
        <w:t>Applications are necessary in making that</w:t>
      </w:r>
      <w:r>
        <w:rPr>
          <w:rFonts w:ascii="Arial"/>
          <w:spacing w:val="-10"/>
          <w:sz w:val="20"/>
        </w:rPr>
        <w:t xml:space="preserve"> </w:t>
      </w:r>
      <w:r>
        <w:rPr>
          <w:rFonts w:ascii="Arial"/>
          <w:sz w:val="20"/>
        </w:rPr>
        <w:t>decision.</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192"/>
        <w:rPr>
          <w:rFonts w:ascii="Arial" w:eastAsia="Arial" w:hAnsi="Arial" w:cs="Arial"/>
          <w:sz w:val="20"/>
          <w:szCs w:val="20"/>
        </w:rPr>
      </w:pPr>
      <w:r>
        <w:rPr>
          <w:rFonts w:ascii="Arial"/>
          <w:b/>
          <w:sz w:val="20"/>
        </w:rPr>
        <w:t>Describe whether, and to what extent, the collection of information involves the use</w:t>
      </w:r>
      <w:r>
        <w:rPr>
          <w:rFonts w:ascii="Arial"/>
          <w:b/>
          <w:spacing w:val="-24"/>
          <w:sz w:val="20"/>
        </w:rPr>
        <w:t xml:space="preserve"> </w:t>
      </w:r>
      <w:r>
        <w:rPr>
          <w:rFonts w:ascii="Arial"/>
          <w:b/>
          <w:sz w:val="20"/>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rFonts w:ascii="Arial"/>
          <w:b/>
          <w:spacing w:val="-23"/>
          <w:sz w:val="20"/>
        </w:rPr>
        <w:t xml:space="preserve"> </w:t>
      </w:r>
      <w:r>
        <w:rPr>
          <w:rFonts w:ascii="Arial"/>
          <w:b/>
          <w:sz w:val="20"/>
        </w:rPr>
        <w:t>burden.</w:t>
      </w:r>
    </w:p>
    <w:p w:rsidR="002C5359" w:rsidRDefault="002C5359">
      <w:pPr>
        <w:spacing w:before="3"/>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eastAsia="Arial" w:hAnsi="Arial" w:cs="Arial"/>
          <w:sz w:val="20"/>
          <w:szCs w:val="20"/>
        </w:rPr>
        <w:t>Information about Indemnity, including how to apply for coverage, is available o</w:t>
      </w:r>
      <w:r w:rsidR="00C55F5D">
        <w:rPr>
          <w:rFonts w:ascii="Arial" w:eastAsia="Arial" w:hAnsi="Arial" w:cs="Arial"/>
          <w:sz w:val="20"/>
          <w:szCs w:val="20"/>
        </w:rPr>
        <w:t xml:space="preserve">n the Arts Endowment’s </w:t>
      </w:r>
      <w:r>
        <w:rPr>
          <w:rFonts w:ascii="Arial" w:eastAsia="Arial" w:hAnsi="Arial" w:cs="Arial"/>
          <w:sz w:val="20"/>
          <w:szCs w:val="20"/>
        </w:rPr>
        <w:t>website. The website provides a direct link to the application package on Grants.gov</w:t>
      </w:r>
      <w:r w:rsidR="00C55F5D">
        <w:rPr>
          <w:rFonts w:ascii="Arial" w:eastAsia="Arial" w:hAnsi="Arial" w:cs="Arial"/>
          <w:sz w:val="20"/>
          <w:szCs w:val="20"/>
        </w:rPr>
        <w:t xml:space="preserve"> and NEA Applicant Portal</w:t>
      </w:r>
      <w:r>
        <w:rPr>
          <w:rFonts w:ascii="Arial" w:eastAsia="Arial" w:hAnsi="Arial" w:cs="Arial"/>
          <w:sz w:val="20"/>
          <w:szCs w:val="20"/>
        </w:rPr>
        <w:t>. Applicants are asked to submit their application packages electronically</w:t>
      </w:r>
      <w:r>
        <w:rPr>
          <w:rFonts w:ascii="Arial" w:eastAsia="Arial" w:hAnsi="Arial" w:cs="Arial"/>
          <w:spacing w:val="-29"/>
          <w:sz w:val="20"/>
          <w:szCs w:val="20"/>
        </w:rPr>
        <w:t xml:space="preserve"> </w:t>
      </w:r>
      <w:r>
        <w:rPr>
          <w:rFonts w:ascii="Arial" w:eastAsia="Arial" w:hAnsi="Arial" w:cs="Arial"/>
          <w:sz w:val="20"/>
          <w:szCs w:val="20"/>
        </w:rPr>
        <w:t>through Grants.gov</w:t>
      </w:r>
      <w:r w:rsidR="00C55F5D">
        <w:rPr>
          <w:rFonts w:ascii="Arial" w:eastAsia="Arial" w:hAnsi="Arial" w:cs="Arial"/>
          <w:sz w:val="20"/>
          <w:szCs w:val="20"/>
        </w:rPr>
        <w:t xml:space="preserve"> (SF-424) and NEA Applicant Portal (all materials).</w:t>
      </w:r>
    </w:p>
    <w:p w:rsidR="002C5359" w:rsidRDefault="002C5359">
      <w:pPr>
        <w:spacing w:before="1"/>
        <w:rPr>
          <w:rFonts w:ascii="Arial" w:eastAsia="Arial" w:hAnsi="Arial" w:cs="Arial"/>
          <w:sz w:val="20"/>
          <w:szCs w:val="20"/>
        </w:rPr>
      </w:pPr>
    </w:p>
    <w:p w:rsidR="002C5359" w:rsidRDefault="00540A59">
      <w:pPr>
        <w:pStyle w:val="ListParagraph"/>
        <w:numPr>
          <w:ilvl w:val="0"/>
          <w:numId w:val="2"/>
        </w:numPr>
        <w:tabs>
          <w:tab w:val="left" w:pos="461"/>
        </w:tabs>
        <w:ind w:right="251"/>
        <w:rPr>
          <w:rFonts w:ascii="Arial" w:eastAsia="Arial" w:hAnsi="Arial" w:cs="Arial"/>
          <w:sz w:val="20"/>
          <w:szCs w:val="20"/>
        </w:rPr>
      </w:pPr>
      <w:r>
        <w:rPr>
          <w:rFonts w:ascii="Arial"/>
          <w:b/>
          <w:sz w:val="20"/>
        </w:rPr>
        <w:t>Describe efforts to identify duplication. Show specifically why any similar</w:t>
      </w:r>
      <w:r>
        <w:rPr>
          <w:rFonts w:ascii="Arial"/>
          <w:b/>
          <w:spacing w:val="-26"/>
          <w:sz w:val="20"/>
        </w:rPr>
        <w:t xml:space="preserve"> </w:t>
      </w:r>
      <w:r>
        <w:rPr>
          <w:rFonts w:ascii="Arial"/>
          <w:b/>
          <w:sz w:val="20"/>
        </w:rPr>
        <w:t>information already available cannot be used or modified for use for the purposes described in Item 2</w:t>
      </w:r>
      <w:r>
        <w:rPr>
          <w:rFonts w:ascii="Arial"/>
          <w:b/>
          <w:spacing w:val="-7"/>
          <w:sz w:val="20"/>
        </w:rPr>
        <w:t xml:space="preserve"> </w:t>
      </w:r>
      <w:r>
        <w:rPr>
          <w:rFonts w:ascii="Arial"/>
          <w:b/>
          <w:sz w:val="20"/>
        </w:rPr>
        <w:t>above.</w:t>
      </w:r>
    </w:p>
    <w:p w:rsidR="002C5359" w:rsidRDefault="002C5359">
      <w:pPr>
        <w:spacing w:before="1"/>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sz w:val="20"/>
        </w:rPr>
        <w:t>This information is not reported through any other sources. Applicants apply for a</w:t>
      </w:r>
      <w:r>
        <w:rPr>
          <w:rFonts w:ascii="Arial"/>
          <w:spacing w:val="-29"/>
          <w:sz w:val="20"/>
        </w:rPr>
        <w:t xml:space="preserve"> </w:t>
      </w:r>
      <w:r>
        <w:rPr>
          <w:rFonts w:ascii="Arial"/>
          <w:sz w:val="20"/>
        </w:rPr>
        <w:t>single, specific exhibition to be</w:t>
      </w:r>
      <w:r>
        <w:rPr>
          <w:rFonts w:ascii="Arial"/>
          <w:spacing w:val="-11"/>
          <w:sz w:val="20"/>
        </w:rPr>
        <w:t xml:space="preserve"> </w:t>
      </w:r>
      <w:r>
        <w:rPr>
          <w:rFonts w:ascii="Arial"/>
          <w:sz w:val="20"/>
        </w:rPr>
        <w:t>indemnified.</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804"/>
        <w:rPr>
          <w:rFonts w:ascii="Arial" w:eastAsia="Arial" w:hAnsi="Arial" w:cs="Arial"/>
          <w:sz w:val="20"/>
          <w:szCs w:val="20"/>
        </w:rPr>
      </w:pPr>
      <w:r>
        <w:rPr>
          <w:rFonts w:ascii="Arial"/>
          <w:b/>
          <w:sz w:val="20"/>
        </w:rPr>
        <w:t>If the collection of information impacts small businesses or other small</w:t>
      </w:r>
      <w:r>
        <w:rPr>
          <w:rFonts w:ascii="Arial"/>
          <w:b/>
          <w:spacing w:val="-21"/>
          <w:sz w:val="20"/>
        </w:rPr>
        <w:t xml:space="preserve"> </w:t>
      </w:r>
      <w:r>
        <w:rPr>
          <w:rFonts w:ascii="Arial"/>
          <w:b/>
          <w:sz w:val="20"/>
        </w:rPr>
        <w:t>entities, describe any methods used to minimize</w:t>
      </w:r>
      <w:r>
        <w:rPr>
          <w:rFonts w:ascii="Arial"/>
          <w:b/>
          <w:spacing w:val="-16"/>
          <w:sz w:val="20"/>
        </w:rPr>
        <w:t xml:space="preserve"> </w:t>
      </w:r>
      <w:r>
        <w:rPr>
          <w:rFonts w:ascii="Arial"/>
          <w:b/>
          <w:sz w:val="20"/>
        </w:rPr>
        <w:t>burden.</w:t>
      </w:r>
    </w:p>
    <w:p w:rsidR="002C5359" w:rsidRDefault="002C5359">
      <w:pPr>
        <w:spacing w:before="1"/>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sz w:val="20"/>
        </w:rPr>
        <w:t>Museums that organize international exhibitions are not small</w:t>
      </w:r>
      <w:r>
        <w:rPr>
          <w:rFonts w:ascii="Arial"/>
          <w:spacing w:val="-20"/>
          <w:sz w:val="20"/>
        </w:rPr>
        <w:t xml:space="preserve"> </w:t>
      </w:r>
      <w:r>
        <w:rPr>
          <w:rFonts w:ascii="Arial"/>
          <w:sz w:val="20"/>
        </w:rPr>
        <w:t>entities.</w:t>
      </w:r>
    </w:p>
    <w:p w:rsidR="002C5359" w:rsidRDefault="002C5359">
      <w:pPr>
        <w:rPr>
          <w:rFonts w:ascii="Arial" w:eastAsia="Arial" w:hAnsi="Arial" w:cs="Arial"/>
          <w:sz w:val="20"/>
          <w:szCs w:val="20"/>
        </w:rPr>
        <w:sectPr w:rsidR="002C5359">
          <w:type w:val="continuous"/>
          <w:pgSz w:w="12240" w:h="15840"/>
          <w:pgMar w:top="1380" w:right="1700" w:bottom="280" w:left="1700" w:header="720" w:footer="720" w:gutter="0"/>
          <w:cols w:space="720"/>
        </w:sectPr>
      </w:pPr>
    </w:p>
    <w:p w:rsidR="002C5359" w:rsidRDefault="00540A59">
      <w:pPr>
        <w:pStyle w:val="ListParagraph"/>
        <w:numPr>
          <w:ilvl w:val="0"/>
          <w:numId w:val="2"/>
        </w:numPr>
        <w:tabs>
          <w:tab w:val="left" w:pos="461"/>
        </w:tabs>
        <w:spacing w:before="165"/>
        <w:ind w:right="417"/>
        <w:rPr>
          <w:rFonts w:ascii="Arial" w:eastAsia="Arial" w:hAnsi="Arial" w:cs="Arial"/>
          <w:sz w:val="20"/>
          <w:szCs w:val="20"/>
        </w:rPr>
      </w:pPr>
      <w:r>
        <w:rPr>
          <w:rFonts w:ascii="Arial"/>
          <w:b/>
          <w:sz w:val="20"/>
        </w:rPr>
        <w:lastRenderedPageBreak/>
        <w:t>Describe the consequence to Federal program or policy activities if the collection is not conducted or is conducted less frequently, as well as any technical or legal obstacles to reducing</w:t>
      </w:r>
      <w:r>
        <w:rPr>
          <w:rFonts w:ascii="Arial"/>
          <w:b/>
          <w:spacing w:val="-10"/>
          <w:sz w:val="20"/>
        </w:rPr>
        <w:t xml:space="preserve"> </w:t>
      </w:r>
      <w:r>
        <w:rPr>
          <w:rFonts w:ascii="Arial"/>
          <w:b/>
          <w:sz w:val="20"/>
        </w:rPr>
        <w:t>burden.</w:t>
      </w:r>
    </w:p>
    <w:p w:rsidR="002C5359" w:rsidRDefault="002C5359">
      <w:pPr>
        <w:spacing w:before="3"/>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sz w:val="20"/>
        </w:rPr>
        <w:t>The application for indemnity is a one-time submission which an applicant makes prior to</w:t>
      </w:r>
      <w:r>
        <w:rPr>
          <w:rFonts w:ascii="Arial"/>
          <w:spacing w:val="-21"/>
          <w:sz w:val="20"/>
        </w:rPr>
        <w:t xml:space="preserve"> </w:t>
      </w:r>
      <w:r>
        <w:rPr>
          <w:rFonts w:ascii="Arial"/>
          <w:sz w:val="20"/>
        </w:rPr>
        <w:t>an exhibition. It could not be made less</w:t>
      </w:r>
      <w:r>
        <w:rPr>
          <w:rFonts w:ascii="Arial"/>
          <w:spacing w:val="-11"/>
          <w:sz w:val="20"/>
        </w:rPr>
        <w:t xml:space="preserve"> </w:t>
      </w:r>
      <w:r>
        <w:rPr>
          <w:rFonts w:ascii="Arial"/>
          <w:sz w:val="20"/>
        </w:rPr>
        <w:t>frequently.</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369"/>
        <w:rPr>
          <w:rFonts w:ascii="Arial" w:eastAsia="Arial" w:hAnsi="Arial" w:cs="Arial"/>
          <w:sz w:val="20"/>
          <w:szCs w:val="20"/>
        </w:rPr>
      </w:pPr>
      <w:r>
        <w:rPr>
          <w:rFonts w:ascii="Arial"/>
          <w:b/>
          <w:sz w:val="20"/>
        </w:rPr>
        <w:t>Explain any specific circumstances that would cause an information collection to</w:t>
      </w:r>
      <w:r>
        <w:rPr>
          <w:rFonts w:ascii="Arial"/>
          <w:b/>
          <w:spacing w:val="-23"/>
          <w:sz w:val="20"/>
        </w:rPr>
        <w:t xml:space="preserve"> </w:t>
      </w:r>
      <w:r>
        <w:rPr>
          <w:rFonts w:ascii="Arial"/>
          <w:b/>
          <w:sz w:val="20"/>
        </w:rPr>
        <w:t>be conducted in a</w:t>
      </w:r>
      <w:r>
        <w:rPr>
          <w:rFonts w:ascii="Arial"/>
          <w:b/>
          <w:spacing w:val="-10"/>
          <w:sz w:val="20"/>
        </w:rPr>
        <w:t xml:space="preserve"> </w:t>
      </w:r>
      <w:r>
        <w:rPr>
          <w:rFonts w:ascii="Arial"/>
          <w:b/>
          <w:sz w:val="20"/>
        </w:rPr>
        <w:t>manner:</w:t>
      </w:r>
    </w:p>
    <w:p w:rsidR="002C5359" w:rsidRDefault="002C5359">
      <w:pPr>
        <w:spacing w:before="2"/>
        <w:rPr>
          <w:rFonts w:ascii="Arial" w:eastAsia="Arial" w:hAnsi="Arial" w:cs="Arial"/>
          <w:b/>
          <w:bCs/>
          <w:sz w:val="20"/>
          <w:szCs w:val="20"/>
        </w:rPr>
      </w:pPr>
    </w:p>
    <w:p w:rsidR="002C5359" w:rsidRDefault="00540A59">
      <w:pPr>
        <w:pStyle w:val="ListParagraph"/>
        <w:numPr>
          <w:ilvl w:val="0"/>
          <w:numId w:val="1"/>
        </w:numPr>
        <w:tabs>
          <w:tab w:val="left" w:pos="461"/>
        </w:tabs>
        <w:spacing w:line="245" w:lineRule="exact"/>
        <w:rPr>
          <w:rFonts w:ascii="Arial" w:eastAsia="Arial" w:hAnsi="Arial" w:cs="Arial"/>
          <w:sz w:val="20"/>
          <w:szCs w:val="20"/>
        </w:rPr>
      </w:pPr>
      <w:r>
        <w:rPr>
          <w:rFonts w:ascii="Arial"/>
          <w:b/>
          <w:sz w:val="20"/>
        </w:rPr>
        <w:t>Requiring respondents to report information to the agency more often than</w:t>
      </w:r>
      <w:r>
        <w:rPr>
          <w:rFonts w:ascii="Arial"/>
          <w:b/>
          <w:spacing w:val="-30"/>
          <w:sz w:val="20"/>
        </w:rPr>
        <w:t xml:space="preserve"> </w:t>
      </w:r>
      <w:r>
        <w:rPr>
          <w:rFonts w:ascii="Arial"/>
          <w:b/>
          <w:sz w:val="20"/>
        </w:rPr>
        <w:t>quarterly;</w:t>
      </w:r>
    </w:p>
    <w:p w:rsidR="002C5359" w:rsidRDefault="00540A59">
      <w:pPr>
        <w:pStyle w:val="ListParagraph"/>
        <w:numPr>
          <w:ilvl w:val="0"/>
          <w:numId w:val="1"/>
        </w:numPr>
        <w:tabs>
          <w:tab w:val="left" w:pos="461"/>
        </w:tabs>
        <w:spacing w:before="18" w:line="228" w:lineRule="exact"/>
        <w:ind w:right="300"/>
        <w:rPr>
          <w:rFonts w:ascii="Arial" w:eastAsia="Arial" w:hAnsi="Arial" w:cs="Arial"/>
          <w:sz w:val="20"/>
          <w:szCs w:val="20"/>
        </w:rPr>
      </w:pPr>
      <w:r>
        <w:rPr>
          <w:rFonts w:ascii="Arial"/>
          <w:b/>
          <w:sz w:val="20"/>
        </w:rPr>
        <w:t>Requiring respondents to prepare a written response to a collection of information</w:t>
      </w:r>
      <w:r>
        <w:rPr>
          <w:rFonts w:ascii="Arial"/>
          <w:b/>
          <w:spacing w:val="-17"/>
          <w:sz w:val="20"/>
        </w:rPr>
        <w:t xml:space="preserve"> </w:t>
      </w:r>
      <w:r>
        <w:rPr>
          <w:rFonts w:ascii="Arial"/>
          <w:b/>
          <w:sz w:val="20"/>
        </w:rPr>
        <w:t>in fewer than 30 days after receipt of</w:t>
      </w:r>
      <w:r>
        <w:rPr>
          <w:rFonts w:ascii="Arial"/>
          <w:b/>
          <w:spacing w:val="-13"/>
          <w:sz w:val="20"/>
        </w:rPr>
        <w:t xml:space="preserve"> </w:t>
      </w:r>
      <w:r>
        <w:rPr>
          <w:rFonts w:ascii="Arial"/>
          <w:b/>
          <w:sz w:val="20"/>
        </w:rPr>
        <w:t>it;</w:t>
      </w:r>
    </w:p>
    <w:p w:rsidR="002C5359" w:rsidRDefault="00540A59">
      <w:pPr>
        <w:pStyle w:val="ListParagraph"/>
        <w:numPr>
          <w:ilvl w:val="0"/>
          <w:numId w:val="1"/>
        </w:numPr>
        <w:tabs>
          <w:tab w:val="left" w:pos="461"/>
        </w:tabs>
        <w:spacing w:before="16" w:line="228" w:lineRule="exact"/>
        <w:ind w:right="1004"/>
        <w:rPr>
          <w:rFonts w:ascii="Arial" w:eastAsia="Arial" w:hAnsi="Arial" w:cs="Arial"/>
          <w:sz w:val="20"/>
          <w:szCs w:val="20"/>
        </w:rPr>
      </w:pPr>
      <w:r>
        <w:rPr>
          <w:rFonts w:ascii="Arial"/>
          <w:b/>
          <w:sz w:val="20"/>
        </w:rPr>
        <w:t>Requiring respondents to submit more than an original and two copies of</w:t>
      </w:r>
      <w:r>
        <w:rPr>
          <w:rFonts w:ascii="Arial"/>
          <w:b/>
          <w:spacing w:val="-21"/>
          <w:sz w:val="20"/>
        </w:rPr>
        <w:t xml:space="preserve"> </w:t>
      </w:r>
      <w:r>
        <w:rPr>
          <w:rFonts w:ascii="Arial"/>
          <w:b/>
          <w:sz w:val="20"/>
        </w:rPr>
        <w:t>any document;</w:t>
      </w:r>
    </w:p>
    <w:p w:rsidR="002C5359" w:rsidRDefault="00540A59">
      <w:pPr>
        <w:pStyle w:val="ListParagraph"/>
        <w:numPr>
          <w:ilvl w:val="0"/>
          <w:numId w:val="1"/>
        </w:numPr>
        <w:tabs>
          <w:tab w:val="left" w:pos="461"/>
        </w:tabs>
        <w:spacing w:before="17" w:line="228" w:lineRule="exact"/>
        <w:ind w:right="716"/>
        <w:rPr>
          <w:rFonts w:ascii="Arial" w:eastAsia="Arial" w:hAnsi="Arial" w:cs="Arial"/>
          <w:sz w:val="20"/>
          <w:szCs w:val="20"/>
        </w:rPr>
      </w:pPr>
      <w:r>
        <w:rPr>
          <w:rFonts w:ascii="Arial"/>
          <w:b/>
          <w:sz w:val="20"/>
        </w:rPr>
        <w:t>Requiring respondents to retain records, other than health, medical,</w:t>
      </w:r>
      <w:r>
        <w:rPr>
          <w:rFonts w:ascii="Arial"/>
          <w:b/>
          <w:spacing w:val="-22"/>
          <w:sz w:val="20"/>
        </w:rPr>
        <w:t xml:space="preserve"> </w:t>
      </w:r>
      <w:r>
        <w:rPr>
          <w:rFonts w:ascii="Arial"/>
          <w:b/>
          <w:sz w:val="20"/>
        </w:rPr>
        <w:t>government contract, grant-in-aid, or tax records, for more than three</w:t>
      </w:r>
      <w:r>
        <w:rPr>
          <w:rFonts w:ascii="Arial"/>
          <w:b/>
          <w:spacing w:val="-22"/>
          <w:sz w:val="20"/>
        </w:rPr>
        <w:t xml:space="preserve"> </w:t>
      </w:r>
      <w:r>
        <w:rPr>
          <w:rFonts w:ascii="Arial"/>
          <w:b/>
          <w:sz w:val="20"/>
        </w:rPr>
        <w:t>years;</w:t>
      </w:r>
    </w:p>
    <w:p w:rsidR="002C5359" w:rsidRDefault="00540A59">
      <w:pPr>
        <w:pStyle w:val="ListParagraph"/>
        <w:numPr>
          <w:ilvl w:val="0"/>
          <w:numId w:val="1"/>
        </w:numPr>
        <w:tabs>
          <w:tab w:val="left" w:pos="461"/>
        </w:tabs>
        <w:ind w:right="770"/>
        <w:rPr>
          <w:rFonts w:ascii="Arial" w:eastAsia="Arial" w:hAnsi="Arial" w:cs="Arial"/>
          <w:sz w:val="20"/>
          <w:szCs w:val="20"/>
        </w:rPr>
      </w:pPr>
      <w:r>
        <w:rPr>
          <w:rFonts w:ascii="Arial"/>
          <w:b/>
          <w:sz w:val="20"/>
        </w:rPr>
        <w:t>In connection with a statistical survey, that is not designed to produce valid</w:t>
      </w:r>
      <w:r>
        <w:rPr>
          <w:rFonts w:ascii="Arial"/>
          <w:b/>
          <w:spacing w:val="-22"/>
          <w:sz w:val="20"/>
        </w:rPr>
        <w:t xml:space="preserve"> </w:t>
      </w:r>
      <w:r>
        <w:rPr>
          <w:rFonts w:ascii="Arial"/>
          <w:b/>
          <w:sz w:val="20"/>
        </w:rPr>
        <w:t>and reliable results that can be generalized to the universe of</w:t>
      </w:r>
      <w:r>
        <w:rPr>
          <w:rFonts w:ascii="Arial"/>
          <w:b/>
          <w:spacing w:val="-23"/>
          <w:sz w:val="20"/>
        </w:rPr>
        <w:t xml:space="preserve"> </w:t>
      </w:r>
      <w:r>
        <w:rPr>
          <w:rFonts w:ascii="Arial"/>
          <w:b/>
          <w:sz w:val="20"/>
        </w:rPr>
        <w:t>study;</w:t>
      </w:r>
    </w:p>
    <w:p w:rsidR="002C5359" w:rsidRDefault="00540A59">
      <w:pPr>
        <w:pStyle w:val="ListParagraph"/>
        <w:numPr>
          <w:ilvl w:val="0"/>
          <w:numId w:val="1"/>
        </w:numPr>
        <w:tabs>
          <w:tab w:val="left" w:pos="461"/>
        </w:tabs>
        <w:spacing w:before="20" w:line="228" w:lineRule="exact"/>
        <w:ind w:right="475"/>
        <w:rPr>
          <w:rFonts w:ascii="Arial" w:eastAsia="Arial" w:hAnsi="Arial" w:cs="Arial"/>
          <w:sz w:val="20"/>
          <w:szCs w:val="20"/>
        </w:rPr>
      </w:pPr>
      <w:r>
        <w:rPr>
          <w:rFonts w:ascii="Arial"/>
          <w:b/>
          <w:sz w:val="20"/>
        </w:rPr>
        <w:t>Requiring the use of a statistical data classification that has not been reviewed and approved by</w:t>
      </w:r>
      <w:r>
        <w:rPr>
          <w:rFonts w:ascii="Arial"/>
          <w:b/>
          <w:spacing w:val="-4"/>
          <w:sz w:val="20"/>
        </w:rPr>
        <w:t xml:space="preserve"> </w:t>
      </w:r>
      <w:r>
        <w:rPr>
          <w:rFonts w:ascii="Arial"/>
          <w:b/>
          <w:sz w:val="20"/>
        </w:rPr>
        <w:t>OMB;</w:t>
      </w:r>
    </w:p>
    <w:p w:rsidR="002C5359" w:rsidRDefault="00540A59">
      <w:pPr>
        <w:pStyle w:val="ListParagraph"/>
        <w:numPr>
          <w:ilvl w:val="0"/>
          <w:numId w:val="1"/>
        </w:numPr>
        <w:tabs>
          <w:tab w:val="left" w:pos="461"/>
        </w:tabs>
        <w:ind w:right="177"/>
        <w:rPr>
          <w:rFonts w:ascii="Arial" w:eastAsia="Arial" w:hAnsi="Arial" w:cs="Arial"/>
          <w:sz w:val="20"/>
          <w:szCs w:val="20"/>
        </w:rPr>
      </w:pPr>
      <w:r>
        <w:rPr>
          <w:rFonts w:ascii="Arial"/>
          <w:b/>
          <w:sz w:val="20"/>
        </w:rPr>
        <w:t>That includes a pledge of confidentiality that is not supported by authority</w:t>
      </w:r>
      <w:r>
        <w:rPr>
          <w:rFonts w:ascii="Arial"/>
          <w:b/>
          <w:spacing w:val="-30"/>
          <w:sz w:val="20"/>
        </w:rPr>
        <w:t xml:space="preserve"> </w:t>
      </w:r>
      <w:r>
        <w:rPr>
          <w:rFonts w:ascii="Arial"/>
          <w:b/>
          <w:sz w:val="20"/>
        </w:rPr>
        <w:t>established in statue or regulation, that is not supported by disclosure and data security policies that are consistent with the pledge, or which unnecessarily impedes sharing of data with other agencies for compatible confidential use;</w:t>
      </w:r>
      <w:r>
        <w:rPr>
          <w:rFonts w:ascii="Arial"/>
          <w:b/>
          <w:spacing w:val="-16"/>
          <w:sz w:val="20"/>
        </w:rPr>
        <w:t xml:space="preserve"> </w:t>
      </w:r>
      <w:r>
        <w:rPr>
          <w:rFonts w:ascii="Arial"/>
          <w:b/>
          <w:sz w:val="20"/>
        </w:rPr>
        <w:t>or</w:t>
      </w:r>
    </w:p>
    <w:p w:rsidR="002C5359" w:rsidRDefault="00540A59">
      <w:pPr>
        <w:pStyle w:val="ListParagraph"/>
        <w:numPr>
          <w:ilvl w:val="0"/>
          <w:numId w:val="1"/>
        </w:numPr>
        <w:tabs>
          <w:tab w:val="left" w:pos="461"/>
        </w:tabs>
        <w:spacing w:before="3" w:line="237" w:lineRule="auto"/>
        <w:ind w:right="489"/>
        <w:rPr>
          <w:rFonts w:ascii="Arial" w:eastAsia="Arial" w:hAnsi="Arial" w:cs="Arial"/>
          <w:sz w:val="20"/>
          <w:szCs w:val="20"/>
        </w:rPr>
      </w:pPr>
      <w:r>
        <w:rPr>
          <w:rFonts w:ascii="Arial"/>
          <w:b/>
          <w:sz w:val="20"/>
        </w:rPr>
        <w:t>Requiring respondents to submit proprietary trade secrets, or other confidential information unless the agency can demonstrate that it has instituted procedures</w:t>
      </w:r>
      <w:r>
        <w:rPr>
          <w:rFonts w:ascii="Arial"/>
          <w:b/>
          <w:spacing w:val="-21"/>
          <w:sz w:val="20"/>
        </w:rPr>
        <w:t xml:space="preserve"> </w:t>
      </w:r>
      <w:r>
        <w:rPr>
          <w:rFonts w:ascii="Arial"/>
          <w:b/>
          <w:sz w:val="20"/>
        </w:rPr>
        <w:t>to protect the information's confidentiality to the extent permitted by</w:t>
      </w:r>
      <w:r>
        <w:rPr>
          <w:rFonts w:ascii="Arial"/>
          <w:b/>
          <w:spacing w:val="-25"/>
          <w:sz w:val="20"/>
        </w:rPr>
        <w:t xml:space="preserve"> </w:t>
      </w:r>
      <w:r>
        <w:rPr>
          <w:rFonts w:ascii="Arial"/>
          <w:b/>
          <w:sz w:val="20"/>
        </w:rPr>
        <w:t>law.</w:t>
      </w:r>
    </w:p>
    <w:p w:rsidR="002C5359" w:rsidRDefault="002C5359">
      <w:pPr>
        <w:spacing w:before="4"/>
        <w:rPr>
          <w:rFonts w:ascii="Arial" w:eastAsia="Arial" w:hAnsi="Arial" w:cs="Arial"/>
          <w:b/>
          <w:bCs/>
          <w:sz w:val="20"/>
          <w:szCs w:val="20"/>
        </w:rPr>
      </w:pPr>
    </w:p>
    <w:p w:rsidR="002C5359" w:rsidRDefault="00540A59">
      <w:pPr>
        <w:ind w:left="460" w:right="109"/>
        <w:rPr>
          <w:rFonts w:ascii="Arial" w:eastAsia="Arial" w:hAnsi="Arial" w:cs="Arial"/>
          <w:sz w:val="20"/>
          <w:szCs w:val="20"/>
        </w:rPr>
      </w:pPr>
      <w:r>
        <w:rPr>
          <w:rFonts w:ascii="Arial"/>
          <w:sz w:val="20"/>
        </w:rPr>
        <w:t>None.</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116"/>
        <w:rPr>
          <w:rFonts w:ascii="Arial" w:eastAsia="Arial" w:hAnsi="Arial" w:cs="Arial"/>
          <w:sz w:val="20"/>
          <w:szCs w:val="20"/>
        </w:rPr>
      </w:pPr>
      <w:r>
        <w:rPr>
          <w:rFonts w:ascii="Arial"/>
          <w:b/>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w:t>
      </w:r>
      <w:r>
        <w:rPr>
          <w:rFonts w:ascii="Arial"/>
          <w:b/>
          <w:spacing w:val="-31"/>
          <w:sz w:val="20"/>
        </w:rPr>
        <w:t xml:space="preserve"> </w:t>
      </w:r>
      <w:r>
        <w:rPr>
          <w:rFonts w:ascii="Arial"/>
          <w:b/>
          <w:sz w:val="20"/>
        </w:rPr>
        <w:t>the agency in response to these comments. Specifically address comments received on cost and hour</w:t>
      </w:r>
      <w:r>
        <w:rPr>
          <w:rFonts w:ascii="Arial"/>
          <w:b/>
          <w:spacing w:val="-5"/>
          <w:sz w:val="20"/>
        </w:rPr>
        <w:t xml:space="preserve"> </w:t>
      </w:r>
      <w:r>
        <w:rPr>
          <w:rFonts w:ascii="Arial"/>
          <w:b/>
          <w:sz w:val="20"/>
        </w:rPr>
        <w:t>burden.</w:t>
      </w:r>
    </w:p>
    <w:p w:rsidR="002C5359" w:rsidRDefault="00540A59">
      <w:pPr>
        <w:pStyle w:val="BodyText"/>
        <w:ind w:right="160" w:firstLine="0"/>
        <w:rPr>
          <w:b w:val="0"/>
          <w:bCs w:val="0"/>
        </w:rPr>
      </w:pPr>
      <w:r>
        <w:t>Describe efforts to consult with persons outside the agency to obtain their views on the availability of data, frequency of collection, the clarity of instructions and recordkeeping, disclosure, or reporting format (if any), and on the data elements to</w:t>
      </w:r>
      <w:r>
        <w:rPr>
          <w:spacing w:val="-22"/>
        </w:rPr>
        <w:t xml:space="preserve"> </w:t>
      </w:r>
      <w:r>
        <w:t>be recorded, disclosed, or</w:t>
      </w:r>
      <w:r>
        <w:rPr>
          <w:spacing w:val="-12"/>
        </w:rPr>
        <w:t xml:space="preserve"> </w:t>
      </w:r>
      <w:r>
        <w:t>reported.</w:t>
      </w:r>
    </w:p>
    <w:p w:rsidR="002C5359" w:rsidRDefault="00540A59">
      <w:pPr>
        <w:pStyle w:val="BodyText"/>
        <w:ind w:right="109" w:firstLine="0"/>
        <w:rPr>
          <w:b w:val="0"/>
          <w:bCs w:val="0"/>
        </w:rPr>
      </w:pPr>
      <w:r>
        <w:t>Consultation with representatives of those from whom information is to be obtained</w:t>
      </w:r>
      <w:r>
        <w:rPr>
          <w:spacing w:val="-30"/>
        </w:rPr>
        <w:t xml:space="preserve"> </w:t>
      </w:r>
      <w:r>
        <w:t>or those who must compile records should occur at least once every 3 years - even if the collection of information activity is the same as in prior periods. There may be circumstances that may preclude consultation in a specific situation. These circumstances should be</w:t>
      </w:r>
      <w:r>
        <w:rPr>
          <w:spacing w:val="-13"/>
        </w:rPr>
        <w:t xml:space="preserve"> </w:t>
      </w:r>
      <w:r>
        <w:t>explained.</w:t>
      </w:r>
    </w:p>
    <w:p w:rsidR="002C5359" w:rsidRDefault="002C5359">
      <w:pPr>
        <w:spacing w:before="3"/>
        <w:rPr>
          <w:rFonts w:ascii="Arial" w:eastAsia="Arial" w:hAnsi="Arial" w:cs="Arial"/>
          <w:b/>
          <w:bCs/>
          <w:sz w:val="20"/>
          <w:szCs w:val="20"/>
        </w:rPr>
      </w:pPr>
    </w:p>
    <w:p w:rsidR="002C5359" w:rsidRDefault="00C55F5D">
      <w:pPr>
        <w:ind w:left="460" w:right="100"/>
        <w:rPr>
          <w:rFonts w:ascii="Arial" w:eastAsia="Arial" w:hAnsi="Arial" w:cs="Arial"/>
          <w:sz w:val="20"/>
          <w:szCs w:val="20"/>
        </w:rPr>
      </w:pPr>
      <w:r>
        <w:rPr>
          <w:rFonts w:ascii="Arial"/>
          <w:sz w:val="20"/>
        </w:rPr>
        <w:t xml:space="preserve">Copies </w:t>
      </w:r>
      <w:r w:rsidR="00540A59">
        <w:rPr>
          <w:rFonts w:ascii="Arial"/>
          <w:sz w:val="20"/>
        </w:rPr>
        <w:t>of the notice</w:t>
      </w:r>
      <w:r>
        <w:rPr>
          <w:rFonts w:ascii="Arial"/>
          <w:sz w:val="20"/>
        </w:rPr>
        <w:t>s</w:t>
      </w:r>
      <w:r w:rsidR="00540A59">
        <w:rPr>
          <w:rFonts w:ascii="Arial"/>
          <w:sz w:val="20"/>
        </w:rPr>
        <w:t xml:space="preserve"> in the Federal Register</w:t>
      </w:r>
      <w:r>
        <w:rPr>
          <w:rFonts w:ascii="Arial"/>
          <w:sz w:val="20"/>
        </w:rPr>
        <w:t xml:space="preserve"> are</w:t>
      </w:r>
      <w:r w:rsidR="00540A59">
        <w:rPr>
          <w:rFonts w:ascii="Arial"/>
          <w:sz w:val="20"/>
        </w:rPr>
        <w:t xml:space="preserve"> available in the Supplementary Documents. No comments were received. The members of the Advisory Panel and the Federal Council (available in the Supplementary Documents) are consulted bi-annually, to obtain their views and incorporate their recommendations for changes in the application and</w:t>
      </w:r>
      <w:r w:rsidR="00540A59">
        <w:rPr>
          <w:rFonts w:ascii="Arial"/>
          <w:spacing w:val="-16"/>
          <w:sz w:val="20"/>
        </w:rPr>
        <w:t xml:space="preserve"> </w:t>
      </w:r>
      <w:r w:rsidR="00540A59">
        <w:rPr>
          <w:rFonts w:ascii="Arial"/>
          <w:sz w:val="20"/>
        </w:rPr>
        <w:t>instructions.</w:t>
      </w:r>
    </w:p>
    <w:p w:rsidR="002C5359" w:rsidRDefault="002C5359">
      <w:pPr>
        <w:rPr>
          <w:rFonts w:ascii="Arial" w:eastAsia="Arial" w:hAnsi="Arial" w:cs="Arial"/>
          <w:sz w:val="20"/>
          <w:szCs w:val="20"/>
        </w:rPr>
        <w:sectPr w:rsidR="002C5359">
          <w:pgSz w:w="12240" w:h="15840"/>
          <w:pgMar w:top="1500" w:right="1700" w:bottom="280" w:left="1700" w:header="720" w:footer="720" w:gutter="0"/>
          <w:cols w:space="720"/>
        </w:sectPr>
      </w:pPr>
    </w:p>
    <w:p w:rsidR="002C5359" w:rsidRDefault="00540A59">
      <w:pPr>
        <w:pStyle w:val="ListParagraph"/>
        <w:numPr>
          <w:ilvl w:val="0"/>
          <w:numId w:val="2"/>
        </w:numPr>
        <w:tabs>
          <w:tab w:val="left" w:pos="461"/>
        </w:tabs>
        <w:spacing w:before="55"/>
        <w:ind w:right="876"/>
        <w:rPr>
          <w:rFonts w:ascii="Arial" w:eastAsia="Arial" w:hAnsi="Arial" w:cs="Arial"/>
          <w:sz w:val="20"/>
          <w:szCs w:val="20"/>
        </w:rPr>
      </w:pPr>
      <w:r>
        <w:rPr>
          <w:rFonts w:ascii="Arial"/>
          <w:b/>
          <w:sz w:val="20"/>
        </w:rPr>
        <w:lastRenderedPageBreak/>
        <w:t>Explain any decision to provide any payment or gift to respondents, other</w:t>
      </w:r>
      <w:r>
        <w:rPr>
          <w:rFonts w:ascii="Arial"/>
          <w:b/>
          <w:spacing w:val="-24"/>
          <w:sz w:val="20"/>
        </w:rPr>
        <w:t xml:space="preserve"> </w:t>
      </w:r>
      <w:r>
        <w:rPr>
          <w:rFonts w:ascii="Arial"/>
          <w:b/>
          <w:sz w:val="20"/>
        </w:rPr>
        <w:t>than remuneration of contractors or</w:t>
      </w:r>
      <w:r>
        <w:rPr>
          <w:rFonts w:ascii="Arial"/>
          <w:b/>
          <w:spacing w:val="-13"/>
          <w:sz w:val="20"/>
        </w:rPr>
        <w:t xml:space="preserve"> </w:t>
      </w:r>
      <w:r>
        <w:rPr>
          <w:rFonts w:ascii="Arial"/>
          <w:b/>
          <w:sz w:val="20"/>
        </w:rPr>
        <w:t>grantees.</w:t>
      </w:r>
    </w:p>
    <w:p w:rsidR="002C5359" w:rsidRDefault="002C5359">
      <w:pPr>
        <w:spacing w:before="1"/>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Not</w:t>
      </w:r>
      <w:r>
        <w:rPr>
          <w:rFonts w:ascii="Arial"/>
          <w:spacing w:val="-6"/>
          <w:sz w:val="20"/>
        </w:rPr>
        <w:t xml:space="preserve"> </w:t>
      </w:r>
      <w:r>
        <w:rPr>
          <w:rFonts w:ascii="Arial"/>
          <w:sz w:val="20"/>
        </w:rPr>
        <w:t>applicable.</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365"/>
        <w:rPr>
          <w:rFonts w:ascii="Arial" w:eastAsia="Arial" w:hAnsi="Arial" w:cs="Arial"/>
          <w:sz w:val="20"/>
          <w:szCs w:val="20"/>
        </w:rPr>
      </w:pPr>
      <w:r>
        <w:rPr>
          <w:rFonts w:ascii="Arial"/>
          <w:b/>
          <w:sz w:val="20"/>
        </w:rPr>
        <w:t>Describe any assurance of confidentiality provided to respondents and the basis</w:t>
      </w:r>
      <w:r>
        <w:rPr>
          <w:rFonts w:ascii="Arial"/>
          <w:b/>
          <w:spacing w:val="-25"/>
          <w:sz w:val="20"/>
        </w:rPr>
        <w:t xml:space="preserve"> </w:t>
      </w:r>
      <w:r>
        <w:rPr>
          <w:rFonts w:ascii="Arial"/>
          <w:b/>
          <w:sz w:val="20"/>
        </w:rPr>
        <w:t>for the assurance in statute, regulation, or agency</w:t>
      </w:r>
      <w:r>
        <w:rPr>
          <w:rFonts w:ascii="Arial"/>
          <w:b/>
          <w:spacing w:val="-18"/>
          <w:sz w:val="20"/>
        </w:rPr>
        <w:t xml:space="preserve"> </w:t>
      </w:r>
      <w:r>
        <w:rPr>
          <w:rFonts w:ascii="Arial"/>
          <w:b/>
          <w:sz w:val="20"/>
        </w:rPr>
        <w:t>policy.</w:t>
      </w:r>
    </w:p>
    <w:p w:rsidR="002C5359" w:rsidRDefault="002C5359">
      <w:pPr>
        <w:spacing w:before="3"/>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No assurance of confidentiality is</w:t>
      </w:r>
      <w:r>
        <w:rPr>
          <w:rFonts w:ascii="Arial"/>
          <w:spacing w:val="-9"/>
          <w:sz w:val="20"/>
        </w:rPr>
        <w:t xml:space="preserve"> </w:t>
      </w:r>
      <w:r>
        <w:rPr>
          <w:rFonts w:ascii="Arial"/>
          <w:sz w:val="20"/>
        </w:rPr>
        <w:t>provided.</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208"/>
        <w:rPr>
          <w:rFonts w:ascii="Arial" w:eastAsia="Arial" w:hAnsi="Arial" w:cs="Arial"/>
          <w:sz w:val="20"/>
          <w:szCs w:val="20"/>
        </w:rPr>
      </w:pPr>
      <w:r>
        <w:rPr>
          <w:rFonts w:ascii="Arial"/>
          <w:b/>
          <w:sz w:val="20"/>
        </w:rPr>
        <w:t>Provide additional justification for any questions of a sensitive nature, such as</w:t>
      </w:r>
      <w:r>
        <w:rPr>
          <w:rFonts w:ascii="Arial"/>
          <w:b/>
          <w:spacing w:val="-25"/>
          <w:sz w:val="20"/>
        </w:rPr>
        <w:t xml:space="preserve"> </w:t>
      </w:r>
      <w:r>
        <w:rPr>
          <w:rFonts w:ascii="Arial"/>
          <w:b/>
          <w:sz w:val="20"/>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w:t>
      </w:r>
      <w:r>
        <w:rPr>
          <w:rFonts w:ascii="Arial"/>
          <w:b/>
          <w:spacing w:val="-14"/>
          <w:sz w:val="20"/>
        </w:rPr>
        <w:t xml:space="preserve"> </w:t>
      </w:r>
      <w:r>
        <w:rPr>
          <w:rFonts w:ascii="Arial"/>
          <w:b/>
          <w:sz w:val="20"/>
        </w:rPr>
        <w:t>consent.</w:t>
      </w:r>
    </w:p>
    <w:p w:rsidR="002C5359" w:rsidRDefault="002C5359">
      <w:pPr>
        <w:spacing w:before="4"/>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This application does not contain questions of a sensitive nature such as matters</w:t>
      </w:r>
      <w:r>
        <w:rPr>
          <w:rFonts w:ascii="Arial"/>
          <w:spacing w:val="-23"/>
          <w:sz w:val="20"/>
        </w:rPr>
        <w:t xml:space="preserve"> </w:t>
      </w:r>
      <w:r>
        <w:rPr>
          <w:rFonts w:ascii="Arial"/>
          <w:sz w:val="20"/>
        </w:rPr>
        <w:t>concerning sexual behavior and attitudes, religious beliefs, and other matters commonly considered private.</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364"/>
        <w:rPr>
          <w:rFonts w:ascii="Arial" w:eastAsia="Arial" w:hAnsi="Arial" w:cs="Arial"/>
          <w:sz w:val="20"/>
          <w:szCs w:val="20"/>
        </w:rPr>
      </w:pPr>
      <w:r>
        <w:rPr>
          <w:rFonts w:ascii="Arial"/>
          <w:b/>
          <w:sz w:val="20"/>
        </w:rPr>
        <w:t>Provide estimates of the hour burden of the collection of information. The</w:t>
      </w:r>
      <w:r>
        <w:rPr>
          <w:rFonts w:ascii="Arial"/>
          <w:b/>
          <w:spacing w:val="-27"/>
          <w:sz w:val="20"/>
        </w:rPr>
        <w:t xml:space="preserve"> </w:t>
      </w:r>
      <w:r>
        <w:rPr>
          <w:rFonts w:ascii="Arial"/>
          <w:b/>
          <w:sz w:val="20"/>
        </w:rPr>
        <w:t>statement should:</w:t>
      </w:r>
    </w:p>
    <w:p w:rsidR="002C5359" w:rsidRDefault="00540A59">
      <w:pPr>
        <w:pStyle w:val="ListParagraph"/>
        <w:numPr>
          <w:ilvl w:val="0"/>
          <w:numId w:val="1"/>
        </w:numPr>
        <w:tabs>
          <w:tab w:val="left" w:pos="461"/>
        </w:tabs>
        <w:spacing w:before="1"/>
        <w:ind w:right="152"/>
        <w:rPr>
          <w:rFonts w:ascii="Arial" w:eastAsia="Arial" w:hAnsi="Arial" w:cs="Arial"/>
          <w:sz w:val="20"/>
          <w:szCs w:val="20"/>
        </w:rPr>
      </w:pPr>
      <w:r>
        <w:rPr>
          <w:rFonts w:ascii="Arial"/>
          <w:b/>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w:t>
      </w:r>
      <w:r>
        <w:rPr>
          <w:rFonts w:ascii="Arial"/>
          <w:b/>
          <w:spacing w:val="-25"/>
          <w:sz w:val="20"/>
        </w:rPr>
        <w:t xml:space="preserve"> </w:t>
      </w:r>
      <w:r>
        <w:rPr>
          <w:rFonts w:ascii="Arial"/>
          <w:b/>
          <w:sz w:val="20"/>
        </w:rPr>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rFonts w:ascii="Arial"/>
          <w:b/>
          <w:spacing w:val="-21"/>
          <w:sz w:val="20"/>
        </w:rPr>
        <w:t xml:space="preserve"> </w:t>
      </w:r>
      <w:r>
        <w:rPr>
          <w:rFonts w:ascii="Arial"/>
          <w:b/>
          <w:sz w:val="20"/>
        </w:rPr>
        <w:t>practices.</w:t>
      </w:r>
    </w:p>
    <w:p w:rsidR="002C5359" w:rsidRDefault="00540A59">
      <w:pPr>
        <w:pStyle w:val="ListParagraph"/>
        <w:numPr>
          <w:ilvl w:val="0"/>
          <w:numId w:val="1"/>
        </w:numPr>
        <w:tabs>
          <w:tab w:val="left" w:pos="461"/>
        </w:tabs>
        <w:spacing w:before="1"/>
        <w:ind w:right="255"/>
        <w:rPr>
          <w:rFonts w:ascii="Arial" w:eastAsia="Arial" w:hAnsi="Arial" w:cs="Arial"/>
          <w:sz w:val="20"/>
          <w:szCs w:val="20"/>
        </w:rPr>
      </w:pPr>
      <w:r>
        <w:rPr>
          <w:rFonts w:ascii="Arial"/>
          <w:b/>
          <w:sz w:val="20"/>
        </w:rPr>
        <w:t>If this request for approval covers more than one form, provide separate hour burden estimates for each form and aggregate the hour burdens in Item</w:t>
      </w:r>
      <w:r>
        <w:rPr>
          <w:rFonts w:ascii="Arial"/>
          <w:b/>
          <w:spacing w:val="-23"/>
          <w:sz w:val="20"/>
        </w:rPr>
        <w:t xml:space="preserve"> </w:t>
      </w:r>
      <w:r>
        <w:rPr>
          <w:rFonts w:ascii="Arial"/>
          <w:b/>
          <w:sz w:val="20"/>
        </w:rPr>
        <w:t>13.</w:t>
      </w:r>
    </w:p>
    <w:p w:rsidR="002C5359" w:rsidRDefault="00540A59">
      <w:pPr>
        <w:pStyle w:val="ListParagraph"/>
        <w:numPr>
          <w:ilvl w:val="0"/>
          <w:numId w:val="1"/>
        </w:numPr>
        <w:tabs>
          <w:tab w:val="left" w:pos="461"/>
        </w:tabs>
        <w:ind w:right="135"/>
        <w:rPr>
          <w:rFonts w:ascii="Arial" w:eastAsia="Arial" w:hAnsi="Arial" w:cs="Arial"/>
          <w:sz w:val="20"/>
          <w:szCs w:val="20"/>
        </w:rPr>
      </w:pPr>
      <w:r>
        <w:rPr>
          <w:rFonts w:ascii="Arial"/>
          <w:b/>
          <w:sz w:val="20"/>
        </w:rPr>
        <w:t>Provide estimates of annualized cost to respondents for the hour burdens for collections of information, identifying and using appropriate wage rate categories.</w:t>
      </w:r>
      <w:r>
        <w:rPr>
          <w:rFonts w:ascii="Arial"/>
          <w:b/>
          <w:spacing w:val="-19"/>
          <w:sz w:val="20"/>
        </w:rPr>
        <w:t xml:space="preserve"> </w:t>
      </w:r>
      <w:r>
        <w:rPr>
          <w:rFonts w:ascii="Arial"/>
          <w:b/>
          <w:sz w:val="20"/>
        </w:rPr>
        <w:t>The cost of contracting out or paying outside parties for information collection activities should not be included here. Instead, this cost should be included in Item</w:t>
      </w:r>
      <w:r>
        <w:rPr>
          <w:rFonts w:ascii="Arial"/>
          <w:b/>
          <w:spacing w:val="-27"/>
          <w:sz w:val="20"/>
        </w:rPr>
        <w:t xml:space="preserve"> </w:t>
      </w:r>
      <w:r>
        <w:rPr>
          <w:rFonts w:ascii="Arial"/>
          <w:b/>
          <w:sz w:val="20"/>
        </w:rPr>
        <w:t>13.</w:t>
      </w:r>
    </w:p>
    <w:p w:rsidR="002C5359" w:rsidRDefault="002C5359">
      <w:pPr>
        <w:spacing w:before="1"/>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 xml:space="preserve">An estimated </w:t>
      </w:r>
      <w:r w:rsidR="00C55F5D">
        <w:rPr>
          <w:rFonts w:ascii="Arial"/>
          <w:sz w:val="20"/>
        </w:rPr>
        <w:t>18</w:t>
      </w:r>
      <w:r>
        <w:rPr>
          <w:rFonts w:ascii="Arial"/>
          <w:sz w:val="20"/>
        </w:rPr>
        <w:t xml:space="preserve"> respondents per year complete this form. It is estimated that respondents spend an average of 4</w:t>
      </w:r>
      <w:r w:rsidR="00C55F5D">
        <w:rPr>
          <w:rFonts w:ascii="Arial"/>
          <w:sz w:val="20"/>
        </w:rPr>
        <w:t>0</w:t>
      </w:r>
      <w:r>
        <w:rPr>
          <w:rFonts w:ascii="Arial"/>
          <w:sz w:val="20"/>
        </w:rPr>
        <w:t xml:space="preserve"> hours completing this form, and twenty minutes completing the SF-424. The application for indemnification is a one-time submission. No additional form is required. Although the costs to respondents vary depending upon the complexity of the exhibition, i.e., the number of objects in the exhibition, the number of lenders, and the number of exhibition sites, it is estimated that the average cost to respondents is $2,097. This estimated cost includes staff time, charges for telephone, fax, and copying, and other support services. The cost burden and COLA for this information collection was based on average salaries for curators and registrars (the positions of applicants who generally will be completing the Indemnity Application) from art</w:t>
      </w:r>
      <w:r>
        <w:rPr>
          <w:rFonts w:ascii="Arial"/>
          <w:spacing w:val="-17"/>
          <w:sz w:val="20"/>
        </w:rPr>
        <w:t xml:space="preserve"> </w:t>
      </w:r>
      <w:r>
        <w:rPr>
          <w:rFonts w:ascii="Arial"/>
          <w:sz w:val="20"/>
        </w:rPr>
        <w:t>museums.</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234"/>
        <w:rPr>
          <w:rFonts w:ascii="Arial" w:eastAsia="Arial" w:hAnsi="Arial" w:cs="Arial"/>
          <w:sz w:val="20"/>
          <w:szCs w:val="20"/>
        </w:rPr>
      </w:pPr>
      <w:r>
        <w:rPr>
          <w:rFonts w:ascii="Arial"/>
          <w:b/>
          <w:sz w:val="20"/>
        </w:rPr>
        <w:t>Provide an estimate for the total annual cost burden to respondents or</w:t>
      </w:r>
      <w:r>
        <w:rPr>
          <w:rFonts w:ascii="Arial"/>
          <w:b/>
          <w:spacing w:val="-31"/>
          <w:sz w:val="20"/>
        </w:rPr>
        <w:t xml:space="preserve"> </w:t>
      </w:r>
      <w:r>
        <w:rPr>
          <w:rFonts w:ascii="Arial"/>
          <w:b/>
          <w:sz w:val="20"/>
        </w:rPr>
        <w:t>recordkeepers resulting from the collection of information. (Do not include the cost of any hour burden shown in Items 12 and</w:t>
      </w:r>
      <w:r>
        <w:rPr>
          <w:rFonts w:ascii="Arial"/>
          <w:b/>
          <w:spacing w:val="-14"/>
          <w:sz w:val="20"/>
        </w:rPr>
        <w:t xml:space="preserve"> </w:t>
      </w:r>
      <w:r>
        <w:rPr>
          <w:rFonts w:ascii="Arial"/>
          <w:b/>
          <w:sz w:val="20"/>
        </w:rPr>
        <w:t>14).</w:t>
      </w:r>
    </w:p>
    <w:p w:rsidR="002C5359" w:rsidRDefault="00540A59">
      <w:pPr>
        <w:pStyle w:val="ListParagraph"/>
        <w:numPr>
          <w:ilvl w:val="0"/>
          <w:numId w:val="1"/>
        </w:numPr>
        <w:tabs>
          <w:tab w:val="left" w:pos="461"/>
        </w:tabs>
        <w:spacing w:before="1"/>
        <w:ind w:right="178"/>
        <w:rPr>
          <w:rFonts w:ascii="Arial" w:eastAsia="Arial" w:hAnsi="Arial" w:cs="Arial"/>
          <w:sz w:val="20"/>
          <w:szCs w:val="20"/>
        </w:rPr>
      </w:pPr>
      <w:r>
        <w:rPr>
          <w:rFonts w:ascii="Arial"/>
          <w:b/>
          <w:sz w:val="20"/>
        </w:rPr>
        <w:t>The cost estimate should be split into two components: (a) a total capital and start-up cost component (annualized over its expected useful life) and (b) a total operation</w:t>
      </w:r>
      <w:r>
        <w:rPr>
          <w:rFonts w:ascii="Arial"/>
          <w:b/>
          <w:spacing w:val="-34"/>
          <w:sz w:val="20"/>
        </w:rPr>
        <w:t xml:space="preserve"> </w:t>
      </w:r>
      <w:r>
        <w:rPr>
          <w:rFonts w:ascii="Arial"/>
          <w:b/>
          <w:sz w:val="20"/>
        </w:rPr>
        <w:t>and maintenance and purchase of services component. The estimates should take into account costs associated with generating, maintaining, and disclosing or</w:t>
      </w:r>
      <w:r>
        <w:rPr>
          <w:rFonts w:ascii="Arial"/>
          <w:b/>
          <w:spacing w:val="-18"/>
          <w:sz w:val="20"/>
        </w:rPr>
        <w:t xml:space="preserve"> </w:t>
      </w:r>
      <w:r>
        <w:rPr>
          <w:rFonts w:ascii="Arial"/>
          <w:b/>
          <w:sz w:val="20"/>
        </w:rPr>
        <w:t>providing</w:t>
      </w:r>
    </w:p>
    <w:p w:rsidR="002C5359" w:rsidRDefault="002C5359">
      <w:pPr>
        <w:rPr>
          <w:rFonts w:ascii="Arial" w:eastAsia="Arial" w:hAnsi="Arial" w:cs="Arial"/>
          <w:sz w:val="20"/>
          <w:szCs w:val="20"/>
        </w:rPr>
        <w:sectPr w:rsidR="002C5359">
          <w:pgSz w:w="12240" w:h="15840"/>
          <w:pgMar w:top="1380" w:right="1720" w:bottom="280" w:left="1700" w:header="720" w:footer="720" w:gutter="0"/>
          <w:cols w:space="720"/>
        </w:sectPr>
      </w:pPr>
    </w:p>
    <w:p w:rsidR="002C5359" w:rsidRDefault="00540A59">
      <w:pPr>
        <w:pStyle w:val="BodyText"/>
        <w:spacing w:before="55"/>
        <w:ind w:right="134" w:firstLine="0"/>
        <w:rPr>
          <w:b w:val="0"/>
          <w:bCs w:val="0"/>
        </w:rPr>
      </w:pPr>
      <w:r>
        <w:t>the information. Include descriptions of methods used to estimate major cost factors including system and technology acquisition, expected useful life of capital equipment, the discount rate(s), and the time period over which costs will be</w:t>
      </w:r>
      <w:r>
        <w:rPr>
          <w:spacing w:val="-24"/>
        </w:rPr>
        <w:t xml:space="preserve"> </w:t>
      </w:r>
      <w:r>
        <w:t>incurred. Capital and start-up costs include, among other items, preparations for collecting information such as purchasing computers and software; monitoring, sampling, drilling and testing equipment; and record storage</w:t>
      </w:r>
      <w:r>
        <w:rPr>
          <w:spacing w:val="-12"/>
        </w:rPr>
        <w:t xml:space="preserve"> </w:t>
      </w:r>
      <w:r>
        <w:t>facilities.</w:t>
      </w:r>
    </w:p>
    <w:p w:rsidR="002C5359" w:rsidRDefault="00540A59">
      <w:pPr>
        <w:pStyle w:val="ListParagraph"/>
        <w:numPr>
          <w:ilvl w:val="0"/>
          <w:numId w:val="1"/>
        </w:numPr>
        <w:tabs>
          <w:tab w:val="left" w:pos="461"/>
        </w:tabs>
        <w:spacing w:before="1"/>
        <w:ind w:right="173"/>
        <w:rPr>
          <w:rFonts w:ascii="Arial" w:eastAsia="Arial" w:hAnsi="Arial" w:cs="Arial"/>
          <w:sz w:val="20"/>
          <w:szCs w:val="20"/>
        </w:rPr>
      </w:pPr>
      <w:r>
        <w:rPr>
          <w:rFonts w:ascii="Arial"/>
          <w:b/>
          <w:sz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w:t>
      </w:r>
      <w:r>
        <w:rPr>
          <w:rFonts w:ascii="Arial"/>
          <w:b/>
          <w:spacing w:val="-24"/>
          <w:sz w:val="20"/>
        </w:rPr>
        <w:t xml:space="preserve"> </w:t>
      </w:r>
      <w:r>
        <w:rPr>
          <w:rFonts w:ascii="Arial"/>
          <w:b/>
          <w:sz w:val="20"/>
        </w:rPr>
        <w:t>of respondents (fewer than 10), utilize the 60-day pre-OMB submission public comment process and use existing economic or regulatory impact analysis associated with the rulemaking containing the information collection, as</w:t>
      </w:r>
      <w:r>
        <w:rPr>
          <w:rFonts w:ascii="Arial"/>
          <w:b/>
          <w:spacing w:val="-22"/>
          <w:sz w:val="20"/>
        </w:rPr>
        <w:t xml:space="preserve"> </w:t>
      </w:r>
      <w:r>
        <w:rPr>
          <w:rFonts w:ascii="Arial"/>
          <w:b/>
          <w:sz w:val="20"/>
        </w:rPr>
        <w:t>appropriate.</w:t>
      </w:r>
    </w:p>
    <w:p w:rsidR="002C5359" w:rsidRDefault="00540A59">
      <w:pPr>
        <w:pStyle w:val="ListParagraph"/>
        <w:numPr>
          <w:ilvl w:val="0"/>
          <w:numId w:val="1"/>
        </w:numPr>
        <w:tabs>
          <w:tab w:val="left" w:pos="461"/>
        </w:tabs>
        <w:ind w:right="344"/>
        <w:rPr>
          <w:rFonts w:ascii="Arial" w:eastAsia="Arial" w:hAnsi="Arial" w:cs="Arial"/>
          <w:sz w:val="20"/>
          <w:szCs w:val="20"/>
        </w:rPr>
      </w:pPr>
      <w:r>
        <w:rPr>
          <w:rFonts w:ascii="Arial"/>
          <w:b/>
          <w:sz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w:t>
      </w:r>
      <w:r>
        <w:rPr>
          <w:rFonts w:ascii="Arial"/>
          <w:b/>
          <w:spacing w:val="-34"/>
          <w:sz w:val="20"/>
        </w:rPr>
        <w:t xml:space="preserve"> </w:t>
      </w:r>
      <w:r>
        <w:rPr>
          <w:rFonts w:ascii="Arial"/>
          <w:b/>
          <w:sz w:val="20"/>
        </w:rPr>
        <w:t>(4) as part of customary and usual business or private</w:t>
      </w:r>
      <w:r>
        <w:rPr>
          <w:rFonts w:ascii="Arial"/>
          <w:b/>
          <w:spacing w:val="-18"/>
          <w:sz w:val="20"/>
        </w:rPr>
        <w:t xml:space="preserve"> </w:t>
      </w:r>
      <w:r>
        <w:rPr>
          <w:rFonts w:ascii="Arial"/>
          <w:b/>
          <w:sz w:val="20"/>
        </w:rPr>
        <w:t>practices.</w:t>
      </w:r>
    </w:p>
    <w:p w:rsidR="002C5359" w:rsidRDefault="002C5359">
      <w:pPr>
        <w:spacing w:before="3"/>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None.</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116"/>
        <w:rPr>
          <w:rFonts w:ascii="Arial" w:eastAsia="Arial" w:hAnsi="Arial" w:cs="Arial"/>
          <w:sz w:val="20"/>
          <w:szCs w:val="20"/>
        </w:rPr>
      </w:pPr>
      <w:r>
        <w:rPr>
          <w:rFonts w:ascii="Arial"/>
          <w:b/>
          <w:sz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w:t>
      </w:r>
      <w:r>
        <w:rPr>
          <w:rFonts w:ascii="Arial"/>
          <w:b/>
          <w:spacing w:val="-25"/>
          <w:sz w:val="20"/>
        </w:rPr>
        <w:t xml:space="preserve"> </w:t>
      </w:r>
      <w:r>
        <w:rPr>
          <w:rFonts w:ascii="Arial"/>
          <w:b/>
          <w:sz w:val="20"/>
        </w:rPr>
        <w:t>collection of information. Agencies may also aggregate cost estimates from Items 12, 13, and 14 in a single</w:t>
      </w:r>
      <w:r>
        <w:rPr>
          <w:rFonts w:ascii="Arial"/>
          <w:b/>
          <w:spacing w:val="-8"/>
          <w:sz w:val="20"/>
        </w:rPr>
        <w:t xml:space="preserve"> </w:t>
      </w:r>
      <w:r>
        <w:rPr>
          <w:rFonts w:ascii="Arial"/>
          <w:b/>
          <w:sz w:val="20"/>
        </w:rPr>
        <w:t>table.</w:t>
      </w:r>
    </w:p>
    <w:p w:rsidR="002C5359" w:rsidRDefault="002C5359">
      <w:pPr>
        <w:spacing w:before="1"/>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The estimated cost of this Progr</w:t>
      </w:r>
      <w:r w:rsidR="00957AA4">
        <w:rPr>
          <w:rFonts w:ascii="Arial"/>
          <w:sz w:val="20"/>
        </w:rPr>
        <w:t>am to the Government is $288,447</w:t>
      </w:r>
      <w:r>
        <w:rPr>
          <w:rFonts w:ascii="Arial"/>
          <w:sz w:val="20"/>
        </w:rPr>
        <w:t xml:space="preserve"> annually, which</w:t>
      </w:r>
      <w:r>
        <w:rPr>
          <w:rFonts w:ascii="Arial"/>
          <w:spacing w:val="-22"/>
          <w:sz w:val="20"/>
        </w:rPr>
        <w:t xml:space="preserve"> </w:t>
      </w:r>
      <w:r>
        <w:rPr>
          <w:rFonts w:ascii="Arial"/>
          <w:sz w:val="20"/>
        </w:rPr>
        <w:t>includes two staff salaries</w:t>
      </w:r>
      <w:r w:rsidR="00957AA4">
        <w:rPr>
          <w:rFonts w:ascii="Arial"/>
          <w:sz w:val="20"/>
        </w:rPr>
        <w:t xml:space="preserve"> and benefits</w:t>
      </w:r>
      <w:r>
        <w:rPr>
          <w:rFonts w:ascii="Arial"/>
          <w:sz w:val="20"/>
        </w:rPr>
        <w:t xml:space="preserve">, </w:t>
      </w:r>
      <w:r w:rsidR="00957AA4">
        <w:rPr>
          <w:rFonts w:ascii="Arial"/>
          <w:sz w:val="20"/>
        </w:rPr>
        <w:t xml:space="preserve">payments to panelists, </w:t>
      </w:r>
      <w:r>
        <w:rPr>
          <w:rFonts w:ascii="Arial"/>
          <w:sz w:val="20"/>
        </w:rPr>
        <w:t>printing and mailing of written material, and, infrequently, the need to pay for the services of an insurance</w:t>
      </w:r>
      <w:r>
        <w:rPr>
          <w:rFonts w:ascii="Arial"/>
          <w:spacing w:val="-16"/>
          <w:sz w:val="20"/>
        </w:rPr>
        <w:t xml:space="preserve"> </w:t>
      </w:r>
      <w:r>
        <w:rPr>
          <w:rFonts w:ascii="Arial"/>
          <w:sz w:val="20"/>
        </w:rPr>
        <w:t>adjustor.</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318"/>
        <w:rPr>
          <w:rFonts w:ascii="Arial" w:eastAsia="Arial" w:hAnsi="Arial" w:cs="Arial"/>
          <w:sz w:val="20"/>
          <w:szCs w:val="20"/>
        </w:rPr>
      </w:pPr>
      <w:r>
        <w:rPr>
          <w:rFonts w:ascii="Arial"/>
          <w:b/>
          <w:sz w:val="20"/>
        </w:rPr>
        <w:t>Explain the reasons for any program changes or adjustments reported in Items 13</w:t>
      </w:r>
      <w:r>
        <w:rPr>
          <w:rFonts w:ascii="Arial"/>
          <w:b/>
          <w:spacing w:val="-27"/>
          <w:sz w:val="20"/>
        </w:rPr>
        <w:t xml:space="preserve"> </w:t>
      </w:r>
      <w:r>
        <w:rPr>
          <w:rFonts w:ascii="Arial"/>
          <w:b/>
          <w:sz w:val="20"/>
        </w:rPr>
        <w:t>or 14 of the</w:t>
      </w:r>
      <w:r>
        <w:rPr>
          <w:rFonts w:ascii="Arial"/>
          <w:b/>
          <w:spacing w:val="-5"/>
          <w:sz w:val="20"/>
        </w:rPr>
        <w:t xml:space="preserve"> </w:t>
      </w:r>
      <w:r>
        <w:rPr>
          <w:rFonts w:ascii="Arial"/>
          <w:b/>
          <w:sz w:val="20"/>
        </w:rPr>
        <w:t>ICR.</w:t>
      </w:r>
    </w:p>
    <w:p w:rsidR="002C5359" w:rsidRDefault="002C5359">
      <w:pPr>
        <w:spacing w:before="3"/>
        <w:rPr>
          <w:rFonts w:ascii="Arial" w:eastAsia="Arial" w:hAnsi="Arial" w:cs="Arial"/>
          <w:b/>
          <w:bCs/>
          <w:sz w:val="20"/>
          <w:szCs w:val="20"/>
        </w:rPr>
      </w:pPr>
    </w:p>
    <w:p w:rsidR="002C5359" w:rsidRDefault="00540A59">
      <w:pPr>
        <w:ind w:left="460" w:right="91"/>
        <w:rPr>
          <w:rFonts w:ascii="Arial" w:eastAsia="Arial" w:hAnsi="Arial" w:cs="Arial"/>
          <w:sz w:val="20"/>
          <w:szCs w:val="20"/>
        </w:rPr>
      </w:pPr>
      <w:r>
        <w:rPr>
          <w:rFonts w:ascii="Arial"/>
          <w:sz w:val="20"/>
        </w:rPr>
        <w:t>The increase in the estimated cost of this program to the Federal government is due to staff salary</w:t>
      </w:r>
      <w:r w:rsidR="00957AA4">
        <w:rPr>
          <w:rFonts w:ascii="Arial"/>
          <w:sz w:val="20"/>
        </w:rPr>
        <w:t>/benefit</w:t>
      </w:r>
      <w:r>
        <w:rPr>
          <w:rFonts w:ascii="Arial"/>
          <w:spacing w:val="-6"/>
          <w:sz w:val="20"/>
        </w:rPr>
        <w:t xml:space="preserve"> </w:t>
      </w:r>
      <w:r>
        <w:rPr>
          <w:rFonts w:ascii="Arial"/>
          <w:sz w:val="20"/>
        </w:rPr>
        <w:t>increases</w:t>
      </w:r>
      <w:r w:rsidR="00957AA4">
        <w:rPr>
          <w:rFonts w:ascii="Arial"/>
          <w:sz w:val="20"/>
        </w:rPr>
        <w:t>, and panelist payments</w:t>
      </w:r>
      <w:r>
        <w:rPr>
          <w:rFonts w:ascii="Arial"/>
          <w:sz w:val="20"/>
        </w:rPr>
        <w:t>.</w:t>
      </w:r>
    </w:p>
    <w:p w:rsidR="002C5359" w:rsidRDefault="002C5359">
      <w:pPr>
        <w:spacing w:before="10"/>
        <w:rPr>
          <w:rFonts w:ascii="Arial" w:eastAsia="Arial" w:hAnsi="Arial" w:cs="Arial"/>
          <w:sz w:val="19"/>
          <w:szCs w:val="19"/>
        </w:rPr>
      </w:pPr>
    </w:p>
    <w:p w:rsidR="002C5359" w:rsidRDefault="00540A59">
      <w:pPr>
        <w:pStyle w:val="ListParagraph"/>
        <w:numPr>
          <w:ilvl w:val="0"/>
          <w:numId w:val="2"/>
        </w:numPr>
        <w:tabs>
          <w:tab w:val="left" w:pos="461"/>
        </w:tabs>
        <w:ind w:right="174"/>
        <w:rPr>
          <w:rFonts w:ascii="Arial" w:eastAsia="Arial" w:hAnsi="Arial" w:cs="Arial"/>
          <w:sz w:val="20"/>
          <w:szCs w:val="20"/>
        </w:rPr>
      </w:pPr>
      <w:r>
        <w:rPr>
          <w:rFonts w:ascii="Arial"/>
          <w:b/>
          <w:sz w:val="20"/>
        </w:rPr>
        <w:t>For collections of information whose results will be published, outline plans for tabulation and publication. Address any complex analytical techniques that will be used. Provide the time schedule for the entire project, including beginning and</w:t>
      </w:r>
      <w:r>
        <w:rPr>
          <w:rFonts w:ascii="Arial"/>
          <w:b/>
          <w:spacing w:val="-29"/>
          <w:sz w:val="20"/>
        </w:rPr>
        <w:t xml:space="preserve"> </w:t>
      </w:r>
      <w:r>
        <w:rPr>
          <w:rFonts w:ascii="Arial"/>
          <w:b/>
          <w:sz w:val="20"/>
        </w:rPr>
        <w:t>ending dates of the collection of information, completion of report, publication dates, and other</w:t>
      </w:r>
      <w:r>
        <w:rPr>
          <w:rFonts w:ascii="Arial"/>
          <w:b/>
          <w:spacing w:val="-8"/>
          <w:sz w:val="20"/>
        </w:rPr>
        <w:t xml:space="preserve"> </w:t>
      </w:r>
      <w:r>
        <w:rPr>
          <w:rFonts w:ascii="Arial"/>
          <w:b/>
          <w:sz w:val="20"/>
        </w:rPr>
        <w:t>actions.</w:t>
      </w:r>
    </w:p>
    <w:p w:rsidR="002C5359" w:rsidRDefault="002C5359">
      <w:pPr>
        <w:spacing w:before="3"/>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There are no plans to publish collections of information for statistical</w:t>
      </w:r>
      <w:r>
        <w:rPr>
          <w:rFonts w:ascii="Arial"/>
          <w:spacing w:val="-22"/>
          <w:sz w:val="20"/>
        </w:rPr>
        <w:t xml:space="preserve"> </w:t>
      </w:r>
      <w:r>
        <w:rPr>
          <w:rFonts w:ascii="Arial"/>
          <w:sz w:val="20"/>
        </w:rPr>
        <w:t>use.</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822"/>
        <w:rPr>
          <w:rFonts w:ascii="Arial" w:eastAsia="Arial" w:hAnsi="Arial" w:cs="Arial"/>
          <w:sz w:val="20"/>
          <w:szCs w:val="20"/>
        </w:rPr>
      </w:pPr>
      <w:r>
        <w:rPr>
          <w:rFonts w:ascii="Arial"/>
          <w:b/>
          <w:sz w:val="20"/>
        </w:rPr>
        <w:t>If seeking approval to not display the expiration date for OMB approval of the information collection, explain the reasons that display would be</w:t>
      </w:r>
      <w:r>
        <w:rPr>
          <w:rFonts w:ascii="Arial"/>
          <w:b/>
          <w:spacing w:val="-32"/>
          <w:sz w:val="20"/>
        </w:rPr>
        <w:t xml:space="preserve"> </w:t>
      </w:r>
      <w:r>
        <w:rPr>
          <w:rFonts w:ascii="Arial"/>
          <w:b/>
          <w:sz w:val="20"/>
        </w:rPr>
        <w:t>inappropriate.</w:t>
      </w:r>
    </w:p>
    <w:p w:rsidR="002C5359" w:rsidRDefault="002C5359">
      <w:pPr>
        <w:spacing w:before="3"/>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Not</w:t>
      </w:r>
      <w:r>
        <w:rPr>
          <w:rFonts w:ascii="Arial"/>
          <w:spacing w:val="-6"/>
          <w:sz w:val="20"/>
        </w:rPr>
        <w:t xml:space="preserve"> </w:t>
      </w:r>
      <w:r>
        <w:rPr>
          <w:rFonts w:ascii="Arial"/>
          <w:sz w:val="20"/>
        </w:rPr>
        <w:t>applicable.</w:t>
      </w:r>
    </w:p>
    <w:p w:rsidR="002C5359" w:rsidRDefault="002C5359">
      <w:pPr>
        <w:spacing w:before="8"/>
        <w:rPr>
          <w:rFonts w:ascii="Arial" w:eastAsia="Arial" w:hAnsi="Arial" w:cs="Arial"/>
          <w:sz w:val="19"/>
          <w:szCs w:val="19"/>
        </w:rPr>
      </w:pPr>
    </w:p>
    <w:p w:rsidR="002C5359" w:rsidRDefault="00540A59">
      <w:pPr>
        <w:pStyle w:val="ListParagraph"/>
        <w:numPr>
          <w:ilvl w:val="0"/>
          <w:numId w:val="2"/>
        </w:numPr>
        <w:tabs>
          <w:tab w:val="left" w:pos="461"/>
        </w:tabs>
        <w:ind w:right="1380"/>
        <w:rPr>
          <w:rFonts w:ascii="Arial" w:eastAsia="Arial" w:hAnsi="Arial" w:cs="Arial"/>
          <w:sz w:val="20"/>
          <w:szCs w:val="20"/>
        </w:rPr>
      </w:pPr>
      <w:r>
        <w:rPr>
          <w:rFonts w:ascii="Arial" w:eastAsia="Arial" w:hAnsi="Arial" w:cs="Arial"/>
          <w:b/>
          <w:bCs/>
          <w:sz w:val="20"/>
          <w:szCs w:val="20"/>
        </w:rPr>
        <w:t>Explain each exception to the certification statement identified in Item</w:t>
      </w:r>
      <w:r>
        <w:rPr>
          <w:rFonts w:ascii="Arial" w:eastAsia="Arial" w:hAnsi="Arial" w:cs="Arial"/>
          <w:b/>
          <w:bCs/>
          <w:spacing w:val="-20"/>
          <w:sz w:val="20"/>
          <w:szCs w:val="20"/>
        </w:rPr>
        <w:t xml:space="preserve"> </w:t>
      </w:r>
      <w:r>
        <w:rPr>
          <w:rFonts w:ascii="Arial" w:eastAsia="Arial" w:hAnsi="Arial" w:cs="Arial"/>
          <w:b/>
          <w:bCs/>
          <w:sz w:val="20"/>
          <w:szCs w:val="20"/>
        </w:rPr>
        <w:t>19, "Certification for Paperwork Reduction Act</w:t>
      </w:r>
      <w:r>
        <w:rPr>
          <w:rFonts w:ascii="Arial" w:eastAsia="Arial" w:hAnsi="Arial" w:cs="Arial"/>
          <w:b/>
          <w:bCs/>
          <w:spacing w:val="-16"/>
          <w:sz w:val="20"/>
          <w:szCs w:val="20"/>
        </w:rPr>
        <w:t xml:space="preserve"> </w:t>
      </w:r>
      <w:r>
        <w:rPr>
          <w:rFonts w:ascii="Arial" w:eastAsia="Arial" w:hAnsi="Arial" w:cs="Arial"/>
          <w:b/>
          <w:bCs/>
          <w:sz w:val="20"/>
          <w:szCs w:val="20"/>
        </w:rPr>
        <w:t>Submissions.”</w:t>
      </w:r>
    </w:p>
    <w:p w:rsidR="002C5359" w:rsidRDefault="002C5359">
      <w:pPr>
        <w:spacing w:before="3"/>
        <w:rPr>
          <w:rFonts w:ascii="Arial" w:eastAsia="Arial" w:hAnsi="Arial" w:cs="Arial"/>
          <w:b/>
          <w:bCs/>
          <w:sz w:val="20"/>
          <w:szCs w:val="20"/>
        </w:rPr>
      </w:pPr>
    </w:p>
    <w:p w:rsidR="002C5359" w:rsidRDefault="00540A59">
      <w:pPr>
        <w:ind w:left="460" w:right="191"/>
        <w:rPr>
          <w:rFonts w:ascii="Arial" w:eastAsia="Arial" w:hAnsi="Arial" w:cs="Arial"/>
          <w:sz w:val="20"/>
          <w:szCs w:val="20"/>
        </w:rPr>
      </w:pPr>
      <w:r>
        <w:rPr>
          <w:rFonts w:ascii="Arial"/>
          <w:sz w:val="20"/>
        </w:rPr>
        <w:t>Not</w:t>
      </w:r>
      <w:r>
        <w:rPr>
          <w:rFonts w:ascii="Arial"/>
          <w:spacing w:val="-6"/>
          <w:sz w:val="20"/>
        </w:rPr>
        <w:t xml:space="preserve"> </w:t>
      </w:r>
      <w:r>
        <w:rPr>
          <w:rFonts w:ascii="Arial"/>
          <w:sz w:val="20"/>
        </w:rPr>
        <w:t>applicable.</w:t>
      </w:r>
    </w:p>
    <w:sectPr w:rsidR="002C5359">
      <w:pgSz w:w="12240" w:h="15840"/>
      <w:pgMar w:top="13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49F"/>
    <w:multiLevelType w:val="hybridMultilevel"/>
    <w:tmpl w:val="58CC1440"/>
    <w:lvl w:ilvl="0" w:tplc="2C284BBA">
      <w:start w:val="1"/>
      <w:numFmt w:val="bullet"/>
      <w:lvlText w:val=""/>
      <w:lvlJc w:val="left"/>
      <w:pPr>
        <w:ind w:left="460" w:hanging="360"/>
      </w:pPr>
      <w:rPr>
        <w:rFonts w:ascii="Symbol" w:eastAsia="Symbol" w:hAnsi="Symbol" w:hint="default"/>
        <w:w w:val="99"/>
        <w:sz w:val="20"/>
        <w:szCs w:val="20"/>
      </w:rPr>
    </w:lvl>
    <w:lvl w:ilvl="1" w:tplc="AA146F68">
      <w:start w:val="1"/>
      <w:numFmt w:val="bullet"/>
      <w:lvlText w:val="•"/>
      <w:lvlJc w:val="left"/>
      <w:pPr>
        <w:ind w:left="1298" w:hanging="360"/>
      </w:pPr>
      <w:rPr>
        <w:rFonts w:hint="default"/>
      </w:rPr>
    </w:lvl>
    <w:lvl w:ilvl="2" w:tplc="71DC9752">
      <w:start w:val="1"/>
      <w:numFmt w:val="bullet"/>
      <w:lvlText w:val="•"/>
      <w:lvlJc w:val="left"/>
      <w:pPr>
        <w:ind w:left="2136" w:hanging="360"/>
      </w:pPr>
      <w:rPr>
        <w:rFonts w:hint="default"/>
      </w:rPr>
    </w:lvl>
    <w:lvl w:ilvl="3" w:tplc="BA087C92">
      <w:start w:val="1"/>
      <w:numFmt w:val="bullet"/>
      <w:lvlText w:val="•"/>
      <w:lvlJc w:val="left"/>
      <w:pPr>
        <w:ind w:left="2974" w:hanging="360"/>
      </w:pPr>
      <w:rPr>
        <w:rFonts w:hint="default"/>
      </w:rPr>
    </w:lvl>
    <w:lvl w:ilvl="4" w:tplc="5EC41A72">
      <w:start w:val="1"/>
      <w:numFmt w:val="bullet"/>
      <w:lvlText w:val="•"/>
      <w:lvlJc w:val="left"/>
      <w:pPr>
        <w:ind w:left="3812" w:hanging="360"/>
      </w:pPr>
      <w:rPr>
        <w:rFonts w:hint="default"/>
      </w:rPr>
    </w:lvl>
    <w:lvl w:ilvl="5" w:tplc="F164512E">
      <w:start w:val="1"/>
      <w:numFmt w:val="bullet"/>
      <w:lvlText w:val="•"/>
      <w:lvlJc w:val="left"/>
      <w:pPr>
        <w:ind w:left="4650" w:hanging="360"/>
      </w:pPr>
      <w:rPr>
        <w:rFonts w:hint="default"/>
      </w:rPr>
    </w:lvl>
    <w:lvl w:ilvl="6" w:tplc="AC442F74">
      <w:start w:val="1"/>
      <w:numFmt w:val="bullet"/>
      <w:lvlText w:val="•"/>
      <w:lvlJc w:val="left"/>
      <w:pPr>
        <w:ind w:left="5488" w:hanging="360"/>
      </w:pPr>
      <w:rPr>
        <w:rFonts w:hint="default"/>
      </w:rPr>
    </w:lvl>
    <w:lvl w:ilvl="7" w:tplc="EFDA23DE">
      <w:start w:val="1"/>
      <w:numFmt w:val="bullet"/>
      <w:lvlText w:val="•"/>
      <w:lvlJc w:val="left"/>
      <w:pPr>
        <w:ind w:left="6326" w:hanging="360"/>
      </w:pPr>
      <w:rPr>
        <w:rFonts w:hint="default"/>
      </w:rPr>
    </w:lvl>
    <w:lvl w:ilvl="8" w:tplc="648CA41A">
      <w:start w:val="1"/>
      <w:numFmt w:val="bullet"/>
      <w:lvlText w:val="•"/>
      <w:lvlJc w:val="left"/>
      <w:pPr>
        <w:ind w:left="7164" w:hanging="360"/>
      </w:pPr>
      <w:rPr>
        <w:rFonts w:hint="default"/>
      </w:rPr>
    </w:lvl>
  </w:abstractNum>
  <w:abstractNum w:abstractNumId="1">
    <w:nsid w:val="10F41C37"/>
    <w:multiLevelType w:val="hybridMultilevel"/>
    <w:tmpl w:val="45E85872"/>
    <w:lvl w:ilvl="0" w:tplc="A3CC6716">
      <w:start w:val="1"/>
      <w:numFmt w:val="decimal"/>
      <w:lvlText w:val="%1."/>
      <w:lvlJc w:val="left"/>
      <w:pPr>
        <w:ind w:left="460" w:hanging="360"/>
        <w:jc w:val="left"/>
      </w:pPr>
      <w:rPr>
        <w:rFonts w:ascii="Arial" w:eastAsia="Arial" w:hAnsi="Arial" w:hint="default"/>
        <w:b/>
        <w:bCs/>
        <w:spacing w:val="-1"/>
        <w:w w:val="99"/>
        <w:sz w:val="20"/>
        <w:szCs w:val="20"/>
      </w:rPr>
    </w:lvl>
    <w:lvl w:ilvl="1" w:tplc="55681130">
      <w:start w:val="1"/>
      <w:numFmt w:val="bullet"/>
      <w:lvlText w:val="•"/>
      <w:lvlJc w:val="left"/>
      <w:pPr>
        <w:ind w:left="1298" w:hanging="360"/>
      </w:pPr>
      <w:rPr>
        <w:rFonts w:hint="default"/>
      </w:rPr>
    </w:lvl>
    <w:lvl w:ilvl="2" w:tplc="D70A523A">
      <w:start w:val="1"/>
      <w:numFmt w:val="bullet"/>
      <w:lvlText w:val="•"/>
      <w:lvlJc w:val="left"/>
      <w:pPr>
        <w:ind w:left="2136" w:hanging="360"/>
      </w:pPr>
      <w:rPr>
        <w:rFonts w:hint="default"/>
      </w:rPr>
    </w:lvl>
    <w:lvl w:ilvl="3" w:tplc="ECD418D0">
      <w:start w:val="1"/>
      <w:numFmt w:val="bullet"/>
      <w:lvlText w:val="•"/>
      <w:lvlJc w:val="left"/>
      <w:pPr>
        <w:ind w:left="2974" w:hanging="360"/>
      </w:pPr>
      <w:rPr>
        <w:rFonts w:hint="default"/>
      </w:rPr>
    </w:lvl>
    <w:lvl w:ilvl="4" w:tplc="2A2666FA">
      <w:start w:val="1"/>
      <w:numFmt w:val="bullet"/>
      <w:lvlText w:val="•"/>
      <w:lvlJc w:val="left"/>
      <w:pPr>
        <w:ind w:left="3812" w:hanging="360"/>
      </w:pPr>
      <w:rPr>
        <w:rFonts w:hint="default"/>
      </w:rPr>
    </w:lvl>
    <w:lvl w:ilvl="5" w:tplc="2578DB20">
      <w:start w:val="1"/>
      <w:numFmt w:val="bullet"/>
      <w:lvlText w:val="•"/>
      <w:lvlJc w:val="left"/>
      <w:pPr>
        <w:ind w:left="4650" w:hanging="360"/>
      </w:pPr>
      <w:rPr>
        <w:rFonts w:hint="default"/>
      </w:rPr>
    </w:lvl>
    <w:lvl w:ilvl="6" w:tplc="DB1433B0">
      <w:start w:val="1"/>
      <w:numFmt w:val="bullet"/>
      <w:lvlText w:val="•"/>
      <w:lvlJc w:val="left"/>
      <w:pPr>
        <w:ind w:left="5488" w:hanging="360"/>
      </w:pPr>
      <w:rPr>
        <w:rFonts w:hint="default"/>
      </w:rPr>
    </w:lvl>
    <w:lvl w:ilvl="7" w:tplc="34F02D8A">
      <w:start w:val="1"/>
      <w:numFmt w:val="bullet"/>
      <w:lvlText w:val="•"/>
      <w:lvlJc w:val="left"/>
      <w:pPr>
        <w:ind w:left="6326" w:hanging="360"/>
      </w:pPr>
      <w:rPr>
        <w:rFonts w:hint="default"/>
      </w:rPr>
    </w:lvl>
    <w:lvl w:ilvl="8" w:tplc="6FAE0804">
      <w:start w:val="1"/>
      <w:numFmt w:val="bullet"/>
      <w:lvlText w:val="•"/>
      <w:lvlJc w:val="left"/>
      <w:pPr>
        <w:ind w:left="716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C5359"/>
    <w:rsid w:val="002C5359"/>
    <w:rsid w:val="00540A59"/>
    <w:rsid w:val="00957AA4"/>
    <w:rsid w:val="00BB0DC5"/>
    <w:rsid w:val="00C5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National Endowment for the Arts Supporting Statement</vt:lpstr>
    </vt:vector>
  </TitlesOfParts>
  <Company>Microsoft</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Endowment for the Arts Supporting Statement</dc:title>
  <dc:creator>neaprofile</dc:creator>
  <cp:lastModifiedBy>SYSTEM</cp:lastModifiedBy>
  <cp:revision>2</cp:revision>
  <dcterms:created xsi:type="dcterms:W3CDTF">2018-01-31T22:32:00Z</dcterms:created>
  <dcterms:modified xsi:type="dcterms:W3CDTF">2018-01-31T22:32:00Z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2013</vt:lpwstr>
  </property>
  <property fmtid="{D5CDD505-2E9C-101B-9397-08002B2CF9AE}" pid="4" name="LastSaved">
    <vt:filetime>2018-01-31T00:00:00Z</vt:filetime>
  </property>
</Properties>
</file>