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35AB4B" w14:textId="21F1A4C4" w:rsidR="00C37C82" w:rsidRPr="00E86B59" w:rsidRDefault="001B0A70" w:rsidP="007029C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8D6812">
        <w:rPr>
          <w:rFonts w:ascii="Arial" w:hAnsi="Arial"/>
          <w:sz w:val="22"/>
          <w:szCs w:val="22"/>
        </w:rPr>
        <w:fldChar w:fldCharType="begin"/>
      </w:r>
      <w:r w:rsidR="00C37C82" w:rsidRPr="008D6812">
        <w:rPr>
          <w:rFonts w:ascii="Arial" w:hAnsi="Arial"/>
          <w:sz w:val="22"/>
          <w:szCs w:val="22"/>
        </w:rPr>
        <w:instrText xml:space="preserve"> SEQ CHAPTER \h \r 1</w:instrText>
      </w:r>
      <w:r w:rsidRPr="008D6812">
        <w:rPr>
          <w:rFonts w:ascii="Arial" w:hAnsi="Arial"/>
          <w:sz w:val="22"/>
          <w:szCs w:val="22"/>
        </w:rPr>
        <w:fldChar w:fldCharType="end"/>
      </w:r>
      <w:r w:rsidR="007029CA" w:rsidRPr="007029CA">
        <w:t xml:space="preserve"> </w:t>
      </w:r>
      <w:r w:rsidR="00850F96">
        <w:rPr>
          <w:rFonts w:ascii="Arial" w:hAnsi="Arial" w:cs="Arial"/>
          <w:sz w:val="22"/>
          <w:szCs w:val="22"/>
        </w:rPr>
        <w:t>FINAL</w:t>
      </w:r>
      <w:r w:rsidR="007029CA" w:rsidRPr="00E86B59">
        <w:rPr>
          <w:rFonts w:ascii="Arial" w:hAnsi="Arial" w:cs="Arial"/>
          <w:sz w:val="22"/>
          <w:szCs w:val="22"/>
        </w:rPr>
        <w:t xml:space="preserve"> OMB SUPPORTING STATEMENT FOR </w:t>
      </w:r>
      <w:r w:rsidR="00C37C82" w:rsidRPr="00E86B59">
        <w:rPr>
          <w:rFonts w:ascii="Arial" w:hAnsi="Arial" w:cs="Arial"/>
          <w:sz w:val="22"/>
          <w:szCs w:val="22"/>
        </w:rPr>
        <w:t>10 CFR PART 50</w:t>
      </w:r>
    </w:p>
    <w:p w14:paraId="39F912DF"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2355B873"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E86B59">
        <w:rPr>
          <w:rFonts w:ascii="Arial" w:hAnsi="Arial" w:cs="Arial"/>
          <w:sz w:val="22"/>
          <w:szCs w:val="22"/>
        </w:rPr>
        <w:t>“DOMESTIC LICENSING OF PRODUCTION</w:t>
      </w:r>
    </w:p>
    <w:p w14:paraId="2A91D98A"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E86B59">
        <w:rPr>
          <w:rFonts w:ascii="Arial" w:hAnsi="Arial" w:cs="Arial"/>
          <w:sz w:val="22"/>
          <w:szCs w:val="22"/>
        </w:rPr>
        <w:t>AND UTILIZATION FACILITIES”</w:t>
      </w:r>
    </w:p>
    <w:p w14:paraId="38533ABB"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6C00E93A"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E86B59">
        <w:rPr>
          <w:rFonts w:ascii="Arial" w:hAnsi="Arial" w:cs="Arial"/>
          <w:sz w:val="22"/>
          <w:szCs w:val="22"/>
        </w:rPr>
        <w:t>(OMB CLEARANCE NO. 3150-0011)</w:t>
      </w:r>
    </w:p>
    <w:p w14:paraId="7A005957"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7A7067CC" w14:textId="420D841F" w:rsidR="00C37C82" w:rsidRPr="00E86B59" w:rsidRDefault="007029C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E86B59">
        <w:rPr>
          <w:rFonts w:ascii="Arial" w:hAnsi="Arial" w:cs="Arial"/>
          <w:sz w:val="22"/>
          <w:szCs w:val="22"/>
        </w:rPr>
        <w:t>EXTENSION</w:t>
      </w:r>
    </w:p>
    <w:p w14:paraId="454AED6D"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66835339"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1CAFBC" w14:textId="77777777" w:rsidR="00C37C82" w:rsidRPr="00E86B59" w:rsidRDefault="000B142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u w:val="single"/>
        </w:rPr>
        <w:t>ABSTRACT</w:t>
      </w:r>
    </w:p>
    <w:p w14:paraId="028EAD12"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9242FD"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E86B59">
        <w:rPr>
          <w:rFonts w:ascii="Arial" w:hAnsi="Arial" w:cs="Arial"/>
          <w:sz w:val="22"/>
          <w:szCs w:val="22"/>
        </w:rPr>
        <w:t>The regulations in 10 CFR Part 50, “Domestic Licensing of Production and Utilization Facilities,” are promulgated by the U.S. Nuclear Regulatory Commission (NRC) pursuant to the Atomic Energy Act of 1954, as amended (the Act), to provide for the licensing and regulation of production and utilization facilities.  They contain reporting, recordkeeping</w:t>
      </w:r>
      <w:r w:rsidR="0032622D" w:rsidRPr="00E86B59">
        <w:rPr>
          <w:rFonts w:ascii="Arial" w:hAnsi="Arial" w:cs="Arial"/>
          <w:sz w:val="22"/>
          <w:szCs w:val="22"/>
        </w:rPr>
        <w:t>, third-party notification,</w:t>
      </w:r>
      <w:r w:rsidRPr="00E86B59">
        <w:rPr>
          <w:rFonts w:ascii="Arial" w:hAnsi="Arial" w:cs="Arial"/>
          <w:sz w:val="22"/>
          <w:szCs w:val="22"/>
        </w:rPr>
        <w:t xml:space="preserve"> and application requirements that are </w:t>
      </w:r>
      <w:r w:rsidR="0032622D" w:rsidRPr="00E86B59">
        <w:rPr>
          <w:rFonts w:ascii="Arial" w:hAnsi="Arial" w:cs="Arial"/>
          <w:sz w:val="22"/>
          <w:szCs w:val="22"/>
        </w:rPr>
        <w:t xml:space="preserve">key components in </w:t>
      </w:r>
      <w:r w:rsidRPr="00E86B59">
        <w:rPr>
          <w:rFonts w:ascii="Arial" w:hAnsi="Arial" w:cs="Arial"/>
          <w:sz w:val="22"/>
          <w:szCs w:val="22"/>
        </w:rPr>
        <w:t>the NRC’s licensing and regulatory processes.  Guidance on acceptable means of complying with 10 CFR 50 is provided through</w:t>
      </w:r>
      <w:r w:rsidR="00CF48C5" w:rsidRPr="00E86B59">
        <w:rPr>
          <w:rFonts w:ascii="Arial" w:hAnsi="Arial" w:cs="Arial"/>
          <w:sz w:val="22"/>
          <w:szCs w:val="22"/>
        </w:rPr>
        <w:t xml:space="preserve"> a number of NRC </w:t>
      </w:r>
      <w:r w:rsidRPr="00E86B59">
        <w:rPr>
          <w:rFonts w:ascii="Arial" w:hAnsi="Arial" w:cs="Arial"/>
          <w:sz w:val="22"/>
          <w:szCs w:val="22"/>
        </w:rPr>
        <w:t xml:space="preserve">publications </w:t>
      </w:r>
      <w:r w:rsidR="00CF48C5" w:rsidRPr="00E86B59">
        <w:rPr>
          <w:rFonts w:ascii="Arial" w:hAnsi="Arial" w:cs="Arial"/>
          <w:sz w:val="22"/>
          <w:szCs w:val="22"/>
        </w:rPr>
        <w:t xml:space="preserve">including </w:t>
      </w:r>
      <w:r w:rsidRPr="00E86B59">
        <w:rPr>
          <w:rFonts w:ascii="Arial" w:hAnsi="Arial" w:cs="Arial"/>
          <w:sz w:val="22"/>
          <w:szCs w:val="22"/>
        </w:rPr>
        <w:t>Regulatory Guides</w:t>
      </w:r>
      <w:r w:rsidR="00CF48C5" w:rsidRPr="00E86B59">
        <w:rPr>
          <w:rFonts w:ascii="Arial" w:hAnsi="Arial" w:cs="Arial"/>
          <w:sz w:val="22"/>
          <w:szCs w:val="22"/>
        </w:rPr>
        <w:t>, the NUREG-series, Inspection Manual Chapters, and Interim Staff Guidance documents.</w:t>
      </w:r>
      <w:r w:rsidRPr="00E86B59">
        <w:rPr>
          <w:rFonts w:ascii="Arial" w:hAnsi="Arial" w:cs="Arial"/>
          <w:i/>
          <w:sz w:val="22"/>
          <w:szCs w:val="22"/>
        </w:rPr>
        <w:t xml:space="preserve">  </w:t>
      </w:r>
    </w:p>
    <w:p w14:paraId="2420A746" w14:textId="77777777" w:rsidR="00CF48C5" w:rsidRPr="00E86B59" w:rsidRDefault="00CF48C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BDFE3A" w14:textId="77777777" w:rsidR="00C37C82" w:rsidRPr="00E86B59" w:rsidRDefault="0032622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 xml:space="preserve">The information collection requirements in </w:t>
      </w:r>
      <w:r w:rsidR="00C37C82" w:rsidRPr="00E86B59">
        <w:rPr>
          <w:rFonts w:ascii="Arial" w:hAnsi="Arial" w:cs="Arial"/>
          <w:sz w:val="22"/>
          <w:szCs w:val="22"/>
        </w:rPr>
        <w:t xml:space="preserve">10 CFR </w:t>
      </w:r>
      <w:r w:rsidR="00D4572A" w:rsidRPr="00E86B59">
        <w:rPr>
          <w:rFonts w:ascii="Arial" w:hAnsi="Arial" w:cs="Arial"/>
          <w:sz w:val="22"/>
          <w:szCs w:val="22"/>
        </w:rPr>
        <w:t xml:space="preserve">Part </w:t>
      </w:r>
      <w:r w:rsidR="00C37C82" w:rsidRPr="00E86B59">
        <w:rPr>
          <w:rFonts w:ascii="Arial" w:hAnsi="Arial" w:cs="Arial"/>
          <w:sz w:val="22"/>
          <w:szCs w:val="22"/>
        </w:rPr>
        <w:t xml:space="preserve">50 </w:t>
      </w:r>
      <w:r w:rsidR="00D4572A" w:rsidRPr="00E86B59">
        <w:rPr>
          <w:rFonts w:ascii="Arial" w:hAnsi="Arial" w:cs="Arial"/>
          <w:sz w:val="22"/>
          <w:szCs w:val="22"/>
        </w:rPr>
        <w:t>apply to several</w:t>
      </w:r>
      <w:r w:rsidR="00C37C82" w:rsidRPr="00E86B59">
        <w:rPr>
          <w:rFonts w:ascii="Arial" w:hAnsi="Arial" w:cs="Arial"/>
          <w:sz w:val="22"/>
          <w:szCs w:val="22"/>
        </w:rPr>
        <w:t xml:space="preserve"> types of facilities</w:t>
      </w:r>
      <w:r w:rsidR="00D4572A" w:rsidRPr="00E86B59">
        <w:rPr>
          <w:rFonts w:ascii="Arial" w:hAnsi="Arial" w:cs="Arial"/>
          <w:sz w:val="22"/>
          <w:szCs w:val="22"/>
        </w:rPr>
        <w:t xml:space="preserve"> discussed in the rule</w:t>
      </w:r>
      <w:r w:rsidR="00C37C82" w:rsidRPr="00E86B59">
        <w:rPr>
          <w:rFonts w:ascii="Arial" w:hAnsi="Arial" w:cs="Arial"/>
          <w:sz w:val="22"/>
          <w:szCs w:val="22"/>
        </w:rPr>
        <w:t xml:space="preserve">, including nuclear power plants and non-power </w:t>
      </w:r>
      <w:r w:rsidRPr="00E86B59">
        <w:rPr>
          <w:rFonts w:ascii="Arial" w:hAnsi="Arial" w:cs="Arial"/>
          <w:sz w:val="22"/>
          <w:szCs w:val="22"/>
        </w:rPr>
        <w:t xml:space="preserve">utilization facilities </w:t>
      </w:r>
      <w:r w:rsidR="00D4572A" w:rsidRPr="00E86B59">
        <w:rPr>
          <w:rFonts w:ascii="Arial" w:hAnsi="Arial" w:cs="Arial"/>
          <w:sz w:val="22"/>
          <w:szCs w:val="22"/>
        </w:rPr>
        <w:t>(research and test reactors).  10 CFR Part 50 covers the lifecycle of facilities from initial</w:t>
      </w:r>
      <w:r w:rsidR="00C37C82" w:rsidRPr="00E86B59">
        <w:rPr>
          <w:rFonts w:ascii="Arial" w:hAnsi="Arial" w:cs="Arial"/>
          <w:sz w:val="22"/>
          <w:szCs w:val="22"/>
        </w:rPr>
        <w:t xml:space="preserve"> licensing </w:t>
      </w:r>
      <w:r w:rsidR="00D4572A" w:rsidRPr="00E86B59">
        <w:rPr>
          <w:rFonts w:ascii="Arial" w:hAnsi="Arial" w:cs="Arial"/>
          <w:sz w:val="22"/>
          <w:szCs w:val="22"/>
        </w:rPr>
        <w:t xml:space="preserve">to </w:t>
      </w:r>
      <w:r w:rsidR="00FF32F0" w:rsidRPr="00E86B59">
        <w:rPr>
          <w:rFonts w:ascii="Arial" w:hAnsi="Arial" w:cs="Arial"/>
          <w:sz w:val="22"/>
          <w:szCs w:val="22"/>
        </w:rPr>
        <w:t>decommissioning</w:t>
      </w:r>
      <w:r w:rsidR="00C37C82" w:rsidRPr="00E86B59">
        <w:rPr>
          <w:rFonts w:ascii="Arial" w:hAnsi="Arial" w:cs="Arial"/>
          <w:sz w:val="22"/>
          <w:szCs w:val="22"/>
        </w:rPr>
        <w:t xml:space="preserve">.  </w:t>
      </w:r>
      <w:r w:rsidR="00D4572A" w:rsidRPr="00E86B59">
        <w:rPr>
          <w:rFonts w:ascii="Arial" w:hAnsi="Arial" w:cs="Arial"/>
          <w:sz w:val="22"/>
          <w:szCs w:val="22"/>
        </w:rPr>
        <w:t>The</w:t>
      </w:r>
      <w:r w:rsidR="00C37C82" w:rsidRPr="00E86B59">
        <w:rPr>
          <w:rFonts w:ascii="Arial" w:hAnsi="Arial" w:cs="Arial"/>
          <w:sz w:val="22"/>
          <w:szCs w:val="22"/>
        </w:rPr>
        <w:t xml:space="preserve"> number of respondents </w:t>
      </w:r>
      <w:r w:rsidR="00D4572A" w:rsidRPr="00E86B59">
        <w:rPr>
          <w:rFonts w:ascii="Arial" w:hAnsi="Arial" w:cs="Arial"/>
          <w:sz w:val="22"/>
          <w:szCs w:val="22"/>
        </w:rPr>
        <w:t xml:space="preserve">to the information collections in the rule varies due to a number of factors including </w:t>
      </w:r>
      <w:r w:rsidR="00C37C82" w:rsidRPr="00E86B59">
        <w:rPr>
          <w:rFonts w:ascii="Arial" w:hAnsi="Arial" w:cs="Arial"/>
          <w:sz w:val="22"/>
          <w:szCs w:val="22"/>
        </w:rPr>
        <w:t>the number of licensing requests initiated and/or completed and the number of regulatory reports required by operating events and/or conditions.</w:t>
      </w:r>
      <w:r w:rsidR="00FF32F0" w:rsidRPr="00E86B59">
        <w:rPr>
          <w:rFonts w:ascii="Arial" w:hAnsi="Arial" w:cs="Arial"/>
          <w:sz w:val="22"/>
          <w:szCs w:val="22"/>
        </w:rPr>
        <w:t xml:space="preserve">  The NRC estimates the average number of potential respondents during this clearance period will be: </w:t>
      </w:r>
    </w:p>
    <w:p w14:paraId="7ACEA9B8" w14:textId="77777777" w:rsidR="00FF32F0" w:rsidRPr="00E86B59" w:rsidRDefault="00FF32F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51EFF4" w14:textId="77777777" w:rsidR="00FF32F0" w:rsidRPr="00E86B59" w:rsidRDefault="00FF32F0" w:rsidP="00FF32F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sz w:val="22"/>
          <w:szCs w:val="22"/>
        </w:rPr>
      </w:pPr>
      <w:r w:rsidRPr="00E86B59">
        <w:rPr>
          <w:rFonts w:ascii="Arial" w:hAnsi="Arial" w:cs="Arial"/>
          <w:sz w:val="22"/>
          <w:szCs w:val="22"/>
        </w:rPr>
        <w:t xml:space="preserve">94 - Operating Power Reactors </w:t>
      </w:r>
    </w:p>
    <w:p w14:paraId="136F4414" w14:textId="77777777" w:rsidR="00FF32F0" w:rsidRPr="00E86B59" w:rsidRDefault="00FF32F0" w:rsidP="00FF32F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ab/>
        <w:t xml:space="preserve">23 - Power Reactor Licensees </w:t>
      </w:r>
    </w:p>
    <w:p w14:paraId="2E935DFA" w14:textId="77777777" w:rsidR="00FF32F0" w:rsidRPr="00E86B59" w:rsidRDefault="00FF32F0" w:rsidP="00FF32F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sz w:val="22"/>
          <w:szCs w:val="22"/>
        </w:rPr>
      </w:pPr>
      <w:r w:rsidRPr="00E86B59">
        <w:rPr>
          <w:rFonts w:ascii="Arial" w:hAnsi="Arial" w:cs="Arial"/>
          <w:sz w:val="22"/>
          <w:szCs w:val="22"/>
        </w:rPr>
        <w:t>65 - Power Reactor Sites</w:t>
      </w:r>
    </w:p>
    <w:p w14:paraId="668907D3" w14:textId="77777777" w:rsidR="00FF32F0" w:rsidRPr="00E86B59" w:rsidRDefault="00FF32F0" w:rsidP="00FF32F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ab/>
        <w:t>24 - Power Reactors Being Decommissioned</w:t>
      </w:r>
    </w:p>
    <w:p w14:paraId="31FE18D9" w14:textId="77777777" w:rsidR="00FF32F0" w:rsidRDefault="00FF32F0" w:rsidP="00FF32F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sz w:val="22"/>
          <w:szCs w:val="22"/>
        </w:rPr>
      </w:pPr>
      <w:r w:rsidRPr="00E86B59">
        <w:rPr>
          <w:rFonts w:ascii="Arial" w:hAnsi="Arial" w:cs="Arial"/>
          <w:sz w:val="22"/>
          <w:szCs w:val="22"/>
        </w:rPr>
        <w:t>31 - Licensed Non-Power Research &amp; Test Reactors</w:t>
      </w:r>
    </w:p>
    <w:p w14:paraId="7C0C0596"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3F33A4"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Reporting requirements are directed toward licensees or applicants.  However, reporting requirements may not be reactor specific, but they may be of a type that applies to a site which is occupied by one or more reactors that have different licenses.  Other requirements may be utility specific and, thus, refer to several reactors at more than one site.  These considerations may cause apparent conflicts in the use of the terms:  licensees, reactor sites, facilities, or plants in our individual estimates of burden.</w:t>
      </w:r>
      <w:r w:rsidR="00D4572A" w:rsidRPr="00E86B59">
        <w:rPr>
          <w:rFonts w:ascii="Arial" w:hAnsi="Arial" w:cs="Arial"/>
          <w:sz w:val="22"/>
          <w:szCs w:val="22"/>
        </w:rPr>
        <w:t xml:space="preserve">  To avoid confusion, the term </w:t>
      </w:r>
      <w:r w:rsidR="00FF32F0" w:rsidRPr="00E86B59">
        <w:rPr>
          <w:rFonts w:ascii="Arial" w:hAnsi="Arial" w:cs="Arial"/>
          <w:sz w:val="22"/>
          <w:szCs w:val="22"/>
        </w:rPr>
        <w:t>“</w:t>
      </w:r>
      <w:r w:rsidR="00D4572A" w:rsidRPr="00E86B59">
        <w:rPr>
          <w:rFonts w:ascii="Arial" w:hAnsi="Arial" w:cs="Arial"/>
          <w:sz w:val="22"/>
          <w:szCs w:val="22"/>
        </w:rPr>
        <w:t>respondents</w:t>
      </w:r>
      <w:r w:rsidR="00FF32F0" w:rsidRPr="00E86B59">
        <w:rPr>
          <w:rFonts w:ascii="Arial" w:hAnsi="Arial" w:cs="Arial"/>
          <w:sz w:val="22"/>
          <w:szCs w:val="22"/>
        </w:rPr>
        <w:t>”</w:t>
      </w:r>
      <w:r w:rsidR="00D4572A" w:rsidRPr="00E86B59">
        <w:rPr>
          <w:rFonts w:ascii="Arial" w:hAnsi="Arial" w:cs="Arial"/>
          <w:sz w:val="22"/>
          <w:szCs w:val="22"/>
        </w:rPr>
        <w:t xml:space="preserve"> will be used throughout this supporting statement to </w:t>
      </w:r>
      <w:r w:rsidR="006365B8" w:rsidRPr="00E86B59">
        <w:rPr>
          <w:rFonts w:ascii="Arial" w:hAnsi="Arial" w:cs="Arial"/>
          <w:sz w:val="22"/>
          <w:szCs w:val="22"/>
        </w:rPr>
        <w:t>report burden.</w:t>
      </w:r>
    </w:p>
    <w:p w14:paraId="37AD0700"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F25E8D"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It is important to note that 10 CFR 50 is related to 10 CFR 52, “Early Site Permits</w:t>
      </w:r>
      <w:r w:rsidR="00077635" w:rsidRPr="00E86B59">
        <w:rPr>
          <w:rFonts w:ascii="Arial" w:hAnsi="Arial" w:cs="Arial"/>
          <w:sz w:val="22"/>
          <w:szCs w:val="22"/>
        </w:rPr>
        <w:t xml:space="preserve"> (ESPs)</w:t>
      </w:r>
      <w:r w:rsidRPr="00E86B59">
        <w:rPr>
          <w:rFonts w:ascii="Arial" w:hAnsi="Arial" w:cs="Arial"/>
          <w:sz w:val="22"/>
          <w:szCs w:val="22"/>
        </w:rPr>
        <w:t>; Standard Design Certifications</w:t>
      </w:r>
      <w:r w:rsidR="00077635" w:rsidRPr="00E86B59">
        <w:rPr>
          <w:rFonts w:ascii="Arial" w:hAnsi="Arial" w:cs="Arial"/>
          <w:sz w:val="22"/>
          <w:szCs w:val="22"/>
        </w:rPr>
        <w:t xml:space="preserve"> (SDCs)</w:t>
      </w:r>
      <w:r w:rsidRPr="00E86B59">
        <w:rPr>
          <w:rFonts w:ascii="Arial" w:hAnsi="Arial" w:cs="Arial"/>
          <w:sz w:val="22"/>
          <w:szCs w:val="22"/>
        </w:rPr>
        <w:t>; and Combined Operating Licenses (COLs) for Nuclear Power Plants” (3150 - 0151).  10 CFR 52 provides a means for an applicant for a nuclear power facility to obtain a combined construction permit and operating license, independent of the two-</w:t>
      </w:r>
      <w:r w:rsidRPr="00E86B59">
        <w:rPr>
          <w:rFonts w:ascii="Arial" w:hAnsi="Arial" w:cs="Arial"/>
          <w:sz w:val="22"/>
          <w:szCs w:val="22"/>
        </w:rPr>
        <w:lastRenderedPageBreak/>
        <w:t xml:space="preserve">step process contained in 10 CFR 50.  Up to </w:t>
      </w:r>
      <w:r w:rsidR="00077635" w:rsidRPr="00E86B59">
        <w:rPr>
          <w:rFonts w:ascii="Arial" w:hAnsi="Arial" w:cs="Arial"/>
          <w:sz w:val="22"/>
          <w:szCs w:val="22"/>
        </w:rPr>
        <w:t>1</w:t>
      </w:r>
      <w:r w:rsidRPr="00E86B59">
        <w:rPr>
          <w:rFonts w:ascii="Arial" w:hAnsi="Arial" w:cs="Arial"/>
          <w:sz w:val="22"/>
          <w:szCs w:val="22"/>
        </w:rPr>
        <w:t xml:space="preserve"> application</w:t>
      </w:r>
      <w:r w:rsidR="00077635" w:rsidRPr="00E86B59">
        <w:rPr>
          <w:rFonts w:ascii="Arial" w:hAnsi="Arial" w:cs="Arial"/>
          <w:sz w:val="22"/>
          <w:szCs w:val="22"/>
        </w:rPr>
        <w:t xml:space="preserve"> each</w:t>
      </w:r>
      <w:r w:rsidRPr="00E86B59">
        <w:rPr>
          <w:rFonts w:ascii="Arial" w:hAnsi="Arial" w:cs="Arial"/>
          <w:sz w:val="22"/>
          <w:szCs w:val="22"/>
        </w:rPr>
        <w:t xml:space="preserve"> for these </w:t>
      </w:r>
      <w:r w:rsidR="00077635" w:rsidRPr="00E86B59">
        <w:rPr>
          <w:rFonts w:ascii="Arial" w:hAnsi="Arial" w:cs="Arial"/>
          <w:sz w:val="22"/>
          <w:szCs w:val="22"/>
        </w:rPr>
        <w:t xml:space="preserve">ESPs and SDCs </w:t>
      </w:r>
      <w:r w:rsidRPr="00E86B59">
        <w:rPr>
          <w:rFonts w:ascii="Arial" w:hAnsi="Arial" w:cs="Arial"/>
          <w:sz w:val="22"/>
          <w:szCs w:val="22"/>
        </w:rPr>
        <w:t>are projected during the clearance period.  In order to not duplicate regulations, 10 CFR 52 references the applicable provisions of 10 CFR 50.  The burden associated with 10 CF</w:t>
      </w:r>
      <w:r w:rsidR="00517C76" w:rsidRPr="00E86B59">
        <w:rPr>
          <w:rFonts w:ascii="Arial" w:hAnsi="Arial" w:cs="Arial"/>
          <w:sz w:val="22"/>
          <w:szCs w:val="22"/>
        </w:rPr>
        <w:t>R 50 provisions contained in 10 </w:t>
      </w:r>
      <w:r w:rsidRPr="00E86B59">
        <w:rPr>
          <w:rFonts w:ascii="Arial" w:hAnsi="Arial" w:cs="Arial"/>
          <w:sz w:val="22"/>
          <w:szCs w:val="22"/>
        </w:rPr>
        <w:t>CFR 52 is included in this submittal</w:t>
      </w:r>
      <w:r w:rsidR="00CA66E3" w:rsidRPr="00E86B59">
        <w:rPr>
          <w:rFonts w:ascii="Arial" w:hAnsi="Arial" w:cs="Arial"/>
          <w:sz w:val="22"/>
          <w:szCs w:val="22"/>
        </w:rPr>
        <w:t xml:space="preserve"> and is excluded from the 10 CFR 52 submittal.</w:t>
      </w:r>
    </w:p>
    <w:p w14:paraId="0421E8A5"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23E6B5DE" w14:textId="77777777"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E86B59">
        <w:rPr>
          <w:rFonts w:ascii="Arial" w:hAnsi="Arial" w:cs="Arial"/>
          <w:sz w:val="22"/>
          <w:szCs w:val="22"/>
          <w:u w:val="single"/>
        </w:rPr>
        <w:t>Recordkeeping Requirements</w:t>
      </w:r>
    </w:p>
    <w:p w14:paraId="5082DC5A" w14:textId="77777777" w:rsidR="00CB509C" w:rsidRPr="00E86B59" w:rsidRDefault="00CB509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4DBDAC4"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 xml:space="preserve">The recordkeeping requirements mandated by 10 CFR Part 50 are of two broad types.  The first type is the simple filing of copies of reports, letters, and other written documentation that already exist because of a reporting requirement found elsewhere in the regulations or in the license and technical specifications.  The second type of recordkeeping is the generation, updating and filing of records </w:t>
      </w:r>
      <w:r w:rsidR="00FF32F0" w:rsidRPr="00E86B59">
        <w:rPr>
          <w:rFonts w:ascii="Arial" w:hAnsi="Arial" w:cs="Arial"/>
          <w:sz w:val="22"/>
          <w:szCs w:val="22"/>
        </w:rPr>
        <w:t>for information</w:t>
      </w:r>
      <w:r w:rsidRPr="00E86B59">
        <w:rPr>
          <w:rFonts w:ascii="Arial" w:hAnsi="Arial" w:cs="Arial"/>
          <w:sz w:val="22"/>
          <w:szCs w:val="22"/>
        </w:rPr>
        <w:t xml:space="preserve"> </w:t>
      </w:r>
      <w:r w:rsidR="000B1429" w:rsidRPr="00E86B59">
        <w:rPr>
          <w:rFonts w:ascii="Arial" w:hAnsi="Arial" w:cs="Arial"/>
          <w:sz w:val="22"/>
          <w:szCs w:val="22"/>
        </w:rPr>
        <w:t xml:space="preserve">is needed </w:t>
      </w:r>
      <w:r w:rsidR="00FF32F0" w:rsidRPr="00E86B59">
        <w:rPr>
          <w:rFonts w:ascii="Arial" w:hAnsi="Arial" w:cs="Arial"/>
          <w:sz w:val="22"/>
          <w:szCs w:val="22"/>
        </w:rPr>
        <w:t>to demonstrate compliance with the regulations</w:t>
      </w:r>
      <w:r w:rsidR="000B1429" w:rsidRPr="00E86B59">
        <w:rPr>
          <w:rFonts w:ascii="Arial" w:hAnsi="Arial" w:cs="Arial"/>
          <w:sz w:val="22"/>
          <w:szCs w:val="22"/>
        </w:rPr>
        <w:t xml:space="preserve"> or for event assessment.</w:t>
      </w:r>
      <w:r w:rsidRPr="00E86B59">
        <w:rPr>
          <w:rFonts w:ascii="Arial" w:hAnsi="Arial" w:cs="Arial"/>
          <w:sz w:val="22"/>
          <w:szCs w:val="22"/>
        </w:rPr>
        <w:t xml:space="preserve"> </w:t>
      </w:r>
    </w:p>
    <w:p w14:paraId="6164783A" w14:textId="77777777" w:rsidR="000B1429" w:rsidRPr="00E86B59" w:rsidRDefault="000B142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653FE8"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The large volume of records which are kept for 10 CFR Part 50 is required primarily by the technical specifications, the quality assurance program, reports of changes specified in 10</w:t>
      </w:r>
      <w:r w:rsidR="00517C76" w:rsidRPr="00E86B59">
        <w:rPr>
          <w:rFonts w:ascii="Arial" w:hAnsi="Arial" w:cs="Arial"/>
          <w:sz w:val="22"/>
          <w:szCs w:val="22"/>
        </w:rPr>
        <w:t> CFR </w:t>
      </w:r>
      <w:r w:rsidRPr="00E86B59">
        <w:rPr>
          <w:rFonts w:ascii="Arial" w:hAnsi="Arial" w:cs="Arial"/>
          <w:sz w:val="22"/>
          <w:szCs w:val="22"/>
        </w:rPr>
        <w:t xml:space="preserve">50.59(b), environmental qualification of equipment, decommissioning, monitoring the effectiveness of maintenance at nuclear power plants, training and qualification of plant personnel, for highly enriched uranium, and for primary reactor containment leakage testing. </w:t>
      </w:r>
    </w:p>
    <w:p w14:paraId="3D44B803" w14:textId="77777777" w:rsidR="00205E9F" w:rsidRPr="00E86B59" w:rsidRDefault="00205E9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18B721B9" w14:textId="4BCAC718"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E86B59">
        <w:rPr>
          <w:rFonts w:ascii="Arial" w:hAnsi="Arial" w:cs="Arial"/>
          <w:sz w:val="22"/>
          <w:szCs w:val="22"/>
          <w:u w:val="single"/>
        </w:rPr>
        <w:t>Additional Requirements</w:t>
      </w:r>
    </w:p>
    <w:p w14:paraId="5BE3D7B3" w14:textId="77777777" w:rsidR="00CB509C" w:rsidRPr="00E86B59" w:rsidRDefault="00CB509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958781"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6B59">
        <w:rPr>
          <w:rFonts w:ascii="Arial" w:hAnsi="Arial" w:cs="Arial"/>
          <w:sz w:val="22"/>
          <w:szCs w:val="22"/>
        </w:rPr>
        <w:t xml:space="preserve">This submittal incorporates all finalized information collection requirements contained in 10 CFR 50 that have been approved by OMB since </w:t>
      </w:r>
      <w:r w:rsidR="00FF32F0" w:rsidRPr="00E86B59">
        <w:rPr>
          <w:rFonts w:ascii="Arial" w:hAnsi="Arial" w:cs="Arial"/>
          <w:sz w:val="22"/>
          <w:szCs w:val="22"/>
        </w:rPr>
        <w:t>the</w:t>
      </w:r>
      <w:r w:rsidRPr="00E86B59">
        <w:rPr>
          <w:rFonts w:ascii="Arial" w:hAnsi="Arial" w:cs="Arial"/>
          <w:sz w:val="22"/>
          <w:szCs w:val="22"/>
        </w:rPr>
        <w:t xml:space="preserve"> last extension request for 10 CFR Part 50.  These rulemakings are itemized below and the information collections are described in detail in the applicable supporting statements.  </w:t>
      </w:r>
    </w:p>
    <w:p w14:paraId="377C3CC6"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345AC3" w14:textId="78932B6F" w:rsidR="00C37C82" w:rsidRDefault="000A0B86">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E86B59">
        <w:rPr>
          <w:rFonts w:ascii="Arial" w:hAnsi="Arial" w:cs="Arial"/>
          <w:sz w:val="22"/>
          <w:szCs w:val="22"/>
          <w:u w:val="single"/>
        </w:rPr>
        <w:t xml:space="preserve">Information collections contained in </w:t>
      </w:r>
      <w:r w:rsidR="00C37C82" w:rsidRPr="00E86B59">
        <w:rPr>
          <w:rFonts w:ascii="Arial" w:hAnsi="Arial" w:cs="Arial"/>
          <w:sz w:val="22"/>
          <w:szCs w:val="22"/>
          <w:u w:val="single"/>
        </w:rPr>
        <w:t>Final Rule</w:t>
      </w:r>
      <w:r w:rsidRPr="00E86B59">
        <w:rPr>
          <w:rFonts w:ascii="Arial" w:hAnsi="Arial" w:cs="Arial"/>
          <w:sz w:val="22"/>
          <w:szCs w:val="22"/>
          <w:u w:val="single"/>
        </w:rPr>
        <w:t>s</w:t>
      </w:r>
    </w:p>
    <w:p w14:paraId="0CC0EF36" w14:textId="77777777" w:rsidR="00CB509C" w:rsidRPr="00E86B59" w:rsidRDefault="00CB509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ADB129" w14:textId="13923EB4" w:rsidR="00C37C82" w:rsidRPr="00E86B59" w:rsidRDefault="000A0B86" w:rsidP="00580DB1">
      <w:pPr>
        <w:pStyle w:val="ListBullet"/>
        <w:rPr>
          <w:rFonts w:ascii="Arial" w:hAnsi="Arial" w:cs="Arial"/>
          <w:sz w:val="22"/>
          <w:szCs w:val="22"/>
        </w:rPr>
      </w:pPr>
      <w:r w:rsidRPr="00E86B59">
        <w:rPr>
          <w:rFonts w:ascii="Arial" w:hAnsi="Arial" w:cs="Arial"/>
          <w:sz w:val="22"/>
          <w:szCs w:val="22"/>
        </w:rPr>
        <w:t>Non</w:t>
      </w:r>
      <w:r w:rsidR="00AA3D65">
        <w:rPr>
          <w:rFonts w:ascii="Arial" w:hAnsi="Arial" w:cs="Arial"/>
          <w:sz w:val="22"/>
          <w:szCs w:val="22"/>
        </w:rPr>
        <w:t>-</w:t>
      </w:r>
      <w:r w:rsidRPr="00E86B59">
        <w:rPr>
          <w:rFonts w:ascii="Arial" w:hAnsi="Arial" w:cs="Arial"/>
          <w:sz w:val="22"/>
          <w:szCs w:val="22"/>
        </w:rPr>
        <w:t>substantive Change Request to Information Collections in 10 CFR Part 50 as a result of Miscellaneous Changes Final Rule (80 FR 74974), and</w:t>
      </w:r>
    </w:p>
    <w:p w14:paraId="2F24DF91" w14:textId="7D2A0534" w:rsidR="000A0B86" w:rsidRPr="00E86B59" w:rsidRDefault="000A0B86" w:rsidP="00580DB1">
      <w:pPr>
        <w:pStyle w:val="ListBullet"/>
        <w:rPr>
          <w:rFonts w:ascii="Arial" w:hAnsi="Arial" w:cs="Arial"/>
          <w:sz w:val="22"/>
          <w:szCs w:val="22"/>
        </w:rPr>
      </w:pPr>
      <w:r w:rsidRPr="00E86B59">
        <w:rPr>
          <w:rFonts w:ascii="Arial" w:hAnsi="Arial" w:cs="Arial"/>
          <w:sz w:val="22"/>
          <w:szCs w:val="22"/>
        </w:rPr>
        <w:t xml:space="preserve">10 CFR Part 50.55a, </w:t>
      </w:r>
      <w:r w:rsidR="00580DB1" w:rsidRPr="00E86B59">
        <w:rPr>
          <w:rFonts w:ascii="Arial" w:hAnsi="Arial" w:cs="Arial"/>
          <w:sz w:val="22"/>
          <w:szCs w:val="22"/>
        </w:rPr>
        <w:t xml:space="preserve">Codes And Standards </w:t>
      </w:r>
      <w:r w:rsidRPr="00E86B59">
        <w:rPr>
          <w:rFonts w:ascii="Arial" w:hAnsi="Arial" w:cs="Arial"/>
          <w:sz w:val="22"/>
          <w:szCs w:val="22"/>
        </w:rPr>
        <w:t xml:space="preserve">2009-2013, </w:t>
      </w:r>
      <w:r w:rsidR="00580DB1" w:rsidRPr="00E86B59">
        <w:rPr>
          <w:rFonts w:ascii="Arial" w:hAnsi="Arial" w:cs="Arial"/>
          <w:sz w:val="22"/>
          <w:szCs w:val="22"/>
        </w:rPr>
        <w:t>Approval Of American Society Of Mechanical Engineer's Code Cases</w:t>
      </w:r>
    </w:p>
    <w:p w14:paraId="37EBD27A" w14:textId="119AE799" w:rsidR="00205E9F" w:rsidRPr="00E86B59" w:rsidRDefault="00205E9F" w:rsidP="00B61C8D">
      <w:pPr>
        <w:pStyle w:val="ListBullet"/>
        <w:rPr>
          <w:rFonts w:ascii="Arial" w:hAnsi="Arial" w:cs="Arial"/>
          <w:sz w:val="22"/>
          <w:szCs w:val="22"/>
        </w:rPr>
      </w:pPr>
      <w:r w:rsidRPr="00E86B59">
        <w:rPr>
          <w:rFonts w:ascii="Arial" w:hAnsi="Arial" w:cs="Arial"/>
          <w:sz w:val="22"/>
          <w:szCs w:val="22"/>
        </w:rPr>
        <w:t xml:space="preserve">10 CFR Part 50.55a, Codes And Standards </w:t>
      </w:r>
      <w:r w:rsidR="00B61C8D" w:rsidRPr="00E86B59">
        <w:rPr>
          <w:rFonts w:ascii="Arial" w:hAnsi="Arial" w:cs="Arial"/>
          <w:sz w:val="22"/>
          <w:szCs w:val="22"/>
        </w:rPr>
        <w:t>Incorporate By Reference</w:t>
      </w:r>
      <w:r w:rsidRPr="00E86B59">
        <w:rPr>
          <w:rFonts w:ascii="Arial" w:hAnsi="Arial" w:cs="Arial"/>
          <w:sz w:val="22"/>
          <w:szCs w:val="22"/>
        </w:rPr>
        <w:t xml:space="preserve">, Approval Of American Society Of Mechanical Engineer's Code Cases </w:t>
      </w:r>
    </w:p>
    <w:p w14:paraId="66557C14"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85F4FC" w14:textId="77777777" w:rsidR="00C37C82" w:rsidRPr="00E86B59" w:rsidRDefault="00C37C82">
      <w:pPr>
        <w:pStyle w:val="Level1"/>
        <w:widowControl/>
        <w:numPr>
          <w:ilvl w:val="0"/>
          <w:numId w:val="2"/>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JUSTIFICATION</w:t>
      </w:r>
    </w:p>
    <w:p w14:paraId="46147310" w14:textId="77777777" w:rsidR="00C37C82" w:rsidRPr="00E86B59"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8F0F0C"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Need for and Practical Utility of the Collection of Information</w:t>
      </w:r>
    </w:p>
    <w:p w14:paraId="2040F7DC"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7164BF" w14:textId="5BF58483"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 xml:space="preserve">Pursuant to the Atomic Energy Act of 1954, as amended, NRC has the responsibility and authority for licensing and regulating nuclear power plants, non-power reactors (research and test facilities), fuel reprocessing plants and other utilization </w:t>
      </w:r>
      <w:r w:rsidR="007A3F8F" w:rsidRPr="00E86B59">
        <w:rPr>
          <w:rFonts w:ascii="Arial" w:hAnsi="Arial" w:cs="Arial"/>
          <w:sz w:val="22"/>
          <w:szCs w:val="22"/>
        </w:rPr>
        <w:t>and production</w:t>
      </w:r>
      <w:r w:rsidRPr="00E86B59">
        <w:rPr>
          <w:rFonts w:ascii="Arial" w:hAnsi="Arial" w:cs="Arial"/>
          <w:sz w:val="22"/>
          <w:szCs w:val="22"/>
        </w:rPr>
        <w:t xml:space="preserve"> facilities. This review responsibility also encompasses applications for approval of design certifications.  Information provided by the applicant as part of the application is crucial to the licensing process as it provides the NRC with the information it needs to make a decision with regard to the proposed plant’s impact on </w:t>
      </w:r>
      <w:r w:rsidRPr="00E86B59">
        <w:rPr>
          <w:rFonts w:ascii="Arial" w:hAnsi="Arial" w:cs="Arial"/>
          <w:sz w:val="22"/>
          <w:szCs w:val="22"/>
        </w:rPr>
        <w:lastRenderedPageBreak/>
        <w:t xml:space="preserve">the health and safety of the public.  Once a facility is licensed, the NRC continues to regulate its licensed activities.  Licensees must comply with the reporting and recordkeeping requirements in 10 CFR Part 50 so that the NRC will have the information it needs to ensure that licensed activities are being conducted without endangering the health and safety of the public.  Detailed information required by the NRC to be included in each application for a construction permit, operating license, combined operating license, or required to monitor and ensure safe operation is addressed in the following Supporting Statements specific to the 10 CFR Part 50 Sections (see </w:t>
      </w:r>
      <w:r w:rsidR="00580DB1" w:rsidRPr="00E86B59">
        <w:rPr>
          <w:rFonts w:ascii="Arial" w:hAnsi="Arial" w:cs="Arial"/>
          <w:sz w:val="22"/>
          <w:szCs w:val="22"/>
        </w:rPr>
        <w:t xml:space="preserve">Supplementary </w:t>
      </w:r>
      <w:r w:rsidR="007E64B1">
        <w:rPr>
          <w:rFonts w:ascii="Arial" w:hAnsi="Arial" w:cs="Arial"/>
          <w:sz w:val="22"/>
          <w:szCs w:val="22"/>
        </w:rPr>
        <w:t>Documents</w:t>
      </w:r>
      <w:r w:rsidRPr="00E86B59">
        <w:rPr>
          <w:rFonts w:ascii="Arial" w:hAnsi="Arial" w:cs="Arial"/>
          <w:sz w:val="22"/>
          <w:szCs w:val="22"/>
        </w:rPr>
        <w:t xml:space="preserve">).  </w:t>
      </w:r>
    </w:p>
    <w:p w14:paraId="6887EF7C" w14:textId="77777777" w:rsidR="00F47DD9" w:rsidRDefault="00F47DD9" w:rsidP="00F47DD9">
      <w:pPr>
        <w:pStyle w:val="ListParagraph"/>
        <w:ind w:left="0"/>
        <w:rPr>
          <w:rFonts w:ascii="Arial" w:hAnsi="Arial" w:cs="Arial"/>
          <w:sz w:val="22"/>
          <w:szCs w:val="22"/>
        </w:rPr>
      </w:pPr>
    </w:p>
    <w:p w14:paraId="28E70722" w14:textId="71293C5A" w:rsidR="00C37C82" w:rsidRPr="00F47DD9" w:rsidRDefault="00F47DD9" w:rsidP="00F47DD9">
      <w:pPr>
        <w:pStyle w:val="ListParagraph"/>
        <w:numPr>
          <w:ilvl w:val="1"/>
          <w:numId w:val="2"/>
        </w:numPr>
        <w:ind w:left="993" w:hanging="446"/>
        <w:rPr>
          <w:rFonts w:ascii="Arial" w:hAnsi="Arial" w:cs="Arial"/>
          <w:sz w:val="22"/>
          <w:szCs w:val="22"/>
        </w:rPr>
      </w:pPr>
      <w:r>
        <w:rPr>
          <w:rFonts w:ascii="Arial" w:hAnsi="Arial" w:cs="Arial"/>
          <w:sz w:val="22"/>
          <w:szCs w:val="22"/>
        </w:rPr>
        <w:t xml:space="preserve">`   </w:t>
      </w:r>
      <w:r w:rsidR="00C37C82" w:rsidRPr="00F47DD9">
        <w:rPr>
          <w:rFonts w:ascii="Arial" w:hAnsi="Arial" w:cs="Arial"/>
          <w:sz w:val="22"/>
          <w:szCs w:val="22"/>
          <w:u w:val="single"/>
        </w:rPr>
        <w:t>Agency Use of Information</w:t>
      </w:r>
    </w:p>
    <w:p w14:paraId="42096FDB"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14E97D"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The NRC conducts a detailed review of all applications for licenses to construct and operate utilization and production facilities, in addition to applications for approval of design certifications.  The purpose of the detailed review is to ensure that the proposed facilities can be built and operated safely at the proposed locations, and that all structures, systems, and components important to safety will be designed to withstand the effects of postulated accident conditions without undue risk to the health and safety of the public.  A detailed review of operating reports and records continues during the lifetime of the licensed plant until it is decommissioned and its license terminated.  Applicants and licensees are required by the Act to provide such technical information and data that the NRC may determine necessary to ensure the public health and safety.</w:t>
      </w:r>
    </w:p>
    <w:p w14:paraId="604E64CF"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7E318A"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Part 50 affects various types of facilities at various stages in the licensing process.  The requested information is reviewed and acted upon consistent with the governing NRC regulation or the Act, whichever is appropriate.  For example, when a submittal can be completed without adjudication, the collected information can usually be acted upon within 1 to 6 months.  However, submittals which result in litigation may not be completed for 2 years or more.</w:t>
      </w:r>
    </w:p>
    <w:p w14:paraId="163F5AE5"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8EBBEA"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Reduction of Burden Through Information Technology</w:t>
      </w:r>
    </w:p>
    <w:p w14:paraId="59CBC6BD"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942C7B" w14:textId="62850D88" w:rsidR="00C37C82" w:rsidRPr="00E86B59" w:rsidRDefault="00E70506" w:rsidP="00E705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 xml:space="preserve">The NRC has issued </w:t>
      </w:r>
      <w:hyperlink r:id="rId12" w:history="1">
        <w:r w:rsidRPr="00E86B59">
          <w:rPr>
            <w:rStyle w:val="Hyperlink"/>
            <w:rFonts w:ascii="Arial" w:hAnsi="Arial" w:cs="Arial"/>
            <w:i/>
            <w:sz w:val="22"/>
            <w:szCs w:val="22"/>
          </w:rPr>
          <w:t>Guidance for Electronic Submissions to the NRC</w:t>
        </w:r>
      </w:hyperlink>
      <w:r w:rsidRPr="00E86B59">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w:t>
      </w:r>
      <w:r w:rsidR="00706024">
        <w:rPr>
          <w:rFonts w:ascii="Arial" w:hAnsi="Arial" w:cs="Arial"/>
          <w:sz w:val="22"/>
          <w:szCs w:val="22"/>
        </w:rPr>
        <w:t xml:space="preserve">overall </w:t>
      </w:r>
      <w:r w:rsidRPr="00E86B59">
        <w:rPr>
          <w:rFonts w:ascii="Arial" w:hAnsi="Arial" w:cs="Arial"/>
          <w:sz w:val="22"/>
          <w:szCs w:val="22"/>
        </w:rPr>
        <w:t xml:space="preserve">approximately </w:t>
      </w:r>
      <w:r w:rsidR="00706024" w:rsidRPr="00706024">
        <w:rPr>
          <w:rFonts w:ascii="Arial" w:hAnsi="Arial" w:cs="Arial"/>
          <w:sz w:val="22"/>
          <w:szCs w:val="22"/>
        </w:rPr>
        <w:t>54%</w:t>
      </w:r>
      <w:r w:rsidRPr="00E86B59">
        <w:rPr>
          <w:rFonts w:ascii="Arial" w:hAnsi="Arial" w:cs="Arial"/>
          <w:b/>
          <w:sz w:val="22"/>
          <w:szCs w:val="22"/>
        </w:rPr>
        <w:t xml:space="preserve"> </w:t>
      </w:r>
      <w:r w:rsidRPr="00E86B59">
        <w:rPr>
          <w:rFonts w:ascii="Arial" w:hAnsi="Arial" w:cs="Arial"/>
          <w:sz w:val="22"/>
          <w:szCs w:val="22"/>
        </w:rPr>
        <w:t>of the responses are filed electronically.</w:t>
      </w:r>
    </w:p>
    <w:p w14:paraId="447B5322" w14:textId="77777777" w:rsidR="00E70506" w:rsidRPr="00E86B59" w:rsidRDefault="00E70506" w:rsidP="00E705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p>
    <w:p w14:paraId="4A312148"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Effort to Identify Duplication and Use Similar Information</w:t>
      </w:r>
    </w:p>
    <w:p w14:paraId="59D6B081"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3E2D8A" w14:textId="77777777" w:rsidR="00B15C9B" w:rsidRPr="00E86B59" w:rsidRDefault="00B15C9B" w:rsidP="00B15C9B">
      <w:pPr>
        <w:widowControl w:val="0"/>
        <w:ind w:left="990"/>
        <w:rPr>
          <w:rFonts w:ascii="Arial" w:hAnsi="Arial" w:cs="Arial"/>
          <w:sz w:val="22"/>
          <w:szCs w:val="22"/>
        </w:rPr>
      </w:pPr>
      <w:r w:rsidRPr="00E86B59">
        <w:rPr>
          <w:rFonts w:ascii="Arial" w:hAnsi="Arial" w:cs="Arial"/>
          <w:sz w:val="22"/>
          <w:szCs w:val="22"/>
        </w:rPr>
        <w:t>No sources of similar information are available.  There is no duplication of requirements</w:t>
      </w:r>
      <w:r w:rsidR="000B1429" w:rsidRPr="00E86B59">
        <w:rPr>
          <w:rFonts w:ascii="Arial" w:hAnsi="Arial" w:cs="Arial"/>
          <w:sz w:val="22"/>
          <w:szCs w:val="22"/>
        </w:rPr>
        <w:t>.</w:t>
      </w:r>
    </w:p>
    <w:p w14:paraId="1865D775" w14:textId="3A92A7F1" w:rsidR="003C706A" w:rsidRDefault="003C706A">
      <w:pPr>
        <w:rPr>
          <w:rFonts w:ascii="Arial" w:hAnsi="Arial" w:cs="Arial"/>
          <w:sz w:val="22"/>
          <w:szCs w:val="22"/>
        </w:rPr>
      </w:pPr>
      <w:r>
        <w:rPr>
          <w:rFonts w:ascii="Arial" w:hAnsi="Arial" w:cs="Arial"/>
          <w:sz w:val="22"/>
          <w:szCs w:val="22"/>
        </w:rPr>
        <w:br w:type="page"/>
      </w:r>
    </w:p>
    <w:p w14:paraId="1607728E"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Effort to Reduce Small Business Burden</w:t>
      </w:r>
    </w:p>
    <w:p w14:paraId="36C27D44"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DA511F" w14:textId="37300424" w:rsidR="00C37C82" w:rsidRPr="00E86B59" w:rsidRDefault="00580DB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Not Applicable</w:t>
      </w:r>
    </w:p>
    <w:p w14:paraId="7C66E667"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A1FCF3"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Consequences to Federal Program or Policy Activities if the Collection is Not Conducted or is Conducted Less Frequently</w:t>
      </w:r>
    </w:p>
    <w:p w14:paraId="6B71AFBF"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701871" w14:textId="3A72FFFD"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See each section (</w:t>
      </w:r>
      <w:r w:rsidR="00580DB1" w:rsidRPr="00E86B59">
        <w:rPr>
          <w:rFonts w:ascii="Arial" w:hAnsi="Arial" w:cs="Arial"/>
          <w:sz w:val="22"/>
          <w:szCs w:val="22"/>
        </w:rPr>
        <w:t xml:space="preserve">Supplementary </w:t>
      </w:r>
      <w:r w:rsidR="007E64B1">
        <w:rPr>
          <w:rFonts w:ascii="Arial" w:hAnsi="Arial" w:cs="Arial"/>
          <w:sz w:val="22"/>
          <w:szCs w:val="22"/>
        </w:rPr>
        <w:t>Documents</w:t>
      </w:r>
      <w:r w:rsidRPr="00E86B59">
        <w:rPr>
          <w:rFonts w:ascii="Arial" w:hAnsi="Arial" w:cs="Arial"/>
          <w:sz w:val="22"/>
          <w:szCs w:val="22"/>
        </w:rPr>
        <w:t>) for information specific to the consequences to the Federal program if the collection is not conducted or is conducted less frequently.</w:t>
      </w:r>
    </w:p>
    <w:p w14:paraId="7E6669CF" w14:textId="77777777" w:rsidR="00147707" w:rsidRPr="00E86B59" w:rsidRDefault="0014770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p>
    <w:p w14:paraId="39F62455"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Circumstances which Justify Variation from OMB Guidelines</w:t>
      </w:r>
    </w:p>
    <w:p w14:paraId="32DCADB7"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012157" w14:textId="0DF4C9A3"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See each section (</w:t>
      </w:r>
      <w:r w:rsidR="00EF43C0" w:rsidRPr="00E86B59">
        <w:rPr>
          <w:rFonts w:ascii="Arial" w:hAnsi="Arial" w:cs="Arial"/>
          <w:sz w:val="22"/>
          <w:szCs w:val="22"/>
        </w:rPr>
        <w:t xml:space="preserve">Supplementary </w:t>
      </w:r>
      <w:r w:rsidR="007E64B1">
        <w:rPr>
          <w:rFonts w:ascii="Arial" w:hAnsi="Arial" w:cs="Arial"/>
          <w:sz w:val="22"/>
          <w:szCs w:val="22"/>
        </w:rPr>
        <w:t>Documents</w:t>
      </w:r>
      <w:r w:rsidRPr="00E86B59">
        <w:rPr>
          <w:rFonts w:ascii="Arial" w:hAnsi="Arial" w:cs="Arial"/>
          <w:sz w:val="22"/>
          <w:szCs w:val="22"/>
        </w:rPr>
        <w:t>) for information specific to any variance from OMB’s guidelines.</w:t>
      </w:r>
    </w:p>
    <w:p w14:paraId="6168FAF8"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70D94F"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Consultations Outside the NRC</w:t>
      </w:r>
    </w:p>
    <w:p w14:paraId="6B4D5DAD" w14:textId="77777777" w:rsidR="002E2E95" w:rsidRPr="00E86B59" w:rsidRDefault="002E2E95" w:rsidP="002E2E9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2DBF78" w14:textId="77777777" w:rsidR="00AD2F54" w:rsidRPr="00AD2F54" w:rsidRDefault="00AD2F54" w:rsidP="00AD2F54">
      <w:pPr>
        <w:widowControl w:val="0"/>
        <w:ind w:left="990"/>
        <w:rPr>
          <w:rFonts w:ascii="Arial" w:hAnsi="Arial" w:cs="Arial"/>
          <w:sz w:val="22"/>
          <w:szCs w:val="22"/>
        </w:rPr>
      </w:pPr>
      <w:r w:rsidRPr="00AD2F54">
        <w:rPr>
          <w:rFonts w:ascii="Arial" w:hAnsi="Arial" w:cs="Arial"/>
          <w:sz w:val="22"/>
          <w:szCs w:val="22"/>
        </w:rPr>
        <w:t xml:space="preserve">Opportunity for public comment on the information collection requirements for this clearance package was published in the </w:t>
      </w:r>
      <w:r w:rsidRPr="00AD2F54">
        <w:rPr>
          <w:rFonts w:ascii="Arial" w:hAnsi="Arial" w:cs="Arial"/>
          <w:i/>
          <w:iCs/>
          <w:sz w:val="22"/>
          <w:szCs w:val="22"/>
        </w:rPr>
        <w:t>Federal Register</w:t>
      </w:r>
      <w:r w:rsidRPr="00AD2F54">
        <w:rPr>
          <w:rFonts w:ascii="Arial" w:hAnsi="Arial" w:cs="Arial"/>
          <w:sz w:val="22"/>
          <w:szCs w:val="22"/>
        </w:rPr>
        <w:t xml:space="preserve"> on October 18, 2017 (82 FR 48539).  Additionally, we contacted via email nine potential respondents in the areas of reactor owner/operator licensees, state government, research facilities and nuclear industry stakeholder representatives from Northern States Power Company, Florida Power and Light, Southern Nuclear Operating Co., Tennessee Valley Authority, Illinois Emergency Management Agency – State of Illinois, Union of Concerned Scientists, SHINE Medical Technologies, Inc., MIT – Nuclear Reactor Laboratory and the University of Missouri – Columbia.  Of the nine potential respondents contacted, no respondent replied.  Further, no comments were received from the published Federal Register Notice.</w:t>
      </w:r>
    </w:p>
    <w:p w14:paraId="7AEB3A8A" w14:textId="77777777" w:rsidR="0034336B" w:rsidRPr="00E86B59" w:rsidRDefault="0034336B" w:rsidP="0034336B">
      <w:pPr>
        <w:widowControl w:val="0"/>
        <w:ind w:left="990"/>
        <w:rPr>
          <w:rFonts w:ascii="Arial" w:hAnsi="Arial" w:cs="Arial"/>
          <w:sz w:val="22"/>
          <w:szCs w:val="22"/>
        </w:rPr>
      </w:pPr>
    </w:p>
    <w:p w14:paraId="2D31BB2B"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Payment or Gift to Respondents</w:t>
      </w:r>
    </w:p>
    <w:p w14:paraId="67E61DFC"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1943B0"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Not applicable.</w:t>
      </w:r>
    </w:p>
    <w:p w14:paraId="1E466313"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5382DC"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Confidentiality of Information</w:t>
      </w:r>
    </w:p>
    <w:p w14:paraId="57CFE9D1" w14:textId="77777777" w:rsidR="00786C67" w:rsidRPr="00E86B59" w:rsidRDefault="00786C67" w:rsidP="00786C67">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sz w:val="22"/>
          <w:szCs w:val="22"/>
        </w:rPr>
      </w:pPr>
    </w:p>
    <w:p w14:paraId="5E49E418" w14:textId="77777777" w:rsidR="00786C67" w:rsidRPr="00E86B59" w:rsidRDefault="0034336B" w:rsidP="0034336B">
      <w:pPr>
        <w:widowControl w:val="0"/>
        <w:ind w:left="990"/>
        <w:rPr>
          <w:rFonts w:ascii="Arial" w:hAnsi="Arial" w:cs="Arial"/>
          <w:sz w:val="22"/>
          <w:szCs w:val="22"/>
        </w:rPr>
      </w:pPr>
      <w:r w:rsidRPr="00E86B59">
        <w:rPr>
          <w:rFonts w:ascii="Arial" w:hAnsi="Arial" w:cs="Arial"/>
          <w:sz w:val="22"/>
          <w:szCs w:val="22"/>
        </w:rPr>
        <w:t>Confidential and proprietary information is protected in accordance with NRC regulations at 10 CFR 9.17(a) and 10 CFR 2.390(b).</w:t>
      </w:r>
    </w:p>
    <w:p w14:paraId="53C05F82"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1CE28F"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Justification for Sensitive Questions</w:t>
      </w:r>
    </w:p>
    <w:p w14:paraId="6D2C43BD"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2FA7EA"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The provisions of 10 CFR 50 regulations generally do not require sensitive information.  However, personally identifiable information (e.g., telephone numbers) provided in Emergency Plans is protected in accordance with NRC regulations at 10</w:t>
      </w:r>
      <w:r w:rsidR="00517C76" w:rsidRPr="00E86B59">
        <w:rPr>
          <w:rFonts w:ascii="Arial" w:hAnsi="Arial" w:cs="Arial"/>
          <w:sz w:val="22"/>
          <w:szCs w:val="22"/>
        </w:rPr>
        <w:t> </w:t>
      </w:r>
      <w:r w:rsidRPr="00E86B59">
        <w:rPr>
          <w:rFonts w:ascii="Arial" w:hAnsi="Arial" w:cs="Arial"/>
          <w:sz w:val="22"/>
          <w:szCs w:val="22"/>
        </w:rPr>
        <w:t>CFR 9.17(a) and 10 CFR 2.790(b).</w:t>
      </w:r>
    </w:p>
    <w:p w14:paraId="7D499864" w14:textId="77777777" w:rsidR="00C37C82" w:rsidRPr="00E86B59"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68331C" w14:textId="77777777" w:rsidR="00C37C82" w:rsidRPr="00E86B59"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cs="Arial"/>
          <w:sz w:val="22"/>
          <w:szCs w:val="22"/>
        </w:rPr>
      </w:pPr>
      <w:r w:rsidRPr="00E86B59">
        <w:rPr>
          <w:rFonts w:ascii="Arial" w:hAnsi="Arial" w:cs="Arial"/>
          <w:sz w:val="22"/>
          <w:szCs w:val="22"/>
        </w:rPr>
        <w:tab/>
      </w:r>
      <w:r w:rsidRPr="00E86B59">
        <w:rPr>
          <w:rFonts w:ascii="Arial" w:hAnsi="Arial" w:cs="Arial"/>
          <w:sz w:val="22"/>
          <w:szCs w:val="22"/>
          <w:u w:val="single"/>
        </w:rPr>
        <w:t>Estimate of Industry Burden and Burden Hour Cost</w:t>
      </w:r>
      <w:r w:rsidRPr="00E86B59">
        <w:rPr>
          <w:rStyle w:val="FootnoteReference"/>
          <w:rFonts w:ascii="Arial" w:hAnsi="Arial" w:cs="Arial"/>
          <w:sz w:val="22"/>
          <w:szCs w:val="22"/>
        </w:rPr>
        <w:footnoteReference w:customMarkFollows="1" w:id="1"/>
        <w:t>*</w:t>
      </w:r>
    </w:p>
    <w:p w14:paraId="377D7989" w14:textId="77777777" w:rsidR="00B71ACD" w:rsidRPr="00E86B59" w:rsidRDefault="00B71ACD"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p>
    <w:p w14:paraId="65AE8E67" w14:textId="650C3E23" w:rsidR="00DF086A" w:rsidRPr="00E86B59" w:rsidRDefault="00B71ACD"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E86B59">
        <w:rPr>
          <w:rFonts w:ascii="Arial" w:hAnsi="Arial" w:cs="Arial"/>
          <w:sz w:val="22"/>
          <w:szCs w:val="22"/>
        </w:rPr>
        <w:t>Below is a summary burden table by section.</w:t>
      </w:r>
    </w:p>
    <w:p w14:paraId="50417FB0" w14:textId="77777777" w:rsidR="00B71ACD" w:rsidRPr="008E4043" w:rsidRDefault="00B71ACD" w:rsidP="00B71ACD">
      <w:pPr>
        <w:jc w:val="center"/>
      </w:pPr>
    </w:p>
    <w:tbl>
      <w:tblPr>
        <w:tblStyle w:val="TableGrid"/>
        <w:tblW w:w="8365" w:type="dxa"/>
        <w:tblLayout w:type="fixed"/>
        <w:tblLook w:val="04A0" w:firstRow="1" w:lastRow="0" w:firstColumn="1" w:lastColumn="0" w:noHBand="0" w:noVBand="1"/>
      </w:tblPr>
      <w:tblGrid>
        <w:gridCol w:w="1075"/>
        <w:gridCol w:w="1260"/>
        <w:gridCol w:w="1620"/>
        <w:gridCol w:w="1170"/>
        <w:gridCol w:w="1350"/>
        <w:gridCol w:w="1890"/>
      </w:tblGrid>
      <w:tr w:rsidR="008742B9" w14:paraId="1CCDDB03" w14:textId="77777777" w:rsidTr="004B0092">
        <w:tc>
          <w:tcPr>
            <w:tcW w:w="1075" w:type="dxa"/>
          </w:tcPr>
          <w:p w14:paraId="7BCC66AA" w14:textId="77777777" w:rsidR="008742B9" w:rsidRPr="001F53CE" w:rsidRDefault="008742B9" w:rsidP="00027B20">
            <w:pPr>
              <w:rPr>
                <w:sz w:val="22"/>
              </w:rPr>
            </w:pPr>
            <w:r w:rsidRPr="001F53CE">
              <w:rPr>
                <w:sz w:val="22"/>
              </w:rPr>
              <w:t>Section</w:t>
            </w:r>
          </w:p>
        </w:tc>
        <w:tc>
          <w:tcPr>
            <w:tcW w:w="1260" w:type="dxa"/>
          </w:tcPr>
          <w:p w14:paraId="6B8B7EE4" w14:textId="77777777" w:rsidR="008742B9" w:rsidRPr="00E86B59" w:rsidRDefault="008742B9" w:rsidP="00027B20">
            <w:pPr>
              <w:rPr>
                <w:sz w:val="20"/>
                <w:szCs w:val="20"/>
              </w:rPr>
            </w:pPr>
            <w:r w:rsidRPr="00E86B59">
              <w:rPr>
                <w:sz w:val="20"/>
                <w:szCs w:val="20"/>
              </w:rPr>
              <w:t>Annual Reporting Burden</w:t>
            </w:r>
          </w:p>
        </w:tc>
        <w:tc>
          <w:tcPr>
            <w:tcW w:w="1620" w:type="dxa"/>
          </w:tcPr>
          <w:p w14:paraId="618FE9D6" w14:textId="77777777" w:rsidR="008742B9" w:rsidRPr="00E86B59" w:rsidRDefault="008742B9" w:rsidP="00027B20">
            <w:pPr>
              <w:rPr>
                <w:sz w:val="20"/>
                <w:szCs w:val="20"/>
              </w:rPr>
            </w:pPr>
            <w:r w:rsidRPr="00E86B59">
              <w:rPr>
                <w:sz w:val="20"/>
                <w:szCs w:val="20"/>
              </w:rPr>
              <w:t>Annual Recordkeeping Burden</w:t>
            </w:r>
          </w:p>
        </w:tc>
        <w:tc>
          <w:tcPr>
            <w:tcW w:w="1170" w:type="dxa"/>
          </w:tcPr>
          <w:p w14:paraId="48F4B65B" w14:textId="64667011" w:rsidR="008742B9" w:rsidRPr="00E86B59" w:rsidRDefault="008742B9" w:rsidP="00027B20">
            <w:pPr>
              <w:rPr>
                <w:sz w:val="20"/>
                <w:szCs w:val="20"/>
              </w:rPr>
            </w:pPr>
            <w:r w:rsidRPr="00E86B59">
              <w:rPr>
                <w:sz w:val="20"/>
                <w:szCs w:val="20"/>
              </w:rPr>
              <w:t>Annual 3</w:t>
            </w:r>
            <w:r w:rsidRPr="00E86B59">
              <w:rPr>
                <w:sz w:val="20"/>
                <w:szCs w:val="20"/>
                <w:vertAlign w:val="superscript"/>
              </w:rPr>
              <w:t>rd</w:t>
            </w:r>
            <w:r w:rsidRPr="00E86B59">
              <w:rPr>
                <w:sz w:val="20"/>
                <w:szCs w:val="20"/>
              </w:rPr>
              <w:t xml:space="preserve"> Party Disclosure Burden</w:t>
            </w:r>
          </w:p>
        </w:tc>
        <w:tc>
          <w:tcPr>
            <w:tcW w:w="1350" w:type="dxa"/>
          </w:tcPr>
          <w:p w14:paraId="690A9E11" w14:textId="0887487E" w:rsidR="008742B9" w:rsidRPr="00E86B59" w:rsidRDefault="008742B9" w:rsidP="00027B20">
            <w:pPr>
              <w:rPr>
                <w:sz w:val="20"/>
                <w:szCs w:val="20"/>
              </w:rPr>
            </w:pPr>
            <w:r w:rsidRPr="00E86B59">
              <w:rPr>
                <w:sz w:val="20"/>
                <w:szCs w:val="20"/>
              </w:rPr>
              <w:t>Total Burden</w:t>
            </w:r>
          </w:p>
        </w:tc>
        <w:tc>
          <w:tcPr>
            <w:tcW w:w="1890" w:type="dxa"/>
          </w:tcPr>
          <w:p w14:paraId="575EDE85" w14:textId="7B616FA6" w:rsidR="008742B9" w:rsidRPr="00E86B59" w:rsidRDefault="008742B9" w:rsidP="00027B20">
            <w:pPr>
              <w:rPr>
                <w:sz w:val="20"/>
                <w:szCs w:val="20"/>
              </w:rPr>
            </w:pPr>
            <w:r w:rsidRPr="00E86B59">
              <w:rPr>
                <w:sz w:val="20"/>
                <w:szCs w:val="20"/>
              </w:rPr>
              <w:t>Total Cost</w:t>
            </w:r>
            <w:r>
              <w:rPr>
                <w:sz w:val="20"/>
                <w:szCs w:val="20"/>
              </w:rPr>
              <w:t xml:space="preserve"> at $263/hr</w:t>
            </w:r>
          </w:p>
        </w:tc>
      </w:tr>
      <w:tr w:rsidR="003C706A" w14:paraId="64C89C0E" w14:textId="77777777" w:rsidTr="00DC3835">
        <w:tc>
          <w:tcPr>
            <w:tcW w:w="1075" w:type="dxa"/>
            <w:vAlign w:val="bottom"/>
          </w:tcPr>
          <w:p w14:paraId="2057B9C4" w14:textId="2400766E" w:rsidR="003C706A" w:rsidRPr="003C706A" w:rsidRDefault="003C706A" w:rsidP="003C706A">
            <w:pPr>
              <w:rPr>
                <w:sz w:val="22"/>
              </w:rPr>
            </w:pPr>
            <w:r>
              <w:rPr>
                <w:color w:val="000000"/>
                <w:sz w:val="22"/>
              </w:rPr>
              <w:t>2</w:t>
            </w:r>
          </w:p>
        </w:tc>
        <w:tc>
          <w:tcPr>
            <w:tcW w:w="1260" w:type="dxa"/>
            <w:vAlign w:val="bottom"/>
          </w:tcPr>
          <w:p w14:paraId="607E461B" w14:textId="6F2C535B" w:rsidR="003C706A" w:rsidRPr="003C706A" w:rsidRDefault="003C706A" w:rsidP="003C706A">
            <w:pPr>
              <w:jc w:val="right"/>
              <w:rPr>
                <w:color w:val="FF0000"/>
                <w:sz w:val="22"/>
              </w:rPr>
            </w:pPr>
            <w:r>
              <w:rPr>
                <w:color w:val="000000"/>
                <w:sz w:val="22"/>
              </w:rPr>
              <w:t>440,902</w:t>
            </w:r>
          </w:p>
        </w:tc>
        <w:tc>
          <w:tcPr>
            <w:tcW w:w="1620" w:type="dxa"/>
            <w:vAlign w:val="bottom"/>
          </w:tcPr>
          <w:p w14:paraId="67545299" w14:textId="57F8FEDD" w:rsidR="003C706A" w:rsidRPr="003C706A" w:rsidRDefault="003C706A" w:rsidP="003C706A">
            <w:pPr>
              <w:jc w:val="right"/>
              <w:rPr>
                <w:color w:val="FF0000"/>
                <w:sz w:val="22"/>
              </w:rPr>
            </w:pPr>
            <w:r>
              <w:rPr>
                <w:color w:val="000000"/>
                <w:sz w:val="22"/>
              </w:rPr>
              <w:t>230,821</w:t>
            </w:r>
          </w:p>
        </w:tc>
        <w:tc>
          <w:tcPr>
            <w:tcW w:w="1170" w:type="dxa"/>
            <w:vAlign w:val="bottom"/>
          </w:tcPr>
          <w:p w14:paraId="1F27562F" w14:textId="34890F95" w:rsidR="003C706A" w:rsidRPr="003C706A" w:rsidRDefault="003C706A" w:rsidP="003C706A">
            <w:pPr>
              <w:jc w:val="right"/>
              <w:rPr>
                <w:sz w:val="22"/>
              </w:rPr>
            </w:pPr>
            <w:r>
              <w:rPr>
                <w:color w:val="000000"/>
                <w:sz w:val="22"/>
              </w:rPr>
              <w:t> </w:t>
            </w:r>
          </w:p>
        </w:tc>
        <w:tc>
          <w:tcPr>
            <w:tcW w:w="1350" w:type="dxa"/>
            <w:vAlign w:val="bottom"/>
          </w:tcPr>
          <w:p w14:paraId="28F19ACA" w14:textId="5173AEF6" w:rsidR="003C706A" w:rsidRPr="003C706A" w:rsidRDefault="003C706A" w:rsidP="003C706A">
            <w:pPr>
              <w:jc w:val="right"/>
              <w:rPr>
                <w:sz w:val="22"/>
              </w:rPr>
            </w:pPr>
            <w:r>
              <w:rPr>
                <w:color w:val="000000"/>
                <w:sz w:val="22"/>
              </w:rPr>
              <w:t>671,722</w:t>
            </w:r>
          </w:p>
        </w:tc>
        <w:tc>
          <w:tcPr>
            <w:tcW w:w="1890" w:type="dxa"/>
            <w:vAlign w:val="bottom"/>
          </w:tcPr>
          <w:p w14:paraId="57CBFDBD" w14:textId="0CA02485" w:rsidR="003C706A" w:rsidRPr="003C706A" w:rsidRDefault="003C706A" w:rsidP="003C706A">
            <w:pPr>
              <w:jc w:val="right"/>
              <w:rPr>
                <w:sz w:val="22"/>
              </w:rPr>
            </w:pPr>
            <w:r>
              <w:rPr>
                <w:color w:val="000000"/>
                <w:sz w:val="22"/>
              </w:rPr>
              <w:t>$176,662,930</w:t>
            </w:r>
          </w:p>
        </w:tc>
      </w:tr>
      <w:tr w:rsidR="003C706A" w14:paraId="2B94C146" w14:textId="77777777" w:rsidTr="00DC3835">
        <w:tc>
          <w:tcPr>
            <w:tcW w:w="1075" w:type="dxa"/>
            <w:vAlign w:val="bottom"/>
          </w:tcPr>
          <w:p w14:paraId="7F17A4FE" w14:textId="515DFA56" w:rsidR="003C706A" w:rsidRPr="003C706A" w:rsidRDefault="003C706A" w:rsidP="003C706A">
            <w:pPr>
              <w:rPr>
                <w:sz w:val="22"/>
              </w:rPr>
            </w:pPr>
            <w:r>
              <w:rPr>
                <w:color w:val="000000"/>
                <w:sz w:val="22"/>
              </w:rPr>
              <w:t>3</w:t>
            </w:r>
          </w:p>
        </w:tc>
        <w:tc>
          <w:tcPr>
            <w:tcW w:w="1260" w:type="dxa"/>
            <w:vAlign w:val="bottom"/>
          </w:tcPr>
          <w:p w14:paraId="4921914B" w14:textId="0FEFA903" w:rsidR="003C706A" w:rsidRPr="003C706A" w:rsidRDefault="003C706A" w:rsidP="003C706A">
            <w:pPr>
              <w:jc w:val="right"/>
              <w:rPr>
                <w:color w:val="FF0000"/>
                <w:sz w:val="22"/>
              </w:rPr>
            </w:pPr>
            <w:r>
              <w:rPr>
                <w:color w:val="000000"/>
                <w:sz w:val="22"/>
              </w:rPr>
              <w:t>4,095</w:t>
            </w:r>
          </w:p>
        </w:tc>
        <w:tc>
          <w:tcPr>
            <w:tcW w:w="1620" w:type="dxa"/>
            <w:vAlign w:val="bottom"/>
          </w:tcPr>
          <w:p w14:paraId="27CFCF2D" w14:textId="6BFF9109" w:rsidR="003C706A" w:rsidRPr="003C706A" w:rsidRDefault="003C706A" w:rsidP="003C706A">
            <w:pPr>
              <w:jc w:val="right"/>
              <w:rPr>
                <w:color w:val="FF0000"/>
                <w:sz w:val="22"/>
              </w:rPr>
            </w:pPr>
            <w:r>
              <w:rPr>
                <w:color w:val="000000"/>
                <w:sz w:val="22"/>
              </w:rPr>
              <w:t>9,490</w:t>
            </w:r>
          </w:p>
        </w:tc>
        <w:tc>
          <w:tcPr>
            <w:tcW w:w="1170" w:type="dxa"/>
            <w:vAlign w:val="bottom"/>
          </w:tcPr>
          <w:p w14:paraId="0E7D09E0" w14:textId="37A33454" w:rsidR="003C706A" w:rsidRPr="003C706A" w:rsidRDefault="003C706A" w:rsidP="003C706A">
            <w:pPr>
              <w:jc w:val="right"/>
              <w:rPr>
                <w:sz w:val="22"/>
              </w:rPr>
            </w:pPr>
            <w:r>
              <w:rPr>
                <w:color w:val="000000"/>
                <w:sz w:val="22"/>
              </w:rPr>
              <w:t> </w:t>
            </w:r>
          </w:p>
        </w:tc>
        <w:tc>
          <w:tcPr>
            <w:tcW w:w="1350" w:type="dxa"/>
            <w:vAlign w:val="bottom"/>
          </w:tcPr>
          <w:p w14:paraId="6A4BBE86" w14:textId="306C30A8" w:rsidR="003C706A" w:rsidRPr="003C706A" w:rsidRDefault="003C706A" w:rsidP="003C706A">
            <w:pPr>
              <w:jc w:val="right"/>
              <w:rPr>
                <w:sz w:val="22"/>
              </w:rPr>
            </w:pPr>
            <w:r>
              <w:rPr>
                <w:color w:val="000000"/>
                <w:sz w:val="22"/>
              </w:rPr>
              <w:t>13,585</w:t>
            </w:r>
          </w:p>
        </w:tc>
        <w:tc>
          <w:tcPr>
            <w:tcW w:w="1890" w:type="dxa"/>
            <w:vAlign w:val="bottom"/>
          </w:tcPr>
          <w:p w14:paraId="76D8F7F6" w14:textId="507803DD" w:rsidR="003C706A" w:rsidRPr="003C706A" w:rsidRDefault="003C706A" w:rsidP="003C706A">
            <w:pPr>
              <w:jc w:val="right"/>
              <w:rPr>
                <w:sz w:val="22"/>
              </w:rPr>
            </w:pPr>
            <w:r>
              <w:rPr>
                <w:color w:val="000000"/>
                <w:sz w:val="22"/>
              </w:rPr>
              <w:t>$3,572,855</w:t>
            </w:r>
          </w:p>
        </w:tc>
      </w:tr>
      <w:tr w:rsidR="003C706A" w14:paraId="79937FD7" w14:textId="77777777" w:rsidTr="00DC3835">
        <w:tc>
          <w:tcPr>
            <w:tcW w:w="1075" w:type="dxa"/>
            <w:vAlign w:val="bottom"/>
          </w:tcPr>
          <w:p w14:paraId="04C7539B" w14:textId="568F878F" w:rsidR="003C706A" w:rsidRPr="003C706A" w:rsidRDefault="003C706A" w:rsidP="003C706A">
            <w:pPr>
              <w:rPr>
                <w:sz w:val="22"/>
              </w:rPr>
            </w:pPr>
            <w:r>
              <w:rPr>
                <w:color w:val="000000"/>
                <w:sz w:val="22"/>
              </w:rPr>
              <w:t>4</w:t>
            </w:r>
          </w:p>
        </w:tc>
        <w:tc>
          <w:tcPr>
            <w:tcW w:w="1260" w:type="dxa"/>
            <w:vAlign w:val="bottom"/>
          </w:tcPr>
          <w:p w14:paraId="6DDF051F" w14:textId="34623719" w:rsidR="003C706A" w:rsidRPr="003C706A" w:rsidRDefault="003C706A" w:rsidP="003C706A">
            <w:pPr>
              <w:jc w:val="right"/>
              <w:rPr>
                <w:color w:val="FF0000"/>
                <w:sz w:val="22"/>
              </w:rPr>
            </w:pPr>
            <w:r>
              <w:rPr>
                <w:color w:val="000000"/>
                <w:sz w:val="22"/>
              </w:rPr>
              <w:t>78,048</w:t>
            </w:r>
          </w:p>
        </w:tc>
        <w:tc>
          <w:tcPr>
            <w:tcW w:w="1620" w:type="dxa"/>
            <w:vAlign w:val="bottom"/>
          </w:tcPr>
          <w:p w14:paraId="1FD46FB9" w14:textId="11DEC929" w:rsidR="003C706A" w:rsidRPr="003C706A" w:rsidRDefault="003C706A" w:rsidP="003C706A">
            <w:pPr>
              <w:jc w:val="right"/>
              <w:rPr>
                <w:color w:val="FF0000"/>
                <w:sz w:val="22"/>
              </w:rPr>
            </w:pPr>
            <w:r>
              <w:rPr>
                <w:color w:val="000000"/>
                <w:sz w:val="22"/>
              </w:rPr>
              <w:t>27,382</w:t>
            </w:r>
          </w:p>
        </w:tc>
        <w:tc>
          <w:tcPr>
            <w:tcW w:w="1170" w:type="dxa"/>
            <w:vAlign w:val="bottom"/>
          </w:tcPr>
          <w:p w14:paraId="3F94C57D" w14:textId="399311CF" w:rsidR="003C706A" w:rsidRPr="003C706A" w:rsidRDefault="003C706A" w:rsidP="003C706A">
            <w:pPr>
              <w:jc w:val="right"/>
              <w:rPr>
                <w:sz w:val="22"/>
              </w:rPr>
            </w:pPr>
            <w:r>
              <w:rPr>
                <w:color w:val="000000"/>
                <w:sz w:val="22"/>
              </w:rPr>
              <w:t> </w:t>
            </w:r>
          </w:p>
        </w:tc>
        <w:tc>
          <w:tcPr>
            <w:tcW w:w="1350" w:type="dxa"/>
            <w:vAlign w:val="bottom"/>
          </w:tcPr>
          <w:p w14:paraId="33CED09E" w14:textId="73CA510D" w:rsidR="003C706A" w:rsidRPr="003C706A" w:rsidRDefault="003C706A" w:rsidP="003C706A">
            <w:pPr>
              <w:jc w:val="right"/>
              <w:rPr>
                <w:sz w:val="22"/>
              </w:rPr>
            </w:pPr>
            <w:r>
              <w:rPr>
                <w:color w:val="000000"/>
                <w:sz w:val="22"/>
              </w:rPr>
              <w:t>105,430</w:t>
            </w:r>
          </w:p>
        </w:tc>
        <w:tc>
          <w:tcPr>
            <w:tcW w:w="1890" w:type="dxa"/>
            <w:vAlign w:val="bottom"/>
          </w:tcPr>
          <w:p w14:paraId="20261105" w14:textId="5EC931EA" w:rsidR="003C706A" w:rsidRPr="003C706A" w:rsidRDefault="003C706A" w:rsidP="003C706A">
            <w:pPr>
              <w:jc w:val="right"/>
              <w:rPr>
                <w:sz w:val="22"/>
              </w:rPr>
            </w:pPr>
            <w:r>
              <w:rPr>
                <w:color w:val="000000"/>
                <w:sz w:val="22"/>
              </w:rPr>
              <w:t>$27,728,019</w:t>
            </w:r>
          </w:p>
        </w:tc>
      </w:tr>
      <w:tr w:rsidR="003C706A" w14:paraId="1F2F5D38" w14:textId="77777777" w:rsidTr="00DC3835">
        <w:tc>
          <w:tcPr>
            <w:tcW w:w="1075" w:type="dxa"/>
            <w:vAlign w:val="bottom"/>
          </w:tcPr>
          <w:p w14:paraId="2A9C571D" w14:textId="1E27DDFA" w:rsidR="003C706A" w:rsidRPr="003C706A" w:rsidRDefault="003C706A" w:rsidP="003C706A">
            <w:pPr>
              <w:rPr>
                <w:sz w:val="22"/>
              </w:rPr>
            </w:pPr>
            <w:r>
              <w:rPr>
                <w:color w:val="000000"/>
                <w:sz w:val="22"/>
              </w:rPr>
              <w:t>5</w:t>
            </w:r>
          </w:p>
        </w:tc>
        <w:tc>
          <w:tcPr>
            <w:tcW w:w="1260" w:type="dxa"/>
            <w:vAlign w:val="bottom"/>
          </w:tcPr>
          <w:p w14:paraId="4AC6BEB0" w14:textId="716CA974" w:rsidR="003C706A" w:rsidRPr="003C706A" w:rsidRDefault="003C706A" w:rsidP="003C706A">
            <w:pPr>
              <w:jc w:val="right"/>
              <w:rPr>
                <w:color w:val="FF0000"/>
                <w:sz w:val="22"/>
              </w:rPr>
            </w:pPr>
            <w:r>
              <w:rPr>
                <w:color w:val="000000"/>
                <w:sz w:val="22"/>
              </w:rPr>
              <w:t>335,417</w:t>
            </w:r>
          </w:p>
        </w:tc>
        <w:tc>
          <w:tcPr>
            <w:tcW w:w="1620" w:type="dxa"/>
            <w:vAlign w:val="bottom"/>
          </w:tcPr>
          <w:p w14:paraId="458E46E5" w14:textId="5477DBB7" w:rsidR="003C706A" w:rsidRPr="003C706A" w:rsidRDefault="003C706A" w:rsidP="003C706A">
            <w:pPr>
              <w:jc w:val="right"/>
              <w:rPr>
                <w:color w:val="FF0000"/>
                <w:sz w:val="22"/>
              </w:rPr>
            </w:pPr>
            <w:r>
              <w:rPr>
                <w:color w:val="000000"/>
                <w:sz w:val="22"/>
              </w:rPr>
              <w:t>1,884,278</w:t>
            </w:r>
          </w:p>
        </w:tc>
        <w:tc>
          <w:tcPr>
            <w:tcW w:w="1170" w:type="dxa"/>
            <w:vAlign w:val="bottom"/>
          </w:tcPr>
          <w:p w14:paraId="61ED36EC" w14:textId="2A8BD290" w:rsidR="003C706A" w:rsidRPr="003C706A" w:rsidRDefault="003C706A" w:rsidP="003C706A">
            <w:pPr>
              <w:jc w:val="right"/>
              <w:rPr>
                <w:sz w:val="22"/>
              </w:rPr>
            </w:pPr>
            <w:r>
              <w:rPr>
                <w:color w:val="000000"/>
                <w:sz w:val="22"/>
              </w:rPr>
              <w:t>100</w:t>
            </w:r>
          </w:p>
        </w:tc>
        <w:tc>
          <w:tcPr>
            <w:tcW w:w="1350" w:type="dxa"/>
            <w:vAlign w:val="bottom"/>
          </w:tcPr>
          <w:p w14:paraId="7E429AAD" w14:textId="5E08F7E6" w:rsidR="003C706A" w:rsidRPr="003C706A" w:rsidRDefault="003C706A" w:rsidP="003C706A">
            <w:pPr>
              <w:jc w:val="right"/>
              <w:rPr>
                <w:sz w:val="22"/>
              </w:rPr>
            </w:pPr>
            <w:r>
              <w:rPr>
                <w:color w:val="000000"/>
                <w:sz w:val="22"/>
              </w:rPr>
              <w:t>2,219,795</w:t>
            </w:r>
          </w:p>
        </w:tc>
        <w:tc>
          <w:tcPr>
            <w:tcW w:w="1890" w:type="dxa"/>
            <w:vAlign w:val="bottom"/>
          </w:tcPr>
          <w:p w14:paraId="5C34D6BB" w14:textId="3D16579B" w:rsidR="003C706A" w:rsidRPr="003C706A" w:rsidRDefault="003C706A" w:rsidP="003C706A">
            <w:pPr>
              <w:jc w:val="right"/>
              <w:rPr>
                <w:sz w:val="22"/>
              </w:rPr>
            </w:pPr>
            <w:r>
              <w:rPr>
                <w:color w:val="000000"/>
                <w:sz w:val="22"/>
              </w:rPr>
              <w:t>$583,806,067</w:t>
            </w:r>
          </w:p>
        </w:tc>
      </w:tr>
      <w:tr w:rsidR="003C706A" w14:paraId="455E3665" w14:textId="77777777" w:rsidTr="00DC3835">
        <w:tc>
          <w:tcPr>
            <w:tcW w:w="1075" w:type="dxa"/>
            <w:vAlign w:val="bottom"/>
          </w:tcPr>
          <w:p w14:paraId="7717F87E" w14:textId="2FF0D638" w:rsidR="003C706A" w:rsidRPr="003C706A" w:rsidRDefault="003C706A" w:rsidP="003C706A">
            <w:pPr>
              <w:rPr>
                <w:sz w:val="22"/>
              </w:rPr>
            </w:pPr>
            <w:r>
              <w:rPr>
                <w:color w:val="000000"/>
                <w:sz w:val="22"/>
              </w:rPr>
              <w:t>6</w:t>
            </w:r>
          </w:p>
        </w:tc>
        <w:tc>
          <w:tcPr>
            <w:tcW w:w="1260" w:type="dxa"/>
            <w:vAlign w:val="bottom"/>
          </w:tcPr>
          <w:p w14:paraId="6DA50117" w14:textId="33C7F7C0" w:rsidR="003C706A" w:rsidRPr="003C706A" w:rsidRDefault="003C706A" w:rsidP="003C706A">
            <w:pPr>
              <w:jc w:val="right"/>
              <w:rPr>
                <w:color w:val="FF0000"/>
                <w:sz w:val="22"/>
              </w:rPr>
            </w:pPr>
            <w:r>
              <w:rPr>
                <w:color w:val="000000"/>
                <w:sz w:val="22"/>
              </w:rPr>
              <w:t>10,800</w:t>
            </w:r>
          </w:p>
        </w:tc>
        <w:tc>
          <w:tcPr>
            <w:tcW w:w="1620" w:type="dxa"/>
            <w:vAlign w:val="bottom"/>
          </w:tcPr>
          <w:p w14:paraId="6E27D15B" w14:textId="360D8900" w:rsidR="003C706A" w:rsidRPr="003C706A" w:rsidRDefault="003C706A" w:rsidP="003C706A">
            <w:pPr>
              <w:jc w:val="right"/>
              <w:rPr>
                <w:color w:val="FF0000"/>
                <w:sz w:val="22"/>
              </w:rPr>
            </w:pPr>
            <w:r>
              <w:rPr>
                <w:color w:val="000000"/>
                <w:sz w:val="22"/>
              </w:rPr>
              <w:t>1,200</w:t>
            </w:r>
          </w:p>
        </w:tc>
        <w:tc>
          <w:tcPr>
            <w:tcW w:w="1170" w:type="dxa"/>
            <w:vAlign w:val="bottom"/>
          </w:tcPr>
          <w:p w14:paraId="71DCFAD9" w14:textId="78B19F5E" w:rsidR="003C706A" w:rsidRPr="003C706A" w:rsidRDefault="003C706A" w:rsidP="003C706A">
            <w:pPr>
              <w:jc w:val="right"/>
              <w:rPr>
                <w:sz w:val="22"/>
              </w:rPr>
            </w:pPr>
            <w:r>
              <w:rPr>
                <w:color w:val="000000"/>
                <w:sz w:val="22"/>
              </w:rPr>
              <w:t> </w:t>
            </w:r>
          </w:p>
        </w:tc>
        <w:tc>
          <w:tcPr>
            <w:tcW w:w="1350" w:type="dxa"/>
            <w:vAlign w:val="bottom"/>
          </w:tcPr>
          <w:p w14:paraId="08976F99" w14:textId="7D4B0341" w:rsidR="003C706A" w:rsidRPr="003C706A" w:rsidRDefault="003C706A" w:rsidP="003C706A">
            <w:pPr>
              <w:jc w:val="right"/>
              <w:rPr>
                <w:sz w:val="22"/>
              </w:rPr>
            </w:pPr>
            <w:r>
              <w:rPr>
                <w:color w:val="000000"/>
                <w:sz w:val="22"/>
              </w:rPr>
              <w:t>12,000</w:t>
            </w:r>
          </w:p>
        </w:tc>
        <w:tc>
          <w:tcPr>
            <w:tcW w:w="1890" w:type="dxa"/>
            <w:vAlign w:val="bottom"/>
          </w:tcPr>
          <w:p w14:paraId="34A0E479" w14:textId="4E46225E" w:rsidR="003C706A" w:rsidRPr="003C706A" w:rsidRDefault="003C706A" w:rsidP="003C706A">
            <w:pPr>
              <w:jc w:val="right"/>
              <w:rPr>
                <w:sz w:val="22"/>
              </w:rPr>
            </w:pPr>
            <w:r>
              <w:rPr>
                <w:color w:val="000000"/>
                <w:sz w:val="22"/>
              </w:rPr>
              <w:t>$3,156,000</w:t>
            </w:r>
          </w:p>
        </w:tc>
      </w:tr>
      <w:tr w:rsidR="003C706A" w14:paraId="2DED451E" w14:textId="77777777" w:rsidTr="00DC3835">
        <w:tc>
          <w:tcPr>
            <w:tcW w:w="1075" w:type="dxa"/>
            <w:vAlign w:val="bottom"/>
          </w:tcPr>
          <w:p w14:paraId="4A598DB8" w14:textId="0EEAD1B6" w:rsidR="003C706A" w:rsidRPr="003C706A" w:rsidRDefault="003C706A" w:rsidP="003C706A">
            <w:pPr>
              <w:rPr>
                <w:sz w:val="22"/>
              </w:rPr>
            </w:pPr>
            <w:r>
              <w:rPr>
                <w:color w:val="000000"/>
                <w:sz w:val="22"/>
              </w:rPr>
              <w:t>7</w:t>
            </w:r>
          </w:p>
        </w:tc>
        <w:tc>
          <w:tcPr>
            <w:tcW w:w="1260" w:type="dxa"/>
            <w:vAlign w:val="bottom"/>
          </w:tcPr>
          <w:p w14:paraId="689E9B31" w14:textId="6CF33CBA" w:rsidR="003C706A" w:rsidRPr="003C706A" w:rsidRDefault="003C706A" w:rsidP="003C706A">
            <w:pPr>
              <w:jc w:val="right"/>
              <w:rPr>
                <w:color w:val="FF0000"/>
                <w:sz w:val="22"/>
              </w:rPr>
            </w:pPr>
            <w:r>
              <w:rPr>
                <w:color w:val="000000"/>
                <w:sz w:val="22"/>
              </w:rPr>
              <w:t>276,240</w:t>
            </w:r>
          </w:p>
        </w:tc>
        <w:tc>
          <w:tcPr>
            <w:tcW w:w="1620" w:type="dxa"/>
            <w:vAlign w:val="bottom"/>
          </w:tcPr>
          <w:p w14:paraId="27B48E5A" w14:textId="6C359EBE" w:rsidR="003C706A" w:rsidRPr="003C706A" w:rsidRDefault="003C706A" w:rsidP="003C706A">
            <w:pPr>
              <w:jc w:val="right"/>
              <w:rPr>
                <w:color w:val="FF0000"/>
                <w:sz w:val="22"/>
              </w:rPr>
            </w:pPr>
            <w:r>
              <w:rPr>
                <w:color w:val="000000"/>
                <w:sz w:val="22"/>
              </w:rPr>
              <w:t>409,758</w:t>
            </w:r>
          </w:p>
        </w:tc>
        <w:tc>
          <w:tcPr>
            <w:tcW w:w="1170" w:type="dxa"/>
            <w:vAlign w:val="bottom"/>
          </w:tcPr>
          <w:p w14:paraId="4B4B5E54" w14:textId="0E37AD44" w:rsidR="003C706A" w:rsidRPr="003C706A" w:rsidRDefault="003C706A" w:rsidP="003C706A">
            <w:pPr>
              <w:jc w:val="right"/>
              <w:rPr>
                <w:sz w:val="22"/>
              </w:rPr>
            </w:pPr>
            <w:r>
              <w:rPr>
                <w:color w:val="000000"/>
                <w:sz w:val="22"/>
              </w:rPr>
              <w:t> </w:t>
            </w:r>
          </w:p>
        </w:tc>
        <w:tc>
          <w:tcPr>
            <w:tcW w:w="1350" w:type="dxa"/>
            <w:vAlign w:val="bottom"/>
          </w:tcPr>
          <w:p w14:paraId="54C5ED95" w14:textId="3266DFF5" w:rsidR="003C706A" w:rsidRPr="003C706A" w:rsidRDefault="003C706A" w:rsidP="003C706A">
            <w:pPr>
              <w:jc w:val="right"/>
              <w:rPr>
                <w:sz w:val="22"/>
              </w:rPr>
            </w:pPr>
            <w:r>
              <w:rPr>
                <w:color w:val="000000"/>
                <w:sz w:val="22"/>
              </w:rPr>
              <w:t>685,998</w:t>
            </w:r>
          </w:p>
        </w:tc>
        <w:tc>
          <w:tcPr>
            <w:tcW w:w="1890" w:type="dxa"/>
            <w:vAlign w:val="bottom"/>
          </w:tcPr>
          <w:p w14:paraId="483853A1" w14:textId="3D4CFEC5" w:rsidR="003C706A" w:rsidRPr="003C706A" w:rsidRDefault="003C706A" w:rsidP="003C706A">
            <w:pPr>
              <w:jc w:val="right"/>
              <w:rPr>
                <w:sz w:val="22"/>
              </w:rPr>
            </w:pPr>
            <w:r>
              <w:rPr>
                <w:color w:val="000000"/>
                <w:sz w:val="22"/>
              </w:rPr>
              <w:t>$180,417,527</w:t>
            </w:r>
          </w:p>
        </w:tc>
      </w:tr>
      <w:tr w:rsidR="003C706A" w14:paraId="7B02665C" w14:textId="77777777" w:rsidTr="00DC3835">
        <w:tc>
          <w:tcPr>
            <w:tcW w:w="1075" w:type="dxa"/>
            <w:vAlign w:val="bottom"/>
          </w:tcPr>
          <w:p w14:paraId="028150B7" w14:textId="407462DB" w:rsidR="003C706A" w:rsidRPr="003C706A" w:rsidRDefault="003C706A" w:rsidP="003C706A">
            <w:pPr>
              <w:rPr>
                <w:sz w:val="22"/>
              </w:rPr>
            </w:pPr>
            <w:r>
              <w:rPr>
                <w:b/>
                <w:bCs/>
                <w:color w:val="000000"/>
                <w:sz w:val="2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6023487" w14:textId="6818087E" w:rsidR="003C706A" w:rsidRPr="003C706A" w:rsidRDefault="003C706A" w:rsidP="003C706A">
            <w:pPr>
              <w:jc w:val="right"/>
              <w:rPr>
                <w:color w:val="FF0000"/>
                <w:sz w:val="22"/>
              </w:rPr>
            </w:pPr>
            <w:r>
              <w:rPr>
                <w:b/>
                <w:bCs/>
                <w:color w:val="000000"/>
                <w:sz w:val="22"/>
              </w:rPr>
              <w:t>1,145,502</w:t>
            </w:r>
          </w:p>
        </w:tc>
        <w:tc>
          <w:tcPr>
            <w:tcW w:w="1620" w:type="dxa"/>
            <w:tcBorders>
              <w:top w:val="single" w:sz="4" w:space="0" w:color="auto"/>
              <w:left w:val="nil"/>
              <w:bottom w:val="single" w:sz="4" w:space="0" w:color="auto"/>
              <w:right w:val="single" w:sz="4" w:space="0" w:color="auto"/>
            </w:tcBorders>
            <w:shd w:val="clear" w:color="auto" w:fill="auto"/>
            <w:vAlign w:val="bottom"/>
          </w:tcPr>
          <w:p w14:paraId="0DA5F3CB" w14:textId="1DF11BAA" w:rsidR="003C706A" w:rsidRPr="003C706A" w:rsidRDefault="003C706A" w:rsidP="003C706A">
            <w:pPr>
              <w:jc w:val="right"/>
              <w:rPr>
                <w:color w:val="FF0000"/>
                <w:sz w:val="22"/>
              </w:rPr>
            </w:pPr>
            <w:r>
              <w:rPr>
                <w:b/>
                <w:bCs/>
                <w:color w:val="000000"/>
                <w:sz w:val="22"/>
              </w:rPr>
              <w:t>2,562,928</w:t>
            </w:r>
          </w:p>
        </w:tc>
        <w:tc>
          <w:tcPr>
            <w:tcW w:w="1170" w:type="dxa"/>
            <w:tcBorders>
              <w:top w:val="single" w:sz="4" w:space="0" w:color="auto"/>
              <w:left w:val="nil"/>
              <w:bottom w:val="single" w:sz="4" w:space="0" w:color="auto"/>
              <w:right w:val="single" w:sz="4" w:space="0" w:color="auto"/>
            </w:tcBorders>
            <w:shd w:val="clear" w:color="auto" w:fill="auto"/>
            <w:vAlign w:val="bottom"/>
          </w:tcPr>
          <w:p w14:paraId="20A47A8C" w14:textId="4CD384F7" w:rsidR="003C706A" w:rsidRPr="003C706A" w:rsidRDefault="003C706A" w:rsidP="003C706A">
            <w:pPr>
              <w:jc w:val="right"/>
              <w:rPr>
                <w:sz w:val="22"/>
              </w:rPr>
            </w:pPr>
            <w:r>
              <w:rPr>
                <w:b/>
                <w:bCs/>
                <w:color w:val="000000"/>
                <w:sz w:val="22"/>
              </w:rPr>
              <w:t>100</w:t>
            </w:r>
          </w:p>
        </w:tc>
        <w:tc>
          <w:tcPr>
            <w:tcW w:w="1350" w:type="dxa"/>
            <w:tcBorders>
              <w:top w:val="single" w:sz="4" w:space="0" w:color="auto"/>
              <w:left w:val="nil"/>
              <w:bottom w:val="single" w:sz="4" w:space="0" w:color="auto"/>
              <w:right w:val="single" w:sz="4" w:space="0" w:color="auto"/>
            </w:tcBorders>
            <w:shd w:val="clear" w:color="auto" w:fill="auto"/>
            <w:vAlign w:val="bottom"/>
          </w:tcPr>
          <w:p w14:paraId="32866792" w14:textId="5B498C0D" w:rsidR="003C706A" w:rsidRPr="003C706A" w:rsidRDefault="003C706A" w:rsidP="003C706A">
            <w:pPr>
              <w:jc w:val="right"/>
              <w:rPr>
                <w:b/>
                <w:sz w:val="22"/>
              </w:rPr>
            </w:pPr>
            <w:r w:rsidRPr="003C706A">
              <w:rPr>
                <w:b/>
                <w:color w:val="000000"/>
                <w:sz w:val="22"/>
              </w:rPr>
              <w:t>3,708,530</w:t>
            </w:r>
          </w:p>
        </w:tc>
        <w:tc>
          <w:tcPr>
            <w:tcW w:w="1890" w:type="dxa"/>
            <w:tcBorders>
              <w:top w:val="single" w:sz="4" w:space="0" w:color="auto"/>
              <w:left w:val="nil"/>
              <w:bottom w:val="single" w:sz="4" w:space="0" w:color="auto"/>
              <w:right w:val="single" w:sz="4" w:space="0" w:color="auto"/>
            </w:tcBorders>
            <w:shd w:val="clear" w:color="auto" w:fill="auto"/>
            <w:vAlign w:val="bottom"/>
          </w:tcPr>
          <w:p w14:paraId="6940280C" w14:textId="12B10246" w:rsidR="003C706A" w:rsidRPr="003C706A" w:rsidRDefault="003C706A" w:rsidP="003C706A">
            <w:pPr>
              <w:jc w:val="right"/>
              <w:rPr>
                <w:b/>
                <w:sz w:val="22"/>
              </w:rPr>
            </w:pPr>
            <w:r w:rsidRPr="003C706A">
              <w:rPr>
                <w:b/>
                <w:color w:val="000000"/>
                <w:sz w:val="22"/>
              </w:rPr>
              <w:t>$975,343,398</w:t>
            </w:r>
          </w:p>
        </w:tc>
      </w:tr>
    </w:tbl>
    <w:p w14:paraId="261DD6E0" w14:textId="77777777" w:rsidR="00B71ACD" w:rsidRDefault="00B71ACD"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14:paraId="432625E3" w14:textId="77777777" w:rsidR="00B11EB4" w:rsidRPr="00B11EB4" w:rsidRDefault="00B11EB4" w:rsidP="00B11EB4">
      <w:pPr>
        <w:ind w:left="1080"/>
        <w:rPr>
          <w:rFonts w:ascii="Arial" w:hAnsi="Arial" w:cs="Arial"/>
          <w:i/>
          <w:sz w:val="22"/>
          <w:szCs w:val="22"/>
        </w:rPr>
      </w:pPr>
      <w:r w:rsidRPr="00B11EB4">
        <w:rPr>
          <w:rFonts w:ascii="Arial" w:hAnsi="Arial" w:cs="Arial"/>
          <w:sz w:val="22"/>
          <w:szCs w:val="22"/>
        </w:rPr>
        <w:t>The $263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2017 (82 FR 30682; June 30, 2017).</w:t>
      </w:r>
    </w:p>
    <w:p w14:paraId="61C9282A"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14:paraId="7D16B676" w14:textId="77777777" w:rsidR="00C37C82" w:rsidRPr="00FF32F0"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u w:val="single"/>
        </w:rPr>
      </w:pPr>
      <w:r>
        <w:rPr>
          <w:rFonts w:ascii="Arial" w:hAnsi="Arial"/>
          <w:sz w:val="22"/>
        </w:rPr>
        <w:tab/>
      </w:r>
      <w:r>
        <w:rPr>
          <w:rFonts w:ascii="Arial" w:hAnsi="Arial"/>
          <w:sz w:val="22"/>
          <w:u w:val="single"/>
        </w:rPr>
        <w:t>Estimate of Other Additional Costs</w:t>
      </w:r>
    </w:p>
    <w:p w14:paraId="6B62B996" w14:textId="77777777" w:rsidR="00FF32F0" w:rsidRDefault="00FF32F0" w:rsidP="00FF32F0">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14:paraId="45769EE9" w14:textId="701010AF" w:rsidR="00FF32F0" w:rsidRPr="00CB4CEA" w:rsidRDefault="00FF32F0" w:rsidP="00850F9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r w:rsidRPr="00CB4CEA">
        <w:rPr>
          <w:rFonts w:ascii="Arial" w:hAnsi="Arial" w:cs="Arial"/>
          <w:sz w:val="22"/>
          <w:szCs w:val="22"/>
        </w:rPr>
        <w:t xml:space="preserve">The quantity of records to be maintained is roughly proportional to the recordkeeping burden and therefore can be used to </w:t>
      </w:r>
      <w:r w:rsidRPr="000E61E9">
        <w:rPr>
          <w:rFonts w:ascii="Arial" w:hAnsi="Arial" w:cs="Arial"/>
          <w:sz w:val="22"/>
          <w:szCs w:val="22"/>
        </w:rPr>
        <w:t>calculate approximate records storage costs.  Based on the number of pages maintained for a typical clearance, the records storage cost has been determined to be equal to .0004 times the recordkeeping burden cost.  Therefore, the storage cost for this clearance is estimated to be $</w:t>
      </w:r>
      <w:r w:rsidR="00A31697">
        <w:rPr>
          <w:rFonts w:ascii="Arial" w:hAnsi="Arial" w:cs="Arial"/>
          <w:sz w:val="22"/>
          <w:szCs w:val="22"/>
        </w:rPr>
        <w:t>269,617</w:t>
      </w:r>
      <w:r w:rsidRPr="000E61E9">
        <w:rPr>
          <w:rFonts w:ascii="Arial" w:hAnsi="Arial" w:cs="Arial"/>
          <w:sz w:val="22"/>
          <w:szCs w:val="22"/>
        </w:rPr>
        <w:t>(</w:t>
      </w:r>
      <w:r w:rsidR="00A31697" w:rsidRPr="00A31697">
        <w:rPr>
          <w:rFonts w:ascii="Arial" w:hAnsi="Arial" w:cs="Arial"/>
          <w:sz w:val="22"/>
          <w:szCs w:val="22"/>
        </w:rPr>
        <w:t>2,562,899</w:t>
      </w:r>
      <w:r w:rsidRPr="000E61E9">
        <w:rPr>
          <w:rFonts w:ascii="Arial" w:hAnsi="Arial" w:cs="Arial"/>
          <w:sz w:val="22"/>
          <w:szCs w:val="22"/>
        </w:rPr>
        <w:t xml:space="preserve"> recordkeeping hours x $</w:t>
      </w:r>
      <w:r w:rsidR="00EF43C0">
        <w:rPr>
          <w:rFonts w:ascii="Arial" w:hAnsi="Arial" w:cs="Arial"/>
          <w:sz w:val="22"/>
          <w:szCs w:val="22"/>
        </w:rPr>
        <w:t>263</w:t>
      </w:r>
      <w:r w:rsidR="00EF43C0" w:rsidRPr="000E61E9">
        <w:rPr>
          <w:rFonts w:ascii="Arial" w:hAnsi="Arial" w:cs="Arial"/>
          <w:sz w:val="22"/>
          <w:szCs w:val="22"/>
        </w:rPr>
        <w:t xml:space="preserve"> </w:t>
      </w:r>
      <w:r w:rsidRPr="000E61E9">
        <w:rPr>
          <w:rFonts w:ascii="Arial" w:hAnsi="Arial" w:cs="Arial"/>
          <w:sz w:val="22"/>
          <w:szCs w:val="22"/>
        </w:rPr>
        <w:t>x .0004).</w:t>
      </w:r>
    </w:p>
    <w:p w14:paraId="72BB2E61" w14:textId="77777777" w:rsidR="00FF32F0" w:rsidRDefault="00FF32F0" w:rsidP="00FF32F0">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14:paraId="1DF7F6B3" w14:textId="28A2DBE9" w:rsidR="00C37C82" w:rsidRPr="001722FB"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Estimated Annualized Cost to the Federal Government</w:t>
      </w:r>
    </w:p>
    <w:p w14:paraId="4CBFFA4F" w14:textId="77777777" w:rsidR="001722FB" w:rsidRDefault="001722FB" w:rsidP="001722FB">
      <w:pPr>
        <w:pStyle w:val="ListParagraph"/>
        <w:rPr>
          <w:rFonts w:ascii="Arial" w:hAnsi="Arial"/>
          <w:sz w:val="22"/>
        </w:rPr>
      </w:pPr>
    </w:p>
    <w:p w14:paraId="1B5E9C69" w14:textId="77777777" w:rsidR="000C3B56" w:rsidRDefault="000C3B56" w:rsidP="000C3B56">
      <w:pPr>
        <w:pStyle w:val="Level1"/>
        <w:widowControl/>
        <w:ind w:left="990"/>
        <w:rPr>
          <w:rFonts w:ascii="Arial" w:hAnsi="Arial" w:cs="Arial"/>
          <w:sz w:val="22"/>
          <w:szCs w:val="22"/>
        </w:rPr>
      </w:pPr>
      <w:r w:rsidRPr="0002614D">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Pr>
          <w:rFonts w:ascii="Arial" w:hAnsi="Arial" w:cs="Arial"/>
          <w:sz w:val="22"/>
          <w:szCs w:val="22"/>
        </w:rPr>
        <w:t>.</w:t>
      </w:r>
    </w:p>
    <w:p w14:paraId="17A32E81" w14:textId="77777777" w:rsidR="000C3B56" w:rsidRPr="0002614D" w:rsidRDefault="000C3B56" w:rsidP="000C3B56">
      <w:pPr>
        <w:pStyle w:val="Level1"/>
        <w:widowControl/>
        <w:ind w:left="990"/>
        <w:rPr>
          <w:rFonts w:ascii="Arial" w:hAnsi="Arial"/>
          <w:sz w:val="22"/>
          <w:szCs w:val="22"/>
        </w:rPr>
      </w:pPr>
    </w:p>
    <w:p w14:paraId="7BF274E6" w14:textId="2BD60962" w:rsidR="001722FB" w:rsidRDefault="001722FB" w:rsidP="001722FB">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The estimated annualized cost to the Federal government </w:t>
      </w:r>
      <w:r w:rsidR="008742B9">
        <w:rPr>
          <w:rFonts w:ascii="Arial" w:hAnsi="Arial"/>
          <w:sz w:val="22"/>
        </w:rPr>
        <w:t>by section is in the table below</w:t>
      </w:r>
      <w:r w:rsidRPr="008E4043">
        <w:rPr>
          <w:rFonts w:ascii="Arial" w:hAnsi="Arial"/>
          <w:sz w:val="22"/>
        </w:rPr>
        <w:t>.  The overall annual cost to the Federal government is $</w:t>
      </w:r>
      <w:r w:rsidR="00A56802" w:rsidRPr="00E86B59">
        <w:rPr>
          <w:rFonts w:ascii="Arial" w:hAnsi="Arial"/>
          <w:sz w:val="22"/>
        </w:rPr>
        <w:t>65,369,702</w:t>
      </w:r>
      <w:r w:rsidRPr="00E86B59">
        <w:rPr>
          <w:rFonts w:ascii="Arial" w:hAnsi="Arial"/>
          <w:sz w:val="22"/>
        </w:rPr>
        <w:t xml:space="preserve"> </w:t>
      </w:r>
    </w:p>
    <w:p w14:paraId="59874641" w14:textId="2BB104FB" w:rsidR="003C706A" w:rsidRDefault="003C706A">
      <w:pPr>
        <w:rPr>
          <w:rFonts w:ascii="Arial" w:hAnsi="Arial"/>
          <w:sz w:val="22"/>
        </w:rPr>
      </w:pPr>
      <w:r>
        <w:rPr>
          <w:rFonts w:ascii="Arial" w:hAnsi="Arial"/>
          <w:sz w:val="22"/>
        </w:rPr>
        <w:br w:type="page"/>
      </w:r>
    </w:p>
    <w:tbl>
      <w:tblPr>
        <w:tblW w:w="3340" w:type="dxa"/>
        <w:tblInd w:w="1030" w:type="dxa"/>
        <w:tblLook w:val="04A0" w:firstRow="1" w:lastRow="0" w:firstColumn="1" w:lastColumn="0" w:noHBand="0" w:noVBand="1"/>
      </w:tblPr>
      <w:tblGrid>
        <w:gridCol w:w="1080"/>
        <w:gridCol w:w="2260"/>
      </w:tblGrid>
      <w:tr w:rsidR="008742B9" w:rsidRPr="008742B9" w14:paraId="717C5CAA" w14:textId="77777777" w:rsidTr="008742B9">
        <w:trPr>
          <w:cantSplit/>
          <w:trHeight w:val="8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152C" w14:textId="77777777" w:rsidR="008742B9" w:rsidRPr="008742B9" w:rsidRDefault="008742B9" w:rsidP="008742B9">
            <w:pPr>
              <w:rPr>
                <w:rFonts w:ascii="Arial" w:hAnsi="Arial" w:cs="Arial"/>
                <w:color w:val="000000"/>
                <w:sz w:val="22"/>
                <w:szCs w:val="22"/>
              </w:rPr>
            </w:pPr>
            <w:r w:rsidRPr="008742B9">
              <w:rPr>
                <w:rFonts w:ascii="Arial" w:hAnsi="Arial" w:cs="Arial"/>
                <w:color w:val="000000"/>
                <w:sz w:val="22"/>
                <w:szCs w:val="22"/>
              </w:rPr>
              <w:t>Section</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68DFEC62" w14:textId="497F3F41" w:rsidR="008742B9" w:rsidRPr="008742B9" w:rsidRDefault="008742B9" w:rsidP="008742B9">
            <w:pPr>
              <w:rPr>
                <w:rFonts w:ascii="Arial" w:hAnsi="Arial" w:cs="Arial"/>
                <w:color w:val="000000"/>
                <w:sz w:val="22"/>
                <w:szCs w:val="22"/>
              </w:rPr>
            </w:pPr>
            <w:r w:rsidRPr="008742B9">
              <w:rPr>
                <w:rFonts w:ascii="Arial" w:hAnsi="Arial" w:cs="Arial"/>
                <w:color w:val="000000"/>
                <w:sz w:val="22"/>
                <w:szCs w:val="22"/>
              </w:rPr>
              <w:t>Annual Cost to Federal Government</w:t>
            </w:r>
            <w:r>
              <w:rPr>
                <w:rFonts w:ascii="Arial" w:hAnsi="Arial" w:cs="Arial"/>
                <w:color w:val="000000"/>
                <w:sz w:val="22"/>
                <w:szCs w:val="22"/>
              </w:rPr>
              <w:t xml:space="preserve"> at $263/hr</w:t>
            </w:r>
          </w:p>
        </w:tc>
      </w:tr>
      <w:tr w:rsidR="008742B9" w:rsidRPr="008742B9" w14:paraId="2A66FDAB"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FBE9A2"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2</w:t>
            </w:r>
          </w:p>
        </w:tc>
        <w:tc>
          <w:tcPr>
            <w:tcW w:w="2260" w:type="dxa"/>
            <w:tcBorders>
              <w:top w:val="nil"/>
              <w:left w:val="nil"/>
              <w:bottom w:val="single" w:sz="4" w:space="0" w:color="auto"/>
              <w:right w:val="single" w:sz="4" w:space="0" w:color="auto"/>
            </w:tcBorders>
            <w:shd w:val="clear" w:color="auto" w:fill="auto"/>
            <w:vAlign w:val="bottom"/>
            <w:hideMark/>
          </w:tcPr>
          <w:p w14:paraId="3D3EB9B4"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$26,550,639 </w:t>
            </w:r>
          </w:p>
        </w:tc>
      </w:tr>
      <w:tr w:rsidR="008742B9" w:rsidRPr="008742B9" w14:paraId="64375029"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1E4357"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3</w:t>
            </w:r>
          </w:p>
        </w:tc>
        <w:tc>
          <w:tcPr>
            <w:tcW w:w="2260" w:type="dxa"/>
            <w:tcBorders>
              <w:top w:val="nil"/>
              <w:left w:val="nil"/>
              <w:bottom w:val="single" w:sz="4" w:space="0" w:color="auto"/>
              <w:right w:val="single" w:sz="4" w:space="0" w:color="auto"/>
            </w:tcBorders>
            <w:shd w:val="clear" w:color="auto" w:fill="auto"/>
            <w:vAlign w:val="bottom"/>
            <w:hideMark/>
          </w:tcPr>
          <w:p w14:paraId="400A3F9D"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$401,338 </w:t>
            </w:r>
          </w:p>
        </w:tc>
      </w:tr>
      <w:tr w:rsidR="008742B9" w:rsidRPr="008742B9" w14:paraId="06CBF03C"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0B24D7"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4</w:t>
            </w:r>
          </w:p>
        </w:tc>
        <w:tc>
          <w:tcPr>
            <w:tcW w:w="2260" w:type="dxa"/>
            <w:tcBorders>
              <w:top w:val="nil"/>
              <w:left w:val="nil"/>
              <w:bottom w:val="single" w:sz="4" w:space="0" w:color="auto"/>
              <w:right w:val="single" w:sz="4" w:space="0" w:color="auto"/>
            </w:tcBorders>
            <w:shd w:val="clear" w:color="auto" w:fill="auto"/>
            <w:vAlign w:val="bottom"/>
            <w:hideMark/>
          </w:tcPr>
          <w:p w14:paraId="7B910DD0"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$10,860,585 </w:t>
            </w:r>
          </w:p>
        </w:tc>
      </w:tr>
      <w:tr w:rsidR="008742B9" w:rsidRPr="008742B9" w14:paraId="7909C273"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8CBD116"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5</w:t>
            </w:r>
          </w:p>
        </w:tc>
        <w:tc>
          <w:tcPr>
            <w:tcW w:w="2260" w:type="dxa"/>
            <w:tcBorders>
              <w:top w:val="nil"/>
              <w:left w:val="nil"/>
              <w:bottom w:val="single" w:sz="4" w:space="0" w:color="auto"/>
              <w:right w:val="single" w:sz="4" w:space="0" w:color="auto"/>
            </w:tcBorders>
            <w:shd w:val="clear" w:color="auto" w:fill="auto"/>
            <w:vAlign w:val="bottom"/>
            <w:hideMark/>
          </w:tcPr>
          <w:p w14:paraId="1E21280A"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$21,633,065 </w:t>
            </w:r>
          </w:p>
        </w:tc>
      </w:tr>
      <w:tr w:rsidR="008742B9" w:rsidRPr="008742B9" w14:paraId="18D67705"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75A62C"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6</w:t>
            </w:r>
          </w:p>
        </w:tc>
        <w:tc>
          <w:tcPr>
            <w:tcW w:w="2260" w:type="dxa"/>
            <w:tcBorders>
              <w:top w:val="nil"/>
              <w:left w:val="nil"/>
              <w:bottom w:val="single" w:sz="4" w:space="0" w:color="auto"/>
              <w:right w:val="single" w:sz="4" w:space="0" w:color="auto"/>
            </w:tcBorders>
            <w:shd w:val="clear" w:color="auto" w:fill="auto"/>
            <w:vAlign w:val="bottom"/>
            <w:hideMark/>
          </w:tcPr>
          <w:p w14:paraId="6A74AB24"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$591,750 </w:t>
            </w:r>
          </w:p>
        </w:tc>
      </w:tr>
      <w:tr w:rsidR="008742B9" w:rsidRPr="008742B9" w14:paraId="094A9D1F"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6A0C6B7"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7</w:t>
            </w:r>
          </w:p>
        </w:tc>
        <w:tc>
          <w:tcPr>
            <w:tcW w:w="2260" w:type="dxa"/>
            <w:tcBorders>
              <w:top w:val="nil"/>
              <w:left w:val="nil"/>
              <w:bottom w:val="single" w:sz="4" w:space="0" w:color="auto"/>
              <w:right w:val="single" w:sz="4" w:space="0" w:color="auto"/>
            </w:tcBorders>
            <w:shd w:val="clear" w:color="auto" w:fill="auto"/>
            <w:vAlign w:val="bottom"/>
            <w:hideMark/>
          </w:tcPr>
          <w:p w14:paraId="10F45AC3"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$5,332,325 </w:t>
            </w:r>
          </w:p>
        </w:tc>
      </w:tr>
      <w:tr w:rsidR="008742B9" w:rsidRPr="008742B9" w14:paraId="644F97F0" w14:textId="77777777" w:rsidTr="008742B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7A5D2C" w14:textId="77777777" w:rsidR="008742B9" w:rsidRPr="008742B9" w:rsidRDefault="008742B9" w:rsidP="008742B9">
            <w:pPr>
              <w:rPr>
                <w:rFonts w:ascii="Arial" w:hAnsi="Arial" w:cs="Arial"/>
                <w:color w:val="000000"/>
                <w:sz w:val="22"/>
                <w:szCs w:val="22"/>
              </w:rPr>
            </w:pPr>
            <w:r w:rsidRPr="008742B9">
              <w:rPr>
                <w:rFonts w:ascii="Arial" w:hAnsi="Arial" w:cs="Arial"/>
                <w:color w:val="000000"/>
                <w:sz w:val="22"/>
                <w:szCs w:val="22"/>
              </w:rPr>
              <w:t>Totals</w:t>
            </w:r>
          </w:p>
        </w:tc>
        <w:tc>
          <w:tcPr>
            <w:tcW w:w="2260" w:type="dxa"/>
            <w:tcBorders>
              <w:top w:val="nil"/>
              <w:left w:val="nil"/>
              <w:bottom w:val="single" w:sz="4" w:space="0" w:color="auto"/>
              <w:right w:val="single" w:sz="4" w:space="0" w:color="auto"/>
            </w:tcBorders>
            <w:shd w:val="clear" w:color="auto" w:fill="auto"/>
            <w:vAlign w:val="bottom"/>
            <w:hideMark/>
          </w:tcPr>
          <w:p w14:paraId="0755093A" w14:textId="77777777" w:rsidR="008742B9" w:rsidRPr="008742B9" w:rsidRDefault="008742B9" w:rsidP="008742B9">
            <w:pPr>
              <w:jc w:val="right"/>
              <w:rPr>
                <w:rFonts w:ascii="Arial" w:hAnsi="Arial" w:cs="Arial"/>
                <w:color w:val="000000"/>
                <w:sz w:val="22"/>
                <w:szCs w:val="22"/>
              </w:rPr>
            </w:pPr>
            <w:r w:rsidRPr="008742B9">
              <w:rPr>
                <w:rFonts w:ascii="Arial" w:hAnsi="Arial" w:cs="Arial"/>
                <w:color w:val="000000"/>
                <w:sz w:val="22"/>
                <w:szCs w:val="22"/>
              </w:rPr>
              <w:t xml:space="preserve">$65,369,702 </w:t>
            </w:r>
          </w:p>
        </w:tc>
      </w:tr>
    </w:tbl>
    <w:p w14:paraId="359F0275" w14:textId="77777777" w:rsidR="008742B9" w:rsidRPr="008E4043" w:rsidRDefault="008742B9" w:rsidP="001722FB">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14:paraId="1F7B9158" w14:textId="77777777"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6283A51F" w14:textId="77777777"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tab/>
      </w:r>
      <w:r w:rsidRPr="008E4043">
        <w:rPr>
          <w:rFonts w:ascii="Arial" w:hAnsi="Arial"/>
          <w:sz w:val="22"/>
          <w:u w:val="single"/>
        </w:rPr>
        <w:t>Reasons for Changes in Burden or Cost</w:t>
      </w:r>
    </w:p>
    <w:p w14:paraId="6F629364" w14:textId="77777777" w:rsidR="00FF32F0" w:rsidRDefault="00FF32F0" w:rsidP="00FF32F0">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3BD4A35" w14:textId="650E6B9C" w:rsidR="00FF32F0" w:rsidRDefault="00FF32F0" w:rsidP="00850F96">
      <w:pPr>
        <w:tabs>
          <w:tab w:val="left" w:pos="-1440"/>
          <w:tab w:val="left" w:pos="-360"/>
          <w:tab w:val="left" w:pos="0"/>
          <w:tab w:val="left" w:pos="600"/>
          <w:tab w:val="left" w:pos="990"/>
          <w:tab w:val="left" w:pos="1920"/>
          <w:tab w:val="left" w:pos="2880"/>
          <w:tab w:val="left" w:pos="3600"/>
          <w:tab w:val="left" w:pos="4320"/>
          <w:tab w:val="left" w:pos="5040"/>
          <w:tab w:val="left" w:pos="5760"/>
          <w:tab w:val="left" w:pos="6480"/>
          <w:tab w:val="left" w:pos="7200"/>
          <w:tab w:val="left" w:pos="7920"/>
          <w:tab w:val="left" w:pos="8640"/>
          <w:tab w:val="left" w:pos="9360"/>
        </w:tabs>
        <w:ind w:left="990"/>
        <w:rPr>
          <w:rFonts w:ascii="Arial" w:hAnsi="Arial"/>
          <w:sz w:val="22"/>
        </w:rPr>
      </w:pPr>
      <w:r>
        <w:rPr>
          <w:rFonts w:ascii="Arial" w:hAnsi="Arial"/>
          <w:sz w:val="22"/>
        </w:rPr>
        <w:t>The burden and number of responses have changed as described in the tables below:</w:t>
      </w:r>
    </w:p>
    <w:p w14:paraId="7FD495DD" w14:textId="77777777" w:rsidR="00FF32F0" w:rsidRPr="009E5CD7" w:rsidRDefault="00FF32F0" w:rsidP="00FF32F0">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rPr>
      </w:pPr>
    </w:p>
    <w:p w14:paraId="19862B7C" w14:textId="77777777" w:rsidR="00FF32F0" w:rsidRPr="009E5CD7" w:rsidRDefault="00FF32F0" w:rsidP="00FF32F0">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rPr>
      </w:pPr>
      <w:r w:rsidRPr="009E5CD7">
        <w:rPr>
          <w:rFonts w:ascii="Arial" w:hAnsi="Arial"/>
          <w:b/>
          <w:sz w:val="22"/>
        </w:rPr>
        <w:t>Burden change</w:t>
      </w:r>
    </w:p>
    <w:tbl>
      <w:tblPr>
        <w:tblStyle w:val="TableGrid"/>
        <w:tblW w:w="0" w:type="auto"/>
        <w:tblInd w:w="1200" w:type="dxa"/>
        <w:tblLook w:val="04A0" w:firstRow="1" w:lastRow="0" w:firstColumn="1" w:lastColumn="0" w:noHBand="0" w:noVBand="1"/>
      </w:tblPr>
      <w:tblGrid>
        <w:gridCol w:w="2169"/>
        <w:gridCol w:w="2003"/>
        <w:gridCol w:w="2044"/>
        <w:gridCol w:w="1934"/>
      </w:tblGrid>
      <w:tr w:rsidR="00FF32F0" w14:paraId="7692BFB4" w14:textId="77777777" w:rsidTr="001A1D50">
        <w:tc>
          <w:tcPr>
            <w:tcW w:w="2169" w:type="dxa"/>
          </w:tcPr>
          <w:p w14:paraId="4B3EF29D" w14:textId="77777777" w:rsidR="00FF32F0" w:rsidRDefault="00FF32F0"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tc>
        <w:tc>
          <w:tcPr>
            <w:tcW w:w="2003" w:type="dxa"/>
          </w:tcPr>
          <w:p w14:paraId="48EE3E36" w14:textId="3915C84B" w:rsidR="00FF32F0" w:rsidRDefault="00747DF3"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Previous total</w:t>
            </w:r>
          </w:p>
        </w:tc>
        <w:tc>
          <w:tcPr>
            <w:tcW w:w="2044" w:type="dxa"/>
          </w:tcPr>
          <w:p w14:paraId="76D57AE6" w14:textId="77777777" w:rsidR="00FF32F0" w:rsidRDefault="00FF32F0"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Current submission</w:t>
            </w:r>
          </w:p>
        </w:tc>
        <w:tc>
          <w:tcPr>
            <w:tcW w:w="1934" w:type="dxa"/>
          </w:tcPr>
          <w:p w14:paraId="76D8CF39" w14:textId="77777777" w:rsidR="00FF32F0" w:rsidRDefault="00FF32F0"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Change</w:t>
            </w:r>
          </w:p>
        </w:tc>
      </w:tr>
      <w:tr w:rsidR="00747DF3" w14:paraId="65D4B914" w14:textId="77777777" w:rsidTr="001A1D50">
        <w:tc>
          <w:tcPr>
            <w:tcW w:w="2169" w:type="dxa"/>
          </w:tcPr>
          <w:p w14:paraId="76D16249" w14:textId="77777777"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Reporting</w:t>
            </w:r>
          </w:p>
        </w:tc>
        <w:tc>
          <w:tcPr>
            <w:tcW w:w="2003" w:type="dxa"/>
            <w:vAlign w:val="center"/>
          </w:tcPr>
          <w:p w14:paraId="59B47B23" w14:textId="50594941"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1,622,930</w:t>
            </w:r>
          </w:p>
        </w:tc>
        <w:tc>
          <w:tcPr>
            <w:tcW w:w="2044" w:type="dxa"/>
            <w:vAlign w:val="center"/>
          </w:tcPr>
          <w:p w14:paraId="7BE4C7DA" w14:textId="46BEE8AA"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1,145,502</w:t>
            </w:r>
          </w:p>
        </w:tc>
        <w:tc>
          <w:tcPr>
            <w:tcW w:w="1934" w:type="dxa"/>
            <w:vAlign w:val="center"/>
          </w:tcPr>
          <w:p w14:paraId="12D3E3BE" w14:textId="24F09262"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-477,428</w:t>
            </w:r>
          </w:p>
        </w:tc>
      </w:tr>
      <w:tr w:rsidR="00747DF3" w14:paraId="5F5497A2" w14:textId="77777777" w:rsidTr="001A1D50">
        <w:tc>
          <w:tcPr>
            <w:tcW w:w="2169" w:type="dxa"/>
          </w:tcPr>
          <w:p w14:paraId="2CCD11ED" w14:textId="77777777"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Recordkeeping</w:t>
            </w:r>
          </w:p>
        </w:tc>
        <w:tc>
          <w:tcPr>
            <w:tcW w:w="2003" w:type="dxa"/>
            <w:vAlign w:val="center"/>
          </w:tcPr>
          <w:p w14:paraId="52358CE2" w14:textId="11F0CC74"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2,732,625</w:t>
            </w:r>
          </w:p>
        </w:tc>
        <w:tc>
          <w:tcPr>
            <w:tcW w:w="2044" w:type="dxa"/>
            <w:vAlign w:val="center"/>
          </w:tcPr>
          <w:p w14:paraId="6B6AA77F" w14:textId="7FB66B38" w:rsidR="00747DF3" w:rsidRDefault="00747DF3" w:rsidP="00747DF3">
            <w:pPr>
              <w:jc w:val="right"/>
              <w:rPr>
                <w:sz w:val="22"/>
              </w:rPr>
            </w:pPr>
            <w:r>
              <w:rPr>
                <w:color w:val="000000"/>
                <w:sz w:val="22"/>
              </w:rPr>
              <w:t>2,562,928</w:t>
            </w:r>
          </w:p>
        </w:tc>
        <w:tc>
          <w:tcPr>
            <w:tcW w:w="1934" w:type="dxa"/>
            <w:vAlign w:val="center"/>
          </w:tcPr>
          <w:p w14:paraId="75A89477" w14:textId="143C3829"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-169,697</w:t>
            </w:r>
          </w:p>
        </w:tc>
      </w:tr>
      <w:tr w:rsidR="00747DF3" w14:paraId="74DAF640" w14:textId="77777777" w:rsidTr="001A1D50">
        <w:tc>
          <w:tcPr>
            <w:tcW w:w="2169" w:type="dxa"/>
          </w:tcPr>
          <w:p w14:paraId="4B4A0C2D" w14:textId="77777777"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Third Party Disclosure</w:t>
            </w:r>
          </w:p>
        </w:tc>
        <w:tc>
          <w:tcPr>
            <w:tcW w:w="2003" w:type="dxa"/>
            <w:vAlign w:val="center"/>
          </w:tcPr>
          <w:p w14:paraId="72C1EA85" w14:textId="5EABF249"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0</w:t>
            </w:r>
          </w:p>
        </w:tc>
        <w:tc>
          <w:tcPr>
            <w:tcW w:w="2044" w:type="dxa"/>
            <w:vAlign w:val="center"/>
          </w:tcPr>
          <w:p w14:paraId="144ED7CC" w14:textId="5001381C"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100</w:t>
            </w:r>
          </w:p>
        </w:tc>
        <w:tc>
          <w:tcPr>
            <w:tcW w:w="1934" w:type="dxa"/>
            <w:vAlign w:val="center"/>
          </w:tcPr>
          <w:p w14:paraId="2FB95ABE" w14:textId="59D26B34"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100</w:t>
            </w:r>
          </w:p>
        </w:tc>
      </w:tr>
      <w:tr w:rsidR="00747DF3" w14:paraId="2C4F1B0D" w14:textId="77777777" w:rsidTr="001A1D50">
        <w:tc>
          <w:tcPr>
            <w:tcW w:w="2169" w:type="dxa"/>
          </w:tcPr>
          <w:p w14:paraId="0F25DD2E" w14:textId="77777777"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Total</w:t>
            </w:r>
          </w:p>
        </w:tc>
        <w:tc>
          <w:tcPr>
            <w:tcW w:w="2003" w:type="dxa"/>
            <w:vAlign w:val="center"/>
          </w:tcPr>
          <w:p w14:paraId="3AA2DECA" w14:textId="377FFFBC"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4,355,554</w:t>
            </w:r>
          </w:p>
        </w:tc>
        <w:tc>
          <w:tcPr>
            <w:tcW w:w="2044" w:type="dxa"/>
            <w:vAlign w:val="center"/>
          </w:tcPr>
          <w:p w14:paraId="1549C440" w14:textId="6188CD71"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3,708,530</w:t>
            </w:r>
          </w:p>
        </w:tc>
        <w:tc>
          <w:tcPr>
            <w:tcW w:w="1934" w:type="dxa"/>
            <w:vAlign w:val="center"/>
          </w:tcPr>
          <w:p w14:paraId="49FA8F0F" w14:textId="583E40B1" w:rsidR="00747DF3" w:rsidRDefault="00747DF3" w:rsidP="007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-647,024</w:t>
            </w:r>
          </w:p>
        </w:tc>
      </w:tr>
    </w:tbl>
    <w:p w14:paraId="71CD8B13" w14:textId="77777777" w:rsidR="00FF32F0" w:rsidRPr="009E5CD7" w:rsidRDefault="00FF32F0" w:rsidP="00FF3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b/>
          <w:sz w:val="22"/>
          <w:szCs w:val="22"/>
        </w:rPr>
      </w:pPr>
    </w:p>
    <w:p w14:paraId="755D516F" w14:textId="77777777" w:rsidR="00FF32F0" w:rsidRPr="009E5CD7" w:rsidRDefault="00FF32F0" w:rsidP="00FF3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b/>
          <w:sz w:val="22"/>
          <w:szCs w:val="22"/>
        </w:rPr>
      </w:pPr>
      <w:r w:rsidRPr="009E5CD7">
        <w:rPr>
          <w:rFonts w:ascii="Arial" w:hAnsi="Arial" w:cs="Arial"/>
          <w:b/>
          <w:sz w:val="22"/>
          <w:szCs w:val="22"/>
        </w:rPr>
        <w:t>Change in Response</w:t>
      </w:r>
      <w:r>
        <w:rPr>
          <w:rFonts w:ascii="Arial" w:hAnsi="Arial" w:cs="Arial"/>
          <w:b/>
          <w:sz w:val="22"/>
          <w:szCs w:val="22"/>
        </w:rPr>
        <w:t>s</w:t>
      </w:r>
    </w:p>
    <w:tbl>
      <w:tblPr>
        <w:tblStyle w:val="TableGrid"/>
        <w:tblW w:w="0" w:type="auto"/>
        <w:tblInd w:w="1200" w:type="dxa"/>
        <w:tblLook w:val="04A0" w:firstRow="1" w:lastRow="0" w:firstColumn="1" w:lastColumn="0" w:noHBand="0" w:noVBand="1"/>
      </w:tblPr>
      <w:tblGrid>
        <w:gridCol w:w="2171"/>
        <w:gridCol w:w="1994"/>
        <w:gridCol w:w="2047"/>
        <w:gridCol w:w="1938"/>
      </w:tblGrid>
      <w:tr w:rsidR="00FF32F0" w14:paraId="33D51645" w14:textId="77777777" w:rsidTr="00E86B59">
        <w:tc>
          <w:tcPr>
            <w:tcW w:w="2171" w:type="dxa"/>
          </w:tcPr>
          <w:p w14:paraId="180A0125" w14:textId="77777777" w:rsidR="00FF32F0" w:rsidRDefault="00FF32F0"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tc>
        <w:tc>
          <w:tcPr>
            <w:tcW w:w="1994" w:type="dxa"/>
          </w:tcPr>
          <w:p w14:paraId="52DA989F" w14:textId="53BB0DA5" w:rsidR="00FF32F0" w:rsidRDefault="00747DF3"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Previous total</w:t>
            </w:r>
          </w:p>
        </w:tc>
        <w:tc>
          <w:tcPr>
            <w:tcW w:w="2047" w:type="dxa"/>
          </w:tcPr>
          <w:p w14:paraId="271DDDBC" w14:textId="77777777" w:rsidR="00FF32F0" w:rsidRDefault="00FF32F0"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Current submission</w:t>
            </w:r>
          </w:p>
        </w:tc>
        <w:tc>
          <w:tcPr>
            <w:tcW w:w="1938" w:type="dxa"/>
          </w:tcPr>
          <w:p w14:paraId="3FD04432" w14:textId="77777777" w:rsidR="00FF32F0" w:rsidRDefault="00FF32F0" w:rsidP="0036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Change</w:t>
            </w:r>
          </w:p>
        </w:tc>
      </w:tr>
      <w:tr w:rsidR="008D31A7" w14:paraId="76D09C1C" w14:textId="77777777" w:rsidTr="00E86B59">
        <w:tc>
          <w:tcPr>
            <w:tcW w:w="2171" w:type="dxa"/>
          </w:tcPr>
          <w:p w14:paraId="10C42252" w14:textId="77777777"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Reporting</w:t>
            </w:r>
          </w:p>
        </w:tc>
        <w:tc>
          <w:tcPr>
            <w:tcW w:w="1994" w:type="dxa"/>
            <w:vAlign w:val="center"/>
          </w:tcPr>
          <w:p w14:paraId="4F6561AE" w14:textId="2F3E6D74"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44,865</w:t>
            </w:r>
          </w:p>
        </w:tc>
        <w:tc>
          <w:tcPr>
            <w:tcW w:w="2047" w:type="dxa"/>
            <w:vAlign w:val="center"/>
          </w:tcPr>
          <w:p w14:paraId="7F612B65" w14:textId="7389318F"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43,473</w:t>
            </w:r>
          </w:p>
        </w:tc>
        <w:tc>
          <w:tcPr>
            <w:tcW w:w="1938" w:type="dxa"/>
            <w:vAlign w:val="center"/>
          </w:tcPr>
          <w:p w14:paraId="4DCAC411" w14:textId="214E9E9B"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1,392</w:t>
            </w:r>
          </w:p>
        </w:tc>
      </w:tr>
      <w:tr w:rsidR="008D31A7" w14:paraId="32156C7F" w14:textId="77777777" w:rsidTr="00E86B59">
        <w:tc>
          <w:tcPr>
            <w:tcW w:w="2171" w:type="dxa"/>
          </w:tcPr>
          <w:p w14:paraId="3C01D981" w14:textId="77777777"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Recordkeeping</w:t>
            </w:r>
          </w:p>
        </w:tc>
        <w:tc>
          <w:tcPr>
            <w:tcW w:w="1994" w:type="dxa"/>
            <w:vAlign w:val="center"/>
          </w:tcPr>
          <w:p w14:paraId="2E02031B" w14:textId="64F05C33"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151</w:t>
            </w:r>
          </w:p>
        </w:tc>
        <w:tc>
          <w:tcPr>
            <w:tcW w:w="2047" w:type="dxa"/>
            <w:vAlign w:val="center"/>
          </w:tcPr>
          <w:p w14:paraId="1E3DE319" w14:textId="583203CC"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149</w:t>
            </w:r>
          </w:p>
        </w:tc>
        <w:tc>
          <w:tcPr>
            <w:tcW w:w="1938" w:type="dxa"/>
            <w:vAlign w:val="center"/>
          </w:tcPr>
          <w:p w14:paraId="473E0A14" w14:textId="56AA5B0C"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2</w:t>
            </w:r>
          </w:p>
        </w:tc>
      </w:tr>
      <w:tr w:rsidR="008D31A7" w14:paraId="3FA89E07" w14:textId="77777777" w:rsidTr="00E86B59">
        <w:tc>
          <w:tcPr>
            <w:tcW w:w="2171" w:type="dxa"/>
          </w:tcPr>
          <w:p w14:paraId="7AF005B2" w14:textId="77777777"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Third Party Disclosure</w:t>
            </w:r>
          </w:p>
        </w:tc>
        <w:tc>
          <w:tcPr>
            <w:tcW w:w="1994" w:type="dxa"/>
            <w:vAlign w:val="center"/>
          </w:tcPr>
          <w:p w14:paraId="65177B64" w14:textId="55AFCC85"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0</w:t>
            </w:r>
          </w:p>
        </w:tc>
        <w:tc>
          <w:tcPr>
            <w:tcW w:w="2047" w:type="dxa"/>
            <w:vAlign w:val="center"/>
          </w:tcPr>
          <w:p w14:paraId="50E5A3BD" w14:textId="1B680083"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w:t>
            </w:r>
          </w:p>
        </w:tc>
        <w:tc>
          <w:tcPr>
            <w:tcW w:w="1938" w:type="dxa"/>
            <w:vAlign w:val="center"/>
          </w:tcPr>
          <w:p w14:paraId="14C75F88" w14:textId="11086859"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w:t>
            </w:r>
          </w:p>
        </w:tc>
      </w:tr>
      <w:tr w:rsidR="008D31A7" w14:paraId="6A57F78F" w14:textId="77777777" w:rsidTr="00E86B59">
        <w:tc>
          <w:tcPr>
            <w:tcW w:w="2171" w:type="dxa"/>
          </w:tcPr>
          <w:p w14:paraId="42C3402B" w14:textId="77777777"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Total</w:t>
            </w:r>
          </w:p>
        </w:tc>
        <w:tc>
          <w:tcPr>
            <w:tcW w:w="1994" w:type="dxa"/>
            <w:vAlign w:val="center"/>
          </w:tcPr>
          <w:p w14:paraId="5781925A" w14:textId="7F0DB036"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45,016</w:t>
            </w:r>
          </w:p>
        </w:tc>
        <w:tc>
          <w:tcPr>
            <w:tcW w:w="2047" w:type="dxa"/>
            <w:vAlign w:val="center"/>
          </w:tcPr>
          <w:p w14:paraId="20D873A5" w14:textId="3DFAAB8A"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43,623</w:t>
            </w:r>
          </w:p>
        </w:tc>
        <w:tc>
          <w:tcPr>
            <w:tcW w:w="1938" w:type="dxa"/>
            <w:vAlign w:val="center"/>
          </w:tcPr>
          <w:p w14:paraId="2AD93877" w14:textId="3EAD5950" w:rsidR="008D31A7" w:rsidRDefault="008D31A7" w:rsidP="008D3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2"/>
              </w:rPr>
            </w:pPr>
            <w:r>
              <w:rPr>
                <w:color w:val="000000"/>
                <w:sz w:val="22"/>
              </w:rPr>
              <w:t>1,393</w:t>
            </w:r>
          </w:p>
        </w:tc>
      </w:tr>
    </w:tbl>
    <w:p w14:paraId="4BC109FB" w14:textId="77777777" w:rsidR="00FF32F0" w:rsidRDefault="00FF32F0">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14:paraId="308C94FB" w14:textId="42A77684" w:rsidR="005F0201" w:rsidRDefault="00C420C5" w:rsidP="00D1338D">
      <w:pPr>
        <w:tabs>
          <w:tab w:val="left" w:pos="-108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C420C5">
        <w:rPr>
          <w:rFonts w:ascii="Arial" w:hAnsi="Arial"/>
          <w:sz w:val="22"/>
        </w:rPr>
        <w:t xml:space="preserve">The reasons for the estimated burden changes (reflecting an overall burden decrease for 10 CFR Part 50 from </w:t>
      </w:r>
      <w:r w:rsidR="00045C1C">
        <w:rPr>
          <w:rFonts w:ascii="Arial" w:hAnsi="Arial"/>
          <w:sz w:val="22"/>
        </w:rPr>
        <w:t xml:space="preserve">4,355,554 </w:t>
      </w:r>
      <w:r w:rsidRPr="00C420C5">
        <w:rPr>
          <w:rFonts w:ascii="Arial" w:hAnsi="Arial"/>
          <w:sz w:val="22"/>
        </w:rPr>
        <w:t>hours to 3,70</w:t>
      </w:r>
      <w:r w:rsidR="00045C1C">
        <w:rPr>
          <w:rFonts w:ascii="Arial" w:hAnsi="Arial"/>
          <w:sz w:val="22"/>
        </w:rPr>
        <w:t>8,530</w:t>
      </w:r>
      <w:r w:rsidRPr="00C420C5">
        <w:rPr>
          <w:rFonts w:ascii="Arial" w:hAnsi="Arial"/>
          <w:sz w:val="22"/>
        </w:rPr>
        <w:t xml:space="preserve"> hours) are primarily related to the decrease in operating reactors.  In the last renewal, the NRC staff based estimates on 104 operating reactors.  The current submission estimates 94 operating reactors, due to </w:t>
      </w:r>
      <w:r>
        <w:rPr>
          <w:rFonts w:ascii="Arial" w:hAnsi="Arial"/>
          <w:sz w:val="22"/>
        </w:rPr>
        <w:t xml:space="preserve">an increase in the number of reactors undergoing </w:t>
      </w:r>
      <w:r w:rsidRPr="00C420C5">
        <w:rPr>
          <w:rFonts w:ascii="Arial" w:hAnsi="Arial"/>
          <w:sz w:val="22"/>
        </w:rPr>
        <w:t xml:space="preserve">decommissioning.  The section-specific supporting statements (Supplementary </w:t>
      </w:r>
      <w:r w:rsidR="007E64B1">
        <w:rPr>
          <w:rFonts w:ascii="Arial" w:hAnsi="Arial"/>
          <w:sz w:val="22"/>
        </w:rPr>
        <w:t>Documents</w:t>
      </w:r>
      <w:r w:rsidRPr="00C420C5">
        <w:rPr>
          <w:rFonts w:ascii="Arial" w:hAnsi="Arial"/>
          <w:sz w:val="22"/>
        </w:rPr>
        <w:t xml:space="preserve">, Sections 2 through 7) has the detail on the burden changes for that section.  </w:t>
      </w:r>
      <w:r w:rsidR="00A069B5" w:rsidRPr="00BA1077">
        <w:rPr>
          <w:rFonts w:ascii="Arial" w:hAnsi="Arial"/>
          <w:sz w:val="22"/>
        </w:rPr>
        <w:t xml:space="preserve">The 647,024 hour change in burden was calculated by </w:t>
      </w:r>
      <w:r w:rsidR="008A6A0B" w:rsidRPr="00BA1077">
        <w:rPr>
          <w:rFonts w:ascii="Arial" w:hAnsi="Arial"/>
          <w:sz w:val="22"/>
        </w:rPr>
        <w:t>summing</w:t>
      </w:r>
      <w:r w:rsidR="00A069B5" w:rsidRPr="00BA1077">
        <w:rPr>
          <w:rFonts w:ascii="Arial" w:hAnsi="Arial"/>
          <w:sz w:val="22"/>
        </w:rPr>
        <w:t xml:space="preserve"> the burden from the individual sections and comparing the total to the </w:t>
      </w:r>
      <w:r w:rsidR="008A6A0B" w:rsidRPr="00BA1077">
        <w:rPr>
          <w:rFonts w:ascii="Arial" w:hAnsi="Arial"/>
          <w:sz w:val="22"/>
        </w:rPr>
        <w:t xml:space="preserve">burden from the previous clearance.  </w:t>
      </w:r>
      <w:r w:rsidR="00A069B5" w:rsidRPr="00BA1077">
        <w:rPr>
          <w:rFonts w:ascii="Arial" w:hAnsi="Arial"/>
          <w:sz w:val="22"/>
        </w:rPr>
        <w:t xml:space="preserve"> </w:t>
      </w:r>
      <w:r w:rsidR="001345E6" w:rsidRPr="00BA1077">
        <w:rPr>
          <w:rFonts w:ascii="Arial" w:hAnsi="Arial"/>
          <w:sz w:val="22"/>
        </w:rPr>
        <w:t xml:space="preserve">The decrease in burden due to the decrease in operating reactors is not linear as not all requirements are reactor specific but may apply to an entire multi-unit site or </w:t>
      </w:r>
      <w:r w:rsidR="00BA1077" w:rsidRPr="00BA1077">
        <w:rPr>
          <w:rFonts w:ascii="Arial" w:hAnsi="Arial"/>
          <w:sz w:val="22"/>
        </w:rPr>
        <w:t>a</w:t>
      </w:r>
      <w:r w:rsidR="001345E6" w:rsidRPr="00BA1077">
        <w:rPr>
          <w:rFonts w:ascii="Arial" w:hAnsi="Arial"/>
          <w:sz w:val="22"/>
        </w:rPr>
        <w:t xml:space="preserve"> utility.</w:t>
      </w:r>
    </w:p>
    <w:p w14:paraId="5F23E3CB" w14:textId="3CF674DB" w:rsidR="00631894" w:rsidRDefault="00631894" w:rsidP="00FF32F0">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14:paraId="7B9FCFDE" w14:textId="335CEEE1" w:rsidR="00631894" w:rsidRDefault="00631894" w:rsidP="00D1338D">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631894">
        <w:rPr>
          <w:rFonts w:ascii="Arial" w:hAnsi="Arial"/>
          <w:sz w:val="22"/>
        </w:rPr>
        <w:t>In the previous renewal, there were two supplemental supporting statements for “Generic Communications” and “Regulatory Gu</w:t>
      </w:r>
      <w:r>
        <w:rPr>
          <w:rFonts w:ascii="Arial" w:hAnsi="Arial"/>
          <w:sz w:val="22"/>
        </w:rPr>
        <w:t>ides</w:t>
      </w:r>
      <w:r w:rsidRPr="00631894">
        <w:rPr>
          <w:rFonts w:ascii="Arial" w:hAnsi="Arial"/>
          <w:sz w:val="22"/>
        </w:rPr>
        <w:t>”</w:t>
      </w:r>
      <w:r>
        <w:rPr>
          <w:rFonts w:ascii="Arial" w:hAnsi="Arial"/>
          <w:sz w:val="22"/>
        </w:rPr>
        <w:t xml:space="preserve"> that are not included in this renewal.  </w:t>
      </w:r>
      <w:r w:rsidR="00E03165">
        <w:rPr>
          <w:rFonts w:ascii="Arial" w:hAnsi="Arial"/>
          <w:sz w:val="22"/>
        </w:rPr>
        <w:t>These were generic supporting statements which included requirements from several other sections.  The</w:t>
      </w:r>
      <w:r>
        <w:rPr>
          <w:rFonts w:ascii="Arial" w:hAnsi="Arial"/>
          <w:sz w:val="22"/>
        </w:rPr>
        <w:t xml:space="preserve"> burden associated with those sections has been relocated </w:t>
      </w:r>
      <w:r w:rsidR="00E03165">
        <w:rPr>
          <w:rFonts w:ascii="Arial" w:hAnsi="Arial"/>
          <w:sz w:val="22"/>
        </w:rPr>
        <w:t xml:space="preserve">to the appropriate </w:t>
      </w:r>
      <w:r w:rsidR="004B0092">
        <w:rPr>
          <w:rFonts w:ascii="Arial" w:hAnsi="Arial"/>
          <w:sz w:val="22"/>
        </w:rPr>
        <w:t xml:space="preserve">requirement </w:t>
      </w:r>
      <w:r w:rsidR="00E03165">
        <w:rPr>
          <w:rFonts w:ascii="Arial" w:hAnsi="Arial"/>
          <w:sz w:val="22"/>
        </w:rPr>
        <w:t>section.  There is no change in reporte</w:t>
      </w:r>
      <w:r w:rsidR="0080710E">
        <w:rPr>
          <w:rFonts w:ascii="Arial" w:hAnsi="Arial"/>
          <w:sz w:val="22"/>
        </w:rPr>
        <w:t>d burden</w:t>
      </w:r>
      <w:r w:rsidR="004B0092">
        <w:rPr>
          <w:rFonts w:ascii="Arial" w:hAnsi="Arial"/>
          <w:sz w:val="22"/>
        </w:rPr>
        <w:t xml:space="preserve"> due to this change</w:t>
      </w:r>
      <w:r w:rsidR="0080710E">
        <w:rPr>
          <w:rFonts w:ascii="Arial" w:hAnsi="Arial"/>
          <w:sz w:val="22"/>
        </w:rPr>
        <w:t>.</w:t>
      </w:r>
    </w:p>
    <w:p w14:paraId="44EFE194" w14:textId="77777777" w:rsidR="00A35CFE" w:rsidRDefault="00A35CFE" w:rsidP="00D1338D">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14:paraId="3D18146F" w14:textId="5FD4C422" w:rsidR="009134A5" w:rsidRDefault="00A35CFE" w:rsidP="009134A5">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A35CFE">
        <w:rPr>
          <w:rFonts w:ascii="Arial" w:hAnsi="Arial"/>
          <w:sz w:val="22"/>
        </w:rPr>
        <w:t>In addition, the current submission corrects the estimate of annual cost burden for this information collection (item #13 of this supporting statement, “Other additional costs”). The annual cost burden previously entered in ROCIS (starting in 2009) erroneously included burden hour costs.  ROCIS instructions specify:</w:t>
      </w:r>
      <w:r w:rsidR="00C51F60">
        <w:rPr>
          <w:rFonts w:ascii="Arial" w:hAnsi="Arial"/>
          <w:sz w:val="22"/>
        </w:rPr>
        <w:t xml:space="preserve"> </w:t>
      </w:r>
      <w:r w:rsidRPr="00A35CFE">
        <w:rPr>
          <w:rFonts w:ascii="Arial" w:hAnsi="Arial"/>
          <w:sz w:val="22"/>
        </w:rPr>
        <w:t>“do not report as a dollar cost any burden reported in hours.”  Annual cost burden includes capital investment or start-up costs (purchasing computers and software; monitoring, sampling, drilling and testing equipment; and record storage facilities) and ongoing costs associated with generating, maintaining, and disclosing or providing the information.  The current submission corrects this issue by excluding burden hour costs from annual cost burden, consistent with ROCIS guidance.  The burden costs entered in ROCIS are reduced from $1,779,000 (a total which erroneously included burden hour costs) to $269,617 (a reduction of $1.5M).  The actual change in annual cost burden, as described in item #13 of the supporting statements for the 2015 renewal and the current renewal, is from $324,682 to $269,617, a reduction of $55,065.  This decrease in is due to a decrease in estimated storage costs associated with lower recordkeeping burden.</w:t>
      </w:r>
    </w:p>
    <w:p w14:paraId="00753614" w14:textId="77777777" w:rsidR="009134A5" w:rsidRDefault="009134A5" w:rsidP="009134A5">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14:paraId="1ACB9A44" w14:textId="5CC86028" w:rsidR="0093557A" w:rsidRDefault="009134A5" w:rsidP="009134A5">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 xml:space="preserve">This submission </w:t>
      </w:r>
      <w:r w:rsidR="00FB0475">
        <w:rPr>
          <w:rFonts w:ascii="Arial" w:hAnsi="Arial"/>
          <w:sz w:val="22"/>
        </w:rPr>
        <w:t xml:space="preserve">contains </w:t>
      </w:r>
      <w:r>
        <w:rPr>
          <w:rFonts w:ascii="Arial" w:hAnsi="Arial"/>
          <w:sz w:val="22"/>
        </w:rPr>
        <w:t xml:space="preserve">the full scope of </w:t>
      </w:r>
      <w:r w:rsidR="00BA48C6">
        <w:rPr>
          <w:rFonts w:ascii="Arial" w:hAnsi="Arial"/>
          <w:sz w:val="22"/>
        </w:rPr>
        <w:t xml:space="preserve">the 10 CFR </w:t>
      </w:r>
      <w:r>
        <w:rPr>
          <w:rFonts w:ascii="Arial" w:hAnsi="Arial"/>
          <w:sz w:val="22"/>
        </w:rPr>
        <w:t xml:space="preserve">Part </w:t>
      </w:r>
      <w:r w:rsidR="00BA48C6">
        <w:rPr>
          <w:rFonts w:ascii="Arial" w:hAnsi="Arial"/>
          <w:sz w:val="22"/>
        </w:rPr>
        <w:t xml:space="preserve">50 information collections </w:t>
      </w:r>
      <w:r w:rsidR="00FB0475">
        <w:rPr>
          <w:rFonts w:ascii="Arial" w:hAnsi="Arial"/>
          <w:sz w:val="22"/>
        </w:rPr>
        <w:t xml:space="preserve">that </w:t>
      </w:r>
      <w:r w:rsidR="00BA48C6">
        <w:rPr>
          <w:rFonts w:ascii="Arial" w:hAnsi="Arial"/>
          <w:sz w:val="22"/>
        </w:rPr>
        <w:t xml:space="preserve">were </w:t>
      </w:r>
      <w:r w:rsidR="00FB0475">
        <w:rPr>
          <w:rFonts w:ascii="Arial" w:hAnsi="Arial"/>
          <w:sz w:val="22"/>
        </w:rPr>
        <w:t xml:space="preserve">last </w:t>
      </w:r>
      <w:r w:rsidR="00BA48C6">
        <w:rPr>
          <w:rFonts w:ascii="Arial" w:hAnsi="Arial"/>
          <w:sz w:val="22"/>
        </w:rPr>
        <w:t>approved by OMB</w:t>
      </w:r>
      <w:r>
        <w:rPr>
          <w:rFonts w:ascii="Arial" w:hAnsi="Arial"/>
          <w:sz w:val="22"/>
        </w:rPr>
        <w:t xml:space="preserve"> in 2015.</w:t>
      </w:r>
      <w:r w:rsidR="00BA48C6">
        <w:rPr>
          <w:rFonts w:ascii="Arial" w:hAnsi="Arial"/>
          <w:sz w:val="22"/>
        </w:rPr>
        <w:t xml:space="preserve">  </w:t>
      </w:r>
      <w:r w:rsidR="00FB0475">
        <w:rPr>
          <w:rFonts w:ascii="Arial" w:hAnsi="Arial"/>
          <w:sz w:val="22"/>
        </w:rPr>
        <w:t>In the interim there have been a number of updates to the 10 CFR Part 50 burden that reflect changes to selected sections of the rule.  T</w:t>
      </w:r>
      <w:r w:rsidR="00BA48C6">
        <w:rPr>
          <w:rFonts w:ascii="Arial" w:hAnsi="Arial"/>
          <w:sz w:val="22"/>
        </w:rPr>
        <w:t>he last change to the burden in a section of the</w:t>
      </w:r>
      <w:r w:rsidR="00FB0475">
        <w:rPr>
          <w:rFonts w:ascii="Arial" w:hAnsi="Arial"/>
          <w:sz w:val="22"/>
        </w:rPr>
        <w:t xml:space="preserve"> 1</w:t>
      </w:r>
      <w:r w:rsidR="00BA48C6">
        <w:rPr>
          <w:rFonts w:ascii="Arial" w:hAnsi="Arial"/>
          <w:sz w:val="22"/>
        </w:rPr>
        <w:t xml:space="preserve">0 CFR Part 50 </w:t>
      </w:r>
      <w:r w:rsidR="00FB0475">
        <w:rPr>
          <w:rFonts w:ascii="Arial" w:hAnsi="Arial"/>
          <w:sz w:val="22"/>
        </w:rPr>
        <w:t xml:space="preserve">information collections </w:t>
      </w:r>
      <w:r w:rsidR="00BA48C6">
        <w:rPr>
          <w:rFonts w:ascii="Arial" w:hAnsi="Arial"/>
          <w:sz w:val="22"/>
        </w:rPr>
        <w:t xml:space="preserve">due to a modification to the rule was approved in January 2018.  </w:t>
      </w:r>
      <w:r w:rsidR="0093557A">
        <w:rPr>
          <w:rFonts w:ascii="Arial" w:hAnsi="Arial"/>
          <w:sz w:val="22"/>
        </w:rPr>
        <w:t>The NRC staff submits the full scope</w:t>
      </w:r>
      <w:r w:rsidR="0093557A" w:rsidRPr="0093557A">
        <w:t xml:space="preserve"> </w:t>
      </w:r>
      <w:r w:rsidR="0093557A" w:rsidRPr="0093557A">
        <w:rPr>
          <w:rFonts w:ascii="Arial" w:hAnsi="Arial"/>
          <w:sz w:val="22"/>
        </w:rPr>
        <w:t>of the 10 CFR Part 50 information collections</w:t>
      </w:r>
      <w:r w:rsidR="0093557A">
        <w:rPr>
          <w:rFonts w:ascii="Arial" w:hAnsi="Arial"/>
          <w:sz w:val="22"/>
        </w:rPr>
        <w:t xml:space="preserve"> every three years to comply with the requirements in 5 CFR Part 1320.</w:t>
      </w:r>
    </w:p>
    <w:p w14:paraId="2BA85C0F" w14:textId="0FE9D25C" w:rsidR="009134A5" w:rsidRPr="008E4043" w:rsidRDefault="0093557A" w:rsidP="009134A5">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 xml:space="preserve"> </w:t>
      </w:r>
    </w:p>
    <w:p w14:paraId="4B979F09" w14:textId="77777777"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14:paraId="12BCF909" w14:textId="77777777"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tab/>
      </w:r>
      <w:r w:rsidRPr="008E4043">
        <w:rPr>
          <w:rFonts w:ascii="Arial" w:hAnsi="Arial"/>
          <w:sz w:val="22"/>
          <w:u w:val="single"/>
        </w:rPr>
        <w:t>Publication for Statistical Use</w:t>
      </w:r>
    </w:p>
    <w:p w14:paraId="76AA7CCC" w14:textId="77777777"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05829699" w14:textId="77777777"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The collected information is not published for statistical purposes.  </w:t>
      </w:r>
    </w:p>
    <w:p w14:paraId="7DD8220D" w14:textId="77777777"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679F4EF2" w14:textId="77777777"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tab/>
      </w:r>
      <w:r w:rsidRPr="008E4043">
        <w:rPr>
          <w:rFonts w:ascii="Arial" w:hAnsi="Arial"/>
          <w:sz w:val="22"/>
          <w:u w:val="single"/>
        </w:rPr>
        <w:t>Reason for Not Displaying the Expiration Date</w:t>
      </w:r>
    </w:p>
    <w:p w14:paraId="65A48E6D" w14:textId="77777777"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74F8D6BE" w14:textId="2368B3D1" w:rsidR="00C37C82" w:rsidRPr="008E4043" w:rsidRDefault="00C420C5">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C420C5">
        <w:rPr>
          <w:rFonts w:ascii="Arial" w:hAnsi="Arial"/>
          <w:sz w:val="22"/>
        </w:rPr>
        <w:t xml:space="preserve">The recordkeeping and reporting requirement for this information collection are associated with regulations and are not submitted on instruments such as forms or </w:t>
      </w:r>
      <w:r w:rsidR="00850F96">
        <w:rPr>
          <w:rFonts w:ascii="Arial" w:hAnsi="Arial"/>
          <w:sz w:val="22"/>
        </w:rPr>
        <w:t xml:space="preserve">surveys.  </w:t>
      </w:r>
      <w:r w:rsidRPr="00C420C5">
        <w:rPr>
          <w:rFonts w:ascii="Arial" w:hAnsi="Arial"/>
          <w:sz w:val="22"/>
        </w:rPr>
        <w:t>For this reason, there are no data instruments on which to display an OMB expiration date. Further, amending the regulatory text of the CFR to display information that, in an annual publication, could become obsolete would be unduly burdensome and</w:t>
      </w:r>
      <w:r w:rsidR="00045C1C">
        <w:rPr>
          <w:rFonts w:ascii="Arial" w:hAnsi="Arial"/>
          <w:sz w:val="22"/>
        </w:rPr>
        <w:t xml:space="preserve"> too difficult to keep current.</w:t>
      </w:r>
    </w:p>
    <w:p w14:paraId="09532D7D" w14:textId="77777777"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5704CEA1"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14:paraId="6E77D57F"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06464F45"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None.</w:t>
      </w:r>
    </w:p>
    <w:p w14:paraId="525BAD5B"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22166B1B" w14:textId="77777777" w:rsidR="00C37C82" w:rsidRDefault="00C37C82">
      <w:pPr>
        <w:pStyle w:val="Level1"/>
        <w:widowControl/>
        <w:numPr>
          <w:ilvl w:val="0"/>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r>
      <w:r>
        <w:rPr>
          <w:rFonts w:ascii="Arial" w:hAnsi="Arial"/>
          <w:sz w:val="22"/>
          <w:u w:val="single"/>
        </w:rPr>
        <w:t>COLLECTIONS OF INFORMATION EMPLOYING STATISTICAL METHODS</w:t>
      </w:r>
    </w:p>
    <w:p w14:paraId="5117A5A0"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1339DB85"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Not applicable.</w:t>
      </w:r>
    </w:p>
    <w:p w14:paraId="2DA7427A" w14:textId="77777777"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59C0619B" w14:textId="1768A44E" w:rsidR="00AA3D65" w:rsidRDefault="00580DB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580DB1">
        <w:rPr>
          <w:rFonts w:ascii="Arial" w:hAnsi="Arial"/>
          <w:sz w:val="22"/>
        </w:rPr>
        <w:t>Supplementary Documents</w:t>
      </w:r>
      <w:r w:rsidR="00C37C82">
        <w:rPr>
          <w:rFonts w:ascii="Arial" w:hAnsi="Arial"/>
          <w:sz w:val="22"/>
        </w:rPr>
        <w:t>:</w:t>
      </w:r>
    </w:p>
    <w:p w14:paraId="1E6A76A0" w14:textId="77777777" w:rsidR="007411E2" w:rsidRPr="006204D5" w:rsidRDefault="00C37C82" w:rsidP="006204D5">
      <w:pPr>
        <w:pStyle w:val="Level1"/>
        <w:widowControl/>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204D5">
        <w:rPr>
          <w:rFonts w:ascii="Arial" w:hAnsi="Arial" w:cs="Arial"/>
          <w:sz w:val="22"/>
          <w:szCs w:val="22"/>
        </w:rPr>
        <w:t xml:space="preserve">Table </w:t>
      </w:r>
      <w:r w:rsidR="00580DB1" w:rsidRPr="006204D5">
        <w:rPr>
          <w:rFonts w:ascii="Arial" w:hAnsi="Arial" w:cs="Arial"/>
          <w:sz w:val="22"/>
          <w:szCs w:val="22"/>
        </w:rPr>
        <w:t xml:space="preserve">1 </w:t>
      </w:r>
      <w:r w:rsidRPr="006204D5">
        <w:rPr>
          <w:rFonts w:ascii="Arial" w:hAnsi="Arial" w:cs="Arial"/>
          <w:sz w:val="22"/>
          <w:szCs w:val="22"/>
        </w:rPr>
        <w:t>- Summary of Supporting Statements</w:t>
      </w:r>
    </w:p>
    <w:p w14:paraId="6A1D0B0E" w14:textId="5D8A5D56" w:rsidR="00AA3D65" w:rsidRPr="006204D5" w:rsidRDefault="00C37C82" w:rsidP="006204D5">
      <w:pPr>
        <w:pStyle w:val="Level1"/>
        <w:widowControl/>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204D5">
        <w:rPr>
          <w:rFonts w:ascii="Arial" w:hAnsi="Arial" w:cs="Arial"/>
          <w:sz w:val="22"/>
          <w:szCs w:val="22"/>
        </w:rPr>
        <w:t xml:space="preserve">Supporting Statement </w:t>
      </w:r>
      <w:r w:rsidR="007411E2" w:rsidRPr="006204D5">
        <w:rPr>
          <w:rFonts w:ascii="Arial" w:hAnsi="Arial" w:cs="Arial"/>
          <w:sz w:val="22"/>
          <w:szCs w:val="22"/>
        </w:rPr>
        <w:t xml:space="preserve">Section 2 </w:t>
      </w:r>
      <w:r w:rsidR="00D5134C">
        <w:rPr>
          <w:rFonts w:ascii="Arial" w:hAnsi="Arial" w:cs="Arial"/>
          <w:sz w:val="22"/>
          <w:szCs w:val="22"/>
        </w:rPr>
        <w:t>–</w:t>
      </w:r>
      <w:r w:rsidR="007411E2" w:rsidRPr="006204D5">
        <w:rPr>
          <w:rFonts w:ascii="Arial" w:hAnsi="Arial" w:cs="Arial"/>
          <w:sz w:val="22"/>
          <w:szCs w:val="22"/>
        </w:rPr>
        <w:t xml:space="preserve"> </w:t>
      </w:r>
      <w:r w:rsidR="00D5134C">
        <w:rPr>
          <w:rFonts w:ascii="Arial" w:hAnsi="Arial" w:cs="Arial"/>
          <w:sz w:val="22"/>
          <w:szCs w:val="22"/>
        </w:rPr>
        <w:t>“</w:t>
      </w:r>
      <w:r w:rsidR="006204D5" w:rsidRPr="006204D5">
        <w:rPr>
          <w:rFonts w:ascii="Arial" w:hAnsi="Arial" w:cs="Arial"/>
          <w:sz w:val="22"/>
          <w:szCs w:val="22"/>
        </w:rPr>
        <w:t>Applications for Licenses, Certifications, and Regulatory Approvals</w:t>
      </w:r>
      <w:r w:rsidR="00D5134C">
        <w:rPr>
          <w:rFonts w:ascii="Arial" w:hAnsi="Arial" w:cs="Arial"/>
          <w:sz w:val="22"/>
          <w:szCs w:val="22"/>
        </w:rPr>
        <w:t>”</w:t>
      </w:r>
    </w:p>
    <w:p w14:paraId="6D6389EB" w14:textId="10851E57" w:rsidR="007411E2" w:rsidRPr="006204D5" w:rsidRDefault="007411E2" w:rsidP="006204D5">
      <w:pPr>
        <w:pStyle w:val="Level1"/>
        <w:widowControl/>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204D5">
        <w:rPr>
          <w:rFonts w:ascii="Arial" w:hAnsi="Arial" w:cs="Arial"/>
          <w:sz w:val="22"/>
          <w:szCs w:val="22"/>
        </w:rPr>
        <w:t xml:space="preserve">Supporting Statement Section 3 </w:t>
      </w:r>
      <w:r w:rsidR="00D5134C">
        <w:rPr>
          <w:rFonts w:ascii="Arial" w:hAnsi="Arial" w:cs="Arial"/>
          <w:sz w:val="22"/>
          <w:szCs w:val="22"/>
        </w:rPr>
        <w:t>–</w:t>
      </w:r>
      <w:r w:rsidR="006204D5" w:rsidRPr="006204D5">
        <w:rPr>
          <w:rFonts w:ascii="Arial" w:hAnsi="Arial" w:cs="Arial"/>
          <w:sz w:val="22"/>
          <w:szCs w:val="22"/>
        </w:rPr>
        <w:t xml:space="preserve"> </w:t>
      </w:r>
      <w:r w:rsidR="00D5134C">
        <w:rPr>
          <w:rFonts w:ascii="Arial" w:hAnsi="Arial" w:cs="Arial"/>
          <w:sz w:val="22"/>
          <w:szCs w:val="22"/>
        </w:rPr>
        <w:t>“</w:t>
      </w:r>
      <w:r w:rsidR="006204D5" w:rsidRPr="006204D5">
        <w:rPr>
          <w:rFonts w:ascii="Arial" w:hAnsi="Arial" w:cs="Arial"/>
          <w:sz w:val="22"/>
          <w:szCs w:val="22"/>
        </w:rPr>
        <w:t>Decommissioning</w:t>
      </w:r>
      <w:r w:rsidR="00D5134C">
        <w:rPr>
          <w:rFonts w:ascii="Arial" w:hAnsi="Arial" w:cs="Arial"/>
          <w:sz w:val="22"/>
          <w:szCs w:val="22"/>
        </w:rPr>
        <w:t>”</w:t>
      </w:r>
    </w:p>
    <w:p w14:paraId="0CCE5E30" w14:textId="43B9F9FD" w:rsidR="007411E2" w:rsidRPr="006204D5" w:rsidRDefault="007411E2" w:rsidP="006204D5">
      <w:pPr>
        <w:pStyle w:val="Level1"/>
        <w:widowControl/>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204D5">
        <w:rPr>
          <w:rFonts w:ascii="Arial" w:hAnsi="Arial" w:cs="Arial"/>
          <w:sz w:val="22"/>
          <w:szCs w:val="22"/>
        </w:rPr>
        <w:t xml:space="preserve">Supporting Statement Section 4 </w:t>
      </w:r>
      <w:r w:rsidR="00D5134C">
        <w:rPr>
          <w:rFonts w:ascii="Arial" w:hAnsi="Arial" w:cs="Arial"/>
          <w:sz w:val="22"/>
          <w:szCs w:val="22"/>
        </w:rPr>
        <w:t>–</w:t>
      </w:r>
      <w:r w:rsidR="006204D5" w:rsidRPr="006204D5">
        <w:rPr>
          <w:rFonts w:ascii="Arial" w:hAnsi="Arial" w:cs="Arial"/>
          <w:sz w:val="22"/>
          <w:szCs w:val="22"/>
        </w:rPr>
        <w:t xml:space="preserve"> </w:t>
      </w:r>
      <w:r w:rsidR="00D5134C">
        <w:rPr>
          <w:rFonts w:ascii="Arial" w:hAnsi="Arial" w:cs="Arial"/>
          <w:sz w:val="22"/>
          <w:szCs w:val="22"/>
        </w:rPr>
        <w:t>“</w:t>
      </w:r>
      <w:r w:rsidR="006204D5" w:rsidRPr="006204D5">
        <w:rPr>
          <w:rFonts w:ascii="Arial" w:hAnsi="Arial" w:cs="Arial"/>
          <w:sz w:val="22"/>
          <w:szCs w:val="22"/>
        </w:rPr>
        <w:t>Inspections, Records, Reports, Notifications</w:t>
      </w:r>
      <w:r w:rsidR="00D5134C">
        <w:rPr>
          <w:rFonts w:ascii="Arial" w:hAnsi="Arial" w:cs="Arial"/>
          <w:sz w:val="22"/>
          <w:szCs w:val="22"/>
        </w:rPr>
        <w:t>”</w:t>
      </w:r>
    </w:p>
    <w:p w14:paraId="3F20092B" w14:textId="72FC04C9" w:rsidR="006204D5" w:rsidRPr="006204D5" w:rsidRDefault="007411E2" w:rsidP="006204D5">
      <w:pPr>
        <w:pStyle w:val="ListParagraph"/>
        <w:numPr>
          <w:ilvl w:val="1"/>
          <w:numId w:val="9"/>
        </w:numPr>
        <w:rPr>
          <w:rFonts w:ascii="Arial" w:hAnsi="Arial" w:cs="Arial"/>
          <w:sz w:val="22"/>
          <w:szCs w:val="22"/>
        </w:rPr>
      </w:pPr>
      <w:r w:rsidRPr="006204D5">
        <w:rPr>
          <w:rFonts w:ascii="Arial" w:hAnsi="Arial" w:cs="Arial"/>
          <w:sz w:val="22"/>
          <w:szCs w:val="22"/>
        </w:rPr>
        <w:t xml:space="preserve">Supporting Statement Section 5 </w:t>
      </w:r>
      <w:r w:rsidR="00D5134C">
        <w:rPr>
          <w:rFonts w:ascii="Arial" w:hAnsi="Arial" w:cs="Arial"/>
          <w:sz w:val="22"/>
          <w:szCs w:val="22"/>
        </w:rPr>
        <w:t>–</w:t>
      </w:r>
      <w:r w:rsidR="006204D5" w:rsidRPr="006204D5">
        <w:rPr>
          <w:rFonts w:ascii="Arial" w:hAnsi="Arial" w:cs="Arial"/>
          <w:sz w:val="22"/>
          <w:szCs w:val="22"/>
        </w:rPr>
        <w:t xml:space="preserve"> </w:t>
      </w:r>
      <w:r w:rsidR="00D5134C">
        <w:rPr>
          <w:rFonts w:ascii="Arial" w:hAnsi="Arial" w:cs="Arial"/>
          <w:sz w:val="22"/>
          <w:szCs w:val="22"/>
        </w:rPr>
        <w:t>“</w:t>
      </w:r>
      <w:r w:rsidR="006204D5" w:rsidRPr="006204D5">
        <w:rPr>
          <w:rFonts w:ascii="Arial" w:hAnsi="Arial" w:cs="Arial"/>
          <w:sz w:val="22"/>
          <w:szCs w:val="22"/>
        </w:rPr>
        <w:t>Issuance, Limitations, and Conditions of Licenses and Construction Permits</w:t>
      </w:r>
      <w:r w:rsidR="00D5134C">
        <w:rPr>
          <w:rFonts w:ascii="Arial" w:hAnsi="Arial" w:cs="Arial"/>
          <w:sz w:val="22"/>
          <w:szCs w:val="22"/>
        </w:rPr>
        <w:t>”</w:t>
      </w:r>
    </w:p>
    <w:p w14:paraId="1E4C7122" w14:textId="28223B73" w:rsidR="007411E2" w:rsidRPr="006204D5" w:rsidRDefault="007411E2" w:rsidP="006204D5">
      <w:pPr>
        <w:pStyle w:val="Level1"/>
        <w:widowControl/>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204D5">
        <w:rPr>
          <w:rFonts w:ascii="Arial" w:hAnsi="Arial" w:cs="Arial"/>
          <w:sz w:val="22"/>
          <w:szCs w:val="22"/>
        </w:rPr>
        <w:t>Supporting Statement Section 6 - “License Requirements”</w:t>
      </w:r>
    </w:p>
    <w:p w14:paraId="03EC8A11" w14:textId="57501AD6" w:rsidR="007411E2" w:rsidRPr="006204D5" w:rsidRDefault="007411E2" w:rsidP="006204D5">
      <w:pPr>
        <w:pStyle w:val="Level1"/>
        <w:widowControl/>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204D5">
        <w:rPr>
          <w:rFonts w:ascii="Arial" w:hAnsi="Arial" w:cs="Arial"/>
          <w:sz w:val="22"/>
          <w:szCs w:val="22"/>
        </w:rPr>
        <w:t>Supporting Statement Section</w:t>
      </w:r>
      <w:r w:rsidR="006204D5" w:rsidRPr="006204D5">
        <w:rPr>
          <w:rFonts w:ascii="Arial" w:hAnsi="Arial" w:cs="Arial"/>
          <w:sz w:val="22"/>
          <w:szCs w:val="22"/>
        </w:rPr>
        <w:t xml:space="preserve"> 7 </w:t>
      </w:r>
      <w:r w:rsidR="00D5134C">
        <w:rPr>
          <w:rFonts w:ascii="Arial" w:hAnsi="Arial" w:cs="Arial"/>
          <w:sz w:val="22"/>
          <w:szCs w:val="22"/>
        </w:rPr>
        <w:t>–</w:t>
      </w:r>
      <w:r w:rsidR="006204D5" w:rsidRPr="006204D5">
        <w:rPr>
          <w:rFonts w:ascii="Arial" w:hAnsi="Arial" w:cs="Arial"/>
          <w:sz w:val="22"/>
          <w:szCs w:val="22"/>
        </w:rPr>
        <w:t xml:space="preserve"> </w:t>
      </w:r>
      <w:r w:rsidR="00D5134C">
        <w:rPr>
          <w:rFonts w:ascii="Arial" w:hAnsi="Arial" w:cs="Arial"/>
          <w:sz w:val="22"/>
          <w:szCs w:val="22"/>
        </w:rPr>
        <w:t>“</w:t>
      </w:r>
      <w:r w:rsidR="006204D5" w:rsidRPr="006204D5">
        <w:rPr>
          <w:rFonts w:ascii="Arial" w:hAnsi="Arial" w:cs="Arial"/>
          <w:sz w:val="22"/>
          <w:szCs w:val="22"/>
        </w:rPr>
        <w:t>Standards for Licenses, Certifications, and Regulatory Approvals</w:t>
      </w:r>
      <w:r w:rsidR="00D5134C">
        <w:rPr>
          <w:rFonts w:ascii="Arial" w:hAnsi="Arial" w:cs="Arial"/>
          <w:sz w:val="22"/>
          <w:szCs w:val="22"/>
        </w:rPr>
        <w:t>”</w:t>
      </w:r>
    </w:p>
    <w:sectPr w:rsidR="007411E2" w:rsidRPr="006204D5" w:rsidSect="00B13E25">
      <w:headerReference w:type="even" r:id="rId13"/>
      <w:headerReference w:type="default" r:id="rId14"/>
      <w:footerReference w:type="even" r:id="rId15"/>
      <w:footerReference w:type="default" r:id="rId16"/>
      <w:pgSz w:w="12240" w:h="15840"/>
      <w:pgMar w:top="1440" w:right="1440" w:bottom="173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91D0" w14:textId="77777777" w:rsidR="00BC3A66" w:rsidRDefault="00BC3A66">
      <w:r>
        <w:separator/>
      </w:r>
    </w:p>
  </w:endnote>
  <w:endnote w:type="continuationSeparator" w:id="0">
    <w:p w14:paraId="78BC7E3A" w14:textId="77777777" w:rsidR="00BC3A66" w:rsidRDefault="00BC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2665" w14:textId="77777777" w:rsidR="00893AE0" w:rsidRDefault="00893AE0">
    <w:pPr>
      <w:framePr w:w="9360" w:h="256" w:hRule="exact" w:wrap="notBeside" w:vAnchor="page" w:hAnchor="text" w:y="1440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2"/>
      </w:rPr>
      <w:pgNum/>
    </w:r>
  </w:p>
  <w:p w14:paraId="47DCC968" w14:textId="77777777"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C54C" w14:textId="77777777" w:rsidR="00893AE0" w:rsidRDefault="00893AE0">
    <w:pPr>
      <w:framePr w:w="9360" w:h="256" w:hRule="exact" w:wrap="notBeside" w:vAnchor="page" w:hAnchor="text" w:y="1440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sz w:val="22"/>
      </w:rPr>
      <w:pgNum/>
    </w:r>
  </w:p>
  <w:p w14:paraId="5856BD5D" w14:textId="77777777"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FF7E" w14:textId="77777777" w:rsidR="00BC3A66" w:rsidRDefault="00BC3A66">
      <w:r>
        <w:separator/>
      </w:r>
    </w:p>
  </w:footnote>
  <w:footnote w:type="continuationSeparator" w:id="0">
    <w:p w14:paraId="6E9C0457" w14:textId="77777777" w:rsidR="00BC3A66" w:rsidRDefault="00BC3A66">
      <w:r>
        <w:continuationSeparator/>
      </w:r>
    </w:p>
  </w:footnote>
  <w:footnote w:id="1">
    <w:p w14:paraId="7DFAAD9D" w14:textId="77777777" w:rsidR="00893AE0" w:rsidRDefault="00893AE0">
      <w:pPr>
        <w:pStyle w:val="FootnoteT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pPr>
      <w:r>
        <w:rPr>
          <w:vertAlign w:val="superscript"/>
        </w:rPr>
        <w:t>*</w:t>
      </w:r>
      <w:r>
        <w:t xml:space="preserve">Items 12, 13 and 14 are covered in the section-specific statements (see </w:t>
      </w:r>
    </w:p>
    <w:p w14:paraId="14E34F75" w14:textId="55B1E43B" w:rsidR="00893AE0" w:rsidRDefault="00580D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sz w:val="22"/>
        </w:rPr>
      </w:pPr>
      <w:r>
        <w:rPr>
          <w:rFonts w:ascii="Arial" w:hAnsi="Arial"/>
          <w:sz w:val="22"/>
        </w:rPr>
        <w:t>Supplementary Document</w:t>
      </w:r>
      <w:r w:rsidR="00893AE0">
        <w:rPr>
          <w:rFonts w:ascii="Arial" w:hAnsi="Arial"/>
          <w:sz w:val="22"/>
        </w:rPr>
        <w:t xml:space="preserve"> 2, Sections </w:t>
      </w:r>
      <w:r w:rsidR="00A31697">
        <w:rPr>
          <w:rFonts w:ascii="Arial" w:hAnsi="Arial"/>
          <w:sz w:val="22"/>
        </w:rPr>
        <w:t xml:space="preserve">2 </w:t>
      </w:r>
      <w:r w:rsidR="00893AE0">
        <w:rPr>
          <w:rFonts w:ascii="Arial" w:hAnsi="Arial"/>
          <w:sz w:val="22"/>
        </w:rPr>
        <w:t xml:space="preserve">through </w:t>
      </w:r>
      <w:r w:rsidR="00A31697">
        <w:rPr>
          <w:rFonts w:ascii="Arial" w:hAnsi="Arial"/>
          <w:sz w:val="22"/>
        </w:rPr>
        <w:t>7</w:t>
      </w:r>
      <w:r w:rsidR="00893AE0">
        <w:rPr>
          <w:rFonts w:ascii="Arial" w:hAnsi="Arial"/>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B507" w14:textId="77777777"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8886" w14:textId="77777777"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2466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2"/>
    <w:multiLevelType w:val="multilevel"/>
    <w:tmpl w:val="57920DE6"/>
    <w:lvl w:ilvl="0">
      <w:start w:val="1"/>
      <w:numFmt w:val="upperLetter"/>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upperLetter"/>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Letter"/>
      <w:suff w:val="nothing"/>
      <w:lvlText w:val="%6."/>
      <w:lvlJc w:val="left"/>
      <w:pPr>
        <w:ind w:left="0" w:firstLine="0"/>
      </w:pPr>
      <w:rPr>
        <w:rFonts w:hint="default"/>
      </w:rPr>
    </w:lvl>
    <w:lvl w:ilvl="6">
      <w:start w:val="1"/>
      <w:numFmt w:val="upperLetter"/>
      <w:suff w:val="nothing"/>
      <w:lvlText w:val="%7."/>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182338E5"/>
    <w:multiLevelType w:val="multilevel"/>
    <w:tmpl w:val="3D7A0602"/>
    <w:lvl w:ilvl="0">
      <w:start w:val="1"/>
      <w:numFmt w:val="decimal"/>
      <w:suff w:val="nothing"/>
      <w:lvlText w:val="%1."/>
      <w:lvlJc w:val="left"/>
      <w:pPr>
        <w:ind w:left="72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nsid w:val="45CD13FD"/>
    <w:multiLevelType w:val="hybridMultilevel"/>
    <w:tmpl w:val="FB188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2"/>
    <w:lvlOverride w:ilvl="0">
      <w:lvl w:ilvl="0">
        <w:start w:val="1"/>
        <w:numFmt w:val="upperLetter"/>
        <w:suff w:val="nothing"/>
        <w:lvlText w:val="%1."/>
        <w:lvlJc w:val="left"/>
        <w:pPr>
          <w:ind w:left="0" w:firstLine="0"/>
        </w:pPr>
        <w:rPr>
          <w:rFonts w:hint="default"/>
        </w:rPr>
      </w:lvl>
    </w:lvlOverride>
    <w:lvlOverride w:ilvl="1">
      <w:lvl w:ilvl="1">
        <w:start w:val="1"/>
        <w:numFmt w:val="decimal"/>
        <w:suff w:val="nothing"/>
        <w:lvlText w:val="%2."/>
        <w:lvlJc w:val="left"/>
        <w:pPr>
          <w:ind w:left="720" w:hanging="72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upperLetter"/>
        <w:suff w:val="nothing"/>
        <w:lvlText w:val="%4."/>
        <w:lvlJc w:val="left"/>
        <w:pPr>
          <w:ind w:left="0" w:firstLine="0"/>
        </w:pPr>
        <w:rPr>
          <w:rFonts w:hint="default"/>
        </w:rPr>
      </w:lvl>
    </w:lvlOverride>
    <w:lvlOverride w:ilvl="4">
      <w:lvl w:ilvl="4">
        <w:start w:val="1"/>
        <w:numFmt w:val="upperLetter"/>
        <w:suff w:val="nothing"/>
        <w:lvlText w:val="%5."/>
        <w:lvlJc w:val="left"/>
        <w:pPr>
          <w:ind w:left="0" w:firstLine="0"/>
        </w:pPr>
        <w:rPr>
          <w:rFonts w:hint="default"/>
        </w:rPr>
      </w:lvl>
    </w:lvlOverride>
    <w:lvlOverride w:ilvl="5">
      <w:lvl w:ilvl="5">
        <w:start w:val="1"/>
        <w:numFmt w:val="upperLetter"/>
        <w:suff w:val="nothing"/>
        <w:lvlText w:val="%6."/>
        <w:lvlJc w:val="left"/>
        <w:pPr>
          <w:ind w:left="0" w:firstLine="0"/>
        </w:pPr>
        <w:rPr>
          <w:rFonts w:hint="default"/>
        </w:rPr>
      </w:lvl>
    </w:lvlOverride>
    <w:lvlOverride w:ilvl="6">
      <w:lvl w:ilvl="6">
        <w:start w:val="1"/>
        <w:numFmt w:val="upperLetter"/>
        <w:suff w:val="nothing"/>
        <w:lvlText w:val="%7."/>
        <w:lvlJc w:val="left"/>
        <w:pPr>
          <w:ind w:left="0" w:firstLine="0"/>
        </w:pPr>
        <w:rPr>
          <w:rFonts w:hint="default"/>
        </w:rPr>
      </w:lvl>
    </w:lvlOverride>
    <w:lvlOverride w:ilvl="7">
      <w:lvl w:ilvl="7">
        <w:start w:val="1"/>
        <w:numFmt w:val="upperLetter"/>
        <w:suff w:val="nothing"/>
        <w:lvlText w:val="%8."/>
        <w:lvlJc w:val="left"/>
        <w:pPr>
          <w:ind w:left="0" w:firstLine="0"/>
        </w:pPr>
        <w:rPr>
          <w:rFonts w:hint="default"/>
        </w:rPr>
      </w:lvl>
    </w:lvlOverride>
    <w:lvlOverride w:ilvl="8">
      <w:lvl w:ilvl="8">
        <w:start w:val="1"/>
        <w:numFmt w:val="lowerRoman"/>
        <w:suff w:val="nothing"/>
        <w:lvlText w:val="%9)"/>
        <w:lvlJc w:val="left"/>
        <w:pPr>
          <w:ind w:left="0" w:firstLine="0"/>
        </w:pPr>
        <w:rPr>
          <w:rFonts w:hint="default"/>
        </w:rPr>
      </w:lvl>
    </w:lvlOverride>
  </w:num>
  <w:num w:numId="8">
    <w:abstractNumId w:val="2"/>
    <w:lvlOverride w:ilvl="0">
      <w:lvl w:ilvl="0">
        <w:start w:val="1"/>
        <w:numFmt w:val="upperLetter"/>
        <w:suff w:val="nothing"/>
        <w:lvlText w:val="%1."/>
        <w:lvlJc w:val="left"/>
        <w:pPr>
          <w:ind w:left="0" w:firstLine="0"/>
        </w:pPr>
        <w:rPr>
          <w:rFonts w:hint="default"/>
        </w:rPr>
      </w:lvl>
    </w:lvlOverride>
    <w:lvlOverride w:ilvl="1">
      <w:lvl w:ilvl="1">
        <w:start w:val="1"/>
        <w:numFmt w:val="decimal"/>
        <w:suff w:val="nothing"/>
        <w:lvlText w:val="%2."/>
        <w:lvlJc w:val="left"/>
        <w:pPr>
          <w:ind w:left="720" w:hanging="36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upperLetter"/>
        <w:suff w:val="nothing"/>
        <w:lvlText w:val="%4."/>
        <w:lvlJc w:val="left"/>
        <w:pPr>
          <w:ind w:left="0" w:firstLine="0"/>
        </w:pPr>
        <w:rPr>
          <w:rFonts w:hint="default"/>
        </w:rPr>
      </w:lvl>
    </w:lvlOverride>
    <w:lvlOverride w:ilvl="4">
      <w:lvl w:ilvl="4">
        <w:start w:val="1"/>
        <w:numFmt w:val="upperLetter"/>
        <w:suff w:val="nothing"/>
        <w:lvlText w:val="%5."/>
        <w:lvlJc w:val="left"/>
        <w:pPr>
          <w:ind w:left="0" w:firstLine="0"/>
        </w:pPr>
        <w:rPr>
          <w:rFonts w:hint="default"/>
        </w:rPr>
      </w:lvl>
    </w:lvlOverride>
    <w:lvlOverride w:ilvl="5">
      <w:lvl w:ilvl="5">
        <w:start w:val="1"/>
        <w:numFmt w:val="upperLetter"/>
        <w:suff w:val="nothing"/>
        <w:lvlText w:val="%6."/>
        <w:lvlJc w:val="left"/>
        <w:pPr>
          <w:ind w:left="0" w:firstLine="0"/>
        </w:pPr>
        <w:rPr>
          <w:rFonts w:hint="default"/>
        </w:rPr>
      </w:lvl>
    </w:lvlOverride>
    <w:lvlOverride w:ilvl="6">
      <w:lvl w:ilvl="6">
        <w:start w:val="1"/>
        <w:numFmt w:val="upperLetter"/>
        <w:suff w:val="nothing"/>
        <w:lvlText w:val="%7."/>
        <w:lvlJc w:val="left"/>
        <w:pPr>
          <w:ind w:left="0" w:firstLine="0"/>
        </w:pPr>
        <w:rPr>
          <w:rFonts w:hint="default"/>
        </w:rPr>
      </w:lvl>
    </w:lvlOverride>
    <w:lvlOverride w:ilvl="7">
      <w:lvl w:ilvl="7">
        <w:start w:val="1"/>
        <w:numFmt w:val="upperLetter"/>
        <w:suff w:val="nothing"/>
        <w:lvlText w:val="%8."/>
        <w:lvlJc w:val="left"/>
        <w:pPr>
          <w:ind w:left="0" w:firstLine="0"/>
        </w:pPr>
        <w:rPr>
          <w:rFonts w:hint="default"/>
        </w:rPr>
      </w:lvl>
    </w:lvlOverride>
    <w:lvlOverride w:ilvl="8">
      <w:lvl w:ilvl="8">
        <w:start w:val="1"/>
        <w:numFmt w:val="lowerRoman"/>
        <w:suff w:val="nothing"/>
        <w:lvlText w:val="%9)"/>
        <w:lvlJc w:val="left"/>
        <w:pPr>
          <w:ind w:left="0" w:firstLine="0"/>
        </w:pPr>
        <w:rPr>
          <w:rFonts w:hint="default"/>
        </w:rPr>
      </w:lvl>
    </w:lvlOverride>
  </w:num>
  <w:num w:numId="9">
    <w:abstractNumId w:val="2"/>
    <w:lvlOverride w:ilvl="0">
      <w:lvl w:ilvl="0">
        <w:start w:val="1"/>
        <w:numFmt w:val="upperLetter"/>
        <w:suff w:val="nothing"/>
        <w:lvlText w:val="%1."/>
        <w:lvlJc w:val="left"/>
        <w:pPr>
          <w:ind w:left="0" w:firstLine="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upperLetter"/>
        <w:suff w:val="nothing"/>
        <w:lvlText w:val="%4."/>
        <w:lvlJc w:val="left"/>
        <w:pPr>
          <w:ind w:left="0" w:firstLine="0"/>
        </w:pPr>
        <w:rPr>
          <w:rFonts w:hint="default"/>
        </w:rPr>
      </w:lvl>
    </w:lvlOverride>
    <w:lvlOverride w:ilvl="4">
      <w:lvl w:ilvl="4">
        <w:start w:val="1"/>
        <w:numFmt w:val="upperLetter"/>
        <w:suff w:val="nothing"/>
        <w:lvlText w:val="%5."/>
        <w:lvlJc w:val="left"/>
        <w:pPr>
          <w:ind w:left="0" w:firstLine="0"/>
        </w:pPr>
        <w:rPr>
          <w:rFonts w:hint="default"/>
        </w:rPr>
      </w:lvl>
    </w:lvlOverride>
    <w:lvlOverride w:ilvl="5">
      <w:lvl w:ilvl="5">
        <w:start w:val="1"/>
        <w:numFmt w:val="upperLetter"/>
        <w:suff w:val="nothing"/>
        <w:lvlText w:val="%6."/>
        <w:lvlJc w:val="left"/>
        <w:pPr>
          <w:ind w:left="0" w:firstLine="0"/>
        </w:pPr>
        <w:rPr>
          <w:rFonts w:hint="default"/>
        </w:rPr>
      </w:lvl>
    </w:lvlOverride>
    <w:lvlOverride w:ilvl="6">
      <w:lvl w:ilvl="6">
        <w:start w:val="1"/>
        <w:numFmt w:val="upperLetter"/>
        <w:suff w:val="nothing"/>
        <w:lvlText w:val="%7."/>
        <w:lvlJc w:val="left"/>
        <w:pPr>
          <w:ind w:left="0" w:firstLine="0"/>
        </w:pPr>
        <w:rPr>
          <w:rFonts w:hint="default"/>
        </w:rPr>
      </w:lvl>
    </w:lvlOverride>
    <w:lvlOverride w:ilvl="7">
      <w:lvl w:ilvl="7">
        <w:start w:val="1"/>
        <w:numFmt w:val="upperLetter"/>
        <w:suff w:val="nothing"/>
        <w:lvlText w:val="%8."/>
        <w:lvlJc w:val="left"/>
        <w:pPr>
          <w:ind w:left="0" w:firstLine="0"/>
        </w:pPr>
        <w:rPr>
          <w:rFonts w:hint="default"/>
        </w:rPr>
      </w:lvl>
    </w:lvlOverride>
    <w:lvlOverride w:ilvl="8">
      <w:lvl w:ilvl="8">
        <w:start w:val="1"/>
        <w:numFmt w:val="lowerRoman"/>
        <w:suff w:val="nothing"/>
        <w:lvlText w:val="%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96"/>
    <w:rsid w:val="00045C1C"/>
    <w:rsid w:val="00060619"/>
    <w:rsid w:val="00071DF3"/>
    <w:rsid w:val="00077635"/>
    <w:rsid w:val="00080DD1"/>
    <w:rsid w:val="00092BE0"/>
    <w:rsid w:val="00096F02"/>
    <w:rsid w:val="000A0B86"/>
    <w:rsid w:val="000B1429"/>
    <w:rsid w:val="000B6549"/>
    <w:rsid w:val="000C1F52"/>
    <w:rsid w:val="000C3B56"/>
    <w:rsid w:val="000D59C6"/>
    <w:rsid w:val="000F3012"/>
    <w:rsid w:val="001065C5"/>
    <w:rsid w:val="001345E6"/>
    <w:rsid w:val="00147707"/>
    <w:rsid w:val="00164E06"/>
    <w:rsid w:val="001722FB"/>
    <w:rsid w:val="001A1D50"/>
    <w:rsid w:val="001B0A70"/>
    <w:rsid w:val="001C7969"/>
    <w:rsid w:val="001F53CE"/>
    <w:rsid w:val="002031F4"/>
    <w:rsid w:val="00205E9F"/>
    <w:rsid w:val="00244B86"/>
    <w:rsid w:val="00257F3B"/>
    <w:rsid w:val="00266DF4"/>
    <w:rsid w:val="002C09AA"/>
    <w:rsid w:val="002E09EB"/>
    <w:rsid w:val="002E2E95"/>
    <w:rsid w:val="0032622D"/>
    <w:rsid w:val="0034336B"/>
    <w:rsid w:val="00347BC0"/>
    <w:rsid w:val="003C706A"/>
    <w:rsid w:val="00423880"/>
    <w:rsid w:val="004249BE"/>
    <w:rsid w:val="004318A4"/>
    <w:rsid w:val="004334A1"/>
    <w:rsid w:val="00464CA1"/>
    <w:rsid w:val="00476BCF"/>
    <w:rsid w:val="004A72E2"/>
    <w:rsid w:val="004B0092"/>
    <w:rsid w:val="004D4703"/>
    <w:rsid w:val="004E18CF"/>
    <w:rsid w:val="005027A7"/>
    <w:rsid w:val="00517C76"/>
    <w:rsid w:val="00571923"/>
    <w:rsid w:val="00580DB1"/>
    <w:rsid w:val="00594ACA"/>
    <w:rsid w:val="005A1C8A"/>
    <w:rsid w:val="005F0201"/>
    <w:rsid w:val="005F6934"/>
    <w:rsid w:val="006144D1"/>
    <w:rsid w:val="006204D5"/>
    <w:rsid w:val="00631894"/>
    <w:rsid w:val="006365B8"/>
    <w:rsid w:val="006B217A"/>
    <w:rsid w:val="006D0A65"/>
    <w:rsid w:val="006E3A4E"/>
    <w:rsid w:val="007029CA"/>
    <w:rsid w:val="00706024"/>
    <w:rsid w:val="007411E2"/>
    <w:rsid w:val="00747DF3"/>
    <w:rsid w:val="0078254A"/>
    <w:rsid w:val="00786C67"/>
    <w:rsid w:val="007A3D1D"/>
    <w:rsid w:val="007A3D31"/>
    <w:rsid w:val="007A3F8F"/>
    <w:rsid w:val="007C17BA"/>
    <w:rsid w:val="007E64B1"/>
    <w:rsid w:val="007F674F"/>
    <w:rsid w:val="0080395D"/>
    <w:rsid w:val="0080710E"/>
    <w:rsid w:val="008148FD"/>
    <w:rsid w:val="00843AF1"/>
    <w:rsid w:val="00850F96"/>
    <w:rsid w:val="008742B9"/>
    <w:rsid w:val="00893AE0"/>
    <w:rsid w:val="008A6A0B"/>
    <w:rsid w:val="008B1DEE"/>
    <w:rsid w:val="008B58B0"/>
    <w:rsid w:val="008D31A7"/>
    <w:rsid w:val="008D6812"/>
    <w:rsid w:val="008E4043"/>
    <w:rsid w:val="009134A5"/>
    <w:rsid w:val="009246A1"/>
    <w:rsid w:val="0093557A"/>
    <w:rsid w:val="00996EE1"/>
    <w:rsid w:val="009A26C6"/>
    <w:rsid w:val="00A03D96"/>
    <w:rsid w:val="00A069B5"/>
    <w:rsid w:val="00A31697"/>
    <w:rsid w:val="00A35CFE"/>
    <w:rsid w:val="00A56802"/>
    <w:rsid w:val="00A8577C"/>
    <w:rsid w:val="00AA3D65"/>
    <w:rsid w:val="00AA7834"/>
    <w:rsid w:val="00AD2F54"/>
    <w:rsid w:val="00AF5552"/>
    <w:rsid w:val="00B11EB4"/>
    <w:rsid w:val="00B13E25"/>
    <w:rsid w:val="00B15C9B"/>
    <w:rsid w:val="00B24B1B"/>
    <w:rsid w:val="00B61C8D"/>
    <w:rsid w:val="00B71ACD"/>
    <w:rsid w:val="00B923BD"/>
    <w:rsid w:val="00BA1077"/>
    <w:rsid w:val="00BA48C6"/>
    <w:rsid w:val="00BC3A66"/>
    <w:rsid w:val="00BE5194"/>
    <w:rsid w:val="00BE62FF"/>
    <w:rsid w:val="00C01340"/>
    <w:rsid w:val="00C11978"/>
    <w:rsid w:val="00C37C82"/>
    <w:rsid w:val="00C420C5"/>
    <w:rsid w:val="00C51F60"/>
    <w:rsid w:val="00CA66E3"/>
    <w:rsid w:val="00CB509C"/>
    <w:rsid w:val="00CD110A"/>
    <w:rsid w:val="00CF48C5"/>
    <w:rsid w:val="00D1338D"/>
    <w:rsid w:val="00D4572A"/>
    <w:rsid w:val="00D5134C"/>
    <w:rsid w:val="00DA26F1"/>
    <w:rsid w:val="00DB0C14"/>
    <w:rsid w:val="00DB220E"/>
    <w:rsid w:val="00DF086A"/>
    <w:rsid w:val="00E03165"/>
    <w:rsid w:val="00E373CF"/>
    <w:rsid w:val="00E53E05"/>
    <w:rsid w:val="00E70506"/>
    <w:rsid w:val="00E80CA6"/>
    <w:rsid w:val="00E86B59"/>
    <w:rsid w:val="00EE4AF0"/>
    <w:rsid w:val="00EF43C0"/>
    <w:rsid w:val="00F232D7"/>
    <w:rsid w:val="00F3792D"/>
    <w:rsid w:val="00F47DD9"/>
    <w:rsid w:val="00F51BCC"/>
    <w:rsid w:val="00F54776"/>
    <w:rsid w:val="00F90B18"/>
    <w:rsid w:val="00FB0475"/>
    <w:rsid w:val="00FB5555"/>
    <w:rsid w:val="00FD38AF"/>
    <w:rsid w:val="00FE5E10"/>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B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3E25"/>
    <w:pPr>
      <w:widowControl w:val="0"/>
    </w:pPr>
  </w:style>
  <w:style w:type="paragraph" w:customStyle="1" w:styleId="Level2">
    <w:name w:val="Level 2"/>
    <w:basedOn w:val="Normal"/>
    <w:rsid w:val="00B13E25"/>
    <w:pPr>
      <w:widowControl w:val="0"/>
    </w:pPr>
  </w:style>
  <w:style w:type="paragraph" w:customStyle="1" w:styleId="Level3">
    <w:name w:val="Level 3"/>
    <w:basedOn w:val="Normal"/>
    <w:rsid w:val="00B13E25"/>
    <w:pPr>
      <w:widowControl w:val="0"/>
    </w:pPr>
  </w:style>
  <w:style w:type="paragraph" w:customStyle="1" w:styleId="Level4">
    <w:name w:val="Level 4"/>
    <w:basedOn w:val="Normal"/>
    <w:rsid w:val="00B13E25"/>
    <w:pPr>
      <w:widowControl w:val="0"/>
    </w:pPr>
  </w:style>
  <w:style w:type="paragraph" w:customStyle="1" w:styleId="Level5">
    <w:name w:val="Level 5"/>
    <w:basedOn w:val="Normal"/>
    <w:rsid w:val="00B13E25"/>
    <w:pPr>
      <w:widowControl w:val="0"/>
    </w:pPr>
  </w:style>
  <w:style w:type="paragraph" w:customStyle="1" w:styleId="Level6">
    <w:name w:val="Level 6"/>
    <w:basedOn w:val="Normal"/>
    <w:rsid w:val="00B13E25"/>
    <w:pPr>
      <w:widowControl w:val="0"/>
    </w:pPr>
  </w:style>
  <w:style w:type="paragraph" w:customStyle="1" w:styleId="Level7">
    <w:name w:val="Level 7"/>
    <w:basedOn w:val="Normal"/>
    <w:rsid w:val="00B13E25"/>
    <w:pPr>
      <w:widowControl w:val="0"/>
    </w:pPr>
  </w:style>
  <w:style w:type="paragraph" w:customStyle="1" w:styleId="Level8">
    <w:name w:val="Level 8"/>
    <w:basedOn w:val="Normal"/>
    <w:rsid w:val="00B13E25"/>
    <w:pPr>
      <w:widowControl w:val="0"/>
    </w:pPr>
  </w:style>
  <w:style w:type="paragraph" w:customStyle="1" w:styleId="Level9">
    <w:name w:val="Level 9"/>
    <w:basedOn w:val="Normal"/>
    <w:rsid w:val="00B13E25"/>
    <w:pPr>
      <w:widowControl w:val="0"/>
    </w:pPr>
    <w:rPr>
      <w:b/>
    </w:rPr>
  </w:style>
  <w:style w:type="paragraph" w:styleId="FootnoteText">
    <w:name w:val="footnote text"/>
    <w:basedOn w:val="Normal"/>
    <w:semiHidden/>
    <w:rsid w:val="00B13E25"/>
    <w:pPr>
      <w:ind w:firstLine="720"/>
    </w:pPr>
    <w:rPr>
      <w:rFonts w:ascii="Arial" w:hAnsi="Arial"/>
      <w:sz w:val="22"/>
    </w:rPr>
  </w:style>
  <w:style w:type="character" w:styleId="FootnoteReference">
    <w:name w:val="footnote reference"/>
    <w:basedOn w:val="DefaultParagraphFont"/>
    <w:semiHidden/>
    <w:rsid w:val="00B13E25"/>
    <w:rPr>
      <w:vertAlign w:val="superscript"/>
    </w:rPr>
  </w:style>
  <w:style w:type="table" w:styleId="TableGrid">
    <w:name w:val="Table Grid"/>
    <w:basedOn w:val="TableNormal"/>
    <w:rsid w:val="00B71ACD"/>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2FB"/>
    <w:pPr>
      <w:ind w:left="720"/>
      <w:contextualSpacing/>
    </w:pPr>
  </w:style>
  <w:style w:type="paragraph" w:styleId="BalloonText">
    <w:name w:val="Balloon Text"/>
    <w:basedOn w:val="Normal"/>
    <w:link w:val="BalloonTextChar"/>
    <w:rsid w:val="009A26C6"/>
    <w:rPr>
      <w:rFonts w:ascii="Tahoma" w:hAnsi="Tahoma" w:cs="Tahoma"/>
      <w:sz w:val="16"/>
      <w:szCs w:val="16"/>
    </w:rPr>
  </w:style>
  <w:style w:type="character" w:customStyle="1" w:styleId="BalloonTextChar">
    <w:name w:val="Balloon Text Char"/>
    <w:basedOn w:val="DefaultParagraphFont"/>
    <w:link w:val="BalloonText"/>
    <w:rsid w:val="009A26C6"/>
    <w:rPr>
      <w:rFonts w:ascii="Tahoma" w:hAnsi="Tahoma" w:cs="Tahoma"/>
      <w:sz w:val="16"/>
      <w:szCs w:val="16"/>
    </w:rPr>
  </w:style>
  <w:style w:type="character" w:styleId="Hyperlink">
    <w:name w:val="Hyperlink"/>
    <w:basedOn w:val="DefaultParagraphFont"/>
    <w:uiPriority w:val="99"/>
    <w:unhideWhenUsed/>
    <w:rsid w:val="00E70506"/>
    <w:rPr>
      <w:color w:val="0000FF" w:themeColor="hyperlink"/>
      <w:u w:val="single"/>
    </w:rPr>
  </w:style>
  <w:style w:type="character" w:styleId="CommentReference">
    <w:name w:val="annotation reference"/>
    <w:basedOn w:val="DefaultParagraphFont"/>
    <w:unhideWhenUsed/>
    <w:rsid w:val="00FF32F0"/>
    <w:rPr>
      <w:sz w:val="16"/>
      <w:szCs w:val="16"/>
    </w:rPr>
  </w:style>
  <w:style w:type="paragraph" w:styleId="CommentText">
    <w:name w:val="annotation text"/>
    <w:basedOn w:val="Normal"/>
    <w:link w:val="CommentTextChar"/>
    <w:unhideWhenUsed/>
    <w:rsid w:val="00FF32F0"/>
    <w:rPr>
      <w:sz w:val="20"/>
    </w:rPr>
  </w:style>
  <w:style w:type="character" w:customStyle="1" w:styleId="CommentTextChar">
    <w:name w:val="Comment Text Char"/>
    <w:basedOn w:val="DefaultParagraphFont"/>
    <w:link w:val="CommentText"/>
    <w:rsid w:val="00FF32F0"/>
  </w:style>
  <w:style w:type="paragraph" w:styleId="CommentSubject">
    <w:name w:val="annotation subject"/>
    <w:basedOn w:val="CommentText"/>
    <w:next w:val="CommentText"/>
    <w:link w:val="CommentSubjectChar"/>
    <w:semiHidden/>
    <w:unhideWhenUsed/>
    <w:rsid w:val="00FF32F0"/>
    <w:rPr>
      <w:b/>
      <w:bCs/>
    </w:rPr>
  </w:style>
  <w:style w:type="character" w:customStyle="1" w:styleId="CommentSubjectChar">
    <w:name w:val="Comment Subject Char"/>
    <w:basedOn w:val="CommentTextChar"/>
    <w:link w:val="CommentSubject"/>
    <w:semiHidden/>
    <w:rsid w:val="00FF32F0"/>
    <w:rPr>
      <w:b/>
      <w:bCs/>
    </w:rPr>
  </w:style>
  <w:style w:type="paragraph" w:styleId="ListBullet">
    <w:name w:val="List Bullet"/>
    <w:basedOn w:val="Normal"/>
    <w:unhideWhenUsed/>
    <w:rsid w:val="000A0B86"/>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3E25"/>
    <w:pPr>
      <w:widowControl w:val="0"/>
    </w:pPr>
  </w:style>
  <w:style w:type="paragraph" w:customStyle="1" w:styleId="Level2">
    <w:name w:val="Level 2"/>
    <w:basedOn w:val="Normal"/>
    <w:rsid w:val="00B13E25"/>
    <w:pPr>
      <w:widowControl w:val="0"/>
    </w:pPr>
  </w:style>
  <w:style w:type="paragraph" w:customStyle="1" w:styleId="Level3">
    <w:name w:val="Level 3"/>
    <w:basedOn w:val="Normal"/>
    <w:rsid w:val="00B13E25"/>
    <w:pPr>
      <w:widowControl w:val="0"/>
    </w:pPr>
  </w:style>
  <w:style w:type="paragraph" w:customStyle="1" w:styleId="Level4">
    <w:name w:val="Level 4"/>
    <w:basedOn w:val="Normal"/>
    <w:rsid w:val="00B13E25"/>
    <w:pPr>
      <w:widowControl w:val="0"/>
    </w:pPr>
  </w:style>
  <w:style w:type="paragraph" w:customStyle="1" w:styleId="Level5">
    <w:name w:val="Level 5"/>
    <w:basedOn w:val="Normal"/>
    <w:rsid w:val="00B13E25"/>
    <w:pPr>
      <w:widowControl w:val="0"/>
    </w:pPr>
  </w:style>
  <w:style w:type="paragraph" w:customStyle="1" w:styleId="Level6">
    <w:name w:val="Level 6"/>
    <w:basedOn w:val="Normal"/>
    <w:rsid w:val="00B13E25"/>
    <w:pPr>
      <w:widowControl w:val="0"/>
    </w:pPr>
  </w:style>
  <w:style w:type="paragraph" w:customStyle="1" w:styleId="Level7">
    <w:name w:val="Level 7"/>
    <w:basedOn w:val="Normal"/>
    <w:rsid w:val="00B13E25"/>
    <w:pPr>
      <w:widowControl w:val="0"/>
    </w:pPr>
  </w:style>
  <w:style w:type="paragraph" w:customStyle="1" w:styleId="Level8">
    <w:name w:val="Level 8"/>
    <w:basedOn w:val="Normal"/>
    <w:rsid w:val="00B13E25"/>
    <w:pPr>
      <w:widowControl w:val="0"/>
    </w:pPr>
  </w:style>
  <w:style w:type="paragraph" w:customStyle="1" w:styleId="Level9">
    <w:name w:val="Level 9"/>
    <w:basedOn w:val="Normal"/>
    <w:rsid w:val="00B13E25"/>
    <w:pPr>
      <w:widowControl w:val="0"/>
    </w:pPr>
    <w:rPr>
      <w:b/>
    </w:rPr>
  </w:style>
  <w:style w:type="paragraph" w:styleId="FootnoteText">
    <w:name w:val="footnote text"/>
    <w:basedOn w:val="Normal"/>
    <w:semiHidden/>
    <w:rsid w:val="00B13E25"/>
    <w:pPr>
      <w:ind w:firstLine="720"/>
    </w:pPr>
    <w:rPr>
      <w:rFonts w:ascii="Arial" w:hAnsi="Arial"/>
      <w:sz w:val="22"/>
    </w:rPr>
  </w:style>
  <w:style w:type="character" w:styleId="FootnoteReference">
    <w:name w:val="footnote reference"/>
    <w:basedOn w:val="DefaultParagraphFont"/>
    <w:semiHidden/>
    <w:rsid w:val="00B13E25"/>
    <w:rPr>
      <w:vertAlign w:val="superscript"/>
    </w:rPr>
  </w:style>
  <w:style w:type="table" w:styleId="TableGrid">
    <w:name w:val="Table Grid"/>
    <w:basedOn w:val="TableNormal"/>
    <w:rsid w:val="00B71ACD"/>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2FB"/>
    <w:pPr>
      <w:ind w:left="720"/>
      <w:contextualSpacing/>
    </w:pPr>
  </w:style>
  <w:style w:type="paragraph" w:styleId="BalloonText">
    <w:name w:val="Balloon Text"/>
    <w:basedOn w:val="Normal"/>
    <w:link w:val="BalloonTextChar"/>
    <w:rsid w:val="009A26C6"/>
    <w:rPr>
      <w:rFonts w:ascii="Tahoma" w:hAnsi="Tahoma" w:cs="Tahoma"/>
      <w:sz w:val="16"/>
      <w:szCs w:val="16"/>
    </w:rPr>
  </w:style>
  <w:style w:type="character" w:customStyle="1" w:styleId="BalloonTextChar">
    <w:name w:val="Balloon Text Char"/>
    <w:basedOn w:val="DefaultParagraphFont"/>
    <w:link w:val="BalloonText"/>
    <w:rsid w:val="009A26C6"/>
    <w:rPr>
      <w:rFonts w:ascii="Tahoma" w:hAnsi="Tahoma" w:cs="Tahoma"/>
      <w:sz w:val="16"/>
      <w:szCs w:val="16"/>
    </w:rPr>
  </w:style>
  <w:style w:type="character" w:styleId="Hyperlink">
    <w:name w:val="Hyperlink"/>
    <w:basedOn w:val="DefaultParagraphFont"/>
    <w:uiPriority w:val="99"/>
    <w:unhideWhenUsed/>
    <w:rsid w:val="00E70506"/>
    <w:rPr>
      <w:color w:val="0000FF" w:themeColor="hyperlink"/>
      <w:u w:val="single"/>
    </w:rPr>
  </w:style>
  <w:style w:type="character" w:styleId="CommentReference">
    <w:name w:val="annotation reference"/>
    <w:basedOn w:val="DefaultParagraphFont"/>
    <w:unhideWhenUsed/>
    <w:rsid w:val="00FF32F0"/>
    <w:rPr>
      <w:sz w:val="16"/>
      <w:szCs w:val="16"/>
    </w:rPr>
  </w:style>
  <w:style w:type="paragraph" w:styleId="CommentText">
    <w:name w:val="annotation text"/>
    <w:basedOn w:val="Normal"/>
    <w:link w:val="CommentTextChar"/>
    <w:unhideWhenUsed/>
    <w:rsid w:val="00FF32F0"/>
    <w:rPr>
      <w:sz w:val="20"/>
    </w:rPr>
  </w:style>
  <w:style w:type="character" w:customStyle="1" w:styleId="CommentTextChar">
    <w:name w:val="Comment Text Char"/>
    <w:basedOn w:val="DefaultParagraphFont"/>
    <w:link w:val="CommentText"/>
    <w:rsid w:val="00FF32F0"/>
  </w:style>
  <w:style w:type="paragraph" w:styleId="CommentSubject">
    <w:name w:val="annotation subject"/>
    <w:basedOn w:val="CommentText"/>
    <w:next w:val="CommentText"/>
    <w:link w:val="CommentSubjectChar"/>
    <w:semiHidden/>
    <w:unhideWhenUsed/>
    <w:rsid w:val="00FF32F0"/>
    <w:rPr>
      <w:b/>
      <w:bCs/>
    </w:rPr>
  </w:style>
  <w:style w:type="character" w:customStyle="1" w:styleId="CommentSubjectChar">
    <w:name w:val="Comment Subject Char"/>
    <w:basedOn w:val="CommentTextChar"/>
    <w:link w:val="CommentSubject"/>
    <w:semiHidden/>
    <w:rsid w:val="00FF32F0"/>
    <w:rPr>
      <w:b/>
      <w:bCs/>
    </w:rPr>
  </w:style>
  <w:style w:type="paragraph" w:styleId="ListBullet">
    <w:name w:val="List Bullet"/>
    <w:basedOn w:val="Normal"/>
    <w:unhideWhenUsed/>
    <w:rsid w:val="000A0B8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298">
      <w:bodyDiv w:val="1"/>
      <w:marLeft w:val="0"/>
      <w:marRight w:val="0"/>
      <w:marTop w:val="0"/>
      <w:marBottom w:val="0"/>
      <w:divBdr>
        <w:top w:val="none" w:sz="0" w:space="0" w:color="auto"/>
        <w:left w:val="none" w:sz="0" w:space="0" w:color="auto"/>
        <w:bottom w:val="none" w:sz="0" w:space="0" w:color="auto"/>
        <w:right w:val="none" w:sz="0" w:space="0" w:color="auto"/>
      </w:divBdr>
    </w:div>
    <w:div w:id="183401527">
      <w:bodyDiv w:val="1"/>
      <w:marLeft w:val="0"/>
      <w:marRight w:val="0"/>
      <w:marTop w:val="0"/>
      <w:marBottom w:val="0"/>
      <w:divBdr>
        <w:top w:val="none" w:sz="0" w:space="0" w:color="auto"/>
        <w:left w:val="none" w:sz="0" w:space="0" w:color="auto"/>
        <w:bottom w:val="none" w:sz="0" w:space="0" w:color="auto"/>
        <w:right w:val="none" w:sz="0" w:space="0" w:color="auto"/>
      </w:divBdr>
    </w:div>
    <w:div w:id="226187928">
      <w:bodyDiv w:val="1"/>
      <w:marLeft w:val="0"/>
      <w:marRight w:val="0"/>
      <w:marTop w:val="0"/>
      <w:marBottom w:val="0"/>
      <w:divBdr>
        <w:top w:val="none" w:sz="0" w:space="0" w:color="auto"/>
        <w:left w:val="none" w:sz="0" w:space="0" w:color="auto"/>
        <w:bottom w:val="none" w:sz="0" w:space="0" w:color="auto"/>
        <w:right w:val="none" w:sz="0" w:space="0" w:color="auto"/>
      </w:divBdr>
    </w:div>
    <w:div w:id="258022850">
      <w:bodyDiv w:val="1"/>
      <w:marLeft w:val="0"/>
      <w:marRight w:val="0"/>
      <w:marTop w:val="0"/>
      <w:marBottom w:val="0"/>
      <w:divBdr>
        <w:top w:val="none" w:sz="0" w:space="0" w:color="auto"/>
        <w:left w:val="none" w:sz="0" w:space="0" w:color="auto"/>
        <w:bottom w:val="none" w:sz="0" w:space="0" w:color="auto"/>
        <w:right w:val="none" w:sz="0" w:space="0" w:color="auto"/>
      </w:divBdr>
    </w:div>
    <w:div w:id="344524467">
      <w:bodyDiv w:val="1"/>
      <w:marLeft w:val="0"/>
      <w:marRight w:val="0"/>
      <w:marTop w:val="0"/>
      <w:marBottom w:val="0"/>
      <w:divBdr>
        <w:top w:val="none" w:sz="0" w:space="0" w:color="auto"/>
        <w:left w:val="none" w:sz="0" w:space="0" w:color="auto"/>
        <w:bottom w:val="none" w:sz="0" w:space="0" w:color="auto"/>
        <w:right w:val="none" w:sz="0" w:space="0" w:color="auto"/>
      </w:divBdr>
    </w:div>
    <w:div w:id="672993127">
      <w:bodyDiv w:val="1"/>
      <w:marLeft w:val="0"/>
      <w:marRight w:val="0"/>
      <w:marTop w:val="0"/>
      <w:marBottom w:val="0"/>
      <w:divBdr>
        <w:top w:val="none" w:sz="0" w:space="0" w:color="auto"/>
        <w:left w:val="none" w:sz="0" w:space="0" w:color="auto"/>
        <w:bottom w:val="none" w:sz="0" w:space="0" w:color="auto"/>
        <w:right w:val="none" w:sz="0" w:space="0" w:color="auto"/>
      </w:divBdr>
    </w:div>
    <w:div w:id="943154931">
      <w:bodyDiv w:val="1"/>
      <w:marLeft w:val="0"/>
      <w:marRight w:val="0"/>
      <w:marTop w:val="0"/>
      <w:marBottom w:val="0"/>
      <w:divBdr>
        <w:top w:val="none" w:sz="0" w:space="0" w:color="auto"/>
        <w:left w:val="none" w:sz="0" w:space="0" w:color="auto"/>
        <w:bottom w:val="none" w:sz="0" w:space="0" w:color="auto"/>
        <w:right w:val="none" w:sz="0" w:space="0" w:color="auto"/>
      </w:divBdr>
    </w:div>
    <w:div w:id="965815034">
      <w:bodyDiv w:val="1"/>
      <w:marLeft w:val="0"/>
      <w:marRight w:val="0"/>
      <w:marTop w:val="0"/>
      <w:marBottom w:val="0"/>
      <w:divBdr>
        <w:top w:val="none" w:sz="0" w:space="0" w:color="auto"/>
        <w:left w:val="none" w:sz="0" w:space="0" w:color="auto"/>
        <w:bottom w:val="none" w:sz="0" w:space="0" w:color="auto"/>
        <w:right w:val="none" w:sz="0" w:space="0" w:color="auto"/>
      </w:divBdr>
    </w:div>
    <w:div w:id="990207058">
      <w:bodyDiv w:val="1"/>
      <w:marLeft w:val="0"/>
      <w:marRight w:val="0"/>
      <w:marTop w:val="0"/>
      <w:marBottom w:val="0"/>
      <w:divBdr>
        <w:top w:val="none" w:sz="0" w:space="0" w:color="auto"/>
        <w:left w:val="none" w:sz="0" w:space="0" w:color="auto"/>
        <w:bottom w:val="none" w:sz="0" w:space="0" w:color="auto"/>
        <w:right w:val="none" w:sz="0" w:space="0" w:color="auto"/>
      </w:divBdr>
    </w:div>
    <w:div w:id="998195341">
      <w:bodyDiv w:val="1"/>
      <w:marLeft w:val="0"/>
      <w:marRight w:val="0"/>
      <w:marTop w:val="0"/>
      <w:marBottom w:val="0"/>
      <w:divBdr>
        <w:top w:val="none" w:sz="0" w:space="0" w:color="auto"/>
        <w:left w:val="none" w:sz="0" w:space="0" w:color="auto"/>
        <w:bottom w:val="none" w:sz="0" w:space="0" w:color="auto"/>
        <w:right w:val="none" w:sz="0" w:space="0" w:color="auto"/>
      </w:divBdr>
    </w:div>
    <w:div w:id="1437673349">
      <w:bodyDiv w:val="1"/>
      <w:marLeft w:val="0"/>
      <w:marRight w:val="0"/>
      <w:marTop w:val="0"/>
      <w:marBottom w:val="0"/>
      <w:divBdr>
        <w:top w:val="none" w:sz="0" w:space="0" w:color="auto"/>
        <w:left w:val="none" w:sz="0" w:space="0" w:color="auto"/>
        <w:bottom w:val="none" w:sz="0" w:space="0" w:color="auto"/>
        <w:right w:val="none" w:sz="0" w:space="0" w:color="auto"/>
      </w:divBdr>
    </w:div>
    <w:div w:id="1467120549">
      <w:bodyDiv w:val="1"/>
      <w:marLeft w:val="0"/>
      <w:marRight w:val="0"/>
      <w:marTop w:val="0"/>
      <w:marBottom w:val="0"/>
      <w:divBdr>
        <w:top w:val="none" w:sz="0" w:space="0" w:color="auto"/>
        <w:left w:val="none" w:sz="0" w:space="0" w:color="auto"/>
        <w:bottom w:val="none" w:sz="0" w:space="0" w:color="auto"/>
        <w:right w:val="none" w:sz="0" w:space="0" w:color="auto"/>
      </w:divBdr>
    </w:div>
    <w:div w:id="1516924322">
      <w:bodyDiv w:val="1"/>
      <w:marLeft w:val="0"/>
      <w:marRight w:val="0"/>
      <w:marTop w:val="0"/>
      <w:marBottom w:val="0"/>
      <w:divBdr>
        <w:top w:val="none" w:sz="0" w:space="0" w:color="auto"/>
        <w:left w:val="none" w:sz="0" w:space="0" w:color="auto"/>
        <w:bottom w:val="none" w:sz="0" w:space="0" w:color="auto"/>
        <w:right w:val="none" w:sz="0" w:space="0" w:color="auto"/>
      </w:divBdr>
    </w:div>
    <w:div w:id="1522822292">
      <w:bodyDiv w:val="1"/>
      <w:marLeft w:val="0"/>
      <w:marRight w:val="0"/>
      <w:marTop w:val="0"/>
      <w:marBottom w:val="0"/>
      <w:divBdr>
        <w:top w:val="none" w:sz="0" w:space="0" w:color="auto"/>
        <w:left w:val="none" w:sz="0" w:space="0" w:color="auto"/>
        <w:bottom w:val="none" w:sz="0" w:space="0" w:color="auto"/>
        <w:right w:val="none" w:sz="0" w:space="0" w:color="auto"/>
      </w:divBdr>
    </w:div>
    <w:div w:id="19896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c.gov/site-help/electronic-sub-ref-ma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6F22989693040A0FD428C16D11D8D" ma:contentTypeVersion="4" ma:contentTypeDescription="Create a new document." ma:contentTypeScope="" ma:versionID="b099ea8c66884d0fe83fd7ce7c579cfc">
  <xsd:schema xmlns:xsd="http://www.w3.org/2001/XMLSchema" xmlns:xs="http://www.w3.org/2001/XMLSchema" xmlns:p="http://schemas.microsoft.com/office/2006/metadata/properties" xmlns:ns2="1b5472cd-acd4-40a2-847f-9f330b2894d1" targetNamespace="http://schemas.microsoft.com/office/2006/metadata/properties" ma:root="true" ma:fieldsID="0daea76d85ad32a098186c8c94aaee6f" ns2:_="">
    <xsd:import namespace="1b5472cd-acd4-40a2-847f-9f330b2894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72cd-acd4-40a2-847f-9f330b2894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b5472cd-acd4-40a2-847f-9f330b2894d1">WF3D534FWZTE-2140536802-654</_dlc_DocId>
    <_dlc_DocIdUrl xmlns="1b5472cd-acd4-40a2-847f-9f330b2894d1">
      <Url>http://fusion.nrc.gov/OCIO/team/GEMS/ISB/ICT/_layouts/DocIdRedir.aspx?ID=WF3D534FWZTE-2140536802-654</Url>
      <Description>WF3D534FWZTE-2140536802-654</Description>
    </_dlc_DocIdUrl>
  </documentManagement>
</p:properties>
</file>

<file path=customXml/itemProps1.xml><?xml version="1.0" encoding="utf-8"?>
<ds:datastoreItem xmlns:ds="http://schemas.openxmlformats.org/officeDocument/2006/customXml" ds:itemID="{F2892B71-8B7E-4AC3-9B8B-006C948C6A98}">
  <ds:schemaRefs>
    <ds:schemaRef ds:uri="http://schemas.microsoft.com/sharepoint/v3/contenttype/forms"/>
  </ds:schemaRefs>
</ds:datastoreItem>
</file>

<file path=customXml/itemProps2.xml><?xml version="1.0" encoding="utf-8"?>
<ds:datastoreItem xmlns:ds="http://schemas.openxmlformats.org/officeDocument/2006/customXml" ds:itemID="{674B52EC-8FFB-4B89-9036-957FCC91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72cd-acd4-40a2-847f-9f330b28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5BA7F-420C-4A77-A677-776DC1ABBB3C}">
  <ds:schemaRefs>
    <ds:schemaRef ds:uri="http://schemas.microsoft.com/sharepoint/events"/>
  </ds:schemaRefs>
</ds:datastoreItem>
</file>

<file path=customXml/itemProps4.xml><?xml version="1.0" encoding="utf-8"?>
<ds:datastoreItem xmlns:ds="http://schemas.openxmlformats.org/officeDocument/2006/customXml" ds:itemID="{BE824498-1072-456A-85C9-1077343826EF}">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1b5472cd-acd4-40a2-847f-9f330b2894d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 SUPPORTING STATEMENT FOR 10 CFR PART 50</vt:lpstr>
    </vt:vector>
  </TitlesOfParts>
  <Company>USNRC</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 10 CFR PART 50</dc:title>
  <dc:creator>LAH1</dc:creator>
  <cp:lastModifiedBy>SYSTEM</cp:lastModifiedBy>
  <cp:revision>2</cp:revision>
  <cp:lastPrinted>2015-02-02T21:22:00Z</cp:lastPrinted>
  <dcterms:created xsi:type="dcterms:W3CDTF">2018-05-23T20:08:00Z</dcterms:created>
  <dcterms:modified xsi:type="dcterms:W3CDTF">2018-05-23T20:08:00Z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0x010100EAB6F22989693040A0FD428C16D11D8D</vt:lpwstr>
  </property>
  <property fmtid="{D5CDD505-2E9C-101B-9397-08002B2CF9AE}" pid="3" name="_dlc_DocIdItemGuid">
    <vt:lpwstr>28e184ab-cb7b-454a-bb30-8a4313eb6ce6</vt:lpwstr>
  </property>
</Properties>
</file>