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25C532" w14:textId="078E36FD" w:rsidR="00171CB3" w:rsidRPr="0026636D" w:rsidRDefault="00A26337" w:rsidP="00301A19">
      <w:pPr>
        <w:widowControl w:val="0"/>
        <w:tabs>
          <w:tab w:val="center" w:pos="4680"/>
        </w:tabs>
        <w:jc w:val="center"/>
        <w:rPr>
          <w:rFonts w:ascii="Arial" w:hAnsi="Arial"/>
          <w:sz w:val="22"/>
        </w:rPr>
      </w:pPr>
      <w:bookmarkStart w:id="0" w:name="_GoBack"/>
      <w:bookmarkEnd w:id="0"/>
      <w:r>
        <w:rPr>
          <w:rFonts w:ascii="Arial" w:hAnsi="Arial"/>
          <w:sz w:val="22"/>
        </w:rPr>
        <w:t>FINAL</w:t>
      </w:r>
      <w:r w:rsidR="00404747">
        <w:rPr>
          <w:rFonts w:ascii="Arial" w:hAnsi="Arial"/>
          <w:sz w:val="22"/>
        </w:rPr>
        <w:t xml:space="preserve"> </w:t>
      </w:r>
      <w:r w:rsidR="00171CB3" w:rsidRPr="0026636D">
        <w:rPr>
          <w:rFonts w:ascii="Arial" w:hAnsi="Arial"/>
          <w:sz w:val="22"/>
        </w:rPr>
        <w:t>SUPPORTING STATEMENT FOR</w:t>
      </w:r>
    </w:p>
    <w:p w14:paraId="6C6ECC88" w14:textId="77777777" w:rsidR="00101487" w:rsidRDefault="00384E03" w:rsidP="001414F8">
      <w:pPr>
        <w:tabs>
          <w:tab w:val="center" w:pos="4680"/>
        </w:tabs>
        <w:jc w:val="center"/>
        <w:rPr>
          <w:rFonts w:ascii="Arial" w:hAnsi="Arial"/>
          <w:sz w:val="22"/>
        </w:rPr>
      </w:pPr>
      <w:r>
        <w:rPr>
          <w:rFonts w:ascii="Arial" w:hAnsi="Arial"/>
          <w:sz w:val="22"/>
        </w:rPr>
        <w:t>10 CFR PART 50</w:t>
      </w:r>
    </w:p>
    <w:p w14:paraId="74C8E7D2" w14:textId="77777777" w:rsidR="003D4BDD" w:rsidRPr="00151C6A" w:rsidRDefault="003D4BDD" w:rsidP="003D4BDD">
      <w:pPr>
        <w:tabs>
          <w:tab w:val="center" w:pos="4680"/>
        </w:tabs>
        <w:jc w:val="center"/>
        <w:rPr>
          <w:rFonts w:ascii="Arial" w:hAnsi="Arial" w:cs="Arial"/>
          <w:color w:val="000000"/>
          <w:sz w:val="22"/>
          <w:szCs w:val="22"/>
        </w:rPr>
      </w:pPr>
      <w:r w:rsidRPr="00151C6A">
        <w:rPr>
          <w:rFonts w:ascii="Arial" w:hAnsi="Arial" w:cs="Arial"/>
          <w:color w:val="000000"/>
          <w:sz w:val="22"/>
          <w:szCs w:val="22"/>
        </w:rPr>
        <w:t>INSPECTIONS, RECORDS, REPORTS, NOTIFICATIONS</w:t>
      </w:r>
    </w:p>
    <w:p w14:paraId="5A725FE5" w14:textId="77777777" w:rsidR="003D4BDD" w:rsidRDefault="003D4BDD" w:rsidP="003D4BDD">
      <w:pPr>
        <w:tabs>
          <w:tab w:val="center" w:pos="4680"/>
        </w:tabs>
        <w:jc w:val="center"/>
        <w:rPr>
          <w:rFonts w:ascii="Arial" w:hAnsi="Arial" w:cs="Arial"/>
          <w:sz w:val="22"/>
          <w:szCs w:val="22"/>
        </w:rPr>
      </w:pPr>
      <w:r>
        <w:rPr>
          <w:rFonts w:ascii="Arial" w:hAnsi="Arial" w:cs="Arial"/>
          <w:sz w:val="22"/>
          <w:szCs w:val="22"/>
        </w:rPr>
        <w:t>SECTION 4</w:t>
      </w:r>
    </w:p>
    <w:p w14:paraId="70D5B0BA" w14:textId="77777777" w:rsidR="003D4BDD" w:rsidRPr="00CB4CEA" w:rsidRDefault="003D4BDD" w:rsidP="003D4BDD">
      <w:pPr>
        <w:tabs>
          <w:tab w:val="center" w:pos="4680"/>
        </w:tabs>
        <w:jc w:val="center"/>
        <w:rPr>
          <w:rFonts w:ascii="Arial" w:hAnsi="Arial" w:cs="Arial"/>
          <w:sz w:val="22"/>
          <w:szCs w:val="22"/>
        </w:rPr>
      </w:pPr>
    </w:p>
    <w:p w14:paraId="50E9B5EC" w14:textId="22C65110" w:rsidR="003D4BDD" w:rsidRPr="00151C6A" w:rsidRDefault="003D4BDD" w:rsidP="003D4BDD">
      <w:pPr>
        <w:widowControl w:val="0"/>
        <w:tabs>
          <w:tab w:val="center" w:pos="4680"/>
        </w:tabs>
        <w:jc w:val="center"/>
        <w:rPr>
          <w:rFonts w:ascii="Arial" w:hAnsi="Arial" w:cs="Arial"/>
          <w:sz w:val="22"/>
          <w:szCs w:val="22"/>
        </w:rPr>
      </w:pPr>
      <w:r w:rsidRPr="00151C6A">
        <w:rPr>
          <w:rFonts w:ascii="Arial" w:hAnsi="Arial" w:cs="Arial"/>
          <w:sz w:val="22"/>
          <w:szCs w:val="22"/>
        </w:rPr>
        <w:t>50.71(b)</w:t>
      </w:r>
      <w:r w:rsidR="00830F48">
        <w:rPr>
          <w:rFonts w:ascii="Arial" w:hAnsi="Arial" w:cs="Arial"/>
          <w:sz w:val="22"/>
          <w:szCs w:val="22"/>
        </w:rPr>
        <w:t xml:space="preserve">, 50.76 </w:t>
      </w:r>
      <w:r w:rsidRPr="00151C6A">
        <w:rPr>
          <w:rFonts w:ascii="Arial" w:hAnsi="Arial" w:cs="Arial"/>
          <w:sz w:val="22"/>
          <w:szCs w:val="22"/>
        </w:rPr>
        <w:t>&amp; Appendix C</w:t>
      </w:r>
      <w:r w:rsidR="00830F48">
        <w:rPr>
          <w:rFonts w:ascii="Arial" w:hAnsi="Arial" w:cs="Arial"/>
          <w:sz w:val="22"/>
          <w:szCs w:val="22"/>
        </w:rPr>
        <w:t xml:space="preserve"> Section III</w:t>
      </w:r>
      <w:r w:rsidRPr="00151C6A">
        <w:rPr>
          <w:rFonts w:ascii="Arial" w:hAnsi="Arial" w:cs="Arial"/>
          <w:sz w:val="22"/>
          <w:szCs w:val="22"/>
        </w:rPr>
        <w:t>, Financial</w:t>
      </w:r>
      <w:r>
        <w:rPr>
          <w:rFonts w:ascii="Arial" w:hAnsi="Arial" w:cs="Arial"/>
          <w:sz w:val="22"/>
          <w:szCs w:val="22"/>
        </w:rPr>
        <w:t>;</w:t>
      </w:r>
    </w:p>
    <w:p w14:paraId="30F4FD5F" w14:textId="77777777" w:rsidR="003D4BDD" w:rsidRPr="00151C6A" w:rsidRDefault="003D4BDD" w:rsidP="003D4BDD">
      <w:pPr>
        <w:widowControl w:val="0"/>
        <w:tabs>
          <w:tab w:val="center" w:pos="4680"/>
        </w:tabs>
        <w:jc w:val="center"/>
        <w:rPr>
          <w:rFonts w:ascii="Arial" w:hAnsi="Arial" w:cs="Arial"/>
          <w:sz w:val="22"/>
          <w:szCs w:val="22"/>
        </w:rPr>
      </w:pPr>
      <w:r w:rsidRPr="00151C6A">
        <w:rPr>
          <w:rFonts w:ascii="Arial" w:hAnsi="Arial" w:cs="Arial"/>
          <w:sz w:val="22"/>
          <w:szCs w:val="22"/>
        </w:rPr>
        <w:t>50.71(e), Updated FSAR</w:t>
      </w:r>
      <w:r>
        <w:rPr>
          <w:rFonts w:ascii="Arial" w:hAnsi="Arial" w:cs="Arial"/>
          <w:sz w:val="22"/>
          <w:szCs w:val="22"/>
        </w:rPr>
        <w:t>;</w:t>
      </w:r>
    </w:p>
    <w:p w14:paraId="41A8E8CC" w14:textId="2D20932D" w:rsidR="003D4BDD" w:rsidRPr="00151C6A" w:rsidRDefault="003D4BDD" w:rsidP="003D4BDD">
      <w:pPr>
        <w:widowControl w:val="0"/>
        <w:tabs>
          <w:tab w:val="center" w:pos="4680"/>
        </w:tabs>
        <w:jc w:val="center"/>
        <w:rPr>
          <w:rFonts w:ascii="Arial" w:hAnsi="Arial" w:cs="Arial"/>
          <w:sz w:val="22"/>
          <w:szCs w:val="22"/>
        </w:rPr>
      </w:pPr>
      <w:r w:rsidRPr="00151C6A">
        <w:rPr>
          <w:rFonts w:ascii="Arial" w:hAnsi="Arial" w:cs="Arial"/>
          <w:sz w:val="22"/>
          <w:szCs w:val="22"/>
        </w:rPr>
        <w:t>50.72</w:t>
      </w:r>
      <w:r w:rsidR="008A46EC">
        <w:rPr>
          <w:rFonts w:ascii="Arial" w:hAnsi="Arial" w:cs="Arial"/>
          <w:sz w:val="22"/>
          <w:szCs w:val="22"/>
        </w:rPr>
        <w:t>,</w:t>
      </w:r>
      <w:r w:rsidRPr="00151C6A">
        <w:rPr>
          <w:rFonts w:ascii="Arial" w:hAnsi="Arial" w:cs="Arial"/>
          <w:sz w:val="22"/>
          <w:szCs w:val="22"/>
        </w:rPr>
        <w:t xml:space="preserve"> 50.54(z)</w:t>
      </w:r>
      <w:r w:rsidR="008A46EC">
        <w:rPr>
          <w:rFonts w:ascii="Arial" w:hAnsi="Arial" w:cs="Arial"/>
          <w:sz w:val="22"/>
          <w:szCs w:val="22"/>
        </w:rPr>
        <w:t xml:space="preserve"> &amp; </w:t>
      </w:r>
      <w:r w:rsidR="008A46EC" w:rsidRPr="00EB2774">
        <w:rPr>
          <w:rFonts w:ascii="Arial" w:hAnsi="Arial" w:cs="Arial"/>
          <w:sz w:val="22"/>
          <w:szCs w:val="22"/>
        </w:rPr>
        <w:t>Appendix E</w:t>
      </w:r>
      <w:r w:rsidRPr="00151C6A">
        <w:rPr>
          <w:rFonts w:ascii="Arial" w:hAnsi="Arial" w:cs="Arial"/>
          <w:sz w:val="22"/>
          <w:szCs w:val="22"/>
        </w:rPr>
        <w:t>, Notification of Events</w:t>
      </w:r>
      <w:r>
        <w:rPr>
          <w:rFonts w:ascii="Arial" w:hAnsi="Arial" w:cs="Arial"/>
          <w:sz w:val="22"/>
          <w:szCs w:val="22"/>
        </w:rPr>
        <w:t>;</w:t>
      </w:r>
    </w:p>
    <w:p w14:paraId="07F7B84C" w14:textId="55BB004F" w:rsidR="003D4BDD" w:rsidRPr="00151C6A" w:rsidRDefault="003D4BDD" w:rsidP="003D4BDD">
      <w:pPr>
        <w:widowControl w:val="0"/>
        <w:tabs>
          <w:tab w:val="center" w:pos="4680"/>
        </w:tabs>
        <w:jc w:val="center"/>
        <w:rPr>
          <w:rFonts w:ascii="Arial" w:hAnsi="Arial" w:cs="Arial"/>
          <w:sz w:val="22"/>
          <w:szCs w:val="22"/>
        </w:rPr>
      </w:pPr>
      <w:r w:rsidRPr="00151C6A">
        <w:rPr>
          <w:rFonts w:ascii="Arial" w:hAnsi="Arial" w:cs="Arial"/>
          <w:sz w:val="22"/>
          <w:szCs w:val="22"/>
        </w:rPr>
        <w:t>50.72(a)</w:t>
      </w:r>
      <w:r w:rsidR="00AC2D36">
        <w:rPr>
          <w:rFonts w:ascii="Arial" w:hAnsi="Arial" w:cs="Arial"/>
          <w:sz w:val="22"/>
          <w:szCs w:val="22"/>
        </w:rPr>
        <w:t xml:space="preserve"> &amp; </w:t>
      </w:r>
      <w:r w:rsidR="00AC2D36">
        <w:rPr>
          <w:rFonts w:ascii="Arial" w:hAnsi="Arial"/>
          <w:sz w:val="22"/>
        </w:rPr>
        <w:t>50 Appendix E.VI</w:t>
      </w:r>
      <w:r w:rsidRPr="00151C6A">
        <w:rPr>
          <w:rFonts w:ascii="Arial" w:hAnsi="Arial" w:cs="Arial"/>
          <w:sz w:val="22"/>
          <w:szCs w:val="22"/>
        </w:rPr>
        <w:t xml:space="preserve">, </w:t>
      </w:r>
      <w:r w:rsidR="00AC2D36">
        <w:rPr>
          <w:rFonts w:ascii="Arial" w:hAnsi="Arial" w:cs="Arial"/>
          <w:sz w:val="22"/>
          <w:szCs w:val="22"/>
        </w:rPr>
        <w:t>Emergency Response Data System</w:t>
      </w:r>
      <w:r>
        <w:rPr>
          <w:rFonts w:ascii="Arial" w:hAnsi="Arial" w:cs="Arial"/>
          <w:sz w:val="22"/>
          <w:szCs w:val="22"/>
        </w:rPr>
        <w:t>;</w:t>
      </w:r>
    </w:p>
    <w:p w14:paraId="4565FB73" w14:textId="77777777" w:rsidR="003D4BDD" w:rsidRPr="00151C6A" w:rsidRDefault="003D4BDD" w:rsidP="003D4BDD">
      <w:pPr>
        <w:widowControl w:val="0"/>
        <w:tabs>
          <w:tab w:val="center" w:pos="4680"/>
        </w:tabs>
        <w:jc w:val="center"/>
        <w:rPr>
          <w:rFonts w:ascii="Arial" w:hAnsi="Arial" w:cs="Arial"/>
          <w:sz w:val="22"/>
          <w:szCs w:val="22"/>
        </w:rPr>
      </w:pPr>
      <w:r w:rsidRPr="00151C6A">
        <w:rPr>
          <w:rFonts w:ascii="Arial" w:hAnsi="Arial" w:cs="Arial"/>
          <w:sz w:val="22"/>
          <w:szCs w:val="22"/>
        </w:rPr>
        <w:t>50.73, (LERs) - (s</w:t>
      </w:r>
      <w:r>
        <w:rPr>
          <w:rFonts w:ascii="Arial" w:hAnsi="Arial" w:cs="Arial"/>
          <w:sz w:val="22"/>
          <w:szCs w:val="22"/>
        </w:rPr>
        <w:t>ee OMB Clearance No. 3150-0104);</w:t>
      </w:r>
    </w:p>
    <w:p w14:paraId="746C3B53" w14:textId="77777777" w:rsidR="003D4BDD" w:rsidRPr="00151C6A" w:rsidRDefault="003D4BDD" w:rsidP="003D4BDD">
      <w:pPr>
        <w:widowControl w:val="0"/>
        <w:tabs>
          <w:tab w:val="center" w:pos="4680"/>
        </w:tabs>
        <w:jc w:val="center"/>
        <w:rPr>
          <w:rFonts w:ascii="Arial" w:hAnsi="Arial" w:cs="Arial"/>
          <w:sz w:val="22"/>
          <w:szCs w:val="22"/>
        </w:rPr>
      </w:pPr>
      <w:r w:rsidRPr="00151C6A">
        <w:rPr>
          <w:rFonts w:ascii="Arial" w:hAnsi="Arial" w:cs="Arial"/>
          <w:sz w:val="22"/>
          <w:szCs w:val="22"/>
        </w:rPr>
        <w:t>50.70, Team Inspections</w:t>
      </w:r>
      <w:r>
        <w:rPr>
          <w:rFonts w:ascii="Arial" w:hAnsi="Arial" w:cs="Arial"/>
          <w:sz w:val="22"/>
          <w:szCs w:val="22"/>
        </w:rPr>
        <w:t>;</w:t>
      </w:r>
    </w:p>
    <w:p w14:paraId="772CC31B" w14:textId="7EFD8DEB" w:rsidR="003D4BDD" w:rsidRDefault="003D4BDD" w:rsidP="003D4BDD">
      <w:pPr>
        <w:widowControl w:val="0"/>
        <w:tabs>
          <w:tab w:val="center" w:pos="4680"/>
        </w:tabs>
        <w:jc w:val="center"/>
        <w:rPr>
          <w:rFonts w:ascii="Arial" w:hAnsi="Arial" w:cs="Arial"/>
          <w:sz w:val="22"/>
          <w:szCs w:val="22"/>
        </w:rPr>
      </w:pPr>
      <w:r w:rsidRPr="00151C6A">
        <w:rPr>
          <w:rFonts w:ascii="Arial" w:hAnsi="Arial" w:cs="Arial"/>
          <w:sz w:val="22"/>
          <w:szCs w:val="22"/>
        </w:rPr>
        <w:t xml:space="preserve">50.69, Risk-Informed Categorization of </w:t>
      </w:r>
      <w:r w:rsidR="004065E9">
        <w:rPr>
          <w:rFonts w:ascii="Arial" w:hAnsi="Arial" w:cs="Arial"/>
          <w:sz w:val="22"/>
          <w:szCs w:val="22"/>
        </w:rPr>
        <w:t>Structures, Systems, and Components</w:t>
      </w:r>
    </w:p>
    <w:p w14:paraId="0F2EE95D" w14:textId="77777777" w:rsidR="003D4BDD" w:rsidRDefault="003D4BDD" w:rsidP="003D4BDD">
      <w:pPr>
        <w:widowControl w:val="0"/>
        <w:tabs>
          <w:tab w:val="center" w:pos="4680"/>
        </w:tabs>
        <w:jc w:val="center"/>
        <w:rPr>
          <w:rFonts w:ascii="Arial" w:hAnsi="Arial" w:cs="Arial"/>
          <w:sz w:val="22"/>
          <w:szCs w:val="22"/>
        </w:rPr>
      </w:pPr>
    </w:p>
    <w:p w14:paraId="5FD60C95" w14:textId="718B9F30" w:rsidR="004C7D1E" w:rsidRDefault="009E5CD7" w:rsidP="00301A19">
      <w:pPr>
        <w:widowControl w:val="0"/>
        <w:tabs>
          <w:tab w:val="center" w:pos="4680"/>
        </w:tabs>
        <w:jc w:val="center"/>
        <w:rPr>
          <w:rFonts w:ascii="Arial" w:hAnsi="Arial"/>
          <w:sz w:val="22"/>
        </w:rPr>
      </w:pPr>
      <w:r>
        <w:rPr>
          <w:rFonts w:ascii="Arial" w:hAnsi="Arial"/>
          <w:sz w:val="22"/>
        </w:rPr>
        <w:t>3150-0011</w:t>
      </w:r>
    </w:p>
    <w:p w14:paraId="31AD925C" w14:textId="77777777" w:rsidR="00171CB3" w:rsidRPr="0026636D" w:rsidRDefault="00171CB3">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14:paraId="6AD4B247" w14:textId="77777777" w:rsidR="00171CB3" w:rsidRPr="0026636D" w:rsidRDefault="00171CB3">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14:paraId="7CC84C58" w14:textId="77777777" w:rsidR="00171CB3" w:rsidRDefault="00301A19">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u w:val="single"/>
        </w:rPr>
      </w:pPr>
      <w:r>
        <w:rPr>
          <w:rFonts w:ascii="Arial" w:hAnsi="Arial"/>
          <w:sz w:val="22"/>
          <w:u w:val="single"/>
        </w:rPr>
        <w:t>ABSTRACT</w:t>
      </w:r>
    </w:p>
    <w:p w14:paraId="54B5B9E3" w14:textId="77777777" w:rsidR="0035196F" w:rsidRDefault="0035196F" w:rsidP="0035196F">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14:paraId="404772E5" w14:textId="331128FC" w:rsidR="00E00BE7" w:rsidRDefault="00AC629E" w:rsidP="00E00BE7">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sidRPr="00AC629E">
        <w:rPr>
          <w:rFonts w:ascii="Arial" w:hAnsi="Arial"/>
          <w:sz w:val="22"/>
        </w:rPr>
        <w:t xml:space="preserve">The U.S. Nuclear Regulatory Commission (NRC) is authorized by Congress to have responsibility and authority for the licensing and regulation of nuclear power plants, research/test facilities, fuel reprocessing plants and other utilization and production facilities licensed pursuant to the Act.  </w:t>
      </w:r>
      <w:r w:rsidR="00E00BE7">
        <w:rPr>
          <w:rFonts w:ascii="Arial" w:hAnsi="Arial"/>
          <w:sz w:val="22"/>
        </w:rPr>
        <w:t>Once a facility has received a license, the licensee submits information and keeps records to allow the NRC to verify that</w:t>
      </w:r>
      <w:r w:rsidR="00E00BE7" w:rsidRPr="00E00BE7">
        <w:rPr>
          <w:rFonts w:ascii="Arial" w:hAnsi="Arial"/>
          <w:sz w:val="22"/>
        </w:rPr>
        <w:t xml:space="preserve"> activities are properly conducted </w:t>
      </w:r>
      <w:r w:rsidR="00E00BE7">
        <w:rPr>
          <w:rFonts w:ascii="Arial" w:hAnsi="Arial"/>
          <w:sz w:val="22"/>
        </w:rPr>
        <w:t xml:space="preserve">and </w:t>
      </w:r>
      <w:r w:rsidR="00E00BE7" w:rsidRPr="00E00BE7">
        <w:rPr>
          <w:rFonts w:ascii="Arial" w:hAnsi="Arial"/>
          <w:sz w:val="22"/>
        </w:rPr>
        <w:t>to ensure safe operations in accordance with NRC's regulations</w:t>
      </w:r>
      <w:r w:rsidR="00E00BE7">
        <w:rPr>
          <w:rFonts w:ascii="Arial" w:hAnsi="Arial"/>
          <w:sz w:val="22"/>
        </w:rPr>
        <w:t>.</w:t>
      </w:r>
    </w:p>
    <w:p w14:paraId="4E4A9F72" w14:textId="77777777" w:rsidR="00AC629E" w:rsidRDefault="00AC629E" w:rsidP="0035196F">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14:paraId="25ED5EE2" w14:textId="75EE88CD" w:rsidR="003B3F85" w:rsidRPr="0026636D" w:rsidRDefault="0035196F" w:rsidP="0035196F">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sidRPr="00222B5B">
        <w:rPr>
          <w:rFonts w:ascii="Arial" w:hAnsi="Arial"/>
          <w:sz w:val="22"/>
        </w:rPr>
        <w:t>These regulations affect</w:t>
      </w:r>
      <w:r>
        <w:rPr>
          <w:rFonts w:ascii="Arial" w:hAnsi="Arial"/>
          <w:sz w:val="22"/>
        </w:rPr>
        <w:t xml:space="preserve"> 94 </w:t>
      </w:r>
      <w:r w:rsidRPr="00222B5B">
        <w:rPr>
          <w:rFonts w:ascii="Arial" w:hAnsi="Arial"/>
          <w:sz w:val="22"/>
        </w:rPr>
        <w:t xml:space="preserve">licensees for operating nuclear power plants and 31 licensees for operating research &amp; test reactors.  </w:t>
      </w:r>
      <w:r>
        <w:rPr>
          <w:rFonts w:ascii="Arial" w:hAnsi="Arial"/>
          <w:sz w:val="22"/>
        </w:rPr>
        <w:t>They also affect licensees for 2</w:t>
      </w:r>
      <w:r w:rsidRPr="00222B5B">
        <w:rPr>
          <w:rFonts w:ascii="Arial" w:hAnsi="Arial"/>
          <w:sz w:val="22"/>
        </w:rPr>
        <w:t xml:space="preserve">4 power plants and </w:t>
      </w:r>
      <w:r>
        <w:rPr>
          <w:rFonts w:ascii="Arial" w:hAnsi="Arial"/>
          <w:sz w:val="22"/>
        </w:rPr>
        <w:t>3</w:t>
      </w:r>
      <w:r w:rsidRPr="00222B5B">
        <w:rPr>
          <w:rFonts w:ascii="Arial" w:hAnsi="Arial"/>
          <w:sz w:val="22"/>
        </w:rPr>
        <w:t xml:space="preserve"> research &amp; test reactors that are </w:t>
      </w:r>
      <w:r>
        <w:rPr>
          <w:rFonts w:ascii="Arial" w:hAnsi="Arial"/>
          <w:sz w:val="22"/>
        </w:rPr>
        <w:t>currently being decommissioned and 1</w:t>
      </w:r>
      <w:r w:rsidRPr="00222B5B">
        <w:rPr>
          <w:rFonts w:ascii="Arial" w:hAnsi="Arial"/>
          <w:sz w:val="22"/>
        </w:rPr>
        <w:t xml:space="preserve"> research &amp; test reactors that currently have possession-only licenses.</w:t>
      </w:r>
      <w:r>
        <w:rPr>
          <w:rFonts w:ascii="Arial" w:hAnsi="Arial"/>
          <w:sz w:val="22"/>
        </w:rPr>
        <w:t xml:space="preserve">  Licensees must perform certain tasks, maintain records and prepare reports to demonstrate their fulfillment of regulatory requirements.  The reporting and recordkeeping requirements pertain to financial reports, including certified financial statements; periodic update of the originally submitted Final Safety Analysis Report (FSAR), (describes important structure, systems and components at a licensed site); reactor event reports</w:t>
      </w:r>
      <w:r w:rsidR="00156E98">
        <w:rPr>
          <w:rFonts w:ascii="Arial" w:hAnsi="Arial"/>
          <w:sz w:val="22"/>
        </w:rPr>
        <w:t>; electronic real-time transmittal of data during an alert or higher emergency at a nuclear power facility; copies of analyses, evaluations or documentation regarding the implementation and maintenance of the station fire protection program, including post-fire safe shutdown capability, fire protection compliance assessment, corrective actions, risk-related documents and license amendment applications.</w:t>
      </w:r>
    </w:p>
    <w:p w14:paraId="1E5DCCDC" w14:textId="77777777" w:rsidR="00171CB3" w:rsidRPr="0026636D" w:rsidRDefault="00171CB3">
      <w:pPr>
        <w:widowControl w:val="0"/>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14:paraId="0F88D5B6" w14:textId="1A678F15" w:rsidR="00171CB3" w:rsidRDefault="00171CB3" w:rsidP="00F53709">
      <w:pPr>
        <w:pStyle w:val="Level1"/>
        <w:numPr>
          <w:ilvl w:val="0"/>
          <w:numId w:val="19"/>
        </w:num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u w:val="single"/>
        </w:rPr>
      </w:pPr>
      <w:r w:rsidRPr="0026636D">
        <w:rPr>
          <w:rFonts w:ascii="Arial" w:hAnsi="Arial"/>
          <w:sz w:val="22"/>
          <w:u w:val="single"/>
        </w:rPr>
        <w:t>JUSTIFICATION</w:t>
      </w:r>
    </w:p>
    <w:p w14:paraId="1B7609ED" w14:textId="77777777" w:rsidR="00F53709" w:rsidRPr="0026636D" w:rsidRDefault="00F53709" w:rsidP="00F53709">
      <w:pPr>
        <w:pStyle w:val="Level1"/>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14:paraId="0FC97622" w14:textId="77777777" w:rsidR="00F53709" w:rsidRPr="0026636D" w:rsidRDefault="00F53709" w:rsidP="00F53709">
      <w:pPr>
        <w:widowControl w:val="0"/>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170"/>
        <w:rPr>
          <w:rFonts w:ascii="Arial" w:hAnsi="Arial"/>
          <w:sz w:val="22"/>
        </w:rPr>
      </w:pPr>
    </w:p>
    <w:p w14:paraId="0D126B14" w14:textId="77777777" w:rsidR="00171CB3" w:rsidRDefault="00171CB3">
      <w:pPr>
        <w:widowControl w:val="0"/>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hanging="600"/>
        <w:rPr>
          <w:rFonts w:ascii="Arial" w:hAnsi="Arial"/>
          <w:sz w:val="22"/>
        </w:rPr>
      </w:pPr>
      <w:r w:rsidRPr="0026636D">
        <w:rPr>
          <w:rFonts w:ascii="Arial" w:hAnsi="Arial"/>
          <w:sz w:val="22"/>
        </w:rPr>
        <w:t>1.</w:t>
      </w:r>
      <w:r w:rsidRPr="0026636D">
        <w:rPr>
          <w:rFonts w:ascii="Arial" w:hAnsi="Arial"/>
          <w:sz w:val="22"/>
        </w:rPr>
        <w:tab/>
      </w:r>
      <w:r w:rsidRPr="0026636D">
        <w:rPr>
          <w:rFonts w:ascii="Arial" w:hAnsi="Arial"/>
          <w:sz w:val="22"/>
          <w:u w:val="single"/>
        </w:rPr>
        <w:t>Need for the Collection of Information</w:t>
      </w:r>
      <w:r w:rsidRPr="0026636D">
        <w:rPr>
          <w:rFonts w:ascii="Arial" w:hAnsi="Arial"/>
          <w:sz w:val="22"/>
        </w:rPr>
        <w:t xml:space="preserve">  </w:t>
      </w:r>
    </w:p>
    <w:p w14:paraId="62B0FA83" w14:textId="77777777" w:rsidR="005C1BFD" w:rsidRPr="0026636D" w:rsidRDefault="005C1BFD">
      <w:pPr>
        <w:widowControl w:val="0"/>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hanging="600"/>
        <w:rPr>
          <w:rFonts w:ascii="Arial" w:hAnsi="Arial"/>
          <w:sz w:val="22"/>
        </w:rPr>
      </w:pPr>
    </w:p>
    <w:p w14:paraId="22A614D7" w14:textId="36F2E88B" w:rsidR="005C1BFD" w:rsidRDefault="005C1BFD" w:rsidP="00AC629E">
      <w:pPr>
        <w:pStyle w:val="ListParagraph"/>
        <w:ind w:left="1200"/>
      </w:pPr>
      <w:r>
        <w:t xml:space="preserve">“In order to determine licensee compliance with the regulations set forth in </w:t>
      </w:r>
      <w:r w:rsidR="004A1906">
        <w:t>50.71(b) &amp; Appendi</w:t>
      </w:r>
      <w:r w:rsidR="00EB0B78">
        <w:t>x C; 50.71(e); 50.72 &amp; 50.54(z),</w:t>
      </w:r>
      <w:r w:rsidR="004A1906">
        <w:t xml:space="preserve"> </w:t>
      </w:r>
      <w:r w:rsidR="00EB0B78">
        <w:t xml:space="preserve">Appendix E; </w:t>
      </w:r>
      <w:r w:rsidR="004A1906">
        <w:t xml:space="preserve">50.72(a); 50.73; 50.70; </w:t>
      </w:r>
      <w:r w:rsidR="00AC629E">
        <w:t xml:space="preserve">and </w:t>
      </w:r>
      <w:r w:rsidR="004A1906">
        <w:t>50.69</w:t>
      </w:r>
      <w:r w:rsidR="00AC629E">
        <w:t>.</w:t>
      </w:r>
      <w:r>
        <w:t>  Details of these regulations can be found at the end of this supporting statement in “Description of Requirements.”</w:t>
      </w:r>
    </w:p>
    <w:p w14:paraId="230B6191" w14:textId="77777777" w:rsidR="00301A19" w:rsidRPr="0026636D" w:rsidRDefault="00301A19" w:rsidP="00301A19">
      <w:pPr>
        <w:widowControl w:val="0"/>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p>
    <w:p w14:paraId="06AABEC9" w14:textId="77777777" w:rsidR="00171CB3" w:rsidRPr="0026636D" w:rsidRDefault="00171CB3">
      <w:pPr>
        <w:widowControl w:val="0"/>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hanging="600"/>
        <w:rPr>
          <w:rFonts w:ascii="Arial" w:hAnsi="Arial"/>
          <w:sz w:val="22"/>
        </w:rPr>
      </w:pPr>
      <w:r w:rsidRPr="0026636D">
        <w:rPr>
          <w:rFonts w:ascii="Arial" w:hAnsi="Arial"/>
          <w:sz w:val="22"/>
        </w:rPr>
        <w:lastRenderedPageBreak/>
        <w:t>2.</w:t>
      </w:r>
      <w:r w:rsidRPr="0026636D">
        <w:rPr>
          <w:rFonts w:ascii="Arial" w:hAnsi="Arial"/>
          <w:sz w:val="22"/>
        </w:rPr>
        <w:tab/>
      </w:r>
      <w:r w:rsidRPr="0026636D">
        <w:rPr>
          <w:rFonts w:ascii="Arial" w:hAnsi="Arial"/>
          <w:sz w:val="22"/>
          <w:u w:val="single"/>
        </w:rPr>
        <w:t xml:space="preserve">Agency Use </w:t>
      </w:r>
      <w:r w:rsidR="00301A19" w:rsidRPr="0026636D">
        <w:rPr>
          <w:rFonts w:ascii="Arial" w:hAnsi="Arial"/>
          <w:sz w:val="22"/>
          <w:u w:val="single"/>
        </w:rPr>
        <w:t>and Practical Utility of</w:t>
      </w:r>
      <w:r w:rsidRPr="0026636D">
        <w:rPr>
          <w:rFonts w:ascii="Arial" w:hAnsi="Arial"/>
          <w:sz w:val="22"/>
          <w:u w:val="single"/>
        </w:rPr>
        <w:t xml:space="preserve"> Information</w:t>
      </w:r>
      <w:r w:rsidRPr="0026636D">
        <w:rPr>
          <w:rFonts w:ascii="Arial" w:hAnsi="Arial"/>
          <w:sz w:val="22"/>
        </w:rPr>
        <w:t xml:space="preserve">  </w:t>
      </w:r>
    </w:p>
    <w:p w14:paraId="5F65E6F4" w14:textId="77777777" w:rsidR="00171CB3" w:rsidRPr="0026636D" w:rsidRDefault="00171CB3">
      <w:pPr>
        <w:widowControl w:val="0"/>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14:paraId="6ED4736A" w14:textId="77777777" w:rsidR="00C21D02" w:rsidRDefault="00C21D02" w:rsidP="00C21D02">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sidRPr="00396E6B">
        <w:rPr>
          <w:rFonts w:ascii="Arial" w:hAnsi="Arial"/>
          <w:sz w:val="22"/>
        </w:rPr>
        <w:t>Applicants or licensees requesting approval to construct or operate utilization or production facilities are required by the Atomic Energy Act of 1954, as amended (the Act), to provide information and data that the NRC may determine necessary to ensure the health and safety of the public.</w:t>
      </w:r>
    </w:p>
    <w:p w14:paraId="5D19AAB4" w14:textId="77777777" w:rsidR="00C21D02" w:rsidRDefault="00C21D02" w:rsidP="00F53709">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p>
    <w:p w14:paraId="5E7C63A4" w14:textId="77777777" w:rsidR="00F53709" w:rsidRDefault="00F53709" w:rsidP="00F53709">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Pr>
          <w:rFonts w:ascii="Arial" w:hAnsi="Arial"/>
          <w:sz w:val="22"/>
        </w:rPr>
        <w:t xml:space="preserve">The NRC uses the records and reports required in this part to ascertain that licensees’ </w:t>
      </w:r>
      <w:r w:rsidRPr="00B62125">
        <w:rPr>
          <w:rFonts w:ascii="Arial" w:hAnsi="Arial"/>
          <w:sz w:val="22"/>
        </w:rPr>
        <w:t xml:space="preserve">licensing the design, construction, operation, and decommissioning of commercial nuclear power plants and other nuclear facilities </w:t>
      </w:r>
      <w:r>
        <w:rPr>
          <w:rFonts w:ascii="Arial" w:hAnsi="Arial"/>
          <w:sz w:val="22"/>
        </w:rPr>
        <w:t>programs are adequate to protect public health and minimize danger to life and property and that licensees’ personnel are aware of and follow up on the information and steps needed to perform licensed activities in a safe manner.  The reports and recordkeeping requirements allow NRC to determine whether to take actions, such as to conduct inspections or to alert other licensees to prevent similar events that may have generic implications.</w:t>
      </w:r>
    </w:p>
    <w:p w14:paraId="740D1785" w14:textId="77777777" w:rsidR="00396E6B" w:rsidRPr="0026636D" w:rsidRDefault="00396E6B" w:rsidP="00396E6B">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p>
    <w:p w14:paraId="354C3A76" w14:textId="77777777" w:rsidR="00171CB3" w:rsidRPr="0026636D" w:rsidRDefault="00171CB3">
      <w:pPr>
        <w:widowControl w:val="0"/>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hanging="1200"/>
        <w:rPr>
          <w:rFonts w:ascii="Arial" w:hAnsi="Arial"/>
          <w:sz w:val="22"/>
        </w:rPr>
      </w:pPr>
      <w:r w:rsidRPr="0026636D">
        <w:rPr>
          <w:rFonts w:ascii="Arial" w:hAnsi="Arial"/>
          <w:sz w:val="22"/>
        </w:rPr>
        <w:tab/>
        <w:t>3.</w:t>
      </w:r>
      <w:r w:rsidRPr="0026636D">
        <w:rPr>
          <w:rFonts w:ascii="Arial" w:hAnsi="Arial"/>
          <w:sz w:val="22"/>
        </w:rPr>
        <w:tab/>
      </w:r>
      <w:r w:rsidRPr="0026636D">
        <w:rPr>
          <w:rFonts w:ascii="Arial" w:hAnsi="Arial"/>
          <w:sz w:val="22"/>
          <w:u w:val="single"/>
        </w:rPr>
        <w:t>Reduction of Burden Through Information Technology</w:t>
      </w:r>
    </w:p>
    <w:p w14:paraId="486B7F22" w14:textId="77777777" w:rsidR="00171CB3" w:rsidRPr="0026636D" w:rsidRDefault="00171CB3">
      <w:pPr>
        <w:widowControl w:val="0"/>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14:paraId="5EF91304" w14:textId="1E810C9E" w:rsidR="00171CB3" w:rsidRDefault="00E53A6A" w:rsidP="00E53A6A">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sidRPr="00E53A6A">
        <w:rPr>
          <w:rFonts w:ascii="Arial" w:hAnsi="Arial" w:cs="Arial"/>
          <w:sz w:val="22"/>
          <w:szCs w:val="22"/>
        </w:rPr>
        <w:t xml:space="preserve">The NRC has issued </w:t>
      </w:r>
      <w:hyperlink r:id="rId12" w:history="1">
        <w:r w:rsidRPr="00E53A6A">
          <w:rPr>
            <w:rStyle w:val="Hyperlink"/>
            <w:rFonts w:ascii="Arial" w:hAnsi="Arial" w:cs="Arial"/>
            <w:i/>
            <w:sz w:val="22"/>
            <w:szCs w:val="22"/>
          </w:rPr>
          <w:t>Guidance for Electronic Submissions to the NRC</w:t>
        </w:r>
      </w:hyperlink>
      <w:r w:rsidRPr="00E53A6A">
        <w:rPr>
          <w:rFonts w:ascii="Arial" w:hAnsi="Arial" w:cs="Arial"/>
          <w:sz w:val="22"/>
          <w:szCs w:val="22"/>
        </w:rPr>
        <w:t xml:space="preserve"> which provides direction for the electronic transmission and submittal of documents to the NRC.  Electronic transmission and submittal of documents can be accomplished via the following avenues: the Electronic Information Exchange (EIE) process, which is available from the NRC's “Electronic Submittals” Web page, by Optical Storage Media (OSM) (e.g. CD-ROM, DVD), by facsimile or by e-mail.  It is estimated that approximately </w:t>
      </w:r>
      <w:r w:rsidR="00A760AE">
        <w:rPr>
          <w:rFonts w:ascii="Arial" w:hAnsi="Arial" w:cs="Arial"/>
          <w:sz w:val="22"/>
          <w:szCs w:val="22"/>
        </w:rPr>
        <w:t>8</w:t>
      </w:r>
      <w:r w:rsidR="00025B19">
        <w:rPr>
          <w:rFonts w:ascii="Arial" w:hAnsi="Arial" w:cs="Arial"/>
          <w:sz w:val="22"/>
          <w:szCs w:val="22"/>
        </w:rPr>
        <w:t>0</w:t>
      </w:r>
      <w:r w:rsidR="00A760AE">
        <w:rPr>
          <w:rFonts w:ascii="Arial" w:hAnsi="Arial" w:cs="Arial"/>
          <w:sz w:val="22"/>
          <w:szCs w:val="22"/>
        </w:rPr>
        <w:t>%</w:t>
      </w:r>
      <w:r w:rsidRPr="00E53A6A">
        <w:rPr>
          <w:rFonts w:ascii="Arial" w:hAnsi="Arial" w:cs="Arial"/>
          <w:b/>
          <w:sz w:val="22"/>
          <w:szCs w:val="22"/>
        </w:rPr>
        <w:t xml:space="preserve"> </w:t>
      </w:r>
      <w:r w:rsidRPr="00E53A6A">
        <w:rPr>
          <w:rFonts w:ascii="Arial" w:hAnsi="Arial" w:cs="Arial"/>
          <w:sz w:val="22"/>
          <w:szCs w:val="22"/>
        </w:rPr>
        <w:t>of the responses are filed electronically.</w:t>
      </w:r>
    </w:p>
    <w:p w14:paraId="145B6E3A" w14:textId="77777777" w:rsidR="00E53A6A" w:rsidRPr="00E53A6A" w:rsidRDefault="00E53A6A" w:rsidP="00E53A6A">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p>
    <w:p w14:paraId="12A05E85" w14:textId="77777777" w:rsidR="00171CB3" w:rsidRPr="0026636D" w:rsidRDefault="00171CB3">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hanging="600"/>
        <w:rPr>
          <w:rFonts w:ascii="Arial" w:hAnsi="Arial"/>
          <w:sz w:val="22"/>
        </w:rPr>
      </w:pPr>
      <w:r w:rsidRPr="0026636D">
        <w:rPr>
          <w:rFonts w:ascii="Arial" w:hAnsi="Arial"/>
          <w:sz w:val="22"/>
        </w:rPr>
        <w:t>4.</w:t>
      </w:r>
      <w:r w:rsidRPr="0026636D">
        <w:rPr>
          <w:rFonts w:ascii="Arial" w:hAnsi="Arial"/>
          <w:sz w:val="22"/>
        </w:rPr>
        <w:tab/>
      </w:r>
      <w:r w:rsidRPr="0026636D">
        <w:rPr>
          <w:rFonts w:ascii="Arial" w:hAnsi="Arial"/>
          <w:sz w:val="22"/>
          <w:u w:val="single"/>
        </w:rPr>
        <w:t>Effort to Identify Duplication and Use Similar Information</w:t>
      </w:r>
    </w:p>
    <w:p w14:paraId="2D56D7AE" w14:textId="77777777" w:rsidR="00171CB3" w:rsidRPr="0026636D" w:rsidRDefault="00171CB3">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14:paraId="779CECFF" w14:textId="77777777" w:rsidR="00171CB3" w:rsidRPr="0026636D" w:rsidRDefault="00171CB3">
      <w:pPr>
        <w:widowControl w:val="0"/>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sidRPr="0026636D">
        <w:rPr>
          <w:rFonts w:ascii="Arial" w:hAnsi="Arial"/>
          <w:sz w:val="22"/>
        </w:rPr>
        <w:t xml:space="preserve">No sources of similar information are available.  There is no duplication of requirements.  </w:t>
      </w:r>
    </w:p>
    <w:p w14:paraId="5A3CFB14" w14:textId="77777777" w:rsidR="00171CB3" w:rsidRPr="0026636D" w:rsidRDefault="00171CB3">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14:paraId="707925A0" w14:textId="77777777" w:rsidR="00171CB3" w:rsidRPr="0026636D" w:rsidRDefault="00D21ECE" w:rsidP="00EF7FBC">
      <w:pPr>
        <w:pStyle w:val="Level2"/>
        <w:widowControl/>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sidRPr="0026636D">
        <w:rPr>
          <w:rFonts w:ascii="Arial" w:hAnsi="Arial"/>
          <w:sz w:val="22"/>
        </w:rPr>
        <w:tab/>
      </w:r>
      <w:r w:rsidR="00EF7FBC" w:rsidRPr="0026636D">
        <w:rPr>
          <w:rFonts w:ascii="Arial" w:hAnsi="Arial"/>
          <w:sz w:val="22"/>
        </w:rPr>
        <w:t>5.</w:t>
      </w:r>
      <w:r w:rsidR="00171CB3" w:rsidRPr="0026636D">
        <w:rPr>
          <w:rFonts w:ascii="Arial" w:hAnsi="Arial"/>
          <w:sz w:val="22"/>
        </w:rPr>
        <w:tab/>
      </w:r>
      <w:r w:rsidR="00171CB3" w:rsidRPr="0026636D">
        <w:rPr>
          <w:rFonts w:ascii="Arial" w:hAnsi="Arial"/>
          <w:sz w:val="22"/>
          <w:u w:val="single"/>
        </w:rPr>
        <w:t>Effort to Reduce Small Business Burden</w:t>
      </w:r>
    </w:p>
    <w:p w14:paraId="72A55286" w14:textId="77777777" w:rsidR="00171CB3" w:rsidRPr="0026636D" w:rsidRDefault="00171CB3">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14:paraId="4B5BD1FE" w14:textId="3327DECA" w:rsidR="00E92362" w:rsidRPr="00CB4CEA" w:rsidRDefault="00A760AE" w:rsidP="00A760AE">
      <w:p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t>Not applicable.</w:t>
      </w:r>
    </w:p>
    <w:p w14:paraId="1C93EC18" w14:textId="77777777" w:rsidR="00171CB3" w:rsidRPr="0026636D" w:rsidRDefault="00171CB3">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14:paraId="185FAD08" w14:textId="0201E27C" w:rsidR="00396E6B" w:rsidRDefault="00171CB3">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hanging="600"/>
        <w:rPr>
          <w:rFonts w:ascii="Arial" w:hAnsi="Arial"/>
          <w:sz w:val="22"/>
          <w:u w:val="single"/>
        </w:rPr>
      </w:pPr>
      <w:r w:rsidRPr="0026636D">
        <w:rPr>
          <w:rFonts w:ascii="Arial" w:hAnsi="Arial"/>
          <w:sz w:val="22"/>
        </w:rPr>
        <w:t>6.</w:t>
      </w:r>
      <w:r w:rsidRPr="0026636D">
        <w:rPr>
          <w:rFonts w:ascii="Arial" w:hAnsi="Arial"/>
          <w:sz w:val="22"/>
        </w:rPr>
        <w:tab/>
      </w:r>
      <w:r w:rsidRPr="0026636D">
        <w:rPr>
          <w:rFonts w:ascii="Arial" w:hAnsi="Arial"/>
          <w:sz w:val="22"/>
          <w:u w:val="single"/>
        </w:rPr>
        <w:t>Consequences to Federal Program or Policy Activities if the Collection is Not Conducted or is Conducted Less Frequently</w:t>
      </w:r>
    </w:p>
    <w:p w14:paraId="1D5A4E25" w14:textId="77777777" w:rsidR="00A15A02" w:rsidRDefault="00A15A02">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hanging="600"/>
        <w:rPr>
          <w:rFonts w:ascii="Arial" w:hAnsi="Arial"/>
          <w:sz w:val="22"/>
        </w:rPr>
      </w:pPr>
    </w:p>
    <w:p w14:paraId="520C1BE3" w14:textId="77777777" w:rsidR="00A15A02" w:rsidRDefault="00396E6B" w:rsidP="00A15A02">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hanging="600"/>
        <w:rPr>
          <w:rFonts w:ascii="Arial" w:hAnsi="Arial"/>
          <w:sz w:val="22"/>
        </w:rPr>
      </w:pPr>
      <w:r>
        <w:rPr>
          <w:rFonts w:ascii="Arial" w:hAnsi="Arial"/>
          <w:sz w:val="22"/>
        </w:rPr>
        <w:tab/>
      </w:r>
      <w:r w:rsidR="00A15A02" w:rsidRPr="00545118">
        <w:rPr>
          <w:rFonts w:ascii="Arial" w:hAnsi="Arial"/>
          <w:sz w:val="22"/>
        </w:rPr>
        <w:t>Applicants or licensees requesting approval to construct or operate utilization or production facilities are required by the Atomic Energy Act of 1954, as amended (the Act), to provide information and data that the NRC may determine necessary to ensure the health and safety of the public.</w:t>
      </w:r>
      <w:r w:rsidR="00A15A02">
        <w:rPr>
          <w:rFonts w:ascii="Arial" w:hAnsi="Arial"/>
          <w:sz w:val="22"/>
        </w:rPr>
        <w:t xml:space="preserve">  If the information is not collected, NRC will not be in a position to assess whether licensees are operating within the specific safety requirements applicable to the </w:t>
      </w:r>
      <w:r w:rsidR="00A15A02" w:rsidRPr="00C83A81">
        <w:rPr>
          <w:rFonts w:ascii="Arial" w:hAnsi="Arial"/>
          <w:sz w:val="22"/>
        </w:rPr>
        <w:t xml:space="preserve">licensing and </w:t>
      </w:r>
      <w:r w:rsidR="00A15A02">
        <w:rPr>
          <w:rFonts w:ascii="Arial" w:hAnsi="Arial"/>
          <w:sz w:val="22"/>
        </w:rPr>
        <w:t>operating</w:t>
      </w:r>
      <w:r w:rsidR="00A15A02" w:rsidRPr="00C83A81">
        <w:rPr>
          <w:rFonts w:ascii="Arial" w:hAnsi="Arial"/>
          <w:sz w:val="22"/>
        </w:rPr>
        <w:t xml:space="preserve"> activities for existing nuclear power reactors and research and test reactors.</w:t>
      </w:r>
    </w:p>
    <w:p w14:paraId="3596B339" w14:textId="77777777" w:rsidR="00A15A02" w:rsidRDefault="00A15A02" w:rsidP="00A15A02">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hanging="600"/>
        <w:rPr>
          <w:rFonts w:ascii="Arial" w:hAnsi="Arial"/>
          <w:sz w:val="22"/>
        </w:rPr>
      </w:pPr>
    </w:p>
    <w:p w14:paraId="5AA20790" w14:textId="11B26AD5" w:rsidR="00171CB3" w:rsidRPr="0026636D" w:rsidRDefault="00A15A02" w:rsidP="00A15A02">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hanging="600"/>
        <w:rPr>
          <w:rFonts w:ascii="Arial" w:hAnsi="Arial"/>
          <w:sz w:val="22"/>
        </w:rPr>
      </w:pPr>
      <w:r>
        <w:rPr>
          <w:rFonts w:ascii="Arial" w:hAnsi="Arial"/>
          <w:sz w:val="22"/>
        </w:rPr>
        <w:tab/>
        <w:t>The information and required frequency from licensees that seek to licensee and operator nuclear power reactors and research and test reactors is essential to NRC’s determination of whether the applicant has adequate equipment, training, funds and experience throughout the life of the licensee to protect the public health and safety.</w:t>
      </w:r>
    </w:p>
    <w:p w14:paraId="1508FE8D" w14:textId="77777777" w:rsidR="00171CB3" w:rsidRPr="0026636D" w:rsidRDefault="00171CB3">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14:paraId="151A1588" w14:textId="77777777" w:rsidR="00171CB3" w:rsidRPr="0026636D" w:rsidRDefault="00171CB3">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hanging="600"/>
        <w:rPr>
          <w:rFonts w:ascii="Arial" w:hAnsi="Arial"/>
          <w:sz w:val="22"/>
        </w:rPr>
      </w:pPr>
      <w:r w:rsidRPr="0026636D">
        <w:rPr>
          <w:rFonts w:ascii="Arial" w:hAnsi="Arial"/>
          <w:sz w:val="22"/>
        </w:rPr>
        <w:t>7.</w:t>
      </w:r>
      <w:r w:rsidRPr="0026636D">
        <w:rPr>
          <w:rFonts w:ascii="Arial" w:hAnsi="Arial"/>
          <w:sz w:val="22"/>
        </w:rPr>
        <w:tab/>
      </w:r>
      <w:r w:rsidRPr="0026636D">
        <w:rPr>
          <w:rFonts w:ascii="Arial" w:hAnsi="Arial"/>
          <w:sz w:val="22"/>
          <w:u w:val="single"/>
        </w:rPr>
        <w:t>Circumstances which Justify Variation From OMB Guidelines</w:t>
      </w:r>
    </w:p>
    <w:p w14:paraId="3729A4F2" w14:textId="58C8111B" w:rsidR="00FE24DC" w:rsidRDefault="00617E41" w:rsidP="00531E27">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p>
    <w:p w14:paraId="7B311501" w14:textId="77777777" w:rsidR="005564A2" w:rsidRDefault="005564A2" w:rsidP="005564A2">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Pr>
          <w:rFonts w:ascii="Arial" w:hAnsi="Arial" w:cs="Arial"/>
          <w:sz w:val="22"/>
          <w:szCs w:val="22"/>
        </w:rPr>
        <w:t xml:space="preserve">Section 10 CFR 50.71(e)(1) </w:t>
      </w:r>
      <w:r w:rsidR="00FE24DC">
        <w:rPr>
          <w:rFonts w:ascii="Arial" w:hAnsi="Arial" w:cs="Arial"/>
          <w:sz w:val="22"/>
          <w:szCs w:val="22"/>
        </w:rPr>
        <w:t>The updated FSAR must be retained until the operating license is terminated in order for the NRC to ensure the health and safety of the public at all times, the staff must be certain of the current status of a facility's design and supporting analysis.</w:t>
      </w:r>
    </w:p>
    <w:p w14:paraId="48E45D52" w14:textId="24FFBCA1" w:rsidR="00FE24DC" w:rsidRDefault="009F6579" w:rsidP="005564A2">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Pr>
          <w:rFonts w:ascii="Arial" w:hAnsi="Arial"/>
          <w:sz w:val="22"/>
        </w:rPr>
        <w:tab/>
      </w:r>
      <w:r>
        <w:rPr>
          <w:rFonts w:ascii="Arial" w:hAnsi="Arial"/>
          <w:sz w:val="22"/>
        </w:rPr>
        <w:tab/>
      </w:r>
    </w:p>
    <w:p w14:paraId="2A49FE32" w14:textId="4E9AE553" w:rsidR="00584CA2" w:rsidRPr="00EB2774" w:rsidRDefault="005564A2" w:rsidP="007C4BE8">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Pr>
          <w:rFonts w:ascii="Arial" w:hAnsi="Arial" w:cs="Arial"/>
          <w:sz w:val="22"/>
          <w:szCs w:val="22"/>
        </w:rPr>
        <w:t xml:space="preserve">Section 10 CFR 50.72(a)(1) and 10 CFR 50.72(a)(2) </w:t>
      </w:r>
      <w:r w:rsidR="00FE24DC" w:rsidRPr="00EB2774">
        <w:rPr>
          <w:rFonts w:ascii="Arial" w:hAnsi="Arial" w:cs="Arial"/>
          <w:sz w:val="22"/>
          <w:szCs w:val="22"/>
        </w:rPr>
        <w:t>Notification of significant events is needed within one to eight hours to ensure that the NRC promptly responds to situations with the potential to seriously impact public health and safety.  Additionally, it allows the NRC to be informed of significant events in order to respond to public inquiries.</w:t>
      </w:r>
    </w:p>
    <w:p w14:paraId="1E76C36D" w14:textId="77777777" w:rsidR="00FE24DC" w:rsidRPr="00EB2774" w:rsidRDefault="00FE24DC" w:rsidP="00FE24DC">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07F014D8" w14:textId="4FA83073" w:rsidR="00FA4C84" w:rsidRPr="00960C69" w:rsidRDefault="007C4BE8" w:rsidP="008E3358">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Pr>
          <w:rFonts w:ascii="Arial" w:hAnsi="Arial"/>
          <w:sz w:val="22"/>
        </w:rPr>
        <w:t>Section 10 CFR 50.70</w:t>
      </w:r>
      <w:r w:rsidR="008E3358">
        <w:rPr>
          <w:rFonts w:ascii="Arial" w:hAnsi="Arial"/>
          <w:sz w:val="22"/>
        </w:rPr>
        <w:t xml:space="preserve"> </w:t>
      </w:r>
      <w:r w:rsidR="00FA4C84" w:rsidRPr="00960C69">
        <w:rPr>
          <w:rFonts w:ascii="Arial" w:hAnsi="Arial" w:cs="Arial"/>
          <w:sz w:val="22"/>
          <w:szCs w:val="22"/>
        </w:rPr>
        <w:t>Normally, this information collection will not vary from OMB guidelines.  However, there may be occasions when the information will be requested in less than 30 days to ensure that the information is current.</w:t>
      </w:r>
    </w:p>
    <w:p w14:paraId="50B68FCB" w14:textId="04136390" w:rsidR="00617E41" w:rsidRPr="0026636D" w:rsidRDefault="00FA4C84">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ab/>
      </w:r>
      <w:r>
        <w:rPr>
          <w:rFonts w:ascii="Arial" w:hAnsi="Arial"/>
          <w:sz w:val="22"/>
        </w:rPr>
        <w:tab/>
      </w:r>
    </w:p>
    <w:p w14:paraId="2682FB1B" w14:textId="77777777" w:rsidR="00171CB3" w:rsidRPr="0026636D" w:rsidRDefault="00171CB3">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hanging="600"/>
        <w:rPr>
          <w:rFonts w:ascii="Arial" w:hAnsi="Arial"/>
          <w:sz w:val="22"/>
        </w:rPr>
      </w:pPr>
      <w:r w:rsidRPr="0026636D">
        <w:rPr>
          <w:rFonts w:ascii="Arial" w:hAnsi="Arial"/>
          <w:sz w:val="22"/>
        </w:rPr>
        <w:t>8.</w:t>
      </w:r>
      <w:r w:rsidRPr="0026636D">
        <w:rPr>
          <w:rFonts w:ascii="Arial" w:hAnsi="Arial"/>
          <w:sz w:val="22"/>
        </w:rPr>
        <w:tab/>
      </w:r>
      <w:r w:rsidRPr="0026636D">
        <w:rPr>
          <w:rFonts w:ascii="Arial" w:hAnsi="Arial"/>
          <w:sz w:val="22"/>
          <w:u w:val="single"/>
        </w:rPr>
        <w:t>Consultations Outside the NRC</w:t>
      </w:r>
    </w:p>
    <w:p w14:paraId="09E81361" w14:textId="77777777" w:rsidR="00171CB3" w:rsidRPr="0026636D" w:rsidRDefault="00171CB3">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14:paraId="273D0814" w14:textId="77777777" w:rsidR="00370F9C" w:rsidRPr="00370F9C" w:rsidRDefault="00370F9C" w:rsidP="00370F9C">
      <w:pPr>
        <w:ind w:left="1200"/>
        <w:rPr>
          <w:rFonts w:ascii="Arial" w:hAnsi="Arial" w:cs="Arial"/>
          <w:sz w:val="22"/>
        </w:rPr>
      </w:pPr>
      <w:r w:rsidRPr="00370F9C">
        <w:rPr>
          <w:rFonts w:ascii="Arial" w:hAnsi="Arial" w:cs="Arial"/>
          <w:sz w:val="22"/>
        </w:rPr>
        <w:t xml:space="preserve">Opportunity for public comment on the information collection requirements for this clearance package was published in the </w:t>
      </w:r>
      <w:r w:rsidRPr="00370F9C">
        <w:rPr>
          <w:rFonts w:ascii="Arial" w:hAnsi="Arial" w:cs="Arial"/>
          <w:i/>
          <w:iCs/>
          <w:sz w:val="22"/>
        </w:rPr>
        <w:t>Federal Register</w:t>
      </w:r>
      <w:r w:rsidRPr="00370F9C">
        <w:rPr>
          <w:rFonts w:ascii="Arial" w:hAnsi="Arial" w:cs="Arial"/>
          <w:sz w:val="22"/>
        </w:rPr>
        <w:t xml:space="preserve"> on October 18, 2017 (82 FR 48539).  Additionally, we contacted via email nine potential respondents in the areas of reactor owner/operator licensees, state government, research facilities and nuclear industry stakeholder representatives from Northern States Power Company, Florida Power and Light, Southern Nuclear Operating Co., Tennessee Valley Authority, Illinois Emergency Management Agency – State of Illinois, Union of Concerned Scientists, SHINE Medical Technologies, Inc., MIT – Nuclear Reactor Laboratory and the University of Missouri – Columbia.  Of the nine potential respondents contacted, no respondent replied.  Further, no comments were received from the published Federal Register Notice.</w:t>
      </w:r>
    </w:p>
    <w:p w14:paraId="1B7531FB" w14:textId="66DFDD6A" w:rsidR="00A26337" w:rsidRDefault="00A26337" w:rsidP="00A26337">
      <w:pPr>
        <w:ind w:left="1200"/>
        <w:rPr>
          <w:rFonts w:ascii="Arial" w:hAnsi="Arial" w:cs="Arial"/>
          <w:sz w:val="22"/>
        </w:rPr>
      </w:pPr>
    </w:p>
    <w:p w14:paraId="6C97FF65" w14:textId="77777777" w:rsidR="00171CB3" w:rsidRPr="0026636D" w:rsidRDefault="00171CB3">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hanging="600"/>
        <w:rPr>
          <w:rFonts w:ascii="Arial" w:hAnsi="Arial"/>
          <w:sz w:val="22"/>
        </w:rPr>
      </w:pPr>
      <w:r w:rsidRPr="0026636D">
        <w:rPr>
          <w:rFonts w:ascii="Arial" w:hAnsi="Arial"/>
          <w:sz w:val="22"/>
        </w:rPr>
        <w:t>9.</w:t>
      </w:r>
      <w:r w:rsidRPr="0026636D">
        <w:rPr>
          <w:rFonts w:ascii="Arial" w:hAnsi="Arial"/>
          <w:sz w:val="22"/>
        </w:rPr>
        <w:tab/>
      </w:r>
      <w:r w:rsidRPr="0026636D">
        <w:rPr>
          <w:rFonts w:ascii="Arial" w:hAnsi="Arial"/>
          <w:sz w:val="22"/>
          <w:u w:val="single"/>
        </w:rPr>
        <w:t>Payment or Gift to Respondents</w:t>
      </w:r>
    </w:p>
    <w:p w14:paraId="1E2DA6F3" w14:textId="77777777" w:rsidR="00171CB3" w:rsidRPr="0026636D" w:rsidRDefault="00171CB3">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14:paraId="586A896C" w14:textId="77777777" w:rsidR="00171CB3" w:rsidRPr="0026636D" w:rsidRDefault="00171CB3">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sidRPr="0026636D">
        <w:rPr>
          <w:rFonts w:ascii="Arial" w:hAnsi="Arial"/>
          <w:sz w:val="22"/>
        </w:rPr>
        <w:t>Not applicable.</w:t>
      </w:r>
    </w:p>
    <w:p w14:paraId="0A26E993" w14:textId="77777777" w:rsidR="00171CB3" w:rsidRPr="0026636D" w:rsidRDefault="00171CB3">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14:paraId="11DB711D" w14:textId="77777777" w:rsidR="00171CB3" w:rsidRPr="0026636D" w:rsidRDefault="00171CB3">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hanging="600"/>
        <w:rPr>
          <w:rFonts w:ascii="Arial" w:hAnsi="Arial"/>
          <w:sz w:val="22"/>
        </w:rPr>
      </w:pPr>
      <w:r w:rsidRPr="0026636D">
        <w:rPr>
          <w:rFonts w:ascii="Arial" w:hAnsi="Arial"/>
          <w:sz w:val="22"/>
        </w:rPr>
        <w:t>10.</w:t>
      </w:r>
      <w:r w:rsidRPr="0026636D">
        <w:rPr>
          <w:rFonts w:ascii="Arial" w:hAnsi="Arial"/>
          <w:sz w:val="22"/>
        </w:rPr>
        <w:tab/>
      </w:r>
      <w:r w:rsidRPr="0026636D">
        <w:rPr>
          <w:rFonts w:ascii="Arial" w:hAnsi="Arial"/>
          <w:sz w:val="22"/>
          <w:u w:val="single"/>
        </w:rPr>
        <w:t>Confidentiality of Information</w:t>
      </w:r>
    </w:p>
    <w:p w14:paraId="2A8F2EAB" w14:textId="77777777" w:rsidR="00171CB3" w:rsidRPr="0026636D" w:rsidRDefault="00171CB3">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trike/>
          <w:sz w:val="22"/>
        </w:rPr>
      </w:pPr>
    </w:p>
    <w:p w14:paraId="51FE1463" w14:textId="458010CE" w:rsidR="00171CB3" w:rsidRPr="0026636D" w:rsidRDefault="00171CB3">
      <w:pPr>
        <w:widowControl w:val="0"/>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sidRPr="0026636D">
        <w:rPr>
          <w:rFonts w:ascii="Arial" w:hAnsi="Arial"/>
          <w:sz w:val="22"/>
        </w:rPr>
        <w:t>Confidential and proprietary information is protected in accordance with NRC regulations at 10 CFR 9.17(a) and 10 CFR 2.390(b).</w:t>
      </w:r>
      <w:r w:rsidR="008E3358">
        <w:rPr>
          <w:rFonts w:ascii="Arial" w:hAnsi="Arial"/>
          <w:sz w:val="22"/>
        </w:rPr>
        <w:t xml:space="preserve">  </w:t>
      </w:r>
      <w:r w:rsidR="008E3358" w:rsidRPr="008E3358">
        <w:rPr>
          <w:rFonts w:ascii="Arial" w:hAnsi="Arial"/>
          <w:sz w:val="22"/>
        </w:rPr>
        <w:t>However, no information normally considered confidential or proprietary is requested.</w:t>
      </w:r>
    </w:p>
    <w:p w14:paraId="1B60F1A2" w14:textId="77777777" w:rsidR="00171CB3" w:rsidRPr="0026636D" w:rsidRDefault="00171CB3" w:rsidP="00D21ECE">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sidRPr="0026636D">
        <w:rPr>
          <w:rFonts w:ascii="Arial" w:hAnsi="Arial"/>
          <w:sz w:val="22"/>
        </w:rPr>
        <w:tab/>
      </w:r>
    </w:p>
    <w:p w14:paraId="71229B41" w14:textId="77777777" w:rsidR="00171CB3" w:rsidRPr="0026636D" w:rsidRDefault="00171CB3">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hanging="600"/>
        <w:rPr>
          <w:rFonts w:ascii="Arial" w:hAnsi="Arial"/>
          <w:sz w:val="22"/>
        </w:rPr>
      </w:pPr>
      <w:r w:rsidRPr="0026636D">
        <w:rPr>
          <w:rFonts w:ascii="Arial" w:hAnsi="Arial"/>
          <w:sz w:val="22"/>
        </w:rPr>
        <w:t>11.</w:t>
      </w:r>
      <w:r w:rsidRPr="0026636D">
        <w:rPr>
          <w:rFonts w:ascii="Arial" w:hAnsi="Arial"/>
          <w:sz w:val="22"/>
        </w:rPr>
        <w:tab/>
      </w:r>
      <w:r w:rsidRPr="0026636D">
        <w:rPr>
          <w:rFonts w:ascii="Arial" w:hAnsi="Arial"/>
          <w:sz w:val="22"/>
          <w:u w:val="single"/>
        </w:rPr>
        <w:t>Justification for Sensitive Questions</w:t>
      </w:r>
    </w:p>
    <w:p w14:paraId="57AB10C9" w14:textId="77777777" w:rsidR="00171CB3" w:rsidRPr="0026636D" w:rsidRDefault="00171CB3">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14:paraId="6D1AD62D" w14:textId="7D70AA5D" w:rsidR="00171CB3" w:rsidRPr="0026636D" w:rsidRDefault="00171CB3" w:rsidP="003765CC">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sidRPr="0026636D">
        <w:rPr>
          <w:rFonts w:ascii="Arial" w:hAnsi="Arial"/>
          <w:sz w:val="22"/>
        </w:rPr>
        <w:t xml:space="preserve">This regulation does not request sensitive information.  </w:t>
      </w:r>
      <w:r w:rsidR="00D34558">
        <w:rPr>
          <w:rFonts w:ascii="Arial" w:hAnsi="Arial"/>
          <w:sz w:val="22"/>
        </w:rPr>
        <w:br w:type="page"/>
      </w:r>
    </w:p>
    <w:p w14:paraId="39975E6E" w14:textId="77777777" w:rsidR="00171CB3" w:rsidRDefault="00171CB3">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hanging="600"/>
        <w:rPr>
          <w:rFonts w:ascii="Arial" w:hAnsi="Arial"/>
          <w:sz w:val="22"/>
          <w:u w:val="single"/>
        </w:rPr>
      </w:pPr>
      <w:r w:rsidRPr="0026636D">
        <w:rPr>
          <w:rFonts w:ascii="Arial" w:hAnsi="Arial"/>
          <w:sz w:val="22"/>
        </w:rPr>
        <w:t>12.</w:t>
      </w:r>
      <w:r w:rsidRPr="0026636D">
        <w:rPr>
          <w:rFonts w:ascii="Arial" w:hAnsi="Arial"/>
          <w:sz w:val="22"/>
        </w:rPr>
        <w:tab/>
      </w:r>
      <w:r w:rsidRPr="0026636D">
        <w:rPr>
          <w:rFonts w:ascii="Arial" w:hAnsi="Arial"/>
          <w:sz w:val="22"/>
          <w:u w:val="single"/>
        </w:rPr>
        <w:t>Estimated Industry Burden and Burden Hour Cost</w:t>
      </w:r>
    </w:p>
    <w:p w14:paraId="495C920B" w14:textId="1E07DFAF" w:rsidR="009A07BF" w:rsidRDefault="009A07BF">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hanging="600"/>
        <w:rPr>
          <w:rFonts w:ascii="Arial" w:hAnsi="Arial"/>
          <w:sz w:val="22"/>
        </w:rPr>
      </w:pPr>
    </w:p>
    <w:p w14:paraId="38CC97F1" w14:textId="20875AF3" w:rsidR="00213B8C" w:rsidRDefault="00213B8C" w:rsidP="00213B8C">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Pr>
          <w:rFonts w:ascii="Arial" w:hAnsi="Arial"/>
          <w:sz w:val="22"/>
        </w:rPr>
        <w:t xml:space="preserve">The total estimated cost for information collection requirements in this section is estimated to be </w:t>
      </w:r>
      <w:r w:rsidR="00076A9F">
        <w:rPr>
          <w:rFonts w:ascii="Arial" w:hAnsi="Arial"/>
          <w:sz w:val="22"/>
        </w:rPr>
        <w:t>105,429.7</w:t>
      </w:r>
      <w:r w:rsidR="00C859FA">
        <w:rPr>
          <w:rFonts w:ascii="Arial" w:hAnsi="Arial"/>
          <w:sz w:val="22"/>
        </w:rPr>
        <w:t xml:space="preserve"> </w:t>
      </w:r>
      <w:r>
        <w:rPr>
          <w:rFonts w:ascii="Arial" w:hAnsi="Arial"/>
          <w:sz w:val="22"/>
        </w:rPr>
        <w:t>hours at a cost of $</w:t>
      </w:r>
      <w:r w:rsidR="00C859FA">
        <w:rPr>
          <w:rFonts w:ascii="Arial" w:hAnsi="Arial"/>
          <w:sz w:val="22"/>
        </w:rPr>
        <w:t>2</w:t>
      </w:r>
      <w:r w:rsidR="00076A9F">
        <w:rPr>
          <w:rFonts w:ascii="Arial" w:hAnsi="Arial"/>
          <w:sz w:val="22"/>
        </w:rPr>
        <w:t>7,728,011</w:t>
      </w:r>
      <w:r w:rsidR="00D95A10">
        <w:rPr>
          <w:rFonts w:ascii="Arial" w:hAnsi="Arial"/>
          <w:sz w:val="22"/>
        </w:rPr>
        <w:t xml:space="preserve"> (</w:t>
      </w:r>
      <w:r w:rsidR="00A01E7C">
        <w:rPr>
          <w:rFonts w:ascii="Arial" w:hAnsi="Arial"/>
          <w:sz w:val="22"/>
        </w:rPr>
        <w:t>105</w:t>
      </w:r>
      <w:r w:rsidR="00076A9F">
        <w:rPr>
          <w:rFonts w:ascii="Arial" w:hAnsi="Arial"/>
          <w:sz w:val="22"/>
        </w:rPr>
        <w:t>,429.7</w:t>
      </w:r>
      <w:r w:rsidR="00775B24">
        <w:rPr>
          <w:rFonts w:ascii="Arial" w:hAnsi="Arial"/>
          <w:sz w:val="22"/>
        </w:rPr>
        <w:t xml:space="preserve"> </w:t>
      </w:r>
      <w:r w:rsidR="00D95A10">
        <w:rPr>
          <w:rFonts w:ascii="Arial" w:hAnsi="Arial"/>
          <w:sz w:val="22"/>
        </w:rPr>
        <w:t>hours</w:t>
      </w:r>
      <w:r>
        <w:rPr>
          <w:rFonts w:ascii="Arial" w:hAnsi="Arial"/>
          <w:sz w:val="22"/>
        </w:rPr>
        <w:t xml:space="preserve"> x </w:t>
      </w:r>
      <w:r w:rsidR="00D95A10">
        <w:rPr>
          <w:rFonts w:ascii="Arial" w:hAnsi="Arial"/>
          <w:sz w:val="22"/>
        </w:rPr>
        <w:t>$</w:t>
      </w:r>
      <w:r>
        <w:rPr>
          <w:rFonts w:ascii="Arial" w:hAnsi="Arial"/>
          <w:sz w:val="22"/>
        </w:rPr>
        <w:t>263/hr).</w:t>
      </w:r>
    </w:p>
    <w:p w14:paraId="0100C9EA" w14:textId="77777777" w:rsidR="00EF2408" w:rsidRDefault="00EF2408">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hanging="600"/>
        <w:rPr>
          <w:rFonts w:ascii="Arial" w:hAnsi="Arial"/>
          <w:sz w:val="22"/>
        </w:rPr>
      </w:pPr>
    </w:p>
    <w:tbl>
      <w:tblPr>
        <w:tblW w:w="5912" w:type="dxa"/>
        <w:tblInd w:w="1980" w:type="dxa"/>
        <w:tblLook w:val="04A0" w:firstRow="1" w:lastRow="0" w:firstColumn="1" w:lastColumn="0" w:noHBand="0" w:noVBand="1"/>
      </w:tblPr>
      <w:tblGrid>
        <w:gridCol w:w="3400"/>
        <w:gridCol w:w="1195"/>
        <w:gridCol w:w="1317"/>
      </w:tblGrid>
      <w:tr w:rsidR="00EF2408" w:rsidRPr="00EF2408" w14:paraId="4427D3DB" w14:textId="77777777" w:rsidTr="003765CC">
        <w:trPr>
          <w:trHeight w:val="276"/>
        </w:trPr>
        <w:tc>
          <w:tcPr>
            <w:tcW w:w="591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B4FF9" w14:textId="77777777" w:rsidR="00EF2408" w:rsidRPr="00EF2408" w:rsidRDefault="00EF2408" w:rsidP="00EF2408">
            <w:pPr>
              <w:jc w:val="center"/>
              <w:rPr>
                <w:rFonts w:ascii="Arial" w:hAnsi="Arial" w:cs="Arial"/>
                <w:color w:val="000000"/>
                <w:sz w:val="22"/>
                <w:szCs w:val="22"/>
              </w:rPr>
            </w:pPr>
            <w:r w:rsidRPr="00EF2408">
              <w:rPr>
                <w:rFonts w:ascii="Arial" w:hAnsi="Arial" w:cs="Arial"/>
                <w:color w:val="000000"/>
                <w:sz w:val="22"/>
                <w:szCs w:val="22"/>
              </w:rPr>
              <w:t>Total Burden and Responses Section 4</w:t>
            </w:r>
          </w:p>
        </w:tc>
      </w:tr>
      <w:tr w:rsidR="00EF2408" w:rsidRPr="00EF2408" w14:paraId="7B3F8D3F" w14:textId="77777777" w:rsidTr="003765CC">
        <w:trPr>
          <w:trHeight w:val="276"/>
        </w:trPr>
        <w:tc>
          <w:tcPr>
            <w:tcW w:w="3400" w:type="dxa"/>
            <w:tcBorders>
              <w:top w:val="single" w:sz="4" w:space="0" w:color="auto"/>
              <w:left w:val="single" w:sz="4" w:space="0" w:color="auto"/>
              <w:bottom w:val="single" w:sz="4" w:space="0" w:color="auto"/>
              <w:right w:val="nil"/>
            </w:tcBorders>
            <w:shd w:val="clear" w:color="auto" w:fill="auto"/>
            <w:noWrap/>
            <w:vAlign w:val="bottom"/>
            <w:hideMark/>
          </w:tcPr>
          <w:p w14:paraId="46F74E94" w14:textId="77777777" w:rsidR="00EF2408" w:rsidRPr="00EF2408" w:rsidRDefault="00EF2408" w:rsidP="00EF2408">
            <w:pPr>
              <w:jc w:val="center"/>
              <w:rPr>
                <w:rFonts w:ascii="Arial" w:hAnsi="Arial" w:cs="Arial"/>
                <w:color w:val="000000"/>
                <w:sz w:val="22"/>
                <w:szCs w:val="22"/>
              </w:rPr>
            </w:pP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8E4B53" w14:textId="77777777" w:rsidR="00EF2408" w:rsidRPr="00EF2408" w:rsidRDefault="00EF2408" w:rsidP="00EF2408">
            <w:pPr>
              <w:rPr>
                <w:rFonts w:ascii="Arial" w:hAnsi="Arial" w:cs="Arial"/>
                <w:color w:val="000000"/>
                <w:sz w:val="22"/>
                <w:szCs w:val="22"/>
              </w:rPr>
            </w:pPr>
            <w:r w:rsidRPr="00EF2408">
              <w:rPr>
                <w:rFonts w:ascii="Arial" w:hAnsi="Arial" w:cs="Arial"/>
                <w:color w:val="000000"/>
                <w:sz w:val="22"/>
                <w:szCs w:val="22"/>
              </w:rPr>
              <w:t xml:space="preserve"> Hours </w:t>
            </w:r>
          </w:p>
        </w:tc>
        <w:tc>
          <w:tcPr>
            <w:tcW w:w="1317" w:type="dxa"/>
            <w:tcBorders>
              <w:top w:val="single" w:sz="4" w:space="0" w:color="auto"/>
              <w:left w:val="nil"/>
              <w:bottom w:val="single" w:sz="4" w:space="0" w:color="auto"/>
              <w:right w:val="single" w:sz="4" w:space="0" w:color="auto"/>
            </w:tcBorders>
            <w:shd w:val="clear" w:color="auto" w:fill="auto"/>
            <w:noWrap/>
            <w:vAlign w:val="bottom"/>
            <w:hideMark/>
          </w:tcPr>
          <w:p w14:paraId="25EC748A" w14:textId="77777777" w:rsidR="00EF2408" w:rsidRPr="00EF2408" w:rsidRDefault="00EF2408" w:rsidP="00EF2408">
            <w:pPr>
              <w:rPr>
                <w:rFonts w:ascii="Arial" w:hAnsi="Arial" w:cs="Arial"/>
                <w:color w:val="000000"/>
                <w:sz w:val="22"/>
                <w:szCs w:val="22"/>
              </w:rPr>
            </w:pPr>
            <w:r w:rsidRPr="00EF2408">
              <w:rPr>
                <w:rFonts w:ascii="Arial" w:hAnsi="Arial" w:cs="Arial"/>
                <w:color w:val="000000"/>
                <w:sz w:val="22"/>
                <w:szCs w:val="22"/>
              </w:rPr>
              <w:t xml:space="preserve"> Responses </w:t>
            </w:r>
          </w:p>
        </w:tc>
      </w:tr>
      <w:tr w:rsidR="00EF2408" w:rsidRPr="00EF2408" w14:paraId="1387F6B3" w14:textId="77777777" w:rsidTr="003765CC">
        <w:trPr>
          <w:trHeight w:val="276"/>
        </w:trPr>
        <w:tc>
          <w:tcPr>
            <w:tcW w:w="3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1AB627" w14:textId="77777777" w:rsidR="00EF2408" w:rsidRPr="00EF2408" w:rsidRDefault="00EF2408" w:rsidP="00EF2408">
            <w:pPr>
              <w:rPr>
                <w:rFonts w:ascii="Arial" w:hAnsi="Arial" w:cs="Arial"/>
                <w:color w:val="000000"/>
                <w:sz w:val="22"/>
                <w:szCs w:val="22"/>
              </w:rPr>
            </w:pPr>
            <w:r w:rsidRPr="00EF2408">
              <w:rPr>
                <w:rFonts w:ascii="Arial" w:hAnsi="Arial" w:cs="Arial"/>
                <w:color w:val="000000"/>
                <w:sz w:val="22"/>
                <w:szCs w:val="22"/>
              </w:rPr>
              <w:t xml:space="preserve"> Reporting </w:t>
            </w:r>
          </w:p>
        </w:tc>
        <w:tc>
          <w:tcPr>
            <w:tcW w:w="1195" w:type="dxa"/>
            <w:tcBorders>
              <w:top w:val="single" w:sz="4" w:space="0" w:color="auto"/>
              <w:left w:val="nil"/>
              <w:bottom w:val="single" w:sz="4" w:space="0" w:color="auto"/>
              <w:right w:val="single" w:sz="4" w:space="0" w:color="auto"/>
            </w:tcBorders>
            <w:shd w:val="clear" w:color="auto" w:fill="auto"/>
            <w:noWrap/>
            <w:vAlign w:val="bottom"/>
            <w:hideMark/>
          </w:tcPr>
          <w:p w14:paraId="2BCAD135" w14:textId="663B270E" w:rsidR="00EF2408" w:rsidRPr="00EF2408" w:rsidRDefault="00EF2408" w:rsidP="00EF2408">
            <w:pPr>
              <w:rPr>
                <w:rFonts w:ascii="Arial" w:hAnsi="Arial" w:cs="Arial"/>
                <w:color w:val="000000"/>
                <w:sz w:val="22"/>
                <w:szCs w:val="22"/>
              </w:rPr>
            </w:pPr>
            <w:r w:rsidRPr="00EF2408">
              <w:rPr>
                <w:rFonts w:ascii="Arial" w:hAnsi="Arial" w:cs="Arial"/>
                <w:color w:val="000000"/>
                <w:sz w:val="22"/>
                <w:szCs w:val="22"/>
              </w:rPr>
              <w:t xml:space="preserve">         78,048.</w:t>
            </w:r>
            <w:r w:rsidR="00C617F5">
              <w:rPr>
                <w:rFonts w:ascii="Arial" w:hAnsi="Arial" w:cs="Arial"/>
                <w:color w:val="000000"/>
                <w:sz w:val="22"/>
                <w:szCs w:val="22"/>
              </w:rPr>
              <w:t>0</w:t>
            </w:r>
          </w:p>
        </w:tc>
        <w:tc>
          <w:tcPr>
            <w:tcW w:w="1317" w:type="dxa"/>
            <w:tcBorders>
              <w:top w:val="nil"/>
              <w:left w:val="nil"/>
              <w:bottom w:val="single" w:sz="4" w:space="0" w:color="auto"/>
              <w:right w:val="single" w:sz="4" w:space="0" w:color="auto"/>
            </w:tcBorders>
            <w:shd w:val="clear" w:color="auto" w:fill="auto"/>
            <w:noWrap/>
            <w:vAlign w:val="bottom"/>
            <w:hideMark/>
          </w:tcPr>
          <w:p w14:paraId="1EC8AC55" w14:textId="065841F0" w:rsidR="00EF2408" w:rsidRPr="00EF2408" w:rsidRDefault="00E42A10" w:rsidP="00EF2408">
            <w:pPr>
              <w:rPr>
                <w:rFonts w:ascii="Arial" w:hAnsi="Arial" w:cs="Arial"/>
                <w:color w:val="000000"/>
                <w:sz w:val="22"/>
                <w:szCs w:val="22"/>
              </w:rPr>
            </w:pPr>
            <w:r>
              <w:rPr>
                <w:rFonts w:ascii="Arial" w:hAnsi="Arial" w:cs="Arial"/>
                <w:color w:val="000000"/>
                <w:sz w:val="22"/>
                <w:szCs w:val="22"/>
              </w:rPr>
              <w:t xml:space="preserve">            </w:t>
            </w:r>
            <w:r w:rsidR="00BB47D9">
              <w:rPr>
                <w:rFonts w:ascii="Arial" w:hAnsi="Arial" w:cs="Arial"/>
                <w:color w:val="000000"/>
                <w:sz w:val="22"/>
                <w:szCs w:val="22"/>
              </w:rPr>
              <w:t>35,479.0</w:t>
            </w:r>
          </w:p>
        </w:tc>
      </w:tr>
      <w:tr w:rsidR="00EF2408" w:rsidRPr="00EF2408" w14:paraId="15F8FAEA" w14:textId="77777777" w:rsidTr="009B0D52">
        <w:trPr>
          <w:trHeight w:val="276"/>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14:paraId="620FDEE2" w14:textId="77777777" w:rsidR="00EF2408" w:rsidRPr="00EF2408" w:rsidRDefault="00EF2408" w:rsidP="00EF2408">
            <w:pPr>
              <w:rPr>
                <w:rFonts w:ascii="Arial" w:hAnsi="Arial" w:cs="Arial"/>
                <w:color w:val="000000"/>
                <w:sz w:val="22"/>
                <w:szCs w:val="22"/>
              </w:rPr>
            </w:pPr>
            <w:r w:rsidRPr="00EF2408">
              <w:rPr>
                <w:rFonts w:ascii="Arial" w:hAnsi="Arial" w:cs="Arial"/>
                <w:color w:val="000000"/>
                <w:sz w:val="22"/>
                <w:szCs w:val="22"/>
              </w:rPr>
              <w:t xml:space="preserve"> Recordkeeping </w:t>
            </w:r>
          </w:p>
        </w:tc>
        <w:tc>
          <w:tcPr>
            <w:tcW w:w="1195" w:type="dxa"/>
            <w:tcBorders>
              <w:top w:val="nil"/>
              <w:left w:val="nil"/>
              <w:bottom w:val="single" w:sz="4" w:space="0" w:color="auto"/>
              <w:right w:val="single" w:sz="4" w:space="0" w:color="auto"/>
            </w:tcBorders>
            <w:shd w:val="clear" w:color="auto" w:fill="auto"/>
            <w:noWrap/>
            <w:vAlign w:val="bottom"/>
            <w:hideMark/>
          </w:tcPr>
          <w:p w14:paraId="15E6643D" w14:textId="77777777" w:rsidR="00EF2408" w:rsidRPr="00EF2408" w:rsidRDefault="00EF2408" w:rsidP="00EF2408">
            <w:pPr>
              <w:rPr>
                <w:rFonts w:ascii="Arial" w:hAnsi="Arial" w:cs="Arial"/>
                <w:color w:val="000000"/>
                <w:sz w:val="22"/>
                <w:szCs w:val="22"/>
              </w:rPr>
            </w:pPr>
            <w:r w:rsidRPr="00EF2408">
              <w:rPr>
                <w:rFonts w:ascii="Arial" w:hAnsi="Arial" w:cs="Arial"/>
                <w:color w:val="000000"/>
                <w:sz w:val="22"/>
                <w:szCs w:val="22"/>
              </w:rPr>
              <w:t xml:space="preserve">         27,381.7 </w:t>
            </w:r>
          </w:p>
        </w:tc>
        <w:tc>
          <w:tcPr>
            <w:tcW w:w="1317" w:type="dxa"/>
            <w:tcBorders>
              <w:top w:val="nil"/>
              <w:left w:val="nil"/>
              <w:bottom w:val="single" w:sz="4" w:space="0" w:color="auto"/>
              <w:right w:val="single" w:sz="4" w:space="0" w:color="auto"/>
            </w:tcBorders>
            <w:shd w:val="clear" w:color="auto" w:fill="auto"/>
            <w:noWrap/>
            <w:vAlign w:val="bottom"/>
            <w:hideMark/>
          </w:tcPr>
          <w:p w14:paraId="42A02D5C" w14:textId="77777777" w:rsidR="00EF2408" w:rsidRPr="00EF2408" w:rsidRDefault="00EF2408" w:rsidP="00EF2408">
            <w:pPr>
              <w:rPr>
                <w:rFonts w:ascii="Arial" w:hAnsi="Arial" w:cs="Arial"/>
                <w:color w:val="000000"/>
                <w:sz w:val="22"/>
                <w:szCs w:val="22"/>
              </w:rPr>
            </w:pPr>
            <w:r w:rsidRPr="00EF2408">
              <w:rPr>
                <w:rFonts w:ascii="Arial" w:hAnsi="Arial" w:cs="Arial"/>
                <w:color w:val="000000"/>
                <w:sz w:val="22"/>
                <w:szCs w:val="22"/>
              </w:rPr>
              <w:t xml:space="preserve">               125.0 </w:t>
            </w:r>
          </w:p>
        </w:tc>
      </w:tr>
      <w:tr w:rsidR="00EF2408" w:rsidRPr="00EF2408" w14:paraId="38AA11C2" w14:textId="77777777" w:rsidTr="009B0D52">
        <w:trPr>
          <w:trHeight w:val="276"/>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14:paraId="0BBEAA58" w14:textId="77777777" w:rsidR="00EF2408" w:rsidRPr="00EF2408" w:rsidRDefault="00EF2408" w:rsidP="00EF2408">
            <w:pPr>
              <w:rPr>
                <w:rFonts w:ascii="Arial" w:hAnsi="Arial" w:cs="Arial"/>
                <w:b/>
                <w:bCs/>
                <w:color w:val="000000"/>
                <w:sz w:val="22"/>
                <w:szCs w:val="22"/>
              </w:rPr>
            </w:pPr>
            <w:r w:rsidRPr="00EF2408">
              <w:rPr>
                <w:rFonts w:ascii="Arial" w:hAnsi="Arial" w:cs="Arial"/>
                <w:b/>
                <w:bCs/>
                <w:color w:val="000000"/>
                <w:sz w:val="22"/>
                <w:szCs w:val="22"/>
              </w:rPr>
              <w:t xml:space="preserve"> TOTAL </w:t>
            </w:r>
          </w:p>
        </w:tc>
        <w:tc>
          <w:tcPr>
            <w:tcW w:w="1195" w:type="dxa"/>
            <w:tcBorders>
              <w:top w:val="nil"/>
              <w:left w:val="nil"/>
              <w:bottom w:val="single" w:sz="4" w:space="0" w:color="auto"/>
              <w:right w:val="single" w:sz="4" w:space="0" w:color="auto"/>
            </w:tcBorders>
            <w:shd w:val="clear" w:color="auto" w:fill="auto"/>
            <w:noWrap/>
            <w:vAlign w:val="bottom"/>
            <w:hideMark/>
          </w:tcPr>
          <w:p w14:paraId="2C99A273" w14:textId="00D0F1E1" w:rsidR="00EF2408" w:rsidRPr="00EF2408" w:rsidRDefault="00C617F5" w:rsidP="00EF2408">
            <w:pPr>
              <w:rPr>
                <w:rFonts w:ascii="Arial" w:hAnsi="Arial" w:cs="Arial"/>
                <w:b/>
                <w:bCs/>
                <w:color w:val="000000"/>
                <w:sz w:val="22"/>
                <w:szCs w:val="22"/>
              </w:rPr>
            </w:pPr>
            <w:r>
              <w:rPr>
                <w:rFonts w:ascii="Arial" w:hAnsi="Arial" w:cs="Arial"/>
                <w:b/>
                <w:bCs/>
                <w:color w:val="000000"/>
                <w:sz w:val="22"/>
                <w:szCs w:val="22"/>
              </w:rPr>
              <w:t xml:space="preserve">       105,429.</w:t>
            </w:r>
            <w:r w:rsidR="00076A9F">
              <w:rPr>
                <w:rFonts w:ascii="Arial" w:hAnsi="Arial" w:cs="Arial"/>
                <w:b/>
                <w:bCs/>
                <w:color w:val="000000"/>
                <w:sz w:val="22"/>
                <w:szCs w:val="22"/>
              </w:rPr>
              <w:t>7</w:t>
            </w:r>
            <w:r w:rsidR="00EF2408" w:rsidRPr="00EF2408">
              <w:rPr>
                <w:rFonts w:ascii="Arial" w:hAnsi="Arial" w:cs="Arial"/>
                <w:b/>
                <w:bCs/>
                <w:color w:val="000000"/>
                <w:sz w:val="22"/>
                <w:szCs w:val="22"/>
              </w:rPr>
              <w:t xml:space="preserve"> </w:t>
            </w:r>
          </w:p>
        </w:tc>
        <w:tc>
          <w:tcPr>
            <w:tcW w:w="1317" w:type="dxa"/>
            <w:tcBorders>
              <w:top w:val="nil"/>
              <w:left w:val="nil"/>
              <w:bottom w:val="single" w:sz="4" w:space="0" w:color="auto"/>
              <w:right w:val="single" w:sz="4" w:space="0" w:color="auto"/>
            </w:tcBorders>
            <w:shd w:val="clear" w:color="auto" w:fill="auto"/>
            <w:noWrap/>
            <w:vAlign w:val="bottom"/>
            <w:hideMark/>
          </w:tcPr>
          <w:p w14:paraId="1CF9DD43" w14:textId="0B181BAA" w:rsidR="00EF2408" w:rsidRPr="00EF2408" w:rsidRDefault="00EF2408" w:rsidP="00EF2408">
            <w:pPr>
              <w:rPr>
                <w:rFonts w:ascii="Arial" w:hAnsi="Arial" w:cs="Arial"/>
                <w:b/>
                <w:bCs/>
                <w:color w:val="000000"/>
                <w:sz w:val="22"/>
                <w:szCs w:val="22"/>
              </w:rPr>
            </w:pPr>
            <w:r w:rsidRPr="00EF2408">
              <w:rPr>
                <w:rFonts w:ascii="Arial" w:hAnsi="Arial" w:cs="Arial"/>
                <w:b/>
                <w:bCs/>
                <w:color w:val="000000"/>
                <w:sz w:val="22"/>
                <w:szCs w:val="22"/>
              </w:rPr>
              <w:t xml:space="preserve">            </w:t>
            </w:r>
            <w:r w:rsidR="00E42A10">
              <w:rPr>
                <w:rFonts w:ascii="Arial" w:hAnsi="Arial" w:cs="Arial"/>
                <w:b/>
                <w:bCs/>
                <w:color w:val="000000"/>
                <w:sz w:val="22"/>
                <w:szCs w:val="22"/>
              </w:rPr>
              <w:t>35,</w:t>
            </w:r>
            <w:r w:rsidR="00BB47D9">
              <w:rPr>
                <w:rFonts w:ascii="Arial" w:hAnsi="Arial" w:cs="Arial"/>
                <w:b/>
                <w:bCs/>
                <w:color w:val="000000"/>
                <w:sz w:val="22"/>
                <w:szCs w:val="22"/>
              </w:rPr>
              <w:t>604.0</w:t>
            </w:r>
          </w:p>
        </w:tc>
      </w:tr>
    </w:tbl>
    <w:p w14:paraId="325ADDBC" w14:textId="77777777" w:rsidR="00EF2408" w:rsidRPr="0026636D" w:rsidRDefault="00EF2408">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hanging="600"/>
        <w:rPr>
          <w:rFonts w:ascii="Arial" w:hAnsi="Arial"/>
          <w:sz w:val="22"/>
        </w:rPr>
      </w:pPr>
    </w:p>
    <w:p w14:paraId="7F0E72F4" w14:textId="77777777" w:rsidR="00171CB3" w:rsidRPr="0026636D" w:rsidRDefault="00171CB3">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14:paraId="7382D085" w14:textId="0D9F6DF7" w:rsidR="00171CB3" w:rsidRPr="009D0C93" w:rsidRDefault="003E2B01" w:rsidP="003E2B01">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Pr>
          <w:rFonts w:ascii="Arial" w:hAnsi="Arial"/>
          <w:sz w:val="22"/>
        </w:rPr>
        <w:t xml:space="preserve">Detailed burden estimates are included in the supplemental burden spreadsheet titled, </w:t>
      </w:r>
      <w:r w:rsidRPr="005275FE">
        <w:rPr>
          <w:rFonts w:ascii="Arial" w:hAnsi="Arial"/>
          <w:sz w:val="22"/>
        </w:rPr>
        <w:t>“</w:t>
      </w:r>
      <w:r w:rsidR="00893741" w:rsidRPr="005275FE">
        <w:rPr>
          <w:rFonts w:ascii="Arial" w:hAnsi="Arial"/>
          <w:sz w:val="22"/>
        </w:rPr>
        <w:t>Table 1 - Summary of Supporting Statements</w:t>
      </w:r>
      <w:r w:rsidR="009D0C93">
        <w:rPr>
          <w:rFonts w:ascii="Arial" w:hAnsi="Arial"/>
          <w:sz w:val="22"/>
        </w:rPr>
        <w:t>.</w:t>
      </w:r>
      <w:r w:rsidR="00893741" w:rsidRPr="005275FE">
        <w:rPr>
          <w:rFonts w:ascii="Arial" w:hAnsi="Arial"/>
          <w:sz w:val="22"/>
        </w:rPr>
        <w:t>”</w:t>
      </w:r>
      <w:r w:rsidR="009D0C93">
        <w:rPr>
          <w:rFonts w:ascii="Arial" w:hAnsi="Arial"/>
          <w:sz w:val="22"/>
        </w:rPr>
        <w:t xml:space="preserve">  </w:t>
      </w:r>
      <w:r w:rsidR="009D0C93" w:rsidRPr="009D0C93">
        <w:rPr>
          <w:rFonts w:ascii="Arial" w:hAnsi="Arial"/>
          <w:sz w:val="22"/>
        </w:rPr>
        <w:t>The $263 hourly rate used in the burden estimates is based on the Nuclear Regulatory Commission’s fee for hourly rates as noted in 10 CFR 170.20 “Average cost per professional staff-hour.”  For more information on the basis of this rate, see the Revision Of Fee Schedules; Fee Recovery For Fiscal Year 2017 (82 FR 30682; June 30, 2017).</w:t>
      </w:r>
    </w:p>
    <w:p w14:paraId="67E06D78" w14:textId="77777777" w:rsidR="003E2B01" w:rsidRPr="0026636D" w:rsidRDefault="003E2B01" w:rsidP="003E2B01">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sz w:val="22"/>
        </w:rPr>
      </w:pPr>
    </w:p>
    <w:p w14:paraId="7C866258" w14:textId="77777777" w:rsidR="00171CB3" w:rsidRPr="0026636D" w:rsidRDefault="00171CB3">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hanging="600"/>
        <w:rPr>
          <w:rFonts w:ascii="Arial" w:hAnsi="Arial"/>
          <w:sz w:val="22"/>
        </w:rPr>
      </w:pPr>
      <w:r w:rsidRPr="0026636D">
        <w:rPr>
          <w:rFonts w:ascii="Arial" w:hAnsi="Arial"/>
          <w:sz w:val="22"/>
        </w:rPr>
        <w:t>13.</w:t>
      </w:r>
      <w:r w:rsidRPr="0026636D">
        <w:rPr>
          <w:rFonts w:ascii="Arial" w:hAnsi="Arial"/>
          <w:sz w:val="22"/>
        </w:rPr>
        <w:tab/>
      </w:r>
      <w:r w:rsidRPr="0026636D">
        <w:rPr>
          <w:rFonts w:ascii="Arial" w:hAnsi="Arial"/>
          <w:sz w:val="22"/>
          <w:u w:val="single"/>
        </w:rPr>
        <w:t>Estimate of Other Additional Costs</w:t>
      </w:r>
    </w:p>
    <w:p w14:paraId="4A77B6B0" w14:textId="77777777" w:rsidR="00171CB3" w:rsidRPr="0026636D" w:rsidRDefault="00171CB3">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14:paraId="6DA86D5A" w14:textId="740FDB3A" w:rsidR="00E92362" w:rsidRPr="00CB4CEA" w:rsidRDefault="00E92362" w:rsidP="003604AD">
      <w:pPr>
        <w:tabs>
          <w:tab w:val="left" w:pos="0"/>
          <w:tab w:val="left" w:pos="720"/>
          <w:tab w:val="left" w:pos="2160"/>
          <w:tab w:val="left" w:pos="2880"/>
          <w:tab w:val="left" w:pos="3600"/>
          <w:tab w:val="left" w:pos="4320"/>
          <w:tab w:val="left" w:pos="5040"/>
          <w:tab w:val="left" w:pos="5760"/>
          <w:tab w:val="left" w:pos="6480"/>
          <w:tab w:val="left" w:pos="7200"/>
          <w:tab w:val="left" w:pos="7920"/>
        </w:tabs>
        <w:ind w:left="1170"/>
        <w:rPr>
          <w:rFonts w:ascii="Arial" w:hAnsi="Arial" w:cs="Arial"/>
          <w:sz w:val="22"/>
          <w:szCs w:val="22"/>
        </w:rPr>
      </w:pPr>
      <w:r w:rsidRPr="00CB4CEA">
        <w:rPr>
          <w:rFonts w:ascii="Arial" w:hAnsi="Arial" w:cs="Arial"/>
          <w:sz w:val="22"/>
          <w:szCs w:val="22"/>
        </w:rPr>
        <w:t xml:space="preserve">The quantity of records to be maintained is roughly proportional to the recordkeeping burden and therefore can be used to </w:t>
      </w:r>
      <w:r w:rsidRPr="000E61E9">
        <w:rPr>
          <w:rFonts w:ascii="Arial" w:hAnsi="Arial" w:cs="Arial"/>
          <w:sz w:val="22"/>
          <w:szCs w:val="22"/>
        </w:rPr>
        <w:t>calculate approximate records storage costs.  Based on the number of pages maintained for a typical clearance, the records storage cost has been determined to be equal to .0004 times the recordkeeping burden cost.  Therefore, the storage cost for this clearance is estimated to be $</w:t>
      </w:r>
      <w:r w:rsidR="00B54F8D">
        <w:rPr>
          <w:rFonts w:ascii="Arial" w:hAnsi="Arial" w:cs="Arial"/>
          <w:sz w:val="22"/>
          <w:szCs w:val="22"/>
        </w:rPr>
        <w:t>2,881</w:t>
      </w:r>
      <w:r w:rsidRPr="000E61E9">
        <w:rPr>
          <w:rFonts w:ascii="Arial" w:hAnsi="Arial" w:cs="Arial"/>
          <w:sz w:val="22"/>
          <w:szCs w:val="22"/>
        </w:rPr>
        <w:t xml:space="preserve"> (</w:t>
      </w:r>
      <w:r w:rsidR="00B54F8D">
        <w:rPr>
          <w:rFonts w:ascii="Arial" w:hAnsi="Arial" w:cs="Arial"/>
          <w:sz w:val="22"/>
          <w:szCs w:val="22"/>
        </w:rPr>
        <w:t>27,381.7</w:t>
      </w:r>
      <w:r w:rsidR="00B54F8D" w:rsidRPr="000E61E9">
        <w:rPr>
          <w:rFonts w:ascii="Arial" w:hAnsi="Arial" w:cs="Arial"/>
          <w:sz w:val="22"/>
          <w:szCs w:val="22"/>
        </w:rPr>
        <w:t xml:space="preserve"> </w:t>
      </w:r>
      <w:r w:rsidRPr="000E61E9">
        <w:rPr>
          <w:rFonts w:ascii="Arial" w:hAnsi="Arial" w:cs="Arial"/>
          <w:sz w:val="22"/>
          <w:szCs w:val="22"/>
        </w:rPr>
        <w:t>recordkeeping hours x $</w:t>
      </w:r>
      <w:r>
        <w:rPr>
          <w:rFonts w:ascii="Arial" w:hAnsi="Arial" w:cs="Arial"/>
          <w:sz w:val="22"/>
          <w:szCs w:val="22"/>
        </w:rPr>
        <w:t>2</w:t>
      </w:r>
      <w:r w:rsidR="00384E03">
        <w:rPr>
          <w:rFonts w:ascii="Arial" w:hAnsi="Arial" w:cs="Arial"/>
          <w:sz w:val="22"/>
          <w:szCs w:val="22"/>
        </w:rPr>
        <w:t>6</w:t>
      </w:r>
      <w:r w:rsidR="002F250A">
        <w:rPr>
          <w:rFonts w:ascii="Arial" w:hAnsi="Arial" w:cs="Arial"/>
          <w:sz w:val="22"/>
          <w:szCs w:val="22"/>
        </w:rPr>
        <w:t>3</w:t>
      </w:r>
      <w:r w:rsidRPr="000E61E9">
        <w:rPr>
          <w:rFonts w:ascii="Arial" w:hAnsi="Arial" w:cs="Arial"/>
          <w:sz w:val="22"/>
          <w:szCs w:val="22"/>
        </w:rPr>
        <w:t xml:space="preserve"> x .0004).</w:t>
      </w:r>
    </w:p>
    <w:p w14:paraId="717819B7" w14:textId="06939C50" w:rsidR="00171CB3" w:rsidRPr="0026636D" w:rsidRDefault="00171CB3" w:rsidP="003E2B01">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14:paraId="277F83C8" w14:textId="6766DD93" w:rsidR="00171CB3" w:rsidRPr="0026636D" w:rsidRDefault="00171CB3" w:rsidP="003604AD">
      <w:pPr>
        <w:pStyle w:val="Level1"/>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sidRPr="0026636D">
        <w:rPr>
          <w:rFonts w:ascii="Arial" w:hAnsi="Arial"/>
          <w:sz w:val="22"/>
        </w:rPr>
        <w:tab/>
      </w:r>
      <w:r w:rsidR="003604AD">
        <w:rPr>
          <w:rFonts w:ascii="Arial" w:hAnsi="Arial"/>
          <w:sz w:val="22"/>
        </w:rPr>
        <w:t>14.</w:t>
      </w:r>
      <w:r w:rsidR="00CC56CC" w:rsidRPr="0026636D">
        <w:rPr>
          <w:rFonts w:ascii="Arial" w:hAnsi="Arial"/>
          <w:sz w:val="22"/>
        </w:rPr>
        <w:tab/>
      </w:r>
      <w:r w:rsidRPr="0026636D">
        <w:rPr>
          <w:rFonts w:ascii="Arial" w:hAnsi="Arial"/>
          <w:sz w:val="22"/>
          <w:u w:val="single"/>
        </w:rPr>
        <w:t>Estimated Annualized Cost to the Federal Government</w:t>
      </w:r>
    </w:p>
    <w:p w14:paraId="61EF64B3" w14:textId="77777777" w:rsidR="00171CB3" w:rsidRPr="0026636D" w:rsidRDefault="00171CB3">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14:paraId="142B369C" w14:textId="77777777" w:rsidR="0017751B" w:rsidRPr="0002614D" w:rsidRDefault="0017751B" w:rsidP="0017751B">
      <w:pPr>
        <w:pStyle w:val="Level1"/>
        <w:widowControl/>
        <w:ind w:left="1080"/>
        <w:rPr>
          <w:rFonts w:ascii="Arial" w:hAnsi="Arial"/>
          <w:sz w:val="22"/>
          <w:szCs w:val="22"/>
        </w:rPr>
      </w:pPr>
      <w:r w:rsidRPr="0002614D">
        <w:rPr>
          <w:rFonts w:ascii="Arial" w:hAnsi="Arial" w:cs="Arial"/>
          <w:sz w:val="22"/>
          <w:szCs w:val="22"/>
        </w:rPr>
        <w:t>The staff has developed estimates of annualized costs to the Federal Government related to the conduct of this collection of information.  These estimates are based on staff experience and subject matter expertise and include the burden needed to review, analyze, and process the collected information and any relevant operational expenses</w:t>
      </w:r>
      <w:r>
        <w:rPr>
          <w:rFonts w:ascii="Arial" w:hAnsi="Arial" w:cs="Arial"/>
          <w:sz w:val="22"/>
          <w:szCs w:val="22"/>
        </w:rPr>
        <w:t>.</w:t>
      </w:r>
    </w:p>
    <w:p w14:paraId="40F86443" w14:textId="77777777" w:rsidR="0017751B" w:rsidRDefault="0017751B" w:rsidP="009B0D52">
      <w:pPr>
        <w:tabs>
          <w:tab w:val="left" w:pos="0"/>
          <w:tab w:val="left" w:pos="720"/>
          <w:tab w:val="left" w:pos="2160"/>
          <w:tab w:val="left" w:pos="2880"/>
          <w:tab w:val="left" w:pos="3600"/>
          <w:tab w:val="left" w:pos="4320"/>
          <w:tab w:val="left" w:pos="5040"/>
          <w:tab w:val="left" w:pos="5760"/>
          <w:tab w:val="left" w:pos="6480"/>
          <w:tab w:val="left" w:pos="7200"/>
          <w:tab w:val="left" w:pos="7920"/>
        </w:tabs>
        <w:ind w:left="1170"/>
        <w:rPr>
          <w:rFonts w:ascii="Arial" w:hAnsi="Arial" w:cs="Arial"/>
          <w:sz w:val="22"/>
          <w:szCs w:val="22"/>
        </w:rPr>
      </w:pPr>
    </w:p>
    <w:p w14:paraId="19BBD4D7" w14:textId="77777777" w:rsidR="00E95A7C" w:rsidRDefault="00E92362" w:rsidP="009B0D52">
      <w:pPr>
        <w:tabs>
          <w:tab w:val="left" w:pos="0"/>
          <w:tab w:val="left" w:pos="720"/>
          <w:tab w:val="left" w:pos="2160"/>
          <w:tab w:val="left" w:pos="2880"/>
          <w:tab w:val="left" w:pos="3600"/>
          <w:tab w:val="left" w:pos="4320"/>
          <w:tab w:val="left" w:pos="5040"/>
          <w:tab w:val="left" w:pos="5760"/>
          <w:tab w:val="left" w:pos="6480"/>
          <w:tab w:val="left" w:pos="7200"/>
          <w:tab w:val="left" w:pos="7920"/>
        </w:tabs>
        <w:ind w:left="1170"/>
        <w:rPr>
          <w:rFonts w:ascii="Arial" w:hAnsi="Arial" w:cs="Arial"/>
          <w:sz w:val="22"/>
          <w:szCs w:val="22"/>
        </w:rPr>
      </w:pPr>
      <w:r w:rsidRPr="00CB4CEA">
        <w:rPr>
          <w:rFonts w:ascii="Arial" w:hAnsi="Arial" w:cs="Arial"/>
          <w:sz w:val="22"/>
          <w:szCs w:val="22"/>
        </w:rPr>
        <w:t xml:space="preserve">The annualized estimated cost to the government is </w:t>
      </w:r>
      <w:r w:rsidR="00B74C08">
        <w:rPr>
          <w:rFonts w:ascii="Arial" w:hAnsi="Arial" w:cs="Arial"/>
          <w:sz w:val="22"/>
          <w:szCs w:val="22"/>
        </w:rPr>
        <w:t>$10,860,585 (41,295</w:t>
      </w:r>
      <w:r w:rsidR="00C859FA">
        <w:rPr>
          <w:rFonts w:ascii="Arial" w:hAnsi="Arial" w:cs="Arial"/>
          <w:sz w:val="22"/>
          <w:szCs w:val="22"/>
        </w:rPr>
        <w:t xml:space="preserve"> </w:t>
      </w:r>
      <w:r w:rsidR="00472E3C">
        <w:rPr>
          <w:rFonts w:ascii="Arial" w:hAnsi="Arial" w:cs="Arial"/>
          <w:sz w:val="22"/>
          <w:szCs w:val="22"/>
        </w:rPr>
        <w:t xml:space="preserve">staff hours </w:t>
      </w:r>
      <w:r w:rsidR="00B74C08">
        <w:rPr>
          <w:rFonts w:ascii="Arial" w:hAnsi="Arial" w:cs="Arial"/>
          <w:sz w:val="22"/>
          <w:szCs w:val="22"/>
        </w:rPr>
        <w:t xml:space="preserve">x $263) </w:t>
      </w:r>
      <w:r w:rsidR="00C859FA">
        <w:rPr>
          <w:rFonts w:ascii="Arial" w:hAnsi="Arial" w:cs="Arial"/>
          <w:sz w:val="22"/>
          <w:szCs w:val="22"/>
        </w:rPr>
        <w:t xml:space="preserve">as </w:t>
      </w:r>
      <w:r w:rsidRPr="00CB4CEA">
        <w:rPr>
          <w:rFonts w:ascii="Arial" w:hAnsi="Arial" w:cs="Arial"/>
          <w:sz w:val="22"/>
          <w:szCs w:val="22"/>
        </w:rPr>
        <w:t>shown on the attached Summary Table.</w:t>
      </w:r>
    </w:p>
    <w:p w14:paraId="42108869" w14:textId="65240661" w:rsidR="00171CB3" w:rsidRPr="0026636D" w:rsidRDefault="00E92362" w:rsidP="009B0D52">
      <w:pPr>
        <w:tabs>
          <w:tab w:val="left" w:pos="0"/>
          <w:tab w:val="left" w:pos="720"/>
          <w:tab w:val="left" w:pos="2160"/>
          <w:tab w:val="left" w:pos="2880"/>
          <w:tab w:val="left" w:pos="3600"/>
          <w:tab w:val="left" w:pos="4320"/>
          <w:tab w:val="left" w:pos="5040"/>
          <w:tab w:val="left" w:pos="5760"/>
          <w:tab w:val="left" w:pos="6480"/>
          <w:tab w:val="left" w:pos="7200"/>
          <w:tab w:val="left" w:pos="7920"/>
        </w:tabs>
        <w:ind w:left="1170"/>
        <w:rPr>
          <w:rFonts w:ascii="Arial" w:hAnsi="Arial"/>
          <w:sz w:val="22"/>
        </w:rPr>
      </w:pPr>
      <w:r w:rsidRPr="00CB4CEA">
        <w:rPr>
          <w:rFonts w:ascii="Arial" w:hAnsi="Arial" w:cs="Arial"/>
          <w:sz w:val="22"/>
          <w:szCs w:val="22"/>
        </w:rPr>
        <w:t xml:space="preserve">  </w:t>
      </w:r>
    </w:p>
    <w:p w14:paraId="0F4DEBB4" w14:textId="77777777" w:rsidR="00171CB3" w:rsidRPr="0026636D" w:rsidRDefault="00171CB3">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hanging="600"/>
        <w:rPr>
          <w:rFonts w:ascii="Arial" w:hAnsi="Arial"/>
          <w:sz w:val="22"/>
        </w:rPr>
      </w:pPr>
      <w:r w:rsidRPr="0026636D">
        <w:rPr>
          <w:rFonts w:ascii="Arial" w:hAnsi="Arial"/>
          <w:sz w:val="22"/>
        </w:rPr>
        <w:t>15.</w:t>
      </w:r>
      <w:r w:rsidRPr="0026636D">
        <w:rPr>
          <w:rFonts w:ascii="Arial" w:hAnsi="Arial"/>
          <w:sz w:val="22"/>
        </w:rPr>
        <w:tab/>
      </w:r>
      <w:r w:rsidRPr="0026636D">
        <w:rPr>
          <w:rFonts w:ascii="Arial" w:hAnsi="Arial"/>
          <w:sz w:val="22"/>
          <w:u w:val="single"/>
        </w:rPr>
        <w:t>Reasons for Changes in Burden or Cost</w:t>
      </w:r>
    </w:p>
    <w:p w14:paraId="3B581DC6" w14:textId="77777777" w:rsidR="00171CB3" w:rsidRDefault="00171CB3">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14:paraId="415B79F8" w14:textId="064B7926" w:rsidR="009E5CD7" w:rsidRDefault="009E5CD7" w:rsidP="009E5CD7">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Pr>
          <w:rFonts w:ascii="Arial" w:hAnsi="Arial"/>
          <w:sz w:val="22"/>
        </w:rPr>
        <w:t>The burden and number of responses have changed as described in the tables below:</w:t>
      </w:r>
    </w:p>
    <w:p w14:paraId="6D62E72C" w14:textId="77777777" w:rsidR="009E5CD7" w:rsidRPr="009E5CD7" w:rsidRDefault="009E5CD7" w:rsidP="009E5CD7">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b/>
          <w:sz w:val="22"/>
        </w:rPr>
      </w:pPr>
    </w:p>
    <w:p w14:paraId="486ADAD5" w14:textId="4659F917" w:rsidR="009E5CD7" w:rsidRPr="009E5CD7" w:rsidRDefault="009E5CD7" w:rsidP="009E5CD7">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b/>
          <w:sz w:val="22"/>
        </w:rPr>
      </w:pPr>
      <w:r w:rsidRPr="009E5CD7">
        <w:rPr>
          <w:rFonts w:ascii="Arial" w:hAnsi="Arial"/>
          <w:b/>
          <w:sz w:val="22"/>
        </w:rPr>
        <w:t>Burden change</w:t>
      </w:r>
    </w:p>
    <w:tbl>
      <w:tblPr>
        <w:tblStyle w:val="TableGrid"/>
        <w:tblW w:w="0" w:type="auto"/>
        <w:tblInd w:w="1200" w:type="dxa"/>
        <w:tblLook w:val="04A0" w:firstRow="1" w:lastRow="0" w:firstColumn="1" w:lastColumn="0" w:noHBand="0" w:noVBand="1"/>
      </w:tblPr>
      <w:tblGrid>
        <w:gridCol w:w="2242"/>
        <w:gridCol w:w="2119"/>
        <w:gridCol w:w="2156"/>
        <w:gridCol w:w="2129"/>
      </w:tblGrid>
      <w:tr w:rsidR="009E5CD7" w14:paraId="7744CD20" w14:textId="77777777" w:rsidTr="00F76852">
        <w:tc>
          <w:tcPr>
            <w:tcW w:w="2405" w:type="dxa"/>
          </w:tcPr>
          <w:p w14:paraId="7A125E36" w14:textId="77777777" w:rsidR="009E5CD7" w:rsidRDefault="009E5CD7" w:rsidP="00F768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2405" w:type="dxa"/>
          </w:tcPr>
          <w:p w14:paraId="2DB5295E" w14:textId="77777777" w:rsidR="009E5CD7" w:rsidRDefault="009E5CD7" w:rsidP="00F768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2015 estimates</w:t>
            </w:r>
          </w:p>
        </w:tc>
        <w:tc>
          <w:tcPr>
            <w:tcW w:w="2405" w:type="dxa"/>
          </w:tcPr>
          <w:p w14:paraId="1A00B66B" w14:textId="77777777" w:rsidR="009E5CD7" w:rsidRDefault="009E5CD7" w:rsidP="00F768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Current submission</w:t>
            </w:r>
          </w:p>
        </w:tc>
        <w:tc>
          <w:tcPr>
            <w:tcW w:w="2405" w:type="dxa"/>
          </w:tcPr>
          <w:p w14:paraId="2862F459" w14:textId="77777777" w:rsidR="009E5CD7" w:rsidRDefault="009E5CD7" w:rsidP="00F768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Change</w:t>
            </w:r>
          </w:p>
        </w:tc>
      </w:tr>
      <w:tr w:rsidR="009E5CD7" w14:paraId="2045E047" w14:textId="77777777" w:rsidTr="00F76852">
        <w:tc>
          <w:tcPr>
            <w:tcW w:w="2405" w:type="dxa"/>
          </w:tcPr>
          <w:p w14:paraId="257E39D1" w14:textId="77777777" w:rsidR="009E5CD7" w:rsidRDefault="009E5CD7" w:rsidP="00F768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Reporting</w:t>
            </w:r>
          </w:p>
        </w:tc>
        <w:tc>
          <w:tcPr>
            <w:tcW w:w="2405" w:type="dxa"/>
          </w:tcPr>
          <w:p w14:paraId="767CBDB2" w14:textId="5C2E09BF" w:rsidR="009E5CD7" w:rsidRDefault="00EA4943" w:rsidP="00CD54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sz w:val="22"/>
                <w:szCs w:val="22"/>
              </w:rPr>
            </w:pPr>
            <w:r>
              <w:rPr>
                <w:rFonts w:ascii="Arial" w:hAnsi="Arial" w:cs="Arial"/>
                <w:sz w:val="22"/>
                <w:szCs w:val="22"/>
              </w:rPr>
              <w:t>79,187</w:t>
            </w:r>
            <w:r w:rsidR="00CD54B1" w:rsidRPr="00CD54B1">
              <w:rPr>
                <w:rFonts w:ascii="Arial" w:hAnsi="Arial" w:cs="Arial"/>
                <w:sz w:val="22"/>
                <w:szCs w:val="22"/>
              </w:rPr>
              <w:t>.0</w:t>
            </w:r>
          </w:p>
        </w:tc>
        <w:tc>
          <w:tcPr>
            <w:tcW w:w="2405" w:type="dxa"/>
          </w:tcPr>
          <w:p w14:paraId="2A864D67" w14:textId="5ABFAD4C" w:rsidR="009E5CD7" w:rsidRDefault="0024518B" w:rsidP="009B0D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sz w:val="22"/>
                <w:szCs w:val="22"/>
              </w:rPr>
            </w:pPr>
            <w:r>
              <w:rPr>
                <w:rFonts w:ascii="Arial" w:hAnsi="Arial" w:cs="Arial"/>
                <w:sz w:val="22"/>
                <w:szCs w:val="22"/>
              </w:rPr>
              <w:t>78,048.</w:t>
            </w:r>
            <w:r w:rsidR="00E42A10">
              <w:rPr>
                <w:rFonts w:ascii="Arial" w:hAnsi="Arial" w:cs="Arial"/>
                <w:sz w:val="22"/>
                <w:szCs w:val="22"/>
              </w:rPr>
              <w:t>0</w:t>
            </w:r>
          </w:p>
        </w:tc>
        <w:tc>
          <w:tcPr>
            <w:tcW w:w="2405" w:type="dxa"/>
          </w:tcPr>
          <w:p w14:paraId="7D542615" w14:textId="24349F5D" w:rsidR="009E5CD7" w:rsidRDefault="00107646" w:rsidP="009B0D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sz w:val="22"/>
                <w:szCs w:val="22"/>
              </w:rPr>
            </w:pPr>
            <w:r>
              <w:rPr>
                <w:rFonts w:ascii="Arial" w:hAnsi="Arial" w:cs="Arial"/>
                <w:sz w:val="22"/>
                <w:szCs w:val="22"/>
              </w:rPr>
              <w:t>1,139</w:t>
            </w:r>
          </w:p>
        </w:tc>
      </w:tr>
      <w:tr w:rsidR="009E5CD7" w14:paraId="29F7753A" w14:textId="77777777" w:rsidTr="00F76852">
        <w:tc>
          <w:tcPr>
            <w:tcW w:w="2405" w:type="dxa"/>
          </w:tcPr>
          <w:p w14:paraId="33B9C5F5" w14:textId="77777777" w:rsidR="009E5CD7" w:rsidRDefault="009E5CD7" w:rsidP="00F768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Recordkeeping</w:t>
            </w:r>
          </w:p>
        </w:tc>
        <w:tc>
          <w:tcPr>
            <w:tcW w:w="2405" w:type="dxa"/>
          </w:tcPr>
          <w:p w14:paraId="78EC0A63" w14:textId="66E28B2C" w:rsidR="009E5CD7" w:rsidRDefault="00EA4943" w:rsidP="00EA49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sz w:val="22"/>
                <w:szCs w:val="22"/>
              </w:rPr>
            </w:pPr>
            <w:r>
              <w:rPr>
                <w:rFonts w:ascii="Arial" w:hAnsi="Arial" w:cs="Arial"/>
                <w:sz w:val="22"/>
                <w:szCs w:val="22"/>
              </w:rPr>
              <w:t>7,958</w:t>
            </w:r>
            <w:r w:rsidR="00CD54B1" w:rsidRPr="00CD54B1">
              <w:rPr>
                <w:rFonts w:ascii="Arial" w:hAnsi="Arial" w:cs="Arial"/>
                <w:sz w:val="22"/>
                <w:szCs w:val="22"/>
              </w:rPr>
              <w:t>.0</w:t>
            </w:r>
          </w:p>
        </w:tc>
        <w:tc>
          <w:tcPr>
            <w:tcW w:w="2405" w:type="dxa"/>
          </w:tcPr>
          <w:p w14:paraId="1257759F" w14:textId="0AA47725" w:rsidR="009E5CD7" w:rsidRDefault="0024518B" w:rsidP="009B0D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sz w:val="22"/>
                <w:szCs w:val="22"/>
              </w:rPr>
            </w:pPr>
            <w:r>
              <w:rPr>
                <w:rFonts w:ascii="Arial" w:hAnsi="Arial" w:cs="Arial"/>
                <w:sz w:val="22"/>
                <w:szCs w:val="22"/>
              </w:rPr>
              <w:t>27,381.7</w:t>
            </w:r>
          </w:p>
        </w:tc>
        <w:tc>
          <w:tcPr>
            <w:tcW w:w="2405" w:type="dxa"/>
          </w:tcPr>
          <w:p w14:paraId="40481FC4" w14:textId="627B7AD1" w:rsidR="009E5CD7" w:rsidRDefault="00FC12B1" w:rsidP="009B0D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sz w:val="22"/>
                <w:szCs w:val="22"/>
              </w:rPr>
            </w:pPr>
            <w:r>
              <w:rPr>
                <w:rFonts w:ascii="Arial" w:hAnsi="Arial" w:cs="Arial"/>
                <w:sz w:val="22"/>
                <w:szCs w:val="22"/>
              </w:rPr>
              <w:t>+1</w:t>
            </w:r>
            <w:r w:rsidR="0024518B">
              <w:rPr>
                <w:rFonts w:ascii="Arial" w:hAnsi="Arial" w:cs="Arial"/>
                <w:sz w:val="22"/>
                <w:szCs w:val="22"/>
              </w:rPr>
              <w:t>9,423.7</w:t>
            </w:r>
          </w:p>
        </w:tc>
      </w:tr>
      <w:tr w:rsidR="009E5CD7" w14:paraId="427789F6" w14:textId="77777777" w:rsidTr="00F76852">
        <w:tc>
          <w:tcPr>
            <w:tcW w:w="2405" w:type="dxa"/>
          </w:tcPr>
          <w:p w14:paraId="38987094" w14:textId="64844517" w:rsidR="009E5CD7" w:rsidRDefault="009E5CD7" w:rsidP="00F768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Third Party Disclosure</w:t>
            </w:r>
          </w:p>
        </w:tc>
        <w:tc>
          <w:tcPr>
            <w:tcW w:w="2405" w:type="dxa"/>
          </w:tcPr>
          <w:p w14:paraId="4B23A014" w14:textId="1C0213E4" w:rsidR="009E5CD7" w:rsidRDefault="00CD54B1" w:rsidP="00CD54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sz w:val="22"/>
                <w:szCs w:val="22"/>
              </w:rPr>
            </w:pPr>
            <w:r w:rsidRPr="00CD54B1">
              <w:rPr>
                <w:rFonts w:ascii="Arial" w:hAnsi="Arial" w:cs="Arial"/>
                <w:sz w:val="22"/>
                <w:szCs w:val="22"/>
              </w:rPr>
              <w:t>.0</w:t>
            </w:r>
          </w:p>
        </w:tc>
        <w:tc>
          <w:tcPr>
            <w:tcW w:w="2405" w:type="dxa"/>
          </w:tcPr>
          <w:p w14:paraId="30C0EF97" w14:textId="4FF4E944" w:rsidR="009E5CD7" w:rsidRDefault="00D95A10" w:rsidP="009B0D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sz w:val="22"/>
                <w:szCs w:val="22"/>
              </w:rPr>
            </w:pPr>
            <w:r>
              <w:rPr>
                <w:rFonts w:ascii="Arial" w:hAnsi="Arial" w:cs="Arial"/>
                <w:sz w:val="22"/>
                <w:szCs w:val="22"/>
              </w:rPr>
              <w:t>0</w:t>
            </w:r>
          </w:p>
        </w:tc>
        <w:tc>
          <w:tcPr>
            <w:tcW w:w="2405" w:type="dxa"/>
          </w:tcPr>
          <w:p w14:paraId="74B442E7" w14:textId="01A5A641" w:rsidR="009E5CD7" w:rsidRDefault="00D95A10" w:rsidP="009B0D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sz w:val="22"/>
                <w:szCs w:val="22"/>
              </w:rPr>
            </w:pPr>
            <w:r>
              <w:rPr>
                <w:rFonts w:ascii="Arial" w:hAnsi="Arial" w:cs="Arial"/>
                <w:sz w:val="22"/>
                <w:szCs w:val="22"/>
              </w:rPr>
              <w:t>0</w:t>
            </w:r>
          </w:p>
        </w:tc>
      </w:tr>
      <w:tr w:rsidR="009E5CD7" w14:paraId="54B216B4" w14:textId="77777777" w:rsidTr="00F76852">
        <w:tc>
          <w:tcPr>
            <w:tcW w:w="2405" w:type="dxa"/>
          </w:tcPr>
          <w:p w14:paraId="1558EF71" w14:textId="77777777" w:rsidR="009E5CD7" w:rsidRDefault="009E5CD7" w:rsidP="00F768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Total</w:t>
            </w:r>
          </w:p>
        </w:tc>
        <w:tc>
          <w:tcPr>
            <w:tcW w:w="2405" w:type="dxa"/>
          </w:tcPr>
          <w:p w14:paraId="0FE66C77" w14:textId="274CFE60" w:rsidR="009E5CD7" w:rsidRDefault="00EA4943" w:rsidP="00CD54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sz w:val="22"/>
                <w:szCs w:val="22"/>
              </w:rPr>
            </w:pPr>
            <w:r>
              <w:rPr>
                <w:rFonts w:ascii="Arial" w:hAnsi="Arial" w:cs="Arial"/>
                <w:sz w:val="22"/>
                <w:szCs w:val="22"/>
              </w:rPr>
              <w:t>87,145</w:t>
            </w:r>
            <w:r w:rsidR="00CD54B1" w:rsidRPr="00CD54B1">
              <w:rPr>
                <w:rFonts w:ascii="Arial" w:hAnsi="Arial" w:cs="Arial"/>
                <w:sz w:val="22"/>
                <w:szCs w:val="22"/>
              </w:rPr>
              <w:t>.0</w:t>
            </w:r>
          </w:p>
        </w:tc>
        <w:tc>
          <w:tcPr>
            <w:tcW w:w="2405" w:type="dxa"/>
          </w:tcPr>
          <w:p w14:paraId="15DBBD5E" w14:textId="63183C59" w:rsidR="009E5CD7" w:rsidRDefault="0024518B" w:rsidP="009B0D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sz w:val="22"/>
                <w:szCs w:val="22"/>
              </w:rPr>
            </w:pPr>
            <w:r>
              <w:rPr>
                <w:rFonts w:ascii="Arial" w:hAnsi="Arial" w:cs="Arial"/>
                <w:sz w:val="22"/>
                <w:szCs w:val="22"/>
              </w:rPr>
              <w:t>105,4</w:t>
            </w:r>
            <w:r w:rsidR="0073637B">
              <w:rPr>
                <w:rFonts w:ascii="Arial" w:hAnsi="Arial" w:cs="Arial"/>
                <w:sz w:val="22"/>
                <w:szCs w:val="22"/>
              </w:rPr>
              <w:t>29.7</w:t>
            </w:r>
          </w:p>
        </w:tc>
        <w:tc>
          <w:tcPr>
            <w:tcW w:w="2405" w:type="dxa"/>
          </w:tcPr>
          <w:p w14:paraId="29FC721A" w14:textId="7D2AA55C" w:rsidR="009E5CD7" w:rsidRDefault="00FC12B1" w:rsidP="009B0D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sz w:val="22"/>
                <w:szCs w:val="22"/>
              </w:rPr>
            </w:pPr>
            <w:r>
              <w:rPr>
                <w:rFonts w:ascii="Arial" w:hAnsi="Arial" w:cs="Arial"/>
                <w:sz w:val="22"/>
                <w:szCs w:val="22"/>
              </w:rPr>
              <w:t>+</w:t>
            </w:r>
            <w:r w:rsidR="00922C3A">
              <w:rPr>
                <w:rFonts w:ascii="Arial" w:hAnsi="Arial" w:cs="Arial"/>
                <w:sz w:val="22"/>
                <w:szCs w:val="22"/>
              </w:rPr>
              <w:t>18,284.7</w:t>
            </w:r>
          </w:p>
        </w:tc>
      </w:tr>
    </w:tbl>
    <w:p w14:paraId="42FAE888" w14:textId="77777777" w:rsidR="009E5CD7" w:rsidRPr="009E5CD7" w:rsidRDefault="009E5CD7" w:rsidP="00EB6C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200"/>
        <w:rPr>
          <w:rFonts w:ascii="Arial" w:hAnsi="Arial" w:cs="Arial"/>
          <w:b/>
          <w:sz w:val="22"/>
          <w:szCs w:val="22"/>
        </w:rPr>
      </w:pPr>
    </w:p>
    <w:p w14:paraId="3A8055D7" w14:textId="77777777" w:rsidR="00A70F57" w:rsidRDefault="00A70F57" w:rsidP="00EB6C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200"/>
        <w:rPr>
          <w:rFonts w:ascii="Arial" w:hAnsi="Arial" w:cs="Arial"/>
          <w:b/>
          <w:sz w:val="22"/>
          <w:szCs w:val="22"/>
        </w:rPr>
      </w:pPr>
    </w:p>
    <w:p w14:paraId="6869E7EE" w14:textId="77777777" w:rsidR="00A70F57" w:rsidRDefault="00A70F57" w:rsidP="00EB6C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200"/>
        <w:rPr>
          <w:rFonts w:ascii="Arial" w:hAnsi="Arial" w:cs="Arial"/>
          <w:b/>
          <w:sz w:val="22"/>
          <w:szCs w:val="22"/>
        </w:rPr>
      </w:pPr>
    </w:p>
    <w:p w14:paraId="41F37299" w14:textId="77777777" w:rsidR="00A70F57" w:rsidRDefault="00A70F57" w:rsidP="00EB6C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200"/>
        <w:rPr>
          <w:rFonts w:ascii="Arial" w:hAnsi="Arial" w:cs="Arial"/>
          <w:b/>
          <w:sz w:val="22"/>
          <w:szCs w:val="22"/>
        </w:rPr>
      </w:pPr>
    </w:p>
    <w:p w14:paraId="2EB77935" w14:textId="18736B84" w:rsidR="009E5CD7" w:rsidRPr="009E5CD7" w:rsidRDefault="009E5CD7" w:rsidP="00EB6C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200"/>
        <w:rPr>
          <w:rFonts w:ascii="Arial" w:hAnsi="Arial" w:cs="Arial"/>
          <w:b/>
          <w:sz w:val="22"/>
          <w:szCs w:val="22"/>
        </w:rPr>
      </w:pPr>
      <w:r w:rsidRPr="009E5CD7">
        <w:rPr>
          <w:rFonts w:ascii="Arial" w:hAnsi="Arial" w:cs="Arial"/>
          <w:b/>
          <w:sz w:val="22"/>
          <w:szCs w:val="22"/>
        </w:rPr>
        <w:t>Change in Response</w:t>
      </w:r>
      <w:r>
        <w:rPr>
          <w:rFonts w:ascii="Arial" w:hAnsi="Arial" w:cs="Arial"/>
          <w:b/>
          <w:sz w:val="22"/>
          <w:szCs w:val="22"/>
        </w:rPr>
        <w:t>s</w:t>
      </w:r>
    </w:p>
    <w:tbl>
      <w:tblPr>
        <w:tblStyle w:val="TableGrid"/>
        <w:tblW w:w="0" w:type="auto"/>
        <w:tblInd w:w="1200" w:type="dxa"/>
        <w:tblLook w:val="04A0" w:firstRow="1" w:lastRow="0" w:firstColumn="1" w:lastColumn="0" w:noHBand="0" w:noVBand="1"/>
      </w:tblPr>
      <w:tblGrid>
        <w:gridCol w:w="2250"/>
        <w:gridCol w:w="2133"/>
        <w:gridCol w:w="2168"/>
        <w:gridCol w:w="2095"/>
      </w:tblGrid>
      <w:tr w:rsidR="009E5CD7" w14:paraId="122AF8DE" w14:textId="77777777" w:rsidTr="00F76852">
        <w:tc>
          <w:tcPr>
            <w:tcW w:w="2405" w:type="dxa"/>
          </w:tcPr>
          <w:p w14:paraId="4F1DC743" w14:textId="77777777" w:rsidR="009E5CD7" w:rsidRDefault="009E5CD7" w:rsidP="00F768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2405" w:type="dxa"/>
          </w:tcPr>
          <w:p w14:paraId="4472474E" w14:textId="77777777" w:rsidR="009E5CD7" w:rsidRDefault="009E5CD7" w:rsidP="00F768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2015 estimates</w:t>
            </w:r>
          </w:p>
        </w:tc>
        <w:tc>
          <w:tcPr>
            <w:tcW w:w="2405" w:type="dxa"/>
          </w:tcPr>
          <w:p w14:paraId="6F265FBD" w14:textId="77777777" w:rsidR="009E5CD7" w:rsidRDefault="009E5CD7" w:rsidP="00F768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Current submission</w:t>
            </w:r>
          </w:p>
        </w:tc>
        <w:tc>
          <w:tcPr>
            <w:tcW w:w="2405" w:type="dxa"/>
          </w:tcPr>
          <w:p w14:paraId="2E33BEC9" w14:textId="77777777" w:rsidR="009E5CD7" w:rsidRDefault="009E5CD7" w:rsidP="00F768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Change</w:t>
            </w:r>
          </w:p>
        </w:tc>
      </w:tr>
      <w:tr w:rsidR="009E5CD7" w14:paraId="37E68E29" w14:textId="77777777" w:rsidTr="00F76852">
        <w:tc>
          <w:tcPr>
            <w:tcW w:w="2405" w:type="dxa"/>
          </w:tcPr>
          <w:p w14:paraId="159A19F1" w14:textId="77777777" w:rsidR="009E5CD7" w:rsidRDefault="009E5CD7" w:rsidP="00F768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Reporting</w:t>
            </w:r>
          </w:p>
        </w:tc>
        <w:tc>
          <w:tcPr>
            <w:tcW w:w="2405" w:type="dxa"/>
          </w:tcPr>
          <w:p w14:paraId="53E1FC5B" w14:textId="6A2BABED" w:rsidR="009E5CD7" w:rsidRDefault="002F1E6D" w:rsidP="00CD54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sz w:val="22"/>
                <w:szCs w:val="22"/>
              </w:rPr>
            </w:pPr>
            <w:r>
              <w:rPr>
                <w:rFonts w:ascii="Arial" w:hAnsi="Arial" w:cs="Arial"/>
                <w:sz w:val="22"/>
                <w:szCs w:val="22"/>
              </w:rPr>
              <w:t>39,192.3</w:t>
            </w:r>
          </w:p>
        </w:tc>
        <w:tc>
          <w:tcPr>
            <w:tcW w:w="2405" w:type="dxa"/>
          </w:tcPr>
          <w:p w14:paraId="1F9B05AE" w14:textId="3B93540C" w:rsidR="009E5CD7" w:rsidRDefault="000C09EB" w:rsidP="00F768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w:t>
            </w:r>
            <w:r w:rsidR="00C25A3B">
              <w:rPr>
                <w:rFonts w:ascii="Arial" w:hAnsi="Arial" w:cs="Arial"/>
                <w:sz w:val="22"/>
                <w:szCs w:val="22"/>
              </w:rPr>
              <w:t xml:space="preserve">  </w:t>
            </w:r>
            <w:r>
              <w:rPr>
                <w:rFonts w:ascii="Arial" w:hAnsi="Arial" w:cs="Arial"/>
                <w:sz w:val="22"/>
                <w:szCs w:val="22"/>
              </w:rPr>
              <w:t xml:space="preserve">      </w:t>
            </w:r>
            <w:r w:rsidR="00402509">
              <w:rPr>
                <w:rFonts w:ascii="Arial" w:hAnsi="Arial" w:cs="Arial"/>
                <w:sz w:val="22"/>
                <w:szCs w:val="22"/>
              </w:rPr>
              <w:t>35,479.0</w:t>
            </w:r>
          </w:p>
        </w:tc>
        <w:tc>
          <w:tcPr>
            <w:tcW w:w="2405" w:type="dxa"/>
          </w:tcPr>
          <w:p w14:paraId="193596CA" w14:textId="444F164E" w:rsidR="009E5CD7" w:rsidRDefault="00ED498F" w:rsidP="00F768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 </w:t>
            </w:r>
            <w:r w:rsidR="00CC2B63">
              <w:rPr>
                <w:rFonts w:ascii="Arial" w:hAnsi="Arial" w:cs="Arial"/>
                <w:sz w:val="22"/>
                <w:szCs w:val="22"/>
              </w:rPr>
              <w:t>3</w:t>
            </w:r>
            <w:r w:rsidR="00C25A3B">
              <w:rPr>
                <w:rFonts w:ascii="Arial" w:hAnsi="Arial" w:cs="Arial"/>
                <w:sz w:val="22"/>
                <w:szCs w:val="22"/>
              </w:rPr>
              <w:t>, 713</w:t>
            </w:r>
            <w:r w:rsidR="00CC2B63">
              <w:rPr>
                <w:rFonts w:ascii="Arial" w:hAnsi="Arial" w:cs="Arial"/>
                <w:sz w:val="22"/>
                <w:szCs w:val="22"/>
              </w:rPr>
              <w:t>.3</w:t>
            </w:r>
          </w:p>
        </w:tc>
      </w:tr>
      <w:tr w:rsidR="009E5CD7" w14:paraId="76C4D694" w14:textId="77777777" w:rsidTr="00F76852">
        <w:tc>
          <w:tcPr>
            <w:tcW w:w="2405" w:type="dxa"/>
          </w:tcPr>
          <w:p w14:paraId="22E89F60" w14:textId="77777777" w:rsidR="009E5CD7" w:rsidRDefault="009E5CD7" w:rsidP="00F768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Recordkeeping</w:t>
            </w:r>
          </w:p>
        </w:tc>
        <w:tc>
          <w:tcPr>
            <w:tcW w:w="2405" w:type="dxa"/>
          </w:tcPr>
          <w:p w14:paraId="5136EF9B" w14:textId="209C7090" w:rsidR="009E5CD7" w:rsidRDefault="009F2890" w:rsidP="00CD54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sz w:val="22"/>
                <w:szCs w:val="22"/>
              </w:rPr>
            </w:pPr>
            <w:r>
              <w:rPr>
                <w:rFonts w:ascii="Arial" w:hAnsi="Arial" w:cs="Arial"/>
                <w:sz w:val="22"/>
                <w:szCs w:val="22"/>
              </w:rPr>
              <w:t>.0</w:t>
            </w:r>
          </w:p>
        </w:tc>
        <w:tc>
          <w:tcPr>
            <w:tcW w:w="2405" w:type="dxa"/>
          </w:tcPr>
          <w:p w14:paraId="4392DCF5" w14:textId="089E7ECB" w:rsidR="009E5CD7" w:rsidRDefault="000C09EB" w:rsidP="009B0D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sz w:val="22"/>
                <w:szCs w:val="22"/>
              </w:rPr>
            </w:pPr>
            <w:r>
              <w:rPr>
                <w:rFonts w:ascii="Arial" w:hAnsi="Arial" w:cs="Arial"/>
                <w:sz w:val="22"/>
                <w:szCs w:val="22"/>
              </w:rPr>
              <w:t>125</w:t>
            </w:r>
          </w:p>
        </w:tc>
        <w:tc>
          <w:tcPr>
            <w:tcW w:w="2405" w:type="dxa"/>
          </w:tcPr>
          <w:p w14:paraId="74338010" w14:textId="4372FA20" w:rsidR="009E5CD7" w:rsidRDefault="00CC2B63" w:rsidP="009B0D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sz w:val="22"/>
                <w:szCs w:val="22"/>
              </w:rPr>
            </w:pPr>
            <w:r>
              <w:rPr>
                <w:rFonts w:ascii="Arial" w:hAnsi="Arial" w:cs="Arial"/>
                <w:sz w:val="22"/>
                <w:szCs w:val="22"/>
              </w:rPr>
              <w:t>125</w:t>
            </w:r>
          </w:p>
        </w:tc>
      </w:tr>
      <w:tr w:rsidR="009E5CD7" w14:paraId="55D6A613" w14:textId="77777777" w:rsidTr="00F76852">
        <w:tc>
          <w:tcPr>
            <w:tcW w:w="2405" w:type="dxa"/>
          </w:tcPr>
          <w:p w14:paraId="4C002883" w14:textId="26AE107A" w:rsidR="009E5CD7" w:rsidRDefault="009E5CD7" w:rsidP="00F768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Third Party Disclosure</w:t>
            </w:r>
          </w:p>
        </w:tc>
        <w:tc>
          <w:tcPr>
            <w:tcW w:w="2405" w:type="dxa"/>
          </w:tcPr>
          <w:p w14:paraId="3D1F06E0" w14:textId="0207544C" w:rsidR="009E5CD7" w:rsidRDefault="005E3F3C" w:rsidP="00CD54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sz w:val="22"/>
                <w:szCs w:val="22"/>
              </w:rPr>
            </w:pPr>
            <w:r>
              <w:rPr>
                <w:rFonts w:ascii="Arial" w:hAnsi="Arial" w:cs="Arial"/>
                <w:sz w:val="22"/>
                <w:szCs w:val="22"/>
              </w:rPr>
              <w:t>.0</w:t>
            </w:r>
          </w:p>
        </w:tc>
        <w:tc>
          <w:tcPr>
            <w:tcW w:w="2405" w:type="dxa"/>
          </w:tcPr>
          <w:p w14:paraId="6A579EAE" w14:textId="20ADFC96" w:rsidR="009E5CD7" w:rsidRDefault="00D95A10" w:rsidP="009B0D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sz w:val="22"/>
                <w:szCs w:val="22"/>
              </w:rPr>
            </w:pPr>
            <w:r>
              <w:rPr>
                <w:rFonts w:ascii="Arial" w:hAnsi="Arial" w:cs="Arial"/>
                <w:sz w:val="22"/>
                <w:szCs w:val="22"/>
              </w:rPr>
              <w:t>0</w:t>
            </w:r>
          </w:p>
        </w:tc>
        <w:tc>
          <w:tcPr>
            <w:tcW w:w="2405" w:type="dxa"/>
          </w:tcPr>
          <w:p w14:paraId="3E6F7B36" w14:textId="4DBFBE50" w:rsidR="009E5CD7" w:rsidRDefault="00D95A10" w:rsidP="009B0D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sz w:val="22"/>
                <w:szCs w:val="22"/>
              </w:rPr>
            </w:pPr>
            <w:r>
              <w:rPr>
                <w:rFonts w:ascii="Arial" w:hAnsi="Arial" w:cs="Arial"/>
                <w:sz w:val="22"/>
                <w:szCs w:val="22"/>
              </w:rPr>
              <w:t>0</w:t>
            </w:r>
          </w:p>
        </w:tc>
      </w:tr>
      <w:tr w:rsidR="009E5CD7" w14:paraId="7B319171" w14:textId="77777777" w:rsidTr="00F76852">
        <w:tc>
          <w:tcPr>
            <w:tcW w:w="2405" w:type="dxa"/>
          </w:tcPr>
          <w:p w14:paraId="7868D3D7" w14:textId="77777777" w:rsidR="009E5CD7" w:rsidRDefault="009E5CD7" w:rsidP="00F768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Total</w:t>
            </w:r>
          </w:p>
        </w:tc>
        <w:tc>
          <w:tcPr>
            <w:tcW w:w="2405" w:type="dxa"/>
          </w:tcPr>
          <w:p w14:paraId="6893C47B" w14:textId="2BB934D4" w:rsidR="009E5CD7" w:rsidRDefault="00ED498F" w:rsidP="00CD54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sz w:val="22"/>
                <w:szCs w:val="22"/>
              </w:rPr>
            </w:pPr>
            <w:r>
              <w:rPr>
                <w:rFonts w:ascii="Arial" w:hAnsi="Arial" w:cs="Arial"/>
                <w:sz w:val="22"/>
                <w:szCs w:val="22"/>
              </w:rPr>
              <w:t>39,192</w:t>
            </w:r>
            <w:r w:rsidR="00CD54B1" w:rsidRPr="00CD54B1">
              <w:rPr>
                <w:rFonts w:ascii="Arial" w:hAnsi="Arial" w:cs="Arial"/>
                <w:sz w:val="22"/>
                <w:szCs w:val="22"/>
              </w:rPr>
              <w:t>.</w:t>
            </w:r>
            <w:r>
              <w:rPr>
                <w:rFonts w:ascii="Arial" w:hAnsi="Arial" w:cs="Arial"/>
                <w:sz w:val="22"/>
                <w:szCs w:val="22"/>
              </w:rPr>
              <w:t>3</w:t>
            </w:r>
          </w:p>
        </w:tc>
        <w:tc>
          <w:tcPr>
            <w:tcW w:w="2405" w:type="dxa"/>
          </w:tcPr>
          <w:p w14:paraId="07E599C0" w14:textId="29B90F79" w:rsidR="009E5CD7" w:rsidRDefault="00C25A3B" w:rsidP="00C25A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Pr>
                <w:rFonts w:ascii="Arial" w:hAnsi="Arial" w:cs="Arial"/>
                <w:sz w:val="22"/>
                <w:szCs w:val="22"/>
              </w:rPr>
              <w:t xml:space="preserve">                   35,604</w:t>
            </w:r>
          </w:p>
        </w:tc>
        <w:tc>
          <w:tcPr>
            <w:tcW w:w="2405" w:type="dxa"/>
          </w:tcPr>
          <w:p w14:paraId="0E47FFEB" w14:textId="2EFE61B2" w:rsidR="009E5CD7" w:rsidRDefault="00DA5E34" w:rsidP="00ED49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sz w:val="22"/>
                <w:szCs w:val="22"/>
              </w:rPr>
            </w:pPr>
            <w:r>
              <w:rPr>
                <w:rFonts w:ascii="Arial" w:hAnsi="Arial" w:cs="Arial"/>
                <w:sz w:val="22"/>
                <w:szCs w:val="22"/>
              </w:rPr>
              <w:t>-3,588.3</w:t>
            </w:r>
          </w:p>
        </w:tc>
      </w:tr>
    </w:tbl>
    <w:p w14:paraId="4FB1AAE3" w14:textId="77777777" w:rsidR="009E5CD7" w:rsidRDefault="009E5CD7" w:rsidP="00EB6C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200"/>
        <w:rPr>
          <w:rFonts w:ascii="Arial" w:hAnsi="Arial" w:cs="Arial"/>
          <w:sz w:val="22"/>
          <w:szCs w:val="22"/>
        </w:rPr>
      </w:pPr>
    </w:p>
    <w:p w14:paraId="04C2D8EA" w14:textId="2B4FACB2" w:rsidR="00D95A10" w:rsidRDefault="009E5CD7" w:rsidP="002F25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200"/>
        <w:rPr>
          <w:rFonts w:ascii="Arial" w:hAnsi="Arial" w:cs="Arial"/>
          <w:color w:val="000000"/>
          <w:sz w:val="22"/>
          <w:szCs w:val="22"/>
        </w:rPr>
      </w:pPr>
      <w:r>
        <w:rPr>
          <w:rFonts w:ascii="Arial" w:hAnsi="Arial" w:cs="Arial"/>
          <w:sz w:val="22"/>
          <w:szCs w:val="22"/>
        </w:rPr>
        <w:t>The reason for the change in burden is</w:t>
      </w:r>
      <w:r w:rsidR="00FC12B1" w:rsidRPr="009E0FDB">
        <w:rPr>
          <w:rFonts w:ascii="Arial" w:hAnsi="Arial" w:cs="Arial"/>
          <w:color w:val="000000"/>
          <w:sz w:val="22"/>
          <w:szCs w:val="22"/>
        </w:rPr>
        <w:t xml:space="preserve"> mainly</w:t>
      </w:r>
      <w:r w:rsidR="00D95A10">
        <w:rPr>
          <w:rFonts w:ascii="Arial" w:hAnsi="Arial" w:cs="Arial"/>
          <w:color w:val="000000"/>
          <w:sz w:val="22"/>
          <w:szCs w:val="22"/>
        </w:rPr>
        <w:t xml:space="preserve"> due to an increase</w:t>
      </w:r>
      <w:r w:rsidR="00FC12B1" w:rsidRPr="009E0FDB">
        <w:rPr>
          <w:rFonts w:ascii="Arial" w:hAnsi="Arial" w:cs="Arial"/>
          <w:color w:val="000000"/>
          <w:sz w:val="22"/>
          <w:szCs w:val="22"/>
        </w:rPr>
        <w:t xml:space="preserve"> in recordkeeping</w:t>
      </w:r>
      <w:r w:rsidR="00EC27BA" w:rsidRPr="00EC27BA">
        <w:rPr>
          <w:rFonts w:ascii="Arial" w:hAnsi="Arial" w:cs="Arial"/>
          <w:color w:val="000000"/>
          <w:sz w:val="22"/>
          <w:szCs w:val="22"/>
        </w:rPr>
        <w:t xml:space="preserve"> </w:t>
      </w:r>
      <w:r w:rsidR="00D95A10">
        <w:rPr>
          <w:rFonts w:ascii="Arial" w:hAnsi="Arial" w:cs="Arial"/>
          <w:color w:val="000000"/>
          <w:sz w:val="22"/>
          <w:szCs w:val="22"/>
        </w:rPr>
        <w:t xml:space="preserve">burden </w:t>
      </w:r>
      <w:r w:rsidR="00EC27BA">
        <w:rPr>
          <w:rFonts w:ascii="Arial" w:hAnsi="Arial" w:cs="Arial"/>
          <w:color w:val="000000"/>
          <w:sz w:val="22"/>
          <w:szCs w:val="22"/>
        </w:rPr>
        <w:t>under 10 CFR 50.69</w:t>
      </w:r>
      <w:r w:rsidR="00D95A10">
        <w:rPr>
          <w:rFonts w:ascii="Arial" w:hAnsi="Arial" w:cs="Arial"/>
          <w:color w:val="000000"/>
          <w:sz w:val="22"/>
          <w:szCs w:val="22"/>
        </w:rPr>
        <w:t xml:space="preserve">.  Section 50.69 </w:t>
      </w:r>
      <w:r w:rsidR="00D95A10">
        <w:rPr>
          <w:rFonts w:ascii="Arial" w:hAnsi="Arial" w:cs="Arial"/>
          <w:sz w:val="22"/>
          <w:szCs w:val="22"/>
        </w:rPr>
        <w:t>provides a voluntary alternative set of requirements under which a licensee may obtain relief from some unnecessary regulatory burden for those SSCs that are determined through a risk-informed categorization process to be of low safety-significance.  To use the alternative provisions of 10 CFR 50.69, a licensee or applicant must evaluate the safety significance of SSCs and categorize each SSC into one of four categories defined as risk</w:t>
      </w:r>
      <w:r w:rsidR="00D95A10">
        <w:rPr>
          <w:rFonts w:ascii="Arial" w:hAnsi="Arial" w:cs="Arial"/>
          <w:sz w:val="22"/>
          <w:szCs w:val="22"/>
        </w:rPr>
        <w:noBreakHyphen/>
        <w:t xml:space="preserve">informed safety class (RISC)-1, RISC-2, RISC-3, and RISC-4.  In the previous submission, the NRC staff estimated </w:t>
      </w:r>
      <w:r w:rsidR="00FC12B1" w:rsidRPr="0082313D">
        <w:rPr>
          <w:rFonts w:ascii="Arial" w:hAnsi="Arial" w:cs="Arial"/>
          <w:color w:val="000000"/>
          <w:sz w:val="22"/>
          <w:szCs w:val="22"/>
        </w:rPr>
        <w:t>0</w:t>
      </w:r>
      <w:r w:rsidR="00FC12B1" w:rsidRPr="009E0FDB">
        <w:rPr>
          <w:rFonts w:ascii="Arial" w:hAnsi="Arial" w:cs="Arial"/>
          <w:color w:val="000000"/>
          <w:sz w:val="22"/>
          <w:szCs w:val="22"/>
        </w:rPr>
        <w:t>.333</w:t>
      </w:r>
      <w:r w:rsidR="00782FAF">
        <w:rPr>
          <w:rFonts w:ascii="Arial" w:hAnsi="Arial" w:cs="Arial"/>
          <w:color w:val="000000"/>
          <w:sz w:val="22"/>
          <w:szCs w:val="22"/>
        </w:rPr>
        <w:t xml:space="preserve"> </w:t>
      </w:r>
      <w:r w:rsidR="00D95A10">
        <w:rPr>
          <w:rFonts w:ascii="Arial" w:hAnsi="Arial" w:cs="Arial"/>
          <w:color w:val="000000"/>
          <w:sz w:val="22"/>
          <w:szCs w:val="22"/>
        </w:rPr>
        <w:t>annual submissions under 50.69.  I</w:t>
      </w:r>
      <w:r w:rsidR="00782FAF">
        <w:rPr>
          <w:rFonts w:ascii="Arial" w:hAnsi="Arial" w:cs="Arial"/>
          <w:color w:val="000000"/>
          <w:sz w:val="22"/>
          <w:szCs w:val="22"/>
        </w:rPr>
        <w:t xml:space="preserve">n the </w:t>
      </w:r>
      <w:r w:rsidR="00D95A10">
        <w:rPr>
          <w:rFonts w:ascii="Arial" w:hAnsi="Arial" w:cs="Arial"/>
          <w:color w:val="000000"/>
          <w:sz w:val="22"/>
          <w:szCs w:val="22"/>
        </w:rPr>
        <w:t xml:space="preserve">current cycle, the staff </w:t>
      </w:r>
      <w:r w:rsidR="00782FAF">
        <w:rPr>
          <w:rFonts w:ascii="Arial" w:hAnsi="Arial" w:cs="Arial"/>
          <w:color w:val="000000"/>
          <w:sz w:val="22"/>
          <w:szCs w:val="22"/>
        </w:rPr>
        <w:t>expect</w:t>
      </w:r>
      <w:r w:rsidR="00D95A10">
        <w:rPr>
          <w:rFonts w:ascii="Arial" w:hAnsi="Arial" w:cs="Arial"/>
          <w:color w:val="000000"/>
          <w:sz w:val="22"/>
          <w:szCs w:val="22"/>
        </w:rPr>
        <w:t>s</w:t>
      </w:r>
      <w:r w:rsidR="00782FAF">
        <w:rPr>
          <w:rFonts w:ascii="Arial" w:hAnsi="Arial" w:cs="Arial"/>
          <w:color w:val="000000"/>
          <w:sz w:val="22"/>
          <w:szCs w:val="22"/>
        </w:rPr>
        <w:t xml:space="preserve"> submission of </w:t>
      </w:r>
      <w:r w:rsidR="00FC12B1">
        <w:rPr>
          <w:rFonts w:ascii="Arial" w:hAnsi="Arial" w:cs="Arial"/>
          <w:color w:val="000000"/>
          <w:sz w:val="22"/>
          <w:szCs w:val="22"/>
        </w:rPr>
        <w:t>10</w:t>
      </w:r>
      <w:r w:rsidR="00782FAF">
        <w:rPr>
          <w:rFonts w:ascii="Arial" w:hAnsi="Arial" w:cs="Arial"/>
          <w:color w:val="000000"/>
          <w:sz w:val="22"/>
          <w:szCs w:val="22"/>
        </w:rPr>
        <w:t xml:space="preserve"> applications</w:t>
      </w:r>
      <w:r w:rsidR="00CF178D">
        <w:rPr>
          <w:rFonts w:ascii="Arial" w:hAnsi="Arial" w:cs="Arial"/>
          <w:color w:val="000000"/>
          <w:sz w:val="22"/>
          <w:szCs w:val="22"/>
        </w:rPr>
        <w:t xml:space="preserve"> annually</w:t>
      </w:r>
      <w:r w:rsidR="00EC27BA">
        <w:rPr>
          <w:rFonts w:ascii="Arial" w:hAnsi="Arial" w:cs="Arial"/>
          <w:color w:val="000000"/>
          <w:sz w:val="22"/>
          <w:szCs w:val="22"/>
        </w:rPr>
        <w:t>,</w:t>
      </w:r>
      <w:r w:rsidR="00782FAF">
        <w:rPr>
          <w:rFonts w:ascii="Arial" w:hAnsi="Arial" w:cs="Arial"/>
          <w:color w:val="000000"/>
          <w:sz w:val="22"/>
          <w:szCs w:val="22"/>
        </w:rPr>
        <w:t xml:space="preserve"> according to industry expressed interest</w:t>
      </w:r>
      <w:r w:rsidR="00EC27BA">
        <w:rPr>
          <w:rFonts w:ascii="Arial" w:hAnsi="Arial" w:cs="Arial"/>
          <w:color w:val="000000"/>
          <w:sz w:val="22"/>
          <w:szCs w:val="22"/>
        </w:rPr>
        <w:t>, during this clearance cycle</w:t>
      </w:r>
      <w:r w:rsidR="00D95A10">
        <w:rPr>
          <w:rFonts w:ascii="Arial" w:hAnsi="Arial" w:cs="Arial"/>
          <w:color w:val="000000"/>
          <w:sz w:val="22"/>
          <w:szCs w:val="22"/>
        </w:rPr>
        <w:t xml:space="preserve">.  </w:t>
      </w:r>
      <w:r w:rsidR="00CF178D">
        <w:rPr>
          <w:rFonts w:ascii="Arial" w:hAnsi="Arial" w:cs="Arial"/>
          <w:color w:val="000000"/>
          <w:sz w:val="22"/>
          <w:szCs w:val="22"/>
        </w:rPr>
        <w:t xml:space="preserve">This resulted in a change in burden for this requirement from 889 hours </w:t>
      </w:r>
      <w:r w:rsidR="00CF178D" w:rsidRPr="00CF178D">
        <w:rPr>
          <w:rFonts w:ascii="Arial" w:hAnsi="Arial" w:cs="Arial"/>
          <w:color w:val="000000"/>
          <w:sz w:val="22"/>
          <w:szCs w:val="22"/>
        </w:rPr>
        <w:t>(200 hrs. reporting + 689 hrs. recordkeeping)</w:t>
      </w:r>
      <w:r w:rsidR="00CF178D">
        <w:rPr>
          <w:rFonts w:ascii="Arial" w:hAnsi="Arial" w:cs="Arial"/>
          <w:color w:val="000000"/>
          <w:sz w:val="22"/>
          <w:szCs w:val="22"/>
        </w:rPr>
        <w:t xml:space="preserve"> to 26,700 hours (6,000 hours reporting + 20,700 hours recordkeeping)</w:t>
      </w:r>
    </w:p>
    <w:p w14:paraId="518C4CA4" w14:textId="77777777" w:rsidR="00D95A10" w:rsidRDefault="00D95A10" w:rsidP="002F25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200"/>
        <w:rPr>
          <w:rFonts w:ascii="Arial" w:hAnsi="Arial" w:cs="Arial"/>
          <w:color w:val="000000"/>
          <w:sz w:val="22"/>
          <w:szCs w:val="22"/>
        </w:rPr>
      </w:pPr>
    </w:p>
    <w:p w14:paraId="0A716A3E" w14:textId="42084001" w:rsidR="002F250A" w:rsidRDefault="002F250A" w:rsidP="002F25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200"/>
        <w:rPr>
          <w:rFonts w:ascii="Arial" w:hAnsi="Arial" w:cs="Arial"/>
          <w:sz w:val="22"/>
          <w:szCs w:val="22"/>
        </w:rPr>
      </w:pPr>
      <w:r>
        <w:rPr>
          <w:rFonts w:ascii="Arial" w:hAnsi="Arial" w:cs="Arial"/>
          <w:color w:val="000000"/>
          <w:sz w:val="22"/>
          <w:szCs w:val="22"/>
        </w:rPr>
        <w:t xml:space="preserve">Changes in reporting are attributed to </w:t>
      </w:r>
      <w:r>
        <w:rPr>
          <w:rFonts w:ascii="Arial" w:hAnsi="Arial" w:cs="Arial"/>
          <w:sz w:val="22"/>
          <w:szCs w:val="22"/>
        </w:rPr>
        <w:t>the number of operating reactor licensees required to report and maintain records during this clearance period.  In the prior clearance cycles, the agency received information on average from 100 operating reactor licensees, in the previous cycle, this number was calculated at 104.  For this clearance period, that number has been reduced to a projection of 94 operating reactors due to industry not seeking to renew their operating licensee.  This significant reduction in the number of operating reactors has a direct overall effect on the number of respondents and responses operating in accordance with 10 CFR Part 50.</w:t>
      </w:r>
    </w:p>
    <w:p w14:paraId="0B6FBC95" w14:textId="77777777" w:rsidR="00D14883" w:rsidRPr="0026636D" w:rsidRDefault="00D14883" w:rsidP="00D14883">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p>
    <w:p w14:paraId="58A264FD" w14:textId="77777777" w:rsidR="00171CB3" w:rsidRPr="0026636D" w:rsidRDefault="00171CB3">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hanging="600"/>
        <w:rPr>
          <w:rFonts w:ascii="Arial" w:hAnsi="Arial"/>
          <w:sz w:val="22"/>
        </w:rPr>
      </w:pPr>
      <w:r w:rsidRPr="0026636D">
        <w:rPr>
          <w:rFonts w:ascii="Arial" w:hAnsi="Arial"/>
          <w:sz w:val="22"/>
        </w:rPr>
        <w:t>16.</w:t>
      </w:r>
      <w:r w:rsidRPr="0026636D">
        <w:rPr>
          <w:rFonts w:ascii="Arial" w:hAnsi="Arial"/>
          <w:sz w:val="22"/>
        </w:rPr>
        <w:tab/>
      </w:r>
      <w:r w:rsidRPr="0026636D">
        <w:rPr>
          <w:rFonts w:ascii="Arial" w:hAnsi="Arial"/>
          <w:sz w:val="22"/>
          <w:u w:val="single"/>
        </w:rPr>
        <w:t>Publication for Statistical Use</w:t>
      </w:r>
    </w:p>
    <w:p w14:paraId="690914FA" w14:textId="77777777" w:rsidR="00171CB3" w:rsidRPr="0026636D" w:rsidRDefault="00171CB3">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14:paraId="1C769736" w14:textId="77777777" w:rsidR="00171CB3" w:rsidRPr="0026636D" w:rsidRDefault="00171CB3">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sidRPr="0026636D">
        <w:rPr>
          <w:rFonts w:ascii="Arial" w:hAnsi="Arial"/>
          <w:sz w:val="22"/>
        </w:rPr>
        <w:t>The information being collected is not expected to be published for statistical use.</w:t>
      </w:r>
    </w:p>
    <w:p w14:paraId="0C93A4AC" w14:textId="77777777" w:rsidR="00171CB3" w:rsidRPr="0026636D" w:rsidRDefault="00171CB3">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14:paraId="17211ADA" w14:textId="77777777" w:rsidR="00171CB3" w:rsidRPr="0026636D" w:rsidRDefault="00171CB3">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hanging="600"/>
        <w:rPr>
          <w:rFonts w:ascii="Arial" w:hAnsi="Arial"/>
          <w:sz w:val="22"/>
        </w:rPr>
      </w:pPr>
      <w:r w:rsidRPr="0026636D">
        <w:rPr>
          <w:rFonts w:ascii="Arial" w:hAnsi="Arial"/>
          <w:sz w:val="22"/>
        </w:rPr>
        <w:t>17.</w:t>
      </w:r>
      <w:r w:rsidRPr="0026636D">
        <w:rPr>
          <w:rFonts w:ascii="Arial" w:hAnsi="Arial"/>
          <w:sz w:val="22"/>
        </w:rPr>
        <w:tab/>
      </w:r>
      <w:r w:rsidRPr="0026636D">
        <w:rPr>
          <w:rFonts w:ascii="Arial" w:hAnsi="Arial"/>
          <w:sz w:val="22"/>
          <w:u w:val="single"/>
        </w:rPr>
        <w:t>Reason for Not Displaying the Expiration Date</w:t>
      </w:r>
    </w:p>
    <w:p w14:paraId="6C0FD1CB" w14:textId="77777777" w:rsidR="00171CB3" w:rsidRPr="0026636D" w:rsidRDefault="00171CB3" w:rsidP="009E5CD7">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p>
    <w:p w14:paraId="5DC2945B" w14:textId="45097051" w:rsidR="00EF7FBC" w:rsidRDefault="009E5CD7" w:rsidP="009E5CD7">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sidRPr="009E5CD7">
        <w:rPr>
          <w:rFonts w:ascii="Arial" w:hAnsi="Arial"/>
          <w:sz w:val="22"/>
        </w:rPr>
        <w:t>The recordkeeping and reporting requirements for this information collection are</w:t>
      </w:r>
      <w:r w:rsidR="004C1729">
        <w:rPr>
          <w:rFonts w:ascii="Arial" w:hAnsi="Arial"/>
          <w:sz w:val="22"/>
        </w:rPr>
        <w:t xml:space="preserve"> </w:t>
      </w:r>
      <w:r w:rsidRPr="009E5CD7">
        <w:rPr>
          <w:rFonts w:ascii="Arial" w:hAnsi="Arial"/>
          <w:sz w:val="22"/>
        </w:rPr>
        <w:t>associated with regulations and are not submitted on instruments such as forms</w:t>
      </w:r>
      <w:r w:rsidR="004C1729">
        <w:rPr>
          <w:rFonts w:ascii="Arial" w:hAnsi="Arial"/>
          <w:sz w:val="22"/>
        </w:rPr>
        <w:t xml:space="preserve"> </w:t>
      </w:r>
      <w:r w:rsidRPr="009E5CD7">
        <w:rPr>
          <w:rFonts w:ascii="Arial" w:hAnsi="Arial"/>
          <w:sz w:val="22"/>
        </w:rPr>
        <w:t>or surveys. For this reason, there are no data instruments on which to display an</w:t>
      </w:r>
      <w:r w:rsidR="004C1729">
        <w:rPr>
          <w:rFonts w:ascii="Arial" w:hAnsi="Arial"/>
          <w:sz w:val="22"/>
        </w:rPr>
        <w:t xml:space="preserve"> </w:t>
      </w:r>
      <w:r w:rsidRPr="009E5CD7">
        <w:rPr>
          <w:rFonts w:ascii="Arial" w:hAnsi="Arial"/>
          <w:sz w:val="22"/>
        </w:rPr>
        <w:t>OMB expiration date. Further, amending the regulatory text of the CFR to</w:t>
      </w:r>
      <w:r w:rsidR="004C1729">
        <w:rPr>
          <w:rFonts w:ascii="Arial" w:hAnsi="Arial"/>
          <w:sz w:val="22"/>
        </w:rPr>
        <w:t xml:space="preserve"> </w:t>
      </w:r>
      <w:r w:rsidRPr="009E5CD7">
        <w:rPr>
          <w:rFonts w:ascii="Arial" w:hAnsi="Arial"/>
          <w:sz w:val="22"/>
        </w:rPr>
        <w:t>display information that, in an annual publication, could become obsolete would</w:t>
      </w:r>
      <w:r w:rsidR="004C1729">
        <w:rPr>
          <w:rFonts w:ascii="Arial" w:hAnsi="Arial"/>
          <w:sz w:val="22"/>
        </w:rPr>
        <w:t xml:space="preserve"> </w:t>
      </w:r>
      <w:r w:rsidRPr="009E5CD7">
        <w:rPr>
          <w:rFonts w:ascii="Arial" w:hAnsi="Arial"/>
          <w:sz w:val="22"/>
        </w:rPr>
        <w:t>be unduly burdensome and too difficult to keep current.</w:t>
      </w:r>
    </w:p>
    <w:p w14:paraId="3402FC08" w14:textId="77777777" w:rsidR="009E5CD7" w:rsidRPr="0026636D" w:rsidRDefault="009E5CD7" w:rsidP="009E5CD7">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14:paraId="0CC241E0" w14:textId="77777777" w:rsidR="00171CB3" w:rsidRPr="0026636D" w:rsidRDefault="00343EB9" w:rsidP="00EF7FBC">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u w:val="single"/>
        </w:rPr>
      </w:pPr>
      <w:r>
        <w:rPr>
          <w:rFonts w:ascii="Arial" w:hAnsi="Arial"/>
          <w:sz w:val="22"/>
        </w:rPr>
        <w:tab/>
      </w:r>
      <w:r w:rsidR="00171CB3" w:rsidRPr="0026636D">
        <w:rPr>
          <w:rFonts w:ascii="Arial" w:hAnsi="Arial"/>
          <w:sz w:val="22"/>
        </w:rPr>
        <w:t>18.</w:t>
      </w:r>
      <w:r w:rsidR="00171CB3" w:rsidRPr="0026636D">
        <w:rPr>
          <w:rFonts w:ascii="Arial" w:hAnsi="Arial"/>
          <w:sz w:val="22"/>
        </w:rPr>
        <w:tab/>
      </w:r>
      <w:r w:rsidR="00171CB3" w:rsidRPr="0026636D">
        <w:rPr>
          <w:rFonts w:ascii="Arial" w:hAnsi="Arial"/>
          <w:sz w:val="22"/>
          <w:u w:val="single"/>
        </w:rPr>
        <w:t>Exceptions to the Certification Statement</w:t>
      </w:r>
    </w:p>
    <w:p w14:paraId="1365E78C" w14:textId="77777777" w:rsidR="00171CB3" w:rsidRPr="0026636D" w:rsidRDefault="00171CB3">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14:paraId="4770B00A" w14:textId="77777777" w:rsidR="00171CB3" w:rsidRPr="0026636D" w:rsidRDefault="00171CB3">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sidRPr="0026636D">
        <w:rPr>
          <w:rFonts w:ascii="Arial" w:hAnsi="Arial"/>
          <w:sz w:val="22"/>
        </w:rPr>
        <w:t>None.</w:t>
      </w:r>
    </w:p>
    <w:p w14:paraId="491E42BA" w14:textId="77777777" w:rsidR="00171CB3" w:rsidRPr="0026636D" w:rsidRDefault="00171CB3">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14:paraId="28F2C445" w14:textId="77777777" w:rsidR="00171CB3" w:rsidRPr="0026636D" w:rsidRDefault="00171CB3">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600" w:hanging="600"/>
        <w:rPr>
          <w:rFonts w:ascii="Arial" w:hAnsi="Arial"/>
          <w:sz w:val="22"/>
        </w:rPr>
      </w:pPr>
      <w:r w:rsidRPr="0026636D">
        <w:rPr>
          <w:rFonts w:ascii="Arial" w:hAnsi="Arial"/>
          <w:sz w:val="22"/>
        </w:rPr>
        <w:t>B.</w:t>
      </w:r>
      <w:r w:rsidRPr="0026636D">
        <w:rPr>
          <w:rFonts w:ascii="Arial" w:hAnsi="Arial"/>
          <w:sz w:val="22"/>
        </w:rPr>
        <w:tab/>
      </w:r>
      <w:r w:rsidRPr="0026636D">
        <w:rPr>
          <w:rFonts w:ascii="Arial" w:hAnsi="Arial"/>
          <w:sz w:val="22"/>
          <w:u w:val="single"/>
        </w:rPr>
        <w:t>COLLECTIONS OF INFORMATION EMPLOYING STATISTICAL METHODS</w:t>
      </w:r>
    </w:p>
    <w:p w14:paraId="046057B9" w14:textId="77777777" w:rsidR="00171CB3" w:rsidRPr="0026636D" w:rsidRDefault="00171CB3">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14:paraId="7F1200B6" w14:textId="77777777" w:rsidR="00171CB3" w:rsidRPr="0026636D" w:rsidRDefault="00171CB3">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600"/>
        <w:rPr>
          <w:rFonts w:ascii="Arial" w:hAnsi="Arial"/>
          <w:sz w:val="22"/>
        </w:rPr>
      </w:pPr>
      <w:r w:rsidRPr="0026636D">
        <w:rPr>
          <w:rFonts w:ascii="Arial" w:hAnsi="Arial"/>
          <w:sz w:val="22"/>
        </w:rPr>
        <w:t>Not applicable.</w:t>
      </w:r>
    </w:p>
    <w:p w14:paraId="70B24245" w14:textId="77777777" w:rsidR="00171CB3" w:rsidRPr="0026636D" w:rsidRDefault="00171CB3">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14:paraId="0B100D47" w14:textId="77777777" w:rsidR="00E92362" w:rsidRDefault="00E92362">
      <w:pPr>
        <w:rPr>
          <w:rFonts w:ascii="Arial" w:hAnsi="Arial"/>
          <w:sz w:val="22"/>
        </w:rPr>
      </w:pPr>
      <w:r>
        <w:rPr>
          <w:rFonts w:ascii="Arial" w:hAnsi="Arial"/>
          <w:sz w:val="22"/>
        </w:rPr>
        <w:br w:type="page"/>
      </w:r>
    </w:p>
    <w:p w14:paraId="2D2CCB86" w14:textId="77777777" w:rsidR="00736A10" w:rsidRDefault="00736A10" w:rsidP="00736A10">
      <w:pPr>
        <w:rPr>
          <w:rFonts w:ascii="Arial" w:hAnsi="Arial" w:cs="Arial"/>
          <w:b/>
          <w:sz w:val="22"/>
          <w:szCs w:val="22"/>
          <w:u w:val="single"/>
        </w:rPr>
      </w:pPr>
      <w:r w:rsidRPr="007D394D">
        <w:rPr>
          <w:rFonts w:ascii="Arial" w:hAnsi="Arial" w:cs="Arial"/>
          <w:b/>
          <w:sz w:val="22"/>
          <w:szCs w:val="22"/>
          <w:u w:val="single"/>
        </w:rPr>
        <w:t>Appendix A – Description Requirements</w:t>
      </w:r>
      <w:r>
        <w:rPr>
          <w:rFonts w:ascii="Arial" w:hAnsi="Arial" w:cs="Arial"/>
          <w:b/>
          <w:sz w:val="22"/>
          <w:szCs w:val="22"/>
          <w:u w:val="single"/>
        </w:rPr>
        <w:t xml:space="preserve"> </w:t>
      </w:r>
    </w:p>
    <w:p w14:paraId="2A88B0F8" w14:textId="77777777" w:rsidR="00736A10" w:rsidRDefault="00736A10" w:rsidP="00736A10">
      <w:pPr>
        <w:rPr>
          <w:rFonts w:ascii="Arial" w:hAnsi="Arial" w:cs="Arial"/>
          <w:b/>
          <w:sz w:val="22"/>
          <w:szCs w:val="22"/>
          <w:u w:val="single"/>
        </w:rPr>
      </w:pPr>
    </w:p>
    <w:p w14:paraId="5E91CF29" w14:textId="19DE0D4D" w:rsidR="00736A10" w:rsidRPr="00736A10" w:rsidRDefault="00736A10" w:rsidP="00736A10">
      <w:pPr>
        <w:tabs>
          <w:tab w:val="center" w:pos="4680"/>
        </w:tabs>
        <w:rPr>
          <w:rFonts w:ascii="Arial" w:hAnsi="Arial" w:cs="Arial"/>
          <w:b/>
          <w:color w:val="000000"/>
          <w:sz w:val="22"/>
          <w:szCs w:val="22"/>
          <w:u w:val="single"/>
        </w:rPr>
      </w:pPr>
      <w:r w:rsidRPr="00736A10">
        <w:rPr>
          <w:rFonts w:ascii="Arial" w:hAnsi="Arial" w:cs="Arial"/>
          <w:b/>
          <w:color w:val="000000"/>
          <w:sz w:val="22"/>
          <w:szCs w:val="22"/>
          <w:u w:val="single"/>
        </w:rPr>
        <w:t>Inspections, Records, Reports, Notifications</w:t>
      </w:r>
    </w:p>
    <w:p w14:paraId="638BFD79" w14:textId="77777777" w:rsidR="005D7D2A" w:rsidRDefault="005D7D2A"/>
    <w:p w14:paraId="0C880864" w14:textId="0E067D05" w:rsidR="005D7D2A" w:rsidRDefault="0037412E" w:rsidP="009B0D52">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2"/>
          <w:szCs w:val="22"/>
        </w:rPr>
      </w:pPr>
      <w:r>
        <w:rPr>
          <w:rFonts w:ascii="Arial" w:hAnsi="Arial" w:cs="Arial"/>
          <w:sz w:val="22"/>
          <w:szCs w:val="22"/>
        </w:rPr>
        <w:t>10 CFR 50.68(b)(8) requires licensees to comply with eight specific criticality accident requirements as an alternative to maintaining a monitoring system capable of detecting a criticality as described in 10 CFR 70.24.  Should licensees elect to comply with 10 CFR 50.68(b), they are required to indicate that it has chosen to comply with 10 CFR 50.68 in lieu of 10 CFR 50.74 as part of its FSAR update (in accordance with 10 CFR 50.71(e)).  Burden for this requirement is included in 50.71 for FSAR updates.</w:t>
      </w:r>
    </w:p>
    <w:p w14:paraId="232FBD8D" w14:textId="77777777" w:rsidR="0037412E" w:rsidRDefault="0037412E" w:rsidP="009B0D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5EA70B76" w14:textId="77777777" w:rsidR="00DA4871" w:rsidRDefault="00DA4871" w:rsidP="00DA4871">
      <w:pPr>
        <w:ind w:left="720"/>
        <w:rPr>
          <w:rFonts w:ascii="Arial" w:hAnsi="Arial" w:cs="Arial"/>
          <w:sz w:val="22"/>
          <w:szCs w:val="22"/>
        </w:rPr>
      </w:pPr>
      <w:r>
        <w:rPr>
          <w:rFonts w:ascii="Arial" w:hAnsi="Arial" w:cs="Arial"/>
          <w:sz w:val="22"/>
          <w:szCs w:val="22"/>
        </w:rPr>
        <w:t xml:space="preserve">Section 10 CFR 50.69 provides a voluntary alternative set of requirements under which a licensee may obtain relief from some unnecessary regulatory burden for those SSCs that are determined through a risk-informed categorization process to be of low safety-significance.  The regulation is intended to provide more flexibility to licensees in the application of treatment requirements for low safety-significant SSCs, by replacing some of the prescriptive programmatic requirements with more general performance requirements.  Requirements are included to specify the process for obtaining the Nuclear Regulatory Commission (NRC) approval for implementing the alternative requirements and for licensee preparation of ongoing SSC performance evaluations against established standards.  Recordkeeping and reporting requirements are modified only for those licensees or applicants who voluntarily choose to implement the alternative requirements of 10 CFR 50.69. </w:t>
      </w:r>
    </w:p>
    <w:p w14:paraId="496FA886" w14:textId="77777777" w:rsidR="00DA4871" w:rsidRDefault="00DA4871" w:rsidP="00DA4871">
      <w:pPr>
        <w:ind w:left="720"/>
        <w:rPr>
          <w:rFonts w:ascii="Arial" w:hAnsi="Arial" w:cs="Arial"/>
          <w:sz w:val="22"/>
          <w:szCs w:val="22"/>
        </w:rPr>
      </w:pPr>
    </w:p>
    <w:p w14:paraId="5BA103C8" w14:textId="77777777" w:rsidR="00DA4871" w:rsidRDefault="00DA4871" w:rsidP="00DA4871">
      <w:pPr>
        <w:ind w:left="720"/>
        <w:rPr>
          <w:rFonts w:ascii="Arial" w:hAnsi="Arial" w:cs="Arial"/>
          <w:sz w:val="22"/>
          <w:szCs w:val="22"/>
        </w:rPr>
      </w:pPr>
      <w:r>
        <w:rPr>
          <w:rFonts w:ascii="Arial" w:hAnsi="Arial" w:cs="Arial"/>
          <w:sz w:val="22"/>
          <w:szCs w:val="22"/>
        </w:rPr>
        <w:t>To use the alternative provisions of 10 CFR 50.69, a licensee or applicant must evaluate the safety significance of SSCs and categorize each SSC into one of four categories defined as risk</w:t>
      </w:r>
      <w:r>
        <w:rPr>
          <w:rFonts w:ascii="Arial" w:hAnsi="Arial" w:cs="Arial"/>
          <w:sz w:val="22"/>
          <w:szCs w:val="22"/>
        </w:rPr>
        <w:noBreakHyphen/>
        <w:t>informed safety class (RISC)-1, RISC-2, RISC-3, and RISC-4.  Section 10 CFR 50.69 establishes revised treatment and less prescriptive and burdensome information collection requirements for safety and non-safety SSCs categorized as performing low safety-significant functions (RISC-3 and RISC-4), but also contains requirements for on-going evaluations to ensure safety standards are maintained and that records of categorization decisions are maintained.</w:t>
      </w:r>
    </w:p>
    <w:p w14:paraId="3D869E72" w14:textId="77777777" w:rsidR="00DA4871" w:rsidRDefault="00DA4871" w:rsidP="00DA4871">
      <w:pPr>
        <w:widowControl w:val="0"/>
        <w:ind w:left="720"/>
        <w:rPr>
          <w:rFonts w:ascii="Arial" w:hAnsi="Arial" w:cs="Arial"/>
          <w:sz w:val="22"/>
          <w:szCs w:val="22"/>
        </w:rPr>
      </w:pPr>
    </w:p>
    <w:p w14:paraId="40466524" w14:textId="77777777" w:rsidR="00DA4871" w:rsidRDefault="00DA4871" w:rsidP="00DA4871">
      <w:pPr>
        <w:widowControl w:val="0"/>
        <w:ind w:left="720"/>
        <w:rPr>
          <w:rFonts w:ascii="Arial" w:hAnsi="Arial" w:cs="Arial"/>
          <w:sz w:val="22"/>
          <w:szCs w:val="22"/>
        </w:rPr>
      </w:pPr>
      <w:r>
        <w:rPr>
          <w:rFonts w:ascii="Arial" w:hAnsi="Arial" w:cs="Arial"/>
          <w:sz w:val="22"/>
          <w:szCs w:val="22"/>
        </w:rPr>
        <w:t xml:space="preserve">Section </w:t>
      </w:r>
      <w:r w:rsidRPr="00FC4CCA">
        <w:rPr>
          <w:rFonts w:ascii="Arial" w:hAnsi="Arial" w:cs="Arial"/>
          <w:sz w:val="22"/>
          <w:szCs w:val="22"/>
        </w:rPr>
        <w:t>10 CFR 50.70</w:t>
      </w:r>
      <w:r w:rsidRPr="00960C69">
        <w:rPr>
          <w:rFonts w:ascii="Arial" w:hAnsi="Arial" w:cs="Arial"/>
          <w:sz w:val="22"/>
          <w:szCs w:val="22"/>
        </w:rPr>
        <w:t xml:space="preserve"> requires power-reactor licensees to permit inspection of licensee records, premises, activities, and licensed material as necessary for the NRC to ensure public health and safety.</w:t>
      </w:r>
    </w:p>
    <w:p w14:paraId="11871BBE" w14:textId="77777777" w:rsidR="00DA4871" w:rsidRDefault="00DA4871" w:rsidP="00431894">
      <w:pPr>
        <w:tabs>
          <w:tab w:val="left" w:pos="-1440"/>
          <w:tab w:val="left" w:pos="-36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2"/>
          <w:szCs w:val="22"/>
        </w:rPr>
      </w:pPr>
    </w:p>
    <w:p w14:paraId="074013DB" w14:textId="77777777" w:rsidR="00DA4871" w:rsidRDefault="00DA4871" w:rsidP="00431894">
      <w:pPr>
        <w:tabs>
          <w:tab w:val="left" w:pos="-1440"/>
          <w:tab w:val="left" w:pos="-36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2"/>
          <w:szCs w:val="22"/>
        </w:rPr>
      </w:pPr>
    </w:p>
    <w:p w14:paraId="1EE24DB5" w14:textId="6C673B2F" w:rsidR="00431894" w:rsidRPr="00E624BE" w:rsidRDefault="00431894" w:rsidP="00431894">
      <w:pPr>
        <w:tabs>
          <w:tab w:val="left" w:pos="-1440"/>
          <w:tab w:val="left" w:pos="-36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2"/>
          <w:szCs w:val="22"/>
        </w:rPr>
      </w:pPr>
      <w:r w:rsidRPr="00E624BE">
        <w:rPr>
          <w:rFonts w:ascii="Arial" w:hAnsi="Arial" w:cs="Arial"/>
          <w:sz w:val="22"/>
          <w:szCs w:val="22"/>
        </w:rPr>
        <w:t>Section 50.71(b) of 10 CFR requires licensees and holders of construction permits to file with the Commission annual financial reports, including certified financial statements.  This requirement is also specified in 10 CFR 50 Appendix C, Section III, for holders of construction permits.  The fundamental purpose of the financial qualifications provision is the protection of public health and safety and the common defense and security.  A licensee's or holder's (including a co-owner's) financial resources may affect its ability to meet its responsibilities on safety matters.</w:t>
      </w:r>
    </w:p>
    <w:p w14:paraId="2D6277AD" w14:textId="77777777" w:rsidR="009230DF" w:rsidRDefault="009230DF"/>
    <w:p w14:paraId="2D61617D" w14:textId="76B0F373" w:rsidR="009230DF" w:rsidRDefault="00736A10" w:rsidP="009230D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2"/>
          <w:szCs w:val="22"/>
        </w:rPr>
      </w:pPr>
      <w:r>
        <w:rPr>
          <w:rFonts w:ascii="Arial" w:hAnsi="Arial" w:cs="Arial"/>
          <w:sz w:val="22"/>
          <w:szCs w:val="22"/>
        </w:rPr>
        <w:t xml:space="preserve">Section </w:t>
      </w:r>
      <w:r w:rsidR="009230DF">
        <w:rPr>
          <w:rFonts w:ascii="Arial" w:hAnsi="Arial" w:cs="Arial"/>
          <w:sz w:val="22"/>
          <w:szCs w:val="22"/>
        </w:rPr>
        <w:t xml:space="preserve">10 CFR 50.71(e)(1) requires licensees to submit revisions containing the updated FSAR information on a replacement-page basis, accompanied by a list which identifies the current pages of the FSAR following page replacement.  </w:t>
      </w:r>
    </w:p>
    <w:p w14:paraId="0BE5CEA8" w14:textId="77777777" w:rsidR="009230DF" w:rsidRDefault="009230DF" w:rsidP="009230D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0A35B922" w14:textId="1456864F" w:rsidR="009230DF" w:rsidRDefault="00D21D20" w:rsidP="009230D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2"/>
          <w:szCs w:val="22"/>
        </w:rPr>
      </w:pPr>
      <w:r>
        <w:rPr>
          <w:rFonts w:ascii="Arial" w:hAnsi="Arial" w:cs="Arial"/>
          <w:sz w:val="22"/>
          <w:szCs w:val="22"/>
        </w:rPr>
        <w:t xml:space="preserve">Section </w:t>
      </w:r>
      <w:r w:rsidR="009230DF">
        <w:rPr>
          <w:rFonts w:ascii="Arial" w:hAnsi="Arial" w:cs="Arial"/>
          <w:sz w:val="22"/>
          <w:szCs w:val="22"/>
        </w:rPr>
        <w:t>10 CFR 50.71(e)(2) requires that FSAR-update submittals include a certification by a duly authorized official of the licensee that either the information accurately presents changes made since the previous submittal, necessary to reflect information and analyses submitted to or required by the Commission, or that no such changes were made; and an identification of changes made under the provisions of 10 CFR 50.59 but not previously submitted to the Commission.</w:t>
      </w:r>
    </w:p>
    <w:p w14:paraId="4A0C065F" w14:textId="77777777" w:rsidR="009230DF" w:rsidRDefault="009230DF" w:rsidP="009230D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4A5D4D1E" w14:textId="566B3DCB" w:rsidR="009230DF" w:rsidRDefault="00D21D20" w:rsidP="009230D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2"/>
          <w:szCs w:val="22"/>
        </w:rPr>
      </w:pPr>
      <w:r>
        <w:rPr>
          <w:rFonts w:ascii="Arial" w:hAnsi="Arial" w:cs="Arial"/>
          <w:sz w:val="22"/>
          <w:szCs w:val="22"/>
        </w:rPr>
        <w:t xml:space="preserve">Section </w:t>
      </w:r>
      <w:r w:rsidR="009230DF">
        <w:rPr>
          <w:rFonts w:ascii="Arial" w:hAnsi="Arial" w:cs="Arial"/>
          <w:sz w:val="22"/>
          <w:szCs w:val="22"/>
        </w:rPr>
        <w:t>10 CFR 50.71(e)(3) requires a revision of the original FSAR containing those original pages that are still applicable plus new replacement pages to be filed with 24 months of either July 22, 1980, or the date of issuance of the operating license, whichever is later, and shall bring the FSAR up to date as of a maximum of 6 months prior to the date of filing the revision.</w:t>
      </w:r>
    </w:p>
    <w:p w14:paraId="7864533C" w14:textId="77777777" w:rsidR="009230DF" w:rsidRDefault="009230DF" w:rsidP="009230D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3BDA0EBF" w14:textId="6B2E7E51" w:rsidR="009230DF" w:rsidRDefault="00D21D20" w:rsidP="009230D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2"/>
          <w:szCs w:val="22"/>
        </w:rPr>
      </w:pPr>
      <w:r>
        <w:rPr>
          <w:rFonts w:ascii="Arial" w:hAnsi="Arial" w:cs="Arial"/>
          <w:sz w:val="22"/>
          <w:szCs w:val="22"/>
        </w:rPr>
        <w:t xml:space="preserve">Section </w:t>
      </w:r>
      <w:r w:rsidR="009230DF">
        <w:rPr>
          <w:rFonts w:ascii="Arial" w:hAnsi="Arial" w:cs="Arial"/>
          <w:sz w:val="22"/>
          <w:szCs w:val="22"/>
        </w:rPr>
        <w:t xml:space="preserve">10 CFR 50.71(e)(4) requires the filing of revisions annually or 6 months after each refueling outage provided the interval between successive updates to the FSAR does not exceed 24 months.  The revisions must reflect all changes up to a maximum of 6 months prior to the date of filing.  For nuclear power reactor facilities that have submitted 10 CFR 50.82(a)(1) certifications, subsequent revisions must be filed every 24 months.  </w:t>
      </w:r>
    </w:p>
    <w:p w14:paraId="35966E8A" w14:textId="77777777" w:rsidR="00DA4871" w:rsidRDefault="00DA4871" w:rsidP="009230D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2"/>
          <w:szCs w:val="22"/>
        </w:rPr>
      </w:pPr>
    </w:p>
    <w:p w14:paraId="2194CF79" w14:textId="77777777" w:rsidR="00DA4871" w:rsidRDefault="00DA4871" w:rsidP="00DA487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2"/>
          <w:szCs w:val="22"/>
        </w:rPr>
      </w:pPr>
      <w:r>
        <w:rPr>
          <w:rFonts w:ascii="Arial" w:hAnsi="Arial" w:cs="Arial"/>
          <w:sz w:val="22"/>
          <w:szCs w:val="22"/>
        </w:rPr>
        <w:t>Section 10 CFR 50.71(e)(5) requires each replacement page to include both a change indicator for the area changed, e.g., a bold line vertically drawn in the margin adjacent to the portion actually changed, and a page change identification (date of change or change number or both).</w:t>
      </w:r>
    </w:p>
    <w:p w14:paraId="64E80F19" w14:textId="77777777" w:rsidR="00DA4871" w:rsidRDefault="00DA4871" w:rsidP="00DA487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2"/>
          <w:szCs w:val="22"/>
        </w:rPr>
      </w:pPr>
    </w:p>
    <w:p w14:paraId="3598307D" w14:textId="77777777" w:rsidR="00DA4871" w:rsidRDefault="00DA4871" w:rsidP="00DA487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2"/>
          <w:szCs w:val="22"/>
        </w:rPr>
      </w:pPr>
      <w:r>
        <w:rPr>
          <w:rFonts w:ascii="Arial" w:hAnsi="Arial" w:cs="Arial"/>
          <w:sz w:val="22"/>
          <w:szCs w:val="22"/>
        </w:rPr>
        <w:t>Section 10 CFR 50.71(e)(6) requires licensees to retain the updated FSAR until termination of the license.</w:t>
      </w:r>
    </w:p>
    <w:p w14:paraId="671B68EA" w14:textId="77777777" w:rsidR="00DA4871" w:rsidRDefault="00DA4871" w:rsidP="009230D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2"/>
          <w:szCs w:val="22"/>
        </w:rPr>
      </w:pPr>
    </w:p>
    <w:p w14:paraId="3774893B" w14:textId="77777777" w:rsidR="009230DF" w:rsidRDefault="009230DF" w:rsidP="009230D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1D68CC1A" w14:textId="24C897A8" w:rsidR="009230DF" w:rsidRPr="00EB2774" w:rsidRDefault="00D21D20" w:rsidP="009230D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2"/>
          <w:szCs w:val="22"/>
        </w:rPr>
      </w:pPr>
      <w:r w:rsidRPr="00D21D20">
        <w:rPr>
          <w:rFonts w:ascii="Arial" w:hAnsi="Arial" w:cs="Arial"/>
          <w:sz w:val="22"/>
          <w:szCs w:val="22"/>
        </w:rPr>
        <w:t xml:space="preserve">Section </w:t>
      </w:r>
      <w:r w:rsidR="009230DF" w:rsidRPr="00D21D20">
        <w:rPr>
          <w:rFonts w:ascii="Arial" w:hAnsi="Arial" w:cs="Arial"/>
          <w:sz w:val="22"/>
          <w:szCs w:val="22"/>
        </w:rPr>
        <w:t xml:space="preserve">10 </w:t>
      </w:r>
      <w:r w:rsidRPr="00D21D20">
        <w:rPr>
          <w:rFonts w:ascii="Arial" w:hAnsi="Arial" w:cs="Arial"/>
          <w:sz w:val="22"/>
          <w:szCs w:val="22"/>
        </w:rPr>
        <w:t>CFR</w:t>
      </w:r>
      <w:r w:rsidR="009230DF" w:rsidRPr="00D21D20">
        <w:rPr>
          <w:rFonts w:ascii="Arial" w:hAnsi="Arial" w:cs="Arial"/>
          <w:sz w:val="22"/>
          <w:szCs w:val="22"/>
        </w:rPr>
        <w:t xml:space="preserve"> 50.54(z)</w:t>
      </w:r>
      <w:r w:rsidR="009230DF" w:rsidRPr="00EB2774">
        <w:rPr>
          <w:rFonts w:ascii="Arial" w:hAnsi="Arial" w:cs="Arial"/>
          <w:sz w:val="22"/>
          <w:szCs w:val="22"/>
        </w:rPr>
        <w:t xml:space="preserve"> makes it a license condition that each licensee licensed under Sections 103 or 104b of the Atomic Energy Act shall make the notifications specified in 10 CFR 50.72.</w:t>
      </w:r>
    </w:p>
    <w:p w14:paraId="586AB18C" w14:textId="77777777" w:rsidR="009230DF" w:rsidRPr="00EB2774" w:rsidRDefault="009230DF" w:rsidP="009230D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102A393B" w14:textId="3E6EDAAD" w:rsidR="009230DF" w:rsidRDefault="00D21D20" w:rsidP="009230D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2"/>
          <w:szCs w:val="22"/>
        </w:rPr>
      </w:pPr>
      <w:r>
        <w:rPr>
          <w:rFonts w:ascii="Arial" w:hAnsi="Arial" w:cs="Arial"/>
          <w:sz w:val="22"/>
          <w:szCs w:val="22"/>
        </w:rPr>
        <w:t xml:space="preserve">Section </w:t>
      </w:r>
      <w:r w:rsidR="009230DF" w:rsidRPr="00D21D20">
        <w:rPr>
          <w:rFonts w:ascii="Arial" w:hAnsi="Arial" w:cs="Arial"/>
          <w:sz w:val="22"/>
          <w:szCs w:val="22"/>
        </w:rPr>
        <w:t>10 CFR 50.72(a)(1)</w:t>
      </w:r>
      <w:r w:rsidR="009230DF" w:rsidRPr="00EB2774">
        <w:rPr>
          <w:rFonts w:ascii="Arial" w:hAnsi="Arial" w:cs="Arial"/>
          <w:sz w:val="22"/>
          <w:szCs w:val="22"/>
        </w:rPr>
        <w:t xml:space="preserve"> and </w:t>
      </w:r>
      <w:r w:rsidR="009230DF" w:rsidRPr="00D21D20">
        <w:rPr>
          <w:rFonts w:ascii="Arial" w:hAnsi="Arial" w:cs="Arial"/>
          <w:sz w:val="22"/>
          <w:szCs w:val="22"/>
        </w:rPr>
        <w:t>10 CFR 50.72(a)(2)</w:t>
      </w:r>
      <w:r w:rsidR="009230DF" w:rsidRPr="00EB2774">
        <w:rPr>
          <w:rFonts w:ascii="Arial" w:hAnsi="Arial" w:cs="Arial"/>
          <w:sz w:val="22"/>
          <w:szCs w:val="22"/>
        </w:rPr>
        <w:t xml:space="preserve"> require that each power reactor licensee notify the NRC of specified events via the Emergency Notification System (ENS).  If the ENS is inoperable, the licensee shall make the notifications via commercial telephone or other means.  Many of these events are also subject to follow-up written reports as required by 10 CFR 50.73.  These written follow-up reports are covered by a separate </w:t>
      </w:r>
      <w:r w:rsidR="009230DF" w:rsidRPr="00EB2774">
        <w:rPr>
          <w:rFonts w:ascii="Arial" w:hAnsi="Arial" w:cs="Arial"/>
          <w:color w:val="000000"/>
          <w:sz w:val="22"/>
          <w:szCs w:val="22"/>
        </w:rPr>
        <w:t>Office of Management and Budget</w:t>
      </w:r>
      <w:r w:rsidR="009230DF" w:rsidRPr="00EB2774">
        <w:rPr>
          <w:rFonts w:ascii="Arial" w:hAnsi="Arial" w:cs="Arial"/>
          <w:sz w:val="22"/>
          <w:szCs w:val="22"/>
        </w:rPr>
        <w:t xml:space="preserve"> clearance, 3150-0104.</w:t>
      </w:r>
    </w:p>
    <w:p w14:paraId="16DB7130" w14:textId="77777777" w:rsidR="00DA4871" w:rsidRDefault="00DA4871" w:rsidP="009230D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2"/>
          <w:szCs w:val="22"/>
        </w:rPr>
      </w:pPr>
    </w:p>
    <w:p w14:paraId="2D52F4A3" w14:textId="77777777" w:rsidR="00DA4871" w:rsidRDefault="00DA4871" w:rsidP="00DA4871">
      <w:pPr>
        <w:widowControl w:val="0"/>
        <w:ind w:left="720"/>
        <w:rPr>
          <w:rFonts w:ascii="Arial" w:hAnsi="Arial" w:cs="Arial"/>
          <w:sz w:val="22"/>
          <w:szCs w:val="22"/>
        </w:rPr>
      </w:pPr>
      <w:r>
        <w:rPr>
          <w:rFonts w:ascii="Arial" w:hAnsi="Arial"/>
          <w:sz w:val="22"/>
        </w:rPr>
        <w:t xml:space="preserve">Section </w:t>
      </w:r>
      <w:r w:rsidRPr="00FC4CCA">
        <w:rPr>
          <w:rFonts w:ascii="Arial" w:hAnsi="Arial"/>
          <w:sz w:val="22"/>
        </w:rPr>
        <w:t>10 CFR 50.72(a)(ii)(4)</w:t>
      </w:r>
      <w:r>
        <w:rPr>
          <w:rFonts w:ascii="Arial" w:hAnsi="Arial"/>
          <w:sz w:val="22"/>
        </w:rPr>
        <w:t xml:space="preserve"> requires the licensee to activate the ERDS as soon as possible but not later than one hour after declaring an emergency class of alert, site area emergency, or general emergency.</w:t>
      </w:r>
      <w:r w:rsidRPr="003E52A8">
        <w:rPr>
          <w:rFonts w:ascii="Arial" w:hAnsi="Arial" w:cs="Arial"/>
          <w:sz w:val="22"/>
          <w:szCs w:val="22"/>
        </w:rPr>
        <w:t xml:space="preserve"> </w:t>
      </w:r>
    </w:p>
    <w:p w14:paraId="3EE23917" w14:textId="77777777" w:rsidR="009230DF" w:rsidRPr="00EB2774" w:rsidRDefault="009230DF" w:rsidP="009230D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07B50B17" w14:textId="250BCD15" w:rsidR="009230DF" w:rsidRPr="00EB2774" w:rsidRDefault="00FC4CCA" w:rsidP="009230D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2"/>
          <w:szCs w:val="22"/>
        </w:rPr>
      </w:pPr>
      <w:r>
        <w:rPr>
          <w:rFonts w:ascii="Arial" w:hAnsi="Arial" w:cs="Arial"/>
          <w:sz w:val="22"/>
          <w:szCs w:val="22"/>
        </w:rPr>
        <w:t xml:space="preserve">Section </w:t>
      </w:r>
      <w:r w:rsidR="009230DF" w:rsidRPr="00FC4CCA">
        <w:rPr>
          <w:rFonts w:ascii="Arial" w:hAnsi="Arial" w:cs="Arial"/>
          <w:sz w:val="22"/>
          <w:szCs w:val="22"/>
        </w:rPr>
        <w:t>10 CFR 50.72(a)(3)</w:t>
      </w:r>
      <w:r w:rsidR="009230DF" w:rsidRPr="00EB2774">
        <w:rPr>
          <w:rFonts w:ascii="Arial" w:hAnsi="Arial" w:cs="Arial"/>
          <w:sz w:val="22"/>
          <w:szCs w:val="22"/>
        </w:rPr>
        <w:t xml:space="preserve"> specifies notification immediately after notification of State and local authorities and not later than one hour after the licensee declares one of the Emergency Classes.  Activation of the ERDS, as required by 10 CFR 50.72(a)(4), is covered in Section </w:t>
      </w:r>
      <w:r>
        <w:rPr>
          <w:rFonts w:ascii="Arial" w:hAnsi="Arial" w:cs="Arial"/>
          <w:sz w:val="22"/>
          <w:szCs w:val="22"/>
        </w:rPr>
        <w:t>4</w:t>
      </w:r>
      <w:r w:rsidR="009230DF" w:rsidRPr="00EB2774">
        <w:rPr>
          <w:rFonts w:ascii="Arial" w:hAnsi="Arial" w:cs="Arial"/>
          <w:sz w:val="22"/>
          <w:szCs w:val="22"/>
        </w:rPr>
        <w:t xml:space="preserve"> of this clearance.</w:t>
      </w:r>
    </w:p>
    <w:p w14:paraId="47771BC4" w14:textId="77777777" w:rsidR="009230DF" w:rsidRPr="00EB2774" w:rsidRDefault="009230DF" w:rsidP="009230D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2"/>
          <w:szCs w:val="22"/>
        </w:rPr>
      </w:pPr>
    </w:p>
    <w:p w14:paraId="3F7100B3" w14:textId="50C758EC" w:rsidR="009230DF" w:rsidRPr="00EB2774" w:rsidRDefault="00FC4CCA" w:rsidP="009230D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2"/>
          <w:szCs w:val="22"/>
        </w:rPr>
      </w:pPr>
      <w:r>
        <w:rPr>
          <w:rFonts w:ascii="Arial" w:hAnsi="Arial" w:cs="Arial"/>
          <w:sz w:val="22"/>
          <w:szCs w:val="22"/>
        </w:rPr>
        <w:t xml:space="preserve">Section </w:t>
      </w:r>
      <w:r w:rsidR="009230DF" w:rsidRPr="00FC4CCA">
        <w:rPr>
          <w:rFonts w:ascii="Arial" w:hAnsi="Arial" w:cs="Arial"/>
          <w:sz w:val="22"/>
          <w:szCs w:val="22"/>
        </w:rPr>
        <w:t>10 CFR 50.72(b)(1</w:t>
      </w:r>
      <w:r w:rsidR="009230DF" w:rsidRPr="00EB2774">
        <w:rPr>
          <w:rFonts w:ascii="Arial" w:hAnsi="Arial" w:cs="Arial"/>
          <w:sz w:val="22"/>
          <w:szCs w:val="22"/>
          <w:u w:val="single"/>
        </w:rPr>
        <w:t>)</w:t>
      </w:r>
      <w:r w:rsidR="009230DF" w:rsidRPr="00EB2774">
        <w:rPr>
          <w:rFonts w:ascii="Arial" w:hAnsi="Arial" w:cs="Arial"/>
          <w:sz w:val="22"/>
          <w:szCs w:val="22"/>
        </w:rPr>
        <w:t xml:space="preserve"> requires notification as soon as practical and in all cases within one hour of the occurrence of any deviation from the plant</w:t>
      </w:r>
      <w:r w:rsidR="009230DF">
        <w:rPr>
          <w:rFonts w:ascii="Arial" w:hAnsi="Arial" w:cs="Arial"/>
          <w:sz w:val="22"/>
          <w:szCs w:val="22"/>
        </w:rPr>
        <w:t>’</w:t>
      </w:r>
      <w:r w:rsidR="009230DF" w:rsidRPr="00EB2774">
        <w:rPr>
          <w:rFonts w:ascii="Arial" w:hAnsi="Arial" w:cs="Arial"/>
          <w:sz w:val="22"/>
          <w:szCs w:val="22"/>
        </w:rPr>
        <w:t>s Technical Specifications (TS) authorized pursuant to 10 CFR 50.54(x).</w:t>
      </w:r>
    </w:p>
    <w:p w14:paraId="6D34AC57" w14:textId="77777777" w:rsidR="009230DF" w:rsidRPr="00EB2774" w:rsidRDefault="009230DF" w:rsidP="009230D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2"/>
          <w:szCs w:val="22"/>
        </w:rPr>
      </w:pPr>
    </w:p>
    <w:p w14:paraId="18C4733A" w14:textId="0AAB3BB7" w:rsidR="009230DF" w:rsidRPr="00EB2774" w:rsidRDefault="00FC4CCA" w:rsidP="009230D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2"/>
          <w:szCs w:val="22"/>
        </w:rPr>
      </w:pPr>
      <w:r>
        <w:rPr>
          <w:rFonts w:ascii="Arial" w:hAnsi="Arial" w:cs="Arial"/>
          <w:sz w:val="22"/>
          <w:szCs w:val="22"/>
        </w:rPr>
        <w:t xml:space="preserve">Section </w:t>
      </w:r>
      <w:r w:rsidR="009230DF" w:rsidRPr="00FC4CCA">
        <w:rPr>
          <w:rFonts w:ascii="Arial" w:hAnsi="Arial" w:cs="Arial"/>
          <w:sz w:val="22"/>
          <w:szCs w:val="22"/>
        </w:rPr>
        <w:t>10 CFR 50.72(b)(2)</w:t>
      </w:r>
      <w:r w:rsidR="009230DF" w:rsidRPr="00EB2774">
        <w:rPr>
          <w:rFonts w:ascii="Arial" w:hAnsi="Arial" w:cs="Arial"/>
          <w:sz w:val="22"/>
          <w:szCs w:val="22"/>
        </w:rPr>
        <w:t xml:space="preserve"> requires notification as soon as practical and in all cases within 4 hours of events such as plant shutdown required by TS, an event that results or should have resulted in an emergency core cooling system discharge into the reactor coolant, an event that results in actuation of the reactor protection system, or any event or situation related to the health and safety of the public or protection of the environment for which a news release is planned. </w:t>
      </w:r>
    </w:p>
    <w:p w14:paraId="43854805" w14:textId="77777777" w:rsidR="009230DF" w:rsidRPr="00EB2774" w:rsidRDefault="009230DF" w:rsidP="009230D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2"/>
          <w:szCs w:val="22"/>
        </w:rPr>
      </w:pPr>
    </w:p>
    <w:p w14:paraId="6B28BA63" w14:textId="661E971F" w:rsidR="009230DF" w:rsidRDefault="00FC4CCA" w:rsidP="009230D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2"/>
          <w:szCs w:val="22"/>
        </w:rPr>
      </w:pPr>
      <w:r>
        <w:rPr>
          <w:rFonts w:ascii="Arial" w:hAnsi="Arial" w:cs="Arial"/>
          <w:sz w:val="22"/>
          <w:szCs w:val="22"/>
        </w:rPr>
        <w:t xml:space="preserve">Section </w:t>
      </w:r>
      <w:r w:rsidR="009230DF" w:rsidRPr="00FC4CCA">
        <w:rPr>
          <w:rFonts w:ascii="Arial" w:hAnsi="Arial" w:cs="Arial"/>
          <w:sz w:val="22"/>
          <w:szCs w:val="22"/>
        </w:rPr>
        <w:t>10 CFR 50.72(b)(3)</w:t>
      </w:r>
      <w:r w:rsidR="009230DF" w:rsidRPr="00EB2774">
        <w:rPr>
          <w:rFonts w:ascii="Arial" w:hAnsi="Arial" w:cs="Arial"/>
          <w:sz w:val="22"/>
          <w:szCs w:val="22"/>
        </w:rPr>
        <w:t xml:space="preserve"> requires notification as soon as practical and in all cases within 8 hours of events such as (1) an event or condition that results in the nuclear power plant or any of its principal barriers being seriously degraded or the nuclear plant being in an unanalyzed condition that degrades plant safety; (2) events or conditions that result in valid actuation of specified safety systems; (3) events or conditions that could have prevented fulfillment of the safety condition of structures and systems needed to shut down and maintain the reactor in a safe condition, remove residual heat, control the release of radioactive material, and mitigate the consequences of an accident; (4) hospitalization of contaminated personnel; and (5) any event that results in a major loss of communications or emergency assessment capability.</w:t>
      </w:r>
    </w:p>
    <w:p w14:paraId="14834840" w14:textId="77777777" w:rsidR="009230DF" w:rsidRDefault="009230DF" w:rsidP="009230D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2"/>
          <w:szCs w:val="22"/>
        </w:rPr>
      </w:pPr>
    </w:p>
    <w:p w14:paraId="0B778277" w14:textId="3E987094" w:rsidR="009230DF" w:rsidRDefault="00FC4CCA" w:rsidP="009230D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2"/>
          <w:szCs w:val="22"/>
        </w:rPr>
      </w:pPr>
      <w:r>
        <w:rPr>
          <w:rFonts w:ascii="Arial" w:hAnsi="Arial" w:cs="Arial"/>
          <w:sz w:val="22"/>
          <w:szCs w:val="22"/>
        </w:rPr>
        <w:t xml:space="preserve">Section </w:t>
      </w:r>
      <w:r w:rsidR="009230DF" w:rsidRPr="00FC4CCA">
        <w:rPr>
          <w:rFonts w:ascii="Arial" w:hAnsi="Arial" w:cs="Arial"/>
          <w:sz w:val="22"/>
          <w:szCs w:val="22"/>
        </w:rPr>
        <w:t>10 CFR 50.72(c)</w:t>
      </w:r>
      <w:r w:rsidR="009230DF" w:rsidRPr="00EB2774">
        <w:rPr>
          <w:rFonts w:ascii="Arial" w:hAnsi="Arial" w:cs="Arial"/>
          <w:sz w:val="22"/>
          <w:szCs w:val="22"/>
        </w:rPr>
        <w:t xml:space="preserve"> requires that during the course of the event, the licensee shall: (1) immediately report any further degradation, any change of Emergency Class, (2) the results of ensuing evaluations, the effectiveness of response or protective measures, or plant behavior that is not understood; and (3) maintain an open, continuous communication channel with the NRC Operations Center upon request by the NRC.</w:t>
      </w:r>
    </w:p>
    <w:p w14:paraId="021A1B9C" w14:textId="77777777" w:rsidR="00DA4871" w:rsidRDefault="00DA4871" w:rsidP="009230D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2"/>
          <w:szCs w:val="22"/>
        </w:rPr>
      </w:pPr>
    </w:p>
    <w:p w14:paraId="3EA1DDAE" w14:textId="5E9A7939" w:rsidR="00DA4871" w:rsidRDefault="00DA4871" w:rsidP="009230D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2"/>
          <w:szCs w:val="22"/>
        </w:rPr>
      </w:pPr>
      <w:r>
        <w:rPr>
          <w:rFonts w:ascii="Arial" w:hAnsi="Arial" w:cs="Arial"/>
          <w:sz w:val="22"/>
          <w:szCs w:val="22"/>
        </w:rPr>
        <w:t>Section 50.76 requires that a</w:t>
      </w:r>
      <w:r w:rsidRPr="00DA4871">
        <w:rPr>
          <w:rFonts w:ascii="Arial" w:hAnsi="Arial" w:cs="Arial"/>
          <w:sz w:val="22"/>
          <w:szCs w:val="22"/>
        </w:rPr>
        <w:t>n electric utility licensee holding an operating license (including a renewed licen</w:t>
      </w:r>
      <w:r>
        <w:rPr>
          <w:rFonts w:ascii="Arial" w:hAnsi="Arial" w:cs="Arial"/>
          <w:sz w:val="22"/>
          <w:szCs w:val="22"/>
        </w:rPr>
        <w:t>se) for a nuclear power reactor</w:t>
      </w:r>
      <w:r w:rsidRPr="00DA4871">
        <w:rPr>
          <w:rFonts w:ascii="Arial" w:hAnsi="Arial" w:cs="Arial"/>
          <w:sz w:val="22"/>
          <w:szCs w:val="22"/>
        </w:rPr>
        <w:t xml:space="preserve"> shall provide the NRC with the financial qualifications information that would be required for obtaining an initial operating license as specified in § 50.33(f)(2)</w:t>
      </w:r>
      <w:r>
        <w:rPr>
          <w:rFonts w:ascii="Arial" w:hAnsi="Arial" w:cs="Arial"/>
          <w:sz w:val="22"/>
          <w:szCs w:val="22"/>
        </w:rPr>
        <w:t xml:space="preserve"> within 75 </w:t>
      </w:r>
      <w:r w:rsidRPr="00DA4871">
        <w:rPr>
          <w:rFonts w:ascii="Arial" w:hAnsi="Arial" w:cs="Arial"/>
          <w:sz w:val="22"/>
          <w:szCs w:val="22"/>
        </w:rPr>
        <w:t>days prior to ceasing to be an electric utility in any manner not involving a license transfer under § 50.80. The financial qualifications information must address the first full five years of operation after the date the licensee ceases to be an electric utility.</w:t>
      </w:r>
    </w:p>
    <w:p w14:paraId="4B30B702" w14:textId="77777777" w:rsidR="008A46EC" w:rsidRDefault="008A46EC" w:rsidP="009230D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2"/>
          <w:szCs w:val="22"/>
        </w:rPr>
      </w:pPr>
    </w:p>
    <w:p w14:paraId="6E5AAD27" w14:textId="77777777" w:rsidR="008A46EC" w:rsidRPr="00EB2774" w:rsidRDefault="008A46EC" w:rsidP="009B0D52">
      <w:pPr>
        <w:keepNext/>
        <w:keepLines/>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2"/>
          <w:szCs w:val="22"/>
        </w:rPr>
      </w:pPr>
      <w:r w:rsidRPr="00EB2774">
        <w:rPr>
          <w:rFonts w:ascii="Arial" w:hAnsi="Arial" w:cs="Arial"/>
          <w:sz w:val="22"/>
          <w:szCs w:val="22"/>
          <w:u w:val="single"/>
        </w:rPr>
        <w:t>10 CFR Part 50, Appendix E, Paragraph E.9.d.</w:t>
      </w:r>
      <w:r w:rsidRPr="00EB2774">
        <w:rPr>
          <w:rFonts w:ascii="Arial" w:hAnsi="Arial" w:cs="Arial"/>
          <w:sz w:val="22"/>
          <w:szCs w:val="22"/>
        </w:rPr>
        <w:t>, requires each licensee to perform monthly testing from the control room, the technical support center and the emergency operations facility.  Additionally, the ENS system is exercised each morning, usually between the hours of 0400 and 0800 Eastern Time, by the Headquarters Operations Officer's (HOOs) placement of a call to each licensed facility to collect voluntary reactor status and grid information.</w:t>
      </w:r>
    </w:p>
    <w:p w14:paraId="26E9B1E7" w14:textId="77777777" w:rsidR="008A46EC" w:rsidRDefault="008A46EC" w:rsidP="009230D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2"/>
          <w:szCs w:val="22"/>
        </w:rPr>
      </w:pPr>
    </w:p>
    <w:p w14:paraId="137A475C" w14:textId="77777777" w:rsidR="00AC2D36" w:rsidRDefault="00AC2D36" w:rsidP="009B0D52">
      <w:pPr>
        <w:widowControl w:val="0"/>
        <w:ind w:left="720"/>
        <w:rPr>
          <w:rFonts w:ascii="Arial" w:hAnsi="Arial"/>
          <w:sz w:val="22"/>
        </w:rPr>
      </w:pPr>
      <w:r>
        <w:rPr>
          <w:rFonts w:ascii="Arial" w:hAnsi="Arial"/>
          <w:sz w:val="22"/>
          <w:u w:val="single"/>
        </w:rPr>
        <w:t>10 CFR 50 Appendix E.VI, Emergency Planning and Preparedness for Production and Utilization Facilities</w:t>
      </w:r>
    </w:p>
    <w:p w14:paraId="5510511D" w14:textId="77777777" w:rsidR="00AC2D36" w:rsidRDefault="00AC2D36" w:rsidP="009B0D52">
      <w:pPr>
        <w:widowControl w:val="0"/>
        <w:ind w:left="720"/>
        <w:rPr>
          <w:rFonts w:ascii="Arial" w:hAnsi="Arial"/>
          <w:sz w:val="22"/>
        </w:rPr>
      </w:pPr>
    </w:p>
    <w:p w14:paraId="6E04A451" w14:textId="77777777" w:rsidR="00AC2D36" w:rsidRDefault="00AC2D36" w:rsidP="009B0D52">
      <w:pPr>
        <w:widowControl w:val="0"/>
        <w:ind w:left="720"/>
        <w:rPr>
          <w:rFonts w:ascii="Arial" w:hAnsi="Arial"/>
          <w:sz w:val="22"/>
        </w:rPr>
      </w:pPr>
      <w:r>
        <w:rPr>
          <w:rFonts w:ascii="Arial" w:hAnsi="Arial"/>
          <w:sz w:val="22"/>
          <w:u w:val="single"/>
        </w:rPr>
        <w:t>10 CFR 50 Appendix E.VI.1</w:t>
      </w:r>
      <w:r>
        <w:rPr>
          <w:rFonts w:ascii="Arial" w:hAnsi="Arial"/>
          <w:sz w:val="22"/>
        </w:rPr>
        <w:t xml:space="preserve"> requires that licensees test the ERDS periodically to verify system availability and operability.  The frequency of ERDS testing is quarterly unless otherwise set by NRC based on demonstrated system performance.</w:t>
      </w:r>
    </w:p>
    <w:p w14:paraId="4320AF03" w14:textId="77777777" w:rsidR="00AC2D36" w:rsidRDefault="00AC2D36" w:rsidP="009B0D52">
      <w:pPr>
        <w:widowControl w:val="0"/>
        <w:ind w:left="720"/>
        <w:rPr>
          <w:rFonts w:ascii="Arial" w:hAnsi="Arial"/>
          <w:sz w:val="22"/>
        </w:rPr>
      </w:pPr>
    </w:p>
    <w:p w14:paraId="57E6DC08" w14:textId="77777777" w:rsidR="00AC2D36" w:rsidRDefault="00AC2D36" w:rsidP="009B0D52">
      <w:pPr>
        <w:widowControl w:val="0"/>
        <w:ind w:left="720"/>
        <w:rPr>
          <w:rFonts w:ascii="Arial" w:hAnsi="Arial"/>
          <w:sz w:val="22"/>
        </w:rPr>
      </w:pPr>
      <w:r>
        <w:rPr>
          <w:rFonts w:ascii="Arial" w:hAnsi="Arial"/>
          <w:sz w:val="22"/>
          <w:u w:val="single"/>
        </w:rPr>
        <w:t>10 CFR 50 Appendix E.VI.2.a</w:t>
      </w:r>
      <w:r>
        <w:rPr>
          <w:rFonts w:ascii="Arial" w:hAnsi="Arial"/>
          <w:sz w:val="22"/>
        </w:rPr>
        <w:t xml:space="preserve"> requires that computer systems transmit in-plant data points for pressurized water reactors or boiling water reactors if the data points are resident in the in-plant computer.</w:t>
      </w:r>
    </w:p>
    <w:p w14:paraId="4E9405DB" w14:textId="77777777" w:rsidR="00AC2D36" w:rsidRDefault="00AC2D36" w:rsidP="009B0D52">
      <w:pPr>
        <w:widowControl w:val="0"/>
        <w:ind w:left="720"/>
        <w:rPr>
          <w:rFonts w:ascii="Arial" w:hAnsi="Arial"/>
          <w:sz w:val="22"/>
        </w:rPr>
      </w:pPr>
    </w:p>
    <w:p w14:paraId="1FB1926E" w14:textId="77777777" w:rsidR="00AC2D36" w:rsidRDefault="00AC2D36" w:rsidP="009B0D52">
      <w:pPr>
        <w:widowControl w:val="0"/>
        <w:ind w:left="720"/>
        <w:rPr>
          <w:rFonts w:ascii="Arial" w:hAnsi="Arial"/>
          <w:sz w:val="22"/>
        </w:rPr>
      </w:pPr>
      <w:r>
        <w:rPr>
          <w:rFonts w:ascii="Arial" w:hAnsi="Arial"/>
          <w:sz w:val="22"/>
          <w:u w:val="single"/>
        </w:rPr>
        <w:t>10 CFR 50 Appendix E.VI.2.b</w:t>
      </w:r>
      <w:r>
        <w:rPr>
          <w:rFonts w:ascii="Arial" w:hAnsi="Arial"/>
          <w:sz w:val="22"/>
        </w:rPr>
        <w:t xml:space="preserve"> requires the selected parameter sets of data to be transmitted at time intervals of not less than 15 seconds or more than 60 seconds.</w:t>
      </w:r>
    </w:p>
    <w:p w14:paraId="7A4B40B4" w14:textId="77777777" w:rsidR="00AC2D36" w:rsidRDefault="00AC2D36" w:rsidP="009B0D52">
      <w:pPr>
        <w:widowControl w:val="0"/>
        <w:ind w:left="720"/>
        <w:rPr>
          <w:rFonts w:ascii="Arial" w:hAnsi="Arial"/>
          <w:sz w:val="22"/>
        </w:rPr>
      </w:pPr>
    </w:p>
    <w:p w14:paraId="33FE22D1" w14:textId="77777777" w:rsidR="00AC2D36" w:rsidRDefault="00AC2D36" w:rsidP="009B0D52">
      <w:pPr>
        <w:widowControl w:val="0"/>
        <w:ind w:left="720"/>
        <w:rPr>
          <w:rFonts w:ascii="Arial" w:hAnsi="Arial"/>
          <w:sz w:val="22"/>
        </w:rPr>
      </w:pPr>
      <w:r>
        <w:rPr>
          <w:rFonts w:ascii="Arial" w:hAnsi="Arial"/>
          <w:sz w:val="22"/>
          <w:u w:val="single"/>
        </w:rPr>
        <w:t>10 CFR 50 Appendix E.VI.2.c</w:t>
      </w:r>
      <w:r>
        <w:rPr>
          <w:rFonts w:ascii="Arial" w:hAnsi="Arial"/>
          <w:sz w:val="22"/>
        </w:rPr>
        <w:t xml:space="preserve"> requires all link control and data transmission be established in a format compatible with the NRC receiving system.</w:t>
      </w:r>
    </w:p>
    <w:p w14:paraId="378A7548" w14:textId="77777777" w:rsidR="00AC2D36" w:rsidRDefault="00AC2D36" w:rsidP="009B0D52">
      <w:pPr>
        <w:widowControl w:val="0"/>
        <w:ind w:left="720"/>
        <w:rPr>
          <w:rFonts w:ascii="Arial" w:hAnsi="Arial"/>
          <w:sz w:val="22"/>
        </w:rPr>
      </w:pPr>
      <w:r>
        <w:rPr>
          <w:rFonts w:ascii="Arial" w:hAnsi="Arial"/>
          <w:sz w:val="22"/>
        </w:rPr>
        <w:t xml:space="preserve">                                             </w:t>
      </w:r>
    </w:p>
    <w:p w14:paraId="55C21E53" w14:textId="77777777" w:rsidR="00AC2D36" w:rsidRDefault="00AC2D36" w:rsidP="009B0D52">
      <w:pPr>
        <w:widowControl w:val="0"/>
        <w:ind w:left="720"/>
        <w:rPr>
          <w:rFonts w:ascii="Arial" w:hAnsi="Arial"/>
          <w:sz w:val="22"/>
        </w:rPr>
      </w:pPr>
      <w:r>
        <w:rPr>
          <w:rFonts w:ascii="Arial" w:hAnsi="Arial"/>
          <w:sz w:val="22"/>
          <w:u w:val="single"/>
        </w:rPr>
        <w:t>10 CFR 50 Appendix E.VI.3.a</w:t>
      </w:r>
      <w:r>
        <w:rPr>
          <w:rFonts w:ascii="Arial" w:hAnsi="Arial"/>
          <w:sz w:val="22"/>
        </w:rPr>
        <w:t xml:space="preserve"> requires that any hardware or software changes that affect the transmitted data points identified in the ERDS Data Point Library (site specific data base residing on the ERDS computer) must be reported to the NRC within 30 days after changes are completed.</w:t>
      </w:r>
    </w:p>
    <w:p w14:paraId="131247D2" w14:textId="77777777" w:rsidR="00AC2D36" w:rsidRDefault="00AC2D36" w:rsidP="009B0D52">
      <w:pPr>
        <w:widowControl w:val="0"/>
        <w:rPr>
          <w:rFonts w:ascii="Arial" w:hAnsi="Arial"/>
          <w:sz w:val="22"/>
        </w:rPr>
      </w:pPr>
    </w:p>
    <w:p w14:paraId="3F5A0BD2" w14:textId="77777777" w:rsidR="00AC2D36" w:rsidRDefault="00AC2D36" w:rsidP="009B0D52">
      <w:pPr>
        <w:widowControl w:val="0"/>
        <w:ind w:left="720"/>
        <w:rPr>
          <w:rFonts w:ascii="Arial" w:hAnsi="Arial"/>
          <w:sz w:val="22"/>
        </w:rPr>
      </w:pPr>
      <w:r>
        <w:rPr>
          <w:rFonts w:ascii="Arial" w:hAnsi="Arial"/>
          <w:sz w:val="22"/>
          <w:u w:val="single"/>
        </w:rPr>
        <w:t>10 CFR 50 Appendix E.VI.3.b</w:t>
      </w:r>
      <w:r>
        <w:rPr>
          <w:rFonts w:ascii="Arial" w:hAnsi="Arial"/>
          <w:sz w:val="22"/>
        </w:rPr>
        <w:t xml:space="preserve"> requires that NRC be notified as soon as practicable and at least 30 days prior to any changes to computer hardware or software, with the exception of data point modifications, that could affect the transmission format and the ERDS computer communication protocol.</w:t>
      </w:r>
    </w:p>
    <w:p w14:paraId="7C844A88" w14:textId="77777777" w:rsidR="00AC2D36" w:rsidRDefault="00AC2D36" w:rsidP="009B0D52">
      <w:pPr>
        <w:widowControl w:val="0"/>
        <w:ind w:left="720"/>
        <w:rPr>
          <w:rFonts w:ascii="Arial" w:hAnsi="Arial"/>
          <w:sz w:val="22"/>
        </w:rPr>
      </w:pPr>
    </w:p>
    <w:p w14:paraId="7A2C3C0A" w14:textId="77777777" w:rsidR="00AC2D36" w:rsidRDefault="00AC2D36" w:rsidP="009B0D52">
      <w:pPr>
        <w:widowControl w:val="0"/>
        <w:ind w:left="720"/>
        <w:rPr>
          <w:rFonts w:ascii="Arial" w:hAnsi="Arial"/>
          <w:sz w:val="22"/>
        </w:rPr>
      </w:pPr>
      <w:r>
        <w:rPr>
          <w:rFonts w:ascii="Arial" w:hAnsi="Arial"/>
          <w:sz w:val="22"/>
          <w:u w:val="single"/>
        </w:rPr>
        <w:t>10 CFR 50 Appendix E.VI.4.a</w:t>
      </w:r>
      <w:r>
        <w:rPr>
          <w:rFonts w:ascii="Arial" w:hAnsi="Arial"/>
          <w:sz w:val="22"/>
        </w:rPr>
        <w:t xml:space="preserve"> required the licensees to develop and submit an ERDS implementation program plan to the NRC by October 28, 1991.</w:t>
      </w:r>
    </w:p>
    <w:p w14:paraId="4EC3C4DD" w14:textId="77777777" w:rsidR="004065E9" w:rsidRDefault="004065E9" w:rsidP="009B0D52">
      <w:pPr>
        <w:widowControl w:val="0"/>
        <w:ind w:left="720"/>
        <w:rPr>
          <w:rFonts w:ascii="Arial" w:hAnsi="Arial"/>
          <w:sz w:val="22"/>
        </w:rPr>
      </w:pPr>
    </w:p>
    <w:p w14:paraId="69DDCF35" w14:textId="77777777" w:rsidR="004065E9" w:rsidRPr="00960C69" w:rsidRDefault="004065E9" w:rsidP="004065E9">
      <w:pPr>
        <w:ind w:left="720"/>
        <w:rPr>
          <w:rFonts w:ascii="Arial" w:hAnsi="Arial"/>
          <w:sz w:val="22"/>
        </w:rPr>
      </w:pPr>
      <w:r w:rsidRPr="00960C69">
        <w:rPr>
          <w:rFonts w:ascii="Arial" w:hAnsi="Arial"/>
          <w:sz w:val="22"/>
        </w:rPr>
        <w:t>The Reactor Oversight Process (ROP) defines the inspection program for power reactors in</w:t>
      </w:r>
      <w:r>
        <w:rPr>
          <w:rFonts w:ascii="Arial" w:hAnsi="Arial"/>
          <w:sz w:val="22"/>
        </w:rPr>
        <w:t xml:space="preserve"> Inspection Manual Chapter </w:t>
      </w:r>
      <w:r w:rsidRPr="00960C69">
        <w:rPr>
          <w:rFonts w:ascii="Arial" w:hAnsi="Arial" w:cs="Arial"/>
          <w:sz w:val="22"/>
          <w:szCs w:val="22"/>
        </w:rPr>
        <w:t>2515</w:t>
      </w:r>
      <w:r w:rsidRPr="00960C69">
        <w:rPr>
          <w:rFonts w:ascii="Arial" w:hAnsi="Arial"/>
          <w:sz w:val="22"/>
        </w:rPr>
        <w:t>.  Within the ROP, three types of inspections require extensive planning and preparation due to their scope and depth.  In order to prevent inefficient use of licensee and NRC resources during these inspections certain relevant inspection information is need prior conducting on-site inspections.  The recordkeeping requirement for licensees to maintain this relevant inspection information is established in 10</w:t>
      </w:r>
      <w:r w:rsidRPr="00960C69">
        <w:rPr>
          <w:rFonts w:ascii="Arial" w:hAnsi="Arial" w:cs="Arial"/>
          <w:sz w:val="22"/>
          <w:szCs w:val="22"/>
        </w:rPr>
        <w:t> </w:t>
      </w:r>
      <w:r w:rsidRPr="00201C46">
        <w:rPr>
          <w:rFonts w:ascii="Arial" w:hAnsi="Arial" w:cs="Arial"/>
          <w:i/>
          <w:sz w:val="22"/>
          <w:szCs w:val="22"/>
        </w:rPr>
        <w:t>Code of Federal Regulations</w:t>
      </w:r>
      <w:r>
        <w:rPr>
          <w:rFonts w:ascii="Arial" w:hAnsi="Arial" w:cs="Arial"/>
          <w:sz w:val="22"/>
          <w:szCs w:val="22"/>
        </w:rPr>
        <w:t xml:space="preserve"> (</w:t>
      </w:r>
      <w:r w:rsidRPr="00960C69">
        <w:rPr>
          <w:rFonts w:ascii="Arial" w:hAnsi="Arial"/>
          <w:sz w:val="22"/>
        </w:rPr>
        <w:t>CFR</w:t>
      </w:r>
      <w:r>
        <w:rPr>
          <w:rFonts w:ascii="Arial" w:hAnsi="Arial"/>
          <w:sz w:val="22"/>
        </w:rPr>
        <w:t>)</w:t>
      </w:r>
      <w:r w:rsidRPr="00960C69">
        <w:rPr>
          <w:rFonts w:ascii="Arial" w:hAnsi="Arial" w:cs="Arial"/>
          <w:sz w:val="22"/>
          <w:szCs w:val="22"/>
        </w:rPr>
        <w:t> </w:t>
      </w:r>
      <w:r w:rsidRPr="00960C69">
        <w:rPr>
          <w:rFonts w:ascii="Arial" w:hAnsi="Arial"/>
          <w:sz w:val="22"/>
        </w:rPr>
        <w:t>50.71 and the burden is included in each relevant section of this clearance.  The three inspection procedures (IPs) are listed below along with a description of needed information.</w:t>
      </w:r>
    </w:p>
    <w:p w14:paraId="7D631578" w14:textId="77777777" w:rsidR="004065E9" w:rsidRPr="00960C69" w:rsidRDefault="004065E9" w:rsidP="004065E9">
      <w:pPr>
        <w:rPr>
          <w:rFonts w:ascii="Arial" w:hAnsi="Arial"/>
          <w:sz w:val="22"/>
        </w:rPr>
      </w:pPr>
    </w:p>
    <w:p w14:paraId="5D3B880A" w14:textId="77777777" w:rsidR="004065E9" w:rsidRDefault="004065E9" w:rsidP="009B0D52">
      <w:pPr>
        <w:ind w:left="1440"/>
        <w:rPr>
          <w:rFonts w:ascii="Arial" w:hAnsi="Arial"/>
          <w:sz w:val="22"/>
        </w:rPr>
      </w:pPr>
      <w:r w:rsidRPr="00E22E31">
        <w:rPr>
          <w:rFonts w:ascii="Arial" w:hAnsi="Arial"/>
          <w:sz w:val="22"/>
          <w:u w:val="single"/>
        </w:rPr>
        <w:t>IP 71111.05T Fire Protection (Triennial) and IP 71111.05XT Fire Protection – NPFA 805 (Triennial):</w:t>
      </w:r>
      <w:r>
        <w:rPr>
          <w:rFonts w:ascii="Arial" w:hAnsi="Arial"/>
          <w:sz w:val="22"/>
        </w:rPr>
        <w:t xml:space="preserve">  Fire Protection </w:t>
      </w:r>
      <w:r w:rsidRPr="00961027">
        <w:rPr>
          <w:rFonts w:ascii="Arial" w:hAnsi="Arial"/>
          <w:sz w:val="22"/>
        </w:rPr>
        <w:t>inspection is performed every three years</w:t>
      </w:r>
      <w:r>
        <w:rPr>
          <w:rFonts w:ascii="Arial" w:hAnsi="Arial"/>
          <w:sz w:val="22"/>
        </w:rPr>
        <w:t xml:space="preserve"> at all U.S. nuclear sites.  I</w:t>
      </w:r>
      <w:r w:rsidRPr="00961027">
        <w:rPr>
          <w:rFonts w:ascii="Arial" w:hAnsi="Arial"/>
          <w:sz w:val="22"/>
        </w:rPr>
        <w:t xml:space="preserve">nformation requested for this inspection includes copies of analyses, evaluations or documentation regarding the implementation and maintenance of the station fire protection program, including post-fire safe shutdown capability, fire protection compliance assessment documents, recent problems and corrective actions and risk-related documentation.  Also, documents requested include those implementing mitigating strategies and demonstrating the management of licensee commitments for the strategies.  There are two versions of this inspection </w:t>
      </w:r>
      <w:r>
        <w:rPr>
          <w:rFonts w:ascii="Arial" w:hAnsi="Arial"/>
          <w:sz w:val="22"/>
        </w:rPr>
        <w:t xml:space="preserve">(IP 71111.05T and IP 71111.05XT) </w:t>
      </w:r>
      <w:r w:rsidRPr="00961027">
        <w:rPr>
          <w:rFonts w:ascii="Arial" w:hAnsi="Arial"/>
          <w:sz w:val="22"/>
        </w:rPr>
        <w:t>depending on the fire protection licensing basis of the plant.  This information is needed to assess the licensee’s ability to safely shut</w:t>
      </w:r>
      <w:r>
        <w:rPr>
          <w:rFonts w:ascii="Arial" w:hAnsi="Arial"/>
          <w:sz w:val="22"/>
        </w:rPr>
        <w:t xml:space="preserve"> down the plant after a fire.</w:t>
      </w:r>
    </w:p>
    <w:p w14:paraId="4FDED3C1" w14:textId="77777777" w:rsidR="004065E9" w:rsidRPr="00960C69" w:rsidRDefault="004065E9" w:rsidP="009B0D52">
      <w:pPr>
        <w:ind w:left="1440"/>
        <w:rPr>
          <w:rFonts w:ascii="Arial" w:hAnsi="Arial"/>
          <w:sz w:val="22"/>
        </w:rPr>
      </w:pPr>
    </w:p>
    <w:p w14:paraId="326E7113" w14:textId="77777777" w:rsidR="004065E9" w:rsidRDefault="004065E9" w:rsidP="009B0D52">
      <w:pPr>
        <w:ind w:left="1440"/>
        <w:rPr>
          <w:rFonts w:ascii="Arial" w:hAnsi="Arial"/>
          <w:sz w:val="22"/>
          <w:szCs w:val="22"/>
        </w:rPr>
      </w:pPr>
      <w:r w:rsidRPr="00960C69">
        <w:rPr>
          <w:rFonts w:ascii="Arial" w:hAnsi="Arial"/>
          <w:sz w:val="22"/>
          <w:szCs w:val="22"/>
          <w:u w:val="single"/>
        </w:rPr>
        <w:t>IP</w:t>
      </w:r>
      <w:r w:rsidRPr="00960C69">
        <w:rPr>
          <w:rFonts w:ascii="Arial" w:hAnsi="Arial" w:cs="Arial"/>
          <w:i/>
          <w:sz w:val="22"/>
          <w:szCs w:val="22"/>
          <w:u w:val="single"/>
        </w:rPr>
        <w:t> </w:t>
      </w:r>
      <w:r>
        <w:rPr>
          <w:rFonts w:ascii="Arial" w:hAnsi="Arial"/>
          <w:sz w:val="22"/>
          <w:szCs w:val="22"/>
          <w:u w:val="single"/>
        </w:rPr>
        <w:t>71111.21M Design Bases Assurance Inspection (Team) and IP 71111.21N Design Bases Assurance Inspection (Program):</w:t>
      </w:r>
      <w:r>
        <w:rPr>
          <w:rFonts w:ascii="Arial" w:hAnsi="Arial"/>
          <w:sz w:val="22"/>
          <w:szCs w:val="22"/>
        </w:rPr>
        <w:t xml:space="preserve">  Design Bases Assurance (DBA) inspections are </w:t>
      </w:r>
      <w:r w:rsidRPr="00960C69">
        <w:rPr>
          <w:rFonts w:ascii="Arial" w:hAnsi="Arial"/>
          <w:sz w:val="22"/>
          <w:szCs w:val="22"/>
        </w:rPr>
        <w:t>performed every three years.  Information requested to prepare for this inspection includes a list of recent system performance problems</w:t>
      </w:r>
      <w:r>
        <w:rPr>
          <w:rFonts w:ascii="Arial" w:hAnsi="Arial"/>
          <w:sz w:val="22"/>
          <w:szCs w:val="22"/>
        </w:rPr>
        <w:t xml:space="preserve"> (includes recent corrective maintenance performed on safety-related equipment)</w:t>
      </w:r>
      <w:r w:rsidRPr="00960C69">
        <w:rPr>
          <w:rFonts w:ascii="Arial" w:hAnsi="Arial"/>
          <w:sz w:val="22"/>
          <w:szCs w:val="22"/>
        </w:rPr>
        <w:t>, corrective action</w:t>
      </w:r>
      <w:r>
        <w:rPr>
          <w:rFonts w:ascii="Arial" w:hAnsi="Arial"/>
          <w:sz w:val="22"/>
          <w:szCs w:val="22"/>
        </w:rPr>
        <w:t xml:space="preserve"> documents, </w:t>
      </w:r>
      <w:r w:rsidRPr="00960C69">
        <w:rPr>
          <w:rFonts w:ascii="Arial" w:hAnsi="Arial"/>
          <w:sz w:val="22"/>
          <w:szCs w:val="22"/>
        </w:rPr>
        <w:t xml:space="preserve">system modifications, and </w:t>
      </w:r>
      <w:r>
        <w:rPr>
          <w:rFonts w:ascii="Arial" w:hAnsi="Arial"/>
          <w:sz w:val="22"/>
          <w:szCs w:val="22"/>
        </w:rPr>
        <w:t xml:space="preserve">operability evaluations, self-assessments, </w:t>
      </w:r>
      <w:r w:rsidRPr="00960C69">
        <w:rPr>
          <w:rFonts w:ascii="Arial" w:hAnsi="Arial"/>
          <w:sz w:val="22"/>
          <w:szCs w:val="22"/>
        </w:rPr>
        <w:t xml:space="preserve">selected information related to </w:t>
      </w:r>
      <w:r w:rsidRPr="00960C69">
        <w:rPr>
          <w:rFonts w:ascii="Arial" w:hAnsi="Arial" w:cs="Arial"/>
          <w:sz w:val="22"/>
          <w:szCs w:val="22"/>
        </w:rPr>
        <w:t xml:space="preserve">component </w:t>
      </w:r>
      <w:r w:rsidRPr="00960C69">
        <w:rPr>
          <w:rFonts w:ascii="Arial" w:hAnsi="Arial"/>
          <w:sz w:val="22"/>
          <w:szCs w:val="22"/>
        </w:rPr>
        <w:t xml:space="preserve">design </w:t>
      </w:r>
      <w:r w:rsidRPr="00960C69">
        <w:rPr>
          <w:rFonts w:ascii="Arial" w:hAnsi="Arial" w:cs="Arial"/>
          <w:sz w:val="22"/>
          <w:szCs w:val="22"/>
        </w:rPr>
        <w:t>(design calculations, design basis)</w:t>
      </w:r>
      <w:r w:rsidRPr="00960C69">
        <w:rPr>
          <w:rFonts w:ascii="Arial" w:hAnsi="Arial"/>
          <w:sz w:val="22"/>
          <w:szCs w:val="22"/>
        </w:rPr>
        <w:t xml:space="preserve">, </w:t>
      </w:r>
      <w:r w:rsidRPr="00960C69">
        <w:rPr>
          <w:rFonts w:ascii="Arial" w:hAnsi="Arial" w:cs="Arial"/>
          <w:sz w:val="22"/>
          <w:szCs w:val="22"/>
        </w:rPr>
        <w:t xml:space="preserve">component and operator action </w:t>
      </w:r>
      <w:r w:rsidRPr="00960C69">
        <w:rPr>
          <w:rFonts w:ascii="Arial" w:hAnsi="Arial"/>
          <w:sz w:val="22"/>
          <w:szCs w:val="22"/>
        </w:rPr>
        <w:t>risk, a</w:t>
      </w:r>
      <w:r>
        <w:rPr>
          <w:rFonts w:ascii="Arial" w:hAnsi="Arial"/>
          <w:sz w:val="22"/>
          <w:szCs w:val="22"/>
        </w:rPr>
        <w:t xml:space="preserve">nd licensing basis information, </w:t>
      </w:r>
      <w:r w:rsidRPr="00960C69">
        <w:rPr>
          <w:rFonts w:ascii="Arial" w:hAnsi="Arial"/>
          <w:sz w:val="22"/>
          <w:szCs w:val="22"/>
        </w:rPr>
        <w:t xml:space="preserve">and a copy of selected system diagrams, operating and </w:t>
      </w:r>
      <w:r w:rsidRPr="00960C69">
        <w:rPr>
          <w:rFonts w:ascii="Arial" w:hAnsi="Arial" w:cs="Arial"/>
          <w:sz w:val="22"/>
          <w:szCs w:val="22"/>
        </w:rPr>
        <w:t>surveillance</w:t>
      </w:r>
      <w:r w:rsidRPr="00960C69">
        <w:rPr>
          <w:rFonts w:ascii="Arial" w:hAnsi="Arial"/>
          <w:sz w:val="22"/>
          <w:szCs w:val="22"/>
        </w:rPr>
        <w:t xml:space="preserve"> testing procedures.  </w:t>
      </w:r>
      <w:r>
        <w:rPr>
          <w:rFonts w:ascii="Arial" w:hAnsi="Arial"/>
          <w:sz w:val="22"/>
          <w:szCs w:val="22"/>
        </w:rPr>
        <w:t xml:space="preserve">Additionally, for inspection conducted using IP 71111.21N, information requested may include information needed to determine which components are within the scope of the engineering program selected for inspection as well as corrective and preventive maintenance associated with these components.  </w:t>
      </w:r>
      <w:r w:rsidRPr="00960C69">
        <w:rPr>
          <w:rFonts w:ascii="Arial" w:hAnsi="Arial"/>
          <w:sz w:val="22"/>
          <w:szCs w:val="22"/>
        </w:rPr>
        <w:t xml:space="preserve">This information is needed to assess whether a selected </w:t>
      </w:r>
      <w:r w:rsidRPr="00960C69">
        <w:rPr>
          <w:rFonts w:ascii="Arial" w:hAnsi="Arial" w:cs="Arial"/>
          <w:sz w:val="22"/>
          <w:szCs w:val="22"/>
        </w:rPr>
        <w:t xml:space="preserve">components or operator actions </w:t>
      </w:r>
      <w:r w:rsidRPr="00960C69">
        <w:rPr>
          <w:rFonts w:ascii="Arial" w:hAnsi="Arial"/>
          <w:sz w:val="22"/>
          <w:szCs w:val="22"/>
        </w:rPr>
        <w:t xml:space="preserve">used </w:t>
      </w:r>
      <w:r w:rsidRPr="00960C69">
        <w:rPr>
          <w:rFonts w:ascii="Arial" w:hAnsi="Arial" w:cs="Arial"/>
          <w:sz w:val="22"/>
          <w:szCs w:val="22"/>
        </w:rPr>
        <w:t>to</w:t>
      </w:r>
      <w:r w:rsidRPr="00960C69">
        <w:rPr>
          <w:rFonts w:ascii="Arial" w:hAnsi="Arial"/>
          <w:sz w:val="22"/>
          <w:szCs w:val="22"/>
        </w:rPr>
        <w:t xml:space="preserve"> mitigate risk-significant accident sequences can be relied upon to meet functional requirements that would prevent damage to the reactor core </w:t>
      </w:r>
      <w:r w:rsidRPr="00960C69">
        <w:rPr>
          <w:rFonts w:ascii="Arial" w:hAnsi="Arial" w:cs="Arial"/>
          <w:sz w:val="22"/>
          <w:szCs w:val="22"/>
        </w:rPr>
        <w:t>during design basis events</w:t>
      </w:r>
      <w:r w:rsidRPr="00960C69">
        <w:rPr>
          <w:rFonts w:ascii="Arial" w:hAnsi="Arial"/>
          <w:sz w:val="22"/>
          <w:szCs w:val="22"/>
        </w:rPr>
        <w:t>.</w:t>
      </w:r>
    </w:p>
    <w:p w14:paraId="51F4B733" w14:textId="77777777" w:rsidR="004065E9" w:rsidRPr="00960C69" w:rsidRDefault="004065E9" w:rsidP="009B0D52">
      <w:pPr>
        <w:ind w:left="1440"/>
        <w:rPr>
          <w:rFonts w:ascii="Arial" w:hAnsi="Arial"/>
          <w:sz w:val="22"/>
          <w:szCs w:val="22"/>
        </w:rPr>
      </w:pPr>
    </w:p>
    <w:p w14:paraId="3424FC71" w14:textId="77777777" w:rsidR="004065E9" w:rsidRPr="00960C69" w:rsidRDefault="004065E9" w:rsidP="009B0D52">
      <w:pPr>
        <w:ind w:left="1440"/>
        <w:rPr>
          <w:rFonts w:ascii="Arial" w:hAnsi="Arial"/>
          <w:sz w:val="22"/>
        </w:rPr>
      </w:pPr>
      <w:r w:rsidRPr="00960C69">
        <w:rPr>
          <w:rFonts w:ascii="Arial" w:hAnsi="Arial"/>
          <w:sz w:val="22"/>
          <w:u w:val="single"/>
        </w:rPr>
        <w:t>IP</w:t>
      </w:r>
      <w:r w:rsidRPr="00960C69">
        <w:rPr>
          <w:rFonts w:ascii="Arial" w:hAnsi="Arial" w:cs="Arial"/>
          <w:i/>
          <w:sz w:val="22"/>
          <w:szCs w:val="22"/>
          <w:u w:val="single"/>
        </w:rPr>
        <w:t> </w:t>
      </w:r>
      <w:r>
        <w:rPr>
          <w:rFonts w:ascii="Arial" w:hAnsi="Arial"/>
          <w:sz w:val="22"/>
          <w:u w:val="single"/>
        </w:rPr>
        <w:t xml:space="preserve">71152 Problem Identification and </w:t>
      </w:r>
      <w:r w:rsidRPr="00960C69">
        <w:rPr>
          <w:rFonts w:ascii="Arial" w:hAnsi="Arial"/>
          <w:sz w:val="22"/>
          <w:u w:val="single"/>
        </w:rPr>
        <w:t>Resolution</w:t>
      </w:r>
      <w:r>
        <w:rPr>
          <w:rFonts w:ascii="Arial" w:hAnsi="Arial"/>
          <w:sz w:val="22"/>
          <w:u w:val="single"/>
        </w:rPr>
        <w:t>:</w:t>
      </w:r>
      <w:r w:rsidRPr="00960C69">
        <w:rPr>
          <w:rFonts w:ascii="Arial" w:hAnsi="Arial"/>
          <w:sz w:val="22"/>
        </w:rPr>
        <w:t xml:space="preserve"> inspection is performed every two years.  However, an additional inspection may be performed at a site if warranted by either declining plant performance (typically this triggers one additional inspection per year) or the need to follow-up on an independent safety culture assessment.  Information requested to prepare for this inspection includes a list of recent equipment problems, self-assessments, </w:t>
      </w:r>
      <w:r>
        <w:rPr>
          <w:rFonts w:ascii="Arial" w:hAnsi="Arial"/>
          <w:sz w:val="22"/>
        </w:rPr>
        <w:t xml:space="preserve">licensee audits, </w:t>
      </w:r>
      <w:r w:rsidRPr="00960C69">
        <w:rPr>
          <w:rFonts w:ascii="Arial" w:hAnsi="Arial"/>
          <w:sz w:val="22"/>
        </w:rPr>
        <w:t>root cause evaluations, and corrective action documents; and a copy of the corrective action program and equipment monitoring program procedures.  This information is needed to gain insights regarding the licensee</w:t>
      </w:r>
      <w:r>
        <w:rPr>
          <w:rFonts w:ascii="Arial" w:hAnsi="Arial"/>
          <w:sz w:val="22"/>
        </w:rPr>
        <w:t>’</w:t>
      </w:r>
      <w:r w:rsidRPr="00960C69">
        <w:rPr>
          <w:rFonts w:ascii="Arial" w:hAnsi="Arial"/>
          <w:sz w:val="22"/>
        </w:rPr>
        <w:t>s ability to promptly identify and resolve problems.</w:t>
      </w:r>
    </w:p>
    <w:p w14:paraId="476431F8" w14:textId="77777777" w:rsidR="004065E9" w:rsidRDefault="004065E9" w:rsidP="009B0D52">
      <w:pPr>
        <w:widowControl w:val="0"/>
        <w:ind w:left="720"/>
        <w:rPr>
          <w:rFonts w:ascii="Arial" w:hAnsi="Arial"/>
          <w:sz w:val="22"/>
        </w:rPr>
      </w:pPr>
    </w:p>
    <w:p w14:paraId="58F5A8A6" w14:textId="77777777" w:rsidR="00EC444B" w:rsidRDefault="00EC444B" w:rsidP="000A2032">
      <w:pPr>
        <w:widowControl w:val="0"/>
        <w:ind w:left="720"/>
        <w:rPr>
          <w:rFonts w:ascii="Arial" w:hAnsi="Arial"/>
          <w:sz w:val="22"/>
        </w:rPr>
      </w:pPr>
    </w:p>
    <w:p w14:paraId="50A5959E" w14:textId="795F8108" w:rsidR="00A046C7" w:rsidRDefault="00A046C7" w:rsidP="00E83AF9">
      <w:r>
        <w:br w:type="page"/>
      </w:r>
    </w:p>
    <w:p w14:paraId="082AC0DD" w14:textId="77777777" w:rsidR="00A046C7" w:rsidRDefault="00A046C7" w:rsidP="00A046C7">
      <w:pPr>
        <w:tabs>
          <w:tab w:val="left" w:pos="-1080"/>
          <w:tab w:val="left" w:pos="-360"/>
          <w:tab w:val="left" w:pos="0"/>
          <w:tab w:val="left" w:pos="600"/>
          <w:tab w:val="left" w:pos="1200"/>
          <w:tab w:val="left" w:pos="1920"/>
          <w:tab w:val="left" w:pos="2880"/>
          <w:tab w:val="left" w:pos="3600"/>
          <w:tab w:val="left" w:pos="4410"/>
          <w:tab w:val="left" w:pos="5760"/>
          <w:tab w:val="left" w:pos="6480"/>
          <w:tab w:val="left" w:pos="7200"/>
          <w:tab w:val="left" w:pos="7920"/>
          <w:tab w:val="left" w:pos="9000"/>
          <w:tab w:val="left" w:pos="9360"/>
        </w:tabs>
        <w:spacing w:line="0" w:lineRule="atLeast"/>
        <w:jc w:val="center"/>
        <w:rPr>
          <w:rFonts w:ascii="Arial" w:hAnsi="Arial" w:cs="Arial"/>
          <w:sz w:val="22"/>
          <w:szCs w:val="22"/>
        </w:rPr>
      </w:pPr>
      <w:r>
        <w:rPr>
          <w:rFonts w:ascii="Arial" w:hAnsi="Arial" w:cs="Arial"/>
          <w:sz w:val="22"/>
          <w:szCs w:val="22"/>
        </w:rPr>
        <w:t>GUIDANCE DOCUMENTS FOR INFORMATION COLLECTION REQUIREMENTS</w:t>
      </w:r>
    </w:p>
    <w:p w14:paraId="6B35A0F8" w14:textId="77777777" w:rsidR="00A046C7" w:rsidRDefault="00A046C7" w:rsidP="00A046C7">
      <w:pPr>
        <w:tabs>
          <w:tab w:val="left" w:pos="-1080"/>
          <w:tab w:val="left" w:pos="-360"/>
          <w:tab w:val="left" w:pos="0"/>
          <w:tab w:val="left" w:pos="600"/>
          <w:tab w:val="left" w:pos="1200"/>
          <w:tab w:val="left" w:pos="1920"/>
          <w:tab w:val="left" w:pos="2880"/>
          <w:tab w:val="left" w:pos="3600"/>
          <w:tab w:val="left" w:pos="4410"/>
          <w:tab w:val="left" w:pos="5760"/>
          <w:tab w:val="left" w:pos="6480"/>
          <w:tab w:val="left" w:pos="7200"/>
          <w:tab w:val="left" w:pos="7920"/>
          <w:tab w:val="left" w:pos="9000"/>
          <w:tab w:val="left" w:pos="9360"/>
        </w:tabs>
        <w:spacing w:line="0" w:lineRule="atLeast"/>
        <w:jc w:val="center"/>
        <w:rPr>
          <w:rFonts w:ascii="Arial" w:hAnsi="Arial" w:cs="Arial"/>
          <w:sz w:val="22"/>
          <w:szCs w:val="22"/>
        </w:rPr>
      </w:pPr>
      <w:r>
        <w:rPr>
          <w:rFonts w:ascii="Arial" w:hAnsi="Arial" w:cs="Arial"/>
          <w:sz w:val="22"/>
          <w:szCs w:val="22"/>
        </w:rPr>
        <w:t>CONTAINED IN</w:t>
      </w:r>
    </w:p>
    <w:p w14:paraId="2CD04E6A" w14:textId="77777777" w:rsidR="00A046C7" w:rsidRPr="00151C6A" w:rsidRDefault="00A046C7" w:rsidP="00A046C7">
      <w:pPr>
        <w:tabs>
          <w:tab w:val="center" w:pos="4680"/>
        </w:tabs>
        <w:jc w:val="center"/>
        <w:rPr>
          <w:rFonts w:ascii="Arial" w:hAnsi="Arial" w:cs="Arial"/>
          <w:color w:val="000000"/>
          <w:sz w:val="22"/>
          <w:szCs w:val="22"/>
        </w:rPr>
      </w:pPr>
      <w:r w:rsidRPr="00151C6A">
        <w:rPr>
          <w:rFonts w:ascii="Arial" w:hAnsi="Arial" w:cs="Arial"/>
          <w:color w:val="000000"/>
          <w:sz w:val="22"/>
          <w:szCs w:val="22"/>
        </w:rPr>
        <w:t>INSPECTIONS, RECORDS, REPORTS, NOTIFICATIONS</w:t>
      </w:r>
    </w:p>
    <w:p w14:paraId="4E5CFEDD" w14:textId="77777777" w:rsidR="00A046C7" w:rsidRDefault="00A046C7" w:rsidP="00A046C7">
      <w:pPr>
        <w:tabs>
          <w:tab w:val="center" w:pos="4680"/>
        </w:tabs>
        <w:jc w:val="center"/>
        <w:rPr>
          <w:rFonts w:ascii="Arial" w:hAnsi="Arial" w:cs="Arial"/>
          <w:sz w:val="22"/>
          <w:szCs w:val="22"/>
        </w:rPr>
      </w:pPr>
      <w:r>
        <w:rPr>
          <w:rFonts w:ascii="Arial" w:hAnsi="Arial" w:cs="Arial"/>
          <w:sz w:val="22"/>
          <w:szCs w:val="22"/>
        </w:rPr>
        <w:t>SECTION 4</w:t>
      </w:r>
    </w:p>
    <w:p w14:paraId="60AA53A0" w14:textId="77777777" w:rsidR="00A046C7" w:rsidRPr="00CB4CEA" w:rsidRDefault="00A046C7" w:rsidP="00A046C7">
      <w:pPr>
        <w:tabs>
          <w:tab w:val="center" w:pos="4680"/>
        </w:tabs>
        <w:jc w:val="center"/>
        <w:rPr>
          <w:rFonts w:ascii="Arial" w:hAnsi="Arial" w:cs="Arial"/>
          <w:sz w:val="22"/>
          <w:szCs w:val="22"/>
        </w:rPr>
      </w:pPr>
    </w:p>
    <w:p w14:paraId="01571E2F" w14:textId="77777777" w:rsidR="00A046C7" w:rsidRPr="00151C6A" w:rsidRDefault="00A046C7" w:rsidP="00A046C7">
      <w:pPr>
        <w:widowControl w:val="0"/>
        <w:tabs>
          <w:tab w:val="center" w:pos="4680"/>
        </w:tabs>
        <w:jc w:val="center"/>
        <w:rPr>
          <w:rFonts w:ascii="Arial" w:hAnsi="Arial" w:cs="Arial"/>
          <w:sz w:val="22"/>
          <w:szCs w:val="22"/>
        </w:rPr>
      </w:pPr>
      <w:r w:rsidRPr="00151C6A">
        <w:rPr>
          <w:rFonts w:ascii="Arial" w:hAnsi="Arial" w:cs="Arial"/>
          <w:sz w:val="22"/>
          <w:szCs w:val="22"/>
        </w:rPr>
        <w:t>50.71(b) &amp; Appendix C, Financial</w:t>
      </w:r>
      <w:r>
        <w:rPr>
          <w:rFonts w:ascii="Arial" w:hAnsi="Arial" w:cs="Arial"/>
          <w:sz w:val="22"/>
          <w:szCs w:val="22"/>
        </w:rPr>
        <w:t>;</w:t>
      </w:r>
    </w:p>
    <w:p w14:paraId="062DAA9F" w14:textId="77777777" w:rsidR="00A046C7" w:rsidRPr="00151C6A" w:rsidRDefault="00A046C7" w:rsidP="00A046C7">
      <w:pPr>
        <w:widowControl w:val="0"/>
        <w:tabs>
          <w:tab w:val="center" w:pos="4680"/>
        </w:tabs>
        <w:jc w:val="center"/>
        <w:rPr>
          <w:rFonts w:ascii="Arial" w:hAnsi="Arial" w:cs="Arial"/>
          <w:sz w:val="22"/>
          <w:szCs w:val="22"/>
        </w:rPr>
      </w:pPr>
      <w:r w:rsidRPr="00151C6A">
        <w:rPr>
          <w:rFonts w:ascii="Arial" w:hAnsi="Arial" w:cs="Arial"/>
          <w:sz w:val="22"/>
          <w:szCs w:val="22"/>
        </w:rPr>
        <w:t>50.71(e), Updated FSAR</w:t>
      </w:r>
      <w:r>
        <w:rPr>
          <w:rFonts w:ascii="Arial" w:hAnsi="Arial" w:cs="Arial"/>
          <w:sz w:val="22"/>
          <w:szCs w:val="22"/>
        </w:rPr>
        <w:t>;</w:t>
      </w:r>
    </w:p>
    <w:p w14:paraId="20F75C6C" w14:textId="77777777" w:rsidR="00A046C7" w:rsidRPr="00151C6A" w:rsidRDefault="00A046C7" w:rsidP="00A046C7">
      <w:pPr>
        <w:widowControl w:val="0"/>
        <w:tabs>
          <w:tab w:val="center" w:pos="4680"/>
        </w:tabs>
        <w:jc w:val="center"/>
        <w:rPr>
          <w:rFonts w:ascii="Arial" w:hAnsi="Arial" w:cs="Arial"/>
          <w:sz w:val="22"/>
          <w:szCs w:val="22"/>
        </w:rPr>
      </w:pPr>
      <w:r w:rsidRPr="00151C6A">
        <w:rPr>
          <w:rFonts w:ascii="Arial" w:hAnsi="Arial" w:cs="Arial"/>
          <w:sz w:val="22"/>
          <w:szCs w:val="22"/>
        </w:rPr>
        <w:t>50.72 &amp; 50.54(z), Notification of Events</w:t>
      </w:r>
      <w:r>
        <w:rPr>
          <w:rFonts w:ascii="Arial" w:hAnsi="Arial" w:cs="Arial"/>
          <w:sz w:val="22"/>
          <w:szCs w:val="22"/>
        </w:rPr>
        <w:t>;</w:t>
      </w:r>
    </w:p>
    <w:p w14:paraId="4CA16539" w14:textId="77777777" w:rsidR="00A046C7" w:rsidRPr="00151C6A" w:rsidRDefault="00A046C7" w:rsidP="00A046C7">
      <w:pPr>
        <w:widowControl w:val="0"/>
        <w:tabs>
          <w:tab w:val="center" w:pos="4680"/>
        </w:tabs>
        <w:jc w:val="center"/>
        <w:rPr>
          <w:rFonts w:ascii="Arial" w:hAnsi="Arial" w:cs="Arial"/>
          <w:sz w:val="22"/>
          <w:szCs w:val="22"/>
        </w:rPr>
      </w:pPr>
      <w:r w:rsidRPr="00151C6A">
        <w:rPr>
          <w:rFonts w:ascii="Arial" w:hAnsi="Arial" w:cs="Arial"/>
          <w:sz w:val="22"/>
          <w:szCs w:val="22"/>
        </w:rPr>
        <w:t>50.72(a), ERDS</w:t>
      </w:r>
      <w:r>
        <w:rPr>
          <w:rFonts w:ascii="Arial" w:hAnsi="Arial" w:cs="Arial"/>
          <w:sz w:val="22"/>
          <w:szCs w:val="22"/>
        </w:rPr>
        <w:t>;</w:t>
      </w:r>
    </w:p>
    <w:p w14:paraId="66B508EB" w14:textId="77777777" w:rsidR="00A046C7" w:rsidRPr="00151C6A" w:rsidRDefault="00A046C7" w:rsidP="00A046C7">
      <w:pPr>
        <w:widowControl w:val="0"/>
        <w:tabs>
          <w:tab w:val="center" w:pos="4680"/>
        </w:tabs>
        <w:jc w:val="center"/>
        <w:rPr>
          <w:rFonts w:ascii="Arial" w:hAnsi="Arial" w:cs="Arial"/>
          <w:sz w:val="22"/>
          <w:szCs w:val="22"/>
        </w:rPr>
      </w:pPr>
      <w:r w:rsidRPr="00151C6A">
        <w:rPr>
          <w:rFonts w:ascii="Arial" w:hAnsi="Arial" w:cs="Arial"/>
          <w:sz w:val="22"/>
          <w:szCs w:val="22"/>
        </w:rPr>
        <w:t>50.73, (LERs) - (s</w:t>
      </w:r>
      <w:r>
        <w:rPr>
          <w:rFonts w:ascii="Arial" w:hAnsi="Arial" w:cs="Arial"/>
          <w:sz w:val="22"/>
          <w:szCs w:val="22"/>
        </w:rPr>
        <w:t>ee OMB Clearance No. 3150-0104);</w:t>
      </w:r>
    </w:p>
    <w:p w14:paraId="4A24135C" w14:textId="77777777" w:rsidR="00A046C7" w:rsidRPr="00151C6A" w:rsidRDefault="00A046C7" w:rsidP="00A046C7">
      <w:pPr>
        <w:widowControl w:val="0"/>
        <w:tabs>
          <w:tab w:val="center" w:pos="4680"/>
        </w:tabs>
        <w:jc w:val="center"/>
        <w:rPr>
          <w:rFonts w:ascii="Arial" w:hAnsi="Arial" w:cs="Arial"/>
          <w:sz w:val="22"/>
          <w:szCs w:val="22"/>
        </w:rPr>
      </w:pPr>
      <w:r w:rsidRPr="00151C6A">
        <w:rPr>
          <w:rFonts w:ascii="Arial" w:hAnsi="Arial" w:cs="Arial"/>
          <w:sz w:val="22"/>
          <w:szCs w:val="22"/>
        </w:rPr>
        <w:t>50.70, Team Inspections</w:t>
      </w:r>
      <w:r>
        <w:rPr>
          <w:rFonts w:ascii="Arial" w:hAnsi="Arial" w:cs="Arial"/>
          <w:sz w:val="22"/>
          <w:szCs w:val="22"/>
        </w:rPr>
        <w:t>;</w:t>
      </w:r>
    </w:p>
    <w:p w14:paraId="65079127" w14:textId="77777777" w:rsidR="00A046C7" w:rsidRDefault="00A046C7" w:rsidP="00A046C7">
      <w:pPr>
        <w:widowControl w:val="0"/>
        <w:tabs>
          <w:tab w:val="center" w:pos="4680"/>
        </w:tabs>
        <w:jc w:val="center"/>
        <w:rPr>
          <w:rFonts w:ascii="Arial" w:hAnsi="Arial" w:cs="Arial"/>
          <w:sz w:val="22"/>
          <w:szCs w:val="22"/>
        </w:rPr>
      </w:pPr>
      <w:r w:rsidRPr="00151C6A">
        <w:rPr>
          <w:rFonts w:ascii="Arial" w:hAnsi="Arial" w:cs="Arial"/>
          <w:sz w:val="22"/>
          <w:szCs w:val="22"/>
        </w:rPr>
        <w:t>50.69, Risk-Informed Categorization of SSCs</w:t>
      </w:r>
    </w:p>
    <w:p w14:paraId="5120F710" w14:textId="77777777" w:rsidR="00A046C7" w:rsidRDefault="00A046C7" w:rsidP="00A046C7">
      <w:pPr>
        <w:tabs>
          <w:tab w:val="center" w:pos="4680"/>
        </w:tabs>
        <w:jc w:val="center"/>
        <w:rPr>
          <w:rFonts w:ascii="Arial" w:hAnsi="Arial" w:cs="Arial"/>
          <w:sz w:val="22"/>
          <w:szCs w:val="22"/>
        </w:rPr>
      </w:pPr>
    </w:p>
    <w:p w14:paraId="78B30CEE" w14:textId="77777777" w:rsidR="00A046C7" w:rsidRDefault="00A046C7" w:rsidP="00A046C7">
      <w:pPr>
        <w:tabs>
          <w:tab w:val="center" w:pos="4680"/>
        </w:tabs>
        <w:jc w:val="center"/>
        <w:rPr>
          <w:rFonts w:ascii="Arial" w:hAnsi="Arial"/>
          <w:sz w:val="22"/>
        </w:rPr>
      </w:pPr>
      <w:r>
        <w:rPr>
          <w:rFonts w:ascii="Arial" w:hAnsi="Arial"/>
          <w:sz w:val="22"/>
        </w:rPr>
        <w:t>3150-0011</w:t>
      </w:r>
    </w:p>
    <w:p w14:paraId="08040ACA" w14:textId="77777777" w:rsidR="00A046C7" w:rsidRDefault="00A046C7" w:rsidP="00A046C7">
      <w:pPr>
        <w:tabs>
          <w:tab w:val="left" w:pos="-1080"/>
          <w:tab w:val="left" w:pos="-360"/>
          <w:tab w:val="left" w:pos="0"/>
          <w:tab w:val="left" w:pos="600"/>
          <w:tab w:val="left" w:pos="1200"/>
          <w:tab w:val="left" w:pos="1920"/>
          <w:tab w:val="left" w:pos="2880"/>
          <w:tab w:val="left" w:pos="3600"/>
          <w:tab w:val="left" w:pos="4410"/>
          <w:tab w:val="left" w:pos="5760"/>
          <w:tab w:val="left" w:pos="6480"/>
          <w:tab w:val="left" w:pos="7200"/>
          <w:tab w:val="left" w:pos="7920"/>
          <w:tab w:val="left" w:pos="9000"/>
          <w:tab w:val="left" w:pos="9360"/>
        </w:tabs>
        <w:spacing w:line="0" w:lineRule="atLeast"/>
      </w:pPr>
    </w:p>
    <w:tbl>
      <w:tblPr>
        <w:tblStyle w:val="TableGrid"/>
        <w:tblW w:w="0" w:type="auto"/>
        <w:tblLook w:val="04A0" w:firstRow="1" w:lastRow="0" w:firstColumn="1" w:lastColumn="0" w:noHBand="0" w:noVBand="1"/>
      </w:tblPr>
      <w:tblGrid>
        <w:gridCol w:w="4810"/>
        <w:gridCol w:w="4810"/>
      </w:tblGrid>
      <w:tr w:rsidR="00A046C7" w14:paraId="2B863BDB" w14:textId="77777777" w:rsidTr="00A046C7">
        <w:tc>
          <w:tcPr>
            <w:tcW w:w="4810" w:type="dxa"/>
            <w:tcBorders>
              <w:top w:val="single" w:sz="4" w:space="0" w:color="auto"/>
              <w:left w:val="single" w:sz="4" w:space="0" w:color="auto"/>
              <w:bottom w:val="single" w:sz="4" w:space="0" w:color="auto"/>
              <w:right w:val="single" w:sz="4" w:space="0" w:color="auto"/>
            </w:tcBorders>
            <w:hideMark/>
          </w:tcPr>
          <w:p w14:paraId="1E1E9278" w14:textId="77777777" w:rsidR="00A046C7" w:rsidRDefault="00A046C7">
            <w:pPr>
              <w:tabs>
                <w:tab w:val="left" w:pos="-1080"/>
                <w:tab w:val="left" w:pos="-360"/>
                <w:tab w:val="left" w:pos="0"/>
                <w:tab w:val="left" w:pos="600"/>
                <w:tab w:val="left" w:pos="1200"/>
                <w:tab w:val="left" w:pos="1920"/>
                <w:tab w:val="left" w:pos="2880"/>
                <w:tab w:val="left" w:pos="3600"/>
                <w:tab w:val="left" w:pos="4410"/>
                <w:tab w:val="left" w:pos="5760"/>
                <w:tab w:val="left" w:pos="6480"/>
                <w:tab w:val="left" w:pos="7200"/>
                <w:tab w:val="left" w:pos="7920"/>
                <w:tab w:val="left" w:pos="9000"/>
                <w:tab w:val="left" w:pos="9360"/>
              </w:tabs>
              <w:spacing w:line="0" w:lineRule="atLeast"/>
              <w:jc w:val="center"/>
              <w:rPr>
                <w:rFonts w:ascii="Arial" w:hAnsi="Arial" w:cs="Arial"/>
                <w:sz w:val="22"/>
                <w:szCs w:val="22"/>
              </w:rPr>
            </w:pPr>
            <w:r>
              <w:rPr>
                <w:rFonts w:ascii="Arial" w:hAnsi="Arial" w:cs="Arial"/>
                <w:sz w:val="22"/>
                <w:szCs w:val="22"/>
              </w:rPr>
              <w:t>Title</w:t>
            </w:r>
          </w:p>
        </w:tc>
        <w:tc>
          <w:tcPr>
            <w:tcW w:w="4810" w:type="dxa"/>
            <w:tcBorders>
              <w:top w:val="single" w:sz="4" w:space="0" w:color="auto"/>
              <w:left w:val="single" w:sz="4" w:space="0" w:color="auto"/>
              <w:bottom w:val="single" w:sz="4" w:space="0" w:color="auto"/>
              <w:right w:val="single" w:sz="4" w:space="0" w:color="auto"/>
            </w:tcBorders>
            <w:hideMark/>
          </w:tcPr>
          <w:p w14:paraId="15E5CA15" w14:textId="77777777" w:rsidR="00A046C7" w:rsidRDefault="00A046C7">
            <w:pPr>
              <w:tabs>
                <w:tab w:val="left" w:pos="-1080"/>
                <w:tab w:val="left" w:pos="-360"/>
                <w:tab w:val="left" w:pos="0"/>
                <w:tab w:val="left" w:pos="600"/>
                <w:tab w:val="left" w:pos="1200"/>
                <w:tab w:val="left" w:pos="1920"/>
                <w:tab w:val="left" w:pos="2880"/>
                <w:tab w:val="left" w:pos="3600"/>
                <w:tab w:val="left" w:pos="4410"/>
                <w:tab w:val="left" w:pos="5760"/>
                <w:tab w:val="left" w:pos="6480"/>
                <w:tab w:val="left" w:pos="7200"/>
                <w:tab w:val="left" w:pos="7920"/>
                <w:tab w:val="left" w:pos="9000"/>
                <w:tab w:val="left" w:pos="9360"/>
              </w:tabs>
              <w:spacing w:line="0" w:lineRule="atLeast"/>
              <w:jc w:val="center"/>
              <w:rPr>
                <w:rFonts w:ascii="Arial" w:hAnsi="Arial" w:cs="Arial"/>
                <w:sz w:val="22"/>
                <w:szCs w:val="22"/>
              </w:rPr>
            </w:pPr>
            <w:r>
              <w:rPr>
                <w:rFonts w:ascii="Arial" w:hAnsi="Arial" w:cs="Arial"/>
                <w:sz w:val="22"/>
                <w:szCs w:val="22"/>
              </w:rPr>
              <w:t>Accession number</w:t>
            </w:r>
          </w:p>
        </w:tc>
      </w:tr>
      <w:tr w:rsidR="00A046C7" w14:paraId="03CB3F6E" w14:textId="77777777" w:rsidTr="00A046C7">
        <w:tc>
          <w:tcPr>
            <w:tcW w:w="4810" w:type="dxa"/>
            <w:tcBorders>
              <w:top w:val="single" w:sz="4" w:space="0" w:color="auto"/>
              <w:left w:val="single" w:sz="4" w:space="0" w:color="auto"/>
              <w:bottom w:val="single" w:sz="4" w:space="0" w:color="auto"/>
              <w:right w:val="single" w:sz="4" w:space="0" w:color="auto"/>
            </w:tcBorders>
            <w:hideMark/>
          </w:tcPr>
          <w:p w14:paraId="65DAD66E" w14:textId="77777777" w:rsidR="00A046C7" w:rsidRDefault="00A046C7">
            <w:pPr>
              <w:tabs>
                <w:tab w:val="left" w:pos="-1080"/>
                <w:tab w:val="left" w:pos="-360"/>
                <w:tab w:val="left" w:pos="0"/>
                <w:tab w:val="left" w:pos="600"/>
                <w:tab w:val="left" w:pos="1200"/>
                <w:tab w:val="left" w:pos="1920"/>
                <w:tab w:val="left" w:pos="2880"/>
                <w:tab w:val="left" w:pos="3600"/>
                <w:tab w:val="left" w:pos="4410"/>
                <w:tab w:val="left" w:pos="5760"/>
                <w:tab w:val="left" w:pos="6480"/>
                <w:tab w:val="left" w:pos="7200"/>
                <w:tab w:val="left" w:pos="7920"/>
                <w:tab w:val="left" w:pos="9000"/>
                <w:tab w:val="left" w:pos="9360"/>
              </w:tabs>
              <w:spacing w:line="0" w:lineRule="atLeast"/>
              <w:rPr>
                <w:rFonts w:ascii="Arial" w:hAnsi="Arial" w:cs="Arial"/>
                <w:sz w:val="22"/>
                <w:szCs w:val="22"/>
              </w:rPr>
            </w:pPr>
            <w:r>
              <w:rPr>
                <w:rFonts w:ascii="Arial" w:hAnsi="Arial" w:cs="Arial"/>
                <w:sz w:val="22"/>
                <w:szCs w:val="22"/>
              </w:rPr>
              <w:t>Regulatory Guide 1.174, “An Approach for Using Probabilistic Risk Assessment in Risk-Informed Decisions on Plant-Specific Changes to the Licensing Basis”</w:t>
            </w:r>
          </w:p>
        </w:tc>
        <w:tc>
          <w:tcPr>
            <w:tcW w:w="4810" w:type="dxa"/>
            <w:tcBorders>
              <w:top w:val="single" w:sz="4" w:space="0" w:color="auto"/>
              <w:left w:val="single" w:sz="4" w:space="0" w:color="auto"/>
              <w:bottom w:val="single" w:sz="4" w:space="0" w:color="auto"/>
              <w:right w:val="single" w:sz="4" w:space="0" w:color="auto"/>
            </w:tcBorders>
            <w:hideMark/>
          </w:tcPr>
          <w:p w14:paraId="17611E11" w14:textId="77777777" w:rsidR="00A046C7" w:rsidRDefault="00A046C7">
            <w:pPr>
              <w:tabs>
                <w:tab w:val="left" w:pos="-1080"/>
                <w:tab w:val="left" w:pos="-360"/>
                <w:tab w:val="left" w:pos="0"/>
                <w:tab w:val="left" w:pos="600"/>
                <w:tab w:val="left" w:pos="1200"/>
                <w:tab w:val="left" w:pos="1920"/>
                <w:tab w:val="left" w:pos="2880"/>
                <w:tab w:val="left" w:pos="3600"/>
                <w:tab w:val="left" w:pos="4410"/>
                <w:tab w:val="left" w:pos="5760"/>
                <w:tab w:val="left" w:pos="6480"/>
                <w:tab w:val="left" w:pos="7200"/>
                <w:tab w:val="left" w:pos="7920"/>
                <w:tab w:val="left" w:pos="9000"/>
                <w:tab w:val="left" w:pos="9360"/>
              </w:tabs>
              <w:spacing w:line="0" w:lineRule="atLeast"/>
              <w:rPr>
                <w:rFonts w:ascii="Arial" w:hAnsi="Arial" w:cs="Arial"/>
                <w:sz w:val="22"/>
                <w:szCs w:val="22"/>
              </w:rPr>
            </w:pPr>
            <w:r>
              <w:rPr>
                <w:rFonts w:ascii="Arial" w:hAnsi="Arial" w:cs="Arial"/>
                <w:sz w:val="22"/>
                <w:szCs w:val="22"/>
              </w:rPr>
              <w:t>ML100910006</w:t>
            </w:r>
          </w:p>
        </w:tc>
      </w:tr>
      <w:tr w:rsidR="00A046C7" w14:paraId="20E69AB1" w14:textId="77777777" w:rsidTr="00A046C7">
        <w:tc>
          <w:tcPr>
            <w:tcW w:w="4810" w:type="dxa"/>
            <w:tcBorders>
              <w:top w:val="single" w:sz="4" w:space="0" w:color="auto"/>
              <w:left w:val="single" w:sz="4" w:space="0" w:color="auto"/>
              <w:bottom w:val="single" w:sz="4" w:space="0" w:color="auto"/>
              <w:right w:val="single" w:sz="4" w:space="0" w:color="auto"/>
            </w:tcBorders>
            <w:hideMark/>
          </w:tcPr>
          <w:p w14:paraId="0DD5A3FA" w14:textId="77777777" w:rsidR="00A046C7" w:rsidRDefault="00A046C7">
            <w:pPr>
              <w:tabs>
                <w:tab w:val="left" w:pos="-1080"/>
                <w:tab w:val="left" w:pos="-360"/>
                <w:tab w:val="left" w:pos="0"/>
                <w:tab w:val="left" w:pos="600"/>
                <w:tab w:val="left" w:pos="1200"/>
                <w:tab w:val="left" w:pos="1920"/>
                <w:tab w:val="left" w:pos="2880"/>
                <w:tab w:val="left" w:pos="3600"/>
                <w:tab w:val="left" w:pos="4410"/>
                <w:tab w:val="left" w:pos="5760"/>
                <w:tab w:val="left" w:pos="6480"/>
                <w:tab w:val="left" w:pos="7200"/>
                <w:tab w:val="left" w:pos="7920"/>
                <w:tab w:val="left" w:pos="9000"/>
                <w:tab w:val="left" w:pos="9360"/>
              </w:tabs>
              <w:spacing w:line="0" w:lineRule="atLeast"/>
              <w:rPr>
                <w:rFonts w:ascii="Arial" w:hAnsi="Arial" w:cs="Arial"/>
                <w:sz w:val="22"/>
                <w:szCs w:val="22"/>
              </w:rPr>
            </w:pPr>
            <w:r>
              <w:rPr>
                <w:rFonts w:ascii="Arial" w:hAnsi="Arial" w:cs="Arial"/>
                <w:sz w:val="22"/>
                <w:szCs w:val="22"/>
              </w:rPr>
              <w:t>Regulatory Guide 1.200, “An Approach for Determining the Technical Adequacy of Probabilistic Risk Assessment Results for Risk-Informed Activities”</w:t>
            </w:r>
          </w:p>
        </w:tc>
        <w:tc>
          <w:tcPr>
            <w:tcW w:w="4810" w:type="dxa"/>
            <w:tcBorders>
              <w:top w:val="single" w:sz="4" w:space="0" w:color="auto"/>
              <w:left w:val="single" w:sz="4" w:space="0" w:color="auto"/>
              <w:bottom w:val="single" w:sz="4" w:space="0" w:color="auto"/>
              <w:right w:val="single" w:sz="4" w:space="0" w:color="auto"/>
            </w:tcBorders>
            <w:hideMark/>
          </w:tcPr>
          <w:p w14:paraId="58005C6D" w14:textId="77777777" w:rsidR="00A046C7" w:rsidRDefault="00A046C7">
            <w:pPr>
              <w:tabs>
                <w:tab w:val="left" w:pos="-1080"/>
                <w:tab w:val="left" w:pos="-360"/>
                <w:tab w:val="left" w:pos="0"/>
                <w:tab w:val="left" w:pos="600"/>
                <w:tab w:val="left" w:pos="1200"/>
                <w:tab w:val="left" w:pos="1920"/>
                <w:tab w:val="left" w:pos="2880"/>
                <w:tab w:val="left" w:pos="3600"/>
                <w:tab w:val="left" w:pos="4410"/>
                <w:tab w:val="left" w:pos="5760"/>
                <w:tab w:val="left" w:pos="6480"/>
                <w:tab w:val="left" w:pos="7200"/>
                <w:tab w:val="left" w:pos="7920"/>
                <w:tab w:val="left" w:pos="9000"/>
                <w:tab w:val="left" w:pos="9360"/>
              </w:tabs>
              <w:spacing w:line="0" w:lineRule="atLeast"/>
              <w:rPr>
                <w:rFonts w:ascii="Arial" w:hAnsi="Arial" w:cs="Arial"/>
                <w:sz w:val="22"/>
                <w:szCs w:val="22"/>
              </w:rPr>
            </w:pPr>
            <w:r>
              <w:rPr>
                <w:rFonts w:ascii="Arial" w:hAnsi="Arial" w:cs="Arial"/>
                <w:sz w:val="22"/>
                <w:szCs w:val="22"/>
              </w:rPr>
              <w:t>ML090410014</w:t>
            </w:r>
          </w:p>
        </w:tc>
      </w:tr>
      <w:tr w:rsidR="00A046C7" w14:paraId="6072A2C2" w14:textId="77777777" w:rsidTr="00A046C7">
        <w:tc>
          <w:tcPr>
            <w:tcW w:w="4810" w:type="dxa"/>
            <w:tcBorders>
              <w:top w:val="single" w:sz="4" w:space="0" w:color="auto"/>
              <w:left w:val="single" w:sz="4" w:space="0" w:color="auto"/>
              <w:bottom w:val="single" w:sz="4" w:space="0" w:color="auto"/>
              <w:right w:val="single" w:sz="4" w:space="0" w:color="auto"/>
            </w:tcBorders>
            <w:hideMark/>
          </w:tcPr>
          <w:p w14:paraId="49C92AA7" w14:textId="66266514" w:rsidR="00A046C7" w:rsidRDefault="00A046C7" w:rsidP="00A046C7">
            <w:pPr>
              <w:tabs>
                <w:tab w:val="left" w:pos="-1080"/>
                <w:tab w:val="left" w:pos="-360"/>
                <w:tab w:val="left" w:pos="0"/>
                <w:tab w:val="left" w:pos="600"/>
                <w:tab w:val="left" w:pos="1200"/>
                <w:tab w:val="left" w:pos="1920"/>
                <w:tab w:val="left" w:pos="2880"/>
                <w:tab w:val="left" w:pos="3600"/>
                <w:tab w:val="left" w:pos="4410"/>
                <w:tab w:val="left" w:pos="5760"/>
                <w:tab w:val="left" w:pos="6480"/>
                <w:tab w:val="left" w:pos="7200"/>
                <w:tab w:val="left" w:pos="7920"/>
                <w:tab w:val="left" w:pos="9000"/>
                <w:tab w:val="left" w:pos="9360"/>
              </w:tabs>
              <w:spacing w:line="0" w:lineRule="atLeast"/>
              <w:rPr>
                <w:rFonts w:ascii="Arial" w:hAnsi="Arial" w:cs="Arial"/>
                <w:sz w:val="22"/>
                <w:szCs w:val="22"/>
              </w:rPr>
            </w:pPr>
            <w:r>
              <w:rPr>
                <w:rFonts w:ascii="Arial" w:hAnsi="Arial" w:cs="Arial"/>
                <w:sz w:val="22"/>
                <w:szCs w:val="22"/>
              </w:rPr>
              <w:t>Regulatory Guide 1.201, “</w:t>
            </w:r>
            <w:r w:rsidRPr="00A046C7">
              <w:rPr>
                <w:rFonts w:ascii="Arial" w:hAnsi="Arial" w:cs="Arial"/>
                <w:sz w:val="22"/>
                <w:szCs w:val="22"/>
              </w:rPr>
              <w:t>Guidelines for Categorizing Structures, Systems, and Components in Nuclear Power Plants According to Their Safety Significance</w:t>
            </w:r>
            <w:r>
              <w:rPr>
                <w:rFonts w:ascii="Arial" w:hAnsi="Arial" w:cs="Arial"/>
                <w:sz w:val="22"/>
                <w:szCs w:val="22"/>
              </w:rPr>
              <w:t>”</w:t>
            </w:r>
          </w:p>
        </w:tc>
        <w:tc>
          <w:tcPr>
            <w:tcW w:w="4810" w:type="dxa"/>
            <w:tcBorders>
              <w:top w:val="single" w:sz="4" w:space="0" w:color="auto"/>
              <w:left w:val="single" w:sz="4" w:space="0" w:color="auto"/>
              <w:bottom w:val="single" w:sz="4" w:space="0" w:color="auto"/>
              <w:right w:val="single" w:sz="4" w:space="0" w:color="auto"/>
            </w:tcBorders>
            <w:hideMark/>
          </w:tcPr>
          <w:p w14:paraId="457624E8" w14:textId="760C5AE6" w:rsidR="00A046C7" w:rsidRDefault="00A046C7">
            <w:pPr>
              <w:tabs>
                <w:tab w:val="left" w:pos="-1080"/>
                <w:tab w:val="left" w:pos="-360"/>
                <w:tab w:val="left" w:pos="0"/>
                <w:tab w:val="left" w:pos="600"/>
                <w:tab w:val="left" w:pos="1200"/>
                <w:tab w:val="left" w:pos="1920"/>
                <w:tab w:val="left" w:pos="2880"/>
                <w:tab w:val="left" w:pos="3600"/>
                <w:tab w:val="left" w:pos="4410"/>
                <w:tab w:val="left" w:pos="5760"/>
                <w:tab w:val="left" w:pos="6480"/>
                <w:tab w:val="left" w:pos="7200"/>
                <w:tab w:val="left" w:pos="7920"/>
                <w:tab w:val="left" w:pos="9000"/>
                <w:tab w:val="left" w:pos="9360"/>
              </w:tabs>
              <w:spacing w:line="0" w:lineRule="atLeast"/>
              <w:rPr>
                <w:rFonts w:ascii="Arial" w:hAnsi="Arial" w:cs="Arial"/>
                <w:sz w:val="22"/>
                <w:szCs w:val="22"/>
              </w:rPr>
            </w:pPr>
            <w:r>
              <w:rPr>
                <w:rFonts w:ascii="Arial" w:hAnsi="Arial" w:cs="Arial"/>
                <w:sz w:val="22"/>
                <w:szCs w:val="22"/>
              </w:rPr>
              <w:t>ML061090627</w:t>
            </w:r>
          </w:p>
        </w:tc>
      </w:tr>
    </w:tbl>
    <w:p w14:paraId="5FE61919" w14:textId="77777777" w:rsidR="003E2B01" w:rsidRDefault="003E2B01" w:rsidP="00E83AF9"/>
    <w:p w14:paraId="646A71FE" w14:textId="77777777" w:rsidR="00A035CA" w:rsidRPr="007334E7" w:rsidRDefault="00A035CA" w:rsidP="00A035CA">
      <w:pPr>
        <w:rPr>
          <w:rFonts w:ascii="Arial" w:hAnsi="Arial" w:cs="Arial"/>
          <w:sz w:val="22"/>
          <w:szCs w:val="22"/>
        </w:rPr>
      </w:pPr>
    </w:p>
    <w:p w14:paraId="4C7FF86E" w14:textId="77777777" w:rsidR="00A035CA" w:rsidRDefault="00A035CA" w:rsidP="000C72CB">
      <w:pPr>
        <w:tabs>
          <w:tab w:val="left" w:pos="-1080"/>
          <w:tab w:val="left" w:pos="-360"/>
          <w:tab w:val="left" w:pos="0"/>
          <w:tab w:val="left" w:pos="600"/>
          <w:tab w:val="left" w:pos="1200"/>
          <w:tab w:val="left" w:pos="1920"/>
          <w:tab w:val="left" w:pos="2880"/>
          <w:tab w:val="left" w:pos="3600"/>
          <w:tab w:val="left" w:pos="4410"/>
          <w:tab w:val="left" w:pos="5760"/>
          <w:tab w:val="left" w:pos="6480"/>
          <w:tab w:val="left" w:pos="7200"/>
          <w:tab w:val="left" w:pos="7920"/>
          <w:tab w:val="left" w:pos="9000"/>
          <w:tab w:val="left" w:pos="9360"/>
        </w:tabs>
        <w:spacing w:line="0" w:lineRule="atLeast"/>
      </w:pPr>
    </w:p>
    <w:sectPr w:rsidR="00A035CA" w:rsidSect="000C72CB">
      <w:headerReference w:type="even" r:id="rId13"/>
      <w:headerReference w:type="default" r:id="rId14"/>
      <w:footerReference w:type="even" r:id="rId15"/>
      <w:footerReference w:type="default" r:id="rId16"/>
      <w:pgSz w:w="12240" w:h="15840"/>
      <w:pgMar w:top="1170" w:right="1170" w:bottom="1440" w:left="1440" w:header="1440" w:footer="117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5557F0" w14:textId="77777777" w:rsidR="00BB2DC6" w:rsidRDefault="00BB2DC6">
      <w:r>
        <w:separator/>
      </w:r>
    </w:p>
  </w:endnote>
  <w:endnote w:type="continuationSeparator" w:id="0">
    <w:p w14:paraId="240BC332" w14:textId="77777777" w:rsidR="00BB2DC6" w:rsidRDefault="00BB2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ona Lisa Recut">
    <w:altName w:val="Mangal"/>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C24549" w14:textId="77777777" w:rsidR="00404747" w:rsidRDefault="00404747">
    <w:pPr>
      <w:framePr w:w="9360" w:h="256" w:hRule="exact" w:wrap="notBeside" w:vAnchor="page" w:hAnchor="text" w:y="11250"/>
      <w:tabs>
        <w:tab w:val="left" w:pos="-1080"/>
        <w:tab w:val="left" w:pos="-360"/>
        <w:tab w:val="left" w:pos="0"/>
        <w:tab w:val="left" w:pos="600"/>
        <w:tab w:val="left" w:pos="1200"/>
        <w:tab w:val="left" w:pos="1920"/>
        <w:tab w:val="left" w:pos="2880"/>
        <w:tab w:val="left" w:pos="3600"/>
        <w:tab w:val="left" w:pos="4410"/>
        <w:tab w:val="left" w:pos="5760"/>
        <w:tab w:val="left" w:pos="6480"/>
        <w:tab w:val="left" w:pos="7200"/>
        <w:tab w:val="left" w:pos="7920"/>
        <w:tab w:val="left" w:pos="9000"/>
        <w:tab w:val="left" w:pos="9360"/>
      </w:tabs>
      <w:spacing w:line="0" w:lineRule="atLeast"/>
      <w:jc w:val="center"/>
      <w:rPr>
        <w:vanish/>
      </w:rPr>
    </w:pPr>
    <w:r>
      <w:rPr>
        <w:rFonts w:ascii="Arial" w:hAnsi="Arial"/>
        <w:sz w:val="22"/>
      </w:rPr>
      <w:pgNum/>
    </w:r>
  </w:p>
  <w:p w14:paraId="73E8E279" w14:textId="77777777" w:rsidR="00404747" w:rsidRDefault="00404747">
    <w:pPr>
      <w:tabs>
        <w:tab w:val="left" w:pos="-1080"/>
        <w:tab w:val="left" w:pos="-360"/>
        <w:tab w:val="left" w:pos="0"/>
        <w:tab w:val="left" w:pos="600"/>
        <w:tab w:val="left" w:pos="1200"/>
        <w:tab w:val="left" w:pos="1920"/>
        <w:tab w:val="left" w:pos="2880"/>
        <w:tab w:val="left" w:pos="3600"/>
        <w:tab w:val="left" w:pos="4410"/>
        <w:tab w:val="left" w:pos="5760"/>
        <w:tab w:val="left" w:pos="6480"/>
        <w:tab w:val="left" w:pos="7200"/>
        <w:tab w:val="left" w:pos="7920"/>
        <w:tab w:val="left" w:pos="9000"/>
        <w:tab w:val="left" w:pos="936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6BF8A" w14:textId="77777777" w:rsidR="00404747" w:rsidRDefault="00404747">
    <w:pPr>
      <w:tabs>
        <w:tab w:val="left" w:pos="-1080"/>
        <w:tab w:val="left" w:pos="-360"/>
        <w:tab w:val="left" w:pos="0"/>
        <w:tab w:val="left" w:pos="600"/>
        <w:tab w:val="left" w:pos="1200"/>
        <w:tab w:val="left" w:pos="1920"/>
        <w:tab w:val="left" w:pos="2880"/>
        <w:tab w:val="left" w:pos="3600"/>
        <w:tab w:val="left" w:pos="4410"/>
        <w:tab w:val="left" w:pos="5760"/>
        <w:tab w:val="left" w:pos="6480"/>
        <w:tab w:val="left" w:pos="7200"/>
        <w:tab w:val="left" w:pos="7920"/>
        <w:tab w:val="left" w:pos="9000"/>
        <w:tab w:val="left" w:pos="9360"/>
      </w:tabs>
      <w:spacing w:line="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0DEBBD" w14:textId="77777777" w:rsidR="00BB2DC6" w:rsidRDefault="00BB2DC6">
      <w:r>
        <w:separator/>
      </w:r>
    </w:p>
  </w:footnote>
  <w:footnote w:type="continuationSeparator" w:id="0">
    <w:p w14:paraId="3531BD5D" w14:textId="77777777" w:rsidR="00BB2DC6" w:rsidRDefault="00BB2D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37882D" w14:textId="77777777" w:rsidR="00404747" w:rsidRDefault="00404747">
    <w:pPr>
      <w:tabs>
        <w:tab w:val="left" w:pos="-1080"/>
        <w:tab w:val="left" w:pos="-360"/>
        <w:tab w:val="left" w:pos="0"/>
        <w:tab w:val="left" w:pos="600"/>
        <w:tab w:val="left" w:pos="1200"/>
        <w:tab w:val="left" w:pos="1920"/>
        <w:tab w:val="left" w:pos="2880"/>
        <w:tab w:val="left" w:pos="3600"/>
        <w:tab w:val="left" w:pos="4410"/>
        <w:tab w:val="left" w:pos="5760"/>
        <w:tab w:val="left" w:pos="6480"/>
        <w:tab w:val="left" w:pos="7200"/>
        <w:tab w:val="left" w:pos="7920"/>
        <w:tab w:val="left" w:pos="9000"/>
        <w:tab w:val="left" w:pos="936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3F1B18" w14:textId="77777777" w:rsidR="00404747" w:rsidRDefault="00404747">
    <w:pPr>
      <w:tabs>
        <w:tab w:val="left" w:pos="-1080"/>
        <w:tab w:val="left" w:pos="-360"/>
        <w:tab w:val="left" w:pos="0"/>
        <w:tab w:val="left" w:pos="600"/>
        <w:tab w:val="left" w:pos="1200"/>
        <w:tab w:val="left" w:pos="1920"/>
        <w:tab w:val="left" w:pos="2880"/>
        <w:tab w:val="left" w:pos="3600"/>
        <w:tab w:val="left" w:pos="4410"/>
        <w:tab w:val="left" w:pos="5760"/>
        <w:tab w:val="left" w:pos="6480"/>
        <w:tab w:val="left" w:pos="7200"/>
        <w:tab w:val="left" w:pos="7920"/>
        <w:tab w:val="left" w:pos="9000"/>
        <w:tab w:val="left" w:pos="93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0000002"/>
    <w:multiLevelType w:val="multilevel"/>
    <w:tmpl w:val="00000002"/>
    <w:lvl w:ilvl="0">
      <w:start w:val="14"/>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2">
    <w:nsid w:val="02E37290"/>
    <w:multiLevelType w:val="hybridMultilevel"/>
    <w:tmpl w:val="A01A7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1E1E1B"/>
    <w:multiLevelType w:val="hybridMultilevel"/>
    <w:tmpl w:val="5DCAAD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1E82EAA"/>
    <w:multiLevelType w:val="hybridMultilevel"/>
    <w:tmpl w:val="2216FD20"/>
    <w:lvl w:ilvl="0" w:tplc="5074E51C">
      <w:start w:val="1"/>
      <w:numFmt w:val="upperLetter"/>
      <w:lvlText w:val="%1."/>
      <w:lvlJc w:val="left"/>
      <w:pPr>
        <w:ind w:left="1200" w:hanging="600"/>
      </w:pPr>
      <w:rPr>
        <w:rFonts w:hint="default"/>
        <w:u w:val="none"/>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5">
    <w:nsid w:val="1EC46D91"/>
    <w:multiLevelType w:val="hybridMultilevel"/>
    <w:tmpl w:val="5C080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2643B1"/>
    <w:multiLevelType w:val="multilevel"/>
    <w:tmpl w:val="00000001"/>
    <w:lvl w:ilvl="0">
      <w:start w:val="1"/>
      <w:numFmt w:val="upperLetter"/>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upperLetter"/>
      <w:suff w:val="nothing"/>
      <w:lvlText w:val="%4."/>
      <w:lvlJc w:val="left"/>
    </w:lvl>
    <w:lvl w:ilvl="4">
      <w:start w:val="1"/>
      <w:numFmt w:val="upperLetter"/>
      <w:suff w:val="nothing"/>
      <w:lvlText w:val="%5."/>
      <w:lvlJc w:val="left"/>
    </w:lvl>
    <w:lvl w:ilvl="5">
      <w:start w:val="1"/>
      <w:numFmt w:val="upperLetter"/>
      <w:suff w:val="nothing"/>
      <w:lvlText w:val="%6."/>
      <w:lvlJc w:val="left"/>
    </w:lvl>
    <w:lvl w:ilvl="6">
      <w:start w:val="1"/>
      <w:numFmt w:val="upperLetter"/>
      <w:suff w:val="nothing"/>
      <w:lvlText w:val="%7."/>
      <w:lvlJc w:val="left"/>
    </w:lvl>
    <w:lvl w:ilvl="7">
      <w:start w:val="1"/>
      <w:numFmt w:val="upperLetter"/>
      <w:suff w:val="nothing"/>
      <w:lvlText w:val="%8."/>
      <w:lvlJc w:val="left"/>
    </w:lvl>
    <w:lvl w:ilvl="8">
      <w:start w:val="1"/>
      <w:numFmt w:val="lowerRoman"/>
      <w:suff w:val="nothing"/>
      <w:lvlText w:val="%9)"/>
      <w:lvlJc w:val="left"/>
    </w:lvl>
  </w:abstractNum>
  <w:abstractNum w:abstractNumId="7">
    <w:nsid w:val="26776986"/>
    <w:multiLevelType w:val="hybridMultilevel"/>
    <w:tmpl w:val="1A906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E149CC"/>
    <w:multiLevelType w:val="hybridMultilevel"/>
    <w:tmpl w:val="CE1C8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646D6F"/>
    <w:multiLevelType w:val="hybridMultilevel"/>
    <w:tmpl w:val="F7CAA1D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3D731B5A"/>
    <w:multiLevelType w:val="hybridMultilevel"/>
    <w:tmpl w:val="FE06D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10166D"/>
    <w:multiLevelType w:val="hybridMultilevel"/>
    <w:tmpl w:val="32FA1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8372F50"/>
    <w:multiLevelType w:val="hybridMultilevel"/>
    <w:tmpl w:val="4F32C9CA"/>
    <w:lvl w:ilvl="0" w:tplc="0409000D">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545D2C40"/>
    <w:multiLevelType w:val="multilevel"/>
    <w:tmpl w:val="00000002"/>
    <w:lvl w:ilvl="0">
      <w:start w:val="14"/>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14">
    <w:nsid w:val="60903406"/>
    <w:multiLevelType w:val="hybridMultilevel"/>
    <w:tmpl w:val="FE1C2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FB0054D"/>
    <w:multiLevelType w:val="hybridMultilevel"/>
    <w:tmpl w:val="35067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92840C1"/>
    <w:multiLevelType w:val="hybridMultilevel"/>
    <w:tmpl w:val="2F949D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9CF4516"/>
    <w:multiLevelType w:val="hybridMultilevel"/>
    <w:tmpl w:val="2C9A56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CF47B94"/>
    <w:multiLevelType w:val="multilevel"/>
    <w:tmpl w:val="0000000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num>
  <w:num w:numId="2">
    <w:abstractNumId w:val="1"/>
  </w:num>
  <w:num w:numId="3">
    <w:abstractNumId w:val="13"/>
  </w:num>
  <w:num w:numId="4">
    <w:abstractNumId w:val="9"/>
  </w:num>
  <w:num w:numId="5">
    <w:abstractNumId w:val="0"/>
    <w:lvlOverride w:ilvl="0">
      <w:lvl w:ilvl="0">
        <w:start w:val="1"/>
        <w:numFmt w:val="decimal"/>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6">
    <w:abstractNumId w:val="6"/>
  </w:num>
  <w:num w:numId="7">
    <w:abstractNumId w:val="18"/>
  </w:num>
  <w:num w:numId="8">
    <w:abstractNumId w:val="12"/>
  </w:num>
  <w:num w:numId="9">
    <w:abstractNumId w:val="7"/>
  </w:num>
  <w:num w:numId="10">
    <w:abstractNumId w:val="11"/>
  </w:num>
  <w:num w:numId="11">
    <w:abstractNumId w:val="10"/>
  </w:num>
  <w:num w:numId="12">
    <w:abstractNumId w:val="8"/>
  </w:num>
  <w:num w:numId="13">
    <w:abstractNumId w:val="15"/>
  </w:num>
  <w:num w:numId="14">
    <w:abstractNumId w:val="2"/>
  </w:num>
  <w:num w:numId="15">
    <w:abstractNumId w:val="5"/>
  </w:num>
  <w:num w:numId="16">
    <w:abstractNumId w:val="14"/>
  </w:num>
  <w:num w:numId="17">
    <w:abstractNumId w:val="16"/>
  </w:num>
  <w:num w:numId="18">
    <w:abstractNumId w:val="17"/>
  </w:num>
  <w:num w:numId="19">
    <w:abstractNumId w:val="4"/>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FBC"/>
    <w:rsid w:val="00002847"/>
    <w:rsid w:val="00017D67"/>
    <w:rsid w:val="00023444"/>
    <w:rsid w:val="00025B19"/>
    <w:rsid w:val="00075C82"/>
    <w:rsid w:val="00076A9F"/>
    <w:rsid w:val="000849BE"/>
    <w:rsid w:val="000A19D9"/>
    <w:rsid w:val="000A2032"/>
    <w:rsid w:val="000C09EB"/>
    <w:rsid w:val="000C72CB"/>
    <w:rsid w:val="000D3F95"/>
    <w:rsid w:val="000E5DC3"/>
    <w:rsid w:val="00100DB9"/>
    <w:rsid w:val="00101487"/>
    <w:rsid w:val="00107646"/>
    <w:rsid w:val="00114A81"/>
    <w:rsid w:val="00120BE7"/>
    <w:rsid w:val="001210C1"/>
    <w:rsid w:val="00135E7B"/>
    <w:rsid w:val="001414F8"/>
    <w:rsid w:val="0015068C"/>
    <w:rsid w:val="00156E98"/>
    <w:rsid w:val="001672FE"/>
    <w:rsid w:val="00171CB3"/>
    <w:rsid w:val="0017751B"/>
    <w:rsid w:val="00192040"/>
    <w:rsid w:val="001A25FB"/>
    <w:rsid w:val="001B404E"/>
    <w:rsid w:val="001C32A5"/>
    <w:rsid w:val="001D2FF8"/>
    <w:rsid w:val="001D446A"/>
    <w:rsid w:val="001E30FC"/>
    <w:rsid w:val="001E7FFA"/>
    <w:rsid w:val="001F011D"/>
    <w:rsid w:val="0020783E"/>
    <w:rsid w:val="00213B8C"/>
    <w:rsid w:val="002158F4"/>
    <w:rsid w:val="00220D8E"/>
    <w:rsid w:val="0024518B"/>
    <w:rsid w:val="0026636D"/>
    <w:rsid w:val="0027462E"/>
    <w:rsid w:val="00284AB7"/>
    <w:rsid w:val="002B3FA0"/>
    <w:rsid w:val="002B4177"/>
    <w:rsid w:val="002C6F66"/>
    <w:rsid w:val="002F1E6D"/>
    <w:rsid w:val="002F250A"/>
    <w:rsid w:val="002F4A06"/>
    <w:rsid w:val="00301A19"/>
    <w:rsid w:val="003164EE"/>
    <w:rsid w:val="00343EB9"/>
    <w:rsid w:val="0035196F"/>
    <w:rsid w:val="003528D6"/>
    <w:rsid w:val="00355FC3"/>
    <w:rsid w:val="003604AD"/>
    <w:rsid w:val="00362487"/>
    <w:rsid w:val="00370F9C"/>
    <w:rsid w:val="0037412E"/>
    <w:rsid w:val="003765CC"/>
    <w:rsid w:val="00384E03"/>
    <w:rsid w:val="00396E6B"/>
    <w:rsid w:val="003A012F"/>
    <w:rsid w:val="003A2058"/>
    <w:rsid w:val="003A7971"/>
    <w:rsid w:val="003B3F85"/>
    <w:rsid w:val="003D3C5D"/>
    <w:rsid w:val="003D4BDD"/>
    <w:rsid w:val="003E2B01"/>
    <w:rsid w:val="003E52A8"/>
    <w:rsid w:val="003F2ADF"/>
    <w:rsid w:val="00402509"/>
    <w:rsid w:val="00404747"/>
    <w:rsid w:val="004065E9"/>
    <w:rsid w:val="00414E3A"/>
    <w:rsid w:val="00431894"/>
    <w:rsid w:val="00455B9D"/>
    <w:rsid w:val="00462CF9"/>
    <w:rsid w:val="00470949"/>
    <w:rsid w:val="00472E3C"/>
    <w:rsid w:val="00480DBA"/>
    <w:rsid w:val="00494007"/>
    <w:rsid w:val="004A1459"/>
    <w:rsid w:val="004A1906"/>
    <w:rsid w:val="004C1729"/>
    <w:rsid w:val="004C7D1E"/>
    <w:rsid w:val="004D7766"/>
    <w:rsid w:val="004E5200"/>
    <w:rsid w:val="004F5088"/>
    <w:rsid w:val="0050026E"/>
    <w:rsid w:val="0050185A"/>
    <w:rsid w:val="00515AE1"/>
    <w:rsid w:val="00521C53"/>
    <w:rsid w:val="005275FE"/>
    <w:rsid w:val="00531E27"/>
    <w:rsid w:val="0054681E"/>
    <w:rsid w:val="00547779"/>
    <w:rsid w:val="005564A2"/>
    <w:rsid w:val="00584CA2"/>
    <w:rsid w:val="005C1BFD"/>
    <w:rsid w:val="005C2DF9"/>
    <w:rsid w:val="005D7D2A"/>
    <w:rsid w:val="005E3F3C"/>
    <w:rsid w:val="005F3D99"/>
    <w:rsid w:val="006046CF"/>
    <w:rsid w:val="00617E41"/>
    <w:rsid w:val="006A272E"/>
    <w:rsid w:val="006A6E74"/>
    <w:rsid w:val="006A706A"/>
    <w:rsid w:val="006B3E33"/>
    <w:rsid w:val="006E448A"/>
    <w:rsid w:val="00701969"/>
    <w:rsid w:val="00702DCD"/>
    <w:rsid w:val="00707EDA"/>
    <w:rsid w:val="00731006"/>
    <w:rsid w:val="0073637B"/>
    <w:rsid w:val="00736A10"/>
    <w:rsid w:val="0075498D"/>
    <w:rsid w:val="00775B24"/>
    <w:rsid w:val="007820A4"/>
    <w:rsid w:val="00782FAF"/>
    <w:rsid w:val="00791D39"/>
    <w:rsid w:val="007A2C38"/>
    <w:rsid w:val="007B4BCC"/>
    <w:rsid w:val="007C4BE8"/>
    <w:rsid w:val="007D4858"/>
    <w:rsid w:val="007D618F"/>
    <w:rsid w:val="007F2ABC"/>
    <w:rsid w:val="008002BA"/>
    <w:rsid w:val="00807C2B"/>
    <w:rsid w:val="00830F48"/>
    <w:rsid w:val="00857614"/>
    <w:rsid w:val="00866E17"/>
    <w:rsid w:val="00893741"/>
    <w:rsid w:val="008A46EC"/>
    <w:rsid w:val="008A6756"/>
    <w:rsid w:val="008B0AC7"/>
    <w:rsid w:val="008E3358"/>
    <w:rsid w:val="008E7E51"/>
    <w:rsid w:val="009157B6"/>
    <w:rsid w:val="00922C3A"/>
    <w:rsid w:val="009230DF"/>
    <w:rsid w:val="0094267D"/>
    <w:rsid w:val="009464DC"/>
    <w:rsid w:val="00975435"/>
    <w:rsid w:val="00995226"/>
    <w:rsid w:val="009A07BF"/>
    <w:rsid w:val="009A769C"/>
    <w:rsid w:val="009B0D52"/>
    <w:rsid w:val="009B224E"/>
    <w:rsid w:val="009D0C93"/>
    <w:rsid w:val="009E5CD7"/>
    <w:rsid w:val="009F2890"/>
    <w:rsid w:val="009F55C8"/>
    <w:rsid w:val="009F6579"/>
    <w:rsid w:val="00A01E7C"/>
    <w:rsid w:val="00A035CA"/>
    <w:rsid w:val="00A046C7"/>
    <w:rsid w:val="00A07E91"/>
    <w:rsid w:val="00A15A02"/>
    <w:rsid w:val="00A26337"/>
    <w:rsid w:val="00A65BFA"/>
    <w:rsid w:val="00A70F57"/>
    <w:rsid w:val="00A760AE"/>
    <w:rsid w:val="00A7679F"/>
    <w:rsid w:val="00A768F4"/>
    <w:rsid w:val="00A84498"/>
    <w:rsid w:val="00A864F2"/>
    <w:rsid w:val="00A92022"/>
    <w:rsid w:val="00A96775"/>
    <w:rsid w:val="00A96850"/>
    <w:rsid w:val="00AA5C68"/>
    <w:rsid w:val="00AC2D36"/>
    <w:rsid w:val="00AC629E"/>
    <w:rsid w:val="00AE4EF2"/>
    <w:rsid w:val="00AF2857"/>
    <w:rsid w:val="00B04941"/>
    <w:rsid w:val="00B2686F"/>
    <w:rsid w:val="00B31C3B"/>
    <w:rsid w:val="00B54F8D"/>
    <w:rsid w:val="00B70815"/>
    <w:rsid w:val="00B720E2"/>
    <w:rsid w:val="00B74C08"/>
    <w:rsid w:val="00B7510F"/>
    <w:rsid w:val="00BA1DFF"/>
    <w:rsid w:val="00BB2DC6"/>
    <w:rsid w:val="00BB47D9"/>
    <w:rsid w:val="00BD07AF"/>
    <w:rsid w:val="00BE1502"/>
    <w:rsid w:val="00C07E62"/>
    <w:rsid w:val="00C116A1"/>
    <w:rsid w:val="00C21D02"/>
    <w:rsid w:val="00C25A3B"/>
    <w:rsid w:val="00C27F67"/>
    <w:rsid w:val="00C3095D"/>
    <w:rsid w:val="00C50545"/>
    <w:rsid w:val="00C51149"/>
    <w:rsid w:val="00C617F5"/>
    <w:rsid w:val="00C859FA"/>
    <w:rsid w:val="00C92A41"/>
    <w:rsid w:val="00CC2B63"/>
    <w:rsid w:val="00CC56CC"/>
    <w:rsid w:val="00CD54B1"/>
    <w:rsid w:val="00CF178D"/>
    <w:rsid w:val="00D141DE"/>
    <w:rsid w:val="00D14883"/>
    <w:rsid w:val="00D20CF8"/>
    <w:rsid w:val="00D21D20"/>
    <w:rsid w:val="00D21ECE"/>
    <w:rsid w:val="00D3070B"/>
    <w:rsid w:val="00D34558"/>
    <w:rsid w:val="00D36011"/>
    <w:rsid w:val="00D65454"/>
    <w:rsid w:val="00D92FE9"/>
    <w:rsid w:val="00D93891"/>
    <w:rsid w:val="00D95A10"/>
    <w:rsid w:val="00DA0099"/>
    <w:rsid w:val="00DA4871"/>
    <w:rsid w:val="00DA5453"/>
    <w:rsid w:val="00DA5E34"/>
    <w:rsid w:val="00DC2ACA"/>
    <w:rsid w:val="00DD0DE1"/>
    <w:rsid w:val="00DF0C5E"/>
    <w:rsid w:val="00DF7CAB"/>
    <w:rsid w:val="00E00BE7"/>
    <w:rsid w:val="00E11D0B"/>
    <w:rsid w:val="00E207D8"/>
    <w:rsid w:val="00E276B3"/>
    <w:rsid w:val="00E42A10"/>
    <w:rsid w:val="00E45842"/>
    <w:rsid w:val="00E53A6A"/>
    <w:rsid w:val="00E7384E"/>
    <w:rsid w:val="00E83AF9"/>
    <w:rsid w:val="00E92362"/>
    <w:rsid w:val="00E93D1F"/>
    <w:rsid w:val="00E95A7C"/>
    <w:rsid w:val="00EA4943"/>
    <w:rsid w:val="00EB0B78"/>
    <w:rsid w:val="00EB6CAE"/>
    <w:rsid w:val="00EC27BA"/>
    <w:rsid w:val="00EC444B"/>
    <w:rsid w:val="00ED276E"/>
    <w:rsid w:val="00ED498F"/>
    <w:rsid w:val="00EF2408"/>
    <w:rsid w:val="00EF7FBC"/>
    <w:rsid w:val="00F2130B"/>
    <w:rsid w:val="00F51C1C"/>
    <w:rsid w:val="00F53709"/>
    <w:rsid w:val="00F638C6"/>
    <w:rsid w:val="00F72CDB"/>
    <w:rsid w:val="00F8327F"/>
    <w:rsid w:val="00FA4C84"/>
    <w:rsid w:val="00FB518E"/>
    <w:rsid w:val="00FC12B1"/>
    <w:rsid w:val="00FC4CCA"/>
    <w:rsid w:val="00FE2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F3D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F7FBC"/>
    <w:pPr>
      <w:tabs>
        <w:tab w:val="center" w:pos="4320"/>
        <w:tab w:val="right" w:pos="8640"/>
      </w:tabs>
    </w:p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rPr>
      <w:b/>
    </w:rPr>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pPr>
      <w:widowControl w:val="0"/>
      <w:tabs>
        <w:tab w:val="left" w:pos="5040"/>
        <w:tab w:val="left" w:pos="5760"/>
        <w:tab w:val="left" w:pos="6480"/>
        <w:tab w:val="left" w:pos="7200"/>
        <w:tab w:val="left" w:pos="7920"/>
      </w:tabs>
      <w:ind w:left="5040"/>
    </w:pPr>
  </w:style>
  <w:style w:type="paragraph" w:customStyle="1" w:styleId="19">
    <w:name w:val="_19"/>
    <w:basedOn w:val="Normal"/>
    <w:pPr>
      <w:widowControl w:val="0"/>
      <w:tabs>
        <w:tab w:val="left" w:pos="5760"/>
        <w:tab w:val="left" w:pos="6480"/>
        <w:tab w:val="left" w:pos="7200"/>
        <w:tab w:val="left" w:pos="7920"/>
      </w:tabs>
      <w:ind w:left="5760"/>
    </w:pPr>
  </w:style>
  <w:style w:type="paragraph" w:customStyle="1" w:styleId="18">
    <w:name w:val="_18"/>
    <w:basedOn w:val="Normal"/>
    <w:pPr>
      <w:widowControl w:val="0"/>
      <w:tabs>
        <w:tab w:val="left" w:pos="6480"/>
        <w:tab w:val="left" w:pos="7200"/>
        <w:tab w:val="left" w:pos="7920"/>
      </w:tabs>
      <w:ind w:left="6480"/>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pPr>
      <w:widowControl w:val="0"/>
      <w:tabs>
        <w:tab w:val="left" w:pos="5040"/>
        <w:tab w:val="left" w:pos="5760"/>
        <w:tab w:val="left" w:pos="6480"/>
        <w:tab w:val="left" w:pos="7200"/>
        <w:tab w:val="left" w:pos="7920"/>
      </w:tabs>
      <w:ind w:left="5040"/>
    </w:pPr>
  </w:style>
  <w:style w:type="paragraph" w:customStyle="1" w:styleId="10">
    <w:name w:val="_10"/>
    <w:basedOn w:val="Normal"/>
    <w:pPr>
      <w:widowControl w:val="0"/>
      <w:tabs>
        <w:tab w:val="left" w:pos="5760"/>
        <w:tab w:val="left" w:pos="6480"/>
        <w:tab w:val="left" w:pos="7200"/>
        <w:tab w:val="left" w:pos="7920"/>
      </w:tabs>
      <w:ind w:left="5760"/>
    </w:pPr>
  </w:style>
  <w:style w:type="paragraph" w:customStyle="1" w:styleId="9">
    <w:name w:val="_9"/>
    <w:basedOn w:val="Normal"/>
    <w:pPr>
      <w:widowControl w:val="0"/>
      <w:tabs>
        <w:tab w:val="left" w:pos="6480"/>
        <w:tab w:val="left" w:pos="7200"/>
        <w:tab w:val="left" w:pos="792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s>
      <w:ind w:left="4320"/>
    </w:pPr>
  </w:style>
  <w:style w:type="paragraph" w:customStyle="1" w:styleId="2">
    <w:name w:val="_2"/>
    <w:basedOn w:val="Normal"/>
    <w:pPr>
      <w:widowControl w:val="0"/>
      <w:tabs>
        <w:tab w:val="left" w:pos="5040"/>
        <w:tab w:val="left" w:pos="5760"/>
        <w:tab w:val="left" w:pos="6480"/>
        <w:tab w:val="left" w:pos="7200"/>
        <w:tab w:val="left" w:pos="7920"/>
      </w:tabs>
      <w:ind w:left="5040"/>
    </w:pPr>
  </w:style>
  <w:style w:type="paragraph" w:customStyle="1" w:styleId="1">
    <w:name w:val="_1"/>
    <w:basedOn w:val="Normal"/>
    <w:pPr>
      <w:widowControl w:val="0"/>
      <w:tabs>
        <w:tab w:val="left" w:pos="5760"/>
        <w:tab w:val="left" w:pos="6480"/>
        <w:tab w:val="left" w:pos="7200"/>
        <w:tab w:val="left" w:pos="7920"/>
      </w:tabs>
      <w:ind w:left="5760"/>
    </w:pPr>
  </w:style>
  <w:style w:type="paragraph" w:customStyle="1" w:styleId="a">
    <w:name w:val="_"/>
    <w:basedOn w:val="Normal"/>
    <w:pPr>
      <w:widowControl w:val="0"/>
      <w:tabs>
        <w:tab w:val="left" w:pos="6480"/>
        <w:tab w:val="left" w:pos="7200"/>
        <w:tab w:val="left" w:pos="7920"/>
      </w:tabs>
      <w:ind w:left="6480"/>
    </w:pPr>
  </w:style>
  <w:style w:type="character" w:customStyle="1" w:styleId="DefaultPara">
    <w:name w:val="Default Para"/>
    <w:basedOn w:val="DefaultParagraphFont"/>
  </w:style>
  <w:style w:type="paragraph" w:styleId="Footer">
    <w:name w:val="footer"/>
    <w:basedOn w:val="Normal"/>
    <w:rsid w:val="00EF7FBC"/>
    <w:pPr>
      <w:tabs>
        <w:tab w:val="center" w:pos="4320"/>
        <w:tab w:val="right" w:pos="8640"/>
      </w:tabs>
    </w:pPr>
  </w:style>
  <w:style w:type="paragraph" w:styleId="BalloonText">
    <w:name w:val="Balloon Text"/>
    <w:basedOn w:val="Normal"/>
    <w:semiHidden/>
    <w:rsid w:val="0075498D"/>
    <w:rPr>
      <w:rFonts w:ascii="Tahoma" w:hAnsi="Tahoma" w:cs="Tahoma"/>
      <w:sz w:val="16"/>
      <w:szCs w:val="16"/>
    </w:rPr>
  </w:style>
  <w:style w:type="character" w:styleId="PageNumber">
    <w:name w:val="page number"/>
    <w:rsid w:val="00A92022"/>
    <w:rPr>
      <w:rFonts w:ascii="Arial" w:hAnsi="Arial"/>
      <w:sz w:val="22"/>
    </w:rPr>
  </w:style>
  <w:style w:type="character" w:styleId="Hyperlink">
    <w:name w:val="Hyperlink"/>
    <w:basedOn w:val="DefaultParagraphFont"/>
    <w:uiPriority w:val="99"/>
    <w:unhideWhenUsed/>
    <w:rsid w:val="00E53A6A"/>
    <w:rPr>
      <w:color w:val="0563C1" w:themeColor="hyperlink"/>
      <w:u w:val="single"/>
    </w:rPr>
  </w:style>
  <w:style w:type="character" w:styleId="CommentReference">
    <w:name w:val="annotation reference"/>
    <w:basedOn w:val="DefaultParagraphFont"/>
    <w:rsid w:val="00404747"/>
    <w:rPr>
      <w:sz w:val="16"/>
      <w:szCs w:val="16"/>
    </w:rPr>
  </w:style>
  <w:style w:type="paragraph" w:styleId="CommentText">
    <w:name w:val="annotation text"/>
    <w:basedOn w:val="Normal"/>
    <w:link w:val="CommentTextChar"/>
    <w:rsid w:val="00404747"/>
    <w:rPr>
      <w:sz w:val="20"/>
    </w:rPr>
  </w:style>
  <w:style w:type="character" w:customStyle="1" w:styleId="CommentTextChar">
    <w:name w:val="Comment Text Char"/>
    <w:basedOn w:val="DefaultParagraphFont"/>
    <w:link w:val="CommentText"/>
    <w:rsid w:val="00404747"/>
  </w:style>
  <w:style w:type="paragraph" w:styleId="CommentSubject">
    <w:name w:val="annotation subject"/>
    <w:basedOn w:val="CommentText"/>
    <w:next w:val="CommentText"/>
    <w:link w:val="CommentSubjectChar"/>
    <w:rsid w:val="00404747"/>
    <w:rPr>
      <w:b/>
      <w:bCs/>
    </w:rPr>
  </w:style>
  <w:style w:type="character" w:customStyle="1" w:styleId="CommentSubjectChar">
    <w:name w:val="Comment Subject Char"/>
    <w:basedOn w:val="CommentTextChar"/>
    <w:link w:val="CommentSubject"/>
    <w:rsid w:val="00404747"/>
    <w:rPr>
      <w:b/>
      <w:bCs/>
    </w:rPr>
  </w:style>
  <w:style w:type="paragraph" w:styleId="ListParagraph">
    <w:name w:val="List Paragraph"/>
    <w:basedOn w:val="Normal"/>
    <w:uiPriority w:val="34"/>
    <w:qFormat/>
    <w:rsid w:val="001E7FFA"/>
    <w:pPr>
      <w:spacing w:line="276" w:lineRule="auto"/>
      <w:ind w:left="720"/>
      <w:contextualSpacing/>
    </w:pPr>
    <w:rPr>
      <w:rFonts w:ascii="Arial" w:eastAsiaTheme="minorHAnsi" w:hAnsi="Arial" w:cs="Arial"/>
      <w:sz w:val="22"/>
      <w:szCs w:val="22"/>
    </w:rPr>
  </w:style>
  <w:style w:type="table" w:styleId="TableGrid">
    <w:name w:val="Table Grid"/>
    <w:basedOn w:val="TableNormal"/>
    <w:rsid w:val="003E2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515AE1"/>
  </w:style>
  <w:style w:type="paragraph" w:styleId="FootnoteText">
    <w:name w:val="footnote text"/>
    <w:basedOn w:val="Normal"/>
    <w:link w:val="FootnoteTextChar"/>
    <w:rsid w:val="00515AE1"/>
    <w:pPr>
      <w:widowControl w:val="0"/>
      <w:autoSpaceDE w:val="0"/>
      <w:autoSpaceDN w:val="0"/>
      <w:adjustRightInd w:val="0"/>
    </w:pPr>
    <w:rPr>
      <w:rFonts w:ascii="Mona Lisa Recut" w:hAnsi="Mona Lisa Recut"/>
      <w:sz w:val="20"/>
    </w:rPr>
  </w:style>
  <w:style w:type="character" w:customStyle="1" w:styleId="FootnoteTextChar">
    <w:name w:val="Footnote Text Char"/>
    <w:basedOn w:val="DefaultParagraphFont"/>
    <w:link w:val="FootnoteText"/>
    <w:rsid w:val="00515AE1"/>
    <w:rPr>
      <w:rFonts w:ascii="Mona Lisa Recut" w:hAnsi="Mona Lisa Recu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F7FBC"/>
    <w:pPr>
      <w:tabs>
        <w:tab w:val="center" w:pos="4320"/>
        <w:tab w:val="right" w:pos="8640"/>
      </w:tabs>
    </w:p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rPr>
      <w:b/>
    </w:rPr>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pPr>
      <w:widowControl w:val="0"/>
      <w:tabs>
        <w:tab w:val="left" w:pos="5040"/>
        <w:tab w:val="left" w:pos="5760"/>
        <w:tab w:val="left" w:pos="6480"/>
        <w:tab w:val="left" w:pos="7200"/>
        <w:tab w:val="left" w:pos="7920"/>
      </w:tabs>
      <w:ind w:left="5040"/>
    </w:pPr>
  </w:style>
  <w:style w:type="paragraph" w:customStyle="1" w:styleId="19">
    <w:name w:val="_19"/>
    <w:basedOn w:val="Normal"/>
    <w:pPr>
      <w:widowControl w:val="0"/>
      <w:tabs>
        <w:tab w:val="left" w:pos="5760"/>
        <w:tab w:val="left" w:pos="6480"/>
        <w:tab w:val="left" w:pos="7200"/>
        <w:tab w:val="left" w:pos="7920"/>
      </w:tabs>
      <w:ind w:left="5760"/>
    </w:pPr>
  </w:style>
  <w:style w:type="paragraph" w:customStyle="1" w:styleId="18">
    <w:name w:val="_18"/>
    <w:basedOn w:val="Normal"/>
    <w:pPr>
      <w:widowControl w:val="0"/>
      <w:tabs>
        <w:tab w:val="left" w:pos="6480"/>
        <w:tab w:val="left" w:pos="7200"/>
        <w:tab w:val="left" w:pos="7920"/>
      </w:tabs>
      <w:ind w:left="6480"/>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pPr>
      <w:widowControl w:val="0"/>
      <w:tabs>
        <w:tab w:val="left" w:pos="5040"/>
        <w:tab w:val="left" w:pos="5760"/>
        <w:tab w:val="left" w:pos="6480"/>
        <w:tab w:val="left" w:pos="7200"/>
        <w:tab w:val="left" w:pos="7920"/>
      </w:tabs>
      <w:ind w:left="5040"/>
    </w:pPr>
  </w:style>
  <w:style w:type="paragraph" w:customStyle="1" w:styleId="10">
    <w:name w:val="_10"/>
    <w:basedOn w:val="Normal"/>
    <w:pPr>
      <w:widowControl w:val="0"/>
      <w:tabs>
        <w:tab w:val="left" w:pos="5760"/>
        <w:tab w:val="left" w:pos="6480"/>
        <w:tab w:val="left" w:pos="7200"/>
        <w:tab w:val="left" w:pos="7920"/>
      </w:tabs>
      <w:ind w:left="5760"/>
    </w:pPr>
  </w:style>
  <w:style w:type="paragraph" w:customStyle="1" w:styleId="9">
    <w:name w:val="_9"/>
    <w:basedOn w:val="Normal"/>
    <w:pPr>
      <w:widowControl w:val="0"/>
      <w:tabs>
        <w:tab w:val="left" w:pos="6480"/>
        <w:tab w:val="left" w:pos="7200"/>
        <w:tab w:val="left" w:pos="792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s>
      <w:ind w:left="4320"/>
    </w:pPr>
  </w:style>
  <w:style w:type="paragraph" w:customStyle="1" w:styleId="2">
    <w:name w:val="_2"/>
    <w:basedOn w:val="Normal"/>
    <w:pPr>
      <w:widowControl w:val="0"/>
      <w:tabs>
        <w:tab w:val="left" w:pos="5040"/>
        <w:tab w:val="left" w:pos="5760"/>
        <w:tab w:val="left" w:pos="6480"/>
        <w:tab w:val="left" w:pos="7200"/>
        <w:tab w:val="left" w:pos="7920"/>
      </w:tabs>
      <w:ind w:left="5040"/>
    </w:pPr>
  </w:style>
  <w:style w:type="paragraph" w:customStyle="1" w:styleId="1">
    <w:name w:val="_1"/>
    <w:basedOn w:val="Normal"/>
    <w:pPr>
      <w:widowControl w:val="0"/>
      <w:tabs>
        <w:tab w:val="left" w:pos="5760"/>
        <w:tab w:val="left" w:pos="6480"/>
        <w:tab w:val="left" w:pos="7200"/>
        <w:tab w:val="left" w:pos="7920"/>
      </w:tabs>
      <w:ind w:left="5760"/>
    </w:pPr>
  </w:style>
  <w:style w:type="paragraph" w:customStyle="1" w:styleId="a">
    <w:name w:val="_"/>
    <w:basedOn w:val="Normal"/>
    <w:pPr>
      <w:widowControl w:val="0"/>
      <w:tabs>
        <w:tab w:val="left" w:pos="6480"/>
        <w:tab w:val="left" w:pos="7200"/>
        <w:tab w:val="left" w:pos="7920"/>
      </w:tabs>
      <w:ind w:left="6480"/>
    </w:pPr>
  </w:style>
  <w:style w:type="character" w:customStyle="1" w:styleId="DefaultPara">
    <w:name w:val="Default Para"/>
    <w:basedOn w:val="DefaultParagraphFont"/>
  </w:style>
  <w:style w:type="paragraph" w:styleId="Footer">
    <w:name w:val="footer"/>
    <w:basedOn w:val="Normal"/>
    <w:rsid w:val="00EF7FBC"/>
    <w:pPr>
      <w:tabs>
        <w:tab w:val="center" w:pos="4320"/>
        <w:tab w:val="right" w:pos="8640"/>
      </w:tabs>
    </w:pPr>
  </w:style>
  <w:style w:type="paragraph" w:styleId="BalloonText">
    <w:name w:val="Balloon Text"/>
    <w:basedOn w:val="Normal"/>
    <w:semiHidden/>
    <w:rsid w:val="0075498D"/>
    <w:rPr>
      <w:rFonts w:ascii="Tahoma" w:hAnsi="Tahoma" w:cs="Tahoma"/>
      <w:sz w:val="16"/>
      <w:szCs w:val="16"/>
    </w:rPr>
  </w:style>
  <w:style w:type="character" w:styleId="PageNumber">
    <w:name w:val="page number"/>
    <w:rsid w:val="00A92022"/>
    <w:rPr>
      <w:rFonts w:ascii="Arial" w:hAnsi="Arial"/>
      <w:sz w:val="22"/>
    </w:rPr>
  </w:style>
  <w:style w:type="character" w:styleId="Hyperlink">
    <w:name w:val="Hyperlink"/>
    <w:basedOn w:val="DefaultParagraphFont"/>
    <w:uiPriority w:val="99"/>
    <w:unhideWhenUsed/>
    <w:rsid w:val="00E53A6A"/>
    <w:rPr>
      <w:color w:val="0563C1" w:themeColor="hyperlink"/>
      <w:u w:val="single"/>
    </w:rPr>
  </w:style>
  <w:style w:type="character" w:styleId="CommentReference">
    <w:name w:val="annotation reference"/>
    <w:basedOn w:val="DefaultParagraphFont"/>
    <w:rsid w:val="00404747"/>
    <w:rPr>
      <w:sz w:val="16"/>
      <w:szCs w:val="16"/>
    </w:rPr>
  </w:style>
  <w:style w:type="paragraph" w:styleId="CommentText">
    <w:name w:val="annotation text"/>
    <w:basedOn w:val="Normal"/>
    <w:link w:val="CommentTextChar"/>
    <w:rsid w:val="00404747"/>
    <w:rPr>
      <w:sz w:val="20"/>
    </w:rPr>
  </w:style>
  <w:style w:type="character" w:customStyle="1" w:styleId="CommentTextChar">
    <w:name w:val="Comment Text Char"/>
    <w:basedOn w:val="DefaultParagraphFont"/>
    <w:link w:val="CommentText"/>
    <w:rsid w:val="00404747"/>
  </w:style>
  <w:style w:type="paragraph" w:styleId="CommentSubject">
    <w:name w:val="annotation subject"/>
    <w:basedOn w:val="CommentText"/>
    <w:next w:val="CommentText"/>
    <w:link w:val="CommentSubjectChar"/>
    <w:rsid w:val="00404747"/>
    <w:rPr>
      <w:b/>
      <w:bCs/>
    </w:rPr>
  </w:style>
  <w:style w:type="character" w:customStyle="1" w:styleId="CommentSubjectChar">
    <w:name w:val="Comment Subject Char"/>
    <w:basedOn w:val="CommentTextChar"/>
    <w:link w:val="CommentSubject"/>
    <w:rsid w:val="00404747"/>
    <w:rPr>
      <w:b/>
      <w:bCs/>
    </w:rPr>
  </w:style>
  <w:style w:type="paragraph" w:styleId="ListParagraph">
    <w:name w:val="List Paragraph"/>
    <w:basedOn w:val="Normal"/>
    <w:uiPriority w:val="34"/>
    <w:qFormat/>
    <w:rsid w:val="001E7FFA"/>
    <w:pPr>
      <w:spacing w:line="276" w:lineRule="auto"/>
      <w:ind w:left="720"/>
      <w:contextualSpacing/>
    </w:pPr>
    <w:rPr>
      <w:rFonts w:ascii="Arial" w:eastAsiaTheme="minorHAnsi" w:hAnsi="Arial" w:cs="Arial"/>
      <w:sz w:val="22"/>
      <w:szCs w:val="22"/>
    </w:rPr>
  </w:style>
  <w:style w:type="table" w:styleId="TableGrid">
    <w:name w:val="Table Grid"/>
    <w:basedOn w:val="TableNormal"/>
    <w:rsid w:val="003E2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515AE1"/>
  </w:style>
  <w:style w:type="paragraph" w:styleId="FootnoteText">
    <w:name w:val="footnote text"/>
    <w:basedOn w:val="Normal"/>
    <w:link w:val="FootnoteTextChar"/>
    <w:rsid w:val="00515AE1"/>
    <w:pPr>
      <w:widowControl w:val="0"/>
      <w:autoSpaceDE w:val="0"/>
      <w:autoSpaceDN w:val="0"/>
      <w:adjustRightInd w:val="0"/>
    </w:pPr>
    <w:rPr>
      <w:rFonts w:ascii="Mona Lisa Recut" w:hAnsi="Mona Lisa Recut"/>
      <w:sz w:val="20"/>
    </w:rPr>
  </w:style>
  <w:style w:type="character" w:customStyle="1" w:styleId="FootnoteTextChar">
    <w:name w:val="Footnote Text Char"/>
    <w:basedOn w:val="DefaultParagraphFont"/>
    <w:link w:val="FootnoteText"/>
    <w:rsid w:val="00515AE1"/>
    <w:rPr>
      <w:rFonts w:ascii="Mona Lisa Recut" w:hAnsi="Mona Lisa Recu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127565">
      <w:bodyDiv w:val="1"/>
      <w:marLeft w:val="0"/>
      <w:marRight w:val="0"/>
      <w:marTop w:val="0"/>
      <w:marBottom w:val="0"/>
      <w:divBdr>
        <w:top w:val="none" w:sz="0" w:space="0" w:color="auto"/>
        <w:left w:val="none" w:sz="0" w:space="0" w:color="auto"/>
        <w:bottom w:val="none" w:sz="0" w:space="0" w:color="auto"/>
        <w:right w:val="none" w:sz="0" w:space="0" w:color="auto"/>
      </w:divBdr>
    </w:div>
    <w:div w:id="420417315">
      <w:bodyDiv w:val="1"/>
      <w:marLeft w:val="0"/>
      <w:marRight w:val="0"/>
      <w:marTop w:val="0"/>
      <w:marBottom w:val="0"/>
      <w:divBdr>
        <w:top w:val="none" w:sz="0" w:space="0" w:color="auto"/>
        <w:left w:val="none" w:sz="0" w:space="0" w:color="auto"/>
        <w:bottom w:val="none" w:sz="0" w:space="0" w:color="auto"/>
        <w:right w:val="none" w:sz="0" w:space="0" w:color="auto"/>
      </w:divBdr>
    </w:div>
    <w:div w:id="801969128">
      <w:bodyDiv w:val="1"/>
      <w:marLeft w:val="0"/>
      <w:marRight w:val="0"/>
      <w:marTop w:val="0"/>
      <w:marBottom w:val="0"/>
      <w:divBdr>
        <w:top w:val="none" w:sz="0" w:space="0" w:color="auto"/>
        <w:left w:val="none" w:sz="0" w:space="0" w:color="auto"/>
        <w:bottom w:val="none" w:sz="0" w:space="0" w:color="auto"/>
        <w:right w:val="none" w:sz="0" w:space="0" w:color="auto"/>
      </w:divBdr>
    </w:div>
    <w:div w:id="857738864">
      <w:bodyDiv w:val="1"/>
      <w:marLeft w:val="0"/>
      <w:marRight w:val="0"/>
      <w:marTop w:val="0"/>
      <w:marBottom w:val="0"/>
      <w:divBdr>
        <w:top w:val="none" w:sz="0" w:space="0" w:color="auto"/>
        <w:left w:val="none" w:sz="0" w:space="0" w:color="auto"/>
        <w:bottom w:val="none" w:sz="0" w:space="0" w:color="auto"/>
        <w:right w:val="none" w:sz="0" w:space="0" w:color="auto"/>
      </w:divBdr>
    </w:div>
    <w:div w:id="946809035">
      <w:bodyDiv w:val="1"/>
      <w:marLeft w:val="0"/>
      <w:marRight w:val="0"/>
      <w:marTop w:val="0"/>
      <w:marBottom w:val="0"/>
      <w:divBdr>
        <w:top w:val="none" w:sz="0" w:space="0" w:color="auto"/>
        <w:left w:val="none" w:sz="0" w:space="0" w:color="auto"/>
        <w:bottom w:val="none" w:sz="0" w:space="0" w:color="auto"/>
        <w:right w:val="none" w:sz="0" w:space="0" w:color="auto"/>
      </w:divBdr>
    </w:div>
    <w:div w:id="1063142236">
      <w:bodyDiv w:val="1"/>
      <w:marLeft w:val="0"/>
      <w:marRight w:val="0"/>
      <w:marTop w:val="0"/>
      <w:marBottom w:val="0"/>
      <w:divBdr>
        <w:top w:val="none" w:sz="0" w:space="0" w:color="auto"/>
        <w:left w:val="none" w:sz="0" w:space="0" w:color="auto"/>
        <w:bottom w:val="none" w:sz="0" w:space="0" w:color="auto"/>
        <w:right w:val="none" w:sz="0" w:space="0" w:color="auto"/>
      </w:divBdr>
    </w:div>
    <w:div w:id="1141458490">
      <w:bodyDiv w:val="1"/>
      <w:marLeft w:val="0"/>
      <w:marRight w:val="0"/>
      <w:marTop w:val="0"/>
      <w:marBottom w:val="0"/>
      <w:divBdr>
        <w:top w:val="none" w:sz="0" w:space="0" w:color="auto"/>
        <w:left w:val="none" w:sz="0" w:space="0" w:color="auto"/>
        <w:bottom w:val="none" w:sz="0" w:space="0" w:color="auto"/>
        <w:right w:val="none" w:sz="0" w:space="0" w:color="auto"/>
      </w:divBdr>
    </w:div>
    <w:div w:id="1160002042">
      <w:bodyDiv w:val="1"/>
      <w:marLeft w:val="0"/>
      <w:marRight w:val="0"/>
      <w:marTop w:val="0"/>
      <w:marBottom w:val="0"/>
      <w:divBdr>
        <w:top w:val="none" w:sz="0" w:space="0" w:color="auto"/>
        <w:left w:val="none" w:sz="0" w:space="0" w:color="auto"/>
        <w:bottom w:val="none" w:sz="0" w:space="0" w:color="auto"/>
        <w:right w:val="none" w:sz="0" w:space="0" w:color="auto"/>
      </w:divBdr>
    </w:div>
    <w:div w:id="1225678803">
      <w:bodyDiv w:val="1"/>
      <w:marLeft w:val="0"/>
      <w:marRight w:val="0"/>
      <w:marTop w:val="0"/>
      <w:marBottom w:val="0"/>
      <w:divBdr>
        <w:top w:val="none" w:sz="0" w:space="0" w:color="auto"/>
        <w:left w:val="none" w:sz="0" w:space="0" w:color="auto"/>
        <w:bottom w:val="none" w:sz="0" w:space="0" w:color="auto"/>
        <w:right w:val="none" w:sz="0" w:space="0" w:color="auto"/>
      </w:divBdr>
    </w:div>
    <w:div w:id="1625380883">
      <w:bodyDiv w:val="1"/>
      <w:marLeft w:val="0"/>
      <w:marRight w:val="0"/>
      <w:marTop w:val="0"/>
      <w:marBottom w:val="0"/>
      <w:divBdr>
        <w:top w:val="none" w:sz="0" w:space="0" w:color="auto"/>
        <w:left w:val="none" w:sz="0" w:space="0" w:color="auto"/>
        <w:bottom w:val="none" w:sz="0" w:space="0" w:color="auto"/>
        <w:right w:val="none" w:sz="0" w:space="0" w:color="auto"/>
      </w:divBdr>
    </w:div>
    <w:div w:id="2087531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nrc.gov/site-help/electronic-sub-ref-mat.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B6F22989693040A0FD428C16D11D8D" ma:contentTypeVersion="4" ma:contentTypeDescription="Create a new document." ma:contentTypeScope="" ma:versionID="b099ea8c66884d0fe83fd7ce7c579cfc">
  <xsd:schema xmlns:xsd="http://www.w3.org/2001/XMLSchema" xmlns:xs="http://www.w3.org/2001/XMLSchema" xmlns:p="http://schemas.microsoft.com/office/2006/metadata/properties" xmlns:ns2="1b5472cd-acd4-40a2-847f-9f330b2894d1" targetNamespace="http://schemas.microsoft.com/office/2006/metadata/properties" ma:root="true" ma:fieldsID="0daea76d85ad32a098186c8c94aaee6f" ns2:_="">
    <xsd:import namespace="1b5472cd-acd4-40a2-847f-9f330b2894d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5472cd-acd4-40a2-847f-9f330b2894d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b5472cd-acd4-40a2-847f-9f330b2894d1">WF3D534FWZTE-2140536802-657</_dlc_DocId>
    <_dlc_DocIdUrl xmlns="1b5472cd-acd4-40a2-847f-9f330b2894d1">
      <Url>http://fusion.nrc.gov/OCIO/team/GEMS/ISB/ICT/_layouts/DocIdRedir.aspx?ID=WF3D534FWZTE-2140536802-657</Url>
      <Description>WF3D534FWZTE-2140536802-657</Description>
    </_dlc_DocIdUrl>
  </documentManagement>
</p:properties>
</file>

<file path=customXml/itemProps1.xml><?xml version="1.0" encoding="utf-8"?>
<ds:datastoreItem xmlns:ds="http://schemas.openxmlformats.org/officeDocument/2006/customXml" ds:itemID="{B4A1143B-DF82-4EC1-8980-6B7E7FE10E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5472cd-acd4-40a2-847f-9f330b2894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1A2886-2AB4-4D8E-81B0-F02CCF0A63E1}">
  <ds:schemaRefs>
    <ds:schemaRef ds:uri="http://schemas.microsoft.com/sharepoint/events"/>
  </ds:schemaRefs>
</ds:datastoreItem>
</file>

<file path=customXml/itemProps3.xml><?xml version="1.0" encoding="utf-8"?>
<ds:datastoreItem xmlns:ds="http://schemas.openxmlformats.org/officeDocument/2006/customXml" ds:itemID="{23516F6B-92ED-421E-9078-EA69024AE618}">
  <ds:schemaRefs>
    <ds:schemaRef ds:uri="http://schemas.microsoft.com/sharepoint/v3/contenttype/forms"/>
  </ds:schemaRefs>
</ds:datastoreItem>
</file>

<file path=customXml/itemProps4.xml><?xml version="1.0" encoding="utf-8"?>
<ds:datastoreItem xmlns:ds="http://schemas.openxmlformats.org/officeDocument/2006/customXml" ds:itemID="{9946BCE0-41B7-4318-8ABB-32373AF4E3E1}">
  <ds:schemaRefs>
    <ds:schemaRef ds:uri="http://schemas.microsoft.com/office/2006/metadata/properties"/>
    <ds:schemaRef ds:uri="http://schemas.microsoft.com/office/infopath/2007/PartnerControls"/>
    <ds:schemaRef ds:uri="1b5472cd-acd4-40a2-847f-9f330b2894d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4180</Words>
  <Characters>23830</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Section 7</vt:lpstr>
    </vt:vector>
  </TitlesOfParts>
  <Company>USNRC</Company>
  <LinksUpToDate>false</LinksUpToDate>
  <CharactersWithSpaces>27955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dc:title>
  <dc:subject/>
  <dc:creator>Leslie A. Hill</dc:creator>
  <cp:keywords/>
  <cp:lastModifiedBy>SYSTEM</cp:lastModifiedBy>
  <cp:revision>2</cp:revision>
  <cp:lastPrinted>2012-11-19T19:20:00Z</cp:lastPrinted>
  <dcterms:created xsi:type="dcterms:W3CDTF">2018-01-30T20:40:00Z</dcterms:created>
  <dcterms:modified xsi:type="dcterms:W3CDTF">2018-01-30T20:40:00Z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0x010100EAB6F22989693040A0FD428C16D11D8D</vt:lpwstr>
  </property>
  <property fmtid="{D5CDD505-2E9C-101B-9397-08002B2CF9AE}" pid="3" name="_dlc_DocIdItemGuid">
    <vt:lpwstr>4a0b766f-0af7-406d-859a-e3e3ac3422f2</vt:lpwstr>
  </property>
</Properties>
</file>