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DEC1D" w14:textId="72477D46" w:rsidR="006D3765" w:rsidRDefault="006D3765" w:rsidP="00001D5E">
      <w:pPr>
        <w:spacing w:line="360" w:lineRule="auto"/>
        <w:jc w:val="center"/>
        <w:rPr>
          <w:b/>
          <w:caps/>
          <w:sz w:val="36"/>
          <w:szCs w:val="36"/>
        </w:rPr>
      </w:pPr>
      <w:r>
        <w:rPr>
          <w:b/>
          <w:caps/>
          <w:sz w:val="36"/>
          <w:szCs w:val="36"/>
        </w:rPr>
        <w:t xml:space="preserve"> </w:t>
      </w:r>
    </w:p>
    <w:p w14:paraId="4BE80BE5" w14:textId="77777777" w:rsidR="00937118" w:rsidRDefault="00937118" w:rsidP="00A52034">
      <w:pPr>
        <w:spacing w:line="360" w:lineRule="auto"/>
        <w:jc w:val="center"/>
        <w:rPr>
          <w:b/>
          <w:sz w:val="36"/>
          <w:szCs w:val="36"/>
        </w:rPr>
      </w:pPr>
      <w:r>
        <w:rPr>
          <w:b/>
          <w:sz w:val="36"/>
          <w:szCs w:val="36"/>
        </w:rPr>
        <w:t>Supporting Justification for OMB Clearance for the Child</w:t>
      </w:r>
      <w:r w:rsidRPr="00D6005B">
        <w:rPr>
          <w:b/>
          <w:sz w:val="36"/>
          <w:szCs w:val="36"/>
        </w:rPr>
        <w:t xml:space="preserve"> Nutrition Program Operations Study</w:t>
      </w:r>
      <w:r>
        <w:rPr>
          <w:b/>
          <w:sz w:val="36"/>
          <w:szCs w:val="36"/>
        </w:rPr>
        <w:t xml:space="preserve"> II (CN-OPS II)</w:t>
      </w:r>
    </w:p>
    <w:p w14:paraId="5B77F78A" w14:textId="24604B11" w:rsidR="00570A14" w:rsidRDefault="00570A14" w:rsidP="00A52034">
      <w:pPr>
        <w:spacing w:line="360" w:lineRule="auto"/>
        <w:jc w:val="center"/>
        <w:rPr>
          <w:b/>
          <w:sz w:val="36"/>
          <w:szCs w:val="36"/>
        </w:rPr>
      </w:pPr>
      <w:r>
        <w:rPr>
          <w:b/>
          <w:sz w:val="36"/>
          <w:szCs w:val="36"/>
        </w:rPr>
        <w:t>OMB # 0584-0607</w:t>
      </w:r>
    </w:p>
    <w:p w14:paraId="201D3798" w14:textId="77777777" w:rsidR="00937118" w:rsidRPr="00D6005B" w:rsidRDefault="00937118" w:rsidP="00937118">
      <w:pPr>
        <w:spacing w:line="360" w:lineRule="auto"/>
        <w:jc w:val="center"/>
        <w:rPr>
          <w:b/>
          <w:caps/>
          <w:sz w:val="36"/>
          <w:szCs w:val="36"/>
        </w:rPr>
      </w:pPr>
      <w:r w:rsidRPr="00D6005B">
        <w:rPr>
          <w:b/>
          <w:sz w:val="36"/>
          <w:szCs w:val="36"/>
        </w:rPr>
        <w:br/>
      </w:r>
    </w:p>
    <w:p w14:paraId="1BEA8F2C" w14:textId="77777777" w:rsidR="00937118" w:rsidRDefault="00937118" w:rsidP="00937118">
      <w:pPr>
        <w:spacing w:line="360" w:lineRule="auto"/>
        <w:jc w:val="center"/>
        <w:rPr>
          <w:b/>
          <w:sz w:val="36"/>
          <w:szCs w:val="36"/>
        </w:rPr>
      </w:pPr>
      <w:r>
        <w:rPr>
          <w:b/>
          <w:sz w:val="36"/>
          <w:szCs w:val="36"/>
        </w:rPr>
        <w:t>Pa</w:t>
      </w:r>
      <w:bookmarkStart w:id="0" w:name="_GoBack"/>
      <w:bookmarkEnd w:id="0"/>
      <w:r>
        <w:rPr>
          <w:b/>
          <w:sz w:val="36"/>
          <w:szCs w:val="36"/>
        </w:rPr>
        <w:t>rt B</w:t>
      </w:r>
    </w:p>
    <w:p w14:paraId="1083535E" w14:textId="77777777" w:rsidR="004708D0" w:rsidRDefault="004708D0" w:rsidP="00001D5E">
      <w:pPr>
        <w:spacing w:line="360" w:lineRule="auto"/>
        <w:jc w:val="center"/>
        <w:rPr>
          <w:b/>
          <w:sz w:val="36"/>
          <w:szCs w:val="36"/>
        </w:rPr>
      </w:pPr>
    </w:p>
    <w:p w14:paraId="48C51D04" w14:textId="77777777" w:rsidR="006D3765" w:rsidRPr="00D6005B" w:rsidRDefault="006D3765" w:rsidP="00001D5E">
      <w:pPr>
        <w:spacing w:line="360" w:lineRule="auto"/>
        <w:jc w:val="center"/>
        <w:rPr>
          <w:b/>
          <w:sz w:val="36"/>
          <w:szCs w:val="36"/>
        </w:rPr>
      </w:pPr>
    </w:p>
    <w:p w14:paraId="4CF70C7A" w14:textId="65AC4F62" w:rsidR="006D3765" w:rsidRDefault="008A6005" w:rsidP="004708D0">
      <w:pPr>
        <w:spacing w:line="360" w:lineRule="auto"/>
        <w:jc w:val="center"/>
        <w:rPr>
          <w:b/>
          <w:sz w:val="36"/>
          <w:szCs w:val="36"/>
        </w:rPr>
      </w:pPr>
      <w:r>
        <w:rPr>
          <w:b/>
          <w:sz w:val="36"/>
          <w:szCs w:val="36"/>
        </w:rPr>
        <w:t xml:space="preserve">March </w:t>
      </w:r>
      <w:r w:rsidR="004F6CA8">
        <w:rPr>
          <w:b/>
          <w:sz w:val="36"/>
          <w:szCs w:val="36"/>
        </w:rPr>
        <w:t>3</w:t>
      </w:r>
      <w:r w:rsidR="000C3D55">
        <w:rPr>
          <w:b/>
          <w:sz w:val="36"/>
          <w:szCs w:val="36"/>
        </w:rPr>
        <w:t>1</w:t>
      </w:r>
      <w:r w:rsidR="0038502B" w:rsidRPr="0038502B">
        <w:rPr>
          <w:b/>
          <w:sz w:val="36"/>
          <w:szCs w:val="36"/>
        </w:rPr>
        <w:t>, 201</w:t>
      </w:r>
      <w:r w:rsidR="002D4CAA">
        <w:rPr>
          <w:b/>
          <w:sz w:val="36"/>
          <w:szCs w:val="36"/>
        </w:rPr>
        <w:t>7</w:t>
      </w:r>
    </w:p>
    <w:p w14:paraId="3CA67EFC" w14:textId="77777777" w:rsidR="006D3765" w:rsidRPr="00D6005B" w:rsidRDefault="006D3765" w:rsidP="00A826F3">
      <w:pPr>
        <w:spacing w:line="360" w:lineRule="auto"/>
        <w:rPr>
          <w:b/>
          <w:sz w:val="36"/>
          <w:szCs w:val="36"/>
        </w:rPr>
      </w:pPr>
    </w:p>
    <w:p w14:paraId="5A625B24" w14:textId="77777777" w:rsidR="006D3765" w:rsidRDefault="006D3765" w:rsidP="00001D5E">
      <w:pPr>
        <w:spacing w:line="320" w:lineRule="atLeast"/>
        <w:jc w:val="center"/>
        <w:rPr>
          <w:szCs w:val="24"/>
        </w:rPr>
      </w:pPr>
    </w:p>
    <w:p w14:paraId="0A4F6CDE" w14:textId="77777777" w:rsidR="004708D0" w:rsidRDefault="004708D0" w:rsidP="00001D5E">
      <w:pPr>
        <w:spacing w:line="320" w:lineRule="atLeast"/>
        <w:jc w:val="center"/>
        <w:rPr>
          <w:szCs w:val="24"/>
        </w:rPr>
      </w:pPr>
    </w:p>
    <w:p w14:paraId="24102CA2" w14:textId="77777777" w:rsidR="004708D0" w:rsidRDefault="004708D0" w:rsidP="00001D5E">
      <w:pPr>
        <w:spacing w:line="320" w:lineRule="atLeast"/>
        <w:jc w:val="center"/>
        <w:rPr>
          <w:szCs w:val="24"/>
        </w:rPr>
      </w:pPr>
    </w:p>
    <w:p w14:paraId="1B8D0E3B" w14:textId="77777777" w:rsidR="004708D0" w:rsidRDefault="004708D0" w:rsidP="00001D5E">
      <w:pPr>
        <w:spacing w:line="320" w:lineRule="atLeast"/>
        <w:jc w:val="center"/>
        <w:rPr>
          <w:szCs w:val="24"/>
        </w:rPr>
      </w:pPr>
    </w:p>
    <w:p w14:paraId="0D67BCF0" w14:textId="77777777" w:rsidR="004708D0" w:rsidRDefault="004708D0" w:rsidP="00001D5E">
      <w:pPr>
        <w:spacing w:line="320" w:lineRule="atLeast"/>
        <w:jc w:val="center"/>
        <w:rPr>
          <w:szCs w:val="24"/>
        </w:rPr>
      </w:pPr>
    </w:p>
    <w:p w14:paraId="5FC7EBF2" w14:textId="77777777" w:rsidR="004708D0" w:rsidRDefault="004708D0" w:rsidP="00001D5E">
      <w:pPr>
        <w:spacing w:line="320" w:lineRule="atLeast"/>
        <w:jc w:val="center"/>
        <w:rPr>
          <w:szCs w:val="24"/>
        </w:rPr>
      </w:pPr>
    </w:p>
    <w:p w14:paraId="13B39BED" w14:textId="77777777" w:rsidR="004708D0" w:rsidRDefault="004708D0" w:rsidP="00001D5E">
      <w:pPr>
        <w:spacing w:line="320" w:lineRule="atLeast"/>
        <w:jc w:val="center"/>
        <w:rPr>
          <w:szCs w:val="24"/>
        </w:rPr>
      </w:pPr>
    </w:p>
    <w:p w14:paraId="6C7193FC" w14:textId="77777777" w:rsidR="004708D0" w:rsidRDefault="004708D0" w:rsidP="00001D5E">
      <w:pPr>
        <w:spacing w:line="320" w:lineRule="atLeast"/>
        <w:jc w:val="center"/>
        <w:rPr>
          <w:szCs w:val="24"/>
        </w:rPr>
      </w:pPr>
    </w:p>
    <w:p w14:paraId="5C470FEC" w14:textId="77777777" w:rsidR="004708D0" w:rsidRPr="00D6005B" w:rsidRDefault="004708D0" w:rsidP="00033EF8">
      <w:pPr>
        <w:spacing w:line="240" w:lineRule="auto"/>
        <w:jc w:val="center"/>
        <w:rPr>
          <w:b/>
          <w:sz w:val="36"/>
          <w:szCs w:val="36"/>
        </w:rPr>
      </w:pPr>
      <w:r w:rsidRPr="00D6005B">
        <w:rPr>
          <w:b/>
          <w:sz w:val="36"/>
          <w:szCs w:val="36"/>
        </w:rPr>
        <w:t>Office of</w:t>
      </w:r>
      <w:r w:rsidR="001E55BD">
        <w:rPr>
          <w:b/>
          <w:sz w:val="36"/>
          <w:szCs w:val="36"/>
        </w:rPr>
        <w:t xml:space="preserve"> Policy Support</w:t>
      </w:r>
    </w:p>
    <w:p w14:paraId="2D3AC7CC" w14:textId="77777777" w:rsidR="004708D0" w:rsidRPr="00D6005B" w:rsidRDefault="004708D0" w:rsidP="00033EF8">
      <w:pPr>
        <w:spacing w:line="240" w:lineRule="auto"/>
        <w:jc w:val="center"/>
        <w:rPr>
          <w:b/>
          <w:sz w:val="36"/>
          <w:szCs w:val="36"/>
        </w:rPr>
      </w:pPr>
      <w:r w:rsidRPr="00D6005B">
        <w:rPr>
          <w:b/>
          <w:sz w:val="36"/>
          <w:szCs w:val="36"/>
        </w:rPr>
        <w:t>Food and Nutrition Service</w:t>
      </w:r>
    </w:p>
    <w:p w14:paraId="430FA8A3" w14:textId="77777777" w:rsidR="004708D0" w:rsidRDefault="004708D0" w:rsidP="00033EF8">
      <w:pPr>
        <w:spacing w:line="320" w:lineRule="atLeast"/>
        <w:jc w:val="center"/>
        <w:rPr>
          <w:b/>
          <w:sz w:val="36"/>
          <w:szCs w:val="36"/>
        </w:rPr>
      </w:pPr>
      <w:r w:rsidRPr="00D6005B">
        <w:rPr>
          <w:b/>
          <w:sz w:val="36"/>
          <w:szCs w:val="36"/>
        </w:rPr>
        <w:t>United States Department of Agriculture</w:t>
      </w:r>
    </w:p>
    <w:p w14:paraId="4AC552A6" w14:textId="77777777" w:rsidR="00165F62" w:rsidRDefault="00165F62" w:rsidP="00165F62">
      <w:pPr>
        <w:spacing w:line="320" w:lineRule="atLeast"/>
        <w:jc w:val="center"/>
        <w:rPr>
          <w:b/>
          <w:sz w:val="36"/>
          <w:szCs w:val="36"/>
        </w:rPr>
      </w:pPr>
      <w:r>
        <w:rPr>
          <w:b/>
          <w:sz w:val="36"/>
          <w:szCs w:val="36"/>
        </w:rPr>
        <w:t>3101 Park Center Drive</w:t>
      </w:r>
    </w:p>
    <w:p w14:paraId="0F00978E" w14:textId="77777777" w:rsidR="00165F62" w:rsidRDefault="00165F62" w:rsidP="00165F62">
      <w:pPr>
        <w:spacing w:line="320" w:lineRule="atLeast"/>
        <w:jc w:val="center"/>
        <w:rPr>
          <w:b/>
          <w:sz w:val="36"/>
          <w:szCs w:val="36"/>
        </w:rPr>
      </w:pPr>
      <w:r>
        <w:rPr>
          <w:b/>
          <w:sz w:val="36"/>
          <w:szCs w:val="36"/>
        </w:rPr>
        <w:t>Alexandria, VA 22302</w:t>
      </w:r>
    </w:p>
    <w:p w14:paraId="24C2CF9F" w14:textId="77777777" w:rsidR="00D40774" w:rsidRDefault="00D40774" w:rsidP="00D40774">
      <w:pPr>
        <w:spacing w:line="240" w:lineRule="auto"/>
        <w:jc w:val="center"/>
        <w:rPr>
          <w:b/>
          <w:sz w:val="36"/>
          <w:szCs w:val="36"/>
        </w:rPr>
      </w:pPr>
      <w:r>
        <w:rPr>
          <w:b/>
          <w:sz w:val="36"/>
          <w:szCs w:val="36"/>
        </w:rPr>
        <w:t>Project Officer: Devin Wallace-Williams</w:t>
      </w:r>
    </w:p>
    <w:p w14:paraId="60A3C09B" w14:textId="77777777" w:rsidR="00D40774" w:rsidRDefault="00D40774" w:rsidP="00D40774">
      <w:pPr>
        <w:spacing w:line="240" w:lineRule="auto"/>
        <w:jc w:val="center"/>
        <w:rPr>
          <w:b/>
          <w:sz w:val="36"/>
          <w:szCs w:val="36"/>
        </w:rPr>
      </w:pPr>
      <w:r>
        <w:rPr>
          <w:b/>
          <w:sz w:val="36"/>
          <w:szCs w:val="36"/>
        </w:rPr>
        <w:t>Telephone</w:t>
      </w:r>
      <w:r w:rsidRPr="00920CF3">
        <w:rPr>
          <w:b/>
          <w:sz w:val="36"/>
          <w:szCs w:val="36"/>
        </w:rPr>
        <w:t xml:space="preserve">: </w:t>
      </w:r>
      <w:r w:rsidRPr="00D6426E">
        <w:rPr>
          <w:b/>
          <w:sz w:val="36"/>
          <w:szCs w:val="36"/>
        </w:rPr>
        <w:t>703-457-6791</w:t>
      </w:r>
    </w:p>
    <w:p w14:paraId="0520DCD8" w14:textId="77777777" w:rsidR="00D40774" w:rsidRPr="00C9695F" w:rsidRDefault="00D40774" w:rsidP="00D40774">
      <w:pPr>
        <w:spacing w:line="240" w:lineRule="auto"/>
        <w:jc w:val="center"/>
        <w:rPr>
          <w:b/>
          <w:sz w:val="36"/>
          <w:szCs w:val="36"/>
        </w:rPr>
      </w:pPr>
      <w:r>
        <w:rPr>
          <w:b/>
          <w:sz w:val="36"/>
          <w:szCs w:val="36"/>
        </w:rPr>
        <w:t>Email:Devin.Wallace-Williams@fns.usda.gov</w:t>
      </w:r>
    </w:p>
    <w:p w14:paraId="58C4F879" w14:textId="77777777" w:rsidR="0068397C" w:rsidRDefault="0068397C" w:rsidP="0034504B">
      <w:pPr>
        <w:spacing w:line="240" w:lineRule="auto"/>
        <w:ind w:left="720"/>
        <w:jc w:val="center"/>
        <w:rPr>
          <w:szCs w:val="24"/>
        </w:rPr>
        <w:sectPr w:rsidR="0068397C" w:rsidSect="007A1790">
          <w:footerReference w:type="even" r:id="rId12"/>
          <w:footerReference w:type="default" r:id="rId13"/>
          <w:footerReference w:type="first" r:id="rId14"/>
          <w:pgSz w:w="12240" w:h="15840" w:code="1"/>
          <w:pgMar w:top="1440" w:right="1440" w:bottom="1440" w:left="1440" w:header="720" w:footer="576" w:gutter="0"/>
          <w:cols w:space="720"/>
          <w:docGrid w:linePitch="360"/>
        </w:sectPr>
      </w:pPr>
    </w:p>
    <w:p w14:paraId="177D2808" w14:textId="77777777" w:rsidR="00981A47" w:rsidRDefault="00981A47" w:rsidP="00FE7D14">
      <w:pPr>
        <w:spacing w:line="240" w:lineRule="auto"/>
        <w:rPr>
          <w:szCs w:val="24"/>
        </w:rPr>
      </w:pPr>
    </w:p>
    <w:p w14:paraId="377567DD" w14:textId="77777777" w:rsidR="00981A47" w:rsidRPr="00A8224A" w:rsidRDefault="00981A47" w:rsidP="00981A47">
      <w:pPr>
        <w:pStyle w:val="TC-TableofContentsHeading"/>
        <w:spacing w:after="0"/>
        <w:rPr>
          <w:rFonts w:ascii="Times New Roman" w:hAnsi="Times New Roman"/>
          <w:sz w:val="24"/>
          <w:szCs w:val="24"/>
        </w:rPr>
      </w:pPr>
      <w:bookmarkStart w:id="1" w:name="_Toc339621277"/>
      <w:bookmarkStart w:id="2" w:name="_Toc339617093"/>
      <w:bookmarkStart w:id="3" w:name="_Toc339616922"/>
      <w:r w:rsidRPr="00A8224A">
        <w:rPr>
          <w:rFonts w:ascii="Times New Roman" w:hAnsi="Times New Roman"/>
          <w:sz w:val="24"/>
          <w:szCs w:val="24"/>
        </w:rPr>
        <w:t>Table of Contents</w:t>
      </w:r>
      <w:bookmarkEnd w:id="1"/>
      <w:bookmarkEnd w:id="2"/>
      <w:bookmarkEnd w:id="3"/>
    </w:p>
    <w:p w14:paraId="2E1E6287" w14:textId="77777777" w:rsidR="00981A47" w:rsidRPr="00AB32BC" w:rsidRDefault="00981A47" w:rsidP="00AB32BC">
      <w:pPr>
        <w:tabs>
          <w:tab w:val="left" w:pos="1440"/>
          <w:tab w:val="right" w:leader="dot" w:pos="9360"/>
        </w:tabs>
        <w:spacing w:line="240" w:lineRule="auto"/>
        <w:ind w:left="1440" w:hanging="1260"/>
      </w:pPr>
      <w:r w:rsidRPr="00AB32BC">
        <w:fldChar w:fldCharType="begin"/>
      </w:r>
      <w:r w:rsidRPr="00044E40">
        <w:instrText xml:space="preserve"> TOC \o "1-3" \h \z \u </w:instrText>
      </w:r>
      <w:r w:rsidRPr="00AB32BC">
        <w:fldChar w:fldCharType="separate"/>
      </w:r>
    </w:p>
    <w:p w14:paraId="5EB69554" w14:textId="1928BEF2" w:rsidR="00981A47" w:rsidRDefault="0099228D" w:rsidP="00AB32BC">
      <w:pPr>
        <w:tabs>
          <w:tab w:val="left" w:pos="1440"/>
          <w:tab w:val="right" w:leader="dot" w:pos="9360"/>
        </w:tabs>
        <w:spacing w:line="240" w:lineRule="auto"/>
        <w:ind w:left="1440" w:hanging="1440"/>
        <w:rPr>
          <w:b/>
        </w:rPr>
      </w:pPr>
      <w:r w:rsidRPr="0099228D">
        <w:rPr>
          <w:b/>
        </w:rPr>
        <w:t xml:space="preserve">Part </w:t>
      </w:r>
      <w:hyperlink w:anchor="_Toc339621302" w:history="1">
        <w:r w:rsidR="00617596">
          <w:rPr>
            <w:rStyle w:val="Hyperlink"/>
            <w:b/>
          </w:rPr>
          <w:t>B.</w:t>
        </w:r>
        <w:r w:rsidR="00617596">
          <w:rPr>
            <w:rStyle w:val="Hyperlink"/>
            <w:b/>
          </w:rPr>
          <w:tab/>
        </w:r>
        <w:r w:rsidR="00981A47" w:rsidRPr="00044E40">
          <w:rPr>
            <w:rStyle w:val="Hyperlink"/>
            <w:b/>
          </w:rPr>
          <w:t>Collections of Information Employing Statistical Methods</w:t>
        </w:r>
        <w:r w:rsidR="00981A47" w:rsidRPr="00AB32BC">
          <w:rPr>
            <w:rStyle w:val="Hyperlink"/>
            <w:b/>
            <w:webHidden/>
          </w:rPr>
          <w:tab/>
          <w:t>B-</w:t>
        </w:r>
      </w:hyperlink>
      <w:r w:rsidR="00705B80" w:rsidRPr="00705B80">
        <w:rPr>
          <w:rStyle w:val="Hyperlink"/>
          <w:color w:val="auto"/>
          <w:u w:val="none"/>
        </w:rPr>
        <w:t>2</w:t>
      </w:r>
    </w:p>
    <w:p w14:paraId="1D8BB1E0" w14:textId="77777777" w:rsidR="00617596" w:rsidRPr="00AB32BC" w:rsidRDefault="00617596" w:rsidP="00AB32BC">
      <w:pPr>
        <w:tabs>
          <w:tab w:val="left" w:pos="1440"/>
          <w:tab w:val="right" w:leader="dot" w:pos="9360"/>
        </w:tabs>
        <w:spacing w:line="240" w:lineRule="auto"/>
        <w:ind w:left="1440" w:hanging="1440"/>
        <w:rPr>
          <w:b/>
        </w:rPr>
      </w:pPr>
    </w:p>
    <w:p w14:paraId="1333A99B" w14:textId="5C3F440B" w:rsidR="00981A47" w:rsidRPr="00044E40" w:rsidRDefault="006F08A4" w:rsidP="00AB32BC">
      <w:pPr>
        <w:tabs>
          <w:tab w:val="left" w:pos="1440"/>
          <w:tab w:val="right" w:leader="dot" w:pos="9360"/>
        </w:tabs>
        <w:spacing w:line="240" w:lineRule="auto"/>
        <w:ind w:left="1440" w:hanging="1260"/>
      </w:pPr>
      <w:r w:rsidRPr="00044E40">
        <w:t>B.1</w:t>
      </w:r>
      <w:r w:rsidR="0003285F" w:rsidRPr="00044E40">
        <w:tab/>
      </w:r>
      <w:r w:rsidR="000B63C0" w:rsidRPr="00044E40">
        <w:t>Respondent U</w:t>
      </w:r>
      <w:r w:rsidR="000B63C0">
        <w:t>niverse and Sampling Methods</w:t>
      </w:r>
      <w:r w:rsidR="000B63C0">
        <w:tab/>
        <w:t>B-</w:t>
      </w:r>
      <w:r w:rsidR="00705B80">
        <w:t>2</w:t>
      </w:r>
    </w:p>
    <w:p w14:paraId="3FFE60DF" w14:textId="78FCBE71" w:rsidR="00981A47" w:rsidRPr="00044E40" w:rsidRDefault="006F08A4" w:rsidP="00AB32BC">
      <w:pPr>
        <w:tabs>
          <w:tab w:val="left" w:pos="1440"/>
          <w:tab w:val="right" w:leader="dot" w:pos="9360"/>
        </w:tabs>
        <w:spacing w:line="240" w:lineRule="auto"/>
        <w:ind w:left="1440" w:hanging="1260"/>
      </w:pPr>
      <w:r w:rsidRPr="00044E40">
        <w:t>B.2</w:t>
      </w:r>
      <w:r w:rsidRPr="00044E40">
        <w:tab/>
      </w:r>
      <w:r w:rsidR="000B63C0" w:rsidRPr="00044E40">
        <w:t>Procedures for t</w:t>
      </w:r>
      <w:r w:rsidR="000B63C0">
        <w:t>he Collection of Information</w:t>
      </w:r>
      <w:r w:rsidR="0068397C">
        <w:tab/>
        <w:t>B-</w:t>
      </w:r>
      <w:r w:rsidR="00705B80">
        <w:t>6</w:t>
      </w:r>
    </w:p>
    <w:p w14:paraId="1CD72261" w14:textId="3C140AB9" w:rsidR="00981A47" w:rsidRPr="00044E40" w:rsidRDefault="006F08A4" w:rsidP="00AB32BC">
      <w:pPr>
        <w:tabs>
          <w:tab w:val="left" w:pos="1440"/>
          <w:tab w:val="right" w:leader="dot" w:pos="9360"/>
        </w:tabs>
        <w:spacing w:line="240" w:lineRule="auto"/>
        <w:ind w:left="1440" w:hanging="1260"/>
      </w:pPr>
      <w:r w:rsidRPr="00044E40">
        <w:t>B.3</w:t>
      </w:r>
      <w:r w:rsidRPr="00044E40">
        <w:tab/>
      </w:r>
      <w:r w:rsidR="00981A47" w:rsidRPr="00044E40">
        <w:t>Methods to Maximize the Response Rates and to Deal with Nonresponse</w:t>
      </w:r>
      <w:r w:rsidR="00981A47" w:rsidRPr="00044E40">
        <w:tab/>
        <w:t>B-1</w:t>
      </w:r>
      <w:r w:rsidR="00705B80">
        <w:t>2</w:t>
      </w:r>
    </w:p>
    <w:p w14:paraId="044EB524" w14:textId="6CCCF2BE" w:rsidR="00981A47" w:rsidRPr="00044E40" w:rsidRDefault="006F08A4" w:rsidP="00AB32BC">
      <w:pPr>
        <w:tabs>
          <w:tab w:val="left" w:pos="1440"/>
          <w:tab w:val="right" w:leader="dot" w:pos="9360"/>
        </w:tabs>
        <w:spacing w:line="240" w:lineRule="auto"/>
        <w:ind w:left="1440" w:hanging="1260"/>
      </w:pPr>
      <w:r w:rsidRPr="00044E40">
        <w:t>B.4</w:t>
      </w:r>
      <w:r w:rsidRPr="00044E40">
        <w:tab/>
      </w:r>
      <w:r w:rsidR="00981A47" w:rsidRPr="00044E40">
        <w:t>Test of Procedures or Methods to be Undertaken</w:t>
      </w:r>
      <w:r w:rsidR="00981A47" w:rsidRPr="00044E40">
        <w:tab/>
        <w:t>B-1</w:t>
      </w:r>
      <w:r w:rsidR="00705B80">
        <w:t>4</w:t>
      </w:r>
    </w:p>
    <w:p w14:paraId="5A87C7A5" w14:textId="47D33D98" w:rsidR="006F08A4" w:rsidRPr="00AB32BC" w:rsidRDefault="006F08A4" w:rsidP="00AB32BC">
      <w:pPr>
        <w:tabs>
          <w:tab w:val="left" w:pos="1440"/>
          <w:tab w:val="right" w:leader="dot" w:pos="9360"/>
        </w:tabs>
        <w:spacing w:line="240" w:lineRule="auto"/>
        <w:ind w:left="1440" w:hanging="1260"/>
      </w:pPr>
      <w:r w:rsidRPr="00044E40">
        <w:t>B.5</w:t>
      </w:r>
      <w:r w:rsidRPr="00044E40">
        <w:tab/>
      </w:r>
      <w:r w:rsidR="00981A47" w:rsidRPr="00044E40">
        <w:t xml:space="preserve">Individuals Consulted on Statistical Aspects and Individuals </w:t>
      </w:r>
      <w:r w:rsidR="0003285F" w:rsidRPr="00044E40">
        <w:t>Collecting</w:t>
      </w:r>
      <w:r w:rsidR="0003285F" w:rsidRPr="00044E40">
        <w:br/>
      </w:r>
      <w:r w:rsidR="00981A47" w:rsidRPr="00044E40">
        <w:t>and/or Analyzing Data</w:t>
      </w:r>
      <w:r w:rsidR="00981A47" w:rsidRPr="00044E40">
        <w:tab/>
        <w:t>B-1</w:t>
      </w:r>
      <w:hyperlink w:anchor="_Toc339621303" w:history="1"/>
      <w:r w:rsidR="00981A47" w:rsidRPr="00AB32BC">
        <w:fldChar w:fldCharType="end"/>
      </w:r>
      <w:r w:rsidR="00853CDC">
        <w:t>8</w:t>
      </w:r>
    </w:p>
    <w:p w14:paraId="2602ED2B" w14:textId="77777777" w:rsidR="006F08A4" w:rsidRPr="00AB32BC" w:rsidRDefault="006F08A4" w:rsidP="00AB32BC">
      <w:pPr>
        <w:tabs>
          <w:tab w:val="right" w:leader="dot" w:pos="9360"/>
        </w:tabs>
        <w:spacing w:line="240" w:lineRule="auto"/>
        <w:jc w:val="center"/>
        <w:rPr>
          <w:b/>
        </w:rPr>
      </w:pPr>
    </w:p>
    <w:p w14:paraId="5951577F" w14:textId="77777777" w:rsidR="00617596" w:rsidRPr="00AB32BC" w:rsidRDefault="00981A47" w:rsidP="00BF222D">
      <w:pPr>
        <w:tabs>
          <w:tab w:val="right" w:leader="dot" w:pos="9360"/>
        </w:tabs>
        <w:spacing w:line="240" w:lineRule="auto"/>
        <w:ind w:firstLine="0"/>
        <w:rPr>
          <w:b/>
        </w:rPr>
      </w:pPr>
      <w:r w:rsidRPr="00AB32BC">
        <w:rPr>
          <w:b/>
        </w:rPr>
        <w:t>Tables</w:t>
      </w:r>
    </w:p>
    <w:p w14:paraId="20968AEA" w14:textId="77777777" w:rsidR="00981A47" w:rsidRPr="00AB32BC" w:rsidRDefault="00981A47" w:rsidP="00AB32BC">
      <w:pPr>
        <w:tabs>
          <w:tab w:val="right" w:leader="dot" w:pos="9360"/>
        </w:tabs>
        <w:spacing w:line="240" w:lineRule="auto"/>
        <w:rPr>
          <w:b/>
          <w:webHidden/>
        </w:rPr>
      </w:pPr>
    </w:p>
    <w:p w14:paraId="4A5BFC70" w14:textId="69716818" w:rsidR="00981A47" w:rsidRPr="00AB32BC" w:rsidRDefault="00981A47" w:rsidP="00AB32BC">
      <w:pPr>
        <w:tabs>
          <w:tab w:val="left" w:pos="1440"/>
          <w:tab w:val="right" w:leader="dot" w:pos="9360"/>
        </w:tabs>
        <w:spacing w:line="240" w:lineRule="auto"/>
        <w:ind w:left="1440" w:hanging="1260"/>
      </w:pPr>
      <w:r w:rsidRPr="00AB32BC">
        <w:t>Table B1</w:t>
      </w:r>
      <w:r w:rsidR="006F08A4" w:rsidRPr="00AB32BC">
        <w:t>.</w:t>
      </w:r>
      <w:r w:rsidR="0003285F" w:rsidRPr="00AB32BC">
        <w:tab/>
      </w:r>
      <w:r w:rsidR="000B63C0">
        <w:t>Universe and Sample Sizes and Estimated Design Effects by Stratum</w:t>
      </w:r>
      <w:r w:rsidR="006F08A4" w:rsidRPr="00AB32BC">
        <w:rPr>
          <w:webHidden/>
        </w:rPr>
        <w:tab/>
      </w:r>
      <w:r w:rsidRPr="00AB32BC">
        <w:rPr>
          <w:webHidden/>
        </w:rPr>
        <w:t>B-</w:t>
      </w:r>
      <w:r w:rsidR="00705B80">
        <w:rPr>
          <w:webHidden/>
        </w:rPr>
        <w:t>4</w:t>
      </w:r>
    </w:p>
    <w:p w14:paraId="45F02ED4" w14:textId="77777777" w:rsidR="00C32CAD" w:rsidRDefault="00981A47" w:rsidP="00C32CAD">
      <w:pPr>
        <w:tabs>
          <w:tab w:val="left" w:pos="1440"/>
          <w:tab w:val="right" w:leader="dot" w:pos="9360"/>
        </w:tabs>
        <w:spacing w:line="240" w:lineRule="auto"/>
        <w:ind w:left="1440" w:hanging="1260"/>
        <w:rPr>
          <w:webHidden/>
        </w:rPr>
      </w:pPr>
      <w:r w:rsidRPr="00AB32BC">
        <w:t>Table B2.</w:t>
      </w:r>
      <w:r w:rsidR="0003285F" w:rsidRPr="00AB32BC">
        <w:tab/>
      </w:r>
      <w:r w:rsidR="00C32CAD" w:rsidRPr="00C32CAD">
        <w:t>Expected Precision Levels Based on the Proposed Sample Design for 1,750 Completed SFAs.</w:t>
      </w:r>
      <w:r w:rsidR="006F08A4" w:rsidRPr="00AB32BC">
        <w:rPr>
          <w:webHidden/>
        </w:rPr>
        <w:tab/>
      </w:r>
      <w:r w:rsidR="00965C0A" w:rsidRPr="00AB32BC">
        <w:rPr>
          <w:webHidden/>
        </w:rPr>
        <w:t>B-</w:t>
      </w:r>
      <w:r w:rsidR="00572673">
        <w:rPr>
          <w:webHidden/>
        </w:rPr>
        <w:t>9</w:t>
      </w:r>
    </w:p>
    <w:p w14:paraId="2A414233" w14:textId="77777777" w:rsidR="00C32CAD" w:rsidRPr="00C32CAD" w:rsidRDefault="00C32CAD" w:rsidP="00C32CAD">
      <w:pPr>
        <w:tabs>
          <w:tab w:val="left" w:pos="1440"/>
          <w:tab w:val="right" w:leader="dot" w:pos="9360"/>
        </w:tabs>
        <w:spacing w:line="240" w:lineRule="auto"/>
        <w:ind w:left="1440" w:hanging="1260"/>
      </w:pPr>
    </w:p>
    <w:p w14:paraId="3B8528D6" w14:textId="77777777" w:rsidR="00182A60" w:rsidRDefault="00182A60" w:rsidP="00182A60">
      <w:pPr>
        <w:tabs>
          <w:tab w:val="left" w:pos="1440"/>
          <w:tab w:val="right" w:leader="dot" w:pos="8640"/>
          <w:tab w:val="left" w:pos="8910"/>
        </w:tabs>
        <w:spacing w:line="240" w:lineRule="auto"/>
        <w:ind w:left="1440" w:right="1080" w:hanging="1170"/>
      </w:pPr>
    </w:p>
    <w:p w14:paraId="7E7C5B3A" w14:textId="77777777" w:rsidR="00182A60" w:rsidRDefault="00182A60" w:rsidP="00182A60">
      <w:pPr>
        <w:pStyle w:val="TOC1"/>
        <w:tabs>
          <w:tab w:val="left" w:leader="dot" w:pos="7830"/>
        </w:tabs>
        <w:spacing w:line="240" w:lineRule="auto"/>
        <w:ind w:left="0" w:hanging="1080"/>
        <w:rPr>
          <w:noProof/>
        </w:rPr>
      </w:pPr>
    </w:p>
    <w:p w14:paraId="03C4B6D6" w14:textId="77777777" w:rsidR="00182A60" w:rsidRDefault="00182A60" w:rsidP="00044E40">
      <w:pPr>
        <w:spacing w:line="240" w:lineRule="auto"/>
        <w:rPr>
          <w:szCs w:val="24"/>
        </w:rPr>
        <w:sectPr w:rsidR="00182A60" w:rsidSect="0068397C">
          <w:footerReference w:type="default" r:id="rId15"/>
          <w:pgSz w:w="12240" w:h="15840" w:code="1"/>
          <w:pgMar w:top="1440" w:right="1440" w:bottom="1440" w:left="1440" w:header="720" w:footer="576" w:gutter="0"/>
          <w:pgNumType w:start="1"/>
          <w:cols w:space="720"/>
          <w:docGrid w:linePitch="360"/>
        </w:sectPr>
      </w:pPr>
    </w:p>
    <w:p w14:paraId="2CA6DF79" w14:textId="77777777" w:rsidR="00B06525" w:rsidRPr="00802CE8" w:rsidRDefault="00B06525" w:rsidP="00161A77">
      <w:pPr>
        <w:pStyle w:val="Heading1"/>
        <w:numPr>
          <w:ilvl w:val="0"/>
          <w:numId w:val="11"/>
        </w:numPr>
        <w:tabs>
          <w:tab w:val="clear" w:pos="1152"/>
          <w:tab w:val="left" w:pos="720"/>
        </w:tabs>
        <w:ind w:left="720" w:hanging="720"/>
        <w:rPr>
          <w:rFonts w:ascii="Times New Roman" w:hAnsi="Times New Roman"/>
          <w:bCs/>
          <w:color w:val="auto"/>
          <w:sz w:val="24"/>
          <w:szCs w:val="24"/>
        </w:rPr>
      </w:pPr>
      <w:bookmarkStart w:id="4" w:name="_Toc282506041"/>
      <w:bookmarkStart w:id="5" w:name="_Toc339621302"/>
      <w:r w:rsidRPr="00802CE8">
        <w:rPr>
          <w:rFonts w:ascii="Times New Roman" w:hAnsi="Times New Roman"/>
          <w:bCs/>
          <w:color w:val="auto"/>
          <w:sz w:val="24"/>
          <w:szCs w:val="24"/>
        </w:rPr>
        <w:lastRenderedPageBreak/>
        <w:t>COLLECTIONS OF INFORMATION EMPLOYING STATISTICAL METHODS</w:t>
      </w:r>
      <w:bookmarkEnd w:id="4"/>
      <w:bookmarkEnd w:id="5"/>
    </w:p>
    <w:p w14:paraId="18D7F37C" w14:textId="77777777" w:rsidR="00B06525" w:rsidRPr="00802CE8" w:rsidRDefault="00B06525" w:rsidP="00A634FC">
      <w:pPr>
        <w:tabs>
          <w:tab w:val="left" w:pos="720"/>
        </w:tabs>
        <w:spacing w:after="80" w:line="240" w:lineRule="auto"/>
        <w:ind w:left="720" w:hanging="720"/>
        <w:rPr>
          <w:b/>
          <w:szCs w:val="24"/>
        </w:rPr>
      </w:pPr>
      <w:bookmarkStart w:id="6" w:name="_Toc282506042"/>
      <w:r w:rsidRPr="00802CE8">
        <w:rPr>
          <w:b/>
          <w:szCs w:val="24"/>
        </w:rPr>
        <w:t>B.1</w:t>
      </w:r>
      <w:r w:rsidRPr="00802CE8">
        <w:rPr>
          <w:b/>
          <w:szCs w:val="24"/>
        </w:rPr>
        <w:tab/>
      </w:r>
      <w:bookmarkEnd w:id="6"/>
      <w:r w:rsidRPr="00802CE8">
        <w:rPr>
          <w:b/>
          <w:szCs w:val="24"/>
        </w:rPr>
        <w:t xml:space="preserve">Describe (including a numerical estimate) the potential </w:t>
      </w:r>
      <w:r w:rsidR="00D35A00" w:rsidRPr="00802CE8">
        <w:rPr>
          <w:b/>
          <w:szCs w:val="24"/>
        </w:rPr>
        <w:t>respondent universe and any sam</w:t>
      </w:r>
      <w:r w:rsidRPr="00802CE8">
        <w:rPr>
          <w:b/>
          <w:szCs w:val="24"/>
        </w:rPr>
        <w:t xml:space="preserve">pling or other respondent selection method to be used. Data on the number of entities (e.g., establishments, State and local government units, households, or persons) in the universe covered by </w:t>
      </w:r>
      <w:r w:rsidR="00D35A00" w:rsidRPr="00802CE8">
        <w:rPr>
          <w:b/>
          <w:szCs w:val="24"/>
        </w:rPr>
        <w:t>the collection and in the corre</w:t>
      </w:r>
      <w:r w:rsidRPr="00802CE8">
        <w:rPr>
          <w:b/>
          <w:szCs w:val="24"/>
        </w:rPr>
        <w:t>sponding sample are to be provi</w:t>
      </w:r>
      <w:r w:rsidR="00D35A00" w:rsidRPr="00802CE8">
        <w:rPr>
          <w:b/>
          <w:szCs w:val="24"/>
        </w:rPr>
        <w:t>ded in tabular form for the uni</w:t>
      </w:r>
      <w:r w:rsidRPr="00802CE8">
        <w:rPr>
          <w:b/>
          <w:szCs w:val="24"/>
        </w:rPr>
        <w:t>verse as a whole and for each of the strata in the proposed sample. Indicate expected response rates for the collection as a whole. If the collection had been conducted previously, include the actual response rate achieved during the last collection.</w:t>
      </w:r>
    </w:p>
    <w:p w14:paraId="2FA49D50" w14:textId="18C4D2F7" w:rsidR="00B06525" w:rsidRPr="00094DFB" w:rsidRDefault="00B06525" w:rsidP="00FE6D8E">
      <w:pPr>
        <w:pStyle w:val="Normalcontinued"/>
        <w:spacing w:before="240"/>
        <w:rPr>
          <w:szCs w:val="24"/>
        </w:rPr>
      </w:pPr>
      <w:r w:rsidRPr="006F3693">
        <w:rPr>
          <w:szCs w:val="24"/>
        </w:rPr>
        <w:t xml:space="preserve">The respondent universe for the proposed </w:t>
      </w:r>
      <w:r w:rsidR="00DA525C" w:rsidRPr="006F3693">
        <w:rPr>
          <w:szCs w:val="24"/>
        </w:rPr>
        <w:t>Year</w:t>
      </w:r>
      <w:r w:rsidR="00F261B6">
        <w:rPr>
          <w:szCs w:val="24"/>
        </w:rPr>
        <w:t>s</w:t>
      </w:r>
      <w:r w:rsidR="00DA525C" w:rsidRPr="006F3693">
        <w:rPr>
          <w:szCs w:val="24"/>
        </w:rPr>
        <w:t xml:space="preserve"> </w:t>
      </w:r>
      <w:r w:rsidR="008D30CF" w:rsidRPr="006F3693">
        <w:rPr>
          <w:szCs w:val="24"/>
        </w:rPr>
        <w:t>2</w:t>
      </w:r>
      <w:r w:rsidR="00AE39C4" w:rsidRPr="006F3693">
        <w:rPr>
          <w:szCs w:val="24"/>
        </w:rPr>
        <w:t>, 3, and 4</w:t>
      </w:r>
      <w:r w:rsidR="00C026B4">
        <w:rPr>
          <w:szCs w:val="24"/>
        </w:rPr>
        <w:t xml:space="preserve"> (School Year (</w:t>
      </w:r>
      <w:r w:rsidR="00FE3B8D" w:rsidRPr="00802CE8">
        <w:rPr>
          <w:szCs w:val="24"/>
        </w:rPr>
        <w:t>SY</w:t>
      </w:r>
      <w:r w:rsidR="00C026B4">
        <w:rPr>
          <w:szCs w:val="24"/>
        </w:rPr>
        <w:t>)</w:t>
      </w:r>
      <w:r w:rsidR="00FE3B8D" w:rsidRPr="00802CE8">
        <w:rPr>
          <w:szCs w:val="24"/>
        </w:rPr>
        <w:t xml:space="preserve"> 2016</w:t>
      </w:r>
      <w:r w:rsidR="00F261B6">
        <w:rPr>
          <w:szCs w:val="24"/>
        </w:rPr>
        <w:t>–</w:t>
      </w:r>
      <w:r w:rsidR="00FE3B8D" w:rsidRPr="00802CE8">
        <w:rPr>
          <w:szCs w:val="24"/>
        </w:rPr>
        <w:t>17, SY 2017</w:t>
      </w:r>
      <w:r w:rsidR="00F261B6">
        <w:rPr>
          <w:szCs w:val="24"/>
        </w:rPr>
        <w:t>–</w:t>
      </w:r>
      <w:r w:rsidR="00FE3B8D" w:rsidRPr="00802CE8">
        <w:rPr>
          <w:szCs w:val="24"/>
        </w:rPr>
        <w:t>18, SY 2018</w:t>
      </w:r>
      <w:r w:rsidR="00F261B6">
        <w:rPr>
          <w:szCs w:val="24"/>
        </w:rPr>
        <w:t>–</w:t>
      </w:r>
      <w:r w:rsidR="00FE3B8D" w:rsidRPr="00802CE8">
        <w:rPr>
          <w:szCs w:val="24"/>
        </w:rPr>
        <w:t>19)</w:t>
      </w:r>
      <w:r w:rsidR="00E4594E" w:rsidRPr="00802CE8">
        <w:rPr>
          <w:szCs w:val="24"/>
        </w:rPr>
        <w:t xml:space="preserve"> </w:t>
      </w:r>
      <w:r w:rsidRPr="00802CE8">
        <w:rPr>
          <w:szCs w:val="24"/>
        </w:rPr>
        <w:t>survey</w:t>
      </w:r>
      <w:r w:rsidR="00E4594E" w:rsidRPr="00802CE8">
        <w:rPr>
          <w:szCs w:val="24"/>
        </w:rPr>
        <w:t>s</w:t>
      </w:r>
      <w:r w:rsidRPr="00802CE8">
        <w:rPr>
          <w:szCs w:val="24"/>
        </w:rPr>
        <w:t xml:space="preserve"> </w:t>
      </w:r>
      <w:r w:rsidR="00DB6B52">
        <w:rPr>
          <w:szCs w:val="24"/>
        </w:rPr>
        <w:t xml:space="preserve">is derived from the 19,527 </w:t>
      </w:r>
      <w:r w:rsidR="00C026B4">
        <w:rPr>
          <w:szCs w:val="24"/>
        </w:rPr>
        <w:t>School Food Authorities (SFA</w:t>
      </w:r>
      <w:r w:rsidR="002D1441">
        <w:rPr>
          <w:szCs w:val="24"/>
        </w:rPr>
        <w:t>s</w:t>
      </w:r>
      <w:r w:rsidR="00C026B4">
        <w:rPr>
          <w:szCs w:val="24"/>
        </w:rPr>
        <w:t>)</w:t>
      </w:r>
      <w:r w:rsidRPr="00802CE8">
        <w:rPr>
          <w:szCs w:val="24"/>
        </w:rPr>
        <w:t xml:space="preserve"> </w:t>
      </w:r>
      <w:r w:rsidR="00DB6B52">
        <w:rPr>
          <w:szCs w:val="24"/>
        </w:rPr>
        <w:t xml:space="preserve">that participated in the </w:t>
      </w:r>
      <w:r w:rsidR="00DB6B52" w:rsidRPr="00A8224A">
        <w:rPr>
          <w:szCs w:val="24"/>
        </w:rPr>
        <w:t>Nation</w:t>
      </w:r>
      <w:r w:rsidR="00DB6B52">
        <w:rPr>
          <w:szCs w:val="24"/>
        </w:rPr>
        <w:t>al School Lunch Program (</w:t>
      </w:r>
      <w:r w:rsidR="00DB6B52" w:rsidRPr="006F3693">
        <w:rPr>
          <w:szCs w:val="24"/>
        </w:rPr>
        <w:t>NSLP</w:t>
      </w:r>
      <w:r w:rsidR="00DB6B52">
        <w:rPr>
          <w:szCs w:val="24"/>
        </w:rPr>
        <w:t>)</w:t>
      </w:r>
      <w:r w:rsidR="00DB6B52" w:rsidRPr="00802CE8">
        <w:rPr>
          <w:szCs w:val="24"/>
        </w:rPr>
        <w:t xml:space="preserve"> or the School Breakfast Program </w:t>
      </w:r>
      <w:r w:rsidR="00DB6B52">
        <w:rPr>
          <w:szCs w:val="24"/>
        </w:rPr>
        <w:t>(</w:t>
      </w:r>
      <w:r w:rsidR="00DB6B52" w:rsidRPr="00802CE8">
        <w:rPr>
          <w:szCs w:val="24"/>
        </w:rPr>
        <w:t>SBP)</w:t>
      </w:r>
      <w:r w:rsidR="00DB6B52">
        <w:rPr>
          <w:szCs w:val="24"/>
        </w:rPr>
        <w:t xml:space="preserve"> and </w:t>
      </w:r>
      <w:r w:rsidRPr="00802CE8">
        <w:rPr>
          <w:szCs w:val="24"/>
        </w:rPr>
        <w:t>submit</w:t>
      </w:r>
      <w:r w:rsidR="00DB6B52">
        <w:rPr>
          <w:szCs w:val="24"/>
        </w:rPr>
        <w:t>ted</w:t>
      </w:r>
      <w:r w:rsidRPr="00802CE8">
        <w:rPr>
          <w:szCs w:val="24"/>
        </w:rPr>
        <w:t xml:space="preserve"> form FNS-742 SFA Verification </w:t>
      </w:r>
      <w:r w:rsidR="00FB129B" w:rsidRPr="00802CE8">
        <w:rPr>
          <w:szCs w:val="24"/>
        </w:rPr>
        <w:t xml:space="preserve">Collection Report </w:t>
      </w:r>
      <w:r w:rsidRPr="00802CE8">
        <w:rPr>
          <w:szCs w:val="24"/>
        </w:rPr>
        <w:t xml:space="preserve">Summary Data </w:t>
      </w:r>
      <w:r w:rsidR="00CF4C37">
        <w:rPr>
          <w:szCs w:val="24"/>
        </w:rPr>
        <w:t>(FNS 742)</w:t>
      </w:r>
      <w:r w:rsidR="00937899">
        <w:rPr>
          <w:szCs w:val="24"/>
        </w:rPr>
        <w:t xml:space="preserve"> (approved under OMB # 0584-0594 Food Programs Reporting System (FPRS), expiration date 9/30/19)</w:t>
      </w:r>
      <w:r w:rsidR="00CF4C37">
        <w:rPr>
          <w:szCs w:val="24"/>
        </w:rPr>
        <w:t xml:space="preserve"> </w:t>
      </w:r>
      <w:r w:rsidRPr="006F3693">
        <w:rPr>
          <w:szCs w:val="24"/>
        </w:rPr>
        <w:t xml:space="preserve">to FNS </w:t>
      </w:r>
      <w:r w:rsidR="00DB6B52">
        <w:rPr>
          <w:szCs w:val="24"/>
        </w:rPr>
        <w:t xml:space="preserve">for </w:t>
      </w:r>
      <w:r w:rsidRPr="006F3693">
        <w:rPr>
          <w:szCs w:val="24"/>
        </w:rPr>
        <w:t>SY</w:t>
      </w:r>
      <w:r w:rsidR="00BB6A77" w:rsidRPr="006F3693">
        <w:rPr>
          <w:szCs w:val="24"/>
        </w:rPr>
        <w:t xml:space="preserve"> </w:t>
      </w:r>
      <w:r w:rsidRPr="006F3693">
        <w:rPr>
          <w:szCs w:val="24"/>
        </w:rPr>
        <w:t>201</w:t>
      </w:r>
      <w:r w:rsidR="0087140A" w:rsidRPr="00A8224A">
        <w:rPr>
          <w:szCs w:val="24"/>
        </w:rPr>
        <w:t>4</w:t>
      </w:r>
      <w:r w:rsidR="00F261B6">
        <w:rPr>
          <w:szCs w:val="24"/>
        </w:rPr>
        <w:t>–</w:t>
      </w:r>
      <w:r w:rsidRPr="00802CE8">
        <w:rPr>
          <w:szCs w:val="24"/>
        </w:rPr>
        <w:t>1</w:t>
      </w:r>
      <w:r w:rsidR="00094DFB">
        <w:rPr>
          <w:szCs w:val="24"/>
        </w:rPr>
        <w:t>5</w:t>
      </w:r>
      <w:r w:rsidR="00CD2FCF" w:rsidRPr="006F3693">
        <w:rPr>
          <w:szCs w:val="24"/>
        </w:rPr>
        <w:t xml:space="preserve">. </w:t>
      </w:r>
      <w:r w:rsidR="00DB6B52">
        <w:rPr>
          <w:szCs w:val="24"/>
        </w:rPr>
        <w:t xml:space="preserve">FNS excluded </w:t>
      </w:r>
      <w:r w:rsidR="004669B2">
        <w:rPr>
          <w:szCs w:val="24"/>
        </w:rPr>
        <w:t>4,673 SFAs</w:t>
      </w:r>
      <w:r w:rsidR="00E95745">
        <w:rPr>
          <w:szCs w:val="24"/>
        </w:rPr>
        <w:t xml:space="preserve">; </w:t>
      </w:r>
      <w:r w:rsidR="004669B2">
        <w:rPr>
          <w:szCs w:val="24"/>
        </w:rPr>
        <w:t>a universe of size N = 14,854</w:t>
      </w:r>
      <w:r w:rsidR="00E95745">
        <w:rPr>
          <w:szCs w:val="24"/>
        </w:rPr>
        <w:t xml:space="preserve"> remains</w:t>
      </w:r>
      <w:r w:rsidR="004669B2">
        <w:rPr>
          <w:szCs w:val="24"/>
        </w:rPr>
        <w:t xml:space="preserve">. The following </w:t>
      </w:r>
      <w:r w:rsidR="00E95745">
        <w:rPr>
          <w:szCs w:val="24"/>
        </w:rPr>
        <w:t xml:space="preserve">SFAs </w:t>
      </w:r>
      <w:r w:rsidR="004669B2">
        <w:rPr>
          <w:szCs w:val="24"/>
        </w:rPr>
        <w:t>were excluded:</w:t>
      </w:r>
      <w:r w:rsidRPr="00094DFB">
        <w:rPr>
          <w:szCs w:val="24"/>
        </w:rPr>
        <w:t xml:space="preserve"> </w:t>
      </w:r>
    </w:p>
    <w:p w14:paraId="5933C18E" w14:textId="77777777" w:rsidR="00B06525" w:rsidRPr="006F3693" w:rsidRDefault="00B06525" w:rsidP="00F441C4">
      <w:pPr>
        <w:pStyle w:val="ListParagraph"/>
        <w:numPr>
          <w:ilvl w:val="0"/>
          <w:numId w:val="32"/>
        </w:numPr>
      </w:pPr>
      <w:r w:rsidRPr="006F3693">
        <w:t xml:space="preserve">SFAs that operate only in Residential Child Care Institutions that do not have day time students; </w:t>
      </w:r>
    </w:p>
    <w:p w14:paraId="46D05E87" w14:textId="4868EB04" w:rsidR="00B06525" w:rsidRPr="004669B2" w:rsidRDefault="00B06525" w:rsidP="00F441C4">
      <w:pPr>
        <w:pStyle w:val="ListParagraph"/>
        <w:numPr>
          <w:ilvl w:val="0"/>
          <w:numId w:val="32"/>
        </w:numPr>
      </w:pPr>
      <w:r w:rsidRPr="004669B2">
        <w:t>SFAs that do not have students who are eligible for free/reduced</w:t>
      </w:r>
      <w:r w:rsidR="00F261B6" w:rsidRPr="004669B2">
        <w:t xml:space="preserve"> </w:t>
      </w:r>
      <w:r w:rsidRPr="004669B2">
        <w:t>price</w:t>
      </w:r>
      <w:r w:rsidR="00986BCC" w:rsidRPr="004669B2">
        <w:t xml:space="preserve"> (FRP)</w:t>
      </w:r>
      <w:r w:rsidRPr="004669B2">
        <w:t xml:space="preserve"> lunch; </w:t>
      </w:r>
      <w:r w:rsidR="004669B2" w:rsidRPr="004669B2">
        <w:t>and</w:t>
      </w:r>
    </w:p>
    <w:p w14:paraId="42C730FE" w14:textId="735B0F01" w:rsidR="00B06525" w:rsidRPr="006F3693" w:rsidRDefault="004669B2" w:rsidP="00F441C4">
      <w:pPr>
        <w:pStyle w:val="ListParagraph"/>
        <w:numPr>
          <w:ilvl w:val="0"/>
          <w:numId w:val="32"/>
        </w:numPr>
      </w:pPr>
      <w:r>
        <w:t xml:space="preserve">SFAs that operate only in private </w:t>
      </w:r>
      <w:r w:rsidR="00B06525" w:rsidRPr="006F3693">
        <w:t xml:space="preserve">schools. </w:t>
      </w:r>
    </w:p>
    <w:p w14:paraId="5769516E" w14:textId="77777777" w:rsidR="00F441C4" w:rsidRDefault="004669B2" w:rsidP="00F441C4">
      <w:r>
        <w:t xml:space="preserve">In </w:t>
      </w:r>
      <w:r w:rsidR="00F441C4">
        <w:t>summary</w:t>
      </w:r>
      <w:r>
        <w:t xml:space="preserve">, the universe includes all </w:t>
      </w:r>
      <w:r w:rsidR="00F441C4">
        <w:t xml:space="preserve">14,854 </w:t>
      </w:r>
      <w:r>
        <w:t xml:space="preserve">public SFAs with day students that participated in the </w:t>
      </w:r>
      <w:r w:rsidRPr="00A8224A">
        <w:t>Nation</w:t>
      </w:r>
      <w:r>
        <w:t>al School Lunch Program (</w:t>
      </w:r>
      <w:r w:rsidRPr="006F3693">
        <w:t>NSLP</w:t>
      </w:r>
      <w:r>
        <w:t>)</w:t>
      </w:r>
      <w:r w:rsidRPr="00802CE8">
        <w:t xml:space="preserve"> or the School Breakfast Program </w:t>
      </w:r>
      <w:r>
        <w:t>(</w:t>
      </w:r>
      <w:r w:rsidRPr="00802CE8">
        <w:t>SBP)</w:t>
      </w:r>
      <w:r>
        <w:t xml:space="preserve"> and </w:t>
      </w:r>
      <w:r w:rsidRPr="00802CE8">
        <w:t>submit</w:t>
      </w:r>
      <w:r>
        <w:t>ted</w:t>
      </w:r>
      <w:r w:rsidRPr="00802CE8">
        <w:t xml:space="preserve"> form FNS-742 </w:t>
      </w:r>
      <w:r w:rsidRPr="006F3693">
        <w:t xml:space="preserve">to FNS </w:t>
      </w:r>
      <w:r>
        <w:t xml:space="preserve">for </w:t>
      </w:r>
      <w:r w:rsidRPr="006F3693">
        <w:t>SY 201</w:t>
      </w:r>
      <w:r w:rsidRPr="00A8224A">
        <w:t>4</w:t>
      </w:r>
      <w:r>
        <w:t>–</w:t>
      </w:r>
      <w:r w:rsidRPr="00802CE8">
        <w:t>1</w:t>
      </w:r>
      <w:r>
        <w:t>5</w:t>
      </w:r>
      <w:r w:rsidRPr="006F3693">
        <w:t>.</w:t>
      </w:r>
      <w:r w:rsidR="00CF4C37" w:rsidRPr="00094DFB" w:rsidDel="00CF4C37">
        <w:t xml:space="preserve"> </w:t>
      </w:r>
    </w:p>
    <w:p w14:paraId="030C0437" w14:textId="2242B2D0" w:rsidR="008C260D" w:rsidRDefault="00F441C4" w:rsidP="00F441C4">
      <w:r>
        <w:t xml:space="preserve">The FNS 742 database includes information on the </w:t>
      </w:r>
      <w:r w:rsidR="00CC17D5">
        <w:t xml:space="preserve">location of the SFA, the </w:t>
      </w:r>
      <w:r>
        <w:t>number of students in the schools served by each SFA</w:t>
      </w:r>
      <w:r w:rsidR="00CC17D5">
        <w:t>,</w:t>
      </w:r>
      <w:r>
        <w:t xml:space="preserve"> and the number of students eligible to receive </w:t>
      </w:r>
      <w:r w:rsidR="00FE7D14">
        <w:t>FRP</w:t>
      </w:r>
      <w:r>
        <w:t xml:space="preserve"> meals in the schools served by each SFA. This information </w:t>
      </w:r>
      <w:r w:rsidR="00CC17D5">
        <w:t xml:space="preserve">was used to create 10 strata based on </w:t>
      </w:r>
      <w:r w:rsidR="00E95745">
        <w:t>both</w:t>
      </w:r>
      <w:r w:rsidR="00CC17D5" w:rsidRPr="0039452F">
        <w:t xml:space="preserve"> SFA size (number of students enrolled) and estimated percentage of students eligible for </w:t>
      </w:r>
      <w:r w:rsidR="00CC17D5">
        <w:t>FRP meals (defined as</w:t>
      </w:r>
      <w:r w:rsidR="00CC17D5" w:rsidRPr="0039452F">
        <w:t xml:space="preserve"> </w:t>
      </w:r>
      <w:r w:rsidR="00CC17D5">
        <w:t>high poverty—</w:t>
      </w:r>
      <w:r w:rsidR="00CC17D5" w:rsidRPr="0039452F">
        <w:t>60</w:t>
      </w:r>
      <w:r w:rsidR="00CC17D5">
        <w:t xml:space="preserve"> percent</w:t>
      </w:r>
      <w:r w:rsidR="00CC17D5" w:rsidRPr="0039452F">
        <w:t xml:space="preserve"> or more </w:t>
      </w:r>
      <w:r w:rsidR="00CC17D5">
        <w:t>FRP students and</w:t>
      </w:r>
      <w:r w:rsidR="00CC17D5" w:rsidRPr="0039452F">
        <w:t xml:space="preserve"> low</w:t>
      </w:r>
      <w:r w:rsidR="00CC17D5">
        <w:t xml:space="preserve"> poverty—less </w:t>
      </w:r>
      <w:r w:rsidR="00CC17D5">
        <w:lastRenderedPageBreak/>
        <w:t>than 60 percent</w:t>
      </w:r>
      <w:r w:rsidR="00CC17D5" w:rsidRPr="0039452F">
        <w:t xml:space="preserve"> </w:t>
      </w:r>
      <w:r w:rsidR="00CC17D5">
        <w:t>FRP</w:t>
      </w:r>
      <w:r w:rsidR="00CC17D5" w:rsidRPr="0039452F">
        <w:t xml:space="preserve"> students).</w:t>
      </w:r>
      <w:r w:rsidR="00CC17D5">
        <w:t xml:space="preserve"> </w:t>
      </w:r>
      <w:r w:rsidR="00491788">
        <w:t xml:space="preserve">The universe was also stratified by the seven FNS regions such that each unit in the universe was coded into its respective region. </w:t>
      </w:r>
      <w:r w:rsidR="00E95745">
        <w:t xml:space="preserve">The </w:t>
      </w:r>
      <w:r w:rsidR="00CC17D5">
        <w:t xml:space="preserve">FNS 742 database </w:t>
      </w:r>
      <w:r w:rsidR="00E95745">
        <w:t xml:space="preserve">was merged </w:t>
      </w:r>
      <w:r w:rsidR="00CC17D5">
        <w:t>with the</w:t>
      </w:r>
      <w:r w:rsidR="00CC17D5" w:rsidRPr="00094DFB">
        <w:t xml:space="preserve"> U.S. Department of Education’s Common Core of Data (CCD) Local Education Agency Unive</w:t>
      </w:r>
      <w:r w:rsidR="00CC17D5" w:rsidRPr="00C95980">
        <w:t>rse Survey File</w:t>
      </w:r>
      <w:r w:rsidR="00CC17D5">
        <w:t>, which is</w:t>
      </w:r>
      <w:r w:rsidR="00CC17D5" w:rsidRPr="00C95980">
        <w:t xml:space="preserve"> maintained by the National Center for Education Statistics (NCES). </w:t>
      </w:r>
      <w:r w:rsidR="00491788">
        <w:t xml:space="preserve">Using the CCD data, the universe was </w:t>
      </w:r>
      <w:r w:rsidR="00E95745">
        <w:t xml:space="preserve">then </w:t>
      </w:r>
      <w:r w:rsidR="00491788">
        <w:t xml:space="preserve">stratified by </w:t>
      </w:r>
      <w:proofErr w:type="spellStart"/>
      <w:r w:rsidR="00491788">
        <w:t>urbanicity</w:t>
      </w:r>
      <w:proofErr w:type="spellEnd"/>
      <w:r w:rsidR="00491788">
        <w:t xml:space="preserve">—a classification derived by NCES that designates the location of school districts </w:t>
      </w:r>
      <w:r w:rsidR="008C260D">
        <w:t xml:space="preserve">in urban, suburban, town, or rural areas. </w:t>
      </w:r>
      <w:r w:rsidR="00491788">
        <w:t xml:space="preserve">All SFAs in the universe matched with the CCD data except 584 units. The unmatched units were treated as a specific stratum </w:t>
      </w:r>
      <w:r w:rsidR="008C260D">
        <w:t xml:space="preserve">in the </w:t>
      </w:r>
      <w:proofErr w:type="spellStart"/>
      <w:r w:rsidR="008C260D">
        <w:t>urbanicity</w:t>
      </w:r>
      <w:proofErr w:type="spellEnd"/>
      <w:r w:rsidR="008C260D">
        <w:t xml:space="preserve"> variable. </w:t>
      </w:r>
    </w:p>
    <w:p w14:paraId="58D40B24" w14:textId="61955596" w:rsidR="008C260D" w:rsidRDefault="008C260D" w:rsidP="00F441C4">
      <w:r>
        <w:t>The explicit strata (</w:t>
      </w:r>
      <w:r w:rsidR="005804D5">
        <w:t>SFA size and the estimated percentage of students eligible for FRP meals</w:t>
      </w:r>
      <w:r>
        <w:t>)</w:t>
      </w:r>
      <w:r w:rsidR="005804D5">
        <w:t>, including the</w:t>
      </w:r>
      <w:r>
        <w:t xml:space="preserve"> number of SFAs </w:t>
      </w:r>
      <w:r w:rsidR="006D4103">
        <w:t xml:space="preserve">and corresponding number of students </w:t>
      </w:r>
      <w:r>
        <w:t xml:space="preserve">in each stratum are presented in </w:t>
      </w:r>
      <w:r w:rsidR="006D4103">
        <w:t xml:space="preserve">the first five columns of </w:t>
      </w:r>
      <w:r>
        <w:t xml:space="preserve">Table B1. </w:t>
      </w:r>
      <w:r w:rsidR="006D4103">
        <w:t>T</w:t>
      </w:r>
      <w:r w:rsidR="006D4103" w:rsidRPr="0039452F">
        <w:t>his stratification plan allows FNS to establish sample</w:t>
      </w:r>
      <w:r w:rsidR="006D4103">
        <w:t>s</w:t>
      </w:r>
      <w:r w:rsidR="006D4103" w:rsidRPr="0039452F">
        <w:t xml:space="preserve"> </w:t>
      </w:r>
      <w:r w:rsidR="006D4103">
        <w:t xml:space="preserve">that </w:t>
      </w:r>
      <w:r w:rsidR="006D4103" w:rsidRPr="0039452F">
        <w:t xml:space="preserve">limit the number of SFAs required </w:t>
      </w:r>
      <w:proofErr w:type="gramStart"/>
      <w:r w:rsidR="006D4103" w:rsidRPr="0039452F">
        <w:t>to complete the study in multiple years, and produce</w:t>
      </w:r>
      <w:proofErr w:type="gramEnd"/>
      <w:r w:rsidR="006D4103" w:rsidRPr="0039452F">
        <w:t xml:space="preserve"> </w:t>
      </w:r>
      <w:r w:rsidR="006D4103">
        <w:t>estimates of the population and sub-population parameters that</w:t>
      </w:r>
      <w:r w:rsidR="006D4103" w:rsidRPr="0039452F">
        <w:t xml:space="preserve"> meet the precision requirements </w:t>
      </w:r>
      <w:r w:rsidR="006D4103">
        <w:t>of the study.</w:t>
      </w:r>
    </w:p>
    <w:p w14:paraId="6EAF52D8" w14:textId="10D450DC" w:rsidR="006354C5" w:rsidRDefault="006354C5" w:rsidP="0000559C"/>
    <w:p w14:paraId="570A08C0" w14:textId="267B3BCC" w:rsidR="006354C5" w:rsidRDefault="006354C5" w:rsidP="00594564">
      <w:pPr>
        <w:spacing w:before="120"/>
        <w:ind w:firstLine="0"/>
      </w:pPr>
    </w:p>
    <w:p w14:paraId="36FE9753" w14:textId="77777777" w:rsidR="00F57A25" w:rsidRDefault="00F57A25" w:rsidP="006354C5">
      <w:pPr>
        <w:sectPr w:rsidR="00F57A25" w:rsidSect="00AB32BC">
          <w:footerReference w:type="default" r:id="rId16"/>
          <w:headerReference w:type="first" r:id="rId17"/>
          <w:footerReference w:type="first" r:id="rId18"/>
          <w:pgSz w:w="12240" w:h="15840"/>
          <w:pgMar w:top="1440" w:right="1440" w:bottom="1440" w:left="1440" w:header="720" w:footer="720" w:gutter="0"/>
          <w:cols w:space="720"/>
          <w:titlePg/>
          <w:docGrid w:linePitch="360"/>
        </w:sectPr>
      </w:pPr>
    </w:p>
    <w:p w14:paraId="6000225E" w14:textId="77777777" w:rsidR="00F57A25" w:rsidRDefault="00F57A25" w:rsidP="006354C5">
      <w:r>
        <w:lastRenderedPageBreak/>
        <w:t xml:space="preserve">Table B1. Universe and Sample Sizes and Estimated Design Effects by Stratum  </w:t>
      </w:r>
    </w:p>
    <w:tbl>
      <w:tblPr>
        <w:tblW w:w="5048" w:type="pct"/>
        <w:tblLayout w:type="fixed"/>
        <w:tblLook w:val="04A0" w:firstRow="1" w:lastRow="0" w:firstColumn="1" w:lastColumn="0" w:noHBand="0" w:noVBand="1"/>
      </w:tblPr>
      <w:tblGrid>
        <w:gridCol w:w="1269"/>
        <w:gridCol w:w="2229"/>
        <w:gridCol w:w="1423"/>
        <w:gridCol w:w="1032"/>
        <w:gridCol w:w="1447"/>
        <w:gridCol w:w="1349"/>
        <w:gridCol w:w="1131"/>
        <w:gridCol w:w="1530"/>
        <w:gridCol w:w="1011"/>
        <w:gridCol w:w="881"/>
      </w:tblGrid>
      <w:tr w:rsidR="00F57A25" w:rsidRPr="00F57A25" w14:paraId="2F947417" w14:textId="77777777" w:rsidTr="00FE7D14">
        <w:trPr>
          <w:trHeight w:val="600"/>
        </w:trPr>
        <w:tc>
          <w:tcPr>
            <w:tcW w:w="477" w:type="pct"/>
            <w:tcBorders>
              <w:top w:val="single" w:sz="4" w:space="0" w:color="auto"/>
              <w:bottom w:val="single" w:sz="4" w:space="0" w:color="auto"/>
            </w:tcBorders>
            <w:shd w:val="clear" w:color="auto" w:fill="B8CCE4" w:themeFill="accent1" w:themeFillTint="66"/>
            <w:vAlign w:val="bottom"/>
          </w:tcPr>
          <w:p w14:paraId="00335A7A" w14:textId="77777777" w:rsidR="00F57A25" w:rsidRPr="00F57A25" w:rsidRDefault="00F57A25" w:rsidP="00F57A25">
            <w:pPr>
              <w:pStyle w:val="NoSpacing"/>
            </w:pPr>
            <w:r w:rsidRPr="00F57A25">
              <w:t>Strata</w:t>
            </w:r>
          </w:p>
        </w:tc>
        <w:tc>
          <w:tcPr>
            <w:tcW w:w="838" w:type="pct"/>
            <w:tcBorders>
              <w:top w:val="single" w:sz="4" w:space="0" w:color="auto"/>
              <w:bottom w:val="single" w:sz="4" w:space="0" w:color="auto"/>
            </w:tcBorders>
            <w:shd w:val="clear" w:color="auto" w:fill="B8CCE4" w:themeFill="accent1" w:themeFillTint="66"/>
            <w:vAlign w:val="bottom"/>
          </w:tcPr>
          <w:p w14:paraId="4D22A421" w14:textId="77777777" w:rsidR="00C63375" w:rsidRDefault="00F57A25" w:rsidP="00F57A25">
            <w:pPr>
              <w:pStyle w:val="NoSpacing"/>
            </w:pPr>
            <w:r w:rsidRPr="00F57A25">
              <w:t xml:space="preserve">SFA Size </w:t>
            </w:r>
          </w:p>
          <w:p w14:paraId="44FF6D77" w14:textId="77777777" w:rsidR="00F57A25" w:rsidRPr="00F57A25" w:rsidRDefault="00F57A25" w:rsidP="00F57A25">
            <w:pPr>
              <w:pStyle w:val="NoSpacing"/>
            </w:pPr>
            <w:r w:rsidRPr="00F57A25">
              <w:t>(Students)</w:t>
            </w:r>
          </w:p>
        </w:tc>
        <w:tc>
          <w:tcPr>
            <w:tcW w:w="535" w:type="pct"/>
            <w:tcBorders>
              <w:top w:val="single" w:sz="4" w:space="0" w:color="auto"/>
              <w:bottom w:val="single" w:sz="4" w:space="0" w:color="auto"/>
            </w:tcBorders>
            <w:shd w:val="clear" w:color="auto" w:fill="B8CCE4" w:themeFill="accent1" w:themeFillTint="66"/>
            <w:vAlign w:val="bottom"/>
          </w:tcPr>
          <w:p w14:paraId="1617508A" w14:textId="77777777" w:rsidR="00F57A25" w:rsidRPr="00F57A25" w:rsidRDefault="00F57A25" w:rsidP="00F57A25">
            <w:pPr>
              <w:pStyle w:val="NoSpacing"/>
            </w:pPr>
            <w:r w:rsidRPr="00F57A25">
              <w:t>Poverty Level</w:t>
            </w:r>
          </w:p>
        </w:tc>
        <w:tc>
          <w:tcPr>
            <w:tcW w:w="932" w:type="pct"/>
            <w:gridSpan w:val="2"/>
            <w:tcBorders>
              <w:top w:val="single" w:sz="4" w:space="0" w:color="auto"/>
              <w:bottom w:val="single" w:sz="4" w:space="0" w:color="auto"/>
              <w:right w:val="single" w:sz="4" w:space="0" w:color="auto"/>
            </w:tcBorders>
            <w:shd w:val="clear" w:color="auto" w:fill="B8CCE4" w:themeFill="accent1" w:themeFillTint="66"/>
            <w:vAlign w:val="bottom"/>
          </w:tcPr>
          <w:p w14:paraId="17797D9A" w14:textId="081C9683" w:rsidR="00F57A25" w:rsidRPr="00F57A25" w:rsidRDefault="006D4103" w:rsidP="006D4103">
            <w:pPr>
              <w:pStyle w:val="NoSpacing"/>
              <w:jc w:val="center"/>
            </w:pPr>
            <w:r>
              <w:t>Universe</w:t>
            </w:r>
          </w:p>
        </w:tc>
        <w:tc>
          <w:tcPr>
            <w:tcW w:w="1507" w:type="pct"/>
            <w:gridSpan w:val="3"/>
            <w:tcBorders>
              <w:top w:val="single" w:sz="4" w:space="0" w:color="auto"/>
              <w:left w:val="single" w:sz="4" w:space="0" w:color="auto"/>
              <w:bottom w:val="single" w:sz="4" w:space="0" w:color="auto"/>
            </w:tcBorders>
            <w:shd w:val="clear" w:color="auto" w:fill="B8CCE4" w:themeFill="accent1" w:themeFillTint="66"/>
            <w:vAlign w:val="bottom"/>
          </w:tcPr>
          <w:p w14:paraId="2AD42AA7" w14:textId="77777777" w:rsidR="00F57A25" w:rsidRPr="00F57A25" w:rsidRDefault="00F57A25" w:rsidP="008C260D">
            <w:pPr>
              <w:pStyle w:val="NoSpacing"/>
            </w:pPr>
            <w:r w:rsidRPr="00F57A25">
              <w:t>Sampling</w:t>
            </w:r>
          </w:p>
        </w:tc>
        <w:tc>
          <w:tcPr>
            <w:tcW w:w="711" w:type="pct"/>
            <w:gridSpan w:val="2"/>
            <w:tcBorders>
              <w:top w:val="single" w:sz="4" w:space="0" w:color="auto"/>
              <w:bottom w:val="single" w:sz="4" w:space="0" w:color="auto"/>
            </w:tcBorders>
            <w:shd w:val="clear" w:color="auto" w:fill="B8CCE4" w:themeFill="accent1" w:themeFillTint="66"/>
            <w:vAlign w:val="bottom"/>
          </w:tcPr>
          <w:p w14:paraId="28751ADE" w14:textId="77777777" w:rsidR="00F57A25" w:rsidRPr="00F57A25" w:rsidRDefault="00F57A25" w:rsidP="00F57A25">
            <w:pPr>
              <w:pStyle w:val="NoSpacing"/>
            </w:pPr>
            <w:r w:rsidRPr="00F57A25">
              <w:t>Estimated Design Effects</w:t>
            </w:r>
          </w:p>
        </w:tc>
      </w:tr>
      <w:tr w:rsidR="00F57A25" w:rsidRPr="00F57A25" w14:paraId="1E1A227F" w14:textId="77777777" w:rsidTr="00FE7D14">
        <w:trPr>
          <w:trHeight w:val="600"/>
        </w:trPr>
        <w:tc>
          <w:tcPr>
            <w:tcW w:w="477" w:type="pct"/>
            <w:tcBorders>
              <w:top w:val="single" w:sz="4" w:space="0" w:color="auto"/>
              <w:bottom w:val="single" w:sz="4" w:space="0" w:color="auto"/>
            </w:tcBorders>
            <w:shd w:val="clear" w:color="auto" w:fill="B8CCE4" w:themeFill="accent1" w:themeFillTint="66"/>
            <w:vAlign w:val="bottom"/>
            <w:hideMark/>
          </w:tcPr>
          <w:p w14:paraId="6D366E18" w14:textId="77777777" w:rsidR="00F57A25" w:rsidRPr="00F57A25" w:rsidRDefault="00F57A25" w:rsidP="00F57A25">
            <w:pPr>
              <w:pStyle w:val="NoSpacing"/>
            </w:pPr>
            <w:r w:rsidRPr="00F57A25">
              <w:t>Number</w:t>
            </w:r>
          </w:p>
        </w:tc>
        <w:tc>
          <w:tcPr>
            <w:tcW w:w="838" w:type="pct"/>
            <w:tcBorders>
              <w:top w:val="single" w:sz="4" w:space="0" w:color="auto"/>
              <w:bottom w:val="single" w:sz="4" w:space="0" w:color="auto"/>
            </w:tcBorders>
            <w:shd w:val="clear" w:color="auto" w:fill="B8CCE4" w:themeFill="accent1" w:themeFillTint="66"/>
            <w:vAlign w:val="bottom"/>
            <w:hideMark/>
          </w:tcPr>
          <w:p w14:paraId="5C2A8375" w14:textId="77777777" w:rsidR="00F57A25" w:rsidRPr="00F57A25" w:rsidRDefault="00F57A25" w:rsidP="00F57A25">
            <w:pPr>
              <w:pStyle w:val="NoSpacing"/>
            </w:pPr>
            <w:r w:rsidRPr="00F57A25">
              <w:t>Range</w:t>
            </w:r>
          </w:p>
        </w:tc>
        <w:tc>
          <w:tcPr>
            <w:tcW w:w="535" w:type="pct"/>
            <w:tcBorders>
              <w:top w:val="single" w:sz="4" w:space="0" w:color="auto"/>
              <w:bottom w:val="single" w:sz="4" w:space="0" w:color="auto"/>
            </w:tcBorders>
            <w:shd w:val="clear" w:color="auto" w:fill="B8CCE4" w:themeFill="accent1" w:themeFillTint="66"/>
            <w:vAlign w:val="bottom"/>
            <w:hideMark/>
          </w:tcPr>
          <w:p w14:paraId="6601F957" w14:textId="77777777" w:rsidR="00F57A25" w:rsidRPr="00F57A25" w:rsidRDefault="00F57A25" w:rsidP="00F57A25">
            <w:pPr>
              <w:pStyle w:val="NoSpacing"/>
              <w:rPr>
                <w:vertAlign w:val="superscript"/>
              </w:rPr>
            </w:pPr>
            <w:r w:rsidRPr="00F57A25">
              <w:t>&lt;&gt;60%</w:t>
            </w:r>
            <w:r w:rsidRPr="00F57A25">
              <w:rPr>
                <w:vertAlign w:val="superscript"/>
              </w:rPr>
              <w:t>a</w:t>
            </w:r>
          </w:p>
        </w:tc>
        <w:tc>
          <w:tcPr>
            <w:tcW w:w="388" w:type="pct"/>
            <w:tcBorders>
              <w:top w:val="single" w:sz="4" w:space="0" w:color="auto"/>
              <w:bottom w:val="single" w:sz="4" w:space="0" w:color="auto"/>
            </w:tcBorders>
            <w:shd w:val="clear" w:color="auto" w:fill="B8CCE4" w:themeFill="accent1" w:themeFillTint="66"/>
            <w:vAlign w:val="bottom"/>
          </w:tcPr>
          <w:p w14:paraId="74C776A3" w14:textId="77777777" w:rsidR="00F57A25" w:rsidRPr="00F57A25" w:rsidRDefault="00F57A25" w:rsidP="00F57A25">
            <w:pPr>
              <w:pStyle w:val="NoSpacing"/>
            </w:pPr>
            <w:r w:rsidRPr="00F57A25">
              <w:t>SFAs</w:t>
            </w:r>
          </w:p>
        </w:tc>
        <w:tc>
          <w:tcPr>
            <w:tcW w:w="544" w:type="pct"/>
            <w:tcBorders>
              <w:top w:val="single" w:sz="4" w:space="0" w:color="auto"/>
              <w:bottom w:val="single" w:sz="4" w:space="0" w:color="auto"/>
              <w:right w:val="single" w:sz="4" w:space="0" w:color="auto"/>
            </w:tcBorders>
            <w:shd w:val="clear" w:color="auto" w:fill="B8CCE4" w:themeFill="accent1" w:themeFillTint="66"/>
            <w:vAlign w:val="bottom"/>
          </w:tcPr>
          <w:p w14:paraId="231F4AF8" w14:textId="77777777" w:rsidR="00F57A25" w:rsidRPr="00F57A25" w:rsidRDefault="00F57A25" w:rsidP="00F57A25">
            <w:pPr>
              <w:pStyle w:val="NoSpacing"/>
            </w:pPr>
            <w:r w:rsidRPr="00F57A25">
              <w:t>Students</w:t>
            </w:r>
          </w:p>
        </w:tc>
        <w:tc>
          <w:tcPr>
            <w:tcW w:w="507" w:type="pct"/>
            <w:tcBorders>
              <w:top w:val="single" w:sz="4" w:space="0" w:color="auto"/>
              <w:left w:val="single" w:sz="4" w:space="0" w:color="auto"/>
              <w:bottom w:val="single" w:sz="4" w:space="0" w:color="auto"/>
            </w:tcBorders>
            <w:shd w:val="clear" w:color="auto" w:fill="B8CCE4" w:themeFill="accent1" w:themeFillTint="66"/>
            <w:vAlign w:val="bottom"/>
            <w:hideMark/>
          </w:tcPr>
          <w:p w14:paraId="028BDA66" w14:textId="77777777" w:rsidR="00F57A25" w:rsidRPr="00F57A25" w:rsidRDefault="00F57A25" w:rsidP="0080356E">
            <w:pPr>
              <w:pStyle w:val="NoSpacing"/>
            </w:pPr>
            <w:r w:rsidRPr="00F57A25">
              <w:t xml:space="preserve">SFA Sample Selected </w:t>
            </w:r>
            <w:r w:rsidR="00C63375">
              <w:t>t</w:t>
            </w:r>
            <w:r w:rsidR="00C63375" w:rsidRPr="00F57A25">
              <w:t xml:space="preserve">o </w:t>
            </w:r>
            <w:r w:rsidRPr="00F57A25">
              <w:t xml:space="preserve">Support All </w:t>
            </w:r>
            <w:r w:rsidR="00A53DFA">
              <w:t xml:space="preserve">4 </w:t>
            </w:r>
            <w:r w:rsidRPr="00F57A25">
              <w:t>Years</w:t>
            </w:r>
          </w:p>
        </w:tc>
        <w:tc>
          <w:tcPr>
            <w:tcW w:w="425" w:type="pct"/>
            <w:tcBorders>
              <w:top w:val="single" w:sz="4" w:space="0" w:color="auto"/>
              <w:bottom w:val="single" w:sz="4" w:space="0" w:color="auto"/>
            </w:tcBorders>
            <w:shd w:val="clear" w:color="auto" w:fill="B8CCE4" w:themeFill="accent1" w:themeFillTint="66"/>
            <w:vAlign w:val="bottom"/>
          </w:tcPr>
          <w:p w14:paraId="4A462769" w14:textId="77777777" w:rsidR="00F57A25" w:rsidRPr="00F57A25" w:rsidRDefault="00F57A25">
            <w:pPr>
              <w:pStyle w:val="NoSpacing"/>
            </w:pPr>
            <w:r w:rsidRPr="00F57A25">
              <w:t xml:space="preserve">Sample of SFAs Each Year </w:t>
            </w:r>
          </w:p>
        </w:tc>
        <w:tc>
          <w:tcPr>
            <w:tcW w:w="575" w:type="pct"/>
            <w:tcBorders>
              <w:top w:val="single" w:sz="4" w:space="0" w:color="auto"/>
              <w:bottom w:val="single" w:sz="4" w:space="0" w:color="auto"/>
            </w:tcBorders>
            <w:shd w:val="clear" w:color="auto" w:fill="B8CCE4" w:themeFill="accent1" w:themeFillTint="66"/>
            <w:vAlign w:val="bottom"/>
            <w:hideMark/>
          </w:tcPr>
          <w:p w14:paraId="0062D55F" w14:textId="77777777" w:rsidR="00F57A25" w:rsidRPr="00F57A25" w:rsidRDefault="00F57A25" w:rsidP="00F57A25">
            <w:pPr>
              <w:pStyle w:val="NoSpacing"/>
            </w:pPr>
            <w:r w:rsidRPr="00F57A25">
              <w:t xml:space="preserve">Expected SFA </w:t>
            </w:r>
            <w:r w:rsidR="00372B8C">
              <w:t>Respondents at 80 % Response Rate</w:t>
            </w:r>
          </w:p>
        </w:tc>
        <w:tc>
          <w:tcPr>
            <w:tcW w:w="380" w:type="pct"/>
            <w:tcBorders>
              <w:top w:val="single" w:sz="4" w:space="0" w:color="auto"/>
              <w:bottom w:val="single" w:sz="4" w:space="0" w:color="auto"/>
            </w:tcBorders>
            <w:shd w:val="clear" w:color="auto" w:fill="B8CCE4" w:themeFill="accent1" w:themeFillTint="66"/>
            <w:vAlign w:val="bottom"/>
            <w:hideMark/>
          </w:tcPr>
          <w:p w14:paraId="6AA0490B" w14:textId="77777777" w:rsidR="00F57A25" w:rsidRPr="00F57A25" w:rsidRDefault="00F57A25" w:rsidP="00F57A25">
            <w:pPr>
              <w:pStyle w:val="NoSpacing"/>
            </w:pPr>
            <w:r w:rsidRPr="00F57A25">
              <w:t>Point in Time</w:t>
            </w:r>
          </w:p>
        </w:tc>
        <w:tc>
          <w:tcPr>
            <w:tcW w:w="331" w:type="pct"/>
            <w:tcBorders>
              <w:top w:val="single" w:sz="4" w:space="0" w:color="auto"/>
              <w:bottom w:val="single" w:sz="4" w:space="0" w:color="auto"/>
            </w:tcBorders>
            <w:shd w:val="clear" w:color="auto" w:fill="B8CCE4" w:themeFill="accent1" w:themeFillTint="66"/>
            <w:vAlign w:val="bottom"/>
            <w:hideMark/>
          </w:tcPr>
          <w:p w14:paraId="221F194B" w14:textId="77777777" w:rsidR="00F57A25" w:rsidRPr="00F57A25" w:rsidRDefault="00F57A25" w:rsidP="00F57A25">
            <w:pPr>
              <w:pStyle w:val="NoSpacing"/>
            </w:pPr>
            <w:r w:rsidRPr="00F57A25">
              <w:t>Year to Year</w:t>
            </w:r>
          </w:p>
        </w:tc>
      </w:tr>
      <w:tr w:rsidR="00F57A25" w:rsidRPr="00F57A25" w14:paraId="75FDC887" w14:textId="77777777" w:rsidTr="00FE7D14">
        <w:trPr>
          <w:trHeight w:val="300"/>
        </w:trPr>
        <w:tc>
          <w:tcPr>
            <w:tcW w:w="477" w:type="pct"/>
            <w:tcBorders>
              <w:top w:val="single" w:sz="4" w:space="0" w:color="auto"/>
            </w:tcBorders>
            <w:noWrap/>
            <w:hideMark/>
          </w:tcPr>
          <w:p w14:paraId="6BAA2A37" w14:textId="77777777" w:rsidR="00F57A25" w:rsidRPr="00F57A25" w:rsidRDefault="00F57A25" w:rsidP="00F57A25">
            <w:pPr>
              <w:pStyle w:val="NoSpacing"/>
            </w:pPr>
            <w:r w:rsidRPr="00F57A25">
              <w:t>1</w:t>
            </w:r>
          </w:p>
        </w:tc>
        <w:tc>
          <w:tcPr>
            <w:tcW w:w="838" w:type="pct"/>
            <w:vMerge w:val="restart"/>
            <w:tcBorders>
              <w:top w:val="single" w:sz="4" w:space="0" w:color="auto"/>
            </w:tcBorders>
            <w:noWrap/>
            <w:vAlign w:val="center"/>
            <w:hideMark/>
          </w:tcPr>
          <w:p w14:paraId="7A227624" w14:textId="77777777" w:rsidR="00F57A25" w:rsidRPr="00F57A25" w:rsidRDefault="00F57A25" w:rsidP="0080356E">
            <w:pPr>
              <w:pStyle w:val="NoSpacing"/>
            </w:pPr>
            <w:r w:rsidRPr="00F57A25">
              <w:t>0</w:t>
            </w:r>
            <w:r w:rsidR="00A53DFA">
              <w:t>–</w:t>
            </w:r>
            <w:r w:rsidRPr="00F57A25">
              <w:t>2,499</w:t>
            </w:r>
          </w:p>
        </w:tc>
        <w:tc>
          <w:tcPr>
            <w:tcW w:w="535" w:type="pct"/>
            <w:tcBorders>
              <w:top w:val="single" w:sz="4" w:space="0" w:color="auto"/>
            </w:tcBorders>
            <w:noWrap/>
          </w:tcPr>
          <w:p w14:paraId="171B2E27" w14:textId="77777777" w:rsidR="00F57A25" w:rsidRPr="00F57A25" w:rsidRDefault="00F57A25" w:rsidP="00F57A25">
            <w:pPr>
              <w:pStyle w:val="NoSpacing"/>
            </w:pPr>
            <w:r w:rsidRPr="00F57A25">
              <w:t>High</w:t>
            </w:r>
          </w:p>
        </w:tc>
        <w:tc>
          <w:tcPr>
            <w:tcW w:w="388" w:type="pct"/>
            <w:tcBorders>
              <w:top w:val="single" w:sz="4" w:space="0" w:color="auto"/>
            </w:tcBorders>
          </w:tcPr>
          <w:p w14:paraId="08C65760" w14:textId="77777777" w:rsidR="00F57A25" w:rsidRPr="00F57A25" w:rsidRDefault="00F57A25" w:rsidP="00C677AC">
            <w:pPr>
              <w:pStyle w:val="NoSpacing"/>
              <w:jc w:val="right"/>
            </w:pPr>
            <w:r w:rsidRPr="00F57A25">
              <w:t>3,186</w:t>
            </w:r>
          </w:p>
        </w:tc>
        <w:tc>
          <w:tcPr>
            <w:tcW w:w="544" w:type="pct"/>
            <w:tcBorders>
              <w:top w:val="single" w:sz="4" w:space="0" w:color="auto"/>
              <w:right w:val="single" w:sz="4" w:space="0" w:color="auto"/>
            </w:tcBorders>
          </w:tcPr>
          <w:p w14:paraId="3C12C31C" w14:textId="77777777" w:rsidR="00F57A25" w:rsidRPr="00F57A25" w:rsidRDefault="00F57A25" w:rsidP="00C677AC">
            <w:pPr>
              <w:pStyle w:val="NoSpacing"/>
              <w:jc w:val="right"/>
            </w:pPr>
            <w:r w:rsidRPr="00F57A25">
              <w:t>2,062,994</w:t>
            </w:r>
          </w:p>
        </w:tc>
        <w:tc>
          <w:tcPr>
            <w:tcW w:w="507" w:type="pct"/>
            <w:tcBorders>
              <w:top w:val="single" w:sz="4" w:space="0" w:color="auto"/>
              <w:left w:val="single" w:sz="4" w:space="0" w:color="auto"/>
            </w:tcBorders>
            <w:noWrap/>
          </w:tcPr>
          <w:p w14:paraId="36D3DCB8" w14:textId="77777777" w:rsidR="00F57A25" w:rsidRPr="00F57A25" w:rsidRDefault="00F57A25" w:rsidP="00C677AC">
            <w:pPr>
              <w:pStyle w:val="NoSpacing"/>
              <w:jc w:val="right"/>
            </w:pPr>
            <w:r w:rsidRPr="00F57A25">
              <w:t>1,567</w:t>
            </w:r>
          </w:p>
        </w:tc>
        <w:tc>
          <w:tcPr>
            <w:tcW w:w="425" w:type="pct"/>
            <w:tcBorders>
              <w:top w:val="single" w:sz="4" w:space="0" w:color="auto"/>
            </w:tcBorders>
          </w:tcPr>
          <w:p w14:paraId="78C7469F" w14:textId="77777777" w:rsidR="00F57A25" w:rsidRPr="00F57A25" w:rsidRDefault="0088320D" w:rsidP="00C677AC">
            <w:pPr>
              <w:pStyle w:val="NoSpacing"/>
              <w:jc w:val="right"/>
            </w:pPr>
            <w:r>
              <w:t>344</w:t>
            </w:r>
          </w:p>
        </w:tc>
        <w:tc>
          <w:tcPr>
            <w:tcW w:w="575" w:type="pct"/>
            <w:tcBorders>
              <w:top w:val="single" w:sz="4" w:space="0" w:color="auto"/>
            </w:tcBorders>
            <w:noWrap/>
          </w:tcPr>
          <w:p w14:paraId="0FED426B" w14:textId="77777777" w:rsidR="00F57A25" w:rsidRPr="00F57A25" w:rsidRDefault="00F57A25" w:rsidP="00C677AC">
            <w:pPr>
              <w:pStyle w:val="NoSpacing"/>
              <w:jc w:val="right"/>
            </w:pPr>
            <w:r w:rsidRPr="00F57A25">
              <w:t>274</w:t>
            </w:r>
          </w:p>
        </w:tc>
        <w:tc>
          <w:tcPr>
            <w:tcW w:w="380" w:type="pct"/>
            <w:tcBorders>
              <w:top w:val="single" w:sz="4" w:space="0" w:color="auto"/>
            </w:tcBorders>
            <w:noWrap/>
          </w:tcPr>
          <w:p w14:paraId="1C19B1B4" w14:textId="77777777" w:rsidR="00F57A25" w:rsidRPr="00F57A25" w:rsidRDefault="00F57A25" w:rsidP="00C677AC">
            <w:pPr>
              <w:pStyle w:val="NoSpacing"/>
              <w:jc w:val="right"/>
            </w:pPr>
            <w:r w:rsidRPr="00F57A25">
              <w:t>1.24</w:t>
            </w:r>
          </w:p>
        </w:tc>
        <w:tc>
          <w:tcPr>
            <w:tcW w:w="331" w:type="pct"/>
            <w:tcBorders>
              <w:top w:val="single" w:sz="4" w:space="0" w:color="auto"/>
            </w:tcBorders>
            <w:noWrap/>
          </w:tcPr>
          <w:p w14:paraId="20C30E06" w14:textId="77777777" w:rsidR="00F57A25" w:rsidRPr="00F57A25" w:rsidRDefault="00F57A25" w:rsidP="00C677AC">
            <w:pPr>
              <w:pStyle w:val="NoSpacing"/>
              <w:jc w:val="right"/>
            </w:pPr>
            <w:r w:rsidRPr="00F57A25">
              <w:t>1.18</w:t>
            </w:r>
          </w:p>
        </w:tc>
      </w:tr>
      <w:tr w:rsidR="00F57A25" w:rsidRPr="00F57A25" w14:paraId="3E5AA6CF" w14:textId="77777777" w:rsidTr="00FE7D14">
        <w:trPr>
          <w:trHeight w:val="300"/>
        </w:trPr>
        <w:tc>
          <w:tcPr>
            <w:tcW w:w="477" w:type="pct"/>
            <w:noWrap/>
            <w:hideMark/>
          </w:tcPr>
          <w:p w14:paraId="2402E6C5" w14:textId="77777777" w:rsidR="00F57A25" w:rsidRPr="00F57A25" w:rsidRDefault="00F57A25" w:rsidP="00F57A25">
            <w:pPr>
              <w:pStyle w:val="NoSpacing"/>
            </w:pPr>
            <w:r w:rsidRPr="00F57A25">
              <w:t>2</w:t>
            </w:r>
          </w:p>
        </w:tc>
        <w:tc>
          <w:tcPr>
            <w:tcW w:w="838" w:type="pct"/>
            <w:vMerge/>
            <w:noWrap/>
            <w:vAlign w:val="center"/>
            <w:hideMark/>
          </w:tcPr>
          <w:p w14:paraId="1E5BD3A2" w14:textId="77777777" w:rsidR="00F57A25" w:rsidRPr="00F57A25" w:rsidRDefault="00F57A25" w:rsidP="00F57A25">
            <w:pPr>
              <w:pStyle w:val="NoSpacing"/>
            </w:pPr>
          </w:p>
        </w:tc>
        <w:tc>
          <w:tcPr>
            <w:tcW w:w="535" w:type="pct"/>
            <w:noWrap/>
          </w:tcPr>
          <w:p w14:paraId="43D2ACF1" w14:textId="77777777" w:rsidR="00F57A25" w:rsidRPr="00F57A25" w:rsidRDefault="00F57A25" w:rsidP="00F57A25">
            <w:pPr>
              <w:pStyle w:val="NoSpacing"/>
            </w:pPr>
            <w:r w:rsidRPr="00F57A25">
              <w:t>Low</w:t>
            </w:r>
          </w:p>
        </w:tc>
        <w:tc>
          <w:tcPr>
            <w:tcW w:w="388" w:type="pct"/>
          </w:tcPr>
          <w:p w14:paraId="04417125" w14:textId="77777777" w:rsidR="00F57A25" w:rsidRPr="00F57A25" w:rsidRDefault="00F57A25" w:rsidP="00C677AC">
            <w:pPr>
              <w:pStyle w:val="NoSpacing"/>
              <w:jc w:val="right"/>
            </w:pPr>
            <w:r w:rsidRPr="00F57A25">
              <w:t>7,810</w:t>
            </w:r>
          </w:p>
        </w:tc>
        <w:tc>
          <w:tcPr>
            <w:tcW w:w="544" w:type="pct"/>
            <w:tcBorders>
              <w:right w:val="single" w:sz="4" w:space="0" w:color="auto"/>
            </w:tcBorders>
          </w:tcPr>
          <w:p w14:paraId="5D9E58E1" w14:textId="77777777" w:rsidR="00F57A25" w:rsidRPr="00F57A25" w:rsidRDefault="00F57A25" w:rsidP="00C677AC">
            <w:pPr>
              <w:pStyle w:val="NoSpacing"/>
              <w:jc w:val="right"/>
            </w:pPr>
            <w:r w:rsidRPr="00F57A25">
              <w:t>6,587,739</w:t>
            </w:r>
          </w:p>
        </w:tc>
        <w:tc>
          <w:tcPr>
            <w:tcW w:w="507" w:type="pct"/>
            <w:tcBorders>
              <w:left w:val="single" w:sz="4" w:space="0" w:color="auto"/>
            </w:tcBorders>
            <w:noWrap/>
          </w:tcPr>
          <w:p w14:paraId="1EC491AC" w14:textId="77777777" w:rsidR="00F57A25" w:rsidRPr="00F57A25" w:rsidRDefault="00F57A25" w:rsidP="00C677AC">
            <w:pPr>
              <w:pStyle w:val="NoSpacing"/>
              <w:jc w:val="right"/>
            </w:pPr>
            <w:r w:rsidRPr="00F57A25">
              <w:t>4,514</w:t>
            </w:r>
          </w:p>
        </w:tc>
        <w:tc>
          <w:tcPr>
            <w:tcW w:w="425" w:type="pct"/>
          </w:tcPr>
          <w:p w14:paraId="76153678" w14:textId="77777777" w:rsidR="00F57A25" w:rsidRPr="00F57A25" w:rsidRDefault="00F57A25" w:rsidP="00C677AC">
            <w:pPr>
              <w:pStyle w:val="NoSpacing"/>
              <w:jc w:val="right"/>
            </w:pPr>
            <w:r w:rsidRPr="00F57A25">
              <w:t>988</w:t>
            </w:r>
          </w:p>
        </w:tc>
        <w:tc>
          <w:tcPr>
            <w:tcW w:w="575" w:type="pct"/>
            <w:noWrap/>
          </w:tcPr>
          <w:p w14:paraId="26D78245" w14:textId="77777777" w:rsidR="00F57A25" w:rsidRPr="00F57A25" w:rsidRDefault="00F57A25" w:rsidP="00C677AC">
            <w:pPr>
              <w:pStyle w:val="NoSpacing"/>
              <w:jc w:val="right"/>
            </w:pPr>
            <w:r w:rsidRPr="00F57A25">
              <w:t>790</w:t>
            </w:r>
          </w:p>
        </w:tc>
        <w:tc>
          <w:tcPr>
            <w:tcW w:w="380" w:type="pct"/>
            <w:noWrap/>
          </w:tcPr>
          <w:p w14:paraId="34AD6177" w14:textId="77777777" w:rsidR="00F57A25" w:rsidRPr="00F57A25" w:rsidRDefault="00F57A25" w:rsidP="00C677AC">
            <w:pPr>
              <w:pStyle w:val="NoSpacing"/>
              <w:jc w:val="right"/>
            </w:pPr>
            <w:r w:rsidRPr="00F57A25">
              <w:t>1.14</w:t>
            </w:r>
          </w:p>
        </w:tc>
        <w:tc>
          <w:tcPr>
            <w:tcW w:w="331" w:type="pct"/>
            <w:noWrap/>
          </w:tcPr>
          <w:p w14:paraId="7A80E83F" w14:textId="77777777" w:rsidR="00F57A25" w:rsidRPr="00F57A25" w:rsidRDefault="00F57A25" w:rsidP="00C677AC">
            <w:pPr>
              <w:pStyle w:val="NoSpacing"/>
              <w:jc w:val="right"/>
            </w:pPr>
            <w:r w:rsidRPr="00F57A25">
              <w:t>1.09</w:t>
            </w:r>
          </w:p>
        </w:tc>
      </w:tr>
      <w:tr w:rsidR="00F57A25" w:rsidRPr="00F57A25" w14:paraId="16120079" w14:textId="77777777" w:rsidTr="00FE7D14">
        <w:trPr>
          <w:trHeight w:val="315"/>
        </w:trPr>
        <w:tc>
          <w:tcPr>
            <w:tcW w:w="477" w:type="pct"/>
            <w:noWrap/>
            <w:hideMark/>
          </w:tcPr>
          <w:p w14:paraId="36BE18A9" w14:textId="77777777" w:rsidR="00F57A25" w:rsidRPr="00F57A25" w:rsidRDefault="00F57A25" w:rsidP="00F57A25">
            <w:pPr>
              <w:pStyle w:val="NoSpacing"/>
            </w:pPr>
            <w:r w:rsidRPr="00F57A25">
              <w:t>3</w:t>
            </w:r>
          </w:p>
        </w:tc>
        <w:tc>
          <w:tcPr>
            <w:tcW w:w="838" w:type="pct"/>
            <w:vMerge w:val="restart"/>
            <w:noWrap/>
            <w:vAlign w:val="center"/>
            <w:hideMark/>
          </w:tcPr>
          <w:p w14:paraId="35C4CD7B" w14:textId="77777777" w:rsidR="00F57A25" w:rsidRPr="00F57A25" w:rsidRDefault="00F57A25" w:rsidP="0080356E">
            <w:pPr>
              <w:pStyle w:val="NoSpacing"/>
            </w:pPr>
            <w:r w:rsidRPr="00F57A25">
              <w:t>2</w:t>
            </w:r>
            <w:r w:rsidR="00A53DFA">
              <w:t>,</w:t>
            </w:r>
            <w:r w:rsidRPr="00F57A25">
              <w:t>500</w:t>
            </w:r>
            <w:r w:rsidR="00A53DFA">
              <w:t>–</w:t>
            </w:r>
            <w:r w:rsidRPr="00F57A25">
              <w:t>4</w:t>
            </w:r>
            <w:r w:rsidR="00A53DFA">
              <w:t>,</w:t>
            </w:r>
            <w:r w:rsidRPr="00F57A25">
              <w:t>999</w:t>
            </w:r>
          </w:p>
        </w:tc>
        <w:tc>
          <w:tcPr>
            <w:tcW w:w="535" w:type="pct"/>
            <w:noWrap/>
          </w:tcPr>
          <w:p w14:paraId="5A0BC977" w14:textId="77777777" w:rsidR="00F57A25" w:rsidRPr="00F57A25" w:rsidRDefault="00F57A25" w:rsidP="00F57A25">
            <w:pPr>
              <w:pStyle w:val="NoSpacing"/>
            </w:pPr>
            <w:r w:rsidRPr="00F57A25">
              <w:t>High</w:t>
            </w:r>
          </w:p>
        </w:tc>
        <w:tc>
          <w:tcPr>
            <w:tcW w:w="388" w:type="pct"/>
          </w:tcPr>
          <w:p w14:paraId="113CB5A5" w14:textId="77777777" w:rsidR="00F57A25" w:rsidRPr="00F57A25" w:rsidRDefault="00F57A25" w:rsidP="00C677AC">
            <w:pPr>
              <w:pStyle w:val="NoSpacing"/>
              <w:jc w:val="right"/>
            </w:pPr>
            <w:r w:rsidRPr="00F57A25">
              <w:t>421</w:t>
            </w:r>
          </w:p>
        </w:tc>
        <w:tc>
          <w:tcPr>
            <w:tcW w:w="544" w:type="pct"/>
            <w:tcBorders>
              <w:right w:val="single" w:sz="4" w:space="0" w:color="auto"/>
            </w:tcBorders>
          </w:tcPr>
          <w:p w14:paraId="6111457E" w14:textId="77777777" w:rsidR="00F57A25" w:rsidRPr="00F57A25" w:rsidRDefault="00F57A25" w:rsidP="00C677AC">
            <w:pPr>
              <w:pStyle w:val="NoSpacing"/>
              <w:jc w:val="right"/>
            </w:pPr>
            <w:r w:rsidRPr="00F57A25">
              <w:t>1,457,686</w:t>
            </w:r>
          </w:p>
        </w:tc>
        <w:tc>
          <w:tcPr>
            <w:tcW w:w="507" w:type="pct"/>
            <w:tcBorders>
              <w:left w:val="single" w:sz="4" w:space="0" w:color="auto"/>
            </w:tcBorders>
            <w:noWrap/>
          </w:tcPr>
          <w:p w14:paraId="6EA3E8B5" w14:textId="77777777" w:rsidR="00F57A25" w:rsidRPr="00F57A25" w:rsidRDefault="00F57A25" w:rsidP="00C677AC">
            <w:pPr>
              <w:pStyle w:val="NoSpacing"/>
              <w:jc w:val="right"/>
            </w:pPr>
            <w:r w:rsidRPr="00F57A25">
              <w:t>421</w:t>
            </w:r>
          </w:p>
        </w:tc>
        <w:tc>
          <w:tcPr>
            <w:tcW w:w="425" w:type="pct"/>
          </w:tcPr>
          <w:p w14:paraId="21236436" w14:textId="77777777" w:rsidR="00F57A25" w:rsidRPr="00F57A25" w:rsidRDefault="00F57A25" w:rsidP="00C677AC">
            <w:pPr>
              <w:pStyle w:val="NoSpacing"/>
              <w:jc w:val="right"/>
            </w:pPr>
            <w:r w:rsidRPr="00F57A25">
              <w:t>92</w:t>
            </w:r>
          </w:p>
        </w:tc>
        <w:tc>
          <w:tcPr>
            <w:tcW w:w="575" w:type="pct"/>
            <w:noWrap/>
          </w:tcPr>
          <w:p w14:paraId="65C83A37" w14:textId="77777777" w:rsidR="00F57A25" w:rsidRPr="00F57A25" w:rsidRDefault="00F57A25" w:rsidP="00C677AC">
            <w:pPr>
              <w:pStyle w:val="NoSpacing"/>
              <w:jc w:val="right"/>
            </w:pPr>
            <w:r w:rsidRPr="00F57A25">
              <w:t>74</w:t>
            </w:r>
          </w:p>
        </w:tc>
        <w:tc>
          <w:tcPr>
            <w:tcW w:w="380" w:type="pct"/>
            <w:noWrap/>
          </w:tcPr>
          <w:p w14:paraId="4D6E3E93" w14:textId="77777777" w:rsidR="00F57A25" w:rsidRPr="00F57A25" w:rsidRDefault="00F57A25" w:rsidP="00C677AC">
            <w:pPr>
              <w:pStyle w:val="NoSpacing"/>
              <w:jc w:val="right"/>
            </w:pPr>
            <w:r w:rsidRPr="00F57A25">
              <w:t>0.83</w:t>
            </w:r>
          </w:p>
        </w:tc>
        <w:tc>
          <w:tcPr>
            <w:tcW w:w="331" w:type="pct"/>
            <w:noWrap/>
          </w:tcPr>
          <w:p w14:paraId="19636B24" w14:textId="77777777" w:rsidR="00F57A25" w:rsidRPr="00F57A25" w:rsidRDefault="00F57A25" w:rsidP="00C677AC">
            <w:pPr>
              <w:pStyle w:val="NoSpacing"/>
              <w:jc w:val="right"/>
            </w:pPr>
            <w:r w:rsidRPr="00F57A25">
              <w:t>0.78</w:t>
            </w:r>
          </w:p>
        </w:tc>
      </w:tr>
      <w:tr w:rsidR="00F57A25" w:rsidRPr="00F57A25" w14:paraId="14BECBC7" w14:textId="77777777" w:rsidTr="00FE7D14">
        <w:trPr>
          <w:trHeight w:val="300"/>
        </w:trPr>
        <w:tc>
          <w:tcPr>
            <w:tcW w:w="477" w:type="pct"/>
            <w:noWrap/>
            <w:hideMark/>
          </w:tcPr>
          <w:p w14:paraId="4BA8E4DE" w14:textId="77777777" w:rsidR="00F57A25" w:rsidRPr="00F57A25" w:rsidRDefault="00F57A25" w:rsidP="00F57A25">
            <w:pPr>
              <w:pStyle w:val="NoSpacing"/>
            </w:pPr>
            <w:r w:rsidRPr="00F57A25">
              <w:t>4</w:t>
            </w:r>
          </w:p>
        </w:tc>
        <w:tc>
          <w:tcPr>
            <w:tcW w:w="838" w:type="pct"/>
            <w:vMerge/>
            <w:noWrap/>
            <w:vAlign w:val="center"/>
            <w:hideMark/>
          </w:tcPr>
          <w:p w14:paraId="2960FA5B" w14:textId="77777777" w:rsidR="00F57A25" w:rsidRPr="00F57A25" w:rsidRDefault="00F57A25" w:rsidP="00F57A25">
            <w:pPr>
              <w:pStyle w:val="NoSpacing"/>
            </w:pPr>
          </w:p>
        </w:tc>
        <w:tc>
          <w:tcPr>
            <w:tcW w:w="535" w:type="pct"/>
            <w:noWrap/>
          </w:tcPr>
          <w:p w14:paraId="08714982" w14:textId="77777777" w:rsidR="00F57A25" w:rsidRPr="00F57A25" w:rsidRDefault="00F57A25" w:rsidP="00F57A25">
            <w:pPr>
              <w:pStyle w:val="NoSpacing"/>
            </w:pPr>
            <w:r w:rsidRPr="00F57A25">
              <w:t>Low</w:t>
            </w:r>
          </w:p>
        </w:tc>
        <w:tc>
          <w:tcPr>
            <w:tcW w:w="388" w:type="pct"/>
          </w:tcPr>
          <w:p w14:paraId="7D1DA889" w14:textId="77777777" w:rsidR="00F57A25" w:rsidRPr="00F57A25" w:rsidRDefault="00F57A25" w:rsidP="00C677AC">
            <w:pPr>
              <w:pStyle w:val="NoSpacing"/>
              <w:jc w:val="right"/>
            </w:pPr>
            <w:r w:rsidRPr="00F57A25">
              <w:t>1,472</w:t>
            </w:r>
          </w:p>
        </w:tc>
        <w:tc>
          <w:tcPr>
            <w:tcW w:w="544" w:type="pct"/>
            <w:tcBorders>
              <w:right w:val="single" w:sz="4" w:space="0" w:color="auto"/>
            </w:tcBorders>
          </w:tcPr>
          <w:p w14:paraId="75D78554" w14:textId="77777777" w:rsidR="00F57A25" w:rsidRPr="00F57A25" w:rsidRDefault="00F57A25" w:rsidP="00C677AC">
            <w:pPr>
              <w:pStyle w:val="NoSpacing"/>
              <w:jc w:val="right"/>
            </w:pPr>
            <w:r w:rsidRPr="00F57A25">
              <w:t>5,214,147</w:t>
            </w:r>
          </w:p>
        </w:tc>
        <w:tc>
          <w:tcPr>
            <w:tcW w:w="507" w:type="pct"/>
            <w:tcBorders>
              <w:left w:val="single" w:sz="4" w:space="0" w:color="auto"/>
            </w:tcBorders>
            <w:noWrap/>
          </w:tcPr>
          <w:p w14:paraId="6822E791" w14:textId="77777777" w:rsidR="00F57A25" w:rsidRPr="00F57A25" w:rsidRDefault="00F57A25" w:rsidP="00C677AC">
            <w:pPr>
              <w:pStyle w:val="NoSpacing"/>
              <w:jc w:val="right"/>
            </w:pPr>
            <w:r w:rsidRPr="00F57A25">
              <w:t>1,472</w:t>
            </w:r>
          </w:p>
        </w:tc>
        <w:tc>
          <w:tcPr>
            <w:tcW w:w="425" w:type="pct"/>
          </w:tcPr>
          <w:p w14:paraId="1E1A8FDA" w14:textId="77777777" w:rsidR="00F57A25" w:rsidRPr="00F57A25" w:rsidRDefault="00F57A25" w:rsidP="00C677AC">
            <w:pPr>
              <w:pStyle w:val="NoSpacing"/>
              <w:jc w:val="right"/>
            </w:pPr>
            <w:r w:rsidRPr="00F57A25">
              <w:t>322</w:t>
            </w:r>
          </w:p>
        </w:tc>
        <w:tc>
          <w:tcPr>
            <w:tcW w:w="575" w:type="pct"/>
            <w:noWrap/>
          </w:tcPr>
          <w:p w14:paraId="7C0D606E" w14:textId="77777777" w:rsidR="00F57A25" w:rsidRPr="00F57A25" w:rsidRDefault="00F57A25" w:rsidP="00C677AC">
            <w:pPr>
              <w:pStyle w:val="NoSpacing"/>
              <w:jc w:val="right"/>
            </w:pPr>
            <w:r w:rsidRPr="00F57A25">
              <w:t>258</w:t>
            </w:r>
          </w:p>
        </w:tc>
        <w:tc>
          <w:tcPr>
            <w:tcW w:w="380" w:type="pct"/>
            <w:noWrap/>
          </w:tcPr>
          <w:p w14:paraId="28394BAE" w14:textId="77777777" w:rsidR="00F57A25" w:rsidRPr="00F57A25" w:rsidRDefault="00F57A25" w:rsidP="00C677AC">
            <w:pPr>
              <w:pStyle w:val="NoSpacing"/>
              <w:jc w:val="right"/>
            </w:pPr>
            <w:r w:rsidRPr="00F57A25">
              <w:t>0.83</w:t>
            </w:r>
          </w:p>
        </w:tc>
        <w:tc>
          <w:tcPr>
            <w:tcW w:w="331" w:type="pct"/>
            <w:noWrap/>
          </w:tcPr>
          <w:p w14:paraId="39192575" w14:textId="77777777" w:rsidR="00F57A25" w:rsidRPr="00F57A25" w:rsidRDefault="00F57A25" w:rsidP="00C677AC">
            <w:pPr>
              <w:pStyle w:val="NoSpacing"/>
              <w:jc w:val="right"/>
            </w:pPr>
            <w:r w:rsidRPr="00F57A25">
              <w:t>0.78</w:t>
            </w:r>
          </w:p>
        </w:tc>
      </w:tr>
      <w:tr w:rsidR="00F57A25" w:rsidRPr="00F57A25" w14:paraId="1B4F1D88" w14:textId="77777777" w:rsidTr="00FE7D14">
        <w:trPr>
          <w:trHeight w:val="300"/>
        </w:trPr>
        <w:tc>
          <w:tcPr>
            <w:tcW w:w="477" w:type="pct"/>
            <w:noWrap/>
            <w:hideMark/>
          </w:tcPr>
          <w:p w14:paraId="769C55B3" w14:textId="77777777" w:rsidR="00F57A25" w:rsidRPr="00F57A25" w:rsidRDefault="00F57A25" w:rsidP="00F57A25">
            <w:pPr>
              <w:pStyle w:val="NoSpacing"/>
            </w:pPr>
            <w:r w:rsidRPr="00F57A25">
              <w:t>5</w:t>
            </w:r>
          </w:p>
        </w:tc>
        <w:tc>
          <w:tcPr>
            <w:tcW w:w="838" w:type="pct"/>
            <w:vMerge w:val="restart"/>
            <w:noWrap/>
            <w:vAlign w:val="center"/>
            <w:hideMark/>
          </w:tcPr>
          <w:p w14:paraId="6690AE02" w14:textId="77777777" w:rsidR="00F57A25" w:rsidRPr="00F57A25" w:rsidRDefault="00F57A25" w:rsidP="0080356E">
            <w:pPr>
              <w:pStyle w:val="NoSpacing"/>
            </w:pPr>
            <w:r w:rsidRPr="00F57A25">
              <w:t>5</w:t>
            </w:r>
            <w:r w:rsidR="00A53DFA">
              <w:t>,</w:t>
            </w:r>
            <w:r w:rsidRPr="00F57A25">
              <w:t>000</w:t>
            </w:r>
            <w:r w:rsidR="00A53DFA">
              <w:t>–</w:t>
            </w:r>
            <w:r w:rsidRPr="00F57A25">
              <w:t>9</w:t>
            </w:r>
            <w:r w:rsidR="00A53DFA">
              <w:t>,</w:t>
            </w:r>
            <w:r w:rsidRPr="00F57A25">
              <w:t>999</w:t>
            </w:r>
          </w:p>
        </w:tc>
        <w:tc>
          <w:tcPr>
            <w:tcW w:w="535" w:type="pct"/>
            <w:noWrap/>
          </w:tcPr>
          <w:p w14:paraId="577077D7" w14:textId="77777777" w:rsidR="00F57A25" w:rsidRPr="00F57A25" w:rsidRDefault="00F57A25" w:rsidP="00F57A25">
            <w:pPr>
              <w:pStyle w:val="NoSpacing"/>
            </w:pPr>
            <w:r w:rsidRPr="00F57A25">
              <w:t>High</w:t>
            </w:r>
          </w:p>
        </w:tc>
        <w:tc>
          <w:tcPr>
            <w:tcW w:w="388" w:type="pct"/>
          </w:tcPr>
          <w:p w14:paraId="10B24947" w14:textId="77777777" w:rsidR="00F57A25" w:rsidRPr="00F57A25" w:rsidRDefault="00F57A25" w:rsidP="00C677AC">
            <w:pPr>
              <w:pStyle w:val="NoSpacing"/>
              <w:jc w:val="right"/>
            </w:pPr>
            <w:r w:rsidRPr="00F57A25">
              <w:t>260</w:t>
            </w:r>
          </w:p>
        </w:tc>
        <w:tc>
          <w:tcPr>
            <w:tcW w:w="544" w:type="pct"/>
            <w:tcBorders>
              <w:right w:val="single" w:sz="4" w:space="0" w:color="auto"/>
            </w:tcBorders>
          </w:tcPr>
          <w:p w14:paraId="22B1D7ED" w14:textId="77777777" w:rsidR="00F57A25" w:rsidRPr="00F57A25" w:rsidRDefault="00F57A25" w:rsidP="00C677AC">
            <w:pPr>
              <w:pStyle w:val="NoSpacing"/>
              <w:jc w:val="right"/>
            </w:pPr>
            <w:r w:rsidRPr="00F57A25">
              <w:t>1,818,285</w:t>
            </w:r>
          </w:p>
        </w:tc>
        <w:tc>
          <w:tcPr>
            <w:tcW w:w="507" w:type="pct"/>
            <w:tcBorders>
              <w:left w:val="single" w:sz="4" w:space="0" w:color="auto"/>
            </w:tcBorders>
            <w:noWrap/>
          </w:tcPr>
          <w:p w14:paraId="1BB55C3E" w14:textId="77777777" w:rsidR="00F57A25" w:rsidRPr="00F57A25" w:rsidRDefault="00F57A25" w:rsidP="00C677AC">
            <w:pPr>
              <w:pStyle w:val="NoSpacing"/>
              <w:jc w:val="right"/>
            </w:pPr>
            <w:r w:rsidRPr="00F57A25">
              <w:t>260</w:t>
            </w:r>
          </w:p>
        </w:tc>
        <w:tc>
          <w:tcPr>
            <w:tcW w:w="425" w:type="pct"/>
          </w:tcPr>
          <w:p w14:paraId="17A07265" w14:textId="77777777" w:rsidR="00F57A25" w:rsidRPr="00F57A25" w:rsidRDefault="00F57A25" w:rsidP="00C677AC">
            <w:pPr>
              <w:pStyle w:val="NoSpacing"/>
              <w:jc w:val="right"/>
            </w:pPr>
            <w:r w:rsidRPr="00F57A25">
              <w:t>57</w:t>
            </w:r>
          </w:p>
        </w:tc>
        <w:tc>
          <w:tcPr>
            <w:tcW w:w="575" w:type="pct"/>
            <w:noWrap/>
          </w:tcPr>
          <w:p w14:paraId="01514531" w14:textId="77777777" w:rsidR="00F57A25" w:rsidRPr="00F57A25" w:rsidRDefault="00F57A25" w:rsidP="00C677AC">
            <w:pPr>
              <w:pStyle w:val="NoSpacing"/>
              <w:jc w:val="right"/>
            </w:pPr>
            <w:r w:rsidRPr="00F57A25">
              <w:t>46</w:t>
            </w:r>
          </w:p>
        </w:tc>
        <w:tc>
          <w:tcPr>
            <w:tcW w:w="380" w:type="pct"/>
            <w:noWrap/>
          </w:tcPr>
          <w:p w14:paraId="25D81AA1" w14:textId="77777777" w:rsidR="00F57A25" w:rsidRPr="00F57A25" w:rsidRDefault="00F57A25" w:rsidP="00C677AC">
            <w:pPr>
              <w:pStyle w:val="NoSpacing"/>
              <w:jc w:val="right"/>
            </w:pPr>
            <w:r w:rsidRPr="00F57A25">
              <w:t>0.83</w:t>
            </w:r>
          </w:p>
        </w:tc>
        <w:tc>
          <w:tcPr>
            <w:tcW w:w="331" w:type="pct"/>
            <w:noWrap/>
          </w:tcPr>
          <w:p w14:paraId="6E82644F" w14:textId="77777777" w:rsidR="00F57A25" w:rsidRPr="00F57A25" w:rsidRDefault="00F57A25" w:rsidP="00C677AC">
            <w:pPr>
              <w:pStyle w:val="NoSpacing"/>
              <w:jc w:val="right"/>
            </w:pPr>
            <w:r w:rsidRPr="00F57A25">
              <w:t>0.78</w:t>
            </w:r>
          </w:p>
        </w:tc>
      </w:tr>
      <w:tr w:rsidR="00F57A25" w:rsidRPr="00F57A25" w14:paraId="3D77EACD" w14:textId="77777777" w:rsidTr="00FE7D14">
        <w:trPr>
          <w:trHeight w:val="300"/>
        </w:trPr>
        <w:tc>
          <w:tcPr>
            <w:tcW w:w="477" w:type="pct"/>
            <w:noWrap/>
            <w:hideMark/>
          </w:tcPr>
          <w:p w14:paraId="452C98C9" w14:textId="77777777" w:rsidR="00F57A25" w:rsidRPr="00F57A25" w:rsidRDefault="00F57A25" w:rsidP="00F57A25">
            <w:pPr>
              <w:pStyle w:val="NoSpacing"/>
            </w:pPr>
            <w:r w:rsidRPr="00F57A25">
              <w:t>6</w:t>
            </w:r>
          </w:p>
        </w:tc>
        <w:tc>
          <w:tcPr>
            <w:tcW w:w="838" w:type="pct"/>
            <w:vMerge/>
            <w:noWrap/>
            <w:vAlign w:val="center"/>
            <w:hideMark/>
          </w:tcPr>
          <w:p w14:paraId="5AEE4191" w14:textId="77777777" w:rsidR="00F57A25" w:rsidRPr="00F57A25" w:rsidRDefault="00F57A25" w:rsidP="00F57A25">
            <w:pPr>
              <w:pStyle w:val="NoSpacing"/>
            </w:pPr>
          </w:p>
        </w:tc>
        <w:tc>
          <w:tcPr>
            <w:tcW w:w="535" w:type="pct"/>
            <w:noWrap/>
          </w:tcPr>
          <w:p w14:paraId="01563CC2" w14:textId="77777777" w:rsidR="00F57A25" w:rsidRPr="00F57A25" w:rsidRDefault="00F57A25" w:rsidP="00F57A25">
            <w:pPr>
              <w:pStyle w:val="NoSpacing"/>
            </w:pPr>
            <w:r w:rsidRPr="00F57A25">
              <w:t>Low</w:t>
            </w:r>
          </w:p>
        </w:tc>
        <w:tc>
          <w:tcPr>
            <w:tcW w:w="388" w:type="pct"/>
          </w:tcPr>
          <w:p w14:paraId="64659339" w14:textId="77777777" w:rsidR="00F57A25" w:rsidRPr="00F57A25" w:rsidRDefault="00F57A25" w:rsidP="00C677AC">
            <w:pPr>
              <w:pStyle w:val="NoSpacing"/>
              <w:jc w:val="right"/>
            </w:pPr>
            <w:r w:rsidRPr="00F57A25">
              <w:t>793</w:t>
            </w:r>
          </w:p>
        </w:tc>
        <w:tc>
          <w:tcPr>
            <w:tcW w:w="544" w:type="pct"/>
            <w:tcBorders>
              <w:right w:val="single" w:sz="4" w:space="0" w:color="auto"/>
            </w:tcBorders>
          </w:tcPr>
          <w:p w14:paraId="27CDED1E" w14:textId="77777777" w:rsidR="00F57A25" w:rsidRPr="00F57A25" w:rsidRDefault="00F57A25" w:rsidP="00C677AC">
            <w:pPr>
              <w:pStyle w:val="NoSpacing"/>
              <w:jc w:val="right"/>
            </w:pPr>
            <w:r w:rsidRPr="00F57A25">
              <w:t>5,514,825</w:t>
            </w:r>
          </w:p>
        </w:tc>
        <w:tc>
          <w:tcPr>
            <w:tcW w:w="507" w:type="pct"/>
            <w:tcBorders>
              <w:left w:val="single" w:sz="4" w:space="0" w:color="auto"/>
            </w:tcBorders>
            <w:noWrap/>
          </w:tcPr>
          <w:p w14:paraId="220E5D0F" w14:textId="77777777" w:rsidR="00F57A25" w:rsidRPr="00F57A25" w:rsidRDefault="00F57A25" w:rsidP="00C677AC">
            <w:pPr>
              <w:pStyle w:val="NoSpacing"/>
              <w:jc w:val="right"/>
            </w:pPr>
            <w:r w:rsidRPr="00F57A25">
              <w:t>793</w:t>
            </w:r>
          </w:p>
        </w:tc>
        <w:tc>
          <w:tcPr>
            <w:tcW w:w="425" w:type="pct"/>
          </w:tcPr>
          <w:p w14:paraId="1C14D507" w14:textId="77777777" w:rsidR="00F57A25" w:rsidRPr="00F57A25" w:rsidRDefault="00F57A25" w:rsidP="00C677AC">
            <w:pPr>
              <w:pStyle w:val="NoSpacing"/>
              <w:jc w:val="right"/>
            </w:pPr>
            <w:r w:rsidRPr="00F57A25">
              <w:t>173</w:t>
            </w:r>
          </w:p>
        </w:tc>
        <w:tc>
          <w:tcPr>
            <w:tcW w:w="575" w:type="pct"/>
            <w:noWrap/>
          </w:tcPr>
          <w:p w14:paraId="663D3971" w14:textId="77777777" w:rsidR="00F57A25" w:rsidRPr="00F57A25" w:rsidRDefault="00F57A25" w:rsidP="00C677AC">
            <w:pPr>
              <w:pStyle w:val="NoSpacing"/>
              <w:jc w:val="right"/>
            </w:pPr>
            <w:r w:rsidRPr="00F57A25">
              <w:t>139</w:t>
            </w:r>
          </w:p>
        </w:tc>
        <w:tc>
          <w:tcPr>
            <w:tcW w:w="380" w:type="pct"/>
            <w:noWrap/>
          </w:tcPr>
          <w:p w14:paraId="55D1A454" w14:textId="77777777" w:rsidR="00F57A25" w:rsidRPr="00F57A25" w:rsidRDefault="00F57A25" w:rsidP="00C677AC">
            <w:pPr>
              <w:pStyle w:val="NoSpacing"/>
              <w:jc w:val="right"/>
            </w:pPr>
            <w:r w:rsidRPr="00F57A25">
              <w:t>0.83</w:t>
            </w:r>
          </w:p>
        </w:tc>
        <w:tc>
          <w:tcPr>
            <w:tcW w:w="331" w:type="pct"/>
            <w:noWrap/>
          </w:tcPr>
          <w:p w14:paraId="669A0327" w14:textId="77777777" w:rsidR="00F57A25" w:rsidRPr="00F57A25" w:rsidRDefault="00F57A25" w:rsidP="00C677AC">
            <w:pPr>
              <w:pStyle w:val="NoSpacing"/>
              <w:jc w:val="right"/>
            </w:pPr>
            <w:r w:rsidRPr="00F57A25">
              <w:t>0.78</w:t>
            </w:r>
          </w:p>
        </w:tc>
      </w:tr>
      <w:tr w:rsidR="00F57A25" w:rsidRPr="00F57A25" w14:paraId="298D9587" w14:textId="77777777" w:rsidTr="00FE7D14">
        <w:trPr>
          <w:trHeight w:val="300"/>
        </w:trPr>
        <w:tc>
          <w:tcPr>
            <w:tcW w:w="477" w:type="pct"/>
            <w:noWrap/>
            <w:hideMark/>
          </w:tcPr>
          <w:p w14:paraId="3C778913" w14:textId="77777777" w:rsidR="00F57A25" w:rsidRPr="00F57A25" w:rsidRDefault="00F57A25" w:rsidP="00F57A25">
            <w:pPr>
              <w:pStyle w:val="NoSpacing"/>
            </w:pPr>
            <w:r w:rsidRPr="00F57A25">
              <w:t>7</w:t>
            </w:r>
          </w:p>
        </w:tc>
        <w:tc>
          <w:tcPr>
            <w:tcW w:w="838" w:type="pct"/>
            <w:vMerge w:val="restart"/>
            <w:noWrap/>
            <w:vAlign w:val="center"/>
            <w:hideMark/>
          </w:tcPr>
          <w:p w14:paraId="50D26622" w14:textId="77777777" w:rsidR="00F57A25" w:rsidRPr="00F57A25" w:rsidRDefault="00F57A25" w:rsidP="0080356E">
            <w:pPr>
              <w:pStyle w:val="NoSpacing"/>
            </w:pPr>
            <w:r w:rsidRPr="00F57A25">
              <w:t>10,000</w:t>
            </w:r>
            <w:r w:rsidR="00A53DFA">
              <w:t>–</w:t>
            </w:r>
            <w:r w:rsidRPr="00F57A25">
              <w:t>99</w:t>
            </w:r>
            <w:r w:rsidR="00A53DFA">
              <w:t>,</w:t>
            </w:r>
            <w:r w:rsidRPr="00F57A25">
              <w:t>999</w:t>
            </w:r>
          </w:p>
        </w:tc>
        <w:tc>
          <w:tcPr>
            <w:tcW w:w="535" w:type="pct"/>
            <w:noWrap/>
          </w:tcPr>
          <w:p w14:paraId="32A50417" w14:textId="77777777" w:rsidR="00F57A25" w:rsidRPr="00F57A25" w:rsidRDefault="00F57A25" w:rsidP="00F57A25">
            <w:pPr>
              <w:pStyle w:val="NoSpacing"/>
            </w:pPr>
            <w:r w:rsidRPr="00F57A25">
              <w:t>High</w:t>
            </w:r>
          </w:p>
        </w:tc>
        <w:tc>
          <w:tcPr>
            <w:tcW w:w="388" w:type="pct"/>
          </w:tcPr>
          <w:p w14:paraId="7F9AA2BE" w14:textId="77777777" w:rsidR="00F57A25" w:rsidRPr="00F57A25" w:rsidRDefault="00F57A25" w:rsidP="00C677AC">
            <w:pPr>
              <w:pStyle w:val="NoSpacing"/>
              <w:jc w:val="right"/>
            </w:pPr>
            <w:r w:rsidRPr="00F57A25">
              <w:t>256</w:t>
            </w:r>
          </w:p>
        </w:tc>
        <w:tc>
          <w:tcPr>
            <w:tcW w:w="544" w:type="pct"/>
            <w:tcBorders>
              <w:right w:val="single" w:sz="4" w:space="0" w:color="auto"/>
            </w:tcBorders>
          </w:tcPr>
          <w:p w14:paraId="6A6262A9" w14:textId="77777777" w:rsidR="00F57A25" w:rsidRPr="00F57A25" w:rsidRDefault="00F57A25" w:rsidP="00C677AC">
            <w:pPr>
              <w:pStyle w:val="NoSpacing"/>
              <w:jc w:val="right"/>
            </w:pPr>
            <w:r w:rsidRPr="00F57A25">
              <w:t>5,940,334</w:t>
            </w:r>
          </w:p>
        </w:tc>
        <w:tc>
          <w:tcPr>
            <w:tcW w:w="507" w:type="pct"/>
            <w:tcBorders>
              <w:left w:val="single" w:sz="4" w:space="0" w:color="auto"/>
            </w:tcBorders>
            <w:noWrap/>
          </w:tcPr>
          <w:p w14:paraId="5B6FCF2D" w14:textId="77777777" w:rsidR="00F57A25" w:rsidRPr="00F57A25" w:rsidRDefault="00F57A25" w:rsidP="00C677AC">
            <w:pPr>
              <w:pStyle w:val="NoSpacing"/>
              <w:jc w:val="right"/>
            </w:pPr>
            <w:r w:rsidRPr="00F57A25">
              <w:t>256</w:t>
            </w:r>
          </w:p>
        </w:tc>
        <w:tc>
          <w:tcPr>
            <w:tcW w:w="425" w:type="pct"/>
          </w:tcPr>
          <w:p w14:paraId="6B6BCCC2" w14:textId="77777777" w:rsidR="00F57A25" w:rsidRPr="00F57A25" w:rsidRDefault="00F57A25" w:rsidP="00C677AC">
            <w:pPr>
              <w:pStyle w:val="NoSpacing"/>
              <w:jc w:val="right"/>
            </w:pPr>
            <w:r w:rsidRPr="00F57A25">
              <w:t>56</w:t>
            </w:r>
          </w:p>
        </w:tc>
        <w:tc>
          <w:tcPr>
            <w:tcW w:w="575" w:type="pct"/>
            <w:noWrap/>
          </w:tcPr>
          <w:p w14:paraId="219B1F65" w14:textId="77777777" w:rsidR="00F57A25" w:rsidRPr="00F57A25" w:rsidRDefault="00F57A25" w:rsidP="00C677AC">
            <w:pPr>
              <w:pStyle w:val="NoSpacing"/>
              <w:jc w:val="right"/>
            </w:pPr>
            <w:r w:rsidRPr="00F57A25">
              <w:t>45</w:t>
            </w:r>
          </w:p>
        </w:tc>
        <w:tc>
          <w:tcPr>
            <w:tcW w:w="380" w:type="pct"/>
            <w:noWrap/>
          </w:tcPr>
          <w:p w14:paraId="57103557" w14:textId="77777777" w:rsidR="00F57A25" w:rsidRPr="00F57A25" w:rsidRDefault="00F57A25" w:rsidP="00C677AC">
            <w:pPr>
              <w:pStyle w:val="NoSpacing"/>
              <w:jc w:val="right"/>
            </w:pPr>
            <w:r w:rsidRPr="00F57A25">
              <w:t>0.83</w:t>
            </w:r>
          </w:p>
        </w:tc>
        <w:tc>
          <w:tcPr>
            <w:tcW w:w="331" w:type="pct"/>
            <w:noWrap/>
          </w:tcPr>
          <w:p w14:paraId="23DB27AB" w14:textId="77777777" w:rsidR="00F57A25" w:rsidRPr="00F57A25" w:rsidRDefault="00F57A25" w:rsidP="00C677AC">
            <w:pPr>
              <w:pStyle w:val="NoSpacing"/>
              <w:jc w:val="right"/>
            </w:pPr>
            <w:r w:rsidRPr="00F57A25">
              <w:t>0.78</w:t>
            </w:r>
          </w:p>
        </w:tc>
      </w:tr>
      <w:tr w:rsidR="00F57A25" w:rsidRPr="00F57A25" w14:paraId="651499FB" w14:textId="77777777" w:rsidTr="00FE7D14">
        <w:trPr>
          <w:trHeight w:val="300"/>
        </w:trPr>
        <w:tc>
          <w:tcPr>
            <w:tcW w:w="477" w:type="pct"/>
            <w:noWrap/>
            <w:hideMark/>
          </w:tcPr>
          <w:p w14:paraId="37AE1DAE" w14:textId="77777777" w:rsidR="00F57A25" w:rsidRPr="00F57A25" w:rsidRDefault="00F57A25" w:rsidP="00F57A25">
            <w:pPr>
              <w:pStyle w:val="NoSpacing"/>
            </w:pPr>
            <w:r w:rsidRPr="00F57A25">
              <w:t>8</w:t>
            </w:r>
          </w:p>
        </w:tc>
        <w:tc>
          <w:tcPr>
            <w:tcW w:w="838" w:type="pct"/>
            <w:vMerge/>
            <w:noWrap/>
            <w:vAlign w:val="center"/>
            <w:hideMark/>
          </w:tcPr>
          <w:p w14:paraId="2DB57A8C" w14:textId="77777777" w:rsidR="00F57A25" w:rsidRPr="00F57A25" w:rsidRDefault="00F57A25" w:rsidP="00F57A25">
            <w:pPr>
              <w:pStyle w:val="NoSpacing"/>
            </w:pPr>
          </w:p>
        </w:tc>
        <w:tc>
          <w:tcPr>
            <w:tcW w:w="535" w:type="pct"/>
            <w:noWrap/>
          </w:tcPr>
          <w:p w14:paraId="262B1AA3" w14:textId="77777777" w:rsidR="00F57A25" w:rsidRPr="00F57A25" w:rsidRDefault="00F57A25" w:rsidP="00F57A25">
            <w:pPr>
              <w:pStyle w:val="NoSpacing"/>
            </w:pPr>
            <w:r w:rsidRPr="00F57A25">
              <w:t>Low</w:t>
            </w:r>
          </w:p>
        </w:tc>
        <w:tc>
          <w:tcPr>
            <w:tcW w:w="388" w:type="pct"/>
          </w:tcPr>
          <w:p w14:paraId="5EA9A785" w14:textId="77777777" w:rsidR="00F57A25" w:rsidRPr="00F57A25" w:rsidRDefault="00F57A25" w:rsidP="00C677AC">
            <w:pPr>
              <w:pStyle w:val="NoSpacing"/>
              <w:jc w:val="right"/>
            </w:pPr>
            <w:r w:rsidRPr="00F57A25">
              <w:t>625</w:t>
            </w:r>
          </w:p>
        </w:tc>
        <w:tc>
          <w:tcPr>
            <w:tcW w:w="544" w:type="pct"/>
            <w:tcBorders>
              <w:right w:val="single" w:sz="4" w:space="0" w:color="auto"/>
            </w:tcBorders>
          </w:tcPr>
          <w:p w14:paraId="2D8C7E05" w14:textId="77777777" w:rsidR="00F57A25" w:rsidRPr="00F57A25" w:rsidRDefault="00F57A25" w:rsidP="00C677AC">
            <w:pPr>
              <w:pStyle w:val="NoSpacing"/>
              <w:jc w:val="right"/>
            </w:pPr>
            <w:r w:rsidRPr="00F57A25">
              <w:t>14,508,774</w:t>
            </w:r>
          </w:p>
        </w:tc>
        <w:tc>
          <w:tcPr>
            <w:tcW w:w="507" w:type="pct"/>
            <w:tcBorders>
              <w:left w:val="single" w:sz="4" w:space="0" w:color="auto"/>
            </w:tcBorders>
            <w:noWrap/>
          </w:tcPr>
          <w:p w14:paraId="01CB6474" w14:textId="77777777" w:rsidR="00F57A25" w:rsidRPr="00F57A25" w:rsidRDefault="00F57A25" w:rsidP="00C677AC">
            <w:pPr>
              <w:pStyle w:val="NoSpacing"/>
              <w:jc w:val="right"/>
            </w:pPr>
            <w:r w:rsidRPr="00F57A25">
              <w:t>625</w:t>
            </w:r>
          </w:p>
        </w:tc>
        <w:tc>
          <w:tcPr>
            <w:tcW w:w="425" w:type="pct"/>
          </w:tcPr>
          <w:p w14:paraId="72D9796C" w14:textId="77777777" w:rsidR="00F57A25" w:rsidRPr="00F57A25" w:rsidRDefault="00F57A25" w:rsidP="00C677AC">
            <w:pPr>
              <w:pStyle w:val="NoSpacing"/>
              <w:jc w:val="right"/>
            </w:pPr>
            <w:r w:rsidRPr="00F57A25">
              <w:t>137</w:t>
            </w:r>
          </w:p>
        </w:tc>
        <w:tc>
          <w:tcPr>
            <w:tcW w:w="575" w:type="pct"/>
            <w:noWrap/>
          </w:tcPr>
          <w:p w14:paraId="1C1428CA" w14:textId="77777777" w:rsidR="00F57A25" w:rsidRPr="00F57A25" w:rsidRDefault="00F57A25" w:rsidP="00C677AC">
            <w:pPr>
              <w:pStyle w:val="NoSpacing"/>
              <w:jc w:val="right"/>
            </w:pPr>
            <w:r w:rsidRPr="00F57A25">
              <w:t>109</w:t>
            </w:r>
          </w:p>
        </w:tc>
        <w:tc>
          <w:tcPr>
            <w:tcW w:w="380" w:type="pct"/>
            <w:noWrap/>
          </w:tcPr>
          <w:p w14:paraId="4C6D7DDC" w14:textId="77777777" w:rsidR="00F57A25" w:rsidRPr="00F57A25" w:rsidRDefault="00F57A25" w:rsidP="00C677AC">
            <w:pPr>
              <w:pStyle w:val="NoSpacing"/>
              <w:jc w:val="right"/>
            </w:pPr>
            <w:r w:rsidRPr="00F57A25">
              <w:t>0.83</w:t>
            </w:r>
          </w:p>
        </w:tc>
        <w:tc>
          <w:tcPr>
            <w:tcW w:w="331" w:type="pct"/>
            <w:noWrap/>
          </w:tcPr>
          <w:p w14:paraId="1F824EC5" w14:textId="77777777" w:rsidR="00F57A25" w:rsidRPr="00F57A25" w:rsidRDefault="00F57A25" w:rsidP="00C677AC">
            <w:pPr>
              <w:pStyle w:val="NoSpacing"/>
              <w:jc w:val="right"/>
            </w:pPr>
            <w:r w:rsidRPr="00F57A25">
              <w:t>0.78</w:t>
            </w:r>
          </w:p>
        </w:tc>
      </w:tr>
      <w:tr w:rsidR="00F57A25" w:rsidRPr="00F57A25" w14:paraId="27238143" w14:textId="77777777" w:rsidTr="00FE7D14">
        <w:trPr>
          <w:trHeight w:val="300"/>
        </w:trPr>
        <w:tc>
          <w:tcPr>
            <w:tcW w:w="477" w:type="pct"/>
            <w:noWrap/>
          </w:tcPr>
          <w:p w14:paraId="626417C9" w14:textId="77777777" w:rsidR="00F57A25" w:rsidRPr="00F57A25" w:rsidRDefault="00F57A25" w:rsidP="00F57A25">
            <w:pPr>
              <w:pStyle w:val="NoSpacing"/>
            </w:pPr>
            <w:r w:rsidRPr="00F57A25">
              <w:t>9</w:t>
            </w:r>
          </w:p>
        </w:tc>
        <w:tc>
          <w:tcPr>
            <w:tcW w:w="838" w:type="pct"/>
            <w:noWrap/>
            <w:vAlign w:val="center"/>
          </w:tcPr>
          <w:p w14:paraId="34F15F8C" w14:textId="77777777" w:rsidR="00F57A25" w:rsidRPr="00F57A25" w:rsidRDefault="00F57A25" w:rsidP="0080356E">
            <w:pPr>
              <w:pStyle w:val="NoSpacing"/>
            </w:pPr>
            <w:r w:rsidRPr="00F57A25">
              <w:t>100,000</w:t>
            </w:r>
            <w:r w:rsidR="00A53DFA">
              <w:t>–</w:t>
            </w:r>
            <w:r w:rsidRPr="00F57A25">
              <w:t>299,999</w:t>
            </w:r>
          </w:p>
        </w:tc>
        <w:tc>
          <w:tcPr>
            <w:tcW w:w="535" w:type="pct"/>
            <w:noWrap/>
          </w:tcPr>
          <w:p w14:paraId="2AEB5C6C" w14:textId="77777777" w:rsidR="00F57A25" w:rsidRPr="00F57A25" w:rsidRDefault="00F57A25" w:rsidP="00F57A25">
            <w:pPr>
              <w:pStyle w:val="NoSpacing"/>
            </w:pPr>
            <w:r w:rsidRPr="00F57A25">
              <w:t>All</w:t>
            </w:r>
          </w:p>
        </w:tc>
        <w:tc>
          <w:tcPr>
            <w:tcW w:w="388" w:type="pct"/>
          </w:tcPr>
          <w:p w14:paraId="2245578E" w14:textId="77777777" w:rsidR="00F57A25" w:rsidRPr="00F57A25" w:rsidRDefault="00F57A25" w:rsidP="00C677AC">
            <w:pPr>
              <w:pStyle w:val="NoSpacing"/>
              <w:jc w:val="right"/>
            </w:pPr>
            <w:r w:rsidRPr="00F57A25">
              <w:t>24</w:t>
            </w:r>
          </w:p>
        </w:tc>
        <w:tc>
          <w:tcPr>
            <w:tcW w:w="544" w:type="pct"/>
            <w:tcBorders>
              <w:right w:val="single" w:sz="4" w:space="0" w:color="auto"/>
            </w:tcBorders>
          </w:tcPr>
          <w:p w14:paraId="593C9E87" w14:textId="77777777" w:rsidR="00F57A25" w:rsidRPr="00F57A25" w:rsidRDefault="00F57A25" w:rsidP="00C677AC">
            <w:pPr>
              <w:pStyle w:val="NoSpacing"/>
              <w:jc w:val="right"/>
            </w:pPr>
            <w:r w:rsidRPr="00F57A25">
              <w:t>3,534,678</w:t>
            </w:r>
          </w:p>
        </w:tc>
        <w:tc>
          <w:tcPr>
            <w:tcW w:w="507" w:type="pct"/>
            <w:tcBorders>
              <w:left w:val="single" w:sz="4" w:space="0" w:color="auto"/>
            </w:tcBorders>
            <w:noWrap/>
          </w:tcPr>
          <w:p w14:paraId="059A86E0" w14:textId="77777777" w:rsidR="00F57A25" w:rsidRPr="00F57A25" w:rsidRDefault="00F57A25" w:rsidP="00C677AC">
            <w:pPr>
              <w:pStyle w:val="NoSpacing"/>
              <w:jc w:val="right"/>
              <w:rPr>
                <w:vertAlign w:val="superscript"/>
              </w:rPr>
            </w:pPr>
            <w:r w:rsidRPr="00F57A25">
              <w:t>24</w:t>
            </w:r>
            <w:r w:rsidRPr="00F57A25">
              <w:rPr>
                <w:vertAlign w:val="superscript"/>
              </w:rPr>
              <w:t>b</w:t>
            </w:r>
          </w:p>
        </w:tc>
        <w:tc>
          <w:tcPr>
            <w:tcW w:w="425" w:type="pct"/>
          </w:tcPr>
          <w:p w14:paraId="1434ED16" w14:textId="77777777" w:rsidR="00F57A25" w:rsidRPr="00F57A25" w:rsidRDefault="00F57A25" w:rsidP="00C677AC">
            <w:pPr>
              <w:pStyle w:val="NoSpacing"/>
              <w:jc w:val="right"/>
            </w:pPr>
            <w:r w:rsidRPr="00F57A25">
              <w:t>12</w:t>
            </w:r>
          </w:p>
        </w:tc>
        <w:tc>
          <w:tcPr>
            <w:tcW w:w="575" w:type="pct"/>
            <w:noWrap/>
          </w:tcPr>
          <w:p w14:paraId="4D7810D3" w14:textId="77777777" w:rsidR="00F57A25" w:rsidRPr="00F57A25" w:rsidRDefault="00F57A25" w:rsidP="00C677AC">
            <w:pPr>
              <w:pStyle w:val="NoSpacing"/>
              <w:jc w:val="right"/>
            </w:pPr>
            <w:r w:rsidRPr="00F57A25">
              <w:t>10</w:t>
            </w:r>
          </w:p>
        </w:tc>
        <w:tc>
          <w:tcPr>
            <w:tcW w:w="380" w:type="pct"/>
            <w:noWrap/>
          </w:tcPr>
          <w:p w14:paraId="122A5276" w14:textId="77777777" w:rsidR="00F57A25" w:rsidRPr="00F57A25" w:rsidRDefault="00F57A25" w:rsidP="00C677AC">
            <w:pPr>
              <w:pStyle w:val="NoSpacing"/>
              <w:jc w:val="right"/>
            </w:pPr>
            <w:r w:rsidRPr="00F57A25">
              <w:t>0.58</w:t>
            </w:r>
          </w:p>
        </w:tc>
        <w:tc>
          <w:tcPr>
            <w:tcW w:w="331" w:type="pct"/>
            <w:noWrap/>
          </w:tcPr>
          <w:p w14:paraId="7CAA2A3E" w14:textId="77777777" w:rsidR="00F57A25" w:rsidRPr="00F57A25" w:rsidRDefault="00F57A25" w:rsidP="00C677AC">
            <w:pPr>
              <w:pStyle w:val="NoSpacing"/>
              <w:jc w:val="right"/>
            </w:pPr>
            <w:r w:rsidRPr="00F57A25">
              <w:t>0.50</w:t>
            </w:r>
          </w:p>
        </w:tc>
      </w:tr>
      <w:tr w:rsidR="00F57A25" w:rsidRPr="00F57A25" w14:paraId="559330B4" w14:textId="77777777" w:rsidTr="00FE7D14">
        <w:trPr>
          <w:trHeight w:val="224"/>
        </w:trPr>
        <w:tc>
          <w:tcPr>
            <w:tcW w:w="477" w:type="pct"/>
            <w:tcBorders>
              <w:bottom w:val="single" w:sz="4" w:space="0" w:color="auto"/>
            </w:tcBorders>
            <w:noWrap/>
            <w:hideMark/>
          </w:tcPr>
          <w:p w14:paraId="1822C12E" w14:textId="77777777" w:rsidR="00F57A25" w:rsidRPr="00F57A25" w:rsidRDefault="00F57A25" w:rsidP="00F57A25">
            <w:pPr>
              <w:pStyle w:val="NoSpacing"/>
            </w:pPr>
            <w:r w:rsidRPr="00F57A25">
              <w:t>10</w:t>
            </w:r>
          </w:p>
        </w:tc>
        <w:tc>
          <w:tcPr>
            <w:tcW w:w="838" w:type="pct"/>
            <w:tcBorders>
              <w:bottom w:val="single" w:sz="4" w:space="0" w:color="auto"/>
            </w:tcBorders>
            <w:noWrap/>
            <w:vAlign w:val="center"/>
            <w:hideMark/>
          </w:tcPr>
          <w:p w14:paraId="0859D363" w14:textId="77777777" w:rsidR="00F57A25" w:rsidRPr="00F57A25" w:rsidRDefault="00F57A25" w:rsidP="00F57A25">
            <w:pPr>
              <w:pStyle w:val="NoSpacing"/>
            </w:pPr>
            <w:r w:rsidRPr="00F57A25">
              <w:t>300,000+</w:t>
            </w:r>
          </w:p>
        </w:tc>
        <w:tc>
          <w:tcPr>
            <w:tcW w:w="535" w:type="pct"/>
            <w:tcBorders>
              <w:bottom w:val="single" w:sz="4" w:space="0" w:color="auto"/>
            </w:tcBorders>
            <w:noWrap/>
          </w:tcPr>
          <w:p w14:paraId="790F2FFD" w14:textId="77777777" w:rsidR="00F57A25" w:rsidRPr="00F57A25" w:rsidRDefault="00F57A25" w:rsidP="00F57A25">
            <w:pPr>
              <w:pStyle w:val="NoSpacing"/>
            </w:pPr>
            <w:r w:rsidRPr="00F57A25">
              <w:t>All</w:t>
            </w:r>
          </w:p>
        </w:tc>
        <w:tc>
          <w:tcPr>
            <w:tcW w:w="388" w:type="pct"/>
            <w:tcBorders>
              <w:bottom w:val="single" w:sz="4" w:space="0" w:color="auto"/>
            </w:tcBorders>
          </w:tcPr>
          <w:p w14:paraId="56B0F17F" w14:textId="77777777" w:rsidR="00F57A25" w:rsidRPr="00F57A25" w:rsidRDefault="00F57A25" w:rsidP="00C677AC">
            <w:pPr>
              <w:pStyle w:val="NoSpacing"/>
              <w:jc w:val="right"/>
            </w:pPr>
            <w:r w:rsidRPr="00F57A25">
              <w:t>7</w:t>
            </w:r>
          </w:p>
        </w:tc>
        <w:tc>
          <w:tcPr>
            <w:tcW w:w="544" w:type="pct"/>
            <w:tcBorders>
              <w:bottom w:val="single" w:sz="4" w:space="0" w:color="auto"/>
              <w:right w:val="single" w:sz="4" w:space="0" w:color="auto"/>
            </w:tcBorders>
          </w:tcPr>
          <w:p w14:paraId="5D2D8740" w14:textId="77777777" w:rsidR="00F57A25" w:rsidRPr="00F57A25" w:rsidRDefault="00F57A25" w:rsidP="00C677AC">
            <w:pPr>
              <w:pStyle w:val="NoSpacing"/>
              <w:jc w:val="right"/>
            </w:pPr>
            <w:r w:rsidRPr="00F57A25">
              <w:t>4,330,908</w:t>
            </w:r>
          </w:p>
        </w:tc>
        <w:tc>
          <w:tcPr>
            <w:tcW w:w="507" w:type="pct"/>
            <w:tcBorders>
              <w:left w:val="single" w:sz="4" w:space="0" w:color="auto"/>
              <w:bottom w:val="single" w:sz="4" w:space="0" w:color="auto"/>
            </w:tcBorders>
            <w:noWrap/>
          </w:tcPr>
          <w:p w14:paraId="36AA9497" w14:textId="77777777" w:rsidR="00F57A25" w:rsidRPr="00F57A25" w:rsidRDefault="00F57A25" w:rsidP="00C677AC">
            <w:pPr>
              <w:pStyle w:val="NoSpacing"/>
              <w:jc w:val="right"/>
              <w:rPr>
                <w:vertAlign w:val="superscript"/>
              </w:rPr>
            </w:pPr>
            <w:r w:rsidRPr="00F57A25">
              <w:t>7</w:t>
            </w:r>
            <w:r w:rsidRPr="00F57A25">
              <w:rPr>
                <w:vertAlign w:val="superscript"/>
              </w:rPr>
              <w:t>c</w:t>
            </w:r>
          </w:p>
        </w:tc>
        <w:tc>
          <w:tcPr>
            <w:tcW w:w="425" w:type="pct"/>
            <w:tcBorders>
              <w:bottom w:val="single" w:sz="4" w:space="0" w:color="auto"/>
            </w:tcBorders>
          </w:tcPr>
          <w:p w14:paraId="491345BD" w14:textId="77777777" w:rsidR="00F57A25" w:rsidRPr="00F57A25" w:rsidRDefault="00F57A25" w:rsidP="00C677AC">
            <w:pPr>
              <w:pStyle w:val="NoSpacing"/>
              <w:jc w:val="right"/>
            </w:pPr>
            <w:r w:rsidRPr="00F57A25">
              <w:t>7</w:t>
            </w:r>
          </w:p>
        </w:tc>
        <w:tc>
          <w:tcPr>
            <w:tcW w:w="575" w:type="pct"/>
            <w:tcBorders>
              <w:bottom w:val="single" w:sz="4" w:space="0" w:color="auto"/>
            </w:tcBorders>
            <w:noWrap/>
          </w:tcPr>
          <w:p w14:paraId="0367382F" w14:textId="77777777" w:rsidR="00F57A25" w:rsidRPr="00F57A25" w:rsidRDefault="00F57A25" w:rsidP="00C677AC">
            <w:pPr>
              <w:pStyle w:val="NoSpacing"/>
              <w:jc w:val="right"/>
            </w:pPr>
            <w:r w:rsidRPr="00F57A25">
              <w:t>6</w:t>
            </w:r>
          </w:p>
        </w:tc>
        <w:tc>
          <w:tcPr>
            <w:tcW w:w="380" w:type="pct"/>
            <w:tcBorders>
              <w:bottom w:val="single" w:sz="4" w:space="0" w:color="auto"/>
            </w:tcBorders>
            <w:noWrap/>
          </w:tcPr>
          <w:p w14:paraId="29E3125B" w14:textId="77777777" w:rsidR="00F57A25" w:rsidRPr="00F57A25" w:rsidRDefault="00F57A25" w:rsidP="00C677AC">
            <w:pPr>
              <w:pStyle w:val="NoSpacing"/>
              <w:jc w:val="right"/>
            </w:pPr>
            <w:r w:rsidRPr="00F57A25">
              <w:t>0.14</w:t>
            </w:r>
          </w:p>
        </w:tc>
        <w:tc>
          <w:tcPr>
            <w:tcW w:w="331" w:type="pct"/>
            <w:tcBorders>
              <w:bottom w:val="single" w:sz="4" w:space="0" w:color="auto"/>
            </w:tcBorders>
            <w:noWrap/>
          </w:tcPr>
          <w:p w14:paraId="0743F824" w14:textId="77777777" w:rsidR="00F57A25" w:rsidRPr="00F57A25" w:rsidRDefault="00F57A25" w:rsidP="00C677AC">
            <w:pPr>
              <w:pStyle w:val="NoSpacing"/>
              <w:jc w:val="right"/>
            </w:pPr>
            <w:r w:rsidRPr="00F57A25">
              <w:t>0.11</w:t>
            </w:r>
          </w:p>
        </w:tc>
      </w:tr>
      <w:tr w:rsidR="00F57A25" w:rsidRPr="00F57A25" w14:paraId="2E6244EA" w14:textId="77777777" w:rsidTr="00FE7D14">
        <w:trPr>
          <w:trHeight w:val="300"/>
        </w:trPr>
        <w:tc>
          <w:tcPr>
            <w:tcW w:w="477" w:type="pct"/>
            <w:tcBorders>
              <w:top w:val="single" w:sz="4" w:space="0" w:color="auto"/>
              <w:bottom w:val="single" w:sz="4" w:space="0" w:color="auto"/>
            </w:tcBorders>
            <w:noWrap/>
            <w:hideMark/>
          </w:tcPr>
          <w:p w14:paraId="0AC04901" w14:textId="77777777" w:rsidR="00F57A25" w:rsidRPr="00F57A25" w:rsidRDefault="00F57A25" w:rsidP="00F57A25">
            <w:pPr>
              <w:pStyle w:val="NoSpacing"/>
            </w:pPr>
          </w:p>
        </w:tc>
        <w:tc>
          <w:tcPr>
            <w:tcW w:w="838" w:type="pct"/>
            <w:tcBorders>
              <w:top w:val="single" w:sz="4" w:space="0" w:color="auto"/>
              <w:bottom w:val="single" w:sz="4" w:space="0" w:color="auto"/>
            </w:tcBorders>
            <w:noWrap/>
            <w:hideMark/>
          </w:tcPr>
          <w:p w14:paraId="0DBD5627" w14:textId="77777777" w:rsidR="00F57A25" w:rsidRPr="00F57A25" w:rsidRDefault="00F57A25" w:rsidP="00F57A25">
            <w:pPr>
              <w:pStyle w:val="NoSpacing"/>
            </w:pPr>
            <w:r w:rsidRPr="00F57A25">
              <w:t>Total</w:t>
            </w:r>
          </w:p>
        </w:tc>
        <w:tc>
          <w:tcPr>
            <w:tcW w:w="535" w:type="pct"/>
            <w:tcBorders>
              <w:top w:val="single" w:sz="4" w:space="0" w:color="auto"/>
              <w:bottom w:val="single" w:sz="4" w:space="0" w:color="auto"/>
            </w:tcBorders>
            <w:noWrap/>
          </w:tcPr>
          <w:p w14:paraId="339EBEC8" w14:textId="77777777" w:rsidR="00F57A25" w:rsidRPr="00F57A25" w:rsidRDefault="00F57A25" w:rsidP="00F57A25">
            <w:pPr>
              <w:pStyle w:val="NoSpacing"/>
            </w:pPr>
          </w:p>
        </w:tc>
        <w:tc>
          <w:tcPr>
            <w:tcW w:w="388" w:type="pct"/>
            <w:tcBorders>
              <w:top w:val="single" w:sz="4" w:space="0" w:color="auto"/>
              <w:bottom w:val="single" w:sz="4" w:space="0" w:color="auto"/>
            </w:tcBorders>
          </w:tcPr>
          <w:p w14:paraId="6C09C35D" w14:textId="77777777" w:rsidR="00F57A25" w:rsidRPr="00F57A25" w:rsidRDefault="00F57A25" w:rsidP="00C677AC">
            <w:pPr>
              <w:pStyle w:val="NoSpacing"/>
              <w:jc w:val="right"/>
            </w:pPr>
            <w:r w:rsidRPr="00F57A25">
              <w:t>14,854</w:t>
            </w:r>
          </w:p>
        </w:tc>
        <w:tc>
          <w:tcPr>
            <w:tcW w:w="544" w:type="pct"/>
            <w:tcBorders>
              <w:top w:val="single" w:sz="4" w:space="0" w:color="auto"/>
              <w:bottom w:val="single" w:sz="4" w:space="0" w:color="auto"/>
              <w:right w:val="single" w:sz="4" w:space="0" w:color="auto"/>
            </w:tcBorders>
          </w:tcPr>
          <w:p w14:paraId="4D98B647" w14:textId="77777777" w:rsidR="00F57A25" w:rsidRPr="00F57A25" w:rsidRDefault="00F57A25" w:rsidP="00C677AC">
            <w:pPr>
              <w:pStyle w:val="NoSpacing"/>
              <w:jc w:val="right"/>
            </w:pPr>
            <w:r w:rsidRPr="00F57A25">
              <w:t>50,970,370</w:t>
            </w:r>
          </w:p>
        </w:tc>
        <w:tc>
          <w:tcPr>
            <w:tcW w:w="507" w:type="pct"/>
            <w:tcBorders>
              <w:top w:val="single" w:sz="4" w:space="0" w:color="auto"/>
              <w:left w:val="single" w:sz="4" w:space="0" w:color="auto"/>
              <w:bottom w:val="single" w:sz="4" w:space="0" w:color="auto"/>
            </w:tcBorders>
            <w:noWrap/>
          </w:tcPr>
          <w:p w14:paraId="7695A66B" w14:textId="77777777" w:rsidR="00F57A25" w:rsidRPr="00F57A25" w:rsidRDefault="00F57A25" w:rsidP="00C677AC">
            <w:pPr>
              <w:pStyle w:val="NoSpacing"/>
              <w:jc w:val="right"/>
            </w:pPr>
            <w:r w:rsidRPr="00F57A25">
              <w:t>9,939</w:t>
            </w:r>
          </w:p>
        </w:tc>
        <w:tc>
          <w:tcPr>
            <w:tcW w:w="425" w:type="pct"/>
            <w:tcBorders>
              <w:top w:val="single" w:sz="4" w:space="0" w:color="auto"/>
              <w:bottom w:val="single" w:sz="4" w:space="0" w:color="auto"/>
            </w:tcBorders>
          </w:tcPr>
          <w:p w14:paraId="661E54E6" w14:textId="60B1CA63" w:rsidR="00F57A25" w:rsidRPr="00F57A25" w:rsidRDefault="00F57A25" w:rsidP="00C677AC">
            <w:pPr>
              <w:pStyle w:val="NoSpacing"/>
              <w:jc w:val="right"/>
            </w:pPr>
            <w:r w:rsidRPr="00F57A25">
              <w:t>2,18</w:t>
            </w:r>
            <w:r w:rsidR="00B31E14">
              <w:t>8</w:t>
            </w:r>
          </w:p>
        </w:tc>
        <w:tc>
          <w:tcPr>
            <w:tcW w:w="575" w:type="pct"/>
            <w:tcBorders>
              <w:top w:val="single" w:sz="4" w:space="0" w:color="auto"/>
              <w:bottom w:val="single" w:sz="4" w:space="0" w:color="auto"/>
            </w:tcBorders>
            <w:noWrap/>
          </w:tcPr>
          <w:p w14:paraId="34ABE97A" w14:textId="77777777" w:rsidR="00F57A25" w:rsidRPr="00F57A25" w:rsidRDefault="00F57A25" w:rsidP="00C677AC">
            <w:pPr>
              <w:pStyle w:val="NoSpacing"/>
              <w:jc w:val="right"/>
            </w:pPr>
            <w:r w:rsidRPr="00F57A25">
              <w:t>1,750</w:t>
            </w:r>
          </w:p>
        </w:tc>
        <w:tc>
          <w:tcPr>
            <w:tcW w:w="380" w:type="pct"/>
            <w:tcBorders>
              <w:top w:val="single" w:sz="4" w:space="0" w:color="auto"/>
              <w:bottom w:val="single" w:sz="4" w:space="0" w:color="auto"/>
            </w:tcBorders>
            <w:noWrap/>
          </w:tcPr>
          <w:p w14:paraId="4228B2B4" w14:textId="77777777" w:rsidR="00F57A25" w:rsidRPr="00F57A25" w:rsidRDefault="00F57A25" w:rsidP="00C677AC">
            <w:pPr>
              <w:pStyle w:val="NoSpacing"/>
              <w:jc w:val="right"/>
            </w:pPr>
            <w:r w:rsidRPr="00F57A25">
              <w:t>1.161</w:t>
            </w:r>
          </w:p>
        </w:tc>
        <w:tc>
          <w:tcPr>
            <w:tcW w:w="331" w:type="pct"/>
            <w:tcBorders>
              <w:top w:val="single" w:sz="4" w:space="0" w:color="auto"/>
              <w:bottom w:val="single" w:sz="4" w:space="0" w:color="auto"/>
            </w:tcBorders>
            <w:noWrap/>
          </w:tcPr>
          <w:p w14:paraId="2E5C84E0" w14:textId="77777777" w:rsidR="00F57A25" w:rsidRPr="00F57A25" w:rsidRDefault="00F57A25" w:rsidP="00C677AC">
            <w:pPr>
              <w:pStyle w:val="NoSpacing"/>
              <w:jc w:val="right"/>
            </w:pPr>
            <w:r w:rsidRPr="00F57A25">
              <w:t>1.103</w:t>
            </w:r>
          </w:p>
        </w:tc>
      </w:tr>
    </w:tbl>
    <w:p w14:paraId="0AFAA00D" w14:textId="77777777" w:rsidR="00A634FC" w:rsidRPr="00C677AC" w:rsidRDefault="00A634FC" w:rsidP="00A634FC">
      <w:pPr>
        <w:pStyle w:val="NoSpacing"/>
        <w:rPr>
          <w:sz w:val="20"/>
          <w:szCs w:val="20"/>
        </w:rPr>
      </w:pPr>
      <w:r w:rsidRPr="00C677AC">
        <w:rPr>
          <w:sz w:val="20"/>
          <w:szCs w:val="20"/>
        </w:rPr>
        <w:t>Source: FNS 742 Database, and Common Core Data (CCD) 2014</w:t>
      </w:r>
      <w:r w:rsidR="00A53DFA">
        <w:rPr>
          <w:sz w:val="20"/>
          <w:szCs w:val="20"/>
        </w:rPr>
        <w:t>–</w:t>
      </w:r>
      <w:r w:rsidRPr="00C677AC">
        <w:rPr>
          <w:sz w:val="20"/>
          <w:szCs w:val="20"/>
        </w:rPr>
        <w:t>2015 LEA data</w:t>
      </w:r>
      <w:r w:rsidR="00D911E9">
        <w:rPr>
          <w:sz w:val="20"/>
          <w:szCs w:val="20"/>
        </w:rPr>
        <w:t>.</w:t>
      </w:r>
    </w:p>
    <w:p w14:paraId="4BDABA6F" w14:textId="77777777" w:rsidR="00A634FC" w:rsidRPr="00C677AC" w:rsidRDefault="00A634FC" w:rsidP="00A634FC">
      <w:pPr>
        <w:pStyle w:val="NoSpacing"/>
        <w:rPr>
          <w:sz w:val="20"/>
          <w:szCs w:val="20"/>
        </w:rPr>
      </w:pPr>
      <w:proofErr w:type="gramStart"/>
      <w:r w:rsidRPr="00C677AC">
        <w:rPr>
          <w:sz w:val="20"/>
          <w:szCs w:val="20"/>
          <w:vertAlign w:val="superscript"/>
        </w:rPr>
        <w:t>a</w:t>
      </w:r>
      <w:proofErr w:type="gramEnd"/>
      <w:r w:rsidRPr="00C677AC">
        <w:rPr>
          <w:sz w:val="20"/>
          <w:szCs w:val="20"/>
        </w:rPr>
        <w:t xml:space="preserve"> Percentage of enrolled students reported </w:t>
      </w:r>
      <w:r w:rsidR="00243700">
        <w:rPr>
          <w:sz w:val="20"/>
          <w:szCs w:val="20"/>
        </w:rPr>
        <w:t xml:space="preserve">eligible for </w:t>
      </w:r>
      <w:r w:rsidR="0088320D" w:rsidRPr="00C677AC">
        <w:rPr>
          <w:sz w:val="20"/>
          <w:szCs w:val="20"/>
        </w:rPr>
        <w:t>F</w:t>
      </w:r>
      <w:r w:rsidRPr="00C677AC">
        <w:rPr>
          <w:sz w:val="20"/>
          <w:szCs w:val="20"/>
        </w:rPr>
        <w:t xml:space="preserve">RP </w:t>
      </w:r>
      <w:r w:rsidR="00243700">
        <w:rPr>
          <w:sz w:val="20"/>
          <w:szCs w:val="20"/>
        </w:rPr>
        <w:t>meals</w:t>
      </w:r>
      <w:r w:rsidR="00D911E9">
        <w:rPr>
          <w:sz w:val="20"/>
          <w:szCs w:val="20"/>
        </w:rPr>
        <w:t>.</w:t>
      </w:r>
    </w:p>
    <w:p w14:paraId="212F1881" w14:textId="4A0D92BD" w:rsidR="00A634FC" w:rsidRPr="00C677AC" w:rsidRDefault="00A634FC" w:rsidP="00A634FC">
      <w:pPr>
        <w:pStyle w:val="NoSpacing"/>
        <w:rPr>
          <w:sz w:val="20"/>
          <w:szCs w:val="20"/>
        </w:rPr>
      </w:pPr>
      <w:proofErr w:type="gramStart"/>
      <w:r w:rsidRPr="00C677AC">
        <w:rPr>
          <w:sz w:val="20"/>
          <w:szCs w:val="20"/>
          <w:vertAlign w:val="superscript"/>
        </w:rPr>
        <w:t>b</w:t>
      </w:r>
      <w:proofErr w:type="gramEnd"/>
      <w:r w:rsidRPr="00C677AC">
        <w:rPr>
          <w:sz w:val="20"/>
          <w:szCs w:val="20"/>
        </w:rPr>
        <w:t xml:space="preserve"> Each of these SFAs were sampled to participate </w:t>
      </w:r>
      <w:r w:rsidR="00E0477B">
        <w:rPr>
          <w:sz w:val="20"/>
          <w:szCs w:val="20"/>
        </w:rPr>
        <w:t>every</w:t>
      </w:r>
      <w:r w:rsidRPr="00C677AC">
        <w:rPr>
          <w:sz w:val="20"/>
          <w:szCs w:val="20"/>
        </w:rPr>
        <w:t xml:space="preserve"> 2 years, so overall they create 48 selections in the 4-year sample</w:t>
      </w:r>
      <w:r w:rsidR="00D911E9">
        <w:rPr>
          <w:sz w:val="20"/>
          <w:szCs w:val="20"/>
        </w:rPr>
        <w:t>.</w:t>
      </w:r>
    </w:p>
    <w:p w14:paraId="26CBE116" w14:textId="77777777" w:rsidR="00F57A25" w:rsidRPr="0039452F" w:rsidRDefault="00A634FC" w:rsidP="00A634FC">
      <w:pPr>
        <w:pStyle w:val="NoSpacing"/>
      </w:pPr>
      <w:proofErr w:type="gramStart"/>
      <w:r w:rsidRPr="00C677AC">
        <w:rPr>
          <w:sz w:val="20"/>
          <w:szCs w:val="20"/>
          <w:vertAlign w:val="superscript"/>
        </w:rPr>
        <w:t>c</w:t>
      </w:r>
      <w:proofErr w:type="gramEnd"/>
      <w:r w:rsidRPr="00C677AC">
        <w:rPr>
          <w:sz w:val="20"/>
          <w:szCs w:val="20"/>
        </w:rPr>
        <w:t xml:space="preserve"> Each of these SFAs were sampled to participate in all 4 years, to create 28 selections in the overall sample</w:t>
      </w:r>
      <w:r w:rsidR="00D911E9">
        <w:rPr>
          <w:sz w:val="20"/>
          <w:szCs w:val="20"/>
        </w:rPr>
        <w:t>.</w:t>
      </w:r>
    </w:p>
    <w:p w14:paraId="7686C2C2" w14:textId="77777777" w:rsidR="0088320D" w:rsidRDefault="0088320D" w:rsidP="0066625C">
      <w:pPr>
        <w:sectPr w:rsidR="0088320D" w:rsidSect="00F57A25">
          <w:pgSz w:w="15840" w:h="12240" w:orient="landscape"/>
          <w:pgMar w:top="1440" w:right="1440" w:bottom="1440" w:left="1440" w:header="720" w:footer="720" w:gutter="0"/>
          <w:cols w:space="720"/>
          <w:titlePg/>
          <w:docGrid w:linePitch="360"/>
        </w:sectPr>
      </w:pPr>
    </w:p>
    <w:p w14:paraId="2AEA8E67" w14:textId="2E1C1D89" w:rsidR="006354C5" w:rsidRDefault="006D4103" w:rsidP="0066625C">
      <w:r w:rsidRPr="00235A65">
        <w:lastRenderedPageBreak/>
        <w:t>The sample design utilizes a combination of certainty selection and stratified probability proportionate-to-size (PPS)</w:t>
      </w:r>
      <w:r>
        <w:t xml:space="preserve"> sampling of SFAs</w:t>
      </w:r>
      <w:r w:rsidRPr="00235A65">
        <w:t xml:space="preserve"> to select </w:t>
      </w:r>
      <w:r w:rsidR="00E95745">
        <w:t>those</w:t>
      </w:r>
      <w:r w:rsidRPr="00235A65">
        <w:t xml:space="preserve"> </w:t>
      </w:r>
      <w:r>
        <w:t>that will complete the survey within</w:t>
      </w:r>
      <w:r w:rsidRPr="00235A65">
        <w:t xml:space="preserve"> the entire 4-year period</w:t>
      </w:r>
      <w:r>
        <w:t xml:space="preserve"> of CN-OPS-II</w:t>
      </w:r>
      <w:r w:rsidRPr="00235A65">
        <w:t xml:space="preserve">. </w:t>
      </w:r>
      <w:r w:rsidR="00E40FA4">
        <w:t>The measure of size i</w:t>
      </w:r>
      <w:r w:rsidR="00E95745">
        <w:t>s</w:t>
      </w:r>
      <w:r w:rsidR="00E40FA4">
        <w:t xml:space="preserve"> the total number of students in the schools served by the SFA. </w:t>
      </w:r>
      <w:r w:rsidRPr="00235A65">
        <w:t xml:space="preserve">This overall sample </w:t>
      </w:r>
      <w:r>
        <w:t>was then divided</w:t>
      </w:r>
      <w:r w:rsidRPr="00235A65">
        <w:t xml:space="preserve"> into four random subsets to create the</w:t>
      </w:r>
      <w:r>
        <w:t xml:space="preserve"> SFA</w:t>
      </w:r>
      <w:r w:rsidRPr="00235A65">
        <w:t xml:space="preserve"> sample for each year.</w:t>
      </w:r>
      <w:r w:rsidRPr="00C95980">
        <w:t xml:space="preserve"> </w:t>
      </w:r>
      <w:r>
        <w:t xml:space="preserve">This approach minimizes the number of SFAs that will be asked to participate in a survey in more than one year. </w:t>
      </w:r>
      <w:r w:rsidR="006354C5">
        <w:t xml:space="preserve">Within each </w:t>
      </w:r>
      <w:r w:rsidR="006354C5" w:rsidRPr="0039452F">
        <w:t xml:space="preserve">stratum, </w:t>
      </w:r>
      <w:r w:rsidR="0066625C">
        <w:t xml:space="preserve">SFAs were </w:t>
      </w:r>
      <w:r w:rsidR="006354C5" w:rsidRPr="0039452F">
        <w:t>sort</w:t>
      </w:r>
      <w:r w:rsidR="0066625C">
        <w:t>ed</w:t>
      </w:r>
      <w:r w:rsidR="006354C5" w:rsidRPr="0039452F">
        <w:t xml:space="preserve"> </w:t>
      </w:r>
      <w:r w:rsidR="0066625C">
        <w:t>by FNS R</w:t>
      </w:r>
      <w:r w:rsidR="006354C5" w:rsidRPr="0039452F">
        <w:t xml:space="preserve">egion (defined by the seven FNS </w:t>
      </w:r>
      <w:r w:rsidR="00583E57">
        <w:t>R</w:t>
      </w:r>
      <w:r w:rsidR="006354C5" w:rsidRPr="0039452F">
        <w:t xml:space="preserve">egional offices) and by </w:t>
      </w:r>
      <w:proofErr w:type="spellStart"/>
      <w:r w:rsidR="006354C5" w:rsidRPr="0039452F">
        <w:t>urbanicity</w:t>
      </w:r>
      <w:proofErr w:type="spellEnd"/>
      <w:r w:rsidR="006354C5" w:rsidRPr="0039452F">
        <w:t xml:space="preserve"> status (</w:t>
      </w:r>
      <w:r w:rsidR="0066625C">
        <w:t>defined by location in urban, suburban, town, or rural area)</w:t>
      </w:r>
      <w:r w:rsidR="006354C5" w:rsidRPr="0039452F">
        <w:t xml:space="preserve"> </w:t>
      </w:r>
      <w:r w:rsidR="0066625C">
        <w:t>to ensure the sample selected was</w:t>
      </w:r>
      <w:r w:rsidR="006354C5" w:rsidRPr="0039452F">
        <w:t xml:space="preserve"> balanced on these additional </w:t>
      </w:r>
      <w:r>
        <w:t>implicit stratifying variables</w:t>
      </w:r>
      <w:r w:rsidR="006354C5" w:rsidRPr="0039452F">
        <w:t>.</w:t>
      </w:r>
      <w:r w:rsidR="00D911E9">
        <w:t xml:space="preserve"> As seen in Table B1, all SFAs were selected (according to the criteria just mentioned) in strata 3–10</w:t>
      </w:r>
      <w:r w:rsidR="00C27005">
        <w:t xml:space="preserve"> for sampling in at least one year</w:t>
      </w:r>
      <w:r w:rsidR="00D911E9">
        <w:t xml:space="preserve">. PPS sampling was used in strata 1 and 2.  </w:t>
      </w:r>
    </w:p>
    <w:p w14:paraId="0365DE10" w14:textId="3C2EB268" w:rsidR="0000559C" w:rsidRPr="00C95980" w:rsidRDefault="009D2087" w:rsidP="00C677AC">
      <w:pPr>
        <w:spacing w:before="120"/>
      </w:pPr>
      <w:r>
        <w:t xml:space="preserve">As discussed in </w:t>
      </w:r>
      <w:r w:rsidR="000C5D14">
        <w:t xml:space="preserve">section </w:t>
      </w:r>
      <w:r>
        <w:t xml:space="preserve">B.2, the precision requirements of the study require 1,750 responses per </w:t>
      </w:r>
      <w:proofErr w:type="gramStart"/>
      <w:r>
        <w:t>year</w:t>
      </w:r>
      <w:r w:rsidR="00A53DFA">
        <w:t>,</w:t>
      </w:r>
      <w:proofErr w:type="gramEnd"/>
      <w:r>
        <w:t xml:space="preserve"> or 7,000 over the 4-year study. </w:t>
      </w:r>
      <w:r w:rsidR="00EF1321">
        <w:t>T</w:t>
      </w:r>
      <w:r w:rsidR="003537E8">
        <w:t xml:space="preserve">he 4-year sample </w:t>
      </w:r>
      <w:r w:rsidR="001F4B34">
        <w:t>size of</w:t>
      </w:r>
      <w:r w:rsidR="003537E8">
        <w:t xml:space="preserve"> 9,939 </w:t>
      </w:r>
      <w:r w:rsidR="00243700">
        <w:t xml:space="preserve">includes </w:t>
      </w:r>
      <w:r w:rsidR="00EF1321">
        <w:t>some reserve</w:t>
      </w:r>
      <w:r w:rsidR="0066625C">
        <w:t xml:space="preserve"> SFAs in any given year</w:t>
      </w:r>
      <w:r w:rsidR="006C7348">
        <w:t>,</w:t>
      </w:r>
      <w:r w:rsidR="0066625C">
        <w:t xml:space="preserve"> </w:t>
      </w:r>
      <w:r w:rsidR="00EF1321">
        <w:t>because</w:t>
      </w:r>
      <w:r w:rsidR="006D4103">
        <w:t xml:space="preserve"> </w:t>
      </w:r>
      <w:r w:rsidR="00D4142E">
        <w:t>only</w:t>
      </w:r>
      <w:r w:rsidR="00EF1321">
        <w:t xml:space="preserve"> 2,188 will be needed </w:t>
      </w:r>
      <w:r w:rsidR="00D4142E">
        <w:t>to achieve an</w:t>
      </w:r>
      <w:r w:rsidR="001F4B34">
        <w:t xml:space="preserve"> </w:t>
      </w:r>
      <w:r w:rsidR="00EF1321">
        <w:t>80 percent response rate.</w:t>
      </w:r>
      <w:r w:rsidR="00171411">
        <w:t xml:space="preserve"> </w:t>
      </w:r>
      <w:r w:rsidR="006F1DA8">
        <w:t xml:space="preserve">A reserve SFA is part of the sample, but is only contacted in special cases. These extenuating circumstances may include replacing an ineligible SFA with a reserve SFA and releasing </w:t>
      </w:r>
      <w:r w:rsidR="00C27005">
        <w:t xml:space="preserve">some of </w:t>
      </w:r>
      <w:r w:rsidR="006F1DA8">
        <w:t>the reserve SFAs to guarantee 1,750 responses.</w:t>
      </w:r>
    </w:p>
    <w:p w14:paraId="7604BAB7" w14:textId="77777777" w:rsidR="00B06525" w:rsidRPr="00C95980" w:rsidRDefault="00B06525" w:rsidP="00C677AC">
      <w:pPr>
        <w:spacing w:before="120" w:line="240" w:lineRule="auto"/>
        <w:rPr>
          <w:b/>
          <w:szCs w:val="24"/>
        </w:rPr>
      </w:pPr>
      <w:r w:rsidRPr="00C95980">
        <w:rPr>
          <w:b/>
          <w:szCs w:val="24"/>
        </w:rPr>
        <w:t>Expected Response Rates</w:t>
      </w:r>
    </w:p>
    <w:p w14:paraId="2E7BF372" w14:textId="34F85B15" w:rsidR="00E96097" w:rsidRPr="00C95980" w:rsidRDefault="00B06525" w:rsidP="00C677AC">
      <w:pPr>
        <w:pStyle w:val="Normalcontinued"/>
        <w:spacing w:before="120"/>
        <w:rPr>
          <w:szCs w:val="24"/>
        </w:rPr>
      </w:pPr>
      <w:r w:rsidRPr="006F3693">
        <w:rPr>
          <w:szCs w:val="24"/>
        </w:rPr>
        <w:t xml:space="preserve">The response rate is the proportion of </w:t>
      </w:r>
      <w:r w:rsidRPr="00A8224A">
        <w:rPr>
          <w:szCs w:val="24"/>
        </w:rPr>
        <w:t>sampled SFA</w:t>
      </w:r>
      <w:r w:rsidRPr="00802CE8">
        <w:rPr>
          <w:szCs w:val="24"/>
        </w:rPr>
        <w:t xml:space="preserve">s that complete the SFA survey. Based on </w:t>
      </w:r>
      <w:r w:rsidR="00C763F5" w:rsidRPr="00094DFB">
        <w:rPr>
          <w:szCs w:val="24"/>
        </w:rPr>
        <w:t xml:space="preserve">prior </w:t>
      </w:r>
      <w:r w:rsidRPr="00094DFB">
        <w:rPr>
          <w:szCs w:val="24"/>
        </w:rPr>
        <w:t>experience with SFA survey</w:t>
      </w:r>
      <w:r w:rsidR="00C763F5" w:rsidRPr="00094DFB">
        <w:rPr>
          <w:szCs w:val="24"/>
        </w:rPr>
        <w:t>s conducted for other studies</w:t>
      </w:r>
      <w:r w:rsidRPr="00094DFB">
        <w:rPr>
          <w:szCs w:val="24"/>
        </w:rPr>
        <w:t xml:space="preserve">, we </w:t>
      </w:r>
      <w:r w:rsidR="00BA4AA4">
        <w:rPr>
          <w:szCs w:val="24"/>
        </w:rPr>
        <w:t xml:space="preserve">(the research team) </w:t>
      </w:r>
      <w:r w:rsidRPr="00094DFB">
        <w:rPr>
          <w:szCs w:val="24"/>
        </w:rPr>
        <w:t xml:space="preserve">expect to achieve an SFA response rate of 80 percent. </w:t>
      </w:r>
      <w:r w:rsidR="00631A9B" w:rsidRPr="00C95980">
        <w:rPr>
          <w:szCs w:val="24"/>
        </w:rPr>
        <w:t>To ensure an 80 percent response rate</w:t>
      </w:r>
      <w:r w:rsidR="006C7348">
        <w:rPr>
          <w:szCs w:val="24"/>
        </w:rPr>
        <w:t>,</w:t>
      </w:r>
      <w:r w:rsidR="00631A9B" w:rsidRPr="00C95980">
        <w:rPr>
          <w:szCs w:val="24"/>
        </w:rPr>
        <w:t xml:space="preserve"> we will follow a multi-step process, beginning with notification of the study through well-established FNS communication channels</w:t>
      </w:r>
      <w:r w:rsidR="006C7348">
        <w:rPr>
          <w:szCs w:val="24"/>
        </w:rPr>
        <w:t>,</w:t>
      </w:r>
      <w:r w:rsidR="00631A9B" w:rsidRPr="00C95980">
        <w:rPr>
          <w:szCs w:val="24"/>
        </w:rPr>
        <w:t xml:space="preserve"> and then utilizing a user</w:t>
      </w:r>
      <w:r w:rsidR="006C7348">
        <w:rPr>
          <w:szCs w:val="24"/>
        </w:rPr>
        <w:t>-</w:t>
      </w:r>
      <w:r w:rsidR="00631A9B" w:rsidRPr="00C95980">
        <w:rPr>
          <w:szCs w:val="24"/>
        </w:rPr>
        <w:t xml:space="preserve">friendly web interface </w:t>
      </w:r>
      <w:r w:rsidR="00C27005">
        <w:rPr>
          <w:szCs w:val="24"/>
        </w:rPr>
        <w:t>for</w:t>
      </w:r>
      <w:r w:rsidR="00C27005" w:rsidRPr="00C95980">
        <w:rPr>
          <w:szCs w:val="24"/>
        </w:rPr>
        <w:t xml:space="preserve"> </w:t>
      </w:r>
      <w:r w:rsidR="00631A9B" w:rsidRPr="00C95980">
        <w:rPr>
          <w:szCs w:val="24"/>
        </w:rPr>
        <w:t xml:space="preserve">the </w:t>
      </w:r>
      <w:r w:rsidR="00631A9B" w:rsidRPr="00C95980">
        <w:rPr>
          <w:szCs w:val="24"/>
        </w:rPr>
        <w:lastRenderedPageBreak/>
        <w:t xml:space="preserve">survey, providing email and telephone support, and email and telephone reminders. Additionally, the web survey allows respondents to save and exit </w:t>
      </w:r>
      <w:r w:rsidR="005F5741">
        <w:rPr>
          <w:szCs w:val="24"/>
        </w:rPr>
        <w:t>at</w:t>
      </w:r>
      <w:r w:rsidR="005F5741" w:rsidRPr="00C95980">
        <w:rPr>
          <w:szCs w:val="24"/>
        </w:rPr>
        <w:t xml:space="preserve"> </w:t>
      </w:r>
      <w:r w:rsidR="00631A9B" w:rsidRPr="00C95980">
        <w:rPr>
          <w:szCs w:val="24"/>
        </w:rPr>
        <w:t xml:space="preserve">any time and then work on completing the survey later. </w:t>
      </w:r>
      <w:r w:rsidRPr="00C95980">
        <w:rPr>
          <w:szCs w:val="24"/>
        </w:rPr>
        <w:t xml:space="preserve">Thus, </w:t>
      </w:r>
      <w:r w:rsidR="00983654" w:rsidRPr="00C95980">
        <w:rPr>
          <w:szCs w:val="24"/>
        </w:rPr>
        <w:t xml:space="preserve">the </w:t>
      </w:r>
      <w:r w:rsidR="006C7348">
        <w:rPr>
          <w:szCs w:val="24"/>
        </w:rPr>
        <w:t>research</w:t>
      </w:r>
      <w:r w:rsidR="006C7348" w:rsidRPr="00C95980">
        <w:rPr>
          <w:szCs w:val="24"/>
        </w:rPr>
        <w:t xml:space="preserve"> </w:t>
      </w:r>
      <w:r w:rsidR="00983654" w:rsidRPr="00C95980">
        <w:rPr>
          <w:szCs w:val="24"/>
        </w:rPr>
        <w:t>team</w:t>
      </w:r>
      <w:r w:rsidR="00652A0B" w:rsidRPr="00C95980">
        <w:rPr>
          <w:szCs w:val="24"/>
        </w:rPr>
        <w:t xml:space="preserve"> </w:t>
      </w:r>
      <w:r w:rsidRPr="00C95980">
        <w:rPr>
          <w:szCs w:val="24"/>
        </w:rPr>
        <w:t>plan</w:t>
      </w:r>
      <w:r w:rsidR="00652A0B" w:rsidRPr="00C95980">
        <w:rPr>
          <w:szCs w:val="24"/>
        </w:rPr>
        <w:t>s</w:t>
      </w:r>
      <w:r w:rsidRPr="00C95980">
        <w:rPr>
          <w:szCs w:val="24"/>
        </w:rPr>
        <w:t xml:space="preserve"> to sample </w:t>
      </w:r>
      <w:r w:rsidR="0044467C" w:rsidRPr="00C95980">
        <w:rPr>
          <w:szCs w:val="24"/>
        </w:rPr>
        <w:t>2</w:t>
      </w:r>
      <w:r w:rsidR="00DE1CD0" w:rsidRPr="00C95980">
        <w:rPr>
          <w:szCs w:val="24"/>
        </w:rPr>
        <w:t>,</w:t>
      </w:r>
      <w:r w:rsidR="0044467C" w:rsidRPr="00C95980">
        <w:rPr>
          <w:szCs w:val="24"/>
        </w:rPr>
        <w:t>18</w:t>
      </w:r>
      <w:r w:rsidR="00631A9B" w:rsidRPr="00C95980">
        <w:rPr>
          <w:szCs w:val="24"/>
        </w:rPr>
        <w:t>8</w:t>
      </w:r>
      <w:r w:rsidRPr="00C95980">
        <w:rPr>
          <w:szCs w:val="24"/>
        </w:rPr>
        <w:t xml:space="preserve"> SFAs to obtain 1,</w:t>
      </w:r>
      <w:r w:rsidR="0044467C" w:rsidRPr="00C95980">
        <w:rPr>
          <w:szCs w:val="24"/>
        </w:rPr>
        <w:t>750</w:t>
      </w:r>
      <w:r w:rsidR="00983654" w:rsidRPr="00C95980">
        <w:rPr>
          <w:szCs w:val="24"/>
        </w:rPr>
        <w:t xml:space="preserve"> completed</w:t>
      </w:r>
      <w:r w:rsidRPr="00C95980">
        <w:rPr>
          <w:szCs w:val="24"/>
        </w:rPr>
        <w:t xml:space="preserve"> </w:t>
      </w:r>
      <w:r w:rsidR="00DE1CD0" w:rsidRPr="00C95980">
        <w:rPr>
          <w:szCs w:val="24"/>
        </w:rPr>
        <w:t>surveys</w:t>
      </w:r>
      <w:r w:rsidR="00983654" w:rsidRPr="00C95980">
        <w:rPr>
          <w:szCs w:val="24"/>
        </w:rPr>
        <w:t xml:space="preserve"> from the</w:t>
      </w:r>
      <w:r w:rsidRPr="00C95980">
        <w:rPr>
          <w:szCs w:val="24"/>
        </w:rPr>
        <w:t xml:space="preserve"> SFA directors. </w:t>
      </w:r>
      <w:r w:rsidR="006F1DA8" w:rsidRPr="00C95980">
        <w:rPr>
          <w:szCs w:val="24"/>
        </w:rPr>
        <w:t>If</w:t>
      </w:r>
      <w:r w:rsidR="0034504B" w:rsidRPr="00C95980">
        <w:rPr>
          <w:szCs w:val="24"/>
        </w:rPr>
        <w:t xml:space="preserve"> 80 percent is not reached during the data collection period, FNS, through </w:t>
      </w:r>
      <w:r w:rsidR="006C7348">
        <w:rPr>
          <w:szCs w:val="24"/>
        </w:rPr>
        <w:t>its</w:t>
      </w:r>
      <w:r w:rsidR="0034504B" w:rsidRPr="00C95980">
        <w:rPr>
          <w:szCs w:val="24"/>
        </w:rPr>
        <w:t xml:space="preserve"> Regional offices, will contact State agencies and ask them to contact the unresponsive SFAs in their State and encourage participation. This process may exten</w:t>
      </w:r>
      <w:r w:rsidR="00D565CB" w:rsidRPr="00C95980">
        <w:rPr>
          <w:szCs w:val="24"/>
        </w:rPr>
        <w:t>d</w:t>
      </w:r>
      <w:r w:rsidR="0034504B" w:rsidRPr="00C95980">
        <w:rPr>
          <w:szCs w:val="24"/>
        </w:rPr>
        <w:t xml:space="preserve"> the proposed data collection period</w:t>
      </w:r>
      <w:r w:rsidR="006C7348">
        <w:rPr>
          <w:szCs w:val="24"/>
        </w:rPr>
        <w:t>,</w:t>
      </w:r>
      <w:r w:rsidR="0034504B" w:rsidRPr="00C95980">
        <w:rPr>
          <w:szCs w:val="24"/>
        </w:rPr>
        <w:t xml:space="preserve"> but in previous studies </w:t>
      </w:r>
      <w:r w:rsidR="00D565CB" w:rsidRPr="00C95980">
        <w:rPr>
          <w:szCs w:val="24"/>
        </w:rPr>
        <w:t xml:space="preserve">it </w:t>
      </w:r>
      <w:r w:rsidR="00E96097" w:rsidRPr="00C95980">
        <w:rPr>
          <w:szCs w:val="24"/>
        </w:rPr>
        <w:t>h</w:t>
      </w:r>
      <w:r w:rsidR="0034504B" w:rsidRPr="00C95980">
        <w:rPr>
          <w:szCs w:val="24"/>
        </w:rPr>
        <w:t>as been effective in achieving the 80 percent response rate. Additionally, we will conduct an analysis on the potential for nonresponse bias (described below)</w:t>
      </w:r>
      <w:r w:rsidR="005F5741">
        <w:rPr>
          <w:szCs w:val="24"/>
        </w:rPr>
        <w:t>,</w:t>
      </w:r>
      <w:r w:rsidR="0034504B" w:rsidRPr="00C95980">
        <w:rPr>
          <w:szCs w:val="24"/>
        </w:rPr>
        <w:t xml:space="preserve"> and make appropriate adjustments to the weights to minimize </w:t>
      </w:r>
      <w:r w:rsidR="00E96097" w:rsidRPr="00C95980">
        <w:rPr>
          <w:szCs w:val="24"/>
        </w:rPr>
        <w:t>bias.</w:t>
      </w:r>
    </w:p>
    <w:p w14:paraId="643724B8" w14:textId="7109E900" w:rsidR="00100485" w:rsidRPr="00C95980" w:rsidRDefault="0088320D" w:rsidP="0034504B">
      <w:pPr>
        <w:pStyle w:val="Normalcontinued"/>
        <w:rPr>
          <w:szCs w:val="24"/>
        </w:rPr>
      </w:pPr>
      <w:r>
        <w:rPr>
          <w:szCs w:val="24"/>
        </w:rPr>
        <w:t xml:space="preserve">The </w:t>
      </w:r>
      <w:r w:rsidR="00B06525" w:rsidRPr="00C95980">
        <w:rPr>
          <w:szCs w:val="24"/>
        </w:rPr>
        <w:t xml:space="preserve">Child Nutrition </w:t>
      </w:r>
      <w:r>
        <w:rPr>
          <w:szCs w:val="24"/>
        </w:rPr>
        <w:t xml:space="preserve">(CN) </w:t>
      </w:r>
      <w:r w:rsidR="00B06525" w:rsidRPr="00C95980">
        <w:rPr>
          <w:szCs w:val="24"/>
        </w:rPr>
        <w:t xml:space="preserve">Director </w:t>
      </w:r>
      <w:r w:rsidR="006C7348">
        <w:rPr>
          <w:szCs w:val="24"/>
        </w:rPr>
        <w:t>S</w:t>
      </w:r>
      <w:r w:rsidR="00B06525" w:rsidRPr="00C95980">
        <w:rPr>
          <w:szCs w:val="24"/>
        </w:rPr>
        <w:t xml:space="preserve">urvey will be conducted </w:t>
      </w:r>
      <w:r w:rsidR="00DE1CD0" w:rsidRPr="00C95980">
        <w:rPr>
          <w:szCs w:val="24"/>
        </w:rPr>
        <w:t xml:space="preserve">as a census of </w:t>
      </w:r>
      <w:r w:rsidR="00B06525" w:rsidRPr="00C95980">
        <w:rPr>
          <w:szCs w:val="24"/>
        </w:rPr>
        <w:t>all 5</w:t>
      </w:r>
      <w:r w:rsidR="0087140A" w:rsidRPr="00C95980">
        <w:rPr>
          <w:szCs w:val="24"/>
        </w:rPr>
        <w:t>5</w:t>
      </w:r>
      <w:r w:rsidR="00B06525" w:rsidRPr="00C95980">
        <w:rPr>
          <w:szCs w:val="24"/>
        </w:rPr>
        <w:t xml:space="preserve"> </w:t>
      </w:r>
      <w:r w:rsidR="00314188" w:rsidRPr="00C95980">
        <w:rPr>
          <w:szCs w:val="24"/>
        </w:rPr>
        <w:t>S</w:t>
      </w:r>
      <w:r w:rsidR="00B06525" w:rsidRPr="00C95980">
        <w:rPr>
          <w:szCs w:val="24"/>
        </w:rPr>
        <w:t xml:space="preserve">tate </w:t>
      </w:r>
      <w:r w:rsidR="006C7348">
        <w:rPr>
          <w:szCs w:val="24"/>
        </w:rPr>
        <w:t xml:space="preserve">CN </w:t>
      </w:r>
      <w:r w:rsidR="00B06525" w:rsidRPr="00C95980">
        <w:rPr>
          <w:szCs w:val="24"/>
        </w:rPr>
        <w:t xml:space="preserve">directors </w:t>
      </w:r>
      <w:r w:rsidR="00D07191" w:rsidRPr="00C95980">
        <w:rPr>
          <w:szCs w:val="24"/>
        </w:rPr>
        <w:t>(</w:t>
      </w:r>
      <w:r w:rsidR="00C27005">
        <w:rPr>
          <w:szCs w:val="24"/>
        </w:rPr>
        <w:t>50</w:t>
      </w:r>
      <w:r w:rsidR="00D07191" w:rsidRPr="00C95980">
        <w:rPr>
          <w:szCs w:val="24"/>
        </w:rPr>
        <w:t xml:space="preserve"> States, </w:t>
      </w:r>
      <w:r w:rsidR="00C27005">
        <w:rPr>
          <w:szCs w:val="24"/>
        </w:rPr>
        <w:t xml:space="preserve">4 </w:t>
      </w:r>
      <w:r w:rsidR="00D07191" w:rsidRPr="00C95980">
        <w:rPr>
          <w:szCs w:val="24"/>
        </w:rPr>
        <w:t xml:space="preserve">U.S. Territories, and the District of Columbia) </w:t>
      </w:r>
      <w:r w:rsidR="00B06525" w:rsidRPr="00C95980">
        <w:rPr>
          <w:szCs w:val="24"/>
        </w:rPr>
        <w:t xml:space="preserve">and will not involve sampling. </w:t>
      </w:r>
      <w:r w:rsidR="00983654" w:rsidRPr="00C95980">
        <w:rPr>
          <w:szCs w:val="24"/>
        </w:rPr>
        <w:t>We</w:t>
      </w:r>
      <w:r w:rsidR="00652A0B" w:rsidRPr="00C95980">
        <w:rPr>
          <w:szCs w:val="24"/>
        </w:rPr>
        <w:t xml:space="preserve"> </w:t>
      </w:r>
      <w:r w:rsidR="00B06525" w:rsidRPr="00C95980">
        <w:rPr>
          <w:szCs w:val="24"/>
        </w:rPr>
        <w:t xml:space="preserve">expect a </w:t>
      </w:r>
      <w:r w:rsidR="0087140A" w:rsidRPr="00C95980">
        <w:rPr>
          <w:szCs w:val="24"/>
        </w:rPr>
        <w:t>100</w:t>
      </w:r>
      <w:r w:rsidR="00B06525" w:rsidRPr="00C95980">
        <w:rPr>
          <w:szCs w:val="24"/>
        </w:rPr>
        <w:t xml:space="preserve"> per</w:t>
      </w:r>
      <w:r>
        <w:rPr>
          <w:szCs w:val="24"/>
        </w:rPr>
        <w:t>cent response rate for the</w:t>
      </w:r>
      <w:r w:rsidR="00B06525" w:rsidRPr="00C95980">
        <w:rPr>
          <w:szCs w:val="24"/>
        </w:rPr>
        <w:t xml:space="preserve"> C</w:t>
      </w:r>
      <w:r>
        <w:rPr>
          <w:szCs w:val="24"/>
        </w:rPr>
        <w:t>N</w:t>
      </w:r>
      <w:r w:rsidR="00B06525" w:rsidRPr="00C95980">
        <w:rPr>
          <w:szCs w:val="24"/>
        </w:rPr>
        <w:t xml:space="preserve"> D</w:t>
      </w:r>
      <w:r w:rsidR="00B06525" w:rsidRPr="00C32CAD">
        <w:rPr>
          <w:szCs w:val="24"/>
        </w:rPr>
        <w:t>irector survey.</w:t>
      </w:r>
      <w:r w:rsidR="00D366C8" w:rsidRPr="00C32CAD">
        <w:rPr>
          <w:szCs w:val="24"/>
        </w:rPr>
        <w:t xml:space="preserve"> </w:t>
      </w:r>
      <w:r w:rsidR="00100485" w:rsidRPr="00C32CAD">
        <w:rPr>
          <w:szCs w:val="24"/>
        </w:rPr>
        <w:t>Th</w:t>
      </w:r>
      <w:r w:rsidR="00100485" w:rsidRPr="00C95980">
        <w:rPr>
          <w:szCs w:val="24"/>
        </w:rPr>
        <w:t xml:space="preserve">e overall response rate </w:t>
      </w:r>
      <w:r w:rsidR="00C27005">
        <w:rPr>
          <w:szCs w:val="24"/>
        </w:rPr>
        <w:t xml:space="preserve">for the study </w:t>
      </w:r>
      <w:r w:rsidR="00100485" w:rsidRPr="00C95980">
        <w:rPr>
          <w:szCs w:val="24"/>
        </w:rPr>
        <w:t>will be approximately 80.</w:t>
      </w:r>
      <w:r w:rsidR="004873E3">
        <w:rPr>
          <w:szCs w:val="24"/>
        </w:rPr>
        <w:t>5</w:t>
      </w:r>
      <w:r w:rsidR="002B554C">
        <w:rPr>
          <w:szCs w:val="24"/>
        </w:rPr>
        <w:t xml:space="preserve"> percent</w:t>
      </w:r>
      <w:r w:rsidR="004873E3">
        <w:rPr>
          <w:szCs w:val="24"/>
        </w:rPr>
        <w:t xml:space="preserve"> ((1,750+55)</w:t>
      </w:r>
      <w:proofErr w:type="gramStart"/>
      <w:r w:rsidR="004873E3">
        <w:rPr>
          <w:szCs w:val="24"/>
        </w:rPr>
        <w:t>/(</w:t>
      </w:r>
      <w:proofErr w:type="gramEnd"/>
      <w:r w:rsidR="004873E3">
        <w:rPr>
          <w:szCs w:val="24"/>
        </w:rPr>
        <w:t>2188+55))</w:t>
      </w:r>
      <w:r w:rsidR="002B554C" w:rsidRPr="00C95980">
        <w:rPr>
          <w:szCs w:val="24"/>
        </w:rPr>
        <w:t>.</w:t>
      </w:r>
      <w:r w:rsidR="000224CE">
        <w:rPr>
          <w:szCs w:val="24"/>
        </w:rPr>
        <w:t xml:space="preserve"> </w:t>
      </w:r>
      <w:r w:rsidR="002863C4">
        <w:rPr>
          <w:szCs w:val="24"/>
        </w:rPr>
        <w:t>The sample plan and procedures for collecting data are like</w:t>
      </w:r>
      <w:r w:rsidR="00140363">
        <w:rPr>
          <w:szCs w:val="24"/>
        </w:rPr>
        <w:t xml:space="preserve"> Year 1</w:t>
      </w:r>
      <w:r w:rsidR="002863C4">
        <w:rPr>
          <w:szCs w:val="24"/>
        </w:rPr>
        <w:t xml:space="preserve"> of CN-OPS-II. </w:t>
      </w:r>
      <w:r w:rsidR="00140363">
        <w:rPr>
          <w:szCs w:val="24"/>
        </w:rPr>
        <w:t>The overall response rate in Y</w:t>
      </w:r>
      <w:r w:rsidR="002863C4">
        <w:rPr>
          <w:szCs w:val="24"/>
        </w:rPr>
        <w:t xml:space="preserve">ear 1 was 81.1 percent, including a 100 percent response rate from the 55 State CN directors. </w:t>
      </w:r>
    </w:p>
    <w:p w14:paraId="32888B8C" w14:textId="77777777" w:rsidR="00B06525" w:rsidRPr="00C95980" w:rsidRDefault="00B06525" w:rsidP="00C677AC">
      <w:pPr>
        <w:spacing w:before="120" w:line="240" w:lineRule="auto"/>
        <w:rPr>
          <w:b/>
          <w:szCs w:val="24"/>
        </w:rPr>
      </w:pPr>
      <w:bookmarkStart w:id="7" w:name="_Toc282506043"/>
      <w:r w:rsidRPr="00C95980">
        <w:rPr>
          <w:b/>
          <w:szCs w:val="24"/>
        </w:rPr>
        <w:t>B.2</w:t>
      </w:r>
      <w:r w:rsidRPr="00C95980">
        <w:rPr>
          <w:b/>
          <w:szCs w:val="24"/>
        </w:rPr>
        <w:tab/>
      </w:r>
      <w:bookmarkEnd w:id="7"/>
      <w:r w:rsidRPr="00C95980">
        <w:rPr>
          <w:b/>
          <w:szCs w:val="24"/>
        </w:rPr>
        <w:t>Describe the procedures for the collection of information including:</w:t>
      </w:r>
    </w:p>
    <w:p w14:paraId="3B5E587F" w14:textId="77777777" w:rsidR="00B06525" w:rsidRPr="00C95980" w:rsidRDefault="00B06525" w:rsidP="00C677AC">
      <w:pPr>
        <w:numPr>
          <w:ilvl w:val="0"/>
          <w:numId w:val="12"/>
        </w:numPr>
        <w:tabs>
          <w:tab w:val="clear" w:pos="360"/>
          <w:tab w:val="left" w:pos="0"/>
          <w:tab w:val="num" w:pos="1080"/>
        </w:tabs>
        <w:spacing w:before="120" w:line="240" w:lineRule="auto"/>
        <w:ind w:left="1080"/>
        <w:rPr>
          <w:b/>
          <w:szCs w:val="24"/>
        </w:rPr>
      </w:pPr>
      <w:r w:rsidRPr="00C95980">
        <w:rPr>
          <w:b/>
          <w:szCs w:val="24"/>
        </w:rPr>
        <w:t>Statistical methodology for stratification and sample selection,</w:t>
      </w:r>
    </w:p>
    <w:p w14:paraId="2D75C36C" w14:textId="77777777" w:rsidR="00B06525" w:rsidRPr="00C95980" w:rsidRDefault="00B06525" w:rsidP="00161A77">
      <w:pPr>
        <w:numPr>
          <w:ilvl w:val="0"/>
          <w:numId w:val="13"/>
        </w:numPr>
        <w:tabs>
          <w:tab w:val="clear" w:pos="360"/>
          <w:tab w:val="left" w:pos="0"/>
          <w:tab w:val="left" w:pos="475"/>
          <w:tab w:val="num" w:pos="1080"/>
        </w:tabs>
        <w:spacing w:line="240" w:lineRule="auto"/>
        <w:ind w:left="1080"/>
        <w:rPr>
          <w:b/>
          <w:szCs w:val="24"/>
        </w:rPr>
      </w:pPr>
      <w:r w:rsidRPr="00C95980">
        <w:rPr>
          <w:b/>
          <w:szCs w:val="24"/>
        </w:rPr>
        <w:t>Estimation procedure,</w:t>
      </w:r>
    </w:p>
    <w:p w14:paraId="19D6E46C" w14:textId="77777777" w:rsidR="00B06525" w:rsidRPr="00C95980" w:rsidRDefault="00B06525" w:rsidP="00161A77">
      <w:pPr>
        <w:numPr>
          <w:ilvl w:val="0"/>
          <w:numId w:val="14"/>
        </w:numPr>
        <w:tabs>
          <w:tab w:val="clear" w:pos="360"/>
          <w:tab w:val="left" w:pos="0"/>
          <w:tab w:val="left" w:pos="475"/>
          <w:tab w:val="num" w:pos="1080"/>
        </w:tabs>
        <w:spacing w:line="240" w:lineRule="auto"/>
        <w:ind w:left="1080"/>
        <w:rPr>
          <w:b/>
          <w:szCs w:val="24"/>
        </w:rPr>
      </w:pPr>
      <w:r w:rsidRPr="00C95980">
        <w:rPr>
          <w:b/>
          <w:szCs w:val="24"/>
        </w:rPr>
        <w:t>Degree of accuracy needed for the purpose described in the justification,</w:t>
      </w:r>
    </w:p>
    <w:p w14:paraId="6405C312" w14:textId="77777777" w:rsidR="00B06525" w:rsidRPr="00C95980" w:rsidRDefault="00B06525" w:rsidP="00161A77">
      <w:pPr>
        <w:numPr>
          <w:ilvl w:val="0"/>
          <w:numId w:val="15"/>
        </w:numPr>
        <w:tabs>
          <w:tab w:val="clear" w:pos="360"/>
          <w:tab w:val="left" w:pos="0"/>
          <w:tab w:val="left" w:pos="475"/>
          <w:tab w:val="num" w:pos="1080"/>
        </w:tabs>
        <w:spacing w:line="240" w:lineRule="auto"/>
        <w:ind w:left="1080"/>
        <w:rPr>
          <w:b/>
          <w:szCs w:val="24"/>
        </w:rPr>
      </w:pPr>
      <w:r w:rsidRPr="00C95980">
        <w:rPr>
          <w:b/>
          <w:szCs w:val="24"/>
        </w:rPr>
        <w:t>Unusual problems requiring specialized sampling procedures, and</w:t>
      </w:r>
    </w:p>
    <w:p w14:paraId="36CAFC43" w14:textId="2023B1E8" w:rsidR="00D305A9" w:rsidRDefault="00B06525" w:rsidP="00D305A9">
      <w:pPr>
        <w:numPr>
          <w:ilvl w:val="0"/>
          <w:numId w:val="16"/>
        </w:numPr>
        <w:tabs>
          <w:tab w:val="clear" w:pos="360"/>
          <w:tab w:val="left" w:pos="0"/>
          <w:tab w:val="num" w:pos="1080"/>
        </w:tabs>
        <w:spacing w:line="240" w:lineRule="auto"/>
        <w:ind w:left="1080"/>
      </w:pPr>
      <w:r w:rsidRPr="005E2364">
        <w:rPr>
          <w:b/>
          <w:szCs w:val="24"/>
        </w:rPr>
        <w:t>Any use of periodic (less frequent than annual) data collection cycles to reduce burden.</w:t>
      </w:r>
    </w:p>
    <w:p w14:paraId="5FDF19B8" w14:textId="51EA7606" w:rsidR="00711953" w:rsidRDefault="00840141" w:rsidP="00D305A9">
      <w:r>
        <w:t xml:space="preserve">The information will be collected </w:t>
      </w:r>
      <w:r w:rsidR="002F7EF6">
        <w:t xml:space="preserve">primarily </w:t>
      </w:r>
      <w:r>
        <w:t xml:space="preserve">with web surveys. The respondents will have at least 10 weeks to complete a survey, which allows time to plan their approach to the survey. Some respondents may ask </w:t>
      </w:r>
      <w:r w:rsidR="002F7EF6">
        <w:t xml:space="preserve">other </w:t>
      </w:r>
      <w:r>
        <w:t xml:space="preserve">staff members to complete different sections of the survey, </w:t>
      </w:r>
      <w:r>
        <w:lastRenderedPageBreak/>
        <w:t>which is facilitated by forwarding the survey link. Respondents will receive reminder emails and calls from trained survey support personnel. Respondents may also call and/or email for help</w:t>
      </w:r>
      <w:r w:rsidR="00140363">
        <w:t>,</w:t>
      </w:r>
      <w:r>
        <w:t xml:space="preserve"> from trained personnel</w:t>
      </w:r>
      <w:r w:rsidR="00140363">
        <w:t>,</w:t>
      </w:r>
      <w:r>
        <w:t xml:space="preserve"> in completing their survey or with technical issues.  </w:t>
      </w:r>
      <w:r w:rsidR="002F7EF6">
        <w:t xml:space="preserve">If desired, respondents can complete some questions on the phone because the trained support personnel have access to the </w:t>
      </w:r>
      <w:r w:rsidR="00140363">
        <w:t>respondent’s</w:t>
      </w:r>
      <w:r w:rsidR="002F7EF6">
        <w:t xml:space="preserve"> survey during phone calls via computer-assisted telephone interview software. </w:t>
      </w:r>
    </w:p>
    <w:p w14:paraId="6897E12E" w14:textId="26D54C5C" w:rsidR="00711953" w:rsidRPr="00D305A9" w:rsidRDefault="00711953" w:rsidP="001A46F4">
      <w:pPr>
        <w:pStyle w:val="Normalcontinued"/>
        <w:spacing w:before="120"/>
        <w:rPr>
          <w:b/>
          <w:szCs w:val="24"/>
        </w:rPr>
      </w:pPr>
      <w:r w:rsidRPr="00C95980">
        <w:rPr>
          <w:b/>
          <w:szCs w:val="24"/>
        </w:rPr>
        <w:t>Degree of accuracy needed for the purpose described in the justification</w:t>
      </w:r>
    </w:p>
    <w:p w14:paraId="09619FBC" w14:textId="243C62B2" w:rsidR="00B06525" w:rsidRPr="00C95980" w:rsidRDefault="00F43803" w:rsidP="00D305A9">
      <w:r>
        <w:t xml:space="preserve">FNS requires that the </w:t>
      </w:r>
      <w:r w:rsidR="00447801">
        <w:t xml:space="preserve">survey sample design will </w:t>
      </w:r>
      <w:r>
        <w:t xml:space="preserve">result in a nationally representative sample of SFAs and number of students participating in the NSLP and the SBP. Additionally, FNS requires </w:t>
      </w:r>
      <w:r w:rsidR="00B06525" w:rsidRPr="00802CE8">
        <w:t>population</w:t>
      </w:r>
      <w:r w:rsidR="00AD6261">
        <w:t xml:space="preserve"> point-in-time</w:t>
      </w:r>
      <w:r w:rsidR="00B06525" w:rsidRPr="00802CE8">
        <w:t xml:space="preserve"> estimates with a precision of ±5 percent</w:t>
      </w:r>
      <w:r>
        <w:t>age points</w:t>
      </w:r>
      <w:r w:rsidR="00B06525" w:rsidRPr="00802CE8">
        <w:t xml:space="preserve"> at the 95 percent level of confidence and </w:t>
      </w:r>
      <w:r>
        <w:t>±10</w:t>
      </w:r>
      <w:r w:rsidRPr="00802CE8">
        <w:t xml:space="preserve"> percent</w:t>
      </w:r>
      <w:r>
        <w:t xml:space="preserve">age points at the 95 percent level of confidence for </w:t>
      </w:r>
      <w:r w:rsidR="00B06525" w:rsidRPr="00802CE8">
        <w:t>subgroups of SFAs</w:t>
      </w:r>
      <w:r w:rsidR="008A2B46">
        <w:t xml:space="preserve">. </w:t>
      </w:r>
      <w:r>
        <w:t xml:space="preserve">The primary subgroups of interest will be defined by the size of SFA in terms of the number of students, the location of the SFA in terms of </w:t>
      </w:r>
      <w:proofErr w:type="spellStart"/>
      <w:r w:rsidR="00E51DAC">
        <w:t>urbanicity</w:t>
      </w:r>
      <w:proofErr w:type="spellEnd"/>
      <w:r w:rsidR="00E51DAC">
        <w:t xml:space="preserve"> as defined by the CCD, the poverty of the SFA in terms of the percentage of students eligible for FRP meals, and the location of the SFA in terms of geographic region as defined by FNS.</w:t>
      </w:r>
      <w:r>
        <w:t xml:space="preserve"> </w:t>
      </w:r>
      <w:r w:rsidR="00E51DAC">
        <w:t xml:space="preserve">Additionally, FNS requires </w:t>
      </w:r>
      <w:r w:rsidR="008A2B46">
        <w:t xml:space="preserve">precision to </w:t>
      </w:r>
      <w:r w:rsidR="00AD6261">
        <w:t xml:space="preserve">detect differences between year-to-year estimates </w:t>
      </w:r>
      <w:r w:rsidR="00E51DAC">
        <w:t xml:space="preserve">of </w:t>
      </w:r>
      <w:r w:rsidR="00E51DAC" w:rsidRPr="00802CE8">
        <w:t>±</w:t>
      </w:r>
      <w:r w:rsidR="00E51DAC">
        <w:t>10 percentage points at the 95 percent level of confidence</w:t>
      </w:r>
      <w:r w:rsidR="005768AF">
        <w:t>.</w:t>
      </w:r>
      <w:r w:rsidR="00B06525" w:rsidRPr="00094DFB">
        <w:t xml:space="preserve"> </w:t>
      </w:r>
      <w:r w:rsidR="00A332C8" w:rsidRPr="00094DFB">
        <w:t xml:space="preserve">Within </w:t>
      </w:r>
      <w:r w:rsidR="00B06525" w:rsidRPr="00094DFB">
        <w:t>simple random sampling, th</w:t>
      </w:r>
      <w:r w:rsidR="00E51DAC">
        <w:t xml:space="preserve">ese requirements </w:t>
      </w:r>
      <w:r w:rsidR="00B06525" w:rsidRPr="00094DFB">
        <w:t>translate to sample size</w:t>
      </w:r>
      <w:r w:rsidR="00E51DAC">
        <w:t>s</w:t>
      </w:r>
      <w:r w:rsidR="00B06525" w:rsidRPr="00094DFB">
        <w:t xml:space="preserve"> of 400</w:t>
      </w:r>
      <w:r w:rsidR="00656C59">
        <w:t>–</w:t>
      </w:r>
      <w:r w:rsidR="00B06525" w:rsidRPr="00094DFB">
        <w:t>500 responding SFAs for each su</w:t>
      </w:r>
      <w:r w:rsidR="00181A05" w:rsidRPr="00C95980">
        <w:t xml:space="preserve">bgroup. For example, with four </w:t>
      </w:r>
      <w:r w:rsidR="00B06525" w:rsidRPr="00C95980">
        <w:t>key subgroups of roughly equal size, the total sample size</w:t>
      </w:r>
      <w:r w:rsidR="00A332C8" w:rsidRPr="00C95980">
        <w:t xml:space="preserve"> required to meet the </w:t>
      </w:r>
      <w:r w:rsidR="008E16C6">
        <w:t>required</w:t>
      </w:r>
      <w:r w:rsidR="008E16C6" w:rsidRPr="00C95980">
        <w:t xml:space="preserve"> </w:t>
      </w:r>
      <w:r w:rsidR="00A332C8" w:rsidRPr="00C95980">
        <w:t>precision</w:t>
      </w:r>
      <w:r w:rsidR="00B06525" w:rsidRPr="00C95980">
        <w:t xml:space="preserve"> would range from 1,</w:t>
      </w:r>
      <w:r w:rsidR="0044467C" w:rsidRPr="00C95980">
        <w:t>750</w:t>
      </w:r>
      <w:r w:rsidR="00656C59">
        <w:t>–</w:t>
      </w:r>
      <w:r w:rsidR="0044467C" w:rsidRPr="00C95980">
        <w:t>2,000</w:t>
      </w:r>
      <w:r w:rsidR="00B06525" w:rsidRPr="00C95980">
        <w:t xml:space="preserve"> SFAs</w:t>
      </w:r>
      <w:r w:rsidR="00A332C8" w:rsidRPr="00C95980">
        <w:t>.</w:t>
      </w:r>
      <w:r w:rsidR="00B06525" w:rsidRPr="00C95980">
        <w:t xml:space="preserve"> In general, however, simple random sampling is not efficient for the multiple analytic objectives of the study. For example, while a simple random (or self-weighting) sample would be optimal for estimating the overall </w:t>
      </w:r>
      <w:r w:rsidR="00D37424">
        <w:t>proportion</w:t>
      </w:r>
      <w:r w:rsidR="00B06525" w:rsidRPr="00C95980">
        <w:t xml:space="preserve"> of SFAs reporting various types of food service practices or programs, it </w:t>
      </w:r>
      <w:r w:rsidR="00D07191" w:rsidRPr="00C95980">
        <w:t>would</w:t>
      </w:r>
      <w:r w:rsidR="00B06525" w:rsidRPr="00C95980">
        <w:t xml:space="preserve"> be inefficient for </w:t>
      </w:r>
      <w:r w:rsidR="00B06525" w:rsidRPr="00C95980">
        <w:lastRenderedPageBreak/>
        <w:t xml:space="preserve">estimating the </w:t>
      </w:r>
      <w:r w:rsidR="00B06525" w:rsidRPr="00C95980">
        <w:rPr>
          <w:i/>
        </w:rPr>
        <w:t>number of students</w:t>
      </w:r>
      <w:r w:rsidR="00B06525" w:rsidRPr="00C95980">
        <w:t xml:space="preserve"> involved in these types of services or programs. A stratified sample design </w:t>
      </w:r>
      <w:r w:rsidR="00920479">
        <w:t xml:space="preserve">that </w:t>
      </w:r>
      <w:r w:rsidR="00D37424">
        <w:t xml:space="preserve">also </w:t>
      </w:r>
      <w:r w:rsidR="00920479">
        <w:t>account</w:t>
      </w:r>
      <w:r w:rsidR="008A2B46">
        <w:t>s</w:t>
      </w:r>
      <w:r w:rsidR="00920479">
        <w:t xml:space="preserve"> for</w:t>
      </w:r>
      <w:r w:rsidR="00B06525" w:rsidRPr="00C95980">
        <w:t xml:space="preserve"> the size of the SFA</w:t>
      </w:r>
      <w:r w:rsidR="008E16C6">
        <w:t xml:space="preserve">, as measured by the number of </w:t>
      </w:r>
      <w:proofErr w:type="gramStart"/>
      <w:r w:rsidR="008E16C6">
        <w:t>students,</w:t>
      </w:r>
      <w:proofErr w:type="gramEnd"/>
      <w:r w:rsidR="00B06525" w:rsidRPr="00C95980">
        <w:t xml:space="preserve"> </w:t>
      </w:r>
      <w:r w:rsidR="00D37424">
        <w:t xml:space="preserve">is necessary to </w:t>
      </w:r>
      <w:r w:rsidR="00B06525" w:rsidRPr="00C95980">
        <w:t xml:space="preserve">meet these </w:t>
      </w:r>
      <w:r w:rsidR="004B0EEB">
        <w:t>competing</w:t>
      </w:r>
      <w:r w:rsidR="004B0EEB" w:rsidRPr="00C95980">
        <w:t xml:space="preserve"> </w:t>
      </w:r>
      <w:r w:rsidR="00B06525" w:rsidRPr="00C95980">
        <w:t xml:space="preserve">objectives. Stratification not only helps to ensure that adequate sample sizes are obtained for important analytic subgroups of interest, but </w:t>
      </w:r>
      <w:r w:rsidR="008C1ED3">
        <w:t xml:space="preserve">it </w:t>
      </w:r>
      <w:r w:rsidR="00B06525" w:rsidRPr="00C95980">
        <w:t>can also be effective in reducing the sampling errors of estimates that are correlated with enrollment size.</w:t>
      </w:r>
    </w:p>
    <w:p w14:paraId="0139AE9E" w14:textId="7E8AAAC2" w:rsidR="00F15AF2" w:rsidRDefault="00B06525" w:rsidP="00C677AC">
      <w:pPr>
        <w:pStyle w:val="Normalcontinued"/>
        <w:spacing w:before="120"/>
        <w:rPr>
          <w:szCs w:val="24"/>
        </w:rPr>
      </w:pPr>
      <w:r w:rsidRPr="006F3693">
        <w:rPr>
          <w:szCs w:val="24"/>
        </w:rPr>
        <w:t xml:space="preserve">A stratified sampling design </w:t>
      </w:r>
      <w:r w:rsidR="00C27005">
        <w:rPr>
          <w:szCs w:val="24"/>
        </w:rPr>
        <w:t>that employs</w:t>
      </w:r>
      <w:r w:rsidR="00C27005" w:rsidRPr="006F3693">
        <w:rPr>
          <w:szCs w:val="24"/>
        </w:rPr>
        <w:t xml:space="preserve"> </w:t>
      </w:r>
      <w:r w:rsidRPr="006F3693">
        <w:rPr>
          <w:szCs w:val="24"/>
        </w:rPr>
        <w:t xml:space="preserve">varying sampling </w:t>
      </w:r>
      <w:r w:rsidR="00447801">
        <w:rPr>
          <w:szCs w:val="24"/>
        </w:rPr>
        <w:t>probabilities</w:t>
      </w:r>
      <w:r w:rsidRPr="006F3693">
        <w:rPr>
          <w:szCs w:val="24"/>
        </w:rPr>
        <w:t xml:space="preserve"> </w:t>
      </w:r>
      <w:r w:rsidR="00D07191" w:rsidRPr="00A8224A">
        <w:rPr>
          <w:szCs w:val="24"/>
        </w:rPr>
        <w:t>w</w:t>
      </w:r>
      <w:r w:rsidR="00D37424">
        <w:rPr>
          <w:szCs w:val="24"/>
        </w:rPr>
        <w:t>ill be</w:t>
      </w:r>
      <w:r w:rsidRPr="00A8224A">
        <w:rPr>
          <w:szCs w:val="24"/>
        </w:rPr>
        <w:t xml:space="preserve"> used to select the SFA sample for the study. </w:t>
      </w:r>
      <w:r w:rsidR="00C27005">
        <w:rPr>
          <w:szCs w:val="24"/>
        </w:rPr>
        <w:t>This</w:t>
      </w:r>
      <w:r w:rsidRPr="00A8224A">
        <w:rPr>
          <w:szCs w:val="24"/>
        </w:rPr>
        <w:t xml:space="preserve"> design will generally inflate the standard errors of estimates as compared with simple random sampling</w:t>
      </w:r>
      <w:r w:rsidR="00FB7FB8" w:rsidRPr="00802CE8">
        <w:rPr>
          <w:szCs w:val="24"/>
        </w:rPr>
        <w:t>,</w:t>
      </w:r>
      <w:r w:rsidRPr="00802CE8">
        <w:rPr>
          <w:szCs w:val="24"/>
        </w:rPr>
        <w:t xml:space="preserve"> but </w:t>
      </w:r>
      <w:r w:rsidR="001E69D8">
        <w:rPr>
          <w:szCs w:val="24"/>
        </w:rPr>
        <w:t xml:space="preserve">it </w:t>
      </w:r>
      <w:r w:rsidRPr="00802CE8">
        <w:rPr>
          <w:szCs w:val="24"/>
        </w:rPr>
        <w:t xml:space="preserve">is justifiable for </w:t>
      </w:r>
      <w:r w:rsidR="00FB7FB8" w:rsidRPr="00094DFB">
        <w:rPr>
          <w:szCs w:val="24"/>
        </w:rPr>
        <w:t xml:space="preserve">the </w:t>
      </w:r>
      <w:r w:rsidRPr="00094DFB">
        <w:rPr>
          <w:szCs w:val="24"/>
        </w:rPr>
        <w:t xml:space="preserve">reasons mentioned above. A measure of the relative precision of a complex sample design is given by the design effect (DEFF), which is defined </w:t>
      </w:r>
      <w:r w:rsidR="00FB7FB8" w:rsidRPr="00C95980">
        <w:rPr>
          <w:szCs w:val="24"/>
        </w:rPr>
        <w:t>as</w:t>
      </w:r>
      <w:r w:rsidRPr="00C95980">
        <w:rPr>
          <w:szCs w:val="24"/>
        </w:rPr>
        <w:t xml:space="preserve"> the ratio of the variance of an estimate based on the complex sample design to the hypothetical variance based on a simple random sample of the same size. </w:t>
      </w:r>
      <w:r w:rsidR="005C6C52" w:rsidRPr="005C6C52">
        <w:rPr>
          <w:szCs w:val="24"/>
        </w:rPr>
        <w:t>The design effect is not a fixed characteristic of the sample but one that differs from variable to variable</w:t>
      </w:r>
      <w:r w:rsidR="005C6C52">
        <w:rPr>
          <w:szCs w:val="24"/>
        </w:rPr>
        <w:t xml:space="preserve">. </w:t>
      </w:r>
      <w:proofErr w:type="gramStart"/>
      <w:r w:rsidRPr="00C95980">
        <w:rPr>
          <w:szCs w:val="24"/>
        </w:rPr>
        <w:t xml:space="preserve">A </w:t>
      </w:r>
      <w:r w:rsidR="00451B36">
        <w:rPr>
          <w:szCs w:val="24"/>
        </w:rPr>
        <w:t>DEFF</w:t>
      </w:r>
      <w:r w:rsidRPr="00C95980">
        <w:rPr>
          <w:szCs w:val="24"/>
        </w:rPr>
        <w:t xml:space="preserve"> of 1.00 </w:t>
      </w:r>
      <w:r w:rsidR="00160B82">
        <w:rPr>
          <w:szCs w:val="24"/>
        </w:rPr>
        <w:t xml:space="preserve">for a variable </w:t>
      </w:r>
      <w:r w:rsidRPr="00C95980">
        <w:rPr>
          <w:szCs w:val="24"/>
        </w:rPr>
        <w:t>means that the complex sample is roughly equivalent to a simple random sample in terms of</w:t>
      </w:r>
      <w:r w:rsidR="00160B82">
        <w:rPr>
          <w:szCs w:val="24"/>
        </w:rPr>
        <w:t xml:space="preserve"> </w:t>
      </w:r>
      <w:r w:rsidRPr="00C95980">
        <w:rPr>
          <w:szCs w:val="24"/>
        </w:rPr>
        <w:t>precision</w:t>
      </w:r>
      <w:r w:rsidR="00160B82">
        <w:rPr>
          <w:szCs w:val="24"/>
        </w:rPr>
        <w:t>.</w:t>
      </w:r>
      <w:proofErr w:type="gramEnd"/>
      <w:r w:rsidR="00D37424">
        <w:rPr>
          <w:szCs w:val="24"/>
        </w:rPr>
        <w:t xml:space="preserve"> A</w:t>
      </w:r>
      <w:r w:rsidRPr="00C95980">
        <w:rPr>
          <w:szCs w:val="24"/>
        </w:rPr>
        <w:t xml:space="preserve"> </w:t>
      </w:r>
      <w:r w:rsidR="00451B36">
        <w:rPr>
          <w:szCs w:val="24"/>
        </w:rPr>
        <w:t>DEFF</w:t>
      </w:r>
      <w:r w:rsidRPr="00C95980">
        <w:rPr>
          <w:szCs w:val="24"/>
        </w:rPr>
        <w:t xml:space="preserve"> less than 1.00 can sometimes occur if the sampling rates in some strata are very high</w:t>
      </w:r>
      <w:r w:rsidR="004E729A" w:rsidRPr="00C95980">
        <w:rPr>
          <w:szCs w:val="24"/>
        </w:rPr>
        <w:t xml:space="preserve">, resulting in </w:t>
      </w:r>
      <w:r w:rsidR="009512D2" w:rsidRPr="00C95980">
        <w:rPr>
          <w:szCs w:val="24"/>
        </w:rPr>
        <w:t>non-negligible</w:t>
      </w:r>
      <w:r w:rsidR="00FB7FB8" w:rsidRPr="00C95980">
        <w:rPr>
          <w:szCs w:val="24"/>
        </w:rPr>
        <w:t>,</w:t>
      </w:r>
      <w:r w:rsidR="009512D2" w:rsidRPr="00C95980">
        <w:rPr>
          <w:szCs w:val="24"/>
        </w:rPr>
        <w:t xml:space="preserve"> finite population correction factors</w:t>
      </w:r>
      <w:r w:rsidR="00901491">
        <w:rPr>
          <w:szCs w:val="24"/>
        </w:rPr>
        <w:t>.</w:t>
      </w:r>
      <w:r w:rsidRPr="00C95980">
        <w:rPr>
          <w:szCs w:val="24"/>
        </w:rPr>
        <w:t xml:space="preserve"> </w:t>
      </w:r>
      <w:r w:rsidR="00D37424" w:rsidRPr="00D37424">
        <w:rPr>
          <w:szCs w:val="24"/>
        </w:rPr>
        <w:t xml:space="preserve">A </w:t>
      </w:r>
      <w:r w:rsidR="006D4103">
        <w:rPr>
          <w:szCs w:val="24"/>
        </w:rPr>
        <w:t xml:space="preserve">DEFF </w:t>
      </w:r>
      <w:r w:rsidR="00D37424" w:rsidRPr="00D37424">
        <w:rPr>
          <w:szCs w:val="24"/>
        </w:rPr>
        <w:t xml:space="preserve">of 2 means that </w:t>
      </w:r>
      <w:r w:rsidR="00522F7B">
        <w:rPr>
          <w:szCs w:val="24"/>
        </w:rPr>
        <w:t xml:space="preserve">the </w:t>
      </w:r>
      <w:r w:rsidR="00D37424">
        <w:rPr>
          <w:szCs w:val="24"/>
        </w:rPr>
        <w:t xml:space="preserve">sample would </w:t>
      </w:r>
      <w:r w:rsidR="00D37424" w:rsidRPr="00D37424">
        <w:rPr>
          <w:szCs w:val="24"/>
        </w:rPr>
        <w:t xml:space="preserve">need to </w:t>
      </w:r>
      <w:r w:rsidR="00D37424">
        <w:rPr>
          <w:szCs w:val="24"/>
        </w:rPr>
        <w:t xml:space="preserve">be </w:t>
      </w:r>
      <w:r w:rsidR="00D37424" w:rsidRPr="00D37424">
        <w:rPr>
          <w:szCs w:val="24"/>
        </w:rPr>
        <w:t>twice the size of a simple random sample</w:t>
      </w:r>
      <w:r w:rsidR="00D37424">
        <w:rPr>
          <w:szCs w:val="24"/>
        </w:rPr>
        <w:t>, while</w:t>
      </w:r>
      <w:r w:rsidR="00D37424" w:rsidRPr="00D37424">
        <w:rPr>
          <w:szCs w:val="24"/>
        </w:rPr>
        <w:t xml:space="preserve"> a </w:t>
      </w:r>
      <w:r w:rsidR="006D4103">
        <w:rPr>
          <w:szCs w:val="24"/>
        </w:rPr>
        <w:t>DEFF</w:t>
      </w:r>
      <w:r w:rsidR="00D37424" w:rsidRPr="00D37424">
        <w:rPr>
          <w:szCs w:val="24"/>
        </w:rPr>
        <w:t xml:space="preserve"> of 0.5 means that </w:t>
      </w:r>
      <w:r w:rsidR="00D37424">
        <w:rPr>
          <w:szCs w:val="24"/>
        </w:rPr>
        <w:t xml:space="preserve">the sample would need to be just </w:t>
      </w:r>
      <w:r w:rsidR="00D37424" w:rsidRPr="00D37424">
        <w:rPr>
          <w:szCs w:val="24"/>
        </w:rPr>
        <w:t xml:space="preserve">half the size of a simple random sample. </w:t>
      </w:r>
      <w:r w:rsidRPr="00C95980">
        <w:rPr>
          <w:szCs w:val="24"/>
        </w:rPr>
        <w:t xml:space="preserve">Under the proposed design, we have estimated that the resulting </w:t>
      </w:r>
      <w:r w:rsidR="00451B36">
        <w:rPr>
          <w:szCs w:val="24"/>
        </w:rPr>
        <w:t>DEFFs</w:t>
      </w:r>
      <w:r w:rsidRPr="00C95980">
        <w:rPr>
          <w:szCs w:val="24"/>
        </w:rPr>
        <w:t xml:space="preserve"> will range from </w:t>
      </w:r>
      <w:r w:rsidR="001368EB" w:rsidRPr="00C95980">
        <w:rPr>
          <w:szCs w:val="24"/>
        </w:rPr>
        <w:t>0.17 to 1.46</w:t>
      </w:r>
      <w:r w:rsidR="001D12D4">
        <w:rPr>
          <w:szCs w:val="24"/>
        </w:rPr>
        <w:t xml:space="preserve"> across subgroups</w:t>
      </w:r>
      <w:r w:rsidR="004B0EEB">
        <w:rPr>
          <w:szCs w:val="24"/>
        </w:rPr>
        <w:t xml:space="preserve">; given we are expecting to </w:t>
      </w:r>
      <w:r w:rsidR="00D37424">
        <w:rPr>
          <w:szCs w:val="24"/>
        </w:rPr>
        <w:t xml:space="preserve">select </w:t>
      </w:r>
      <w:r w:rsidR="004B0EEB">
        <w:rPr>
          <w:szCs w:val="24"/>
        </w:rPr>
        <w:t xml:space="preserve">most of the SFAs in some of the strata, the design effects for some of the subgroups </w:t>
      </w:r>
      <w:r w:rsidR="00D173B0">
        <w:rPr>
          <w:szCs w:val="24"/>
        </w:rPr>
        <w:t xml:space="preserve">will be </w:t>
      </w:r>
      <w:r w:rsidR="004B0EEB">
        <w:rPr>
          <w:szCs w:val="24"/>
        </w:rPr>
        <w:t>less than one.</w:t>
      </w:r>
      <w:r w:rsidR="00014151">
        <w:rPr>
          <w:szCs w:val="24"/>
        </w:rPr>
        <w:t xml:space="preserve"> As shown in Table B</w:t>
      </w:r>
      <w:r w:rsidR="00AD6261">
        <w:rPr>
          <w:szCs w:val="24"/>
        </w:rPr>
        <w:t>2</w:t>
      </w:r>
      <w:r w:rsidR="00014151">
        <w:rPr>
          <w:szCs w:val="24"/>
        </w:rPr>
        <w:t xml:space="preserve">, </w:t>
      </w:r>
      <w:r w:rsidR="00064564">
        <w:rPr>
          <w:szCs w:val="24"/>
        </w:rPr>
        <w:t xml:space="preserve">based on </w:t>
      </w:r>
      <w:r w:rsidR="00014151">
        <w:rPr>
          <w:szCs w:val="24"/>
        </w:rPr>
        <w:t>th</w:t>
      </w:r>
      <w:r w:rsidRPr="00802CE8">
        <w:rPr>
          <w:szCs w:val="24"/>
        </w:rPr>
        <w:t xml:space="preserve">e expected margins of error </w:t>
      </w:r>
      <w:r w:rsidR="00C27005">
        <w:rPr>
          <w:szCs w:val="24"/>
        </w:rPr>
        <w:t>for the</w:t>
      </w:r>
      <w:r w:rsidR="00D37424">
        <w:rPr>
          <w:szCs w:val="24"/>
        </w:rPr>
        <w:t xml:space="preserve"> estimate</w:t>
      </w:r>
      <w:r w:rsidR="00CE0B5E">
        <w:rPr>
          <w:szCs w:val="24"/>
        </w:rPr>
        <w:t>s</w:t>
      </w:r>
      <w:r w:rsidR="00D37424">
        <w:rPr>
          <w:szCs w:val="24"/>
        </w:rPr>
        <w:t xml:space="preserve"> o</w:t>
      </w:r>
      <w:r w:rsidR="00CE0B5E">
        <w:rPr>
          <w:szCs w:val="24"/>
        </w:rPr>
        <w:t>f</w:t>
      </w:r>
      <w:r w:rsidR="00D37424">
        <w:rPr>
          <w:szCs w:val="24"/>
        </w:rPr>
        <w:t xml:space="preserve"> proportion</w:t>
      </w:r>
      <w:r w:rsidR="00CE0B5E">
        <w:rPr>
          <w:szCs w:val="24"/>
        </w:rPr>
        <w:t>s for the population and for key subgroups</w:t>
      </w:r>
      <w:r w:rsidRPr="00802CE8">
        <w:rPr>
          <w:szCs w:val="24"/>
        </w:rPr>
        <w:t>, a total SFA sample size of 1,</w:t>
      </w:r>
      <w:r w:rsidR="001368EB" w:rsidRPr="00094DFB">
        <w:rPr>
          <w:szCs w:val="24"/>
        </w:rPr>
        <w:t>750</w:t>
      </w:r>
      <w:r w:rsidRPr="00094DFB">
        <w:rPr>
          <w:szCs w:val="24"/>
        </w:rPr>
        <w:t xml:space="preserve"> responding SFAs </w:t>
      </w:r>
      <w:r w:rsidR="00CE0B5E">
        <w:rPr>
          <w:szCs w:val="24"/>
        </w:rPr>
        <w:t xml:space="preserve">will be </w:t>
      </w:r>
      <w:r w:rsidRPr="00094DFB">
        <w:rPr>
          <w:szCs w:val="24"/>
        </w:rPr>
        <w:t>adequate to meet or exceed the ±5 percent</w:t>
      </w:r>
      <w:r w:rsidR="00160B82">
        <w:rPr>
          <w:szCs w:val="24"/>
        </w:rPr>
        <w:t xml:space="preserve">age </w:t>
      </w:r>
      <w:proofErr w:type="gramStart"/>
      <w:r w:rsidR="00160B82">
        <w:rPr>
          <w:szCs w:val="24"/>
        </w:rPr>
        <w:t>points</w:t>
      </w:r>
      <w:proofErr w:type="gramEnd"/>
      <w:r w:rsidRPr="00094DFB">
        <w:rPr>
          <w:szCs w:val="24"/>
        </w:rPr>
        <w:t xml:space="preserve"> precision </w:t>
      </w:r>
      <w:r w:rsidRPr="00094DFB">
        <w:rPr>
          <w:szCs w:val="24"/>
        </w:rPr>
        <w:lastRenderedPageBreak/>
        <w:t>requirement</w:t>
      </w:r>
      <w:r w:rsidR="00064564">
        <w:rPr>
          <w:szCs w:val="24"/>
        </w:rPr>
        <w:t xml:space="preserve"> for point-</w:t>
      </w:r>
      <w:r w:rsidR="00AD6261">
        <w:rPr>
          <w:szCs w:val="24"/>
        </w:rPr>
        <w:t>in</w:t>
      </w:r>
      <w:r w:rsidR="00064564">
        <w:rPr>
          <w:szCs w:val="24"/>
        </w:rPr>
        <w:t>-</w:t>
      </w:r>
      <w:r w:rsidR="00AD6261">
        <w:rPr>
          <w:szCs w:val="24"/>
        </w:rPr>
        <w:t>time estimates</w:t>
      </w:r>
      <w:r w:rsidR="00160B82">
        <w:rPr>
          <w:szCs w:val="24"/>
        </w:rPr>
        <w:t xml:space="preserve">. Similarly, the minimum detectible difference </w:t>
      </w:r>
      <w:r w:rsidR="006F1DA8">
        <w:rPr>
          <w:szCs w:val="24"/>
        </w:rPr>
        <w:t xml:space="preserve">(MDD) </w:t>
      </w:r>
      <w:r w:rsidR="00160B82">
        <w:rPr>
          <w:szCs w:val="24"/>
        </w:rPr>
        <w:t>is less than 10 percentage points for all subgroups</w:t>
      </w:r>
      <w:r w:rsidR="00FB7FB8" w:rsidRPr="00C95980">
        <w:rPr>
          <w:szCs w:val="24"/>
        </w:rPr>
        <w:t>,</w:t>
      </w:r>
      <w:r w:rsidR="00AD6261">
        <w:rPr>
          <w:szCs w:val="24"/>
        </w:rPr>
        <w:t xml:space="preserve"> </w:t>
      </w:r>
      <w:r w:rsidR="00160B82">
        <w:rPr>
          <w:szCs w:val="24"/>
        </w:rPr>
        <w:t xml:space="preserve">indicating that the responding sample will meet the precision for </w:t>
      </w:r>
      <w:r w:rsidR="00AD6261">
        <w:rPr>
          <w:szCs w:val="24"/>
        </w:rPr>
        <w:t xml:space="preserve">year-to-year differences </w:t>
      </w:r>
      <w:proofErr w:type="gramStart"/>
      <w:r w:rsidR="00160B82">
        <w:rPr>
          <w:szCs w:val="24"/>
        </w:rPr>
        <w:t xml:space="preserve">of </w:t>
      </w:r>
      <w:r w:rsidR="00FB7FB8" w:rsidRPr="00C95980">
        <w:rPr>
          <w:szCs w:val="24"/>
        </w:rPr>
        <w:t xml:space="preserve"> </w:t>
      </w:r>
      <w:r w:rsidR="00AD6261">
        <w:rPr>
          <w:szCs w:val="24"/>
        </w:rPr>
        <w:t>±</w:t>
      </w:r>
      <w:proofErr w:type="gramEnd"/>
      <w:r w:rsidR="00AD6261">
        <w:rPr>
          <w:szCs w:val="24"/>
        </w:rPr>
        <w:t>10</w:t>
      </w:r>
      <w:r w:rsidR="00AD6261" w:rsidRPr="00094DFB">
        <w:rPr>
          <w:szCs w:val="24"/>
        </w:rPr>
        <w:t xml:space="preserve"> percent</w:t>
      </w:r>
      <w:r w:rsidR="00160B82">
        <w:rPr>
          <w:szCs w:val="24"/>
        </w:rPr>
        <w:t>age points</w:t>
      </w:r>
      <w:r w:rsidR="00AD6261" w:rsidRPr="00094DFB">
        <w:rPr>
          <w:szCs w:val="24"/>
        </w:rPr>
        <w:t xml:space="preserve"> </w:t>
      </w:r>
      <w:r w:rsidR="00AD6261">
        <w:rPr>
          <w:szCs w:val="24"/>
        </w:rPr>
        <w:t>across subgroups.</w:t>
      </w:r>
    </w:p>
    <w:p w14:paraId="359E04C2" w14:textId="77777777" w:rsidR="00064564" w:rsidRDefault="00064564" w:rsidP="00C32CAD"/>
    <w:p w14:paraId="0A2967D0" w14:textId="5519D0D6" w:rsidR="00AD6261" w:rsidRDefault="00AD6261" w:rsidP="00C32CAD">
      <w:pPr>
        <w:spacing w:line="240" w:lineRule="auto"/>
        <w:ind w:left="1080" w:hanging="1080"/>
      </w:pPr>
      <w:r w:rsidRPr="00C32CAD">
        <w:t>Table B2.   Expected Precision Levels Based on the Proposed Sample Design for 1,750 Completed SFAs.</w:t>
      </w:r>
    </w:p>
    <w:p w14:paraId="7180482A" w14:textId="77777777" w:rsidR="00064564" w:rsidRPr="00C32CAD" w:rsidRDefault="00064564" w:rsidP="00C32CAD">
      <w:pPr>
        <w:spacing w:line="240" w:lineRule="auto"/>
      </w:pPr>
    </w:p>
    <w:tbl>
      <w:tblPr>
        <w:tblStyle w:val="GridTable4-Accent11"/>
        <w:tblW w:w="8104" w:type="dxa"/>
        <w:jc w:val="center"/>
        <w:tblLook w:val="04A0" w:firstRow="1" w:lastRow="0" w:firstColumn="1" w:lastColumn="0" w:noHBand="0" w:noVBand="1"/>
      </w:tblPr>
      <w:tblGrid>
        <w:gridCol w:w="2072"/>
        <w:gridCol w:w="1530"/>
        <w:gridCol w:w="173"/>
        <w:gridCol w:w="1300"/>
        <w:gridCol w:w="1229"/>
        <w:gridCol w:w="1800"/>
      </w:tblGrid>
      <w:tr w:rsidR="00AD6261" w:rsidRPr="009669DA" w14:paraId="6E515699" w14:textId="77777777" w:rsidTr="00FE7D14">
        <w:trPr>
          <w:cnfStyle w:val="100000000000" w:firstRow="1" w:lastRow="0" w:firstColumn="0" w:lastColumn="0" w:oddVBand="0" w:evenVBand="0" w:oddHBand="0" w:evenHBand="0" w:firstRowFirstColumn="0" w:firstRowLastColumn="0" w:lastRowFirstColumn="0" w:lastRowLastColumn="0"/>
          <w:trHeight w:val="1035"/>
          <w:jc w:val="center"/>
        </w:trPr>
        <w:tc>
          <w:tcPr>
            <w:cnfStyle w:val="001000000000" w:firstRow="0" w:lastRow="0" w:firstColumn="1" w:lastColumn="0" w:oddVBand="0" w:evenVBand="0" w:oddHBand="0" w:evenHBand="0" w:firstRowFirstColumn="0" w:firstRowLastColumn="0" w:lastRowFirstColumn="0" w:lastRowLastColumn="0"/>
            <w:tcW w:w="2072" w:type="dxa"/>
            <w:vAlign w:val="center"/>
            <w:hideMark/>
          </w:tcPr>
          <w:p w14:paraId="615D5689" w14:textId="77777777" w:rsidR="00AD6261" w:rsidRPr="009669DA" w:rsidRDefault="00AD6261" w:rsidP="00FE7D14">
            <w:pPr>
              <w:spacing w:line="240" w:lineRule="auto"/>
              <w:jc w:val="center"/>
              <w:rPr>
                <w:rFonts w:ascii="Calibri" w:eastAsia="Times New Roman" w:hAnsi="Calibri" w:cs="Times New Roman"/>
                <w:sz w:val="20"/>
                <w:szCs w:val="20"/>
              </w:rPr>
            </w:pPr>
            <w:r w:rsidRPr="009669DA">
              <w:rPr>
                <w:rFonts w:ascii="Calibri" w:eastAsia="Times New Roman" w:hAnsi="Calibri" w:cs="Times New Roman"/>
                <w:sz w:val="20"/>
                <w:szCs w:val="20"/>
              </w:rPr>
              <w:t>Domain</w:t>
            </w:r>
          </w:p>
        </w:tc>
        <w:tc>
          <w:tcPr>
            <w:tcW w:w="1530" w:type="dxa"/>
            <w:vAlign w:val="center"/>
            <w:hideMark/>
          </w:tcPr>
          <w:p w14:paraId="54CDB988" w14:textId="77777777" w:rsidR="00AD6261" w:rsidRPr="009669DA" w:rsidRDefault="00AD6261" w:rsidP="00FE7D14">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9669DA">
              <w:rPr>
                <w:rFonts w:ascii="Calibri" w:eastAsia="Times New Roman" w:hAnsi="Calibri" w:cs="Times New Roman"/>
                <w:sz w:val="20"/>
                <w:szCs w:val="20"/>
              </w:rPr>
              <w:t>Population</w:t>
            </w:r>
          </w:p>
        </w:tc>
        <w:tc>
          <w:tcPr>
            <w:tcW w:w="1473" w:type="dxa"/>
            <w:gridSpan w:val="2"/>
            <w:vAlign w:val="center"/>
            <w:hideMark/>
          </w:tcPr>
          <w:p w14:paraId="73538898" w14:textId="77777777" w:rsidR="00AD6261" w:rsidRPr="009669DA" w:rsidRDefault="00AD6261" w:rsidP="00FE7D14">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Completed SFA Interviews</w:t>
            </w:r>
          </w:p>
        </w:tc>
        <w:tc>
          <w:tcPr>
            <w:tcW w:w="1229" w:type="dxa"/>
            <w:vAlign w:val="center"/>
            <w:hideMark/>
          </w:tcPr>
          <w:p w14:paraId="66AC2887" w14:textId="77777777" w:rsidR="00AD6261" w:rsidRPr="009669DA" w:rsidRDefault="00AD6261" w:rsidP="00FE7D14">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Precision for </w:t>
            </w:r>
            <w:r w:rsidRPr="009669DA">
              <w:rPr>
                <w:rFonts w:ascii="Calibri" w:eastAsia="Times New Roman" w:hAnsi="Calibri" w:cs="Times New Roman"/>
                <w:sz w:val="20"/>
                <w:szCs w:val="20"/>
              </w:rPr>
              <w:t>Point in Time</w:t>
            </w:r>
          </w:p>
        </w:tc>
        <w:tc>
          <w:tcPr>
            <w:tcW w:w="1800" w:type="dxa"/>
            <w:vAlign w:val="center"/>
            <w:hideMark/>
          </w:tcPr>
          <w:p w14:paraId="759B9FE0" w14:textId="3AC76724" w:rsidR="00AD6261" w:rsidRPr="009669DA" w:rsidRDefault="00AD6261" w:rsidP="00FE7D14">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831372">
              <w:rPr>
                <w:rFonts w:ascii="Calibri" w:eastAsia="Times New Roman" w:hAnsi="Calibri" w:cs="Times New Roman"/>
                <w:sz w:val="20"/>
                <w:szCs w:val="20"/>
              </w:rPr>
              <w:t>Minimum Detectible Difference (MDD) Year to Year</w:t>
            </w:r>
          </w:p>
        </w:tc>
      </w:tr>
      <w:tr w:rsidR="00AD6261" w:rsidRPr="009669DA" w14:paraId="79FE2C0C" w14:textId="77777777" w:rsidTr="00FE7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41742019" w14:textId="77777777" w:rsidR="00AD6261" w:rsidRPr="009669DA" w:rsidRDefault="00AD6261" w:rsidP="00B9580D">
            <w:pPr>
              <w:spacing w:line="240" w:lineRule="auto"/>
              <w:jc w:val="center"/>
              <w:rPr>
                <w:rFonts w:ascii="Calibri" w:eastAsia="Times New Roman" w:hAnsi="Calibri" w:cs="Times New Roman"/>
                <w:color w:val="000000"/>
                <w:sz w:val="20"/>
                <w:szCs w:val="20"/>
              </w:rPr>
            </w:pPr>
          </w:p>
        </w:tc>
        <w:tc>
          <w:tcPr>
            <w:tcW w:w="1703" w:type="dxa"/>
            <w:gridSpan w:val="2"/>
            <w:noWrap/>
            <w:vAlign w:val="center"/>
            <w:hideMark/>
          </w:tcPr>
          <w:p w14:paraId="1F0023F2" w14:textId="77777777" w:rsidR="00AD6261" w:rsidRPr="009669DA"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p>
        </w:tc>
        <w:tc>
          <w:tcPr>
            <w:tcW w:w="1300" w:type="dxa"/>
            <w:noWrap/>
            <w:vAlign w:val="center"/>
            <w:hideMark/>
          </w:tcPr>
          <w:p w14:paraId="636FAB9E" w14:textId="77777777" w:rsidR="00AD6261" w:rsidRPr="009669DA"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p>
        </w:tc>
        <w:tc>
          <w:tcPr>
            <w:tcW w:w="1229" w:type="dxa"/>
            <w:noWrap/>
            <w:vAlign w:val="center"/>
            <w:hideMark/>
          </w:tcPr>
          <w:p w14:paraId="4E17A8C9" w14:textId="77777777" w:rsidR="00AD6261" w:rsidRPr="009669DA" w:rsidRDefault="00AD6261" w:rsidP="00FE7D1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p>
        </w:tc>
        <w:tc>
          <w:tcPr>
            <w:tcW w:w="1800" w:type="dxa"/>
            <w:noWrap/>
            <w:vAlign w:val="center"/>
            <w:hideMark/>
          </w:tcPr>
          <w:p w14:paraId="7CB2FF6E" w14:textId="77777777" w:rsidR="00AD6261" w:rsidRPr="009669DA"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p>
        </w:tc>
      </w:tr>
      <w:tr w:rsidR="00AD6261" w:rsidRPr="009669DA" w14:paraId="38C06831" w14:textId="77777777" w:rsidTr="00FE7D14">
        <w:trPr>
          <w:trHeight w:val="30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26ECC9C3" w14:textId="77777777" w:rsidR="00AD6261" w:rsidRPr="0072305E" w:rsidRDefault="00AD6261" w:rsidP="00B9580D">
            <w:pPr>
              <w:spacing w:line="240" w:lineRule="auto"/>
              <w:jc w:val="center"/>
              <w:rPr>
                <w:rFonts w:asciiTheme="majorHAnsi" w:eastAsia="Times New Roman" w:hAnsiTheme="majorHAnsi" w:cstheme="majorHAnsi"/>
                <w:color w:val="000000"/>
                <w:sz w:val="20"/>
                <w:szCs w:val="20"/>
              </w:rPr>
            </w:pPr>
            <w:r w:rsidRPr="0072305E">
              <w:rPr>
                <w:rFonts w:asciiTheme="majorHAnsi" w:eastAsia="Times New Roman" w:hAnsiTheme="majorHAnsi" w:cstheme="majorHAnsi"/>
                <w:color w:val="000000"/>
                <w:sz w:val="20"/>
                <w:szCs w:val="20"/>
              </w:rPr>
              <w:t>Small</w:t>
            </w:r>
          </w:p>
        </w:tc>
        <w:tc>
          <w:tcPr>
            <w:tcW w:w="1703" w:type="dxa"/>
            <w:gridSpan w:val="2"/>
            <w:noWrap/>
            <w:vAlign w:val="center"/>
            <w:hideMark/>
          </w:tcPr>
          <w:p w14:paraId="65050BFD" w14:textId="77777777" w:rsidR="00AD6261" w:rsidRPr="00D83279"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3279">
              <w:rPr>
                <w:rFonts w:cstheme="minorHAnsi"/>
                <w:sz w:val="20"/>
                <w:szCs w:val="20"/>
              </w:rPr>
              <w:t>10,996</w:t>
            </w:r>
          </w:p>
        </w:tc>
        <w:tc>
          <w:tcPr>
            <w:tcW w:w="1300" w:type="dxa"/>
            <w:noWrap/>
            <w:vAlign w:val="center"/>
            <w:hideMark/>
          </w:tcPr>
          <w:p w14:paraId="0DA9D410" w14:textId="77777777" w:rsidR="00AD6261" w:rsidRPr="00D83279" w:rsidRDefault="00AD6261" w:rsidP="00FE7D14">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3279">
              <w:rPr>
                <w:rFonts w:cstheme="minorHAnsi"/>
                <w:sz w:val="20"/>
                <w:szCs w:val="20"/>
              </w:rPr>
              <w:t>1,064</w:t>
            </w:r>
          </w:p>
        </w:tc>
        <w:tc>
          <w:tcPr>
            <w:tcW w:w="1229" w:type="dxa"/>
            <w:noWrap/>
            <w:vAlign w:val="center"/>
            <w:hideMark/>
          </w:tcPr>
          <w:p w14:paraId="4739138C" w14:textId="77777777" w:rsidR="00AD6261" w:rsidRPr="00034681" w:rsidRDefault="00AD6261" w:rsidP="00FE7D14">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3.2%</w:t>
            </w:r>
          </w:p>
        </w:tc>
        <w:tc>
          <w:tcPr>
            <w:tcW w:w="1800" w:type="dxa"/>
            <w:noWrap/>
            <w:vAlign w:val="center"/>
            <w:hideMark/>
          </w:tcPr>
          <w:p w14:paraId="73AFC25D" w14:textId="77777777" w:rsidR="00AD6261" w:rsidRPr="00034681"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4.5%</w:t>
            </w:r>
          </w:p>
        </w:tc>
      </w:tr>
      <w:tr w:rsidR="00AD6261" w:rsidRPr="009669DA" w14:paraId="77A03126" w14:textId="77777777" w:rsidTr="00FE7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4869E3C3" w14:textId="77777777" w:rsidR="00AD6261" w:rsidRPr="0072305E" w:rsidRDefault="00AD6261" w:rsidP="00B9580D">
            <w:pPr>
              <w:spacing w:line="240" w:lineRule="auto"/>
              <w:jc w:val="center"/>
              <w:rPr>
                <w:rFonts w:asciiTheme="majorHAnsi" w:eastAsia="Times New Roman" w:hAnsiTheme="majorHAnsi" w:cstheme="majorHAnsi"/>
                <w:color w:val="000000"/>
                <w:sz w:val="20"/>
                <w:szCs w:val="20"/>
              </w:rPr>
            </w:pPr>
            <w:r w:rsidRPr="0072305E">
              <w:rPr>
                <w:rFonts w:asciiTheme="majorHAnsi" w:eastAsia="Times New Roman" w:hAnsiTheme="majorHAnsi" w:cstheme="majorHAnsi"/>
                <w:color w:val="000000"/>
                <w:sz w:val="20"/>
                <w:szCs w:val="20"/>
              </w:rPr>
              <w:t>Medium</w:t>
            </w:r>
          </w:p>
        </w:tc>
        <w:tc>
          <w:tcPr>
            <w:tcW w:w="1703" w:type="dxa"/>
            <w:gridSpan w:val="2"/>
            <w:noWrap/>
            <w:vAlign w:val="center"/>
            <w:hideMark/>
          </w:tcPr>
          <w:p w14:paraId="21538004" w14:textId="77777777" w:rsidR="00AD6261" w:rsidRPr="00D83279"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3279">
              <w:rPr>
                <w:rFonts w:cstheme="minorHAnsi"/>
                <w:sz w:val="20"/>
                <w:szCs w:val="20"/>
              </w:rPr>
              <w:t>2,946</w:t>
            </w:r>
          </w:p>
        </w:tc>
        <w:tc>
          <w:tcPr>
            <w:tcW w:w="1300" w:type="dxa"/>
            <w:noWrap/>
            <w:vAlign w:val="center"/>
            <w:hideMark/>
          </w:tcPr>
          <w:p w14:paraId="1B62DA92" w14:textId="77777777" w:rsidR="00AD6261" w:rsidRPr="00D83279"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3279">
              <w:rPr>
                <w:rFonts w:cstheme="minorHAnsi"/>
                <w:sz w:val="20"/>
                <w:szCs w:val="20"/>
              </w:rPr>
              <w:t>516</w:t>
            </w:r>
          </w:p>
        </w:tc>
        <w:tc>
          <w:tcPr>
            <w:tcW w:w="1229" w:type="dxa"/>
            <w:noWrap/>
            <w:vAlign w:val="center"/>
            <w:hideMark/>
          </w:tcPr>
          <w:p w14:paraId="3A67C099" w14:textId="77777777" w:rsidR="00AD6261" w:rsidRPr="00034681" w:rsidRDefault="00AD6261" w:rsidP="00FE7D14">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3.9%</w:t>
            </w:r>
          </w:p>
        </w:tc>
        <w:tc>
          <w:tcPr>
            <w:tcW w:w="1800" w:type="dxa"/>
            <w:noWrap/>
            <w:vAlign w:val="center"/>
            <w:hideMark/>
          </w:tcPr>
          <w:p w14:paraId="395471D8" w14:textId="77777777" w:rsidR="00AD6261" w:rsidRPr="00034681"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5.4%</w:t>
            </w:r>
          </w:p>
        </w:tc>
      </w:tr>
      <w:tr w:rsidR="00AD6261" w:rsidRPr="009669DA" w14:paraId="3AA7EAEE" w14:textId="77777777" w:rsidTr="00FE7D14">
        <w:trPr>
          <w:trHeight w:val="30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578A7C29" w14:textId="77777777" w:rsidR="00AD6261" w:rsidRPr="0072305E" w:rsidRDefault="00AD6261" w:rsidP="00B9580D">
            <w:pPr>
              <w:spacing w:line="240" w:lineRule="auto"/>
              <w:jc w:val="center"/>
              <w:rPr>
                <w:rFonts w:asciiTheme="majorHAnsi" w:eastAsia="Times New Roman" w:hAnsiTheme="majorHAnsi" w:cstheme="majorHAnsi"/>
                <w:color w:val="000000"/>
                <w:sz w:val="20"/>
                <w:szCs w:val="20"/>
              </w:rPr>
            </w:pPr>
            <w:r w:rsidRPr="0072305E">
              <w:rPr>
                <w:rFonts w:asciiTheme="majorHAnsi" w:eastAsia="Times New Roman" w:hAnsiTheme="majorHAnsi" w:cstheme="majorHAnsi"/>
                <w:color w:val="000000"/>
                <w:sz w:val="20"/>
                <w:szCs w:val="20"/>
              </w:rPr>
              <w:t>Large</w:t>
            </w:r>
          </w:p>
        </w:tc>
        <w:tc>
          <w:tcPr>
            <w:tcW w:w="1703" w:type="dxa"/>
            <w:gridSpan w:val="2"/>
            <w:noWrap/>
            <w:vAlign w:val="center"/>
            <w:hideMark/>
          </w:tcPr>
          <w:p w14:paraId="76CA0662" w14:textId="77777777" w:rsidR="00AD6261" w:rsidRPr="00D83279"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3279">
              <w:rPr>
                <w:rFonts w:cstheme="minorHAnsi"/>
                <w:sz w:val="20"/>
                <w:szCs w:val="20"/>
              </w:rPr>
              <w:t>912</w:t>
            </w:r>
          </w:p>
        </w:tc>
        <w:tc>
          <w:tcPr>
            <w:tcW w:w="1300" w:type="dxa"/>
            <w:noWrap/>
            <w:vAlign w:val="center"/>
            <w:hideMark/>
          </w:tcPr>
          <w:p w14:paraId="3F63E778" w14:textId="77777777" w:rsidR="00AD6261" w:rsidRPr="00D83279"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3279">
              <w:rPr>
                <w:rFonts w:cstheme="minorHAnsi"/>
                <w:sz w:val="20"/>
                <w:szCs w:val="20"/>
              </w:rPr>
              <w:t>170</w:t>
            </w:r>
          </w:p>
        </w:tc>
        <w:tc>
          <w:tcPr>
            <w:tcW w:w="1229" w:type="dxa"/>
            <w:noWrap/>
            <w:vAlign w:val="center"/>
            <w:hideMark/>
          </w:tcPr>
          <w:p w14:paraId="76B3C8D2" w14:textId="77777777" w:rsidR="00AD6261" w:rsidRPr="00034681" w:rsidRDefault="00AD6261" w:rsidP="00FE7D14">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6.7%</w:t>
            </w:r>
          </w:p>
        </w:tc>
        <w:tc>
          <w:tcPr>
            <w:tcW w:w="1800" w:type="dxa"/>
            <w:noWrap/>
            <w:vAlign w:val="center"/>
            <w:hideMark/>
          </w:tcPr>
          <w:p w14:paraId="6A2C2582" w14:textId="77777777" w:rsidR="00AD6261" w:rsidRPr="00034681"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9.2%</w:t>
            </w:r>
          </w:p>
        </w:tc>
      </w:tr>
      <w:tr w:rsidR="00AD6261" w:rsidRPr="009669DA" w14:paraId="35DC5BC5" w14:textId="77777777" w:rsidTr="00FE7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56EC8C38" w14:textId="77777777" w:rsidR="00AD6261" w:rsidRPr="0072305E" w:rsidRDefault="00AD6261" w:rsidP="00B9580D">
            <w:pPr>
              <w:spacing w:line="240" w:lineRule="auto"/>
              <w:jc w:val="center"/>
              <w:rPr>
                <w:rFonts w:asciiTheme="majorHAnsi" w:eastAsia="Times New Roman" w:hAnsiTheme="majorHAnsi" w:cstheme="majorHAnsi"/>
                <w:color w:val="000000"/>
                <w:sz w:val="20"/>
                <w:szCs w:val="20"/>
              </w:rPr>
            </w:pPr>
            <w:r w:rsidRPr="0072305E">
              <w:rPr>
                <w:rFonts w:asciiTheme="majorHAnsi" w:eastAsia="Times New Roman" w:hAnsiTheme="majorHAnsi" w:cstheme="majorHAnsi"/>
                <w:color w:val="000000"/>
                <w:sz w:val="20"/>
                <w:szCs w:val="20"/>
              </w:rPr>
              <w:t>City</w:t>
            </w:r>
          </w:p>
        </w:tc>
        <w:tc>
          <w:tcPr>
            <w:tcW w:w="1703" w:type="dxa"/>
            <w:gridSpan w:val="2"/>
            <w:noWrap/>
            <w:vAlign w:val="center"/>
            <w:hideMark/>
          </w:tcPr>
          <w:p w14:paraId="4BCC1F6D" w14:textId="77777777" w:rsidR="00AD6261" w:rsidRPr="00D83279"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3279">
              <w:rPr>
                <w:rFonts w:cstheme="minorHAnsi"/>
                <w:sz w:val="20"/>
                <w:szCs w:val="20"/>
              </w:rPr>
              <w:t>1,798</w:t>
            </w:r>
          </w:p>
        </w:tc>
        <w:tc>
          <w:tcPr>
            <w:tcW w:w="1300" w:type="dxa"/>
            <w:noWrap/>
            <w:vAlign w:val="center"/>
            <w:hideMark/>
          </w:tcPr>
          <w:p w14:paraId="70DE85B1" w14:textId="77777777" w:rsidR="00AD6261" w:rsidRPr="00D83279"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3279">
              <w:rPr>
                <w:rFonts w:cstheme="minorHAnsi"/>
                <w:sz w:val="20"/>
                <w:szCs w:val="20"/>
              </w:rPr>
              <w:t>239</w:t>
            </w:r>
          </w:p>
        </w:tc>
        <w:tc>
          <w:tcPr>
            <w:tcW w:w="1229" w:type="dxa"/>
            <w:noWrap/>
            <w:vAlign w:val="center"/>
            <w:hideMark/>
          </w:tcPr>
          <w:p w14:paraId="23BBC320" w14:textId="77777777" w:rsidR="00AD6261" w:rsidRPr="00034681" w:rsidRDefault="00AD6261" w:rsidP="00FE7D14">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6.3%</w:t>
            </w:r>
          </w:p>
        </w:tc>
        <w:tc>
          <w:tcPr>
            <w:tcW w:w="1800" w:type="dxa"/>
            <w:noWrap/>
            <w:vAlign w:val="center"/>
            <w:hideMark/>
          </w:tcPr>
          <w:p w14:paraId="753964C9" w14:textId="77777777" w:rsidR="00AD6261" w:rsidRPr="00034681"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8.6%</w:t>
            </w:r>
          </w:p>
        </w:tc>
      </w:tr>
      <w:tr w:rsidR="00AD6261" w:rsidRPr="009669DA" w14:paraId="69032E47" w14:textId="77777777" w:rsidTr="00FE7D14">
        <w:trPr>
          <w:trHeight w:val="30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61B96C02" w14:textId="77777777" w:rsidR="00AD6261" w:rsidRPr="0072305E" w:rsidRDefault="00AD6261" w:rsidP="00B9580D">
            <w:pPr>
              <w:spacing w:line="240" w:lineRule="auto"/>
              <w:jc w:val="center"/>
              <w:rPr>
                <w:rFonts w:asciiTheme="majorHAnsi" w:eastAsia="Times New Roman" w:hAnsiTheme="majorHAnsi" w:cstheme="majorHAnsi"/>
                <w:color w:val="000000"/>
                <w:sz w:val="20"/>
                <w:szCs w:val="20"/>
              </w:rPr>
            </w:pPr>
            <w:r w:rsidRPr="0072305E">
              <w:rPr>
                <w:rFonts w:asciiTheme="majorHAnsi" w:eastAsia="Times New Roman" w:hAnsiTheme="majorHAnsi" w:cstheme="majorHAnsi"/>
                <w:color w:val="000000"/>
                <w:sz w:val="20"/>
                <w:szCs w:val="20"/>
              </w:rPr>
              <w:t>Suburban</w:t>
            </w:r>
          </w:p>
        </w:tc>
        <w:tc>
          <w:tcPr>
            <w:tcW w:w="1703" w:type="dxa"/>
            <w:gridSpan w:val="2"/>
            <w:noWrap/>
            <w:vAlign w:val="center"/>
            <w:hideMark/>
          </w:tcPr>
          <w:p w14:paraId="21716198" w14:textId="77777777" w:rsidR="00AD6261" w:rsidRPr="00D83279"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3279">
              <w:rPr>
                <w:rFonts w:cstheme="minorHAnsi"/>
                <w:sz w:val="20"/>
                <w:szCs w:val="20"/>
              </w:rPr>
              <w:t>3,287</w:t>
            </w:r>
          </w:p>
        </w:tc>
        <w:tc>
          <w:tcPr>
            <w:tcW w:w="1300" w:type="dxa"/>
            <w:noWrap/>
            <w:vAlign w:val="center"/>
            <w:hideMark/>
          </w:tcPr>
          <w:p w14:paraId="15B9C808" w14:textId="77777777" w:rsidR="00AD6261" w:rsidRPr="00D83279"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3279">
              <w:rPr>
                <w:rFonts w:cstheme="minorHAnsi"/>
                <w:sz w:val="20"/>
                <w:szCs w:val="20"/>
              </w:rPr>
              <w:t>477</w:t>
            </w:r>
          </w:p>
        </w:tc>
        <w:tc>
          <w:tcPr>
            <w:tcW w:w="1229" w:type="dxa"/>
            <w:noWrap/>
            <w:vAlign w:val="center"/>
            <w:hideMark/>
          </w:tcPr>
          <w:p w14:paraId="133B9D25" w14:textId="77777777" w:rsidR="00AD6261" w:rsidRPr="00034681" w:rsidRDefault="00AD6261" w:rsidP="00FE7D14">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4.4%</w:t>
            </w:r>
          </w:p>
        </w:tc>
        <w:tc>
          <w:tcPr>
            <w:tcW w:w="1800" w:type="dxa"/>
            <w:noWrap/>
            <w:vAlign w:val="center"/>
            <w:hideMark/>
          </w:tcPr>
          <w:p w14:paraId="71085DCB" w14:textId="77777777" w:rsidR="00AD6261" w:rsidRPr="00034681"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6.0%</w:t>
            </w:r>
          </w:p>
        </w:tc>
      </w:tr>
      <w:tr w:rsidR="00AD6261" w:rsidRPr="009669DA" w14:paraId="74FD5C0A" w14:textId="77777777" w:rsidTr="00FE7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3A134B9C" w14:textId="77777777" w:rsidR="00AD6261" w:rsidRPr="0072305E" w:rsidRDefault="00AD6261" w:rsidP="00B9580D">
            <w:pPr>
              <w:spacing w:line="240" w:lineRule="auto"/>
              <w:jc w:val="center"/>
              <w:rPr>
                <w:rFonts w:asciiTheme="majorHAnsi" w:eastAsia="Times New Roman" w:hAnsiTheme="majorHAnsi" w:cstheme="majorHAnsi"/>
                <w:color w:val="000000"/>
                <w:sz w:val="20"/>
                <w:szCs w:val="20"/>
              </w:rPr>
            </w:pPr>
            <w:r w:rsidRPr="0072305E">
              <w:rPr>
                <w:rFonts w:asciiTheme="majorHAnsi" w:eastAsia="Times New Roman" w:hAnsiTheme="majorHAnsi" w:cstheme="majorHAnsi"/>
                <w:color w:val="000000"/>
                <w:sz w:val="20"/>
                <w:szCs w:val="20"/>
              </w:rPr>
              <w:t>Town</w:t>
            </w:r>
          </w:p>
        </w:tc>
        <w:tc>
          <w:tcPr>
            <w:tcW w:w="1703" w:type="dxa"/>
            <w:gridSpan w:val="2"/>
            <w:noWrap/>
            <w:vAlign w:val="center"/>
            <w:hideMark/>
          </w:tcPr>
          <w:p w14:paraId="11487624" w14:textId="77777777" w:rsidR="00AD6261" w:rsidRPr="00D83279"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3279">
              <w:rPr>
                <w:rFonts w:cstheme="minorHAnsi"/>
                <w:sz w:val="20"/>
                <w:szCs w:val="20"/>
              </w:rPr>
              <w:t>2,512</w:t>
            </w:r>
          </w:p>
        </w:tc>
        <w:tc>
          <w:tcPr>
            <w:tcW w:w="1300" w:type="dxa"/>
            <w:noWrap/>
            <w:vAlign w:val="center"/>
            <w:hideMark/>
          </w:tcPr>
          <w:p w14:paraId="23E90E15" w14:textId="77777777" w:rsidR="00AD6261" w:rsidRPr="00D83279"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3279">
              <w:rPr>
                <w:rFonts w:cstheme="minorHAnsi"/>
                <w:sz w:val="20"/>
                <w:szCs w:val="20"/>
              </w:rPr>
              <w:t>314</w:t>
            </w:r>
          </w:p>
        </w:tc>
        <w:tc>
          <w:tcPr>
            <w:tcW w:w="1229" w:type="dxa"/>
            <w:noWrap/>
            <w:vAlign w:val="center"/>
            <w:hideMark/>
          </w:tcPr>
          <w:p w14:paraId="3ECE0EA6" w14:textId="77777777" w:rsidR="00AD6261" w:rsidRPr="00034681" w:rsidRDefault="00AD6261" w:rsidP="00FE7D14">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5.6%</w:t>
            </w:r>
          </w:p>
        </w:tc>
        <w:tc>
          <w:tcPr>
            <w:tcW w:w="1800" w:type="dxa"/>
            <w:noWrap/>
            <w:vAlign w:val="center"/>
            <w:hideMark/>
          </w:tcPr>
          <w:p w14:paraId="0214DA0A" w14:textId="77777777" w:rsidR="00AD6261" w:rsidRPr="00034681"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7.7%</w:t>
            </w:r>
          </w:p>
        </w:tc>
      </w:tr>
      <w:tr w:rsidR="00AD6261" w:rsidRPr="009669DA" w14:paraId="18581B93" w14:textId="77777777" w:rsidTr="00FE7D14">
        <w:trPr>
          <w:trHeight w:val="30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36C0E47F" w14:textId="77777777" w:rsidR="00AD6261" w:rsidRPr="0072305E" w:rsidRDefault="00AD6261" w:rsidP="00B9580D">
            <w:pPr>
              <w:spacing w:line="240" w:lineRule="auto"/>
              <w:jc w:val="center"/>
              <w:rPr>
                <w:rFonts w:asciiTheme="majorHAnsi" w:eastAsia="Times New Roman" w:hAnsiTheme="majorHAnsi" w:cstheme="majorHAnsi"/>
                <w:color w:val="000000"/>
                <w:sz w:val="20"/>
                <w:szCs w:val="20"/>
              </w:rPr>
            </w:pPr>
            <w:r w:rsidRPr="0072305E">
              <w:rPr>
                <w:rFonts w:asciiTheme="majorHAnsi" w:eastAsia="Times New Roman" w:hAnsiTheme="majorHAnsi" w:cstheme="majorHAnsi"/>
                <w:color w:val="000000"/>
                <w:sz w:val="20"/>
                <w:szCs w:val="20"/>
              </w:rPr>
              <w:t>Rural</w:t>
            </w:r>
          </w:p>
        </w:tc>
        <w:tc>
          <w:tcPr>
            <w:tcW w:w="1703" w:type="dxa"/>
            <w:gridSpan w:val="2"/>
            <w:noWrap/>
            <w:vAlign w:val="center"/>
            <w:hideMark/>
          </w:tcPr>
          <w:p w14:paraId="210AA618" w14:textId="77777777" w:rsidR="00AD6261" w:rsidRPr="00D83279"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3279">
              <w:rPr>
                <w:rFonts w:cstheme="minorHAnsi"/>
                <w:sz w:val="20"/>
                <w:szCs w:val="20"/>
              </w:rPr>
              <w:t>6,672</w:t>
            </w:r>
          </w:p>
        </w:tc>
        <w:tc>
          <w:tcPr>
            <w:tcW w:w="1300" w:type="dxa"/>
            <w:noWrap/>
            <w:vAlign w:val="center"/>
            <w:hideMark/>
          </w:tcPr>
          <w:p w14:paraId="3092A4E9" w14:textId="77777777" w:rsidR="00AD6261" w:rsidRPr="00D83279"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3279">
              <w:rPr>
                <w:rFonts w:cstheme="minorHAnsi"/>
                <w:sz w:val="20"/>
                <w:szCs w:val="20"/>
              </w:rPr>
              <w:t>730</w:t>
            </w:r>
          </w:p>
        </w:tc>
        <w:tc>
          <w:tcPr>
            <w:tcW w:w="1229" w:type="dxa"/>
            <w:noWrap/>
            <w:vAlign w:val="center"/>
            <w:hideMark/>
          </w:tcPr>
          <w:p w14:paraId="04CD4F59" w14:textId="77777777" w:rsidR="00AD6261" w:rsidRPr="00034681" w:rsidRDefault="00AD6261" w:rsidP="00FE7D14">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3.8%</w:t>
            </w:r>
          </w:p>
        </w:tc>
        <w:tc>
          <w:tcPr>
            <w:tcW w:w="1800" w:type="dxa"/>
            <w:noWrap/>
            <w:vAlign w:val="center"/>
            <w:hideMark/>
          </w:tcPr>
          <w:p w14:paraId="5369AE7F" w14:textId="77777777" w:rsidR="00AD6261" w:rsidRPr="00034681"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5.2%</w:t>
            </w:r>
          </w:p>
        </w:tc>
      </w:tr>
      <w:tr w:rsidR="00AD6261" w:rsidRPr="009669DA" w14:paraId="60AE8712" w14:textId="77777777" w:rsidTr="00FE7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tcPr>
          <w:p w14:paraId="07269D4A" w14:textId="77777777" w:rsidR="00AD6261" w:rsidRPr="0072305E" w:rsidRDefault="00AD6261" w:rsidP="00FE7D14">
            <w:pPr>
              <w:spacing w:line="240" w:lineRule="auto"/>
              <w:ind w:firstLine="0"/>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Missing </w:t>
            </w:r>
            <w:proofErr w:type="spellStart"/>
            <w:r>
              <w:rPr>
                <w:rFonts w:asciiTheme="majorHAnsi" w:eastAsia="Times New Roman" w:hAnsiTheme="majorHAnsi" w:cstheme="majorHAnsi"/>
                <w:color w:val="000000"/>
                <w:sz w:val="20"/>
                <w:szCs w:val="20"/>
              </w:rPr>
              <w:t>Urbanicity</w:t>
            </w:r>
            <w:proofErr w:type="spellEnd"/>
          </w:p>
        </w:tc>
        <w:tc>
          <w:tcPr>
            <w:tcW w:w="1703" w:type="dxa"/>
            <w:gridSpan w:val="2"/>
            <w:noWrap/>
            <w:vAlign w:val="center"/>
          </w:tcPr>
          <w:p w14:paraId="6F6CCCEA" w14:textId="77777777" w:rsidR="00AD6261" w:rsidRPr="00D83279" w:rsidRDefault="00AD6261" w:rsidP="0038502B">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3279">
              <w:rPr>
                <w:rFonts w:cstheme="minorHAnsi"/>
                <w:sz w:val="20"/>
                <w:szCs w:val="20"/>
              </w:rPr>
              <w:t>584</w:t>
            </w:r>
          </w:p>
        </w:tc>
        <w:tc>
          <w:tcPr>
            <w:tcW w:w="1300" w:type="dxa"/>
            <w:noWrap/>
            <w:vAlign w:val="center"/>
          </w:tcPr>
          <w:p w14:paraId="3BFE0D37" w14:textId="77777777" w:rsidR="00AD6261" w:rsidRPr="00D83279"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3279">
              <w:rPr>
                <w:rFonts w:cstheme="minorHAnsi"/>
                <w:sz w:val="20"/>
                <w:szCs w:val="20"/>
              </w:rPr>
              <w:t>-</w:t>
            </w:r>
          </w:p>
        </w:tc>
        <w:tc>
          <w:tcPr>
            <w:tcW w:w="1229" w:type="dxa"/>
            <w:noWrap/>
            <w:vAlign w:val="center"/>
          </w:tcPr>
          <w:p w14:paraId="1C4DD984" w14:textId="77777777" w:rsidR="00AD6261" w:rsidRPr="00034681" w:rsidRDefault="00AD6261" w:rsidP="00FE7D1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p>
        </w:tc>
        <w:tc>
          <w:tcPr>
            <w:tcW w:w="1800" w:type="dxa"/>
            <w:noWrap/>
            <w:vAlign w:val="center"/>
          </w:tcPr>
          <w:p w14:paraId="719E4AF5" w14:textId="77777777" w:rsidR="00AD6261" w:rsidRPr="00034681"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AD6261" w:rsidRPr="009669DA" w14:paraId="3CACABF3" w14:textId="77777777" w:rsidTr="00FE7D14">
        <w:trPr>
          <w:trHeight w:val="30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2280B74D" w14:textId="77777777" w:rsidR="00AD6261" w:rsidRPr="0072305E" w:rsidRDefault="00AD6261" w:rsidP="00FE7D14">
            <w:pPr>
              <w:spacing w:line="240" w:lineRule="auto"/>
              <w:ind w:firstLine="0"/>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Poverty </w:t>
            </w:r>
            <w:r w:rsidRPr="0072305E">
              <w:rPr>
                <w:rFonts w:asciiTheme="majorHAnsi" w:eastAsia="Times New Roman" w:hAnsiTheme="majorHAnsi" w:cstheme="majorHAnsi"/>
                <w:color w:val="000000"/>
                <w:sz w:val="20"/>
                <w:szCs w:val="20"/>
              </w:rPr>
              <w:t>High</w:t>
            </w:r>
          </w:p>
        </w:tc>
        <w:tc>
          <w:tcPr>
            <w:tcW w:w="1703" w:type="dxa"/>
            <w:gridSpan w:val="2"/>
            <w:noWrap/>
            <w:vAlign w:val="center"/>
            <w:hideMark/>
          </w:tcPr>
          <w:p w14:paraId="3F04BED1" w14:textId="77777777" w:rsidR="00AD6261" w:rsidRPr="00D83279"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3279">
              <w:rPr>
                <w:rFonts w:cstheme="minorHAnsi"/>
                <w:sz w:val="20"/>
                <w:szCs w:val="20"/>
              </w:rPr>
              <w:t>4,123</w:t>
            </w:r>
          </w:p>
        </w:tc>
        <w:tc>
          <w:tcPr>
            <w:tcW w:w="1300" w:type="dxa"/>
            <w:noWrap/>
            <w:vAlign w:val="center"/>
            <w:hideMark/>
          </w:tcPr>
          <w:p w14:paraId="34193A75" w14:textId="77777777" w:rsidR="00AD6261" w:rsidRPr="00D83279"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3279">
              <w:rPr>
                <w:rFonts w:cstheme="minorHAnsi"/>
                <w:sz w:val="20"/>
                <w:szCs w:val="20"/>
              </w:rPr>
              <w:t>438</w:t>
            </w:r>
          </w:p>
        </w:tc>
        <w:tc>
          <w:tcPr>
            <w:tcW w:w="1229" w:type="dxa"/>
            <w:noWrap/>
            <w:vAlign w:val="center"/>
            <w:hideMark/>
          </w:tcPr>
          <w:p w14:paraId="46E46EE0" w14:textId="77777777" w:rsidR="00AD6261" w:rsidRPr="00034681" w:rsidRDefault="00AD6261" w:rsidP="00FE7D14">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4.9%</w:t>
            </w:r>
          </w:p>
        </w:tc>
        <w:tc>
          <w:tcPr>
            <w:tcW w:w="1800" w:type="dxa"/>
            <w:noWrap/>
            <w:vAlign w:val="center"/>
            <w:hideMark/>
          </w:tcPr>
          <w:p w14:paraId="447E4F15" w14:textId="77777777" w:rsidR="00AD6261" w:rsidRPr="00034681"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6.7%</w:t>
            </w:r>
          </w:p>
        </w:tc>
      </w:tr>
      <w:tr w:rsidR="00AD6261" w:rsidRPr="009669DA" w14:paraId="5C43126A" w14:textId="77777777" w:rsidTr="00FE7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474D6284" w14:textId="6C269849" w:rsidR="00AD6261" w:rsidRPr="0072305E" w:rsidRDefault="00AD6261" w:rsidP="00FE7D14">
            <w:pPr>
              <w:spacing w:line="240" w:lineRule="auto"/>
              <w:ind w:firstLine="0"/>
              <w:jc w:val="right"/>
              <w:rPr>
                <w:rFonts w:asciiTheme="majorHAnsi" w:eastAsia="Times New Roman" w:hAnsiTheme="majorHAnsi" w:cstheme="majorHAnsi"/>
                <w:color w:val="000000"/>
                <w:sz w:val="20"/>
                <w:szCs w:val="20"/>
              </w:rPr>
            </w:pPr>
            <w:r w:rsidRPr="0072305E">
              <w:rPr>
                <w:rFonts w:asciiTheme="majorHAnsi" w:eastAsia="Times New Roman" w:hAnsiTheme="majorHAnsi" w:cstheme="majorHAnsi"/>
                <w:color w:val="000000"/>
                <w:sz w:val="20"/>
                <w:szCs w:val="20"/>
              </w:rPr>
              <w:t>Poverty Lo</w:t>
            </w:r>
            <w:r w:rsidR="00FE7D14">
              <w:rPr>
                <w:rFonts w:asciiTheme="majorHAnsi" w:eastAsia="Times New Roman" w:hAnsiTheme="majorHAnsi" w:cstheme="majorHAnsi"/>
                <w:color w:val="000000"/>
                <w:sz w:val="20"/>
                <w:szCs w:val="20"/>
              </w:rPr>
              <w:t>w</w:t>
            </w:r>
          </w:p>
        </w:tc>
        <w:tc>
          <w:tcPr>
            <w:tcW w:w="1703" w:type="dxa"/>
            <w:gridSpan w:val="2"/>
            <w:noWrap/>
            <w:vAlign w:val="center"/>
            <w:hideMark/>
          </w:tcPr>
          <w:p w14:paraId="7EC9489A" w14:textId="77777777" w:rsidR="00AD6261" w:rsidRPr="00D83279"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3279">
              <w:rPr>
                <w:rFonts w:cstheme="minorHAnsi"/>
                <w:sz w:val="20"/>
                <w:szCs w:val="20"/>
              </w:rPr>
              <w:t>10,731</w:t>
            </w:r>
          </w:p>
        </w:tc>
        <w:tc>
          <w:tcPr>
            <w:tcW w:w="1300" w:type="dxa"/>
            <w:noWrap/>
            <w:vAlign w:val="center"/>
            <w:hideMark/>
          </w:tcPr>
          <w:p w14:paraId="0AF3364F" w14:textId="77777777" w:rsidR="00AD6261" w:rsidRPr="00D83279" w:rsidRDefault="00AD6261" w:rsidP="00FE7D14">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3279">
              <w:rPr>
                <w:rFonts w:cstheme="minorHAnsi"/>
                <w:sz w:val="20"/>
                <w:szCs w:val="20"/>
              </w:rPr>
              <w:t>1,312</w:t>
            </w:r>
          </w:p>
        </w:tc>
        <w:tc>
          <w:tcPr>
            <w:tcW w:w="1229" w:type="dxa"/>
            <w:noWrap/>
            <w:vAlign w:val="center"/>
            <w:hideMark/>
          </w:tcPr>
          <w:p w14:paraId="2F7719A4" w14:textId="77777777" w:rsidR="00AD6261" w:rsidRPr="00034681" w:rsidRDefault="00AD6261" w:rsidP="00FE7D14">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2.7%</w:t>
            </w:r>
          </w:p>
        </w:tc>
        <w:tc>
          <w:tcPr>
            <w:tcW w:w="1800" w:type="dxa"/>
            <w:noWrap/>
            <w:vAlign w:val="center"/>
            <w:hideMark/>
          </w:tcPr>
          <w:p w14:paraId="071F711D" w14:textId="77777777" w:rsidR="00AD6261" w:rsidRPr="00034681"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3.7%</w:t>
            </w:r>
          </w:p>
        </w:tc>
      </w:tr>
      <w:tr w:rsidR="00AD6261" w:rsidRPr="009669DA" w14:paraId="461FDBF2" w14:textId="77777777" w:rsidTr="00FE7D14">
        <w:trPr>
          <w:trHeight w:val="30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14266525" w14:textId="77777777" w:rsidR="00AD6261" w:rsidRPr="0072305E" w:rsidRDefault="00AD6261" w:rsidP="00B9580D">
            <w:pPr>
              <w:spacing w:line="240" w:lineRule="auto"/>
              <w:jc w:val="center"/>
              <w:rPr>
                <w:rFonts w:asciiTheme="majorHAnsi" w:eastAsia="Times New Roman" w:hAnsiTheme="majorHAnsi" w:cstheme="majorHAnsi"/>
                <w:color w:val="000000"/>
                <w:sz w:val="20"/>
                <w:szCs w:val="20"/>
              </w:rPr>
            </w:pPr>
            <w:r w:rsidRPr="0072305E">
              <w:rPr>
                <w:rFonts w:asciiTheme="majorHAnsi" w:eastAsia="Times New Roman" w:hAnsiTheme="majorHAnsi" w:cstheme="majorHAnsi"/>
                <w:color w:val="000000"/>
                <w:sz w:val="20"/>
                <w:szCs w:val="20"/>
              </w:rPr>
              <w:t>Mid Atlantic</w:t>
            </w:r>
          </w:p>
        </w:tc>
        <w:tc>
          <w:tcPr>
            <w:tcW w:w="1703" w:type="dxa"/>
            <w:gridSpan w:val="2"/>
            <w:noWrap/>
            <w:vAlign w:val="center"/>
            <w:hideMark/>
          </w:tcPr>
          <w:p w14:paraId="200300DA" w14:textId="77777777" w:rsidR="00AD6261" w:rsidRPr="00D83279"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3279">
              <w:rPr>
                <w:rFonts w:cstheme="minorHAnsi"/>
                <w:sz w:val="20"/>
                <w:szCs w:val="20"/>
              </w:rPr>
              <w:t>1,494</w:t>
            </w:r>
          </w:p>
        </w:tc>
        <w:tc>
          <w:tcPr>
            <w:tcW w:w="1300" w:type="dxa"/>
            <w:noWrap/>
            <w:vAlign w:val="center"/>
            <w:hideMark/>
          </w:tcPr>
          <w:p w14:paraId="2E447ED1" w14:textId="77777777" w:rsidR="00AD6261" w:rsidRPr="00D83279"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3279">
              <w:rPr>
                <w:rFonts w:cstheme="minorHAnsi"/>
                <w:sz w:val="20"/>
                <w:szCs w:val="20"/>
              </w:rPr>
              <w:t>188</w:t>
            </w:r>
          </w:p>
        </w:tc>
        <w:tc>
          <w:tcPr>
            <w:tcW w:w="1229" w:type="dxa"/>
            <w:noWrap/>
            <w:vAlign w:val="center"/>
            <w:hideMark/>
          </w:tcPr>
          <w:p w14:paraId="14C1E6AE" w14:textId="77777777" w:rsidR="00AD6261" w:rsidRPr="00034681" w:rsidRDefault="00AD6261" w:rsidP="00FE7D14">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7.1%</w:t>
            </w:r>
          </w:p>
        </w:tc>
        <w:tc>
          <w:tcPr>
            <w:tcW w:w="1800" w:type="dxa"/>
            <w:noWrap/>
            <w:vAlign w:val="center"/>
            <w:hideMark/>
          </w:tcPr>
          <w:p w14:paraId="6DBB5103" w14:textId="77777777" w:rsidR="00AD6261" w:rsidRPr="00034681"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9.8%</w:t>
            </w:r>
          </w:p>
        </w:tc>
      </w:tr>
      <w:tr w:rsidR="00AD6261" w:rsidRPr="009669DA" w14:paraId="1BD69998" w14:textId="77777777" w:rsidTr="00FE7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4F45B67E" w14:textId="77777777" w:rsidR="00AD6261" w:rsidRPr="0072305E" w:rsidRDefault="00AD6261" w:rsidP="00B9580D">
            <w:pPr>
              <w:spacing w:line="240" w:lineRule="auto"/>
              <w:jc w:val="center"/>
              <w:rPr>
                <w:rFonts w:asciiTheme="majorHAnsi" w:eastAsia="Times New Roman" w:hAnsiTheme="majorHAnsi" w:cstheme="majorHAnsi"/>
                <w:color w:val="000000"/>
                <w:sz w:val="20"/>
                <w:szCs w:val="20"/>
              </w:rPr>
            </w:pPr>
            <w:r w:rsidRPr="0072305E">
              <w:rPr>
                <w:rFonts w:asciiTheme="majorHAnsi" w:eastAsia="Times New Roman" w:hAnsiTheme="majorHAnsi" w:cstheme="majorHAnsi"/>
                <w:color w:val="000000"/>
                <w:sz w:val="20"/>
                <w:szCs w:val="20"/>
              </w:rPr>
              <w:t>Midwest</w:t>
            </w:r>
          </w:p>
        </w:tc>
        <w:tc>
          <w:tcPr>
            <w:tcW w:w="1703" w:type="dxa"/>
            <w:gridSpan w:val="2"/>
            <w:noWrap/>
            <w:vAlign w:val="center"/>
            <w:hideMark/>
          </w:tcPr>
          <w:p w14:paraId="4076E8F9" w14:textId="77777777" w:rsidR="00AD6261" w:rsidRPr="00D83279"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3279">
              <w:rPr>
                <w:rFonts w:cstheme="minorHAnsi"/>
                <w:sz w:val="20"/>
                <w:szCs w:val="20"/>
              </w:rPr>
              <w:t>3,798</w:t>
            </w:r>
          </w:p>
        </w:tc>
        <w:tc>
          <w:tcPr>
            <w:tcW w:w="1300" w:type="dxa"/>
            <w:noWrap/>
            <w:vAlign w:val="center"/>
            <w:hideMark/>
          </w:tcPr>
          <w:p w14:paraId="2CD47332" w14:textId="77777777" w:rsidR="00AD6261" w:rsidRPr="00D83279"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3279">
              <w:rPr>
                <w:rFonts w:cstheme="minorHAnsi"/>
                <w:sz w:val="20"/>
                <w:szCs w:val="20"/>
              </w:rPr>
              <w:t>432</w:t>
            </w:r>
          </w:p>
        </w:tc>
        <w:tc>
          <w:tcPr>
            <w:tcW w:w="1229" w:type="dxa"/>
            <w:noWrap/>
            <w:vAlign w:val="center"/>
            <w:hideMark/>
          </w:tcPr>
          <w:p w14:paraId="6D541DBA" w14:textId="77777777" w:rsidR="00AD6261" w:rsidRPr="00034681" w:rsidRDefault="00AD6261" w:rsidP="00FE7D14">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4.8%</w:t>
            </w:r>
          </w:p>
        </w:tc>
        <w:tc>
          <w:tcPr>
            <w:tcW w:w="1800" w:type="dxa"/>
            <w:noWrap/>
            <w:vAlign w:val="center"/>
            <w:hideMark/>
          </w:tcPr>
          <w:p w14:paraId="4F055D3C" w14:textId="77777777" w:rsidR="00AD6261" w:rsidRPr="00034681"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6.7%</w:t>
            </w:r>
          </w:p>
        </w:tc>
      </w:tr>
      <w:tr w:rsidR="00AD6261" w:rsidRPr="009669DA" w14:paraId="6D5D99A4" w14:textId="77777777" w:rsidTr="00FE7D14">
        <w:trPr>
          <w:trHeight w:val="30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12CF2B0C" w14:textId="77777777" w:rsidR="00AD6261" w:rsidRPr="0072305E" w:rsidRDefault="00AD6261" w:rsidP="00B9580D">
            <w:pPr>
              <w:spacing w:line="240" w:lineRule="auto"/>
              <w:jc w:val="center"/>
              <w:rPr>
                <w:rFonts w:asciiTheme="majorHAnsi" w:eastAsia="Times New Roman" w:hAnsiTheme="majorHAnsi" w:cstheme="majorHAnsi"/>
                <w:color w:val="000000"/>
                <w:sz w:val="20"/>
                <w:szCs w:val="20"/>
              </w:rPr>
            </w:pPr>
            <w:r w:rsidRPr="0072305E">
              <w:rPr>
                <w:rFonts w:asciiTheme="majorHAnsi" w:eastAsia="Times New Roman" w:hAnsiTheme="majorHAnsi" w:cstheme="majorHAnsi"/>
                <w:color w:val="000000"/>
                <w:sz w:val="20"/>
                <w:szCs w:val="20"/>
              </w:rPr>
              <w:t>Mountain</w:t>
            </w:r>
          </w:p>
        </w:tc>
        <w:tc>
          <w:tcPr>
            <w:tcW w:w="1703" w:type="dxa"/>
            <w:gridSpan w:val="2"/>
            <w:noWrap/>
            <w:vAlign w:val="center"/>
            <w:hideMark/>
          </w:tcPr>
          <w:p w14:paraId="30B32222" w14:textId="77777777" w:rsidR="00AD6261" w:rsidRPr="00D83279"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3279">
              <w:rPr>
                <w:rFonts w:cstheme="minorHAnsi"/>
                <w:sz w:val="20"/>
                <w:szCs w:val="20"/>
              </w:rPr>
              <w:t>2,295</w:t>
            </w:r>
          </w:p>
        </w:tc>
        <w:tc>
          <w:tcPr>
            <w:tcW w:w="1300" w:type="dxa"/>
            <w:noWrap/>
            <w:vAlign w:val="center"/>
            <w:hideMark/>
          </w:tcPr>
          <w:p w14:paraId="633143B9" w14:textId="77777777" w:rsidR="00AD6261" w:rsidRPr="00D83279"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3279">
              <w:rPr>
                <w:rFonts w:cstheme="minorHAnsi"/>
                <w:sz w:val="20"/>
                <w:szCs w:val="20"/>
              </w:rPr>
              <w:t>248</w:t>
            </w:r>
          </w:p>
        </w:tc>
        <w:tc>
          <w:tcPr>
            <w:tcW w:w="1229" w:type="dxa"/>
            <w:noWrap/>
            <w:vAlign w:val="center"/>
            <w:hideMark/>
          </w:tcPr>
          <w:p w14:paraId="73FFF415" w14:textId="77777777" w:rsidR="00AD6261" w:rsidRPr="00034681" w:rsidRDefault="00AD6261" w:rsidP="00FE7D14">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6.5%</w:t>
            </w:r>
          </w:p>
        </w:tc>
        <w:tc>
          <w:tcPr>
            <w:tcW w:w="1800" w:type="dxa"/>
            <w:noWrap/>
            <w:vAlign w:val="center"/>
            <w:hideMark/>
          </w:tcPr>
          <w:p w14:paraId="3D43CEB4" w14:textId="77777777" w:rsidR="00AD6261" w:rsidRPr="00034681"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9.0%</w:t>
            </w:r>
          </w:p>
        </w:tc>
      </w:tr>
      <w:tr w:rsidR="00AD6261" w:rsidRPr="009669DA" w14:paraId="6F850D9E" w14:textId="77777777" w:rsidTr="00FE7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3ADC2902" w14:textId="77777777" w:rsidR="00AD6261" w:rsidRPr="0072305E" w:rsidRDefault="00AD6261" w:rsidP="00B9580D">
            <w:pPr>
              <w:spacing w:line="240" w:lineRule="auto"/>
              <w:jc w:val="center"/>
              <w:rPr>
                <w:rFonts w:asciiTheme="majorHAnsi" w:eastAsia="Times New Roman" w:hAnsiTheme="majorHAnsi" w:cstheme="majorHAnsi"/>
                <w:color w:val="000000"/>
                <w:sz w:val="20"/>
                <w:szCs w:val="20"/>
              </w:rPr>
            </w:pPr>
            <w:r w:rsidRPr="0072305E">
              <w:rPr>
                <w:rFonts w:asciiTheme="majorHAnsi" w:eastAsia="Times New Roman" w:hAnsiTheme="majorHAnsi" w:cstheme="majorHAnsi"/>
                <w:color w:val="000000"/>
                <w:sz w:val="20"/>
                <w:szCs w:val="20"/>
              </w:rPr>
              <w:t>Northeast</w:t>
            </w:r>
          </w:p>
        </w:tc>
        <w:tc>
          <w:tcPr>
            <w:tcW w:w="1703" w:type="dxa"/>
            <w:gridSpan w:val="2"/>
            <w:noWrap/>
            <w:vAlign w:val="center"/>
            <w:hideMark/>
          </w:tcPr>
          <w:p w14:paraId="2B1DF217" w14:textId="77777777" w:rsidR="00AD6261" w:rsidRPr="00D83279"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3279">
              <w:rPr>
                <w:rFonts w:cstheme="minorHAnsi"/>
                <w:sz w:val="20"/>
                <w:szCs w:val="20"/>
              </w:rPr>
              <w:t>1,641</w:t>
            </w:r>
          </w:p>
        </w:tc>
        <w:tc>
          <w:tcPr>
            <w:tcW w:w="1300" w:type="dxa"/>
            <w:noWrap/>
            <w:vAlign w:val="center"/>
            <w:hideMark/>
          </w:tcPr>
          <w:p w14:paraId="36DD3752" w14:textId="77777777" w:rsidR="00AD6261" w:rsidRPr="00D83279"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3279">
              <w:rPr>
                <w:rFonts w:cstheme="minorHAnsi"/>
                <w:sz w:val="20"/>
                <w:szCs w:val="20"/>
              </w:rPr>
              <w:t>198</w:t>
            </w:r>
          </w:p>
        </w:tc>
        <w:tc>
          <w:tcPr>
            <w:tcW w:w="1229" w:type="dxa"/>
            <w:noWrap/>
            <w:vAlign w:val="center"/>
            <w:hideMark/>
          </w:tcPr>
          <w:p w14:paraId="5FA00BE5" w14:textId="77777777" w:rsidR="00AD6261" w:rsidRPr="00034681" w:rsidRDefault="00AD6261" w:rsidP="00FE7D14">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7.0%</w:t>
            </w:r>
          </w:p>
        </w:tc>
        <w:tc>
          <w:tcPr>
            <w:tcW w:w="1800" w:type="dxa"/>
            <w:noWrap/>
            <w:vAlign w:val="center"/>
            <w:hideMark/>
          </w:tcPr>
          <w:p w14:paraId="19F5387F" w14:textId="77777777" w:rsidR="00AD6261" w:rsidRPr="00034681"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9.7%</w:t>
            </w:r>
          </w:p>
        </w:tc>
      </w:tr>
      <w:tr w:rsidR="00AD6261" w:rsidRPr="009669DA" w14:paraId="131B04E8" w14:textId="77777777" w:rsidTr="00FE7D14">
        <w:trPr>
          <w:trHeight w:val="30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5E684A0D" w14:textId="77777777" w:rsidR="00AD6261" w:rsidRPr="0072305E" w:rsidRDefault="00AD6261" w:rsidP="00B9580D">
            <w:pPr>
              <w:spacing w:line="240" w:lineRule="auto"/>
              <w:jc w:val="center"/>
              <w:rPr>
                <w:rFonts w:asciiTheme="majorHAnsi" w:eastAsia="Times New Roman" w:hAnsiTheme="majorHAnsi" w:cstheme="majorHAnsi"/>
                <w:color w:val="000000"/>
                <w:sz w:val="20"/>
                <w:szCs w:val="20"/>
              </w:rPr>
            </w:pPr>
            <w:r w:rsidRPr="0072305E">
              <w:rPr>
                <w:rFonts w:asciiTheme="majorHAnsi" w:eastAsia="Times New Roman" w:hAnsiTheme="majorHAnsi" w:cstheme="majorHAnsi"/>
                <w:color w:val="000000"/>
                <w:sz w:val="20"/>
                <w:szCs w:val="20"/>
              </w:rPr>
              <w:t>Southeast</w:t>
            </w:r>
          </w:p>
        </w:tc>
        <w:tc>
          <w:tcPr>
            <w:tcW w:w="1703" w:type="dxa"/>
            <w:gridSpan w:val="2"/>
            <w:noWrap/>
            <w:vAlign w:val="center"/>
            <w:hideMark/>
          </w:tcPr>
          <w:p w14:paraId="61EDC50A" w14:textId="77777777" w:rsidR="00AD6261" w:rsidRPr="00D83279"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3279">
              <w:rPr>
                <w:rFonts w:cstheme="minorHAnsi"/>
                <w:sz w:val="20"/>
                <w:szCs w:val="20"/>
              </w:rPr>
              <w:t>1,235</w:t>
            </w:r>
          </w:p>
        </w:tc>
        <w:tc>
          <w:tcPr>
            <w:tcW w:w="1300" w:type="dxa"/>
            <w:noWrap/>
            <w:vAlign w:val="center"/>
            <w:hideMark/>
          </w:tcPr>
          <w:p w14:paraId="79ACF52F" w14:textId="77777777" w:rsidR="00AD6261" w:rsidRPr="00D83279"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3279">
              <w:rPr>
                <w:rFonts w:cstheme="minorHAnsi"/>
                <w:sz w:val="20"/>
                <w:szCs w:val="20"/>
              </w:rPr>
              <w:t>174</w:t>
            </w:r>
          </w:p>
        </w:tc>
        <w:tc>
          <w:tcPr>
            <w:tcW w:w="1229" w:type="dxa"/>
            <w:noWrap/>
            <w:vAlign w:val="center"/>
            <w:hideMark/>
          </w:tcPr>
          <w:p w14:paraId="7B470322" w14:textId="77777777" w:rsidR="00AD6261" w:rsidRPr="00034681" w:rsidRDefault="00AD6261" w:rsidP="00FE7D14">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7.2%</w:t>
            </w:r>
          </w:p>
        </w:tc>
        <w:tc>
          <w:tcPr>
            <w:tcW w:w="1800" w:type="dxa"/>
            <w:noWrap/>
            <w:vAlign w:val="center"/>
            <w:hideMark/>
          </w:tcPr>
          <w:p w14:paraId="6E502151" w14:textId="77777777" w:rsidR="00AD6261" w:rsidRPr="00034681"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9.8%</w:t>
            </w:r>
          </w:p>
        </w:tc>
      </w:tr>
      <w:tr w:rsidR="00AD6261" w:rsidRPr="009669DA" w14:paraId="2650129F" w14:textId="77777777" w:rsidTr="00FE7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0E980217" w14:textId="77777777" w:rsidR="00AD6261" w:rsidRPr="0072305E" w:rsidRDefault="00AD6261" w:rsidP="00B9580D">
            <w:pPr>
              <w:spacing w:line="240" w:lineRule="auto"/>
              <w:jc w:val="center"/>
              <w:rPr>
                <w:rFonts w:asciiTheme="majorHAnsi" w:eastAsia="Times New Roman" w:hAnsiTheme="majorHAnsi" w:cstheme="majorHAnsi"/>
                <w:color w:val="000000"/>
                <w:sz w:val="20"/>
                <w:szCs w:val="20"/>
              </w:rPr>
            </w:pPr>
            <w:r w:rsidRPr="0072305E">
              <w:rPr>
                <w:rFonts w:asciiTheme="majorHAnsi" w:eastAsia="Times New Roman" w:hAnsiTheme="majorHAnsi" w:cstheme="majorHAnsi"/>
                <w:color w:val="000000"/>
                <w:sz w:val="20"/>
                <w:szCs w:val="20"/>
              </w:rPr>
              <w:t>Southwest</w:t>
            </w:r>
          </w:p>
        </w:tc>
        <w:tc>
          <w:tcPr>
            <w:tcW w:w="1703" w:type="dxa"/>
            <w:gridSpan w:val="2"/>
            <w:noWrap/>
            <w:vAlign w:val="center"/>
            <w:hideMark/>
          </w:tcPr>
          <w:p w14:paraId="7894DC9B" w14:textId="77777777" w:rsidR="00AD6261" w:rsidRPr="00D83279"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3279">
              <w:rPr>
                <w:rFonts w:cstheme="minorHAnsi"/>
                <w:sz w:val="20"/>
                <w:szCs w:val="20"/>
              </w:rPr>
              <w:t>2,239</w:t>
            </w:r>
          </w:p>
        </w:tc>
        <w:tc>
          <w:tcPr>
            <w:tcW w:w="1300" w:type="dxa"/>
            <w:noWrap/>
            <w:vAlign w:val="center"/>
            <w:hideMark/>
          </w:tcPr>
          <w:p w14:paraId="01E0259E" w14:textId="77777777" w:rsidR="00AD6261" w:rsidRPr="00D83279"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3279">
              <w:rPr>
                <w:rFonts w:cstheme="minorHAnsi"/>
                <w:sz w:val="20"/>
                <w:szCs w:val="20"/>
              </w:rPr>
              <w:t>249</w:t>
            </w:r>
          </w:p>
        </w:tc>
        <w:tc>
          <w:tcPr>
            <w:tcW w:w="1229" w:type="dxa"/>
            <w:noWrap/>
            <w:vAlign w:val="center"/>
            <w:hideMark/>
          </w:tcPr>
          <w:p w14:paraId="0F0FC2E4" w14:textId="77777777" w:rsidR="00AD6261" w:rsidRPr="00034681" w:rsidRDefault="00AD6261" w:rsidP="00FE7D14">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6.4%</w:t>
            </w:r>
          </w:p>
        </w:tc>
        <w:tc>
          <w:tcPr>
            <w:tcW w:w="1800" w:type="dxa"/>
            <w:noWrap/>
            <w:vAlign w:val="center"/>
            <w:hideMark/>
          </w:tcPr>
          <w:p w14:paraId="6AB469E9" w14:textId="77777777" w:rsidR="00AD6261" w:rsidRPr="00034681"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8.8%</w:t>
            </w:r>
          </w:p>
        </w:tc>
      </w:tr>
      <w:tr w:rsidR="00AD6261" w:rsidRPr="009669DA" w14:paraId="6841AA26" w14:textId="77777777" w:rsidTr="00FE7D14">
        <w:trPr>
          <w:trHeight w:val="30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68E724B7" w14:textId="77777777" w:rsidR="00AD6261" w:rsidRPr="0072305E" w:rsidRDefault="00AD6261" w:rsidP="00B9580D">
            <w:pPr>
              <w:spacing w:line="240" w:lineRule="auto"/>
              <w:jc w:val="center"/>
              <w:rPr>
                <w:rFonts w:asciiTheme="majorHAnsi" w:eastAsia="Times New Roman" w:hAnsiTheme="majorHAnsi" w:cstheme="majorHAnsi"/>
                <w:color w:val="000000"/>
                <w:sz w:val="20"/>
                <w:szCs w:val="20"/>
              </w:rPr>
            </w:pPr>
            <w:r w:rsidRPr="0072305E">
              <w:rPr>
                <w:rFonts w:asciiTheme="majorHAnsi" w:eastAsia="Times New Roman" w:hAnsiTheme="majorHAnsi" w:cstheme="majorHAnsi"/>
                <w:color w:val="000000"/>
                <w:sz w:val="20"/>
                <w:szCs w:val="20"/>
              </w:rPr>
              <w:t>Western</w:t>
            </w:r>
          </w:p>
        </w:tc>
        <w:tc>
          <w:tcPr>
            <w:tcW w:w="1703" w:type="dxa"/>
            <w:gridSpan w:val="2"/>
            <w:noWrap/>
            <w:vAlign w:val="center"/>
            <w:hideMark/>
          </w:tcPr>
          <w:p w14:paraId="06788136" w14:textId="77777777" w:rsidR="00AD6261" w:rsidRPr="00D83279"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3279">
              <w:rPr>
                <w:rFonts w:cstheme="minorHAnsi"/>
                <w:sz w:val="20"/>
                <w:szCs w:val="20"/>
              </w:rPr>
              <w:t>2,079</w:t>
            </w:r>
          </w:p>
        </w:tc>
        <w:tc>
          <w:tcPr>
            <w:tcW w:w="1300" w:type="dxa"/>
            <w:noWrap/>
            <w:vAlign w:val="center"/>
            <w:hideMark/>
          </w:tcPr>
          <w:p w14:paraId="5801AA57" w14:textId="77777777" w:rsidR="00AD6261" w:rsidRPr="00D83279"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3279">
              <w:rPr>
                <w:rFonts w:cstheme="minorHAnsi"/>
                <w:sz w:val="20"/>
                <w:szCs w:val="20"/>
              </w:rPr>
              <w:t>252</w:t>
            </w:r>
          </w:p>
        </w:tc>
        <w:tc>
          <w:tcPr>
            <w:tcW w:w="1229" w:type="dxa"/>
            <w:noWrap/>
            <w:vAlign w:val="center"/>
            <w:hideMark/>
          </w:tcPr>
          <w:p w14:paraId="52F0AE83" w14:textId="77777777" w:rsidR="00AD6261" w:rsidRPr="00034681" w:rsidRDefault="00AD6261" w:rsidP="00FE7D14">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6.2%</w:t>
            </w:r>
          </w:p>
        </w:tc>
        <w:tc>
          <w:tcPr>
            <w:tcW w:w="1800" w:type="dxa"/>
            <w:noWrap/>
            <w:vAlign w:val="center"/>
            <w:hideMark/>
          </w:tcPr>
          <w:p w14:paraId="7663A86F" w14:textId="77777777" w:rsidR="00AD6261" w:rsidRPr="00034681"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8.5%</w:t>
            </w:r>
          </w:p>
        </w:tc>
      </w:tr>
      <w:tr w:rsidR="00AD6261" w:rsidRPr="009669DA" w14:paraId="0A522479" w14:textId="77777777" w:rsidTr="00FE7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3A296F83" w14:textId="77777777" w:rsidR="00AD6261" w:rsidRPr="0072305E" w:rsidRDefault="00AD6261" w:rsidP="00B9580D">
            <w:pPr>
              <w:spacing w:line="240" w:lineRule="auto"/>
              <w:jc w:val="center"/>
              <w:rPr>
                <w:rFonts w:asciiTheme="majorHAnsi" w:eastAsia="Times New Roman" w:hAnsiTheme="majorHAnsi" w:cstheme="majorHAnsi"/>
                <w:color w:val="000000"/>
                <w:sz w:val="20"/>
                <w:szCs w:val="20"/>
              </w:rPr>
            </w:pPr>
          </w:p>
        </w:tc>
        <w:tc>
          <w:tcPr>
            <w:tcW w:w="1703" w:type="dxa"/>
            <w:gridSpan w:val="2"/>
            <w:noWrap/>
            <w:vAlign w:val="center"/>
            <w:hideMark/>
          </w:tcPr>
          <w:p w14:paraId="62A7CA28" w14:textId="77777777" w:rsidR="00AD6261" w:rsidRPr="00034681"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rPr>
            </w:pPr>
          </w:p>
        </w:tc>
        <w:tc>
          <w:tcPr>
            <w:tcW w:w="1300" w:type="dxa"/>
            <w:noWrap/>
            <w:vAlign w:val="center"/>
            <w:hideMark/>
          </w:tcPr>
          <w:p w14:paraId="5A034B01" w14:textId="77777777" w:rsidR="00AD6261" w:rsidRPr="00034681"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c>
          <w:tcPr>
            <w:tcW w:w="1229" w:type="dxa"/>
            <w:noWrap/>
            <w:vAlign w:val="center"/>
            <w:hideMark/>
          </w:tcPr>
          <w:p w14:paraId="4B614379" w14:textId="77777777" w:rsidR="00AD6261" w:rsidRPr="00034681" w:rsidRDefault="00AD6261" w:rsidP="00FE7D1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c>
          <w:tcPr>
            <w:tcW w:w="1800" w:type="dxa"/>
            <w:noWrap/>
            <w:vAlign w:val="center"/>
            <w:hideMark/>
          </w:tcPr>
          <w:p w14:paraId="6D665830" w14:textId="77777777" w:rsidR="00AD6261" w:rsidRPr="00034681" w:rsidRDefault="00AD6261" w:rsidP="00B9580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AD6261" w:rsidRPr="009669DA" w14:paraId="2617146B" w14:textId="77777777" w:rsidTr="00FE7D14">
        <w:trPr>
          <w:trHeight w:val="300"/>
          <w:jc w:val="center"/>
        </w:trPr>
        <w:tc>
          <w:tcPr>
            <w:cnfStyle w:val="001000000000" w:firstRow="0" w:lastRow="0" w:firstColumn="1" w:lastColumn="0" w:oddVBand="0" w:evenVBand="0" w:oddHBand="0" w:evenHBand="0" w:firstRowFirstColumn="0" w:firstRowLastColumn="0" w:lastRowFirstColumn="0" w:lastRowLastColumn="0"/>
            <w:tcW w:w="2072" w:type="dxa"/>
            <w:noWrap/>
            <w:vAlign w:val="center"/>
            <w:hideMark/>
          </w:tcPr>
          <w:p w14:paraId="0C4DF354" w14:textId="77777777" w:rsidR="00AD6261" w:rsidRPr="0072305E" w:rsidRDefault="00AD6261" w:rsidP="00FE7D14">
            <w:pPr>
              <w:spacing w:line="240" w:lineRule="auto"/>
              <w:ind w:firstLine="0"/>
              <w:jc w:val="right"/>
              <w:rPr>
                <w:rFonts w:asciiTheme="majorHAnsi" w:eastAsia="Times New Roman" w:hAnsiTheme="majorHAnsi" w:cstheme="majorHAnsi"/>
                <w:color w:val="000000"/>
                <w:sz w:val="20"/>
                <w:szCs w:val="20"/>
              </w:rPr>
            </w:pPr>
            <w:r w:rsidRPr="0072305E">
              <w:rPr>
                <w:rFonts w:asciiTheme="majorHAnsi" w:eastAsia="Times New Roman" w:hAnsiTheme="majorHAnsi" w:cstheme="majorHAnsi"/>
                <w:color w:val="000000"/>
                <w:sz w:val="20"/>
                <w:szCs w:val="20"/>
              </w:rPr>
              <w:t>Total /Overall</w:t>
            </w:r>
          </w:p>
        </w:tc>
        <w:tc>
          <w:tcPr>
            <w:tcW w:w="1703" w:type="dxa"/>
            <w:gridSpan w:val="2"/>
            <w:noWrap/>
            <w:vAlign w:val="center"/>
            <w:hideMark/>
          </w:tcPr>
          <w:p w14:paraId="257C87ED" w14:textId="77777777" w:rsidR="00AD6261" w:rsidRPr="00034681"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034681">
              <w:rPr>
                <w:rFonts w:cstheme="minorHAnsi"/>
                <w:color w:val="000000"/>
                <w:sz w:val="20"/>
                <w:szCs w:val="20"/>
              </w:rPr>
              <w:t>14,854</w:t>
            </w:r>
          </w:p>
        </w:tc>
        <w:tc>
          <w:tcPr>
            <w:tcW w:w="1300" w:type="dxa"/>
            <w:noWrap/>
            <w:vAlign w:val="center"/>
            <w:hideMark/>
          </w:tcPr>
          <w:p w14:paraId="35776198" w14:textId="77777777" w:rsidR="00AD6261" w:rsidRPr="00034681" w:rsidRDefault="00AD6261" w:rsidP="00FE7D14">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034681">
              <w:rPr>
                <w:rFonts w:cstheme="minorHAnsi"/>
                <w:color w:val="000000"/>
                <w:sz w:val="20"/>
                <w:szCs w:val="20"/>
              </w:rPr>
              <w:t>1,750</w:t>
            </w:r>
          </w:p>
        </w:tc>
        <w:tc>
          <w:tcPr>
            <w:tcW w:w="1229" w:type="dxa"/>
            <w:noWrap/>
            <w:vAlign w:val="center"/>
            <w:hideMark/>
          </w:tcPr>
          <w:p w14:paraId="3FE7DD89" w14:textId="77777777" w:rsidR="00AD6261" w:rsidRPr="00034681" w:rsidRDefault="00AD6261" w:rsidP="00FE7D14">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2.5%</w:t>
            </w:r>
          </w:p>
        </w:tc>
        <w:tc>
          <w:tcPr>
            <w:tcW w:w="1800" w:type="dxa"/>
            <w:noWrap/>
            <w:vAlign w:val="center"/>
            <w:hideMark/>
          </w:tcPr>
          <w:p w14:paraId="3D2A9807" w14:textId="77777777" w:rsidR="00AD6261" w:rsidRPr="00034681" w:rsidRDefault="00AD6261" w:rsidP="00B9580D">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034681">
              <w:rPr>
                <w:rFonts w:cstheme="minorHAnsi"/>
                <w:sz w:val="20"/>
                <w:szCs w:val="20"/>
              </w:rPr>
              <w:t>3.5%</w:t>
            </w:r>
          </w:p>
        </w:tc>
      </w:tr>
    </w:tbl>
    <w:p w14:paraId="5E771879" w14:textId="1FAD0F66" w:rsidR="00AD6261" w:rsidRDefault="00AD6261" w:rsidP="00AD6261">
      <w:pPr>
        <w:spacing w:line="240" w:lineRule="auto"/>
        <w:rPr>
          <w:sz w:val="20"/>
        </w:rPr>
      </w:pPr>
      <w:r>
        <w:rPr>
          <w:sz w:val="20"/>
        </w:rPr>
        <w:t>Source:  FNS 742 Database, Common Core Data (CCD) 2014-2015 LEA data.</w:t>
      </w:r>
    </w:p>
    <w:p w14:paraId="19F2BE5D" w14:textId="77777777" w:rsidR="009D430D" w:rsidRPr="00C32CAD" w:rsidRDefault="009D430D" w:rsidP="00FE7D14">
      <w:pPr>
        <w:spacing w:line="240" w:lineRule="auto"/>
        <w:ind w:left="720" w:firstLine="0"/>
        <w:rPr>
          <w:sz w:val="20"/>
        </w:rPr>
      </w:pPr>
      <w:r w:rsidRPr="00C32CAD">
        <w:rPr>
          <w:sz w:val="20"/>
        </w:rPr>
        <w:t xml:space="preserve">Of the 14,854 SFAs on the </w:t>
      </w:r>
      <w:r w:rsidR="00BD4776">
        <w:rPr>
          <w:sz w:val="20"/>
        </w:rPr>
        <w:t>FNS-</w:t>
      </w:r>
      <w:r w:rsidRPr="00C32CAD">
        <w:rPr>
          <w:sz w:val="20"/>
        </w:rPr>
        <w:t xml:space="preserve">742 database, we were unable to match 584 to the CCD resulting in missing </w:t>
      </w:r>
      <w:proofErr w:type="spellStart"/>
      <w:r w:rsidRPr="00C32CAD">
        <w:rPr>
          <w:sz w:val="20"/>
        </w:rPr>
        <w:t>urbanicity</w:t>
      </w:r>
      <w:proofErr w:type="spellEnd"/>
      <w:r w:rsidRPr="00C32CAD">
        <w:rPr>
          <w:sz w:val="20"/>
        </w:rPr>
        <w:t xml:space="preserve"> information as shown in Table </w:t>
      </w:r>
      <w:r w:rsidR="007A7979">
        <w:rPr>
          <w:sz w:val="20"/>
        </w:rPr>
        <w:t>B</w:t>
      </w:r>
      <w:r w:rsidRPr="00C32CAD">
        <w:rPr>
          <w:sz w:val="20"/>
        </w:rPr>
        <w:t xml:space="preserve">2.  </w:t>
      </w:r>
    </w:p>
    <w:p w14:paraId="421DA6A1" w14:textId="77777777" w:rsidR="00AD6261" w:rsidRDefault="00AD6261" w:rsidP="00AD6261">
      <w:pPr>
        <w:spacing w:line="240" w:lineRule="auto"/>
        <w:rPr>
          <w:sz w:val="20"/>
        </w:rPr>
      </w:pPr>
    </w:p>
    <w:p w14:paraId="2D47B6C1" w14:textId="333AE57D" w:rsidR="005E2364" w:rsidRDefault="00711953" w:rsidP="005E2364">
      <w:pPr>
        <w:pStyle w:val="P1-StandPara"/>
        <w:spacing w:line="240" w:lineRule="auto"/>
        <w:ind w:left="540" w:firstLine="0"/>
      </w:pPr>
      <w:r w:rsidRPr="00711953">
        <w:rPr>
          <w:b/>
          <w:szCs w:val="24"/>
        </w:rPr>
        <w:t xml:space="preserve">Statistical methodology for </w:t>
      </w:r>
      <w:r w:rsidR="00B06525" w:rsidRPr="00C95980">
        <w:rPr>
          <w:b/>
          <w:szCs w:val="24"/>
        </w:rPr>
        <w:t>Sample Stratification and Selection</w:t>
      </w:r>
    </w:p>
    <w:p w14:paraId="1BE6CB47" w14:textId="4D347EAA" w:rsidR="00B06525" w:rsidRPr="006F3693" w:rsidRDefault="00B06525" w:rsidP="00D305A9">
      <w:r w:rsidRPr="006F3693">
        <w:t>As indicated in Section B.1, an SFA-</w:t>
      </w:r>
      <w:r w:rsidR="000D2990" w:rsidRPr="00A8224A">
        <w:t xml:space="preserve">level database derived from </w:t>
      </w:r>
      <w:r w:rsidR="003935C5">
        <w:t xml:space="preserve">the </w:t>
      </w:r>
      <w:r w:rsidR="000D2990" w:rsidRPr="00A8224A">
        <w:t>201</w:t>
      </w:r>
      <w:r w:rsidR="000D2990" w:rsidRPr="006F3693">
        <w:t>4</w:t>
      </w:r>
      <w:r w:rsidR="00C31F26">
        <w:t>–</w:t>
      </w:r>
      <w:r w:rsidR="000D2990" w:rsidRPr="006F3693">
        <w:t>15</w:t>
      </w:r>
      <w:r w:rsidRPr="006F3693">
        <w:t xml:space="preserve"> Verification </w:t>
      </w:r>
      <w:r w:rsidR="00B143F4" w:rsidRPr="00A8224A">
        <w:t>Collection Report</w:t>
      </w:r>
      <w:r w:rsidRPr="006F3693">
        <w:t xml:space="preserve"> data w</w:t>
      </w:r>
      <w:r w:rsidR="001C424D" w:rsidRPr="006F3693">
        <w:t>as</w:t>
      </w:r>
      <w:r w:rsidRPr="006F3693">
        <w:t xml:space="preserve"> used to construct the SFA sampling frame. In addition to a unique identifier (SFAID), </w:t>
      </w:r>
      <w:r w:rsidR="00CD7A20" w:rsidRPr="006F3693">
        <w:t xml:space="preserve">the </w:t>
      </w:r>
      <w:r w:rsidRPr="006F3693">
        <w:t xml:space="preserve">name of </w:t>
      </w:r>
      <w:r w:rsidR="00FB7FB8" w:rsidRPr="006F3693">
        <w:t xml:space="preserve">the </w:t>
      </w:r>
      <w:r w:rsidRPr="006F3693">
        <w:t xml:space="preserve">SFA, and </w:t>
      </w:r>
      <w:r w:rsidR="00C31F26">
        <w:t xml:space="preserve">the </w:t>
      </w:r>
      <w:r w:rsidR="00D07191" w:rsidRPr="006F3693">
        <w:t>S</w:t>
      </w:r>
      <w:r w:rsidRPr="006F3693">
        <w:t xml:space="preserve">tate in which the SFA is located, the </w:t>
      </w:r>
      <w:r w:rsidRPr="006F3693">
        <w:lastRenderedPageBreak/>
        <w:t xml:space="preserve">database includes information about the </w:t>
      </w:r>
      <w:r w:rsidR="00FB7FB8" w:rsidRPr="006F3693">
        <w:t>type</w:t>
      </w:r>
      <w:r w:rsidRPr="006F3693">
        <w:t xml:space="preserve"> of the SFA/school district (public or private), </w:t>
      </w:r>
      <w:r w:rsidR="00FB7FB8" w:rsidRPr="006F3693">
        <w:t xml:space="preserve">the </w:t>
      </w:r>
      <w:r w:rsidRPr="006F3693">
        <w:t xml:space="preserve">number of schools participating in the NSLP/SBP, </w:t>
      </w:r>
      <w:r w:rsidR="00FB7FB8" w:rsidRPr="006F3693">
        <w:t xml:space="preserve">the </w:t>
      </w:r>
      <w:r w:rsidRPr="006F3693">
        <w:t xml:space="preserve">total enrollment in participating schools, and the number of students eligible for </w:t>
      </w:r>
      <w:r w:rsidR="00C31F26">
        <w:t>FRP</w:t>
      </w:r>
      <w:r w:rsidRPr="006F3693">
        <w:t xml:space="preserve"> </w:t>
      </w:r>
      <w:r w:rsidR="000B63C0">
        <w:t>meals</w:t>
      </w:r>
      <w:r w:rsidRPr="006F3693">
        <w:t xml:space="preserve">. This information, along with </w:t>
      </w:r>
      <w:r w:rsidR="00CD7A20" w:rsidRPr="006F3693">
        <w:t xml:space="preserve">the </w:t>
      </w:r>
      <w:r w:rsidRPr="006F3693">
        <w:t>dat</w:t>
      </w:r>
      <w:r w:rsidR="00E5452E">
        <w:t>a from the most recent CCD</w:t>
      </w:r>
      <w:r w:rsidRPr="006F3693">
        <w:t xml:space="preserve"> LEA universe file</w:t>
      </w:r>
      <w:r w:rsidR="00FB7FB8" w:rsidRPr="006F3693">
        <w:t>,</w:t>
      </w:r>
      <w:r w:rsidRPr="006F3693">
        <w:t xml:space="preserve"> </w:t>
      </w:r>
      <w:r w:rsidR="009512D2" w:rsidRPr="006F3693">
        <w:t>where applicable</w:t>
      </w:r>
      <w:r w:rsidR="00CD7A20" w:rsidRPr="006F3693">
        <w:t>,</w:t>
      </w:r>
      <w:r w:rsidR="009512D2" w:rsidRPr="006F3693">
        <w:t xml:space="preserve"> </w:t>
      </w:r>
      <w:proofErr w:type="gramStart"/>
      <w:r w:rsidR="001C424D" w:rsidRPr="006F3693">
        <w:t>were</w:t>
      </w:r>
      <w:proofErr w:type="gramEnd"/>
      <w:r w:rsidRPr="006F3693">
        <w:t xml:space="preserve"> used to stratify SFAs for sampling purposes. </w:t>
      </w:r>
      <w:proofErr w:type="gramStart"/>
      <w:r w:rsidR="00C27005">
        <w:t>All</w:t>
      </w:r>
      <w:r w:rsidRPr="006F3693">
        <w:t xml:space="preserve"> known eligible SFAs, including those that </w:t>
      </w:r>
      <w:r w:rsidR="00D07191" w:rsidRPr="006F3693">
        <w:t>could not</w:t>
      </w:r>
      <w:r w:rsidRPr="006F3693">
        <w:t xml:space="preserve"> be matched to the </w:t>
      </w:r>
      <w:r w:rsidR="002A5DA0" w:rsidRPr="006F3693">
        <w:t>most current</w:t>
      </w:r>
      <w:r w:rsidRPr="006F3693">
        <w:t xml:space="preserve"> CCD file, </w:t>
      </w:r>
      <w:r w:rsidR="00D07191" w:rsidRPr="006F3693">
        <w:t>were</w:t>
      </w:r>
      <w:r w:rsidRPr="006F3693">
        <w:t xml:space="preserve"> included in the sampling frame.</w:t>
      </w:r>
      <w:proofErr w:type="gramEnd"/>
      <w:r w:rsidR="00D565CB" w:rsidRPr="006F3693">
        <w:t xml:space="preserve"> </w:t>
      </w:r>
    </w:p>
    <w:p w14:paraId="001112AD" w14:textId="206DF156" w:rsidR="00B06525" w:rsidRPr="006F3693" w:rsidRDefault="00B06525" w:rsidP="00D305A9">
      <w:pPr>
        <w:pStyle w:val="P1-StandPara"/>
        <w:spacing w:before="120" w:line="480" w:lineRule="auto"/>
        <w:ind w:firstLine="720"/>
        <w:rPr>
          <w:szCs w:val="24"/>
        </w:rPr>
      </w:pPr>
      <w:r w:rsidRPr="006F3693">
        <w:rPr>
          <w:szCs w:val="24"/>
        </w:rPr>
        <w:t xml:space="preserve">The types of SFA/district-level variables that can be used either as explicit or implicit </w:t>
      </w:r>
      <w:proofErr w:type="spellStart"/>
      <w:r w:rsidRPr="006F3693">
        <w:rPr>
          <w:szCs w:val="24"/>
        </w:rPr>
        <w:t>stratifiers</w:t>
      </w:r>
      <w:proofErr w:type="spellEnd"/>
      <w:r w:rsidRPr="006F3693">
        <w:rPr>
          <w:szCs w:val="24"/>
        </w:rPr>
        <w:t xml:space="preserve"> include region (defined by the seven FNS regions</w:t>
      </w:r>
      <w:r w:rsidR="0018488D" w:rsidRPr="006F3693">
        <w:rPr>
          <w:rStyle w:val="FootnoteReference"/>
          <w:szCs w:val="24"/>
        </w:rPr>
        <w:footnoteReference w:id="2"/>
      </w:r>
      <w:r w:rsidR="000D2990" w:rsidRPr="006F3693">
        <w:rPr>
          <w:szCs w:val="24"/>
        </w:rPr>
        <w:t>), enrollment size</w:t>
      </w:r>
      <w:r w:rsidRPr="00A8224A">
        <w:rPr>
          <w:szCs w:val="24"/>
        </w:rPr>
        <w:t xml:space="preserve">, a measure of poverty status defined by the percent of students eligible for </w:t>
      </w:r>
      <w:r w:rsidR="00C31F26">
        <w:rPr>
          <w:szCs w:val="24"/>
        </w:rPr>
        <w:t>FRP</w:t>
      </w:r>
      <w:r w:rsidRPr="006F3693">
        <w:rPr>
          <w:szCs w:val="24"/>
        </w:rPr>
        <w:t xml:space="preserve"> </w:t>
      </w:r>
      <w:r w:rsidR="000B63C0">
        <w:rPr>
          <w:szCs w:val="24"/>
        </w:rPr>
        <w:t>meals</w:t>
      </w:r>
      <w:r w:rsidRPr="000B63C0">
        <w:rPr>
          <w:szCs w:val="24"/>
        </w:rPr>
        <w:t xml:space="preserve">, minority status defined by the percent of </w:t>
      </w:r>
      <w:r w:rsidR="00FD76C3" w:rsidRPr="000B63C0">
        <w:rPr>
          <w:szCs w:val="24"/>
        </w:rPr>
        <w:t xml:space="preserve">students who were </w:t>
      </w:r>
      <w:r w:rsidRPr="000B63C0">
        <w:rPr>
          <w:szCs w:val="24"/>
        </w:rPr>
        <w:t>non-white</w:t>
      </w:r>
      <w:r w:rsidR="00FD76C3" w:rsidRPr="000B63C0">
        <w:rPr>
          <w:szCs w:val="24"/>
        </w:rPr>
        <w:t>,</w:t>
      </w:r>
      <w:r w:rsidRPr="000B63C0">
        <w:rPr>
          <w:szCs w:val="24"/>
        </w:rPr>
        <w:t xml:space="preserve"> type of locale</w:t>
      </w:r>
      <w:r w:rsidR="007A7979">
        <w:rPr>
          <w:szCs w:val="24"/>
        </w:rPr>
        <w:t xml:space="preserve"> or </w:t>
      </w:r>
      <w:proofErr w:type="spellStart"/>
      <w:r w:rsidR="007A7979">
        <w:rPr>
          <w:szCs w:val="24"/>
        </w:rPr>
        <w:t>urbanicity</w:t>
      </w:r>
      <w:proofErr w:type="spellEnd"/>
      <w:r w:rsidRPr="000B63C0">
        <w:rPr>
          <w:szCs w:val="24"/>
        </w:rPr>
        <w:t xml:space="preserve"> (e.g., cen</w:t>
      </w:r>
      <w:r w:rsidRPr="00A8224A">
        <w:rPr>
          <w:szCs w:val="24"/>
        </w:rPr>
        <w:t>tral city, suburban, town, rural), and instructional level of schools served by the SFA (e.g., elementary schools only, secondary schools only, or both)</w:t>
      </w:r>
      <w:r w:rsidR="00155C44">
        <w:rPr>
          <w:szCs w:val="24"/>
        </w:rPr>
        <w:t>.</w:t>
      </w:r>
      <w:r w:rsidR="001E09A3" w:rsidRPr="006F3693">
        <w:rPr>
          <w:rStyle w:val="FootnoteReference"/>
          <w:szCs w:val="24"/>
        </w:rPr>
        <w:footnoteReference w:id="3"/>
      </w:r>
      <w:r w:rsidRPr="006F3693">
        <w:rPr>
          <w:szCs w:val="24"/>
        </w:rPr>
        <w:t xml:space="preserve"> </w:t>
      </w:r>
      <w:r w:rsidR="002F73D4">
        <w:rPr>
          <w:szCs w:val="24"/>
        </w:rPr>
        <w:t>Because</w:t>
      </w:r>
      <w:r w:rsidR="002F73D4" w:rsidRPr="00A8224A">
        <w:rPr>
          <w:szCs w:val="24"/>
        </w:rPr>
        <w:t xml:space="preserve"> </w:t>
      </w:r>
      <w:r w:rsidRPr="00A8224A">
        <w:rPr>
          <w:szCs w:val="24"/>
        </w:rPr>
        <w:t xml:space="preserve">many of these characteristics are related, it </w:t>
      </w:r>
      <w:r w:rsidR="000C36A6" w:rsidRPr="00A8224A">
        <w:rPr>
          <w:szCs w:val="24"/>
        </w:rPr>
        <w:t xml:space="preserve">was </w:t>
      </w:r>
      <w:r w:rsidRPr="006F3693">
        <w:rPr>
          <w:szCs w:val="24"/>
        </w:rPr>
        <w:t xml:space="preserve">not necessary to employ all of them in </w:t>
      </w:r>
      <w:r w:rsidR="000C36A6" w:rsidRPr="006F3693">
        <w:rPr>
          <w:szCs w:val="24"/>
        </w:rPr>
        <w:t xml:space="preserve">the </w:t>
      </w:r>
      <w:r w:rsidRPr="006F3693">
        <w:rPr>
          <w:szCs w:val="24"/>
        </w:rPr>
        <w:t xml:space="preserve">stratification to account for variation in </w:t>
      </w:r>
      <w:r w:rsidR="00CD7A20" w:rsidRPr="006F3693">
        <w:rPr>
          <w:szCs w:val="24"/>
        </w:rPr>
        <w:t xml:space="preserve">the </w:t>
      </w:r>
      <w:r w:rsidRPr="006F3693">
        <w:rPr>
          <w:szCs w:val="24"/>
        </w:rPr>
        <w:t xml:space="preserve">SFAs. </w:t>
      </w:r>
      <w:r w:rsidR="000D2990" w:rsidRPr="006F3693">
        <w:rPr>
          <w:szCs w:val="24"/>
        </w:rPr>
        <w:t>Two</w:t>
      </w:r>
      <w:r w:rsidRPr="006F3693">
        <w:rPr>
          <w:szCs w:val="24"/>
        </w:rPr>
        <w:t xml:space="preserve"> variables</w:t>
      </w:r>
      <w:r w:rsidR="000C36A6" w:rsidRPr="006F3693">
        <w:rPr>
          <w:szCs w:val="24"/>
        </w:rPr>
        <w:t xml:space="preserve"> were used to create the strata</w:t>
      </w:r>
      <w:r w:rsidRPr="006F3693">
        <w:rPr>
          <w:szCs w:val="24"/>
        </w:rPr>
        <w:t>: SFA enrollment size</w:t>
      </w:r>
      <w:r w:rsidR="000D2990" w:rsidRPr="006F3693">
        <w:rPr>
          <w:szCs w:val="24"/>
        </w:rPr>
        <w:t xml:space="preserve"> and </w:t>
      </w:r>
      <w:r w:rsidRPr="006F3693">
        <w:rPr>
          <w:szCs w:val="24"/>
        </w:rPr>
        <w:t xml:space="preserve">poverty status. </w:t>
      </w:r>
      <w:r w:rsidRPr="006F3693">
        <w:rPr>
          <w:color w:val="000000"/>
          <w:szCs w:val="24"/>
        </w:rPr>
        <w:t xml:space="preserve">A total sample of </w:t>
      </w:r>
      <w:r w:rsidR="00EE3C3C" w:rsidRPr="006F3693">
        <w:rPr>
          <w:color w:val="000000"/>
          <w:szCs w:val="24"/>
        </w:rPr>
        <w:t>2,18</w:t>
      </w:r>
      <w:r w:rsidR="00894966">
        <w:rPr>
          <w:color w:val="000000"/>
          <w:szCs w:val="24"/>
        </w:rPr>
        <w:t>8</w:t>
      </w:r>
      <w:r w:rsidR="004D30BC" w:rsidRPr="006F3693">
        <w:rPr>
          <w:color w:val="000000"/>
          <w:szCs w:val="24"/>
        </w:rPr>
        <w:t xml:space="preserve"> </w:t>
      </w:r>
      <w:r w:rsidRPr="006F3693">
        <w:rPr>
          <w:color w:val="000000"/>
          <w:szCs w:val="24"/>
        </w:rPr>
        <w:t xml:space="preserve">SFAs </w:t>
      </w:r>
      <w:r w:rsidR="00947257" w:rsidRPr="006F3693">
        <w:rPr>
          <w:color w:val="000000"/>
          <w:szCs w:val="24"/>
        </w:rPr>
        <w:t>were</w:t>
      </w:r>
      <w:r w:rsidRPr="006F3693">
        <w:rPr>
          <w:color w:val="000000"/>
          <w:szCs w:val="24"/>
        </w:rPr>
        <w:t xml:space="preserve"> allocated to the strata</w:t>
      </w:r>
      <w:r w:rsidR="00AE5BA1" w:rsidRPr="006F3693">
        <w:rPr>
          <w:color w:val="000000"/>
          <w:szCs w:val="24"/>
        </w:rPr>
        <w:t xml:space="preserve"> </w:t>
      </w:r>
      <w:r w:rsidR="00E5452E">
        <w:rPr>
          <w:color w:val="000000"/>
          <w:szCs w:val="24"/>
        </w:rPr>
        <w:t>as discussed in section B1.</w:t>
      </w:r>
    </w:p>
    <w:p w14:paraId="49F71F4D" w14:textId="051E629A" w:rsidR="00B06525" w:rsidRPr="00C95980" w:rsidRDefault="00B06525" w:rsidP="00D305A9">
      <w:pPr>
        <w:spacing w:before="120" w:line="240" w:lineRule="auto"/>
        <w:ind w:firstLine="0"/>
        <w:rPr>
          <w:b/>
          <w:color w:val="000000"/>
          <w:szCs w:val="24"/>
        </w:rPr>
      </w:pPr>
    </w:p>
    <w:p w14:paraId="287896DB" w14:textId="77777777" w:rsidR="00075587" w:rsidRPr="006F3693" w:rsidRDefault="00B06525" w:rsidP="00C677AC">
      <w:pPr>
        <w:spacing w:before="120"/>
        <w:rPr>
          <w:color w:val="000000"/>
          <w:szCs w:val="24"/>
        </w:rPr>
      </w:pPr>
      <w:r w:rsidRPr="006F3693">
        <w:rPr>
          <w:color w:val="000000"/>
          <w:szCs w:val="24"/>
        </w:rPr>
        <w:t>Table B</w:t>
      </w:r>
      <w:r w:rsidR="007A7979">
        <w:rPr>
          <w:color w:val="000000"/>
          <w:szCs w:val="24"/>
        </w:rPr>
        <w:t>2</w:t>
      </w:r>
      <w:r w:rsidRPr="006F3693">
        <w:rPr>
          <w:color w:val="000000"/>
          <w:szCs w:val="24"/>
        </w:rPr>
        <w:t xml:space="preserve"> summarizes the approximate </w:t>
      </w:r>
      <w:r w:rsidR="00CA199C" w:rsidRPr="00A8224A">
        <w:rPr>
          <w:color w:val="000000"/>
          <w:szCs w:val="24"/>
        </w:rPr>
        <w:t xml:space="preserve">survey </w:t>
      </w:r>
      <w:r w:rsidRPr="00A8224A">
        <w:rPr>
          <w:color w:val="000000"/>
          <w:szCs w:val="24"/>
        </w:rPr>
        <w:t xml:space="preserve">sample sizes and </w:t>
      </w:r>
      <w:r w:rsidR="00874F9F" w:rsidRPr="006F3693">
        <w:rPr>
          <w:color w:val="000000"/>
          <w:szCs w:val="24"/>
        </w:rPr>
        <w:t xml:space="preserve">precision </w:t>
      </w:r>
      <w:r w:rsidRPr="006F3693">
        <w:rPr>
          <w:color w:val="000000"/>
          <w:szCs w:val="24"/>
        </w:rPr>
        <w:t xml:space="preserve">to be expected under the proposed design for selected subgroups. The standard errors in </w:t>
      </w:r>
      <w:r w:rsidR="00070033" w:rsidRPr="006F3693">
        <w:rPr>
          <w:color w:val="000000"/>
          <w:szCs w:val="24"/>
        </w:rPr>
        <w:t>T</w:t>
      </w:r>
      <w:r w:rsidRPr="006F3693">
        <w:rPr>
          <w:color w:val="000000"/>
          <w:szCs w:val="24"/>
        </w:rPr>
        <w:t>able B</w:t>
      </w:r>
      <w:r w:rsidR="007A7979">
        <w:rPr>
          <w:color w:val="000000"/>
          <w:szCs w:val="24"/>
        </w:rPr>
        <w:t>2</w:t>
      </w:r>
      <w:r w:rsidRPr="006F3693">
        <w:rPr>
          <w:color w:val="000000"/>
          <w:szCs w:val="24"/>
        </w:rPr>
        <w:t xml:space="preserve"> reflect design effects ranging from </w:t>
      </w:r>
      <w:r w:rsidR="002A7ED3" w:rsidRPr="006F3693">
        <w:rPr>
          <w:color w:val="000000"/>
          <w:szCs w:val="24"/>
        </w:rPr>
        <w:t xml:space="preserve">0.17 </w:t>
      </w:r>
      <w:r w:rsidRPr="006F3693">
        <w:rPr>
          <w:color w:val="000000"/>
          <w:szCs w:val="24"/>
        </w:rPr>
        <w:t xml:space="preserve">to </w:t>
      </w:r>
      <w:r w:rsidR="002A7ED3" w:rsidRPr="006F3693">
        <w:rPr>
          <w:color w:val="000000"/>
          <w:szCs w:val="24"/>
        </w:rPr>
        <w:t xml:space="preserve">approximately </w:t>
      </w:r>
      <w:r w:rsidRPr="006F3693">
        <w:rPr>
          <w:color w:val="000000"/>
          <w:szCs w:val="24"/>
        </w:rPr>
        <w:t>1.5</w:t>
      </w:r>
      <w:r w:rsidR="00E804AC">
        <w:rPr>
          <w:color w:val="000000"/>
          <w:szCs w:val="24"/>
        </w:rPr>
        <w:t xml:space="preserve">, </w:t>
      </w:r>
      <w:r w:rsidRPr="006F3693">
        <w:rPr>
          <w:color w:val="000000"/>
          <w:szCs w:val="24"/>
        </w:rPr>
        <w:t>depending on subgroup</w:t>
      </w:r>
      <w:r w:rsidR="00874F9F" w:rsidRPr="00A8224A">
        <w:rPr>
          <w:color w:val="000000"/>
          <w:szCs w:val="24"/>
        </w:rPr>
        <w:t>.</w:t>
      </w:r>
      <w:r w:rsidRPr="00A8224A">
        <w:rPr>
          <w:color w:val="000000"/>
          <w:szCs w:val="24"/>
        </w:rPr>
        <w:t xml:space="preserve"> The design effect </w:t>
      </w:r>
      <w:r w:rsidRPr="00A8224A">
        <w:rPr>
          <w:color w:val="000000"/>
          <w:szCs w:val="24"/>
        </w:rPr>
        <w:lastRenderedPageBreak/>
        <w:t xml:space="preserve">primarily reflects the fact that under the proposed stratified design, large SFAs will be sampled at relatively higher rates (i.e., have smaller sampling weights) than small SFAs. </w:t>
      </w:r>
    </w:p>
    <w:p w14:paraId="354006C8" w14:textId="79B966E3" w:rsidR="00B06525" w:rsidRPr="00A8224A" w:rsidRDefault="001A46F4" w:rsidP="00D305A9">
      <w:pPr>
        <w:keepNext/>
        <w:keepLines/>
        <w:tabs>
          <w:tab w:val="left" w:pos="540"/>
        </w:tabs>
        <w:spacing w:before="240" w:line="240" w:lineRule="auto"/>
        <w:ind w:firstLine="0"/>
        <w:rPr>
          <w:b/>
          <w:color w:val="000000"/>
          <w:szCs w:val="24"/>
        </w:rPr>
      </w:pPr>
      <w:r>
        <w:rPr>
          <w:b/>
          <w:color w:val="000000"/>
          <w:szCs w:val="24"/>
        </w:rPr>
        <w:tab/>
      </w:r>
      <w:r w:rsidR="00B06525" w:rsidRPr="006F3693">
        <w:rPr>
          <w:b/>
          <w:color w:val="000000"/>
          <w:szCs w:val="24"/>
        </w:rPr>
        <w:t xml:space="preserve">Estimation </w:t>
      </w:r>
      <w:r w:rsidR="00711953">
        <w:rPr>
          <w:b/>
          <w:color w:val="000000"/>
          <w:szCs w:val="24"/>
        </w:rPr>
        <w:t>Procedure</w:t>
      </w:r>
    </w:p>
    <w:p w14:paraId="7450FB79" w14:textId="58AD1477" w:rsidR="00B06525" w:rsidRPr="006F3693" w:rsidRDefault="00D305A9" w:rsidP="00C677AC">
      <w:pPr>
        <w:pStyle w:val="P1-StandPara"/>
        <w:tabs>
          <w:tab w:val="left" w:pos="720"/>
        </w:tabs>
        <w:spacing w:before="120" w:line="480" w:lineRule="auto"/>
        <w:ind w:firstLine="0"/>
        <w:rPr>
          <w:szCs w:val="24"/>
        </w:rPr>
      </w:pPr>
      <w:r>
        <w:rPr>
          <w:szCs w:val="24"/>
        </w:rPr>
        <w:tab/>
      </w:r>
      <w:r w:rsidR="00B06525" w:rsidRPr="006F3693">
        <w:rPr>
          <w:szCs w:val="24"/>
        </w:rPr>
        <w:t xml:space="preserve">For estimation purposes, </w:t>
      </w:r>
      <w:r w:rsidR="00EC1AA4">
        <w:rPr>
          <w:szCs w:val="24"/>
        </w:rPr>
        <w:t xml:space="preserve">the </w:t>
      </w:r>
      <w:r w:rsidR="00B06525" w:rsidRPr="006F3693">
        <w:rPr>
          <w:szCs w:val="24"/>
        </w:rPr>
        <w:t xml:space="preserve">sampling weights </w:t>
      </w:r>
      <w:r w:rsidR="00EC1AA4">
        <w:rPr>
          <w:szCs w:val="24"/>
        </w:rPr>
        <w:t xml:space="preserve">will </w:t>
      </w:r>
      <w:r w:rsidR="00B06525" w:rsidRPr="006F3693">
        <w:rPr>
          <w:szCs w:val="24"/>
        </w:rPr>
        <w:t>reflect the overall probabilities of selection</w:t>
      </w:r>
      <w:r w:rsidR="00EC1AA4">
        <w:rPr>
          <w:szCs w:val="24"/>
        </w:rPr>
        <w:t xml:space="preserve"> and of responding to the survey.</w:t>
      </w:r>
      <w:r w:rsidR="00B06525" w:rsidRPr="006F3693">
        <w:rPr>
          <w:szCs w:val="24"/>
        </w:rPr>
        <w:t xml:space="preserve"> The first step in the weighting process will be to assign a base weight to each sampled SFA. The base weight is equal to the reciprocal of the probability of selecting the SFA for the study, which will vary by sampling stratum under the proposed stratified sample design</w:t>
      </w:r>
      <w:r w:rsidR="009E0B0A" w:rsidRPr="006F3693">
        <w:rPr>
          <w:szCs w:val="24"/>
        </w:rPr>
        <w:t>.</w:t>
      </w:r>
      <w:r w:rsidR="00B06525" w:rsidRPr="006F3693">
        <w:rPr>
          <w:szCs w:val="24"/>
        </w:rPr>
        <w:t xml:space="preserve"> Next, the base weights will be adjusted for nonresponse within cells consisting of SFAs that are expected to be homogeneous with respect to response propensity. To determine the appropriate adjustment cells, we will conduct a nonresponse bias analysis to identify characteristics of SFAs that are correlated with nonresponse. The potential set of predictors to be used to define the adjustment cells will include SFA-level characteristics that are available from the FNS database</w:t>
      </w:r>
      <w:r w:rsidR="00F72114">
        <w:rPr>
          <w:szCs w:val="24"/>
        </w:rPr>
        <w:t>,</w:t>
      </w:r>
      <w:r w:rsidR="00B06525" w:rsidRPr="006F3693">
        <w:rPr>
          <w:szCs w:val="24"/>
        </w:rPr>
        <w:t xml:space="preserve"> and data from the most recent CCD file. Within these cells, a weighted response rate will be computed and applied to the SFA base weights to obtain the corresponding nonresponse-adjusted weights.</w:t>
      </w:r>
    </w:p>
    <w:p w14:paraId="741EFCFC" w14:textId="324C97B6" w:rsidR="00B06525" w:rsidRPr="006F3693" w:rsidRDefault="00B06525" w:rsidP="00D305A9">
      <w:r w:rsidRPr="006F3693">
        <w:t>To properly reflect the complex features of the sample design, standard errors of the survey-based estimates will be calculated using jackknife replication. Under the jackknife replication appr</w:t>
      </w:r>
      <w:r w:rsidR="009E0B0A" w:rsidRPr="006F3693">
        <w:t xml:space="preserve">oach, </w:t>
      </w:r>
      <w:r w:rsidRPr="006F3693">
        <w:t xml:space="preserve">subsamples or "replicates" will be formed in a way that preserves the basic features of the full sample design. A set of weights (referred to as “replicate weights”) will then be constructed for each jackknife replicate. Using the full sample weights and the replicate weights, estimates of any survey statistic can be calculated for the full sample and for each of the jackknife replicates. The variability of the replicate estimates is used to obtain the variance of the survey statistic. The replicate weights can be imported into variance estimation software (e.g., </w:t>
      </w:r>
      <w:r w:rsidRPr="006F3693">
        <w:lastRenderedPageBreak/>
        <w:t xml:space="preserve">SAS, </w:t>
      </w:r>
      <w:r w:rsidR="009E0B0A" w:rsidRPr="006F3693">
        <w:t xml:space="preserve">STATA, </w:t>
      </w:r>
      <w:r w:rsidRPr="006F3693">
        <w:t xml:space="preserve">SUDAAN, WESVAR) to calculate standard errors of the survey-based estimates. In addition to the replicate weights, stratum and unit codes will be provided in the data files to permit calculation of standard errors using Taylor series approximations if desired. Note that while replication and Taylor series methods often produce similar results, jackknife replication has some advantages </w:t>
      </w:r>
      <w:r w:rsidR="005C562B">
        <w:t>when weights are adjusted to account for nonresponse.</w:t>
      </w:r>
      <w:r w:rsidR="00C03823">
        <w:rPr>
          <w:rStyle w:val="FootnoteReference"/>
          <w:szCs w:val="24"/>
        </w:rPr>
        <w:footnoteReference w:id="4"/>
      </w:r>
    </w:p>
    <w:p w14:paraId="63DC585D" w14:textId="77777777" w:rsidR="001009B4" w:rsidRPr="00C95980" w:rsidRDefault="001009B4" w:rsidP="00C677AC">
      <w:pPr>
        <w:tabs>
          <w:tab w:val="left" w:pos="0"/>
          <w:tab w:val="left" w:pos="475"/>
        </w:tabs>
        <w:spacing w:before="120" w:line="240" w:lineRule="auto"/>
        <w:rPr>
          <w:b/>
          <w:szCs w:val="24"/>
        </w:rPr>
      </w:pPr>
      <w:r w:rsidRPr="00802CE8">
        <w:rPr>
          <w:b/>
          <w:szCs w:val="24"/>
        </w:rPr>
        <w:t xml:space="preserve">Unusual </w:t>
      </w:r>
      <w:r w:rsidR="00950034" w:rsidRPr="00802CE8">
        <w:rPr>
          <w:b/>
          <w:szCs w:val="24"/>
        </w:rPr>
        <w:t>P</w:t>
      </w:r>
      <w:r w:rsidRPr="00094DFB">
        <w:rPr>
          <w:b/>
          <w:szCs w:val="24"/>
        </w:rPr>
        <w:t xml:space="preserve">roblems </w:t>
      </w:r>
      <w:r w:rsidR="00950034" w:rsidRPr="00094DFB">
        <w:rPr>
          <w:b/>
          <w:szCs w:val="24"/>
        </w:rPr>
        <w:t>R</w:t>
      </w:r>
      <w:r w:rsidRPr="00094DFB">
        <w:rPr>
          <w:b/>
          <w:szCs w:val="24"/>
        </w:rPr>
        <w:t xml:space="preserve">equiring </w:t>
      </w:r>
      <w:r w:rsidR="00950034" w:rsidRPr="00094DFB">
        <w:rPr>
          <w:b/>
          <w:szCs w:val="24"/>
        </w:rPr>
        <w:t>S</w:t>
      </w:r>
      <w:r w:rsidRPr="00094DFB">
        <w:rPr>
          <w:b/>
          <w:szCs w:val="24"/>
        </w:rPr>
        <w:t xml:space="preserve">pecialized </w:t>
      </w:r>
      <w:r w:rsidR="00950034" w:rsidRPr="00C95980">
        <w:rPr>
          <w:b/>
          <w:szCs w:val="24"/>
        </w:rPr>
        <w:t>S</w:t>
      </w:r>
      <w:r w:rsidRPr="00C95980">
        <w:rPr>
          <w:b/>
          <w:szCs w:val="24"/>
        </w:rPr>
        <w:t xml:space="preserve">ampling </w:t>
      </w:r>
      <w:r w:rsidR="00950034" w:rsidRPr="00C95980">
        <w:rPr>
          <w:b/>
          <w:szCs w:val="24"/>
        </w:rPr>
        <w:t>P</w:t>
      </w:r>
      <w:r w:rsidRPr="00C95980">
        <w:rPr>
          <w:b/>
          <w:szCs w:val="24"/>
        </w:rPr>
        <w:t xml:space="preserve">rocedures </w:t>
      </w:r>
    </w:p>
    <w:p w14:paraId="1736DBB4" w14:textId="77777777" w:rsidR="001009B4" w:rsidRDefault="001009B4" w:rsidP="005E2364">
      <w:pPr>
        <w:tabs>
          <w:tab w:val="left" w:pos="0"/>
          <w:tab w:val="left" w:pos="475"/>
        </w:tabs>
        <w:spacing w:before="120"/>
        <w:rPr>
          <w:szCs w:val="24"/>
        </w:rPr>
      </w:pPr>
      <w:r w:rsidRPr="006F3693">
        <w:rPr>
          <w:szCs w:val="24"/>
        </w:rPr>
        <w:t>We do not anticipate any unusual problems requiring any specialized sampling procedures</w:t>
      </w:r>
      <w:r w:rsidR="001C5DB4">
        <w:rPr>
          <w:szCs w:val="24"/>
        </w:rPr>
        <w:t>.</w:t>
      </w:r>
    </w:p>
    <w:p w14:paraId="2E973BCB" w14:textId="77777777" w:rsidR="001009B4" w:rsidRPr="006F3693" w:rsidRDefault="001009B4" w:rsidP="00C677AC">
      <w:pPr>
        <w:tabs>
          <w:tab w:val="left" w:pos="0"/>
        </w:tabs>
        <w:spacing w:before="240" w:line="240" w:lineRule="auto"/>
        <w:rPr>
          <w:b/>
          <w:szCs w:val="24"/>
        </w:rPr>
      </w:pPr>
      <w:r w:rsidRPr="006F3693">
        <w:rPr>
          <w:b/>
          <w:szCs w:val="24"/>
        </w:rPr>
        <w:t xml:space="preserve">Any </w:t>
      </w:r>
      <w:r w:rsidR="00950034" w:rsidRPr="006F3693">
        <w:rPr>
          <w:b/>
          <w:szCs w:val="24"/>
        </w:rPr>
        <w:t>U</w:t>
      </w:r>
      <w:r w:rsidRPr="006F3693">
        <w:rPr>
          <w:b/>
          <w:szCs w:val="24"/>
        </w:rPr>
        <w:t xml:space="preserve">se of </w:t>
      </w:r>
      <w:r w:rsidR="00950034" w:rsidRPr="006F3693">
        <w:rPr>
          <w:b/>
          <w:szCs w:val="24"/>
        </w:rPr>
        <w:t>P</w:t>
      </w:r>
      <w:r w:rsidRPr="006F3693">
        <w:rPr>
          <w:b/>
          <w:szCs w:val="24"/>
        </w:rPr>
        <w:t>eriodic (</w:t>
      </w:r>
      <w:r w:rsidR="00950034" w:rsidRPr="006F3693">
        <w:rPr>
          <w:b/>
          <w:szCs w:val="24"/>
        </w:rPr>
        <w:t>L</w:t>
      </w:r>
      <w:r w:rsidRPr="006F3693">
        <w:rPr>
          <w:b/>
          <w:szCs w:val="24"/>
        </w:rPr>
        <w:t xml:space="preserve">ess </w:t>
      </w:r>
      <w:r w:rsidR="00950034" w:rsidRPr="006F3693">
        <w:rPr>
          <w:b/>
          <w:szCs w:val="24"/>
        </w:rPr>
        <w:t>F</w:t>
      </w:r>
      <w:r w:rsidRPr="006F3693">
        <w:rPr>
          <w:b/>
          <w:szCs w:val="24"/>
        </w:rPr>
        <w:t xml:space="preserve">requent </w:t>
      </w:r>
      <w:r w:rsidR="00950034" w:rsidRPr="006F3693">
        <w:rPr>
          <w:b/>
          <w:szCs w:val="24"/>
        </w:rPr>
        <w:t>T</w:t>
      </w:r>
      <w:r w:rsidRPr="006F3693">
        <w:rPr>
          <w:b/>
          <w:szCs w:val="24"/>
        </w:rPr>
        <w:t xml:space="preserve">han </w:t>
      </w:r>
      <w:r w:rsidR="00950034" w:rsidRPr="006F3693">
        <w:rPr>
          <w:b/>
          <w:szCs w:val="24"/>
        </w:rPr>
        <w:t>A</w:t>
      </w:r>
      <w:r w:rsidRPr="006F3693">
        <w:rPr>
          <w:b/>
          <w:szCs w:val="24"/>
        </w:rPr>
        <w:t xml:space="preserve">nnual) </w:t>
      </w:r>
      <w:r w:rsidR="00950034" w:rsidRPr="006F3693">
        <w:rPr>
          <w:b/>
          <w:szCs w:val="24"/>
        </w:rPr>
        <w:t>D</w:t>
      </w:r>
      <w:r w:rsidRPr="006F3693">
        <w:rPr>
          <w:b/>
          <w:szCs w:val="24"/>
        </w:rPr>
        <w:t xml:space="preserve">ata </w:t>
      </w:r>
      <w:r w:rsidR="00950034" w:rsidRPr="006F3693">
        <w:rPr>
          <w:b/>
          <w:szCs w:val="24"/>
        </w:rPr>
        <w:t>C</w:t>
      </w:r>
      <w:r w:rsidRPr="006F3693">
        <w:rPr>
          <w:b/>
          <w:szCs w:val="24"/>
        </w:rPr>
        <w:t xml:space="preserve">ollection </w:t>
      </w:r>
      <w:r w:rsidR="00950034" w:rsidRPr="006F3693">
        <w:rPr>
          <w:b/>
          <w:szCs w:val="24"/>
        </w:rPr>
        <w:t>C</w:t>
      </w:r>
      <w:r w:rsidRPr="006F3693">
        <w:rPr>
          <w:b/>
          <w:szCs w:val="24"/>
        </w:rPr>
        <w:t xml:space="preserve">ycles to </w:t>
      </w:r>
      <w:r w:rsidR="00950034" w:rsidRPr="006F3693">
        <w:rPr>
          <w:b/>
          <w:szCs w:val="24"/>
        </w:rPr>
        <w:t>R</w:t>
      </w:r>
      <w:r w:rsidRPr="006F3693">
        <w:rPr>
          <w:b/>
          <w:szCs w:val="24"/>
        </w:rPr>
        <w:t xml:space="preserve">educe </w:t>
      </w:r>
      <w:r w:rsidR="00950034" w:rsidRPr="006F3693">
        <w:rPr>
          <w:b/>
          <w:szCs w:val="24"/>
        </w:rPr>
        <w:t>B</w:t>
      </w:r>
      <w:r w:rsidRPr="006F3693">
        <w:rPr>
          <w:b/>
          <w:szCs w:val="24"/>
        </w:rPr>
        <w:t>urden.</w:t>
      </w:r>
    </w:p>
    <w:p w14:paraId="7ADDA572" w14:textId="77777777" w:rsidR="001009B4" w:rsidRPr="00C95980" w:rsidRDefault="001009B4" w:rsidP="00C677AC">
      <w:pPr>
        <w:spacing w:before="120"/>
      </w:pPr>
      <w:r w:rsidRPr="00C95980">
        <w:t xml:space="preserve">The data collection procedures </w:t>
      </w:r>
      <w:r w:rsidR="00100485" w:rsidRPr="00C95980">
        <w:t>will</w:t>
      </w:r>
      <w:r w:rsidRPr="00C95980">
        <w:t xml:space="preserve"> </w:t>
      </w:r>
      <w:r w:rsidR="006735FA" w:rsidRPr="00C95980">
        <w:t>be conducted annually</w:t>
      </w:r>
      <w:r w:rsidR="00CF74F5" w:rsidRPr="00C95980">
        <w:t xml:space="preserve"> in </w:t>
      </w:r>
      <w:r w:rsidR="00CF74F5" w:rsidRPr="006F3693">
        <w:t>SY 2016</w:t>
      </w:r>
      <w:r w:rsidR="00C4026A">
        <w:t>–</w:t>
      </w:r>
      <w:r w:rsidR="00CF74F5" w:rsidRPr="006F3693">
        <w:t>17,</w:t>
      </w:r>
      <w:r w:rsidR="00765FC0" w:rsidRPr="00A8224A">
        <w:t xml:space="preserve"> SY 2017</w:t>
      </w:r>
      <w:r w:rsidR="00C4026A">
        <w:t>–</w:t>
      </w:r>
      <w:r w:rsidR="00765FC0" w:rsidRPr="00A8224A">
        <w:t>18, and SY 2018</w:t>
      </w:r>
      <w:r w:rsidR="00C4026A">
        <w:t>–</w:t>
      </w:r>
      <w:r w:rsidR="00765FC0" w:rsidRPr="00A8224A">
        <w:t>19</w:t>
      </w:r>
      <w:r w:rsidR="006735FA" w:rsidRPr="00C95980">
        <w:t>.</w:t>
      </w:r>
    </w:p>
    <w:p w14:paraId="7582C6A9" w14:textId="77777777" w:rsidR="005E2364" w:rsidRDefault="005E2364" w:rsidP="005E2364">
      <w:pPr>
        <w:spacing w:line="240" w:lineRule="auto"/>
        <w:rPr>
          <w:b/>
          <w:szCs w:val="24"/>
        </w:rPr>
      </w:pPr>
      <w:bookmarkStart w:id="8" w:name="_Toc282506044"/>
    </w:p>
    <w:p w14:paraId="6A1BE8FC" w14:textId="4BC5ED67" w:rsidR="005E2364" w:rsidRDefault="00B06525" w:rsidP="005E2364">
      <w:pPr>
        <w:spacing w:line="240" w:lineRule="auto"/>
        <w:rPr>
          <w:szCs w:val="24"/>
        </w:rPr>
      </w:pPr>
      <w:proofErr w:type="gramStart"/>
      <w:r w:rsidRPr="006F3693">
        <w:rPr>
          <w:b/>
          <w:szCs w:val="24"/>
        </w:rPr>
        <w:t>B.3</w:t>
      </w:r>
      <w:r w:rsidRPr="006F3693">
        <w:rPr>
          <w:b/>
          <w:szCs w:val="24"/>
        </w:rPr>
        <w:tab/>
      </w:r>
      <w:bookmarkEnd w:id="8"/>
      <w:r w:rsidRPr="006F3693">
        <w:rPr>
          <w:b/>
          <w:szCs w:val="24"/>
        </w:rPr>
        <w:t>Describe methods to maximize response rates and to deal with issues of non-response.</w:t>
      </w:r>
      <w:proofErr w:type="gramEnd"/>
      <w:r w:rsidRPr="006F3693">
        <w:rPr>
          <w:b/>
          <w:szCs w:val="24"/>
        </w:rPr>
        <w:t xml:space="preserve"> The accuracy and reliability of information collected must </w:t>
      </w:r>
      <w:r w:rsidRPr="00A8224A">
        <w:rPr>
          <w:b/>
          <w:szCs w:val="24"/>
        </w:rPr>
        <w:t>be shown to be adequate for intended uses. For collections based on sampling, a special justification must be provided for any collection that will not yield "reliable" data that can be generalized to the universe studied.</w:t>
      </w:r>
    </w:p>
    <w:p w14:paraId="229486BC" w14:textId="76DBFDE3" w:rsidR="00B06525" w:rsidRPr="006F3693" w:rsidRDefault="00B06525" w:rsidP="00C677AC">
      <w:pPr>
        <w:spacing w:before="120"/>
        <w:rPr>
          <w:szCs w:val="24"/>
        </w:rPr>
      </w:pPr>
      <w:r w:rsidRPr="006F3693">
        <w:rPr>
          <w:szCs w:val="24"/>
        </w:rPr>
        <w:t xml:space="preserve">Overall response rate projections were presented earlier. Achieving the specified response rate involves </w:t>
      </w:r>
      <w:r w:rsidR="005C562B">
        <w:rPr>
          <w:szCs w:val="24"/>
        </w:rPr>
        <w:t xml:space="preserve">contacting </w:t>
      </w:r>
      <w:r w:rsidRPr="006F3693">
        <w:rPr>
          <w:szCs w:val="24"/>
        </w:rPr>
        <w:t xml:space="preserve">the </w:t>
      </w:r>
      <w:r w:rsidR="005C562B">
        <w:rPr>
          <w:szCs w:val="24"/>
        </w:rPr>
        <w:t>selected SFAs, securing their participation in the survey, and then offering support and completion reminders, using the procedures described below.</w:t>
      </w:r>
      <w:r w:rsidRPr="006F3693">
        <w:rPr>
          <w:szCs w:val="24"/>
        </w:rPr>
        <w:t xml:space="preserve"> We estimate 80 percent of the sampled SFA </w:t>
      </w:r>
      <w:r w:rsidR="007F077A" w:rsidRPr="006F3693">
        <w:rPr>
          <w:szCs w:val="24"/>
        </w:rPr>
        <w:t>d</w:t>
      </w:r>
      <w:r w:rsidRPr="006F3693">
        <w:rPr>
          <w:szCs w:val="24"/>
        </w:rPr>
        <w:t>irectors will complete</w:t>
      </w:r>
      <w:r w:rsidR="004934D8" w:rsidRPr="006F3693">
        <w:rPr>
          <w:szCs w:val="24"/>
        </w:rPr>
        <w:t xml:space="preserve"> the web-administered survey</w:t>
      </w:r>
      <w:r w:rsidR="001B746F" w:rsidRPr="006F3693">
        <w:rPr>
          <w:szCs w:val="24"/>
        </w:rPr>
        <w:t>.</w:t>
      </w:r>
      <w:r w:rsidR="00D11180" w:rsidRPr="006F3693">
        <w:rPr>
          <w:szCs w:val="24"/>
        </w:rPr>
        <w:t xml:space="preserve"> </w:t>
      </w:r>
      <w:r w:rsidR="004934D8" w:rsidRPr="006F3693">
        <w:rPr>
          <w:szCs w:val="24"/>
        </w:rPr>
        <w:t xml:space="preserve">We expect </w:t>
      </w:r>
      <w:r w:rsidR="001338ED" w:rsidRPr="006F3693">
        <w:rPr>
          <w:szCs w:val="24"/>
        </w:rPr>
        <w:t>100</w:t>
      </w:r>
      <w:r w:rsidR="001B746F" w:rsidRPr="006F3693">
        <w:rPr>
          <w:szCs w:val="24"/>
        </w:rPr>
        <w:t xml:space="preserve"> percent of </w:t>
      </w:r>
      <w:r w:rsidR="004934D8" w:rsidRPr="006F3693">
        <w:rPr>
          <w:szCs w:val="24"/>
        </w:rPr>
        <w:t xml:space="preserve">State </w:t>
      </w:r>
      <w:r w:rsidR="00C4026A">
        <w:rPr>
          <w:szCs w:val="24"/>
        </w:rPr>
        <w:t>CN</w:t>
      </w:r>
      <w:r w:rsidR="004934D8" w:rsidRPr="006F3693">
        <w:rPr>
          <w:szCs w:val="24"/>
        </w:rPr>
        <w:t xml:space="preserve"> </w:t>
      </w:r>
      <w:r w:rsidR="007F077A" w:rsidRPr="006F3693">
        <w:rPr>
          <w:szCs w:val="24"/>
        </w:rPr>
        <w:t>d</w:t>
      </w:r>
      <w:r w:rsidR="004934D8" w:rsidRPr="006F3693">
        <w:rPr>
          <w:szCs w:val="24"/>
        </w:rPr>
        <w:t>irectors to complete their survey.</w:t>
      </w:r>
    </w:p>
    <w:p w14:paraId="3701A992" w14:textId="19CE5F9D" w:rsidR="00B06525" w:rsidRPr="006F3693" w:rsidRDefault="005C562B" w:rsidP="00C677AC">
      <w:pPr>
        <w:spacing w:before="120"/>
        <w:rPr>
          <w:szCs w:val="24"/>
        </w:rPr>
      </w:pPr>
      <w:r>
        <w:rPr>
          <w:szCs w:val="24"/>
        </w:rPr>
        <w:t xml:space="preserve">The </w:t>
      </w:r>
      <w:r w:rsidR="00B06525" w:rsidRPr="006F3693">
        <w:rPr>
          <w:szCs w:val="24"/>
        </w:rPr>
        <w:t xml:space="preserve">procedures </w:t>
      </w:r>
      <w:r>
        <w:rPr>
          <w:szCs w:val="24"/>
        </w:rPr>
        <w:t>for maximizing the number of respondents to the surveys are:</w:t>
      </w:r>
    </w:p>
    <w:p w14:paraId="55D3269F" w14:textId="1D36CD8C" w:rsidR="00782A7C" w:rsidRPr="006F3693" w:rsidRDefault="00416428" w:rsidP="006A20B9">
      <w:pPr>
        <w:pStyle w:val="N1-1stBullet"/>
        <w:tabs>
          <w:tab w:val="clear" w:pos="1152"/>
          <w:tab w:val="num" w:pos="1080"/>
        </w:tabs>
        <w:spacing w:after="0"/>
        <w:ind w:left="1080" w:hanging="504"/>
        <w:rPr>
          <w:szCs w:val="24"/>
        </w:rPr>
      </w:pPr>
      <w:r>
        <w:rPr>
          <w:szCs w:val="24"/>
        </w:rPr>
        <w:lastRenderedPageBreak/>
        <w:t xml:space="preserve">The letters inviting SFA directors and </w:t>
      </w:r>
      <w:r w:rsidR="00B06525" w:rsidRPr="006F3693">
        <w:rPr>
          <w:szCs w:val="24"/>
        </w:rPr>
        <w:t>C</w:t>
      </w:r>
      <w:r>
        <w:rPr>
          <w:szCs w:val="24"/>
        </w:rPr>
        <w:t>N d</w:t>
      </w:r>
      <w:r w:rsidR="00B06525" w:rsidRPr="006F3693">
        <w:rPr>
          <w:szCs w:val="24"/>
        </w:rPr>
        <w:t xml:space="preserve">irectors to participate </w:t>
      </w:r>
      <w:r w:rsidR="00C27005">
        <w:rPr>
          <w:szCs w:val="24"/>
        </w:rPr>
        <w:t>were</w:t>
      </w:r>
      <w:r w:rsidR="00B06525" w:rsidRPr="006F3693">
        <w:rPr>
          <w:szCs w:val="24"/>
        </w:rPr>
        <w:t xml:space="preserve"> carefully developed to emphasize the importance of this study and how the information will help </w:t>
      </w:r>
      <w:r>
        <w:rPr>
          <w:szCs w:val="24"/>
        </w:rPr>
        <w:t>FNS</w:t>
      </w:r>
      <w:r w:rsidR="00B06525" w:rsidRPr="006F3693">
        <w:rPr>
          <w:szCs w:val="24"/>
        </w:rPr>
        <w:t xml:space="preserve"> to better understand and address current policy issues related to </w:t>
      </w:r>
      <w:r>
        <w:rPr>
          <w:szCs w:val="24"/>
        </w:rPr>
        <w:t xml:space="preserve">the Child </w:t>
      </w:r>
      <w:r w:rsidR="00B06525" w:rsidRPr="006F3693">
        <w:rPr>
          <w:szCs w:val="24"/>
        </w:rPr>
        <w:t xml:space="preserve">Nutrition </w:t>
      </w:r>
      <w:r w:rsidR="00511410">
        <w:rPr>
          <w:szCs w:val="24"/>
        </w:rPr>
        <w:t>P</w:t>
      </w:r>
      <w:r w:rsidR="00B06525" w:rsidRPr="006F3693">
        <w:rPr>
          <w:szCs w:val="24"/>
        </w:rPr>
        <w:t>rogram</w:t>
      </w:r>
      <w:r w:rsidR="00E627B2">
        <w:rPr>
          <w:szCs w:val="24"/>
        </w:rPr>
        <w:t xml:space="preserve"> </w:t>
      </w:r>
      <w:r w:rsidR="00B06525" w:rsidRPr="006F3693">
        <w:rPr>
          <w:szCs w:val="24"/>
        </w:rPr>
        <w:t xml:space="preserve">operations. </w:t>
      </w:r>
    </w:p>
    <w:p w14:paraId="207D80C6" w14:textId="77777777" w:rsidR="00B06525" w:rsidRPr="006F3693" w:rsidRDefault="00782A7C" w:rsidP="006A20B9">
      <w:pPr>
        <w:pStyle w:val="N1-1stBullet"/>
        <w:tabs>
          <w:tab w:val="clear" w:pos="1152"/>
          <w:tab w:val="num" w:pos="1080"/>
        </w:tabs>
        <w:spacing w:after="0"/>
        <w:ind w:left="1080" w:hanging="504"/>
        <w:rPr>
          <w:szCs w:val="24"/>
        </w:rPr>
      </w:pPr>
      <w:r w:rsidRPr="006F3693">
        <w:rPr>
          <w:szCs w:val="24"/>
        </w:rPr>
        <w:t>The current contact information will be used for all initial correspondence</w:t>
      </w:r>
      <w:r w:rsidR="00264EC5">
        <w:rPr>
          <w:szCs w:val="24"/>
        </w:rPr>
        <w:t>,</w:t>
      </w:r>
      <w:r w:rsidRPr="006F3693">
        <w:rPr>
          <w:szCs w:val="24"/>
        </w:rPr>
        <w:t xml:space="preserve"> and </w:t>
      </w:r>
      <w:r w:rsidR="00264EC5">
        <w:rPr>
          <w:szCs w:val="24"/>
        </w:rPr>
        <w:t xml:space="preserve">will </w:t>
      </w:r>
      <w:r w:rsidRPr="006F3693">
        <w:rPr>
          <w:szCs w:val="24"/>
        </w:rPr>
        <w:t xml:space="preserve">be updated as needed throughout the data collection period to facilitate communication with the </w:t>
      </w:r>
      <w:r w:rsidR="00C4026A">
        <w:rPr>
          <w:szCs w:val="24"/>
        </w:rPr>
        <w:t xml:space="preserve">research </w:t>
      </w:r>
      <w:r w:rsidR="006323C4" w:rsidRPr="006F3693">
        <w:rPr>
          <w:szCs w:val="24"/>
        </w:rPr>
        <w:t>team</w:t>
      </w:r>
      <w:r w:rsidRPr="006F3693">
        <w:rPr>
          <w:szCs w:val="24"/>
        </w:rPr>
        <w:t>.</w:t>
      </w:r>
    </w:p>
    <w:p w14:paraId="09C1EBB3" w14:textId="77777777" w:rsidR="00B06525" w:rsidRPr="006F3693" w:rsidRDefault="00B06525" w:rsidP="006A20B9">
      <w:pPr>
        <w:pStyle w:val="N1-1stBullet"/>
        <w:tabs>
          <w:tab w:val="clear" w:pos="1152"/>
          <w:tab w:val="num" w:pos="1080"/>
        </w:tabs>
        <w:spacing w:after="0"/>
        <w:ind w:left="1080" w:hanging="504"/>
        <w:rPr>
          <w:szCs w:val="24"/>
        </w:rPr>
      </w:pPr>
      <w:r w:rsidRPr="006F3693">
        <w:rPr>
          <w:szCs w:val="24"/>
        </w:rPr>
        <w:t>Designated FNS regional staff will serve as regional study liaisons</w:t>
      </w:r>
      <w:r w:rsidR="00264EC5">
        <w:rPr>
          <w:szCs w:val="24"/>
        </w:rPr>
        <w:t>,</w:t>
      </w:r>
      <w:r w:rsidRPr="006F3693">
        <w:rPr>
          <w:szCs w:val="24"/>
        </w:rPr>
        <w:t xml:space="preserve"> and </w:t>
      </w:r>
      <w:r w:rsidR="00264EC5">
        <w:rPr>
          <w:szCs w:val="24"/>
        </w:rPr>
        <w:t xml:space="preserve">will </w:t>
      </w:r>
      <w:r w:rsidRPr="006F3693">
        <w:rPr>
          <w:szCs w:val="24"/>
        </w:rPr>
        <w:t>be kept closely informed of the project so that they will be able to answer questions from SFA</w:t>
      </w:r>
      <w:r w:rsidR="00416428">
        <w:rPr>
          <w:szCs w:val="24"/>
        </w:rPr>
        <w:t xml:space="preserve"> and CN directors</w:t>
      </w:r>
      <w:r w:rsidR="006B2C33" w:rsidRPr="006F3693">
        <w:rPr>
          <w:szCs w:val="24"/>
        </w:rPr>
        <w:t xml:space="preserve"> and </w:t>
      </w:r>
      <w:r w:rsidRPr="006F3693">
        <w:rPr>
          <w:szCs w:val="24"/>
        </w:rPr>
        <w:t>encourage participation.</w:t>
      </w:r>
    </w:p>
    <w:p w14:paraId="6F7BD53E" w14:textId="52529455" w:rsidR="00B06525" w:rsidRPr="006F3693" w:rsidRDefault="006323C4" w:rsidP="006A20B9">
      <w:pPr>
        <w:pStyle w:val="N1-1stBullet"/>
        <w:tabs>
          <w:tab w:val="clear" w:pos="1152"/>
          <w:tab w:val="num" w:pos="1080"/>
        </w:tabs>
        <w:spacing w:after="0"/>
        <w:ind w:left="1080" w:hanging="504"/>
        <w:rPr>
          <w:szCs w:val="24"/>
        </w:rPr>
      </w:pPr>
      <w:r w:rsidRPr="006F3693">
        <w:rPr>
          <w:szCs w:val="24"/>
        </w:rPr>
        <w:t>A</w:t>
      </w:r>
      <w:r w:rsidR="00B06525" w:rsidRPr="006F3693">
        <w:rPr>
          <w:szCs w:val="24"/>
        </w:rPr>
        <w:t xml:space="preserve"> </w:t>
      </w:r>
      <w:r w:rsidR="00264EC5" w:rsidRPr="006F3693">
        <w:rPr>
          <w:szCs w:val="24"/>
        </w:rPr>
        <w:t>toll</w:t>
      </w:r>
      <w:r w:rsidR="00264EC5">
        <w:rPr>
          <w:szCs w:val="24"/>
        </w:rPr>
        <w:t>-</w:t>
      </w:r>
      <w:r w:rsidR="00B06525" w:rsidRPr="006F3693">
        <w:rPr>
          <w:szCs w:val="24"/>
        </w:rPr>
        <w:t xml:space="preserve">free number </w:t>
      </w:r>
      <w:r w:rsidR="006B2C33" w:rsidRPr="006F3693">
        <w:rPr>
          <w:szCs w:val="24"/>
        </w:rPr>
        <w:t xml:space="preserve">and study email address </w:t>
      </w:r>
      <w:r w:rsidRPr="006F3693">
        <w:rPr>
          <w:szCs w:val="24"/>
        </w:rPr>
        <w:t xml:space="preserve">will be provided </w:t>
      </w:r>
      <w:r w:rsidR="00C27005">
        <w:rPr>
          <w:szCs w:val="24"/>
        </w:rPr>
        <w:t xml:space="preserve">to all participants </w:t>
      </w:r>
      <w:r w:rsidR="006B2C33" w:rsidRPr="006F3693">
        <w:rPr>
          <w:szCs w:val="24"/>
        </w:rPr>
        <w:t xml:space="preserve">so </w:t>
      </w:r>
      <w:r w:rsidR="00B06525" w:rsidRPr="006F3693">
        <w:rPr>
          <w:szCs w:val="24"/>
        </w:rPr>
        <w:t xml:space="preserve">that SFA </w:t>
      </w:r>
      <w:r w:rsidR="006B2C33" w:rsidRPr="006F3693">
        <w:rPr>
          <w:szCs w:val="24"/>
        </w:rPr>
        <w:t>and State</w:t>
      </w:r>
      <w:r w:rsidR="00C27005">
        <w:rPr>
          <w:szCs w:val="24"/>
        </w:rPr>
        <w:t xml:space="preserve"> directors</w:t>
      </w:r>
      <w:r w:rsidR="006B2C33" w:rsidRPr="006F3693">
        <w:rPr>
          <w:szCs w:val="24"/>
        </w:rPr>
        <w:t xml:space="preserve"> </w:t>
      </w:r>
      <w:r w:rsidR="00B06525" w:rsidRPr="006F3693">
        <w:rPr>
          <w:szCs w:val="24"/>
        </w:rPr>
        <w:t xml:space="preserve">can </w:t>
      </w:r>
      <w:r w:rsidR="006B2C33" w:rsidRPr="006F3693">
        <w:rPr>
          <w:szCs w:val="24"/>
        </w:rPr>
        <w:t>receive assistance with the</w:t>
      </w:r>
      <w:r w:rsidR="00B06525" w:rsidRPr="006F3693">
        <w:rPr>
          <w:szCs w:val="24"/>
        </w:rPr>
        <w:t xml:space="preserve"> study.</w:t>
      </w:r>
    </w:p>
    <w:p w14:paraId="7CB09398" w14:textId="60DF6D6F" w:rsidR="00B06525" w:rsidRPr="006F3693" w:rsidRDefault="00B06525" w:rsidP="006323C4">
      <w:pPr>
        <w:pStyle w:val="N1-1stBullet"/>
        <w:tabs>
          <w:tab w:val="clear" w:pos="1152"/>
          <w:tab w:val="num" w:pos="1080"/>
        </w:tabs>
        <w:spacing w:after="0"/>
        <w:ind w:left="1080" w:hanging="504"/>
        <w:rPr>
          <w:szCs w:val="24"/>
        </w:rPr>
      </w:pPr>
      <w:r w:rsidRPr="006F3693">
        <w:rPr>
          <w:szCs w:val="24"/>
        </w:rPr>
        <w:t xml:space="preserve">Sampled SFA </w:t>
      </w:r>
      <w:r w:rsidR="007F077A" w:rsidRPr="006F3693">
        <w:rPr>
          <w:szCs w:val="24"/>
        </w:rPr>
        <w:t>d</w:t>
      </w:r>
      <w:r w:rsidRPr="006F3693">
        <w:rPr>
          <w:szCs w:val="24"/>
        </w:rPr>
        <w:t xml:space="preserve">irectors </w:t>
      </w:r>
      <w:r w:rsidR="006323C4" w:rsidRPr="006F3693">
        <w:rPr>
          <w:szCs w:val="24"/>
        </w:rPr>
        <w:t xml:space="preserve">and </w:t>
      </w:r>
      <w:r w:rsidR="00416428">
        <w:rPr>
          <w:szCs w:val="24"/>
        </w:rPr>
        <w:t xml:space="preserve">the CN </w:t>
      </w:r>
      <w:r w:rsidR="006323C4" w:rsidRPr="006F3693">
        <w:rPr>
          <w:szCs w:val="24"/>
        </w:rPr>
        <w:t xml:space="preserve">directors </w:t>
      </w:r>
      <w:r w:rsidRPr="006F3693">
        <w:rPr>
          <w:szCs w:val="24"/>
        </w:rPr>
        <w:t xml:space="preserve">will have the option of completing </w:t>
      </w:r>
      <w:r w:rsidR="00E23241" w:rsidRPr="006F3693">
        <w:rPr>
          <w:szCs w:val="24"/>
        </w:rPr>
        <w:t xml:space="preserve">the </w:t>
      </w:r>
      <w:r w:rsidR="006B2C33" w:rsidRPr="006F3693">
        <w:rPr>
          <w:szCs w:val="24"/>
        </w:rPr>
        <w:t>w</w:t>
      </w:r>
      <w:r w:rsidR="00E23241" w:rsidRPr="006F3693">
        <w:rPr>
          <w:szCs w:val="24"/>
        </w:rPr>
        <w:t xml:space="preserve">eb-based </w:t>
      </w:r>
      <w:r w:rsidRPr="006F3693">
        <w:rPr>
          <w:szCs w:val="24"/>
        </w:rPr>
        <w:t xml:space="preserve">survey </w:t>
      </w:r>
      <w:r w:rsidR="00E23241" w:rsidRPr="006F3693">
        <w:rPr>
          <w:szCs w:val="24"/>
        </w:rPr>
        <w:t>as a telephone survey</w:t>
      </w:r>
      <w:r w:rsidRPr="006F3693">
        <w:rPr>
          <w:szCs w:val="24"/>
        </w:rPr>
        <w:t xml:space="preserve">. </w:t>
      </w:r>
    </w:p>
    <w:p w14:paraId="1D1B39F6" w14:textId="77777777" w:rsidR="006B2C33" w:rsidRPr="006F3693" w:rsidRDefault="006B2C33" w:rsidP="006323C4">
      <w:pPr>
        <w:pStyle w:val="N1-1stBullet"/>
        <w:tabs>
          <w:tab w:val="clear" w:pos="1152"/>
          <w:tab w:val="num" w:pos="1080"/>
        </w:tabs>
        <w:spacing w:after="0"/>
        <w:ind w:left="1080" w:hanging="504"/>
        <w:rPr>
          <w:szCs w:val="24"/>
        </w:rPr>
      </w:pPr>
      <w:r w:rsidRPr="006F3693">
        <w:rPr>
          <w:szCs w:val="24"/>
        </w:rPr>
        <w:t xml:space="preserve">Periodic email reminders will be sent to </w:t>
      </w:r>
      <w:proofErr w:type="gramStart"/>
      <w:r w:rsidR="00AD4FAB">
        <w:rPr>
          <w:szCs w:val="24"/>
        </w:rPr>
        <w:t>sampled</w:t>
      </w:r>
      <w:proofErr w:type="gramEnd"/>
      <w:r w:rsidR="00AD4FAB">
        <w:rPr>
          <w:szCs w:val="24"/>
        </w:rPr>
        <w:t xml:space="preserve"> SFAs</w:t>
      </w:r>
      <w:r w:rsidRPr="006F3693">
        <w:rPr>
          <w:szCs w:val="24"/>
        </w:rPr>
        <w:t xml:space="preserve"> who have not yet completed the survey.</w:t>
      </w:r>
    </w:p>
    <w:p w14:paraId="388B6311" w14:textId="77777777" w:rsidR="00B06525" w:rsidRPr="006F3693" w:rsidRDefault="00B06525" w:rsidP="006A20B9">
      <w:pPr>
        <w:pStyle w:val="N1-1stBullet"/>
        <w:tabs>
          <w:tab w:val="clear" w:pos="1152"/>
          <w:tab w:val="num" w:pos="1080"/>
        </w:tabs>
        <w:spacing w:after="0"/>
        <w:ind w:left="1080" w:hanging="504"/>
        <w:rPr>
          <w:szCs w:val="24"/>
        </w:rPr>
      </w:pPr>
      <w:r w:rsidRPr="006F3693">
        <w:rPr>
          <w:szCs w:val="24"/>
        </w:rPr>
        <w:t xml:space="preserve">We will follow up by telephone with all sampled SFA and </w:t>
      </w:r>
      <w:r w:rsidR="00416428">
        <w:rPr>
          <w:szCs w:val="24"/>
        </w:rPr>
        <w:t>CN</w:t>
      </w:r>
      <w:r w:rsidRPr="006F3693">
        <w:rPr>
          <w:szCs w:val="24"/>
        </w:rPr>
        <w:t xml:space="preserve"> </w:t>
      </w:r>
      <w:r w:rsidR="007F077A" w:rsidRPr="006F3693">
        <w:rPr>
          <w:szCs w:val="24"/>
        </w:rPr>
        <w:t>d</w:t>
      </w:r>
      <w:r w:rsidRPr="006F3693">
        <w:rPr>
          <w:szCs w:val="24"/>
        </w:rPr>
        <w:t>irectors who do not complete the survey within a specified period and urge them to complete the survey. At that point</w:t>
      </w:r>
      <w:r w:rsidR="00070033" w:rsidRPr="006F3693">
        <w:rPr>
          <w:szCs w:val="24"/>
        </w:rPr>
        <w:t>,</w:t>
      </w:r>
      <w:r w:rsidRPr="006F3693">
        <w:rPr>
          <w:szCs w:val="24"/>
        </w:rPr>
        <w:t xml:space="preserve"> if the </w:t>
      </w:r>
      <w:r w:rsidR="007F077A" w:rsidRPr="006F3693">
        <w:rPr>
          <w:szCs w:val="24"/>
        </w:rPr>
        <w:t>d</w:t>
      </w:r>
      <w:r w:rsidRPr="006F3693">
        <w:rPr>
          <w:szCs w:val="24"/>
        </w:rPr>
        <w:t xml:space="preserve">irectors prefer to complete </w:t>
      </w:r>
      <w:r w:rsidR="006B2C33" w:rsidRPr="006F3693">
        <w:rPr>
          <w:szCs w:val="24"/>
        </w:rPr>
        <w:t xml:space="preserve">the survey or remaining </w:t>
      </w:r>
      <w:r w:rsidR="00E23241" w:rsidRPr="006F3693">
        <w:rPr>
          <w:szCs w:val="24"/>
        </w:rPr>
        <w:t xml:space="preserve">sections of </w:t>
      </w:r>
      <w:r w:rsidRPr="006F3693">
        <w:rPr>
          <w:szCs w:val="24"/>
        </w:rPr>
        <w:t>the survey over the telephone, a telephone interviewer will administer the survey</w:t>
      </w:r>
      <w:r w:rsidR="00BA3BB1">
        <w:rPr>
          <w:szCs w:val="24"/>
        </w:rPr>
        <w:t>,</w:t>
      </w:r>
      <w:r w:rsidRPr="006F3693">
        <w:rPr>
          <w:szCs w:val="24"/>
        </w:rPr>
        <w:t xml:space="preserve"> </w:t>
      </w:r>
      <w:r w:rsidR="006B2C33" w:rsidRPr="006F3693">
        <w:rPr>
          <w:szCs w:val="24"/>
        </w:rPr>
        <w:t xml:space="preserve">or </w:t>
      </w:r>
      <w:r w:rsidR="00BA3BB1">
        <w:rPr>
          <w:szCs w:val="24"/>
        </w:rPr>
        <w:t xml:space="preserve">the </w:t>
      </w:r>
      <w:r w:rsidR="006B2C33" w:rsidRPr="006F3693">
        <w:rPr>
          <w:szCs w:val="24"/>
        </w:rPr>
        <w:t>remaining parts</w:t>
      </w:r>
      <w:r w:rsidR="00BA3BB1">
        <w:rPr>
          <w:szCs w:val="24"/>
        </w:rPr>
        <w:t>,</w:t>
      </w:r>
      <w:r w:rsidR="006B2C33" w:rsidRPr="006F3693">
        <w:rPr>
          <w:szCs w:val="24"/>
        </w:rPr>
        <w:t xml:space="preserve"> </w:t>
      </w:r>
      <w:r w:rsidRPr="006F3693">
        <w:rPr>
          <w:szCs w:val="24"/>
        </w:rPr>
        <w:t xml:space="preserve">over the telephone. </w:t>
      </w:r>
    </w:p>
    <w:p w14:paraId="56644EB4" w14:textId="77777777" w:rsidR="00B06525" w:rsidRPr="006F3693" w:rsidRDefault="00B06525" w:rsidP="006A20B9">
      <w:pPr>
        <w:rPr>
          <w:szCs w:val="24"/>
        </w:rPr>
      </w:pPr>
      <w:r w:rsidRPr="006F3693">
        <w:rPr>
          <w:szCs w:val="24"/>
        </w:rPr>
        <w:t>The following procedures will be used to maximize the completion rates for surveys that are administered by telephone:</w:t>
      </w:r>
    </w:p>
    <w:p w14:paraId="612C2CD3" w14:textId="77777777" w:rsidR="00B06525" w:rsidRPr="006F3693" w:rsidRDefault="00B06525" w:rsidP="006A20B9">
      <w:pPr>
        <w:pStyle w:val="N1-1stBullet"/>
        <w:tabs>
          <w:tab w:val="clear" w:pos="1152"/>
          <w:tab w:val="num" w:pos="1080"/>
        </w:tabs>
        <w:spacing w:after="0"/>
        <w:ind w:left="1080" w:hanging="504"/>
        <w:rPr>
          <w:szCs w:val="24"/>
        </w:rPr>
      </w:pPr>
      <w:r w:rsidRPr="006F3693">
        <w:rPr>
          <w:szCs w:val="24"/>
        </w:rPr>
        <w:lastRenderedPageBreak/>
        <w:t>Use a core of interviewers with experience</w:t>
      </w:r>
      <w:r w:rsidR="00655259">
        <w:rPr>
          <w:szCs w:val="24"/>
        </w:rPr>
        <w:t xml:space="preserve"> conducting</w:t>
      </w:r>
      <w:r w:rsidRPr="006F3693">
        <w:rPr>
          <w:szCs w:val="24"/>
        </w:rPr>
        <w:t xml:space="preserve"> telephone surveys, particularly interviewers who have proven their ability to obtain cooperation from a high proportion of </w:t>
      </w:r>
      <w:r w:rsidR="00AD4FAB">
        <w:rPr>
          <w:szCs w:val="24"/>
        </w:rPr>
        <w:t>survey participants.</w:t>
      </w:r>
    </w:p>
    <w:p w14:paraId="76C087E5" w14:textId="2B7167F6" w:rsidR="00B06525" w:rsidRPr="006F3693" w:rsidRDefault="006B2C33" w:rsidP="006A20B9">
      <w:pPr>
        <w:pStyle w:val="N1-1stBullet"/>
        <w:tabs>
          <w:tab w:val="clear" w:pos="1152"/>
          <w:tab w:val="num" w:pos="1080"/>
        </w:tabs>
        <w:spacing w:after="0"/>
        <w:ind w:left="1080" w:hanging="504"/>
        <w:rPr>
          <w:szCs w:val="24"/>
        </w:rPr>
      </w:pPr>
      <w:r w:rsidRPr="006F3693">
        <w:rPr>
          <w:szCs w:val="24"/>
        </w:rPr>
        <w:t xml:space="preserve">Conduct a telephone interviewer training </w:t>
      </w:r>
      <w:r w:rsidR="00B805DF" w:rsidRPr="006F3693">
        <w:rPr>
          <w:szCs w:val="24"/>
        </w:rPr>
        <w:t xml:space="preserve">session </w:t>
      </w:r>
      <w:r w:rsidR="00B06525" w:rsidRPr="006F3693">
        <w:rPr>
          <w:szCs w:val="24"/>
        </w:rPr>
        <w:t>specific to this study</w:t>
      </w:r>
      <w:r w:rsidR="0082442D">
        <w:rPr>
          <w:szCs w:val="24"/>
        </w:rPr>
        <w:t>.</w:t>
      </w:r>
    </w:p>
    <w:p w14:paraId="532A55F3" w14:textId="38AE0835" w:rsidR="00B06525" w:rsidRPr="006F3693" w:rsidRDefault="00B06525" w:rsidP="006A20B9">
      <w:pPr>
        <w:pStyle w:val="N1-1stBullet"/>
        <w:tabs>
          <w:tab w:val="clear" w:pos="1152"/>
          <w:tab w:val="num" w:pos="1080"/>
        </w:tabs>
        <w:spacing w:after="0"/>
        <w:ind w:left="1080" w:hanging="504"/>
        <w:rPr>
          <w:szCs w:val="24"/>
        </w:rPr>
      </w:pPr>
      <w:r w:rsidRPr="006F3693">
        <w:rPr>
          <w:szCs w:val="24"/>
        </w:rPr>
        <w:t xml:space="preserve">Use call scheduling procedures that are designed to call numbers at different times of the day (between 8am and 6pm) and </w:t>
      </w:r>
      <w:r w:rsidR="006B2C33" w:rsidRPr="006F3693">
        <w:rPr>
          <w:szCs w:val="24"/>
        </w:rPr>
        <w:t xml:space="preserve">days of the </w:t>
      </w:r>
      <w:r w:rsidRPr="006F3693">
        <w:rPr>
          <w:szCs w:val="24"/>
        </w:rPr>
        <w:t>week (Monday through Friday), to improve the chances of finding a respondent at work</w:t>
      </w:r>
      <w:r w:rsidR="0082442D">
        <w:rPr>
          <w:szCs w:val="24"/>
        </w:rPr>
        <w:t>.</w:t>
      </w:r>
    </w:p>
    <w:p w14:paraId="1A302B90" w14:textId="077DA9CE" w:rsidR="00B06525" w:rsidRPr="006F3693" w:rsidRDefault="00B06525" w:rsidP="006A20B9">
      <w:pPr>
        <w:pStyle w:val="N1-1stBullet"/>
        <w:tabs>
          <w:tab w:val="clear" w:pos="1152"/>
          <w:tab w:val="num" w:pos="1080"/>
        </w:tabs>
        <w:spacing w:after="0"/>
        <w:ind w:left="1080" w:hanging="504"/>
        <w:rPr>
          <w:szCs w:val="24"/>
        </w:rPr>
      </w:pPr>
      <w:r w:rsidRPr="006F3693">
        <w:rPr>
          <w:szCs w:val="24"/>
        </w:rPr>
        <w:t xml:space="preserve">Provide a toll-free number </w:t>
      </w:r>
      <w:r w:rsidR="006B2C33" w:rsidRPr="006F3693">
        <w:rPr>
          <w:szCs w:val="24"/>
        </w:rPr>
        <w:t xml:space="preserve">and email help address </w:t>
      </w:r>
      <w:r w:rsidRPr="006F3693">
        <w:rPr>
          <w:szCs w:val="24"/>
        </w:rPr>
        <w:t>for respondents to verify the study’s legitimacy</w:t>
      </w:r>
      <w:r w:rsidR="002C150A">
        <w:rPr>
          <w:szCs w:val="24"/>
        </w:rPr>
        <w:t>,</w:t>
      </w:r>
      <w:r w:rsidRPr="006F3693">
        <w:rPr>
          <w:szCs w:val="24"/>
        </w:rPr>
        <w:t xml:space="preserve"> or to ask other questions about the study</w:t>
      </w:r>
      <w:r w:rsidR="0082442D">
        <w:rPr>
          <w:szCs w:val="24"/>
        </w:rPr>
        <w:t>.</w:t>
      </w:r>
    </w:p>
    <w:p w14:paraId="4503F673" w14:textId="77777777" w:rsidR="00B06525" w:rsidRPr="006F3693" w:rsidRDefault="00B06525" w:rsidP="00C677AC">
      <w:pPr>
        <w:pStyle w:val="BodyTextIndent3"/>
        <w:widowControl/>
        <w:tabs>
          <w:tab w:val="clear" w:pos="0"/>
        </w:tabs>
        <w:suppressAutoHyphens w:val="0"/>
        <w:autoSpaceDE/>
        <w:autoSpaceDN/>
        <w:adjustRightInd/>
        <w:spacing w:before="120" w:after="80" w:line="240" w:lineRule="auto"/>
        <w:ind w:left="720" w:hanging="720"/>
        <w:rPr>
          <w:b/>
          <w:sz w:val="24"/>
          <w:szCs w:val="24"/>
        </w:rPr>
      </w:pPr>
      <w:bookmarkStart w:id="9" w:name="_Toc282506045"/>
      <w:r w:rsidRPr="006F3693">
        <w:rPr>
          <w:b/>
          <w:sz w:val="24"/>
          <w:szCs w:val="24"/>
        </w:rPr>
        <w:t>B.4</w:t>
      </w:r>
      <w:r w:rsidRPr="006F3693">
        <w:rPr>
          <w:b/>
          <w:sz w:val="24"/>
          <w:szCs w:val="24"/>
        </w:rPr>
        <w:tab/>
      </w:r>
      <w:bookmarkEnd w:id="9"/>
      <w:r w:rsidRPr="006F3693">
        <w:rPr>
          <w:b/>
          <w:sz w:val="24"/>
          <w:szCs w:val="24"/>
        </w:rPr>
        <w:t>Describe any tests of procedures or methods to be undertaken. Testing is encouraged as an effective means of refining collections of information</w:t>
      </w:r>
      <w:r w:rsidRPr="00A8224A">
        <w:rPr>
          <w:b/>
          <w:sz w:val="24"/>
          <w:szCs w:val="24"/>
        </w:rPr>
        <w:t xml:space="preserve"> to minimize burden and improve utility. Tests must be approved if they call for answers to identical questions from 10 or more respondents. A proposed test or set of tests may be submitted for approval separately or in combination with the main collection</w:t>
      </w:r>
      <w:r w:rsidRPr="006F3693">
        <w:rPr>
          <w:b/>
          <w:sz w:val="24"/>
          <w:szCs w:val="24"/>
        </w:rPr>
        <w:t xml:space="preserve"> of information.</w:t>
      </w:r>
    </w:p>
    <w:p w14:paraId="44126A07" w14:textId="539EF351" w:rsidR="00D578C9" w:rsidRPr="00094DFB" w:rsidRDefault="00D578C9" w:rsidP="00C677AC">
      <w:pPr>
        <w:pStyle w:val="Normalcontinued"/>
        <w:spacing w:before="120"/>
        <w:rPr>
          <w:szCs w:val="24"/>
        </w:rPr>
      </w:pPr>
      <w:r w:rsidRPr="006F3693">
        <w:rPr>
          <w:szCs w:val="24"/>
        </w:rPr>
        <w:t xml:space="preserve">Pretest participants will </w:t>
      </w:r>
      <w:r w:rsidR="00C27005">
        <w:rPr>
          <w:szCs w:val="24"/>
        </w:rPr>
        <w:t xml:space="preserve">continue to </w:t>
      </w:r>
      <w:r w:rsidRPr="006F3693">
        <w:rPr>
          <w:szCs w:val="24"/>
        </w:rPr>
        <w:t xml:space="preserve">differ </w:t>
      </w:r>
      <w:r w:rsidR="00F151DD">
        <w:rPr>
          <w:szCs w:val="24"/>
        </w:rPr>
        <w:t xml:space="preserve">in </w:t>
      </w:r>
      <w:r w:rsidRPr="006F3693">
        <w:rPr>
          <w:szCs w:val="24"/>
        </w:rPr>
        <w:t>all year</w:t>
      </w:r>
      <w:r w:rsidR="00B77AF5">
        <w:rPr>
          <w:szCs w:val="24"/>
        </w:rPr>
        <w:t>s</w:t>
      </w:r>
      <w:r w:rsidRPr="006F3693">
        <w:rPr>
          <w:szCs w:val="24"/>
        </w:rPr>
        <w:t xml:space="preserve"> of the CN-OPS II study. </w:t>
      </w:r>
      <w:r w:rsidR="00707302" w:rsidRPr="00A8224A">
        <w:rPr>
          <w:szCs w:val="24"/>
        </w:rPr>
        <w:t xml:space="preserve">Additionally, pretest participants will vary by FNS region </w:t>
      </w:r>
      <w:r w:rsidR="00E27028" w:rsidRPr="00802CE8">
        <w:rPr>
          <w:szCs w:val="24"/>
        </w:rPr>
        <w:t xml:space="preserve">to reduce burden on </w:t>
      </w:r>
      <w:r w:rsidR="00A52034" w:rsidRPr="00802CE8">
        <w:rPr>
          <w:szCs w:val="24"/>
        </w:rPr>
        <w:t>regions</w:t>
      </w:r>
      <w:r w:rsidR="00707302" w:rsidRPr="00094DFB">
        <w:rPr>
          <w:szCs w:val="24"/>
        </w:rPr>
        <w:t xml:space="preserve"> and </w:t>
      </w:r>
      <w:r w:rsidR="002057F6">
        <w:rPr>
          <w:szCs w:val="24"/>
        </w:rPr>
        <w:t>S</w:t>
      </w:r>
      <w:r w:rsidR="002057F6" w:rsidRPr="00094DFB">
        <w:rPr>
          <w:szCs w:val="24"/>
        </w:rPr>
        <w:t>tates</w:t>
      </w:r>
      <w:r w:rsidR="00707302" w:rsidRPr="00094DFB">
        <w:rPr>
          <w:szCs w:val="24"/>
        </w:rPr>
        <w:t>.</w:t>
      </w:r>
    </w:p>
    <w:p w14:paraId="117A56A1" w14:textId="409711AB" w:rsidR="003232EE" w:rsidRPr="006F3693" w:rsidRDefault="003232EE" w:rsidP="00F36B8D">
      <w:pPr>
        <w:pStyle w:val="Normalcontinued"/>
        <w:spacing w:before="120"/>
        <w:rPr>
          <w:szCs w:val="24"/>
        </w:rPr>
      </w:pPr>
      <w:r w:rsidRPr="00094DFB">
        <w:rPr>
          <w:szCs w:val="24"/>
        </w:rPr>
        <w:t xml:space="preserve">The draft </w:t>
      </w:r>
      <w:r w:rsidR="00466556">
        <w:rPr>
          <w:szCs w:val="24"/>
        </w:rPr>
        <w:t>CN</w:t>
      </w:r>
      <w:r w:rsidR="001C359B" w:rsidRPr="00094DFB">
        <w:rPr>
          <w:szCs w:val="24"/>
        </w:rPr>
        <w:t xml:space="preserve"> </w:t>
      </w:r>
      <w:r w:rsidRPr="00C95980">
        <w:rPr>
          <w:szCs w:val="24"/>
        </w:rPr>
        <w:t xml:space="preserve">and </w:t>
      </w:r>
      <w:r w:rsidR="001C359B" w:rsidRPr="00C95980">
        <w:rPr>
          <w:szCs w:val="24"/>
        </w:rPr>
        <w:t>SFA</w:t>
      </w:r>
      <w:r w:rsidRPr="00C95980">
        <w:rPr>
          <w:szCs w:val="24"/>
        </w:rPr>
        <w:t xml:space="preserve"> Director </w:t>
      </w:r>
      <w:r w:rsidR="00F151DD">
        <w:rPr>
          <w:szCs w:val="24"/>
        </w:rPr>
        <w:t>S</w:t>
      </w:r>
      <w:r w:rsidRPr="00C95980">
        <w:rPr>
          <w:szCs w:val="24"/>
        </w:rPr>
        <w:t xml:space="preserve">urveys </w:t>
      </w:r>
      <w:r w:rsidR="008362DE">
        <w:rPr>
          <w:szCs w:val="24"/>
        </w:rPr>
        <w:t xml:space="preserve">for Year 2 (SY 16-17) </w:t>
      </w:r>
      <w:r w:rsidRPr="00C95980">
        <w:rPr>
          <w:szCs w:val="24"/>
        </w:rPr>
        <w:t xml:space="preserve">were pretested in </w:t>
      </w:r>
      <w:r w:rsidR="00466556">
        <w:rPr>
          <w:szCs w:val="24"/>
        </w:rPr>
        <w:t>October</w:t>
      </w:r>
      <w:r w:rsidRPr="00C95980">
        <w:rPr>
          <w:szCs w:val="24"/>
        </w:rPr>
        <w:t xml:space="preserve"> 201</w:t>
      </w:r>
      <w:r w:rsidR="00CC6CAD" w:rsidRPr="00C95980">
        <w:rPr>
          <w:szCs w:val="24"/>
        </w:rPr>
        <w:t>6</w:t>
      </w:r>
      <w:r w:rsidRPr="00C95980">
        <w:rPr>
          <w:szCs w:val="24"/>
        </w:rPr>
        <w:t xml:space="preserve">. The pretest instruments included newly developed questions and questions that were heavily edited from the previous </w:t>
      </w:r>
      <w:r w:rsidR="008362DE">
        <w:rPr>
          <w:szCs w:val="24"/>
        </w:rPr>
        <w:t>CN-OPS-II</w:t>
      </w:r>
      <w:r w:rsidR="008362DE" w:rsidRPr="00C95980">
        <w:rPr>
          <w:szCs w:val="24"/>
        </w:rPr>
        <w:t xml:space="preserve"> </w:t>
      </w:r>
      <w:r w:rsidRPr="00C95980">
        <w:rPr>
          <w:szCs w:val="24"/>
        </w:rPr>
        <w:t xml:space="preserve">surveys. </w:t>
      </w:r>
      <w:r w:rsidR="00F36B8D" w:rsidRPr="00F36B8D">
        <w:rPr>
          <w:szCs w:val="24"/>
        </w:rPr>
        <w:t>The pretest was conducted to ensure that questions are understandable, that they use language familiar to respondents, and that they are consistent with the concepts they aim to measure. The team has also used these pretests to identify typical instrumentation problems (such as question wording and incomplete or inappropriate response categories), to measure the response burden, and to confirm that there are no unforeseen difficulties in administering the instruments.</w:t>
      </w:r>
      <w:r w:rsidR="00F36B8D">
        <w:rPr>
          <w:szCs w:val="24"/>
        </w:rPr>
        <w:t xml:space="preserve"> </w:t>
      </w:r>
      <w:r w:rsidR="00050508" w:rsidRPr="00C95980">
        <w:rPr>
          <w:szCs w:val="24"/>
        </w:rPr>
        <w:t xml:space="preserve">Additionally, all pretest participants </w:t>
      </w:r>
      <w:r w:rsidR="00050508" w:rsidRPr="00C95980">
        <w:rPr>
          <w:szCs w:val="24"/>
        </w:rPr>
        <w:lastRenderedPageBreak/>
        <w:t xml:space="preserve">were debriefed by phone and provided opportunities for general comments about the instruments. </w:t>
      </w:r>
      <w:r w:rsidR="00F36B8D" w:rsidRPr="00F36B8D">
        <w:rPr>
          <w:szCs w:val="24"/>
        </w:rPr>
        <w:t>We developed debriefing protocols that were used to guide our conversation with respondents. The debriefing protocols ask specific questions about the clarity of questions and feasibility of providing answers.</w:t>
      </w:r>
      <w:r w:rsidR="00F36B8D">
        <w:rPr>
          <w:szCs w:val="24"/>
        </w:rPr>
        <w:t xml:space="preserve"> </w:t>
      </w:r>
      <w:r w:rsidR="009B51FD">
        <w:rPr>
          <w:szCs w:val="24"/>
        </w:rPr>
        <w:t>Three</w:t>
      </w:r>
      <w:r w:rsidR="009B51FD" w:rsidRPr="00C95980">
        <w:rPr>
          <w:szCs w:val="24"/>
        </w:rPr>
        <w:t xml:space="preserve"> </w:t>
      </w:r>
      <w:r w:rsidR="00466556">
        <w:rPr>
          <w:szCs w:val="24"/>
        </w:rPr>
        <w:t>CN</w:t>
      </w:r>
      <w:r w:rsidRPr="00C95980">
        <w:rPr>
          <w:szCs w:val="24"/>
        </w:rPr>
        <w:t xml:space="preserve"> directors and </w:t>
      </w:r>
      <w:r w:rsidR="009B51FD">
        <w:rPr>
          <w:szCs w:val="24"/>
        </w:rPr>
        <w:t>five</w:t>
      </w:r>
      <w:r w:rsidRPr="00C95980">
        <w:rPr>
          <w:szCs w:val="24"/>
        </w:rPr>
        <w:t xml:space="preserve"> SFA directors </w:t>
      </w:r>
      <w:r w:rsidRPr="00A8224A">
        <w:rPr>
          <w:szCs w:val="24"/>
        </w:rPr>
        <w:t>participated in the pretest</w:t>
      </w:r>
      <w:r w:rsidR="008362DE">
        <w:rPr>
          <w:szCs w:val="24"/>
        </w:rPr>
        <w:t xml:space="preserve"> for Year 2</w:t>
      </w:r>
      <w:r w:rsidRPr="00A8224A">
        <w:rPr>
          <w:szCs w:val="24"/>
        </w:rPr>
        <w:t xml:space="preserve">. </w:t>
      </w:r>
    </w:p>
    <w:p w14:paraId="1D5A07ED" w14:textId="3663EB73" w:rsidR="00100485" w:rsidRPr="00094DFB" w:rsidRDefault="00100485" w:rsidP="00C677AC">
      <w:pPr>
        <w:pStyle w:val="Normalcontinued"/>
        <w:spacing w:before="120"/>
        <w:rPr>
          <w:szCs w:val="24"/>
        </w:rPr>
      </w:pPr>
      <w:r w:rsidRPr="006F3693">
        <w:rPr>
          <w:szCs w:val="24"/>
        </w:rPr>
        <w:t xml:space="preserve">To arrange the pretests, </w:t>
      </w:r>
      <w:r w:rsidR="004A4570" w:rsidRPr="00A8224A">
        <w:rPr>
          <w:szCs w:val="24"/>
        </w:rPr>
        <w:t>six</w:t>
      </w:r>
      <w:r w:rsidRPr="00802CE8">
        <w:rPr>
          <w:szCs w:val="24"/>
        </w:rPr>
        <w:t xml:space="preserve"> States that were known to have </w:t>
      </w:r>
      <w:r w:rsidR="009B51FD">
        <w:rPr>
          <w:szCs w:val="24"/>
        </w:rPr>
        <w:t xml:space="preserve">above average response rates </w:t>
      </w:r>
      <w:r w:rsidR="0038491F">
        <w:rPr>
          <w:szCs w:val="24"/>
        </w:rPr>
        <w:t xml:space="preserve">were chosen </w:t>
      </w:r>
      <w:r w:rsidR="009B51FD">
        <w:rPr>
          <w:szCs w:val="24"/>
        </w:rPr>
        <w:t>for CN</w:t>
      </w:r>
      <w:r w:rsidR="005804CE">
        <w:rPr>
          <w:szCs w:val="24"/>
        </w:rPr>
        <w:t>-</w:t>
      </w:r>
      <w:r w:rsidR="009B51FD">
        <w:rPr>
          <w:szCs w:val="24"/>
        </w:rPr>
        <w:t>OPS-II year 1 survey.</w:t>
      </w:r>
      <w:r w:rsidR="0094252B" w:rsidRPr="00C95980">
        <w:rPr>
          <w:szCs w:val="24"/>
        </w:rPr>
        <w:t xml:space="preserve"> </w:t>
      </w:r>
      <w:r w:rsidRPr="00C95980">
        <w:rPr>
          <w:szCs w:val="24"/>
        </w:rPr>
        <w:t>FNS asked the Mid-</w:t>
      </w:r>
      <w:r w:rsidR="00E27028" w:rsidRPr="00C95980">
        <w:rPr>
          <w:szCs w:val="24"/>
        </w:rPr>
        <w:t xml:space="preserve">West </w:t>
      </w:r>
      <w:r w:rsidRPr="00C95980">
        <w:rPr>
          <w:szCs w:val="24"/>
        </w:rPr>
        <w:t xml:space="preserve">and </w:t>
      </w:r>
      <w:r w:rsidR="00E27028" w:rsidRPr="00C95980">
        <w:rPr>
          <w:szCs w:val="24"/>
        </w:rPr>
        <w:t xml:space="preserve">Mountain Plains </w:t>
      </w:r>
      <w:r w:rsidRPr="00C95980">
        <w:rPr>
          <w:szCs w:val="24"/>
        </w:rPr>
        <w:t>Regiona</w:t>
      </w:r>
      <w:r w:rsidR="00655259">
        <w:rPr>
          <w:szCs w:val="24"/>
        </w:rPr>
        <w:t>l o</w:t>
      </w:r>
      <w:r w:rsidRPr="00C95980">
        <w:rPr>
          <w:szCs w:val="24"/>
        </w:rPr>
        <w:t xml:space="preserve">ffices </w:t>
      </w:r>
      <w:r w:rsidR="00655259">
        <w:rPr>
          <w:szCs w:val="24"/>
        </w:rPr>
        <w:t>to email the State a</w:t>
      </w:r>
      <w:r w:rsidRPr="00C95980">
        <w:rPr>
          <w:szCs w:val="24"/>
        </w:rPr>
        <w:t xml:space="preserve">gencies located in </w:t>
      </w:r>
      <w:r w:rsidR="00E27028" w:rsidRPr="00C95980">
        <w:rPr>
          <w:szCs w:val="24"/>
        </w:rPr>
        <w:t>Minnesota,</w:t>
      </w:r>
      <w:r w:rsidR="00C10B42" w:rsidRPr="00C95980">
        <w:rPr>
          <w:szCs w:val="24"/>
        </w:rPr>
        <w:t xml:space="preserve"> Utah, Kansas, Indiana</w:t>
      </w:r>
      <w:r w:rsidR="008E7177" w:rsidRPr="00C95980">
        <w:rPr>
          <w:szCs w:val="24"/>
        </w:rPr>
        <w:t xml:space="preserve">, </w:t>
      </w:r>
      <w:r w:rsidR="004A4570" w:rsidRPr="00C95980">
        <w:rPr>
          <w:szCs w:val="24"/>
        </w:rPr>
        <w:t xml:space="preserve">Iowa, </w:t>
      </w:r>
      <w:r w:rsidR="008E7177" w:rsidRPr="00C95980">
        <w:rPr>
          <w:szCs w:val="24"/>
        </w:rPr>
        <w:t>and Wisconsin</w:t>
      </w:r>
      <w:r w:rsidR="00AD4FAB">
        <w:rPr>
          <w:szCs w:val="24"/>
        </w:rPr>
        <w:t>,</w:t>
      </w:r>
      <w:r w:rsidR="00F97126" w:rsidRPr="00C95980">
        <w:rPr>
          <w:szCs w:val="24"/>
        </w:rPr>
        <w:t xml:space="preserve"> </w:t>
      </w:r>
      <w:r w:rsidRPr="00C95980">
        <w:rPr>
          <w:szCs w:val="24"/>
        </w:rPr>
        <w:t>about their potential involvement in the C</w:t>
      </w:r>
      <w:r w:rsidR="00466556">
        <w:rPr>
          <w:szCs w:val="24"/>
        </w:rPr>
        <w:t>N</w:t>
      </w:r>
      <w:r w:rsidR="007039EF">
        <w:rPr>
          <w:szCs w:val="24"/>
        </w:rPr>
        <w:t>-</w:t>
      </w:r>
      <w:r w:rsidR="00466556">
        <w:rPr>
          <w:szCs w:val="24"/>
        </w:rPr>
        <w:t xml:space="preserve">OPS-II. The email asked </w:t>
      </w:r>
      <w:r w:rsidRPr="00C95980">
        <w:rPr>
          <w:szCs w:val="24"/>
        </w:rPr>
        <w:t xml:space="preserve">CN directors if they would be interested in participating in a pretest of the </w:t>
      </w:r>
      <w:r w:rsidR="00466556">
        <w:rPr>
          <w:szCs w:val="24"/>
        </w:rPr>
        <w:t>CN</w:t>
      </w:r>
      <w:r w:rsidRPr="00C95980">
        <w:rPr>
          <w:szCs w:val="24"/>
        </w:rPr>
        <w:t xml:space="preserve"> Director Survey</w:t>
      </w:r>
      <w:r w:rsidR="004716A6">
        <w:rPr>
          <w:szCs w:val="24"/>
        </w:rPr>
        <w:t>,</w:t>
      </w:r>
      <w:r w:rsidRPr="00C95980">
        <w:rPr>
          <w:szCs w:val="24"/>
        </w:rPr>
        <w:t xml:space="preserve"> and if they could recommend five SFA directors in their State to potentially participate in a pretest of the SFA Director Survey. For each of the </w:t>
      </w:r>
      <w:r w:rsidR="00466556">
        <w:rPr>
          <w:szCs w:val="24"/>
        </w:rPr>
        <w:t xml:space="preserve">recommended SFAs, </w:t>
      </w:r>
      <w:r w:rsidRPr="00C95980">
        <w:rPr>
          <w:szCs w:val="24"/>
        </w:rPr>
        <w:t xml:space="preserve">CN directors </w:t>
      </w:r>
      <w:r w:rsidR="0038491F">
        <w:rPr>
          <w:szCs w:val="24"/>
        </w:rPr>
        <w:t xml:space="preserve">were asked </w:t>
      </w:r>
      <w:r w:rsidR="00466556">
        <w:rPr>
          <w:szCs w:val="24"/>
        </w:rPr>
        <w:t>to</w:t>
      </w:r>
      <w:r w:rsidRPr="00C95980">
        <w:rPr>
          <w:szCs w:val="24"/>
        </w:rPr>
        <w:t xml:space="preserve"> indicate </w:t>
      </w:r>
      <w:r w:rsidR="0027560B">
        <w:rPr>
          <w:szCs w:val="24"/>
        </w:rPr>
        <w:t>whether the SFA would be using free or reduced-price meal applications in school year 2016-17</w:t>
      </w:r>
      <w:r w:rsidRPr="00C95980">
        <w:rPr>
          <w:szCs w:val="24"/>
        </w:rPr>
        <w:t>. After the necessary outreach was made by FNS and the Regional Office</w:t>
      </w:r>
      <w:r w:rsidR="0094252B" w:rsidRPr="00C95980">
        <w:rPr>
          <w:szCs w:val="24"/>
        </w:rPr>
        <w:t xml:space="preserve">s, </w:t>
      </w:r>
      <w:r w:rsidR="007039EF">
        <w:rPr>
          <w:szCs w:val="24"/>
        </w:rPr>
        <w:t>the contractor</w:t>
      </w:r>
      <w:r w:rsidR="007039EF" w:rsidRPr="00C95980">
        <w:rPr>
          <w:szCs w:val="24"/>
        </w:rPr>
        <w:t xml:space="preserve"> </w:t>
      </w:r>
      <w:r w:rsidRPr="00C95980">
        <w:rPr>
          <w:szCs w:val="24"/>
        </w:rPr>
        <w:t>contacted them via email and follow</w:t>
      </w:r>
      <w:r w:rsidR="00583E57">
        <w:rPr>
          <w:szCs w:val="24"/>
        </w:rPr>
        <w:t>-</w:t>
      </w:r>
      <w:r w:rsidRPr="00C95980">
        <w:rPr>
          <w:szCs w:val="24"/>
        </w:rPr>
        <w:t xml:space="preserve">up phone calls. </w:t>
      </w:r>
      <w:r w:rsidR="0027560B" w:rsidRPr="000334FF">
        <w:rPr>
          <w:szCs w:val="24"/>
        </w:rPr>
        <w:t>Indiana, Kansa</w:t>
      </w:r>
      <w:r w:rsidR="00E75394" w:rsidRPr="000334FF">
        <w:rPr>
          <w:szCs w:val="24"/>
        </w:rPr>
        <w:t>s</w:t>
      </w:r>
      <w:r w:rsidR="0027560B" w:rsidRPr="000334FF">
        <w:rPr>
          <w:szCs w:val="24"/>
        </w:rPr>
        <w:t>, and Minnesota</w:t>
      </w:r>
      <w:r w:rsidRPr="000334FF">
        <w:rPr>
          <w:szCs w:val="24"/>
        </w:rPr>
        <w:t xml:space="preserve"> </w:t>
      </w:r>
      <w:r w:rsidR="0027560B">
        <w:rPr>
          <w:szCs w:val="24"/>
        </w:rPr>
        <w:t>State</w:t>
      </w:r>
      <w:r w:rsidR="00511410">
        <w:rPr>
          <w:szCs w:val="24"/>
        </w:rPr>
        <w:t xml:space="preserve"> </w:t>
      </w:r>
      <w:r w:rsidRPr="006F3693">
        <w:rPr>
          <w:szCs w:val="24"/>
        </w:rPr>
        <w:t xml:space="preserve">CN directors </w:t>
      </w:r>
      <w:r w:rsidR="0038491F">
        <w:rPr>
          <w:szCs w:val="24"/>
        </w:rPr>
        <w:t xml:space="preserve">were chosen </w:t>
      </w:r>
      <w:r w:rsidRPr="006F3693">
        <w:rPr>
          <w:szCs w:val="24"/>
        </w:rPr>
        <w:t xml:space="preserve">to participate in the </w:t>
      </w:r>
      <w:r w:rsidR="00466556">
        <w:rPr>
          <w:szCs w:val="24"/>
        </w:rPr>
        <w:t xml:space="preserve">CN </w:t>
      </w:r>
      <w:r w:rsidRPr="006F3693">
        <w:rPr>
          <w:szCs w:val="24"/>
        </w:rPr>
        <w:t xml:space="preserve">Director Survey pretest based on their ability to participate </w:t>
      </w:r>
      <w:r w:rsidR="00EB5289">
        <w:rPr>
          <w:szCs w:val="24"/>
        </w:rPr>
        <w:t>with</w:t>
      </w:r>
      <w:r w:rsidRPr="006F3693">
        <w:rPr>
          <w:szCs w:val="24"/>
        </w:rPr>
        <w:t xml:space="preserve">in the necessary timeframe. </w:t>
      </w:r>
      <w:r w:rsidR="0094252B" w:rsidRPr="00A8224A">
        <w:rPr>
          <w:szCs w:val="24"/>
        </w:rPr>
        <w:t xml:space="preserve">Then </w:t>
      </w:r>
      <w:r w:rsidR="0038491F">
        <w:rPr>
          <w:szCs w:val="24"/>
        </w:rPr>
        <w:t xml:space="preserve">the </w:t>
      </w:r>
      <w:r w:rsidR="00BA4AA4">
        <w:rPr>
          <w:szCs w:val="24"/>
        </w:rPr>
        <w:t>research</w:t>
      </w:r>
      <w:r w:rsidR="0038491F">
        <w:rPr>
          <w:szCs w:val="24"/>
        </w:rPr>
        <w:t xml:space="preserve"> team</w:t>
      </w:r>
      <w:r w:rsidR="0038491F" w:rsidRPr="00A8224A">
        <w:rPr>
          <w:szCs w:val="24"/>
        </w:rPr>
        <w:t xml:space="preserve"> </w:t>
      </w:r>
      <w:r w:rsidRPr="00A8224A">
        <w:rPr>
          <w:szCs w:val="24"/>
        </w:rPr>
        <w:t xml:space="preserve">prioritized outreach to </w:t>
      </w:r>
      <w:r w:rsidR="006B14A7" w:rsidRPr="00802CE8">
        <w:rPr>
          <w:szCs w:val="24"/>
        </w:rPr>
        <w:t>specifically</w:t>
      </w:r>
      <w:r w:rsidRPr="00802CE8">
        <w:rPr>
          <w:szCs w:val="24"/>
        </w:rPr>
        <w:t xml:space="preserve"> recommended SFAs </w:t>
      </w:r>
      <w:r w:rsidR="00655259">
        <w:rPr>
          <w:szCs w:val="24"/>
        </w:rPr>
        <w:t xml:space="preserve">to allow for a </w:t>
      </w:r>
      <w:r w:rsidRPr="00802CE8">
        <w:rPr>
          <w:szCs w:val="24"/>
        </w:rPr>
        <w:t>high chance of</w:t>
      </w:r>
      <w:r w:rsidR="00655259">
        <w:rPr>
          <w:szCs w:val="24"/>
        </w:rPr>
        <w:t xml:space="preserve"> recruiting</w:t>
      </w:r>
      <w:r w:rsidRPr="00802CE8">
        <w:rPr>
          <w:szCs w:val="24"/>
        </w:rPr>
        <w:t xml:space="preserve"> SFAs that vari</w:t>
      </w:r>
      <w:r w:rsidRPr="00094DFB">
        <w:rPr>
          <w:szCs w:val="24"/>
        </w:rPr>
        <w:t>ed in size</w:t>
      </w:r>
      <w:r w:rsidR="0027560B">
        <w:rPr>
          <w:szCs w:val="24"/>
        </w:rPr>
        <w:t>.</w:t>
      </w:r>
      <w:r w:rsidR="00E15264">
        <w:rPr>
          <w:szCs w:val="24"/>
        </w:rPr>
        <w:t xml:space="preserve"> Six SFAs were invited to participate in the pretest and five responded.</w:t>
      </w:r>
    </w:p>
    <w:p w14:paraId="21EED3BC" w14:textId="77777777" w:rsidR="003232EE" w:rsidRDefault="003232EE" w:rsidP="00C677AC">
      <w:pPr>
        <w:pStyle w:val="Normalcontinued"/>
        <w:spacing w:before="120"/>
        <w:rPr>
          <w:b/>
          <w:szCs w:val="24"/>
        </w:rPr>
      </w:pPr>
      <w:bookmarkStart w:id="10" w:name="_Toc429058049"/>
      <w:r w:rsidRPr="00C95980">
        <w:rPr>
          <w:b/>
          <w:szCs w:val="24"/>
        </w:rPr>
        <w:t>C</w:t>
      </w:r>
      <w:r w:rsidR="00655259">
        <w:rPr>
          <w:b/>
          <w:szCs w:val="24"/>
        </w:rPr>
        <w:t>N</w:t>
      </w:r>
      <w:r w:rsidRPr="00C95980">
        <w:rPr>
          <w:b/>
          <w:szCs w:val="24"/>
        </w:rPr>
        <w:t xml:space="preserve"> Director Survey Pre</w:t>
      </w:r>
      <w:r w:rsidR="00C211F9">
        <w:rPr>
          <w:b/>
          <w:szCs w:val="24"/>
        </w:rPr>
        <w:t>t</w:t>
      </w:r>
      <w:r w:rsidRPr="00C95980">
        <w:rPr>
          <w:b/>
          <w:szCs w:val="24"/>
        </w:rPr>
        <w:t>est Findings</w:t>
      </w:r>
      <w:bookmarkEnd w:id="10"/>
      <w:r w:rsidRPr="00C95980">
        <w:rPr>
          <w:b/>
          <w:szCs w:val="24"/>
        </w:rPr>
        <w:t xml:space="preserve"> </w:t>
      </w:r>
    </w:p>
    <w:p w14:paraId="2B9CF73D" w14:textId="74A508FD" w:rsidR="00DF6007" w:rsidRPr="00DF6007" w:rsidRDefault="0027560B" w:rsidP="00DF6007">
      <w:r w:rsidRPr="0027560B">
        <w:t>The three pretest respondents provided very helpful feedback about the pretest instrument</w:t>
      </w:r>
      <w:r w:rsidR="00A03012">
        <w:t xml:space="preserve">. </w:t>
      </w:r>
      <w:r w:rsidRPr="0027560B">
        <w:t xml:space="preserve">Using this feedback, we improved the flow of </w:t>
      </w:r>
      <w:r w:rsidR="00A03012">
        <w:t xml:space="preserve">several </w:t>
      </w:r>
      <w:r w:rsidRPr="0027560B">
        <w:t>sections and revised questions</w:t>
      </w:r>
      <w:r w:rsidR="004C5DF6">
        <w:t xml:space="preserve"> and instructions</w:t>
      </w:r>
      <w:r w:rsidRPr="0027560B">
        <w:t xml:space="preserve"> to clarify or improve construction and accuracy. </w:t>
      </w:r>
      <w:r w:rsidR="00DF6007" w:rsidRPr="00DF6007">
        <w:t xml:space="preserve">For example, at question 2.8 all </w:t>
      </w:r>
      <w:r w:rsidR="00DF6007" w:rsidRPr="00DF6007">
        <w:lastRenderedPageBreak/>
        <w:t>respondents commented that they were unsure whether they should include the summer meals programs in their response. One respondent was unsure whether to include CACFP in the response. In reaction to this feedback</w:t>
      </w:r>
      <w:r w:rsidR="00737757">
        <w:t>,</w:t>
      </w:r>
      <w:r w:rsidR="00DF6007" w:rsidRPr="00DF6007">
        <w:t xml:space="preserve"> </w:t>
      </w:r>
      <w:r w:rsidR="008C192A">
        <w:t xml:space="preserve">the </w:t>
      </w:r>
      <w:r w:rsidR="00BA4AA4">
        <w:t>research</w:t>
      </w:r>
      <w:r w:rsidR="008C192A">
        <w:t xml:space="preserve"> team</w:t>
      </w:r>
      <w:r w:rsidR="00DF6007" w:rsidRPr="00DF6007">
        <w:t xml:space="preserve"> added instruction text that indicates that school meal operations include breakfast and lunch programs, summer meals, and CACFP.  Another example of a change made to improve clarity wa</w:t>
      </w:r>
      <w:r w:rsidR="008C192A">
        <w:t xml:space="preserve">s </w:t>
      </w:r>
      <w:r w:rsidR="00DF6007" w:rsidRPr="00DF6007">
        <w:t>question</w:t>
      </w:r>
      <w:r w:rsidR="00737757">
        <w:t xml:space="preserve"> 3.7</w:t>
      </w:r>
      <w:r w:rsidR="00DF6007" w:rsidRPr="00DF6007">
        <w:t>. Respondents commented that the phrase “prior to the execution of the contract” was not clear. Typically,</w:t>
      </w:r>
      <w:r w:rsidR="00F2502E">
        <w:t xml:space="preserve"> they reviewed the contracts during</w:t>
      </w:r>
      <w:r w:rsidR="00DF6007" w:rsidRPr="00DF6007">
        <w:t xml:space="preserve"> administrative review</w:t>
      </w:r>
      <w:r w:rsidR="00F2502E">
        <w:t xml:space="preserve"> but reviewed processes and</w:t>
      </w:r>
      <w:r w:rsidR="00DF6007" w:rsidRPr="00DF6007">
        <w:t xml:space="preserve"> </w:t>
      </w:r>
      <w:r w:rsidR="00F2502E">
        <w:t>requests for proposals during procurement review</w:t>
      </w:r>
      <w:r w:rsidR="00DF6007" w:rsidRPr="00DF6007">
        <w:t xml:space="preserve">. Because of this feedback, the phrase “prior to execution of the contract” </w:t>
      </w:r>
      <w:r w:rsidR="008C192A">
        <w:t xml:space="preserve">was removed </w:t>
      </w:r>
      <w:r w:rsidR="00DF6007" w:rsidRPr="00DF6007">
        <w:t xml:space="preserve">from questions 3.7, 3.8, 3.16, 3.18 and 3.21.  At Section 4, one respondent commented that FNS is rolling out a new electronic prototype in December. The respondent said that there is a hard-copy prototype and an electronic prototype. The respondent recommended that </w:t>
      </w:r>
      <w:r w:rsidR="008C192A">
        <w:t>the survey</w:t>
      </w:r>
      <w:r w:rsidR="00DF6007" w:rsidRPr="00DF6007">
        <w:t xml:space="preserve"> specify that </w:t>
      </w:r>
      <w:r w:rsidR="008C192A">
        <w:t>it does not ask about</w:t>
      </w:r>
      <w:r w:rsidR="00DF6007" w:rsidRPr="00DF6007">
        <w:t xml:space="preserve"> the e</w:t>
      </w:r>
      <w:r w:rsidR="00737757">
        <w:t>lectronic prototype in this</w:t>
      </w:r>
      <w:r w:rsidR="00DF6007" w:rsidRPr="00DF6007">
        <w:t xml:space="preserve"> section. </w:t>
      </w:r>
      <w:r w:rsidR="008C192A">
        <w:t>An</w:t>
      </w:r>
      <w:r w:rsidR="00DF6007" w:rsidRPr="00DF6007">
        <w:t xml:space="preserve"> instruction</w:t>
      </w:r>
      <w:r w:rsidR="008C192A">
        <w:t xml:space="preserve"> was added</w:t>
      </w:r>
      <w:r w:rsidR="00DF6007" w:rsidRPr="00DF6007">
        <w:t xml:space="preserve"> to the beginning of the section that states that </w:t>
      </w:r>
      <w:r w:rsidR="008C192A">
        <w:t>the survey</w:t>
      </w:r>
      <w:r w:rsidR="00DF6007" w:rsidRPr="00DF6007">
        <w:t xml:space="preserve"> </w:t>
      </w:r>
      <w:r w:rsidR="008C192A">
        <w:t>does not ask about to</w:t>
      </w:r>
      <w:r w:rsidR="00DF6007" w:rsidRPr="00DF6007">
        <w:t xml:space="preserve"> the electronic prototype. </w:t>
      </w:r>
      <w:r w:rsidR="008C192A">
        <w:t xml:space="preserve">The </w:t>
      </w:r>
      <w:r w:rsidR="00BA4AA4">
        <w:t>research</w:t>
      </w:r>
      <w:r w:rsidR="008C192A">
        <w:t xml:space="preserve"> team</w:t>
      </w:r>
      <w:r w:rsidR="00DF6007" w:rsidRPr="00DF6007">
        <w:t xml:space="preserve"> also added questions 4.5a, b, and c to ask about the State’s policy for electronic applications.</w:t>
      </w:r>
    </w:p>
    <w:p w14:paraId="623D9575" w14:textId="3FC5A8BD" w:rsidR="0027560B" w:rsidRDefault="00DF6007" w:rsidP="00DF6007">
      <w:r w:rsidRPr="00DF6007">
        <w:t xml:space="preserve"> </w:t>
      </w:r>
      <w:r w:rsidR="00A03012">
        <w:t xml:space="preserve">Modifications were </w:t>
      </w:r>
      <w:r w:rsidR="004C5DF6">
        <w:t xml:space="preserve">also </w:t>
      </w:r>
      <w:r w:rsidR="00A03012">
        <w:t xml:space="preserve">made to reduce the time that the respondent would spend on calculations such as </w:t>
      </w:r>
      <w:r w:rsidR="004C5DF6">
        <w:t xml:space="preserve">the </w:t>
      </w:r>
      <w:r w:rsidR="00A03012">
        <w:t xml:space="preserve">percentage of hours in training and in tabulations such as enumerating the number of regional management companies working with SFAs in a State. </w:t>
      </w:r>
      <w:r w:rsidR="0027560B" w:rsidRPr="0027560B">
        <w:t xml:space="preserve">The three pretest respondents spent very different amounts of time answering the questions. On average, the </w:t>
      </w:r>
      <w:r w:rsidR="00A52034">
        <w:t xml:space="preserve">pre-test </w:t>
      </w:r>
      <w:r w:rsidR="0027560B" w:rsidRPr="0027560B">
        <w:t xml:space="preserve">survey took </w:t>
      </w:r>
      <w:r w:rsidR="00A52034">
        <w:t xml:space="preserve">150 minutes. </w:t>
      </w:r>
      <w:r w:rsidR="00A03012">
        <w:t xml:space="preserve">To </w:t>
      </w:r>
      <w:r w:rsidR="004C5DF6">
        <w:t xml:space="preserve">further reduce </w:t>
      </w:r>
      <w:r w:rsidR="00A03012">
        <w:t>the burden, we dropped questions concerning professional standards and</w:t>
      </w:r>
      <w:r w:rsidR="004C5DF6">
        <w:t xml:space="preserve"> plan to add those to the Year 3 survey. Considering all modifications, we estimate that the average burden will be </w:t>
      </w:r>
      <w:r w:rsidR="00A52034">
        <w:t>120 minutes</w:t>
      </w:r>
      <w:r w:rsidR="004C5DF6">
        <w:t xml:space="preserve">. </w:t>
      </w:r>
      <w:r w:rsidR="00A03012">
        <w:t xml:space="preserve"> </w:t>
      </w:r>
    </w:p>
    <w:p w14:paraId="7B16745C" w14:textId="77777777" w:rsidR="00853CDC" w:rsidRDefault="00853CDC" w:rsidP="00C677AC">
      <w:pPr>
        <w:pStyle w:val="Normalcontinued"/>
        <w:spacing w:before="120"/>
        <w:rPr>
          <w:b/>
          <w:szCs w:val="24"/>
        </w:rPr>
      </w:pPr>
      <w:bookmarkStart w:id="11" w:name="_Toc429058050"/>
    </w:p>
    <w:p w14:paraId="364AF549" w14:textId="77777777" w:rsidR="003232EE" w:rsidRDefault="003232EE" w:rsidP="00C677AC">
      <w:pPr>
        <w:pStyle w:val="Normalcontinued"/>
        <w:spacing w:before="120"/>
        <w:rPr>
          <w:b/>
          <w:szCs w:val="24"/>
        </w:rPr>
      </w:pPr>
      <w:r w:rsidRPr="00C95980">
        <w:rPr>
          <w:b/>
          <w:szCs w:val="24"/>
        </w:rPr>
        <w:lastRenderedPageBreak/>
        <w:t>SFA Director Survey Pre</w:t>
      </w:r>
      <w:r w:rsidR="00C211F9">
        <w:rPr>
          <w:b/>
          <w:szCs w:val="24"/>
        </w:rPr>
        <w:t>t</w:t>
      </w:r>
      <w:r w:rsidRPr="00C95980">
        <w:rPr>
          <w:b/>
          <w:szCs w:val="24"/>
        </w:rPr>
        <w:t>est Findings</w:t>
      </w:r>
      <w:bookmarkEnd w:id="11"/>
    </w:p>
    <w:p w14:paraId="7215BF48" w14:textId="62111531" w:rsidR="00F2502E" w:rsidRPr="00F2502E" w:rsidRDefault="004C5DF6" w:rsidP="00F2502E">
      <w:r>
        <w:t xml:space="preserve">Overall, pre-test respondents reported that questions in most sections in the SFA Director Pre-test Survey were clearly worded and easy to answer. </w:t>
      </w:r>
      <w:r w:rsidR="0027560B">
        <w:t xml:space="preserve">Based on feedback from pre-test respondents, </w:t>
      </w:r>
      <w:r>
        <w:t xml:space="preserve">two sections of the survey were extensively modified to reduce both burden and improve accuracy in addressing the research questions. Questions in other sections of the survey were modified </w:t>
      </w:r>
      <w:r w:rsidR="00A52034">
        <w:t>per</w:t>
      </w:r>
      <w:r>
        <w:t xml:space="preserve"> feedback from the pre-testers to improve the flow of the survey</w:t>
      </w:r>
      <w:r w:rsidR="007B3CE0">
        <w:t>, include more response options, and reduce the time needed for background research by, for example, including links to referenced documents and templates, and adding hover text for some definitions.</w:t>
      </w:r>
      <w:r w:rsidR="00F2502E">
        <w:t xml:space="preserve"> </w:t>
      </w:r>
      <w:r w:rsidR="00F2502E" w:rsidRPr="00F2502E">
        <w:t xml:space="preserve">For example, in Section 4, respondents expressed confusion </w:t>
      </w:r>
      <w:r w:rsidR="00F2502E">
        <w:t xml:space="preserve">as to </w:t>
      </w:r>
      <w:r w:rsidR="00F2502E" w:rsidRPr="00F2502E">
        <w:t xml:space="preserve">whether each question should total 100 percent or the combined responses should total 100 percent. </w:t>
      </w:r>
      <w:r w:rsidR="001A46F4">
        <w:t xml:space="preserve">The </w:t>
      </w:r>
      <w:r w:rsidR="00BA4AA4">
        <w:t>research</w:t>
      </w:r>
      <w:r w:rsidR="001A46F4">
        <w:t xml:space="preserve"> team</w:t>
      </w:r>
      <w:r w:rsidR="00F2502E" w:rsidRPr="00F2502E">
        <w:t xml:space="preserve"> co</w:t>
      </w:r>
      <w:r w:rsidR="00737757">
        <w:t xml:space="preserve">mbined the questions to create </w:t>
      </w:r>
      <w:r w:rsidR="00F2502E" w:rsidRPr="00F2502E">
        <w:t xml:space="preserve">4.9, which asks respondents to estimate the percentages of their SFA’s total purchases of goods and services for school meals procured during SY 2016–2017. In Section 8, respondents indicated uncertainty about whether they use the USDA prototype application for free and reduced price (F/RP) meals because they use a State-issued application and/or made minor modifications to the USDA prototype application. Therefore, </w:t>
      </w:r>
      <w:r w:rsidR="001A46F4">
        <w:t xml:space="preserve">the </w:t>
      </w:r>
      <w:r w:rsidR="00BA4AA4">
        <w:t>research</w:t>
      </w:r>
      <w:r w:rsidR="001A46F4">
        <w:t xml:space="preserve"> team</w:t>
      </w:r>
      <w:r w:rsidR="00F2502E" w:rsidRPr="00F2502E">
        <w:t xml:space="preserve"> added a link to the USDA prototype application to Q8.2, reordered the questions to first ask whether respondents use a hard-copy F/RP meal application, and then mo</w:t>
      </w:r>
      <w:r w:rsidR="00737757">
        <w:t xml:space="preserve">dified the response options on </w:t>
      </w:r>
      <w:r w:rsidR="00F2502E" w:rsidRPr="00F2502E">
        <w:t>8.2 to allow for a larger varie</w:t>
      </w:r>
      <w:r w:rsidR="00737757">
        <w:t xml:space="preserve">ty of responses. </w:t>
      </w:r>
      <w:r w:rsidR="001A46F4">
        <w:t xml:space="preserve">The </w:t>
      </w:r>
      <w:r w:rsidR="00BA4AA4">
        <w:t>research</w:t>
      </w:r>
      <w:r w:rsidR="001A46F4">
        <w:t xml:space="preserve"> team</w:t>
      </w:r>
      <w:r w:rsidR="00737757">
        <w:t xml:space="preserve"> also added </w:t>
      </w:r>
      <w:r w:rsidR="00F2502E" w:rsidRPr="00F2502E">
        <w:t>8.6 to ask where they got their primary hard-copy application form.</w:t>
      </w:r>
    </w:p>
    <w:p w14:paraId="3C70C5DD" w14:textId="378EF08B" w:rsidR="0027560B" w:rsidRDefault="0027560B" w:rsidP="0027560B">
      <w:r>
        <w:t xml:space="preserve">Given these changes, </w:t>
      </w:r>
      <w:r w:rsidR="009001A3">
        <w:t xml:space="preserve">FNS estimates that the </w:t>
      </w:r>
      <w:r>
        <w:t xml:space="preserve">SFA Director Survey will take approximately </w:t>
      </w:r>
      <w:r w:rsidR="00E15264">
        <w:t>120 minutes</w:t>
      </w:r>
      <w:r>
        <w:t xml:space="preserve"> to complete.</w:t>
      </w:r>
    </w:p>
    <w:p w14:paraId="4FC739A0" w14:textId="77777777" w:rsidR="00D4142E" w:rsidRDefault="00D4142E" w:rsidP="0027560B"/>
    <w:p w14:paraId="5316341E" w14:textId="77777777" w:rsidR="00B06525" w:rsidRPr="00802CE8" w:rsidRDefault="00B06525" w:rsidP="00C677AC">
      <w:pPr>
        <w:spacing w:line="240" w:lineRule="auto"/>
        <w:rPr>
          <w:b/>
          <w:szCs w:val="24"/>
        </w:rPr>
      </w:pPr>
      <w:bookmarkStart w:id="12" w:name="_Toc282506046"/>
      <w:bookmarkStart w:id="13" w:name="_Toc339621325"/>
      <w:r w:rsidRPr="006F3693">
        <w:rPr>
          <w:b/>
          <w:szCs w:val="24"/>
        </w:rPr>
        <w:lastRenderedPageBreak/>
        <w:t>B.5</w:t>
      </w:r>
      <w:r w:rsidRPr="006F3693">
        <w:rPr>
          <w:b/>
          <w:szCs w:val="24"/>
        </w:rPr>
        <w:tab/>
      </w:r>
      <w:bookmarkEnd w:id="12"/>
      <w:r w:rsidRPr="006F3693">
        <w:rPr>
          <w:b/>
          <w:szCs w:val="24"/>
        </w:rPr>
        <w:t>Provide the name and telephone number of individuals consulted on statistical aspects of the design and the name of the agency unit, contractor(s), grantee(s), or</w:t>
      </w:r>
      <w:r w:rsidRPr="00A8224A">
        <w:rPr>
          <w:b/>
          <w:szCs w:val="24"/>
        </w:rPr>
        <w:t xml:space="preserve"> other person(s) who will actually collect and/or analyze the information for the agency.</w:t>
      </w:r>
      <w:bookmarkEnd w:id="13"/>
    </w:p>
    <w:p w14:paraId="15DA50F9" w14:textId="77777777" w:rsidR="00B06525" w:rsidRPr="00C95980" w:rsidRDefault="00B06525" w:rsidP="00C677AC">
      <w:pPr>
        <w:pStyle w:val="Normalcontinued"/>
        <w:spacing w:before="120"/>
        <w:rPr>
          <w:szCs w:val="24"/>
        </w:rPr>
      </w:pPr>
      <w:r w:rsidRPr="006F3693">
        <w:rPr>
          <w:szCs w:val="24"/>
        </w:rPr>
        <w:t xml:space="preserve">The </w:t>
      </w:r>
      <w:r w:rsidR="00111C21" w:rsidRPr="00A8224A">
        <w:rPr>
          <w:szCs w:val="24"/>
        </w:rPr>
        <w:t>C</w:t>
      </w:r>
      <w:r w:rsidRPr="00A8224A">
        <w:rPr>
          <w:szCs w:val="24"/>
        </w:rPr>
        <w:t xml:space="preserve">ontractor, </w:t>
      </w:r>
      <w:r w:rsidR="00D22CA2" w:rsidRPr="00802CE8">
        <w:rPr>
          <w:szCs w:val="24"/>
        </w:rPr>
        <w:t>2M Research Services</w:t>
      </w:r>
      <w:r w:rsidR="00F95045">
        <w:rPr>
          <w:szCs w:val="24"/>
        </w:rPr>
        <w:t xml:space="preserve"> (2M)</w:t>
      </w:r>
      <w:r w:rsidR="00D22CA2" w:rsidRPr="00802CE8">
        <w:rPr>
          <w:szCs w:val="24"/>
        </w:rPr>
        <w:t xml:space="preserve">, and </w:t>
      </w:r>
      <w:r w:rsidR="00C211F9">
        <w:rPr>
          <w:szCs w:val="24"/>
        </w:rPr>
        <w:t>its</w:t>
      </w:r>
      <w:r w:rsidR="00111C21" w:rsidRPr="00802CE8">
        <w:rPr>
          <w:szCs w:val="24"/>
        </w:rPr>
        <w:t xml:space="preserve"> S</w:t>
      </w:r>
      <w:r w:rsidR="00D22CA2" w:rsidRPr="00094DFB">
        <w:rPr>
          <w:szCs w:val="24"/>
        </w:rPr>
        <w:t>ubcontractor, Mathematica Policy Research</w:t>
      </w:r>
      <w:r w:rsidR="00F95045">
        <w:rPr>
          <w:szCs w:val="24"/>
        </w:rPr>
        <w:t xml:space="preserve"> (Mathematica)</w:t>
      </w:r>
      <w:r w:rsidR="00D22CA2" w:rsidRPr="00094DFB">
        <w:rPr>
          <w:szCs w:val="24"/>
        </w:rPr>
        <w:t xml:space="preserve">, </w:t>
      </w:r>
      <w:r w:rsidRPr="00C95980">
        <w:rPr>
          <w:szCs w:val="24"/>
        </w:rPr>
        <w:t xml:space="preserve">will conduct this study. </w:t>
      </w:r>
    </w:p>
    <w:tbl>
      <w:tblPr>
        <w:tblStyle w:val="TableGrid"/>
        <w:tblW w:w="9710" w:type="dxa"/>
        <w:tblLook w:val="04A0" w:firstRow="1" w:lastRow="0" w:firstColumn="1" w:lastColumn="0" w:noHBand="0" w:noVBand="1"/>
      </w:tblPr>
      <w:tblGrid>
        <w:gridCol w:w="2629"/>
        <w:gridCol w:w="1552"/>
        <w:gridCol w:w="1952"/>
        <w:gridCol w:w="3577"/>
      </w:tblGrid>
      <w:tr w:rsidR="0075036C" w:rsidRPr="006F3693" w14:paraId="6C9AD67A" w14:textId="77777777" w:rsidTr="00A52034">
        <w:trPr>
          <w:trHeight w:val="583"/>
        </w:trPr>
        <w:tc>
          <w:tcPr>
            <w:tcW w:w="2690" w:type="dxa"/>
            <w:tcBorders>
              <w:top w:val="single" w:sz="8" w:space="0" w:color="auto"/>
              <w:left w:val="single" w:sz="8" w:space="0" w:color="auto"/>
              <w:bottom w:val="single" w:sz="8" w:space="0" w:color="auto"/>
              <w:right w:val="single" w:sz="8" w:space="0" w:color="auto"/>
            </w:tcBorders>
            <w:shd w:val="clear" w:color="auto" w:fill="AFBED7"/>
            <w:vAlign w:val="bottom"/>
          </w:tcPr>
          <w:p w14:paraId="73610D69" w14:textId="77777777" w:rsidR="0075036C" w:rsidRPr="00C95980" w:rsidRDefault="008A34D2" w:rsidP="00C3202B">
            <w:pPr>
              <w:pStyle w:val="BodyTextIndent3"/>
              <w:widowControl/>
              <w:tabs>
                <w:tab w:val="clear" w:pos="0"/>
              </w:tabs>
              <w:suppressAutoHyphens w:val="0"/>
              <w:autoSpaceDE/>
              <w:autoSpaceDN/>
              <w:adjustRightInd/>
              <w:spacing w:line="240" w:lineRule="auto"/>
              <w:ind w:firstLine="0"/>
              <w:jc w:val="center"/>
              <w:rPr>
                <w:rFonts w:cs="Times New Roman"/>
                <w:b/>
                <w:bCs/>
                <w:sz w:val="24"/>
                <w:szCs w:val="24"/>
              </w:rPr>
            </w:pPr>
            <w:r>
              <w:rPr>
                <w:b/>
                <w:sz w:val="24"/>
                <w:szCs w:val="24"/>
              </w:rPr>
              <w:t>N</w:t>
            </w:r>
            <w:r w:rsidR="0075036C" w:rsidRPr="00C95980">
              <w:rPr>
                <w:b/>
                <w:sz w:val="24"/>
                <w:szCs w:val="24"/>
              </w:rPr>
              <w:t>ame</w:t>
            </w:r>
          </w:p>
        </w:tc>
        <w:tc>
          <w:tcPr>
            <w:tcW w:w="1440" w:type="dxa"/>
            <w:tcBorders>
              <w:top w:val="single" w:sz="8" w:space="0" w:color="auto"/>
              <w:left w:val="nil"/>
              <w:bottom w:val="single" w:sz="8" w:space="0" w:color="auto"/>
              <w:right w:val="single" w:sz="8" w:space="0" w:color="auto"/>
            </w:tcBorders>
            <w:shd w:val="clear" w:color="auto" w:fill="AFBED7"/>
            <w:vAlign w:val="bottom"/>
          </w:tcPr>
          <w:p w14:paraId="6D4C74BF" w14:textId="77777777" w:rsidR="0075036C" w:rsidRPr="00C95980" w:rsidRDefault="0075036C" w:rsidP="00176E3B">
            <w:pPr>
              <w:pStyle w:val="BodyTextIndent3"/>
              <w:widowControl/>
              <w:tabs>
                <w:tab w:val="clear" w:pos="0"/>
              </w:tabs>
              <w:suppressAutoHyphens w:val="0"/>
              <w:autoSpaceDE/>
              <w:autoSpaceDN/>
              <w:adjustRightInd/>
              <w:spacing w:line="240" w:lineRule="auto"/>
              <w:ind w:firstLine="0"/>
              <w:jc w:val="center"/>
              <w:rPr>
                <w:rFonts w:cs="Times New Roman"/>
                <w:b/>
                <w:bCs/>
                <w:sz w:val="24"/>
                <w:szCs w:val="24"/>
              </w:rPr>
            </w:pPr>
            <w:r w:rsidRPr="00C95980">
              <w:rPr>
                <w:b/>
                <w:sz w:val="24"/>
                <w:szCs w:val="24"/>
              </w:rPr>
              <w:t>Affiliation</w:t>
            </w:r>
          </w:p>
        </w:tc>
        <w:tc>
          <w:tcPr>
            <w:tcW w:w="1980" w:type="dxa"/>
            <w:tcBorders>
              <w:top w:val="single" w:sz="8" w:space="0" w:color="auto"/>
              <w:left w:val="nil"/>
              <w:bottom w:val="single" w:sz="8" w:space="0" w:color="auto"/>
              <w:right w:val="single" w:sz="8" w:space="0" w:color="auto"/>
            </w:tcBorders>
            <w:shd w:val="clear" w:color="auto" w:fill="AFBED7"/>
            <w:vAlign w:val="bottom"/>
          </w:tcPr>
          <w:p w14:paraId="2927AA1D" w14:textId="77777777" w:rsidR="0075036C" w:rsidRPr="00C95980" w:rsidRDefault="0075036C" w:rsidP="00176E3B">
            <w:pPr>
              <w:pStyle w:val="BodyTextIndent3"/>
              <w:widowControl/>
              <w:tabs>
                <w:tab w:val="clear" w:pos="0"/>
              </w:tabs>
              <w:suppressAutoHyphens w:val="0"/>
              <w:autoSpaceDE/>
              <w:autoSpaceDN/>
              <w:adjustRightInd/>
              <w:spacing w:line="240" w:lineRule="auto"/>
              <w:ind w:firstLine="0"/>
              <w:jc w:val="center"/>
              <w:rPr>
                <w:rFonts w:cs="Times New Roman"/>
                <w:b/>
                <w:bCs/>
                <w:sz w:val="24"/>
                <w:szCs w:val="24"/>
              </w:rPr>
            </w:pPr>
            <w:r w:rsidRPr="00C95980">
              <w:rPr>
                <w:b/>
                <w:sz w:val="24"/>
                <w:szCs w:val="24"/>
              </w:rPr>
              <w:t>Telephone Number</w:t>
            </w:r>
          </w:p>
        </w:tc>
        <w:tc>
          <w:tcPr>
            <w:tcW w:w="3600" w:type="dxa"/>
            <w:tcBorders>
              <w:top w:val="single" w:sz="8" w:space="0" w:color="auto"/>
              <w:left w:val="nil"/>
              <w:bottom w:val="single" w:sz="8" w:space="0" w:color="auto"/>
              <w:right w:val="single" w:sz="8" w:space="0" w:color="auto"/>
            </w:tcBorders>
            <w:shd w:val="clear" w:color="auto" w:fill="AFBED7"/>
            <w:vAlign w:val="bottom"/>
          </w:tcPr>
          <w:p w14:paraId="71B5F592" w14:textId="77777777" w:rsidR="0075036C" w:rsidRPr="00C95980" w:rsidRDefault="0075036C" w:rsidP="00176E3B">
            <w:pPr>
              <w:pStyle w:val="BodyTextIndent3"/>
              <w:widowControl/>
              <w:tabs>
                <w:tab w:val="clear" w:pos="0"/>
              </w:tabs>
              <w:suppressAutoHyphens w:val="0"/>
              <w:autoSpaceDE/>
              <w:autoSpaceDN/>
              <w:adjustRightInd/>
              <w:spacing w:line="240" w:lineRule="auto"/>
              <w:ind w:firstLine="0"/>
              <w:jc w:val="center"/>
              <w:rPr>
                <w:rFonts w:cs="Times New Roman"/>
                <w:b/>
                <w:bCs/>
                <w:sz w:val="24"/>
                <w:szCs w:val="24"/>
              </w:rPr>
            </w:pPr>
            <w:r w:rsidRPr="00C95980">
              <w:rPr>
                <w:b/>
                <w:sz w:val="24"/>
                <w:szCs w:val="24"/>
              </w:rPr>
              <w:t>email</w:t>
            </w:r>
          </w:p>
        </w:tc>
      </w:tr>
      <w:tr w:rsidR="0075036C" w:rsidRPr="006F3693" w14:paraId="54DFE708" w14:textId="77777777" w:rsidTr="00A52034">
        <w:trPr>
          <w:trHeight w:val="432"/>
        </w:trPr>
        <w:tc>
          <w:tcPr>
            <w:tcW w:w="2690" w:type="dxa"/>
            <w:tcBorders>
              <w:top w:val="nil"/>
              <w:left w:val="single" w:sz="8" w:space="0" w:color="auto"/>
              <w:bottom w:val="single" w:sz="8" w:space="0" w:color="auto"/>
              <w:right w:val="single" w:sz="8" w:space="0" w:color="auto"/>
            </w:tcBorders>
            <w:vAlign w:val="bottom"/>
          </w:tcPr>
          <w:p w14:paraId="0B22EAA7" w14:textId="77777777" w:rsidR="0075036C" w:rsidRPr="00C95980" w:rsidRDefault="0075036C" w:rsidP="0075036C">
            <w:pPr>
              <w:pStyle w:val="BodyTextIndent3"/>
              <w:widowControl/>
              <w:tabs>
                <w:tab w:val="clear" w:pos="0"/>
              </w:tabs>
              <w:suppressAutoHyphens w:val="0"/>
              <w:autoSpaceDE/>
              <w:autoSpaceDN/>
              <w:adjustRightInd/>
              <w:spacing w:line="240" w:lineRule="auto"/>
              <w:ind w:firstLine="0"/>
              <w:jc w:val="both"/>
              <w:rPr>
                <w:rFonts w:cs="Times New Roman"/>
                <w:b/>
                <w:bCs/>
                <w:sz w:val="24"/>
                <w:szCs w:val="24"/>
              </w:rPr>
            </w:pPr>
            <w:r w:rsidRPr="00C95980">
              <w:rPr>
                <w:b/>
                <w:sz w:val="24"/>
                <w:szCs w:val="24"/>
              </w:rPr>
              <w:t>Jim Murdoch</w:t>
            </w:r>
          </w:p>
        </w:tc>
        <w:tc>
          <w:tcPr>
            <w:tcW w:w="1440" w:type="dxa"/>
            <w:tcBorders>
              <w:top w:val="nil"/>
              <w:left w:val="nil"/>
              <w:bottom w:val="single" w:sz="8" w:space="0" w:color="auto"/>
              <w:right w:val="single" w:sz="8" w:space="0" w:color="auto"/>
            </w:tcBorders>
            <w:vAlign w:val="bottom"/>
          </w:tcPr>
          <w:p w14:paraId="5590C489" w14:textId="77777777" w:rsidR="0075036C" w:rsidRPr="00C95980" w:rsidRDefault="0075036C" w:rsidP="00176E3B">
            <w:pPr>
              <w:pStyle w:val="BodyTextIndent3"/>
              <w:widowControl/>
              <w:tabs>
                <w:tab w:val="clear" w:pos="0"/>
              </w:tabs>
              <w:suppressAutoHyphens w:val="0"/>
              <w:autoSpaceDE/>
              <w:autoSpaceDN/>
              <w:adjustRightInd/>
              <w:spacing w:line="240" w:lineRule="auto"/>
              <w:ind w:firstLine="0"/>
              <w:jc w:val="center"/>
              <w:rPr>
                <w:rFonts w:cs="Times New Roman"/>
                <w:b/>
                <w:bCs/>
                <w:sz w:val="24"/>
                <w:szCs w:val="24"/>
              </w:rPr>
            </w:pPr>
            <w:r w:rsidRPr="00C95980">
              <w:rPr>
                <w:b/>
                <w:sz w:val="24"/>
                <w:szCs w:val="24"/>
              </w:rPr>
              <w:t>2M</w:t>
            </w:r>
          </w:p>
        </w:tc>
        <w:tc>
          <w:tcPr>
            <w:tcW w:w="1980" w:type="dxa"/>
            <w:tcBorders>
              <w:top w:val="nil"/>
              <w:left w:val="nil"/>
              <w:bottom w:val="single" w:sz="8" w:space="0" w:color="auto"/>
              <w:right w:val="single" w:sz="8" w:space="0" w:color="auto"/>
            </w:tcBorders>
            <w:vAlign w:val="bottom"/>
          </w:tcPr>
          <w:p w14:paraId="2DD09AA1" w14:textId="77777777" w:rsidR="0075036C" w:rsidRPr="00C95980" w:rsidRDefault="0075036C" w:rsidP="00176E3B">
            <w:pPr>
              <w:pStyle w:val="BodyTextIndent3"/>
              <w:widowControl/>
              <w:tabs>
                <w:tab w:val="clear" w:pos="0"/>
              </w:tabs>
              <w:suppressAutoHyphens w:val="0"/>
              <w:autoSpaceDE/>
              <w:autoSpaceDN/>
              <w:adjustRightInd/>
              <w:spacing w:line="240" w:lineRule="auto"/>
              <w:ind w:firstLine="0"/>
              <w:jc w:val="center"/>
              <w:rPr>
                <w:rFonts w:cs="Times New Roman"/>
                <w:b/>
                <w:bCs/>
                <w:sz w:val="24"/>
                <w:szCs w:val="24"/>
              </w:rPr>
            </w:pPr>
            <w:r w:rsidRPr="00C95980">
              <w:rPr>
                <w:b/>
                <w:sz w:val="24"/>
                <w:szCs w:val="24"/>
              </w:rPr>
              <w:t>817-856-0863</w:t>
            </w:r>
          </w:p>
        </w:tc>
        <w:tc>
          <w:tcPr>
            <w:tcW w:w="3600" w:type="dxa"/>
            <w:tcBorders>
              <w:top w:val="nil"/>
              <w:left w:val="nil"/>
              <w:bottom w:val="single" w:sz="8" w:space="0" w:color="auto"/>
              <w:right w:val="single" w:sz="8" w:space="0" w:color="auto"/>
            </w:tcBorders>
            <w:vAlign w:val="bottom"/>
          </w:tcPr>
          <w:p w14:paraId="36C8EAAE" w14:textId="77777777" w:rsidR="0075036C" w:rsidRPr="00C95980" w:rsidRDefault="00C627F1" w:rsidP="00176E3B">
            <w:pPr>
              <w:pStyle w:val="BodyTextIndent3"/>
              <w:widowControl/>
              <w:tabs>
                <w:tab w:val="clear" w:pos="0"/>
              </w:tabs>
              <w:suppressAutoHyphens w:val="0"/>
              <w:autoSpaceDE/>
              <w:autoSpaceDN/>
              <w:adjustRightInd/>
              <w:spacing w:line="240" w:lineRule="auto"/>
              <w:ind w:firstLine="0"/>
              <w:rPr>
                <w:rFonts w:cs="Times New Roman"/>
                <w:bCs/>
                <w:sz w:val="24"/>
                <w:szCs w:val="24"/>
              </w:rPr>
            </w:pPr>
            <w:hyperlink r:id="rId19" w:history="1">
              <w:r w:rsidR="0075036C" w:rsidRPr="00C95980">
                <w:rPr>
                  <w:rStyle w:val="Hyperlink"/>
                  <w:sz w:val="24"/>
                  <w:szCs w:val="24"/>
                </w:rPr>
                <w:t>jmurdoch@2mresearch.com</w:t>
              </w:r>
            </w:hyperlink>
          </w:p>
        </w:tc>
      </w:tr>
      <w:tr w:rsidR="00C32CAD" w:rsidRPr="006F3693" w14:paraId="6951D90C" w14:textId="77777777" w:rsidTr="00A52034">
        <w:trPr>
          <w:trHeight w:val="432"/>
        </w:trPr>
        <w:tc>
          <w:tcPr>
            <w:tcW w:w="2690" w:type="dxa"/>
            <w:tcBorders>
              <w:top w:val="nil"/>
              <w:left w:val="single" w:sz="8" w:space="0" w:color="auto"/>
              <w:bottom w:val="single" w:sz="8" w:space="0" w:color="auto"/>
              <w:right w:val="single" w:sz="8" w:space="0" w:color="auto"/>
            </w:tcBorders>
            <w:vAlign w:val="bottom"/>
          </w:tcPr>
          <w:p w14:paraId="2CAF053C" w14:textId="77777777" w:rsidR="00C32CAD" w:rsidRPr="00C95980" w:rsidRDefault="00C32CAD" w:rsidP="006F3693">
            <w:pPr>
              <w:pStyle w:val="BodyTextIndent3"/>
              <w:widowControl/>
              <w:tabs>
                <w:tab w:val="clear" w:pos="0"/>
              </w:tabs>
              <w:suppressAutoHyphens w:val="0"/>
              <w:autoSpaceDE/>
              <w:autoSpaceDN/>
              <w:adjustRightInd/>
              <w:spacing w:line="240" w:lineRule="auto"/>
              <w:ind w:firstLine="0"/>
              <w:rPr>
                <w:b/>
                <w:sz w:val="24"/>
                <w:szCs w:val="24"/>
              </w:rPr>
            </w:pPr>
            <w:r>
              <w:rPr>
                <w:b/>
                <w:sz w:val="24"/>
                <w:szCs w:val="24"/>
              </w:rPr>
              <w:t>Michael Sinclair</w:t>
            </w:r>
          </w:p>
        </w:tc>
        <w:tc>
          <w:tcPr>
            <w:tcW w:w="1440" w:type="dxa"/>
            <w:tcBorders>
              <w:top w:val="nil"/>
              <w:left w:val="nil"/>
              <w:bottom w:val="single" w:sz="8" w:space="0" w:color="auto"/>
              <w:right w:val="single" w:sz="8" w:space="0" w:color="auto"/>
            </w:tcBorders>
            <w:vAlign w:val="bottom"/>
          </w:tcPr>
          <w:p w14:paraId="516894C7" w14:textId="77777777" w:rsidR="00C32CAD" w:rsidRPr="00C95980" w:rsidRDefault="00C32CAD" w:rsidP="00176E3B">
            <w:pPr>
              <w:pStyle w:val="BodyTextIndent3"/>
              <w:widowControl/>
              <w:tabs>
                <w:tab w:val="clear" w:pos="0"/>
              </w:tabs>
              <w:suppressAutoHyphens w:val="0"/>
              <w:autoSpaceDE/>
              <w:autoSpaceDN/>
              <w:adjustRightInd/>
              <w:spacing w:line="240" w:lineRule="auto"/>
              <w:ind w:firstLine="0"/>
              <w:jc w:val="center"/>
              <w:rPr>
                <w:b/>
                <w:sz w:val="24"/>
                <w:szCs w:val="24"/>
              </w:rPr>
            </w:pPr>
            <w:r>
              <w:rPr>
                <w:b/>
                <w:sz w:val="24"/>
                <w:szCs w:val="24"/>
              </w:rPr>
              <w:t>Mathematica</w:t>
            </w:r>
          </w:p>
        </w:tc>
        <w:tc>
          <w:tcPr>
            <w:tcW w:w="1980" w:type="dxa"/>
            <w:tcBorders>
              <w:top w:val="nil"/>
              <w:left w:val="nil"/>
              <w:bottom w:val="single" w:sz="8" w:space="0" w:color="auto"/>
              <w:right w:val="single" w:sz="8" w:space="0" w:color="auto"/>
            </w:tcBorders>
            <w:vAlign w:val="bottom"/>
          </w:tcPr>
          <w:p w14:paraId="34208929" w14:textId="77777777" w:rsidR="00C32CAD" w:rsidRPr="00C95980" w:rsidRDefault="00991017" w:rsidP="00176E3B">
            <w:pPr>
              <w:pStyle w:val="BodyTextIndent3"/>
              <w:widowControl/>
              <w:tabs>
                <w:tab w:val="clear" w:pos="0"/>
              </w:tabs>
              <w:suppressAutoHyphens w:val="0"/>
              <w:autoSpaceDE/>
              <w:autoSpaceDN/>
              <w:adjustRightInd/>
              <w:spacing w:line="240" w:lineRule="auto"/>
              <w:ind w:firstLine="0"/>
              <w:jc w:val="center"/>
              <w:rPr>
                <w:b/>
                <w:sz w:val="24"/>
                <w:szCs w:val="24"/>
              </w:rPr>
            </w:pPr>
            <w:r>
              <w:rPr>
                <w:b/>
                <w:sz w:val="24"/>
                <w:szCs w:val="24"/>
              </w:rPr>
              <w:t>202-552-6439</w:t>
            </w:r>
          </w:p>
        </w:tc>
        <w:tc>
          <w:tcPr>
            <w:tcW w:w="3600" w:type="dxa"/>
            <w:tcBorders>
              <w:top w:val="nil"/>
              <w:left w:val="nil"/>
              <w:bottom w:val="single" w:sz="8" w:space="0" w:color="auto"/>
              <w:right w:val="single" w:sz="8" w:space="0" w:color="auto"/>
            </w:tcBorders>
            <w:vAlign w:val="bottom"/>
          </w:tcPr>
          <w:p w14:paraId="5F3AAED4" w14:textId="77777777" w:rsidR="00C32CAD" w:rsidRDefault="00C627F1" w:rsidP="00176E3B">
            <w:pPr>
              <w:pStyle w:val="BodyTextIndent3"/>
              <w:widowControl/>
              <w:tabs>
                <w:tab w:val="clear" w:pos="0"/>
              </w:tabs>
              <w:suppressAutoHyphens w:val="0"/>
              <w:autoSpaceDE/>
              <w:autoSpaceDN/>
              <w:adjustRightInd/>
              <w:spacing w:line="240" w:lineRule="auto"/>
              <w:ind w:firstLine="0"/>
            </w:pPr>
            <w:hyperlink r:id="rId20" w:history="1">
              <w:r w:rsidR="00C32CAD" w:rsidRPr="00EA760D">
                <w:rPr>
                  <w:rStyle w:val="Hyperlink"/>
                  <w:sz w:val="24"/>
                  <w:szCs w:val="24"/>
                </w:rPr>
                <w:t>msinclair@mathematica-mpr.com</w:t>
              </w:r>
            </w:hyperlink>
            <w:r w:rsidR="00C32CAD" w:rsidRPr="00C95980">
              <w:rPr>
                <w:sz w:val="24"/>
                <w:szCs w:val="24"/>
              </w:rPr>
              <w:t xml:space="preserve"> </w:t>
            </w:r>
          </w:p>
        </w:tc>
      </w:tr>
      <w:tr w:rsidR="00C32CAD" w:rsidRPr="006F3693" w14:paraId="14A77A84" w14:textId="77777777" w:rsidTr="00A52034">
        <w:trPr>
          <w:trHeight w:val="432"/>
        </w:trPr>
        <w:tc>
          <w:tcPr>
            <w:tcW w:w="2690" w:type="dxa"/>
            <w:tcBorders>
              <w:top w:val="nil"/>
              <w:left w:val="single" w:sz="8" w:space="0" w:color="auto"/>
              <w:bottom w:val="single" w:sz="8" w:space="0" w:color="auto"/>
              <w:right w:val="single" w:sz="8" w:space="0" w:color="auto"/>
            </w:tcBorders>
            <w:vAlign w:val="bottom"/>
          </w:tcPr>
          <w:p w14:paraId="04009FFE" w14:textId="77777777" w:rsidR="00C32CAD" w:rsidRPr="00C95980" w:rsidRDefault="00C32CAD" w:rsidP="006F3693">
            <w:pPr>
              <w:pStyle w:val="BodyTextIndent3"/>
              <w:widowControl/>
              <w:tabs>
                <w:tab w:val="clear" w:pos="0"/>
              </w:tabs>
              <w:suppressAutoHyphens w:val="0"/>
              <w:autoSpaceDE/>
              <w:autoSpaceDN/>
              <w:adjustRightInd/>
              <w:spacing w:line="240" w:lineRule="auto"/>
              <w:ind w:firstLine="0"/>
              <w:rPr>
                <w:rFonts w:cs="Times New Roman"/>
                <w:b/>
                <w:bCs/>
                <w:sz w:val="24"/>
                <w:szCs w:val="24"/>
              </w:rPr>
            </w:pPr>
            <w:r w:rsidRPr="00C95980">
              <w:rPr>
                <w:b/>
                <w:sz w:val="24"/>
                <w:szCs w:val="24"/>
              </w:rPr>
              <w:t xml:space="preserve">Eric </w:t>
            </w:r>
            <w:proofErr w:type="spellStart"/>
            <w:r w:rsidRPr="00C95980">
              <w:rPr>
                <w:b/>
                <w:sz w:val="24"/>
                <w:szCs w:val="24"/>
              </w:rPr>
              <w:t>Zeidman</w:t>
            </w:r>
            <w:proofErr w:type="spellEnd"/>
          </w:p>
        </w:tc>
        <w:tc>
          <w:tcPr>
            <w:tcW w:w="1440" w:type="dxa"/>
            <w:tcBorders>
              <w:top w:val="nil"/>
              <w:left w:val="nil"/>
              <w:bottom w:val="single" w:sz="8" w:space="0" w:color="auto"/>
              <w:right w:val="single" w:sz="8" w:space="0" w:color="auto"/>
            </w:tcBorders>
            <w:vAlign w:val="bottom"/>
          </w:tcPr>
          <w:p w14:paraId="270685B4" w14:textId="77777777" w:rsidR="00C32CAD" w:rsidRPr="00C95980" w:rsidRDefault="00C32CAD" w:rsidP="00176E3B">
            <w:pPr>
              <w:pStyle w:val="BodyTextIndent3"/>
              <w:widowControl/>
              <w:tabs>
                <w:tab w:val="clear" w:pos="0"/>
              </w:tabs>
              <w:suppressAutoHyphens w:val="0"/>
              <w:autoSpaceDE/>
              <w:autoSpaceDN/>
              <w:adjustRightInd/>
              <w:spacing w:line="240" w:lineRule="auto"/>
              <w:ind w:firstLine="0"/>
              <w:jc w:val="center"/>
              <w:rPr>
                <w:rFonts w:cs="Times New Roman"/>
                <w:b/>
                <w:bCs/>
                <w:sz w:val="24"/>
                <w:szCs w:val="24"/>
              </w:rPr>
            </w:pPr>
            <w:r w:rsidRPr="00C95980">
              <w:rPr>
                <w:b/>
                <w:sz w:val="24"/>
                <w:szCs w:val="24"/>
              </w:rPr>
              <w:t>Mathematica</w:t>
            </w:r>
          </w:p>
        </w:tc>
        <w:tc>
          <w:tcPr>
            <w:tcW w:w="1980" w:type="dxa"/>
            <w:tcBorders>
              <w:top w:val="nil"/>
              <w:left w:val="nil"/>
              <w:bottom w:val="single" w:sz="8" w:space="0" w:color="auto"/>
              <w:right w:val="single" w:sz="8" w:space="0" w:color="auto"/>
            </w:tcBorders>
            <w:vAlign w:val="bottom"/>
          </w:tcPr>
          <w:p w14:paraId="4044073C" w14:textId="77777777" w:rsidR="00C32CAD" w:rsidRPr="00C95980" w:rsidRDefault="00C32CAD" w:rsidP="00176E3B">
            <w:pPr>
              <w:pStyle w:val="BodyTextIndent3"/>
              <w:widowControl/>
              <w:tabs>
                <w:tab w:val="clear" w:pos="0"/>
              </w:tabs>
              <w:suppressAutoHyphens w:val="0"/>
              <w:autoSpaceDE/>
              <w:autoSpaceDN/>
              <w:adjustRightInd/>
              <w:spacing w:line="240" w:lineRule="auto"/>
              <w:ind w:firstLine="0"/>
              <w:jc w:val="center"/>
              <w:rPr>
                <w:rFonts w:cs="Times New Roman"/>
                <w:b/>
                <w:bCs/>
                <w:sz w:val="24"/>
                <w:szCs w:val="24"/>
              </w:rPr>
            </w:pPr>
            <w:r w:rsidRPr="00C95980">
              <w:rPr>
                <w:b/>
                <w:sz w:val="24"/>
                <w:szCs w:val="24"/>
              </w:rPr>
              <w:t>609-936-2784</w:t>
            </w:r>
          </w:p>
        </w:tc>
        <w:tc>
          <w:tcPr>
            <w:tcW w:w="3600" w:type="dxa"/>
            <w:tcBorders>
              <w:top w:val="nil"/>
              <w:left w:val="nil"/>
              <w:bottom w:val="single" w:sz="8" w:space="0" w:color="auto"/>
              <w:right w:val="single" w:sz="8" w:space="0" w:color="auto"/>
            </w:tcBorders>
            <w:vAlign w:val="bottom"/>
          </w:tcPr>
          <w:p w14:paraId="0CD64F28" w14:textId="77777777" w:rsidR="00C32CAD" w:rsidRPr="00C95980" w:rsidRDefault="00C627F1" w:rsidP="00176E3B">
            <w:pPr>
              <w:pStyle w:val="BodyTextIndent3"/>
              <w:widowControl/>
              <w:tabs>
                <w:tab w:val="clear" w:pos="0"/>
              </w:tabs>
              <w:suppressAutoHyphens w:val="0"/>
              <w:autoSpaceDE/>
              <w:autoSpaceDN/>
              <w:adjustRightInd/>
              <w:spacing w:line="240" w:lineRule="auto"/>
              <w:ind w:firstLine="0"/>
              <w:rPr>
                <w:rFonts w:cs="Times New Roman"/>
                <w:bCs/>
                <w:sz w:val="24"/>
                <w:szCs w:val="24"/>
              </w:rPr>
            </w:pPr>
            <w:hyperlink r:id="rId21" w:history="1">
              <w:r w:rsidR="00C32CAD" w:rsidRPr="00C95980">
                <w:rPr>
                  <w:rStyle w:val="Hyperlink"/>
                  <w:sz w:val="24"/>
                  <w:szCs w:val="24"/>
                </w:rPr>
                <w:t>ezeidman@mathematica-mpr.com</w:t>
              </w:r>
            </w:hyperlink>
            <w:r w:rsidR="00C32CAD" w:rsidRPr="00C95980">
              <w:rPr>
                <w:sz w:val="24"/>
                <w:szCs w:val="24"/>
              </w:rPr>
              <w:t xml:space="preserve"> </w:t>
            </w:r>
          </w:p>
        </w:tc>
      </w:tr>
      <w:tr w:rsidR="00C32CAD" w:rsidRPr="006F3693" w14:paraId="3E82F201" w14:textId="77777777" w:rsidTr="00A52034">
        <w:trPr>
          <w:trHeight w:val="432"/>
        </w:trPr>
        <w:tc>
          <w:tcPr>
            <w:tcW w:w="2690" w:type="dxa"/>
            <w:tcBorders>
              <w:top w:val="nil"/>
              <w:left w:val="single" w:sz="8" w:space="0" w:color="auto"/>
              <w:bottom w:val="single" w:sz="8" w:space="0" w:color="auto"/>
              <w:right w:val="single" w:sz="8" w:space="0" w:color="auto"/>
            </w:tcBorders>
            <w:vAlign w:val="bottom"/>
          </w:tcPr>
          <w:p w14:paraId="7813CA47" w14:textId="77777777" w:rsidR="00C32CAD" w:rsidRPr="00C95980" w:rsidRDefault="00C32CAD" w:rsidP="0075036C">
            <w:pPr>
              <w:pStyle w:val="BodyTextIndent3"/>
              <w:widowControl/>
              <w:tabs>
                <w:tab w:val="clear" w:pos="0"/>
              </w:tabs>
              <w:suppressAutoHyphens w:val="0"/>
              <w:autoSpaceDE/>
              <w:autoSpaceDN/>
              <w:adjustRightInd/>
              <w:spacing w:line="240" w:lineRule="auto"/>
              <w:ind w:firstLine="0"/>
              <w:jc w:val="both"/>
              <w:rPr>
                <w:rFonts w:cs="Times New Roman"/>
                <w:b/>
                <w:bCs/>
                <w:sz w:val="24"/>
                <w:szCs w:val="24"/>
              </w:rPr>
            </w:pPr>
            <w:r w:rsidRPr="00C95980">
              <w:rPr>
                <w:b/>
                <w:sz w:val="24"/>
                <w:szCs w:val="24"/>
              </w:rPr>
              <w:t>Charlotte Cabili</w:t>
            </w:r>
          </w:p>
        </w:tc>
        <w:tc>
          <w:tcPr>
            <w:tcW w:w="1440" w:type="dxa"/>
            <w:tcBorders>
              <w:top w:val="nil"/>
              <w:left w:val="nil"/>
              <w:bottom w:val="single" w:sz="8" w:space="0" w:color="auto"/>
              <w:right w:val="single" w:sz="8" w:space="0" w:color="auto"/>
            </w:tcBorders>
            <w:vAlign w:val="bottom"/>
          </w:tcPr>
          <w:p w14:paraId="2A440C11" w14:textId="77777777" w:rsidR="00C32CAD" w:rsidRPr="00C95980" w:rsidRDefault="00C32CAD" w:rsidP="00176E3B">
            <w:pPr>
              <w:pStyle w:val="BodyTextIndent3"/>
              <w:widowControl/>
              <w:tabs>
                <w:tab w:val="clear" w:pos="0"/>
              </w:tabs>
              <w:suppressAutoHyphens w:val="0"/>
              <w:autoSpaceDE/>
              <w:autoSpaceDN/>
              <w:adjustRightInd/>
              <w:spacing w:line="240" w:lineRule="auto"/>
              <w:ind w:firstLine="0"/>
              <w:jc w:val="center"/>
              <w:rPr>
                <w:rFonts w:cs="Times New Roman"/>
                <w:b/>
                <w:bCs/>
                <w:sz w:val="24"/>
                <w:szCs w:val="24"/>
              </w:rPr>
            </w:pPr>
            <w:r w:rsidRPr="00C95980">
              <w:rPr>
                <w:b/>
                <w:sz w:val="24"/>
                <w:szCs w:val="24"/>
              </w:rPr>
              <w:t>Mathematica</w:t>
            </w:r>
          </w:p>
        </w:tc>
        <w:tc>
          <w:tcPr>
            <w:tcW w:w="1980" w:type="dxa"/>
            <w:tcBorders>
              <w:top w:val="nil"/>
              <w:left w:val="nil"/>
              <w:bottom w:val="single" w:sz="8" w:space="0" w:color="auto"/>
              <w:right w:val="single" w:sz="8" w:space="0" w:color="auto"/>
            </w:tcBorders>
            <w:vAlign w:val="bottom"/>
          </w:tcPr>
          <w:p w14:paraId="0F8FAED6" w14:textId="77777777" w:rsidR="00C32CAD" w:rsidRPr="00C95980" w:rsidRDefault="00C32CAD" w:rsidP="00176E3B">
            <w:pPr>
              <w:pStyle w:val="BodyTextIndent3"/>
              <w:widowControl/>
              <w:tabs>
                <w:tab w:val="clear" w:pos="0"/>
              </w:tabs>
              <w:suppressAutoHyphens w:val="0"/>
              <w:autoSpaceDE/>
              <w:autoSpaceDN/>
              <w:adjustRightInd/>
              <w:spacing w:line="240" w:lineRule="auto"/>
              <w:ind w:firstLine="0"/>
              <w:jc w:val="center"/>
              <w:rPr>
                <w:rFonts w:cs="Times New Roman"/>
                <w:b/>
                <w:bCs/>
                <w:sz w:val="24"/>
                <w:szCs w:val="24"/>
              </w:rPr>
            </w:pPr>
            <w:r w:rsidRPr="00C95980">
              <w:rPr>
                <w:b/>
                <w:sz w:val="24"/>
                <w:szCs w:val="24"/>
              </w:rPr>
              <w:t>202-238-3322</w:t>
            </w:r>
          </w:p>
        </w:tc>
        <w:tc>
          <w:tcPr>
            <w:tcW w:w="3600" w:type="dxa"/>
            <w:tcBorders>
              <w:top w:val="nil"/>
              <w:left w:val="nil"/>
              <w:bottom w:val="single" w:sz="8" w:space="0" w:color="auto"/>
              <w:right w:val="single" w:sz="8" w:space="0" w:color="auto"/>
            </w:tcBorders>
            <w:vAlign w:val="bottom"/>
          </w:tcPr>
          <w:p w14:paraId="1633063C" w14:textId="77777777" w:rsidR="00C32CAD" w:rsidRPr="00C95980" w:rsidRDefault="00C627F1" w:rsidP="00176E3B">
            <w:pPr>
              <w:pStyle w:val="BodyTextIndent3"/>
              <w:widowControl/>
              <w:tabs>
                <w:tab w:val="clear" w:pos="0"/>
              </w:tabs>
              <w:suppressAutoHyphens w:val="0"/>
              <w:autoSpaceDE/>
              <w:autoSpaceDN/>
              <w:adjustRightInd/>
              <w:spacing w:line="240" w:lineRule="auto"/>
              <w:ind w:firstLine="0"/>
              <w:rPr>
                <w:rFonts w:cs="Times New Roman"/>
                <w:bCs/>
                <w:sz w:val="24"/>
                <w:szCs w:val="24"/>
              </w:rPr>
            </w:pPr>
            <w:hyperlink r:id="rId22" w:history="1">
              <w:r w:rsidR="00C32CAD" w:rsidRPr="00C95980">
                <w:rPr>
                  <w:rStyle w:val="Hyperlink"/>
                  <w:sz w:val="24"/>
                  <w:szCs w:val="24"/>
                </w:rPr>
                <w:t>ccabili@mathematica-mpr.com</w:t>
              </w:r>
            </w:hyperlink>
          </w:p>
        </w:tc>
      </w:tr>
      <w:tr w:rsidR="00C32CAD" w:rsidRPr="006F3693" w14:paraId="13ED676C" w14:textId="77777777" w:rsidTr="00A52034">
        <w:trPr>
          <w:trHeight w:val="432"/>
        </w:trPr>
        <w:tc>
          <w:tcPr>
            <w:tcW w:w="2690" w:type="dxa"/>
            <w:tcBorders>
              <w:top w:val="nil"/>
              <w:left w:val="single" w:sz="8" w:space="0" w:color="auto"/>
              <w:bottom w:val="single" w:sz="8" w:space="0" w:color="auto"/>
              <w:right w:val="single" w:sz="8" w:space="0" w:color="auto"/>
            </w:tcBorders>
            <w:vAlign w:val="bottom"/>
          </w:tcPr>
          <w:p w14:paraId="408AF1C5" w14:textId="2CF056C7" w:rsidR="00C32CAD" w:rsidRPr="00C95980" w:rsidRDefault="00C32CAD" w:rsidP="000A27B4">
            <w:pPr>
              <w:pStyle w:val="BodyTextIndent3"/>
              <w:widowControl/>
              <w:tabs>
                <w:tab w:val="clear" w:pos="0"/>
              </w:tabs>
              <w:suppressAutoHyphens w:val="0"/>
              <w:autoSpaceDE/>
              <w:autoSpaceDN/>
              <w:adjustRightInd/>
              <w:spacing w:line="240" w:lineRule="auto"/>
              <w:ind w:firstLine="0"/>
              <w:jc w:val="both"/>
              <w:rPr>
                <w:rFonts w:cs="Times New Roman"/>
                <w:b/>
                <w:bCs/>
                <w:sz w:val="24"/>
                <w:szCs w:val="24"/>
              </w:rPr>
            </w:pPr>
            <w:r w:rsidRPr="00C95980">
              <w:rPr>
                <w:b/>
                <w:sz w:val="24"/>
                <w:szCs w:val="24"/>
              </w:rPr>
              <w:t>Devin</w:t>
            </w:r>
            <w:r w:rsidR="001906D6">
              <w:rPr>
                <w:b/>
                <w:sz w:val="24"/>
                <w:szCs w:val="24"/>
              </w:rPr>
              <w:t xml:space="preserve"> </w:t>
            </w:r>
            <w:r w:rsidR="000A27B4">
              <w:rPr>
                <w:b/>
                <w:sz w:val="24"/>
                <w:szCs w:val="24"/>
              </w:rPr>
              <w:t>Wallace</w:t>
            </w:r>
            <w:r w:rsidR="007039EF">
              <w:rPr>
                <w:b/>
                <w:sz w:val="24"/>
                <w:szCs w:val="24"/>
              </w:rPr>
              <w:t>-</w:t>
            </w:r>
            <w:r w:rsidRPr="00C95980">
              <w:rPr>
                <w:b/>
                <w:sz w:val="24"/>
                <w:szCs w:val="24"/>
              </w:rPr>
              <w:t>W</w:t>
            </w:r>
            <w:r w:rsidR="000A27B4">
              <w:rPr>
                <w:b/>
                <w:sz w:val="24"/>
                <w:szCs w:val="24"/>
              </w:rPr>
              <w:t>illiams</w:t>
            </w:r>
          </w:p>
        </w:tc>
        <w:tc>
          <w:tcPr>
            <w:tcW w:w="1440" w:type="dxa"/>
            <w:tcBorders>
              <w:top w:val="nil"/>
              <w:left w:val="nil"/>
              <w:bottom w:val="single" w:sz="8" w:space="0" w:color="auto"/>
              <w:right w:val="single" w:sz="8" w:space="0" w:color="auto"/>
            </w:tcBorders>
            <w:vAlign w:val="bottom"/>
          </w:tcPr>
          <w:p w14:paraId="2D69F181" w14:textId="77777777" w:rsidR="00C32CAD" w:rsidRPr="00C95980" w:rsidRDefault="00C32CAD" w:rsidP="00176E3B">
            <w:pPr>
              <w:pStyle w:val="BodyTextIndent3"/>
              <w:widowControl/>
              <w:tabs>
                <w:tab w:val="clear" w:pos="0"/>
              </w:tabs>
              <w:suppressAutoHyphens w:val="0"/>
              <w:autoSpaceDE/>
              <w:autoSpaceDN/>
              <w:adjustRightInd/>
              <w:spacing w:line="240" w:lineRule="auto"/>
              <w:ind w:firstLine="0"/>
              <w:jc w:val="center"/>
              <w:rPr>
                <w:rFonts w:cs="Times New Roman"/>
                <w:b/>
                <w:bCs/>
                <w:sz w:val="24"/>
                <w:szCs w:val="24"/>
              </w:rPr>
            </w:pPr>
            <w:r w:rsidRPr="00C95980">
              <w:rPr>
                <w:b/>
                <w:sz w:val="24"/>
                <w:szCs w:val="24"/>
              </w:rPr>
              <w:t>FNS/USDA</w:t>
            </w:r>
          </w:p>
        </w:tc>
        <w:tc>
          <w:tcPr>
            <w:tcW w:w="1980" w:type="dxa"/>
            <w:tcBorders>
              <w:top w:val="nil"/>
              <w:left w:val="nil"/>
              <w:bottom w:val="single" w:sz="8" w:space="0" w:color="auto"/>
              <w:right w:val="single" w:sz="8" w:space="0" w:color="auto"/>
            </w:tcBorders>
            <w:vAlign w:val="bottom"/>
          </w:tcPr>
          <w:p w14:paraId="54629AA8" w14:textId="77777777" w:rsidR="00C32CAD" w:rsidRPr="00C95980" w:rsidRDefault="00C32CAD" w:rsidP="00176E3B">
            <w:pPr>
              <w:pStyle w:val="BodyTextIndent3"/>
              <w:widowControl/>
              <w:tabs>
                <w:tab w:val="clear" w:pos="0"/>
              </w:tabs>
              <w:suppressAutoHyphens w:val="0"/>
              <w:autoSpaceDE/>
              <w:autoSpaceDN/>
              <w:adjustRightInd/>
              <w:spacing w:line="240" w:lineRule="auto"/>
              <w:ind w:firstLine="0"/>
              <w:jc w:val="center"/>
              <w:rPr>
                <w:rFonts w:cs="Times New Roman"/>
                <w:b/>
                <w:bCs/>
                <w:sz w:val="24"/>
                <w:szCs w:val="24"/>
              </w:rPr>
            </w:pPr>
            <w:r w:rsidRPr="00C95980">
              <w:rPr>
                <w:b/>
                <w:sz w:val="24"/>
                <w:szCs w:val="24"/>
              </w:rPr>
              <w:t>703-457-6791</w:t>
            </w:r>
          </w:p>
        </w:tc>
        <w:tc>
          <w:tcPr>
            <w:tcW w:w="3600" w:type="dxa"/>
            <w:tcBorders>
              <w:top w:val="nil"/>
              <w:left w:val="nil"/>
              <w:bottom w:val="single" w:sz="8" w:space="0" w:color="auto"/>
              <w:right w:val="single" w:sz="8" w:space="0" w:color="auto"/>
            </w:tcBorders>
            <w:vAlign w:val="bottom"/>
          </w:tcPr>
          <w:p w14:paraId="65D41318" w14:textId="77777777" w:rsidR="00C32CAD" w:rsidRPr="00C95980" w:rsidRDefault="00C627F1" w:rsidP="00176E3B">
            <w:pPr>
              <w:pStyle w:val="BodyTextIndent3"/>
              <w:widowControl/>
              <w:tabs>
                <w:tab w:val="clear" w:pos="0"/>
              </w:tabs>
              <w:suppressAutoHyphens w:val="0"/>
              <w:autoSpaceDE/>
              <w:autoSpaceDN/>
              <w:adjustRightInd/>
              <w:spacing w:line="240" w:lineRule="auto"/>
              <w:ind w:firstLine="0"/>
              <w:rPr>
                <w:rFonts w:cs="Times New Roman"/>
                <w:bCs/>
                <w:sz w:val="24"/>
                <w:szCs w:val="24"/>
              </w:rPr>
            </w:pPr>
            <w:hyperlink r:id="rId23" w:history="1">
              <w:r w:rsidR="00C32CAD" w:rsidRPr="00C95980">
                <w:rPr>
                  <w:rStyle w:val="Hyperlink"/>
                  <w:sz w:val="24"/>
                  <w:szCs w:val="24"/>
                </w:rPr>
                <w:t>Devin.Wallace-Williams@fns.usda.gov</w:t>
              </w:r>
            </w:hyperlink>
            <w:r w:rsidR="00C32CAD" w:rsidRPr="00C95980">
              <w:rPr>
                <w:sz w:val="24"/>
                <w:szCs w:val="24"/>
              </w:rPr>
              <w:t xml:space="preserve"> </w:t>
            </w:r>
          </w:p>
        </w:tc>
      </w:tr>
      <w:tr w:rsidR="00C32CAD" w:rsidRPr="006F3693" w14:paraId="1DF53C16" w14:textId="77777777" w:rsidTr="00A52034">
        <w:trPr>
          <w:trHeight w:val="432"/>
        </w:trPr>
        <w:tc>
          <w:tcPr>
            <w:tcW w:w="2690" w:type="dxa"/>
            <w:tcBorders>
              <w:top w:val="nil"/>
              <w:left w:val="single" w:sz="8" w:space="0" w:color="auto"/>
              <w:bottom w:val="single" w:sz="8" w:space="0" w:color="auto"/>
              <w:right w:val="single" w:sz="8" w:space="0" w:color="auto"/>
            </w:tcBorders>
            <w:vAlign w:val="bottom"/>
          </w:tcPr>
          <w:p w14:paraId="15A55CB3" w14:textId="735B4D02" w:rsidR="00C32CAD" w:rsidRPr="00C95980" w:rsidRDefault="00B25932" w:rsidP="0075036C">
            <w:pPr>
              <w:pStyle w:val="BodyTextIndent3"/>
              <w:widowControl/>
              <w:tabs>
                <w:tab w:val="clear" w:pos="0"/>
              </w:tabs>
              <w:suppressAutoHyphens w:val="0"/>
              <w:autoSpaceDE/>
              <w:autoSpaceDN/>
              <w:adjustRightInd/>
              <w:spacing w:line="240" w:lineRule="auto"/>
              <w:ind w:firstLine="0"/>
              <w:jc w:val="both"/>
              <w:rPr>
                <w:rFonts w:cs="Times New Roman"/>
                <w:b/>
                <w:bCs/>
                <w:sz w:val="24"/>
                <w:szCs w:val="24"/>
              </w:rPr>
            </w:pPr>
            <w:r>
              <w:rPr>
                <w:rFonts w:cs="Times New Roman"/>
                <w:b/>
                <w:bCs/>
                <w:sz w:val="24"/>
                <w:szCs w:val="24"/>
              </w:rPr>
              <w:t>Evan Schulz</w:t>
            </w:r>
          </w:p>
        </w:tc>
        <w:tc>
          <w:tcPr>
            <w:tcW w:w="1440" w:type="dxa"/>
            <w:tcBorders>
              <w:top w:val="nil"/>
              <w:left w:val="nil"/>
              <w:bottom w:val="single" w:sz="8" w:space="0" w:color="auto"/>
              <w:right w:val="single" w:sz="8" w:space="0" w:color="auto"/>
            </w:tcBorders>
            <w:vAlign w:val="bottom"/>
          </w:tcPr>
          <w:p w14:paraId="03E1F6EE" w14:textId="77777777" w:rsidR="00C32CAD" w:rsidRPr="00C95980" w:rsidRDefault="00C32CAD" w:rsidP="00176E3B">
            <w:pPr>
              <w:pStyle w:val="BodyTextIndent3"/>
              <w:widowControl/>
              <w:tabs>
                <w:tab w:val="clear" w:pos="0"/>
              </w:tabs>
              <w:suppressAutoHyphens w:val="0"/>
              <w:autoSpaceDE/>
              <w:autoSpaceDN/>
              <w:adjustRightInd/>
              <w:spacing w:line="240" w:lineRule="auto"/>
              <w:ind w:firstLine="0"/>
              <w:jc w:val="center"/>
              <w:rPr>
                <w:rFonts w:cs="Times New Roman"/>
                <w:b/>
                <w:bCs/>
                <w:sz w:val="24"/>
                <w:szCs w:val="24"/>
              </w:rPr>
            </w:pPr>
            <w:r w:rsidRPr="00C95980">
              <w:rPr>
                <w:b/>
                <w:sz w:val="24"/>
                <w:szCs w:val="24"/>
              </w:rPr>
              <w:t>NASS/USDA</w:t>
            </w:r>
          </w:p>
        </w:tc>
        <w:tc>
          <w:tcPr>
            <w:tcW w:w="1980" w:type="dxa"/>
            <w:tcBorders>
              <w:top w:val="nil"/>
              <w:left w:val="nil"/>
              <w:bottom w:val="single" w:sz="8" w:space="0" w:color="auto"/>
              <w:right w:val="single" w:sz="8" w:space="0" w:color="auto"/>
            </w:tcBorders>
            <w:vAlign w:val="bottom"/>
          </w:tcPr>
          <w:p w14:paraId="0ECAA8E9" w14:textId="12503D2C" w:rsidR="00C32CAD" w:rsidRPr="00C95980" w:rsidRDefault="00C32CAD" w:rsidP="00B25932">
            <w:pPr>
              <w:pStyle w:val="BodyTextIndent3"/>
              <w:widowControl/>
              <w:tabs>
                <w:tab w:val="clear" w:pos="0"/>
              </w:tabs>
              <w:suppressAutoHyphens w:val="0"/>
              <w:autoSpaceDE/>
              <w:autoSpaceDN/>
              <w:adjustRightInd/>
              <w:spacing w:line="240" w:lineRule="auto"/>
              <w:ind w:firstLine="0"/>
              <w:jc w:val="center"/>
              <w:rPr>
                <w:rFonts w:cs="Times New Roman"/>
                <w:b/>
                <w:bCs/>
                <w:sz w:val="24"/>
                <w:szCs w:val="24"/>
              </w:rPr>
            </w:pPr>
            <w:r w:rsidRPr="00C95980">
              <w:rPr>
                <w:b/>
                <w:sz w:val="24"/>
                <w:szCs w:val="24"/>
              </w:rPr>
              <w:t>202-</w:t>
            </w:r>
            <w:r w:rsidR="00B25932">
              <w:rPr>
                <w:b/>
                <w:sz w:val="24"/>
                <w:szCs w:val="24"/>
              </w:rPr>
              <w:t>690-8640</w:t>
            </w:r>
          </w:p>
        </w:tc>
        <w:tc>
          <w:tcPr>
            <w:tcW w:w="3600" w:type="dxa"/>
            <w:tcBorders>
              <w:top w:val="nil"/>
              <w:left w:val="nil"/>
              <w:bottom w:val="single" w:sz="8" w:space="0" w:color="auto"/>
              <w:right w:val="single" w:sz="8" w:space="0" w:color="auto"/>
            </w:tcBorders>
            <w:vAlign w:val="bottom"/>
          </w:tcPr>
          <w:p w14:paraId="0FBE98B6" w14:textId="71C9C7D3" w:rsidR="00C32CAD" w:rsidRPr="00C95980" w:rsidRDefault="00B25932" w:rsidP="00176E3B">
            <w:pPr>
              <w:pStyle w:val="BodyTextIndent3"/>
              <w:widowControl/>
              <w:tabs>
                <w:tab w:val="clear" w:pos="0"/>
              </w:tabs>
              <w:suppressAutoHyphens w:val="0"/>
              <w:autoSpaceDE/>
              <w:autoSpaceDN/>
              <w:adjustRightInd/>
              <w:spacing w:line="240" w:lineRule="auto"/>
              <w:ind w:firstLine="0"/>
              <w:rPr>
                <w:rFonts w:cs="Times New Roman"/>
                <w:bCs/>
                <w:sz w:val="24"/>
                <w:szCs w:val="24"/>
              </w:rPr>
            </w:pPr>
            <w:r>
              <w:rPr>
                <w:rFonts w:cs="Times New Roman"/>
                <w:bCs/>
                <w:sz w:val="24"/>
                <w:szCs w:val="24"/>
              </w:rPr>
              <w:t>Evan.Schulz@nass.usda.gov</w:t>
            </w:r>
          </w:p>
        </w:tc>
      </w:tr>
    </w:tbl>
    <w:p w14:paraId="640ED3C8" w14:textId="77777777" w:rsidR="00A03BA9" w:rsidRPr="00A03BA9" w:rsidRDefault="00A03BA9" w:rsidP="00C3202B">
      <w:pPr>
        <w:rPr>
          <w:bCs/>
          <w:szCs w:val="24"/>
        </w:rPr>
      </w:pPr>
    </w:p>
    <w:sectPr w:rsidR="00A03BA9" w:rsidRPr="00A03BA9" w:rsidSect="0088320D">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0881DD" w15:done="0"/>
  <w15:commentEx w15:paraId="420827B4" w15:done="0"/>
  <w15:commentEx w15:paraId="21C2173A" w15:paraIdParent="420827B4" w15:done="0"/>
  <w15:commentEx w15:paraId="0ED1951B" w15:done="0"/>
  <w15:commentEx w15:paraId="1D489129" w15:paraIdParent="0ED1951B" w15:done="0"/>
  <w15:commentEx w15:paraId="30087B08" w15:done="0"/>
  <w15:commentEx w15:paraId="630C4CA0" w15:paraIdParent="30087B08" w15:done="0"/>
  <w15:commentEx w15:paraId="2D1E0B31" w15:done="0"/>
  <w15:commentEx w15:paraId="0B42689D" w15:paraIdParent="2D1E0B31" w15:done="0"/>
  <w15:commentEx w15:paraId="5CC79E2C" w15:done="0"/>
  <w15:commentEx w15:paraId="703205E9" w15:paraIdParent="5CC79E2C" w15:done="0"/>
  <w15:commentEx w15:paraId="7AE8016C" w15:done="0"/>
  <w15:commentEx w15:paraId="74A9B83E" w15:paraIdParent="7AE801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CF257" w14:textId="77777777" w:rsidR="00C627F1" w:rsidRDefault="00C627F1" w:rsidP="006D3765">
      <w:pPr>
        <w:spacing w:line="240" w:lineRule="auto"/>
      </w:pPr>
      <w:r>
        <w:separator/>
      </w:r>
    </w:p>
  </w:endnote>
  <w:endnote w:type="continuationSeparator" w:id="0">
    <w:p w14:paraId="2E77CDED" w14:textId="77777777" w:rsidR="00C627F1" w:rsidRDefault="00C627F1" w:rsidP="006D3765">
      <w:pPr>
        <w:spacing w:line="240" w:lineRule="auto"/>
      </w:pPr>
      <w:r>
        <w:continuationSeparator/>
      </w:r>
    </w:p>
  </w:endnote>
  <w:endnote w:type="continuationNotice" w:id="1">
    <w:p w14:paraId="07FFC922" w14:textId="77777777" w:rsidR="00C627F1" w:rsidRDefault="00C627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51260" w14:textId="77777777" w:rsidR="000A27B4" w:rsidRDefault="000A27B4" w:rsidP="00001D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EAA2B" w14:textId="77777777" w:rsidR="000A27B4" w:rsidRDefault="000A27B4" w:rsidP="00001D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042510"/>
      <w:docPartObj>
        <w:docPartGallery w:val="Page Numbers (Bottom of Page)"/>
        <w:docPartUnique/>
      </w:docPartObj>
    </w:sdtPr>
    <w:sdtEndPr>
      <w:rPr>
        <w:noProof/>
      </w:rPr>
    </w:sdtEndPr>
    <w:sdtContent>
      <w:p w14:paraId="1BC11538" w14:textId="77777777" w:rsidR="000A27B4" w:rsidRDefault="00C627F1">
        <w:pPr>
          <w:pStyle w:val="Footer"/>
          <w:jc w:val="center"/>
        </w:pPr>
      </w:p>
    </w:sdtContent>
  </w:sdt>
  <w:p w14:paraId="5957B7EB" w14:textId="77777777" w:rsidR="000A27B4" w:rsidRDefault="000A27B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8BD12" w14:textId="77777777" w:rsidR="000A27B4" w:rsidRPr="00400AEE" w:rsidRDefault="000A27B4" w:rsidP="00001D5E">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556591"/>
      <w:docPartObj>
        <w:docPartGallery w:val="Page Numbers (Bottom of Page)"/>
        <w:docPartUnique/>
      </w:docPartObj>
    </w:sdtPr>
    <w:sdtEndPr>
      <w:rPr>
        <w:noProof/>
      </w:rPr>
    </w:sdtEndPr>
    <w:sdtContent>
      <w:p w14:paraId="400497B7" w14:textId="2C065009" w:rsidR="000A27B4" w:rsidRDefault="000A27B4">
        <w:pPr>
          <w:pStyle w:val="Footer"/>
          <w:jc w:val="center"/>
        </w:pPr>
        <w:r>
          <w:t>B-</w:t>
        </w:r>
        <w:r>
          <w:fldChar w:fldCharType="begin"/>
        </w:r>
        <w:r>
          <w:instrText xml:space="preserve"> PAGE   \* MERGEFORMAT </w:instrText>
        </w:r>
        <w:r>
          <w:fldChar w:fldCharType="separate"/>
        </w:r>
        <w:r w:rsidR="000C3D55">
          <w:rPr>
            <w:noProof/>
          </w:rPr>
          <w:t>1</w:t>
        </w:r>
        <w:r>
          <w:rPr>
            <w:noProof/>
          </w:rPr>
          <w:fldChar w:fldCharType="end"/>
        </w:r>
      </w:p>
    </w:sdtContent>
  </w:sdt>
  <w:p w14:paraId="0B3D248C" w14:textId="77777777" w:rsidR="000A27B4" w:rsidRDefault="000A27B4">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F098E" w14:textId="3EFFA5E2" w:rsidR="000A27B4" w:rsidRDefault="000A27B4" w:rsidP="00C677AC">
    <w:pPr>
      <w:pStyle w:val="Footer"/>
      <w:spacing w:before="120"/>
      <w:jc w:val="center"/>
    </w:pPr>
    <w:r>
      <w:t>B-</w:t>
    </w:r>
    <w:sdt>
      <w:sdtPr>
        <w:id w:val="-18422376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C3D55">
          <w:rPr>
            <w:noProof/>
          </w:rPr>
          <w:t>18</w:t>
        </w:r>
        <w:r>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42FE5" w14:textId="09BE1AE7" w:rsidR="000A27B4" w:rsidRDefault="000A27B4">
    <w:pPr>
      <w:pStyle w:val="Footer"/>
      <w:jc w:val="center"/>
    </w:pPr>
    <w:r>
      <w:t>B-</w:t>
    </w:r>
    <w:sdt>
      <w:sdtPr>
        <w:id w:val="2709034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C3D55">
          <w:rPr>
            <w:noProof/>
          </w:rPr>
          <w:t>5</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8A553" w14:textId="77777777" w:rsidR="00C627F1" w:rsidRDefault="00C627F1" w:rsidP="006D3765">
      <w:pPr>
        <w:spacing w:line="240" w:lineRule="auto"/>
      </w:pPr>
      <w:r>
        <w:separator/>
      </w:r>
    </w:p>
  </w:footnote>
  <w:footnote w:type="continuationSeparator" w:id="0">
    <w:p w14:paraId="6E3FA3FF" w14:textId="77777777" w:rsidR="00C627F1" w:rsidRDefault="00C627F1" w:rsidP="006D3765">
      <w:pPr>
        <w:spacing w:line="240" w:lineRule="auto"/>
      </w:pPr>
      <w:r>
        <w:continuationSeparator/>
      </w:r>
    </w:p>
  </w:footnote>
  <w:footnote w:type="continuationNotice" w:id="1">
    <w:p w14:paraId="3F922F6A" w14:textId="77777777" w:rsidR="00C627F1" w:rsidRDefault="00C627F1">
      <w:pPr>
        <w:spacing w:line="240" w:lineRule="auto"/>
      </w:pPr>
    </w:p>
  </w:footnote>
  <w:footnote w:id="2">
    <w:p w14:paraId="2AB1A229" w14:textId="77777777" w:rsidR="000A27B4" w:rsidRPr="00E5452E" w:rsidRDefault="000A27B4" w:rsidP="00C677AC">
      <w:pPr>
        <w:pStyle w:val="FootnoteText"/>
        <w:spacing w:line="240" w:lineRule="auto"/>
        <w:rPr>
          <w:rFonts w:ascii="Times New Roman" w:hAnsi="Times New Roman"/>
        </w:rPr>
      </w:pPr>
      <w:r>
        <w:rPr>
          <w:rStyle w:val="FootnoteReference"/>
        </w:rPr>
        <w:footnoteRef/>
      </w:r>
      <w:r>
        <w:t xml:space="preserve"> </w:t>
      </w:r>
      <w:r w:rsidRPr="00E5452E">
        <w:rPr>
          <w:rFonts w:ascii="Times New Roman" w:hAnsi="Times New Roman"/>
        </w:rPr>
        <w:t xml:space="preserve">The seven regions (and </w:t>
      </w:r>
      <w:r>
        <w:rPr>
          <w:rFonts w:ascii="Times New Roman" w:hAnsi="Times New Roman"/>
        </w:rPr>
        <w:t>S</w:t>
      </w:r>
      <w:r w:rsidRPr="00E5452E">
        <w:rPr>
          <w:rFonts w:ascii="Times New Roman" w:hAnsi="Times New Roman"/>
        </w:rPr>
        <w:t>tates) are: Northeast (CT, ME, MA, NH, NY, RI, VT), Mid-Atlantic (DE, DC, MD, NJ, PA, PR, VA, VI, WV), Southeast (AL, FL, GA, KY, MS, NC, SC, TN), Midwest (IL, IN, MI, MN, OH, WI), Southwest (AR, LA, NM, OK, TX), Mountain Plains (CO, IA, KS, MO, MT, NE, ND, SD, UT, WY), and Western (AK, AZ, CA, GU, HI, ID, NV, OR, WA).</w:t>
      </w:r>
    </w:p>
  </w:footnote>
  <w:footnote w:id="3">
    <w:p w14:paraId="7BA6BEBB" w14:textId="16D29945" w:rsidR="000A27B4" w:rsidRDefault="000A27B4" w:rsidP="00C677AC">
      <w:pPr>
        <w:pStyle w:val="FootnoteText"/>
        <w:spacing w:before="0" w:line="240" w:lineRule="auto"/>
      </w:pPr>
      <w:r>
        <w:rPr>
          <w:rStyle w:val="FootnoteReference"/>
        </w:rPr>
        <w:footnoteRef/>
      </w:r>
      <w:r>
        <w:t xml:space="preserve"> </w:t>
      </w:r>
      <w:r w:rsidRPr="00E5452E">
        <w:rPr>
          <w:rFonts w:ascii="Times New Roman" w:hAnsi="Times New Roman"/>
        </w:rPr>
        <w:t>Elementary school is defined as any school with any span of grades from kindergarten through grade 6, such as K</w:t>
      </w:r>
      <w:r>
        <w:rPr>
          <w:rFonts w:ascii="Times New Roman" w:hAnsi="Times New Roman"/>
        </w:rPr>
        <w:t>–</w:t>
      </w:r>
      <w:r w:rsidRPr="00E5452E">
        <w:rPr>
          <w:rFonts w:ascii="Times New Roman" w:hAnsi="Times New Roman"/>
        </w:rPr>
        <w:t>4, 4</w:t>
      </w:r>
      <w:r>
        <w:rPr>
          <w:rFonts w:ascii="Times New Roman" w:hAnsi="Times New Roman"/>
        </w:rPr>
        <w:t>–</w:t>
      </w:r>
      <w:r w:rsidRPr="00E5452E">
        <w:rPr>
          <w:rFonts w:ascii="Times New Roman" w:hAnsi="Times New Roman"/>
        </w:rPr>
        <w:t>6, or K</w:t>
      </w:r>
      <w:r>
        <w:rPr>
          <w:rFonts w:ascii="Times New Roman" w:hAnsi="Times New Roman"/>
        </w:rPr>
        <w:t>–</w:t>
      </w:r>
      <w:r w:rsidRPr="00E5452E">
        <w:rPr>
          <w:rFonts w:ascii="Times New Roman" w:hAnsi="Times New Roman"/>
        </w:rPr>
        <w:t>5. Middle or junior high school is defined as any school that has no grade lower than grade 6 and no grade high</w:t>
      </w:r>
      <w:r w:rsidR="00450C4F">
        <w:rPr>
          <w:rFonts w:ascii="Times New Roman" w:hAnsi="Times New Roman"/>
        </w:rPr>
        <w:t>er than grade 9, such as grade 6</w:t>
      </w:r>
      <w:r w:rsidRPr="00E5452E">
        <w:rPr>
          <w:rFonts w:ascii="Times New Roman" w:hAnsi="Times New Roman"/>
        </w:rPr>
        <w:t xml:space="preserve"> only, </w:t>
      </w:r>
      <w:r w:rsidR="00450C4F">
        <w:rPr>
          <w:rFonts w:ascii="Times New Roman" w:hAnsi="Times New Roman"/>
        </w:rPr>
        <w:t>6-7</w:t>
      </w:r>
      <w:r w:rsidRPr="00E5452E">
        <w:rPr>
          <w:rFonts w:ascii="Times New Roman" w:hAnsi="Times New Roman"/>
        </w:rPr>
        <w:t xml:space="preserve">, or </w:t>
      </w:r>
      <w:r w:rsidR="00450C4F">
        <w:rPr>
          <w:rFonts w:ascii="Times New Roman" w:hAnsi="Times New Roman"/>
        </w:rPr>
        <w:t>6-9</w:t>
      </w:r>
      <w:r w:rsidRPr="00E5452E">
        <w:rPr>
          <w:rFonts w:ascii="Times New Roman" w:hAnsi="Times New Roman"/>
        </w:rPr>
        <w:t>. High school is defined as any school that has no grade lower than grade 9 and continues through grade 12, such as grade 9 only, 9</w:t>
      </w:r>
      <w:r>
        <w:rPr>
          <w:rFonts w:ascii="Times New Roman" w:hAnsi="Times New Roman"/>
        </w:rPr>
        <w:t>–</w:t>
      </w:r>
      <w:r w:rsidRPr="00E5452E">
        <w:rPr>
          <w:rFonts w:ascii="Times New Roman" w:hAnsi="Times New Roman"/>
        </w:rPr>
        <w:t>10, or 9</w:t>
      </w:r>
      <w:r>
        <w:rPr>
          <w:rFonts w:ascii="Times New Roman" w:hAnsi="Times New Roman"/>
        </w:rPr>
        <w:t>–</w:t>
      </w:r>
      <w:r w:rsidRPr="00E5452E">
        <w:rPr>
          <w:rFonts w:ascii="Times New Roman" w:hAnsi="Times New Roman"/>
        </w:rPr>
        <w:t>12. Schools that do not fit these definitions, such as 6</w:t>
      </w:r>
      <w:r>
        <w:rPr>
          <w:rFonts w:ascii="Times New Roman" w:hAnsi="Times New Roman"/>
        </w:rPr>
        <w:t>–</w:t>
      </w:r>
      <w:r w:rsidRPr="00E5452E">
        <w:rPr>
          <w:rFonts w:ascii="Times New Roman" w:hAnsi="Times New Roman"/>
        </w:rPr>
        <w:t>12, K</w:t>
      </w:r>
      <w:r>
        <w:rPr>
          <w:rFonts w:ascii="Times New Roman" w:hAnsi="Times New Roman"/>
        </w:rPr>
        <w:t>–</w:t>
      </w:r>
      <w:r w:rsidRPr="00E5452E">
        <w:rPr>
          <w:rFonts w:ascii="Times New Roman" w:hAnsi="Times New Roman"/>
        </w:rPr>
        <w:t>8, or K</w:t>
      </w:r>
      <w:r>
        <w:rPr>
          <w:rFonts w:ascii="Times New Roman" w:hAnsi="Times New Roman"/>
        </w:rPr>
        <w:t>–</w:t>
      </w:r>
      <w:r w:rsidRPr="00E5452E">
        <w:rPr>
          <w:rFonts w:ascii="Times New Roman" w:hAnsi="Times New Roman"/>
        </w:rPr>
        <w:t>12, are categorized as “other.”</w:t>
      </w:r>
    </w:p>
  </w:footnote>
  <w:footnote w:id="4">
    <w:p w14:paraId="46F002D8" w14:textId="77777777" w:rsidR="000A27B4" w:rsidRPr="00C677AC" w:rsidRDefault="000A27B4">
      <w:pPr>
        <w:pStyle w:val="FootnoteText"/>
        <w:rPr>
          <w:rFonts w:ascii="Times New Roman" w:hAnsi="Times New Roman"/>
        </w:rPr>
      </w:pPr>
      <w:r>
        <w:rPr>
          <w:rStyle w:val="FootnoteReference"/>
        </w:rPr>
        <w:footnoteRef/>
      </w:r>
      <w:r>
        <w:t xml:space="preserve"> </w:t>
      </w:r>
      <w:r w:rsidRPr="00C677AC">
        <w:rPr>
          <w:rFonts w:ascii="Times New Roman" w:hAnsi="Times New Roman"/>
          <w:szCs w:val="24"/>
        </w:rPr>
        <w:t xml:space="preserve">Rust, K. F., &amp; Rao, J. N. </w:t>
      </w:r>
      <w:proofErr w:type="gramStart"/>
      <w:r w:rsidRPr="00C677AC">
        <w:rPr>
          <w:rFonts w:ascii="Times New Roman" w:hAnsi="Times New Roman"/>
          <w:szCs w:val="24"/>
        </w:rPr>
        <w:t>K..</w:t>
      </w:r>
      <w:proofErr w:type="gramEnd"/>
      <w:r w:rsidRPr="00C677AC">
        <w:rPr>
          <w:rFonts w:ascii="Times New Roman" w:hAnsi="Times New Roman"/>
          <w:szCs w:val="24"/>
        </w:rPr>
        <w:t xml:space="preserve"> </w:t>
      </w:r>
      <w:proofErr w:type="gramStart"/>
      <w:r w:rsidRPr="00C677AC">
        <w:rPr>
          <w:rFonts w:ascii="Times New Roman" w:hAnsi="Times New Roman"/>
          <w:szCs w:val="24"/>
        </w:rPr>
        <w:t>(1996). Variance estimation for complex surveys using replication techniques.</w:t>
      </w:r>
      <w:proofErr w:type="gramEnd"/>
      <w:r w:rsidRPr="00C677AC">
        <w:rPr>
          <w:rFonts w:ascii="Times New Roman" w:hAnsi="Times New Roman"/>
          <w:szCs w:val="24"/>
        </w:rPr>
        <w:t xml:space="preserve"> </w:t>
      </w:r>
      <w:r w:rsidRPr="00C677AC">
        <w:rPr>
          <w:rFonts w:ascii="Times New Roman" w:hAnsi="Times New Roman"/>
          <w:i/>
          <w:iCs/>
          <w:szCs w:val="24"/>
        </w:rPr>
        <w:t>Statistical Methods in Medical Research</w:t>
      </w:r>
      <w:r w:rsidRPr="00C677AC">
        <w:rPr>
          <w:rFonts w:ascii="Times New Roman" w:hAnsi="Times New Roman"/>
          <w:i/>
          <w:szCs w:val="24"/>
        </w:rPr>
        <w:t>, 5</w:t>
      </w:r>
      <w:r w:rsidRPr="00C677AC">
        <w:rPr>
          <w:rFonts w:ascii="Times New Roman" w:hAnsi="Times New Roman"/>
          <w:szCs w:val="24"/>
        </w:rPr>
        <w:t>, 283–310.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AD84" w14:textId="77777777" w:rsidR="000A27B4" w:rsidRDefault="000A2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053"/>
    <w:multiLevelType w:val="hybridMultilevel"/>
    <w:tmpl w:val="8B78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525FF"/>
    <w:multiLevelType w:val="multilevel"/>
    <w:tmpl w:val="25F0E3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54508C"/>
    <w:multiLevelType w:val="hybridMultilevel"/>
    <w:tmpl w:val="B3E4E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4E33E1"/>
    <w:multiLevelType w:val="hybridMultilevel"/>
    <w:tmpl w:val="002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321BA3"/>
    <w:multiLevelType w:val="hybridMultilevel"/>
    <w:tmpl w:val="1FBA72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6B2A09"/>
    <w:multiLevelType w:val="hybridMultilevel"/>
    <w:tmpl w:val="72F46DBC"/>
    <w:lvl w:ilvl="0" w:tplc="A9C8D1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63291C"/>
    <w:multiLevelType w:val="singleLevel"/>
    <w:tmpl w:val="B1EA0A50"/>
    <w:lvl w:ilvl="0">
      <w:start w:val="1"/>
      <w:numFmt w:val="decimal"/>
      <w:lvlText w:val="%1."/>
      <w:lvlJc w:val="left"/>
      <w:pPr>
        <w:tabs>
          <w:tab w:val="num" w:pos="1200"/>
        </w:tabs>
        <w:ind w:left="1200" w:hanging="600"/>
      </w:pPr>
      <w:rPr>
        <w:rFonts w:hint="default"/>
      </w:rPr>
    </w:lvl>
  </w:abstractNum>
  <w:abstractNum w:abstractNumId="13">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CA6D4D"/>
    <w:multiLevelType w:val="hybridMultilevel"/>
    <w:tmpl w:val="DE34FE5C"/>
    <w:lvl w:ilvl="0" w:tplc="04090005">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7">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5A0C5E"/>
    <w:multiLevelType w:val="hybridMultilevel"/>
    <w:tmpl w:val="32A2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506E63"/>
    <w:multiLevelType w:val="hybridMultilevel"/>
    <w:tmpl w:val="3EF4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27B26F3"/>
    <w:multiLevelType w:val="hybridMultilevel"/>
    <w:tmpl w:val="BA783B74"/>
    <w:lvl w:ilvl="0" w:tplc="4F46C35E">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A22C10"/>
    <w:multiLevelType w:val="hybridMultilevel"/>
    <w:tmpl w:val="3FF2B1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B03798C"/>
    <w:multiLevelType w:val="hybridMultilevel"/>
    <w:tmpl w:val="9C8E60B4"/>
    <w:lvl w:ilvl="0" w:tplc="47E0D666">
      <w:start w:val="1"/>
      <w:numFmt w:val="bullet"/>
      <w:lvlText w:val="•"/>
      <w:lvlJc w:val="left"/>
      <w:pPr>
        <w:tabs>
          <w:tab w:val="num" w:pos="720"/>
        </w:tabs>
        <w:ind w:left="720" w:hanging="360"/>
      </w:pPr>
      <w:rPr>
        <w:rFonts w:ascii="Times New Roman" w:hAnsi="Times New Roman" w:hint="default"/>
      </w:rPr>
    </w:lvl>
    <w:lvl w:ilvl="1" w:tplc="99562056" w:tentative="1">
      <w:start w:val="1"/>
      <w:numFmt w:val="bullet"/>
      <w:lvlText w:val="•"/>
      <w:lvlJc w:val="left"/>
      <w:pPr>
        <w:tabs>
          <w:tab w:val="num" w:pos="1440"/>
        </w:tabs>
        <w:ind w:left="1440" w:hanging="360"/>
      </w:pPr>
      <w:rPr>
        <w:rFonts w:ascii="Times New Roman" w:hAnsi="Times New Roman" w:hint="default"/>
      </w:rPr>
    </w:lvl>
    <w:lvl w:ilvl="2" w:tplc="D864171E" w:tentative="1">
      <w:start w:val="1"/>
      <w:numFmt w:val="bullet"/>
      <w:lvlText w:val="•"/>
      <w:lvlJc w:val="left"/>
      <w:pPr>
        <w:tabs>
          <w:tab w:val="num" w:pos="2160"/>
        </w:tabs>
        <w:ind w:left="2160" w:hanging="360"/>
      </w:pPr>
      <w:rPr>
        <w:rFonts w:ascii="Times New Roman" w:hAnsi="Times New Roman" w:hint="default"/>
      </w:rPr>
    </w:lvl>
    <w:lvl w:ilvl="3" w:tplc="1E62F180" w:tentative="1">
      <w:start w:val="1"/>
      <w:numFmt w:val="bullet"/>
      <w:lvlText w:val="•"/>
      <w:lvlJc w:val="left"/>
      <w:pPr>
        <w:tabs>
          <w:tab w:val="num" w:pos="2880"/>
        </w:tabs>
        <w:ind w:left="2880" w:hanging="360"/>
      </w:pPr>
      <w:rPr>
        <w:rFonts w:ascii="Times New Roman" w:hAnsi="Times New Roman" w:hint="default"/>
      </w:rPr>
    </w:lvl>
    <w:lvl w:ilvl="4" w:tplc="3AE02436" w:tentative="1">
      <w:start w:val="1"/>
      <w:numFmt w:val="bullet"/>
      <w:lvlText w:val="•"/>
      <w:lvlJc w:val="left"/>
      <w:pPr>
        <w:tabs>
          <w:tab w:val="num" w:pos="3600"/>
        </w:tabs>
        <w:ind w:left="3600" w:hanging="360"/>
      </w:pPr>
      <w:rPr>
        <w:rFonts w:ascii="Times New Roman" w:hAnsi="Times New Roman" w:hint="default"/>
      </w:rPr>
    </w:lvl>
    <w:lvl w:ilvl="5" w:tplc="7A6878E2" w:tentative="1">
      <w:start w:val="1"/>
      <w:numFmt w:val="bullet"/>
      <w:lvlText w:val="•"/>
      <w:lvlJc w:val="left"/>
      <w:pPr>
        <w:tabs>
          <w:tab w:val="num" w:pos="4320"/>
        </w:tabs>
        <w:ind w:left="4320" w:hanging="360"/>
      </w:pPr>
      <w:rPr>
        <w:rFonts w:ascii="Times New Roman" w:hAnsi="Times New Roman" w:hint="default"/>
      </w:rPr>
    </w:lvl>
    <w:lvl w:ilvl="6" w:tplc="FC68B144" w:tentative="1">
      <w:start w:val="1"/>
      <w:numFmt w:val="bullet"/>
      <w:lvlText w:val="•"/>
      <w:lvlJc w:val="left"/>
      <w:pPr>
        <w:tabs>
          <w:tab w:val="num" w:pos="5040"/>
        </w:tabs>
        <w:ind w:left="5040" w:hanging="360"/>
      </w:pPr>
      <w:rPr>
        <w:rFonts w:ascii="Times New Roman" w:hAnsi="Times New Roman" w:hint="default"/>
      </w:rPr>
    </w:lvl>
    <w:lvl w:ilvl="7" w:tplc="F98C13CE" w:tentative="1">
      <w:start w:val="1"/>
      <w:numFmt w:val="bullet"/>
      <w:lvlText w:val="•"/>
      <w:lvlJc w:val="left"/>
      <w:pPr>
        <w:tabs>
          <w:tab w:val="num" w:pos="5760"/>
        </w:tabs>
        <w:ind w:left="5760" w:hanging="360"/>
      </w:pPr>
      <w:rPr>
        <w:rFonts w:ascii="Times New Roman" w:hAnsi="Times New Roman" w:hint="default"/>
      </w:rPr>
    </w:lvl>
    <w:lvl w:ilvl="8" w:tplc="09E02D8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1B559CB"/>
    <w:multiLevelType w:val="hybridMultilevel"/>
    <w:tmpl w:val="F42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1838A5"/>
    <w:multiLevelType w:val="hybridMultilevel"/>
    <w:tmpl w:val="894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7B18B5"/>
    <w:multiLevelType w:val="hybridMultilevel"/>
    <w:tmpl w:val="BB9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0B1E75"/>
    <w:multiLevelType w:val="hybridMultilevel"/>
    <w:tmpl w:val="51661EE8"/>
    <w:lvl w:ilvl="0" w:tplc="35E26F38">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5A086C"/>
    <w:multiLevelType w:val="hybridMultilevel"/>
    <w:tmpl w:val="6CB82CE2"/>
    <w:lvl w:ilvl="0" w:tplc="DF3CB624">
      <w:start w:val="1"/>
      <w:numFmt w:val="bullet"/>
      <w:lvlText w:val=""/>
      <w:lvlJc w:val="left"/>
      <w:pPr>
        <w:ind w:left="720" w:hanging="360"/>
      </w:pPr>
      <w:rPr>
        <w:rFonts w:ascii="Wingdings" w:hAnsi="Wingdings" w:hint="default"/>
      </w:rPr>
    </w:lvl>
    <w:lvl w:ilvl="1" w:tplc="DF3CB62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9"/>
  </w:num>
  <w:num w:numId="4">
    <w:abstractNumId w:val="4"/>
  </w:num>
  <w:num w:numId="5">
    <w:abstractNumId w:val="9"/>
  </w:num>
  <w:num w:numId="6">
    <w:abstractNumId w:val="17"/>
  </w:num>
  <w:num w:numId="7">
    <w:abstractNumId w:val="23"/>
  </w:num>
  <w:num w:numId="8">
    <w:abstractNumId w:val="13"/>
  </w:num>
  <w:num w:numId="9">
    <w:abstractNumId w:val="15"/>
  </w:num>
  <w:num w:numId="10">
    <w:abstractNumId w:val="3"/>
  </w:num>
  <w:num w:numId="11">
    <w:abstractNumId w:val="8"/>
  </w:num>
  <w:num w:numId="12">
    <w:abstractNumId w:val="29"/>
  </w:num>
  <w:num w:numId="13">
    <w:abstractNumId w:val="21"/>
  </w:num>
  <w:num w:numId="14">
    <w:abstractNumId w:val="6"/>
  </w:num>
  <w:num w:numId="15">
    <w:abstractNumId w:val="30"/>
  </w:num>
  <w:num w:numId="16">
    <w:abstractNumId w:val="26"/>
  </w:num>
  <w:num w:numId="17">
    <w:abstractNumId w:val="1"/>
  </w:num>
  <w:num w:numId="18">
    <w:abstractNumId w:val="7"/>
  </w:num>
  <w:num w:numId="19">
    <w:abstractNumId w:val="28"/>
  </w:num>
  <w:num w:numId="20">
    <w:abstractNumId w:val="34"/>
  </w:num>
  <w:num w:numId="21">
    <w:abstractNumId w:val="10"/>
  </w:num>
  <w:num w:numId="22">
    <w:abstractNumId w:val="12"/>
  </w:num>
  <w:num w:numId="23">
    <w:abstractNumId w:val="32"/>
  </w:num>
  <w:num w:numId="24">
    <w:abstractNumId w:val="20"/>
  </w:num>
  <w:num w:numId="25">
    <w:abstractNumId w:val="0"/>
  </w:num>
  <w:num w:numId="26">
    <w:abstractNumId w:val="27"/>
  </w:num>
  <w:num w:numId="27">
    <w:abstractNumId w:val="31"/>
  </w:num>
  <w:num w:numId="28">
    <w:abstractNumId w:val="22"/>
  </w:num>
  <w:num w:numId="29">
    <w:abstractNumId w:val="25"/>
  </w:num>
  <w:num w:numId="30">
    <w:abstractNumId w:val="14"/>
  </w:num>
  <w:num w:numId="31">
    <w:abstractNumId w:val="24"/>
  </w:num>
  <w:num w:numId="32">
    <w:abstractNumId w:val="33"/>
  </w:num>
  <w:num w:numId="33">
    <w:abstractNumId w:val="18"/>
  </w:num>
  <w:num w:numId="34">
    <w:abstractNumId w:val="5"/>
  </w:num>
  <w:num w:numId="35">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m Murdoch, PhD">
    <w15:presenceInfo w15:providerId="None" w15:userId="Jim Murdoch, Ph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QxtTS3NLU0sDQztLRU0lEKTi0uzszPAykwqgUA6fB0jSwAAAA="/>
  </w:docVars>
  <w:rsids>
    <w:rsidRoot w:val="006D3765"/>
    <w:rsid w:val="00001D5E"/>
    <w:rsid w:val="000034FB"/>
    <w:rsid w:val="0000559C"/>
    <w:rsid w:val="000072A3"/>
    <w:rsid w:val="00007477"/>
    <w:rsid w:val="00011228"/>
    <w:rsid w:val="0001169E"/>
    <w:rsid w:val="00013095"/>
    <w:rsid w:val="00013A19"/>
    <w:rsid w:val="00014151"/>
    <w:rsid w:val="000157E2"/>
    <w:rsid w:val="0001598C"/>
    <w:rsid w:val="00015B0E"/>
    <w:rsid w:val="000224CE"/>
    <w:rsid w:val="00022762"/>
    <w:rsid w:val="00023236"/>
    <w:rsid w:val="0002373D"/>
    <w:rsid w:val="00026C89"/>
    <w:rsid w:val="00026DD5"/>
    <w:rsid w:val="00027E1A"/>
    <w:rsid w:val="00030D39"/>
    <w:rsid w:val="00031DFA"/>
    <w:rsid w:val="0003258A"/>
    <w:rsid w:val="0003285F"/>
    <w:rsid w:val="000334FF"/>
    <w:rsid w:val="00033EF8"/>
    <w:rsid w:val="00033FC0"/>
    <w:rsid w:val="0003536A"/>
    <w:rsid w:val="00035912"/>
    <w:rsid w:val="0003591B"/>
    <w:rsid w:val="00035CB1"/>
    <w:rsid w:val="0003661E"/>
    <w:rsid w:val="00036687"/>
    <w:rsid w:val="00036D2A"/>
    <w:rsid w:val="000376A0"/>
    <w:rsid w:val="00037E15"/>
    <w:rsid w:val="00040824"/>
    <w:rsid w:val="00040A85"/>
    <w:rsid w:val="00041210"/>
    <w:rsid w:val="00041358"/>
    <w:rsid w:val="000417FC"/>
    <w:rsid w:val="000430FE"/>
    <w:rsid w:val="00043156"/>
    <w:rsid w:val="00044650"/>
    <w:rsid w:val="00044E40"/>
    <w:rsid w:val="000462FB"/>
    <w:rsid w:val="00046E60"/>
    <w:rsid w:val="00047BAD"/>
    <w:rsid w:val="00047BD4"/>
    <w:rsid w:val="00050508"/>
    <w:rsid w:val="00051021"/>
    <w:rsid w:val="000518AF"/>
    <w:rsid w:val="00051D49"/>
    <w:rsid w:val="00051E73"/>
    <w:rsid w:val="000520A9"/>
    <w:rsid w:val="00052224"/>
    <w:rsid w:val="00052D2A"/>
    <w:rsid w:val="00053589"/>
    <w:rsid w:val="00053ECC"/>
    <w:rsid w:val="00054941"/>
    <w:rsid w:val="000549FB"/>
    <w:rsid w:val="00054A73"/>
    <w:rsid w:val="000568DC"/>
    <w:rsid w:val="000569DF"/>
    <w:rsid w:val="00056B58"/>
    <w:rsid w:val="00056C01"/>
    <w:rsid w:val="00056DA1"/>
    <w:rsid w:val="0006175D"/>
    <w:rsid w:val="00061BF3"/>
    <w:rsid w:val="0006264E"/>
    <w:rsid w:val="00062996"/>
    <w:rsid w:val="00064564"/>
    <w:rsid w:val="000671EC"/>
    <w:rsid w:val="00070033"/>
    <w:rsid w:val="0007089D"/>
    <w:rsid w:val="00070DE4"/>
    <w:rsid w:val="00070F45"/>
    <w:rsid w:val="0007113A"/>
    <w:rsid w:val="000711DA"/>
    <w:rsid w:val="00072270"/>
    <w:rsid w:val="00075587"/>
    <w:rsid w:val="000764A6"/>
    <w:rsid w:val="00076C2E"/>
    <w:rsid w:val="000772D1"/>
    <w:rsid w:val="00081A59"/>
    <w:rsid w:val="00083AC9"/>
    <w:rsid w:val="00085F6C"/>
    <w:rsid w:val="00086577"/>
    <w:rsid w:val="00087234"/>
    <w:rsid w:val="0008786B"/>
    <w:rsid w:val="0009253D"/>
    <w:rsid w:val="00092846"/>
    <w:rsid w:val="000940B1"/>
    <w:rsid w:val="00094327"/>
    <w:rsid w:val="00094D7B"/>
    <w:rsid w:val="00094DFB"/>
    <w:rsid w:val="00097760"/>
    <w:rsid w:val="000A0C78"/>
    <w:rsid w:val="000A1397"/>
    <w:rsid w:val="000A1C54"/>
    <w:rsid w:val="000A27B4"/>
    <w:rsid w:val="000A52C9"/>
    <w:rsid w:val="000A6B6B"/>
    <w:rsid w:val="000A6D2E"/>
    <w:rsid w:val="000A7367"/>
    <w:rsid w:val="000A7CEF"/>
    <w:rsid w:val="000A7ECA"/>
    <w:rsid w:val="000B0441"/>
    <w:rsid w:val="000B0E1E"/>
    <w:rsid w:val="000B1E3C"/>
    <w:rsid w:val="000B2029"/>
    <w:rsid w:val="000B20F0"/>
    <w:rsid w:val="000B2121"/>
    <w:rsid w:val="000B28FC"/>
    <w:rsid w:val="000B2975"/>
    <w:rsid w:val="000B370C"/>
    <w:rsid w:val="000B4924"/>
    <w:rsid w:val="000B4BAD"/>
    <w:rsid w:val="000B501C"/>
    <w:rsid w:val="000B5B04"/>
    <w:rsid w:val="000B63C0"/>
    <w:rsid w:val="000C0EAF"/>
    <w:rsid w:val="000C0FA9"/>
    <w:rsid w:val="000C214A"/>
    <w:rsid w:val="000C36A6"/>
    <w:rsid w:val="000C3A32"/>
    <w:rsid w:val="000C3D55"/>
    <w:rsid w:val="000C4862"/>
    <w:rsid w:val="000C4BC3"/>
    <w:rsid w:val="000C5D14"/>
    <w:rsid w:val="000C60BF"/>
    <w:rsid w:val="000C7425"/>
    <w:rsid w:val="000D1BD5"/>
    <w:rsid w:val="000D2990"/>
    <w:rsid w:val="000D6C88"/>
    <w:rsid w:val="000D7573"/>
    <w:rsid w:val="000D7DF0"/>
    <w:rsid w:val="000E0A42"/>
    <w:rsid w:val="000E3405"/>
    <w:rsid w:val="000E3CF7"/>
    <w:rsid w:val="000E402D"/>
    <w:rsid w:val="000E4505"/>
    <w:rsid w:val="000E47DF"/>
    <w:rsid w:val="000E49DB"/>
    <w:rsid w:val="000E5D35"/>
    <w:rsid w:val="000E67F9"/>
    <w:rsid w:val="000E6C6F"/>
    <w:rsid w:val="000E73C0"/>
    <w:rsid w:val="000E7CB2"/>
    <w:rsid w:val="000F10E3"/>
    <w:rsid w:val="000F20E3"/>
    <w:rsid w:val="000F3131"/>
    <w:rsid w:val="000F3141"/>
    <w:rsid w:val="000F3ADF"/>
    <w:rsid w:val="000F4434"/>
    <w:rsid w:val="000F5273"/>
    <w:rsid w:val="000F6382"/>
    <w:rsid w:val="000F7C07"/>
    <w:rsid w:val="000F7FBB"/>
    <w:rsid w:val="00100485"/>
    <w:rsid w:val="001009B4"/>
    <w:rsid w:val="00100DCF"/>
    <w:rsid w:val="001042DE"/>
    <w:rsid w:val="00105867"/>
    <w:rsid w:val="001073FC"/>
    <w:rsid w:val="00107FFD"/>
    <w:rsid w:val="0011085B"/>
    <w:rsid w:val="00111A45"/>
    <w:rsid w:val="00111C21"/>
    <w:rsid w:val="00112118"/>
    <w:rsid w:val="0011379C"/>
    <w:rsid w:val="001157C6"/>
    <w:rsid w:val="00116CC4"/>
    <w:rsid w:val="00116D64"/>
    <w:rsid w:val="00117E39"/>
    <w:rsid w:val="00123505"/>
    <w:rsid w:val="0012498E"/>
    <w:rsid w:val="00125CA3"/>
    <w:rsid w:val="001300B9"/>
    <w:rsid w:val="0013141F"/>
    <w:rsid w:val="0013145E"/>
    <w:rsid w:val="001327C3"/>
    <w:rsid w:val="001330B8"/>
    <w:rsid w:val="001338ED"/>
    <w:rsid w:val="00133E5F"/>
    <w:rsid w:val="0013662C"/>
    <w:rsid w:val="001368EB"/>
    <w:rsid w:val="00137218"/>
    <w:rsid w:val="00140363"/>
    <w:rsid w:val="00140B12"/>
    <w:rsid w:val="00140C08"/>
    <w:rsid w:val="001427B7"/>
    <w:rsid w:val="0014346D"/>
    <w:rsid w:val="00144838"/>
    <w:rsid w:val="00147355"/>
    <w:rsid w:val="001476F6"/>
    <w:rsid w:val="00147957"/>
    <w:rsid w:val="0014798C"/>
    <w:rsid w:val="001513EB"/>
    <w:rsid w:val="00152464"/>
    <w:rsid w:val="0015317A"/>
    <w:rsid w:val="001533E5"/>
    <w:rsid w:val="00155C44"/>
    <w:rsid w:val="00157B9F"/>
    <w:rsid w:val="00160B59"/>
    <w:rsid w:val="00160B82"/>
    <w:rsid w:val="001615FF"/>
    <w:rsid w:val="001616CA"/>
    <w:rsid w:val="00161A77"/>
    <w:rsid w:val="001645CA"/>
    <w:rsid w:val="00164EC3"/>
    <w:rsid w:val="001652A4"/>
    <w:rsid w:val="001658A0"/>
    <w:rsid w:val="00165F62"/>
    <w:rsid w:val="0016715E"/>
    <w:rsid w:val="00167583"/>
    <w:rsid w:val="00171411"/>
    <w:rsid w:val="00172736"/>
    <w:rsid w:val="00173502"/>
    <w:rsid w:val="001735F0"/>
    <w:rsid w:val="00176E3B"/>
    <w:rsid w:val="00181A05"/>
    <w:rsid w:val="00182A60"/>
    <w:rsid w:val="001838D7"/>
    <w:rsid w:val="0018488D"/>
    <w:rsid w:val="00184912"/>
    <w:rsid w:val="00184BBC"/>
    <w:rsid w:val="00185014"/>
    <w:rsid w:val="00185AEE"/>
    <w:rsid w:val="00187393"/>
    <w:rsid w:val="0019034B"/>
    <w:rsid w:val="0019055B"/>
    <w:rsid w:val="001906D6"/>
    <w:rsid w:val="00190961"/>
    <w:rsid w:val="0019187E"/>
    <w:rsid w:val="00192631"/>
    <w:rsid w:val="0019384F"/>
    <w:rsid w:val="0019397B"/>
    <w:rsid w:val="00193AA0"/>
    <w:rsid w:val="00193B4D"/>
    <w:rsid w:val="00193F33"/>
    <w:rsid w:val="00194067"/>
    <w:rsid w:val="0019431A"/>
    <w:rsid w:val="001979FE"/>
    <w:rsid w:val="001A05AC"/>
    <w:rsid w:val="001A22CC"/>
    <w:rsid w:val="001A2F4B"/>
    <w:rsid w:val="001A3402"/>
    <w:rsid w:val="001A3F63"/>
    <w:rsid w:val="001A46F4"/>
    <w:rsid w:val="001A6AC8"/>
    <w:rsid w:val="001A6E94"/>
    <w:rsid w:val="001B0BA0"/>
    <w:rsid w:val="001B1599"/>
    <w:rsid w:val="001B1E07"/>
    <w:rsid w:val="001B21F7"/>
    <w:rsid w:val="001B233F"/>
    <w:rsid w:val="001B303C"/>
    <w:rsid w:val="001B588E"/>
    <w:rsid w:val="001B637F"/>
    <w:rsid w:val="001B6AC4"/>
    <w:rsid w:val="001B746F"/>
    <w:rsid w:val="001B7AF7"/>
    <w:rsid w:val="001C003B"/>
    <w:rsid w:val="001C016B"/>
    <w:rsid w:val="001C0310"/>
    <w:rsid w:val="001C0377"/>
    <w:rsid w:val="001C0A6D"/>
    <w:rsid w:val="001C359B"/>
    <w:rsid w:val="001C424D"/>
    <w:rsid w:val="001C4595"/>
    <w:rsid w:val="001C5297"/>
    <w:rsid w:val="001C5505"/>
    <w:rsid w:val="001C5DB4"/>
    <w:rsid w:val="001C70E2"/>
    <w:rsid w:val="001C78B7"/>
    <w:rsid w:val="001D0169"/>
    <w:rsid w:val="001D1072"/>
    <w:rsid w:val="001D12D4"/>
    <w:rsid w:val="001D1946"/>
    <w:rsid w:val="001D3C25"/>
    <w:rsid w:val="001D415F"/>
    <w:rsid w:val="001D41EE"/>
    <w:rsid w:val="001D4F1D"/>
    <w:rsid w:val="001D5569"/>
    <w:rsid w:val="001D5707"/>
    <w:rsid w:val="001D65AD"/>
    <w:rsid w:val="001D67F7"/>
    <w:rsid w:val="001D6CA8"/>
    <w:rsid w:val="001D6F89"/>
    <w:rsid w:val="001D7851"/>
    <w:rsid w:val="001E0571"/>
    <w:rsid w:val="001E09A3"/>
    <w:rsid w:val="001E0FA7"/>
    <w:rsid w:val="001E223C"/>
    <w:rsid w:val="001E2690"/>
    <w:rsid w:val="001E3156"/>
    <w:rsid w:val="001E3653"/>
    <w:rsid w:val="001E4372"/>
    <w:rsid w:val="001E4C50"/>
    <w:rsid w:val="001E55BD"/>
    <w:rsid w:val="001E5BF6"/>
    <w:rsid w:val="001E658D"/>
    <w:rsid w:val="001E69D8"/>
    <w:rsid w:val="001E742C"/>
    <w:rsid w:val="001E7AE6"/>
    <w:rsid w:val="001E7C09"/>
    <w:rsid w:val="001E7CD9"/>
    <w:rsid w:val="001E7CDA"/>
    <w:rsid w:val="001F11B0"/>
    <w:rsid w:val="001F1CDC"/>
    <w:rsid w:val="001F29FE"/>
    <w:rsid w:val="001F3531"/>
    <w:rsid w:val="001F3BD1"/>
    <w:rsid w:val="001F4A4A"/>
    <w:rsid w:val="001F4AF2"/>
    <w:rsid w:val="001F4B34"/>
    <w:rsid w:val="001F4D47"/>
    <w:rsid w:val="001F6D69"/>
    <w:rsid w:val="001F73B2"/>
    <w:rsid w:val="001F7B97"/>
    <w:rsid w:val="00200717"/>
    <w:rsid w:val="00201487"/>
    <w:rsid w:val="00202587"/>
    <w:rsid w:val="002028D3"/>
    <w:rsid w:val="00202D64"/>
    <w:rsid w:val="00202E76"/>
    <w:rsid w:val="00204A1C"/>
    <w:rsid w:val="0020509F"/>
    <w:rsid w:val="002057F6"/>
    <w:rsid w:val="002065B4"/>
    <w:rsid w:val="00207983"/>
    <w:rsid w:val="00207ED9"/>
    <w:rsid w:val="00213BEC"/>
    <w:rsid w:val="00215672"/>
    <w:rsid w:val="002159FE"/>
    <w:rsid w:val="00215AB1"/>
    <w:rsid w:val="002172D6"/>
    <w:rsid w:val="0021748D"/>
    <w:rsid w:val="002177DD"/>
    <w:rsid w:val="00217B5D"/>
    <w:rsid w:val="002203F7"/>
    <w:rsid w:val="00220A7D"/>
    <w:rsid w:val="002240CD"/>
    <w:rsid w:val="00225B0A"/>
    <w:rsid w:val="00227419"/>
    <w:rsid w:val="0023001B"/>
    <w:rsid w:val="002303EF"/>
    <w:rsid w:val="00230D9A"/>
    <w:rsid w:val="00233C04"/>
    <w:rsid w:val="00234248"/>
    <w:rsid w:val="00234FFB"/>
    <w:rsid w:val="002353A2"/>
    <w:rsid w:val="0023540A"/>
    <w:rsid w:val="00235A65"/>
    <w:rsid w:val="00235D61"/>
    <w:rsid w:val="00236762"/>
    <w:rsid w:val="0023699C"/>
    <w:rsid w:val="00237F30"/>
    <w:rsid w:val="00240515"/>
    <w:rsid w:val="002417BE"/>
    <w:rsid w:val="002419B0"/>
    <w:rsid w:val="00241B5F"/>
    <w:rsid w:val="00243700"/>
    <w:rsid w:val="002450B1"/>
    <w:rsid w:val="002454AF"/>
    <w:rsid w:val="0024679A"/>
    <w:rsid w:val="00246E6C"/>
    <w:rsid w:val="002473B5"/>
    <w:rsid w:val="002503AA"/>
    <w:rsid w:val="00250702"/>
    <w:rsid w:val="00250957"/>
    <w:rsid w:val="002519B6"/>
    <w:rsid w:val="00252C51"/>
    <w:rsid w:val="00254041"/>
    <w:rsid w:val="00254196"/>
    <w:rsid w:val="002541F2"/>
    <w:rsid w:val="0025507F"/>
    <w:rsid w:val="00260556"/>
    <w:rsid w:val="00260999"/>
    <w:rsid w:val="00261190"/>
    <w:rsid w:val="002623AA"/>
    <w:rsid w:val="00262435"/>
    <w:rsid w:val="00263662"/>
    <w:rsid w:val="00264A12"/>
    <w:rsid w:val="00264EC5"/>
    <w:rsid w:val="0026505D"/>
    <w:rsid w:val="002658FC"/>
    <w:rsid w:val="00265934"/>
    <w:rsid w:val="00266084"/>
    <w:rsid w:val="00267B14"/>
    <w:rsid w:val="00267CB3"/>
    <w:rsid w:val="00270A8F"/>
    <w:rsid w:val="00271BB2"/>
    <w:rsid w:val="00272AC2"/>
    <w:rsid w:val="0027391B"/>
    <w:rsid w:val="00273D90"/>
    <w:rsid w:val="0027448F"/>
    <w:rsid w:val="00274862"/>
    <w:rsid w:val="002751A9"/>
    <w:rsid w:val="0027560B"/>
    <w:rsid w:val="00275DAE"/>
    <w:rsid w:val="00276323"/>
    <w:rsid w:val="0027656F"/>
    <w:rsid w:val="00276C81"/>
    <w:rsid w:val="00280954"/>
    <w:rsid w:val="00280B95"/>
    <w:rsid w:val="002819E3"/>
    <w:rsid w:val="0028214B"/>
    <w:rsid w:val="00282E2C"/>
    <w:rsid w:val="0028389B"/>
    <w:rsid w:val="00283FC0"/>
    <w:rsid w:val="002863C4"/>
    <w:rsid w:val="00286B70"/>
    <w:rsid w:val="002877E4"/>
    <w:rsid w:val="00291A72"/>
    <w:rsid w:val="0029230B"/>
    <w:rsid w:val="0029546E"/>
    <w:rsid w:val="00295764"/>
    <w:rsid w:val="00295F3D"/>
    <w:rsid w:val="002961CF"/>
    <w:rsid w:val="0029680E"/>
    <w:rsid w:val="00297160"/>
    <w:rsid w:val="002A1621"/>
    <w:rsid w:val="002A1BBE"/>
    <w:rsid w:val="002A25E3"/>
    <w:rsid w:val="002A2D59"/>
    <w:rsid w:val="002A373C"/>
    <w:rsid w:val="002A42AD"/>
    <w:rsid w:val="002A43F6"/>
    <w:rsid w:val="002A5DA0"/>
    <w:rsid w:val="002A641A"/>
    <w:rsid w:val="002A6D44"/>
    <w:rsid w:val="002A7ED3"/>
    <w:rsid w:val="002B2711"/>
    <w:rsid w:val="002B41C0"/>
    <w:rsid w:val="002B554C"/>
    <w:rsid w:val="002B7AF1"/>
    <w:rsid w:val="002C0915"/>
    <w:rsid w:val="002C1354"/>
    <w:rsid w:val="002C150A"/>
    <w:rsid w:val="002C1A54"/>
    <w:rsid w:val="002C29B3"/>
    <w:rsid w:val="002C2DD7"/>
    <w:rsid w:val="002C33EE"/>
    <w:rsid w:val="002C349D"/>
    <w:rsid w:val="002C75AF"/>
    <w:rsid w:val="002C792C"/>
    <w:rsid w:val="002D1441"/>
    <w:rsid w:val="002D38A0"/>
    <w:rsid w:val="002D3A60"/>
    <w:rsid w:val="002D4432"/>
    <w:rsid w:val="002D4CAA"/>
    <w:rsid w:val="002D5454"/>
    <w:rsid w:val="002D64BF"/>
    <w:rsid w:val="002E0800"/>
    <w:rsid w:val="002E1784"/>
    <w:rsid w:val="002E2D5C"/>
    <w:rsid w:val="002E3412"/>
    <w:rsid w:val="002E3695"/>
    <w:rsid w:val="002E3D7F"/>
    <w:rsid w:val="002E5659"/>
    <w:rsid w:val="002E5806"/>
    <w:rsid w:val="002F3571"/>
    <w:rsid w:val="002F3C9E"/>
    <w:rsid w:val="002F449B"/>
    <w:rsid w:val="002F5855"/>
    <w:rsid w:val="002F6A7F"/>
    <w:rsid w:val="002F6D10"/>
    <w:rsid w:val="002F6E8A"/>
    <w:rsid w:val="002F7244"/>
    <w:rsid w:val="002F73D4"/>
    <w:rsid w:val="002F7EF6"/>
    <w:rsid w:val="00300AF0"/>
    <w:rsid w:val="00301460"/>
    <w:rsid w:val="00301785"/>
    <w:rsid w:val="00302B7D"/>
    <w:rsid w:val="00302CE1"/>
    <w:rsid w:val="0030514D"/>
    <w:rsid w:val="003056A3"/>
    <w:rsid w:val="00307406"/>
    <w:rsid w:val="00307F02"/>
    <w:rsid w:val="00310DC5"/>
    <w:rsid w:val="0031126A"/>
    <w:rsid w:val="00311609"/>
    <w:rsid w:val="00312D87"/>
    <w:rsid w:val="00312FB3"/>
    <w:rsid w:val="00314188"/>
    <w:rsid w:val="00316DD4"/>
    <w:rsid w:val="003172A7"/>
    <w:rsid w:val="00321CAD"/>
    <w:rsid w:val="0032202C"/>
    <w:rsid w:val="003225B6"/>
    <w:rsid w:val="00322971"/>
    <w:rsid w:val="003229D0"/>
    <w:rsid w:val="00322A86"/>
    <w:rsid w:val="003232EE"/>
    <w:rsid w:val="00323FF4"/>
    <w:rsid w:val="00325963"/>
    <w:rsid w:val="003263FC"/>
    <w:rsid w:val="00326B7D"/>
    <w:rsid w:val="00327356"/>
    <w:rsid w:val="003273AD"/>
    <w:rsid w:val="003300FC"/>
    <w:rsid w:val="003312A8"/>
    <w:rsid w:val="00331313"/>
    <w:rsid w:val="00331EC8"/>
    <w:rsid w:val="00333DB0"/>
    <w:rsid w:val="003344B7"/>
    <w:rsid w:val="00334682"/>
    <w:rsid w:val="00334D3E"/>
    <w:rsid w:val="0033531E"/>
    <w:rsid w:val="00336F78"/>
    <w:rsid w:val="0033771D"/>
    <w:rsid w:val="00337C8D"/>
    <w:rsid w:val="00340016"/>
    <w:rsid w:val="00341455"/>
    <w:rsid w:val="003415F1"/>
    <w:rsid w:val="00341757"/>
    <w:rsid w:val="00342801"/>
    <w:rsid w:val="00342CC0"/>
    <w:rsid w:val="003449A8"/>
    <w:rsid w:val="0034504B"/>
    <w:rsid w:val="003453CA"/>
    <w:rsid w:val="00346429"/>
    <w:rsid w:val="00347422"/>
    <w:rsid w:val="00347CDA"/>
    <w:rsid w:val="00347EAD"/>
    <w:rsid w:val="00350B5C"/>
    <w:rsid w:val="00350F11"/>
    <w:rsid w:val="0035188B"/>
    <w:rsid w:val="003537E8"/>
    <w:rsid w:val="003539BF"/>
    <w:rsid w:val="00354A14"/>
    <w:rsid w:val="003563B5"/>
    <w:rsid w:val="003564A2"/>
    <w:rsid w:val="00356D81"/>
    <w:rsid w:val="00357137"/>
    <w:rsid w:val="00357450"/>
    <w:rsid w:val="003575BC"/>
    <w:rsid w:val="003576C1"/>
    <w:rsid w:val="0035799A"/>
    <w:rsid w:val="00361C10"/>
    <w:rsid w:val="003622D6"/>
    <w:rsid w:val="00362DFB"/>
    <w:rsid w:val="003632EE"/>
    <w:rsid w:val="00363C6D"/>
    <w:rsid w:val="00365579"/>
    <w:rsid w:val="00366275"/>
    <w:rsid w:val="00366F60"/>
    <w:rsid w:val="0037098C"/>
    <w:rsid w:val="003714AE"/>
    <w:rsid w:val="00371CEB"/>
    <w:rsid w:val="00372B8C"/>
    <w:rsid w:val="00373033"/>
    <w:rsid w:val="00373866"/>
    <w:rsid w:val="003740F4"/>
    <w:rsid w:val="003748B6"/>
    <w:rsid w:val="00376ED0"/>
    <w:rsid w:val="00376F22"/>
    <w:rsid w:val="003776A1"/>
    <w:rsid w:val="0038034C"/>
    <w:rsid w:val="0038068F"/>
    <w:rsid w:val="00381B25"/>
    <w:rsid w:val="00381C7C"/>
    <w:rsid w:val="00382917"/>
    <w:rsid w:val="00382C9F"/>
    <w:rsid w:val="0038349C"/>
    <w:rsid w:val="003835A8"/>
    <w:rsid w:val="003839BE"/>
    <w:rsid w:val="003847B8"/>
    <w:rsid w:val="0038491F"/>
    <w:rsid w:val="0038502B"/>
    <w:rsid w:val="003863D6"/>
    <w:rsid w:val="003873B9"/>
    <w:rsid w:val="00387B97"/>
    <w:rsid w:val="003908F6"/>
    <w:rsid w:val="00390B63"/>
    <w:rsid w:val="003921BF"/>
    <w:rsid w:val="003935C5"/>
    <w:rsid w:val="00393CA3"/>
    <w:rsid w:val="003950B2"/>
    <w:rsid w:val="00395441"/>
    <w:rsid w:val="003956C6"/>
    <w:rsid w:val="0039574C"/>
    <w:rsid w:val="00396FAD"/>
    <w:rsid w:val="003978AD"/>
    <w:rsid w:val="003A000F"/>
    <w:rsid w:val="003A0019"/>
    <w:rsid w:val="003A03A7"/>
    <w:rsid w:val="003A065B"/>
    <w:rsid w:val="003A16D8"/>
    <w:rsid w:val="003A346C"/>
    <w:rsid w:val="003A3AED"/>
    <w:rsid w:val="003A4182"/>
    <w:rsid w:val="003A593A"/>
    <w:rsid w:val="003A6867"/>
    <w:rsid w:val="003A6880"/>
    <w:rsid w:val="003A7AFC"/>
    <w:rsid w:val="003B1A54"/>
    <w:rsid w:val="003B1BFE"/>
    <w:rsid w:val="003B35C2"/>
    <w:rsid w:val="003B40DF"/>
    <w:rsid w:val="003B43B9"/>
    <w:rsid w:val="003B50A2"/>
    <w:rsid w:val="003B5A79"/>
    <w:rsid w:val="003B66AC"/>
    <w:rsid w:val="003B7EAE"/>
    <w:rsid w:val="003C0530"/>
    <w:rsid w:val="003C0812"/>
    <w:rsid w:val="003C2E74"/>
    <w:rsid w:val="003C36BE"/>
    <w:rsid w:val="003C3AC2"/>
    <w:rsid w:val="003C3FE7"/>
    <w:rsid w:val="003C421C"/>
    <w:rsid w:val="003C4AAD"/>
    <w:rsid w:val="003C615D"/>
    <w:rsid w:val="003C63D6"/>
    <w:rsid w:val="003C63F0"/>
    <w:rsid w:val="003C77B4"/>
    <w:rsid w:val="003D011E"/>
    <w:rsid w:val="003D2C20"/>
    <w:rsid w:val="003D5206"/>
    <w:rsid w:val="003D5674"/>
    <w:rsid w:val="003D56D6"/>
    <w:rsid w:val="003D5CD9"/>
    <w:rsid w:val="003D66F3"/>
    <w:rsid w:val="003D7503"/>
    <w:rsid w:val="003D7720"/>
    <w:rsid w:val="003D7B17"/>
    <w:rsid w:val="003E00E0"/>
    <w:rsid w:val="003E1D3E"/>
    <w:rsid w:val="003E25BE"/>
    <w:rsid w:val="003E28A3"/>
    <w:rsid w:val="003E2AEE"/>
    <w:rsid w:val="003E38B6"/>
    <w:rsid w:val="003E5158"/>
    <w:rsid w:val="003E5DFA"/>
    <w:rsid w:val="003E6473"/>
    <w:rsid w:val="003E68A4"/>
    <w:rsid w:val="003F0ED8"/>
    <w:rsid w:val="003F0F46"/>
    <w:rsid w:val="003F2172"/>
    <w:rsid w:val="003F2DF2"/>
    <w:rsid w:val="003F5304"/>
    <w:rsid w:val="003F7676"/>
    <w:rsid w:val="0040044F"/>
    <w:rsid w:val="00400473"/>
    <w:rsid w:val="0040087E"/>
    <w:rsid w:val="00401279"/>
    <w:rsid w:val="004020D3"/>
    <w:rsid w:val="004027D2"/>
    <w:rsid w:val="00402B18"/>
    <w:rsid w:val="00403DC6"/>
    <w:rsid w:val="00405BBE"/>
    <w:rsid w:val="0040706B"/>
    <w:rsid w:val="0040745F"/>
    <w:rsid w:val="00411173"/>
    <w:rsid w:val="00413294"/>
    <w:rsid w:val="004147BD"/>
    <w:rsid w:val="00416428"/>
    <w:rsid w:val="00416A45"/>
    <w:rsid w:val="00417066"/>
    <w:rsid w:val="00417A02"/>
    <w:rsid w:val="00417D4E"/>
    <w:rsid w:val="00417F62"/>
    <w:rsid w:val="00417F6B"/>
    <w:rsid w:val="00420DC2"/>
    <w:rsid w:val="004217DF"/>
    <w:rsid w:val="0042203C"/>
    <w:rsid w:val="00422497"/>
    <w:rsid w:val="00422CF6"/>
    <w:rsid w:val="004232AA"/>
    <w:rsid w:val="004256E0"/>
    <w:rsid w:val="00425CB9"/>
    <w:rsid w:val="00426E33"/>
    <w:rsid w:val="00431152"/>
    <w:rsid w:val="00431486"/>
    <w:rsid w:val="004318DD"/>
    <w:rsid w:val="004333A5"/>
    <w:rsid w:val="00434D16"/>
    <w:rsid w:val="00437000"/>
    <w:rsid w:val="004377AB"/>
    <w:rsid w:val="00437BC7"/>
    <w:rsid w:val="00440D24"/>
    <w:rsid w:val="00441A01"/>
    <w:rsid w:val="0044241A"/>
    <w:rsid w:val="004435B9"/>
    <w:rsid w:val="00444073"/>
    <w:rsid w:val="00444645"/>
    <w:rsid w:val="0044467C"/>
    <w:rsid w:val="00444A96"/>
    <w:rsid w:val="004454AA"/>
    <w:rsid w:val="00445A8E"/>
    <w:rsid w:val="00445E9E"/>
    <w:rsid w:val="004469AA"/>
    <w:rsid w:val="00446FF0"/>
    <w:rsid w:val="00447801"/>
    <w:rsid w:val="00450C4F"/>
    <w:rsid w:val="0045115A"/>
    <w:rsid w:val="004518BE"/>
    <w:rsid w:val="00451B36"/>
    <w:rsid w:val="00452384"/>
    <w:rsid w:val="00456D96"/>
    <w:rsid w:val="00457BA6"/>
    <w:rsid w:val="00460062"/>
    <w:rsid w:val="00460903"/>
    <w:rsid w:val="00461E36"/>
    <w:rsid w:val="00462217"/>
    <w:rsid w:val="00462E14"/>
    <w:rsid w:val="00462EC3"/>
    <w:rsid w:val="004635CD"/>
    <w:rsid w:val="004641C2"/>
    <w:rsid w:val="004648A1"/>
    <w:rsid w:val="0046551C"/>
    <w:rsid w:val="00466556"/>
    <w:rsid w:val="0046690F"/>
    <w:rsid w:val="004669B2"/>
    <w:rsid w:val="00467AF5"/>
    <w:rsid w:val="00467CE9"/>
    <w:rsid w:val="004708D0"/>
    <w:rsid w:val="004715DE"/>
    <w:rsid w:val="004716A6"/>
    <w:rsid w:val="004717DE"/>
    <w:rsid w:val="00471971"/>
    <w:rsid w:val="00471D64"/>
    <w:rsid w:val="00474C2C"/>
    <w:rsid w:val="00476470"/>
    <w:rsid w:val="00476499"/>
    <w:rsid w:val="00476726"/>
    <w:rsid w:val="004775F0"/>
    <w:rsid w:val="004779A1"/>
    <w:rsid w:val="0048059F"/>
    <w:rsid w:val="0048112A"/>
    <w:rsid w:val="004812D5"/>
    <w:rsid w:val="00481488"/>
    <w:rsid w:val="00483282"/>
    <w:rsid w:val="004835A5"/>
    <w:rsid w:val="0048539D"/>
    <w:rsid w:val="004858CD"/>
    <w:rsid w:val="00485D9B"/>
    <w:rsid w:val="00486434"/>
    <w:rsid w:val="00486902"/>
    <w:rsid w:val="004873E3"/>
    <w:rsid w:val="00487D4C"/>
    <w:rsid w:val="00487EFA"/>
    <w:rsid w:val="0049057B"/>
    <w:rsid w:val="00490622"/>
    <w:rsid w:val="00490660"/>
    <w:rsid w:val="00491054"/>
    <w:rsid w:val="00491788"/>
    <w:rsid w:val="00491D2F"/>
    <w:rsid w:val="00492BE7"/>
    <w:rsid w:val="004934D8"/>
    <w:rsid w:val="00493E9E"/>
    <w:rsid w:val="00494235"/>
    <w:rsid w:val="00494C9E"/>
    <w:rsid w:val="00495463"/>
    <w:rsid w:val="00495C86"/>
    <w:rsid w:val="004965FE"/>
    <w:rsid w:val="004967E8"/>
    <w:rsid w:val="00497625"/>
    <w:rsid w:val="00497775"/>
    <w:rsid w:val="00497CF4"/>
    <w:rsid w:val="004A00FB"/>
    <w:rsid w:val="004A0766"/>
    <w:rsid w:val="004A0C56"/>
    <w:rsid w:val="004A1DDA"/>
    <w:rsid w:val="004A4161"/>
    <w:rsid w:val="004A4483"/>
    <w:rsid w:val="004A4570"/>
    <w:rsid w:val="004A5AC5"/>
    <w:rsid w:val="004A61A4"/>
    <w:rsid w:val="004A6389"/>
    <w:rsid w:val="004A6DDB"/>
    <w:rsid w:val="004A724F"/>
    <w:rsid w:val="004B0EEB"/>
    <w:rsid w:val="004B25E7"/>
    <w:rsid w:val="004B42FB"/>
    <w:rsid w:val="004B62E6"/>
    <w:rsid w:val="004C01E8"/>
    <w:rsid w:val="004C1DB1"/>
    <w:rsid w:val="004C2BB7"/>
    <w:rsid w:val="004C3273"/>
    <w:rsid w:val="004C3CED"/>
    <w:rsid w:val="004C3DBE"/>
    <w:rsid w:val="004C4506"/>
    <w:rsid w:val="004C49DA"/>
    <w:rsid w:val="004C548B"/>
    <w:rsid w:val="004C5DF6"/>
    <w:rsid w:val="004C6490"/>
    <w:rsid w:val="004C661A"/>
    <w:rsid w:val="004C6772"/>
    <w:rsid w:val="004C6B0D"/>
    <w:rsid w:val="004C7A1A"/>
    <w:rsid w:val="004D0283"/>
    <w:rsid w:val="004D12BA"/>
    <w:rsid w:val="004D204B"/>
    <w:rsid w:val="004D2EBB"/>
    <w:rsid w:val="004D30BC"/>
    <w:rsid w:val="004D3630"/>
    <w:rsid w:val="004D4B51"/>
    <w:rsid w:val="004D59B1"/>
    <w:rsid w:val="004D7B90"/>
    <w:rsid w:val="004D7EFE"/>
    <w:rsid w:val="004E1E52"/>
    <w:rsid w:val="004E5346"/>
    <w:rsid w:val="004E5D26"/>
    <w:rsid w:val="004E5DE5"/>
    <w:rsid w:val="004E6693"/>
    <w:rsid w:val="004E729A"/>
    <w:rsid w:val="004F0140"/>
    <w:rsid w:val="004F2395"/>
    <w:rsid w:val="004F296A"/>
    <w:rsid w:val="004F3336"/>
    <w:rsid w:val="004F40E5"/>
    <w:rsid w:val="004F4397"/>
    <w:rsid w:val="004F5BB7"/>
    <w:rsid w:val="004F6700"/>
    <w:rsid w:val="004F69C0"/>
    <w:rsid w:val="004F6CA8"/>
    <w:rsid w:val="004F6D95"/>
    <w:rsid w:val="004F7AB1"/>
    <w:rsid w:val="004F7C67"/>
    <w:rsid w:val="005011EF"/>
    <w:rsid w:val="005013F4"/>
    <w:rsid w:val="005026A0"/>
    <w:rsid w:val="0050290C"/>
    <w:rsid w:val="00502CC1"/>
    <w:rsid w:val="00503A16"/>
    <w:rsid w:val="00504D6B"/>
    <w:rsid w:val="00506020"/>
    <w:rsid w:val="0050726F"/>
    <w:rsid w:val="005112B3"/>
    <w:rsid w:val="00511410"/>
    <w:rsid w:val="00511D84"/>
    <w:rsid w:val="00512071"/>
    <w:rsid w:val="0051239A"/>
    <w:rsid w:val="005132E7"/>
    <w:rsid w:val="00513E53"/>
    <w:rsid w:val="00514735"/>
    <w:rsid w:val="00514901"/>
    <w:rsid w:val="0051522C"/>
    <w:rsid w:val="00517FF9"/>
    <w:rsid w:val="005216E5"/>
    <w:rsid w:val="00522164"/>
    <w:rsid w:val="0052248B"/>
    <w:rsid w:val="0052288F"/>
    <w:rsid w:val="00522F7B"/>
    <w:rsid w:val="00523EE1"/>
    <w:rsid w:val="00524BBA"/>
    <w:rsid w:val="00525315"/>
    <w:rsid w:val="005257E7"/>
    <w:rsid w:val="00530D97"/>
    <w:rsid w:val="0053147C"/>
    <w:rsid w:val="005314B6"/>
    <w:rsid w:val="00531DC4"/>
    <w:rsid w:val="00532208"/>
    <w:rsid w:val="00532F86"/>
    <w:rsid w:val="00533371"/>
    <w:rsid w:val="00533C96"/>
    <w:rsid w:val="00534762"/>
    <w:rsid w:val="00535734"/>
    <w:rsid w:val="0053621A"/>
    <w:rsid w:val="00536B30"/>
    <w:rsid w:val="00536BFC"/>
    <w:rsid w:val="00536FFA"/>
    <w:rsid w:val="00540090"/>
    <w:rsid w:val="00540B01"/>
    <w:rsid w:val="00541B31"/>
    <w:rsid w:val="005423A5"/>
    <w:rsid w:val="005435B2"/>
    <w:rsid w:val="005443C6"/>
    <w:rsid w:val="0054755C"/>
    <w:rsid w:val="0054794B"/>
    <w:rsid w:val="00547AC2"/>
    <w:rsid w:val="0055094F"/>
    <w:rsid w:val="005510BA"/>
    <w:rsid w:val="00551EB6"/>
    <w:rsid w:val="005527FC"/>
    <w:rsid w:val="005538B1"/>
    <w:rsid w:val="00554BCD"/>
    <w:rsid w:val="00555457"/>
    <w:rsid w:val="00555655"/>
    <w:rsid w:val="005565B1"/>
    <w:rsid w:val="00557044"/>
    <w:rsid w:val="00557A16"/>
    <w:rsid w:val="00561B28"/>
    <w:rsid w:val="00561BA6"/>
    <w:rsid w:val="00562363"/>
    <w:rsid w:val="00563747"/>
    <w:rsid w:val="00563998"/>
    <w:rsid w:val="00563CF5"/>
    <w:rsid w:val="005645EF"/>
    <w:rsid w:val="00564D33"/>
    <w:rsid w:val="00565C68"/>
    <w:rsid w:val="00566674"/>
    <w:rsid w:val="00566D5D"/>
    <w:rsid w:val="005678E1"/>
    <w:rsid w:val="005700E0"/>
    <w:rsid w:val="00570A14"/>
    <w:rsid w:val="00571498"/>
    <w:rsid w:val="005715CF"/>
    <w:rsid w:val="00572673"/>
    <w:rsid w:val="00572C40"/>
    <w:rsid w:val="005730EE"/>
    <w:rsid w:val="00575597"/>
    <w:rsid w:val="005757B2"/>
    <w:rsid w:val="005768AF"/>
    <w:rsid w:val="00576BA0"/>
    <w:rsid w:val="005804CE"/>
    <w:rsid w:val="005804D5"/>
    <w:rsid w:val="00581903"/>
    <w:rsid w:val="00582DDC"/>
    <w:rsid w:val="005835DA"/>
    <w:rsid w:val="00583E57"/>
    <w:rsid w:val="005848F0"/>
    <w:rsid w:val="0058665B"/>
    <w:rsid w:val="00587C40"/>
    <w:rsid w:val="00591961"/>
    <w:rsid w:val="00591E27"/>
    <w:rsid w:val="005922C3"/>
    <w:rsid w:val="00592506"/>
    <w:rsid w:val="00592D6D"/>
    <w:rsid w:val="00594564"/>
    <w:rsid w:val="00594BE0"/>
    <w:rsid w:val="00597CC6"/>
    <w:rsid w:val="005A2887"/>
    <w:rsid w:val="005A308A"/>
    <w:rsid w:val="005A30BF"/>
    <w:rsid w:val="005A30CD"/>
    <w:rsid w:val="005A390E"/>
    <w:rsid w:val="005A3B2C"/>
    <w:rsid w:val="005A3E06"/>
    <w:rsid w:val="005A5D83"/>
    <w:rsid w:val="005A62BC"/>
    <w:rsid w:val="005A669A"/>
    <w:rsid w:val="005A6773"/>
    <w:rsid w:val="005A7907"/>
    <w:rsid w:val="005B0D2B"/>
    <w:rsid w:val="005B120F"/>
    <w:rsid w:val="005B3578"/>
    <w:rsid w:val="005B4146"/>
    <w:rsid w:val="005B4A5D"/>
    <w:rsid w:val="005B5ACA"/>
    <w:rsid w:val="005B675F"/>
    <w:rsid w:val="005B7125"/>
    <w:rsid w:val="005C012A"/>
    <w:rsid w:val="005C12F8"/>
    <w:rsid w:val="005C1908"/>
    <w:rsid w:val="005C25B0"/>
    <w:rsid w:val="005C44A1"/>
    <w:rsid w:val="005C4E62"/>
    <w:rsid w:val="005C562B"/>
    <w:rsid w:val="005C63B9"/>
    <w:rsid w:val="005C6C52"/>
    <w:rsid w:val="005D3A2E"/>
    <w:rsid w:val="005D3AAC"/>
    <w:rsid w:val="005D3BFD"/>
    <w:rsid w:val="005D3F56"/>
    <w:rsid w:val="005D4E7E"/>
    <w:rsid w:val="005D59E1"/>
    <w:rsid w:val="005D5C3E"/>
    <w:rsid w:val="005D60F3"/>
    <w:rsid w:val="005D69DF"/>
    <w:rsid w:val="005D69FB"/>
    <w:rsid w:val="005D6AD8"/>
    <w:rsid w:val="005D70FF"/>
    <w:rsid w:val="005E14CA"/>
    <w:rsid w:val="005E19FE"/>
    <w:rsid w:val="005E2364"/>
    <w:rsid w:val="005E32A9"/>
    <w:rsid w:val="005E4AEA"/>
    <w:rsid w:val="005E57A2"/>
    <w:rsid w:val="005E603B"/>
    <w:rsid w:val="005E654D"/>
    <w:rsid w:val="005E668F"/>
    <w:rsid w:val="005E6721"/>
    <w:rsid w:val="005E7394"/>
    <w:rsid w:val="005F1621"/>
    <w:rsid w:val="005F5048"/>
    <w:rsid w:val="005F5741"/>
    <w:rsid w:val="005F57DF"/>
    <w:rsid w:val="00601C1B"/>
    <w:rsid w:val="0060244F"/>
    <w:rsid w:val="00602CC7"/>
    <w:rsid w:val="00603D33"/>
    <w:rsid w:val="00603FA8"/>
    <w:rsid w:val="00604428"/>
    <w:rsid w:val="00605B90"/>
    <w:rsid w:val="00606010"/>
    <w:rsid w:val="00606BF9"/>
    <w:rsid w:val="00606EEF"/>
    <w:rsid w:val="006074F3"/>
    <w:rsid w:val="006110FE"/>
    <w:rsid w:val="00614DEF"/>
    <w:rsid w:val="00617005"/>
    <w:rsid w:val="00617596"/>
    <w:rsid w:val="00621A76"/>
    <w:rsid w:val="006226F0"/>
    <w:rsid w:val="006231D5"/>
    <w:rsid w:val="00623B9B"/>
    <w:rsid w:val="00623EEA"/>
    <w:rsid w:val="006255BF"/>
    <w:rsid w:val="00625600"/>
    <w:rsid w:val="00627E46"/>
    <w:rsid w:val="00630726"/>
    <w:rsid w:val="00631A9B"/>
    <w:rsid w:val="006323C4"/>
    <w:rsid w:val="006328D9"/>
    <w:rsid w:val="00632AFF"/>
    <w:rsid w:val="00633704"/>
    <w:rsid w:val="00633FD6"/>
    <w:rsid w:val="00634343"/>
    <w:rsid w:val="006354C5"/>
    <w:rsid w:val="00635A56"/>
    <w:rsid w:val="00636E2A"/>
    <w:rsid w:val="00637408"/>
    <w:rsid w:val="006429E9"/>
    <w:rsid w:val="00642ED0"/>
    <w:rsid w:val="006430F2"/>
    <w:rsid w:val="0064334F"/>
    <w:rsid w:val="00643E70"/>
    <w:rsid w:val="0064409C"/>
    <w:rsid w:val="00644852"/>
    <w:rsid w:val="00645FD2"/>
    <w:rsid w:val="006478D9"/>
    <w:rsid w:val="0064794E"/>
    <w:rsid w:val="006507BF"/>
    <w:rsid w:val="00650F9F"/>
    <w:rsid w:val="00652A0B"/>
    <w:rsid w:val="00652BAD"/>
    <w:rsid w:val="00654AFD"/>
    <w:rsid w:val="00655259"/>
    <w:rsid w:val="00655BB0"/>
    <w:rsid w:val="00656C59"/>
    <w:rsid w:val="00656EDB"/>
    <w:rsid w:val="006603BF"/>
    <w:rsid w:val="00660FBE"/>
    <w:rsid w:val="00661441"/>
    <w:rsid w:val="006640E0"/>
    <w:rsid w:val="0066625C"/>
    <w:rsid w:val="00670341"/>
    <w:rsid w:val="00670BCB"/>
    <w:rsid w:val="00671ACF"/>
    <w:rsid w:val="006735FA"/>
    <w:rsid w:val="00673F90"/>
    <w:rsid w:val="00674AD5"/>
    <w:rsid w:val="006752C8"/>
    <w:rsid w:val="00676007"/>
    <w:rsid w:val="006760B5"/>
    <w:rsid w:val="00676643"/>
    <w:rsid w:val="00677380"/>
    <w:rsid w:val="006773EE"/>
    <w:rsid w:val="00680507"/>
    <w:rsid w:val="00682DBD"/>
    <w:rsid w:val="00682ECE"/>
    <w:rsid w:val="0068397C"/>
    <w:rsid w:val="006853EF"/>
    <w:rsid w:val="00686067"/>
    <w:rsid w:val="0068719A"/>
    <w:rsid w:val="00687E5C"/>
    <w:rsid w:val="00690BB5"/>
    <w:rsid w:val="006914A8"/>
    <w:rsid w:val="00692089"/>
    <w:rsid w:val="00692C90"/>
    <w:rsid w:val="00692FFF"/>
    <w:rsid w:val="0069324F"/>
    <w:rsid w:val="00693609"/>
    <w:rsid w:val="00693CAE"/>
    <w:rsid w:val="00693D79"/>
    <w:rsid w:val="00694548"/>
    <w:rsid w:val="0069789A"/>
    <w:rsid w:val="00697ED4"/>
    <w:rsid w:val="006A04A4"/>
    <w:rsid w:val="006A161F"/>
    <w:rsid w:val="006A20B9"/>
    <w:rsid w:val="006A24E3"/>
    <w:rsid w:val="006A299F"/>
    <w:rsid w:val="006A3EC0"/>
    <w:rsid w:val="006A5FF2"/>
    <w:rsid w:val="006A64C1"/>
    <w:rsid w:val="006A69F4"/>
    <w:rsid w:val="006B00DD"/>
    <w:rsid w:val="006B025A"/>
    <w:rsid w:val="006B14A7"/>
    <w:rsid w:val="006B2C33"/>
    <w:rsid w:val="006B4043"/>
    <w:rsid w:val="006B40CD"/>
    <w:rsid w:val="006B43E8"/>
    <w:rsid w:val="006B63BF"/>
    <w:rsid w:val="006B6BBB"/>
    <w:rsid w:val="006C07CE"/>
    <w:rsid w:val="006C09CB"/>
    <w:rsid w:val="006C0B5A"/>
    <w:rsid w:val="006C1B3D"/>
    <w:rsid w:val="006C5D3F"/>
    <w:rsid w:val="006C6904"/>
    <w:rsid w:val="006C70DB"/>
    <w:rsid w:val="006C7348"/>
    <w:rsid w:val="006C763B"/>
    <w:rsid w:val="006D0DFD"/>
    <w:rsid w:val="006D2D57"/>
    <w:rsid w:val="006D2EB8"/>
    <w:rsid w:val="006D3765"/>
    <w:rsid w:val="006D378D"/>
    <w:rsid w:val="006D3C7E"/>
    <w:rsid w:val="006D4076"/>
    <w:rsid w:val="006D4103"/>
    <w:rsid w:val="006D5AE7"/>
    <w:rsid w:val="006D60A4"/>
    <w:rsid w:val="006D699F"/>
    <w:rsid w:val="006D6C3E"/>
    <w:rsid w:val="006D6F41"/>
    <w:rsid w:val="006D7946"/>
    <w:rsid w:val="006D7A0E"/>
    <w:rsid w:val="006E1B3F"/>
    <w:rsid w:val="006E21A8"/>
    <w:rsid w:val="006E3E74"/>
    <w:rsid w:val="006E6267"/>
    <w:rsid w:val="006E6EF8"/>
    <w:rsid w:val="006E775E"/>
    <w:rsid w:val="006E7965"/>
    <w:rsid w:val="006F08A4"/>
    <w:rsid w:val="006F1001"/>
    <w:rsid w:val="006F10B6"/>
    <w:rsid w:val="006F1DA8"/>
    <w:rsid w:val="006F28C3"/>
    <w:rsid w:val="006F291B"/>
    <w:rsid w:val="006F3693"/>
    <w:rsid w:val="006F40A5"/>
    <w:rsid w:val="006F4811"/>
    <w:rsid w:val="006F48CF"/>
    <w:rsid w:val="006F5E89"/>
    <w:rsid w:val="006F668D"/>
    <w:rsid w:val="006F76C4"/>
    <w:rsid w:val="0070077D"/>
    <w:rsid w:val="007011E2"/>
    <w:rsid w:val="00702EBF"/>
    <w:rsid w:val="00703464"/>
    <w:rsid w:val="0070347D"/>
    <w:rsid w:val="00703631"/>
    <w:rsid w:val="007039EF"/>
    <w:rsid w:val="00704095"/>
    <w:rsid w:val="00705B80"/>
    <w:rsid w:val="00705FD3"/>
    <w:rsid w:val="00707302"/>
    <w:rsid w:val="007118E7"/>
    <w:rsid w:val="00711953"/>
    <w:rsid w:val="00712206"/>
    <w:rsid w:val="00712699"/>
    <w:rsid w:val="00713FBB"/>
    <w:rsid w:val="0071424E"/>
    <w:rsid w:val="00714992"/>
    <w:rsid w:val="00714E34"/>
    <w:rsid w:val="00715BE2"/>
    <w:rsid w:val="0071748E"/>
    <w:rsid w:val="00717549"/>
    <w:rsid w:val="00720A48"/>
    <w:rsid w:val="007214CE"/>
    <w:rsid w:val="00722456"/>
    <w:rsid w:val="007228BF"/>
    <w:rsid w:val="00722914"/>
    <w:rsid w:val="00724244"/>
    <w:rsid w:val="00725336"/>
    <w:rsid w:val="0072763F"/>
    <w:rsid w:val="00730193"/>
    <w:rsid w:val="00730EFC"/>
    <w:rsid w:val="00732D61"/>
    <w:rsid w:val="0073490C"/>
    <w:rsid w:val="00734DD6"/>
    <w:rsid w:val="00735571"/>
    <w:rsid w:val="0073561F"/>
    <w:rsid w:val="00736AFF"/>
    <w:rsid w:val="00737757"/>
    <w:rsid w:val="00737970"/>
    <w:rsid w:val="00737B37"/>
    <w:rsid w:val="007414BC"/>
    <w:rsid w:val="00741B76"/>
    <w:rsid w:val="00742FAF"/>
    <w:rsid w:val="007439BE"/>
    <w:rsid w:val="00744B2C"/>
    <w:rsid w:val="00747661"/>
    <w:rsid w:val="0075036C"/>
    <w:rsid w:val="00751390"/>
    <w:rsid w:val="00753BB3"/>
    <w:rsid w:val="00754C34"/>
    <w:rsid w:val="007559FE"/>
    <w:rsid w:val="0075603E"/>
    <w:rsid w:val="00756B2F"/>
    <w:rsid w:val="00757E92"/>
    <w:rsid w:val="0076149B"/>
    <w:rsid w:val="00762826"/>
    <w:rsid w:val="00763B25"/>
    <w:rsid w:val="00763D95"/>
    <w:rsid w:val="00764498"/>
    <w:rsid w:val="0076528D"/>
    <w:rsid w:val="00765FC0"/>
    <w:rsid w:val="00770022"/>
    <w:rsid w:val="0077242A"/>
    <w:rsid w:val="007741C5"/>
    <w:rsid w:val="0077432F"/>
    <w:rsid w:val="00776978"/>
    <w:rsid w:val="00776C86"/>
    <w:rsid w:val="00776F8C"/>
    <w:rsid w:val="00777996"/>
    <w:rsid w:val="00777B88"/>
    <w:rsid w:val="007804DB"/>
    <w:rsid w:val="00781693"/>
    <w:rsid w:val="007818A1"/>
    <w:rsid w:val="00781F54"/>
    <w:rsid w:val="0078267B"/>
    <w:rsid w:val="00782A7C"/>
    <w:rsid w:val="00785960"/>
    <w:rsid w:val="00785C21"/>
    <w:rsid w:val="00786113"/>
    <w:rsid w:val="00786B3A"/>
    <w:rsid w:val="00786DF2"/>
    <w:rsid w:val="00786EFD"/>
    <w:rsid w:val="0078792C"/>
    <w:rsid w:val="00791507"/>
    <w:rsid w:val="00793003"/>
    <w:rsid w:val="0079351B"/>
    <w:rsid w:val="007941B2"/>
    <w:rsid w:val="00794E69"/>
    <w:rsid w:val="00795A69"/>
    <w:rsid w:val="00795FB7"/>
    <w:rsid w:val="0079625E"/>
    <w:rsid w:val="007A0322"/>
    <w:rsid w:val="007A14CE"/>
    <w:rsid w:val="007A1790"/>
    <w:rsid w:val="007A17DA"/>
    <w:rsid w:val="007A3025"/>
    <w:rsid w:val="007A3873"/>
    <w:rsid w:val="007A4073"/>
    <w:rsid w:val="007A4E83"/>
    <w:rsid w:val="007A58CB"/>
    <w:rsid w:val="007A5B27"/>
    <w:rsid w:val="007A625F"/>
    <w:rsid w:val="007A6662"/>
    <w:rsid w:val="007A6A06"/>
    <w:rsid w:val="007A7979"/>
    <w:rsid w:val="007B0195"/>
    <w:rsid w:val="007B047B"/>
    <w:rsid w:val="007B1F94"/>
    <w:rsid w:val="007B21C1"/>
    <w:rsid w:val="007B2AC3"/>
    <w:rsid w:val="007B2FD2"/>
    <w:rsid w:val="007B3CE0"/>
    <w:rsid w:val="007B40A8"/>
    <w:rsid w:val="007B5DAF"/>
    <w:rsid w:val="007C0DAB"/>
    <w:rsid w:val="007C3109"/>
    <w:rsid w:val="007C334E"/>
    <w:rsid w:val="007C3B2B"/>
    <w:rsid w:val="007C3D5D"/>
    <w:rsid w:val="007C4930"/>
    <w:rsid w:val="007C496E"/>
    <w:rsid w:val="007C4D48"/>
    <w:rsid w:val="007C574C"/>
    <w:rsid w:val="007C6079"/>
    <w:rsid w:val="007C6891"/>
    <w:rsid w:val="007C6A8E"/>
    <w:rsid w:val="007D09AB"/>
    <w:rsid w:val="007D10E1"/>
    <w:rsid w:val="007D1BC6"/>
    <w:rsid w:val="007D2BE6"/>
    <w:rsid w:val="007D2D6B"/>
    <w:rsid w:val="007D3A05"/>
    <w:rsid w:val="007D3FED"/>
    <w:rsid w:val="007D4BA8"/>
    <w:rsid w:val="007D4F78"/>
    <w:rsid w:val="007D7443"/>
    <w:rsid w:val="007D7AD5"/>
    <w:rsid w:val="007E0627"/>
    <w:rsid w:val="007E0D27"/>
    <w:rsid w:val="007E1108"/>
    <w:rsid w:val="007E2EDC"/>
    <w:rsid w:val="007E38BA"/>
    <w:rsid w:val="007E3CEF"/>
    <w:rsid w:val="007E4DCE"/>
    <w:rsid w:val="007E50DD"/>
    <w:rsid w:val="007E5204"/>
    <w:rsid w:val="007E54FD"/>
    <w:rsid w:val="007E6158"/>
    <w:rsid w:val="007E622A"/>
    <w:rsid w:val="007E6295"/>
    <w:rsid w:val="007E64F9"/>
    <w:rsid w:val="007F042D"/>
    <w:rsid w:val="007F077A"/>
    <w:rsid w:val="007F1399"/>
    <w:rsid w:val="007F1DC2"/>
    <w:rsid w:val="007F1F37"/>
    <w:rsid w:val="007F2331"/>
    <w:rsid w:val="007F2C2F"/>
    <w:rsid w:val="007F2E7D"/>
    <w:rsid w:val="007F2ECE"/>
    <w:rsid w:val="007F3684"/>
    <w:rsid w:val="007F3769"/>
    <w:rsid w:val="007F3A54"/>
    <w:rsid w:val="007F4385"/>
    <w:rsid w:val="007F73E2"/>
    <w:rsid w:val="007F77DE"/>
    <w:rsid w:val="00800067"/>
    <w:rsid w:val="008006C0"/>
    <w:rsid w:val="008011A2"/>
    <w:rsid w:val="00802CE8"/>
    <w:rsid w:val="0080356E"/>
    <w:rsid w:val="008044F5"/>
    <w:rsid w:val="008046DB"/>
    <w:rsid w:val="00804B98"/>
    <w:rsid w:val="008053E7"/>
    <w:rsid w:val="00805A37"/>
    <w:rsid w:val="00807305"/>
    <w:rsid w:val="00811263"/>
    <w:rsid w:val="00815B34"/>
    <w:rsid w:val="00816987"/>
    <w:rsid w:val="00817B0C"/>
    <w:rsid w:val="0082159A"/>
    <w:rsid w:val="00822AC6"/>
    <w:rsid w:val="00822E22"/>
    <w:rsid w:val="00822F3B"/>
    <w:rsid w:val="00823780"/>
    <w:rsid w:val="0082442D"/>
    <w:rsid w:val="008245D6"/>
    <w:rsid w:val="008247A2"/>
    <w:rsid w:val="00825371"/>
    <w:rsid w:val="00825692"/>
    <w:rsid w:val="00825F48"/>
    <w:rsid w:val="00827DE2"/>
    <w:rsid w:val="00831F44"/>
    <w:rsid w:val="008321B4"/>
    <w:rsid w:val="00833D2A"/>
    <w:rsid w:val="00834CC7"/>
    <w:rsid w:val="008362DE"/>
    <w:rsid w:val="00837064"/>
    <w:rsid w:val="00840141"/>
    <w:rsid w:val="00840A9A"/>
    <w:rsid w:val="008410FE"/>
    <w:rsid w:val="00841142"/>
    <w:rsid w:val="00841794"/>
    <w:rsid w:val="008426DD"/>
    <w:rsid w:val="00843309"/>
    <w:rsid w:val="00843394"/>
    <w:rsid w:val="00843979"/>
    <w:rsid w:val="00843C92"/>
    <w:rsid w:val="00843F54"/>
    <w:rsid w:val="00844334"/>
    <w:rsid w:val="00847DA9"/>
    <w:rsid w:val="00850383"/>
    <w:rsid w:val="00850BD9"/>
    <w:rsid w:val="00851122"/>
    <w:rsid w:val="008517C8"/>
    <w:rsid w:val="008522FE"/>
    <w:rsid w:val="008527F0"/>
    <w:rsid w:val="00852F80"/>
    <w:rsid w:val="0085389A"/>
    <w:rsid w:val="00853CDC"/>
    <w:rsid w:val="00855639"/>
    <w:rsid w:val="008560D3"/>
    <w:rsid w:val="00856C07"/>
    <w:rsid w:val="008574E5"/>
    <w:rsid w:val="008615A7"/>
    <w:rsid w:val="00861CFF"/>
    <w:rsid w:val="00863AA4"/>
    <w:rsid w:val="00863F13"/>
    <w:rsid w:val="00864209"/>
    <w:rsid w:val="00864227"/>
    <w:rsid w:val="00864CA9"/>
    <w:rsid w:val="00865617"/>
    <w:rsid w:val="00865DCC"/>
    <w:rsid w:val="00866687"/>
    <w:rsid w:val="008666AF"/>
    <w:rsid w:val="00866940"/>
    <w:rsid w:val="00866971"/>
    <w:rsid w:val="00866E0E"/>
    <w:rsid w:val="00870172"/>
    <w:rsid w:val="008701DD"/>
    <w:rsid w:val="008712B3"/>
    <w:rsid w:val="0087140A"/>
    <w:rsid w:val="00871570"/>
    <w:rsid w:val="0087186D"/>
    <w:rsid w:val="008736C1"/>
    <w:rsid w:val="00873914"/>
    <w:rsid w:val="0087436D"/>
    <w:rsid w:val="00874F9F"/>
    <w:rsid w:val="00875CF2"/>
    <w:rsid w:val="00876F11"/>
    <w:rsid w:val="00881789"/>
    <w:rsid w:val="00881AC3"/>
    <w:rsid w:val="00881B91"/>
    <w:rsid w:val="0088320D"/>
    <w:rsid w:val="00883D1A"/>
    <w:rsid w:val="0088571F"/>
    <w:rsid w:val="00886225"/>
    <w:rsid w:val="00886BE0"/>
    <w:rsid w:val="00887617"/>
    <w:rsid w:val="00887738"/>
    <w:rsid w:val="00890B44"/>
    <w:rsid w:val="00892705"/>
    <w:rsid w:val="00894014"/>
    <w:rsid w:val="008941C1"/>
    <w:rsid w:val="008948B0"/>
    <w:rsid w:val="00894966"/>
    <w:rsid w:val="00894B3F"/>
    <w:rsid w:val="0089559E"/>
    <w:rsid w:val="008977B8"/>
    <w:rsid w:val="008A0CD9"/>
    <w:rsid w:val="008A13AA"/>
    <w:rsid w:val="008A16A1"/>
    <w:rsid w:val="008A1E9D"/>
    <w:rsid w:val="008A2B46"/>
    <w:rsid w:val="008A34D2"/>
    <w:rsid w:val="008A3FAA"/>
    <w:rsid w:val="008A436F"/>
    <w:rsid w:val="008A4C62"/>
    <w:rsid w:val="008A6005"/>
    <w:rsid w:val="008B0853"/>
    <w:rsid w:val="008B1ED1"/>
    <w:rsid w:val="008B2071"/>
    <w:rsid w:val="008B2971"/>
    <w:rsid w:val="008B3583"/>
    <w:rsid w:val="008B3682"/>
    <w:rsid w:val="008B491A"/>
    <w:rsid w:val="008B56CE"/>
    <w:rsid w:val="008B6E07"/>
    <w:rsid w:val="008B6EF5"/>
    <w:rsid w:val="008B7C19"/>
    <w:rsid w:val="008B7E98"/>
    <w:rsid w:val="008C0DB6"/>
    <w:rsid w:val="008C13B1"/>
    <w:rsid w:val="008C192A"/>
    <w:rsid w:val="008C197B"/>
    <w:rsid w:val="008C1ED3"/>
    <w:rsid w:val="008C2186"/>
    <w:rsid w:val="008C260D"/>
    <w:rsid w:val="008C275F"/>
    <w:rsid w:val="008C35B0"/>
    <w:rsid w:val="008C4E45"/>
    <w:rsid w:val="008C5862"/>
    <w:rsid w:val="008C6350"/>
    <w:rsid w:val="008C639D"/>
    <w:rsid w:val="008D0D73"/>
    <w:rsid w:val="008D0DBA"/>
    <w:rsid w:val="008D1045"/>
    <w:rsid w:val="008D28BA"/>
    <w:rsid w:val="008D2D7B"/>
    <w:rsid w:val="008D30CF"/>
    <w:rsid w:val="008D7564"/>
    <w:rsid w:val="008D7654"/>
    <w:rsid w:val="008D7B09"/>
    <w:rsid w:val="008D7DDC"/>
    <w:rsid w:val="008D7E2E"/>
    <w:rsid w:val="008E03AB"/>
    <w:rsid w:val="008E0490"/>
    <w:rsid w:val="008E09B0"/>
    <w:rsid w:val="008E0E75"/>
    <w:rsid w:val="008E16C6"/>
    <w:rsid w:val="008E19F7"/>
    <w:rsid w:val="008E2679"/>
    <w:rsid w:val="008E2FAF"/>
    <w:rsid w:val="008E316F"/>
    <w:rsid w:val="008E56BA"/>
    <w:rsid w:val="008E67B8"/>
    <w:rsid w:val="008E6F32"/>
    <w:rsid w:val="008E7152"/>
    <w:rsid w:val="008E7177"/>
    <w:rsid w:val="008E71C1"/>
    <w:rsid w:val="008F0DAE"/>
    <w:rsid w:val="008F147A"/>
    <w:rsid w:val="008F3491"/>
    <w:rsid w:val="008F3B34"/>
    <w:rsid w:val="008F4527"/>
    <w:rsid w:val="008F63E3"/>
    <w:rsid w:val="008F7443"/>
    <w:rsid w:val="009001A3"/>
    <w:rsid w:val="00900479"/>
    <w:rsid w:val="00901491"/>
    <w:rsid w:val="009024DC"/>
    <w:rsid w:val="00903AE7"/>
    <w:rsid w:val="009043BC"/>
    <w:rsid w:val="009045A7"/>
    <w:rsid w:val="00904880"/>
    <w:rsid w:val="00907182"/>
    <w:rsid w:val="00907304"/>
    <w:rsid w:val="009108A5"/>
    <w:rsid w:val="00910A2A"/>
    <w:rsid w:val="009115E2"/>
    <w:rsid w:val="00911BDB"/>
    <w:rsid w:val="0091258A"/>
    <w:rsid w:val="009128CE"/>
    <w:rsid w:val="00913B14"/>
    <w:rsid w:val="009153C6"/>
    <w:rsid w:val="009163AC"/>
    <w:rsid w:val="00916D86"/>
    <w:rsid w:val="00917E52"/>
    <w:rsid w:val="0092000E"/>
    <w:rsid w:val="00920479"/>
    <w:rsid w:val="00920B78"/>
    <w:rsid w:val="009237CE"/>
    <w:rsid w:val="00923B41"/>
    <w:rsid w:val="00923C4B"/>
    <w:rsid w:val="0092409B"/>
    <w:rsid w:val="009244A8"/>
    <w:rsid w:val="009245B3"/>
    <w:rsid w:val="009269D4"/>
    <w:rsid w:val="009278C1"/>
    <w:rsid w:val="009314E2"/>
    <w:rsid w:val="00933153"/>
    <w:rsid w:val="009359D4"/>
    <w:rsid w:val="00937118"/>
    <w:rsid w:val="00937899"/>
    <w:rsid w:val="00941CD6"/>
    <w:rsid w:val="0094216B"/>
    <w:rsid w:val="0094252B"/>
    <w:rsid w:val="00943069"/>
    <w:rsid w:val="009432DB"/>
    <w:rsid w:val="00946BB5"/>
    <w:rsid w:val="00947257"/>
    <w:rsid w:val="00950034"/>
    <w:rsid w:val="0095063E"/>
    <w:rsid w:val="009512D2"/>
    <w:rsid w:val="009517C6"/>
    <w:rsid w:val="00953113"/>
    <w:rsid w:val="009535D9"/>
    <w:rsid w:val="00954EF7"/>
    <w:rsid w:val="0095513D"/>
    <w:rsid w:val="00955394"/>
    <w:rsid w:val="00955B64"/>
    <w:rsid w:val="00955F4E"/>
    <w:rsid w:val="00956FA5"/>
    <w:rsid w:val="009571A2"/>
    <w:rsid w:val="00957402"/>
    <w:rsid w:val="00957915"/>
    <w:rsid w:val="00957AE6"/>
    <w:rsid w:val="00960676"/>
    <w:rsid w:val="00961F12"/>
    <w:rsid w:val="00962D4E"/>
    <w:rsid w:val="0096319F"/>
    <w:rsid w:val="00963421"/>
    <w:rsid w:val="00963CD9"/>
    <w:rsid w:val="00964729"/>
    <w:rsid w:val="00965290"/>
    <w:rsid w:val="00965294"/>
    <w:rsid w:val="0096573F"/>
    <w:rsid w:val="00965C0A"/>
    <w:rsid w:val="00965D75"/>
    <w:rsid w:val="00965F6E"/>
    <w:rsid w:val="009661E1"/>
    <w:rsid w:val="009668D2"/>
    <w:rsid w:val="00966946"/>
    <w:rsid w:val="00966B25"/>
    <w:rsid w:val="00967459"/>
    <w:rsid w:val="0097081F"/>
    <w:rsid w:val="009708A4"/>
    <w:rsid w:val="009721BF"/>
    <w:rsid w:val="009725E3"/>
    <w:rsid w:val="00973EE9"/>
    <w:rsid w:val="00974980"/>
    <w:rsid w:val="00974AD9"/>
    <w:rsid w:val="0097562E"/>
    <w:rsid w:val="009759FF"/>
    <w:rsid w:val="00976706"/>
    <w:rsid w:val="00981A47"/>
    <w:rsid w:val="00983004"/>
    <w:rsid w:val="00983654"/>
    <w:rsid w:val="0098397D"/>
    <w:rsid w:val="00983EE0"/>
    <w:rsid w:val="00986BCC"/>
    <w:rsid w:val="009900D5"/>
    <w:rsid w:val="00991017"/>
    <w:rsid w:val="009917F6"/>
    <w:rsid w:val="00991926"/>
    <w:rsid w:val="0099228D"/>
    <w:rsid w:val="00992595"/>
    <w:rsid w:val="00992CC4"/>
    <w:rsid w:val="00992F20"/>
    <w:rsid w:val="00993F86"/>
    <w:rsid w:val="009952F5"/>
    <w:rsid w:val="00995947"/>
    <w:rsid w:val="00995952"/>
    <w:rsid w:val="0099628D"/>
    <w:rsid w:val="00996DC6"/>
    <w:rsid w:val="009A1A1D"/>
    <w:rsid w:val="009A1ADE"/>
    <w:rsid w:val="009A2747"/>
    <w:rsid w:val="009A341C"/>
    <w:rsid w:val="009A4ABF"/>
    <w:rsid w:val="009A4FE9"/>
    <w:rsid w:val="009B0A90"/>
    <w:rsid w:val="009B1A90"/>
    <w:rsid w:val="009B1AC2"/>
    <w:rsid w:val="009B2C48"/>
    <w:rsid w:val="009B3728"/>
    <w:rsid w:val="009B51FD"/>
    <w:rsid w:val="009B573F"/>
    <w:rsid w:val="009B6F45"/>
    <w:rsid w:val="009C01AD"/>
    <w:rsid w:val="009C0B13"/>
    <w:rsid w:val="009C275F"/>
    <w:rsid w:val="009C29F1"/>
    <w:rsid w:val="009C6704"/>
    <w:rsid w:val="009C67DC"/>
    <w:rsid w:val="009C681A"/>
    <w:rsid w:val="009C6DC9"/>
    <w:rsid w:val="009C7ADB"/>
    <w:rsid w:val="009C7B2F"/>
    <w:rsid w:val="009C7CB5"/>
    <w:rsid w:val="009C7F1F"/>
    <w:rsid w:val="009D0161"/>
    <w:rsid w:val="009D0ED8"/>
    <w:rsid w:val="009D15C7"/>
    <w:rsid w:val="009D2087"/>
    <w:rsid w:val="009D2E2F"/>
    <w:rsid w:val="009D36FA"/>
    <w:rsid w:val="009D430D"/>
    <w:rsid w:val="009D4F4B"/>
    <w:rsid w:val="009D5B22"/>
    <w:rsid w:val="009D6A5F"/>
    <w:rsid w:val="009D6FBC"/>
    <w:rsid w:val="009E0341"/>
    <w:rsid w:val="009E0B0A"/>
    <w:rsid w:val="009E1B6F"/>
    <w:rsid w:val="009E24F4"/>
    <w:rsid w:val="009E25CC"/>
    <w:rsid w:val="009E2A53"/>
    <w:rsid w:val="009E2E53"/>
    <w:rsid w:val="009E3C77"/>
    <w:rsid w:val="009E431F"/>
    <w:rsid w:val="009E4371"/>
    <w:rsid w:val="009F1D7F"/>
    <w:rsid w:val="009F298D"/>
    <w:rsid w:val="009F2C89"/>
    <w:rsid w:val="009F3AF9"/>
    <w:rsid w:val="009F40B3"/>
    <w:rsid w:val="009F463B"/>
    <w:rsid w:val="009F4C9B"/>
    <w:rsid w:val="009F5647"/>
    <w:rsid w:val="009F59F5"/>
    <w:rsid w:val="009F6940"/>
    <w:rsid w:val="00A00621"/>
    <w:rsid w:val="00A00C78"/>
    <w:rsid w:val="00A02634"/>
    <w:rsid w:val="00A02E8C"/>
    <w:rsid w:val="00A03012"/>
    <w:rsid w:val="00A03A71"/>
    <w:rsid w:val="00A03BA9"/>
    <w:rsid w:val="00A04463"/>
    <w:rsid w:val="00A04803"/>
    <w:rsid w:val="00A04DA5"/>
    <w:rsid w:val="00A0565A"/>
    <w:rsid w:val="00A06523"/>
    <w:rsid w:val="00A06863"/>
    <w:rsid w:val="00A06BC6"/>
    <w:rsid w:val="00A0749E"/>
    <w:rsid w:val="00A108BC"/>
    <w:rsid w:val="00A10986"/>
    <w:rsid w:val="00A1119E"/>
    <w:rsid w:val="00A12604"/>
    <w:rsid w:val="00A12EDB"/>
    <w:rsid w:val="00A13E56"/>
    <w:rsid w:val="00A13F3D"/>
    <w:rsid w:val="00A151D2"/>
    <w:rsid w:val="00A15741"/>
    <w:rsid w:val="00A20969"/>
    <w:rsid w:val="00A21C0E"/>
    <w:rsid w:val="00A22B6C"/>
    <w:rsid w:val="00A2490C"/>
    <w:rsid w:val="00A25328"/>
    <w:rsid w:val="00A256DF"/>
    <w:rsid w:val="00A25D65"/>
    <w:rsid w:val="00A26FE5"/>
    <w:rsid w:val="00A30010"/>
    <w:rsid w:val="00A3028B"/>
    <w:rsid w:val="00A30CC9"/>
    <w:rsid w:val="00A30EFA"/>
    <w:rsid w:val="00A332C8"/>
    <w:rsid w:val="00A3432C"/>
    <w:rsid w:val="00A34C1D"/>
    <w:rsid w:val="00A360A9"/>
    <w:rsid w:val="00A3617B"/>
    <w:rsid w:val="00A3649A"/>
    <w:rsid w:val="00A37035"/>
    <w:rsid w:val="00A37082"/>
    <w:rsid w:val="00A3785F"/>
    <w:rsid w:val="00A415A7"/>
    <w:rsid w:val="00A41A6E"/>
    <w:rsid w:val="00A41B27"/>
    <w:rsid w:val="00A41E2B"/>
    <w:rsid w:val="00A43185"/>
    <w:rsid w:val="00A43ABA"/>
    <w:rsid w:val="00A446BD"/>
    <w:rsid w:val="00A4497A"/>
    <w:rsid w:val="00A44E00"/>
    <w:rsid w:val="00A479A2"/>
    <w:rsid w:val="00A47A19"/>
    <w:rsid w:val="00A511C3"/>
    <w:rsid w:val="00A52034"/>
    <w:rsid w:val="00A523B1"/>
    <w:rsid w:val="00A53DFA"/>
    <w:rsid w:val="00A542BA"/>
    <w:rsid w:val="00A54321"/>
    <w:rsid w:val="00A55FE4"/>
    <w:rsid w:val="00A604DD"/>
    <w:rsid w:val="00A607D0"/>
    <w:rsid w:val="00A622A2"/>
    <w:rsid w:val="00A634FC"/>
    <w:rsid w:val="00A636FA"/>
    <w:rsid w:val="00A6446A"/>
    <w:rsid w:val="00A66AF2"/>
    <w:rsid w:val="00A67137"/>
    <w:rsid w:val="00A67DBD"/>
    <w:rsid w:val="00A70150"/>
    <w:rsid w:val="00A715EC"/>
    <w:rsid w:val="00A71B21"/>
    <w:rsid w:val="00A73712"/>
    <w:rsid w:val="00A74574"/>
    <w:rsid w:val="00A74B27"/>
    <w:rsid w:val="00A75D05"/>
    <w:rsid w:val="00A76EEB"/>
    <w:rsid w:val="00A77233"/>
    <w:rsid w:val="00A77B57"/>
    <w:rsid w:val="00A8046A"/>
    <w:rsid w:val="00A8068F"/>
    <w:rsid w:val="00A80C91"/>
    <w:rsid w:val="00A80ECB"/>
    <w:rsid w:val="00A8224A"/>
    <w:rsid w:val="00A826F3"/>
    <w:rsid w:val="00A8374C"/>
    <w:rsid w:val="00A8397D"/>
    <w:rsid w:val="00A85C23"/>
    <w:rsid w:val="00A86320"/>
    <w:rsid w:val="00A86E5B"/>
    <w:rsid w:val="00A87A19"/>
    <w:rsid w:val="00A92564"/>
    <w:rsid w:val="00A93DB3"/>
    <w:rsid w:val="00A946CB"/>
    <w:rsid w:val="00A94E5E"/>
    <w:rsid w:val="00A95C1F"/>
    <w:rsid w:val="00A964B5"/>
    <w:rsid w:val="00A96A83"/>
    <w:rsid w:val="00A978BB"/>
    <w:rsid w:val="00AA0678"/>
    <w:rsid w:val="00AA0779"/>
    <w:rsid w:val="00AA10B1"/>
    <w:rsid w:val="00AA146A"/>
    <w:rsid w:val="00AA26C7"/>
    <w:rsid w:val="00AA2E6E"/>
    <w:rsid w:val="00AA61AB"/>
    <w:rsid w:val="00AA67FC"/>
    <w:rsid w:val="00AA6D6C"/>
    <w:rsid w:val="00AA7750"/>
    <w:rsid w:val="00AA7A7F"/>
    <w:rsid w:val="00AB006A"/>
    <w:rsid w:val="00AB159B"/>
    <w:rsid w:val="00AB1759"/>
    <w:rsid w:val="00AB1A83"/>
    <w:rsid w:val="00AB32BC"/>
    <w:rsid w:val="00AB4595"/>
    <w:rsid w:val="00AB593B"/>
    <w:rsid w:val="00AB60A2"/>
    <w:rsid w:val="00AB66FC"/>
    <w:rsid w:val="00AB720D"/>
    <w:rsid w:val="00AC17D1"/>
    <w:rsid w:val="00AC23BC"/>
    <w:rsid w:val="00AC3037"/>
    <w:rsid w:val="00AC334A"/>
    <w:rsid w:val="00AC446A"/>
    <w:rsid w:val="00AC4927"/>
    <w:rsid w:val="00AC4FF9"/>
    <w:rsid w:val="00AC54C7"/>
    <w:rsid w:val="00AC662B"/>
    <w:rsid w:val="00AC7187"/>
    <w:rsid w:val="00AD02E3"/>
    <w:rsid w:val="00AD06F0"/>
    <w:rsid w:val="00AD1BCC"/>
    <w:rsid w:val="00AD2FF1"/>
    <w:rsid w:val="00AD4FAB"/>
    <w:rsid w:val="00AD59CE"/>
    <w:rsid w:val="00AD60DC"/>
    <w:rsid w:val="00AD6261"/>
    <w:rsid w:val="00AD7E74"/>
    <w:rsid w:val="00AE1010"/>
    <w:rsid w:val="00AE14C9"/>
    <w:rsid w:val="00AE1983"/>
    <w:rsid w:val="00AE2D77"/>
    <w:rsid w:val="00AE39C4"/>
    <w:rsid w:val="00AE4651"/>
    <w:rsid w:val="00AE4E3E"/>
    <w:rsid w:val="00AE5BA1"/>
    <w:rsid w:val="00AE75EE"/>
    <w:rsid w:val="00AF00FC"/>
    <w:rsid w:val="00AF01B9"/>
    <w:rsid w:val="00AF0E1F"/>
    <w:rsid w:val="00AF1436"/>
    <w:rsid w:val="00AF17DE"/>
    <w:rsid w:val="00AF1DCB"/>
    <w:rsid w:val="00AF4981"/>
    <w:rsid w:val="00AF55E2"/>
    <w:rsid w:val="00AF6E66"/>
    <w:rsid w:val="00AF7A9C"/>
    <w:rsid w:val="00AF7D78"/>
    <w:rsid w:val="00B00326"/>
    <w:rsid w:val="00B0209B"/>
    <w:rsid w:val="00B05E5F"/>
    <w:rsid w:val="00B06525"/>
    <w:rsid w:val="00B12F14"/>
    <w:rsid w:val="00B138FB"/>
    <w:rsid w:val="00B143F4"/>
    <w:rsid w:val="00B14869"/>
    <w:rsid w:val="00B175D0"/>
    <w:rsid w:val="00B20BB0"/>
    <w:rsid w:val="00B20D83"/>
    <w:rsid w:val="00B2115F"/>
    <w:rsid w:val="00B214B9"/>
    <w:rsid w:val="00B21C6C"/>
    <w:rsid w:val="00B2430D"/>
    <w:rsid w:val="00B25932"/>
    <w:rsid w:val="00B26243"/>
    <w:rsid w:val="00B26360"/>
    <w:rsid w:val="00B31346"/>
    <w:rsid w:val="00B31CC6"/>
    <w:rsid w:val="00B31E14"/>
    <w:rsid w:val="00B33527"/>
    <w:rsid w:val="00B339C5"/>
    <w:rsid w:val="00B357B6"/>
    <w:rsid w:val="00B35945"/>
    <w:rsid w:val="00B361F6"/>
    <w:rsid w:val="00B36511"/>
    <w:rsid w:val="00B36B67"/>
    <w:rsid w:val="00B3757A"/>
    <w:rsid w:val="00B378AE"/>
    <w:rsid w:val="00B4095C"/>
    <w:rsid w:val="00B40FF2"/>
    <w:rsid w:val="00B4244D"/>
    <w:rsid w:val="00B42C85"/>
    <w:rsid w:val="00B4361D"/>
    <w:rsid w:val="00B43C7F"/>
    <w:rsid w:val="00B44894"/>
    <w:rsid w:val="00B44C6E"/>
    <w:rsid w:val="00B4558D"/>
    <w:rsid w:val="00B45D8C"/>
    <w:rsid w:val="00B46D1D"/>
    <w:rsid w:val="00B46F72"/>
    <w:rsid w:val="00B47EB9"/>
    <w:rsid w:val="00B53939"/>
    <w:rsid w:val="00B53FC7"/>
    <w:rsid w:val="00B552BF"/>
    <w:rsid w:val="00B60B9C"/>
    <w:rsid w:val="00B6129E"/>
    <w:rsid w:val="00B61FDE"/>
    <w:rsid w:val="00B622D4"/>
    <w:rsid w:val="00B64173"/>
    <w:rsid w:val="00B65699"/>
    <w:rsid w:val="00B66CB8"/>
    <w:rsid w:val="00B670FD"/>
    <w:rsid w:val="00B70239"/>
    <w:rsid w:val="00B71C5E"/>
    <w:rsid w:val="00B72321"/>
    <w:rsid w:val="00B768F4"/>
    <w:rsid w:val="00B77AF5"/>
    <w:rsid w:val="00B77DA3"/>
    <w:rsid w:val="00B805DF"/>
    <w:rsid w:val="00B8067B"/>
    <w:rsid w:val="00B818C8"/>
    <w:rsid w:val="00B826AB"/>
    <w:rsid w:val="00B827D5"/>
    <w:rsid w:val="00B82F20"/>
    <w:rsid w:val="00B831FB"/>
    <w:rsid w:val="00B85861"/>
    <w:rsid w:val="00B86FC7"/>
    <w:rsid w:val="00B9053E"/>
    <w:rsid w:val="00B90B10"/>
    <w:rsid w:val="00B90C77"/>
    <w:rsid w:val="00B91558"/>
    <w:rsid w:val="00B91A2A"/>
    <w:rsid w:val="00B91F4B"/>
    <w:rsid w:val="00B92961"/>
    <w:rsid w:val="00B932EE"/>
    <w:rsid w:val="00B9403B"/>
    <w:rsid w:val="00B9493B"/>
    <w:rsid w:val="00B9580D"/>
    <w:rsid w:val="00B95F3B"/>
    <w:rsid w:val="00B96A21"/>
    <w:rsid w:val="00BA05F0"/>
    <w:rsid w:val="00BA066B"/>
    <w:rsid w:val="00BA2349"/>
    <w:rsid w:val="00BA2AC1"/>
    <w:rsid w:val="00BA3096"/>
    <w:rsid w:val="00BA3BB1"/>
    <w:rsid w:val="00BA4AA4"/>
    <w:rsid w:val="00BA5C2B"/>
    <w:rsid w:val="00BA6228"/>
    <w:rsid w:val="00BA6404"/>
    <w:rsid w:val="00BA689D"/>
    <w:rsid w:val="00BA73E1"/>
    <w:rsid w:val="00BA7B42"/>
    <w:rsid w:val="00BB2E7F"/>
    <w:rsid w:val="00BB3B95"/>
    <w:rsid w:val="00BB4936"/>
    <w:rsid w:val="00BB4A4F"/>
    <w:rsid w:val="00BB5898"/>
    <w:rsid w:val="00BB6A77"/>
    <w:rsid w:val="00BB6F3D"/>
    <w:rsid w:val="00BB79F6"/>
    <w:rsid w:val="00BC1A51"/>
    <w:rsid w:val="00BC1AFB"/>
    <w:rsid w:val="00BC2F17"/>
    <w:rsid w:val="00BC3928"/>
    <w:rsid w:val="00BC3999"/>
    <w:rsid w:val="00BC51B5"/>
    <w:rsid w:val="00BC57D0"/>
    <w:rsid w:val="00BC67F8"/>
    <w:rsid w:val="00BC6A12"/>
    <w:rsid w:val="00BD0DF4"/>
    <w:rsid w:val="00BD17FD"/>
    <w:rsid w:val="00BD2119"/>
    <w:rsid w:val="00BD2731"/>
    <w:rsid w:val="00BD45B8"/>
    <w:rsid w:val="00BD4776"/>
    <w:rsid w:val="00BD48FE"/>
    <w:rsid w:val="00BD5A1C"/>
    <w:rsid w:val="00BD66C9"/>
    <w:rsid w:val="00BD67B7"/>
    <w:rsid w:val="00BD7C26"/>
    <w:rsid w:val="00BD7C79"/>
    <w:rsid w:val="00BE06AE"/>
    <w:rsid w:val="00BE1C4F"/>
    <w:rsid w:val="00BE2D8D"/>
    <w:rsid w:val="00BE3F4F"/>
    <w:rsid w:val="00BE4F6D"/>
    <w:rsid w:val="00BE5382"/>
    <w:rsid w:val="00BE53BF"/>
    <w:rsid w:val="00BE669C"/>
    <w:rsid w:val="00BE6CD1"/>
    <w:rsid w:val="00BE73A3"/>
    <w:rsid w:val="00BE7759"/>
    <w:rsid w:val="00BE7A48"/>
    <w:rsid w:val="00BE7D8E"/>
    <w:rsid w:val="00BF1E0E"/>
    <w:rsid w:val="00BF1F72"/>
    <w:rsid w:val="00BF2182"/>
    <w:rsid w:val="00BF2211"/>
    <w:rsid w:val="00BF222D"/>
    <w:rsid w:val="00BF2BD0"/>
    <w:rsid w:val="00BF3029"/>
    <w:rsid w:val="00BF6FD3"/>
    <w:rsid w:val="00BF730F"/>
    <w:rsid w:val="00BF785A"/>
    <w:rsid w:val="00BF7C60"/>
    <w:rsid w:val="00BF7CEF"/>
    <w:rsid w:val="00BF7F97"/>
    <w:rsid w:val="00C00FF4"/>
    <w:rsid w:val="00C026B4"/>
    <w:rsid w:val="00C02C6A"/>
    <w:rsid w:val="00C030F5"/>
    <w:rsid w:val="00C03823"/>
    <w:rsid w:val="00C04129"/>
    <w:rsid w:val="00C0434F"/>
    <w:rsid w:val="00C04CFE"/>
    <w:rsid w:val="00C05B21"/>
    <w:rsid w:val="00C07173"/>
    <w:rsid w:val="00C077BA"/>
    <w:rsid w:val="00C07861"/>
    <w:rsid w:val="00C10B42"/>
    <w:rsid w:val="00C11F54"/>
    <w:rsid w:val="00C12D7B"/>
    <w:rsid w:val="00C145E7"/>
    <w:rsid w:val="00C1486F"/>
    <w:rsid w:val="00C1550E"/>
    <w:rsid w:val="00C1607C"/>
    <w:rsid w:val="00C166FA"/>
    <w:rsid w:val="00C20CA8"/>
    <w:rsid w:val="00C2100D"/>
    <w:rsid w:val="00C211F9"/>
    <w:rsid w:val="00C212BD"/>
    <w:rsid w:val="00C22714"/>
    <w:rsid w:val="00C22E08"/>
    <w:rsid w:val="00C233EC"/>
    <w:rsid w:val="00C234D0"/>
    <w:rsid w:val="00C23E23"/>
    <w:rsid w:val="00C242AA"/>
    <w:rsid w:val="00C242C1"/>
    <w:rsid w:val="00C268B1"/>
    <w:rsid w:val="00C26CF1"/>
    <w:rsid w:val="00C26FDA"/>
    <w:rsid w:val="00C27005"/>
    <w:rsid w:val="00C270CE"/>
    <w:rsid w:val="00C30A18"/>
    <w:rsid w:val="00C30F51"/>
    <w:rsid w:val="00C3131A"/>
    <w:rsid w:val="00C31F26"/>
    <w:rsid w:val="00C3202B"/>
    <w:rsid w:val="00C32535"/>
    <w:rsid w:val="00C32CAD"/>
    <w:rsid w:val="00C33218"/>
    <w:rsid w:val="00C33B28"/>
    <w:rsid w:val="00C34C06"/>
    <w:rsid w:val="00C35095"/>
    <w:rsid w:val="00C36ED0"/>
    <w:rsid w:val="00C4026A"/>
    <w:rsid w:val="00C40410"/>
    <w:rsid w:val="00C40DAC"/>
    <w:rsid w:val="00C410D6"/>
    <w:rsid w:val="00C42D05"/>
    <w:rsid w:val="00C43144"/>
    <w:rsid w:val="00C44361"/>
    <w:rsid w:val="00C45728"/>
    <w:rsid w:val="00C46C9C"/>
    <w:rsid w:val="00C46E66"/>
    <w:rsid w:val="00C5183B"/>
    <w:rsid w:val="00C52761"/>
    <w:rsid w:val="00C534F3"/>
    <w:rsid w:val="00C5421F"/>
    <w:rsid w:val="00C542C3"/>
    <w:rsid w:val="00C54C36"/>
    <w:rsid w:val="00C55504"/>
    <w:rsid w:val="00C55B26"/>
    <w:rsid w:val="00C573C0"/>
    <w:rsid w:val="00C612BD"/>
    <w:rsid w:val="00C6138C"/>
    <w:rsid w:val="00C617CC"/>
    <w:rsid w:val="00C627F1"/>
    <w:rsid w:val="00C63375"/>
    <w:rsid w:val="00C651C4"/>
    <w:rsid w:val="00C65BB5"/>
    <w:rsid w:val="00C677AC"/>
    <w:rsid w:val="00C700A6"/>
    <w:rsid w:val="00C705F6"/>
    <w:rsid w:val="00C70755"/>
    <w:rsid w:val="00C736D8"/>
    <w:rsid w:val="00C73D1C"/>
    <w:rsid w:val="00C73F1D"/>
    <w:rsid w:val="00C73F3E"/>
    <w:rsid w:val="00C73F6B"/>
    <w:rsid w:val="00C756A8"/>
    <w:rsid w:val="00C75F7A"/>
    <w:rsid w:val="00C763F5"/>
    <w:rsid w:val="00C76B57"/>
    <w:rsid w:val="00C77A71"/>
    <w:rsid w:val="00C801A3"/>
    <w:rsid w:val="00C803AE"/>
    <w:rsid w:val="00C81B5F"/>
    <w:rsid w:val="00C81BBC"/>
    <w:rsid w:val="00C81C2D"/>
    <w:rsid w:val="00C8235E"/>
    <w:rsid w:val="00C831E0"/>
    <w:rsid w:val="00C83253"/>
    <w:rsid w:val="00C832DA"/>
    <w:rsid w:val="00C83354"/>
    <w:rsid w:val="00C834DD"/>
    <w:rsid w:val="00C84BF0"/>
    <w:rsid w:val="00C8764F"/>
    <w:rsid w:val="00C90279"/>
    <w:rsid w:val="00C9143F"/>
    <w:rsid w:val="00C9216B"/>
    <w:rsid w:val="00C92D85"/>
    <w:rsid w:val="00C943A3"/>
    <w:rsid w:val="00C946DD"/>
    <w:rsid w:val="00C95472"/>
    <w:rsid w:val="00C95980"/>
    <w:rsid w:val="00C97693"/>
    <w:rsid w:val="00CA00B2"/>
    <w:rsid w:val="00CA1632"/>
    <w:rsid w:val="00CA199C"/>
    <w:rsid w:val="00CA41D3"/>
    <w:rsid w:val="00CA544E"/>
    <w:rsid w:val="00CA6630"/>
    <w:rsid w:val="00CA7017"/>
    <w:rsid w:val="00CA7119"/>
    <w:rsid w:val="00CA7665"/>
    <w:rsid w:val="00CA7E60"/>
    <w:rsid w:val="00CB0105"/>
    <w:rsid w:val="00CB05E9"/>
    <w:rsid w:val="00CB1642"/>
    <w:rsid w:val="00CB22F4"/>
    <w:rsid w:val="00CB3078"/>
    <w:rsid w:val="00CB3480"/>
    <w:rsid w:val="00CB406C"/>
    <w:rsid w:val="00CB4483"/>
    <w:rsid w:val="00CB4F5B"/>
    <w:rsid w:val="00CB5548"/>
    <w:rsid w:val="00CB6F6A"/>
    <w:rsid w:val="00CC17A0"/>
    <w:rsid w:val="00CC17D5"/>
    <w:rsid w:val="00CC26CF"/>
    <w:rsid w:val="00CC346E"/>
    <w:rsid w:val="00CC3E3C"/>
    <w:rsid w:val="00CC4111"/>
    <w:rsid w:val="00CC46BE"/>
    <w:rsid w:val="00CC6CAD"/>
    <w:rsid w:val="00CD034C"/>
    <w:rsid w:val="00CD0880"/>
    <w:rsid w:val="00CD0A38"/>
    <w:rsid w:val="00CD11DD"/>
    <w:rsid w:val="00CD2938"/>
    <w:rsid w:val="00CD2FCF"/>
    <w:rsid w:val="00CD3DF4"/>
    <w:rsid w:val="00CD4B4D"/>
    <w:rsid w:val="00CD514C"/>
    <w:rsid w:val="00CD5D64"/>
    <w:rsid w:val="00CD5E94"/>
    <w:rsid w:val="00CD73D8"/>
    <w:rsid w:val="00CD7A20"/>
    <w:rsid w:val="00CE00A0"/>
    <w:rsid w:val="00CE0B5E"/>
    <w:rsid w:val="00CE0F86"/>
    <w:rsid w:val="00CE146D"/>
    <w:rsid w:val="00CE16BB"/>
    <w:rsid w:val="00CE1CDE"/>
    <w:rsid w:val="00CE1FC1"/>
    <w:rsid w:val="00CE23D3"/>
    <w:rsid w:val="00CE33D2"/>
    <w:rsid w:val="00CE36A6"/>
    <w:rsid w:val="00CE3D7A"/>
    <w:rsid w:val="00CE3FC6"/>
    <w:rsid w:val="00CE4A76"/>
    <w:rsid w:val="00CE5258"/>
    <w:rsid w:val="00CE69F6"/>
    <w:rsid w:val="00CE6DFC"/>
    <w:rsid w:val="00CE70E0"/>
    <w:rsid w:val="00CE7562"/>
    <w:rsid w:val="00CF1A06"/>
    <w:rsid w:val="00CF446B"/>
    <w:rsid w:val="00CF46EF"/>
    <w:rsid w:val="00CF4770"/>
    <w:rsid w:val="00CF4B40"/>
    <w:rsid w:val="00CF4C37"/>
    <w:rsid w:val="00CF5DB4"/>
    <w:rsid w:val="00CF74F5"/>
    <w:rsid w:val="00CF7719"/>
    <w:rsid w:val="00D007BA"/>
    <w:rsid w:val="00D00B0C"/>
    <w:rsid w:val="00D0110A"/>
    <w:rsid w:val="00D014CD"/>
    <w:rsid w:val="00D014F4"/>
    <w:rsid w:val="00D03D55"/>
    <w:rsid w:val="00D04E03"/>
    <w:rsid w:val="00D04E3D"/>
    <w:rsid w:val="00D07191"/>
    <w:rsid w:val="00D075A0"/>
    <w:rsid w:val="00D07D07"/>
    <w:rsid w:val="00D10AE4"/>
    <w:rsid w:val="00D11180"/>
    <w:rsid w:val="00D114A6"/>
    <w:rsid w:val="00D164F4"/>
    <w:rsid w:val="00D16C9B"/>
    <w:rsid w:val="00D173B0"/>
    <w:rsid w:val="00D17558"/>
    <w:rsid w:val="00D20F0F"/>
    <w:rsid w:val="00D22CA2"/>
    <w:rsid w:val="00D24632"/>
    <w:rsid w:val="00D2488C"/>
    <w:rsid w:val="00D254E7"/>
    <w:rsid w:val="00D27304"/>
    <w:rsid w:val="00D305A9"/>
    <w:rsid w:val="00D30B17"/>
    <w:rsid w:val="00D3105C"/>
    <w:rsid w:val="00D316CD"/>
    <w:rsid w:val="00D318AA"/>
    <w:rsid w:val="00D31A2A"/>
    <w:rsid w:val="00D3339C"/>
    <w:rsid w:val="00D33DA9"/>
    <w:rsid w:val="00D35351"/>
    <w:rsid w:val="00D35A00"/>
    <w:rsid w:val="00D366C8"/>
    <w:rsid w:val="00D36941"/>
    <w:rsid w:val="00D37424"/>
    <w:rsid w:val="00D40774"/>
    <w:rsid w:val="00D40E08"/>
    <w:rsid w:val="00D4142E"/>
    <w:rsid w:val="00D41CCE"/>
    <w:rsid w:val="00D4389E"/>
    <w:rsid w:val="00D450DF"/>
    <w:rsid w:val="00D45A85"/>
    <w:rsid w:val="00D461AA"/>
    <w:rsid w:val="00D4769C"/>
    <w:rsid w:val="00D47FC9"/>
    <w:rsid w:val="00D5002B"/>
    <w:rsid w:val="00D503D4"/>
    <w:rsid w:val="00D5084F"/>
    <w:rsid w:val="00D508B9"/>
    <w:rsid w:val="00D50FD0"/>
    <w:rsid w:val="00D51A75"/>
    <w:rsid w:val="00D51CEB"/>
    <w:rsid w:val="00D52309"/>
    <w:rsid w:val="00D53E93"/>
    <w:rsid w:val="00D54684"/>
    <w:rsid w:val="00D551C2"/>
    <w:rsid w:val="00D55C45"/>
    <w:rsid w:val="00D565CB"/>
    <w:rsid w:val="00D56C59"/>
    <w:rsid w:val="00D5775F"/>
    <w:rsid w:val="00D578C9"/>
    <w:rsid w:val="00D60858"/>
    <w:rsid w:val="00D60944"/>
    <w:rsid w:val="00D61725"/>
    <w:rsid w:val="00D6234B"/>
    <w:rsid w:val="00D62CF4"/>
    <w:rsid w:val="00D62D18"/>
    <w:rsid w:val="00D63891"/>
    <w:rsid w:val="00D63B9F"/>
    <w:rsid w:val="00D645F1"/>
    <w:rsid w:val="00D64C88"/>
    <w:rsid w:val="00D66870"/>
    <w:rsid w:val="00D66FFE"/>
    <w:rsid w:val="00D7296B"/>
    <w:rsid w:val="00D732AB"/>
    <w:rsid w:val="00D73653"/>
    <w:rsid w:val="00D73AE0"/>
    <w:rsid w:val="00D745F0"/>
    <w:rsid w:val="00D747C6"/>
    <w:rsid w:val="00D74D2F"/>
    <w:rsid w:val="00D74F8D"/>
    <w:rsid w:val="00D755E3"/>
    <w:rsid w:val="00D7675F"/>
    <w:rsid w:val="00D76FDC"/>
    <w:rsid w:val="00D80487"/>
    <w:rsid w:val="00D81240"/>
    <w:rsid w:val="00D83217"/>
    <w:rsid w:val="00D839DF"/>
    <w:rsid w:val="00D83B47"/>
    <w:rsid w:val="00D83D1C"/>
    <w:rsid w:val="00D8498F"/>
    <w:rsid w:val="00D85DB7"/>
    <w:rsid w:val="00D86224"/>
    <w:rsid w:val="00D8672B"/>
    <w:rsid w:val="00D90DFF"/>
    <w:rsid w:val="00D90F66"/>
    <w:rsid w:val="00D911E9"/>
    <w:rsid w:val="00D9187F"/>
    <w:rsid w:val="00D91D19"/>
    <w:rsid w:val="00D925C6"/>
    <w:rsid w:val="00D932E4"/>
    <w:rsid w:val="00D93F41"/>
    <w:rsid w:val="00D94840"/>
    <w:rsid w:val="00D94A69"/>
    <w:rsid w:val="00D961D4"/>
    <w:rsid w:val="00D96C9A"/>
    <w:rsid w:val="00D96FB3"/>
    <w:rsid w:val="00DA1D19"/>
    <w:rsid w:val="00DA1EA3"/>
    <w:rsid w:val="00DA2998"/>
    <w:rsid w:val="00DA2A31"/>
    <w:rsid w:val="00DA3D98"/>
    <w:rsid w:val="00DA3F8D"/>
    <w:rsid w:val="00DA4312"/>
    <w:rsid w:val="00DA525C"/>
    <w:rsid w:val="00DA5BAA"/>
    <w:rsid w:val="00DA629A"/>
    <w:rsid w:val="00DA645E"/>
    <w:rsid w:val="00DA6D81"/>
    <w:rsid w:val="00DA749B"/>
    <w:rsid w:val="00DB03C6"/>
    <w:rsid w:val="00DB0CAD"/>
    <w:rsid w:val="00DB1E9A"/>
    <w:rsid w:val="00DB38A4"/>
    <w:rsid w:val="00DB3BBB"/>
    <w:rsid w:val="00DB57EB"/>
    <w:rsid w:val="00DB6B52"/>
    <w:rsid w:val="00DB7CD0"/>
    <w:rsid w:val="00DC07BF"/>
    <w:rsid w:val="00DC184E"/>
    <w:rsid w:val="00DC1D6F"/>
    <w:rsid w:val="00DC243F"/>
    <w:rsid w:val="00DC3179"/>
    <w:rsid w:val="00DC4134"/>
    <w:rsid w:val="00DC4A5B"/>
    <w:rsid w:val="00DC5914"/>
    <w:rsid w:val="00DC7241"/>
    <w:rsid w:val="00DC74DE"/>
    <w:rsid w:val="00DD041B"/>
    <w:rsid w:val="00DD242C"/>
    <w:rsid w:val="00DD3320"/>
    <w:rsid w:val="00DD3461"/>
    <w:rsid w:val="00DD5105"/>
    <w:rsid w:val="00DD55CC"/>
    <w:rsid w:val="00DD6FD5"/>
    <w:rsid w:val="00DD7234"/>
    <w:rsid w:val="00DD7B13"/>
    <w:rsid w:val="00DD7DBE"/>
    <w:rsid w:val="00DD7ECA"/>
    <w:rsid w:val="00DE1CD0"/>
    <w:rsid w:val="00DE1E2A"/>
    <w:rsid w:val="00DE34F8"/>
    <w:rsid w:val="00DE38B9"/>
    <w:rsid w:val="00DE4A00"/>
    <w:rsid w:val="00DE52AF"/>
    <w:rsid w:val="00DE639A"/>
    <w:rsid w:val="00DF0A6D"/>
    <w:rsid w:val="00DF31EB"/>
    <w:rsid w:val="00DF3ACF"/>
    <w:rsid w:val="00DF47E6"/>
    <w:rsid w:val="00DF51B5"/>
    <w:rsid w:val="00DF5756"/>
    <w:rsid w:val="00DF5B8F"/>
    <w:rsid w:val="00DF6007"/>
    <w:rsid w:val="00DF66D6"/>
    <w:rsid w:val="00DF6C51"/>
    <w:rsid w:val="00DF714D"/>
    <w:rsid w:val="00DF72CF"/>
    <w:rsid w:val="00E00A37"/>
    <w:rsid w:val="00E023E1"/>
    <w:rsid w:val="00E04773"/>
    <w:rsid w:val="00E0477B"/>
    <w:rsid w:val="00E05011"/>
    <w:rsid w:val="00E0579C"/>
    <w:rsid w:val="00E05B77"/>
    <w:rsid w:val="00E078F5"/>
    <w:rsid w:val="00E10820"/>
    <w:rsid w:val="00E11208"/>
    <w:rsid w:val="00E11B37"/>
    <w:rsid w:val="00E11EB2"/>
    <w:rsid w:val="00E13714"/>
    <w:rsid w:val="00E137A9"/>
    <w:rsid w:val="00E13B0B"/>
    <w:rsid w:val="00E13E6A"/>
    <w:rsid w:val="00E15264"/>
    <w:rsid w:val="00E16B72"/>
    <w:rsid w:val="00E201D2"/>
    <w:rsid w:val="00E214B7"/>
    <w:rsid w:val="00E22A15"/>
    <w:rsid w:val="00E23241"/>
    <w:rsid w:val="00E238D7"/>
    <w:rsid w:val="00E23E9F"/>
    <w:rsid w:val="00E24784"/>
    <w:rsid w:val="00E24BC8"/>
    <w:rsid w:val="00E2608F"/>
    <w:rsid w:val="00E26219"/>
    <w:rsid w:val="00E27028"/>
    <w:rsid w:val="00E30658"/>
    <w:rsid w:val="00E3102A"/>
    <w:rsid w:val="00E31A6C"/>
    <w:rsid w:val="00E325FE"/>
    <w:rsid w:val="00E34194"/>
    <w:rsid w:val="00E34577"/>
    <w:rsid w:val="00E351DA"/>
    <w:rsid w:val="00E37913"/>
    <w:rsid w:val="00E40629"/>
    <w:rsid w:val="00E40FA4"/>
    <w:rsid w:val="00E41013"/>
    <w:rsid w:val="00E41B3B"/>
    <w:rsid w:val="00E4243A"/>
    <w:rsid w:val="00E426A1"/>
    <w:rsid w:val="00E42BCE"/>
    <w:rsid w:val="00E43297"/>
    <w:rsid w:val="00E44918"/>
    <w:rsid w:val="00E45931"/>
    <w:rsid w:val="00E4594E"/>
    <w:rsid w:val="00E45FD0"/>
    <w:rsid w:val="00E46731"/>
    <w:rsid w:val="00E479BC"/>
    <w:rsid w:val="00E47F74"/>
    <w:rsid w:val="00E50A72"/>
    <w:rsid w:val="00E51DAC"/>
    <w:rsid w:val="00E53343"/>
    <w:rsid w:val="00E53E89"/>
    <w:rsid w:val="00E5452E"/>
    <w:rsid w:val="00E557CA"/>
    <w:rsid w:val="00E55E18"/>
    <w:rsid w:val="00E55F11"/>
    <w:rsid w:val="00E5623A"/>
    <w:rsid w:val="00E56521"/>
    <w:rsid w:val="00E57093"/>
    <w:rsid w:val="00E61855"/>
    <w:rsid w:val="00E62132"/>
    <w:rsid w:val="00E627B2"/>
    <w:rsid w:val="00E639DE"/>
    <w:rsid w:val="00E64E17"/>
    <w:rsid w:val="00E65148"/>
    <w:rsid w:val="00E6653A"/>
    <w:rsid w:val="00E6694F"/>
    <w:rsid w:val="00E70105"/>
    <w:rsid w:val="00E71382"/>
    <w:rsid w:val="00E726A6"/>
    <w:rsid w:val="00E72E65"/>
    <w:rsid w:val="00E73E3B"/>
    <w:rsid w:val="00E75026"/>
    <w:rsid w:val="00E75394"/>
    <w:rsid w:val="00E75998"/>
    <w:rsid w:val="00E75F98"/>
    <w:rsid w:val="00E7628E"/>
    <w:rsid w:val="00E76D4E"/>
    <w:rsid w:val="00E7734C"/>
    <w:rsid w:val="00E77457"/>
    <w:rsid w:val="00E776CA"/>
    <w:rsid w:val="00E804AC"/>
    <w:rsid w:val="00E814EB"/>
    <w:rsid w:val="00E81DFD"/>
    <w:rsid w:val="00E8272F"/>
    <w:rsid w:val="00E82A27"/>
    <w:rsid w:val="00E84213"/>
    <w:rsid w:val="00E842E9"/>
    <w:rsid w:val="00E84387"/>
    <w:rsid w:val="00E856B5"/>
    <w:rsid w:val="00E85CE3"/>
    <w:rsid w:val="00E86D27"/>
    <w:rsid w:val="00E86D98"/>
    <w:rsid w:val="00E8766A"/>
    <w:rsid w:val="00E90C30"/>
    <w:rsid w:val="00E92F15"/>
    <w:rsid w:val="00E93CEB"/>
    <w:rsid w:val="00E93E6B"/>
    <w:rsid w:val="00E95504"/>
    <w:rsid w:val="00E95745"/>
    <w:rsid w:val="00E95C9C"/>
    <w:rsid w:val="00E9604D"/>
    <w:rsid w:val="00E96097"/>
    <w:rsid w:val="00E97405"/>
    <w:rsid w:val="00E9755F"/>
    <w:rsid w:val="00E9797B"/>
    <w:rsid w:val="00E97D89"/>
    <w:rsid w:val="00E97F02"/>
    <w:rsid w:val="00EA2317"/>
    <w:rsid w:val="00EA2FCE"/>
    <w:rsid w:val="00EA366D"/>
    <w:rsid w:val="00EA37AB"/>
    <w:rsid w:val="00EA3BED"/>
    <w:rsid w:val="00EA3C50"/>
    <w:rsid w:val="00EA417B"/>
    <w:rsid w:val="00EA5A54"/>
    <w:rsid w:val="00EA7539"/>
    <w:rsid w:val="00EB076D"/>
    <w:rsid w:val="00EB3073"/>
    <w:rsid w:val="00EB3307"/>
    <w:rsid w:val="00EB3603"/>
    <w:rsid w:val="00EB400D"/>
    <w:rsid w:val="00EB46E0"/>
    <w:rsid w:val="00EB4C47"/>
    <w:rsid w:val="00EB4D97"/>
    <w:rsid w:val="00EB5289"/>
    <w:rsid w:val="00EB546A"/>
    <w:rsid w:val="00EB54C1"/>
    <w:rsid w:val="00EB5DAD"/>
    <w:rsid w:val="00EB6A12"/>
    <w:rsid w:val="00EB6C87"/>
    <w:rsid w:val="00EB784F"/>
    <w:rsid w:val="00EB79A0"/>
    <w:rsid w:val="00EB7E00"/>
    <w:rsid w:val="00EC0D2C"/>
    <w:rsid w:val="00EC120F"/>
    <w:rsid w:val="00EC1AA4"/>
    <w:rsid w:val="00EC269B"/>
    <w:rsid w:val="00EC323B"/>
    <w:rsid w:val="00EC3A12"/>
    <w:rsid w:val="00EC44B5"/>
    <w:rsid w:val="00EC4533"/>
    <w:rsid w:val="00EC4BA4"/>
    <w:rsid w:val="00EC5606"/>
    <w:rsid w:val="00EC5BB6"/>
    <w:rsid w:val="00EC6033"/>
    <w:rsid w:val="00EC649C"/>
    <w:rsid w:val="00EC65CD"/>
    <w:rsid w:val="00EC6A87"/>
    <w:rsid w:val="00EC71D0"/>
    <w:rsid w:val="00EC72C8"/>
    <w:rsid w:val="00EC779A"/>
    <w:rsid w:val="00ED00E1"/>
    <w:rsid w:val="00ED07A0"/>
    <w:rsid w:val="00ED0CB7"/>
    <w:rsid w:val="00ED225C"/>
    <w:rsid w:val="00ED47A3"/>
    <w:rsid w:val="00ED5C10"/>
    <w:rsid w:val="00ED6D16"/>
    <w:rsid w:val="00ED79C0"/>
    <w:rsid w:val="00EE12F3"/>
    <w:rsid w:val="00EE12FF"/>
    <w:rsid w:val="00EE1499"/>
    <w:rsid w:val="00EE215F"/>
    <w:rsid w:val="00EE21A1"/>
    <w:rsid w:val="00EE2AA2"/>
    <w:rsid w:val="00EE3759"/>
    <w:rsid w:val="00EE3C3C"/>
    <w:rsid w:val="00EE461E"/>
    <w:rsid w:val="00EE4FFB"/>
    <w:rsid w:val="00EE5E16"/>
    <w:rsid w:val="00EE60C1"/>
    <w:rsid w:val="00EE64D7"/>
    <w:rsid w:val="00EE6A0B"/>
    <w:rsid w:val="00EE7324"/>
    <w:rsid w:val="00EE7E6B"/>
    <w:rsid w:val="00EF0C08"/>
    <w:rsid w:val="00EF0E47"/>
    <w:rsid w:val="00EF1321"/>
    <w:rsid w:val="00EF234C"/>
    <w:rsid w:val="00EF3B14"/>
    <w:rsid w:val="00EF42B7"/>
    <w:rsid w:val="00EF51F9"/>
    <w:rsid w:val="00EF57C1"/>
    <w:rsid w:val="00EF6986"/>
    <w:rsid w:val="00EF77C0"/>
    <w:rsid w:val="00F00CFB"/>
    <w:rsid w:val="00F0175F"/>
    <w:rsid w:val="00F01E7C"/>
    <w:rsid w:val="00F01EE4"/>
    <w:rsid w:val="00F0216C"/>
    <w:rsid w:val="00F05C41"/>
    <w:rsid w:val="00F06187"/>
    <w:rsid w:val="00F105E2"/>
    <w:rsid w:val="00F106C5"/>
    <w:rsid w:val="00F107F9"/>
    <w:rsid w:val="00F10C15"/>
    <w:rsid w:val="00F113BD"/>
    <w:rsid w:val="00F1224A"/>
    <w:rsid w:val="00F12382"/>
    <w:rsid w:val="00F13FB8"/>
    <w:rsid w:val="00F14EF3"/>
    <w:rsid w:val="00F151DD"/>
    <w:rsid w:val="00F15AF2"/>
    <w:rsid w:val="00F15E27"/>
    <w:rsid w:val="00F16620"/>
    <w:rsid w:val="00F166E4"/>
    <w:rsid w:val="00F16839"/>
    <w:rsid w:val="00F16A7D"/>
    <w:rsid w:val="00F20BB0"/>
    <w:rsid w:val="00F21BC3"/>
    <w:rsid w:val="00F221A7"/>
    <w:rsid w:val="00F22208"/>
    <w:rsid w:val="00F242E5"/>
    <w:rsid w:val="00F249EF"/>
    <w:rsid w:val="00F24ABE"/>
    <w:rsid w:val="00F2502E"/>
    <w:rsid w:val="00F261B6"/>
    <w:rsid w:val="00F2633F"/>
    <w:rsid w:val="00F2646D"/>
    <w:rsid w:val="00F264E0"/>
    <w:rsid w:val="00F26C4A"/>
    <w:rsid w:val="00F27401"/>
    <w:rsid w:val="00F27FE2"/>
    <w:rsid w:val="00F30202"/>
    <w:rsid w:val="00F314F5"/>
    <w:rsid w:val="00F31AAD"/>
    <w:rsid w:val="00F31DAE"/>
    <w:rsid w:val="00F32530"/>
    <w:rsid w:val="00F34B59"/>
    <w:rsid w:val="00F36B8D"/>
    <w:rsid w:val="00F37064"/>
    <w:rsid w:val="00F4138A"/>
    <w:rsid w:val="00F41C3E"/>
    <w:rsid w:val="00F42379"/>
    <w:rsid w:val="00F42CF9"/>
    <w:rsid w:val="00F42DD8"/>
    <w:rsid w:val="00F433F1"/>
    <w:rsid w:val="00F43803"/>
    <w:rsid w:val="00F441C4"/>
    <w:rsid w:val="00F46A5A"/>
    <w:rsid w:val="00F46ACC"/>
    <w:rsid w:val="00F50C30"/>
    <w:rsid w:val="00F51313"/>
    <w:rsid w:val="00F51C8D"/>
    <w:rsid w:val="00F52039"/>
    <w:rsid w:val="00F52D5D"/>
    <w:rsid w:val="00F53478"/>
    <w:rsid w:val="00F53701"/>
    <w:rsid w:val="00F53E95"/>
    <w:rsid w:val="00F54BEF"/>
    <w:rsid w:val="00F56F41"/>
    <w:rsid w:val="00F57A25"/>
    <w:rsid w:val="00F57EB5"/>
    <w:rsid w:val="00F6166A"/>
    <w:rsid w:val="00F61EF6"/>
    <w:rsid w:val="00F62D5E"/>
    <w:rsid w:val="00F64069"/>
    <w:rsid w:val="00F648BF"/>
    <w:rsid w:val="00F6613F"/>
    <w:rsid w:val="00F66CC4"/>
    <w:rsid w:val="00F67124"/>
    <w:rsid w:val="00F67150"/>
    <w:rsid w:val="00F72114"/>
    <w:rsid w:val="00F729A5"/>
    <w:rsid w:val="00F729F6"/>
    <w:rsid w:val="00F72F63"/>
    <w:rsid w:val="00F73BBD"/>
    <w:rsid w:val="00F75C79"/>
    <w:rsid w:val="00F768C2"/>
    <w:rsid w:val="00F76E15"/>
    <w:rsid w:val="00F7787D"/>
    <w:rsid w:val="00F80812"/>
    <w:rsid w:val="00F815B9"/>
    <w:rsid w:val="00F81FA3"/>
    <w:rsid w:val="00F843FF"/>
    <w:rsid w:val="00F84643"/>
    <w:rsid w:val="00F8476F"/>
    <w:rsid w:val="00F858D9"/>
    <w:rsid w:val="00F85DCC"/>
    <w:rsid w:val="00F86F2C"/>
    <w:rsid w:val="00F8729A"/>
    <w:rsid w:val="00F903B8"/>
    <w:rsid w:val="00F90657"/>
    <w:rsid w:val="00F92FC1"/>
    <w:rsid w:val="00F9350E"/>
    <w:rsid w:val="00F9465F"/>
    <w:rsid w:val="00F948F4"/>
    <w:rsid w:val="00F95045"/>
    <w:rsid w:val="00F95FFF"/>
    <w:rsid w:val="00F97126"/>
    <w:rsid w:val="00FA01FA"/>
    <w:rsid w:val="00FA19AC"/>
    <w:rsid w:val="00FA1F36"/>
    <w:rsid w:val="00FA2A93"/>
    <w:rsid w:val="00FA3004"/>
    <w:rsid w:val="00FA3D11"/>
    <w:rsid w:val="00FA4C62"/>
    <w:rsid w:val="00FA57AA"/>
    <w:rsid w:val="00FA6550"/>
    <w:rsid w:val="00FB0D83"/>
    <w:rsid w:val="00FB129B"/>
    <w:rsid w:val="00FB20E7"/>
    <w:rsid w:val="00FB2A84"/>
    <w:rsid w:val="00FB41B0"/>
    <w:rsid w:val="00FB44CD"/>
    <w:rsid w:val="00FB4D5C"/>
    <w:rsid w:val="00FB5536"/>
    <w:rsid w:val="00FB6CBE"/>
    <w:rsid w:val="00FB7008"/>
    <w:rsid w:val="00FB7AC0"/>
    <w:rsid w:val="00FB7FB8"/>
    <w:rsid w:val="00FC19D1"/>
    <w:rsid w:val="00FC1AE3"/>
    <w:rsid w:val="00FC34C9"/>
    <w:rsid w:val="00FC3885"/>
    <w:rsid w:val="00FC6146"/>
    <w:rsid w:val="00FC66A6"/>
    <w:rsid w:val="00FD064D"/>
    <w:rsid w:val="00FD3817"/>
    <w:rsid w:val="00FD3A46"/>
    <w:rsid w:val="00FD5F57"/>
    <w:rsid w:val="00FD6313"/>
    <w:rsid w:val="00FD6A41"/>
    <w:rsid w:val="00FD6A8F"/>
    <w:rsid w:val="00FD76C3"/>
    <w:rsid w:val="00FE0A74"/>
    <w:rsid w:val="00FE1005"/>
    <w:rsid w:val="00FE3B8D"/>
    <w:rsid w:val="00FE3CDE"/>
    <w:rsid w:val="00FE490B"/>
    <w:rsid w:val="00FE6D8E"/>
    <w:rsid w:val="00FE6DF5"/>
    <w:rsid w:val="00FE7B70"/>
    <w:rsid w:val="00FE7D14"/>
    <w:rsid w:val="00FF2F4B"/>
    <w:rsid w:val="00FF53E5"/>
    <w:rsid w:val="00FF5A68"/>
    <w:rsid w:val="00FF7212"/>
    <w:rsid w:val="00FF748E"/>
    <w:rsid w:val="00FF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B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footer" w:qFormat="1"/>
    <w:lsdException w:name="caption" w:uiPriority="35" w:qFormat="1"/>
    <w:lsdException w:name="footnote reference" w:uiPriority="0"/>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FA4"/>
    <w:pPr>
      <w:spacing w:line="480" w:lineRule="auto"/>
      <w:ind w:firstLine="720"/>
    </w:pPr>
    <w:rPr>
      <w:sz w:val="24"/>
    </w:rPr>
  </w:style>
  <w:style w:type="paragraph" w:styleId="Heading1">
    <w:name w:val="heading 1"/>
    <w:aliases w:val="H1-Sec.Head"/>
    <w:basedOn w:val="Normal"/>
    <w:next w:val="L1-FlLSp12"/>
    <w:link w:val="Heading1Char"/>
    <w:qFormat/>
    <w:rsid w:val="007F3A54"/>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7F3A54"/>
    <w:pPr>
      <w:outlineLvl w:val="1"/>
    </w:pPr>
    <w:rPr>
      <w:sz w:val="28"/>
    </w:rPr>
  </w:style>
  <w:style w:type="paragraph" w:styleId="Heading3">
    <w:name w:val="heading 3"/>
    <w:aliases w:val="H3-Sec. Head"/>
    <w:basedOn w:val="Heading1"/>
    <w:next w:val="L1-FlLSp12"/>
    <w:link w:val="Heading3Char"/>
    <w:qFormat/>
    <w:rsid w:val="007F3A54"/>
    <w:pPr>
      <w:outlineLvl w:val="2"/>
    </w:pPr>
    <w:rPr>
      <w:color w:val="auto"/>
      <w:sz w:val="24"/>
    </w:rPr>
  </w:style>
  <w:style w:type="paragraph" w:styleId="Heading4">
    <w:name w:val="heading 4"/>
    <w:aliases w:val="H4 Sec.Heading"/>
    <w:basedOn w:val="Heading1"/>
    <w:next w:val="L1-FlLSp12"/>
    <w:link w:val="Heading4Char"/>
    <w:qFormat/>
    <w:rsid w:val="007F3A54"/>
    <w:pPr>
      <w:outlineLvl w:val="3"/>
    </w:pPr>
    <w:rPr>
      <w:i/>
      <w:color w:val="auto"/>
      <w:sz w:val="24"/>
    </w:rPr>
  </w:style>
  <w:style w:type="paragraph" w:styleId="Heading5">
    <w:name w:val="heading 5"/>
    <w:basedOn w:val="Normal"/>
    <w:next w:val="Normal"/>
    <w:link w:val="Heading5Char"/>
    <w:qFormat/>
    <w:rsid w:val="007F3A54"/>
    <w:pPr>
      <w:keepLines/>
      <w:spacing w:before="360" w:line="360" w:lineRule="atLeast"/>
      <w:jc w:val="center"/>
      <w:outlineLvl w:val="4"/>
    </w:pPr>
  </w:style>
  <w:style w:type="paragraph" w:styleId="Heading6">
    <w:name w:val="heading 6"/>
    <w:basedOn w:val="Normal"/>
    <w:next w:val="Normal"/>
    <w:link w:val="Heading6Char"/>
    <w:qFormat/>
    <w:rsid w:val="007F3A54"/>
    <w:pPr>
      <w:keepNext/>
      <w:spacing w:before="240"/>
      <w:jc w:val="center"/>
      <w:outlineLvl w:val="5"/>
    </w:pPr>
    <w:rPr>
      <w:b/>
      <w:caps/>
    </w:rPr>
  </w:style>
  <w:style w:type="paragraph" w:styleId="Heading7">
    <w:name w:val="heading 7"/>
    <w:basedOn w:val="Normal"/>
    <w:next w:val="Normal"/>
    <w:link w:val="Heading7Char"/>
    <w:qFormat/>
    <w:rsid w:val="007F3A5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F3A54"/>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7F3A54"/>
    <w:pPr>
      <w:keepLines/>
      <w:jc w:val="center"/>
    </w:pPr>
  </w:style>
  <w:style w:type="paragraph" w:customStyle="1" w:styleId="C3-CtrSp12">
    <w:name w:val="C3-Ctr Sp&amp;1/2"/>
    <w:basedOn w:val="Normal"/>
    <w:rsid w:val="007F3A54"/>
    <w:pPr>
      <w:keepLines/>
      <w:spacing w:line="360" w:lineRule="atLeast"/>
      <w:jc w:val="center"/>
    </w:pPr>
  </w:style>
  <w:style w:type="paragraph" w:customStyle="1" w:styleId="E1-Equation">
    <w:name w:val="E1-Equation"/>
    <w:basedOn w:val="Normal"/>
    <w:rsid w:val="007F3A54"/>
    <w:pPr>
      <w:tabs>
        <w:tab w:val="center" w:pos="4680"/>
        <w:tab w:val="right" w:pos="9360"/>
      </w:tabs>
    </w:pPr>
  </w:style>
  <w:style w:type="paragraph" w:customStyle="1" w:styleId="E2-Equation">
    <w:name w:val="E2-Equation"/>
    <w:basedOn w:val="Normal"/>
    <w:rsid w:val="007F3A54"/>
    <w:pPr>
      <w:tabs>
        <w:tab w:val="right" w:pos="1152"/>
        <w:tab w:val="center" w:pos="1440"/>
        <w:tab w:val="left" w:pos="1728"/>
      </w:tabs>
      <w:ind w:left="1728" w:hanging="1728"/>
    </w:pPr>
  </w:style>
  <w:style w:type="paragraph" w:styleId="Footer">
    <w:name w:val="footer"/>
    <w:basedOn w:val="Normal"/>
    <w:link w:val="FooterChar"/>
    <w:uiPriority w:val="99"/>
    <w:qFormat/>
    <w:rsid w:val="007F3A54"/>
    <w:pPr>
      <w:tabs>
        <w:tab w:val="center" w:pos="4320"/>
        <w:tab w:val="right" w:pos="8640"/>
      </w:tabs>
    </w:pPr>
  </w:style>
  <w:style w:type="paragraph" w:styleId="FootnoteText">
    <w:name w:val="footnote text"/>
    <w:aliases w:val="F1,Footnote Text2,F"/>
    <w:link w:val="FootnoteTextChar"/>
    <w:rsid w:val="007F3A54"/>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qFormat/>
    <w:rsid w:val="007F3A54"/>
    <w:pPr>
      <w:tabs>
        <w:tab w:val="center" w:pos="4320"/>
        <w:tab w:val="right" w:pos="8640"/>
      </w:tabs>
    </w:pPr>
    <w:rPr>
      <w:sz w:val="16"/>
    </w:rPr>
  </w:style>
  <w:style w:type="paragraph" w:customStyle="1" w:styleId="L1-FlLSp12">
    <w:name w:val="L1-FlL Sp&amp;1/2"/>
    <w:basedOn w:val="Normal"/>
    <w:rsid w:val="007F3A54"/>
    <w:pPr>
      <w:tabs>
        <w:tab w:val="left" w:pos="1152"/>
      </w:tabs>
      <w:spacing w:line="360" w:lineRule="atLeast"/>
    </w:pPr>
  </w:style>
  <w:style w:type="paragraph" w:customStyle="1" w:styleId="N0-FlLftBullet">
    <w:name w:val="N0-Fl Lft Bullet"/>
    <w:basedOn w:val="Normal"/>
    <w:rsid w:val="007F3A54"/>
    <w:pPr>
      <w:tabs>
        <w:tab w:val="left" w:pos="576"/>
      </w:tabs>
      <w:spacing w:after="240"/>
      <w:ind w:left="576" w:hanging="576"/>
    </w:pPr>
  </w:style>
  <w:style w:type="paragraph" w:customStyle="1" w:styleId="N1-1stBullet">
    <w:name w:val="N1-1st Bullet"/>
    <w:basedOn w:val="Normal"/>
    <w:link w:val="N1-1stBulletChar"/>
    <w:rsid w:val="007F3A54"/>
    <w:pPr>
      <w:numPr>
        <w:numId w:val="1"/>
      </w:numPr>
      <w:spacing w:after="240"/>
    </w:pPr>
  </w:style>
  <w:style w:type="paragraph" w:customStyle="1" w:styleId="N2-2ndBullet">
    <w:name w:val="N2-2nd Bullet"/>
    <w:basedOn w:val="Normal"/>
    <w:rsid w:val="007F3A54"/>
    <w:pPr>
      <w:numPr>
        <w:numId w:val="2"/>
      </w:numPr>
      <w:spacing w:after="240"/>
    </w:pPr>
  </w:style>
  <w:style w:type="paragraph" w:customStyle="1" w:styleId="N3-3rdBullet">
    <w:name w:val="N3-3rd Bullet"/>
    <w:basedOn w:val="Normal"/>
    <w:rsid w:val="007F3A54"/>
    <w:pPr>
      <w:numPr>
        <w:numId w:val="3"/>
      </w:numPr>
      <w:spacing w:after="240"/>
    </w:pPr>
  </w:style>
  <w:style w:type="paragraph" w:customStyle="1" w:styleId="N4-4thBullet">
    <w:name w:val="N4-4th Bullet"/>
    <w:basedOn w:val="Normal"/>
    <w:rsid w:val="007F3A54"/>
    <w:pPr>
      <w:numPr>
        <w:numId w:val="4"/>
      </w:numPr>
      <w:spacing w:after="240"/>
    </w:pPr>
  </w:style>
  <w:style w:type="paragraph" w:customStyle="1" w:styleId="N5-5thBullet">
    <w:name w:val="N5-5th Bullet"/>
    <w:basedOn w:val="Normal"/>
    <w:rsid w:val="007F3A54"/>
    <w:pPr>
      <w:tabs>
        <w:tab w:val="left" w:pos="3456"/>
      </w:tabs>
      <w:spacing w:after="240"/>
      <w:ind w:left="3456" w:hanging="576"/>
    </w:pPr>
  </w:style>
  <w:style w:type="paragraph" w:customStyle="1" w:styleId="N6-DateInd">
    <w:name w:val="N6-Date Ind."/>
    <w:basedOn w:val="Normal"/>
    <w:rsid w:val="007F3A54"/>
    <w:pPr>
      <w:tabs>
        <w:tab w:val="left" w:pos="4910"/>
      </w:tabs>
      <w:ind w:left="4910"/>
    </w:pPr>
  </w:style>
  <w:style w:type="paragraph" w:customStyle="1" w:styleId="N7-3Block">
    <w:name w:val="N7-3&quot; Block"/>
    <w:basedOn w:val="Normal"/>
    <w:rsid w:val="007F3A54"/>
    <w:pPr>
      <w:tabs>
        <w:tab w:val="left" w:pos="1152"/>
      </w:tabs>
      <w:ind w:left="1152" w:right="1152"/>
    </w:pPr>
  </w:style>
  <w:style w:type="paragraph" w:customStyle="1" w:styleId="N8-QxQBlock">
    <w:name w:val="N8-QxQ Block"/>
    <w:basedOn w:val="Normal"/>
    <w:rsid w:val="007F3A54"/>
    <w:pPr>
      <w:tabs>
        <w:tab w:val="left" w:pos="1152"/>
      </w:tabs>
      <w:spacing w:after="360" w:line="360" w:lineRule="atLeast"/>
      <w:ind w:left="1152" w:hanging="1152"/>
    </w:pPr>
  </w:style>
  <w:style w:type="paragraph" w:customStyle="1" w:styleId="P1-StandPara">
    <w:name w:val="P1-Stand Para"/>
    <w:basedOn w:val="Normal"/>
    <w:link w:val="P1-StandParaChar"/>
    <w:rsid w:val="007F3A54"/>
    <w:pPr>
      <w:spacing w:line="360" w:lineRule="atLeast"/>
      <w:ind w:firstLine="1152"/>
    </w:pPr>
  </w:style>
  <w:style w:type="paragraph" w:customStyle="1" w:styleId="Q1-BestFinQ">
    <w:name w:val="Q1-Best/Fin Q"/>
    <w:basedOn w:val="Heading1"/>
    <w:rsid w:val="007F3A54"/>
    <w:pPr>
      <w:spacing w:line="240" w:lineRule="atLeast"/>
    </w:pPr>
    <w:rPr>
      <w:rFonts w:cs="Times New Roman Bold"/>
      <w:color w:val="auto"/>
      <w:sz w:val="24"/>
    </w:rPr>
  </w:style>
  <w:style w:type="paragraph" w:customStyle="1" w:styleId="SH-SglSpHead">
    <w:name w:val="SH-Sgl Sp Head"/>
    <w:basedOn w:val="Heading1"/>
    <w:rsid w:val="007F3A54"/>
    <w:pPr>
      <w:tabs>
        <w:tab w:val="left" w:pos="576"/>
      </w:tabs>
      <w:spacing w:line="240" w:lineRule="atLeast"/>
      <w:ind w:left="576" w:hanging="576"/>
    </w:pPr>
    <w:rPr>
      <w:b w:val="0"/>
      <w:sz w:val="24"/>
    </w:rPr>
  </w:style>
  <w:style w:type="paragraph" w:customStyle="1" w:styleId="SL-FlLftSgl">
    <w:name w:val="SL-Fl Lft Sgl"/>
    <w:basedOn w:val="Normal"/>
    <w:rsid w:val="007F3A54"/>
  </w:style>
  <w:style w:type="paragraph" w:customStyle="1" w:styleId="SP-SglSpPara">
    <w:name w:val="SP-Sgl Sp Para"/>
    <w:basedOn w:val="Normal"/>
    <w:rsid w:val="007F3A54"/>
    <w:pPr>
      <w:tabs>
        <w:tab w:val="left" w:pos="576"/>
      </w:tabs>
      <w:ind w:firstLine="576"/>
    </w:pPr>
  </w:style>
  <w:style w:type="paragraph" w:customStyle="1" w:styleId="T0-ChapPgHd">
    <w:name w:val="T0-Chap/Pg Hd"/>
    <w:basedOn w:val="Normal"/>
    <w:rsid w:val="007A6662"/>
    <w:pPr>
      <w:tabs>
        <w:tab w:val="left" w:pos="8640"/>
      </w:tabs>
    </w:pPr>
    <w:rPr>
      <w:rFonts w:ascii="Franklin Gothic Medium" w:hAnsi="Franklin Gothic Medium"/>
      <w:szCs w:val="24"/>
      <w:u w:val="words"/>
    </w:rPr>
  </w:style>
  <w:style w:type="paragraph" w:styleId="TOC1">
    <w:name w:val="toc 1"/>
    <w:basedOn w:val="Normal"/>
    <w:uiPriority w:val="39"/>
    <w:rsid w:val="007F3A54"/>
    <w:pPr>
      <w:tabs>
        <w:tab w:val="left" w:pos="1440"/>
        <w:tab w:val="right" w:leader="dot" w:pos="8208"/>
        <w:tab w:val="left" w:pos="8640"/>
      </w:tabs>
      <w:ind w:left="1440" w:right="1800" w:hanging="1152"/>
    </w:pPr>
  </w:style>
  <w:style w:type="paragraph" w:styleId="TOC2">
    <w:name w:val="toc 2"/>
    <w:basedOn w:val="Normal"/>
    <w:uiPriority w:val="39"/>
    <w:rsid w:val="007F3A54"/>
    <w:pPr>
      <w:tabs>
        <w:tab w:val="left" w:pos="2160"/>
        <w:tab w:val="right" w:leader="dot" w:pos="8208"/>
        <w:tab w:val="left" w:pos="8640"/>
      </w:tabs>
      <w:ind w:left="2160" w:right="1800" w:hanging="720"/>
    </w:pPr>
    <w:rPr>
      <w:szCs w:val="22"/>
    </w:rPr>
  </w:style>
  <w:style w:type="paragraph" w:styleId="TOC3">
    <w:name w:val="toc 3"/>
    <w:basedOn w:val="Normal"/>
    <w:semiHidden/>
    <w:rsid w:val="007F3A54"/>
    <w:pPr>
      <w:tabs>
        <w:tab w:val="left" w:pos="3024"/>
        <w:tab w:val="right" w:leader="dot" w:pos="8208"/>
        <w:tab w:val="left" w:pos="8640"/>
      </w:tabs>
      <w:ind w:left="3024" w:right="1800" w:hanging="864"/>
    </w:pPr>
  </w:style>
  <w:style w:type="paragraph" w:styleId="TOC4">
    <w:name w:val="toc 4"/>
    <w:basedOn w:val="Normal"/>
    <w:semiHidden/>
    <w:rsid w:val="007F3A54"/>
    <w:pPr>
      <w:tabs>
        <w:tab w:val="left" w:pos="3888"/>
        <w:tab w:val="right" w:leader="dot" w:pos="8208"/>
        <w:tab w:val="left" w:pos="8640"/>
      </w:tabs>
      <w:ind w:left="3888" w:right="1800" w:hanging="864"/>
    </w:pPr>
  </w:style>
  <w:style w:type="paragraph" w:styleId="TOC5">
    <w:name w:val="toc 5"/>
    <w:basedOn w:val="Normal"/>
    <w:semiHidden/>
    <w:rsid w:val="007F3A54"/>
    <w:pPr>
      <w:tabs>
        <w:tab w:val="left" w:pos="1440"/>
        <w:tab w:val="right" w:leader="dot" w:pos="8208"/>
        <w:tab w:val="left" w:pos="8640"/>
      </w:tabs>
      <w:ind w:left="1440" w:right="1800" w:hanging="1152"/>
    </w:pPr>
  </w:style>
  <w:style w:type="paragraph" w:customStyle="1" w:styleId="TT-TableTitle">
    <w:name w:val="TT-Table Title"/>
    <w:basedOn w:val="Heading1"/>
    <w:rsid w:val="007F3A54"/>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7F3A54"/>
    <w:pPr>
      <w:tabs>
        <w:tab w:val="left" w:pos="2232"/>
      </w:tabs>
      <w:spacing w:line="240" w:lineRule="exact"/>
    </w:pPr>
    <w:rPr>
      <w:vanish/>
    </w:rPr>
  </w:style>
  <w:style w:type="paragraph" w:customStyle="1" w:styleId="R1-ResPara">
    <w:name w:val="R1-Res. Para"/>
    <w:basedOn w:val="Normal"/>
    <w:rsid w:val="007F3A54"/>
    <w:pPr>
      <w:ind w:left="288"/>
    </w:pPr>
  </w:style>
  <w:style w:type="paragraph" w:customStyle="1" w:styleId="R2-ResBullet">
    <w:name w:val="R2-Res Bullet"/>
    <w:basedOn w:val="Normal"/>
    <w:rsid w:val="007F3A54"/>
    <w:pPr>
      <w:tabs>
        <w:tab w:val="left" w:pos="720"/>
      </w:tabs>
      <w:ind w:left="720" w:hanging="432"/>
    </w:pPr>
  </w:style>
  <w:style w:type="paragraph" w:customStyle="1" w:styleId="RF-Reference">
    <w:name w:val="RF-Reference"/>
    <w:basedOn w:val="Normal"/>
    <w:rsid w:val="007F3A54"/>
    <w:pPr>
      <w:spacing w:line="240" w:lineRule="exact"/>
      <w:ind w:left="216" w:hanging="216"/>
    </w:pPr>
  </w:style>
  <w:style w:type="paragraph" w:customStyle="1" w:styleId="RH-SglSpHead">
    <w:name w:val="RH-Sgl Sp Head"/>
    <w:basedOn w:val="Heading1"/>
    <w:next w:val="RL-FlLftSgl"/>
    <w:rsid w:val="007F3A54"/>
    <w:pPr>
      <w:pBdr>
        <w:bottom w:val="single" w:sz="24" w:space="1" w:color="AFBED9"/>
      </w:pBdr>
      <w:spacing w:after="480" w:line="360" w:lineRule="exact"/>
    </w:pPr>
    <w:rPr>
      <w:sz w:val="36"/>
      <w:u w:color="324162"/>
    </w:rPr>
  </w:style>
  <w:style w:type="paragraph" w:customStyle="1" w:styleId="RL-FlLftSgl">
    <w:name w:val="RL-Fl Lft Sgl"/>
    <w:basedOn w:val="Heading1"/>
    <w:rsid w:val="007F3A54"/>
    <w:pPr>
      <w:spacing w:after="0" w:line="240" w:lineRule="atLeast"/>
      <w:ind w:left="0" w:firstLine="0"/>
    </w:pPr>
    <w:rPr>
      <w:sz w:val="24"/>
    </w:rPr>
  </w:style>
  <w:style w:type="paragraph" w:customStyle="1" w:styleId="SU-FlLftUndln">
    <w:name w:val="SU-Fl Lft Undln"/>
    <w:basedOn w:val="Normal"/>
    <w:rsid w:val="007F3A54"/>
    <w:pPr>
      <w:keepNext/>
      <w:spacing w:line="240" w:lineRule="exact"/>
    </w:pPr>
    <w:rPr>
      <w:u w:val="single"/>
    </w:rPr>
  </w:style>
  <w:style w:type="paragraph" w:customStyle="1" w:styleId="Header-1">
    <w:name w:val="Header-1"/>
    <w:basedOn w:val="Heading1"/>
    <w:rsid w:val="007F3A54"/>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7F3A54"/>
    <w:pPr>
      <w:spacing w:after="0"/>
      <w:jc w:val="right"/>
    </w:pPr>
    <w:rPr>
      <w:sz w:val="40"/>
    </w:rPr>
  </w:style>
  <w:style w:type="character" w:styleId="PageNumber">
    <w:name w:val="page number"/>
    <w:basedOn w:val="DefaultParagraphFont"/>
    <w:qFormat/>
    <w:rsid w:val="007F3A54"/>
  </w:style>
  <w:style w:type="paragraph" w:customStyle="1" w:styleId="R0-FLLftSglBoldItalic">
    <w:name w:val="R0-FL Lft Sgl Bold Italic"/>
    <w:basedOn w:val="Heading1"/>
    <w:rsid w:val="007F3A54"/>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7F3A54"/>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7F3A54"/>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7F3A54"/>
    <w:rPr>
      <w:rFonts w:ascii="Franklin Gothic Medium" w:hAnsi="Franklin Gothic Medium"/>
    </w:rPr>
  </w:style>
  <w:style w:type="paragraph" w:customStyle="1" w:styleId="TH-TableHeading">
    <w:name w:val="TH-Table Heading"/>
    <w:basedOn w:val="Heading1"/>
    <w:uiPriority w:val="99"/>
    <w:rsid w:val="007F3A54"/>
    <w:pPr>
      <w:spacing w:after="0" w:line="240" w:lineRule="atLeast"/>
      <w:ind w:left="0" w:firstLine="0"/>
      <w:jc w:val="center"/>
    </w:pPr>
    <w:rPr>
      <w:color w:val="auto"/>
      <w:sz w:val="20"/>
    </w:rPr>
  </w:style>
  <w:style w:type="paragraph" w:styleId="TOC6">
    <w:name w:val="toc 6"/>
    <w:semiHidden/>
    <w:rsid w:val="007F3A54"/>
    <w:pPr>
      <w:tabs>
        <w:tab w:val="right" w:leader="dot" w:pos="8208"/>
        <w:tab w:val="left" w:pos="8640"/>
      </w:tabs>
      <w:ind w:left="288" w:right="1800"/>
    </w:pPr>
    <w:rPr>
      <w:rFonts w:ascii="Garamond" w:hAnsi="Garamond"/>
      <w:sz w:val="24"/>
      <w:szCs w:val="22"/>
    </w:rPr>
  </w:style>
  <w:style w:type="paragraph" w:styleId="TOC7">
    <w:name w:val="toc 7"/>
    <w:semiHidden/>
    <w:rsid w:val="007F3A54"/>
    <w:pPr>
      <w:tabs>
        <w:tab w:val="right" w:leader="dot" w:pos="8208"/>
        <w:tab w:val="left" w:pos="8640"/>
      </w:tabs>
      <w:ind w:left="1440" w:right="1800"/>
    </w:pPr>
    <w:rPr>
      <w:rFonts w:ascii="Garamond" w:hAnsi="Garamond"/>
      <w:sz w:val="24"/>
      <w:szCs w:val="22"/>
    </w:rPr>
  </w:style>
  <w:style w:type="paragraph" w:styleId="TOC8">
    <w:name w:val="toc 8"/>
    <w:semiHidden/>
    <w:rsid w:val="007F3A54"/>
    <w:pPr>
      <w:tabs>
        <w:tab w:val="right" w:leader="dot" w:pos="8208"/>
        <w:tab w:val="left" w:pos="8640"/>
      </w:tabs>
      <w:ind w:left="2160" w:right="1800"/>
    </w:pPr>
    <w:rPr>
      <w:rFonts w:ascii="Garamond" w:hAnsi="Garamond"/>
      <w:sz w:val="24"/>
      <w:szCs w:val="22"/>
    </w:rPr>
  </w:style>
  <w:style w:type="paragraph" w:styleId="TOC9">
    <w:name w:val="toc 9"/>
    <w:semiHidden/>
    <w:rsid w:val="007F3A54"/>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uiPriority w:val="99"/>
    <w:rsid w:val="007F3A54"/>
    <w:rPr>
      <w:rFonts w:ascii="Franklin Gothic Medium" w:hAnsi="Franklin Gothic Medium"/>
      <w:sz w:val="20"/>
    </w:rPr>
  </w:style>
  <w:style w:type="paragraph" w:styleId="ListParagraph">
    <w:name w:val="List Paragraph"/>
    <w:basedOn w:val="Normal"/>
    <w:uiPriority w:val="34"/>
    <w:qFormat/>
    <w:rsid w:val="00F441C4"/>
    <w:pPr>
      <w:spacing w:after="200" w:line="276" w:lineRule="auto"/>
      <w:ind w:left="720"/>
      <w:contextualSpacing/>
    </w:pPr>
    <w:rPr>
      <w:rFonts w:eastAsiaTheme="minorHAnsi" w:cstheme="minorBidi"/>
      <w:szCs w:val="22"/>
    </w:rPr>
  </w:style>
  <w:style w:type="character" w:customStyle="1" w:styleId="Heading6Char">
    <w:name w:val="Heading 6 Char"/>
    <w:basedOn w:val="DefaultParagraphFont"/>
    <w:link w:val="Heading6"/>
    <w:rsid w:val="006D3765"/>
    <w:rPr>
      <w:rFonts w:ascii="Garamond" w:hAnsi="Garamond"/>
      <w:b/>
      <w:caps/>
      <w:sz w:val="24"/>
    </w:rPr>
  </w:style>
  <w:style w:type="character" w:customStyle="1" w:styleId="P1-StandParaChar">
    <w:name w:val="P1-Stand Para Char"/>
    <w:basedOn w:val="DefaultParagraphFont"/>
    <w:link w:val="P1-StandPara"/>
    <w:rsid w:val="006D3765"/>
    <w:rPr>
      <w:rFonts w:ascii="Garamond" w:hAnsi="Garamond"/>
      <w:sz w:val="24"/>
    </w:rPr>
  </w:style>
  <w:style w:type="paragraph" w:styleId="BodyTextIndent3">
    <w:name w:val="Body Text Indent 3"/>
    <w:basedOn w:val="Normal"/>
    <w:link w:val="BodyTextIndent3Char"/>
    <w:rsid w:val="006D3765"/>
    <w:pPr>
      <w:widowControl w:val="0"/>
      <w:tabs>
        <w:tab w:val="left" w:pos="0"/>
      </w:tabs>
      <w:suppressAutoHyphens/>
      <w:autoSpaceDE w:val="0"/>
      <w:autoSpaceDN w:val="0"/>
      <w:adjustRightInd w:val="0"/>
    </w:pPr>
    <w:rPr>
      <w:sz w:val="22"/>
      <w:szCs w:val="22"/>
    </w:rPr>
  </w:style>
  <w:style w:type="character" w:customStyle="1" w:styleId="BodyTextIndent3Char">
    <w:name w:val="Body Text Indent 3 Char"/>
    <w:basedOn w:val="DefaultParagraphFont"/>
    <w:link w:val="BodyTextIndent3"/>
    <w:rsid w:val="006D3765"/>
    <w:rPr>
      <w:sz w:val="22"/>
      <w:szCs w:val="22"/>
    </w:rPr>
  </w:style>
  <w:style w:type="table" w:styleId="TableGrid">
    <w:name w:val="Table Grid"/>
    <w:basedOn w:val="TableNormal"/>
    <w:uiPriority w:val="59"/>
    <w:rsid w:val="006D376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aliases w:val="F1 Char,Footnote Text2 Char,F Char"/>
    <w:basedOn w:val="DefaultParagraphFont"/>
    <w:link w:val="FootnoteText"/>
    <w:uiPriority w:val="99"/>
    <w:rsid w:val="006D3765"/>
    <w:rPr>
      <w:rFonts w:ascii="Garamond" w:hAnsi="Garamond"/>
      <w:sz w:val="16"/>
    </w:rPr>
  </w:style>
  <w:style w:type="paragraph" w:customStyle="1" w:styleId="StyleN1-1stBulletRight-013">
    <w:name w:val="Style N1-1st Bullet + Right:  -0.13&quot;"/>
    <w:basedOn w:val="N1-1stBullet"/>
    <w:rsid w:val="006D3765"/>
    <w:pPr>
      <w:numPr>
        <w:numId w:val="0"/>
      </w:numPr>
      <w:tabs>
        <w:tab w:val="num" w:pos="1728"/>
      </w:tabs>
      <w:spacing w:after="0"/>
      <w:ind w:left="1728" w:right="-187" w:hanging="576"/>
    </w:pPr>
    <w:rPr>
      <w:sz w:val="22"/>
    </w:rPr>
  </w:style>
  <w:style w:type="paragraph" w:styleId="NormalWeb">
    <w:name w:val="Normal (Web)"/>
    <w:basedOn w:val="Normal"/>
    <w:uiPriority w:val="99"/>
    <w:unhideWhenUsed/>
    <w:rsid w:val="006D3765"/>
    <w:pPr>
      <w:spacing w:before="100" w:beforeAutospacing="1" w:after="100" w:afterAutospacing="1" w:line="240" w:lineRule="auto"/>
    </w:pPr>
    <w:rPr>
      <w:szCs w:val="24"/>
    </w:rPr>
  </w:style>
  <w:style w:type="paragraph" w:styleId="BalloonText">
    <w:name w:val="Balloon Text"/>
    <w:basedOn w:val="Normal"/>
    <w:link w:val="BalloonTextChar"/>
    <w:uiPriority w:val="99"/>
    <w:semiHidden/>
    <w:unhideWhenUsed/>
    <w:rsid w:val="006D3765"/>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D3765"/>
    <w:rPr>
      <w:rFonts w:ascii="Tahoma" w:eastAsiaTheme="minorHAnsi" w:hAnsi="Tahoma" w:cs="Tahoma"/>
      <w:sz w:val="16"/>
      <w:szCs w:val="16"/>
    </w:rPr>
  </w:style>
  <w:style w:type="paragraph" w:styleId="BodyTextIndent2">
    <w:name w:val="Body Text Indent 2"/>
    <w:basedOn w:val="Normal"/>
    <w:link w:val="BodyTextIndent2Char"/>
    <w:uiPriority w:val="99"/>
    <w:unhideWhenUsed/>
    <w:rsid w:val="006D3765"/>
    <w:pPr>
      <w:spacing w:after="120"/>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6D3765"/>
    <w:rPr>
      <w:rFonts w:asciiTheme="minorHAnsi" w:eastAsiaTheme="minorHAnsi" w:hAnsiTheme="minorHAnsi" w:cstheme="minorBidi"/>
      <w:sz w:val="22"/>
      <w:szCs w:val="22"/>
    </w:rPr>
  </w:style>
  <w:style w:type="character" w:customStyle="1" w:styleId="N1-1stBulletChar">
    <w:name w:val="N1-1st Bullet Char"/>
    <w:basedOn w:val="DefaultParagraphFont"/>
    <w:link w:val="N1-1stBullet"/>
    <w:locked/>
    <w:rsid w:val="006D3765"/>
    <w:rPr>
      <w:rFonts w:ascii="Garamond" w:hAnsi="Garamond"/>
      <w:sz w:val="24"/>
    </w:rPr>
  </w:style>
  <w:style w:type="character" w:customStyle="1" w:styleId="Heading1Char">
    <w:name w:val="Heading 1 Char"/>
    <w:aliases w:val="H1-Sec.Head Char"/>
    <w:basedOn w:val="DefaultParagraphFont"/>
    <w:link w:val="Heading1"/>
    <w:rsid w:val="006D3765"/>
    <w:rPr>
      <w:rFonts w:ascii="Franklin Gothic Medium" w:hAnsi="Franklin Gothic Medium"/>
      <w:b/>
      <w:color w:val="324162"/>
      <w:sz w:val="32"/>
    </w:rPr>
  </w:style>
  <w:style w:type="character" w:styleId="CommentReference">
    <w:name w:val="annotation reference"/>
    <w:basedOn w:val="DefaultParagraphFont"/>
    <w:uiPriority w:val="99"/>
    <w:semiHidden/>
    <w:unhideWhenUsed/>
    <w:rsid w:val="006D3765"/>
    <w:rPr>
      <w:sz w:val="16"/>
      <w:szCs w:val="16"/>
    </w:rPr>
  </w:style>
  <w:style w:type="paragraph" w:styleId="CommentText">
    <w:name w:val="annotation text"/>
    <w:basedOn w:val="Normal"/>
    <w:link w:val="CommentTextChar"/>
    <w:uiPriority w:val="99"/>
    <w:unhideWhenUsed/>
    <w:rsid w:val="006D3765"/>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D376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D3765"/>
    <w:rPr>
      <w:b/>
      <w:bCs/>
    </w:rPr>
  </w:style>
  <w:style w:type="character" w:customStyle="1" w:styleId="CommentSubjectChar">
    <w:name w:val="Comment Subject Char"/>
    <w:basedOn w:val="CommentTextChar"/>
    <w:link w:val="CommentSubject"/>
    <w:uiPriority w:val="99"/>
    <w:semiHidden/>
    <w:rsid w:val="006D3765"/>
    <w:rPr>
      <w:rFonts w:asciiTheme="minorHAnsi" w:eastAsiaTheme="minorHAnsi" w:hAnsiTheme="minorHAnsi" w:cstheme="minorBidi"/>
      <w:b/>
      <w:bCs/>
    </w:rPr>
  </w:style>
  <w:style w:type="paragraph" w:styleId="BodyTextIndent">
    <w:name w:val="Body Text Indent"/>
    <w:basedOn w:val="Normal"/>
    <w:link w:val="BodyTextIndentChar"/>
    <w:uiPriority w:val="99"/>
    <w:unhideWhenUsed/>
    <w:rsid w:val="006D3765"/>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6D3765"/>
    <w:rPr>
      <w:rFonts w:asciiTheme="minorHAnsi" w:eastAsiaTheme="minorHAnsi" w:hAnsiTheme="minorHAnsi" w:cstheme="minorBidi"/>
      <w:sz w:val="22"/>
      <w:szCs w:val="22"/>
    </w:rPr>
  </w:style>
  <w:style w:type="character" w:styleId="Hyperlink">
    <w:name w:val="Hyperlink"/>
    <w:basedOn w:val="DefaultParagraphFont"/>
    <w:uiPriority w:val="99"/>
    <w:rsid w:val="006D3765"/>
    <w:rPr>
      <w:rFonts w:cs="Times New Roman"/>
      <w:color w:val="0000FF"/>
      <w:u w:val="single"/>
    </w:rPr>
  </w:style>
  <w:style w:type="table" w:customStyle="1" w:styleId="LightShading-Accent11">
    <w:name w:val="Light Shading - Accent 11"/>
    <w:basedOn w:val="TableNormal"/>
    <w:uiPriority w:val="60"/>
    <w:rsid w:val="006D3765"/>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6D3765"/>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D3765"/>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3765"/>
    <w:rPr>
      <w:rFonts w:ascii="Garamond" w:hAnsi="Garamond"/>
      <w:sz w:val="16"/>
    </w:rPr>
  </w:style>
  <w:style w:type="character" w:customStyle="1" w:styleId="FooterChar">
    <w:name w:val="Footer Char"/>
    <w:basedOn w:val="DefaultParagraphFont"/>
    <w:link w:val="Footer"/>
    <w:uiPriority w:val="99"/>
    <w:rsid w:val="006D3765"/>
    <w:rPr>
      <w:rFonts w:ascii="Garamond" w:hAnsi="Garamond"/>
      <w:sz w:val="24"/>
    </w:rPr>
  </w:style>
  <w:style w:type="character" w:customStyle="1" w:styleId="Heading4Char">
    <w:name w:val="Heading 4 Char"/>
    <w:aliases w:val="H4 Sec.Heading Char"/>
    <w:basedOn w:val="DefaultParagraphFont"/>
    <w:link w:val="Heading4"/>
    <w:rsid w:val="006D3765"/>
    <w:rPr>
      <w:rFonts w:ascii="Franklin Gothic Medium" w:hAnsi="Franklin Gothic Medium"/>
      <w:b/>
      <w:i/>
      <w:sz w:val="24"/>
    </w:rPr>
  </w:style>
  <w:style w:type="character" w:customStyle="1" w:styleId="Heading2Char">
    <w:name w:val="Heading 2 Char"/>
    <w:aliases w:val="H2-Sec. Head Char"/>
    <w:basedOn w:val="DefaultParagraphFont"/>
    <w:link w:val="Heading2"/>
    <w:rsid w:val="006D3765"/>
    <w:rPr>
      <w:rFonts w:ascii="Franklin Gothic Medium" w:hAnsi="Franklin Gothic Medium"/>
      <w:b/>
      <w:color w:val="324162"/>
      <w:sz w:val="28"/>
    </w:rPr>
  </w:style>
  <w:style w:type="character" w:customStyle="1" w:styleId="Heading3Char">
    <w:name w:val="Heading 3 Char"/>
    <w:aliases w:val="H3-Sec. Head Char"/>
    <w:basedOn w:val="DefaultParagraphFont"/>
    <w:link w:val="Heading3"/>
    <w:rsid w:val="006D3765"/>
    <w:rPr>
      <w:rFonts w:ascii="Franklin Gothic Medium" w:hAnsi="Franklin Gothic Medium"/>
      <w:b/>
      <w:sz w:val="24"/>
    </w:rPr>
  </w:style>
  <w:style w:type="character" w:customStyle="1" w:styleId="Heading5Char">
    <w:name w:val="Heading 5 Char"/>
    <w:basedOn w:val="DefaultParagraphFont"/>
    <w:link w:val="Heading5"/>
    <w:rsid w:val="006D3765"/>
    <w:rPr>
      <w:rFonts w:ascii="Garamond" w:hAnsi="Garamond"/>
      <w:sz w:val="24"/>
    </w:rPr>
  </w:style>
  <w:style w:type="character" w:customStyle="1" w:styleId="Heading7Char">
    <w:name w:val="Heading 7 Char"/>
    <w:basedOn w:val="DefaultParagraphFont"/>
    <w:link w:val="Heading7"/>
    <w:rsid w:val="006D3765"/>
    <w:rPr>
      <w:rFonts w:ascii="Garamond" w:hAnsi="Garamond"/>
      <w:sz w:val="24"/>
    </w:rPr>
  </w:style>
  <w:style w:type="paragraph" w:customStyle="1" w:styleId="L1-FlLfSp12">
    <w:name w:val="L1-FlLfSp&amp;1/2"/>
    <w:rsid w:val="006D3765"/>
    <w:pPr>
      <w:tabs>
        <w:tab w:val="left" w:pos="1152"/>
      </w:tabs>
      <w:spacing w:line="360" w:lineRule="atLeast"/>
      <w:jc w:val="both"/>
    </w:pPr>
    <w:rPr>
      <w:rFonts w:ascii="Arial" w:hAnsi="Arial"/>
    </w:rPr>
  </w:style>
  <w:style w:type="paragraph" w:customStyle="1" w:styleId="Q1-FirstLevelQuestion">
    <w:name w:val="Q1-First Level Question"/>
    <w:rsid w:val="006D3765"/>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6D3765"/>
    <w:pPr>
      <w:tabs>
        <w:tab w:val="left" w:pos="1440"/>
      </w:tabs>
      <w:spacing w:line="240" w:lineRule="atLeast"/>
      <w:ind w:left="1440" w:hanging="720"/>
      <w:jc w:val="both"/>
    </w:pPr>
    <w:rPr>
      <w:rFonts w:ascii="Arial" w:hAnsi="Arial"/>
    </w:rPr>
  </w:style>
  <w:style w:type="paragraph" w:customStyle="1" w:styleId="A1-1stLeader">
    <w:name w:val="A1-1st Leader"/>
    <w:rsid w:val="006D3765"/>
    <w:pPr>
      <w:keepNext/>
      <w:keepLines/>
      <w:tabs>
        <w:tab w:val="right" w:leader="dot" w:pos="7200"/>
        <w:tab w:val="right" w:pos="7488"/>
        <w:tab w:val="left" w:pos="7632"/>
      </w:tabs>
      <w:spacing w:after="60" w:line="240" w:lineRule="atLeast"/>
      <w:ind w:left="1638" w:right="3318" w:hanging="198"/>
    </w:pPr>
    <w:rPr>
      <w:rFonts w:ascii="Arial" w:hAnsi="Arial"/>
    </w:rPr>
  </w:style>
  <w:style w:type="paragraph" w:customStyle="1" w:styleId="A3-1stTabLeader">
    <w:name w:val="A3-1st Tab Leader"/>
    <w:rsid w:val="006D3765"/>
    <w:pPr>
      <w:tabs>
        <w:tab w:val="left" w:pos="1872"/>
        <w:tab w:val="right" w:leader="dot" w:pos="7200"/>
        <w:tab w:val="right" w:pos="7488"/>
        <w:tab w:val="left" w:pos="7632"/>
      </w:tabs>
      <w:spacing w:after="60" w:line="240" w:lineRule="atLeast"/>
      <w:ind w:left="1440"/>
    </w:pPr>
    <w:rPr>
      <w:rFonts w:ascii="Arial" w:hAnsi="Arial"/>
    </w:rPr>
  </w:style>
  <w:style w:type="paragraph" w:customStyle="1" w:styleId="A4-1stTabLine">
    <w:name w:val="A4-1st Tab Line"/>
    <w:rsid w:val="006D3765"/>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6D3765"/>
    <w:pPr>
      <w:keepNext/>
      <w:keepLines/>
      <w:tabs>
        <w:tab w:val="right" w:leader="dot" w:pos="7200"/>
        <w:tab w:val="right" w:pos="7488"/>
        <w:tab w:val="left" w:pos="7632"/>
      </w:tabs>
      <w:spacing w:after="60" w:line="240" w:lineRule="atLeast"/>
      <w:ind w:left="3600"/>
    </w:pPr>
    <w:rPr>
      <w:rFonts w:ascii="Arial" w:hAnsi="Arial"/>
    </w:rPr>
  </w:style>
  <w:style w:type="paragraph" w:customStyle="1" w:styleId="A6-2ndLine">
    <w:name w:val="A6-2nd Line"/>
    <w:rsid w:val="006D3765"/>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6D3765"/>
    <w:pPr>
      <w:keepNext/>
      <w:keepLines/>
      <w:tabs>
        <w:tab w:val="right" w:leader="underscore" w:pos="7200"/>
        <w:tab w:val="right" w:pos="7488"/>
        <w:tab w:val="left" w:pos="7632"/>
      </w:tabs>
      <w:spacing w:after="60" w:line="240" w:lineRule="atLeast"/>
      <w:ind w:left="1642" w:right="3312" w:hanging="202"/>
    </w:pPr>
    <w:rPr>
      <w:rFonts w:ascii="Arial" w:hAnsi="Arial"/>
    </w:rPr>
  </w:style>
  <w:style w:type="paragraph" w:customStyle="1" w:styleId="Y0-YNHead">
    <w:name w:val="Y0-Y/N Head"/>
    <w:rsid w:val="006D3765"/>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6D3765"/>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hAnsi="Arial"/>
    </w:rPr>
  </w:style>
  <w:style w:type="paragraph" w:customStyle="1" w:styleId="Y4-YNTabLine">
    <w:name w:val="Y4-Y/N Tab Line"/>
    <w:rsid w:val="006D3765"/>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6D3765"/>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6D3765"/>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6D3765"/>
    <w:pPr>
      <w:tabs>
        <w:tab w:val="right" w:leader="dot" w:pos="7200"/>
        <w:tab w:val="center" w:pos="7632"/>
        <w:tab w:val="center" w:pos="8352"/>
        <w:tab w:val="center" w:pos="9072"/>
      </w:tabs>
      <w:spacing w:after="60" w:line="240" w:lineRule="atLeast"/>
      <w:ind w:left="1642" w:right="3312" w:hanging="202"/>
    </w:pPr>
    <w:rPr>
      <w:rFonts w:ascii="Arial" w:hAnsi="Arial"/>
    </w:rPr>
  </w:style>
  <w:style w:type="paragraph" w:customStyle="1" w:styleId="Y2-YN1stLine">
    <w:name w:val="Y2-Y/N 1st Line"/>
    <w:rsid w:val="006D3765"/>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6D3765"/>
    <w:rPr>
      <w:b/>
      <w:i/>
      <w:vanish/>
      <w:color w:val="000000"/>
    </w:rPr>
  </w:style>
  <w:style w:type="paragraph" w:customStyle="1" w:styleId="AnnotatedParagraph">
    <w:name w:val="AnnotatedParagraph"/>
    <w:basedOn w:val="Normal"/>
    <w:rsid w:val="006D3765"/>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nhideWhenUsed/>
    <w:rsid w:val="006D3765"/>
    <w:rPr>
      <w:vertAlign w:val="superscript"/>
    </w:rPr>
  </w:style>
  <w:style w:type="paragraph" w:customStyle="1" w:styleId="Pa2">
    <w:name w:val="Pa2"/>
    <w:basedOn w:val="Normal"/>
    <w:next w:val="Normal"/>
    <w:uiPriority w:val="99"/>
    <w:rsid w:val="006D3765"/>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6D3765"/>
    <w:rPr>
      <w:b/>
      <w:bCs/>
    </w:rPr>
  </w:style>
  <w:style w:type="paragraph" w:styleId="ListBullet">
    <w:name w:val="List Bullet"/>
    <w:basedOn w:val="Normal"/>
    <w:uiPriority w:val="99"/>
    <w:unhideWhenUsed/>
    <w:rsid w:val="006D3765"/>
    <w:pPr>
      <w:numPr>
        <w:numId w:val="5"/>
      </w:numPr>
      <w:spacing w:line="360" w:lineRule="atLeast"/>
      <w:contextualSpacing/>
      <w:jc w:val="both"/>
    </w:pPr>
    <w:rPr>
      <w:rFonts w:ascii="Arial" w:hAnsi="Arial"/>
      <w:sz w:val="20"/>
    </w:rPr>
  </w:style>
  <w:style w:type="paragraph" w:styleId="Revision">
    <w:name w:val="Revision"/>
    <w:hidden/>
    <w:uiPriority w:val="99"/>
    <w:semiHidden/>
    <w:rsid w:val="006D3765"/>
    <w:rPr>
      <w:rFonts w:ascii="Arial" w:hAnsi="Arial"/>
    </w:rPr>
  </w:style>
  <w:style w:type="paragraph" w:styleId="NoSpacing">
    <w:name w:val="No Spacing"/>
    <w:uiPriority w:val="1"/>
    <w:qFormat/>
    <w:rsid w:val="00A634FC"/>
    <w:rPr>
      <w:rFonts w:eastAsia="Calibri"/>
      <w:sz w:val="24"/>
      <w:szCs w:val="22"/>
    </w:rPr>
  </w:style>
  <w:style w:type="paragraph" w:styleId="HTMLPreformatted">
    <w:name w:val="HTML Preformatted"/>
    <w:basedOn w:val="Normal"/>
    <w:link w:val="HTMLPreformattedChar"/>
    <w:uiPriority w:val="99"/>
    <w:unhideWhenUsed/>
    <w:rsid w:val="006D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D3765"/>
    <w:rPr>
      <w:rFonts w:ascii="Courier New" w:hAnsi="Courier New" w:cs="Courier New"/>
    </w:rPr>
  </w:style>
  <w:style w:type="paragraph" w:styleId="TableofFigures">
    <w:name w:val="table of figures"/>
    <w:basedOn w:val="Normal"/>
    <w:next w:val="Normal"/>
    <w:uiPriority w:val="99"/>
    <w:unhideWhenUsed/>
    <w:rsid w:val="00BD17FD"/>
  </w:style>
  <w:style w:type="paragraph" w:customStyle="1" w:styleId="bodytextblack">
    <w:name w:val="bodytextblack"/>
    <w:basedOn w:val="Normal"/>
    <w:rsid w:val="00E97F02"/>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E238D7"/>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161A77"/>
    <w:pPr>
      <w:keepLines/>
      <w:widowControl w:val="0"/>
      <w:jc w:val="center"/>
    </w:pPr>
    <w:rPr>
      <w:rFonts w:ascii="Times" w:hAnsi="Times"/>
      <w:snapToGrid w:val="0"/>
    </w:rPr>
  </w:style>
  <w:style w:type="character" w:customStyle="1" w:styleId="FooterChar1">
    <w:name w:val="Footer Char1"/>
    <w:basedOn w:val="DefaultParagraphFont"/>
    <w:rsid w:val="00161A77"/>
    <w:rPr>
      <w:sz w:val="22"/>
    </w:rPr>
  </w:style>
  <w:style w:type="character" w:styleId="FollowedHyperlink">
    <w:name w:val="FollowedHyperlink"/>
    <w:basedOn w:val="DefaultParagraphFont"/>
    <w:uiPriority w:val="99"/>
    <w:semiHidden/>
    <w:unhideWhenUsed/>
    <w:rsid w:val="000C7425"/>
    <w:rPr>
      <w:color w:val="800080" w:themeColor="followedHyperlink"/>
      <w:u w:val="single"/>
    </w:rPr>
  </w:style>
  <w:style w:type="paragraph" w:customStyle="1" w:styleId="Bullet">
    <w:name w:val="Bullet"/>
    <w:basedOn w:val="Normal"/>
    <w:qFormat/>
    <w:rsid w:val="003232EE"/>
    <w:pPr>
      <w:numPr>
        <w:numId w:val="27"/>
      </w:numPr>
      <w:tabs>
        <w:tab w:val="left" w:pos="432"/>
      </w:tabs>
      <w:spacing w:after="120" w:line="240" w:lineRule="auto"/>
      <w:ind w:left="432" w:hanging="432"/>
    </w:pPr>
  </w:style>
  <w:style w:type="paragraph" w:customStyle="1" w:styleId="MarkforTableTitle">
    <w:name w:val="Mark for Table Title"/>
    <w:basedOn w:val="Normal"/>
    <w:next w:val="Normal"/>
    <w:qFormat/>
    <w:rsid w:val="003232EE"/>
    <w:pPr>
      <w:keepNext/>
      <w:spacing w:after="60" w:line="240" w:lineRule="auto"/>
    </w:pPr>
    <w:rPr>
      <w:rFonts w:ascii="Arial Black" w:hAnsi="Arial Black"/>
      <w:sz w:val="22"/>
    </w:rPr>
  </w:style>
  <w:style w:type="paragraph" w:customStyle="1" w:styleId="Normalcontinued">
    <w:name w:val="Normal (continued)"/>
    <w:basedOn w:val="Normal"/>
    <w:next w:val="Normal"/>
    <w:qFormat/>
    <w:rsid w:val="003232EE"/>
  </w:style>
  <w:style w:type="paragraph" w:customStyle="1" w:styleId="TableHeaderLeft">
    <w:name w:val="Table Header Left"/>
    <w:basedOn w:val="TableText"/>
    <w:next w:val="TableText"/>
    <w:qFormat/>
    <w:rsid w:val="003232EE"/>
    <w:pPr>
      <w:spacing w:before="120" w:after="60"/>
    </w:pPr>
    <w:rPr>
      <w:b/>
      <w:color w:val="FFFFFF" w:themeColor="background1"/>
    </w:rPr>
  </w:style>
  <w:style w:type="paragraph" w:customStyle="1" w:styleId="TableHeaderCenter">
    <w:name w:val="Table Header Center"/>
    <w:basedOn w:val="TableHeaderLeft"/>
    <w:qFormat/>
    <w:rsid w:val="003232EE"/>
    <w:pPr>
      <w:jc w:val="center"/>
    </w:pPr>
  </w:style>
  <w:style w:type="paragraph" w:customStyle="1" w:styleId="TableText">
    <w:name w:val="Table Text"/>
    <w:basedOn w:val="Normal"/>
    <w:qFormat/>
    <w:rsid w:val="003232EE"/>
    <w:pPr>
      <w:spacing w:line="240" w:lineRule="auto"/>
    </w:pPr>
    <w:rPr>
      <w:rFonts w:ascii="Arial" w:hAnsi="Arial"/>
      <w:sz w:val="18"/>
    </w:rPr>
  </w:style>
  <w:style w:type="table" w:customStyle="1" w:styleId="MPRBaseTable">
    <w:name w:val="MPR Base Table"/>
    <w:basedOn w:val="TableNormal"/>
    <w:uiPriority w:val="99"/>
    <w:rsid w:val="003232EE"/>
    <w:pPr>
      <w:spacing w:line="360" w:lineRule="auto"/>
      <w:contextualSpacing/>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4Number">
    <w:name w:val="H4_Number"/>
    <w:basedOn w:val="Heading3"/>
    <w:next w:val="Normal"/>
    <w:link w:val="H4NumberChar"/>
    <w:qFormat/>
    <w:rsid w:val="003232EE"/>
    <w:pPr>
      <w:tabs>
        <w:tab w:val="clear" w:pos="1152"/>
        <w:tab w:val="left" w:pos="432"/>
      </w:tabs>
      <w:spacing w:after="120" w:line="240" w:lineRule="auto"/>
      <w:ind w:left="432" w:hanging="432"/>
      <w:outlineLvl w:val="3"/>
    </w:pPr>
  </w:style>
  <w:style w:type="character" w:customStyle="1" w:styleId="H4NumberChar">
    <w:name w:val="H4_Number Char"/>
    <w:basedOn w:val="Heading3Char"/>
    <w:link w:val="H4Number"/>
    <w:rsid w:val="003232EE"/>
    <w:rPr>
      <w:rFonts w:ascii="Franklin Gothic Medium" w:hAnsi="Franklin Gothic Medium"/>
      <w:b/>
      <w:sz w:val="24"/>
    </w:rPr>
  </w:style>
  <w:style w:type="table" w:customStyle="1" w:styleId="GridTable4-Accent11">
    <w:name w:val="Grid Table 4 - Accent 11"/>
    <w:basedOn w:val="TableNormal"/>
    <w:uiPriority w:val="49"/>
    <w:rsid w:val="00AD6261"/>
    <w:rPr>
      <w:rFonts w:asciiTheme="minorHAnsi" w:eastAsiaTheme="minorEastAsia" w:hAnsiTheme="minorHAnsi" w:cstheme="minorBidi"/>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footer" w:qFormat="1"/>
    <w:lsdException w:name="caption" w:uiPriority="35" w:qFormat="1"/>
    <w:lsdException w:name="footnote reference" w:uiPriority="0"/>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FA4"/>
    <w:pPr>
      <w:spacing w:line="480" w:lineRule="auto"/>
      <w:ind w:firstLine="720"/>
    </w:pPr>
    <w:rPr>
      <w:sz w:val="24"/>
    </w:rPr>
  </w:style>
  <w:style w:type="paragraph" w:styleId="Heading1">
    <w:name w:val="heading 1"/>
    <w:aliases w:val="H1-Sec.Head"/>
    <w:basedOn w:val="Normal"/>
    <w:next w:val="L1-FlLSp12"/>
    <w:link w:val="Heading1Char"/>
    <w:qFormat/>
    <w:rsid w:val="007F3A54"/>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7F3A54"/>
    <w:pPr>
      <w:outlineLvl w:val="1"/>
    </w:pPr>
    <w:rPr>
      <w:sz w:val="28"/>
    </w:rPr>
  </w:style>
  <w:style w:type="paragraph" w:styleId="Heading3">
    <w:name w:val="heading 3"/>
    <w:aliases w:val="H3-Sec. Head"/>
    <w:basedOn w:val="Heading1"/>
    <w:next w:val="L1-FlLSp12"/>
    <w:link w:val="Heading3Char"/>
    <w:qFormat/>
    <w:rsid w:val="007F3A54"/>
    <w:pPr>
      <w:outlineLvl w:val="2"/>
    </w:pPr>
    <w:rPr>
      <w:color w:val="auto"/>
      <w:sz w:val="24"/>
    </w:rPr>
  </w:style>
  <w:style w:type="paragraph" w:styleId="Heading4">
    <w:name w:val="heading 4"/>
    <w:aliases w:val="H4 Sec.Heading"/>
    <w:basedOn w:val="Heading1"/>
    <w:next w:val="L1-FlLSp12"/>
    <w:link w:val="Heading4Char"/>
    <w:qFormat/>
    <w:rsid w:val="007F3A54"/>
    <w:pPr>
      <w:outlineLvl w:val="3"/>
    </w:pPr>
    <w:rPr>
      <w:i/>
      <w:color w:val="auto"/>
      <w:sz w:val="24"/>
    </w:rPr>
  </w:style>
  <w:style w:type="paragraph" w:styleId="Heading5">
    <w:name w:val="heading 5"/>
    <w:basedOn w:val="Normal"/>
    <w:next w:val="Normal"/>
    <w:link w:val="Heading5Char"/>
    <w:qFormat/>
    <w:rsid w:val="007F3A54"/>
    <w:pPr>
      <w:keepLines/>
      <w:spacing w:before="360" w:line="360" w:lineRule="atLeast"/>
      <w:jc w:val="center"/>
      <w:outlineLvl w:val="4"/>
    </w:pPr>
  </w:style>
  <w:style w:type="paragraph" w:styleId="Heading6">
    <w:name w:val="heading 6"/>
    <w:basedOn w:val="Normal"/>
    <w:next w:val="Normal"/>
    <w:link w:val="Heading6Char"/>
    <w:qFormat/>
    <w:rsid w:val="007F3A54"/>
    <w:pPr>
      <w:keepNext/>
      <w:spacing w:before="240"/>
      <w:jc w:val="center"/>
      <w:outlineLvl w:val="5"/>
    </w:pPr>
    <w:rPr>
      <w:b/>
      <w:caps/>
    </w:rPr>
  </w:style>
  <w:style w:type="paragraph" w:styleId="Heading7">
    <w:name w:val="heading 7"/>
    <w:basedOn w:val="Normal"/>
    <w:next w:val="Normal"/>
    <w:link w:val="Heading7Char"/>
    <w:qFormat/>
    <w:rsid w:val="007F3A5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F3A54"/>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7F3A54"/>
    <w:pPr>
      <w:keepLines/>
      <w:jc w:val="center"/>
    </w:pPr>
  </w:style>
  <w:style w:type="paragraph" w:customStyle="1" w:styleId="C3-CtrSp12">
    <w:name w:val="C3-Ctr Sp&amp;1/2"/>
    <w:basedOn w:val="Normal"/>
    <w:rsid w:val="007F3A54"/>
    <w:pPr>
      <w:keepLines/>
      <w:spacing w:line="360" w:lineRule="atLeast"/>
      <w:jc w:val="center"/>
    </w:pPr>
  </w:style>
  <w:style w:type="paragraph" w:customStyle="1" w:styleId="E1-Equation">
    <w:name w:val="E1-Equation"/>
    <w:basedOn w:val="Normal"/>
    <w:rsid w:val="007F3A54"/>
    <w:pPr>
      <w:tabs>
        <w:tab w:val="center" w:pos="4680"/>
        <w:tab w:val="right" w:pos="9360"/>
      </w:tabs>
    </w:pPr>
  </w:style>
  <w:style w:type="paragraph" w:customStyle="1" w:styleId="E2-Equation">
    <w:name w:val="E2-Equation"/>
    <w:basedOn w:val="Normal"/>
    <w:rsid w:val="007F3A54"/>
    <w:pPr>
      <w:tabs>
        <w:tab w:val="right" w:pos="1152"/>
        <w:tab w:val="center" w:pos="1440"/>
        <w:tab w:val="left" w:pos="1728"/>
      </w:tabs>
      <w:ind w:left="1728" w:hanging="1728"/>
    </w:pPr>
  </w:style>
  <w:style w:type="paragraph" w:styleId="Footer">
    <w:name w:val="footer"/>
    <w:basedOn w:val="Normal"/>
    <w:link w:val="FooterChar"/>
    <w:uiPriority w:val="99"/>
    <w:qFormat/>
    <w:rsid w:val="007F3A54"/>
    <w:pPr>
      <w:tabs>
        <w:tab w:val="center" w:pos="4320"/>
        <w:tab w:val="right" w:pos="8640"/>
      </w:tabs>
    </w:pPr>
  </w:style>
  <w:style w:type="paragraph" w:styleId="FootnoteText">
    <w:name w:val="footnote text"/>
    <w:aliases w:val="F1,Footnote Text2,F"/>
    <w:link w:val="FootnoteTextChar"/>
    <w:rsid w:val="007F3A54"/>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qFormat/>
    <w:rsid w:val="007F3A54"/>
    <w:pPr>
      <w:tabs>
        <w:tab w:val="center" w:pos="4320"/>
        <w:tab w:val="right" w:pos="8640"/>
      </w:tabs>
    </w:pPr>
    <w:rPr>
      <w:sz w:val="16"/>
    </w:rPr>
  </w:style>
  <w:style w:type="paragraph" w:customStyle="1" w:styleId="L1-FlLSp12">
    <w:name w:val="L1-FlL Sp&amp;1/2"/>
    <w:basedOn w:val="Normal"/>
    <w:rsid w:val="007F3A54"/>
    <w:pPr>
      <w:tabs>
        <w:tab w:val="left" w:pos="1152"/>
      </w:tabs>
      <w:spacing w:line="360" w:lineRule="atLeast"/>
    </w:pPr>
  </w:style>
  <w:style w:type="paragraph" w:customStyle="1" w:styleId="N0-FlLftBullet">
    <w:name w:val="N0-Fl Lft Bullet"/>
    <w:basedOn w:val="Normal"/>
    <w:rsid w:val="007F3A54"/>
    <w:pPr>
      <w:tabs>
        <w:tab w:val="left" w:pos="576"/>
      </w:tabs>
      <w:spacing w:after="240"/>
      <w:ind w:left="576" w:hanging="576"/>
    </w:pPr>
  </w:style>
  <w:style w:type="paragraph" w:customStyle="1" w:styleId="N1-1stBullet">
    <w:name w:val="N1-1st Bullet"/>
    <w:basedOn w:val="Normal"/>
    <w:link w:val="N1-1stBulletChar"/>
    <w:rsid w:val="007F3A54"/>
    <w:pPr>
      <w:numPr>
        <w:numId w:val="1"/>
      </w:numPr>
      <w:spacing w:after="240"/>
    </w:pPr>
  </w:style>
  <w:style w:type="paragraph" w:customStyle="1" w:styleId="N2-2ndBullet">
    <w:name w:val="N2-2nd Bullet"/>
    <w:basedOn w:val="Normal"/>
    <w:rsid w:val="007F3A54"/>
    <w:pPr>
      <w:numPr>
        <w:numId w:val="2"/>
      </w:numPr>
      <w:spacing w:after="240"/>
    </w:pPr>
  </w:style>
  <w:style w:type="paragraph" w:customStyle="1" w:styleId="N3-3rdBullet">
    <w:name w:val="N3-3rd Bullet"/>
    <w:basedOn w:val="Normal"/>
    <w:rsid w:val="007F3A54"/>
    <w:pPr>
      <w:numPr>
        <w:numId w:val="3"/>
      </w:numPr>
      <w:spacing w:after="240"/>
    </w:pPr>
  </w:style>
  <w:style w:type="paragraph" w:customStyle="1" w:styleId="N4-4thBullet">
    <w:name w:val="N4-4th Bullet"/>
    <w:basedOn w:val="Normal"/>
    <w:rsid w:val="007F3A54"/>
    <w:pPr>
      <w:numPr>
        <w:numId w:val="4"/>
      </w:numPr>
      <w:spacing w:after="240"/>
    </w:pPr>
  </w:style>
  <w:style w:type="paragraph" w:customStyle="1" w:styleId="N5-5thBullet">
    <w:name w:val="N5-5th Bullet"/>
    <w:basedOn w:val="Normal"/>
    <w:rsid w:val="007F3A54"/>
    <w:pPr>
      <w:tabs>
        <w:tab w:val="left" w:pos="3456"/>
      </w:tabs>
      <w:spacing w:after="240"/>
      <w:ind w:left="3456" w:hanging="576"/>
    </w:pPr>
  </w:style>
  <w:style w:type="paragraph" w:customStyle="1" w:styleId="N6-DateInd">
    <w:name w:val="N6-Date Ind."/>
    <w:basedOn w:val="Normal"/>
    <w:rsid w:val="007F3A54"/>
    <w:pPr>
      <w:tabs>
        <w:tab w:val="left" w:pos="4910"/>
      </w:tabs>
      <w:ind w:left="4910"/>
    </w:pPr>
  </w:style>
  <w:style w:type="paragraph" w:customStyle="1" w:styleId="N7-3Block">
    <w:name w:val="N7-3&quot; Block"/>
    <w:basedOn w:val="Normal"/>
    <w:rsid w:val="007F3A54"/>
    <w:pPr>
      <w:tabs>
        <w:tab w:val="left" w:pos="1152"/>
      </w:tabs>
      <w:ind w:left="1152" w:right="1152"/>
    </w:pPr>
  </w:style>
  <w:style w:type="paragraph" w:customStyle="1" w:styleId="N8-QxQBlock">
    <w:name w:val="N8-QxQ Block"/>
    <w:basedOn w:val="Normal"/>
    <w:rsid w:val="007F3A54"/>
    <w:pPr>
      <w:tabs>
        <w:tab w:val="left" w:pos="1152"/>
      </w:tabs>
      <w:spacing w:after="360" w:line="360" w:lineRule="atLeast"/>
      <w:ind w:left="1152" w:hanging="1152"/>
    </w:pPr>
  </w:style>
  <w:style w:type="paragraph" w:customStyle="1" w:styleId="P1-StandPara">
    <w:name w:val="P1-Stand Para"/>
    <w:basedOn w:val="Normal"/>
    <w:link w:val="P1-StandParaChar"/>
    <w:rsid w:val="007F3A54"/>
    <w:pPr>
      <w:spacing w:line="360" w:lineRule="atLeast"/>
      <w:ind w:firstLine="1152"/>
    </w:pPr>
  </w:style>
  <w:style w:type="paragraph" w:customStyle="1" w:styleId="Q1-BestFinQ">
    <w:name w:val="Q1-Best/Fin Q"/>
    <w:basedOn w:val="Heading1"/>
    <w:rsid w:val="007F3A54"/>
    <w:pPr>
      <w:spacing w:line="240" w:lineRule="atLeast"/>
    </w:pPr>
    <w:rPr>
      <w:rFonts w:cs="Times New Roman Bold"/>
      <w:color w:val="auto"/>
      <w:sz w:val="24"/>
    </w:rPr>
  </w:style>
  <w:style w:type="paragraph" w:customStyle="1" w:styleId="SH-SglSpHead">
    <w:name w:val="SH-Sgl Sp Head"/>
    <w:basedOn w:val="Heading1"/>
    <w:rsid w:val="007F3A54"/>
    <w:pPr>
      <w:tabs>
        <w:tab w:val="left" w:pos="576"/>
      </w:tabs>
      <w:spacing w:line="240" w:lineRule="atLeast"/>
      <w:ind w:left="576" w:hanging="576"/>
    </w:pPr>
    <w:rPr>
      <w:b w:val="0"/>
      <w:sz w:val="24"/>
    </w:rPr>
  </w:style>
  <w:style w:type="paragraph" w:customStyle="1" w:styleId="SL-FlLftSgl">
    <w:name w:val="SL-Fl Lft Sgl"/>
    <w:basedOn w:val="Normal"/>
    <w:rsid w:val="007F3A54"/>
  </w:style>
  <w:style w:type="paragraph" w:customStyle="1" w:styleId="SP-SglSpPara">
    <w:name w:val="SP-Sgl Sp Para"/>
    <w:basedOn w:val="Normal"/>
    <w:rsid w:val="007F3A54"/>
    <w:pPr>
      <w:tabs>
        <w:tab w:val="left" w:pos="576"/>
      </w:tabs>
      <w:ind w:firstLine="576"/>
    </w:pPr>
  </w:style>
  <w:style w:type="paragraph" w:customStyle="1" w:styleId="T0-ChapPgHd">
    <w:name w:val="T0-Chap/Pg Hd"/>
    <w:basedOn w:val="Normal"/>
    <w:rsid w:val="007A6662"/>
    <w:pPr>
      <w:tabs>
        <w:tab w:val="left" w:pos="8640"/>
      </w:tabs>
    </w:pPr>
    <w:rPr>
      <w:rFonts w:ascii="Franklin Gothic Medium" w:hAnsi="Franklin Gothic Medium"/>
      <w:szCs w:val="24"/>
      <w:u w:val="words"/>
    </w:rPr>
  </w:style>
  <w:style w:type="paragraph" w:styleId="TOC1">
    <w:name w:val="toc 1"/>
    <w:basedOn w:val="Normal"/>
    <w:uiPriority w:val="39"/>
    <w:rsid w:val="007F3A54"/>
    <w:pPr>
      <w:tabs>
        <w:tab w:val="left" w:pos="1440"/>
        <w:tab w:val="right" w:leader="dot" w:pos="8208"/>
        <w:tab w:val="left" w:pos="8640"/>
      </w:tabs>
      <w:ind w:left="1440" w:right="1800" w:hanging="1152"/>
    </w:pPr>
  </w:style>
  <w:style w:type="paragraph" w:styleId="TOC2">
    <w:name w:val="toc 2"/>
    <w:basedOn w:val="Normal"/>
    <w:uiPriority w:val="39"/>
    <w:rsid w:val="007F3A54"/>
    <w:pPr>
      <w:tabs>
        <w:tab w:val="left" w:pos="2160"/>
        <w:tab w:val="right" w:leader="dot" w:pos="8208"/>
        <w:tab w:val="left" w:pos="8640"/>
      </w:tabs>
      <w:ind w:left="2160" w:right="1800" w:hanging="720"/>
    </w:pPr>
    <w:rPr>
      <w:szCs w:val="22"/>
    </w:rPr>
  </w:style>
  <w:style w:type="paragraph" w:styleId="TOC3">
    <w:name w:val="toc 3"/>
    <w:basedOn w:val="Normal"/>
    <w:semiHidden/>
    <w:rsid w:val="007F3A54"/>
    <w:pPr>
      <w:tabs>
        <w:tab w:val="left" w:pos="3024"/>
        <w:tab w:val="right" w:leader="dot" w:pos="8208"/>
        <w:tab w:val="left" w:pos="8640"/>
      </w:tabs>
      <w:ind w:left="3024" w:right="1800" w:hanging="864"/>
    </w:pPr>
  </w:style>
  <w:style w:type="paragraph" w:styleId="TOC4">
    <w:name w:val="toc 4"/>
    <w:basedOn w:val="Normal"/>
    <w:semiHidden/>
    <w:rsid w:val="007F3A54"/>
    <w:pPr>
      <w:tabs>
        <w:tab w:val="left" w:pos="3888"/>
        <w:tab w:val="right" w:leader="dot" w:pos="8208"/>
        <w:tab w:val="left" w:pos="8640"/>
      </w:tabs>
      <w:ind w:left="3888" w:right="1800" w:hanging="864"/>
    </w:pPr>
  </w:style>
  <w:style w:type="paragraph" w:styleId="TOC5">
    <w:name w:val="toc 5"/>
    <w:basedOn w:val="Normal"/>
    <w:semiHidden/>
    <w:rsid w:val="007F3A54"/>
    <w:pPr>
      <w:tabs>
        <w:tab w:val="left" w:pos="1440"/>
        <w:tab w:val="right" w:leader="dot" w:pos="8208"/>
        <w:tab w:val="left" w:pos="8640"/>
      </w:tabs>
      <w:ind w:left="1440" w:right="1800" w:hanging="1152"/>
    </w:pPr>
  </w:style>
  <w:style w:type="paragraph" w:customStyle="1" w:styleId="TT-TableTitle">
    <w:name w:val="TT-Table Title"/>
    <w:basedOn w:val="Heading1"/>
    <w:rsid w:val="007F3A54"/>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7F3A54"/>
    <w:pPr>
      <w:tabs>
        <w:tab w:val="left" w:pos="2232"/>
      </w:tabs>
      <w:spacing w:line="240" w:lineRule="exact"/>
    </w:pPr>
    <w:rPr>
      <w:vanish/>
    </w:rPr>
  </w:style>
  <w:style w:type="paragraph" w:customStyle="1" w:styleId="R1-ResPara">
    <w:name w:val="R1-Res. Para"/>
    <w:basedOn w:val="Normal"/>
    <w:rsid w:val="007F3A54"/>
    <w:pPr>
      <w:ind w:left="288"/>
    </w:pPr>
  </w:style>
  <w:style w:type="paragraph" w:customStyle="1" w:styleId="R2-ResBullet">
    <w:name w:val="R2-Res Bullet"/>
    <w:basedOn w:val="Normal"/>
    <w:rsid w:val="007F3A54"/>
    <w:pPr>
      <w:tabs>
        <w:tab w:val="left" w:pos="720"/>
      </w:tabs>
      <w:ind w:left="720" w:hanging="432"/>
    </w:pPr>
  </w:style>
  <w:style w:type="paragraph" w:customStyle="1" w:styleId="RF-Reference">
    <w:name w:val="RF-Reference"/>
    <w:basedOn w:val="Normal"/>
    <w:rsid w:val="007F3A54"/>
    <w:pPr>
      <w:spacing w:line="240" w:lineRule="exact"/>
      <w:ind w:left="216" w:hanging="216"/>
    </w:pPr>
  </w:style>
  <w:style w:type="paragraph" w:customStyle="1" w:styleId="RH-SglSpHead">
    <w:name w:val="RH-Sgl Sp Head"/>
    <w:basedOn w:val="Heading1"/>
    <w:next w:val="RL-FlLftSgl"/>
    <w:rsid w:val="007F3A54"/>
    <w:pPr>
      <w:pBdr>
        <w:bottom w:val="single" w:sz="24" w:space="1" w:color="AFBED9"/>
      </w:pBdr>
      <w:spacing w:after="480" w:line="360" w:lineRule="exact"/>
    </w:pPr>
    <w:rPr>
      <w:sz w:val="36"/>
      <w:u w:color="324162"/>
    </w:rPr>
  </w:style>
  <w:style w:type="paragraph" w:customStyle="1" w:styleId="RL-FlLftSgl">
    <w:name w:val="RL-Fl Lft Sgl"/>
    <w:basedOn w:val="Heading1"/>
    <w:rsid w:val="007F3A54"/>
    <w:pPr>
      <w:spacing w:after="0" w:line="240" w:lineRule="atLeast"/>
      <w:ind w:left="0" w:firstLine="0"/>
    </w:pPr>
    <w:rPr>
      <w:sz w:val="24"/>
    </w:rPr>
  </w:style>
  <w:style w:type="paragraph" w:customStyle="1" w:styleId="SU-FlLftUndln">
    <w:name w:val="SU-Fl Lft Undln"/>
    <w:basedOn w:val="Normal"/>
    <w:rsid w:val="007F3A54"/>
    <w:pPr>
      <w:keepNext/>
      <w:spacing w:line="240" w:lineRule="exact"/>
    </w:pPr>
    <w:rPr>
      <w:u w:val="single"/>
    </w:rPr>
  </w:style>
  <w:style w:type="paragraph" w:customStyle="1" w:styleId="Header-1">
    <w:name w:val="Header-1"/>
    <w:basedOn w:val="Heading1"/>
    <w:rsid w:val="007F3A54"/>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7F3A54"/>
    <w:pPr>
      <w:spacing w:after="0"/>
      <w:jc w:val="right"/>
    </w:pPr>
    <w:rPr>
      <w:sz w:val="40"/>
    </w:rPr>
  </w:style>
  <w:style w:type="character" w:styleId="PageNumber">
    <w:name w:val="page number"/>
    <w:basedOn w:val="DefaultParagraphFont"/>
    <w:qFormat/>
    <w:rsid w:val="007F3A54"/>
  </w:style>
  <w:style w:type="paragraph" w:customStyle="1" w:styleId="R0-FLLftSglBoldItalic">
    <w:name w:val="R0-FL Lft Sgl Bold Italic"/>
    <w:basedOn w:val="Heading1"/>
    <w:rsid w:val="007F3A54"/>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7F3A54"/>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7F3A54"/>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7F3A54"/>
    <w:rPr>
      <w:rFonts w:ascii="Franklin Gothic Medium" w:hAnsi="Franklin Gothic Medium"/>
    </w:rPr>
  </w:style>
  <w:style w:type="paragraph" w:customStyle="1" w:styleId="TH-TableHeading">
    <w:name w:val="TH-Table Heading"/>
    <w:basedOn w:val="Heading1"/>
    <w:uiPriority w:val="99"/>
    <w:rsid w:val="007F3A54"/>
    <w:pPr>
      <w:spacing w:after="0" w:line="240" w:lineRule="atLeast"/>
      <w:ind w:left="0" w:firstLine="0"/>
      <w:jc w:val="center"/>
    </w:pPr>
    <w:rPr>
      <w:color w:val="auto"/>
      <w:sz w:val="20"/>
    </w:rPr>
  </w:style>
  <w:style w:type="paragraph" w:styleId="TOC6">
    <w:name w:val="toc 6"/>
    <w:semiHidden/>
    <w:rsid w:val="007F3A54"/>
    <w:pPr>
      <w:tabs>
        <w:tab w:val="right" w:leader="dot" w:pos="8208"/>
        <w:tab w:val="left" w:pos="8640"/>
      </w:tabs>
      <w:ind w:left="288" w:right="1800"/>
    </w:pPr>
    <w:rPr>
      <w:rFonts w:ascii="Garamond" w:hAnsi="Garamond"/>
      <w:sz w:val="24"/>
      <w:szCs w:val="22"/>
    </w:rPr>
  </w:style>
  <w:style w:type="paragraph" w:styleId="TOC7">
    <w:name w:val="toc 7"/>
    <w:semiHidden/>
    <w:rsid w:val="007F3A54"/>
    <w:pPr>
      <w:tabs>
        <w:tab w:val="right" w:leader="dot" w:pos="8208"/>
        <w:tab w:val="left" w:pos="8640"/>
      </w:tabs>
      <w:ind w:left="1440" w:right="1800"/>
    </w:pPr>
    <w:rPr>
      <w:rFonts w:ascii="Garamond" w:hAnsi="Garamond"/>
      <w:sz w:val="24"/>
      <w:szCs w:val="22"/>
    </w:rPr>
  </w:style>
  <w:style w:type="paragraph" w:styleId="TOC8">
    <w:name w:val="toc 8"/>
    <w:semiHidden/>
    <w:rsid w:val="007F3A54"/>
    <w:pPr>
      <w:tabs>
        <w:tab w:val="right" w:leader="dot" w:pos="8208"/>
        <w:tab w:val="left" w:pos="8640"/>
      </w:tabs>
      <w:ind w:left="2160" w:right="1800"/>
    </w:pPr>
    <w:rPr>
      <w:rFonts w:ascii="Garamond" w:hAnsi="Garamond"/>
      <w:sz w:val="24"/>
      <w:szCs w:val="22"/>
    </w:rPr>
  </w:style>
  <w:style w:type="paragraph" w:styleId="TOC9">
    <w:name w:val="toc 9"/>
    <w:semiHidden/>
    <w:rsid w:val="007F3A54"/>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uiPriority w:val="99"/>
    <w:rsid w:val="007F3A54"/>
    <w:rPr>
      <w:rFonts w:ascii="Franklin Gothic Medium" w:hAnsi="Franklin Gothic Medium"/>
      <w:sz w:val="20"/>
    </w:rPr>
  </w:style>
  <w:style w:type="paragraph" w:styleId="ListParagraph">
    <w:name w:val="List Paragraph"/>
    <w:basedOn w:val="Normal"/>
    <w:uiPriority w:val="34"/>
    <w:qFormat/>
    <w:rsid w:val="00F441C4"/>
    <w:pPr>
      <w:spacing w:after="200" w:line="276" w:lineRule="auto"/>
      <w:ind w:left="720"/>
      <w:contextualSpacing/>
    </w:pPr>
    <w:rPr>
      <w:rFonts w:eastAsiaTheme="minorHAnsi" w:cstheme="minorBidi"/>
      <w:szCs w:val="22"/>
    </w:rPr>
  </w:style>
  <w:style w:type="character" w:customStyle="1" w:styleId="Heading6Char">
    <w:name w:val="Heading 6 Char"/>
    <w:basedOn w:val="DefaultParagraphFont"/>
    <w:link w:val="Heading6"/>
    <w:rsid w:val="006D3765"/>
    <w:rPr>
      <w:rFonts w:ascii="Garamond" w:hAnsi="Garamond"/>
      <w:b/>
      <w:caps/>
      <w:sz w:val="24"/>
    </w:rPr>
  </w:style>
  <w:style w:type="character" w:customStyle="1" w:styleId="P1-StandParaChar">
    <w:name w:val="P1-Stand Para Char"/>
    <w:basedOn w:val="DefaultParagraphFont"/>
    <w:link w:val="P1-StandPara"/>
    <w:rsid w:val="006D3765"/>
    <w:rPr>
      <w:rFonts w:ascii="Garamond" w:hAnsi="Garamond"/>
      <w:sz w:val="24"/>
    </w:rPr>
  </w:style>
  <w:style w:type="paragraph" w:styleId="BodyTextIndent3">
    <w:name w:val="Body Text Indent 3"/>
    <w:basedOn w:val="Normal"/>
    <w:link w:val="BodyTextIndent3Char"/>
    <w:rsid w:val="006D3765"/>
    <w:pPr>
      <w:widowControl w:val="0"/>
      <w:tabs>
        <w:tab w:val="left" w:pos="0"/>
      </w:tabs>
      <w:suppressAutoHyphens/>
      <w:autoSpaceDE w:val="0"/>
      <w:autoSpaceDN w:val="0"/>
      <w:adjustRightInd w:val="0"/>
    </w:pPr>
    <w:rPr>
      <w:sz w:val="22"/>
      <w:szCs w:val="22"/>
    </w:rPr>
  </w:style>
  <w:style w:type="character" w:customStyle="1" w:styleId="BodyTextIndent3Char">
    <w:name w:val="Body Text Indent 3 Char"/>
    <w:basedOn w:val="DefaultParagraphFont"/>
    <w:link w:val="BodyTextIndent3"/>
    <w:rsid w:val="006D3765"/>
    <w:rPr>
      <w:sz w:val="22"/>
      <w:szCs w:val="22"/>
    </w:rPr>
  </w:style>
  <w:style w:type="table" w:styleId="TableGrid">
    <w:name w:val="Table Grid"/>
    <w:basedOn w:val="TableNormal"/>
    <w:uiPriority w:val="59"/>
    <w:rsid w:val="006D376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aliases w:val="F1 Char,Footnote Text2 Char,F Char"/>
    <w:basedOn w:val="DefaultParagraphFont"/>
    <w:link w:val="FootnoteText"/>
    <w:uiPriority w:val="99"/>
    <w:rsid w:val="006D3765"/>
    <w:rPr>
      <w:rFonts w:ascii="Garamond" w:hAnsi="Garamond"/>
      <w:sz w:val="16"/>
    </w:rPr>
  </w:style>
  <w:style w:type="paragraph" w:customStyle="1" w:styleId="StyleN1-1stBulletRight-013">
    <w:name w:val="Style N1-1st Bullet + Right:  -0.13&quot;"/>
    <w:basedOn w:val="N1-1stBullet"/>
    <w:rsid w:val="006D3765"/>
    <w:pPr>
      <w:numPr>
        <w:numId w:val="0"/>
      </w:numPr>
      <w:tabs>
        <w:tab w:val="num" w:pos="1728"/>
      </w:tabs>
      <w:spacing w:after="0"/>
      <w:ind w:left="1728" w:right="-187" w:hanging="576"/>
    </w:pPr>
    <w:rPr>
      <w:sz w:val="22"/>
    </w:rPr>
  </w:style>
  <w:style w:type="paragraph" w:styleId="NormalWeb">
    <w:name w:val="Normal (Web)"/>
    <w:basedOn w:val="Normal"/>
    <w:uiPriority w:val="99"/>
    <w:unhideWhenUsed/>
    <w:rsid w:val="006D3765"/>
    <w:pPr>
      <w:spacing w:before="100" w:beforeAutospacing="1" w:after="100" w:afterAutospacing="1" w:line="240" w:lineRule="auto"/>
    </w:pPr>
    <w:rPr>
      <w:szCs w:val="24"/>
    </w:rPr>
  </w:style>
  <w:style w:type="paragraph" w:styleId="BalloonText">
    <w:name w:val="Balloon Text"/>
    <w:basedOn w:val="Normal"/>
    <w:link w:val="BalloonTextChar"/>
    <w:uiPriority w:val="99"/>
    <w:semiHidden/>
    <w:unhideWhenUsed/>
    <w:rsid w:val="006D3765"/>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D3765"/>
    <w:rPr>
      <w:rFonts w:ascii="Tahoma" w:eastAsiaTheme="minorHAnsi" w:hAnsi="Tahoma" w:cs="Tahoma"/>
      <w:sz w:val="16"/>
      <w:szCs w:val="16"/>
    </w:rPr>
  </w:style>
  <w:style w:type="paragraph" w:styleId="BodyTextIndent2">
    <w:name w:val="Body Text Indent 2"/>
    <w:basedOn w:val="Normal"/>
    <w:link w:val="BodyTextIndent2Char"/>
    <w:uiPriority w:val="99"/>
    <w:unhideWhenUsed/>
    <w:rsid w:val="006D3765"/>
    <w:pPr>
      <w:spacing w:after="120"/>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6D3765"/>
    <w:rPr>
      <w:rFonts w:asciiTheme="minorHAnsi" w:eastAsiaTheme="minorHAnsi" w:hAnsiTheme="minorHAnsi" w:cstheme="minorBidi"/>
      <w:sz w:val="22"/>
      <w:szCs w:val="22"/>
    </w:rPr>
  </w:style>
  <w:style w:type="character" w:customStyle="1" w:styleId="N1-1stBulletChar">
    <w:name w:val="N1-1st Bullet Char"/>
    <w:basedOn w:val="DefaultParagraphFont"/>
    <w:link w:val="N1-1stBullet"/>
    <w:locked/>
    <w:rsid w:val="006D3765"/>
    <w:rPr>
      <w:rFonts w:ascii="Garamond" w:hAnsi="Garamond"/>
      <w:sz w:val="24"/>
    </w:rPr>
  </w:style>
  <w:style w:type="character" w:customStyle="1" w:styleId="Heading1Char">
    <w:name w:val="Heading 1 Char"/>
    <w:aliases w:val="H1-Sec.Head Char"/>
    <w:basedOn w:val="DefaultParagraphFont"/>
    <w:link w:val="Heading1"/>
    <w:rsid w:val="006D3765"/>
    <w:rPr>
      <w:rFonts w:ascii="Franklin Gothic Medium" w:hAnsi="Franklin Gothic Medium"/>
      <w:b/>
      <w:color w:val="324162"/>
      <w:sz w:val="32"/>
    </w:rPr>
  </w:style>
  <w:style w:type="character" w:styleId="CommentReference">
    <w:name w:val="annotation reference"/>
    <w:basedOn w:val="DefaultParagraphFont"/>
    <w:uiPriority w:val="99"/>
    <w:semiHidden/>
    <w:unhideWhenUsed/>
    <w:rsid w:val="006D3765"/>
    <w:rPr>
      <w:sz w:val="16"/>
      <w:szCs w:val="16"/>
    </w:rPr>
  </w:style>
  <w:style w:type="paragraph" w:styleId="CommentText">
    <w:name w:val="annotation text"/>
    <w:basedOn w:val="Normal"/>
    <w:link w:val="CommentTextChar"/>
    <w:uiPriority w:val="99"/>
    <w:unhideWhenUsed/>
    <w:rsid w:val="006D3765"/>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D376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D3765"/>
    <w:rPr>
      <w:b/>
      <w:bCs/>
    </w:rPr>
  </w:style>
  <w:style w:type="character" w:customStyle="1" w:styleId="CommentSubjectChar">
    <w:name w:val="Comment Subject Char"/>
    <w:basedOn w:val="CommentTextChar"/>
    <w:link w:val="CommentSubject"/>
    <w:uiPriority w:val="99"/>
    <w:semiHidden/>
    <w:rsid w:val="006D3765"/>
    <w:rPr>
      <w:rFonts w:asciiTheme="minorHAnsi" w:eastAsiaTheme="minorHAnsi" w:hAnsiTheme="minorHAnsi" w:cstheme="minorBidi"/>
      <w:b/>
      <w:bCs/>
    </w:rPr>
  </w:style>
  <w:style w:type="paragraph" w:styleId="BodyTextIndent">
    <w:name w:val="Body Text Indent"/>
    <w:basedOn w:val="Normal"/>
    <w:link w:val="BodyTextIndentChar"/>
    <w:uiPriority w:val="99"/>
    <w:unhideWhenUsed/>
    <w:rsid w:val="006D3765"/>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6D3765"/>
    <w:rPr>
      <w:rFonts w:asciiTheme="minorHAnsi" w:eastAsiaTheme="minorHAnsi" w:hAnsiTheme="minorHAnsi" w:cstheme="minorBidi"/>
      <w:sz w:val="22"/>
      <w:szCs w:val="22"/>
    </w:rPr>
  </w:style>
  <w:style w:type="character" w:styleId="Hyperlink">
    <w:name w:val="Hyperlink"/>
    <w:basedOn w:val="DefaultParagraphFont"/>
    <w:uiPriority w:val="99"/>
    <w:rsid w:val="006D3765"/>
    <w:rPr>
      <w:rFonts w:cs="Times New Roman"/>
      <w:color w:val="0000FF"/>
      <w:u w:val="single"/>
    </w:rPr>
  </w:style>
  <w:style w:type="table" w:customStyle="1" w:styleId="LightShading-Accent11">
    <w:name w:val="Light Shading - Accent 11"/>
    <w:basedOn w:val="TableNormal"/>
    <w:uiPriority w:val="60"/>
    <w:rsid w:val="006D3765"/>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6D3765"/>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D3765"/>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3765"/>
    <w:rPr>
      <w:rFonts w:ascii="Garamond" w:hAnsi="Garamond"/>
      <w:sz w:val="16"/>
    </w:rPr>
  </w:style>
  <w:style w:type="character" w:customStyle="1" w:styleId="FooterChar">
    <w:name w:val="Footer Char"/>
    <w:basedOn w:val="DefaultParagraphFont"/>
    <w:link w:val="Footer"/>
    <w:uiPriority w:val="99"/>
    <w:rsid w:val="006D3765"/>
    <w:rPr>
      <w:rFonts w:ascii="Garamond" w:hAnsi="Garamond"/>
      <w:sz w:val="24"/>
    </w:rPr>
  </w:style>
  <w:style w:type="character" w:customStyle="1" w:styleId="Heading4Char">
    <w:name w:val="Heading 4 Char"/>
    <w:aliases w:val="H4 Sec.Heading Char"/>
    <w:basedOn w:val="DefaultParagraphFont"/>
    <w:link w:val="Heading4"/>
    <w:rsid w:val="006D3765"/>
    <w:rPr>
      <w:rFonts w:ascii="Franklin Gothic Medium" w:hAnsi="Franklin Gothic Medium"/>
      <w:b/>
      <w:i/>
      <w:sz w:val="24"/>
    </w:rPr>
  </w:style>
  <w:style w:type="character" w:customStyle="1" w:styleId="Heading2Char">
    <w:name w:val="Heading 2 Char"/>
    <w:aliases w:val="H2-Sec. Head Char"/>
    <w:basedOn w:val="DefaultParagraphFont"/>
    <w:link w:val="Heading2"/>
    <w:rsid w:val="006D3765"/>
    <w:rPr>
      <w:rFonts w:ascii="Franklin Gothic Medium" w:hAnsi="Franklin Gothic Medium"/>
      <w:b/>
      <w:color w:val="324162"/>
      <w:sz w:val="28"/>
    </w:rPr>
  </w:style>
  <w:style w:type="character" w:customStyle="1" w:styleId="Heading3Char">
    <w:name w:val="Heading 3 Char"/>
    <w:aliases w:val="H3-Sec. Head Char"/>
    <w:basedOn w:val="DefaultParagraphFont"/>
    <w:link w:val="Heading3"/>
    <w:rsid w:val="006D3765"/>
    <w:rPr>
      <w:rFonts w:ascii="Franklin Gothic Medium" w:hAnsi="Franklin Gothic Medium"/>
      <w:b/>
      <w:sz w:val="24"/>
    </w:rPr>
  </w:style>
  <w:style w:type="character" w:customStyle="1" w:styleId="Heading5Char">
    <w:name w:val="Heading 5 Char"/>
    <w:basedOn w:val="DefaultParagraphFont"/>
    <w:link w:val="Heading5"/>
    <w:rsid w:val="006D3765"/>
    <w:rPr>
      <w:rFonts w:ascii="Garamond" w:hAnsi="Garamond"/>
      <w:sz w:val="24"/>
    </w:rPr>
  </w:style>
  <w:style w:type="character" w:customStyle="1" w:styleId="Heading7Char">
    <w:name w:val="Heading 7 Char"/>
    <w:basedOn w:val="DefaultParagraphFont"/>
    <w:link w:val="Heading7"/>
    <w:rsid w:val="006D3765"/>
    <w:rPr>
      <w:rFonts w:ascii="Garamond" w:hAnsi="Garamond"/>
      <w:sz w:val="24"/>
    </w:rPr>
  </w:style>
  <w:style w:type="paragraph" w:customStyle="1" w:styleId="L1-FlLfSp12">
    <w:name w:val="L1-FlLfSp&amp;1/2"/>
    <w:rsid w:val="006D3765"/>
    <w:pPr>
      <w:tabs>
        <w:tab w:val="left" w:pos="1152"/>
      </w:tabs>
      <w:spacing w:line="360" w:lineRule="atLeast"/>
      <w:jc w:val="both"/>
    </w:pPr>
    <w:rPr>
      <w:rFonts w:ascii="Arial" w:hAnsi="Arial"/>
    </w:rPr>
  </w:style>
  <w:style w:type="paragraph" w:customStyle="1" w:styleId="Q1-FirstLevelQuestion">
    <w:name w:val="Q1-First Level Question"/>
    <w:rsid w:val="006D3765"/>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6D3765"/>
    <w:pPr>
      <w:tabs>
        <w:tab w:val="left" w:pos="1440"/>
      </w:tabs>
      <w:spacing w:line="240" w:lineRule="atLeast"/>
      <w:ind w:left="1440" w:hanging="720"/>
      <w:jc w:val="both"/>
    </w:pPr>
    <w:rPr>
      <w:rFonts w:ascii="Arial" w:hAnsi="Arial"/>
    </w:rPr>
  </w:style>
  <w:style w:type="paragraph" w:customStyle="1" w:styleId="A1-1stLeader">
    <w:name w:val="A1-1st Leader"/>
    <w:rsid w:val="006D3765"/>
    <w:pPr>
      <w:keepNext/>
      <w:keepLines/>
      <w:tabs>
        <w:tab w:val="right" w:leader="dot" w:pos="7200"/>
        <w:tab w:val="right" w:pos="7488"/>
        <w:tab w:val="left" w:pos="7632"/>
      </w:tabs>
      <w:spacing w:after="60" w:line="240" w:lineRule="atLeast"/>
      <w:ind w:left="1638" w:right="3318" w:hanging="198"/>
    </w:pPr>
    <w:rPr>
      <w:rFonts w:ascii="Arial" w:hAnsi="Arial"/>
    </w:rPr>
  </w:style>
  <w:style w:type="paragraph" w:customStyle="1" w:styleId="A3-1stTabLeader">
    <w:name w:val="A3-1st Tab Leader"/>
    <w:rsid w:val="006D3765"/>
    <w:pPr>
      <w:tabs>
        <w:tab w:val="left" w:pos="1872"/>
        <w:tab w:val="right" w:leader="dot" w:pos="7200"/>
        <w:tab w:val="right" w:pos="7488"/>
        <w:tab w:val="left" w:pos="7632"/>
      </w:tabs>
      <w:spacing w:after="60" w:line="240" w:lineRule="atLeast"/>
      <w:ind w:left="1440"/>
    </w:pPr>
    <w:rPr>
      <w:rFonts w:ascii="Arial" w:hAnsi="Arial"/>
    </w:rPr>
  </w:style>
  <w:style w:type="paragraph" w:customStyle="1" w:styleId="A4-1stTabLine">
    <w:name w:val="A4-1st Tab Line"/>
    <w:rsid w:val="006D3765"/>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6D3765"/>
    <w:pPr>
      <w:keepNext/>
      <w:keepLines/>
      <w:tabs>
        <w:tab w:val="right" w:leader="dot" w:pos="7200"/>
        <w:tab w:val="right" w:pos="7488"/>
        <w:tab w:val="left" w:pos="7632"/>
      </w:tabs>
      <w:spacing w:after="60" w:line="240" w:lineRule="atLeast"/>
      <w:ind w:left="3600"/>
    </w:pPr>
    <w:rPr>
      <w:rFonts w:ascii="Arial" w:hAnsi="Arial"/>
    </w:rPr>
  </w:style>
  <w:style w:type="paragraph" w:customStyle="1" w:styleId="A6-2ndLine">
    <w:name w:val="A6-2nd Line"/>
    <w:rsid w:val="006D3765"/>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6D3765"/>
    <w:pPr>
      <w:keepNext/>
      <w:keepLines/>
      <w:tabs>
        <w:tab w:val="right" w:leader="underscore" w:pos="7200"/>
        <w:tab w:val="right" w:pos="7488"/>
        <w:tab w:val="left" w:pos="7632"/>
      </w:tabs>
      <w:spacing w:after="60" w:line="240" w:lineRule="atLeast"/>
      <w:ind w:left="1642" w:right="3312" w:hanging="202"/>
    </w:pPr>
    <w:rPr>
      <w:rFonts w:ascii="Arial" w:hAnsi="Arial"/>
    </w:rPr>
  </w:style>
  <w:style w:type="paragraph" w:customStyle="1" w:styleId="Y0-YNHead">
    <w:name w:val="Y0-Y/N Head"/>
    <w:rsid w:val="006D3765"/>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6D3765"/>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hAnsi="Arial"/>
    </w:rPr>
  </w:style>
  <w:style w:type="paragraph" w:customStyle="1" w:styleId="Y4-YNTabLine">
    <w:name w:val="Y4-Y/N Tab Line"/>
    <w:rsid w:val="006D3765"/>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6D3765"/>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6D3765"/>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6D3765"/>
    <w:pPr>
      <w:tabs>
        <w:tab w:val="right" w:leader="dot" w:pos="7200"/>
        <w:tab w:val="center" w:pos="7632"/>
        <w:tab w:val="center" w:pos="8352"/>
        <w:tab w:val="center" w:pos="9072"/>
      </w:tabs>
      <w:spacing w:after="60" w:line="240" w:lineRule="atLeast"/>
      <w:ind w:left="1642" w:right="3312" w:hanging="202"/>
    </w:pPr>
    <w:rPr>
      <w:rFonts w:ascii="Arial" w:hAnsi="Arial"/>
    </w:rPr>
  </w:style>
  <w:style w:type="paragraph" w:customStyle="1" w:styleId="Y2-YN1stLine">
    <w:name w:val="Y2-Y/N 1st Line"/>
    <w:rsid w:val="006D3765"/>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6D3765"/>
    <w:rPr>
      <w:b/>
      <w:i/>
      <w:vanish/>
      <w:color w:val="000000"/>
    </w:rPr>
  </w:style>
  <w:style w:type="paragraph" w:customStyle="1" w:styleId="AnnotatedParagraph">
    <w:name w:val="AnnotatedParagraph"/>
    <w:basedOn w:val="Normal"/>
    <w:rsid w:val="006D3765"/>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nhideWhenUsed/>
    <w:rsid w:val="006D3765"/>
    <w:rPr>
      <w:vertAlign w:val="superscript"/>
    </w:rPr>
  </w:style>
  <w:style w:type="paragraph" w:customStyle="1" w:styleId="Pa2">
    <w:name w:val="Pa2"/>
    <w:basedOn w:val="Normal"/>
    <w:next w:val="Normal"/>
    <w:uiPriority w:val="99"/>
    <w:rsid w:val="006D3765"/>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6D3765"/>
    <w:rPr>
      <w:b/>
      <w:bCs/>
    </w:rPr>
  </w:style>
  <w:style w:type="paragraph" w:styleId="ListBullet">
    <w:name w:val="List Bullet"/>
    <w:basedOn w:val="Normal"/>
    <w:uiPriority w:val="99"/>
    <w:unhideWhenUsed/>
    <w:rsid w:val="006D3765"/>
    <w:pPr>
      <w:numPr>
        <w:numId w:val="5"/>
      </w:numPr>
      <w:spacing w:line="360" w:lineRule="atLeast"/>
      <w:contextualSpacing/>
      <w:jc w:val="both"/>
    </w:pPr>
    <w:rPr>
      <w:rFonts w:ascii="Arial" w:hAnsi="Arial"/>
      <w:sz w:val="20"/>
    </w:rPr>
  </w:style>
  <w:style w:type="paragraph" w:styleId="Revision">
    <w:name w:val="Revision"/>
    <w:hidden/>
    <w:uiPriority w:val="99"/>
    <w:semiHidden/>
    <w:rsid w:val="006D3765"/>
    <w:rPr>
      <w:rFonts w:ascii="Arial" w:hAnsi="Arial"/>
    </w:rPr>
  </w:style>
  <w:style w:type="paragraph" w:styleId="NoSpacing">
    <w:name w:val="No Spacing"/>
    <w:uiPriority w:val="1"/>
    <w:qFormat/>
    <w:rsid w:val="00A634FC"/>
    <w:rPr>
      <w:rFonts w:eastAsia="Calibri"/>
      <w:sz w:val="24"/>
      <w:szCs w:val="22"/>
    </w:rPr>
  </w:style>
  <w:style w:type="paragraph" w:styleId="HTMLPreformatted">
    <w:name w:val="HTML Preformatted"/>
    <w:basedOn w:val="Normal"/>
    <w:link w:val="HTMLPreformattedChar"/>
    <w:uiPriority w:val="99"/>
    <w:unhideWhenUsed/>
    <w:rsid w:val="006D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D3765"/>
    <w:rPr>
      <w:rFonts w:ascii="Courier New" w:hAnsi="Courier New" w:cs="Courier New"/>
    </w:rPr>
  </w:style>
  <w:style w:type="paragraph" w:styleId="TableofFigures">
    <w:name w:val="table of figures"/>
    <w:basedOn w:val="Normal"/>
    <w:next w:val="Normal"/>
    <w:uiPriority w:val="99"/>
    <w:unhideWhenUsed/>
    <w:rsid w:val="00BD17FD"/>
  </w:style>
  <w:style w:type="paragraph" w:customStyle="1" w:styleId="bodytextblack">
    <w:name w:val="bodytextblack"/>
    <w:basedOn w:val="Normal"/>
    <w:rsid w:val="00E97F02"/>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E238D7"/>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161A77"/>
    <w:pPr>
      <w:keepLines/>
      <w:widowControl w:val="0"/>
      <w:jc w:val="center"/>
    </w:pPr>
    <w:rPr>
      <w:rFonts w:ascii="Times" w:hAnsi="Times"/>
      <w:snapToGrid w:val="0"/>
    </w:rPr>
  </w:style>
  <w:style w:type="character" w:customStyle="1" w:styleId="FooterChar1">
    <w:name w:val="Footer Char1"/>
    <w:basedOn w:val="DefaultParagraphFont"/>
    <w:rsid w:val="00161A77"/>
    <w:rPr>
      <w:sz w:val="22"/>
    </w:rPr>
  </w:style>
  <w:style w:type="character" w:styleId="FollowedHyperlink">
    <w:name w:val="FollowedHyperlink"/>
    <w:basedOn w:val="DefaultParagraphFont"/>
    <w:uiPriority w:val="99"/>
    <w:semiHidden/>
    <w:unhideWhenUsed/>
    <w:rsid w:val="000C7425"/>
    <w:rPr>
      <w:color w:val="800080" w:themeColor="followedHyperlink"/>
      <w:u w:val="single"/>
    </w:rPr>
  </w:style>
  <w:style w:type="paragraph" w:customStyle="1" w:styleId="Bullet">
    <w:name w:val="Bullet"/>
    <w:basedOn w:val="Normal"/>
    <w:qFormat/>
    <w:rsid w:val="003232EE"/>
    <w:pPr>
      <w:numPr>
        <w:numId w:val="27"/>
      </w:numPr>
      <w:tabs>
        <w:tab w:val="left" w:pos="432"/>
      </w:tabs>
      <w:spacing w:after="120" w:line="240" w:lineRule="auto"/>
      <w:ind w:left="432" w:hanging="432"/>
    </w:pPr>
  </w:style>
  <w:style w:type="paragraph" w:customStyle="1" w:styleId="MarkforTableTitle">
    <w:name w:val="Mark for Table Title"/>
    <w:basedOn w:val="Normal"/>
    <w:next w:val="Normal"/>
    <w:qFormat/>
    <w:rsid w:val="003232EE"/>
    <w:pPr>
      <w:keepNext/>
      <w:spacing w:after="60" w:line="240" w:lineRule="auto"/>
    </w:pPr>
    <w:rPr>
      <w:rFonts w:ascii="Arial Black" w:hAnsi="Arial Black"/>
      <w:sz w:val="22"/>
    </w:rPr>
  </w:style>
  <w:style w:type="paragraph" w:customStyle="1" w:styleId="Normalcontinued">
    <w:name w:val="Normal (continued)"/>
    <w:basedOn w:val="Normal"/>
    <w:next w:val="Normal"/>
    <w:qFormat/>
    <w:rsid w:val="003232EE"/>
  </w:style>
  <w:style w:type="paragraph" w:customStyle="1" w:styleId="TableHeaderLeft">
    <w:name w:val="Table Header Left"/>
    <w:basedOn w:val="TableText"/>
    <w:next w:val="TableText"/>
    <w:qFormat/>
    <w:rsid w:val="003232EE"/>
    <w:pPr>
      <w:spacing w:before="120" w:after="60"/>
    </w:pPr>
    <w:rPr>
      <w:b/>
      <w:color w:val="FFFFFF" w:themeColor="background1"/>
    </w:rPr>
  </w:style>
  <w:style w:type="paragraph" w:customStyle="1" w:styleId="TableHeaderCenter">
    <w:name w:val="Table Header Center"/>
    <w:basedOn w:val="TableHeaderLeft"/>
    <w:qFormat/>
    <w:rsid w:val="003232EE"/>
    <w:pPr>
      <w:jc w:val="center"/>
    </w:pPr>
  </w:style>
  <w:style w:type="paragraph" w:customStyle="1" w:styleId="TableText">
    <w:name w:val="Table Text"/>
    <w:basedOn w:val="Normal"/>
    <w:qFormat/>
    <w:rsid w:val="003232EE"/>
    <w:pPr>
      <w:spacing w:line="240" w:lineRule="auto"/>
    </w:pPr>
    <w:rPr>
      <w:rFonts w:ascii="Arial" w:hAnsi="Arial"/>
      <w:sz w:val="18"/>
    </w:rPr>
  </w:style>
  <w:style w:type="table" w:customStyle="1" w:styleId="MPRBaseTable">
    <w:name w:val="MPR Base Table"/>
    <w:basedOn w:val="TableNormal"/>
    <w:uiPriority w:val="99"/>
    <w:rsid w:val="003232EE"/>
    <w:pPr>
      <w:spacing w:line="360" w:lineRule="auto"/>
      <w:contextualSpacing/>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4Number">
    <w:name w:val="H4_Number"/>
    <w:basedOn w:val="Heading3"/>
    <w:next w:val="Normal"/>
    <w:link w:val="H4NumberChar"/>
    <w:qFormat/>
    <w:rsid w:val="003232EE"/>
    <w:pPr>
      <w:tabs>
        <w:tab w:val="clear" w:pos="1152"/>
        <w:tab w:val="left" w:pos="432"/>
      </w:tabs>
      <w:spacing w:after="120" w:line="240" w:lineRule="auto"/>
      <w:ind w:left="432" w:hanging="432"/>
      <w:outlineLvl w:val="3"/>
    </w:pPr>
  </w:style>
  <w:style w:type="character" w:customStyle="1" w:styleId="H4NumberChar">
    <w:name w:val="H4_Number Char"/>
    <w:basedOn w:val="Heading3Char"/>
    <w:link w:val="H4Number"/>
    <w:rsid w:val="003232EE"/>
    <w:rPr>
      <w:rFonts w:ascii="Franklin Gothic Medium" w:hAnsi="Franklin Gothic Medium"/>
      <w:b/>
      <w:sz w:val="24"/>
    </w:rPr>
  </w:style>
  <w:style w:type="table" w:customStyle="1" w:styleId="GridTable4-Accent11">
    <w:name w:val="Grid Table 4 - Accent 11"/>
    <w:basedOn w:val="TableNormal"/>
    <w:uiPriority w:val="49"/>
    <w:rsid w:val="00AD6261"/>
    <w:rPr>
      <w:rFonts w:asciiTheme="minorHAnsi" w:eastAsiaTheme="minorEastAsia" w:hAnsiTheme="minorHAnsi" w:cstheme="minorBidi"/>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4786">
      <w:bodyDiv w:val="1"/>
      <w:marLeft w:val="0"/>
      <w:marRight w:val="0"/>
      <w:marTop w:val="0"/>
      <w:marBottom w:val="0"/>
      <w:divBdr>
        <w:top w:val="none" w:sz="0" w:space="0" w:color="auto"/>
        <w:left w:val="none" w:sz="0" w:space="0" w:color="auto"/>
        <w:bottom w:val="none" w:sz="0" w:space="0" w:color="auto"/>
        <w:right w:val="none" w:sz="0" w:space="0" w:color="auto"/>
      </w:divBdr>
    </w:div>
    <w:div w:id="393310435">
      <w:bodyDiv w:val="1"/>
      <w:marLeft w:val="0"/>
      <w:marRight w:val="0"/>
      <w:marTop w:val="0"/>
      <w:marBottom w:val="0"/>
      <w:divBdr>
        <w:top w:val="none" w:sz="0" w:space="0" w:color="auto"/>
        <w:left w:val="none" w:sz="0" w:space="0" w:color="auto"/>
        <w:bottom w:val="none" w:sz="0" w:space="0" w:color="auto"/>
        <w:right w:val="none" w:sz="0" w:space="0" w:color="auto"/>
      </w:divBdr>
    </w:div>
    <w:div w:id="534539234">
      <w:bodyDiv w:val="1"/>
      <w:marLeft w:val="0"/>
      <w:marRight w:val="0"/>
      <w:marTop w:val="0"/>
      <w:marBottom w:val="0"/>
      <w:divBdr>
        <w:top w:val="none" w:sz="0" w:space="0" w:color="auto"/>
        <w:left w:val="none" w:sz="0" w:space="0" w:color="auto"/>
        <w:bottom w:val="none" w:sz="0" w:space="0" w:color="auto"/>
        <w:right w:val="none" w:sz="0" w:space="0" w:color="auto"/>
      </w:divBdr>
    </w:div>
    <w:div w:id="692728355">
      <w:bodyDiv w:val="1"/>
      <w:marLeft w:val="0"/>
      <w:marRight w:val="0"/>
      <w:marTop w:val="0"/>
      <w:marBottom w:val="0"/>
      <w:divBdr>
        <w:top w:val="none" w:sz="0" w:space="0" w:color="auto"/>
        <w:left w:val="none" w:sz="0" w:space="0" w:color="auto"/>
        <w:bottom w:val="none" w:sz="0" w:space="0" w:color="auto"/>
        <w:right w:val="none" w:sz="0" w:space="0" w:color="auto"/>
      </w:divBdr>
    </w:div>
    <w:div w:id="971210247">
      <w:bodyDiv w:val="1"/>
      <w:marLeft w:val="0"/>
      <w:marRight w:val="0"/>
      <w:marTop w:val="0"/>
      <w:marBottom w:val="0"/>
      <w:divBdr>
        <w:top w:val="none" w:sz="0" w:space="0" w:color="auto"/>
        <w:left w:val="none" w:sz="0" w:space="0" w:color="auto"/>
        <w:bottom w:val="none" w:sz="0" w:space="0" w:color="auto"/>
        <w:right w:val="none" w:sz="0" w:space="0" w:color="auto"/>
      </w:divBdr>
      <w:divsChild>
        <w:div w:id="2133134188">
          <w:marLeft w:val="547"/>
          <w:marRight w:val="0"/>
          <w:marTop w:val="96"/>
          <w:marBottom w:val="0"/>
          <w:divBdr>
            <w:top w:val="none" w:sz="0" w:space="0" w:color="auto"/>
            <w:left w:val="none" w:sz="0" w:space="0" w:color="auto"/>
            <w:bottom w:val="none" w:sz="0" w:space="0" w:color="auto"/>
            <w:right w:val="none" w:sz="0" w:space="0" w:color="auto"/>
          </w:divBdr>
        </w:div>
      </w:divsChild>
    </w:div>
    <w:div w:id="1200900909">
      <w:bodyDiv w:val="1"/>
      <w:marLeft w:val="0"/>
      <w:marRight w:val="0"/>
      <w:marTop w:val="0"/>
      <w:marBottom w:val="0"/>
      <w:divBdr>
        <w:top w:val="none" w:sz="0" w:space="0" w:color="auto"/>
        <w:left w:val="none" w:sz="0" w:space="0" w:color="auto"/>
        <w:bottom w:val="none" w:sz="0" w:space="0" w:color="auto"/>
        <w:right w:val="none" w:sz="0" w:space="0" w:color="auto"/>
      </w:divBdr>
    </w:div>
    <w:div w:id="1560826720">
      <w:bodyDiv w:val="1"/>
      <w:marLeft w:val="0"/>
      <w:marRight w:val="0"/>
      <w:marTop w:val="0"/>
      <w:marBottom w:val="0"/>
      <w:divBdr>
        <w:top w:val="none" w:sz="0" w:space="0" w:color="auto"/>
        <w:left w:val="none" w:sz="0" w:space="0" w:color="auto"/>
        <w:bottom w:val="none" w:sz="0" w:space="0" w:color="auto"/>
        <w:right w:val="none" w:sz="0" w:space="0" w:color="auto"/>
      </w:divBdr>
    </w:div>
    <w:div w:id="1747418450">
      <w:bodyDiv w:val="1"/>
      <w:marLeft w:val="0"/>
      <w:marRight w:val="0"/>
      <w:marTop w:val="0"/>
      <w:marBottom w:val="0"/>
      <w:divBdr>
        <w:top w:val="none" w:sz="0" w:space="0" w:color="auto"/>
        <w:left w:val="none" w:sz="0" w:space="0" w:color="auto"/>
        <w:bottom w:val="none" w:sz="0" w:space="0" w:color="auto"/>
        <w:right w:val="none" w:sz="0" w:space="0" w:color="auto"/>
      </w:divBdr>
    </w:div>
    <w:div w:id="203923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mailto:ezeidman@mathematica-mpr.com" TargetMode="Externa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mailto:msinclair@mathematica-mpr.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mailto:Devin.Wallace-Williams@fns.usda.gov" TargetMode="Externa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mailto:jmurdoch@2mresearch.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yperlink" Target="mailto:ccabili@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6E39AE01E6D4895F13CA967808959" ma:contentTypeVersion="0" ma:contentTypeDescription="Create a new document." ma:contentTypeScope="" ma:versionID="4ad60ac4825c07913627e90fa51ba1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AA39B-2AAB-4227-BE0C-B2D8A47C9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7260AB-7491-454C-B912-9E71688E6384}">
  <ds:schemaRefs>
    <ds:schemaRef ds:uri="http://schemas.microsoft.com/sharepoint/v3/contenttype/forms"/>
  </ds:schemaRefs>
</ds:datastoreItem>
</file>

<file path=customXml/itemProps3.xml><?xml version="1.0" encoding="utf-8"?>
<ds:datastoreItem xmlns:ds="http://schemas.openxmlformats.org/officeDocument/2006/customXml" ds:itemID="{2E45BF1D-8AC6-4BDC-82E9-BBBCDBFAEE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4E6543-47C6-49C5-9232-A0605EBF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4694</Words>
  <Characters>26758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Freeland_s</dc:creator>
  <cp:lastModifiedBy>CS</cp:lastModifiedBy>
  <cp:revision>8</cp:revision>
  <cp:lastPrinted>2017-03-31T15:56:00Z</cp:lastPrinted>
  <dcterms:created xsi:type="dcterms:W3CDTF">2017-03-08T20:11:00Z</dcterms:created>
  <dcterms:modified xsi:type="dcterms:W3CDTF">2017-03-31T15:58:00Z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0x0101008166E39AE01E6D4895F13CA967808959</vt:lpwstr>
  </property>
</Properties>
</file>