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E8" w:rsidRDefault="004759E8" w:rsidP="004759E8">
      <w:pPr>
        <w:pStyle w:val="Header"/>
      </w:pPr>
      <w:r w:rsidRPr="006967DB">
        <w:rPr>
          <w:b/>
          <w:sz w:val="22"/>
        </w:rPr>
        <w:t>Quantitative Study of Tobacco Facts Designed to Inform Youth Tobacco Prevention Messaging</w:t>
      </w:r>
    </w:p>
    <w:p w:rsidR="00004CB9" w:rsidRDefault="00004CB9" w:rsidP="00E87208">
      <w:pPr>
        <w:spacing w:before="100" w:beforeAutospacing="1" w:after="100" w:afterAutospacing="1"/>
        <w:jc w:val="center"/>
        <w:outlineLvl w:val="0"/>
        <w:rPr>
          <w:b/>
          <w:sz w:val="24"/>
          <w:szCs w:val="24"/>
        </w:rPr>
      </w:pPr>
      <w:r>
        <w:rPr>
          <w:b/>
          <w:sz w:val="24"/>
          <w:szCs w:val="24"/>
        </w:rPr>
        <w:t>09</w:t>
      </w:r>
      <w:r w:rsidR="0083493E">
        <w:rPr>
          <w:b/>
          <w:sz w:val="24"/>
          <w:szCs w:val="24"/>
        </w:rPr>
        <w:t>10</w:t>
      </w:r>
      <w:r>
        <w:rPr>
          <w:b/>
          <w:sz w:val="24"/>
          <w:szCs w:val="24"/>
        </w:rPr>
        <w:t>-</w:t>
      </w:r>
      <w:r w:rsidR="00410B98">
        <w:rPr>
          <w:b/>
          <w:sz w:val="24"/>
          <w:szCs w:val="24"/>
        </w:rPr>
        <w:t>0810</w:t>
      </w:r>
      <w:bookmarkStart w:id="0" w:name="_GoBack"/>
      <w:bookmarkEnd w:id="0"/>
    </w:p>
    <w:p w:rsidR="00B76AF7" w:rsidRDefault="00B76AF7" w:rsidP="00B76AF7">
      <w:pPr>
        <w:spacing w:before="100" w:beforeAutospacing="1" w:after="100" w:afterAutospacing="1"/>
        <w:jc w:val="center"/>
        <w:rPr>
          <w:b/>
          <w:sz w:val="24"/>
          <w:szCs w:val="24"/>
        </w:rPr>
      </w:pPr>
      <w:r>
        <w:rPr>
          <w:b/>
          <w:sz w:val="24"/>
          <w:szCs w:val="24"/>
        </w:rPr>
        <w:t>Supporting Statement: Part B</w:t>
      </w:r>
    </w:p>
    <w:p w:rsidR="00AD116C" w:rsidRPr="00A77197" w:rsidRDefault="00B76AF7">
      <w:pPr>
        <w:spacing w:before="100" w:beforeAutospacing="1" w:after="100" w:afterAutospacing="1"/>
        <w:rPr>
          <w:b/>
          <w:bCs/>
          <w:caps/>
          <w:sz w:val="24"/>
          <w:szCs w:val="24"/>
        </w:rPr>
      </w:pPr>
      <w:r>
        <w:rPr>
          <w:b/>
          <w:bCs/>
          <w:caps/>
          <w:sz w:val="24"/>
          <w:szCs w:val="24"/>
        </w:rPr>
        <w:t>B.</w:t>
      </w:r>
      <w:r w:rsidR="008E416F" w:rsidRPr="00A77197">
        <w:rPr>
          <w:b/>
          <w:bCs/>
          <w:caps/>
          <w:sz w:val="24"/>
          <w:szCs w:val="24"/>
        </w:rPr>
        <w:t xml:space="preserve"> Statistical Methods</w:t>
      </w:r>
      <w:r w:rsidR="008E416F" w:rsidRPr="00A77197">
        <w:rPr>
          <w:caps/>
          <w:sz w:val="24"/>
          <w:szCs w:val="24"/>
        </w:rPr>
        <w:t xml:space="preserve"> </w:t>
      </w:r>
    </w:p>
    <w:p w:rsidR="008E416F" w:rsidRDefault="008E416F">
      <w:pPr>
        <w:spacing w:before="100" w:beforeAutospacing="1" w:after="100" w:afterAutospacing="1"/>
        <w:rPr>
          <w:b/>
          <w:sz w:val="24"/>
          <w:szCs w:val="24"/>
          <w:u w:val="single"/>
        </w:rPr>
      </w:pPr>
      <w:r w:rsidRPr="00A77197">
        <w:rPr>
          <w:b/>
          <w:sz w:val="24"/>
          <w:szCs w:val="24"/>
          <w:u w:val="single"/>
        </w:rPr>
        <w:t xml:space="preserve">1. Respondent Universe and Sampling Methods </w:t>
      </w:r>
    </w:p>
    <w:p w:rsidR="004759E8" w:rsidRPr="00A77197" w:rsidRDefault="004759E8">
      <w:pPr>
        <w:spacing w:before="100" w:beforeAutospacing="1" w:after="100" w:afterAutospacing="1"/>
        <w:rPr>
          <w:b/>
          <w:sz w:val="24"/>
          <w:szCs w:val="24"/>
          <w:u w:val="single"/>
        </w:rPr>
      </w:pPr>
      <w:r w:rsidRPr="002E054D">
        <w:rPr>
          <w:sz w:val="24"/>
          <w:szCs w:val="24"/>
        </w:rPr>
        <w:t xml:space="preserve">The one-time actual burden figures are listed in </w:t>
      </w:r>
      <w:r w:rsidR="00B76AF7">
        <w:rPr>
          <w:sz w:val="24"/>
          <w:szCs w:val="24"/>
        </w:rPr>
        <w:t>Tables</w:t>
      </w:r>
      <w:r w:rsidRPr="002E054D">
        <w:rPr>
          <w:sz w:val="24"/>
          <w:szCs w:val="24"/>
        </w:rPr>
        <w:t xml:space="preserve"> 2 &amp; 3, Part A</w:t>
      </w:r>
    </w:p>
    <w:p w:rsidR="004759E8" w:rsidRPr="002E054D" w:rsidRDefault="004759E8" w:rsidP="004759E8">
      <w:pPr>
        <w:rPr>
          <w:sz w:val="24"/>
          <w:szCs w:val="24"/>
        </w:rPr>
      </w:pPr>
      <w:bookmarkStart w:id="1" w:name="OLE_LINK1"/>
      <w:bookmarkStart w:id="2" w:name="OLE_LINK2"/>
      <w:r w:rsidRPr="002E054D">
        <w:rPr>
          <w:sz w:val="24"/>
          <w:szCs w:val="24"/>
        </w:rPr>
        <w:t xml:space="preserve">The primary outcome of this study would be based on a probability sample provided by </w:t>
      </w:r>
      <w:proofErr w:type="spellStart"/>
      <w:r w:rsidRPr="002E054D">
        <w:rPr>
          <w:sz w:val="24"/>
          <w:szCs w:val="24"/>
        </w:rPr>
        <w:t>GfK’s</w:t>
      </w:r>
      <w:proofErr w:type="spellEnd"/>
      <w:r w:rsidRPr="002E054D">
        <w:rPr>
          <w:sz w:val="24"/>
          <w:szCs w:val="24"/>
        </w:rPr>
        <w:t xml:space="preserve"> </w:t>
      </w:r>
      <w:proofErr w:type="spellStart"/>
      <w:r w:rsidRPr="002E054D">
        <w:rPr>
          <w:sz w:val="24"/>
          <w:szCs w:val="24"/>
        </w:rPr>
        <w:t>KnowledgePanel</w:t>
      </w:r>
      <w:proofErr w:type="spellEnd"/>
      <w:r w:rsidRPr="002E054D">
        <w:rPr>
          <w:sz w:val="24"/>
          <w:szCs w:val="24"/>
        </w:rPr>
        <w:t xml:space="preserve">.  The goal is to receive 750 survey completes among youth ages 13-17 </w:t>
      </w:r>
      <w:proofErr w:type="gramStart"/>
      <w:r w:rsidRPr="002E054D">
        <w:rPr>
          <w:sz w:val="24"/>
          <w:szCs w:val="24"/>
        </w:rPr>
        <w:t>who</w:t>
      </w:r>
      <w:proofErr w:type="gramEnd"/>
      <w:r w:rsidRPr="002E054D">
        <w:rPr>
          <w:sz w:val="24"/>
          <w:szCs w:val="24"/>
        </w:rPr>
        <w:t xml:space="preserve"> are susceptible to smoking and 750 survey completes among youth ages 13-17 who have experimented with smoking.  The survey is a cross-sectional design using a nationally representatives participant panel of adult parents with children between ages 13-17.  </w:t>
      </w:r>
      <w:r w:rsidRPr="000F2266">
        <w:rPr>
          <w:sz w:val="24"/>
          <w:szCs w:val="24"/>
        </w:rPr>
        <w:t xml:space="preserve">Participants will be recruited through an existing </w:t>
      </w:r>
      <w:proofErr w:type="spellStart"/>
      <w:r w:rsidRPr="000F2266">
        <w:rPr>
          <w:sz w:val="24"/>
          <w:szCs w:val="24"/>
        </w:rPr>
        <w:t>GfK</w:t>
      </w:r>
      <w:proofErr w:type="spellEnd"/>
      <w:r w:rsidRPr="000F2266">
        <w:rPr>
          <w:sz w:val="24"/>
          <w:szCs w:val="24"/>
        </w:rPr>
        <w:t xml:space="preserve"> panel of adults with children ages 13-17 </w:t>
      </w:r>
      <w:r w:rsidRPr="002E054D">
        <w:rPr>
          <w:sz w:val="24"/>
          <w:szCs w:val="24"/>
        </w:rPr>
        <w:t xml:space="preserve">who give their permission for their youth to complete the survey.  The screening criteria </w:t>
      </w:r>
      <w:r>
        <w:rPr>
          <w:sz w:val="24"/>
          <w:szCs w:val="24"/>
        </w:rPr>
        <w:t>are</w:t>
      </w:r>
      <w:r w:rsidRPr="002E054D">
        <w:rPr>
          <w:sz w:val="24"/>
          <w:szCs w:val="24"/>
        </w:rPr>
        <w:t xml:space="preserve"> based on age, smoking status, and intention to smoke in the future.  As this study is considered part of formative research for campaign development and planning, these methods are not intended to generate nationally representative samples or precise estimates of population parameters. The sample drawn here is designed primarily to provide information on the perceived effectiveness of various tobacco-related facts that may be used in future tobacco prevention campaigns.</w:t>
      </w:r>
    </w:p>
    <w:p w:rsidR="004759E8" w:rsidRPr="002E054D" w:rsidRDefault="004759E8" w:rsidP="004759E8">
      <w:pPr>
        <w:rPr>
          <w:sz w:val="24"/>
          <w:szCs w:val="24"/>
        </w:rPr>
      </w:pPr>
    </w:p>
    <w:p w:rsidR="004759E8" w:rsidRPr="002E054D" w:rsidRDefault="004759E8" w:rsidP="004759E8">
      <w:pPr>
        <w:rPr>
          <w:i/>
          <w:sz w:val="24"/>
        </w:rPr>
      </w:pPr>
      <w:r w:rsidRPr="002E054D">
        <w:rPr>
          <w:i/>
          <w:sz w:val="24"/>
        </w:rPr>
        <w:t>Sampling Methods</w:t>
      </w:r>
    </w:p>
    <w:p w:rsidR="004759E8" w:rsidRPr="002E054D" w:rsidRDefault="004759E8" w:rsidP="004759E8">
      <w:pPr>
        <w:rPr>
          <w:sz w:val="24"/>
        </w:rPr>
      </w:pPr>
      <w:r w:rsidRPr="002E054D">
        <w:rPr>
          <w:sz w:val="24"/>
        </w:rPr>
        <w:t xml:space="preserve">The </w:t>
      </w:r>
      <w:proofErr w:type="spellStart"/>
      <w:r w:rsidRPr="002E054D">
        <w:rPr>
          <w:sz w:val="24"/>
        </w:rPr>
        <w:t>GfK</w:t>
      </w:r>
      <w:proofErr w:type="spellEnd"/>
      <w:r w:rsidRPr="002E054D">
        <w:rPr>
          <w:sz w:val="24"/>
        </w:rPr>
        <w:t xml:space="preserve"> sample provided will be of a sample of adults who have children ages 13-17.  The adult will determine if they are interested in their child participating in the survey.  As this study is considered part of formative research for campaign development and planning, these methods are not intended to generate nationally representative samples or precise estimates of population parameters. The sample drawn here is designed primarily to provide information on the perceived effectiveness of tobacco-related facts under test. The sampling of adults is provided below.  </w:t>
      </w:r>
    </w:p>
    <w:p w:rsidR="004759E8" w:rsidRPr="002E054D" w:rsidRDefault="004759E8" w:rsidP="004759E8">
      <w:pPr>
        <w:rPr>
          <w:sz w:val="24"/>
        </w:rPr>
      </w:pPr>
    </w:p>
    <w:p w:rsidR="004759E8" w:rsidRPr="002E054D" w:rsidRDefault="004759E8" w:rsidP="004759E8">
      <w:pPr>
        <w:rPr>
          <w:sz w:val="24"/>
        </w:rPr>
      </w:pPr>
      <w:proofErr w:type="spellStart"/>
      <w:r w:rsidRPr="002E054D">
        <w:rPr>
          <w:sz w:val="24"/>
        </w:rPr>
        <w:t>KnowledgePanel’s</w:t>
      </w:r>
      <w:proofErr w:type="spellEnd"/>
      <w:r w:rsidRPr="002E054D">
        <w:rPr>
          <w:sz w:val="24"/>
        </w:rPr>
        <w:t xml:space="preserve"> probability-based recruitment was originally based exclusively on a national RDD frame.  Currently, approximately 40% of panel members were recruited through RDD, while 60% were recruited using ABS.  After initially accepting the invitation to join the panel, participants are asked to complete a short demographic survey (the initial profile survey); answers to these questions allow efficient panel sampling and weighting for surveys. Completion of the profile survey allows participants to become panel members.  These procedures were established for the RDD-recruited panel members and continued with ABS recruited panel members.  Respondents sampled from the RDD and ABS frames are provided the same privacy terms and confidentiality protections.  </w:t>
      </w:r>
    </w:p>
    <w:p w:rsidR="004759E8" w:rsidRPr="002E054D" w:rsidRDefault="004759E8" w:rsidP="004759E8">
      <w:pPr>
        <w:rPr>
          <w:sz w:val="24"/>
        </w:rPr>
      </w:pPr>
    </w:p>
    <w:p w:rsidR="004759E8" w:rsidRPr="002E054D" w:rsidRDefault="004759E8" w:rsidP="004759E8">
      <w:pPr>
        <w:rPr>
          <w:sz w:val="24"/>
        </w:rPr>
      </w:pPr>
      <w:proofErr w:type="gramStart"/>
      <w:r w:rsidRPr="002E054D">
        <w:rPr>
          <w:i/>
          <w:sz w:val="24"/>
        </w:rPr>
        <w:t>ABS Recruitment.</w:t>
      </w:r>
      <w:proofErr w:type="gramEnd"/>
      <w:r w:rsidRPr="002E054D">
        <w:rPr>
          <w:sz w:val="24"/>
        </w:rPr>
        <w:t xml:space="preserve">  ABS involves probability-based sampling of addresses from the U.S. Postal Service’s Delivery Sequence File.  The key advantage of the ABS sample frame is that it allows </w:t>
      </w:r>
      <w:r w:rsidRPr="002E054D">
        <w:rPr>
          <w:sz w:val="24"/>
        </w:rPr>
        <w:lastRenderedPageBreak/>
        <w:t xml:space="preserve">sampling of almost all U.S. households.  An estimated 97% of households are “covered” in sampling nomenclature.  Regardless of household telephone status, those households can be reached and contacted through postal mail.  For every survey sample, an appropriate base weight adjustment is applied to each relevant sample to correct for the stratified designs.  </w:t>
      </w:r>
    </w:p>
    <w:p w:rsidR="004759E8" w:rsidRPr="002E054D" w:rsidRDefault="004759E8" w:rsidP="004759E8">
      <w:pPr>
        <w:rPr>
          <w:sz w:val="24"/>
        </w:rPr>
      </w:pPr>
    </w:p>
    <w:p w:rsidR="004759E8" w:rsidRPr="002E054D" w:rsidRDefault="004759E8" w:rsidP="004759E8">
      <w:pPr>
        <w:rPr>
          <w:sz w:val="24"/>
        </w:rPr>
      </w:pPr>
      <w:r w:rsidRPr="002E054D">
        <w:rPr>
          <w:sz w:val="24"/>
        </w:rPr>
        <w:t xml:space="preserve">Randomly sampled addresses are invited to join </w:t>
      </w:r>
      <w:proofErr w:type="spellStart"/>
      <w:r w:rsidRPr="002E054D">
        <w:rPr>
          <w:sz w:val="24"/>
        </w:rPr>
        <w:t>KnowledgePanel</w:t>
      </w:r>
      <w:proofErr w:type="spellEnd"/>
      <w:r w:rsidRPr="002E054D">
        <w:rPr>
          <w:sz w:val="24"/>
        </w:rPr>
        <w:t xml:space="preserve"> through a series of mailings, including an initial invitation letter, a reminder postcard, and a subsequent follow-up letter.  </w:t>
      </w:r>
    </w:p>
    <w:p w:rsidR="004759E8" w:rsidRPr="002E054D" w:rsidRDefault="004759E8" w:rsidP="004759E8">
      <w:pPr>
        <w:ind w:left="720"/>
        <w:rPr>
          <w:sz w:val="24"/>
        </w:rPr>
      </w:pPr>
    </w:p>
    <w:p w:rsidR="004759E8" w:rsidRPr="002E054D" w:rsidRDefault="004759E8" w:rsidP="004759E8">
      <w:pPr>
        <w:rPr>
          <w:sz w:val="24"/>
        </w:rPr>
      </w:pPr>
      <w:proofErr w:type="gramStart"/>
      <w:r w:rsidRPr="002E054D">
        <w:rPr>
          <w:i/>
          <w:sz w:val="24"/>
        </w:rPr>
        <w:t>RDD Recruitment.</w:t>
      </w:r>
      <w:proofErr w:type="gramEnd"/>
      <w:r w:rsidRPr="002E054D">
        <w:rPr>
          <w:sz w:val="24"/>
        </w:rPr>
        <w:t xml:space="preserve">  For panel members who were recruited using RDD-based sampling (pre-April 2009), list-assisted RDD sampling techniques were used on the sample frame consisting of the entire U.S. residential telephone population.  </w:t>
      </w:r>
    </w:p>
    <w:p w:rsidR="004759E8" w:rsidRPr="002E054D" w:rsidRDefault="004759E8" w:rsidP="004759E8">
      <w:pPr>
        <w:rPr>
          <w:sz w:val="24"/>
        </w:rPr>
      </w:pPr>
    </w:p>
    <w:p w:rsidR="004759E8" w:rsidRPr="00AE00C0" w:rsidRDefault="004759E8" w:rsidP="004759E8">
      <w:pPr>
        <w:rPr>
          <w:i/>
          <w:sz w:val="24"/>
        </w:rPr>
      </w:pPr>
      <w:r w:rsidRPr="00AE00C0">
        <w:rPr>
          <w:i/>
          <w:sz w:val="24"/>
        </w:rPr>
        <w:t>Sample Size</w:t>
      </w:r>
    </w:p>
    <w:p w:rsidR="004759E8" w:rsidRPr="002E054D" w:rsidRDefault="004759E8" w:rsidP="004759E8">
      <w:pPr>
        <w:rPr>
          <w:sz w:val="24"/>
        </w:rPr>
      </w:pPr>
      <w:r w:rsidRPr="002E054D">
        <w:rPr>
          <w:sz w:val="24"/>
        </w:rPr>
        <w:t xml:space="preserve">To obtain a final sample of 750 youth ages 13-17 who have experimented with smoking and 750 youth ages 13-17 </w:t>
      </w:r>
      <w:proofErr w:type="gramStart"/>
      <w:r w:rsidRPr="002E054D">
        <w:rPr>
          <w:sz w:val="24"/>
        </w:rPr>
        <w:t>who</w:t>
      </w:r>
      <w:proofErr w:type="gramEnd"/>
      <w:r w:rsidRPr="002E054D">
        <w:rPr>
          <w:sz w:val="24"/>
        </w:rPr>
        <w:t xml:space="preserve"> are susceptible to smoking in the future, we will need to screen approximately 6,251 potential respondents.  This is because we anticipate approximately 24% of youth </w:t>
      </w:r>
      <w:proofErr w:type="gramStart"/>
      <w:r w:rsidRPr="002E054D">
        <w:rPr>
          <w:sz w:val="24"/>
        </w:rPr>
        <w:t>have</w:t>
      </w:r>
      <w:proofErr w:type="gramEnd"/>
      <w:r w:rsidRPr="002E054D">
        <w:rPr>
          <w:sz w:val="24"/>
        </w:rPr>
        <w:t xml:space="preserve"> experimented with </w:t>
      </w:r>
      <w:r>
        <w:rPr>
          <w:sz w:val="24"/>
        </w:rPr>
        <w:t>smoking</w:t>
      </w:r>
      <w:r w:rsidRPr="002E054D">
        <w:rPr>
          <w:sz w:val="24"/>
        </w:rPr>
        <w:t xml:space="preserve">, and about 16% are susceptible to </w:t>
      </w:r>
      <w:r>
        <w:rPr>
          <w:sz w:val="24"/>
        </w:rPr>
        <w:t xml:space="preserve">initiating </w:t>
      </w:r>
      <w:r w:rsidRPr="002E054D">
        <w:rPr>
          <w:sz w:val="24"/>
        </w:rPr>
        <w:t>smoking in the future (NYTS, 2014).  In addition, we anticipate only about 75% of screened respondents will give both parental permission and child assent to participate in the study.  The attrition is explained in Exhibit 5.</w:t>
      </w:r>
    </w:p>
    <w:p w:rsidR="004759E8" w:rsidRPr="002E054D" w:rsidRDefault="004759E8" w:rsidP="004759E8">
      <w:pPr>
        <w:rPr>
          <w:sz w:val="24"/>
        </w:rPr>
      </w:pPr>
    </w:p>
    <w:p w:rsidR="004759E8" w:rsidRPr="002E054D" w:rsidRDefault="004759E8" w:rsidP="004759E8">
      <w:pPr>
        <w:rPr>
          <w:b/>
          <w:sz w:val="24"/>
        </w:rPr>
      </w:pPr>
      <w:r w:rsidRPr="002E054D">
        <w:rPr>
          <w:b/>
          <w:sz w:val="24"/>
        </w:rPr>
        <w:t>Exhibit 5: Sample Size for Tobacco Messages Survey</w:t>
      </w:r>
    </w:p>
    <w:p w:rsidR="004759E8" w:rsidRPr="002E054D" w:rsidRDefault="0048687C" w:rsidP="004759E8">
      <w:pPr>
        <w:rPr>
          <w:i/>
          <w:sz w:val="24"/>
        </w:rPr>
      </w:pPr>
      <w:r>
        <w:rPr>
          <w:i/>
          <w:noProof/>
          <w:sz w:val="24"/>
        </w:rPr>
        <w:drawing>
          <wp:inline distT="0" distB="0" distL="0" distR="0">
            <wp:extent cx="5838190" cy="3310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8190" cy="3310890"/>
                    </a:xfrm>
                    <a:prstGeom prst="rect">
                      <a:avLst/>
                    </a:prstGeom>
                    <a:noFill/>
                  </pic:spPr>
                </pic:pic>
              </a:graphicData>
            </a:graphic>
          </wp:inline>
        </w:drawing>
      </w:r>
    </w:p>
    <w:p w:rsidR="004759E8" w:rsidRPr="002E054D" w:rsidRDefault="004759E8" w:rsidP="004759E8">
      <w:pPr>
        <w:rPr>
          <w:i/>
          <w:sz w:val="24"/>
        </w:rPr>
      </w:pPr>
    </w:p>
    <w:p w:rsidR="004759E8" w:rsidRPr="002E054D" w:rsidRDefault="004759E8" w:rsidP="004759E8">
      <w:pPr>
        <w:rPr>
          <w:i/>
          <w:sz w:val="24"/>
        </w:rPr>
      </w:pPr>
    </w:p>
    <w:p w:rsidR="004759E8" w:rsidRPr="002E054D" w:rsidRDefault="004759E8" w:rsidP="004759E8">
      <w:pPr>
        <w:rPr>
          <w:i/>
          <w:sz w:val="24"/>
        </w:rPr>
      </w:pPr>
    </w:p>
    <w:p w:rsidR="004759E8" w:rsidRDefault="004759E8" w:rsidP="004759E8">
      <w:pPr>
        <w:rPr>
          <w:b/>
          <w:sz w:val="24"/>
        </w:rPr>
      </w:pPr>
      <w:bookmarkStart w:id="3" w:name="_Toc361824173"/>
    </w:p>
    <w:p w:rsidR="004759E8" w:rsidRDefault="004759E8" w:rsidP="004759E8">
      <w:pPr>
        <w:rPr>
          <w:b/>
          <w:sz w:val="24"/>
        </w:rPr>
      </w:pPr>
    </w:p>
    <w:p w:rsidR="004759E8" w:rsidRDefault="004759E8" w:rsidP="004759E8">
      <w:pPr>
        <w:rPr>
          <w:b/>
          <w:sz w:val="24"/>
        </w:rPr>
      </w:pPr>
    </w:p>
    <w:p w:rsidR="004759E8" w:rsidRDefault="004759E8" w:rsidP="004759E8">
      <w:pPr>
        <w:rPr>
          <w:b/>
          <w:sz w:val="24"/>
        </w:rPr>
      </w:pPr>
    </w:p>
    <w:p w:rsidR="004759E8" w:rsidRPr="002E054D" w:rsidRDefault="004759E8" w:rsidP="004759E8">
      <w:pPr>
        <w:rPr>
          <w:sz w:val="24"/>
        </w:rPr>
      </w:pPr>
      <w:proofErr w:type="gramStart"/>
      <w:r w:rsidRPr="002E054D">
        <w:rPr>
          <w:b/>
          <w:sz w:val="24"/>
        </w:rPr>
        <w:t>Exhibit 6.</w:t>
      </w:r>
      <w:proofErr w:type="gramEnd"/>
      <w:r w:rsidRPr="002E054D">
        <w:rPr>
          <w:b/>
          <w:sz w:val="24"/>
        </w:rPr>
        <w:t xml:space="preserve"> Addresses and the Associated Assumptions to Yield the Needed Number of Completes</w:t>
      </w:r>
      <w:bookmarkEnd w:id="3"/>
    </w:p>
    <w:p w:rsidR="004759E8" w:rsidRPr="002E054D" w:rsidRDefault="004759E8" w:rsidP="004759E8">
      <w:pPr>
        <w:rPr>
          <w:sz w:val="24"/>
          <w:szCs w:val="24"/>
        </w:rPr>
      </w:pPr>
    </w:p>
    <w:tbl>
      <w:tblPr>
        <w:tblW w:w="8611" w:type="dxa"/>
        <w:tblInd w:w="144" w:type="dxa"/>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2671"/>
        <w:gridCol w:w="3150"/>
        <w:gridCol w:w="2790"/>
      </w:tblGrid>
      <w:tr w:rsidR="004759E8" w:rsidRPr="002E054D" w:rsidTr="004759E8">
        <w:trPr>
          <w:cantSplit/>
          <w:trHeight w:val="858"/>
        </w:trPr>
        <w:tc>
          <w:tcPr>
            <w:tcW w:w="2671" w:type="dxa"/>
            <w:shd w:val="clear" w:color="auto" w:fill="auto"/>
            <w:noWrap/>
            <w:vAlign w:val="bottom"/>
            <w:hideMark/>
          </w:tcPr>
          <w:p w:rsidR="004759E8" w:rsidRPr="002E054D" w:rsidRDefault="004759E8" w:rsidP="009C5B5B">
            <w:pPr>
              <w:spacing w:before="40" w:after="40"/>
              <w:jc w:val="center"/>
              <w:rPr>
                <w:b/>
                <w:bCs/>
                <w:szCs w:val="24"/>
              </w:rPr>
            </w:pPr>
            <w:r w:rsidRPr="002E054D">
              <w:rPr>
                <w:b/>
                <w:bCs/>
                <w:szCs w:val="24"/>
              </w:rPr>
              <w:t>Activity</w:t>
            </w:r>
          </w:p>
        </w:tc>
        <w:tc>
          <w:tcPr>
            <w:tcW w:w="3150" w:type="dxa"/>
            <w:shd w:val="clear" w:color="auto" w:fill="auto"/>
            <w:noWrap/>
            <w:vAlign w:val="bottom"/>
            <w:hideMark/>
          </w:tcPr>
          <w:p w:rsidR="004759E8" w:rsidRPr="002E054D" w:rsidRDefault="004759E8" w:rsidP="009C5B5B">
            <w:pPr>
              <w:spacing w:before="40" w:after="40"/>
              <w:jc w:val="center"/>
              <w:rPr>
                <w:b/>
                <w:bCs/>
                <w:szCs w:val="24"/>
              </w:rPr>
            </w:pPr>
            <w:r w:rsidRPr="002E054D">
              <w:rPr>
                <w:b/>
                <w:bCs/>
                <w:szCs w:val="24"/>
              </w:rPr>
              <w:t xml:space="preserve">Sample </w:t>
            </w:r>
          </w:p>
          <w:p w:rsidR="004759E8" w:rsidRPr="002E054D" w:rsidRDefault="004759E8" w:rsidP="009C5B5B">
            <w:pPr>
              <w:spacing w:before="40" w:after="40"/>
              <w:jc w:val="center"/>
              <w:rPr>
                <w:b/>
                <w:bCs/>
                <w:szCs w:val="24"/>
              </w:rPr>
            </w:pPr>
            <w:r w:rsidRPr="002E054D">
              <w:rPr>
                <w:b/>
                <w:bCs/>
                <w:szCs w:val="24"/>
              </w:rPr>
              <w:t>(Youth 13-17 who have experimented with smoking)</w:t>
            </w:r>
          </w:p>
        </w:tc>
        <w:tc>
          <w:tcPr>
            <w:tcW w:w="2790" w:type="dxa"/>
            <w:shd w:val="clear" w:color="auto" w:fill="auto"/>
            <w:noWrap/>
            <w:vAlign w:val="bottom"/>
            <w:hideMark/>
          </w:tcPr>
          <w:p w:rsidR="004759E8" w:rsidRPr="002E054D" w:rsidRDefault="004759E8" w:rsidP="009C5B5B">
            <w:pPr>
              <w:spacing w:before="40" w:after="40"/>
              <w:ind w:right="-115"/>
              <w:jc w:val="center"/>
              <w:rPr>
                <w:b/>
                <w:bCs/>
                <w:szCs w:val="24"/>
              </w:rPr>
            </w:pPr>
            <w:r w:rsidRPr="002E054D">
              <w:rPr>
                <w:b/>
                <w:bCs/>
                <w:szCs w:val="24"/>
              </w:rPr>
              <w:t xml:space="preserve">Sample </w:t>
            </w:r>
          </w:p>
          <w:p w:rsidR="004759E8" w:rsidRPr="002E054D" w:rsidRDefault="004759E8" w:rsidP="009C5B5B">
            <w:pPr>
              <w:spacing w:before="40" w:after="40"/>
              <w:ind w:right="-115"/>
              <w:jc w:val="center"/>
              <w:rPr>
                <w:b/>
                <w:bCs/>
                <w:szCs w:val="24"/>
              </w:rPr>
            </w:pPr>
            <w:r w:rsidRPr="002E054D">
              <w:rPr>
                <w:b/>
                <w:bCs/>
                <w:szCs w:val="24"/>
              </w:rPr>
              <w:t>(Youth 13-17 who are susceptible to smoking)</w:t>
            </w:r>
            <w:r w:rsidRPr="002E054D">
              <w:rPr>
                <w:b/>
                <w:szCs w:val="24"/>
              </w:rPr>
              <w:t>)</w:t>
            </w:r>
          </w:p>
        </w:tc>
      </w:tr>
      <w:tr w:rsidR="004759E8" w:rsidRPr="002E054D" w:rsidTr="004759E8">
        <w:trPr>
          <w:cantSplit/>
        </w:trPr>
        <w:tc>
          <w:tcPr>
            <w:tcW w:w="2671" w:type="dxa"/>
            <w:shd w:val="clear" w:color="auto" w:fill="auto"/>
            <w:noWrap/>
            <w:hideMark/>
          </w:tcPr>
          <w:p w:rsidR="004759E8" w:rsidRPr="002E054D" w:rsidRDefault="004759E8" w:rsidP="009C5B5B">
            <w:pPr>
              <w:spacing w:before="40" w:after="40"/>
              <w:rPr>
                <w:szCs w:val="24"/>
              </w:rPr>
            </w:pPr>
            <w:r w:rsidRPr="002E054D">
              <w:rPr>
                <w:szCs w:val="24"/>
              </w:rPr>
              <w:t>Households who review consent</w:t>
            </w:r>
          </w:p>
        </w:tc>
        <w:tc>
          <w:tcPr>
            <w:tcW w:w="3150" w:type="dxa"/>
            <w:shd w:val="clear" w:color="auto" w:fill="auto"/>
            <w:noWrap/>
            <w:hideMark/>
          </w:tcPr>
          <w:p w:rsidR="004759E8" w:rsidRPr="002E054D" w:rsidRDefault="004759E8" w:rsidP="009C5B5B">
            <w:pPr>
              <w:tabs>
                <w:tab w:val="decimal" w:pos="1439"/>
              </w:tabs>
              <w:spacing w:before="40" w:after="40"/>
              <w:rPr>
                <w:szCs w:val="24"/>
              </w:rPr>
            </w:pPr>
            <w:r w:rsidRPr="002E054D">
              <w:rPr>
                <w:szCs w:val="24"/>
              </w:rPr>
              <w:t>6,251 (75%)</w:t>
            </w:r>
          </w:p>
        </w:tc>
        <w:tc>
          <w:tcPr>
            <w:tcW w:w="2790" w:type="dxa"/>
            <w:shd w:val="clear" w:color="auto" w:fill="auto"/>
            <w:noWrap/>
            <w:hideMark/>
          </w:tcPr>
          <w:p w:rsidR="004759E8" w:rsidRPr="002E054D" w:rsidRDefault="004759E8" w:rsidP="009C5B5B">
            <w:pPr>
              <w:tabs>
                <w:tab w:val="decimal" w:pos="1439"/>
              </w:tabs>
              <w:spacing w:before="40" w:after="40"/>
              <w:rPr>
                <w:szCs w:val="24"/>
              </w:rPr>
            </w:pPr>
            <w:r w:rsidRPr="002E054D">
              <w:rPr>
                <w:szCs w:val="24"/>
              </w:rPr>
              <w:t>6,251 (75%)</w:t>
            </w:r>
          </w:p>
        </w:tc>
      </w:tr>
      <w:tr w:rsidR="004759E8" w:rsidRPr="002E054D" w:rsidTr="004759E8">
        <w:trPr>
          <w:cantSplit/>
        </w:trPr>
        <w:tc>
          <w:tcPr>
            <w:tcW w:w="2671" w:type="dxa"/>
            <w:shd w:val="clear" w:color="auto" w:fill="auto"/>
            <w:noWrap/>
            <w:hideMark/>
          </w:tcPr>
          <w:p w:rsidR="004759E8" w:rsidRPr="002E054D" w:rsidRDefault="004759E8" w:rsidP="009C5B5B">
            <w:pPr>
              <w:spacing w:before="40" w:after="40"/>
              <w:rPr>
                <w:szCs w:val="24"/>
              </w:rPr>
            </w:pPr>
            <w:r w:rsidRPr="002E054D">
              <w:rPr>
                <w:szCs w:val="24"/>
              </w:rPr>
              <w:t>Eligible youth</w:t>
            </w:r>
          </w:p>
        </w:tc>
        <w:tc>
          <w:tcPr>
            <w:tcW w:w="3150" w:type="dxa"/>
            <w:shd w:val="clear" w:color="auto" w:fill="auto"/>
            <w:noWrap/>
            <w:hideMark/>
          </w:tcPr>
          <w:p w:rsidR="004759E8" w:rsidRPr="002E054D" w:rsidRDefault="004759E8" w:rsidP="009C5B5B">
            <w:pPr>
              <w:tabs>
                <w:tab w:val="decimal" w:pos="1439"/>
              </w:tabs>
              <w:spacing w:before="40" w:after="40"/>
              <w:rPr>
                <w:szCs w:val="24"/>
              </w:rPr>
            </w:pPr>
            <w:r w:rsidRPr="002E054D">
              <w:rPr>
                <w:szCs w:val="24"/>
              </w:rPr>
              <w:t>4,688 (24%)</w:t>
            </w:r>
          </w:p>
        </w:tc>
        <w:tc>
          <w:tcPr>
            <w:tcW w:w="2790" w:type="dxa"/>
            <w:shd w:val="clear" w:color="auto" w:fill="auto"/>
            <w:noWrap/>
            <w:hideMark/>
          </w:tcPr>
          <w:p w:rsidR="004759E8" w:rsidRPr="002E054D" w:rsidRDefault="004759E8" w:rsidP="009C5B5B">
            <w:pPr>
              <w:tabs>
                <w:tab w:val="decimal" w:pos="1439"/>
              </w:tabs>
              <w:spacing w:before="40" w:after="40"/>
              <w:rPr>
                <w:szCs w:val="24"/>
              </w:rPr>
            </w:pPr>
            <w:r w:rsidRPr="002E054D">
              <w:rPr>
                <w:szCs w:val="24"/>
              </w:rPr>
              <w:t>4,688 (16%)</w:t>
            </w:r>
          </w:p>
        </w:tc>
      </w:tr>
      <w:tr w:rsidR="004759E8" w:rsidRPr="002E054D" w:rsidTr="004759E8">
        <w:trPr>
          <w:cantSplit/>
        </w:trPr>
        <w:tc>
          <w:tcPr>
            <w:tcW w:w="2671" w:type="dxa"/>
            <w:shd w:val="clear" w:color="auto" w:fill="auto"/>
            <w:noWrap/>
          </w:tcPr>
          <w:p w:rsidR="004759E8" w:rsidRPr="002E054D" w:rsidRDefault="004759E8" w:rsidP="009C5B5B">
            <w:pPr>
              <w:spacing w:before="40" w:after="40"/>
              <w:rPr>
                <w:szCs w:val="24"/>
              </w:rPr>
            </w:pPr>
            <w:r w:rsidRPr="002E054D">
              <w:rPr>
                <w:szCs w:val="24"/>
              </w:rPr>
              <w:t>Survey completes</w:t>
            </w:r>
          </w:p>
        </w:tc>
        <w:tc>
          <w:tcPr>
            <w:tcW w:w="3150" w:type="dxa"/>
            <w:shd w:val="clear" w:color="auto" w:fill="auto"/>
            <w:noWrap/>
          </w:tcPr>
          <w:p w:rsidR="004759E8" w:rsidRPr="002E054D" w:rsidRDefault="004759E8" w:rsidP="009C5B5B">
            <w:pPr>
              <w:tabs>
                <w:tab w:val="decimal" w:pos="1439"/>
              </w:tabs>
              <w:spacing w:before="40" w:after="40"/>
              <w:rPr>
                <w:szCs w:val="24"/>
              </w:rPr>
            </w:pPr>
            <w:r w:rsidRPr="002E054D">
              <w:rPr>
                <w:szCs w:val="24"/>
              </w:rPr>
              <w:t xml:space="preserve">1,125 </w:t>
            </w:r>
          </w:p>
          <w:p w:rsidR="004759E8" w:rsidRPr="002E054D" w:rsidRDefault="004759E8" w:rsidP="009C5B5B">
            <w:pPr>
              <w:tabs>
                <w:tab w:val="decimal" w:pos="1439"/>
              </w:tabs>
              <w:spacing w:before="40" w:after="40"/>
              <w:jc w:val="center"/>
              <w:rPr>
                <w:szCs w:val="24"/>
              </w:rPr>
            </w:pPr>
            <w:r w:rsidRPr="002E054D">
              <w:rPr>
                <w:szCs w:val="24"/>
              </w:rPr>
              <w:t>(however, capped at 750)</w:t>
            </w:r>
          </w:p>
        </w:tc>
        <w:tc>
          <w:tcPr>
            <w:tcW w:w="2790" w:type="dxa"/>
            <w:shd w:val="clear" w:color="auto" w:fill="auto"/>
            <w:noWrap/>
          </w:tcPr>
          <w:p w:rsidR="004759E8" w:rsidRPr="002E054D" w:rsidRDefault="004759E8" w:rsidP="009C5B5B">
            <w:pPr>
              <w:tabs>
                <w:tab w:val="decimal" w:pos="1439"/>
              </w:tabs>
              <w:spacing w:before="40" w:after="40"/>
              <w:rPr>
                <w:szCs w:val="24"/>
              </w:rPr>
            </w:pPr>
            <w:r w:rsidRPr="002E054D">
              <w:rPr>
                <w:szCs w:val="24"/>
              </w:rPr>
              <w:t>750</w:t>
            </w:r>
          </w:p>
          <w:p w:rsidR="004759E8" w:rsidRPr="002E054D" w:rsidRDefault="004759E8" w:rsidP="009C5B5B">
            <w:pPr>
              <w:tabs>
                <w:tab w:val="decimal" w:pos="1439"/>
              </w:tabs>
              <w:spacing w:before="40" w:after="40"/>
              <w:jc w:val="center"/>
              <w:rPr>
                <w:szCs w:val="24"/>
              </w:rPr>
            </w:pPr>
          </w:p>
        </w:tc>
      </w:tr>
    </w:tbl>
    <w:p w:rsidR="00ED7ABC" w:rsidRPr="00ED7ABC" w:rsidRDefault="00ED7ABC" w:rsidP="00CD24D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4"/>
          <w:szCs w:val="24"/>
        </w:rPr>
      </w:pPr>
    </w:p>
    <w:bookmarkEnd w:id="1"/>
    <w:bookmarkEnd w:id="2"/>
    <w:p w:rsidR="008E416F" w:rsidRPr="00A77197" w:rsidRDefault="008E416F">
      <w:pPr>
        <w:spacing w:before="100" w:beforeAutospacing="1" w:after="100" w:afterAutospacing="1"/>
        <w:rPr>
          <w:b/>
          <w:sz w:val="24"/>
          <w:szCs w:val="24"/>
          <w:u w:val="single"/>
        </w:rPr>
      </w:pPr>
      <w:r w:rsidRPr="00A77197">
        <w:rPr>
          <w:b/>
          <w:sz w:val="24"/>
          <w:szCs w:val="24"/>
          <w:u w:val="single"/>
        </w:rPr>
        <w:t xml:space="preserve">2. Procedures for the Collection of Information </w:t>
      </w:r>
    </w:p>
    <w:p w:rsidR="00DD73FD" w:rsidRPr="002E054D" w:rsidRDefault="00DD73FD" w:rsidP="00DD73FD">
      <w:pPr>
        <w:rPr>
          <w:sz w:val="24"/>
          <w:szCs w:val="24"/>
        </w:rPr>
      </w:pPr>
      <w:r w:rsidRPr="002E054D">
        <w:rPr>
          <w:sz w:val="24"/>
          <w:szCs w:val="24"/>
        </w:rPr>
        <w:t xml:space="preserve">This section describes the procedures for the survey data collection. The survey will be conducted via a web-based survey disseminated by </w:t>
      </w:r>
      <w:proofErr w:type="spellStart"/>
      <w:r w:rsidRPr="002E054D">
        <w:rPr>
          <w:sz w:val="24"/>
          <w:szCs w:val="24"/>
        </w:rPr>
        <w:t>GfK</w:t>
      </w:r>
      <w:proofErr w:type="spellEnd"/>
      <w:r w:rsidRPr="002E054D">
        <w:rPr>
          <w:sz w:val="24"/>
          <w:szCs w:val="24"/>
        </w:rPr>
        <w:t xml:space="preserve">.  To be eligible, the parent must give their permission, the youth must give their assent, and the youth (age 13-17) must be either a person who has experimented with cigarettes or a youth (ages 13-17) who is susceptible to smoking cigarettes in the future.  </w:t>
      </w:r>
      <w:r>
        <w:rPr>
          <w:sz w:val="24"/>
          <w:szCs w:val="24"/>
        </w:rPr>
        <w:t xml:space="preserve">The screener is outlined in Attachment C. </w:t>
      </w:r>
      <w:r w:rsidRPr="002E054D">
        <w:rPr>
          <w:sz w:val="24"/>
          <w:szCs w:val="24"/>
        </w:rPr>
        <w:t xml:space="preserve">The survey instrument </w:t>
      </w:r>
      <w:r>
        <w:rPr>
          <w:sz w:val="24"/>
          <w:szCs w:val="24"/>
        </w:rPr>
        <w:t>(</w:t>
      </w:r>
      <w:r w:rsidRPr="002E054D">
        <w:rPr>
          <w:sz w:val="24"/>
          <w:szCs w:val="24"/>
        </w:rPr>
        <w:t xml:space="preserve">Attachment </w:t>
      </w:r>
      <w:r>
        <w:rPr>
          <w:sz w:val="24"/>
          <w:szCs w:val="24"/>
        </w:rPr>
        <w:t xml:space="preserve">D) </w:t>
      </w:r>
      <w:r w:rsidRPr="002E054D">
        <w:rPr>
          <w:sz w:val="24"/>
          <w:szCs w:val="24"/>
        </w:rPr>
        <w:t>will include</w:t>
      </w:r>
      <w:r>
        <w:rPr>
          <w:sz w:val="24"/>
          <w:szCs w:val="24"/>
        </w:rPr>
        <w:t xml:space="preserve"> the survey questions and</w:t>
      </w:r>
      <w:r w:rsidRPr="002E054D">
        <w:rPr>
          <w:sz w:val="24"/>
          <w:szCs w:val="24"/>
        </w:rPr>
        <w:t xml:space="preserve"> contact information for technical staff at RTI who will be available to respond to questions posed by participants. The survey will be hosted on </w:t>
      </w:r>
      <w:proofErr w:type="spellStart"/>
      <w:r w:rsidRPr="002E054D">
        <w:rPr>
          <w:sz w:val="24"/>
          <w:szCs w:val="24"/>
        </w:rPr>
        <w:t>GfK’s</w:t>
      </w:r>
      <w:proofErr w:type="spellEnd"/>
      <w:r w:rsidRPr="002E054D">
        <w:rPr>
          <w:sz w:val="24"/>
          <w:szCs w:val="24"/>
        </w:rPr>
        <w:t xml:space="preserve"> cloud</w:t>
      </w:r>
      <w:r>
        <w:rPr>
          <w:sz w:val="24"/>
          <w:szCs w:val="24"/>
        </w:rPr>
        <w:t>-</w:t>
      </w:r>
      <w:r w:rsidRPr="002E054D">
        <w:rPr>
          <w:sz w:val="24"/>
          <w:szCs w:val="24"/>
        </w:rPr>
        <w:t xml:space="preserve">based servers. All surveys will be conducted using a self-administered, online questionnaire.  </w:t>
      </w:r>
    </w:p>
    <w:p w:rsidR="00DD73FD" w:rsidRPr="00DD73FD" w:rsidRDefault="00DD73FD" w:rsidP="00A77197">
      <w:pPr>
        <w:pStyle w:val="bodytextpsg"/>
        <w:ind w:firstLine="0"/>
        <w:rPr>
          <w:bCs/>
          <w:iCs/>
          <w:sz w:val="24"/>
          <w:szCs w:val="24"/>
        </w:rPr>
      </w:pPr>
    </w:p>
    <w:p w:rsidR="009D35CF" w:rsidRDefault="009D35CF" w:rsidP="00A77197">
      <w:pPr>
        <w:pStyle w:val="bodytextpsg"/>
        <w:ind w:firstLine="0"/>
        <w:rPr>
          <w:b/>
          <w:bCs/>
          <w:i/>
          <w:iCs/>
          <w:sz w:val="24"/>
          <w:szCs w:val="24"/>
        </w:rPr>
      </w:pPr>
      <w:r w:rsidRPr="00E378E8">
        <w:rPr>
          <w:b/>
          <w:bCs/>
          <w:i/>
          <w:iCs/>
          <w:sz w:val="24"/>
          <w:szCs w:val="24"/>
        </w:rPr>
        <w:t xml:space="preserve">Summary of </w:t>
      </w:r>
      <w:r w:rsidR="00273CAA">
        <w:rPr>
          <w:b/>
          <w:bCs/>
          <w:i/>
          <w:iCs/>
          <w:sz w:val="24"/>
          <w:szCs w:val="24"/>
        </w:rPr>
        <w:t>P</w:t>
      </w:r>
      <w:r w:rsidRPr="00E378E8">
        <w:rPr>
          <w:b/>
          <w:bCs/>
          <w:i/>
          <w:iCs/>
          <w:sz w:val="24"/>
          <w:szCs w:val="24"/>
        </w:rPr>
        <w:t xml:space="preserve">rotocol </w:t>
      </w:r>
    </w:p>
    <w:p w:rsidR="00DD73FD" w:rsidRPr="002E054D" w:rsidRDefault="00DD73FD" w:rsidP="00DD73FD">
      <w:pPr>
        <w:rPr>
          <w:sz w:val="24"/>
          <w:szCs w:val="24"/>
        </w:rPr>
      </w:pPr>
      <w:r w:rsidRPr="002E054D">
        <w:rPr>
          <w:sz w:val="24"/>
          <w:szCs w:val="24"/>
        </w:rPr>
        <w:t>The list of study procedures is as follows:</w:t>
      </w:r>
    </w:p>
    <w:p w:rsidR="00DD73FD" w:rsidRPr="002E054D" w:rsidRDefault="00DD73FD" w:rsidP="00DD73FD">
      <w:pPr>
        <w:rPr>
          <w:sz w:val="24"/>
          <w:szCs w:val="24"/>
        </w:rPr>
      </w:pPr>
    </w:p>
    <w:p w:rsidR="00DD73FD" w:rsidRPr="002E054D" w:rsidRDefault="00DD73FD" w:rsidP="00DD73FD">
      <w:pPr>
        <w:numPr>
          <w:ilvl w:val="0"/>
          <w:numId w:val="32"/>
        </w:numPr>
        <w:ind w:left="1440"/>
        <w:rPr>
          <w:sz w:val="24"/>
          <w:szCs w:val="24"/>
        </w:rPr>
      </w:pPr>
      <w:r w:rsidRPr="002E054D">
        <w:rPr>
          <w:sz w:val="24"/>
          <w:szCs w:val="24"/>
        </w:rPr>
        <w:t xml:space="preserve">Adult panelists are recruited through </w:t>
      </w:r>
      <w:proofErr w:type="spellStart"/>
      <w:r w:rsidRPr="002E054D">
        <w:rPr>
          <w:sz w:val="24"/>
          <w:szCs w:val="24"/>
        </w:rPr>
        <w:t>GfK’s</w:t>
      </w:r>
      <w:proofErr w:type="spellEnd"/>
      <w:r w:rsidRPr="002E054D">
        <w:rPr>
          <w:sz w:val="24"/>
          <w:szCs w:val="24"/>
        </w:rPr>
        <w:t xml:space="preserve"> existing </w:t>
      </w:r>
      <w:proofErr w:type="spellStart"/>
      <w:r w:rsidRPr="002E054D">
        <w:rPr>
          <w:sz w:val="24"/>
          <w:szCs w:val="24"/>
        </w:rPr>
        <w:t>KnowledgePanel</w:t>
      </w:r>
      <w:proofErr w:type="spellEnd"/>
      <w:r w:rsidRPr="002E054D">
        <w:rPr>
          <w:sz w:val="24"/>
          <w:szCs w:val="24"/>
        </w:rPr>
        <w:t xml:space="preserve">.  Panel members are prescreened for their child’s age as well as their willingness for their child to participate in online surveys.  </w:t>
      </w:r>
    </w:p>
    <w:p w:rsidR="00DD73FD" w:rsidRPr="002E054D" w:rsidRDefault="00DD73FD" w:rsidP="00DD73FD">
      <w:pPr>
        <w:numPr>
          <w:ilvl w:val="0"/>
          <w:numId w:val="32"/>
        </w:numPr>
        <w:ind w:left="1440"/>
        <w:rPr>
          <w:sz w:val="24"/>
          <w:szCs w:val="24"/>
        </w:rPr>
      </w:pPr>
      <w:r w:rsidRPr="002E054D">
        <w:rPr>
          <w:sz w:val="24"/>
          <w:szCs w:val="24"/>
        </w:rPr>
        <w:t xml:space="preserve">The selected adult panelists will receive an initial </w:t>
      </w:r>
      <w:r>
        <w:rPr>
          <w:sz w:val="24"/>
          <w:szCs w:val="24"/>
        </w:rPr>
        <w:t xml:space="preserve">email </w:t>
      </w:r>
      <w:r w:rsidRPr="002E054D">
        <w:rPr>
          <w:sz w:val="24"/>
          <w:szCs w:val="24"/>
        </w:rPr>
        <w:t>invitation that indicates their child has been invited to participate in a new survey (Attachment A).  The email invitations will also state the length of the survey, confidentiality standards, implementer and incentive he/she will receive if the</w:t>
      </w:r>
      <w:r>
        <w:rPr>
          <w:sz w:val="24"/>
          <w:szCs w:val="24"/>
        </w:rPr>
        <w:t xml:space="preserve"> child</w:t>
      </w:r>
      <w:r w:rsidRPr="002E054D">
        <w:rPr>
          <w:sz w:val="24"/>
          <w:szCs w:val="24"/>
        </w:rPr>
        <w:t xml:space="preserve"> qualif</w:t>
      </w:r>
      <w:r>
        <w:rPr>
          <w:sz w:val="24"/>
          <w:szCs w:val="24"/>
        </w:rPr>
        <w:t>ies</w:t>
      </w:r>
      <w:r w:rsidRPr="002E054D">
        <w:rPr>
          <w:sz w:val="24"/>
          <w:szCs w:val="24"/>
        </w:rPr>
        <w:t xml:space="preserve"> and complete</w:t>
      </w:r>
      <w:r>
        <w:rPr>
          <w:sz w:val="24"/>
          <w:szCs w:val="24"/>
        </w:rPr>
        <w:t>s</w:t>
      </w:r>
      <w:r w:rsidRPr="002E054D">
        <w:rPr>
          <w:sz w:val="24"/>
          <w:szCs w:val="24"/>
        </w:rPr>
        <w:t xml:space="preserve"> the survey. </w:t>
      </w:r>
    </w:p>
    <w:p w:rsidR="00DD73FD" w:rsidRPr="00AE00C0" w:rsidRDefault="00DD73FD" w:rsidP="00DD73FD">
      <w:pPr>
        <w:numPr>
          <w:ilvl w:val="0"/>
          <w:numId w:val="32"/>
        </w:numPr>
        <w:ind w:left="1440"/>
        <w:rPr>
          <w:sz w:val="24"/>
          <w:szCs w:val="24"/>
        </w:rPr>
      </w:pPr>
      <w:r w:rsidRPr="00AE00C0">
        <w:rPr>
          <w:sz w:val="24"/>
          <w:szCs w:val="24"/>
        </w:rPr>
        <w:t>If the parent determines that they would like their child to participate in th</w:t>
      </w:r>
      <w:r>
        <w:rPr>
          <w:sz w:val="24"/>
          <w:szCs w:val="24"/>
        </w:rPr>
        <w:t>is</w:t>
      </w:r>
      <w:r w:rsidRPr="00AE00C0">
        <w:rPr>
          <w:sz w:val="24"/>
          <w:szCs w:val="24"/>
        </w:rPr>
        <w:t xml:space="preserve"> survey, they will be asked to provide parental permission and an email address for the child. </w:t>
      </w:r>
    </w:p>
    <w:p w:rsidR="00DD73FD" w:rsidRPr="002E054D" w:rsidRDefault="00DD73FD" w:rsidP="00DD73FD">
      <w:pPr>
        <w:numPr>
          <w:ilvl w:val="0"/>
          <w:numId w:val="32"/>
        </w:numPr>
        <w:ind w:left="1440"/>
        <w:rPr>
          <w:sz w:val="24"/>
          <w:szCs w:val="24"/>
        </w:rPr>
      </w:pPr>
      <w:r w:rsidRPr="002E054D">
        <w:rPr>
          <w:sz w:val="24"/>
          <w:szCs w:val="24"/>
        </w:rPr>
        <w:t xml:space="preserve">An introductory email will be sent to the youth.  The email will invite them to participate and request the child’s assent (Attachment B).  The assent forms will provide a description of the purpose, implementer and confidentiality standards associated with the study.   </w:t>
      </w:r>
    </w:p>
    <w:p w:rsidR="00DD73FD" w:rsidRPr="002E054D" w:rsidRDefault="00DD73FD" w:rsidP="00DD73FD">
      <w:pPr>
        <w:numPr>
          <w:ilvl w:val="0"/>
          <w:numId w:val="32"/>
        </w:numPr>
        <w:ind w:left="1440"/>
        <w:rPr>
          <w:sz w:val="24"/>
          <w:szCs w:val="24"/>
        </w:rPr>
      </w:pPr>
      <w:r w:rsidRPr="002E054D">
        <w:rPr>
          <w:sz w:val="24"/>
          <w:szCs w:val="24"/>
        </w:rPr>
        <w:lastRenderedPageBreak/>
        <w:t>If the youth gives their assent, then they will be redirected to the online screener questions</w:t>
      </w:r>
      <w:r>
        <w:rPr>
          <w:sz w:val="24"/>
          <w:szCs w:val="24"/>
        </w:rPr>
        <w:t xml:space="preserve"> (Attachment C).</w:t>
      </w:r>
      <w:r w:rsidRPr="002E054D">
        <w:rPr>
          <w:sz w:val="24"/>
          <w:szCs w:val="24"/>
        </w:rPr>
        <w:t xml:space="preserve"> </w:t>
      </w:r>
    </w:p>
    <w:p w:rsidR="00DD73FD" w:rsidRPr="002E054D" w:rsidRDefault="00DD73FD" w:rsidP="00DD73FD">
      <w:pPr>
        <w:numPr>
          <w:ilvl w:val="0"/>
          <w:numId w:val="32"/>
        </w:numPr>
        <w:ind w:left="1440"/>
        <w:rPr>
          <w:sz w:val="24"/>
          <w:szCs w:val="24"/>
        </w:rPr>
      </w:pPr>
      <w:r w:rsidRPr="002E054D">
        <w:rPr>
          <w:sz w:val="24"/>
          <w:szCs w:val="24"/>
        </w:rPr>
        <w:t>If the respondent qualifies for the survey, he or she will begin the survey questions</w:t>
      </w:r>
      <w:r>
        <w:rPr>
          <w:sz w:val="24"/>
          <w:szCs w:val="24"/>
        </w:rPr>
        <w:t xml:space="preserve"> (Attachment D)</w:t>
      </w:r>
      <w:r w:rsidRPr="002E054D">
        <w:rPr>
          <w:sz w:val="24"/>
          <w:szCs w:val="24"/>
        </w:rPr>
        <w:t>.</w:t>
      </w:r>
    </w:p>
    <w:p w:rsidR="00DD73FD" w:rsidRPr="002E054D" w:rsidRDefault="00DD73FD" w:rsidP="00DD73FD">
      <w:pPr>
        <w:numPr>
          <w:ilvl w:val="0"/>
          <w:numId w:val="32"/>
        </w:numPr>
        <w:ind w:left="1440"/>
        <w:rPr>
          <w:sz w:val="24"/>
          <w:szCs w:val="24"/>
        </w:rPr>
      </w:pPr>
      <w:r w:rsidRPr="002E054D">
        <w:rPr>
          <w:sz w:val="24"/>
          <w:szCs w:val="24"/>
        </w:rPr>
        <w:t>If the respondent does not qualify for the survey, he or she will receive text thanking them for their time and explaining that they do not qualify for the survey.</w:t>
      </w:r>
    </w:p>
    <w:p w:rsidR="00DD73FD" w:rsidRPr="002E054D" w:rsidRDefault="00DD73FD" w:rsidP="00DD73FD">
      <w:pPr>
        <w:rPr>
          <w:sz w:val="24"/>
          <w:szCs w:val="24"/>
          <w:highlight w:val="yellow"/>
        </w:rPr>
      </w:pPr>
    </w:p>
    <w:p w:rsidR="00DD73FD" w:rsidRPr="002E054D" w:rsidRDefault="00DD73FD" w:rsidP="00DD73FD">
      <w:pPr>
        <w:rPr>
          <w:sz w:val="24"/>
          <w:szCs w:val="24"/>
        </w:rPr>
      </w:pPr>
      <w:r w:rsidRPr="002E054D">
        <w:rPr>
          <w:sz w:val="24"/>
          <w:szCs w:val="24"/>
        </w:rPr>
        <w:t xml:space="preserve">Due to </w:t>
      </w:r>
      <w:proofErr w:type="spellStart"/>
      <w:r w:rsidRPr="002E054D">
        <w:rPr>
          <w:sz w:val="24"/>
          <w:szCs w:val="24"/>
        </w:rPr>
        <w:t>GfK’s</w:t>
      </w:r>
      <w:proofErr w:type="spellEnd"/>
      <w:r w:rsidRPr="002E054D">
        <w:rPr>
          <w:sz w:val="24"/>
          <w:szCs w:val="24"/>
        </w:rPr>
        <w:t xml:space="preserve"> protected panel technology, it will not be possible for anyone to enter the survey </w:t>
      </w:r>
      <w:proofErr w:type="gramStart"/>
      <w:r w:rsidRPr="002E054D">
        <w:rPr>
          <w:sz w:val="24"/>
          <w:szCs w:val="24"/>
        </w:rPr>
        <w:t>who</w:t>
      </w:r>
      <w:proofErr w:type="gramEnd"/>
      <w:r w:rsidRPr="002E054D">
        <w:rPr>
          <w:sz w:val="24"/>
          <w:szCs w:val="24"/>
        </w:rPr>
        <w:t xml:space="preserve"> has not been recruited through their parent, or for a respondent to complete the survey more than once. In addition, the same-worded invitation will be sent at regular intervals after the original invitation is sent to those respondents who have not yet responded.</w:t>
      </w:r>
    </w:p>
    <w:p w:rsidR="00275587" w:rsidRPr="00E378E8" w:rsidRDefault="00275587" w:rsidP="00DD73FD">
      <w:pPr>
        <w:pStyle w:val="bodytextpsg"/>
        <w:spacing w:line="300" w:lineRule="exact"/>
        <w:ind w:left="1440" w:firstLine="0"/>
        <w:rPr>
          <w:sz w:val="24"/>
          <w:szCs w:val="24"/>
        </w:rPr>
      </w:pPr>
    </w:p>
    <w:p w:rsidR="005E020E" w:rsidRPr="00CD24D2" w:rsidRDefault="005E020E" w:rsidP="00B12150">
      <w:pPr>
        <w:pStyle w:val="bodytextpsg"/>
        <w:autoSpaceDE w:val="0"/>
        <w:autoSpaceDN w:val="0"/>
        <w:adjustRightInd w:val="0"/>
        <w:ind w:firstLine="0"/>
        <w:rPr>
          <w:b/>
          <w:i/>
          <w:sz w:val="24"/>
        </w:rPr>
      </w:pPr>
      <w:r w:rsidRPr="00CD24D2">
        <w:rPr>
          <w:b/>
          <w:i/>
          <w:sz w:val="24"/>
        </w:rPr>
        <w:t>Unusual Problems Requiring Specialized Sampling Procedures</w:t>
      </w:r>
    </w:p>
    <w:p w:rsidR="005E020E" w:rsidRPr="00E378E8" w:rsidRDefault="005E020E" w:rsidP="00A77197">
      <w:pPr>
        <w:autoSpaceDE w:val="0"/>
        <w:autoSpaceDN w:val="0"/>
        <w:adjustRightInd w:val="0"/>
        <w:spacing w:line="480" w:lineRule="auto"/>
        <w:rPr>
          <w:sz w:val="24"/>
          <w:szCs w:val="24"/>
        </w:rPr>
      </w:pPr>
      <w:r w:rsidRPr="00E378E8">
        <w:rPr>
          <w:sz w:val="24"/>
          <w:szCs w:val="24"/>
        </w:rPr>
        <w:t>No specialized sampling procedures are involved.</w:t>
      </w:r>
    </w:p>
    <w:p w:rsidR="005E020E" w:rsidRPr="00CD24D2" w:rsidRDefault="005E020E" w:rsidP="00B12150">
      <w:pPr>
        <w:autoSpaceDE w:val="0"/>
        <w:autoSpaceDN w:val="0"/>
        <w:adjustRightInd w:val="0"/>
        <w:spacing w:before="120" w:after="120"/>
        <w:rPr>
          <w:b/>
          <w:i/>
          <w:sz w:val="24"/>
        </w:rPr>
      </w:pPr>
      <w:r w:rsidRPr="00CD24D2">
        <w:rPr>
          <w:b/>
          <w:i/>
          <w:sz w:val="24"/>
        </w:rPr>
        <w:t>Use of Periodic Data Collection Cycles to Reduce Burden</w:t>
      </w:r>
    </w:p>
    <w:p w:rsidR="008E416F" w:rsidRPr="00E378E8" w:rsidRDefault="005E020E" w:rsidP="00A77197">
      <w:pPr>
        <w:autoSpaceDE w:val="0"/>
        <w:autoSpaceDN w:val="0"/>
        <w:adjustRightInd w:val="0"/>
        <w:spacing w:line="480" w:lineRule="auto"/>
        <w:rPr>
          <w:sz w:val="24"/>
          <w:szCs w:val="24"/>
        </w:rPr>
      </w:pPr>
      <w:r w:rsidRPr="00E378E8">
        <w:rPr>
          <w:sz w:val="24"/>
          <w:szCs w:val="24"/>
        </w:rPr>
        <w:t>This is a one-time survey data collection effort.</w:t>
      </w:r>
    </w:p>
    <w:p w:rsidR="008E416F" w:rsidRPr="00A77197" w:rsidRDefault="008E416F" w:rsidP="005164FF">
      <w:pPr>
        <w:pStyle w:val="Heading4"/>
        <w:rPr>
          <w:rFonts w:ascii="Times New Roman" w:hAnsi="Times New Roman" w:cs="Times New Roman"/>
          <w:szCs w:val="24"/>
          <w:u w:val="single"/>
        </w:rPr>
      </w:pPr>
      <w:r w:rsidRPr="00A77197">
        <w:rPr>
          <w:rFonts w:ascii="Times New Roman" w:hAnsi="Times New Roman" w:cs="Times New Roman"/>
          <w:szCs w:val="24"/>
          <w:u w:val="single"/>
        </w:rPr>
        <w:t>3. Methods to Maximize Response Rates</w:t>
      </w:r>
    </w:p>
    <w:p w:rsidR="00DD73FD" w:rsidRDefault="00DD73FD" w:rsidP="00C865CA">
      <w:pPr>
        <w:rPr>
          <w:b/>
          <w:sz w:val="24"/>
          <w:szCs w:val="24"/>
          <w:u w:val="single"/>
        </w:rPr>
      </w:pPr>
    </w:p>
    <w:p w:rsidR="00DD73FD" w:rsidRPr="002E054D" w:rsidRDefault="00DD73FD" w:rsidP="00DD73FD">
      <w:pPr>
        <w:rPr>
          <w:sz w:val="24"/>
          <w:szCs w:val="24"/>
        </w:rPr>
      </w:pPr>
      <w:r w:rsidRPr="002E054D">
        <w:rPr>
          <w:sz w:val="24"/>
          <w:szCs w:val="24"/>
        </w:rPr>
        <w:t>The ability to obtain the cooperation of potential respondents in the survey will be important to the success of this study. RTI will minimize the non-response rate by employing the following measures:</w:t>
      </w:r>
    </w:p>
    <w:p w:rsidR="00DD73FD" w:rsidRPr="002E054D" w:rsidRDefault="00DD73FD" w:rsidP="00DD73FD">
      <w:pPr>
        <w:numPr>
          <w:ilvl w:val="0"/>
          <w:numId w:val="33"/>
        </w:numPr>
        <w:ind w:left="720"/>
        <w:rPr>
          <w:sz w:val="24"/>
          <w:szCs w:val="24"/>
        </w:rPr>
      </w:pPr>
      <w:r w:rsidRPr="002E054D">
        <w:rPr>
          <w:sz w:val="24"/>
          <w:szCs w:val="24"/>
        </w:rPr>
        <w:t xml:space="preserve">Working with </w:t>
      </w:r>
      <w:proofErr w:type="spellStart"/>
      <w:r w:rsidRPr="002E054D">
        <w:rPr>
          <w:sz w:val="24"/>
          <w:szCs w:val="24"/>
        </w:rPr>
        <w:t>GfK</w:t>
      </w:r>
      <w:proofErr w:type="spellEnd"/>
      <w:r w:rsidRPr="002E054D">
        <w:rPr>
          <w:sz w:val="24"/>
          <w:szCs w:val="24"/>
        </w:rPr>
        <w:t>, who uses an existing panel of parent participants, who have previously indicated their willingness for a child in their household ages 13-17 to participate in youth studies.</w:t>
      </w:r>
    </w:p>
    <w:p w:rsidR="00DD73FD" w:rsidRPr="002E054D" w:rsidRDefault="00DD73FD" w:rsidP="00DD73FD">
      <w:pPr>
        <w:numPr>
          <w:ilvl w:val="0"/>
          <w:numId w:val="33"/>
        </w:numPr>
        <w:ind w:left="720"/>
        <w:rPr>
          <w:sz w:val="24"/>
          <w:szCs w:val="24"/>
        </w:rPr>
      </w:pPr>
      <w:r w:rsidRPr="002E054D">
        <w:rPr>
          <w:sz w:val="24"/>
          <w:szCs w:val="24"/>
        </w:rPr>
        <w:t>Sending a reminder email for initial non-response</w:t>
      </w:r>
    </w:p>
    <w:p w:rsidR="00DD73FD" w:rsidRPr="002E054D" w:rsidRDefault="00DD73FD" w:rsidP="00DD73FD">
      <w:pPr>
        <w:numPr>
          <w:ilvl w:val="0"/>
          <w:numId w:val="33"/>
        </w:numPr>
        <w:ind w:left="720"/>
        <w:rPr>
          <w:sz w:val="24"/>
          <w:szCs w:val="24"/>
        </w:rPr>
      </w:pPr>
      <w:r w:rsidRPr="002E054D">
        <w:rPr>
          <w:sz w:val="24"/>
          <w:szCs w:val="24"/>
        </w:rPr>
        <w:t>Provide incentives</w:t>
      </w:r>
    </w:p>
    <w:p w:rsidR="00DD73FD" w:rsidRPr="002E054D" w:rsidRDefault="00DD73FD" w:rsidP="00DD73FD">
      <w:pPr>
        <w:rPr>
          <w:sz w:val="24"/>
          <w:szCs w:val="24"/>
        </w:rPr>
      </w:pPr>
    </w:p>
    <w:p w:rsidR="00DD73FD" w:rsidRPr="002E054D" w:rsidRDefault="00DD73FD" w:rsidP="00DD73FD">
      <w:pPr>
        <w:rPr>
          <w:sz w:val="24"/>
          <w:szCs w:val="24"/>
        </w:rPr>
      </w:pPr>
      <w:proofErr w:type="spellStart"/>
      <w:r w:rsidRPr="002E054D">
        <w:rPr>
          <w:sz w:val="24"/>
          <w:szCs w:val="24"/>
        </w:rPr>
        <w:t>GfK</w:t>
      </w:r>
      <w:proofErr w:type="spellEnd"/>
      <w:r w:rsidRPr="002E054D">
        <w:rPr>
          <w:sz w:val="24"/>
          <w:szCs w:val="24"/>
        </w:rPr>
        <w:t xml:space="preserve"> maintains a panel of participants who have expressed interest in completing surveys.  By opting in to the pool of potential survey respondents and being familiar with </w:t>
      </w:r>
      <w:proofErr w:type="spellStart"/>
      <w:r w:rsidRPr="002E054D">
        <w:rPr>
          <w:sz w:val="24"/>
          <w:szCs w:val="24"/>
        </w:rPr>
        <w:t>GfK</w:t>
      </w:r>
      <w:proofErr w:type="spellEnd"/>
      <w:r w:rsidRPr="002E054D">
        <w:rPr>
          <w:sz w:val="24"/>
          <w:szCs w:val="24"/>
        </w:rPr>
        <w:t>, we will be increasing the likelihood of participant response.</w:t>
      </w:r>
    </w:p>
    <w:p w:rsidR="00DD73FD" w:rsidRPr="002E054D" w:rsidRDefault="00DD73FD" w:rsidP="00DD73FD">
      <w:pPr>
        <w:rPr>
          <w:sz w:val="24"/>
          <w:szCs w:val="24"/>
        </w:rPr>
      </w:pPr>
    </w:p>
    <w:p w:rsidR="00DD73FD" w:rsidRPr="002E054D" w:rsidRDefault="00DD73FD" w:rsidP="00DD73FD">
      <w:pPr>
        <w:rPr>
          <w:sz w:val="24"/>
          <w:szCs w:val="24"/>
        </w:rPr>
      </w:pPr>
      <w:r w:rsidRPr="002E054D">
        <w:rPr>
          <w:sz w:val="24"/>
          <w:szCs w:val="24"/>
        </w:rPr>
        <w:t xml:space="preserve">In addition to the participant’s familiarity with </w:t>
      </w:r>
      <w:proofErr w:type="spellStart"/>
      <w:r w:rsidRPr="002E054D">
        <w:rPr>
          <w:sz w:val="24"/>
          <w:szCs w:val="24"/>
        </w:rPr>
        <w:t>GfK</w:t>
      </w:r>
      <w:proofErr w:type="spellEnd"/>
      <w:r w:rsidRPr="002E054D">
        <w:rPr>
          <w:sz w:val="24"/>
          <w:szCs w:val="24"/>
        </w:rPr>
        <w:t>, reminder emails will also be sent to the parental panel member or youth respondent if they do not respond to the survey inquiry after 7-10 days (Attachment</w:t>
      </w:r>
      <w:r>
        <w:rPr>
          <w:sz w:val="24"/>
          <w:szCs w:val="24"/>
        </w:rPr>
        <w:t>s</w:t>
      </w:r>
      <w:r w:rsidRPr="002E054D">
        <w:rPr>
          <w:sz w:val="24"/>
          <w:szCs w:val="24"/>
        </w:rPr>
        <w:t xml:space="preserve"> </w:t>
      </w:r>
      <w:proofErr w:type="gramStart"/>
      <w:r w:rsidRPr="002E054D">
        <w:rPr>
          <w:sz w:val="24"/>
          <w:szCs w:val="24"/>
        </w:rPr>
        <w:t>A</w:t>
      </w:r>
      <w:proofErr w:type="gramEnd"/>
      <w:r w:rsidRPr="002E054D">
        <w:rPr>
          <w:sz w:val="24"/>
          <w:szCs w:val="24"/>
        </w:rPr>
        <w:t xml:space="preserve"> &amp; B).</w:t>
      </w:r>
    </w:p>
    <w:p w:rsidR="00DD73FD" w:rsidRPr="002E054D" w:rsidRDefault="00DD73FD" w:rsidP="00DD73FD">
      <w:pPr>
        <w:rPr>
          <w:sz w:val="24"/>
          <w:szCs w:val="24"/>
        </w:rPr>
      </w:pPr>
    </w:p>
    <w:p w:rsidR="00DD73FD" w:rsidRPr="002E054D" w:rsidRDefault="00DD73FD" w:rsidP="00DD73FD">
      <w:pPr>
        <w:rPr>
          <w:sz w:val="24"/>
          <w:szCs w:val="24"/>
        </w:rPr>
      </w:pPr>
      <w:r w:rsidRPr="002E054D">
        <w:rPr>
          <w:sz w:val="24"/>
          <w:szCs w:val="24"/>
        </w:rPr>
        <w:t xml:space="preserve">Incentives will be received as non-monetary ‘points’ through the parent’s </w:t>
      </w:r>
      <w:proofErr w:type="spellStart"/>
      <w:r w:rsidRPr="002E054D">
        <w:rPr>
          <w:sz w:val="24"/>
          <w:szCs w:val="24"/>
        </w:rPr>
        <w:t>GfK</w:t>
      </w:r>
      <w:proofErr w:type="spellEnd"/>
      <w:r w:rsidRPr="002E054D">
        <w:rPr>
          <w:sz w:val="24"/>
          <w:szCs w:val="24"/>
        </w:rPr>
        <w:t xml:space="preserve"> account.  Points can later be redeemed by the parent on behalf of their child.  These points can be redeemed by the parent through </w:t>
      </w:r>
      <w:proofErr w:type="spellStart"/>
      <w:r w:rsidRPr="002E054D">
        <w:rPr>
          <w:sz w:val="24"/>
          <w:szCs w:val="24"/>
        </w:rPr>
        <w:t>GfK’s</w:t>
      </w:r>
      <w:proofErr w:type="spellEnd"/>
      <w:r w:rsidRPr="002E054D">
        <w:rPr>
          <w:sz w:val="24"/>
          <w:szCs w:val="24"/>
        </w:rPr>
        <w:t xml:space="preserve"> system for goods or gift cards.  The approximate value of the points is $5 per survey.  We estimate that the survey will take 20 minutes to complete. The incentives are intended to recognize the time burden placed on participants, encourage their cooperation, and convey appreciation for contributing to this important study and are similar to incentives that are </w:t>
      </w:r>
      <w:r w:rsidRPr="002E054D">
        <w:rPr>
          <w:sz w:val="24"/>
          <w:szCs w:val="24"/>
        </w:rPr>
        <w:lastRenderedPageBreak/>
        <w:t xml:space="preserve">offered for most surveys of this type. Numerous empirical studies have shown that incentives can significantly increase response rates in cross-sectional surveys and reduce attrition in longitudinal surveys (e.g., Abreu &amp; Winters, 1999; </w:t>
      </w:r>
      <w:proofErr w:type="spellStart"/>
      <w:r w:rsidRPr="002E054D">
        <w:rPr>
          <w:sz w:val="24"/>
          <w:szCs w:val="24"/>
        </w:rPr>
        <w:t>Castiglioni</w:t>
      </w:r>
      <w:proofErr w:type="spellEnd"/>
      <w:r w:rsidRPr="002E054D">
        <w:rPr>
          <w:sz w:val="24"/>
          <w:szCs w:val="24"/>
        </w:rPr>
        <w:t xml:space="preserve">, </w:t>
      </w:r>
      <w:proofErr w:type="spellStart"/>
      <w:r w:rsidRPr="002E054D">
        <w:rPr>
          <w:sz w:val="24"/>
          <w:szCs w:val="24"/>
        </w:rPr>
        <w:t>Pforr</w:t>
      </w:r>
      <w:proofErr w:type="spellEnd"/>
      <w:r w:rsidRPr="002E054D">
        <w:rPr>
          <w:sz w:val="24"/>
          <w:szCs w:val="24"/>
        </w:rPr>
        <w:t xml:space="preserve">, &amp; Krieger, 2008; </w:t>
      </w:r>
      <w:proofErr w:type="spellStart"/>
      <w:r w:rsidRPr="002E054D">
        <w:rPr>
          <w:sz w:val="24"/>
          <w:szCs w:val="24"/>
        </w:rPr>
        <w:t>Jäckle</w:t>
      </w:r>
      <w:proofErr w:type="spellEnd"/>
      <w:r w:rsidRPr="002E054D">
        <w:rPr>
          <w:sz w:val="24"/>
          <w:szCs w:val="24"/>
        </w:rPr>
        <w:t xml:space="preserve"> &amp; Lynn, 2008; </w:t>
      </w:r>
      <w:proofErr w:type="spellStart"/>
      <w:r w:rsidRPr="002E054D">
        <w:rPr>
          <w:sz w:val="24"/>
          <w:szCs w:val="24"/>
        </w:rPr>
        <w:t>Shettle</w:t>
      </w:r>
      <w:proofErr w:type="spellEnd"/>
      <w:r w:rsidRPr="002E054D">
        <w:rPr>
          <w:sz w:val="24"/>
          <w:szCs w:val="24"/>
        </w:rPr>
        <w:t xml:space="preserve"> &amp; Mooney, 1999; Singer, 2002).</w:t>
      </w:r>
    </w:p>
    <w:p w:rsidR="00DD73FD" w:rsidRDefault="00DD73FD" w:rsidP="00C865CA">
      <w:pPr>
        <w:rPr>
          <w:b/>
          <w:sz w:val="24"/>
          <w:szCs w:val="24"/>
          <w:u w:val="single"/>
        </w:rPr>
      </w:pPr>
    </w:p>
    <w:p w:rsidR="008E416F" w:rsidRPr="00A77197" w:rsidRDefault="008E416F" w:rsidP="00C865CA">
      <w:pPr>
        <w:rPr>
          <w:b/>
          <w:sz w:val="24"/>
          <w:szCs w:val="24"/>
          <w:u w:val="single"/>
        </w:rPr>
      </w:pPr>
      <w:r w:rsidRPr="00A77197">
        <w:rPr>
          <w:b/>
          <w:sz w:val="24"/>
          <w:szCs w:val="24"/>
          <w:u w:val="single"/>
        </w:rPr>
        <w:t>4</w:t>
      </w:r>
      <w:r w:rsidRPr="00A77197">
        <w:rPr>
          <w:sz w:val="24"/>
          <w:szCs w:val="24"/>
          <w:u w:val="single"/>
        </w:rPr>
        <w:t xml:space="preserve">. </w:t>
      </w:r>
      <w:r w:rsidRPr="00A77197">
        <w:rPr>
          <w:b/>
          <w:sz w:val="24"/>
          <w:szCs w:val="24"/>
          <w:u w:val="single"/>
        </w:rPr>
        <w:t>Tests of Procedures or Methods</w:t>
      </w:r>
    </w:p>
    <w:p w:rsidR="00DD73FD" w:rsidRDefault="00DD73FD" w:rsidP="00F53D95">
      <w:pPr>
        <w:ind w:left="720" w:hanging="720"/>
        <w:rPr>
          <w:b/>
          <w:sz w:val="24"/>
          <w:szCs w:val="24"/>
          <w:u w:val="single"/>
        </w:rPr>
      </w:pPr>
    </w:p>
    <w:p w:rsidR="00DD73FD" w:rsidRDefault="00DD73FD" w:rsidP="00DD73FD">
      <w:pPr>
        <w:rPr>
          <w:sz w:val="24"/>
          <w:szCs w:val="24"/>
        </w:rPr>
      </w:pPr>
      <w:r w:rsidRPr="002E054D">
        <w:rPr>
          <w:sz w:val="24"/>
          <w:szCs w:val="24"/>
        </w:rPr>
        <w:t>The evaluation contractor RTI will conduct rigorous internal testing of the online survey instrument prior to its fielding. Evaluators will review the online test version of the instrument that we will use to verify that instrument skip patterns are functioning properly, delivery of campaign media materials is working properly, and that all survey questions are worded correctly and are in accordance with the instrument approved by OMB.</w:t>
      </w:r>
    </w:p>
    <w:p w:rsidR="00DD73FD" w:rsidRDefault="00DD73FD" w:rsidP="00F53D95">
      <w:pPr>
        <w:ind w:left="720" w:hanging="720"/>
        <w:rPr>
          <w:b/>
          <w:sz w:val="24"/>
          <w:szCs w:val="24"/>
          <w:u w:val="single"/>
        </w:rPr>
      </w:pPr>
    </w:p>
    <w:p w:rsidR="008E416F" w:rsidRPr="00A77197" w:rsidRDefault="008E416F" w:rsidP="00F53D95">
      <w:pPr>
        <w:ind w:left="720" w:hanging="720"/>
        <w:rPr>
          <w:b/>
          <w:sz w:val="24"/>
          <w:szCs w:val="24"/>
          <w:u w:val="single"/>
        </w:rPr>
      </w:pPr>
      <w:r w:rsidRPr="00A77197">
        <w:rPr>
          <w:b/>
          <w:sz w:val="24"/>
          <w:szCs w:val="24"/>
          <w:u w:val="single"/>
        </w:rPr>
        <w:t>5. Individuals Involved in Statistical Consultation and Information Collection</w:t>
      </w:r>
    </w:p>
    <w:p w:rsidR="00F26E7B" w:rsidRDefault="00F26E7B" w:rsidP="00684674">
      <w:pPr>
        <w:spacing w:line="300" w:lineRule="exact"/>
        <w:rPr>
          <w:sz w:val="24"/>
          <w:szCs w:val="24"/>
        </w:rPr>
      </w:pPr>
    </w:p>
    <w:p w:rsidR="00DD73FD" w:rsidRPr="002E054D" w:rsidRDefault="00DD73FD" w:rsidP="00DD73FD">
      <w:pPr>
        <w:rPr>
          <w:sz w:val="24"/>
          <w:szCs w:val="24"/>
        </w:rPr>
      </w:pPr>
      <w:bookmarkStart w:id="4" w:name="_Toc361824168"/>
      <w:bookmarkStart w:id="5" w:name="_Toc365037510"/>
      <w:r w:rsidRPr="002E054D">
        <w:rPr>
          <w:sz w:val="24"/>
          <w:szCs w:val="24"/>
        </w:rPr>
        <w:t>The following individuals inside the agency have been consulted on the design of the campaign evaluation plan, audience questionnaire development, or intra-agency coordination of information collection efforts:</w:t>
      </w:r>
    </w:p>
    <w:p w:rsidR="00DD73FD" w:rsidRPr="002E054D" w:rsidRDefault="00DD73FD" w:rsidP="00DD73FD">
      <w:pPr>
        <w:rPr>
          <w:sz w:val="24"/>
          <w:szCs w:val="24"/>
        </w:rPr>
      </w:pPr>
    </w:p>
    <w:p w:rsidR="00DD73FD" w:rsidRPr="002E054D" w:rsidRDefault="00DD73FD" w:rsidP="00DD73FD">
      <w:pPr>
        <w:rPr>
          <w:sz w:val="24"/>
          <w:szCs w:val="24"/>
        </w:rPr>
      </w:pPr>
      <w:r w:rsidRPr="002E054D">
        <w:rPr>
          <w:sz w:val="24"/>
          <w:szCs w:val="24"/>
        </w:rPr>
        <w:t>Tesfa Alexander</w:t>
      </w:r>
    </w:p>
    <w:p w:rsidR="00DD73FD" w:rsidRPr="002E054D" w:rsidRDefault="00DD73FD" w:rsidP="00DD73FD">
      <w:pPr>
        <w:rPr>
          <w:sz w:val="24"/>
          <w:szCs w:val="24"/>
        </w:rPr>
      </w:pPr>
      <w:r w:rsidRPr="002E054D">
        <w:rPr>
          <w:sz w:val="24"/>
          <w:szCs w:val="24"/>
        </w:rPr>
        <w:t>Office of Health Communication &amp; Education</w:t>
      </w:r>
    </w:p>
    <w:p w:rsidR="00DD73FD" w:rsidRPr="002E054D" w:rsidRDefault="00DD73FD" w:rsidP="00DD73FD">
      <w:pPr>
        <w:rPr>
          <w:sz w:val="24"/>
          <w:szCs w:val="24"/>
        </w:rPr>
      </w:pPr>
      <w:r w:rsidRPr="002E054D">
        <w:rPr>
          <w:sz w:val="24"/>
          <w:szCs w:val="24"/>
        </w:rPr>
        <w:t>Center for Tobacco Products</w:t>
      </w:r>
    </w:p>
    <w:p w:rsidR="00DD73FD" w:rsidRPr="002E054D" w:rsidRDefault="00DD73FD" w:rsidP="00DD73FD">
      <w:pPr>
        <w:rPr>
          <w:sz w:val="24"/>
          <w:szCs w:val="24"/>
        </w:rPr>
      </w:pPr>
      <w:r w:rsidRPr="002E054D">
        <w:rPr>
          <w:sz w:val="24"/>
          <w:szCs w:val="24"/>
        </w:rPr>
        <w:t>Food and Drug Administration</w:t>
      </w:r>
    </w:p>
    <w:p w:rsidR="00DD73FD" w:rsidRPr="002E054D" w:rsidRDefault="00DD73FD" w:rsidP="00DD73FD">
      <w:pPr>
        <w:rPr>
          <w:sz w:val="24"/>
          <w:szCs w:val="24"/>
        </w:rPr>
      </w:pPr>
      <w:r w:rsidRPr="002E054D">
        <w:rPr>
          <w:sz w:val="24"/>
          <w:szCs w:val="24"/>
        </w:rPr>
        <w:t>10903 New Hampshire Avenue</w:t>
      </w:r>
    </w:p>
    <w:p w:rsidR="00DD73FD" w:rsidRPr="002E054D" w:rsidRDefault="00DD73FD" w:rsidP="00DD73FD">
      <w:pPr>
        <w:rPr>
          <w:sz w:val="24"/>
          <w:szCs w:val="24"/>
        </w:rPr>
      </w:pPr>
      <w:r w:rsidRPr="002E054D">
        <w:rPr>
          <w:sz w:val="24"/>
          <w:szCs w:val="24"/>
        </w:rPr>
        <w:t>Silver Spring, MD 20993-0002</w:t>
      </w:r>
    </w:p>
    <w:p w:rsidR="00DD73FD" w:rsidRPr="002E054D" w:rsidRDefault="00DD73FD" w:rsidP="00DD73FD">
      <w:pPr>
        <w:rPr>
          <w:sz w:val="24"/>
          <w:szCs w:val="24"/>
        </w:rPr>
      </w:pPr>
      <w:r w:rsidRPr="002E054D">
        <w:rPr>
          <w:sz w:val="24"/>
          <w:szCs w:val="24"/>
        </w:rPr>
        <w:t>Phone:</w:t>
      </w:r>
      <w:r w:rsidRPr="002E054D">
        <w:rPr>
          <w:sz w:val="24"/>
          <w:szCs w:val="24"/>
        </w:rPr>
        <w:tab/>
        <w:t>301-796-9335</w:t>
      </w:r>
    </w:p>
    <w:p w:rsidR="00DD73FD" w:rsidRPr="002E054D" w:rsidRDefault="00DD73FD" w:rsidP="00DD73FD">
      <w:pPr>
        <w:rPr>
          <w:sz w:val="24"/>
          <w:szCs w:val="24"/>
        </w:rPr>
      </w:pPr>
      <w:r w:rsidRPr="002E054D">
        <w:rPr>
          <w:sz w:val="24"/>
          <w:szCs w:val="24"/>
        </w:rPr>
        <w:t>E-mail:</w:t>
      </w:r>
      <w:r w:rsidRPr="002E054D">
        <w:rPr>
          <w:sz w:val="24"/>
          <w:szCs w:val="24"/>
        </w:rPr>
        <w:tab/>
        <w:t xml:space="preserve"> </w:t>
      </w:r>
      <w:hyperlink r:id="rId9" w:history="1">
        <w:r w:rsidRPr="002E054D">
          <w:rPr>
            <w:rStyle w:val="Hyperlink"/>
            <w:sz w:val="24"/>
            <w:szCs w:val="24"/>
          </w:rPr>
          <w:t>Tesfa.Alexander@fda.hhs.gov</w:t>
        </w:r>
      </w:hyperlink>
    </w:p>
    <w:p w:rsidR="00DD73FD" w:rsidRPr="002E054D" w:rsidRDefault="00DD73FD" w:rsidP="00DD73FD">
      <w:pPr>
        <w:rPr>
          <w:sz w:val="24"/>
          <w:szCs w:val="24"/>
        </w:rPr>
      </w:pPr>
    </w:p>
    <w:p w:rsidR="00DD73FD" w:rsidRPr="002E054D" w:rsidRDefault="00DD73FD" w:rsidP="00DD73FD">
      <w:pPr>
        <w:rPr>
          <w:sz w:val="24"/>
          <w:szCs w:val="24"/>
        </w:rPr>
      </w:pPr>
      <w:proofErr w:type="spellStart"/>
      <w:r w:rsidRPr="002E054D">
        <w:rPr>
          <w:sz w:val="24"/>
          <w:szCs w:val="24"/>
        </w:rPr>
        <w:t>Atanaska</w:t>
      </w:r>
      <w:proofErr w:type="spellEnd"/>
      <w:r w:rsidRPr="002E054D">
        <w:rPr>
          <w:sz w:val="24"/>
          <w:szCs w:val="24"/>
        </w:rPr>
        <w:t xml:space="preserve"> (</w:t>
      </w:r>
      <w:proofErr w:type="spellStart"/>
      <w:r w:rsidRPr="002E054D">
        <w:rPr>
          <w:sz w:val="24"/>
          <w:szCs w:val="24"/>
        </w:rPr>
        <w:t>Nasi</w:t>
      </w:r>
      <w:proofErr w:type="spellEnd"/>
      <w:r w:rsidRPr="002E054D">
        <w:rPr>
          <w:sz w:val="24"/>
          <w:szCs w:val="24"/>
        </w:rPr>
        <w:t xml:space="preserve">) </w:t>
      </w:r>
      <w:proofErr w:type="spellStart"/>
      <w:r w:rsidRPr="002E054D">
        <w:rPr>
          <w:sz w:val="24"/>
          <w:szCs w:val="24"/>
        </w:rPr>
        <w:t>Dineva</w:t>
      </w:r>
      <w:proofErr w:type="spellEnd"/>
    </w:p>
    <w:p w:rsidR="00DD73FD" w:rsidRPr="002E054D" w:rsidRDefault="00DD73FD" w:rsidP="00DD73FD">
      <w:pPr>
        <w:rPr>
          <w:sz w:val="24"/>
          <w:szCs w:val="24"/>
        </w:rPr>
      </w:pPr>
      <w:r w:rsidRPr="002E054D">
        <w:rPr>
          <w:sz w:val="24"/>
          <w:szCs w:val="24"/>
        </w:rPr>
        <w:t>Office of Health Communication &amp; Education</w:t>
      </w:r>
    </w:p>
    <w:p w:rsidR="00DD73FD" w:rsidRPr="002E054D" w:rsidRDefault="00DD73FD" w:rsidP="00DD73FD">
      <w:pPr>
        <w:rPr>
          <w:sz w:val="24"/>
          <w:szCs w:val="24"/>
        </w:rPr>
      </w:pPr>
      <w:r w:rsidRPr="002E054D">
        <w:rPr>
          <w:sz w:val="24"/>
          <w:szCs w:val="24"/>
        </w:rPr>
        <w:t>Center for Tobacco Products</w:t>
      </w:r>
    </w:p>
    <w:p w:rsidR="00DD73FD" w:rsidRPr="002E054D" w:rsidRDefault="00DD73FD" w:rsidP="00DD73FD">
      <w:pPr>
        <w:rPr>
          <w:sz w:val="24"/>
          <w:szCs w:val="24"/>
        </w:rPr>
      </w:pPr>
      <w:r w:rsidRPr="002E054D">
        <w:rPr>
          <w:sz w:val="24"/>
          <w:szCs w:val="24"/>
        </w:rPr>
        <w:t>Food and Drug Administration</w:t>
      </w:r>
    </w:p>
    <w:p w:rsidR="00DD73FD" w:rsidRPr="002E054D" w:rsidRDefault="00DD73FD" w:rsidP="00DD73FD">
      <w:pPr>
        <w:rPr>
          <w:sz w:val="24"/>
          <w:szCs w:val="24"/>
        </w:rPr>
      </w:pPr>
      <w:r w:rsidRPr="002E054D">
        <w:rPr>
          <w:sz w:val="24"/>
          <w:szCs w:val="24"/>
        </w:rPr>
        <w:t>10903 New Hampshire Avenue</w:t>
      </w:r>
    </w:p>
    <w:p w:rsidR="00DD73FD" w:rsidRPr="002E054D" w:rsidRDefault="00DD73FD" w:rsidP="00DD73FD">
      <w:pPr>
        <w:rPr>
          <w:sz w:val="24"/>
          <w:szCs w:val="24"/>
        </w:rPr>
      </w:pPr>
      <w:r w:rsidRPr="002E054D">
        <w:rPr>
          <w:sz w:val="24"/>
          <w:szCs w:val="24"/>
        </w:rPr>
        <w:t>Silver Spring, MD 20993-0002</w:t>
      </w:r>
    </w:p>
    <w:p w:rsidR="00DD73FD" w:rsidRPr="002E054D" w:rsidRDefault="00DD73FD" w:rsidP="00DD73FD">
      <w:pPr>
        <w:rPr>
          <w:sz w:val="24"/>
          <w:szCs w:val="24"/>
        </w:rPr>
      </w:pPr>
      <w:r w:rsidRPr="002E054D">
        <w:rPr>
          <w:sz w:val="24"/>
          <w:szCs w:val="24"/>
        </w:rPr>
        <w:t>Phone:</w:t>
      </w:r>
      <w:r w:rsidRPr="002E054D">
        <w:rPr>
          <w:sz w:val="24"/>
          <w:szCs w:val="24"/>
        </w:rPr>
        <w:tab/>
        <w:t>301-796-4498</w:t>
      </w:r>
    </w:p>
    <w:p w:rsidR="00DD73FD" w:rsidRPr="002E054D" w:rsidRDefault="00DD73FD" w:rsidP="00DD73FD">
      <w:pPr>
        <w:rPr>
          <w:sz w:val="24"/>
          <w:szCs w:val="24"/>
        </w:rPr>
      </w:pPr>
      <w:r w:rsidRPr="002E054D">
        <w:rPr>
          <w:sz w:val="24"/>
          <w:szCs w:val="24"/>
        </w:rPr>
        <w:t>E-mail:</w:t>
      </w:r>
      <w:r w:rsidRPr="002E054D">
        <w:rPr>
          <w:sz w:val="24"/>
          <w:szCs w:val="24"/>
        </w:rPr>
        <w:tab/>
        <w:t xml:space="preserve"> </w:t>
      </w:r>
      <w:hyperlink r:id="rId10" w:history="1">
        <w:r w:rsidRPr="002E054D">
          <w:rPr>
            <w:rStyle w:val="Hyperlink"/>
            <w:sz w:val="24"/>
            <w:szCs w:val="24"/>
          </w:rPr>
          <w:t>Atanaska.Dineva@fda.hhs.gov</w:t>
        </w:r>
      </w:hyperlink>
    </w:p>
    <w:p w:rsidR="00DD73FD" w:rsidRPr="002E054D" w:rsidRDefault="00DD73FD" w:rsidP="00DD73FD">
      <w:pPr>
        <w:rPr>
          <w:sz w:val="24"/>
          <w:szCs w:val="24"/>
        </w:rPr>
      </w:pPr>
    </w:p>
    <w:p w:rsidR="00DD73FD" w:rsidRPr="002E054D" w:rsidRDefault="00DD73FD" w:rsidP="00DD73FD">
      <w:pPr>
        <w:rPr>
          <w:sz w:val="24"/>
          <w:szCs w:val="24"/>
        </w:rPr>
      </w:pPr>
      <w:r w:rsidRPr="002E054D">
        <w:rPr>
          <w:sz w:val="24"/>
          <w:szCs w:val="24"/>
        </w:rPr>
        <w:t>Chaunetta Jones</w:t>
      </w:r>
    </w:p>
    <w:p w:rsidR="00DD73FD" w:rsidRPr="002E054D" w:rsidRDefault="00DD73FD" w:rsidP="00DD73FD">
      <w:pPr>
        <w:rPr>
          <w:sz w:val="24"/>
          <w:szCs w:val="24"/>
        </w:rPr>
      </w:pPr>
      <w:r w:rsidRPr="002E054D">
        <w:rPr>
          <w:sz w:val="24"/>
          <w:szCs w:val="24"/>
        </w:rPr>
        <w:t>Office of Health Communication &amp; Education</w:t>
      </w:r>
    </w:p>
    <w:p w:rsidR="00DD73FD" w:rsidRPr="002E054D" w:rsidRDefault="00DD73FD" w:rsidP="00DD73FD">
      <w:pPr>
        <w:rPr>
          <w:sz w:val="24"/>
          <w:szCs w:val="24"/>
        </w:rPr>
      </w:pPr>
      <w:r w:rsidRPr="002E054D">
        <w:rPr>
          <w:sz w:val="24"/>
          <w:szCs w:val="24"/>
        </w:rPr>
        <w:t>Center for Tobacco Products</w:t>
      </w:r>
    </w:p>
    <w:p w:rsidR="00DD73FD" w:rsidRPr="002E054D" w:rsidRDefault="00DD73FD" w:rsidP="00DD73FD">
      <w:pPr>
        <w:rPr>
          <w:sz w:val="24"/>
          <w:szCs w:val="24"/>
        </w:rPr>
      </w:pPr>
      <w:r w:rsidRPr="002E054D">
        <w:rPr>
          <w:sz w:val="24"/>
          <w:szCs w:val="24"/>
        </w:rPr>
        <w:t>Food and Drug Administration</w:t>
      </w:r>
    </w:p>
    <w:p w:rsidR="00DD73FD" w:rsidRPr="002E054D" w:rsidRDefault="00DD73FD" w:rsidP="00DD73FD">
      <w:pPr>
        <w:rPr>
          <w:sz w:val="24"/>
          <w:szCs w:val="24"/>
        </w:rPr>
      </w:pPr>
      <w:r w:rsidRPr="002E054D">
        <w:rPr>
          <w:sz w:val="24"/>
          <w:szCs w:val="24"/>
        </w:rPr>
        <w:t>10903 New Hampshire Avenue</w:t>
      </w:r>
    </w:p>
    <w:p w:rsidR="00DD73FD" w:rsidRPr="002E054D" w:rsidRDefault="00DD73FD" w:rsidP="00DD73FD">
      <w:pPr>
        <w:rPr>
          <w:sz w:val="24"/>
          <w:szCs w:val="24"/>
        </w:rPr>
      </w:pPr>
      <w:r w:rsidRPr="002E054D">
        <w:rPr>
          <w:sz w:val="24"/>
          <w:szCs w:val="24"/>
        </w:rPr>
        <w:t>Silver Spring, MD 20993-0002</w:t>
      </w:r>
    </w:p>
    <w:p w:rsidR="00DD73FD" w:rsidRPr="002E054D" w:rsidRDefault="00DD73FD" w:rsidP="00DD73FD">
      <w:pPr>
        <w:rPr>
          <w:sz w:val="24"/>
          <w:szCs w:val="24"/>
        </w:rPr>
      </w:pPr>
      <w:r w:rsidRPr="002E054D">
        <w:rPr>
          <w:sz w:val="24"/>
          <w:szCs w:val="24"/>
        </w:rPr>
        <w:t>Phone:</w:t>
      </w:r>
      <w:r w:rsidRPr="002E054D">
        <w:rPr>
          <w:sz w:val="24"/>
          <w:szCs w:val="24"/>
        </w:rPr>
        <w:tab/>
        <w:t>240-402-0427</w:t>
      </w:r>
    </w:p>
    <w:p w:rsidR="00DD73FD" w:rsidRPr="002E054D" w:rsidRDefault="00DD73FD" w:rsidP="00DD73FD">
      <w:pPr>
        <w:rPr>
          <w:sz w:val="24"/>
          <w:szCs w:val="24"/>
        </w:rPr>
      </w:pPr>
      <w:r w:rsidRPr="002E054D">
        <w:rPr>
          <w:sz w:val="24"/>
          <w:szCs w:val="24"/>
        </w:rPr>
        <w:t>E-mail:</w:t>
      </w:r>
      <w:r w:rsidRPr="002E054D">
        <w:rPr>
          <w:sz w:val="24"/>
          <w:szCs w:val="24"/>
        </w:rPr>
        <w:tab/>
        <w:t xml:space="preserve"> </w:t>
      </w:r>
      <w:hyperlink r:id="rId11" w:history="1">
        <w:r w:rsidRPr="002E054D">
          <w:rPr>
            <w:rStyle w:val="Hyperlink"/>
            <w:sz w:val="24"/>
            <w:szCs w:val="24"/>
          </w:rPr>
          <w:t>Chauentta.Jones@fda.hhs.gov</w:t>
        </w:r>
      </w:hyperlink>
    </w:p>
    <w:p w:rsidR="00DD73FD" w:rsidRPr="002E054D" w:rsidRDefault="00DD73FD" w:rsidP="00DD73FD">
      <w:pPr>
        <w:rPr>
          <w:sz w:val="24"/>
          <w:szCs w:val="24"/>
        </w:rPr>
      </w:pPr>
    </w:p>
    <w:p w:rsidR="00DD73FD" w:rsidRDefault="00DD73FD" w:rsidP="00DD73FD">
      <w:pPr>
        <w:rPr>
          <w:sz w:val="24"/>
          <w:szCs w:val="24"/>
        </w:rPr>
      </w:pPr>
    </w:p>
    <w:p w:rsidR="00DD73FD" w:rsidRDefault="00DD73FD" w:rsidP="00DD73FD">
      <w:pPr>
        <w:rPr>
          <w:sz w:val="24"/>
          <w:szCs w:val="24"/>
        </w:rPr>
      </w:pPr>
    </w:p>
    <w:p w:rsidR="00DD73FD" w:rsidRPr="002E054D" w:rsidRDefault="00DD73FD" w:rsidP="00DD73FD">
      <w:pPr>
        <w:rPr>
          <w:sz w:val="24"/>
          <w:szCs w:val="24"/>
        </w:rPr>
      </w:pPr>
      <w:r w:rsidRPr="002E054D">
        <w:rPr>
          <w:sz w:val="24"/>
          <w:szCs w:val="24"/>
        </w:rPr>
        <w:t>Xiaoquan Zhao</w:t>
      </w:r>
    </w:p>
    <w:p w:rsidR="00DD73FD" w:rsidRPr="002E054D" w:rsidRDefault="00DD73FD" w:rsidP="00DD73FD">
      <w:pPr>
        <w:rPr>
          <w:sz w:val="24"/>
          <w:szCs w:val="24"/>
        </w:rPr>
      </w:pPr>
      <w:r w:rsidRPr="002E054D">
        <w:rPr>
          <w:sz w:val="24"/>
          <w:szCs w:val="24"/>
        </w:rPr>
        <w:t>Office of Health Communication &amp; Education</w:t>
      </w:r>
    </w:p>
    <w:p w:rsidR="00DD73FD" w:rsidRPr="002E054D" w:rsidRDefault="00DD73FD" w:rsidP="00DD73FD">
      <w:pPr>
        <w:rPr>
          <w:sz w:val="24"/>
          <w:szCs w:val="24"/>
        </w:rPr>
      </w:pPr>
      <w:r w:rsidRPr="002E054D">
        <w:rPr>
          <w:sz w:val="24"/>
          <w:szCs w:val="24"/>
        </w:rPr>
        <w:t>Center for Tobacco Products</w:t>
      </w:r>
    </w:p>
    <w:p w:rsidR="00DD73FD" w:rsidRPr="002E054D" w:rsidRDefault="00DD73FD" w:rsidP="00DD73FD">
      <w:pPr>
        <w:rPr>
          <w:sz w:val="24"/>
          <w:szCs w:val="24"/>
        </w:rPr>
      </w:pPr>
      <w:r w:rsidRPr="002E054D">
        <w:rPr>
          <w:sz w:val="24"/>
          <w:szCs w:val="24"/>
        </w:rPr>
        <w:t>Food and Drug Administration</w:t>
      </w:r>
    </w:p>
    <w:p w:rsidR="00DD73FD" w:rsidRPr="002E054D" w:rsidRDefault="00DD73FD" w:rsidP="00DD73FD">
      <w:pPr>
        <w:rPr>
          <w:sz w:val="24"/>
          <w:szCs w:val="24"/>
        </w:rPr>
      </w:pPr>
      <w:r w:rsidRPr="002E054D">
        <w:rPr>
          <w:sz w:val="24"/>
          <w:szCs w:val="24"/>
        </w:rPr>
        <w:t>10903 New Hampshire Avenue</w:t>
      </w:r>
    </w:p>
    <w:p w:rsidR="00DD73FD" w:rsidRPr="002E054D" w:rsidRDefault="00DD73FD" w:rsidP="00DD73FD">
      <w:pPr>
        <w:rPr>
          <w:sz w:val="24"/>
          <w:szCs w:val="24"/>
        </w:rPr>
      </w:pPr>
      <w:r w:rsidRPr="002E054D">
        <w:rPr>
          <w:sz w:val="24"/>
          <w:szCs w:val="24"/>
        </w:rPr>
        <w:t>Silver Spring, MD 20993-0002</w:t>
      </w:r>
    </w:p>
    <w:p w:rsidR="00DD73FD" w:rsidRPr="002E054D" w:rsidRDefault="00DD73FD" w:rsidP="00DD73FD">
      <w:pPr>
        <w:rPr>
          <w:sz w:val="24"/>
          <w:szCs w:val="24"/>
        </w:rPr>
      </w:pPr>
      <w:r w:rsidRPr="002E054D">
        <w:rPr>
          <w:sz w:val="24"/>
          <w:szCs w:val="24"/>
        </w:rPr>
        <w:t>Phone:</w:t>
      </w:r>
      <w:r w:rsidRPr="002E054D">
        <w:rPr>
          <w:sz w:val="24"/>
          <w:szCs w:val="24"/>
        </w:rPr>
        <w:tab/>
        <w:t>240-402-0296</w:t>
      </w:r>
    </w:p>
    <w:p w:rsidR="00DD73FD" w:rsidRPr="002E054D" w:rsidRDefault="00DD73FD" w:rsidP="00DD73FD">
      <w:pPr>
        <w:rPr>
          <w:sz w:val="24"/>
          <w:szCs w:val="24"/>
        </w:rPr>
      </w:pPr>
      <w:r w:rsidRPr="002E054D">
        <w:rPr>
          <w:sz w:val="24"/>
          <w:szCs w:val="24"/>
        </w:rPr>
        <w:t>E-mail:</w:t>
      </w:r>
      <w:r w:rsidRPr="002E054D">
        <w:rPr>
          <w:sz w:val="24"/>
          <w:szCs w:val="24"/>
        </w:rPr>
        <w:tab/>
        <w:t xml:space="preserve"> </w:t>
      </w:r>
      <w:hyperlink r:id="rId12" w:history="1">
        <w:r w:rsidRPr="002E054D">
          <w:rPr>
            <w:rStyle w:val="Hyperlink"/>
            <w:sz w:val="24"/>
            <w:szCs w:val="24"/>
          </w:rPr>
          <w:t>Xiaoquan.Zhao@fda.hhs.gov</w:t>
        </w:r>
      </w:hyperlink>
    </w:p>
    <w:p w:rsidR="00DD73FD" w:rsidRPr="002E054D" w:rsidRDefault="00DD73FD" w:rsidP="00DD73FD">
      <w:pPr>
        <w:rPr>
          <w:sz w:val="24"/>
          <w:szCs w:val="24"/>
        </w:rPr>
      </w:pPr>
    </w:p>
    <w:p w:rsidR="00DD73FD" w:rsidRPr="002E054D" w:rsidRDefault="00DD73FD" w:rsidP="00DD73FD">
      <w:pPr>
        <w:rPr>
          <w:sz w:val="24"/>
          <w:szCs w:val="24"/>
        </w:rPr>
      </w:pPr>
    </w:p>
    <w:p w:rsidR="00DD73FD" w:rsidRPr="002E054D" w:rsidRDefault="00DD73FD" w:rsidP="00DD73FD">
      <w:pPr>
        <w:rPr>
          <w:sz w:val="24"/>
          <w:szCs w:val="24"/>
        </w:rPr>
      </w:pPr>
      <w:r w:rsidRPr="002E054D">
        <w:rPr>
          <w:sz w:val="24"/>
          <w:szCs w:val="24"/>
        </w:rPr>
        <w:t>The following individuals outside of the agency have been consulted on questionnaire development.</w:t>
      </w:r>
    </w:p>
    <w:p w:rsidR="00DD73FD" w:rsidRPr="002E054D" w:rsidRDefault="00DD73FD" w:rsidP="00DD73FD">
      <w:pPr>
        <w:rPr>
          <w:sz w:val="24"/>
          <w:szCs w:val="24"/>
        </w:rPr>
      </w:pPr>
    </w:p>
    <w:p w:rsidR="00DD73FD" w:rsidRPr="002E054D" w:rsidRDefault="00DD73FD" w:rsidP="00DD73FD">
      <w:pPr>
        <w:rPr>
          <w:sz w:val="24"/>
          <w:szCs w:val="24"/>
        </w:rPr>
      </w:pPr>
      <w:r w:rsidRPr="002E054D">
        <w:rPr>
          <w:sz w:val="24"/>
          <w:szCs w:val="24"/>
        </w:rPr>
        <w:t>Jennifer Duke</w:t>
      </w:r>
    </w:p>
    <w:p w:rsidR="00DD73FD" w:rsidRPr="002E054D" w:rsidRDefault="00DD73FD" w:rsidP="00DD73FD">
      <w:pPr>
        <w:rPr>
          <w:sz w:val="24"/>
          <w:szCs w:val="24"/>
        </w:rPr>
      </w:pPr>
      <w:r w:rsidRPr="002E054D">
        <w:rPr>
          <w:sz w:val="24"/>
          <w:szCs w:val="24"/>
        </w:rPr>
        <w:t>RTI International</w:t>
      </w:r>
    </w:p>
    <w:p w:rsidR="00DD73FD" w:rsidRPr="002E054D" w:rsidRDefault="00DD73FD" w:rsidP="00DD73FD">
      <w:pPr>
        <w:rPr>
          <w:sz w:val="24"/>
          <w:szCs w:val="24"/>
        </w:rPr>
      </w:pPr>
      <w:r w:rsidRPr="002E054D">
        <w:rPr>
          <w:sz w:val="24"/>
          <w:szCs w:val="24"/>
        </w:rPr>
        <w:t>3040 Cornwallis Road</w:t>
      </w:r>
    </w:p>
    <w:p w:rsidR="00DD73FD" w:rsidRPr="002E054D" w:rsidRDefault="00DD73FD" w:rsidP="00DD73FD">
      <w:pPr>
        <w:rPr>
          <w:sz w:val="24"/>
          <w:szCs w:val="24"/>
        </w:rPr>
      </w:pPr>
      <w:r w:rsidRPr="002E054D">
        <w:rPr>
          <w:sz w:val="24"/>
          <w:szCs w:val="24"/>
        </w:rPr>
        <w:t>Research Triangle Park, NC 27709</w:t>
      </w:r>
    </w:p>
    <w:p w:rsidR="00DD73FD" w:rsidRPr="002E054D" w:rsidRDefault="00DD73FD" w:rsidP="00DD73FD">
      <w:pPr>
        <w:rPr>
          <w:sz w:val="24"/>
          <w:szCs w:val="24"/>
        </w:rPr>
      </w:pPr>
      <w:r w:rsidRPr="002E054D">
        <w:rPr>
          <w:sz w:val="24"/>
          <w:szCs w:val="24"/>
        </w:rPr>
        <w:t>Phone:</w:t>
      </w:r>
      <w:r w:rsidRPr="002E054D">
        <w:rPr>
          <w:sz w:val="24"/>
          <w:szCs w:val="24"/>
        </w:rPr>
        <w:tab/>
        <w:t>919-485-2269</w:t>
      </w:r>
    </w:p>
    <w:p w:rsidR="00DD73FD" w:rsidRPr="002E054D" w:rsidRDefault="00DD73FD" w:rsidP="00DD73FD">
      <w:pPr>
        <w:rPr>
          <w:sz w:val="24"/>
          <w:szCs w:val="24"/>
        </w:rPr>
      </w:pPr>
      <w:r w:rsidRPr="002E054D">
        <w:rPr>
          <w:sz w:val="24"/>
          <w:szCs w:val="24"/>
        </w:rPr>
        <w:t>E-mail: jduke@rti.org</w:t>
      </w:r>
    </w:p>
    <w:p w:rsidR="00DD73FD" w:rsidRPr="002E054D" w:rsidRDefault="00DD73FD" w:rsidP="00DD73FD">
      <w:pPr>
        <w:rPr>
          <w:sz w:val="24"/>
          <w:szCs w:val="24"/>
        </w:rPr>
      </w:pPr>
    </w:p>
    <w:p w:rsidR="00DD73FD" w:rsidRPr="002E054D" w:rsidRDefault="00DD73FD" w:rsidP="00DD73FD">
      <w:pPr>
        <w:rPr>
          <w:sz w:val="24"/>
          <w:szCs w:val="24"/>
        </w:rPr>
      </w:pPr>
      <w:r w:rsidRPr="002E054D">
        <w:rPr>
          <w:sz w:val="24"/>
          <w:szCs w:val="24"/>
        </w:rPr>
        <w:t xml:space="preserve">James </w:t>
      </w:r>
      <w:proofErr w:type="spellStart"/>
      <w:r w:rsidRPr="002E054D">
        <w:rPr>
          <w:sz w:val="24"/>
          <w:szCs w:val="24"/>
        </w:rPr>
        <w:t>Nonnemaker</w:t>
      </w:r>
      <w:proofErr w:type="spellEnd"/>
    </w:p>
    <w:p w:rsidR="00DD73FD" w:rsidRPr="002E054D" w:rsidRDefault="00DD73FD" w:rsidP="00DD73FD">
      <w:pPr>
        <w:rPr>
          <w:sz w:val="24"/>
          <w:szCs w:val="24"/>
        </w:rPr>
      </w:pPr>
      <w:r w:rsidRPr="002E054D">
        <w:rPr>
          <w:sz w:val="24"/>
          <w:szCs w:val="24"/>
        </w:rPr>
        <w:t>RTI International</w:t>
      </w:r>
    </w:p>
    <w:p w:rsidR="00DD73FD" w:rsidRPr="002E054D" w:rsidRDefault="00DD73FD" w:rsidP="00DD73FD">
      <w:pPr>
        <w:rPr>
          <w:sz w:val="24"/>
          <w:szCs w:val="24"/>
        </w:rPr>
      </w:pPr>
      <w:r w:rsidRPr="002E054D">
        <w:rPr>
          <w:sz w:val="24"/>
          <w:szCs w:val="24"/>
        </w:rPr>
        <w:t>3040 Cornwallis Road</w:t>
      </w:r>
    </w:p>
    <w:p w:rsidR="00DD73FD" w:rsidRPr="002E054D" w:rsidRDefault="00DD73FD" w:rsidP="00DD73FD">
      <w:pPr>
        <w:rPr>
          <w:sz w:val="24"/>
          <w:szCs w:val="24"/>
        </w:rPr>
      </w:pPr>
      <w:r w:rsidRPr="002E054D">
        <w:rPr>
          <w:sz w:val="24"/>
          <w:szCs w:val="24"/>
        </w:rPr>
        <w:t>Research Triangle Park, NC 27709</w:t>
      </w:r>
    </w:p>
    <w:p w:rsidR="00DD73FD" w:rsidRPr="002E054D" w:rsidRDefault="00DD73FD" w:rsidP="00DD73FD">
      <w:pPr>
        <w:rPr>
          <w:sz w:val="24"/>
          <w:szCs w:val="24"/>
        </w:rPr>
      </w:pPr>
      <w:r w:rsidRPr="002E054D">
        <w:rPr>
          <w:sz w:val="24"/>
          <w:szCs w:val="24"/>
        </w:rPr>
        <w:t>Phone: 919-541-7064</w:t>
      </w:r>
    </w:p>
    <w:p w:rsidR="00DD73FD" w:rsidRPr="002E054D" w:rsidRDefault="00DD73FD" w:rsidP="00DD73FD">
      <w:pPr>
        <w:rPr>
          <w:sz w:val="24"/>
          <w:szCs w:val="24"/>
        </w:rPr>
      </w:pPr>
      <w:r w:rsidRPr="002E054D">
        <w:rPr>
          <w:sz w:val="24"/>
          <w:szCs w:val="24"/>
        </w:rPr>
        <w:t>E-mail: jnonnemaker@rti.org</w:t>
      </w:r>
    </w:p>
    <w:p w:rsidR="00DD73FD" w:rsidRPr="002E054D" w:rsidRDefault="00DD73FD" w:rsidP="00DD73FD">
      <w:pPr>
        <w:rPr>
          <w:sz w:val="24"/>
          <w:szCs w:val="24"/>
        </w:rPr>
      </w:pPr>
    </w:p>
    <w:p w:rsidR="00DD73FD" w:rsidRPr="002E054D" w:rsidRDefault="00DD73FD" w:rsidP="00DD73FD">
      <w:pPr>
        <w:rPr>
          <w:sz w:val="24"/>
          <w:szCs w:val="24"/>
        </w:rPr>
      </w:pPr>
      <w:proofErr w:type="spellStart"/>
      <w:r w:rsidRPr="002E054D">
        <w:rPr>
          <w:sz w:val="24"/>
          <w:szCs w:val="24"/>
        </w:rPr>
        <w:t>Annice</w:t>
      </w:r>
      <w:proofErr w:type="spellEnd"/>
      <w:r w:rsidRPr="002E054D">
        <w:rPr>
          <w:sz w:val="24"/>
          <w:szCs w:val="24"/>
        </w:rPr>
        <w:t xml:space="preserve"> Kim</w:t>
      </w:r>
    </w:p>
    <w:p w:rsidR="00DD73FD" w:rsidRPr="002E054D" w:rsidRDefault="00DD73FD" w:rsidP="00DD73FD">
      <w:pPr>
        <w:rPr>
          <w:sz w:val="24"/>
          <w:szCs w:val="24"/>
        </w:rPr>
      </w:pPr>
      <w:r w:rsidRPr="002E054D">
        <w:rPr>
          <w:sz w:val="24"/>
          <w:szCs w:val="24"/>
        </w:rPr>
        <w:t>RTI International</w:t>
      </w:r>
    </w:p>
    <w:p w:rsidR="00DD73FD" w:rsidRPr="002E054D" w:rsidRDefault="00DD73FD" w:rsidP="00DD73FD">
      <w:pPr>
        <w:rPr>
          <w:sz w:val="24"/>
          <w:szCs w:val="24"/>
        </w:rPr>
      </w:pPr>
      <w:r w:rsidRPr="002E054D">
        <w:rPr>
          <w:sz w:val="24"/>
          <w:szCs w:val="24"/>
        </w:rPr>
        <w:t>3040 Cornwallis Road</w:t>
      </w:r>
    </w:p>
    <w:p w:rsidR="00DD73FD" w:rsidRPr="002E054D" w:rsidRDefault="00DD73FD" w:rsidP="00DD73FD">
      <w:pPr>
        <w:rPr>
          <w:sz w:val="24"/>
          <w:szCs w:val="24"/>
        </w:rPr>
      </w:pPr>
      <w:r w:rsidRPr="002E054D">
        <w:rPr>
          <w:sz w:val="24"/>
          <w:szCs w:val="24"/>
        </w:rPr>
        <w:t>Research Triangle Park, NC 27709</w:t>
      </w:r>
    </w:p>
    <w:p w:rsidR="00DD73FD" w:rsidRPr="002E054D" w:rsidRDefault="00DD73FD" w:rsidP="00DD73FD">
      <w:pPr>
        <w:rPr>
          <w:sz w:val="24"/>
          <w:szCs w:val="24"/>
        </w:rPr>
      </w:pPr>
      <w:r w:rsidRPr="002E054D">
        <w:rPr>
          <w:sz w:val="24"/>
          <w:szCs w:val="24"/>
        </w:rPr>
        <w:t>Phone:</w:t>
      </w:r>
      <w:r w:rsidRPr="002E054D">
        <w:rPr>
          <w:sz w:val="24"/>
          <w:szCs w:val="24"/>
        </w:rPr>
        <w:tab/>
        <w:t>919-316-3972</w:t>
      </w:r>
    </w:p>
    <w:p w:rsidR="00DD73FD" w:rsidRPr="002E054D" w:rsidRDefault="00DD73FD" w:rsidP="00DD73FD">
      <w:pPr>
        <w:rPr>
          <w:sz w:val="24"/>
          <w:szCs w:val="24"/>
        </w:rPr>
      </w:pPr>
      <w:r w:rsidRPr="002E054D">
        <w:rPr>
          <w:sz w:val="24"/>
          <w:szCs w:val="24"/>
        </w:rPr>
        <w:t>E-mail: akim@rti.org</w:t>
      </w:r>
    </w:p>
    <w:p w:rsidR="00DD73FD" w:rsidRPr="002E054D" w:rsidRDefault="00DD73FD" w:rsidP="00DD73FD">
      <w:pPr>
        <w:rPr>
          <w:sz w:val="24"/>
          <w:szCs w:val="24"/>
        </w:rPr>
      </w:pPr>
    </w:p>
    <w:p w:rsidR="00DD73FD" w:rsidRPr="002E054D" w:rsidRDefault="00DD73FD" w:rsidP="00DD73FD">
      <w:pPr>
        <w:rPr>
          <w:sz w:val="24"/>
          <w:szCs w:val="24"/>
        </w:rPr>
      </w:pPr>
      <w:r w:rsidRPr="002E054D">
        <w:rPr>
          <w:sz w:val="24"/>
          <w:szCs w:val="24"/>
        </w:rPr>
        <w:t xml:space="preserve">Bonnie </w:t>
      </w:r>
      <w:proofErr w:type="spellStart"/>
      <w:r w:rsidRPr="002E054D">
        <w:rPr>
          <w:sz w:val="24"/>
          <w:szCs w:val="24"/>
        </w:rPr>
        <w:t>Hepler</w:t>
      </w:r>
      <w:proofErr w:type="spellEnd"/>
    </w:p>
    <w:p w:rsidR="00DD73FD" w:rsidRPr="002E054D" w:rsidRDefault="00DD73FD" w:rsidP="00DD73FD">
      <w:pPr>
        <w:rPr>
          <w:sz w:val="24"/>
          <w:szCs w:val="24"/>
        </w:rPr>
      </w:pPr>
      <w:r w:rsidRPr="002E054D">
        <w:rPr>
          <w:sz w:val="24"/>
          <w:szCs w:val="24"/>
        </w:rPr>
        <w:t>RTI International</w:t>
      </w:r>
    </w:p>
    <w:p w:rsidR="00DD73FD" w:rsidRPr="002E054D" w:rsidRDefault="00DD73FD" w:rsidP="00DD73FD">
      <w:pPr>
        <w:rPr>
          <w:sz w:val="24"/>
          <w:szCs w:val="24"/>
        </w:rPr>
      </w:pPr>
      <w:r w:rsidRPr="002E054D">
        <w:rPr>
          <w:sz w:val="24"/>
          <w:szCs w:val="24"/>
        </w:rPr>
        <w:t>3040 Cornwallis Road</w:t>
      </w:r>
    </w:p>
    <w:p w:rsidR="00DD73FD" w:rsidRPr="002E054D" w:rsidRDefault="00DD73FD" w:rsidP="00DD73FD">
      <w:pPr>
        <w:rPr>
          <w:sz w:val="24"/>
          <w:szCs w:val="24"/>
        </w:rPr>
      </w:pPr>
      <w:r w:rsidRPr="002E054D">
        <w:rPr>
          <w:sz w:val="24"/>
          <w:szCs w:val="24"/>
        </w:rPr>
        <w:t>Research Triangle Park, NC 27709</w:t>
      </w:r>
    </w:p>
    <w:p w:rsidR="00DD73FD" w:rsidRPr="002E054D" w:rsidRDefault="00DD73FD" w:rsidP="00DD73FD">
      <w:pPr>
        <w:rPr>
          <w:sz w:val="24"/>
          <w:szCs w:val="24"/>
        </w:rPr>
      </w:pPr>
      <w:r w:rsidRPr="002E054D">
        <w:rPr>
          <w:sz w:val="24"/>
          <w:szCs w:val="24"/>
        </w:rPr>
        <w:t>Phone:</w:t>
      </w:r>
      <w:r w:rsidRPr="002E054D">
        <w:rPr>
          <w:sz w:val="24"/>
          <w:szCs w:val="24"/>
        </w:rPr>
        <w:tab/>
        <w:t>919-541-5928</w:t>
      </w:r>
    </w:p>
    <w:p w:rsidR="00DD73FD" w:rsidRPr="002E054D" w:rsidRDefault="00DD73FD" w:rsidP="00DD73FD">
      <w:pPr>
        <w:rPr>
          <w:sz w:val="24"/>
          <w:szCs w:val="24"/>
        </w:rPr>
      </w:pPr>
      <w:r w:rsidRPr="002E054D">
        <w:rPr>
          <w:sz w:val="24"/>
          <w:szCs w:val="24"/>
        </w:rPr>
        <w:t>E-mail:</w:t>
      </w:r>
      <w:r w:rsidRPr="002E054D">
        <w:rPr>
          <w:sz w:val="24"/>
          <w:szCs w:val="24"/>
        </w:rPr>
        <w:tab/>
        <w:t xml:space="preserve"> </w:t>
      </w:r>
      <w:hyperlink r:id="rId13" w:history="1">
        <w:r w:rsidRPr="002E054D">
          <w:rPr>
            <w:rStyle w:val="Hyperlink"/>
            <w:sz w:val="24"/>
            <w:szCs w:val="24"/>
          </w:rPr>
          <w:t>bonniehepler@rti.org</w:t>
        </w:r>
      </w:hyperlink>
    </w:p>
    <w:bookmarkEnd w:id="4"/>
    <w:bookmarkEnd w:id="5"/>
    <w:p w:rsidR="00DD73FD" w:rsidRPr="002E054D" w:rsidRDefault="00DD73FD" w:rsidP="00DD73FD">
      <w:pPr>
        <w:rPr>
          <w:b/>
          <w:sz w:val="24"/>
          <w:szCs w:val="24"/>
        </w:rPr>
      </w:pPr>
      <w:r w:rsidRPr="002E054D">
        <w:rPr>
          <w:b/>
          <w:sz w:val="24"/>
          <w:szCs w:val="24"/>
        </w:rPr>
        <w:t xml:space="preserve"> </w:t>
      </w:r>
    </w:p>
    <w:p w:rsidR="00DD73FD" w:rsidRPr="002E054D" w:rsidRDefault="00DD73FD" w:rsidP="00DD73FD">
      <w:pPr>
        <w:rPr>
          <w:b/>
          <w:sz w:val="24"/>
          <w:szCs w:val="24"/>
        </w:rPr>
      </w:pPr>
      <w:r w:rsidRPr="002E054D">
        <w:rPr>
          <w:b/>
          <w:sz w:val="24"/>
          <w:szCs w:val="24"/>
        </w:rPr>
        <w:br w:type="page"/>
      </w:r>
      <w:r w:rsidRPr="002E054D">
        <w:rPr>
          <w:b/>
          <w:sz w:val="24"/>
          <w:szCs w:val="24"/>
        </w:rPr>
        <w:lastRenderedPageBreak/>
        <w:t>References</w:t>
      </w:r>
    </w:p>
    <w:p w:rsidR="00DD73FD" w:rsidRDefault="00DD73FD" w:rsidP="00DD73FD">
      <w:pPr>
        <w:rPr>
          <w:color w:val="222222"/>
          <w:sz w:val="24"/>
          <w:szCs w:val="24"/>
          <w:shd w:val="clear" w:color="auto" w:fill="FFFFFF"/>
        </w:rPr>
      </w:pPr>
    </w:p>
    <w:p w:rsidR="00DD73FD" w:rsidRDefault="00DD73FD" w:rsidP="00DD73FD">
      <w:pPr>
        <w:rPr>
          <w:color w:val="222222"/>
          <w:sz w:val="24"/>
          <w:szCs w:val="24"/>
          <w:shd w:val="clear" w:color="auto" w:fill="FFFFFF"/>
        </w:rPr>
      </w:pPr>
      <w:r w:rsidRPr="002E054D">
        <w:rPr>
          <w:color w:val="222222"/>
          <w:sz w:val="24"/>
          <w:szCs w:val="24"/>
          <w:shd w:val="clear" w:color="auto" w:fill="FFFFFF"/>
        </w:rPr>
        <w:t xml:space="preserve">Abreu, D. A., &amp; </w:t>
      </w:r>
      <w:proofErr w:type="gramStart"/>
      <w:r w:rsidRPr="002E054D">
        <w:rPr>
          <w:color w:val="222222"/>
          <w:sz w:val="24"/>
          <w:szCs w:val="24"/>
          <w:shd w:val="clear" w:color="auto" w:fill="FFFFFF"/>
        </w:rPr>
        <w:t>Winters</w:t>
      </w:r>
      <w:proofErr w:type="gramEnd"/>
      <w:r w:rsidRPr="002E054D">
        <w:rPr>
          <w:color w:val="222222"/>
          <w:sz w:val="24"/>
          <w:szCs w:val="24"/>
          <w:shd w:val="clear" w:color="auto" w:fill="FFFFFF"/>
        </w:rPr>
        <w:t xml:space="preserve">, F. (1999). </w:t>
      </w:r>
      <w:proofErr w:type="gramStart"/>
      <w:r w:rsidRPr="002E054D">
        <w:rPr>
          <w:color w:val="222222"/>
          <w:sz w:val="24"/>
          <w:szCs w:val="24"/>
          <w:shd w:val="clear" w:color="auto" w:fill="FFFFFF"/>
        </w:rPr>
        <w:t>Using monetary incentives to reduce attrition in the survey of income and program participation.</w:t>
      </w:r>
      <w:proofErr w:type="gramEnd"/>
      <w:r w:rsidRPr="002E054D">
        <w:rPr>
          <w:color w:val="222222"/>
          <w:sz w:val="24"/>
          <w:szCs w:val="24"/>
          <w:shd w:val="clear" w:color="auto" w:fill="FFFFFF"/>
        </w:rPr>
        <w:t xml:space="preserve"> </w:t>
      </w:r>
      <w:proofErr w:type="gramStart"/>
      <w:r w:rsidRPr="002E054D">
        <w:rPr>
          <w:color w:val="222222"/>
          <w:sz w:val="24"/>
          <w:szCs w:val="24"/>
          <w:shd w:val="clear" w:color="auto" w:fill="FFFFFF"/>
        </w:rPr>
        <w:t>In</w:t>
      </w:r>
      <w:r w:rsidRPr="002E054D">
        <w:rPr>
          <w:rStyle w:val="apple-converted-space"/>
          <w:color w:val="222222"/>
          <w:sz w:val="24"/>
          <w:szCs w:val="24"/>
          <w:shd w:val="clear" w:color="auto" w:fill="FFFFFF"/>
        </w:rPr>
        <w:t> </w:t>
      </w:r>
      <w:r w:rsidRPr="002E054D">
        <w:rPr>
          <w:i/>
          <w:iCs/>
          <w:color w:val="222222"/>
          <w:sz w:val="24"/>
          <w:szCs w:val="24"/>
          <w:shd w:val="clear" w:color="auto" w:fill="FFFFFF"/>
        </w:rPr>
        <w:t>Proceedings of the Survey Research Methods Section</w:t>
      </w:r>
      <w:r w:rsidRPr="002E054D">
        <w:rPr>
          <w:rStyle w:val="apple-converted-space"/>
          <w:color w:val="222222"/>
          <w:sz w:val="24"/>
          <w:szCs w:val="24"/>
          <w:shd w:val="clear" w:color="auto" w:fill="FFFFFF"/>
        </w:rPr>
        <w:t> </w:t>
      </w:r>
      <w:r w:rsidRPr="002E054D">
        <w:rPr>
          <w:color w:val="222222"/>
          <w:sz w:val="24"/>
          <w:szCs w:val="24"/>
          <w:shd w:val="clear" w:color="auto" w:fill="FFFFFF"/>
        </w:rPr>
        <w:t>(pp. 533-538).</w:t>
      </w:r>
      <w:proofErr w:type="gramEnd"/>
    </w:p>
    <w:p w:rsidR="00DD73FD" w:rsidRPr="002E054D" w:rsidRDefault="00DD73FD" w:rsidP="00DD73FD">
      <w:pPr>
        <w:rPr>
          <w:sz w:val="24"/>
          <w:szCs w:val="24"/>
        </w:rPr>
      </w:pPr>
    </w:p>
    <w:p w:rsidR="00DD73FD" w:rsidRPr="002E054D" w:rsidRDefault="00DD73FD" w:rsidP="00DD73FD">
      <w:pPr>
        <w:rPr>
          <w:color w:val="222222"/>
          <w:sz w:val="24"/>
          <w:szCs w:val="24"/>
          <w:shd w:val="clear" w:color="auto" w:fill="FFFFFF"/>
        </w:rPr>
      </w:pPr>
      <w:proofErr w:type="spellStart"/>
      <w:proofErr w:type="gramStart"/>
      <w:r w:rsidRPr="002E054D">
        <w:rPr>
          <w:color w:val="222222"/>
          <w:sz w:val="24"/>
          <w:szCs w:val="24"/>
          <w:shd w:val="clear" w:color="auto" w:fill="FFFFFF"/>
        </w:rPr>
        <w:t>Castiglioni</w:t>
      </w:r>
      <w:proofErr w:type="spellEnd"/>
      <w:r w:rsidRPr="002E054D">
        <w:rPr>
          <w:color w:val="222222"/>
          <w:sz w:val="24"/>
          <w:szCs w:val="24"/>
          <w:shd w:val="clear" w:color="auto" w:fill="FFFFFF"/>
        </w:rPr>
        <w:t xml:space="preserve">, L., </w:t>
      </w:r>
      <w:proofErr w:type="spellStart"/>
      <w:r w:rsidRPr="002E054D">
        <w:rPr>
          <w:color w:val="222222"/>
          <w:sz w:val="24"/>
          <w:szCs w:val="24"/>
          <w:shd w:val="clear" w:color="auto" w:fill="FFFFFF"/>
        </w:rPr>
        <w:t>Pforr</w:t>
      </w:r>
      <w:proofErr w:type="spellEnd"/>
      <w:r w:rsidRPr="002E054D">
        <w:rPr>
          <w:color w:val="222222"/>
          <w:sz w:val="24"/>
          <w:szCs w:val="24"/>
          <w:shd w:val="clear" w:color="auto" w:fill="FFFFFF"/>
        </w:rPr>
        <w:t>, K., &amp; Krieger, U. (2008, December).</w:t>
      </w:r>
      <w:proofErr w:type="gramEnd"/>
      <w:r w:rsidRPr="002E054D">
        <w:rPr>
          <w:color w:val="222222"/>
          <w:sz w:val="24"/>
          <w:szCs w:val="24"/>
          <w:shd w:val="clear" w:color="auto" w:fill="FFFFFF"/>
        </w:rPr>
        <w:t xml:space="preserve"> The effect of incentives on response rates and panel attrition: Results of a controlled experiment. </w:t>
      </w:r>
      <w:proofErr w:type="gramStart"/>
      <w:r w:rsidRPr="002E054D">
        <w:rPr>
          <w:color w:val="222222"/>
          <w:sz w:val="24"/>
          <w:szCs w:val="24"/>
          <w:shd w:val="clear" w:color="auto" w:fill="FFFFFF"/>
        </w:rPr>
        <w:t>In</w:t>
      </w:r>
      <w:r w:rsidRPr="002E054D">
        <w:rPr>
          <w:rStyle w:val="apple-converted-space"/>
          <w:color w:val="222222"/>
          <w:sz w:val="24"/>
          <w:szCs w:val="24"/>
          <w:shd w:val="clear" w:color="auto" w:fill="FFFFFF"/>
        </w:rPr>
        <w:t> </w:t>
      </w:r>
      <w:r w:rsidRPr="002E054D">
        <w:rPr>
          <w:i/>
          <w:iCs/>
          <w:color w:val="222222"/>
          <w:sz w:val="24"/>
          <w:szCs w:val="24"/>
          <w:shd w:val="clear" w:color="auto" w:fill="FFFFFF"/>
        </w:rPr>
        <w:t>Survey Research Methods</w:t>
      </w:r>
      <w:r w:rsidRPr="002E054D">
        <w:rPr>
          <w:rStyle w:val="apple-converted-space"/>
          <w:color w:val="222222"/>
          <w:sz w:val="24"/>
          <w:szCs w:val="24"/>
          <w:shd w:val="clear" w:color="auto" w:fill="FFFFFF"/>
        </w:rPr>
        <w:t> </w:t>
      </w:r>
      <w:r w:rsidRPr="002E054D">
        <w:rPr>
          <w:color w:val="222222"/>
          <w:sz w:val="24"/>
          <w:szCs w:val="24"/>
          <w:shd w:val="clear" w:color="auto" w:fill="FFFFFF"/>
        </w:rPr>
        <w:t>(Vol. 2, No. 3, pp. 151-158).</w:t>
      </w:r>
      <w:proofErr w:type="gramEnd"/>
    </w:p>
    <w:p w:rsidR="00DD73FD" w:rsidRDefault="00DD73FD" w:rsidP="00DD73FD">
      <w:pPr>
        <w:rPr>
          <w:color w:val="222222"/>
          <w:sz w:val="24"/>
          <w:szCs w:val="24"/>
          <w:shd w:val="clear" w:color="auto" w:fill="FFFFFF"/>
        </w:rPr>
      </w:pPr>
    </w:p>
    <w:p w:rsidR="00DD73FD" w:rsidRPr="002E054D" w:rsidRDefault="00DD73FD" w:rsidP="00DD73FD">
      <w:pPr>
        <w:rPr>
          <w:color w:val="222222"/>
          <w:sz w:val="24"/>
          <w:szCs w:val="24"/>
          <w:shd w:val="clear" w:color="auto" w:fill="FFFFFF"/>
        </w:rPr>
      </w:pPr>
      <w:proofErr w:type="spellStart"/>
      <w:proofErr w:type="gramStart"/>
      <w:r w:rsidRPr="002E054D">
        <w:rPr>
          <w:color w:val="222222"/>
          <w:sz w:val="24"/>
          <w:szCs w:val="24"/>
          <w:shd w:val="clear" w:color="auto" w:fill="FFFFFF"/>
        </w:rPr>
        <w:t>Jäckle</w:t>
      </w:r>
      <w:proofErr w:type="spellEnd"/>
      <w:r w:rsidRPr="002E054D">
        <w:rPr>
          <w:color w:val="222222"/>
          <w:sz w:val="24"/>
          <w:szCs w:val="24"/>
          <w:shd w:val="clear" w:color="auto" w:fill="FFFFFF"/>
        </w:rPr>
        <w:t>, A., &amp; Lynn, P. (2008).</w:t>
      </w:r>
      <w:proofErr w:type="gramEnd"/>
      <w:r w:rsidRPr="002E054D">
        <w:rPr>
          <w:color w:val="222222"/>
          <w:sz w:val="24"/>
          <w:szCs w:val="24"/>
          <w:shd w:val="clear" w:color="auto" w:fill="FFFFFF"/>
        </w:rPr>
        <w:t xml:space="preserve"> </w:t>
      </w:r>
      <w:proofErr w:type="spellStart"/>
      <w:r w:rsidRPr="002E054D">
        <w:rPr>
          <w:color w:val="222222"/>
          <w:sz w:val="24"/>
          <w:szCs w:val="24"/>
          <w:shd w:val="clear" w:color="auto" w:fill="FFFFFF"/>
        </w:rPr>
        <w:t>Offre</w:t>
      </w:r>
      <w:proofErr w:type="spellEnd"/>
      <w:r w:rsidRPr="002E054D">
        <w:rPr>
          <w:color w:val="222222"/>
          <w:sz w:val="24"/>
          <w:szCs w:val="24"/>
          <w:shd w:val="clear" w:color="auto" w:fill="FFFFFF"/>
        </w:rPr>
        <w:t xml:space="preserve"> de primes </w:t>
      </w:r>
      <w:proofErr w:type="spellStart"/>
      <w:r w:rsidRPr="002E054D">
        <w:rPr>
          <w:color w:val="222222"/>
          <w:sz w:val="24"/>
          <w:szCs w:val="24"/>
          <w:shd w:val="clear" w:color="auto" w:fill="FFFFFF"/>
        </w:rPr>
        <w:t>d’encouragement</w:t>
      </w:r>
      <w:proofErr w:type="spellEnd"/>
      <w:r w:rsidRPr="002E054D">
        <w:rPr>
          <w:color w:val="222222"/>
          <w:sz w:val="24"/>
          <w:szCs w:val="24"/>
          <w:shd w:val="clear" w:color="auto" w:fill="FFFFFF"/>
        </w:rPr>
        <w:t xml:space="preserve"> aux </w:t>
      </w:r>
      <w:proofErr w:type="spellStart"/>
      <w:r w:rsidRPr="002E054D">
        <w:rPr>
          <w:color w:val="222222"/>
          <w:sz w:val="24"/>
          <w:szCs w:val="24"/>
          <w:shd w:val="clear" w:color="auto" w:fill="FFFFFF"/>
        </w:rPr>
        <w:t>répondants</w:t>
      </w:r>
      <w:proofErr w:type="spellEnd"/>
      <w:r w:rsidRPr="002E054D">
        <w:rPr>
          <w:color w:val="222222"/>
          <w:sz w:val="24"/>
          <w:szCs w:val="24"/>
          <w:shd w:val="clear" w:color="auto" w:fill="FFFFFF"/>
        </w:rPr>
        <w:t xml:space="preserve"> </w:t>
      </w:r>
      <w:proofErr w:type="spellStart"/>
      <w:r w:rsidRPr="002E054D">
        <w:rPr>
          <w:color w:val="222222"/>
          <w:sz w:val="24"/>
          <w:szCs w:val="24"/>
          <w:shd w:val="clear" w:color="auto" w:fill="FFFFFF"/>
        </w:rPr>
        <w:t>dans</w:t>
      </w:r>
      <w:proofErr w:type="spellEnd"/>
      <w:r w:rsidRPr="002E054D">
        <w:rPr>
          <w:color w:val="222222"/>
          <w:sz w:val="24"/>
          <w:szCs w:val="24"/>
          <w:shd w:val="clear" w:color="auto" w:fill="FFFFFF"/>
        </w:rPr>
        <w:t xml:space="preserve"> </w:t>
      </w:r>
      <w:proofErr w:type="spellStart"/>
      <w:r w:rsidRPr="002E054D">
        <w:rPr>
          <w:color w:val="222222"/>
          <w:sz w:val="24"/>
          <w:szCs w:val="24"/>
          <w:shd w:val="clear" w:color="auto" w:fill="FFFFFF"/>
        </w:rPr>
        <w:t>une</w:t>
      </w:r>
      <w:proofErr w:type="spellEnd"/>
      <w:r w:rsidRPr="002E054D">
        <w:rPr>
          <w:color w:val="222222"/>
          <w:sz w:val="24"/>
          <w:szCs w:val="24"/>
          <w:shd w:val="clear" w:color="auto" w:fill="FFFFFF"/>
        </w:rPr>
        <w:t xml:space="preserve"> </w:t>
      </w:r>
      <w:proofErr w:type="spellStart"/>
      <w:r w:rsidRPr="002E054D">
        <w:rPr>
          <w:color w:val="222222"/>
          <w:sz w:val="24"/>
          <w:szCs w:val="24"/>
          <w:shd w:val="clear" w:color="auto" w:fill="FFFFFF"/>
        </w:rPr>
        <w:t>enquête</w:t>
      </w:r>
      <w:proofErr w:type="spellEnd"/>
      <w:r w:rsidRPr="002E054D">
        <w:rPr>
          <w:color w:val="222222"/>
          <w:sz w:val="24"/>
          <w:szCs w:val="24"/>
          <w:shd w:val="clear" w:color="auto" w:fill="FFFFFF"/>
        </w:rPr>
        <w:t xml:space="preserve"> par panel </w:t>
      </w:r>
      <w:proofErr w:type="spellStart"/>
      <w:r w:rsidRPr="002E054D">
        <w:rPr>
          <w:color w:val="222222"/>
          <w:sz w:val="24"/>
          <w:szCs w:val="24"/>
          <w:shd w:val="clear" w:color="auto" w:fill="FFFFFF"/>
        </w:rPr>
        <w:t>multimodes</w:t>
      </w:r>
      <w:proofErr w:type="spellEnd"/>
      <w:r w:rsidRPr="002E054D">
        <w:rPr>
          <w:color w:val="222222"/>
          <w:sz w:val="24"/>
          <w:szCs w:val="24"/>
          <w:shd w:val="clear" w:color="auto" w:fill="FFFFFF"/>
        </w:rPr>
        <w:t xml:space="preserve">: </w:t>
      </w:r>
      <w:proofErr w:type="spellStart"/>
      <w:r w:rsidRPr="002E054D">
        <w:rPr>
          <w:color w:val="222222"/>
          <w:sz w:val="24"/>
          <w:szCs w:val="24"/>
          <w:shd w:val="clear" w:color="auto" w:fill="FFFFFF"/>
        </w:rPr>
        <w:t>effets</w:t>
      </w:r>
      <w:proofErr w:type="spellEnd"/>
      <w:r w:rsidRPr="002E054D">
        <w:rPr>
          <w:color w:val="222222"/>
          <w:sz w:val="24"/>
          <w:szCs w:val="24"/>
          <w:shd w:val="clear" w:color="auto" w:fill="FFFFFF"/>
        </w:rPr>
        <w:t xml:space="preserve"> </w:t>
      </w:r>
      <w:proofErr w:type="spellStart"/>
      <w:r w:rsidRPr="002E054D">
        <w:rPr>
          <w:color w:val="222222"/>
          <w:sz w:val="24"/>
          <w:szCs w:val="24"/>
          <w:shd w:val="clear" w:color="auto" w:fill="FFFFFF"/>
        </w:rPr>
        <w:t>cumulatifs</w:t>
      </w:r>
      <w:proofErr w:type="spellEnd"/>
      <w:r w:rsidRPr="002E054D">
        <w:rPr>
          <w:color w:val="222222"/>
          <w:sz w:val="24"/>
          <w:szCs w:val="24"/>
          <w:shd w:val="clear" w:color="auto" w:fill="FFFFFF"/>
        </w:rPr>
        <w:t xml:space="preserve"> </w:t>
      </w:r>
      <w:proofErr w:type="spellStart"/>
      <w:r w:rsidRPr="002E054D">
        <w:rPr>
          <w:color w:val="222222"/>
          <w:sz w:val="24"/>
          <w:szCs w:val="24"/>
          <w:shd w:val="clear" w:color="auto" w:fill="FFFFFF"/>
        </w:rPr>
        <w:t>sur</w:t>
      </w:r>
      <w:proofErr w:type="spellEnd"/>
      <w:r w:rsidRPr="002E054D">
        <w:rPr>
          <w:color w:val="222222"/>
          <w:sz w:val="24"/>
          <w:szCs w:val="24"/>
          <w:shd w:val="clear" w:color="auto" w:fill="FFFFFF"/>
        </w:rPr>
        <w:t xml:space="preserve"> la non-</w:t>
      </w:r>
      <w:proofErr w:type="spellStart"/>
      <w:r w:rsidRPr="002E054D">
        <w:rPr>
          <w:color w:val="222222"/>
          <w:sz w:val="24"/>
          <w:szCs w:val="24"/>
          <w:shd w:val="clear" w:color="auto" w:fill="FFFFFF"/>
        </w:rPr>
        <w:t>réponse</w:t>
      </w:r>
      <w:proofErr w:type="spellEnd"/>
      <w:r w:rsidRPr="002E054D">
        <w:rPr>
          <w:color w:val="222222"/>
          <w:sz w:val="24"/>
          <w:szCs w:val="24"/>
          <w:shd w:val="clear" w:color="auto" w:fill="FFFFFF"/>
        </w:rPr>
        <w:t xml:space="preserve"> </w:t>
      </w:r>
      <w:proofErr w:type="gramStart"/>
      <w:r w:rsidRPr="002E054D">
        <w:rPr>
          <w:color w:val="222222"/>
          <w:sz w:val="24"/>
          <w:szCs w:val="24"/>
          <w:shd w:val="clear" w:color="auto" w:fill="FFFFFF"/>
        </w:rPr>
        <w:t>et</w:t>
      </w:r>
      <w:proofErr w:type="gramEnd"/>
      <w:r w:rsidRPr="002E054D">
        <w:rPr>
          <w:color w:val="222222"/>
          <w:sz w:val="24"/>
          <w:szCs w:val="24"/>
          <w:shd w:val="clear" w:color="auto" w:fill="FFFFFF"/>
        </w:rPr>
        <w:t xml:space="preserve"> le </w:t>
      </w:r>
      <w:proofErr w:type="spellStart"/>
      <w:r w:rsidRPr="002E054D">
        <w:rPr>
          <w:color w:val="222222"/>
          <w:sz w:val="24"/>
          <w:szCs w:val="24"/>
          <w:shd w:val="clear" w:color="auto" w:fill="FFFFFF"/>
        </w:rPr>
        <w:t>biais</w:t>
      </w:r>
      <w:proofErr w:type="spellEnd"/>
      <w:r w:rsidRPr="002E054D">
        <w:rPr>
          <w:color w:val="222222"/>
          <w:sz w:val="24"/>
          <w:szCs w:val="24"/>
          <w:shd w:val="clear" w:color="auto" w:fill="FFFFFF"/>
        </w:rPr>
        <w:t>.</w:t>
      </w:r>
      <w:r w:rsidRPr="002E054D">
        <w:rPr>
          <w:rStyle w:val="apple-converted-space"/>
          <w:color w:val="222222"/>
          <w:sz w:val="24"/>
          <w:szCs w:val="24"/>
          <w:shd w:val="clear" w:color="auto" w:fill="FFFFFF"/>
        </w:rPr>
        <w:t> </w:t>
      </w:r>
      <w:proofErr w:type="gramStart"/>
      <w:r w:rsidRPr="002E054D">
        <w:rPr>
          <w:i/>
          <w:iCs/>
          <w:color w:val="222222"/>
          <w:sz w:val="24"/>
          <w:szCs w:val="24"/>
          <w:shd w:val="clear" w:color="auto" w:fill="FFFFFF"/>
        </w:rPr>
        <w:t xml:space="preserve">Techniques </w:t>
      </w:r>
      <w:proofErr w:type="spellStart"/>
      <w:r w:rsidRPr="002E054D">
        <w:rPr>
          <w:i/>
          <w:iCs/>
          <w:color w:val="222222"/>
          <w:sz w:val="24"/>
          <w:szCs w:val="24"/>
          <w:shd w:val="clear" w:color="auto" w:fill="FFFFFF"/>
        </w:rPr>
        <w:t>d’enquête</w:t>
      </w:r>
      <w:proofErr w:type="spellEnd"/>
      <w:r w:rsidRPr="002E054D">
        <w:rPr>
          <w:color w:val="222222"/>
          <w:sz w:val="24"/>
          <w:szCs w:val="24"/>
          <w:shd w:val="clear" w:color="auto" w:fill="FFFFFF"/>
        </w:rPr>
        <w:t>,</w:t>
      </w:r>
      <w:r w:rsidRPr="002E054D">
        <w:rPr>
          <w:rStyle w:val="apple-converted-space"/>
          <w:color w:val="222222"/>
          <w:sz w:val="24"/>
          <w:szCs w:val="24"/>
          <w:shd w:val="clear" w:color="auto" w:fill="FFFFFF"/>
        </w:rPr>
        <w:t> </w:t>
      </w:r>
      <w:r w:rsidRPr="002E054D">
        <w:rPr>
          <w:i/>
          <w:iCs/>
          <w:color w:val="222222"/>
          <w:sz w:val="24"/>
          <w:szCs w:val="24"/>
          <w:shd w:val="clear" w:color="auto" w:fill="FFFFFF"/>
        </w:rPr>
        <w:t>34</w:t>
      </w:r>
      <w:r w:rsidRPr="002E054D">
        <w:rPr>
          <w:color w:val="222222"/>
          <w:sz w:val="24"/>
          <w:szCs w:val="24"/>
          <w:shd w:val="clear" w:color="auto" w:fill="FFFFFF"/>
        </w:rPr>
        <w:t>(1), 115-130.</w:t>
      </w:r>
      <w:proofErr w:type="gramEnd"/>
    </w:p>
    <w:p w:rsidR="00DD73FD" w:rsidRDefault="00DD73FD" w:rsidP="00DD73FD">
      <w:pPr>
        <w:rPr>
          <w:color w:val="222222"/>
          <w:sz w:val="24"/>
          <w:szCs w:val="24"/>
          <w:shd w:val="clear" w:color="auto" w:fill="FFFFFF"/>
        </w:rPr>
      </w:pPr>
    </w:p>
    <w:p w:rsidR="00DD73FD" w:rsidRPr="002E054D" w:rsidRDefault="00DD73FD" w:rsidP="00DD73FD">
      <w:pPr>
        <w:rPr>
          <w:color w:val="222222"/>
          <w:sz w:val="24"/>
          <w:szCs w:val="24"/>
          <w:shd w:val="clear" w:color="auto" w:fill="FFFFFF"/>
        </w:rPr>
      </w:pPr>
      <w:r w:rsidRPr="002E054D">
        <w:rPr>
          <w:color w:val="222222"/>
          <w:sz w:val="24"/>
          <w:szCs w:val="24"/>
          <w:shd w:val="clear" w:color="auto" w:fill="FFFFFF"/>
        </w:rPr>
        <w:t xml:space="preserve">Singer, E. (2002). </w:t>
      </w:r>
      <w:proofErr w:type="gramStart"/>
      <w:r w:rsidRPr="002E054D">
        <w:rPr>
          <w:color w:val="222222"/>
          <w:sz w:val="24"/>
          <w:szCs w:val="24"/>
          <w:shd w:val="clear" w:color="auto" w:fill="FFFFFF"/>
        </w:rPr>
        <w:t>The use of incentives to reduce nonresponse in household surveys.</w:t>
      </w:r>
      <w:proofErr w:type="gramEnd"/>
      <w:r w:rsidRPr="002E054D">
        <w:rPr>
          <w:rStyle w:val="apple-converted-space"/>
          <w:color w:val="222222"/>
          <w:sz w:val="24"/>
          <w:szCs w:val="24"/>
          <w:shd w:val="clear" w:color="auto" w:fill="FFFFFF"/>
        </w:rPr>
        <w:t> </w:t>
      </w:r>
      <w:proofErr w:type="gramStart"/>
      <w:r w:rsidRPr="002E054D">
        <w:rPr>
          <w:i/>
          <w:iCs/>
          <w:color w:val="222222"/>
          <w:sz w:val="24"/>
          <w:szCs w:val="24"/>
          <w:shd w:val="clear" w:color="auto" w:fill="FFFFFF"/>
        </w:rPr>
        <w:t>Survey nonresponse</w:t>
      </w:r>
      <w:r w:rsidRPr="002E054D">
        <w:rPr>
          <w:color w:val="222222"/>
          <w:sz w:val="24"/>
          <w:szCs w:val="24"/>
          <w:shd w:val="clear" w:color="auto" w:fill="FFFFFF"/>
        </w:rPr>
        <w:t>,</w:t>
      </w:r>
      <w:r w:rsidRPr="002E054D">
        <w:rPr>
          <w:rStyle w:val="apple-converted-space"/>
          <w:color w:val="222222"/>
          <w:sz w:val="24"/>
          <w:szCs w:val="24"/>
          <w:shd w:val="clear" w:color="auto" w:fill="FFFFFF"/>
        </w:rPr>
        <w:t> </w:t>
      </w:r>
      <w:r w:rsidRPr="002E054D">
        <w:rPr>
          <w:i/>
          <w:iCs/>
          <w:color w:val="222222"/>
          <w:sz w:val="24"/>
          <w:szCs w:val="24"/>
          <w:shd w:val="clear" w:color="auto" w:fill="FFFFFF"/>
        </w:rPr>
        <w:t>51</w:t>
      </w:r>
      <w:r w:rsidRPr="002E054D">
        <w:rPr>
          <w:color w:val="222222"/>
          <w:sz w:val="24"/>
          <w:szCs w:val="24"/>
          <w:shd w:val="clear" w:color="auto" w:fill="FFFFFF"/>
        </w:rPr>
        <w:t>, 163-177.</w:t>
      </w:r>
      <w:proofErr w:type="gramEnd"/>
    </w:p>
    <w:p w:rsidR="00DD73FD" w:rsidRDefault="00DD73FD" w:rsidP="00DD73FD">
      <w:pPr>
        <w:rPr>
          <w:color w:val="222222"/>
          <w:sz w:val="24"/>
          <w:szCs w:val="24"/>
          <w:shd w:val="clear" w:color="auto" w:fill="FFFFFF"/>
        </w:rPr>
      </w:pPr>
    </w:p>
    <w:p w:rsidR="00DD73FD" w:rsidRPr="002E054D" w:rsidRDefault="00DD73FD" w:rsidP="00DD73FD">
      <w:pPr>
        <w:rPr>
          <w:sz w:val="24"/>
          <w:szCs w:val="24"/>
        </w:rPr>
      </w:pPr>
      <w:proofErr w:type="spellStart"/>
      <w:proofErr w:type="gramStart"/>
      <w:r w:rsidRPr="002E054D">
        <w:rPr>
          <w:color w:val="222222"/>
          <w:sz w:val="24"/>
          <w:szCs w:val="24"/>
          <w:shd w:val="clear" w:color="auto" w:fill="FFFFFF"/>
        </w:rPr>
        <w:t>Shettle</w:t>
      </w:r>
      <w:proofErr w:type="spellEnd"/>
      <w:r w:rsidRPr="002E054D">
        <w:rPr>
          <w:color w:val="222222"/>
          <w:sz w:val="24"/>
          <w:szCs w:val="24"/>
          <w:shd w:val="clear" w:color="auto" w:fill="FFFFFF"/>
        </w:rPr>
        <w:t>, C., &amp; Mooney, G. (1999).</w:t>
      </w:r>
      <w:proofErr w:type="gramEnd"/>
      <w:r w:rsidRPr="002E054D">
        <w:rPr>
          <w:color w:val="222222"/>
          <w:sz w:val="24"/>
          <w:szCs w:val="24"/>
          <w:shd w:val="clear" w:color="auto" w:fill="FFFFFF"/>
        </w:rPr>
        <w:t xml:space="preserve"> </w:t>
      </w:r>
      <w:proofErr w:type="gramStart"/>
      <w:r w:rsidRPr="002E054D">
        <w:rPr>
          <w:color w:val="222222"/>
          <w:sz w:val="24"/>
          <w:szCs w:val="24"/>
          <w:shd w:val="clear" w:color="auto" w:fill="FFFFFF"/>
        </w:rPr>
        <w:t>Monetary incentives in US government surveys.</w:t>
      </w:r>
      <w:proofErr w:type="gramEnd"/>
      <w:r w:rsidRPr="002E054D">
        <w:rPr>
          <w:rStyle w:val="apple-converted-space"/>
          <w:color w:val="222222"/>
          <w:sz w:val="24"/>
          <w:szCs w:val="24"/>
          <w:shd w:val="clear" w:color="auto" w:fill="FFFFFF"/>
        </w:rPr>
        <w:t> </w:t>
      </w:r>
      <w:proofErr w:type="gramStart"/>
      <w:r w:rsidRPr="002E054D">
        <w:rPr>
          <w:i/>
          <w:iCs/>
          <w:color w:val="222222"/>
          <w:sz w:val="24"/>
          <w:szCs w:val="24"/>
          <w:shd w:val="clear" w:color="auto" w:fill="FFFFFF"/>
        </w:rPr>
        <w:t>Journal of Official Statistics</w:t>
      </w:r>
      <w:r w:rsidRPr="002E054D">
        <w:rPr>
          <w:color w:val="222222"/>
          <w:sz w:val="24"/>
          <w:szCs w:val="24"/>
          <w:shd w:val="clear" w:color="auto" w:fill="FFFFFF"/>
        </w:rPr>
        <w:t>,</w:t>
      </w:r>
      <w:r w:rsidRPr="002E054D">
        <w:rPr>
          <w:rStyle w:val="apple-converted-space"/>
          <w:color w:val="222222"/>
          <w:sz w:val="24"/>
          <w:szCs w:val="24"/>
          <w:shd w:val="clear" w:color="auto" w:fill="FFFFFF"/>
        </w:rPr>
        <w:t> </w:t>
      </w:r>
      <w:r w:rsidRPr="002E054D">
        <w:rPr>
          <w:i/>
          <w:iCs/>
          <w:color w:val="222222"/>
          <w:sz w:val="24"/>
          <w:szCs w:val="24"/>
          <w:shd w:val="clear" w:color="auto" w:fill="FFFFFF"/>
        </w:rPr>
        <w:t>15</w:t>
      </w:r>
      <w:r w:rsidRPr="002E054D">
        <w:rPr>
          <w:color w:val="222222"/>
          <w:sz w:val="24"/>
          <w:szCs w:val="24"/>
          <w:shd w:val="clear" w:color="auto" w:fill="FFFFFF"/>
        </w:rPr>
        <w:t>(2), 231.</w:t>
      </w:r>
      <w:proofErr w:type="gramEnd"/>
    </w:p>
    <w:p w:rsidR="00DD73FD" w:rsidRDefault="00DD73FD" w:rsidP="00684674">
      <w:pPr>
        <w:spacing w:line="300" w:lineRule="exact"/>
        <w:rPr>
          <w:sz w:val="24"/>
          <w:szCs w:val="24"/>
        </w:rPr>
      </w:pPr>
    </w:p>
    <w:sectPr w:rsidR="00DD73FD" w:rsidSect="00B97F0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33" w:rsidRDefault="00C47033">
      <w:r>
        <w:separator/>
      </w:r>
    </w:p>
  </w:endnote>
  <w:endnote w:type="continuationSeparator" w:id="0">
    <w:p w:rsidR="00C47033" w:rsidRDefault="00C47033">
      <w:r>
        <w:continuationSeparator/>
      </w:r>
    </w:p>
  </w:endnote>
  <w:endnote w:type="continuationNotice" w:id="1">
    <w:p w:rsidR="00C47033" w:rsidRDefault="00C47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E2" w:rsidRDefault="00CF4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4AE2" w:rsidRDefault="00CF4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AE2" w:rsidRDefault="00CF4A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0B98">
      <w:rPr>
        <w:rStyle w:val="PageNumber"/>
        <w:noProof/>
      </w:rPr>
      <w:t>7</w:t>
    </w:r>
    <w:r>
      <w:rPr>
        <w:rStyle w:val="PageNumber"/>
      </w:rPr>
      <w:fldChar w:fldCharType="end"/>
    </w:r>
  </w:p>
  <w:p w:rsidR="00CF4AE2" w:rsidRDefault="00CF4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5AF" w:rsidRDefault="001F05AF">
    <w:pPr>
      <w:pStyle w:val="Footer"/>
    </w:pPr>
  </w:p>
  <w:p w:rsidR="001F05AF" w:rsidRDefault="001F05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33" w:rsidRDefault="00C47033">
      <w:r>
        <w:separator/>
      </w:r>
    </w:p>
  </w:footnote>
  <w:footnote w:type="continuationSeparator" w:id="0">
    <w:p w:rsidR="00C47033" w:rsidRDefault="00C47033">
      <w:r>
        <w:continuationSeparator/>
      </w:r>
    </w:p>
  </w:footnote>
  <w:footnote w:type="continuationNotice" w:id="1">
    <w:p w:rsidR="00C47033" w:rsidRDefault="00C470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4D2" w:rsidRDefault="00CD24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5AF" w:rsidRDefault="001F0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238F"/>
    <w:multiLevelType w:val="hybridMultilevel"/>
    <w:tmpl w:val="B8F4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00792"/>
    <w:multiLevelType w:val="hybridMultilevel"/>
    <w:tmpl w:val="47F859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E350952"/>
    <w:multiLevelType w:val="hybridMultilevel"/>
    <w:tmpl w:val="88022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EF00299"/>
    <w:multiLevelType w:val="hybridMultilevel"/>
    <w:tmpl w:val="B3A438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4C43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8C36A1E"/>
    <w:multiLevelType w:val="hybridMultilevel"/>
    <w:tmpl w:val="C03A2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4B219E"/>
    <w:multiLevelType w:val="hybridMultilevel"/>
    <w:tmpl w:val="FDD4494E"/>
    <w:lvl w:ilvl="0" w:tplc="B1EC28A8">
      <w:start w:val="1"/>
      <w:numFmt w:val="bullet"/>
      <w:pStyle w:val="bullets"/>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626477"/>
    <w:multiLevelType w:val="hybridMultilevel"/>
    <w:tmpl w:val="FA8EC2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0945BD0"/>
    <w:multiLevelType w:val="hybridMultilevel"/>
    <w:tmpl w:val="18749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B85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AD95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C042A7B"/>
    <w:multiLevelType w:val="hybridMultilevel"/>
    <w:tmpl w:val="EC2CFF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F044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430288E"/>
    <w:multiLevelType w:val="hybridMultilevel"/>
    <w:tmpl w:val="17440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D85EA5"/>
    <w:multiLevelType w:val="hybridMultilevel"/>
    <w:tmpl w:val="5232DE46"/>
    <w:lvl w:ilvl="0" w:tplc="8E4EDAD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734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1A71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nsid w:val="563E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C76507"/>
    <w:multiLevelType w:val="multilevel"/>
    <w:tmpl w:val="4F9C89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70352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A2D3155"/>
    <w:multiLevelType w:val="hybridMultilevel"/>
    <w:tmpl w:val="4F5E39C6"/>
    <w:lvl w:ilvl="0" w:tplc="ECBA3B78">
      <w:start w:val="1"/>
      <w:numFmt w:val="decimal"/>
      <w:lvlText w:val="%1."/>
      <w:lvlJc w:val="left"/>
      <w:pPr>
        <w:tabs>
          <w:tab w:val="num" w:pos="648"/>
        </w:tabs>
        <w:ind w:left="648" w:hanging="432"/>
      </w:pPr>
      <w:rPr>
        <w:rFonts w:ascii="Times New Roman" w:hAnsi="Times New Roman" w:cs="Times New Roman" w:hint="default"/>
        <w:b/>
        <w:i w:val="0"/>
      </w:rPr>
    </w:lvl>
    <w:lvl w:ilvl="1" w:tplc="AA16A16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C31F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E2C05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7B1381A"/>
    <w:multiLevelType w:val="multilevel"/>
    <w:tmpl w:val="FB72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FD76BE"/>
    <w:multiLevelType w:val="hybridMultilevel"/>
    <w:tmpl w:val="5DE45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FCC2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0B23204"/>
    <w:multiLevelType w:val="hybridMultilevel"/>
    <w:tmpl w:val="DF464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0FD64A3"/>
    <w:multiLevelType w:val="hybridMultilevel"/>
    <w:tmpl w:val="36B2D7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1BA4A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3B24C8D"/>
    <w:multiLevelType w:val="hybridMultilevel"/>
    <w:tmpl w:val="10EC786C"/>
    <w:lvl w:ilvl="0" w:tplc="06A40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D84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E567A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665988"/>
    <w:multiLevelType w:val="hybridMultilevel"/>
    <w:tmpl w:val="F7D07226"/>
    <w:lvl w:ilvl="0" w:tplc="91723930">
      <w:start w:val="1"/>
      <w:numFmt w:val="bullet"/>
      <w:pStyle w:val="aboxbullet"/>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26"/>
  </w:num>
  <w:num w:numId="4">
    <w:abstractNumId w:val="5"/>
  </w:num>
  <w:num w:numId="5">
    <w:abstractNumId w:val="23"/>
  </w:num>
  <w:num w:numId="6">
    <w:abstractNumId w:val="22"/>
  </w:num>
  <w:num w:numId="7">
    <w:abstractNumId w:val="28"/>
  </w:num>
  <w:num w:numId="8">
    <w:abstractNumId w:val="12"/>
  </w:num>
  <w:num w:numId="9">
    <w:abstractNumId w:val="19"/>
  </w:num>
  <w:num w:numId="10">
    <w:abstractNumId w:val="17"/>
  </w:num>
  <w:num w:numId="11">
    <w:abstractNumId w:val="25"/>
  </w:num>
  <w:num w:numId="12">
    <w:abstractNumId w:val="16"/>
  </w:num>
  <w:num w:numId="13">
    <w:abstractNumId w:val="30"/>
  </w:num>
  <w:num w:numId="14">
    <w:abstractNumId w:val="4"/>
  </w:num>
  <w:num w:numId="15">
    <w:abstractNumId w:val="31"/>
  </w:num>
  <w:num w:numId="16">
    <w:abstractNumId w:val="10"/>
  </w:num>
  <w:num w:numId="17">
    <w:abstractNumId w:val="21"/>
  </w:num>
  <w:num w:numId="18">
    <w:abstractNumId w:val="9"/>
  </w:num>
  <w:num w:numId="19">
    <w:abstractNumId w:val="15"/>
  </w:num>
  <w:num w:numId="20">
    <w:abstractNumId w:val="0"/>
  </w:num>
  <w:num w:numId="21">
    <w:abstractNumId w:val="6"/>
  </w:num>
  <w:num w:numId="22">
    <w:abstractNumId w:val="24"/>
  </w:num>
  <w:num w:numId="23">
    <w:abstractNumId w:val="18"/>
  </w:num>
  <w:num w:numId="24">
    <w:abstractNumId w:val="32"/>
  </w:num>
  <w:num w:numId="25">
    <w:abstractNumId w:val="3"/>
  </w:num>
  <w:num w:numId="26">
    <w:abstractNumId w:val="2"/>
  </w:num>
  <w:num w:numId="27">
    <w:abstractNumId w:val="11"/>
  </w:num>
  <w:num w:numId="28">
    <w:abstractNumId w:val="7"/>
  </w:num>
  <w:num w:numId="29">
    <w:abstractNumId w:val="1"/>
  </w:num>
  <w:num w:numId="30">
    <w:abstractNumId w:val="27"/>
  </w:num>
  <w:num w:numId="31">
    <w:abstractNumId w:val="29"/>
  </w:num>
  <w:num w:numId="32">
    <w:abstractNumId w:val="1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92"/>
    <w:rsid w:val="00002109"/>
    <w:rsid w:val="00003534"/>
    <w:rsid w:val="00004CB9"/>
    <w:rsid w:val="00011155"/>
    <w:rsid w:val="00017A3A"/>
    <w:rsid w:val="00020F1A"/>
    <w:rsid w:val="00031D86"/>
    <w:rsid w:val="00037FFE"/>
    <w:rsid w:val="000523FE"/>
    <w:rsid w:val="00060D66"/>
    <w:rsid w:val="00063309"/>
    <w:rsid w:val="00066495"/>
    <w:rsid w:val="00076FAA"/>
    <w:rsid w:val="00083716"/>
    <w:rsid w:val="000838B6"/>
    <w:rsid w:val="00090285"/>
    <w:rsid w:val="000953C5"/>
    <w:rsid w:val="000A0700"/>
    <w:rsid w:val="000A0FBD"/>
    <w:rsid w:val="000B66B7"/>
    <w:rsid w:val="000D1E23"/>
    <w:rsid w:val="000E6E57"/>
    <w:rsid w:val="00101F00"/>
    <w:rsid w:val="00110429"/>
    <w:rsid w:val="00112A2B"/>
    <w:rsid w:val="00115B76"/>
    <w:rsid w:val="001354A1"/>
    <w:rsid w:val="001370F1"/>
    <w:rsid w:val="00140CF4"/>
    <w:rsid w:val="0015175E"/>
    <w:rsid w:val="0015263C"/>
    <w:rsid w:val="00152DCD"/>
    <w:rsid w:val="00153DE9"/>
    <w:rsid w:val="00155C79"/>
    <w:rsid w:val="0016368A"/>
    <w:rsid w:val="001638BC"/>
    <w:rsid w:val="00167544"/>
    <w:rsid w:val="001757C5"/>
    <w:rsid w:val="00180965"/>
    <w:rsid w:val="00181CD8"/>
    <w:rsid w:val="00182C46"/>
    <w:rsid w:val="00184AA1"/>
    <w:rsid w:val="00195152"/>
    <w:rsid w:val="001953F8"/>
    <w:rsid w:val="00197456"/>
    <w:rsid w:val="001B3F2F"/>
    <w:rsid w:val="001C0F4F"/>
    <w:rsid w:val="001C7902"/>
    <w:rsid w:val="001D1299"/>
    <w:rsid w:val="001D1D12"/>
    <w:rsid w:val="001D4362"/>
    <w:rsid w:val="001E196C"/>
    <w:rsid w:val="001E48B9"/>
    <w:rsid w:val="001F05AF"/>
    <w:rsid w:val="001F2575"/>
    <w:rsid w:val="001F2941"/>
    <w:rsid w:val="001F5346"/>
    <w:rsid w:val="001F72E3"/>
    <w:rsid w:val="00202045"/>
    <w:rsid w:val="00210EA6"/>
    <w:rsid w:val="00217364"/>
    <w:rsid w:val="00220958"/>
    <w:rsid w:val="002304B2"/>
    <w:rsid w:val="002305E9"/>
    <w:rsid w:val="002326FE"/>
    <w:rsid w:val="002367AA"/>
    <w:rsid w:val="002371E9"/>
    <w:rsid w:val="002649A5"/>
    <w:rsid w:val="00265A6A"/>
    <w:rsid w:val="00273CAA"/>
    <w:rsid w:val="00275587"/>
    <w:rsid w:val="00281FBD"/>
    <w:rsid w:val="00285B6D"/>
    <w:rsid w:val="0028766C"/>
    <w:rsid w:val="00295FCA"/>
    <w:rsid w:val="002A2B78"/>
    <w:rsid w:val="002A6940"/>
    <w:rsid w:val="002A6EF6"/>
    <w:rsid w:val="002B28FC"/>
    <w:rsid w:val="002D65D8"/>
    <w:rsid w:val="002D6E43"/>
    <w:rsid w:val="002E6268"/>
    <w:rsid w:val="00302C6C"/>
    <w:rsid w:val="00305341"/>
    <w:rsid w:val="00307C9C"/>
    <w:rsid w:val="003166CA"/>
    <w:rsid w:val="003212DB"/>
    <w:rsid w:val="00325FD6"/>
    <w:rsid w:val="00332A45"/>
    <w:rsid w:val="00344B08"/>
    <w:rsid w:val="0037776A"/>
    <w:rsid w:val="00380E0F"/>
    <w:rsid w:val="00393013"/>
    <w:rsid w:val="00396E69"/>
    <w:rsid w:val="003A11E2"/>
    <w:rsid w:val="003A167E"/>
    <w:rsid w:val="003C5F95"/>
    <w:rsid w:val="003C6CEE"/>
    <w:rsid w:val="003D4A92"/>
    <w:rsid w:val="003F07C9"/>
    <w:rsid w:val="003F5AAC"/>
    <w:rsid w:val="003F72C8"/>
    <w:rsid w:val="0040065F"/>
    <w:rsid w:val="004012FD"/>
    <w:rsid w:val="00410B98"/>
    <w:rsid w:val="00416639"/>
    <w:rsid w:val="00420133"/>
    <w:rsid w:val="004315F0"/>
    <w:rsid w:val="00440950"/>
    <w:rsid w:val="00443037"/>
    <w:rsid w:val="004565FA"/>
    <w:rsid w:val="0046623F"/>
    <w:rsid w:val="004710CD"/>
    <w:rsid w:val="00471382"/>
    <w:rsid w:val="00473B40"/>
    <w:rsid w:val="004759E8"/>
    <w:rsid w:val="00477AFC"/>
    <w:rsid w:val="00477E3A"/>
    <w:rsid w:val="00483AA4"/>
    <w:rsid w:val="0048687C"/>
    <w:rsid w:val="004955B4"/>
    <w:rsid w:val="00496E07"/>
    <w:rsid w:val="004B28AC"/>
    <w:rsid w:val="004B37C4"/>
    <w:rsid w:val="004C2EA1"/>
    <w:rsid w:val="004C529D"/>
    <w:rsid w:val="004C575A"/>
    <w:rsid w:val="004D115A"/>
    <w:rsid w:val="004D53AE"/>
    <w:rsid w:val="004D5F4A"/>
    <w:rsid w:val="004E0C61"/>
    <w:rsid w:val="004E2E60"/>
    <w:rsid w:val="004E4690"/>
    <w:rsid w:val="004E6D5C"/>
    <w:rsid w:val="004F15D0"/>
    <w:rsid w:val="004F1744"/>
    <w:rsid w:val="004F5308"/>
    <w:rsid w:val="005040C2"/>
    <w:rsid w:val="005062D6"/>
    <w:rsid w:val="005164FF"/>
    <w:rsid w:val="0052680C"/>
    <w:rsid w:val="00532CA5"/>
    <w:rsid w:val="00537EE1"/>
    <w:rsid w:val="00537F89"/>
    <w:rsid w:val="00540014"/>
    <w:rsid w:val="005452FC"/>
    <w:rsid w:val="00557CB8"/>
    <w:rsid w:val="00580281"/>
    <w:rsid w:val="00580300"/>
    <w:rsid w:val="00580666"/>
    <w:rsid w:val="0058082C"/>
    <w:rsid w:val="005818D7"/>
    <w:rsid w:val="00583894"/>
    <w:rsid w:val="00597252"/>
    <w:rsid w:val="005A414F"/>
    <w:rsid w:val="005A74F0"/>
    <w:rsid w:val="005A7CC3"/>
    <w:rsid w:val="005B2773"/>
    <w:rsid w:val="005C788A"/>
    <w:rsid w:val="005D1E6E"/>
    <w:rsid w:val="005D2E14"/>
    <w:rsid w:val="005E020E"/>
    <w:rsid w:val="005F05E5"/>
    <w:rsid w:val="005F4159"/>
    <w:rsid w:val="00602743"/>
    <w:rsid w:val="00610F99"/>
    <w:rsid w:val="00614856"/>
    <w:rsid w:val="006247FC"/>
    <w:rsid w:val="00624C4C"/>
    <w:rsid w:val="00625D64"/>
    <w:rsid w:val="00640E9C"/>
    <w:rsid w:val="00657283"/>
    <w:rsid w:val="006638C7"/>
    <w:rsid w:val="00684674"/>
    <w:rsid w:val="006859FA"/>
    <w:rsid w:val="00695AD4"/>
    <w:rsid w:val="006B07C5"/>
    <w:rsid w:val="006B1328"/>
    <w:rsid w:val="006C0F7F"/>
    <w:rsid w:val="006C570B"/>
    <w:rsid w:val="006D1316"/>
    <w:rsid w:val="006D2E1E"/>
    <w:rsid w:val="006D334C"/>
    <w:rsid w:val="006D5522"/>
    <w:rsid w:val="006E023F"/>
    <w:rsid w:val="006E13BF"/>
    <w:rsid w:val="00704BAD"/>
    <w:rsid w:val="007136A7"/>
    <w:rsid w:val="00741C0A"/>
    <w:rsid w:val="007470E1"/>
    <w:rsid w:val="00762D85"/>
    <w:rsid w:val="007635DF"/>
    <w:rsid w:val="0076376E"/>
    <w:rsid w:val="00766A9B"/>
    <w:rsid w:val="00785E53"/>
    <w:rsid w:val="00786EFB"/>
    <w:rsid w:val="007972C0"/>
    <w:rsid w:val="007A532E"/>
    <w:rsid w:val="007B1C27"/>
    <w:rsid w:val="007D40AD"/>
    <w:rsid w:val="007D7CA2"/>
    <w:rsid w:val="007F261F"/>
    <w:rsid w:val="007F7396"/>
    <w:rsid w:val="00823FE6"/>
    <w:rsid w:val="00825BE2"/>
    <w:rsid w:val="00825DFD"/>
    <w:rsid w:val="00827285"/>
    <w:rsid w:val="0083493E"/>
    <w:rsid w:val="00834C57"/>
    <w:rsid w:val="00842293"/>
    <w:rsid w:val="00843AE2"/>
    <w:rsid w:val="00847E40"/>
    <w:rsid w:val="00852F71"/>
    <w:rsid w:val="00852FD1"/>
    <w:rsid w:val="00853D41"/>
    <w:rsid w:val="0085658A"/>
    <w:rsid w:val="00860E6B"/>
    <w:rsid w:val="00864BB1"/>
    <w:rsid w:val="00870749"/>
    <w:rsid w:val="008712A4"/>
    <w:rsid w:val="0087537C"/>
    <w:rsid w:val="00880C92"/>
    <w:rsid w:val="00884E19"/>
    <w:rsid w:val="00886464"/>
    <w:rsid w:val="00886E24"/>
    <w:rsid w:val="008A64DD"/>
    <w:rsid w:val="008B28C8"/>
    <w:rsid w:val="008B2C5F"/>
    <w:rsid w:val="008B5BCD"/>
    <w:rsid w:val="008C329E"/>
    <w:rsid w:val="008C5251"/>
    <w:rsid w:val="008C778E"/>
    <w:rsid w:val="008E1253"/>
    <w:rsid w:val="008E409C"/>
    <w:rsid w:val="008E416F"/>
    <w:rsid w:val="008E5753"/>
    <w:rsid w:val="008E59A5"/>
    <w:rsid w:val="008E6090"/>
    <w:rsid w:val="008F01E9"/>
    <w:rsid w:val="008F021A"/>
    <w:rsid w:val="00900938"/>
    <w:rsid w:val="0090395A"/>
    <w:rsid w:val="00912AE8"/>
    <w:rsid w:val="00917C08"/>
    <w:rsid w:val="00926423"/>
    <w:rsid w:val="00926654"/>
    <w:rsid w:val="009430F5"/>
    <w:rsid w:val="009452F1"/>
    <w:rsid w:val="00950FC4"/>
    <w:rsid w:val="00954EC9"/>
    <w:rsid w:val="00960407"/>
    <w:rsid w:val="00963F9E"/>
    <w:rsid w:val="00972A9F"/>
    <w:rsid w:val="00974D78"/>
    <w:rsid w:val="00976C1F"/>
    <w:rsid w:val="00981622"/>
    <w:rsid w:val="009907C2"/>
    <w:rsid w:val="00996C92"/>
    <w:rsid w:val="00997A23"/>
    <w:rsid w:val="009B26FF"/>
    <w:rsid w:val="009C0267"/>
    <w:rsid w:val="009C05D4"/>
    <w:rsid w:val="009C398A"/>
    <w:rsid w:val="009C5B5B"/>
    <w:rsid w:val="009D1F48"/>
    <w:rsid w:val="009D1FDB"/>
    <w:rsid w:val="009D35CF"/>
    <w:rsid w:val="00A0060D"/>
    <w:rsid w:val="00A062AA"/>
    <w:rsid w:val="00A06CAD"/>
    <w:rsid w:val="00A23C81"/>
    <w:rsid w:val="00A271A5"/>
    <w:rsid w:val="00A517DD"/>
    <w:rsid w:val="00A577FB"/>
    <w:rsid w:val="00A7231C"/>
    <w:rsid w:val="00A73B19"/>
    <w:rsid w:val="00A77197"/>
    <w:rsid w:val="00A93D98"/>
    <w:rsid w:val="00A95E8C"/>
    <w:rsid w:val="00A96E7A"/>
    <w:rsid w:val="00AA0288"/>
    <w:rsid w:val="00AA0E61"/>
    <w:rsid w:val="00AA2DE1"/>
    <w:rsid w:val="00AC20AF"/>
    <w:rsid w:val="00AD116C"/>
    <w:rsid w:val="00AD12A9"/>
    <w:rsid w:val="00AD5691"/>
    <w:rsid w:val="00AD7667"/>
    <w:rsid w:val="00AF4C7F"/>
    <w:rsid w:val="00AF75CF"/>
    <w:rsid w:val="00AF7D20"/>
    <w:rsid w:val="00B04E42"/>
    <w:rsid w:val="00B0646D"/>
    <w:rsid w:val="00B07FB9"/>
    <w:rsid w:val="00B12150"/>
    <w:rsid w:val="00B13D94"/>
    <w:rsid w:val="00B16B90"/>
    <w:rsid w:val="00B244CF"/>
    <w:rsid w:val="00B2681B"/>
    <w:rsid w:val="00B272C5"/>
    <w:rsid w:val="00B27DD3"/>
    <w:rsid w:val="00B36D55"/>
    <w:rsid w:val="00B60692"/>
    <w:rsid w:val="00B636FF"/>
    <w:rsid w:val="00B6786D"/>
    <w:rsid w:val="00B76AAE"/>
    <w:rsid w:val="00B76AF7"/>
    <w:rsid w:val="00B843F0"/>
    <w:rsid w:val="00B85F0C"/>
    <w:rsid w:val="00B94BFD"/>
    <w:rsid w:val="00B95FEC"/>
    <w:rsid w:val="00B97F03"/>
    <w:rsid w:val="00BB0F6F"/>
    <w:rsid w:val="00BD1573"/>
    <w:rsid w:val="00BD1D43"/>
    <w:rsid w:val="00BD27D5"/>
    <w:rsid w:val="00BD489B"/>
    <w:rsid w:val="00BE0268"/>
    <w:rsid w:val="00BE2203"/>
    <w:rsid w:val="00BF4A03"/>
    <w:rsid w:val="00BF6F74"/>
    <w:rsid w:val="00C05FB3"/>
    <w:rsid w:val="00C202F1"/>
    <w:rsid w:val="00C23782"/>
    <w:rsid w:val="00C24789"/>
    <w:rsid w:val="00C32F5A"/>
    <w:rsid w:val="00C33EDF"/>
    <w:rsid w:val="00C46206"/>
    <w:rsid w:val="00C47033"/>
    <w:rsid w:val="00C60567"/>
    <w:rsid w:val="00C6449E"/>
    <w:rsid w:val="00C711C0"/>
    <w:rsid w:val="00C83B67"/>
    <w:rsid w:val="00C865CA"/>
    <w:rsid w:val="00C94CFE"/>
    <w:rsid w:val="00CA4430"/>
    <w:rsid w:val="00CA4FF2"/>
    <w:rsid w:val="00CA5BBE"/>
    <w:rsid w:val="00CB1323"/>
    <w:rsid w:val="00CB75A3"/>
    <w:rsid w:val="00CC027F"/>
    <w:rsid w:val="00CC178D"/>
    <w:rsid w:val="00CC7546"/>
    <w:rsid w:val="00CD24D2"/>
    <w:rsid w:val="00CF4AE2"/>
    <w:rsid w:val="00D017E6"/>
    <w:rsid w:val="00D20703"/>
    <w:rsid w:val="00D23F04"/>
    <w:rsid w:val="00D257E4"/>
    <w:rsid w:val="00D260A9"/>
    <w:rsid w:val="00D26AEB"/>
    <w:rsid w:val="00D34E58"/>
    <w:rsid w:val="00D36B7B"/>
    <w:rsid w:val="00D4420B"/>
    <w:rsid w:val="00D544B9"/>
    <w:rsid w:val="00D627B2"/>
    <w:rsid w:val="00D7532D"/>
    <w:rsid w:val="00D923BF"/>
    <w:rsid w:val="00DA505D"/>
    <w:rsid w:val="00DB2913"/>
    <w:rsid w:val="00DB42D5"/>
    <w:rsid w:val="00DC252D"/>
    <w:rsid w:val="00DC5CFF"/>
    <w:rsid w:val="00DD680B"/>
    <w:rsid w:val="00DD72FE"/>
    <w:rsid w:val="00DD73FD"/>
    <w:rsid w:val="00DE11F3"/>
    <w:rsid w:val="00DE19D2"/>
    <w:rsid w:val="00DE4FCE"/>
    <w:rsid w:val="00DE56B1"/>
    <w:rsid w:val="00DF30F2"/>
    <w:rsid w:val="00DF7376"/>
    <w:rsid w:val="00E002A3"/>
    <w:rsid w:val="00E00426"/>
    <w:rsid w:val="00E07BE6"/>
    <w:rsid w:val="00E1199E"/>
    <w:rsid w:val="00E21DE2"/>
    <w:rsid w:val="00E2222E"/>
    <w:rsid w:val="00E26CD4"/>
    <w:rsid w:val="00E3756D"/>
    <w:rsid w:val="00E378E8"/>
    <w:rsid w:val="00E4021A"/>
    <w:rsid w:val="00E42652"/>
    <w:rsid w:val="00E45D30"/>
    <w:rsid w:val="00E50375"/>
    <w:rsid w:val="00E516D2"/>
    <w:rsid w:val="00E51865"/>
    <w:rsid w:val="00E51AA7"/>
    <w:rsid w:val="00E63EE9"/>
    <w:rsid w:val="00E64601"/>
    <w:rsid w:val="00E658C4"/>
    <w:rsid w:val="00E765B4"/>
    <w:rsid w:val="00E8186D"/>
    <w:rsid w:val="00E81F75"/>
    <w:rsid w:val="00E864C2"/>
    <w:rsid w:val="00E87208"/>
    <w:rsid w:val="00E90276"/>
    <w:rsid w:val="00E942DF"/>
    <w:rsid w:val="00E959D0"/>
    <w:rsid w:val="00EA2751"/>
    <w:rsid w:val="00EA2BEE"/>
    <w:rsid w:val="00EB47B9"/>
    <w:rsid w:val="00EB491B"/>
    <w:rsid w:val="00EB6B9F"/>
    <w:rsid w:val="00EC1B70"/>
    <w:rsid w:val="00EC346E"/>
    <w:rsid w:val="00ED7ABC"/>
    <w:rsid w:val="00EE0E60"/>
    <w:rsid w:val="00EE3E4E"/>
    <w:rsid w:val="00EF1EE8"/>
    <w:rsid w:val="00F00F1A"/>
    <w:rsid w:val="00F015D0"/>
    <w:rsid w:val="00F022BB"/>
    <w:rsid w:val="00F22B04"/>
    <w:rsid w:val="00F25EFA"/>
    <w:rsid w:val="00F26E7B"/>
    <w:rsid w:val="00F36EA6"/>
    <w:rsid w:val="00F443EF"/>
    <w:rsid w:val="00F53D95"/>
    <w:rsid w:val="00F54825"/>
    <w:rsid w:val="00F573B9"/>
    <w:rsid w:val="00F665C0"/>
    <w:rsid w:val="00F70460"/>
    <w:rsid w:val="00F86555"/>
    <w:rsid w:val="00FA3D54"/>
    <w:rsid w:val="00FB0D32"/>
    <w:rsid w:val="00FB5930"/>
    <w:rsid w:val="00FD1450"/>
    <w:rsid w:val="00FD5736"/>
    <w:rsid w:val="00FD5F64"/>
    <w:rsid w:val="00FD6031"/>
    <w:rsid w:val="00FD626D"/>
    <w:rsid w:val="00FE08C3"/>
    <w:rsid w:val="00FF0007"/>
    <w:rsid w:val="00FF35E9"/>
    <w:rsid w:val="00FF4A9F"/>
    <w:rsid w:val="00FF5C26"/>
    <w:rsid w:val="00FF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Arial" w:hAnsi="Arial" w:cs="Arial"/>
      <w:sz w:val="24"/>
      <w:u w:val="single"/>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iC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Strong">
    <w:name w:val="Strong"/>
    <w:qFormat/>
    <w:rPr>
      <w:b/>
      <w:bCs/>
    </w:r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pubcitation">
    <w:name w:val="pubcitation"/>
    <w:basedOn w:val="Normal"/>
    <w:pPr>
      <w:spacing w:after="240"/>
    </w:pPr>
    <w:rPr>
      <w:sz w:val="17"/>
      <w:szCs w:val="17"/>
    </w:rPr>
  </w:style>
  <w:style w:type="paragraph" w:styleId="PlainText">
    <w:name w:val="Plain Text"/>
    <w:basedOn w:val="Normal"/>
    <w:link w:val="PlainTextChar"/>
    <w:uiPriority w:val="99"/>
    <w:rPr>
      <w:rFonts w:ascii="Courier New" w:hAnsi="Courier New" w:cs="Courier New"/>
    </w:rPr>
  </w:style>
  <w:style w:type="paragraph" w:styleId="HTMLPreformatted">
    <w:name w:val="HTML Preformatted"/>
    <w:basedOn w:val="Normal"/>
    <w:rsid w:val="0023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B272C5"/>
    <w:pPr>
      <w:spacing w:before="100" w:beforeAutospacing="1" w:after="100" w:afterAutospacing="1"/>
    </w:pPr>
    <w:rPr>
      <w:sz w:val="24"/>
      <w:szCs w:val="24"/>
    </w:rPr>
  </w:style>
  <w:style w:type="paragraph" w:styleId="BodyText">
    <w:name w:val="Body Text"/>
    <w:basedOn w:val="Normal"/>
    <w:link w:val="BodyTextChar"/>
    <w:rsid w:val="00E21DE2"/>
    <w:pPr>
      <w:autoSpaceDE w:val="0"/>
      <w:autoSpaceDN w:val="0"/>
      <w:adjustRightInd w:val="0"/>
      <w:spacing w:after="120"/>
    </w:pPr>
    <w:rPr>
      <w:sz w:val="24"/>
    </w:rPr>
  </w:style>
  <w:style w:type="character" w:customStyle="1" w:styleId="BodyTextChar">
    <w:name w:val="Body Text Char"/>
    <w:link w:val="BodyText"/>
    <w:rsid w:val="00E21DE2"/>
    <w:rPr>
      <w:sz w:val="24"/>
    </w:rPr>
  </w:style>
  <w:style w:type="paragraph" w:customStyle="1" w:styleId="Default">
    <w:name w:val="Default"/>
    <w:rsid w:val="00E21DE2"/>
    <w:pPr>
      <w:widowControl w:val="0"/>
      <w:autoSpaceDE w:val="0"/>
      <w:autoSpaceDN w:val="0"/>
      <w:adjustRightInd w:val="0"/>
    </w:pPr>
    <w:rPr>
      <w:rFonts w:ascii="Melior" w:hAnsi="Melior" w:cs="Melior"/>
      <w:color w:val="000000"/>
      <w:sz w:val="24"/>
      <w:szCs w:val="24"/>
    </w:rPr>
  </w:style>
  <w:style w:type="paragraph" w:customStyle="1" w:styleId="bodytextpsg">
    <w:name w:val="body text_psg"/>
    <w:basedOn w:val="Normal"/>
    <w:link w:val="bodytextpsgChar"/>
    <w:rsid w:val="00F25EFA"/>
    <w:pPr>
      <w:spacing w:before="120" w:after="120"/>
      <w:ind w:firstLine="720"/>
    </w:pPr>
    <w:rPr>
      <w:sz w:val="22"/>
    </w:rPr>
  </w:style>
  <w:style w:type="character" w:customStyle="1" w:styleId="bodytextpsgChar">
    <w:name w:val="body text_psg Char"/>
    <w:link w:val="bodytextpsg"/>
    <w:rsid w:val="00F25EFA"/>
    <w:rPr>
      <w:sz w:val="22"/>
    </w:rPr>
  </w:style>
  <w:style w:type="paragraph" w:customStyle="1" w:styleId="bullets">
    <w:name w:val="bullets"/>
    <w:aliases w:val="bu"/>
    <w:basedOn w:val="Normal"/>
    <w:rsid w:val="00275587"/>
    <w:pPr>
      <w:numPr>
        <w:numId w:val="21"/>
      </w:numPr>
      <w:tabs>
        <w:tab w:val="clear" w:pos="720"/>
      </w:tabs>
      <w:spacing w:after="80"/>
      <w:ind w:left="1080"/>
    </w:pPr>
    <w:rPr>
      <w:sz w:val="22"/>
    </w:rPr>
  </w:style>
  <w:style w:type="paragraph" w:customStyle="1" w:styleId="OMBbullets">
    <w:name w:val="OMB bullets"/>
    <w:basedOn w:val="Normal"/>
    <w:rsid w:val="001E196C"/>
    <w:pPr>
      <w:spacing w:after="120"/>
      <w:ind w:left="360" w:hanging="360"/>
    </w:pPr>
    <w:rPr>
      <w:sz w:val="24"/>
    </w:rPr>
  </w:style>
  <w:style w:type="paragraph" w:customStyle="1" w:styleId="BodyText1">
    <w:name w:val="Body Text1"/>
    <w:aliases w:val="bt,body tx,indent,flush,memo body text,memo body text Char,flush Char Char Char Char Char Char Char Char Char Char Char Char Char,body text Char1,bt Char1,body tx Char1,body 4h,body text"/>
    <w:basedOn w:val="Normal"/>
    <w:link w:val="bodytextChar0"/>
    <w:rsid w:val="00847E40"/>
    <w:pPr>
      <w:spacing w:after="240" w:line="360" w:lineRule="atLeast"/>
      <w:ind w:firstLine="720"/>
    </w:pPr>
    <w:rPr>
      <w:sz w:val="24"/>
    </w:rPr>
  </w:style>
  <w:style w:type="paragraph" w:styleId="TOC5">
    <w:name w:val="toc 5"/>
    <w:aliases w:val="toc tab/fig"/>
    <w:basedOn w:val="Normal"/>
    <w:next w:val="Normal"/>
    <w:rsid w:val="008B28C8"/>
    <w:pPr>
      <w:tabs>
        <w:tab w:val="right" w:leader="dot" w:pos="9360"/>
      </w:tabs>
      <w:spacing w:after="120"/>
      <w:ind w:left="734" w:hanging="547"/>
    </w:pPr>
    <w:rPr>
      <w:sz w:val="22"/>
    </w:rPr>
  </w:style>
  <w:style w:type="character" w:customStyle="1" w:styleId="bodytextChar0">
    <w:name w:val="body text Char"/>
    <w:aliases w:val="bt Char,body text Char Char,body tx Char,indent Char,flush Char"/>
    <w:link w:val="BodyText1"/>
    <w:rsid w:val="008B28C8"/>
    <w:rPr>
      <w:sz w:val="24"/>
    </w:rPr>
  </w:style>
  <w:style w:type="paragraph" w:customStyle="1" w:styleId="section1">
    <w:name w:val="section1"/>
    <w:basedOn w:val="Normal"/>
    <w:rsid w:val="00842293"/>
    <w:pPr>
      <w:spacing w:before="100" w:beforeAutospacing="1" w:after="100" w:afterAutospacing="1"/>
    </w:pPr>
    <w:rPr>
      <w:rFonts w:eastAsia="Calibri"/>
      <w:sz w:val="24"/>
      <w:szCs w:val="24"/>
    </w:rPr>
  </w:style>
  <w:style w:type="character" w:customStyle="1" w:styleId="black1">
    <w:name w:val="black1"/>
    <w:basedOn w:val="DefaultParagraphFont"/>
    <w:rsid w:val="00842293"/>
  </w:style>
  <w:style w:type="character" w:customStyle="1" w:styleId="PlainTextChar">
    <w:name w:val="Plain Text Char"/>
    <w:link w:val="PlainText"/>
    <w:uiPriority w:val="99"/>
    <w:rsid w:val="00F53D95"/>
    <w:rPr>
      <w:rFonts w:ascii="Courier New" w:hAnsi="Courier New" w:cs="Courier New"/>
    </w:rPr>
  </w:style>
  <w:style w:type="paragraph" w:customStyle="1" w:styleId="aboxbullet">
    <w:name w:val="abox_bullet"/>
    <w:basedOn w:val="Normal"/>
    <w:rsid w:val="009D35CF"/>
    <w:pPr>
      <w:framePr w:hSpace="144" w:vSpace="144" w:wrap="around" w:vAnchor="text" w:hAnchor="margin" w:xAlign="right" w:y="1"/>
      <w:numPr>
        <w:numId w:val="24"/>
      </w:numPr>
      <w:tabs>
        <w:tab w:val="clear" w:pos="720"/>
      </w:tabs>
      <w:spacing w:after="20"/>
      <w:ind w:left="461" w:hanging="245"/>
      <w:suppressOverlap/>
    </w:pPr>
    <w:rPr>
      <w:rFonts w:ascii="Arial" w:hAnsi="Arial"/>
      <w:sz w:val="18"/>
      <w:szCs w:val="18"/>
    </w:rPr>
  </w:style>
  <w:style w:type="paragraph" w:styleId="Header">
    <w:name w:val="header"/>
    <w:basedOn w:val="Normal"/>
    <w:link w:val="HeaderChar"/>
    <w:uiPriority w:val="99"/>
    <w:rsid w:val="001F05AF"/>
    <w:pPr>
      <w:tabs>
        <w:tab w:val="center" w:pos="4680"/>
        <w:tab w:val="right" w:pos="9360"/>
      </w:tabs>
    </w:pPr>
  </w:style>
  <w:style w:type="character" w:customStyle="1" w:styleId="HeaderChar">
    <w:name w:val="Header Char"/>
    <w:basedOn w:val="DefaultParagraphFont"/>
    <w:link w:val="Header"/>
    <w:uiPriority w:val="99"/>
    <w:rsid w:val="001F05AF"/>
  </w:style>
  <w:style w:type="character" w:customStyle="1" w:styleId="FooterChar">
    <w:name w:val="Footer Char"/>
    <w:link w:val="Footer"/>
    <w:uiPriority w:val="99"/>
    <w:rsid w:val="001F05AF"/>
  </w:style>
  <w:style w:type="character" w:customStyle="1" w:styleId="apple-converted-space">
    <w:name w:val="apple-converted-space"/>
    <w:rsid w:val="00DD7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Arial" w:hAnsi="Arial" w:cs="Arial"/>
      <w:sz w:val="24"/>
      <w:u w:val="single"/>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iC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Strong">
    <w:name w:val="Strong"/>
    <w:qFormat/>
    <w:rPr>
      <w:b/>
      <w:bCs/>
    </w:r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pubcitation">
    <w:name w:val="pubcitation"/>
    <w:basedOn w:val="Normal"/>
    <w:pPr>
      <w:spacing w:after="240"/>
    </w:pPr>
    <w:rPr>
      <w:sz w:val="17"/>
      <w:szCs w:val="17"/>
    </w:rPr>
  </w:style>
  <w:style w:type="paragraph" w:styleId="PlainText">
    <w:name w:val="Plain Text"/>
    <w:basedOn w:val="Normal"/>
    <w:link w:val="PlainTextChar"/>
    <w:uiPriority w:val="99"/>
    <w:rPr>
      <w:rFonts w:ascii="Courier New" w:hAnsi="Courier New" w:cs="Courier New"/>
    </w:rPr>
  </w:style>
  <w:style w:type="paragraph" w:styleId="HTMLPreformatted">
    <w:name w:val="HTML Preformatted"/>
    <w:basedOn w:val="Normal"/>
    <w:rsid w:val="0023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B272C5"/>
    <w:pPr>
      <w:spacing w:before="100" w:beforeAutospacing="1" w:after="100" w:afterAutospacing="1"/>
    </w:pPr>
    <w:rPr>
      <w:sz w:val="24"/>
      <w:szCs w:val="24"/>
    </w:rPr>
  </w:style>
  <w:style w:type="paragraph" w:styleId="BodyText">
    <w:name w:val="Body Text"/>
    <w:basedOn w:val="Normal"/>
    <w:link w:val="BodyTextChar"/>
    <w:rsid w:val="00E21DE2"/>
    <w:pPr>
      <w:autoSpaceDE w:val="0"/>
      <w:autoSpaceDN w:val="0"/>
      <w:adjustRightInd w:val="0"/>
      <w:spacing w:after="120"/>
    </w:pPr>
    <w:rPr>
      <w:sz w:val="24"/>
    </w:rPr>
  </w:style>
  <w:style w:type="character" w:customStyle="1" w:styleId="BodyTextChar">
    <w:name w:val="Body Text Char"/>
    <w:link w:val="BodyText"/>
    <w:rsid w:val="00E21DE2"/>
    <w:rPr>
      <w:sz w:val="24"/>
    </w:rPr>
  </w:style>
  <w:style w:type="paragraph" w:customStyle="1" w:styleId="Default">
    <w:name w:val="Default"/>
    <w:rsid w:val="00E21DE2"/>
    <w:pPr>
      <w:widowControl w:val="0"/>
      <w:autoSpaceDE w:val="0"/>
      <w:autoSpaceDN w:val="0"/>
      <w:adjustRightInd w:val="0"/>
    </w:pPr>
    <w:rPr>
      <w:rFonts w:ascii="Melior" w:hAnsi="Melior" w:cs="Melior"/>
      <w:color w:val="000000"/>
      <w:sz w:val="24"/>
      <w:szCs w:val="24"/>
    </w:rPr>
  </w:style>
  <w:style w:type="paragraph" w:customStyle="1" w:styleId="bodytextpsg">
    <w:name w:val="body text_psg"/>
    <w:basedOn w:val="Normal"/>
    <w:link w:val="bodytextpsgChar"/>
    <w:rsid w:val="00F25EFA"/>
    <w:pPr>
      <w:spacing w:before="120" w:after="120"/>
      <w:ind w:firstLine="720"/>
    </w:pPr>
    <w:rPr>
      <w:sz w:val="22"/>
    </w:rPr>
  </w:style>
  <w:style w:type="character" w:customStyle="1" w:styleId="bodytextpsgChar">
    <w:name w:val="body text_psg Char"/>
    <w:link w:val="bodytextpsg"/>
    <w:rsid w:val="00F25EFA"/>
    <w:rPr>
      <w:sz w:val="22"/>
    </w:rPr>
  </w:style>
  <w:style w:type="paragraph" w:customStyle="1" w:styleId="bullets">
    <w:name w:val="bullets"/>
    <w:aliases w:val="bu"/>
    <w:basedOn w:val="Normal"/>
    <w:rsid w:val="00275587"/>
    <w:pPr>
      <w:numPr>
        <w:numId w:val="21"/>
      </w:numPr>
      <w:tabs>
        <w:tab w:val="clear" w:pos="720"/>
      </w:tabs>
      <w:spacing w:after="80"/>
      <w:ind w:left="1080"/>
    </w:pPr>
    <w:rPr>
      <w:sz w:val="22"/>
    </w:rPr>
  </w:style>
  <w:style w:type="paragraph" w:customStyle="1" w:styleId="OMBbullets">
    <w:name w:val="OMB bullets"/>
    <w:basedOn w:val="Normal"/>
    <w:rsid w:val="001E196C"/>
    <w:pPr>
      <w:spacing w:after="120"/>
      <w:ind w:left="360" w:hanging="360"/>
    </w:pPr>
    <w:rPr>
      <w:sz w:val="24"/>
    </w:rPr>
  </w:style>
  <w:style w:type="paragraph" w:customStyle="1" w:styleId="BodyText1">
    <w:name w:val="Body Text1"/>
    <w:aliases w:val="bt,body tx,indent,flush,memo body text,memo body text Char,flush Char Char Char Char Char Char Char Char Char Char Char Char Char,body text Char1,bt Char1,body tx Char1,body 4h,body text"/>
    <w:basedOn w:val="Normal"/>
    <w:link w:val="bodytextChar0"/>
    <w:rsid w:val="00847E40"/>
    <w:pPr>
      <w:spacing w:after="240" w:line="360" w:lineRule="atLeast"/>
      <w:ind w:firstLine="720"/>
    </w:pPr>
    <w:rPr>
      <w:sz w:val="24"/>
    </w:rPr>
  </w:style>
  <w:style w:type="paragraph" w:styleId="TOC5">
    <w:name w:val="toc 5"/>
    <w:aliases w:val="toc tab/fig"/>
    <w:basedOn w:val="Normal"/>
    <w:next w:val="Normal"/>
    <w:rsid w:val="008B28C8"/>
    <w:pPr>
      <w:tabs>
        <w:tab w:val="right" w:leader="dot" w:pos="9360"/>
      </w:tabs>
      <w:spacing w:after="120"/>
      <w:ind w:left="734" w:hanging="547"/>
    </w:pPr>
    <w:rPr>
      <w:sz w:val="22"/>
    </w:rPr>
  </w:style>
  <w:style w:type="character" w:customStyle="1" w:styleId="bodytextChar0">
    <w:name w:val="body text Char"/>
    <w:aliases w:val="bt Char,body text Char Char,body tx Char,indent Char,flush Char"/>
    <w:link w:val="BodyText1"/>
    <w:rsid w:val="008B28C8"/>
    <w:rPr>
      <w:sz w:val="24"/>
    </w:rPr>
  </w:style>
  <w:style w:type="paragraph" w:customStyle="1" w:styleId="section1">
    <w:name w:val="section1"/>
    <w:basedOn w:val="Normal"/>
    <w:rsid w:val="00842293"/>
    <w:pPr>
      <w:spacing w:before="100" w:beforeAutospacing="1" w:after="100" w:afterAutospacing="1"/>
    </w:pPr>
    <w:rPr>
      <w:rFonts w:eastAsia="Calibri"/>
      <w:sz w:val="24"/>
      <w:szCs w:val="24"/>
    </w:rPr>
  </w:style>
  <w:style w:type="character" w:customStyle="1" w:styleId="black1">
    <w:name w:val="black1"/>
    <w:basedOn w:val="DefaultParagraphFont"/>
    <w:rsid w:val="00842293"/>
  </w:style>
  <w:style w:type="character" w:customStyle="1" w:styleId="PlainTextChar">
    <w:name w:val="Plain Text Char"/>
    <w:link w:val="PlainText"/>
    <w:uiPriority w:val="99"/>
    <w:rsid w:val="00F53D95"/>
    <w:rPr>
      <w:rFonts w:ascii="Courier New" w:hAnsi="Courier New" w:cs="Courier New"/>
    </w:rPr>
  </w:style>
  <w:style w:type="paragraph" w:customStyle="1" w:styleId="aboxbullet">
    <w:name w:val="abox_bullet"/>
    <w:basedOn w:val="Normal"/>
    <w:rsid w:val="009D35CF"/>
    <w:pPr>
      <w:framePr w:hSpace="144" w:vSpace="144" w:wrap="around" w:vAnchor="text" w:hAnchor="margin" w:xAlign="right" w:y="1"/>
      <w:numPr>
        <w:numId w:val="24"/>
      </w:numPr>
      <w:tabs>
        <w:tab w:val="clear" w:pos="720"/>
      </w:tabs>
      <w:spacing w:after="20"/>
      <w:ind w:left="461" w:hanging="245"/>
      <w:suppressOverlap/>
    </w:pPr>
    <w:rPr>
      <w:rFonts w:ascii="Arial" w:hAnsi="Arial"/>
      <w:sz w:val="18"/>
      <w:szCs w:val="18"/>
    </w:rPr>
  </w:style>
  <w:style w:type="paragraph" w:styleId="Header">
    <w:name w:val="header"/>
    <w:basedOn w:val="Normal"/>
    <w:link w:val="HeaderChar"/>
    <w:uiPriority w:val="99"/>
    <w:rsid w:val="001F05AF"/>
    <w:pPr>
      <w:tabs>
        <w:tab w:val="center" w:pos="4680"/>
        <w:tab w:val="right" w:pos="9360"/>
      </w:tabs>
    </w:pPr>
  </w:style>
  <w:style w:type="character" w:customStyle="1" w:styleId="HeaderChar">
    <w:name w:val="Header Char"/>
    <w:basedOn w:val="DefaultParagraphFont"/>
    <w:link w:val="Header"/>
    <w:uiPriority w:val="99"/>
    <w:rsid w:val="001F05AF"/>
  </w:style>
  <w:style w:type="character" w:customStyle="1" w:styleId="FooterChar">
    <w:name w:val="Footer Char"/>
    <w:link w:val="Footer"/>
    <w:uiPriority w:val="99"/>
    <w:rsid w:val="001F05AF"/>
  </w:style>
  <w:style w:type="character" w:customStyle="1" w:styleId="apple-converted-space">
    <w:name w:val="apple-converted-space"/>
    <w:rsid w:val="00DD7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7613">
      <w:bodyDiv w:val="1"/>
      <w:marLeft w:val="0"/>
      <w:marRight w:val="0"/>
      <w:marTop w:val="0"/>
      <w:marBottom w:val="0"/>
      <w:divBdr>
        <w:top w:val="none" w:sz="0" w:space="0" w:color="auto"/>
        <w:left w:val="none" w:sz="0" w:space="0" w:color="auto"/>
        <w:bottom w:val="none" w:sz="0" w:space="0" w:color="auto"/>
        <w:right w:val="none" w:sz="0" w:space="0" w:color="auto"/>
      </w:divBdr>
    </w:div>
    <w:div w:id="402064652">
      <w:bodyDiv w:val="1"/>
      <w:marLeft w:val="0"/>
      <w:marRight w:val="0"/>
      <w:marTop w:val="0"/>
      <w:marBottom w:val="0"/>
      <w:divBdr>
        <w:top w:val="none" w:sz="0" w:space="0" w:color="auto"/>
        <w:left w:val="none" w:sz="0" w:space="0" w:color="auto"/>
        <w:bottom w:val="none" w:sz="0" w:space="0" w:color="auto"/>
        <w:right w:val="none" w:sz="0" w:space="0" w:color="auto"/>
      </w:divBdr>
    </w:div>
    <w:div w:id="484204881">
      <w:bodyDiv w:val="1"/>
      <w:marLeft w:val="0"/>
      <w:marRight w:val="0"/>
      <w:marTop w:val="0"/>
      <w:marBottom w:val="0"/>
      <w:divBdr>
        <w:top w:val="none" w:sz="0" w:space="0" w:color="auto"/>
        <w:left w:val="none" w:sz="0" w:space="0" w:color="auto"/>
        <w:bottom w:val="none" w:sz="0" w:space="0" w:color="auto"/>
        <w:right w:val="none" w:sz="0" w:space="0" w:color="auto"/>
      </w:divBdr>
    </w:div>
    <w:div w:id="548229914">
      <w:bodyDiv w:val="1"/>
      <w:marLeft w:val="0"/>
      <w:marRight w:val="0"/>
      <w:marTop w:val="0"/>
      <w:marBottom w:val="0"/>
      <w:divBdr>
        <w:top w:val="none" w:sz="0" w:space="0" w:color="auto"/>
        <w:left w:val="none" w:sz="0" w:space="0" w:color="auto"/>
        <w:bottom w:val="none" w:sz="0" w:space="0" w:color="auto"/>
        <w:right w:val="none" w:sz="0" w:space="0" w:color="auto"/>
      </w:divBdr>
    </w:div>
    <w:div w:id="749812578">
      <w:bodyDiv w:val="1"/>
      <w:marLeft w:val="0"/>
      <w:marRight w:val="0"/>
      <w:marTop w:val="0"/>
      <w:marBottom w:val="0"/>
      <w:divBdr>
        <w:top w:val="none" w:sz="0" w:space="0" w:color="auto"/>
        <w:left w:val="none" w:sz="0" w:space="0" w:color="auto"/>
        <w:bottom w:val="none" w:sz="0" w:space="0" w:color="auto"/>
        <w:right w:val="none" w:sz="0" w:space="0" w:color="auto"/>
      </w:divBdr>
    </w:div>
    <w:div w:id="1070805007">
      <w:bodyDiv w:val="1"/>
      <w:marLeft w:val="0"/>
      <w:marRight w:val="0"/>
      <w:marTop w:val="0"/>
      <w:marBottom w:val="0"/>
      <w:divBdr>
        <w:top w:val="none" w:sz="0" w:space="0" w:color="auto"/>
        <w:left w:val="none" w:sz="0" w:space="0" w:color="auto"/>
        <w:bottom w:val="none" w:sz="0" w:space="0" w:color="auto"/>
        <w:right w:val="none" w:sz="0" w:space="0" w:color="auto"/>
      </w:divBdr>
    </w:div>
    <w:div w:id="1210190157">
      <w:bodyDiv w:val="1"/>
      <w:marLeft w:val="0"/>
      <w:marRight w:val="0"/>
      <w:marTop w:val="0"/>
      <w:marBottom w:val="0"/>
      <w:divBdr>
        <w:top w:val="none" w:sz="0" w:space="0" w:color="auto"/>
        <w:left w:val="none" w:sz="0" w:space="0" w:color="auto"/>
        <w:bottom w:val="none" w:sz="0" w:space="0" w:color="auto"/>
        <w:right w:val="none" w:sz="0" w:space="0" w:color="auto"/>
      </w:divBdr>
    </w:div>
    <w:div w:id="1429691198">
      <w:bodyDiv w:val="1"/>
      <w:marLeft w:val="0"/>
      <w:marRight w:val="0"/>
      <w:marTop w:val="0"/>
      <w:marBottom w:val="0"/>
      <w:divBdr>
        <w:top w:val="none" w:sz="0" w:space="0" w:color="auto"/>
        <w:left w:val="none" w:sz="0" w:space="0" w:color="auto"/>
        <w:bottom w:val="none" w:sz="0" w:space="0" w:color="auto"/>
        <w:right w:val="none" w:sz="0" w:space="0" w:color="auto"/>
      </w:divBdr>
    </w:div>
    <w:div w:id="1503542081">
      <w:bodyDiv w:val="1"/>
      <w:marLeft w:val="0"/>
      <w:marRight w:val="0"/>
      <w:marTop w:val="0"/>
      <w:marBottom w:val="0"/>
      <w:divBdr>
        <w:top w:val="none" w:sz="0" w:space="0" w:color="auto"/>
        <w:left w:val="none" w:sz="0" w:space="0" w:color="auto"/>
        <w:bottom w:val="none" w:sz="0" w:space="0" w:color="auto"/>
        <w:right w:val="none" w:sz="0" w:space="0" w:color="auto"/>
      </w:divBdr>
    </w:div>
    <w:div w:id="1710839595">
      <w:bodyDiv w:val="1"/>
      <w:marLeft w:val="0"/>
      <w:marRight w:val="0"/>
      <w:marTop w:val="0"/>
      <w:marBottom w:val="0"/>
      <w:divBdr>
        <w:top w:val="none" w:sz="0" w:space="0" w:color="auto"/>
        <w:left w:val="none" w:sz="0" w:space="0" w:color="auto"/>
        <w:bottom w:val="none" w:sz="0" w:space="0" w:color="auto"/>
        <w:right w:val="none" w:sz="0" w:space="0" w:color="auto"/>
      </w:divBdr>
    </w:div>
    <w:div w:id="1842158089">
      <w:bodyDiv w:val="1"/>
      <w:marLeft w:val="0"/>
      <w:marRight w:val="0"/>
      <w:marTop w:val="0"/>
      <w:marBottom w:val="0"/>
      <w:divBdr>
        <w:top w:val="none" w:sz="0" w:space="0" w:color="auto"/>
        <w:left w:val="none" w:sz="0" w:space="0" w:color="auto"/>
        <w:bottom w:val="none" w:sz="0" w:space="0" w:color="auto"/>
        <w:right w:val="none" w:sz="0" w:space="0" w:color="auto"/>
      </w:divBdr>
    </w:div>
    <w:div w:id="2007900198">
      <w:bodyDiv w:val="1"/>
      <w:marLeft w:val="0"/>
      <w:marRight w:val="0"/>
      <w:marTop w:val="0"/>
      <w:marBottom w:val="0"/>
      <w:divBdr>
        <w:top w:val="none" w:sz="0" w:space="0" w:color="auto"/>
        <w:left w:val="none" w:sz="0" w:space="0" w:color="auto"/>
        <w:bottom w:val="none" w:sz="0" w:space="0" w:color="auto"/>
        <w:right w:val="none" w:sz="0" w:space="0" w:color="auto"/>
      </w:divBdr>
      <w:divsChild>
        <w:div w:id="168182588">
          <w:marLeft w:val="0"/>
          <w:marRight w:val="0"/>
          <w:marTop w:val="0"/>
          <w:marBottom w:val="0"/>
          <w:divBdr>
            <w:top w:val="none" w:sz="0" w:space="0" w:color="auto"/>
            <w:left w:val="none" w:sz="0" w:space="0" w:color="auto"/>
            <w:bottom w:val="none" w:sz="0" w:space="0" w:color="auto"/>
            <w:right w:val="none" w:sz="0" w:space="0" w:color="auto"/>
          </w:divBdr>
          <w:divsChild>
            <w:div w:id="4347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5188">
      <w:bodyDiv w:val="1"/>
      <w:marLeft w:val="0"/>
      <w:marRight w:val="0"/>
      <w:marTop w:val="0"/>
      <w:marBottom w:val="0"/>
      <w:divBdr>
        <w:top w:val="none" w:sz="0" w:space="0" w:color="auto"/>
        <w:left w:val="none" w:sz="0" w:space="0" w:color="auto"/>
        <w:bottom w:val="none" w:sz="0" w:space="0" w:color="auto"/>
        <w:right w:val="none" w:sz="0" w:space="0" w:color="auto"/>
      </w:divBdr>
    </w:div>
    <w:div w:id="2077899515">
      <w:bodyDiv w:val="1"/>
      <w:marLeft w:val="0"/>
      <w:marRight w:val="0"/>
      <w:marTop w:val="0"/>
      <w:marBottom w:val="0"/>
      <w:divBdr>
        <w:top w:val="none" w:sz="0" w:space="0" w:color="auto"/>
        <w:left w:val="none" w:sz="0" w:space="0" w:color="auto"/>
        <w:bottom w:val="none" w:sz="0" w:space="0" w:color="auto"/>
        <w:right w:val="none" w:sz="0" w:space="0" w:color="auto"/>
      </w:divBdr>
      <w:divsChild>
        <w:div w:id="1309624331">
          <w:marLeft w:val="0"/>
          <w:marRight w:val="0"/>
          <w:marTop w:val="0"/>
          <w:marBottom w:val="0"/>
          <w:divBdr>
            <w:top w:val="none" w:sz="0" w:space="0" w:color="auto"/>
            <w:left w:val="single" w:sz="6" w:space="0" w:color="444444"/>
            <w:bottom w:val="none" w:sz="0" w:space="0" w:color="auto"/>
            <w:right w:val="single" w:sz="6" w:space="0" w:color="444444"/>
          </w:divBdr>
          <w:divsChild>
            <w:div w:id="1969703236">
              <w:marLeft w:val="0"/>
              <w:marRight w:val="0"/>
              <w:marTop w:val="0"/>
              <w:marBottom w:val="0"/>
              <w:divBdr>
                <w:top w:val="none" w:sz="0" w:space="0" w:color="auto"/>
                <w:left w:val="none" w:sz="0" w:space="0" w:color="auto"/>
                <w:bottom w:val="none" w:sz="0" w:space="0" w:color="auto"/>
                <w:right w:val="none" w:sz="0" w:space="0" w:color="auto"/>
              </w:divBdr>
              <w:divsChild>
                <w:div w:id="1033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onniehepler@rti.org"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Xiaoquan.Zhao@fda.hhs.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auentta.Jones@fda.hh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tanaska.Dineva@fda.hh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sfa.Alexander@fda.hhs.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1873</Words>
  <Characters>11030</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FDA</Company>
  <LinksUpToDate>false</LinksUpToDate>
  <CharactersWithSpaces>12878</CharactersWithSpaces>
  <SharedDoc>false</SharedDoc>
  <HLinks>
    <vt:vector size="30" baseType="variant">
      <vt:variant>
        <vt:i4>1179681</vt:i4>
      </vt:variant>
      <vt:variant>
        <vt:i4>15</vt:i4>
      </vt:variant>
      <vt:variant>
        <vt:i4>0</vt:i4>
      </vt:variant>
      <vt:variant>
        <vt:i4>5</vt:i4>
      </vt:variant>
      <vt:variant>
        <vt:lpwstr>mailto:bonniehepler@rti.org</vt:lpwstr>
      </vt:variant>
      <vt:variant>
        <vt:lpwstr/>
      </vt:variant>
      <vt:variant>
        <vt:i4>5177455</vt:i4>
      </vt:variant>
      <vt:variant>
        <vt:i4>12</vt:i4>
      </vt:variant>
      <vt:variant>
        <vt:i4>0</vt:i4>
      </vt:variant>
      <vt:variant>
        <vt:i4>5</vt:i4>
      </vt:variant>
      <vt:variant>
        <vt:lpwstr>mailto:Xiaoquan.Zhao@fda.hhs.gov</vt:lpwstr>
      </vt:variant>
      <vt:variant>
        <vt:lpwstr/>
      </vt:variant>
      <vt:variant>
        <vt:i4>6946890</vt:i4>
      </vt:variant>
      <vt:variant>
        <vt:i4>9</vt:i4>
      </vt:variant>
      <vt:variant>
        <vt:i4>0</vt:i4>
      </vt:variant>
      <vt:variant>
        <vt:i4>5</vt:i4>
      </vt:variant>
      <vt:variant>
        <vt:lpwstr>mailto:Chauentta.Jones@fda.hhs.gov</vt:lpwstr>
      </vt:variant>
      <vt:variant>
        <vt:lpwstr/>
      </vt:variant>
      <vt:variant>
        <vt:i4>2490397</vt:i4>
      </vt:variant>
      <vt:variant>
        <vt:i4>6</vt:i4>
      </vt:variant>
      <vt:variant>
        <vt:i4>0</vt:i4>
      </vt:variant>
      <vt:variant>
        <vt:i4>5</vt:i4>
      </vt:variant>
      <vt:variant>
        <vt:lpwstr>mailto:Atanaska.Dineva@fda.hhs.gov</vt:lpwstr>
      </vt:variant>
      <vt:variant>
        <vt:lpwstr/>
      </vt:variant>
      <vt:variant>
        <vt:i4>7995483</vt:i4>
      </vt:variant>
      <vt:variant>
        <vt:i4>3</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Pritzlaff, Olivia *</dc:creator>
  <cp:lastModifiedBy>Sanford, Amber</cp:lastModifiedBy>
  <cp:revision>2</cp:revision>
  <cp:lastPrinted>2014-10-28T19:53:00Z</cp:lastPrinted>
  <dcterms:created xsi:type="dcterms:W3CDTF">2016-03-24T19:36:00Z</dcterms:created>
  <dcterms:modified xsi:type="dcterms:W3CDTF">2016-03-24T19:36:00Z</dcterms:modified>
</cp:coreProperties>
</file>