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8293B" w14:textId="03E71678" w:rsidR="00F332CB" w:rsidRPr="005C3EA2" w:rsidRDefault="00060222" w:rsidP="00060222">
      <w:pPr>
        <w:jc w:val="center"/>
        <w:rPr>
          <w:b/>
          <w:color w:val="000000"/>
        </w:rPr>
      </w:pPr>
      <w:r w:rsidRPr="005C3EA2">
        <w:rPr>
          <w:b/>
          <w:color w:val="000000"/>
        </w:rPr>
        <w:t>0910-08</w:t>
      </w:r>
      <w:r w:rsidR="00BB6BAC" w:rsidRPr="005C3EA2">
        <w:rPr>
          <w:b/>
          <w:color w:val="000000"/>
        </w:rPr>
        <w:t>10</w:t>
      </w:r>
    </w:p>
    <w:p w14:paraId="4414D749" w14:textId="77777777" w:rsidR="00053382" w:rsidRPr="005C3EA2" w:rsidRDefault="00053382" w:rsidP="00D56944">
      <w:pPr>
        <w:rPr>
          <w:b/>
          <w:color w:val="000000"/>
        </w:rPr>
      </w:pPr>
    </w:p>
    <w:p w14:paraId="42CDE5AA" w14:textId="6951A5E6" w:rsidR="00843A0A" w:rsidRPr="005C3EA2" w:rsidRDefault="00D56944" w:rsidP="00D56944">
      <w:pPr>
        <w:rPr>
          <w:b/>
          <w:color w:val="000000"/>
        </w:rPr>
      </w:pPr>
      <w:r w:rsidRPr="005C3EA2">
        <w:rPr>
          <w:b/>
          <w:color w:val="000000"/>
        </w:rPr>
        <w:t xml:space="preserve">Supporting Statement: </w:t>
      </w:r>
      <w:r w:rsidR="00060222" w:rsidRPr="005C3EA2">
        <w:rPr>
          <w:b/>
          <w:color w:val="000000"/>
        </w:rPr>
        <w:t>Summary</w:t>
      </w:r>
    </w:p>
    <w:tbl>
      <w:tblPr>
        <w:tblStyle w:val="TableGrid"/>
        <w:tblW w:w="0" w:type="auto"/>
        <w:tblLook w:val="04A0" w:firstRow="1" w:lastRow="0" w:firstColumn="1" w:lastColumn="0" w:noHBand="0" w:noVBand="1"/>
      </w:tblPr>
      <w:tblGrid>
        <w:gridCol w:w="9576"/>
      </w:tblGrid>
      <w:tr w:rsidR="00843A0A" w:rsidRPr="005C3EA2" w14:paraId="425A312D" w14:textId="77777777" w:rsidTr="00843A0A">
        <w:tc>
          <w:tcPr>
            <w:tcW w:w="9576" w:type="dxa"/>
          </w:tcPr>
          <w:p w14:paraId="7FA092AF" w14:textId="77777777" w:rsidR="00843A0A" w:rsidRPr="005C3EA2" w:rsidRDefault="00843A0A" w:rsidP="00843A0A">
            <w:pPr>
              <w:pStyle w:val="ListParagraph"/>
              <w:spacing w:after="200" w:line="276" w:lineRule="auto"/>
              <w:ind w:left="360"/>
              <w:rPr>
                <w:rFonts w:cs="Times New Roman"/>
                <w:szCs w:val="24"/>
              </w:rPr>
            </w:pPr>
          </w:p>
          <w:p w14:paraId="7022490C" w14:textId="14BD5F16" w:rsidR="00843A0A" w:rsidRPr="005C3EA2" w:rsidRDefault="00843A0A" w:rsidP="00843A0A">
            <w:pPr>
              <w:pStyle w:val="ListParagraph"/>
              <w:numPr>
                <w:ilvl w:val="0"/>
                <w:numId w:val="10"/>
              </w:numPr>
              <w:spacing w:after="200" w:line="276" w:lineRule="auto"/>
              <w:rPr>
                <w:rFonts w:cs="Times New Roman"/>
                <w:szCs w:val="24"/>
              </w:rPr>
            </w:pPr>
            <w:r w:rsidRPr="005C3EA2">
              <w:rPr>
                <w:rFonts w:cs="Times New Roman"/>
                <w:szCs w:val="24"/>
              </w:rPr>
              <w:t>The</w:t>
            </w:r>
            <w:r w:rsidR="00D76ACB" w:rsidRPr="005C3EA2">
              <w:rPr>
                <w:rFonts w:cs="Times New Roman"/>
                <w:szCs w:val="24"/>
              </w:rPr>
              <w:t xml:space="preserve"> </w:t>
            </w:r>
            <w:r w:rsidR="00060222" w:rsidRPr="005C3EA2">
              <w:rPr>
                <w:rFonts w:cs="Times New Roman"/>
                <w:szCs w:val="24"/>
              </w:rPr>
              <w:t xml:space="preserve">goal </w:t>
            </w:r>
            <w:r w:rsidRPr="005C3EA2">
              <w:rPr>
                <w:rFonts w:cs="Times New Roman"/>
                <w:szCs w:val="24"/>
              </w:rPr>
              <w:t>of</w:t>
            </w:r>
            <w:r w:rsidR="00D76ACB" w:rsidRPr="005C3EA2">
              <w:rPr>
                <w:rFonts w:cs="Times New Roman"/>
                <w:szCs w:val="24"/>
              </w:rPr>
              <w:t xml:space="preserve"> this study is to </w:t>
            </w:r>
            <w:r w:rsidR="00060222" w:rsidRPr="005C3EA2">
              <w:rPr>
                <w:rFonts w:cs="Times New Roman"/>
                <w:szCs w:val="24"/>
              </w:rPr>
              <w:t>conduct quantitative copy testing</w:t>
            </w:r>
            <w:r w:rsidR="00FB7527" w:rsidRPr="005C3EA2">
              <w:rPr>
                <w:rFonts w:cs="Times New Roman"/>
                <w:szCs w:val="24"/>
              </w:rPr>
              <w:t xml:space="preserve"> of print advertisements to be placed </w:t>
            </w:r>
            <w:r w:rsidR="004F0054" w:rsidRPr="005C3EA2">
              <w:rPr>
                <w:rFonts w:cs="Times New Roman"/>
                <w:szCs w:val="24"/>
              </w:rPr>
              <w:t>in</w:t>
            </w:r>
            <w:r w:rsidR="00FB7527" w:rsidRPr="005C3EA2">
              <w:rPr>
                <w:rFonts w:cs="Times New Roman"/>
                <w:szCs w:val="24"/>
              </w:rPr>
              <w:t xml:space="preserve"> the tobacco point of sale</w:t>
            </w:r>
            <w:r w:rsidR="004F0054" w:rsidRPr="005C3EA2">
              <w:rPr>
                <w:rFonts w:cs="Times New Roman"/>
                <w:szCs w:val="24"/>
              </w:rPr>
              <w:t xml:space="preserve"> environment</w:t>
            </w:r>
            <w:r w:rsidR="00060222" w:rsidRPr="005C3EA2">
              <w:rPr>
                <w:rFonts w:cs="Times New Roman"/>
                <w:szCs w:val="24"/>
              </w:rPr>
              <w:t xml:space="preserve"> to </w:t>
            </w:r>
            <w:r w:rsidR="00D76ACB" w:rsidRPr="005C3EA2">
              <w:rPr>
                <w:rFonts w:cs="Times New Roman"/>
                <w:szCs w:val="24"/>
              </w:rPr>
              <w:t xml:space="preserve">determine whether </w:t>
            </w:r>
            <w:r w:rsidR="00FB7527" w:rsidRPr="005C3EA2">
              <w:rPr>
                <w:rFonts w:cs="Times New Roman"/>
                <w:szCs w:val="24"/>
              </w:rPr>
              <w:t xml:space="preserve">these </w:t>
            </w:r>
            <w:r w:rsidR="00D150FB" w:rsidRPr="005C3EA2">
              <w:rPr>
                <w:rFonts w:cs="Times New Roman"/>
                <w:szCs w:val="24"/>
              </w:rPr>
              <w:t>advertisements provide an understandable</w:t>
            </w:r>
            <w:r w:rsidR="00FB7527" w:rsidRPr="005C3EA2">
              <w:rPr>
                <w:rFonts w:cs="Times New Roman"/>
                <w:szCs w:val="24"/>
              </w:rPr>
              <w:t xml:space="preserve"> and</w:t>
            </w:r>
            <w:r w:rsidR="000B230C" w:rsidRPr="005C3EA2">
              <w:rPr>
                <w:rFonts w:cs="Times New Roman"/>
                <w:szCs w:val="24"/>
              </w:rPr>
              <w:t xml:space="preserve"> </w:t>
            </w:r>
            <w:r w:rsidR="00D150FB" w:rsidRPr="005C3EA2">
              <w:rPr>
                <w:rFonts w:cs="Times New Roman"/>
                <w:szCs w:val="24"/>
              </w:rPr>
              <w:t>engaging message</w:t>
            </w:r>
            <w:r w:rsidR="00FB7527" w:rsidRPr="005C3EA2">
              <w:rPr>
                <w:rFonts w:cs="Times New Roman"/>
                <w:szCs w:val="24"/>
              </w:rPr>
              <w:t xml:space="preserve"> to encourage</w:t>
            </w:r>
            <w:r w:rsidR="00D150FB" w:rsidRPr="005C3EA2">
              <w:rPr>
                <w:rFonts w:cs="Times New Roman"/>
                <w:szCs w:val="24"/>
              </w:rPr>
              <w:t xml:space="preserve"> </w:t>
            </w:r>
            <w:r w:rsidR="0080568F" w:rsidRPr="005C3EA2">
              <w:rPr>
                <w:rFonts w:cs="Times New Roman"/>
                <w:szCs w:val="24"/>
              </w:rPr>
              <w:t>a future quit attempt</w:t>
            </w:r>
            <w:r w:rsidR="00C31A60" w:rsidRPr="005C3EA2">
              <w:rPr>
                <w:rFonts w:cs="Times New Roman"/>
                <w:szCs w:val="24"/>
              </w:rPr>
              <w:t xml:space="preserve"> </w:t>
            </w:r>
            <w:r w:rsidR="00D150FB" w:rsidRPr="005C3EA2">
              <w:rPr>
                <w:rFonts w:cs="Times New Roman"/>
                <w:szCs w:val="24"/>
              </w:rPr>
              <w:t xml:space="preserve">without potential unintended adverse or counterproductive effects. The study will be conducted among current adult </w:t>
            </w:r>
            <w:r w:rsidR="00FB7527" w:rsidRPr="005C3EA2">
              <w:rPr>
                <w:rFonts w:cs="Times New Roman"/>
                <w:szCs w:val="24"/>
              </w:rPr>
              <w:t xml:space="preserve">cigarette </w:t>
            </w:r>
            <w:r w:rsidR="00D150FB" w:rsidRPr="005C3EA2">
              <w:rPr>
                <w:rFonts w:cs="Times New Roman"/>
                <w:szCs w:val="24"/>
              </w:rPr>
              <w:t>smokers who have attempted to quit</w:t>
            </w:r>
            <w:r w:rsidR="000B230C" w:rsidRPr="005C3EA2">
              <w:rPr>
                <w:rFonts w:cs="Times New Roman"/>
                <w:szCs w:val="24"/>
              </w:rPr>
              <w:t xml:space="preserve"> smoking</w:t>
            </w:r>
            <w:r w:rsidR="00D150FB" w:rsidRPr="005C3EA2">
              <w:rPr>
                <w:rFonts w:cs="Times New Roman"/>
                <w:szCs w:val="24"/>
              </w:rPr>
              <w:t xml:space="preserve"> in the past year. </w:t>
            </w:r>
          </w:p>
          <w:p w14:paraId="6E593D54" w14:textId="77777777" w:rsidR="00843A0A" w:rsidRPr="005C3EA2" w:rsidRDefault="00843A0A" w:rsidP="00843A0A">
            <w:pPr>
              <w:pStyle w:val="ListParagraph"/>
              <w:spacing w:after="200" w:line="276" w:lineRule="auto"/>
              <w:ind w:left="360"/>
              <w:rPr>
                <w:rFonts w:cs="Times New Roman"/>
                <w:szCs w:val="24"/>
              </w:rPr>
            </w:pPr>
          </w:p>
          <w:p w14:paraId="7092B5FA" w14:textId="7F720E77" w:rsidR="00843A0A" w:rsidRPr="005C3EA2" w:rsidRDefault="00060222" w:rsidP="00843A0A">
            <w:pPr>
              <w:pStyle w:val="ListParagraph"/>
              <w:numPr>
                <w:ilvl w:val="0"/>
                <w:numId w:val="10"/>
              </w:numPr>
              <w:spacing w:after="200" w:line="276" w:lineRule="auto"/>
              <w:rPr>
                <w:rFonts w:cs="Times New Roman"/>
                <w:szCs w:val="24"/>
              </w:rPr>
            </w:pPr>
            <w:r w:rsidRPr="005C3EA2">
              <w:rPr>
                <w:rFonts w:cs="Times New Roman"/>
                <w:szCs w:val="24"/>
              </w:rPr>
              <w:t xml:space="preserve">Participants will be recruited and screened via </w:t>
            </w:r>
            <w:r w:rsidR="00D150FB" w:rsidRPr="005C3EA2">
              <w:rPr>
                <w:rFonts w:cs="Times New Roman"/>
                <w:szCs w:val="24"/>
              </w:rPr>
              <w:t xml:space="preserve">an online survey. The sample will be provided from an opt-in panel and will consist of participants </w:t>
            </w:r>
            <w:r w:rsidR="00D73ADE" w:rsidRPr="005C3EA2">
              <w:rPr>
                <w:rFonts w:cs="Times New Roman"/>
                <w:szCs w:val="24"/>
              </w:rPr>
              <w:t xml:space="preserve">from </w:t>
            </w:r>
            <w:r w:rsidRPr="005C3EA2">
              <w:rPr>
                <w:rFonts w:cs="Times New Roman"/>
                <w:szCs w:val="24"/>
              </w:rPr>
              <w:t xml:space="preserve">across the United States.  </w:t>
            </w:r>
            <w:r w:rsidR="00843A0A" w:rsidRPr="005C3EA2">
              <w:rPr>
                <w:rFonts w:cs="Times New Roman"/>
                <w:szCs w:val="24"/>
              </w:rPr>
              <w:t>The study will be conducted using web-based surveys that are self-administered</w:t>
            </w:r>
            <w:r w:rsidR="001D0AE2" w:rsidRPr="005C3EA2">
              <w:rPr>
                <w:rFonts w:cs="Times New Roman"/>
                <w:szCs w:val="24"/>
              </w:rPr>
              <w:t xml:space="preserve"> and will target</w:t>
            </w:r>
            <w:r w:rsidR="00843A0A" w:rsidRPr="005C3EA2">
              <w:rPr>
                <w:rFonts w:cs="Times New Roman"/>
                <w:szCs w:val="24"/>
              </w:rPr>
              <w:t xml:space="preserve"> </w:t>
            </w:r>
            <w:r w:rsidR="00687C2D" w:rsidRPr="005C3EA2">
              <w:rPr>
                <w:rFonts w:cs="Times New Roman"/>
                <w:szCs w:val="24"/>
              </w:rPr>
              <w:t xml:space="preserve">up to </w:t>
            </w:r>
            <w:r w:rsidR="00D73ADE" w:rsidRPr="005C3EA2">
              <w:rPr>
                <w:rFonts w:cs="Times New Roman"/>
                <w:szCs w:val="24"/>
              </w:rPr>
              <w:t>2</w:t>
            </w:r>
            <w:r w:rsidR="00687C2D" w:rsidRPr="005C3EA2">
              <w:rPr>
                <w:rFonts w:cs="Times New Roman"/>
                <w:szCs w:val="24"/>
              </w:rPr>
              <w:t>,</w:t>
            </w:r>
            <w:r w:rsidR="00D73ADE" w:rsidRPr="005C3EA2">
              <w:rPr>
                <w:rFonts w:cs="Times New Roman"/>
                <w:szCs w:val="24"/>
              </w:rPr>
              <w:t>844 current adult smokers who have attempted to quit smoking in the past year. The consent form and sc</w:t>
            </w:r>
            <w:r w:rsidR="0065275B" w:rsidRPr="005C3EA2">
              <w:rPr>
                <w:rFonts w:cs="Times New Roman"/>
                <w:szCs w:val="24"/>
              </w:rPr>
              <w:t xml:space="preserve">reener will take approximately </w:t>
            </w:r>
            <w:r w:rsidR="00FC5DDB" w:rsidRPr="005C3EA2">
              <w:rPr>
                <w:rFonts w:cs="Times New Roman"/>
                <w:szCs w:val="24"/>
              </w:rPr>
              <w:t xml:space="preserve">5 </w:t>
            </w:r>
            <w:r w:rsidR="00D73ADE" w:rsidRPr="005C3EA2">
              <w:rPr>
                <w:rFonts w:cs="Times New Roman"/>
                <w:szCs w:val="24"/>
              </w:rPr>
              <w:t xml:space="preserve">minutes total; the questionnaire will take </w:t>
            </w:r>
            <w:r w:rsidR="00FC5DDB" w:rsidRPr="005C3EA2">
              <w:rPr>
                <w:rFonts w:cs="Times New Roman"/>
                <w:szCs w:val="24"/>
              </w:rPr>
              <w:t xml:space="preserve">up to 20 </w:t>
            </w:r>
            <w:r w:rsidR="00D73ADE" w:rsidRPr="005C3EA2">
              <w:rPr>
                <w:rFonts w:cs="Times New Roman"/>
                <w:szCs w:val="24"/>
              </w:rPr>
              <w:t xml:space="preserve">minutes to complete, per respondent. </w:t>
            </w:r>
          </w:p>
          <w:p w14:paraId="475C1867" w14:textId="77777777" w:rsidR="00843A0A" w:rsidRPr="005C3EA2" w:rsidRDefault="00843A0A" w:rsidP="00843A0A">
            <w:pPr>
              <w:pStyle w:val="ListParagraph"/>
              <w:spacing w:after="200" w:line="276" w:lineRule="auto"/>
              <w:ind w:left="360"/>
              <w:rPr>
                <w:rFonts w:cs="Times New Roman"/>
                <w:szCs w:val="24"/>
              </w:rPr>
            </w:pPr>
          </w:p>
          <w:p w14:paraId="33210681" w14:textId="141C30B5" w:rsidR="00843A0A" w:rsidRPr="005C3EA2" w:rsidRDefault="00060222" w:rsidP="00843A0A">
            <w:pPr>
              <w:pStyle w:val="ListParagraph"/>
              <w:numPr>
                <w:ilvl w:val="0"/>
                <w:numId w:val="10"/>
              </w:numPr>
              <w:spacing w:after="200" w:line="276" w:lineRule="auto"/>
              <w:rPr>
                <w:rFonts w:cs="Times New Roman"/>
                <w:szCs w:val="24"/>
              </w:rPr>
            </w:pPr>
            <w:r w:rsidRPr="005C3EA2">
              <w:rPr>
                <w:rFonts w:cs="Times New Roman"/>
                <w:szCs w:val="24"/>
              </w:rPr>
              <w:t xml:space="preserve">The outcome of the study will be an understanding of overall ad performance and potential unintended consequences for </w:t>
            </w:r>
            <w:r w:rsidR="006C1A8B" w:rsidRPr="005C3EA2">
              <w:rPr>
                <w:rFonts w:cs="Times New Roman"/>
                <w:szCs w:val="24"/>
              </w:rPr>
              <w:t>adverti</w:t>
            </w:r>
            <w:r w:rsidR="000B230C" w:rsidRPr="005C3EA2">
              <w:rPr>
                <w:rFonts w:cs="Times New Roman"/>
                <w:szCs w:val="24"/>
              </w:rPr>
              <w:t>se</w:t>
            </w:r>
            <w:r w:rsidR="006C1A8B" w:rsidRPr="005C3EA2">
              <w:rPr>
                <w:rFonts w:cs="Times New Roman"/>
                <w:szCs w:val="24"/>
              </w:rPr>
              <w:t xml:space="preserve">ments to support </w:t>
            </w:r>
            <w:r w:rsidR="00D73ADE" w:rsidRPr="005C3EA2">
              <w:rPr>
                <w:rFonts w:cs="Times New Roman"/>
                <w:szCs w:val="24"/>
              </w:rPr>
              <w:t xml:space="preserve">FDA’s Center for Tobacco Products (CTP) Point-of-Sale campaign. Understanding the target audience’s receptivity </w:t>
            </w:r>
            <w:r w:rsidR="00C31A60" w:rsidRPr="005C3EA2">
              <w:rPr>
                <w:rFonts w:cs="Times New Roman"/>
                <w:szCs w:val="24"/>
              </w:rPr>
              <w:t xml:space="preserve">to </w:t>
            </w:r>
            <w:r w:rsidR="00D73ADE" w:rsidRPr="005C3EA2">
              <w:rPr>
                <w:rFonts w:cs="Times New Roman"/>
                <w:szCs w:val="24"/>
              </w:rPr>
              <w:t xml:space="preserve">and engagement </w:t>
            </w:r>
            <w:r w:rsidR="00C31A60" w:rsidRPr="005C3EA2">
              <w:rPr>
                <w:rFonts w:cs="Times New Roman"/>
                <w:szCs w:val="24"/>
              </w:rPr>
              <w:t xml:space="preserve">with </w:t>
            </w:r>
            <w:r w:rsidR="00D73ADE" w:rsidRPr="005C3EA2">
              <w:rPr>
                <w:rFonts w:cs="Times New Roman"/>
                <w:szCs w:val="24"/>
              </w:rPr>
              <w:t xml:space="preserve">these ads can help to optimize messaging for this new campaign. Additionally, the outcome of the study will lead to </w:t>
            </w:r>
            <w:r w:rsidR="00C31A60" w:rsidRPr="005C3EA2">
              <w:rPr>
                <w:rFonts w:cs="Times New Roman"/>
                <w:szCs w:val="24"/>
              </w:rPr>
              <w:t xml:space="preserve">further creative refinement and ultimately placement </w:t>
            </w:r>
            <w:r w:rsidR="004F0054" w:rsidRPr="005C3EA2">
              <w:rPr>
                <w:rFonts w:cs="Times New Roman"/>
                <w:szCs w:val="24"/>
              </w:rPr>
              <w:t xml:space="preserve">of the advertisements </w:t>
            </w:r>
            <w:r w:rsidR="00C31A60" w:rsidRPr="005C3EA2">
              <w:rPr>
                <w:rFonts w:cs="Times New Roman"/>
                <w:szCs w:val="24"/>
              </w:rPr>
              <w:t>in the point-of-sale environment</w:t>
            </w:r>
            <w:r w:rsidR="00D73ADE" w:rsidRPr="005C3EA2">
              <w:rPr>
                <w:rFonts w:cs="Times New Roman"/>
                <w:szCs w:val="24"/>
              </w:rPr>
              <w:t xml:space="preserve">. </w:t>
            </w:r>
            <w:r w:rsidR="00843A0A" w:rsidRPr="005C3EA2">
              <w:rPr>
                <w:rFonts w:cs="Times New Roman"/>
                <w:szCs w:val="24"/>
              </w:rPr>
              <w:br/>
            </w:r>
          </w:p>
          <w:p w14:paraId="01D7796E" w14:textId="662CB7B6" w:rsidR="00843A0A" w:rsidRPr="005C3EA2" w:rsidRDefault="00843A0A" w:rsidP="004F0054">
            <w:pPr>
              <w:pStyle w:val="ListParagraph"/>
              <w:numPr>
                <w:ilvl w:val="0"/>
                <w:numId w:val="10"/>
              </w:numPr>
              <w:spacing w:after="200" w:line="276" w:lineRule="auto"/>
              <w:rPr>
                <w:rFonts w:cs="Times New Roman"/>
                <w:szCs w:val="24"/>
              </w:rPr>
            </w:pPr>
            <w:r w:rsidRPr="005C3EA2">
              <w:rPr>
                <w:rFonts w:cs="Times New Roman"/>
                <w:szCs w:val="24"/>
              </w:rPr>
              <w:t>The resulting data will be analyzed using con</w:t>
            </w:r>
            <w:r w:rsidR="00060222" w:rsidRPr="005C3EA2">
              <w:rPr>
                <w:rFonts w:cs="Times New Roman"/>
                <w:szCs w:val="24"/>
              </w:rPr>
              <w:t xml:space="preserve">ventional </w:t>
            </w:r>
            <w:r w:rsidR="00F17EEB" w:rsidRPr="005C3EA2">
              <w:rPr>
                <w:rFonts w:cs="Times New Roman"/>
                <w:szCs w:val="24"/>
              </w:rPr>
              <w:t xml:space="preserve">statistical </w:t>
            </w:r>
            <w:r w:rsidR="00060222" w:rsidRPr="005C3EA2">
              <w:rPr>
                <w:rFonts w:cs="Times New Roman"/>
                <w:szCs w:val="24"/>
              </w:rPr>
              <w:t>techniques</w:t>
            </w:r>
            <w:r w:rsidRPr="005C3EA2">
              <w:rPr>
                <w:rFonts w:cs="Times New Roman"/>
                <w:szCs w:val="24"/>
              </w:rPr>
              <w:t xml:space="preserve"> </w:t>
            </w:r>
            <w:r w:rsidR="00060222" w:rsidRPr="005C3EA2">
              <w:rPr>
                <w:rFonts w:cs="Times New Roman"/>
                <w:szCs w:val="24"/>
              </w:rPr>
              <w:t>for quantitative data. Qualitative</w:t>
            </w:r>
            <w:r w:rsidR="00F17EEB" w:rsidRPr="005C3EA2">
              <w:rPr>
                <w:rFonts w:cs="Times New Roman"/>
                <w:szCs w:val="24"/>
              </w:rPr>
              <w:t xml:space="preserve"> coding and</w:t>
            </w:r>
            <w:r w:rsidR="00060222" w:rsidRPr="005C3EA2">
              <w:rPr>
                <w:rFonts w:cs="Times New Roman"/>
                <w:szCs w:val="24"/>
              </w:rPr>
              <w:t xml:space="preserve"> analysis of open-ended items will also be conducted. The </w:t>
            </w:r>
            <w:r w:rsidR="00F17EEB" w:rsidRPr="005C3EA2">
              <w:rPr>
                <w:rFonts w:cs="Times New Roman"/>
                <w:szCs w:val="24"/>
              </w:rPr>
              <w:t xml:space="preserve">survey questionnaire </w:t>
            </w:r>
            <w:r w:rsidR="00060222" w:rsidRPr="005C3EA2">
              <w:rPr>
                <w:rFonts w:cs="Times New Roman"/>
                <w:szCs w:val="24"/>
              </w:rPr>
              <w:t>collect</w:t>
            </w:r>
            <w:r w:rsidR="00F17EEB" w:rsidRPr="005C3EA2">
              <w:rPr>
                <w:rFonts w:cs="Times New Roman"/>
                <w:szCs w:val="24"/>
              </w:rPr>
              <w:t>s</w:t>
            </w:r>
            <w:r w:rsidR="00060222" w:rsidRPr="005C3EA2">
              <w:rPr>
                <w:rFonts w:cs="Times New Roman"/>
                <w:szCs w:val="24"/>
              </w:rPr>
              <w:t xml:space="preserve"> information about </w:t>
            </w:r>
            <w:r w:rsidR="00F81E8D" w:rsidRPr="005C3EA2">
              <w:rPr>
                <w:rFonts w:cs="Times New Roman"/>
                <w:szCs w:val="24"/>
              </w:rPr>
              <w:t>participant</w:t>
            </w:r>
            <w:r w:rsidR="00060222" w:rsidRPr="005C3EA2">
              <w:rPr>
                <w:rFonts w:cs="Times New Roman"/>
                <w:szCs w:val="24"/>
              </w:rPr>
              <w:t xml:space="preserve">s’ reactions to </w:t>
            </w:r>
            <w:r w:rsidR="00486D19" w:rsidRPr="005C3EA2">
              <w:rPr>
                <w:rFonts w:cs="Times New Roman"/>
                <w:szCs w:val="24"/>
              </w:rPr>
              <w:t>advertisements</w:t>
            </w:r>
            <w:r w:rsidR="00D73ADE" w:rsidRPr="005C3EA2">
              <w:rPr>
                <w:rFonts w:cs="Times New Roman"/>
                <w:szCs w:val="24"/>
              </w:rPr>
              <w:t xml:space="preserve"> for the Point-of-Sale campaign, </w:t>
            </w:r>
            <w:r w:rsidR="00F45908" w:rsidRPr="005C3EA2">
              <w:rPr>
                <w:rFonts w:cs="Times New Roman"/>
                <w:szCs w:val="24"/>
              </w:rPr>
              <w:t xml:space="preserve">which is designed </w:t>
            </w:r>
            <w:r w:rsidR="00D73ADE" w:rsidRPr="005C3EA2">
              <w:rPr>
                <w:rFonts w:cs="Times New Roman"/>
                <w:szCs w:val="24"/>
              </w:rPr>
              <w:t xml:space="preserve">to provide encouraging messaging to smokers in, around, and surrounding convenience stores. The analysis will </w:t>
            </w:r>
            <w:r w:rsidR="00060222" w:rsidRPr="005C3EA2">
              <w:rPr>
                <w:rFonts w:cs="Times New Roman"/>
                <w:szCs w:val="24"/>
              </w:rPr>
              <w:t>also include basic demographic and tobacco use information in order to understand whether and how these factors may influence individuals’ responses to the ads.</w:t>
            </w:r>
          </w:p>
        </w:tc>
      </w:tr>
    </w:tbl>
    <w:p w14:paraId="625856AC" w14:textId="77777777" w:rsidR="00FC5DDB" w:rsidRPr="005C3EA2" w:rsidRDefault="00FC5DDB" w:rsidP="00060222">
      <w:pPr>
        <w:rPr>
          <w:b/>
          <w:color w:val="000000" w:themeColor="text1"/>
          <w:u w:val="single"/>
        </w:rPr>
      </w:pPr>
    </w:p>
    <w:p w14:paraId="566110C6" w14:textId="26CC2D8C" w:rsidR="00060222" w:rsidRPr="007804D0" w:rsidRDefault="00060222" w:rsidP="00FC5DDB">
      <w:pPr>
        <w:spacing w:before="60"/>
        <w:rPr>
          <w:color w:val="000000" w:themeColor="text1"/>
          <w:sz w:val="21"/>
          <w:szCs w:val="21"/>
          <w:u w:val="single"/>
        </w:rPr>
      </w:pPr>
      <w:r w:rsidRPr="007804D0">
        <w:rPr>
          <w:b/>
          <w:color w:val="000000" w:themeColor="text1"/>
          <w:sz w:val="21"/>
          <w:szCs w:val="21"/>
          <w:u w:val="single"/>
        </w:rPr>
        <w:t>Consent Form</w:t>
      </w:r>
    </w:p>
    <w:p w14:paraId="64CD53D2" w14:textId="0F8DE33D" w:rsidR="00060222" w:rsidRPr="007804D0" w:rsidRDefault="00060222" w:rsidP="00FC5DDB">
      <w:pPr>
        <w:pStyle w:val="ListParagraph"/>
        <w:numPr>
          <w:ilvl w:val="0"/>
          <w:numId w:val="9"/>
        </w:numPr>
        <w:spacing w:before="60"/>
        <w:ind w:left="720"/>
        <w:rPr>
          <w:rFonts w:cs="Times New Roman"/>
          <w:color w:val="000000" w:themeColor="text1"/>
          <w:sz w:val="21"/>
          <w:szCs w:val="21"/>
        </w:rPr>
      </w:pPr>
      <w:r w:rsidRPr="007804D0">
        <w:rPr>
          <w:rFonts w:cs="Times New Roman"/>
          <w:color w:val="000000" w:themeColor="text1"/>
          <w:sz w:val="21"/>
          <w:szCs w:val="21"/>
        </w:rPr>
        <w:t xml:space="preserve">Attachment A: </w:t>
      </w:r>
      <w:r w:rsidR="00B41B0D">
        <w:rPr>
          <w:rFonts w:cs="Times New Roman"/>
          <w:color w:val="000000" w:themeColor="text1"/>
          <w:sz w:val="21"/>
          <w:szCs w:val="21"/>
        </w:rPr>
        <w:t>Informed</w:t>
      </w:r>
      <w:r w:rsidR="00D73ADE" w:rsidRPr="007804D0">
        <w:rPr>
          <w:rFonts w:cs="Times New Roman"/>
          <w:color w:val="000000" w:themeColor="text1"/>
          <w:sz w:val="21"/>
          <w:szCs w:val="21"/>
        </w:rPr>
        <w:t xml:space="preserve"> Consent Form</w:t>
      </w:r>
      <w:r w:rsidRPr="007804D0">
        <w:rPr>
          <w:rFonts w:cs="Times New Roman"/>
          <w:color w:val="000000" w:themeColor="text1"/>
          <w:sz w:val="21"/>
          <w:szCs w:val="21"/>
        </w:rPr>
        <w:t xml:space="preserve"> </w:t>
      </w:r>
    </w:p>
    <w:p w14:paraId="702C96C8" w14:textId="77777777" w:rsidR="00060222" w:rsidRPr="007804D0" w:rsidRDefault="00060222" w:rsidP="00FC5DDB">
      <w:pPr>
        <w:spacing w:before="60"/>
        <w:rPr>
          <w:b/>
          <w:color w:val="000000" w:themeColor="text1"/>
          <w:sz w:val="21"/>
          <w:szCs w:val="21"/>
        </w:rPr>
      </w:pPr>
      <w:r w:rsidRPr="007804D0">
        <w:rPr>
          <w:b/>
          <w:color w:val="000000" w:themeColor="text1"/>
          <w:sz w:val="21"/>
          <w:szCs w:val="21"/>
          <w:u w:val="single"/>
        </w:rPr>
        <w:t xml:space="preserve">Data Collection Instruments </w:t>
      </w:r>
    </w:p>
    <w:p w14:paraId="79A16B8B" w14:textId="66F2D670" w:rsidR="00060222" w:rsidRPr="007804D0" w:rsidRDefault="00060222" w:rsidP="00FC5DDB">
      <w:pPr>
        <w:pStyle w:val="ListParagraph"/>
        <w:numPr>
          <w:ilvl w:val="0"/>
          <w:numId w:val="11"/>
        </w:numPr>
        <w:spacing w:before="60"/>
        <w:rPr>
          <w:rFonts w:cs="Times New Roman"/>
          <w:color w:val="000000" w:themeColor="text1"/>
          <w:sz w:val="21"/>
          <w:szCs w:val="21"/>
        </w:rPr>
      </w:pPr>
      <w:r w:rsidRPr="007804D0">
        <w:rPr>
          <w:rFonts w:cs="Times New Roman"/>
          <w:color w:val="000000" w:themeColor="text1"/>
          <w:sz w:val="21"/>
          <w:szCs w:val="21"/>
        </w:rPr>
        <w:t xml:space="preserve">Attachment </w:t>
      </w:r>
      <w:r w:rsidR="00687C2D" w:rsidRPr="007804D0">
        <w:rPr>
          <w:rFonts w:cs="Times New Roman"/>
          <w:color w:val="000000" w:themeColor="text1"/>
          <w:sz w:val="21"/>
          <w:szCs w:val="21"/>
        </w:rPr>
        <w:t>B</w:t>
      </w:r>
      <w:r w:rsidRPr="007804D0">
        <w:rPr>
          <w:rFonts w:cs="Times New Roman"/>
          <w:color w:val="000000" w:themeColor="text1"/>
          <w:sz w:val="21"/>
          <w:szCs w:val="21"/>
        </w:rPr>
        <w:t xml:space="preserve">: Screener </w:t>
      </w:r>
    </w:p>
    <w:p w14:paraId="0DE32827" w14:textId="0D1982C6" w:rsidR="00060222" w:rsidRPr="007804D0" w:rsidRDefault="00060222" w:rsidP="00FC5DDB">
      <w:pPr>
        <w:pStyle w:val="ListParagraph"/>
        <w:numPr>
          <w:ilvl w:val="0"/>
          <w:numId w:val="11"/>
        </w:numPr>
        <w:spacing w:before="60"/>
        <w:rPr>
          <w:rFonts w:cs="Times New Roman"/>
          <w:color w:val="000000" w:themeColor="text1"/>
          <w:sz w:val="21"/>
          <w:szCs w:val="21"/>
        </w:rPr>
      </w:pPr>
      <w:r w:rsidRPr="007804D0">
        <w:rPr>
          <w:rFonts w:cs="Times New Roman"/>
          <w:color w:val="000000" w:themeColor="text1"/>
          <w:sz w:val="21"/>
          <w:szCs w:val="21"/>
        </w:rPr>
        <w:t xml:space="preserve">Attachment </w:t>
      </w:r>
      <w:r w:rsidR="00687C2D" w:rsidRPr="007804D0">
        <w:rPr>
          <w:rFonts w:cs="Times New Roman"/>
          <w:color w:val="000000" w:themeColor="text1"/>
          <w:sz w:val="21"/>
          <w:szCs w:val="21"/>
        </w:rPr>
        <w:t>C</w:t>
      </w:r>
      <w:r w:rsidRPr="007804D0">
        <w:rPr>
          <w:rFonts w:cs="Times New Roman"/>
          <w:color w:val="000000" w:themeColor="text1"/>
          <w:sz w:val="21"/>
          <w:szCs w:val="21"/>
        </w:rPr>
        <w:t>: Copy Testing Questionnaire</w:t>
      </w:r>
    </w:p>
    <w:p w14:paraId="72020210" w14:textId="6BD30833" w:rsidR="00FC5DDB" w:rsidRPr="007804D0" w:rsidRDefault="00FC5DDB" w:rsidP="00FC5DDB">
      <w:pPr>
        <w:pStyle w:val="ListParagraph"/>
        <w:numPr>
          <w:ilvl w:val="0"/>
          <w:numId w:val="11"/>
        </w:numPr>
        <w:spacing w:before="60"/>
        <w:rPr>
          <w:rFonts w:cs="Times New Roman"/>
          <w:color w:val="000000" w:themeColor="text1"/>
          <w:sz w:val="21"/>
          <w:szCs w:val="21"/>
        </w:rPr>
      </w:pPr>
      <w:r w:rsidRPr="007804D0">
        <w:rPr>
          <w:rFonts w:cs="Times New Roman"/>
          <w:color w:val="000000" w:themeColor="text1"/>
          <w:sz w:val="21"/>
          <w:szCs w:val="21"/>
        </w:rPr>
        <w:t>Attach</w:t>
      </w:r>
      <w:r w:rsidR="00342F1B">
        <w:rPr>
          <w:rFonts w:cs="Times New Roman"/>
          <w:color w:val="000000" w:themeColor="text1"/>
          <w:sz w:val="21"/>
          <w:szCs w:val="21"/>
        </w:rPr>
        <w:t>ment F: Recruitment Email Script</w:t>
      </w:r>
    </w:p>
    <w:p w14:paraId="3232F987" w14:textId="5E880C26" w:rsidR="00060222" w:rsidRPr="007804D0" w:rsidRDefault="00060222" w:rsidP="00FC5DDB">
      <w:pPr>
        <w:spacing w:before="60"/>
        <w:rPr>
          <w:color w:val="000000"/>
          <w:sz w:val="21"/>
          <w:szCs w:val="21"/>
          <w:u w:val="single"/>
        </w:rPr>
      </w:pPr>
      <w:r w:rsidRPr="007804D0">
        <w:rPr>
          <w:b/>
          <w:color w:val="000000"/>
          <w:sz w:val="21"/>
          <w:szCs w:val="21"/>
          <w:u w:val="single"/>
        </w:rPr>
        <w:t>Study Stimuli</w:t>
      </w:r>
    </w:p>
    <w:p w14:paraId="32E2CAD1" w14:textId="26BA919D" w:rsidR="00060222" w:rsidRPr="007804D0" w:rsidRDefault="00060222" w:rsidP="00FC5DDB">
      <w:pPr>
        <w:pStyle w:val="ListParagraph"/>
        <w:numPr>
          <w:ilvl w:val="0"/>
          <w:numId w:val="9"/>
        </w:numPr>
        <w:spacing w:before="60"/>
        <w:ind w:left="720"/>
        <w:rPr>
          <w:rFonts w:cs="Times New Roman"/>
          <w:color w:val="000000"/>
          <w:sz w:val="21"/>
          <w:szCs w:val="21"/>
        </w:rPr>
      </w:pPr>
      <w:r w:rsidRPr="007804D0">
        <w:rPr>
          <w:rFonts w:cs="Times New Roman"/>
          <w:color w:val="000000"/>
          <w:sz w:val="21"/>
          <w:szCs w:val="21"/>
        </w:rPr>
        <w:t xml:space="preserve">Attachment </w:t>
      </w:r>
      <w:r w:rsidR="00687C2D" w:rsidRPr="007804D0">
        <w:rPr>
          <w:rFonts w:cs="Times New Roman"/>
          <w:color w:val="000000"/>
          <w:sz w:val="21"/>
          <w:szCs w:val="21"/>
        </w:rPr>
        <w:t>D</w:t>
      </w:r>
      <w:r w:rsidRPr="007804D0">
        <w:rPr>
          <w:rFonts w:cs="Times New Roman"/>
          <w:color w:val="000000"/>
          <w:sz w:val="21"/>
          <w:szCs w:val="21"/>
        </w:rPr>
        <w:t>: Advertisement Stimuli</w:t>
      </w:r>
    </w:p>
    <w:p w14:paraId="37472957" w14:textId="77777777" w:rsidR="00897A6F" w:rsidRPr="007804D0" w:rsidRDefault="00897A6F" w:rsidP="00FC5DDB">
      <w:pPr>
        <w:spacing w:before="60"/>
        <w:rPr>
          <w:b/>
          <w:sz w:val="21"/>
          <w:szCs w:val="21"/>
          <w:u w:val="single"/>
        </w:rPr>
      </w:pPr>
      <w:r w:rsidRPr="007804D0">
        <w:rPr>
          <w:b/>
          <w:sz w:val="21"/>
          <w:szCs w:val="21"/>
          <w:u w:val="single"/>
        </w:rPr>
        <w:t>IRB Approval</w:t>
      </w:r>
    </w:p>
    <w:p w14:paraId="2A38DBE3" w14:textId="2A48B2C3" w:rsidR="00FC5DDB" w:rsidRPr="007804D0" w:rsidRDefault="00897A6F" w:rsidP="00FC5DDB">
      <w:pPr>
        <w:pStyle w:val="ListParagraph"/>
        <w:numPr>
          <w:ilvl w:val="0"/>
          <w:numId w:val="9"/>
        </w:numPr>
        <w:spacing w:before="60"/>
        <w:ind w:left="720"/>
        <w:rPr>
          <w:rFonts w:cs="Times New Roman"/>
          <w:b/>
          <w:sz w:val="21"/>
          <w:szCs w:val="21"/>
        </w:rPr>
      </w:pPr>
      <w:r w:rsidRPr="007804D0">
        <w:rPr>
          <w:rFonts w:cs="Times New Roman"/>
          <w:sz w:val="21"/>
          <w:szCs w:val="21"/>
        </w:rPr>
        <w:t xml:space="preserve">Attachment </w:t>
      </w:r>
      <w:r w:rsidR="00687C2D" w:rsidRPr="007804D0">
        <w:rPr>
          <w:rFonts w:cs="Times New Roman"/>
          <w:sz w:val="21"/>
          <w:szCs w:val="21"/>
        </w:rPr>
        <w:t>E</w:t>
      </w:r>
      <w:r w:rsidRPr="007804D0">
        <w:rPr>
          <w:rFonts w:cs="Times New Roman"/>
          <w:sz w:val="21"/>
          <w:szCs w:val="21"/>
        </w:rPr>
        <w:t>: IRB Approval Letter</w:t>
      </w:r>
    </w:p>
    <w:p w14:paraId="41FEAD8B" w14:textId="77777777" w:rsidR="007804D0" w:rsidRPr="005C3EA2" w:rsidRDefault="007804D0" w:rsidP="007804D0">
      <w:pPr>
        <w:pStyle w:val="ListParagraph"/>
        <w:spacing w:before="60"/>
        <w:rPr>
          <w:rFonts w:cs="Times New Roman"/>
          <w:b/>
          <w:szCs w:val="24"/>
        </w:rPr>
      </w:pPr>
    </w:p>
    <w:p w14:paraId="6A95D4B5" w14:textId="30CFAD51" w:rsidR="00060222" w:rsidRPr="005C3EA2" w:rsidRDefault="00D73ADE" w:rsidP="0019374C">
      <w:pPr>
        <w:jc w:val="center"/>
        <w:rPr>
          <w:b/>
        </w:rPr>
      </w:pPr>
      <w:r w:rsidRPr="005C3EA2">
        <w:rPr>
          <w:b/>
        </w:rPr>
        <w:t xml:space="preserve">Point-of-Sale </w:t>
      </w:r>
      <w:r w:rsidR="00BB6BAC" w:rsidRPr="005C3EA2">
        <w:rPr>
          <w:b/>
        </w:rPr>
        <w:t xml:space="preserve">Campaign: </w:t>
      </w:r>
      <w:r w:rsidRPr="005C3EA2">
        <w:rPr>
          <w:b/>
        </w:rPr>
        <w:t>O</w:t>
      </w:r>
      <w:r w:rsidR="00BB6BAC" w:rsidRPr="005C3EA2">
        <w:rPr>
          <w:b/>
        </w:rPr>
        <w:t xml:space="preserve">nline Quantitative Study of Reactions to Rough-Cut Advertising Designed to </w:t>
      </w:r>
      <w:r w:rsidRPr="005C3EA2">
        <w:rPr>
          <w:b/>
        </w:rPr>
        <w:t>Encourage Adult Smokers to Quit Smoking</w:t>
      </w:r>
    </w:p>
    <w:p w14:paraId="115D7A09" w14:textId="77777777" w:rsidR="0019374C" w:rsidRPr="005C3EA2" w:rsidRDefault="0019374C" w:rsidP="00060222">
      <w:pPr>
        <w:jc w:val="center"/>
        <w:rPr>
          <w:b/>
        </w:rPr>
      </w:pPr>
    </w:p>
    <w:p w14:paraId="3E3D2F28" w14:textId="0A91AB18" w:rsidR="00384290" w:rsidRPr="005C3EA2" w:rsidRDefault="00060222" w:rsidP="00060222">
      <w:pPr>
        <w:jc w:val="center"/>
        <w:rPr>
          <w:b/>
        </w:rPr>
      </w:pPr>
      <w:r w:rsidRPr="005C3EA2">
        <w:rPr>
          <w:b/>
        </w:rPr>
        <w:t>0910-08</w:t>
      </w:r>
      <w:r w:rsidR="00BB6BAC" w:rsidRPr="005C3EA2">
        <w:rPr>
          <w:b/>
        </w:rPr>
        <w:t>10</w:t>
      </w:r>
    </w:p>
    <w:p w14:paraId="4A378C60" w14:textId="77777777" w:rsidR="00060222" w:rsidRPr="005C3EA2" w:rsidRDefault="00060222" w:rsidP="00060222">
      <w:pPr>
        <w:jc w:val="center"/>
        <w:rPr>
          <w:b/>
        </w:rPr>
      </w:pPr>
    </w:p>
    <w:p w14:paraId="561F9FEF" w14:textId="2592D92C" w:rsidR="00810FF1" w:rsidRPr="005C3EA2" w:rsidRDefault="00F12FD2" w:rsidP="00060222">
      <w:pPr>
        <w:pStyle w:val="Heading1"/>
        <w:jc w:val="center"/>
        <w:rPr>
          <w:rFonts w:ascii="Times New Roman" w:hAnsi="Times New Roman"/>
        </w:rPr>
      </w:pPr>
      <w:bookmarkStart w:id="0" w:name="_Toc365038358"/>
      <w:bookmarkStart w:id="1" w:name="_Toc365473622"/>
      <w:r w:rsidRPr="005C3EA2">
        <w:rPr>
          <w:rFonts w:ascii="Times New Roman" w:hAnsi="Times New Roman"/>
          <w:caps w:val="0"/>
        </w:rPr>
        <w:t>Supporting Statement</w:t>
      </w:r>
      <w:bookmarkEnd w:id="0"/>
      <w:bookmarkEnd w:id="1"/>
      <w:r w:rsidRPr="005C3EA2">
        <w:rPr>
          <w:rFonts w:ascii="Times New Roman" w:hAnsi="Times New Roman"/>
          <w:caps w:val="0"/>
        </w:rPr>
        <w:t>: Part A</w:t>
      </w:r>
    </w:p>
    <w:p w14:paraId="16478352" w14:textId="2F15877C" w:rsidR="00EB7538" w:rsidRPr="005C3EA2" w:rsidRDefault="0019374C" w:rsidP="00EB7538">
      <w:pPr>
        <w:pStyle w:val="NormalWeb"/>
      </w:pPr>
      <w:r w:rsidRPr="005C3EA2">
        <w:rPr>
          <w:b/>
          <w:bCs/>
        </w:rPr>
        <w:t>A. JUSTIFICATION</w:t>
      </w:r>
    </w:p>
    <w:p w14:paraId="50859F0E" w14:textId="77777777" w:rsidR="008B30AB" w:rsidRPr="005C3EA2" w:rsidRDefault="00EB7538" w:rsidP="008B30AB">
      <w:pPr>
        <w:numPr>
          <w:ilvl w:val="0"/>
          <w:numId w:val="1"/>
        </w:numPr>
        <w:spacing w:before="100" w:beforeAutospacing="1" w:after="100" w:afterAutospacing="1"/>
        <w:rPr>
          <w:b/>
          <w:u w:val="single"/>
        </w:rPr>
      </w:pPr>
      <w:r w:rsidRPr="005C3EA2">
        <w:rPr>
          <w:b/>
          <w:u w:val="single"/>
        </w:rPr>
        <w:t>Circumstances Making the Collection of Information Necessary</w:t>
      </w:r>
    </w:p>
    <w:p w14:paraId="7883B1BF" w14:textId="77777777" w:rsidR="00785465" w:rsidRPr="005C3EA2" w:rsidRDefault="0030587D" w:rsidP="00486D19">
      <w:pPr>
        <w:pStyle w:val="ListParagraph"/>
        <w:spacing w:before="100" w:beforeAutospacing="1" w:after="100" w:afterAutospacing="1"/>
        <w:rPr>
          <w:rFonts w:cs="Times New Roman"/>
          <w:szCs w:val="24"/>
        </w:rPr>
      </w:pPr>
      <w:r w:rsidRPr="005C3EA2">
        <w:rPr>
          <w:rFonts w:cs="Times New Roman"/>
          <w:szCs w:val="24"/>
        </w:rPr>
        <w:t>Data suggest that in 2010, 68.9% of U.S. adult smokers reported wanting to quit smoking cigarettes completely, yet only 46.7% of smokers attempted to quit (CDC, 2011). Further, in 2014, although 45.9% of smokers had made a quit attempt, only 7.2% were successful in quitting (USDHHS, 2014). Past research has indicated that convenience stores account for 86.2% of total cigarette sales (NACS, 2011), and that tobacco advertising placed at the point-of-sale (POS) can make it more difficult to quit smoking cigarettes (</w:t>
      </w:r>
      <w:proofErr w:type="spellStart"/>
      <w:r w:rsidRPr="005C3EA2">
        <w:rPr>
          <w:rFonts w:cs="Times New Roman"/>
          <w:szCs w:val="24"/>
        </w:rPr>
        <w:t>Clattenburg</w:t>
      </w:r>
      <w:proofErr w:type="spellEnd"/>
      <w:r w:rsidRPr="005C3EA2">
        <w:rPr>
          <w:rFonts w:cs="Times New Roman"/>
          <w:szCs w:val="24"/>
        </w:rPr>
        <w:t xml:space="preserve"> &amp; </w:t>
      </w:r>
      <w:proofErr w:type="spellStart"/>
      <w:r w:rsidRPr="005C3EA2">
        <w:rPr>
          <w:rFonts w:cs="Times New Roman"/>
          <w:szCs w:val="24"/>
        </w:rPr>
        <w:t>Apelberg</w:t>
      </w:r>
      <w:proofErr w:type="spellEnd"/>
      <w:r w:rsidRPr="005C3EA2">
        <w:rPr>
          <w:rFonts w:cs="Times New Roman"/>
          <w:szCs w:val="24"/>
        </w:rPr>
        <w:t xml:space="preserve">, 2012). In response, CTP’s Office of Health Communication and Education (OHCE) contracted FCB New York to develop a point-of-sale campaign that will encourage and support adult cigarette smokers </w:t>
      </w:r>
      <w:r w:rsidR="00AA71FD" w:rsidRPr="005C3EA2">
        <w:rPr>
          <w:rFonts w:cs="Times New Roman"/>
          <w:szCs w:val="24"/>
        </w:rPr>
        <w:t>who have previously made a quit attempt to take actionable steps towards their next quit attempt.</w:t>
      </w:r>
      <w:r w:rsidR="00C255C9" w:rsidRPr="005C3EA2">
        <w:rPr>
          <w:rFonts w:cs="Times New Roman"/>
          <w:szCs w:val="24"/>
        </w:rPr>
        <w:t xml:space="preserve"> </w:t>
      </w:r>
    </w:p>
    <w:p w14:paraId="0C710B51" w14:textId="77777777" w:rsidR="00785465" w:rsidRPr="005C3EA2" w:rsidRDefault="00785465" w:rsidP="00486D19">
      <w:pPr>
        <w:pStyle w:val="ListParagraph"/>
        <w:spacing w:before="100" w:beforeAutospacing="1" w:after="100" w:afterAutospacing="1"/>
        <w:rPr>
          <w:rFonts w:cs="Times New Roman"/>
          <w:szCs w:val="24"/>
        </w:rPr>
      </w:pPr>
    </w:p>
    <w:p w14:paraId="30DFE622" w14:textId="1817C8B6" w:rsidR="00DA4765" w:rsidRPr="005C3EA2" w:rsidRDefault="00C255C9" w:rsidP="00486D19">
      <w:pPr>
        <w:pStyle w:val="ListParagraph"/>
        <w:spacing w:before="100" w:beforeAutospacing="1" w:after="100" w:afterAutospacing="1"/>
        <w:rPr>
          <w:rFonts w:cs="Times New Roman"/>
          <w:szCs w:val="24"/>
        </w:rPr>
      </w:pPr>
      <w:r w:rsidRPr="005C3EA2">
        <w:rPr>
          <w:rFonts w:cs="Times New Roman"/>
          <w:szCs w:val="24"/>
        </w:rPr>
        <w:t xml:space="preserve">The POS campaign will complement other tobacco use prevention and cessation campaigns (e.g. the Centers for Disease Control’s </w:t>
      </w:r>
      <w:r w:rsidRPr="005C3EA2">
        <w:rPr>
          <w:rFonts w:cs="Times New Roman"/>
          <w:i/>
          <w:szCs w:val="24"/>
        </w:rPr>
        <w:t>Tips</w:t>
      </w:r>
      <w:r w:rsidRPr="005C3EA2">
        <w:rPr>
          <w:rFonts w:cs="Times New Roman"/>
          <w:szCs w:val="24"/>
        </w:rPr>
        <w:t xml:space="preserve"> </w:t>
      </w:r>
      <w:r w:rsidR="00F616C3">
        <w:rPr>
          <w:rFonts w:cs="Times New Roman"/>
          <w:i/>
          <w:szCs w:val="24"/>
        </w:rPr>
        <w:t>from Former Smokers -</w:t>
      </w:r>
      <w:r w:rsidRPr="005C3EA2">
        <w:rPr>
          <w:rFonts w:cs="Times New Roman"/>
          <w:i/>
          <w:szCs w:val="24"/>
        </w:rPr>
        <w:t xml:space="preserve">“Tips” </w:t>
      </w:r>
      <w:r w:rsidR="00F616C3">
        <w:rPr>
          <w:rFonts w:cs="Times New Roman"/>
          <w:szCs w:val="24"/>
        </w:rPr>
        <w:t>c</w:t>
      </w:r>
      <w:r w:rsidRPr="005C3EA2">
        <w:rPr>
          <w:rFonts w:cs="Times New Roman"/>
          <w:szCs w:val="24"/>
        </w:rPr>
        <w:t xml:space="preserve">ampaign). </w:t>
      </w:r>
      <w:r w:rsidR="00CB1149" w:rsidRPr="005C3EA2">
        <w:rPr>
          <w:rFonts w:cs="Times New Roman"/>
          <w:szCs w:val="24"/>
        </w:rPr>
        <w:t>T</w:t>
      </w:r>
      <w:r w:rsidR="00111E36" w:rsidRPr="005C3EA2">
        <w:rPr>
          <w:rFonts w:cs="Times New Roman"/>
          <w:szCs w:val="24"/>
        </w:rPr>
        <w:t>he</w:t>
      </w:r>
      <w:r w:rsidRPr="005C3EA2">
        <w:rPr>
          <w:rFonts w:cs="Times New Roman"/>
          <w:szCs w:val="24"/>
        </w:rPr>
        <w:t xml:space="preserve"> </w:t>
      </w:r>
      <w:r w:rsidRPr="005C3EA2">
        <w:rPr>
          <w:rFonts w:cs="Times New Roman"/>
          <w:i/>
          <w:szCs w:val="24"/>
        </w:rPr>
        <w:t xml:space="preserve">Tips </w:t>
      </w:r>
      <w:r w:rsidRPr="005C3EA2">
        <w:rPr>
          <w:rFonts w:cs="Times New Roman"/>
          <w:szCs w:val="24"/>
        </w:rPr>
        <w:t>campaign</w:t>
      </w:r>
      <w:r w:rsidR="00CB1149" w:rsidRPr="005C3EA2">
        <w:rPr>
          <w:rFonts w:cs="Times New Roman"/>
          <w:szCs w:val="24"/>
        </w:rPr>
        <w:t>, for example,</w:t>
      </w:r>
      <w:r w:rsidRPr="005C3EA2">
        <w:rPr>
          <w:rFonts w:cs="Times New Roman"/>
          <w:szCs w:val="24"/>
        </w:rPr>
        <w:t xml:space="preserve"> uses graphic messaging</w:t>
      </w:r>
      <w:r w:rsidR="00CB1149" w:rsidRPr="005C3EA2">
        <w:rPr>
          <w:rFonts w:cs="Times New Roman"/>
          <w:szCs w:val="24"/>
        </w:rPr>
        <w:t xml:space="preserve"> (specifically personal stories of Americans suffering from smoking related illnesses)</w:t>
      </w:r>
      <w:r w:rsidRPr="005C3EA2">
        <w:rPr>
          <w:rFonts w:cs="Times New Roman"/>
          <w:szCs w:val="24"/>
        </w:rPr>
        <w:t xml:space="preserve"> to </w:t>
      </w:r>
      <w:r w:rsidR="00111E36" w:rsidRPr="005C3EA2">
        <w:rPr>
          <w:rFonts w:cs="Times New Roman"/>
          <w:szCs w:val="24"/>
        </w:rPr>
        <w:t>motivate smokers to quit for good</w:t>
      </w:r>
      <w:r w:rsidR="00CB1149" w:rsidRPr="005C3EA2">
        <w:rPr>
          <w:rFonts w:cs="Times New Roman"/>
          <w:szCs w:val="24"/>
        </w:rPr>
        <w:t xml:space="preserve">; </w:t>
      </w:r>
      <w:r w:rsidRPr="005C3EA2">
        <w:rPr>
          <w:rFonts w:cs="Times New Roman"/>
          <w:szCs w:val="24"/>
        </w:rPr>
        <w:t xml:space="preserve">the POS campaign </w:t>
      </w:r>
      <w:r w:rsidR="00CB1149" w:rsidRPr="005C3EA2">
        <w:rPr>
          <w:rFonts w:cs="Times New Roman"/>
          <w:szCs w:val="24"/>
        </w:rPr>
        <w:t>uses a different approach and</w:t>
      </w:r>
      <w:r w:rsidRPr="005C3EA2">
        <w:rPr>
          <w:rFonts w:cs="Times New Roman"/>
          <w:szCs w:val="24"/>
        </w:rPr>
        <w:t xml:space="preserve"> provide</w:t>
      </w:r>
      <w:r w:rsidR="00CB1149" w:rsidRPr="005C3EA2">
        <w:rPr>
          <w:rFonts w:cs="Times New Roman"/>
          <w:szCs w:val="24"/>
        </w:rPr>
        <w:t>s</w:t>
      </w:r>
      <w:r w:rsidRPr="005C3EA2">
        <w:rPr>
          <w:rFonts w:cs="Times New Roman"/>
          <w:szCs w:val="24"/>
        </w:rPr>
        <w:t xml:space="preserve"> non-graphic, motivational messages </w:t>
      </w:r>
      <w:r w:rsidR="00111E36" w:rsidRPr="005C3EA2">
        <w:rPr>
          <w:rFonts w:cs="Times New Roman"/>
          <w:szCs w:val="24"/>
        </w:rPr>
        <w:t>that</w:t>
      </w:r>
      <w:r w:rsidRPr="005C3EA2">
        <w:rPr>
          <w:rFonts w:cs="Times New Roman"/>
          <w:szCs w:val="24"/>
        </w:rPr>
        <w:t xml:space="preserve"> encourage smokers to take small steps towards their next quit attempt</w:t>
      </w:r>
      <w:r w:rsidR="00DA4765" w:rsidRPr="005C3EA2">
        <w:rPr>
          <w:rFonts w:cs="Times New Roman"/>
          <w:szCs w:val="24"/>
        </w:rPr>
        <w:t>.</w:t>
      </w:r>
      <w:r w:rsidR="006C50CC" w:rsidRPr="005C3EA2">
        <w:rPr>
          <w:rFonts w:cs="Times New Roman"/>
          <w:szCs w:val="24"/>
        </w:rPr>
        <w:t xml:space="preserve"> Additionally, there have</w:t>
      </w:r>
      <w:r w:rsidR="00DA4765" w:rsidRPr="005C3EA2">
        <w:rPr>
          <w:rFonts w:cs="Times New Roman"/>
          <w:szCs w:val="24"/>
        </w:rPr>
        <w:t xml:space="preserve"> been limited tobacco cessation </w:t>
      </w:r>
      <w:r w:rsidR="006C50CC" w:rsidRPr="005C3EA2">
        <w:rPr>
          <w:rFonts w:cs="Times New Roman"/>
          <w:szCs w:val="24"/>
        </w:rPr>
        <w:t>initiatives</w:t>
      </w:r>
      <w:r w:rsidR="00DA4765" w:rsidRPr="005C3EA2">
        <w:rPr>
          <w:rFonts w:cs="Times New Roman"/>
          <w:szCs w:val="24"/>
        </w:rPr>
        <w:t xml:space="preserve"> conducted in the tobacco retail environment</w:t>
      </w:r>
      <w:r w:rsidR="00CB1149" w:rsidRPr="005C3EA2">
        <w:rPr>
          <w:rFonts w:cs="Times New Roman"/>
          <w:szCs w:val="24"/>
        </w:rPr>
        <w:t xml:space="preserve">; </w:t>
      </w:r>
      <w:r w:rsidR="00DA4765" w:rsidRPr="005C3EA2">
        <w:rPr>
          <w:rFonts w:cs="Times New Roman"/>
          <w:szCs w:val="24"/>
        </w:rPr>
        <w:t>th</w:t>
      </w:r>
      <w:r w:rsidR="00CB1149" w:rsidRPr="005C3EA2">
        <w:rPr>
          <w:rFonts w:cs="Times New Roman"/>
          <w:szCs w:val="24"/>
        </w:rPr>
        <w:t>us the</w:t>
      </w:r>
      <w:r w:rsidR="00DA4765" w:rsidRPr="005C3EA2">
        <w:rPr>
          <w:rFonts w:cs="Times New Roman"/>
          <w:szCs w:val="24"/>
        </w:rPr>
        <w:t xml:space="preserve"> POS campaign will leverage th</w:t>
      </w:r>
      <w:r w:rsidR="00CB1149" w:rsidRPr="005C3EA2">
        <w:rPr>
          <w:rFonts w:cs="Times New Roman"/>
          <w:szCs w:val="24"/>
        </w:rPr>
        <w:t>ese</w:t>
      </w:r>
      <w:r w:rsidR="00DA4765" w:rsidRPr="005C3EA2">
        <w:rPr>
          <w:rFonts w:cs="Times New Roman"/>
          <w:szCs w:val="24"/>
        </w:rPr>
        <w:t xml:space="preserve"> </w:t>
      </w:r>
      <w:r w:rsidR="00872414" w:rsidRPr="005C3EA2">
        <w:rPr>
          <w:rFonts w:cs="Times New Roman"/>
          <w:szCs w:val="24"/>
        </w:rPr>
        <w:t>opportunities</w:t>
      </w:r>
      <w:r w:rsidR="00DA4765" w:rsidRPr="005C3EA2">
        <w:rPr>
          <w:rFonts w:cs="Times New Roman"/>
          <w:szCs w:val="24"/>
        </w:rPr>
        <w:t xml:space="preserve"> </w:t>
      </w:r>
      <w:r w:rsidR="00CB1149" w:rsidRPr="005C3EA2">
        <w:rPr>
          <w:rFonts w:cs="Times New Roman"/>
          <w:szCs w:val="24"/>
        </w:rPr>
        <w:t xml:space="preserve">by </w:t>
      </w:r>
      <w:r w:rsidR="00DA4765" w:rsidRPr="005C3EA2">
        <w:rPr>
          <w:rFonts w:cs="Times New Roman"/>
          <w:szCs w:val="24"/>
        </w:rPr>
        <w:t>motivat</w:t>
      </w:r>
      <w:r w:rsidR="00CB1149" w:rsidRPr="005C3EA2">
        <w:rPr>
          <w:rFonts w:cs="Times New Roman"/>
          <w:szCs w:val="24"/>
        </w:rPr>
        <w:t>ing</w:t>
      </w:r>
      <w:r w:rsidR="00DA4765" w:rsidRPr="005C3EA2">
        <w:rPr>
          <w:rFonts w:cs="Times New Roman"/>
          <w:szCs w:val="24"/>
        </w:rPr>
        <w:t xml:space="preserve"> smokers to make a quit attempt</w:t>
      </w:r>
      <w:r w:rsidR="00CB1149" w:rsidRPr="005C3EA2">
        <w:rPr>
          <w:rFonts w:cs="Times New Roman"/>
          <w:szCs w:val="24"/>
        </w:rPr>
        <w:t xml:space="preserve"> </w:t>
      </w:r>
      <w:r w:rsidR="00785465" w:rsidRPr="005C3EA2">
        <w:rPr>
          <w:rFonts w:cs="Times New Roman"/>
          <w:szCs w:val="24"/>
        </w:rPr>
        <w:t xml:space="preserve">by placing ads directly at </w:t>
      </w:r>
      <w:r w:rsidR="00DA4765" w:rsidRPr="005C3EA2">
        <w:rPr>
          <w:rFonts w:cs="Times New Roman"/>
          <w:szCs w:val="24"/>
        </w:rPr>
        <w:t xml:space="preserve">the point-of-sale. </w:t>
      </w:r>
    </w:p>
    <w:p w14:paraId="60A13509" w14:textId="77777777" w:rsidR="006C50CC" w:rsidRPr="005C3EA2" w:rsidRDefault="006C50CC" w:rsidP="00486D19">
      <w:pPr>
        <w:pStyle w:val="ListParagraph"/>
        <w:spacing w:before="100" w:beforeAutospacing="1" w:after="100" w:afterAutospacing="1"/>
        <w:rPr>
          <w:rFonts w:cs="Times New Roman"/>
          <w:szCs w:val="24"/>
        </w:rPr>
      </w:pPr>
    </w:p>
    <w:p w14:paraId="64135564" w14:textId="2FBCD9DC" w:rsidR="00486D19" w:rsidRPr="005C3EA2" w:rsidRDefault="00486D19" w:rsidP="00486D19">
      <w:pPr>
        <w:pStyle w:val="ListParagraph"/>
        <w:spacing w:before="100" w:beforeAutospacing="1" w:after="100" w:afterAutospacing="1"/>
        <w:rPr>
          <w:rFonts w:cs="Times New Roman"/>
          <w:szCs w:val="24"/>
        </w:rPr>
      </w:pPr>
      <w:r w:rsidRPr="005C3EA2">
        <w:rPr>
          <w:rFonts w:cs="Times New Roman"/>
          <w:szCs w:val="24"/>
        </w:rPr>
        <w:t xml:space="preserve">In order to develop the appropriate messaging for current smokers to encourage future quit attempts, it is important for FDA to conduct a quantitative </w:t>
      </w:r>
      <w:r w:rsidR="00894EF9" w:rsidRPr="005C3EA2">
        <w:rPr>
          <w:rFonts w:cs="Times New Roman"/>
          <w:szCs w:val="24"/>
        </w:rPr>
        <w:t xml:space="preserve">copy test in order </w:t>
      </w:r>
      <w:r w:rsidRPr="005C3EA2">
        <w:rPr>
          <w:rFonts w:cs="Times New Roman"/>
          <w:szCs w:val="24"/>
        </w:rPr>
        <w:t>to provide insights into how members of the target audience react to several advertisements. Information obtained through this research study will be used to inform FDA’s ongoing public education campaign efforts to reduce tobacco use, with a focus o</w:t>
      </w:r>
      <w:r w:rsidR="00D86753" w:rsidRPr="005C3EA2">
        <w:rPr>
          <w:rFonts w:cs="Times New Roman"/>
          <w:szCs w:val="24"/>
        </w:rPr>
        <w:t>n</w:t>
      </w:r>
      <w:r w:rsidRPr="005C3EA2">
        <w:rPr>
          <w:rFonts w:cs="Times New Roman"/>
          <w:szCs w:val="24"/>
        </w:rPr>
        <w:t xml:space="preserve"> </w:t>
      </w:r>
      <w:r w:rsidR="00D43158" w:rsidRPr="005C3EA2">
        <w:rPr>
          <w:rFonts w:cs="Times New Roman"/>
          <w:szCs w:val="24"/>
        </w:rPr>
        <w:t>encouraging cu</w:t>
      </w:r>
      <w:r w:rsidR="00F57932" w:rsidRPr="005C3EA2">
        <w:rPr>
          <w:rFonts w:cs="Times New Roman"/>
          <w:szCs w:val="24"/>
        </w:rPr>
        <w:t>r</w:t>
      </w:r>
      <w:r w:rsidR="00D43158" w:rsidRPr="005C3EA2">
        <w:rPr>
          <w:rFonts w:cs="Times New Roman"/>
          <w:szCs w:val="24"/>
        </w:rPr>
        <w:t>rent</w:t>
      </w:r>
      <w:r w:rsidRPr="005C3EA2">
        <w:rPr>
          <w:rFonts w:cs="Times New Roman"/>
          <w:szCs w:val="24"/>
        </w:rPr>
        <w:t xml:space="preserve"> cigarette</w:t>
      </w:r>
      <w:r w:rsidR="00D43158" w:rsidRPr="005C3EA2">
        <w:rPr>
          <w:rFonts w:cs="Times New Roman"/>
          <w:szCs w:val="24"/>
        </w:rPr>
        <w:t xml:space="preserve"> smokers</w:t>
      </w:r>
      <w:r w:rsidRPr="005C3EA2">
        <w:rPr>
          <w:rFonts w:cs="Times New Roman"/>
          <w:szCs w:val="24"/>
        </w:rPr>
        <w:t xml:space="preserve"> to </w:t>
      </w:r>
      <w:r w:rsidR="00D43158" w:rsidRPr="005C3EA2">
        <w:rPr>
          <w:rFonts w:cs="Times New Roman"/>
          <w:szCs w:val="24"/>
        </w:rPr>
        <w:t xml:space="preserve">make another </w:t>
      </w:r>
      <w:r w:rsidRPr="005C3EA2">
        <w:rPr>
          <w:rFonts w:cs="Times New Roman"/>
          <w:szCs w:val="24"/>
        </w:rPr>
        <w:t xml:space="preserve">quit </w:t>
      </w:r>
      <w:r w:rsidR="00D43158" w:rsidRPr="005C3EA2">
        <w:rPr>
          <w:rFonts w:cs="Times New Roman"/>
          <w:szCs w:val="24"/>
        </w:rPr>
        <w:t>attempt</w:t>
      </w:r>
      <w:r w:rsidRPr="005C3EA2">
        <w:rPr>
          <w:rFonts w:cs="Times New Roman"/>
          <w:szCs w:val="24"/>
        </w:rPr>
        <w:t xml:space="preserve">. </w:t>
      </w:r>
    </w:p>
    <w:p w14:paraId="54BFD3B7" w14:textId="77777777" w:rsidR="00486D19" w:rsidRPr="005C3EA2" w:rsidRDefault="00486D19" w:rsidP="00486D19">
      <w:pPr>
        <w:pStyle w:val="ListParagraph"/>
        <w:spacing w:before="100" w:beforeAutospacing="1" w:after="100" w:afterAutospacing="1"/>
        <w:rPr>
          <w:rFonts w:cs="Times New Roman"/>
          <w:szCs w:val="24"/>
        </w:rPr>
      </w:pPr>
    </w:p>
    <w:p w14:paraId="1072912D" w14:textId="582FF531" w:rsidR="00486D19" w:rsidRPr="005C3EA2" w:rsidRDefault="00486D19" w:rsidP="00CC20F9">
      <w:pPr>
        <w:pStyle w:val="ListParagraph"/>
        <w:spacing w:before="100" w:beforeAutospacing="1" w:after="100" w:afterAutospacing="1"/>
        <w:rPr>
          <w:rFonts w:cs="Times New Roman"/>
          <w:szCs w:val="24"/>
        </w:rPr>
      </w:pPr>
      <w:r w:rsidRPr="005C3EA2">
        <w:rPr>
          <w:rFonts w:cs="Times New Roman"/>
          <w:szCs w:val="24"/>
        </w:rPr>
        <w:t xml:space="preserve">The study is designed to measure reactions to eight different </w:t>
      </w:r>
      <w:r w:rsidR="009B2C7B" w:rsidRPr="005C3EA2">
        <w:rPr>
          <w:rFonts w:cs="Times New Roman"/>
          <w:szCs w:val="24"/>
        </w:rPr>
        <w:t>advertisements</w:t>
      </w:r>
      <w:r w:rsidRPr="005C3EA2">
        <w:rPr>
          <w:rFonts w:cs="Times New Roman"/>
          <w:szCs w:val="24"/>
        </w:rPr>
        <w:t xml:space="preserve"> (</w:t>
      </w:r>
      <w:r w:rsidR="00CC20F9" w:rsidRPr="005C3EA2">
        <w:rPr>
          <w:rFonts w:cs="Times New Roman"/>
          <w:szCs w:val="24"/>
        </w:rPr>
        <w:t>Attach</w:t>
      </w:r>
      <w:r w:rsidR="009B2C7B" w:rsidRPr="005C3EA2">
        <w:rPr>
          <w:rFonts w:cs="Times New Roman"/>
          <w:szCs w:val="24"/>
        </w:rPr>
        <w:t>ment D</w:t>
      </w:r>
      <w:r w:rsidRPr="005C3EA2">
        <w:rPr>
          <w:rFonts w:cs="Times New Roman"/>
          <w:szCs w:val="24"/>
        </w:rPr>
        <w:t xml:space="preserve">). Results for each advertisement will be assessed both individually and compared across all eight advertisements. </w:t>
      </w:r>
    </w:p>
    <w:p w14:paraId="33FD47FC" w14:textId="42DE356A" w:rsidR="00CC20F9" w:rsidRPr="005C3EA2" w:rsidRDefault="00CC20F9" w:rsidP="00CC20F9">
      <w:pPr>
        <w:spacing w:before="100" w:beforeAutospacing="1" w:after="100" w:afterAutospacing="1"/>
        <w:ind w:left="720"/>
      </w:pPr>
      <w:r w:rsidRPr="005C3EA2">
        <w:t xml:space="preserve">Online surveys will be conducted with </w:t>
      </w:r>
      <w:r w:rsidR="005E5CA2" w:rsidRPr="005C3EA2">
        <w:t>up to 2,844</w:t>
      </w:r>
      <w:r w:rsidRPr="005C3EA2">
        <w:t xml:space="preserve"> current adult smokers (i.e.</w:t>
      </w:r>
      <w:r w:rsidR="007F4865" w:rsidRPr="005C3EA2">
        <w:t>,</w:t>
      </w:r>
      <w:r w:rsidRPr="005C3EA2">
        <w:t xml:space="preserve"> have reported smoking at least 100 cigarettes in their lifetime and who currently smoke every day or some days), ages 25 to 54, who have attempted to quit smoking within the past year. Eligible participants must also report visiting a convenience store at least once a </w:t>
      </w:r>
      <w:r w:rsidRPr="005C3EA2">
        <w:lastRenderedPageBreak/>
        <w:t xml:space="preserve">month and at least occasionally buying cigarettes at convenience stores. </w:t>
      </w:r>
      <w:r w:rsidR="001D0AE2" w:rsidRPr="005C3EA2">
        <w:t>Additionally, the sample will include a mix of ages within the 25</w:t>
      </w:r>
      <w:r w:rsidR="00894EF9" w:rsidRPr="005C3EA2">
        <w:t>–</w:t>
      </w:r>
      <w:r w:rsidR="001D0AE2" w:rsidRPr="005C3EA2">
        <w:t xml:space="preserve">54 demographic and will be diverse with regard to gender, race/ethnicity, and </w:t>
      </w:r>
      <w:r w:rsidR="00BF14AB" w:rsidRPr="005C3EA2">
        <w:t>cigarette</w:t>
      </w:r>
      <w:r w:rsidR="00673DBE" w:rsidRPr="005C3EA2">
        <w:t xml:space="preserve"> </w:t>
      </w:r>
      <w:r w:rsidR="001D0AE2" w:rsidRPr="005C3EA2">
        <w:t>smo</w:t>
      </w:r>
      <w:r w:rsidR="0065275B" w:rsidRPr="005C3EA2">
        <w:t>kers</w:t>
      </w:r>
      <w:r w:rsidR="005E75F0" w:rsidRPr="005C3EA2">
        <w:t xml:space="preserve"> </w:t>
      </w:r>
      <w:r w:rsidR="00673DBE" w:rsidRPr="005C3EA2">
        <w:t>only</w:t>
      </w:r>
      <w:r w:rsidR="007F4865" w:rsidRPr="005C3EA2">
        <w:t xml:space="preserve"> </w:t>
      </w:r>
      <w:r w:rsidR="00673DBE" w:rsidRPr="005C3EA2">
        <w:t xml:space="preserve">versus </w:t>
      </w:r>
      <w:r w:rsidR="0065275B" w:rsidRPr="005C3EA2">
        <w:t xml:space="preserve">poly-users (Table </w:t>
      </w:r>
      <w:r w:rsidR="009B2C7B" w:rsidRPr="005C3EA2">
        <w:t>1</w:t>
      </w:r>
      <w:r w:rsidR="001D0AE2" w:rsidRPr="005C3EA2">
        <w:t xml:space="preserve"> below). Poly-users are defined as participants who currently use one or more other types of tobacco products (i.e., cigars, little cigars, cigarillos, smokeless tobacco, electronic nicotine delivery systems, and/or hookah/</w:t>
      </w:r>
      <w:proofErr w:type="spellStart"/>
      <w:r w:rsidR="001D0AE2" w:rsidRPr="005C3EA2">
        <w:t>waterpipe</w:t>
      </w:r>
      <w:proofErr w:type="spellEnd"/>
      <w:r w:rsidR="001D0AE2" w:rsidRPr="005C3EA2">
        <w:t>) in addition to smoking</w:t>
      </w:r>
      <w:r w:rsidR="00994CA3" w:rsidRPr="005C3EA2">
        <w:t xml:space="preserve"> cigarettes</w:t>
      </w:r>
      <w:r w:rsidR="001D0AE2" w:rsidRPr="005C3EA2">
        <w:t>.</w:t>
      </w:r>
    </w:p>
    <w:p w14:paraId="3D23C988" w14:textId="72CA7C1F" w:rsidR="005E5CA2" w:rsidRPr="005C3EA2" w:rsidRDefault="000F3FC9" w:rsidP="005E5CA2">
      <w:pPr>
        <w:ind w:left="720"/>
        <w:rPr>
          <w:bCs/>
        </w:rPr>
      </w:pPr>
      <w:r w:rsidRPr="005C3EA2">
        <w:rPr>
          <w:u w:color="FF0000"/>
        </w:rPr>
        <w:t>Participants in exposure groups will each initially view one advertisement (single exposure). An additional section of the survey will present participants in the exposure groups with</w:t>
      </w:r>
      <w:r w:rsidR="004F0054" w:rsidRPr="005C3EA2">
        <w:rPr>
          <w:u w:color="FF0000"/>
        </w:rPr>
        <w:t xml:space="preserve"> multiple advertisements together</w:t>
      </w:r>
      <w:r w:rsidR="00994CA3" w:rsidRPr="005C3EA2">
        <w:rPr>
          <w:u w:color="FF0000"/>
        </w:rPr>
        <w:t>.</w:t>
      </w:r>
      <w:r w:rsidR="009B2C7B" w:rsidRPr="005C3EA2">
        <w:rPr>
          <w:u w:color="FF0000"/>
        </w:rPr>
        <w:t xml:space="preserve"> </w:t>
      </w:r>
      <w:r w:rsidR="004E38E9" w:rsidRPr="005C3EA2">
        <w:rPr>
          <w:bCs/>
        </w:rPr>
        <w:t xml:space="preserve">The minimum sample size needed to achieve adequate power for this study is an </w:t>
      </w:r>
      <w:r w:rsidR="004E38E9" w:rsidRPr="005C3EA2">
        <w:rPr>
          <w:bCs/>
          <w:i/>
        </w:rPr>
        <w:t xml:space="preserve">n </w:t>
      </w:r>
      <w:r w:rsidR="004E38E9" w:rsidRPr="005C3EA2">
        <w:rPr>
          <w:bCs/>
        </w:rPr>
        <w:t>of 31</w:t>
      </w:r>
      <w:r w:rsidR="00451AD3" w:rsidRPr="005C3EA2">
        <w:rPr>
          <w:bCs/>
        </w:rPr>
        <w:t>0</w:t>
      </w:r>
      <w:r w:rsidR="004E38E9" w:rsidRPr="005C3EA2">
        <w:rPr>
          <w:bCs/>
        </w:rPr>
        <w:t xml:space="preserve"> in each of the exposure groups and the control group for a total </w:t>
      </w:r>
      <w:r w:rsidR="00451AD3" w:rsidRPr="005C3EA2">
        <w:rPr>
          <w:bCs/>
          <w:i/>
        </w:rPr>
        <w:t>N</w:t>
      </w:r>
      <w:r w:rsidR="004E38E9" w:rsidRPr="005C3EA2">
        <w:rPr>
          <w:bCs/>
        </w:rPr>
        <w:t xml:space="preserve"> of 2,</w:t>
      </w:r>
      <w:r w:rsidR="00451AD3" w:rsidRPr="005C3EA2">
        <w:rPr>
          <w:bCs/>
        </w:rPr>
        <w:t>790</w:t>
      </w:r>
      <w:r w:rsidR="004E38E9" w:rsidRPr="005C3EA2">
        <w:rPr>
          <w:bCs/>
        </w:rPr>
        <w:t>. In order to account for possible over enrollment due to simultaneous recruitment, a buffer of two percent (</w:t>
      </w:r>
      <w:r w:rsidR="004E38E9" w:rsidRPr="005C3EA2">
        <w:rPr>
          <w:i/>
          <w:u w:color="FF0000"/>
        </w:rPr>
        <w:t xml:space="preserve">n </w:t>
      </w:r>
      <w:r w:rsidR="004E38E9" w:rsidRPr="005C3EA2">
        <w:rPr>
          <w:u w:color="FF0000"/>
        </w:rPr>
        <w:t xml:space="preserve">= </w:t>
      </w:r>
      <w:r w:rsidR="004E38E9" w:rsidRPr="005C3EA2">
        <w:rPr>
          <w:bCs/>
        </w:rPr>
        <w:t>54) will be incorporated into the anticipated</w:t>
      </w:r>
      <w:r w:rsidR="00E3775C" w:rsidRPr="005C3EA2">
        <w:rPr>
          <w:bCs/>
        </w:rPr>
        <w:t xml:space="preserve"> </w:t>
      </w:r>
      <w:r w:rsidR="00E3775C" w:rsidRPr="005C3EA2">
        <w:rPr>
          <w:bCs/>
          <w:i/>
        </w:rPr>
        <w:t>N</w:t>
      </w:r>
      <w:r w:rsidR="004E38E9" w:rsidRPr="005C3EA2">
        <w:rPr>
          <w:bCs/>
        </w:rPr>
        <w:t xml:space="preserve">. Thus, </w:t>
      </w:r>
      <w:r w:rsidR="004E38E9" w:rsidRPr="005C3EA2">
        <w:rPr>
          <w:u w:color="FF0000"/>
        </w:rPr>
        <w:t>t</w:t>
      </w:r>
      <w:r w:rsidRPr="005C3EA2">
        <w:rPr>
          <w:u w:color="FF0000"/>
        </w:rPr>
        <w:t>here will be at most 316 participants assigned to each of the eight exposure groups</w:t>
      </w:r>
      <w:r w:rsidR="004E38E9" w:rsidRPr="005C3EA2">
        <w:rPr>
          <w:u w:color="FF0000"/>
        </w:rPr>
        <w:t xml:space="preserve"> and the one control group for</w:t>
      </w:r>
      <w:r w:rsidRPr="005C3EA2">
        <w:rPr>
          <w:u w:color="FF0000"/>
        </w:rPr>
        <w:t xml:space="preserve"> </w:t>
      </w:r>
      <w:r w:rsidR="004E38E9" w:rsidRPr="005C3EA2">
        <w:rPr>
          <w:u w:color="FF0000"/>
        </w:rPr>
        <w:t xml:space="preserve">a </w:t>
      </w:r>
      <w:r w:rsidRPr="005C3EA2">
        <w:rPr>
          <w:u w:color="FF0000"/>
        </w:rPr>
        <w:t xml:space="preserve">total maximum of 2,844 participants.  </w:t>
      </w:r>
    </w:p>
    <w:p w14:paraId="0A34F23B" w14:textId="59B04768" w:rsidR="000C1D29" w:rsidRPr="005C3EA2" w:rsidRDefault="000C1D29" w:rsidP="000C1D29">
      <w:pPr>
        <w:spacing w:before="100" w:beforeAutospacing="1" w:after="100" w:afterAutospacing="1"/>
        <w:ind w:left="720"/>
      </w:pPr>
      <w:r w:rsidRPr="005C3EA2">
        <w:t>Differences in responses from the control group will be compared with those from the ad viewing group as a check for potential unintended consequences of viewing the ads. Specifically, participants in the control condition are compared to the exposure condition to assess unintended consequences based on responses to cigarette and smoking cessation related knowledge, attitudes, and beliefs.</w:t>
      </w:r>
      <w:r w:rsidR="00872414" w:rsidRPr="005C3EA2">
        <w:t xml:space="preserve"> </w:t>
      </w:r>
      <w:r w:rsidRPr="005C3EA2">
        <w:t>Randomization is used to prevent bias resulting from participant group selection and</w:t>
      </w:r>
      <w:r w:rsidR="00ED6AA5" w:rsidRPr="005C3EA2">
        <w:t xml:space="preserve"> to mitigate systematic</w:t>
      </w:r>
      <w:r w:rsidRPr="005C3EA2">
        <w:t xml:space="preserve"> order effect</w:t>
      </w:r>
      <w:r w:rsidR="00F80444" w:rsidRPr="005C3EA2">
        <w:t>s</w:t>
      </w:r>
      <w:r w:rsidRPr="005C3EA2">
        <w:t>.</w:t>
      </w:r>
    </w:p>
    <w:p w14:paraId="2AFED044" w14:textId="77777777" w:rsidR="00B86190" w:rsidRPr="005C3EA2" w:rsidRDefault="00B86190" w:rsidP="00B86190">
      <w:pPr>
        <w:ind w:left="720"/>
      </w:pPr>
      <w:r w:rsidRPr="005C3EA2">
        <w:t xml:space="preserve">The questionnaire will be completed by eligible participants based on screener responses and acceptance to participate via the consent form.  As described above, participants will be randomly assigned to a control group, in which they will not view any ads, or to an ad-viewing group, in which they will be asked to provide quantitative and qualitative feedback on an ad randomly assigned to them. All participants will be asked to answer questions about their knowledge, attitudes and beliefs about tobacco use. </w:t>
      </w:r>
    </w:p>
    <w:p w14:paraId="7528BC2F" w14:textId="77777777" w:rsidR="00CB66D9" w:rsidRPr="005C3EA2" w:rsidRDefault="00CB66D9" w:rsidP="00B86190">
      <w:pPr>
        <w:ind w:left="720"/>
      </w:pPr>
    </w:p>
    <w:p w14:paraId="40F8A66D" w14:textId="1DB4B9E8" w:rsidR="00A61B75" w:rsidRPr="005C3EA2" w:rsidRDefault="006B3155" w:rsidP="00CB66D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3EA2">
        <w:t>Participants in the ad exposure conditions will view one single ad and respond to</w:t>
      </w:r>
      <w:r w:rsidR="00D12B29" w:rsidRPr="005C3EA2">
        <w:t xml:space="preserve"> a series of questions. Exposure group participants</w:t>
      </w:r>
      <w:r w:rsidR="00CB66D9" w:rsidRPr="005C3EA2">
        <w:t xml:space="preserve"> will </w:t>
      </w:r>
      <w:r w:rsidR="00D44F0F" w:rsidRPr="005C3EA2">
        <w:t>first answer questions</w:t>
      </w:r>
      <w:r w:rsidR="00CB66D9" w:rsidRPr="005C3EA2">
        <w:t xml:space="preserve"> designed to assess their initial reaction to the ad (including questions on how much they like/dislike the ad and how comprehensible they perceive the main message to be). </w:t>
      </w:r>
      <w:r w:rsidR="00D44F0F" w:rsidRPr="005C3EA2">
        <w:t>They</w:t>
      </w:r>
      <w:r w:rsidR="00CB66D9" w:rsidRPr="005C3EA2">
        <w:t xml:space="preserve"> will then be asked how the ad made them feel (e.g., motivated, discouraged) and whether they felt the advertisement was compelling, attent</w:t>
      </w:r>
      <w:r w:rsidR="00D44F0F" w:rsidRPr="005C3EA2">
        <w:t xml:space="preserve">ion-grabbing, and meaningful. </w:t>
      </w:r>
      <w:r w:rsidR="00CB66D9" w:rsidRPr="005C3EA2">
        <w:t xml:space="preserve">Additionally, questions will be asked on whether the ad influenced the participant’s to attempt to quit smoking or think about the quitting process in a different way. </w:t>
      </w:r>
      <w:r w:rsidRPr="005C3EA2">
        <w:t xml:space="preserve">Afterwards, participants in the exposure conditions will view </w:t>
      </w:r>
      <w:r w:rsidR="002C2CAA" w:rsidRPr="005C3EA2">
        <w:t xml:space="preserve">the ad they just viewed in addition to </w:t>
      </w:r>
      <w:r w:rsidRPr="005C3EA2">
        <w:t xml:space="preserve">three </w:t>
      </w:r>
      <w:r w:rsidR="000F3B94" w:rsidRPr="005C3EA2">
        <w:t xml:space="preserve">additional </w:t>
      </w:r>
      <w:r w:rsidRPr="005C3EA2">
        <w:t xml:space="preserve">ads and respond to items assessing their understanding of the overall campaign and similar question on their attitudes and intentions to engage in the quit process. Participants in the control group will not view any ads and respond only to questions measuring attitudes towards the quit process and overall intentions to quit smoking within the year.  </w:t>
      </w:r>
    </w:p>
    <w:p w14:paraId="681780A2" w14:textId="77777777" w:rsidR="00D44F0F" w:rsidRPr="005C3EA2" w:rsidRDefault="00D44F0F" w:rsidP="00D44F0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8F4897D" w14:textId="009E654E" w:rsidR="00B8688D" w:rsidRDefault="00B8688D" w:rsidP="00D44F0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3EA2">
        <w:t xml:space="preserve">Table </w:t>
      </w:r>
      <w:r w:rsidR="005E5CA2" w:rsidRPr="005C3EA2">
        <w:t>1</w:t>
      </w:r>
      <w:r w:rsidR="00125488" w:rsidRPr="005C3EA2">
        <w:t xml:space="preserve"> </w:t>
      </w:r>
      <w:r w:rsidR="008500EA" w:rsidRPr="005C3EA2">
        <w:t>below</w:t>
      </w:r>
      <w:r w:rsidRPr="005C3EA2">
        <w:t xml:space="preserve"> indicates the varia</w:t>
      </w:r>
      <w:r w:rsidR="00F616C3">
        <w:t>bles to be assessed during the copy testing q</w:t>
      </w:r>
      <w:r w:rsidRPr="005C3EA2">
        <w:t>uestionnaire and the participant groups that will be exposed to these variables (</w:t>
      </w:r>
      <w:r w:rsidR="00FC5DDB" w:rsidRPr="005C3EA2">
        <w:t>Attachment C</w:t>
      </w:r>
      <w:r w:rsidRPr="005C3EA2">
        <w:t xml:space="preserve">). </w:t>
      </w:r>
    </w:p>
    <w:p w14:paraId="57A11D0D" w14:textId="77777777" w:rsidR="00F616C3" w:rsidRPr="005C3EA2" w:rsidRDefault="00F616C3" w:rsidP="00D44F0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79D5A8D4" w14:textId="0FB8F4BB"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roofErr w:type="gramStart"/>
      <w:r w:rsidRPr="005C3EA2">
        <w:rPr>
          <w:b/>
        </w:rPr>
        <w:lastRenderedPageBreak/>
        <w:t xml:space="preserve">Table </w:t>
      </w:r>
      <w:r w:rsidR="005E5CA2" w:rsidRPr="005C3EA2">
        <w:rPr>
          <w:b/>
        </w:rPr>
        <w:t>1</w:t>
      </w:r>
      <w:r w:rsidRPr="005C3EA2">
        <w:rPr>
          <w:b/>
        </w:rPr>
        <w:t>.</w:t>
      </w:r>
      <w:proofErr w:type="gramEnd"/>
      <w:r w:rsidRPr="005C3EA2">
        <w:rPr>
          <w:b/>
        </w:rPr>
        <w:t xml:space="preserve"> Structure of the Copy Testing Process and Questionnaire</w:t>
      </w:r>
    </w:p>
    <w:p w14:paraId="34C1920A" w14:textId="77777777" w:rsidR="007804D0" w:rsidRPr="005C3EA2" w:rsidRDefault="007804D0"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tbl>
      <w:tblPr>
        <w:tblStyle w:val="TableGrid"/>
        <w:tblpPr w:leftFromText="180" w:rightFromText="180" w:vertAnchor="text" w:horzAnchor="page" w:tblpX="2278" w:tblpY="57"/>
        <w:tblW w:w="9090" w:type="dxa"/>
        <w:tblLayout w:type="fixed"/>
        <w:tblLook w:val="04A0" w:firstRow="1" w:lastRow="0" w:firstColumn="1" w:lastColumn="0" w:noHBand="0" w:noVBand="1"/>
      </w:tblPr>
      <w:tblGrid>
        <w:gridCol w:w="1998"/>
        <w:gridCol w:w="4140"/>
        <w:gridCol w:w="1422"/>
        <w:gridCol w:w="1530"/>
      </w:tblGrid>
      <w:tr w:rsidR="00B8688D" w:rsidRPr="005C3EA2" w14:paraId="5E17A6D0" w14:textId="77777777" w:rsidTr="00396E63">
        <w:tc>
          <w:tcPr>
            <w:tcW w:w="9090" w:type="dxa"/>
            <w:gridSpan w:val="4"/>
            <w:shd w:val="clear" w:color="auto" w:fill="BFBFBF" w:themeFill="background1" w:themeFillShade="BF"/>
            <w:vAlign w:val="center"/>
          </w:tcPr>
          <w:p w14:paraId="14BAD204" w14:textId="77777777" w:rsidR="00B8688D" w:rsidRPr="005C3EA2" w:rsidRDefault="00B8688D" w:rsidP="00125488">
            <w:pPr>
              <w:jc w:val="center"/>
              <w:rPr>
                <w:b/>
              </w:rPr>
            </w:pPr>
            <w:r w:rsidRPr="005C3EA2">
              <w:rPr>
                <w:b/>
              </w:rPr>
              <w:t>Table 2. Structure of the Copy Testing Process and Questionnaire</w:t>
            </w:r>
          </w:p>
        </w:tc>
      </w:tr>
      <w:tr w:rsidR="00B8688D" w:rsidRPr="005C3EA2" w14:paraId="447CDF82" w14:textId="77777777" w:rsidTr="00396E63">
        <w:tc>
          <w:tcPr>
            <w:tcW w:w="1998" w:type="dxa"/>
            <w:shd w:val="clear" w:color="auto" w:fill="BFBFBF" w:themeFill="background1" w:themeFillShade="BF"/>
            <w:vAlign w:val="center"/>
          </w:tcPr>
          <w:p w14:paraId="4C675EB7" w14:textId="77777777" w:rsidR="00B8688D" w:rsidRPr="0057779F" w:rsidRDefault="00B8688D" w:rsidP="00125488">
            <w:pPr>
              <w:keepNext/>
              <w:keepLines/>
              <w:spacing w:before="200"/>
              <w:jc w:val="center"/>
              <w:outlineLvl w:val="7"/>
              <w:rPr>
                <w:b/>
                <w:sz w:val="23"/>
                <w:szCs w:val="23"/>
              </w:rPr>
            </w:pPr>
            <w:r w:rsidRPr="0057779F">
              <w:rPr>
                <w:b/>
                <w:sz w:val="23"/>
                <w:szCs w:val="23"/>
              </w:rPr>
              <w:t>Action or Variable</w:t>
            </w:r>
          </w:p>
        </w:tc>
        <w:tc>
          <w:tcPr>
            <w:tcW w:w="4140" w:type="dxa"/>
            <w:shd w:val="clear" w:color="auto" w:fill="BFBFBF" w:themeFill="background1" w:themeFillShade="BF"/>
            <w:vAlign w:val="center"/>
          </w:tcPr>
          <w:p w14:paraId="34A97490" w14:textId="77777777" w:rsidR="00B8688D" w:rsidRPr="0057779F" w:rsidRDefault="00B8688D" w:rsidP="00125488">
            <w:pPr>
              <w:jc w:val="center"/>
              <w:rPr>
                <w:b/>
                <w:sz w:val="23"/>
                <w:szCs w:val="23"/>
              </w:rPr>
            </w:pPr>
            <w:r w:rsidRPr="0057779F">
              <w:rPr>
                <w:b/>
                <w:sz w:val="23"/>
                <w:szCs w:val="23"/>
              </w:rPr>
              <w:t>Description</w:t>
            </w:r>
          </w:p>
        </w:tc>
        <w:tc>
          <w:tcPr>
            <w:tcW w:w="1422" w:type="dxa"/>
            <w:shd w:val="clear" w:color="auto" w:fill="BFBFBF" w:themeFill="background1" w:themeFillShade="BF"/>
            <w:vAlign w:val="center"/>
          </w:tcPr>
          <w:p w14:paraId="63E9893C" w14:textId="77777777" w:rsidR="00B8688D" w:rsidRPr="0057779F" w:rsidRDefault="00B8688D" w:rsidP="00125488">
            <w:pPr>
              <w:jc w:val="center"/>
              <w:rPr>
                <w:b/>
                <w:sz w:val="23"/>
                <w:szCs w:val="23"/>
              </w:rPr>
            </w:pPr>
            <w:r w:rsidRPr="0057779F">
              <w:rPr>
                <w:b/>
                <w:sz w:val="23"/>
                <w:szCs w:val="23"/>
              </w:rPr>
              <w:t>Presented to Ad-Viewing Participants</w:t>
            </w:r>
          </w:p>
        </w:tc>
        <w:tc>
          <w:tcPr>
            <w:tcW w:w="1530" w:type="dxa"/>
            <w:shd w:val="clear" w:color="auto" w:fill="BFBFBF" w:themeFill="background1" w:themeFillShade="BF"/>
            <w:vAlign w:val="center"/>
          </w:tcPr>
          <w:p w14:paraId="1142A33C" w14:textId="77777777" w:rsidR="00B8688D" w:rsidRPr="0057779F" w:rsidRDefault="00B8688D" w:rsidP="00125488">
            <w:pPr>
              <w:jc w:val="center"/>
              <w:rPr>
                <w:b/>
                <w:sz w:val="23"/>
                <w:szCs w:val="23"/>
              </w:rPr>
            </w:pPr>
            <w:r w:rsidRPr="0057779F">
              <w:rPr>
                <w:b/>
                <w:sz w:val="23"/>
                <w:szCs w:val="23"/>
              </w:rPr>
              <w:t>Presented to Control Participants</w:t>
            </w:r>
          </w:p>
        </w:tc>
      </w:tr>
      <w:tr w:rsidR="00B8688D" w:rsidRPr="005C3EA2" w14:paraId="0E69D1C2" w14:textId="77777777" w:rsidTr="00125488">
        <w:tc>
          <w:tcPr>
            <w:tcW w:w="1998" w:type="dxa"/>
            <w:vAlign w:val="center"/>
          </w:tcPr>
          <w:p w14:paraId="0597463D" w14:textId="63F2C935" w:rsidR="00B8688D" w:rsidRPr="005C3EA2" w:rsidRDefault="000C1D29" w:rsidP="00125488">
            <w:r w:rsidRPr="005C3EA2">
              <w:t>Tobacco use and smoking cessation behavior</w:t>
            </w:r>
          </w:p>
        </w:tc>
        <w:tc>
          <w:tcPr>
            <w:tcW w:w="4140" w:type="dxa"/>
            <w:vAlign w:val="center"/>
          </w:tcPr>
          <w:p w14:paraId="176E34A1" w14:textId="53536AF2" w:rsidR="00B8688D" w:rsidRPr="005C3EA2" w:rsidRDefault="000C1D29" w:rsidP="002C2CAA">
            <w:r w:rsidRPr="005C3EA2">
              <w:t xml:space="preserve">Items on tobacco </w:t>
            </w:r>
            <w:r w:rsidR="002C2CAA" w:rsidRPr="005C3EA2">
              <w:t>use</w:t>
            </w:r>
            <w:r w:rsidRPr="005C3EA2">
              <w:t xml:space="preserve">, past quit attempts, and motivation to engage in smoking cessation. </w:t>
            </w:r>
          </w:p>
        </w:tc>
        <w:tc>
          <w:tcPr>
            <w:tcW w:w="1422" w:type="dxa"/>
            <w:vAlign w:val="center"/>
          </w:tcPr>
          <w:p w14:paraId="79E5CD3E" w14:textId="77777777" w:rsidR="00B8688D" w:rsidRPr="005C3EA2" w:rsidRDefault="00B8688D" w:rsidP="00125488">
            <w:pPr>
              <w:jc w:val="center"/>
            </w:pPr>
            <w:r w:rsidRPr="005C3EA2">
              <w:t>X</w:t>
            </w:r>
          </w:p>
        </w:tc>
        <w:tc>
          <w:tcPr>
            <w:tcW w:w="1530" w:type="dxa"/>
            <w:vAlign w:val="center"/>
          </w:tcPr>
          <w:p w14:paraId="7FFFABAC" w14:textId="39431DAE" w:rsidR="00B8688D" w:rsidRPr="005C3EA2" w:rsidRDefault="000C1D29" w:rsidP="00125488">
            <w:pPr>
              <w:jc w:val="center"/>
            </w:pPr>
            <w:r w:rsidRPr="005C3EA2">
              <w:t>X</w:t>
            </w:r>
          </w:p>
        </w:tc>
      </w:tr>
      <w:tr w:rsidR="00B8688D" w:rsidRPr="005C3EA2" w14:paraId="14122B33" w14:textId="77777777" w:rsidTr="00125488">
        <w:tc>
          <w:tcPr>
            <w:tcW w:w="1998" w:type="dxa"/>
            <w:vAlign w:val="center"/>
          </w:tcPr>
          <w:p w14:paraId="0CA0C517" w14:textId="7D462AA2" w:rsidR="00B8688D" w:rsidRPr="005C3EA2" w:rsidRDefault="000C1D29" w:rsidP="00125488">
            <w:r w:rsidRPr="005C3EA2">
              <w:t>Advertisement exposure</w:t>
            </w:r>
          </w:p>
        </w:tc>
        <w:tc>
          <w:tcPr>
            <w:tcW w:w="4140" w:type="dxa"/>
            <w:vAlign w:val="center"/>
          </w:tcPr>
          <w:p w14:paraId="0EB5AD05" w14:textId="00B7235F" w:rsidR="00B8688D" w:rsidRPr="005C3EA2" w:rsidRDefault="000C1D29" w:rsidP="000C1D29">
            <w:r w:rsidRPr="005C3EA2">
              <w:t xml:space="preserve">Each participant in an exposure group will be randomly assigned to view one of the eight print advertisements. </w:t>
            </w:r>
          </w:p>
        </w:tc>
        <w:tc>
          <w:tcPr>
            <w:tcW w:w="1422" w:type="dxa"/>
            <w:vAlign w:val="center"/>
          </w:tcPr>
          <w:p w14:paraId="6ABB4BFD" w14:textId="77777777" w:rsidR="00B8688D" w:rsidRPr="005C3EA2" w:rsidRDefault="00B8688D" w:rsidP="00125488">
            <w:pPr>
              <w:jc w:val="center"/>
            </w:pPr>
            <w:r w:rsidRPr="005C3EA2">
              <w:t>X</w:t>
            </w:r>
          </w:p>
        </w:tc>
        <w:tc>
          <w:tcPr>
            <w:tcW w:w="1530" w:type="dxa"/>
            <w:vAlign w:val="center"/>
          </w:tcPr>
          <w:p w14:paraId="2E5F2B70" w14:textId="0CD49BE7" w:rsidR="00B8688D" w:rsidRPr="005C3EA2" w:rsidRDefault="00B8688D" w:rsidP="00125488">
            <w:pPr>
              <w:jc w:val="center"/>
            </w:pPr>
          </w:p>
        </w:tc>
      </w:tr>
      <w:tr w:rsidR="00B8688D" w:rsidRPr="005C3EA2" w14:paraId="6419E0F0" w14:textId="77777777" w:rsidTr="00125488">
        <w:tc>
          <w:tcPr>
            <w:tcW w:w="1998" w:type="dxa"/>
            <w:vAlign w:val="center"/>
          </w:tcPr>
          <w:p w14:paraId="18101042" w14:textId="77777777" w:rsidR="00B8688D" w:rsidRPr="005C3EA2" w:rsidRDefault="00B8688D" w:rsidP="00125488">
            <w:r w:rsidRPr="005C3EA2">
              <w:t>Perceived ad effectiveness</w:t>
            </w:r>
          </w:p>
        </w:tc>
        <w:tc>
          <w:tcPr>
            <w:tcW w:w="4140" w:type="dxa"/>
            <w:vAlign w:val="center"/>
          </w:tcPr>
          <w:p w14:paraId="3B4C6774" w14:textId="55F1A143" w:rsidR="00B8688D" w:rsidRPr="005C3EA2" w:rsidRDefault="000C1D29" w:rsidP="00636B78">
            <w:r w:rsidRPr="005C3EA2">
              <w:t xml:space="preserve">Participants in an </w:t>
            </w:r>
            <w:r w:rsidR="00636B78" w:rsidRPr="005C3EA2">
              <w:t>advertisement</w:t>
            </w:r>
            <w:r w:rsidRPr="005C3EA2">
              <w:t xml:space="preserve"> </w:t>
            </w:r>
            <w:r w:rsidR="00636B78" w:rsidRPr="005C3EA2">
              <w:t xml:space="preserve">exposure group will be presented with items to assess the </w:t>
            </w:r>
            <w:r w:rsidR="00B8688D" w:rsidRPr="005C3EA2">
              <w:t xml:space="preserve">ad effectiveness immediately following exposure to </w:t>
            </w:r>
            <w:r w:rsidR="00636B78" w:rsidRPr="005C3EA2">
              <w:t>the print advertisement</w:t>
            </w:r>
            <w:r w:rsidR="00B8688D" w:rsidRPr="005C3EA2">
              <w:t>.</w:t>
            </w:r>
          </w:p>
        </w:tc>
        <w:tc>
          <w:tcPr>
            <w:tcW w:w="1422" w:type="dxa"/>
            <w:vAlign w:val="center"/>
          </w:tcPr>
          <w:p w14:paraId="7D299ECF" w14:textId="77777777" w:rsidR="00B8688D" w:rsidRPr="005C3EA2" w:rsidRDefault="00B8688D" w:rsidP="00125488">
            <w:pPr>
              <w:jc w:val="center"/>
            </w:pPr>
            <w:r w:rsidRPr="005C3EA2">
              <w:t>X</w:t>
            </w:r>
          </w:p>
        </w:tc>
        <w:tc>
          <w:tcPr>
            <w:tcW w:w="1530" w:type="dxa"/>
            <w:vAlign w:val="center"/>
          </w:tcPr>
          <w:p w14:paraId="40BE6AF4" w14:textId="77777777" w:rsidR="00B8688D" w:rsidRPr="005C3EA2" w:rsidRDefault="00B8688D" w:rsidP="00125488">
            <w:pPr>
              <w:jc w:val="center"/>
            </w:pPr>
          </w:p>
        </w:tc>
      </w:tr>
      <w:tr w:rsidR="00B8688D" w:rsidRPr="005C3EA2" w14:paraId="7C1BF748" w14:textId="77777777" w:rsidTr="00125488">
        <w:tc>
          <w:tcPr>
            <w:tcW w:w="1998" w:type="dxa"/>
            <w:vAlign w:val="center"/>
          </w:tcPr>
          <w:p w14:paraId="4FD75045" w14:textId="77777777" w:rsidR="00B8688D" w:rsidRPr="005C3EA2" w:rsidRDefault="00B8688D" w:rsidP="00125488">
            <w:r w:rsidRPr="005C3EA2">
              <w:t>Tobacco-related attitudes, beliefs and risk perceptions</w:t>
            </w:r>
          </w:p>
        </w:tc>
        <w:tc>
          <w:tcPr>
            <w:tcW w:w="4140" w:type="dxa"/>
            <w:vAlign w:val="center"/>
          </w:tcPr>
          <w:p w14:paraId="122F554A" w14:textId="2EE965BB" w:rsidR="00B8688D" w:rsidRPr="005C3EA2" w:rsidRDefault="00B8688D" w:rsidP="002C2CAA">
            <w:r w:rsidRPr="005C3EA2">
              <w:t xml:space="preserve">Items tailored to align with </w:t>
            </w:r>
            <w:r w:rsidR="00636B78" w:rsidRPr="005C3EA2">
              <w:t xml:space="preserve">knowledge, attitudes, and beliefs related to tobacco </w:t>
            </w:r>
            <w:r w:rsidR="002C2CAA" w:rsidRPr="005C3EA2">
              <w:t xml:space="preserve">use </w:t>
            </w:r>
            <w:r w:rsidR="00636B78" w:rsidRPr="005C3EA2">
              <w:t xml:space="preserve">and cessation. Additionally, items will assess participants’ motivation to quit smoking and their perceived </w:t>
            </w:r>
            <w:r w:rsidR="002C2CAA" w:rsidRPr="005C3EA2">
              <w:t>self-</w:t>
            </w:r>
            <w:r w:rsidR="00636B78" w:rsidRPr="005C3EA2">
              <w:t xml:space="preserve">efficacy to quit smoking. </w:t>
            </w:r>
          </w:p>
        </w:tc>
        <w:tc>
          <w:tcPr>
            <w:tcW w:w="1422" w:type="dxa"/>
            <w:vAlign w:val="center"/>
          </w:tcPr>
          <w:p w14:paraId="3CE7B2C7" w14:textId="77777777" w:rsidR="00B8688D" w:rsidRPr="005C3EA2" w:rsidRDefault="00B8688D" w:rsidP="00125488">
            <w:pPr>
              <w:jc w:val="center"/>
            </w:pPr>
            <w:r w:rsidRPr="005C3EA2">
              <w:t>X</w:t>
            </w:r>
          </w:p>
        </w:tc>
        <w:tc>
          <w:tcPr>
            <w:tcW w:w="1530" w:type="dxa"/>
            <w:vAlign w:val="center"/>
          </w:tcPr>
          <w:p w14:paraId="1FC24D4B" w14:textId="77777777" w:rsidR="00B8688D" w:rsidRPr="005C3EA2" w:rsidRDefault="00B8688D" w:rsidP="00125488">
            <w:pPr>
              <w:jc w:val="center"/>
            </w:pPr>
            <w:r w:rsidRPr="005C3EA2">
              <w:t>X</w:t>
            </w:r>
          </w:p>
        </w:tc>
      </w:tr>
      <w:tr w:rsidR="00636B78" w:rsidRPr="005C3EA2" w14:paraId="223227E6" w14:textId="77777777" w:rsidTr="00125488">
        <w:tc>
          <w:tcPr>
            <w:tcW w:w="1998" w:type="dxa"/>
            <w:vAlign w:val="center"/>
          </w:tcPr>
          <w:p w14:paraId="41062384" w14:textId="37F08AB6" w:rsidR="00636B78" w:rsidRPr="005C3EA2" w:rsidRDefault="00BB4F56" w:rsidP="00BB4F56">
            <w:r w:rsidRPr="005C3EA2">
              <w:t>Full c</w:t>
            </w:r>
            <w:r w:rsidR="00636B78" w:rsidRPr="005C3EA2">
              <w:t>ampaign exposure</w:t>
            </w:r>
          </w:p>
        </w:tc>
        <w:tc>
          <w:tcPr>
            <w:tcW w:w="4140" w:type="dxa"/>
            <w:vAlign w:val="center"/>
          </w:tcPr>
          <w:p w14:paraId="238D4A1C" w14:textId="465A267F" w:rsidR="00636B78" w:rsidRPr="005C3EA2" w:rsidRDefault="00636B78" w:rsidP="005276E7">
            <w:r w:rsidRPr="005C3EA2">
              <w:t>Each participant in an exposure group will view</w:t>
            </w:r>
            <w:r w:rsidR="002C2CAA" w:rsidRPr="005C3EA2">
              <w:t xml:space="preserve"> the first ad along with</w:t>
            </w:r>
            <w:r w:rsidRPr="005C3EA2">
              <w:t xml:space="preserve"> three</w:t>
            </w:r>
            <w:r w:rsidR="005276E7" w:rsidRPr="005C3EA2">
              <w:t xml:space="preserve"> additional</w:t>
            </w:r>
            <w:r w:rsidRPr="005C3EA2">
              <w:t xml:space="preserve"> advertisements and answer evaluative questions on the entire campaign</w:t>
            </w:r>
            <w:r w:rsidR="002C2CAA" w:rsidRPr="005C3EA2">
              <w:t xml:space="preserve"> design</w:t>
            </w:r>
            <w:r w:rsidRPr="005C3EA2">
              <w:t>.</w:t>
            </w:r>
          </w:p>
        </w:tc>
        <w:tc>
          <w:tcPr>
            <w:tcW w:w="1422" w:type="dxa"/>
            <w:vAlign w:val="center"/>
          </w:tcPr>
          <w:p w14:paraId="7E60CEC3" w14:textId="26F30C88" w:rsidR="00636B78" w:rsidRPr="005C3EA2" w:rsidRDefault="00636B78" w:rsidP="00125488">
            <w:pPr>
              <w:jc w:val="center"/>
            </w:pPr>
            <w:r w:rsidRPr="005C3EA2">
              <w:t>X</w:t>
            </w:r>
          </w:p>
        </w:tc>
        <w:tc>
          <w:tcPr>
            <w:tcW w:w="1530" w:type="dxa"/>
            <w:vAlign w:val="center"/>
          </w:tcPr>
          <w:p w14:paraId="62E910B0" w14:textId="77777777" w:rsidR="00636B78" w:rsidRPr="005C3EA2" w:rsidRDefault="00636B78" w:rsidP="00125488">
            <w:pPr>
              <w:jc w:val="center"/>
            </w:pPr>
          </w:p>
        </w:tc>
      </w:tr>
    </w:tbl>
    <w:p w14:paraId="57EA7878" w14:textId="77777777" w:rsidR="00B8688D" w:rsidRPr="005C3EA2"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591C8269" w14:textId="01C5136E" w:rsidR="00B8688D" w:rsidRPr="005C3EA2"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3EA2">
        <w:t xml:space="preserve">A more </w:t>
      </w:r>
    </w:p>
    <w:p w14:paraId="35C3E8C9" w14:textId="77777777" w:rsidR="00B8688D" w:rsidRPr="005C3EA2"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37C63D6A" w14:textId="6F3962B1" w:rsidR="00B8688D" w:rsidRPr="005C3EA2"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3EA2">
        <w:t xml:space="preserve">Ad </w:t>
      </w:r>
    </w:p>
    <w:p w14:paraId="4B2ECF8B" w14:textId="77777777" w:rsidR="00B8688D" w:rsidRPr="005C3EA2"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323325AE" w14:textId="77777777" w:rsidR="00A61B75" w:rsidRPr="005C3EA2" w:rsidRDefault="00A61B75"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1100BF49" w14:textId="7D26AB43" w:rsidR="00636B78" w:rsidRPr="005C3EA2" w:rsidRDefault="00B8688D" w:rsidP="0065275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u w:val="single"/>
        </w:rPr>
      </w:pPr>
      <w:proofErr w:type="spellStart"/>
      <w:r w:rsidRPr="005C3EA2">
        <w:rPr>
          <w:u w:val="single"/>
        </w:rPr>
        <w:t>Tobac</w:t>
      </w:r>
      <w:proofErr w:type="spellEnd"/>
    </w:p>
    <w:p w14:paraId="51AEB9A6" w14:textId="77777777" w:rsidR="005E5CA2" w:rsidRPr="005C3EA2"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3EA2">
        <w:t>F</w:t>
      </w:r>
    </w:p>
    <w:p w14:paraId="39F346EF" w14:textId="77777777" w:rsidR="005E5CA2" w:rsidRPr="005C3EA2" w:rsidRDefault="005E5CA2"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4C57BF08" w14:textId="6A8B843E" w:rsidR="00060222" w:rsidRPr="005C3EA2" w:rsidRDefault="00060222" w:rsidP="00060222">
      <w:pPr>
        <w:spacing w:before="100" w:beforeAutospacing="1" w:after="100" w:afterAutospacing="1"/>
        <w:ind w:left="720"/>
        <w:rPr>
          <w:highlight w:val="yellow"/>
        </w:rPr>
      </w:pPr>
      <w:r w:rsidRPr="005C3EA2">
        <w:t xml:space="preserve">It is </w:t>
      </w:r>
      <w:r w:rsidR="0057779F">
        <w:t xml:space="preserve">It is </w:t>
      </w:r>
      <w:r w:rsidRPr="005C3EA2">
        <w:t xml:space="preserve">anticipated that </w:t>
      </w:r>
      <w:r w:rsidR="00396E63" w:rsidRPr="005C3EA2">
        <w:t>the entire study</w:t>
      </w:r>
      <w:r w:rsidRPr="005C3EA2">
        <w:t xml:space="preserve"> will take approximately </w:t>
      </w:r>
      <w:r w:rsidR="00396E63" w:rsidRPr="005C3EA2">
        <w:t>8</w:t>
      </w:r>
      <w:r w:rsidRPr="005C3EA2">
        <w:t xml:space="preserve"> weeks</w:t>
      </w:r>
      <w:r w:rsidR="00396E63" w:rsidRPr="005C3EA2">
        <w:t xml:space="preserve"> inclusive of analysis and reporting</w:t>
      </w:r>
      <w:r w:rsidRPr="005C3EA2">
        <w:t xml:space="preserve">. The outcome of the survey will </w:t>
      </w:r>
      <w:r w:rsidR="00636B78" w:rsidRPr="005C3EA2">
        <w:t xml:space="preserve">help to determine </w:t>
      </w:r>
      <w:r w:rsidR="00843A10" w:rsidRPr="005C3EA2">
        <w:t>ad effectiveness and</w:t>
      </w:r>
      <w:r w:rsidR="00285959" w:rsidRPr="005C3EA2">
        <w:t xml:space="preserve"> </w:t>
      </w:r>
      <w:r w:rsidR="00843A10" w:rsidRPr="005C3EA2">
        <w:t xml:space="preserve">identify </w:t>
      </w:r>
      <w:r w:rsidR="00636B78" w:rsidRPr="005C3EA2">
        <w:t xml:space="preserve">any potential </w:t>
      </w:r>
      <w:r w:rsidR="00B27779" w:rsidRPr="005C3EA2">
        <w:t>unintended adver</w:t>
      </w:r>
      <w:r w:rsidR="0057779F">
        <w:t>se or counterproductive effects</w:t>
      </w:r>
      <w:r w:rsidR="00636B78" w:rsidRPr="005C3EA2">
        <w:t xml:space="preserve">. These results will help to optimize the ads before release into market. </w:t>
      </w:r>
    </w:p>
    <w:p w14:paraId="2212BF9C" w14:textId="1183A7FA" w:rsidR="008B30AB" w:rsidRPr="005C3EA2" w:rsidRDefault="00EB7538" w:rsidP="00060222">
      <w:pPr>
        <w:pStyle w:val="ListParagraph"/>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Cs w:val="24"/>
          <w:u w:val="single"/>
        </w:rPr>
      </w:pPr>
      <w:r w:rsidRPr="005C3EA2">
        <w:rPr>
          <w:rFonts w:cs="Times New Roman"/>
          <w:b/>
          <w:szCs w:val="24"/>
          <w:u w:val="single"/>
        </w:rPr>
        <w:t>Purpose and Us</w:t>
      </w:r>
      <w:r w:rsidR="0019374C" w:rsidRPr="005C3EA2">
        <w:rPr>
          <w:rFonts w:cs="Times New Roman"/>
          <w:b/>
          <w:szCs w:val="24"/>
          <w:u w:val="single"/>
        </w:rPr>
        <w:t>e of the Information</w:t>
      </w:r>
    </w:p>
    <w:p w14:paraId="32EC6FFC" w14:textId="77777777" w:rsidR="00DD49E5" w:rsidRPr="005C3EA2" w:rsidRDefault="00DD49E5" w:rsidP="001153FB">
      <w:pPr>
        <w:ind w:left="720"/>
      </w:pPr>
    </w:p>
    <w:p w14:paraId="7B765400" w14:textId="294A5DC8" w:rsidR="00E763EE" w:rsidRPr="005C3EA2" w:rsidRDefault="00060222" w:rsidP="00526A7F">
      <w:pPr>
        <w:pStyle w:val="ListParagraph"/>
        <w:spacing w:before="100" w:beforeAutospacing="1" w:after="100" w:afterAutospacing="1"/>
        <w:rPr>
          <w:rFonts w:cs="Times New Roman"/>
          <w:szCs w:val="24"/>
        </w:rPr>
      </w:pPr>
      <w:r w:rsidRPr="005C3EA2">
        <w:rPr>
          <w:rFonts w:cs="Times New Roman"/>
          <w:szCs w:val="24"/>
        </w:rPr>
        <w:t xml:space="preserve">This study is part of a phased approach to develop new advertisements for FDA’s </w:t>
      </w:r>
      <w:r w:rsidR="00F616C3">
        <w:rPr>
          <w:rFonts w:cs="Times New Roman"/>
          <w:szCs w:val="24"/>
        </w:rPr>
        <w:t>POS</w:t>
      </w:r>
      <w:r w:rsidR="00E763EE" w:rsidRPr="005C3EA2">
        <w:rPr>
          <w:rFonts w:cs="Times New Roman"/>
          <w:szCs w:val="24"/>
        </w:rPr>
        <w:t xml:space="preserve"> campaign aimed to encourage current adult smokers to </w:t>
      </w:r>
      <w:r w:rsidR="00800161" w:rsidRPr="005C3EA2">
        <w:rPr>
          <w:rFonts w:cs="Times New Roman"/>
          <w:szCs w:val="24"/>
        </w:rPr>
        <w:t>make another quit attempt</w:t>
      </w:r>
      <w:r w:rsidR="00E763EE" w:rsidRPr="005C3EA2">
        <w:rPr>
          <w:rFonts w:cs="Times New Roman"/>
          <w:szCs w:val="24"/>
        </w:rPr>
        <w:t xml:space="preserve">. The campaign </w:t>
      </w:r>
      <w:r w:rsidR="0065275B" w:rsidRPr="005C3EA2">
        <w:rPr>
          <w:rFonts w:cs="Times New Roman"/>
          <w:szCs w:val="24"/>
        </w:rPr>
        <w:t>advertisements</w:t>
      </w:r>
      <w:r w:rsidR="00E763EE" w:rsidRPr="005C3EA2">
        <w:rPr>
          <w:rFonts w:cs="Times New Roman"/>
          <w:szCs w:val="24"/>
        </w:rPr>
        <w:t xml:space="preserve"> will be placed </w:t>
      </w:r>
      <w:r w:rsidR="00800161" w:rsidRPr="005C3EA2">
        <w:rPr>
          <w:rFonts w:cs="Times New Roman"/>
          <w:szCs w:val="24"/>
        </w:rPr>
        <w:t xml:space="preserve">in and around the tobacco retail environment </w:t>
      </w:r>
      <w:r w:rsidR="003230AE" w:rsidRPr="005C3EA2">
        <w:rPr>
          <w:rFonts w:cs="Times New Roman"/>
          <w:szCs w:val="24"/>
        </w:rPr>
        <w:t xml:space="preserve">at </w:t>
      </w:r>
      <w:r w:rsidR="00E763EE" w:rsidRPr="005C3EA2">
        <w:rPr>
          <w:rFonts w:cs="Times New Roman"/>
          <w:szCs w:val="24"/>
        </w:rPr>
        <w:t xml:space="preserve">convenience stores </w:t>
      </w:r>
      <w:r w:rsidR="003230AE" w:rsidRPr="005C3EA2">
        <w:rPr>
          <w:rFonts w:cs="Times New Roman"/>
          <w:szCs w:val="24"/>
        </w:rPr>
        <w:t>in several geographic</w:t>
      </w:r>
      <w:r w:rsidR="00F61780" w:rsidRPr="005C3EA2">
        <w:rPr>
          <w:rFonts w:cs="Times New Roman"/>
          <w:szCs w:val="24"/>
        </w:rPr>
        <w:t>ally diverse</w:t>
      </w:r>
      <w:r w:rsidR="003230AE" w:rsidRPr="005C3EA2">
        <w:rPr>
          <w:rFonts w:cs="Times New Roman"/>
          <w:szCs w:val="24"/>
        </w:rPr>
        <w:t xml:space="preserve"> markets</w:t>
      </w:r>
      <w:r w:rsidR="00E763EE" w:rsidRPr="005C3EA2">
        <w:rPr>
          <w:rFonts w:cs="Times New Roman"/>
          <w:szCs w:val="24"/>
        </w:rPr>
        <w:t xml:space="preserve">. The information obtained from the proposed data collection will inform the development of the </w:t>
      </w:r>
      <w:r w:rsidR="0065275B" w:rsidRPr="005C3EA2">
        <w:rPr>
          <w:rFonts w:cs="Times New Roman"/>
          <w:szCs w:val="24"/>
        </w:rPr>
        <w:t>advertisements</w:t>
      </w:r>
      <w:r w:rsidR="00E763EE" w:rsidRPr="005C3EA2">
        <w:rPr>
          <w:rFonts w:cs="Times New Roman"/>
          <w:szCs w:val="24"/>
        </w:rPr>
        <w:t xml:space="preserve"> and help FDA to design the optimal </w:t>
      </w:r>
      <w:r w:rsidR="0065275B" w:rsidRPr="005C3EA2">
        <w:rPr>
          <w:rFonts w:cs="Times New Roman"/>
          <w:szCs w:val="24"/>
        </w:rPr>
        <w:t>advertisements</w:t>
      </w:r>
      <w:r w:rsidR="00E763EE" w:rsidRPr="005C3EA2">
        <w:rPr>
          <w:rFonts w:cs="Times New Roman"/>
          <w:szCs w:val="24"/>
        </w:rPr>
        <w:t xml:space="preserve"> before </w:t>
      </w:r>
      <w:r w:rsidR="0065275B" w:rsidRPr="005C3EA2">
        <w:rPr>
          <w:rFonts w:cs="Times New Roman"/>
          <w:szCs w:val="24"/>
        </w:rPr>
        <w:t>releasing</w:t>
      </w:r>
      <w:r w:rsidR="00E763EE" w:rsidRPr="005C3EA2">
        <w:rPr>
          <w:rFonts w:cs="Times New Roman"/>
          <w:szCs w:val="24"/>
        </w:rPr>
        <w:t xml:space="preserve"> into the market. The study results for each advertisement will be both assessed individually and compared across all eight advertisements that will be tested in this round of research. </w:t>
      </w:r>
      <w:r w:rsidR="00BC56D0" w:rsidRPr="005C3EA2">
        <w:rPr>
          <w:rFonts w:cs="Times New Roman"/>
          <w:szCs w:val="24"/>
        </w:rPr>
        <w:t xml:space="preserve">The study will be conducted by </w:t>
      </w:r>
      <w:proofErr w:type="spellStart"/>
      <w:r w:rsidR="00BC56D0" w:rsidRPr="005C3EA2">
        <w:rPr>
          <w:rFonts w:cs="Times New Roman"/>
          <w:szCs w:val="24"/>
        </w:rPr>
        <w:t>Fors</w:t>
      </w:r>
      <w:proofErr w:type="spellEnd"/>
      <w:r w:rsidR="00BC56D0" w:rsidRPr="005C3EA2">
        <w:rPr>
          <w:rFonts w:cs="Times New Roman"/>
          <w:szCs w:val="24"/>
        </w:rPr>
        <w:t xml:space="preserve"> Marsh Group, an applied research company and subcontractor to FCB New York.</w:t>
      </w:r>
      <w:r w:rsidR="00526A7F" w:rsidRPr="005C3EA2">
        <w:rPr>
          <w:rFonts w:cs="Times New Roman"/>
          <w:szCs w:val="24"/>
        </w:rPr>
        <w:t xml:space="preserve"> </w:t>
      </w:r>
      <w:r w:rsidR="00E763EE" w:rsidRPr="005C3EA2">
        <w:rPr>
          <w:rFonts w:cs="Times New Roman"/>
          <w:szCs w:val="24"/>
        </w:rPr>
        <w:t>All advertisements will be tested to address the following questions:</w:t>
      </w:r>
    </w:p>
    <w:p w14:paraId="05818C13" w14:textId="77777777" w:rsidR="00E763EE" w:rsidRPr="005C3EA2" w:rsidRDefault="00E763EE" w:rsidP="00396E63">
      <w:pPr>
        <w:widowControl w:val="0"/>
        <w:ind w:left="720"/>
      </w:pPr>
    </w:p>
    <w:p w14:paraId="492F3838" w14:textId="77777777" w:rsidR="00B42092" w:rsidRPr="005C3EA2" w:rsidRDefault="00B42092" w:rsidP="00B42092">
      <w:pPr>
        <w:widowControl w:val="0"/>
        <w:numPr>
          <w:ilvl w:val="0"/>
          <w:numId w:val="17"/>
        </w:numPr>
        <w:ind w:left="1530"/>
      </w:pPr>
      <w:r w:rsidRPr="005C3EA2">
        <w:t>Does the advertisement give smokers confidence to make another attempt to quit smoking?</w:t>
      </w:r>
    </w:p>
    <w:p w14:paraId="55E762FB" w14:textId="77777777" w:rsidR="00E763EE" w:rsidRPr="005C3EA2" w:rsidRDefault="00E763EE" w:rsidP="00396E63">
      <w:pPr>
        <w:widowControl w:val="0"/>
        <w:numPr>
          <w:ilvl w:val="0"/>
          <w:numId w:val="17"/>
        </w:numPr>
        <w:ind w:left="1530"/>
      </w:pPr>
      <w:r w:rsidRPr="005C3EA2">
        <w:t>Would the advertisement stand out in the point-of-sale environment?</w:t>
      </w:r>
    </w:p>
    <w:p w14:paraId="73BA7EE5" w14:textId="77777777" w:rsidR="00E763EE" w:rsidRPr="005C3EA2" w:rsidRDefault="00E763EE" w:rsidP="00396E63">
      <w:pPr>
        <w:widowControl w:val="0"/>
        <w:numPr>
          <w:ilvl w:val="0"/>
          <w:numId w:val="17"/>
        </w:numPr>
        <w:ind w:left="1530"/>
      </w:pPr>
      <w:r w:rsidRPr="005C3EA2">
        <w:t>What is the level of engagement after viewing one of the advertisements?</w:t>
      </w:r>
    </w:p>
    <w:p w14:paraId="54A2FA52" w14:textId="77777777" w:rsidR="00E763EE" w:rsidRPr="005C3EA2" w:rsidRDefault="00E763EE" w:rsidP="00396E63">
      <w:pPr>
        <w:widowControl w:val="0"/>
        <w:numPr>
          <w:ilvl w:val="0"/>
          <w:numId w:val="17"/>
        </w:numPr>
        <w:ind w:left="1530"/>
      </w:pPr>
      <w:r w:rsidRPr="005C3EA2">
        <w:t>Does the advertisement have any potential unintended adverse or counterproductive effects related to beliefs and attitudes of quitting smoking?</w:t>
      </w:r>
    </w:p>
    <w:p w14:paraId="254ED638" w14:textId="77777777" w:rsidR="00BC56D0" w:rsidRPr="005C3EA2" w:rsidRDefault="00BC56D0" w:rsidP="00E763EE">
      <w:pPr>
        <w:widowControl w:val="0"/>
        <w:ind w:left="720"/>
      </w:pPr>
    </w:p>
    <w:p w14:paraId="6689F043" w14:textId="7AFB9F87" w:rsidR="00E763EE" w:rsidRPr="005C3EA2" w:rsidRDefault="00E763EE" w:rsidP="00E763EE">
      <w:pPr>
        <w:widowControl w:val="0"/>
        <w:ind w:left="720"/>
      </w:pPr>
      <w:r w:rsidRPr="005C3EA2">
        <w:t>A power analysis was conducted to determine the appropriate sample size for this study in order to effectively detect differences between exposure and control groups. Because there will be eight advertisements, there will be eight exposure groups and one control group, for a total of nine groups. Assuming a one-tailed test, a small effect size of 0.20 (Cohen’s</w:t>
      </w:r>
      <w:r w:rsidRPr="005C3EA2">
        <w:rPr>
          <w:i/>
        </w:rPr>
        <w:t xml:space="preserve"> d</w:t>
      </w:r>
      <w:r w:rsidRPr="005C3EA2">
        <w:t xml:space="preserve">=0.20), an alpha of 0.05, and a minimum power of 0.80, which is generally considered appropriate for social science research, the required sample size for this study is </w:t>
      </w:r>
      <w:r w:rsidR="00396E63" w:rsidRPr="005C3EA2">
        <w:rPr>
          <w:i/>
        </w:rPr>
        <w:t>n</w:t>
      </w:r>
      <w:r w:rsidR="00396E63" w:rsidRPr="005C3EA2">
        <w:t xml:space="preserve"> = </w:t>
      </w:r>
      <w:r w:rsidRPr="005C3EA2">
        <w:t>2,790. Because study enrollment will be occurring simultaneously online, a buffer of approximately two percent (</w:t>
      </w:r>
      <w:r w:rsidR="00396E63" w:rsidRPr="005C3EA2">
        <w:rPr>
          <w:i/>
        </w:rPr>
        <w:t>n</w:t>
      </w:r>
      <w:r w:rsidR="00396E63" w:rsidRPr="005C3EA2">
        <w:t xml:space="preserve"> </w:t>
      </w:r>
      <w:r w:rsidRPr="005C3EA2">
        <w:t>=</w:t>
      </w:r>
      <w:r w:rsidR="00396E63" w:rsidRPr="005C3EA2">
        <w:t xml:space="preserve"> </w:t>
      </w:r>
      <w:r w:rsidRPr="005C3EA2">
        <w:t xml:space="preserve">54) will be applied in order to account for possible over-enrollment in any of the groups for a maximum sample size of </w:t>
      </w:r>
      <w:r w:rsidR="00396E63" w:rsidRPr="005C3EA2">
        <w:rPr>
          <w:i/>
        </w:rPr>
        <w:t>n</w:t>
      </w:r>
      <w:r w:rsidR="00396E63" w:rsidRPr="005C3EA2">
        <w:t xml:space="preserve"> = </w:t>
      </w:r>
      <w:r w:rsidRPr="005C3EA2">
        <w:t>2,844. Th</w:t>
      </w:r>
      <w:r w:rsidR="00E3775C" w:rsidRPr="005C3EA2">
        <w:t>us</w:t>
      </w:r>
      <w:r w:rsidRPr="005C3EA2">
        <w:t xml:space="preserve"> </w:t>
      </w:r>
      <w:r w:rsidR="00F61780" w:rsidRPr="005C3EA2">
        <w:t>up to 316</w:t>
      </w:r>
      <w:r w:rsidRPr="005C3EA2">
        <w:t xml:space="preserve"> participants </w:t>
      </w:r>
      <w:r w:rsidR="00E3775C" w:rsidRPr="005C3EA2">
        <w:t>will</w:t>
      </w:r>
      <w:r w:rsidRPr="005C3EA2">
        <w:t xml:space="preserve"> view and give feedback on each advertisement, and </w:t>
      </w:r>
      <w:r w:rsidR="00E3775C" w:rsidRPr="005C3EA2">
        <w:t>up to</w:t>
      </w:r>
      <w:r w:rsidRPr="005C3EA2">
        <w:t xml:space="preserve"> 31</w:t>
      </w:r>
      <w:r w:rsidR="00E3775C" w:rsidRPr="005C3EA2">
        <w:t>6</w:t>
      </w:r>
      <w:r w:rsidRPr="005C3EA2">
        <w:t xml:space="preserve"> participants </w:t>
      </w:r>
      <w:r w:rsidR="00E3775C" w:rsidRPr="005C3EA2">
        <w:t xml:space="preserve">will be </w:t>
      </w:r>
      <w:r w:rsidRPr="005C3EA2">
        <w:t xml:space="preserve">in the control group, </w:t>
      </w:r>
      <w:r w:rsidR="00E3775C" w:rsidRPr="005C3EA2">
        <w:t>representing</w:t>
      </w:r>
      <w:r w:rsidRPr="005C3EA2">
        <w:t xml:space="preserve"> </w:t>
      </w:r>
      <w:r w:rsidR="00E3775C" w:rsidRPr="005C3EA2">
        <w:t xml:space="preserve">a </w:t>
      </w:r>
      <w:r w:rsidRPr="005C3EA2">
        <w:t>sufficient sample size to allow for between and within group comparisons.</w:t>
      </w:r>
      <w:r w:rsidR="00396E63" w:rsidRPr="005C3EA2">
        <w:t xml:space="preserve"> Please refer to Supporting Statement Part B for additional information on sampling.</w:t>
      </w:r>
    </w:p>
    <w:p w14:paraId="3A3AFC1F" w14:textId="77777777" w:rsidR="00E763EE" w:rsidRPr="005C3EA2" w:rsidRDefault="00E763EE" w:rsidP="00E763EE">
      <w:pPr>
        <w:widowControl w:val="0"/>
        <w:ind w:left="720"/>
      </w:pPr>
    </w:p>
    <w:p w14:paraId="4DCAA259" w14:textId="17186DED" w:rsidR="00E763EE" w:rsidRPr="005C3EA2" w:rsidRDefault="00E763EE" w:rsidP="00E763EE">
      <w:pPr>
        <w:pStyle w:val="CommentText"/>
        <w:ind w:left="720"/>
        <w:rPr>
          <w:sz w:val="24"/>
          <w:szCs w:val="24"/>
        </w:rPr>
      </w:pPr>
      <w:r w:rsidRPr="005C3EA2">
        <w:rPr>
          <w:sz w:val="24"/>
          <w:szCs w:val="24"/>
        </w:rPr>
        <w:t xml:space="preserve">Participants will be recruited in October 2016. </w:t>
      </w:r>
      <w:proofErr w:type="spellStart"/>
      <w:r w:rsidRPr="005C3EA2">
        <w:rPr>
          <w:sz w:val="24"/>
          <w:szCs w:val="24"/>
        </w:rPr>
        <w:t>Fors</w:t>
      </w:r>
      <w:proofErr w:type="spellEnd"/>
      <w:r w:rsidRPr="005C3EA2">
        <w:rPr>
          <w:sz w:val="24"/>
          <w:szCs w:val="24"/>
        </w:rPr>
        <w:t xml:space="preserve"> Marsh Group will be working with Survey Sampling International (SSI)—a volunteer opt-in online panel provider, in order to provide the sample. SSI will invite panel members to participate in the study based on their likelihood to be within the target population (e.g., known smoker status). No geographic restrictions will be placed during sampling to ensure respondents are selected from areas nationwide. The screening, consent, randomization to groups, and survey will all be administered online and will be one unified experience for the respondents. </w:t>
      </w:r>
      <w:proofErr w:type="spellStart"/>
      <w:r w:rsidR="00003B0A" w:rsidRPr="005C3EA2">
        <w:rPr>
          <w:rFonts w:eastAsiaTheme="minorHAnsi"/>
          <w:sz w:val="24"/>
          <w:szCs w:val="24"/>
        </w:rPr>
        <w:t>Fors</w:t>
      </w:r>
      <w:proofErr w:type="spellEnd"/>
      <w:r w:rsidR="00003B0A" w:rsidRPr="005C3EA2">
        <w:rPr>
          <w:rFonts w:eastAsiaTheme="minorHAnsi"/>
          <w:sz w:val="24"/>
          <w:szCs w:val="24"/>
        </w:rPr>
        <w:t xml:space="preserve"> Marsh Group will handle all data collection and survey management. </w:t>
      </w:r>
      <w:r w:rsidRPr="005C3EA2">
        <w:rPr>
          <w:sz w:val="24"/>
          <w:szCs w:val="24"/>
        </w:rPr>
        <w:t xml:space="preserve">The invitation will include a link that will direct participants first to the screener. If they are eligible to participate, they will be directed to the consent form, which they can review and provide consent. Those who agree to </w:t>
      </w:r>
      <w:proofErr w:type="gramStart"/>
      <w:r w:rsidRPr="005C3EA2">
        <w:rPr>
          <w:sz w:val="24"/>
          <w:szCs w:val="24"/>
        </w:rPr>
        <w:t>participate</w:t>
      </w:r>
      <w:proofErr w:type="gramEnd"/>
      <w:r w:rsidRPr="005C3EA2">
        <w:rPr>
          <w:sz w:val="24"/>
          <w:szCs w:val="24"/>
        </w:rPr>
        <w:t xml:space="preserve"> will then be randomized to either an experimental or control group and will be directed through their appropriate survey. After completing the survey, respondents will be directed back to SSI, where they will go to a thank you language landing page and then be given their “e-reward” incentive.</w:t>
      </w:r>
    </w:p>
    <w:p w14:paraId="71C2FFAE" w14:textId="12458539" w:rsidR="00E763EE" w:rsidRPr="005C3EA2" w:rsidRDefault="00E763EE" w:rsidP="00E763EE">
      <w:pPr>
        <w:spacing w:before="100" w:beforeAutospacing="1" w:after="100" w:afterAutospacing="1"/>
        <w:ind w:left="720"/>
      </w:pPr>
      <w:r w:rsidRPr="005C3EA2">
        <w:t xml:space="preserve">The  screener is designed to minimize burden on ineligible participants and includes: (a) demographic questions including: gender and race/ethnicity; (b) questions to determine cigarette smoking status using the definitions provided by the Behavioral Risk Factor Surveillance System (BRFSS); (c) items pertaining to where they purchased cigarettes in the last month, and (d) items pertaining to their past quit attempts from the CDC National Health Interview Survey </w:t>
      </w:r>
      <w:r w:rsidR="009B7DAC" w:rsidRPr="005C3EA2">
        <w:t xml:space="preserve">(NHIS) </w:t>
      </w:r>
      <w:r w:rsidRPr="005C3EA2">
        <w:t xml:space="preserve">to identify current adult smokers who have attempted to quit within the past year , that is, the target audience for the campaign. To prevent respondent bias from previous exposure to market research or from affiliation with a related industry, the inclusion/exclusion criteria will ascertain whether the potential participants, their family member or their close friends work for the tobacco industry or certain other types of business, such as an ad agency, and whether they have recently </w:t>
      </w:r>
      <w:r w:rsidRPr="005C3EA2">
        <w:lastRenderedPageBreak/>
        <w:t>participated in other t</w:t>
      </w:r>
      <w:r w:rsidR="00977A4E" w:rsidRPr="005C3EA2">
        <w:t xml:space="preserve">obacco-related research. Table </w:t>
      </w:r>
      <w:r w:rsidR="00396E63" w:rsidRPr="005C3EA2">
        <w:t>2</w:t>
      </w:r>
      <w:r w:rsidRPr="005C3EA2">
        <w:t xml:space="preserve"> contains an overview and justification of the questions in the screener.</w:t>
      </w:r>
    </w:p>
    <w:p w14:paraId="60D79DC3" w14:textId="4F956CEC" w:rsidR="00E763EE" w:rsidRDefault="00977A4E" w:rsidP="00E763EE">
      <w:pPr>
        <w:pBdr>
          <w:top w:val="nil"/>
          <w:left w:val="nil"/>
          <w:bottom w:val="nil"/>
          <w:right w:val="nil"/>
          <w:between w:val="nil"/>
          <w:bar w:val="nil"/>
        </w:pBdr>
        <w:ind w:firstLine="720"/>
        <w:rPr>
          <w:b/>
          <w:bCs/>
          <w:color w:val="000000"/>
          <w:u w:color="000000"/>
          <w:bdr w:val="nil"/>
        </w:rPr>
      </w:pPr>
      <w:r w:rsidRPr="005C3EA2">
        <w:rPr>
          <w:b/>
          <w:bCs/>
          <w:color w:val="000000"/>
          <w:u w:color="000000"/>
          <w:bdr w:val="nil"/>
        </w:rPr>
        <w:t xml:space="preserve">Table </w:t>
      </w:r>
      <w:r w:rsidR="00396E63" w:rsidRPr="005C3EA2">
        <w:rPr>
          <w:b/>
          <w:bCs/>
          <w:color w:val="000000"/>
          <w:u w:color="000000"/>
          <w:bdr w:val="nil"/>
        </w:rPr>
        <w:t>2</w:t>
      </w:r>
      <w:r w:rsidR="00E763EE" w:rsidRPr="005C3EA2">
        <w:rPr>
          <w:b/>
          <w:bCs/>
          <w:color w:val="000000"/>
          <w:u w:color="000000"/>
          <w:bdr w:val="nil"/>
        </w:rPr>
        <w:t xml:space="preserve"> – Rationale &amp; Justification for Screener Items</w:t>
      </w:r>
    </w:p>
    <w:p w14:paraId="010C6A38" w14:textId="77777777" w:rsidR="007804D0" w:rsidRPr="005C3EA2" w:rsidRDefault="007804D0" w:rsidP="00E763EE">
      <w:pPr>
        <w:pBdr>
          <w:top w:val="nil"/>
          <w:left w:val="nil"/>
          <w:bottom w:val="nil"/>
          <w:right w:val="nil"/>
          <w:between w:val="nil"/>
          <w:bar w:val="nil"/>
        </w:pBdr>
        <w:ind w:firstLine="720"/>
        <w:rPr>
          <w:b/>
          <w:bCs/>
          <w:color w:val="000000"/>
          <w:u w:color="000000"/>
          <w:bdr w:val="nil"/>
        </w:rPr>
      </w:pPr>
    </w:p>
    <w:tbl>
      <w:tblPr>
        <w:tblStyle w:val="TableGrid2"/>
        <w:tblW w:w="9468" w:type="dxa"/>
        <w:tblInd w:w="720" w:type="dxa"/>
        <w:tblLook w:val="04A0" w:firstRow="1" w:lastRow="0" w:firstColumn="1" w:lastColumn="0" w:noHBand="0" w:noVBand="1"/>
      </w:tblPr>
      <w:tblGrid>
        <w:gridCol w:w="990"/>
        <w:gridCol w:w="8478"/>
      </w:tblGrid>
      <w:tr w:rsidR="00E763EE" w:rsidRPr="005C3EA2" w14:paraId="553188F6" w14:textId="77777777" w:rsidTr="00396E63">
        <w:tc>
          <w:tcPr>
            <w:tcW w:w="990" w:type="dxa"/>
            <w:shd w:val="clear" w:color="auto" w:fill="BFBFBF" w:themeFill="background1" w:themeFillShade="BF"/>
          </w:tcPr>
          <w:p w14:paraId="4ACC1CBA" w14:textId="77777777" w:rsidR="00E763EE" w:rsidRPr="005C3EA2" w:rsidRDefault="00E763EE" w:rsidP="00B61C53">
            <w:pPr>
              <w:jc w:val="center"/>
              <w:rPr>
                <w:b/>
                <w:u w:color="000000"/>
              </w:rPr>
            </w:pPr>
            <w:r w:rsidRPr="005C3EA2">
              <w:rPr>
                <w:b/>
                <w:u w:color="000000"/>
              </w:rPr>
              <w:t>Item(s)</w:t>
            </w:r>
          </w:p>
        </w:tc>
        <w:tc>
          <w:tcPr>
            <w:tcW w:w="8478" w:type="dxa"/>
            <w:shd w:val="clear" w:color="auto" w:fill="BFBFBF" w:themeFill="background1" w:themeFillShade="BF"/>
          </w:tcPr>
          <w:p w14:paraId="1376F213" w14:textId="77777777" w:rsidR="00E763EE" w:rsidRPr="005C3EA2" w:rsidRDefault="00E763EE" w:rsidP="00B61C53">
            <w:pPr>
              <w:jc w:val="center"/>
              <w:rPr>
                <w:b/>
                <w:u w:color="000000"/>
              </w:rPr>
            </w:pPr>
            <w:r w:rsidRPr="005C3EA2">
              <w:rPr>
                <w:b/>
                <w:u w:color="000000"/>
              </w:rPr>
              <w:t>Rationale/Justification</w:t>
            </w:r>
          </w:p>
        </w:tc>
      </w:tr>
      <w:tr w:rsidR="00E763EE" w:rsidRPr="005C3EA2" w14:paraId="748105C7" w14:textId="77777777" w:rsidTr="00B61C53">
        <w:tc>
          <w:tcPr>
            <w:tcW w:w="990" w:type="dxa"/>
          </w:tcPr>
          <w:p w14:paraId="686018D6" w14:textId="77777777" w:rsidR="00E763EE" w:rsidRPr="005C3EA2" w:rsidRDefault="00E763EE" w:rsidP="00B61C53">
            <w:pPr>
              <w:jc w:val="both"/>
              <w:rPr>
                <w:color w:val="000000"/>
                <w:u w:color="000000"/>
              </w:rPr>
            </w:pPr>
            <w:r w:rsidRPr="005C3EA2">
              <w:rPr>
                <w:color w:val="000000"/>
                <w:u w:color="000000"/>
              </w:rPr>
              <w:t>1</w:t>
            </w:r>
          </w:p>
        </w:tc>
        <w:tc>
          <w:tcPr>
            <w:tcW w:w="8478" w:type="dxa"/>
          </w:tcPr>
          <w:p w14:paraId="49A5B0EB" w14:textId="6422DFAC" w:rsidR="00E763EE" w:rsidRPr="005C3EA2" w:rsidRDefault="00E763EE" w:rsidP="00B61C53">
            <w:pPr>
              <w:jc w:val="both"/>
              <w:rPr>
                <w:color w:val="000000"/>
                <w:u w:color="000000"/>
              </w:rPr>
            </w:pPr>
            <w:r w:rsidRPr="005C3EA2">
              <w:rPr>
                <w:color w:val="000000"/>
                <w:u w:color="000000"/>
              </w:rPr>
              <w:t>Verify age. Ensu</w:t>
            </w:r>
            <w:r w:rsidR="00137663" w:rsidRPr="005C3EA2">
              <w:rPr>
                <w:color w:val="000000"/>
                <w:u w:color="000000"/>
              </w:rPr>
              <w:t>re all participants are ages 25–</w:t>
            </w:r>
            <w:r w:rsidRPr="005C3EA2">
              <w:rPr>
                <w:color w:val="000000"/>
                <w:u w:color="000000"/>
              </w:rPr>
              <w:t>54.</w:t>
            </w:r>
          </w:p>
        </w:tc>
      </w:tr>
      <w:tr w:rsidR="00E763EE" w:rsidRPr="005C3EA2" w14:paraId="491499AD" w14:textId="77777777" w:rsidTr="00B61C53">
        <w:tc>
          <w:tcPr>
            <w:tcW w:w="9468" w:type="dxa"/>
            <w:gridSpan w:val="2"/>
          </w:tcPr>
          <w:p w14:paraId="14C79E67" w14:textId="77777777" w:rsidR="00E763EE" w:rsidRPr="005C3EA2" w:rsidRDefault="00E763EE" w:rsidP="00B61C53">
            <w:pPr>
              <w:jc w:val="both"/>
              <w:rPr>
                <w:color w:val="000000"/>
                <w:u w:color="000000"/>
              </w:rPr>
            </w:pPr>
            <w:r w:rsidRPr="005C3EA2">
              <w:rPr>
                <w:i/>
                <w:color w:val="000000"/>
                <w:u w:color="000000"/>
              </w:rPr>
              <w:t>Termination point for people who are less than 25 years old or more than 54 years old.</w:t>
            </w:r>
          </w:p>
        </w:tc>
      </w:tr>
      <w:tr w:rsidR="00E763EE" w:rsidRPr="005C3EA2" w14:paraId="420BFD7E" w14:textId="77777777" w:rsidTr="00B61C53">
        <w:tc>
          <w:tcPr>
            <w:tcW w:w="990" w:type="dxa"/>
          </w:tcPr>
          <w:p w14:paraId="36586DE5" w14:textId="77777777" w:rsidR="00E763EE" w:rsidRPr="005C3EA2" w:rsidRDefault="00E763EE" w:rsidP="00B61C53">
            <w:pPr>
              <w:jc w:val="both"/>
              <w:rPr>
                <w:color w:val="000000"/>
                <w:u w:color="000000"/>
              </w:rPr>
            </w:pPr>
            <w:r w:rsidRPr="005C3EA2">
              <w:rPr>
                <w:color w:val="000000"/>
                <w:u w:color="000000"/>
              </w:rPr>
              <w:t>2</w:t>
            </w:r>
          </w:p>
        </w:tc>
        <w:tc>
          <w:tcPr>
            <w:tcW w:w="8478" w:type="dxa"/>
          </w:tcPr>
          <w:p w14:paraId="797CC12E" w14:textId="77777777" w:rsidR="00E763EE" w:rsidRPr="005C3EA2" w:rsidRDefault="00E763EE" w:rsidP="00B61C53">
            <w:pPr>
              <w:jc w:val="both"/>
              <w:rPr>
                <w:color w:val="000000"/>
                <w:u w:color="000000"/>
              </w:rPr>
            </w:pPr>
            <w:r w:rsidRPr="005C3EA2">
              <w:rPr>
                <w:color w:val="000000"/>
                <w:u w:color="000000"/>
              </w:rPr>
              <w:t>Verify that person, their family member or close friend does not have an affiliation with a market research firm, ad agency, tobacco company, or the federal government.</w:t>
            </w:r>
          </w:p>
        </w:tc>
      </w:tr>
      <w:tr w:rsidR="00E763EE" w:rsidRPr="005C3EA2" w14:paraId="2407680E" w14:textId="77777777" w:rsidTr="00B61C53">
        <w:tc>
          <w:tcPr>
            <w:tcW w:w="9468" w:type="dxa"/>
            <w:gridSpan w:val="2"/>
          </w:tcPr>
          <w:p w14:paraId="6108A74F" w14:textId="77777777" w:rsidR="00E763EE" w:rsidRPr="005C3EA2" w:rsidRDefault="00E763EE" w:rsidP="00B61C53">
            <w:pPr>
              <w:jc w:val="both"/>
              <w:rPr>
                <w:color w:val="000000"/>
                <w:u w:color="000000"/>
              </w:rPr>
            </w:pPr>
            <w:r w:rsidRPr="005C3EA2">
              <w:rPr>
                <w:i/>
                <w:color w:val="000000"/>
                <w:u w:color="000000"/>
              </w:rPr>
              <w:t>Termination point for people who do not meet criteria in 2.</w:t>
            </w:r>
          </w:p>
        </w:tc>
      </w:tr>
      <w:tr w:rsidR="00D25C45" w:rsidRPr="005C3EA2" w14:paraId="31BE90F3" w14:textId="77777777" w:rsidTr="00B61C53">
        <w:tc>
          <w:tcPr>
            <w:tcW w:w="990" w:type="dxa"/>
          </w:tcPr>
          <w:p w14:paraId="78BDFABD" w14:textId="6516ACCB" w:rsidR="00D25C45" w:rsidRPr="005C3EA2" w:rsidRDefault="00D25C45" w:rsidP="00B61C53">
            <w:pPr>
              <w:jc w:val="both"/>
              <w:rPr>
                <w:color w:val="000000"/>
                <w:u w:color="000000"/>
              </w:rPr>
            </w:pPr>
            <w:r w:rsidRPr="005C3EA2">
              <w:rPr>
                <w:color w:val="000000"/>
                <w:u w:color="000000"/>
              </w:rPr>
              <w:t>3</w:t>
            </w:r>
          </w:p>
        </w:tc>
        <w:tc>
          <w:tcPr>
            <w:tcW w:w="8478" w:type="dxa"/>
          </w:tcPr>
          <w:p w14:paraId="2B492FE1" w14:textId="2A7C0C6F" w:rsidR="00D25C45" w:rsidRPr="005C3EA2" w:rsidRDefault="00D25C45" w:rsidP="00B61C53">
            <w:pPr>
              <w:jc w:val="both"/>
              <w:rPr>
                <w:color w:val="000000"/>
                <w:u w:color="000000"/>
              </w:rPr>
            </w:pPr>
            <w:r w:rsidRPr="005C3EA2">
              <w:rPr>
                <w:color w:val="000000"/>
                <w:u w:color="000000"/>
              </w:rPr>
              <w:t>Verify that person has not participated in research related to tobacco within the past 6 months.</w:t>
            </w:r>
          </w:p>
        </w:tc>
      </w:tr>
      <w:tr w:rsidR="00D25C45" w:rsidRPr="005C3EA2" w14:paraId="755BFD70" w14:textId="77777777" w:rsidTr="00C31A60">
        <w:tc>
          <w:tcPr>
            <w:tcW w:w="9468" w:type="dxa"/>
            <w:gridSpan w:val="2"/>
          </w:tcPr>
          <w:p w14:paraId="7660A9B8" w14:textId="64BCB85B" w:rsidR="00D25C45" w:rsidRPr="005C3EA2" w:rsidRDefault="00D25C45" w:rsidP="00B61C53">
            <w:pPr>
              <w:jc w:val="both"/>
              <w:rPr>
                <w:color w:val="000000"/>
                <w:u w:color="000000"/>
              </w:rPr>
            </w:pPr>
            <w:r w:rsidRPr="005C3EA2">
              <w:rPr>
                <w:i/>
                <w:color w:val="000000"/>
                <w:u w:color="000000"/>
              </w:rPr>
              <w:t>Termination point for people who do not meet criteria in 3.</w:t>
            </w:r>
          </w:p>
        </w:tc>
      </w:tr>
      <w:tr w:rsidR="00E763EE" w:rsidRPr="005C3EA2" w14:paraId="5B5C2728" w14:textId="77777777" w:rsidTr="00B61C53">
        <w:tc>
          <w:tcPr>
            <w:tcW w:w="990" w:type="dxa"/>
          </w:tcPr>
          <w:p w14:paraId="4B2F9935" w14:textId="188160F4" w:rsidR="00E763EE" w:rsidRPr="005C3EA2" w:rsidRDefault="00D25C45" w:rsidP="00D25C45">
            <w:pPr>
              <w:jc w:val="both"/>
              <w:rPr>
                <w:color w:val="000000"/>
                <w:u w:color="000000"/>
              </w:rPr>
            </w:pPr>
            <w:r w:rsidRPr="005C3EA2">
              <w:rPr>
                <w:color w:val="000000"/>
                <w:u w:color="000000"/>
              </w:rPr>
              <w:t>4</w:t>
            </w:r>
            <w:r w:rsidR="00E763EE" w:rsidRPr="005C3EA2">
              <w:rPr>
                <w:color w:val="000000"/>
                <w:u w:color="000000"/>
              </w:rPr>
              <w:t>,</w:t>
            </w:r>
            <w:r w:rsidRPr="005C3EA2">
              <w:rPr>
                <w:color w:val="000000"/>
                <w:u w:color="000000"/>
              </w:rPr>
              <w:t>5</w:t>
            </w:r>
          </w:p>
        </w:tc>
        <w:tc>
          <w:tcPr>
            <w:tcW w:w="8478" w:type="dxa"/>
          </w:tcPr>
          <w:p w14:paraId="7C1561F6" w14:textId="77777777" w:rsidR="00E763EE" w:rsidRPr="005C3EA2" w:rsidRDefault="00E763EE" w:rsidP="00B61C53">
            <w:pPr>
              <w:jc w:val="both"/>
              <w:rPr>
                <w:color w:val="000000"/>
                <w:u w:color="000000"/>
              </w:rPr>
            </w:pPr>
            <w:r w:rsidRPr="005C3EA2">
              <w:rPr>
                <w:color w:val="000000"/>
                <w:u w:color="000000"/>
              </w:rPr>
              <w:t>Verify that person is a current smoker.</w:t>
            </w:r>
          </w:p>
        </w:tc>
      </w:tr>
      <w:tr w:rsidR="00E763EE" w:rsidRPr="005C3EA2" w14:paraId="1BE99103" w14:textId="77777777" w:rsidTr="00B61C53">
        <w:tc>
          <w:tcPr>
            <w:tcW w:w="9468" w:type="dxa"/>
            <w:gridSpan w:val="2"/>
          </w:tcPr>
          <w:p w14:paraId="79570F0E" w14:textId="4DD2D0E7" w:rsidR="00E763EE" w:rsidRPr="005C3EA2" w:rsidRDefault="00E763EE" w:rsidP="00D25C45">
            <w:pPr>
              <w:jc w:val="both"/>
              <w:rPr>
                <w:color w:val="000000"/>
                <w:u w:color="000000"/>
              </w:rPr>
            </w:pPr>
            <w:r w:rsidRPr="005C3EA2">
              <w:rPr>
                <w:i/>
                <w:color w:val="000000"/>
                <w:u w:color="000000"/>
              </w:rPr>
              <w:t xml:space="preserve">Termination point for people who do not meet criteria in </w:t>
            </w:r>
            <w:r w:rsidR="00D25C45" w:rsidRPr="005C3EA2">
              <w:rPr>
                <w:i/>
                <w:color w:val="000000"/>
                <w:u w:color="000000"/>
              </w:rPr>
              <w:t>4</w:t>
            </w:r>
            <w:r w:rsidRPr="005C3EA2">
              <w:rPr>
                <w:i/>
                <w:color w:val="000000"/>
                <w:u w:color="000000"/>
              </w:rPr>
              <w:t xml:space="preserve">, </w:t>
            </w:r>
            <w:r w:rsidR="00D25C45" w:rsidRPr="005C3EA2">
              <w:rPr>
                <w:i/>
                <w:color w:val="000000"/>
                <w:u w:color="000000"/>
              </w:rPr>
              <w:t>5</w:t>
            </w:r>
            <w:r w:rsidRPr="005C3EA2">
              <w:rPr>
                <w:i/>
                <w:color w:val="000000"/>
                <w:u w:color="000000"/>
              </w:rPr>
              <w:t>.</w:t>
            </w:r>
          </w:p>
        </w:tc>
      </w:tr>
      <w:tr w:rsidR="00E763EE" w:rsidRPr="005C3EA2" w14:paraId="401C85D2" w14:textId="77777777" w:rsidTr="00B61C53">
        <w:tc>
          <w:tcPr>
            <w:tcW w:w="990" w:type="dxa"/>
          </w:tcPr>
          <w:p w14:paraId="6A6CDC68" w14:textId="2DEADFEA" w:rsidR="00E763EE" w:rsidRPr="005C3EA2" w:rsidRDefault="00D25C45" w:rsidP="00B61C53">
            <w:pPr>
              <w:jc w:val="both"/>
              <w:rPr>
                <w:color w:val="000000"/>
                <w:u w:color="000000"/>
              </w:rPr>
            </w:pPr>
            <w:r w:rsidRPr="005C3EA2">
              <w:rPr>
                <w:color w:val="000000"/>
                <w:u w:color="000000"/>
              </w:rPr>
              <w:t>6</w:t>
            </w:r>
          </w:p>
        </w:tc>
        <w:tc>
          <w:tcPr>
            <w:tcW w:w="8478" w:type="dxa"/>
          </w:tcPr>
          <w:p w14:paraId="6D506416" w14:textId="77777777" w:rsidR="00E763EE" w:rsidRPr="005C3EA2" w:rsidRDefault="00E763EE" w:rsidP="00B61C53">
            <w:pPr>
              <w:jc w:val="both"/>
              <w:rPr>
                <w:color w:val="000000"/>
                <w:u w:color="000000"/>
              </w:rPr>
            </w:pPr>
            <w:r w:rsidRPr="005C3EA2">
              <w:rPr>
                <w:color w:val="000000"/>
                <w:u w:color="000000"/>
              </w:rPr>
              <w:t xml:space="preserve">Verify that person has attempted to quit smoking in the past 12 months. </w:t>
            </w:r>
          </w:p>
        </w:tc>
      </w:tr>
      <w:tr w:rsidR="00E763EE" w:rsidRPr="005C3EA2" w14:paraId="2D12847E" w14:textId="77777777" w:rsidTr="00B61C53">
        <w:tc>
          <w:tcPr>
            <w:tcW w:w="9468" w:type="dxa"/>
            <w:gridSpan w:val="2"/>
          </w:tcPr>
          <w:p w14:paraId="21469D70" w14:textId="77243841" w:rsidR="00E763EE" w:rsidRPr="005C3EA2" w:rsidRDefault="00E763EE" w:rsidP="00D25C45">
            <w:pPr>
              <w:jc w:val="both"/>
              <w:rPr>
                <w:color w:val="000000"/>
                <w:u w:color="000000"/>
              </w:rPr>
            </w:pPr>
            <w:r w:rsidRPr="005C3EA2">
              <w:rPr>
                <w:i/>
                <w:color w:val="000000"/>
                <w:u w:color="000000"/>
              </w:rPr>
              <w:t xml:space="preserve">Termination point for people who do not meet criteria in </w:t>
            </w:r>
            <w:r w:rsidR="00D25C45" w:rsidRPr="005C3EA2">
              <w:rPr>
                <w:i/>
                <w:color w:val="000000"/>
                <w:u w:color="000000"/>
              </w:rPr>
              <w:t>6</w:t>
            </w:r>
            <w:r w:rsidRPr="005C3EA2">
              <w:rPr>
                <w:i/>
                <w:color w:val="000000"/>
                <w:u w:color="000000"/>
              </w:rPr>
              <w:t>.</w:t>
            </w:r>
          </w:p>
        </w:tc>
      </w:tr>
      <w:tr w:rsidR="00E763EE" w:rsidRPr="005C3EA2" w14:paraId="4B81D398" w14:textId="77777777" w:rsidTr="00B61C53">
        <w:tc>
          <w:tcPr>
            <w:tcW w:w="990" w:type="dxa"/>
          </w:tcPr>
          <w:p w14:paraId="3A718F18" w14:textId="6E0FA77C" w:rsidR="00E763EE" w:rsidRPr="005C3EA2" w:rsidRDefault="00D25C45" w:rsidP="00B61C53">
            <w:pPr>
              <w:jc w:val="both"/>
              <w:rPr>
                <w:color w:val="000000"/>
                <w:u w:color="000000"/>
              </w:rPr>
            </w:pPr>
            <w:r w:rsidRPr="005C3EA2">
              <w:rPr>
                <w:color w:val="000000"/>
                <w:u w:color="000000"/>
              </w:rPr>
              <w:t>7</w:t>
            </w:r>
          </w:p>
        </w:tc>
        <w:tc>
          <w:tcPr>
            <w:tcW w:w="8478" w:type="dxa"/>
          </w:tcPr>
          <w:p w14:paraId="318B63D6" w14:textId="77777777" w:rsidR="00E763EE" w:rsidRPr="005C3EA2" w:rsidRDefault="00E763EE" w:rsidP="00B61C53">
            <w:pPr>
              <w:rPr>
                <w:color w:val="000000"/>
                <w:u w:color="000000"/>
              </w:rPr>
            </w:pPr>
            <w:r w:rsidRPr="005C3EA2">
              <w:rPr>
                <w:color w:val="000000"/>
                <w:u w:color="000000"/>
              </w:rPr>
              <w:t xml:space="preserve">Verify that person buys cigarettes at convenience stores/gas stations at least occasionally. </w:t>
            </w:r>
          </w:p>
        </w:tc>
      </w:tr>
      <w:tr w:rsidR="00E763EE" w:rsidRPr="005C3EA2" w14:paraId="523FBABB" w14:textId="77777777" w:rsidTr="00B61C53">
        <w:tc>
          <w:tcPr>
            <w:tcW w:w="9468" w:type="dxa"/>
            <w:gridSpan w:val="2"/>
          </w:tcPr>
          <w:p w14:paraId="4E9F59AA" w14:textId="631F6647" w:rsidR="00E763EE" w:rsidRPr="005C3EA2" w:rsidRDefault="00E763EE" w:rsidP="00D25C45">
            <w:pPr>
              <w:jc w:val="both"/>
              <w:rPr>
                <w:color w:val="000000"/>
                <w:u w:color="000000"/>
              </w:rPr>
            </w:pPr>
            <w:r w:rsidRPr="005C3EA2">
              <w:rPr>
                <w:i/>
                <w:color w:val="000000"/>
                <w:u w:color="000000"/>
              </w:rPr>
              <w:t xml:space="preserve"> Termination point for people who do not meet criteria in </w:t>
            </w:r>
            <w:r w:rsidR="00D25C45" w:rsidRPr="005C3EA2">
              <w:rPr>
                <w:i/>
                <w:color w:val="000000"/>
                <w:u w:color="000000"/>
              </w:rPr>
              <w:t>7</w:t>
            </w:r>
            <w:r w:rsidRPr="005C3EA2">
              <w:rPr>
                <w:i/>
                <w:color w:val="000000"/>
                <w:u w:color="000000"/>
              </w:rPr>
              <w:t>.</w:t>
            </w:r>
          </w:p>
        </w:tc>
      </w:tr>
      <w:tr w:rsidR="00E763EE" w:rsidRPr="005C3EA2" w14:paraId="6D61DFBB" w14:textId="77777777" w:rsidTr="00B61C53">
        <w:tc>
          <w:tcPr>
            <w:tcW w:w="990" w:type="dxa"/>
          </w:tcPr>
          <w:p w14:paraId="71EB67F4" w14:textId="3365D57C" w:rsidR="00E763EE" w:rsidRPr="005C3EA2" w:rsidRDefault="00D25C45" w:rsidP="00B61C53">
            <w:pPr>
              <w:jc w:val="both"/>
              <w:rPr>
                <w:color w:val="000000"/>
                <w:u w:color="000000"/>
              </w:rPr>
            </w:pPr>
            <w:r w:rsidRPr="005C3EA2">
              <w:rPr>
                <w:color w:val="000000"/>
                <w:u w:color="000000"/>
              </w:rPr>
              <w:t>8</w:t>
            </w:r>
          </w:p>
        </w:tc>
        <w:tc>
          <w:tcPr>
            <w:tcW w:w="8478" w:type="dxa"/>
          </w:tcPr>
          <w:p w14:paraId="6EFFFB8A" w14:textId="77777777" w:rsidR="00E763EE" w:rsidRPr="005C3EA2" w:rsidRDefault="00E763EE" w:rsidP="00B61C53">
            <w:pPr>
              <w:jc w:val="both"/>
              <w:rPr>
                <w:color w:val="000000"/>
                <w:u w:color="000000"/>
              </w:rPr>
            </w:pPr>
            <w:r w:rsidRPr="005C3EA2">
              <w:rPr>
                <w:color w:val="000000"/>
                <w:u w:color="000000"/>
              </w:rPr>
              <w:t>Verify that person visits a convenience store at least once a month.</w:t>
            </w:r>
          </w:p>
        </w:tc>
      </w:tr>
      <w:tr w:rsidR="00E763EE" w:rsidRPr="005C3EA2" w14:paraId="120DEFD9" w14:textId="77777777" w:rsidTr="00B61C53">
        <w:tc>
          <w:tcPr>
            <w:tcW w:w="9468" w:type="dxa"/>
            <w:gridSpan w:val="2"/>
          </w:tcPr>
          <w:p w14:paraId="5ED0F9D9" w14:textId="0D66DE0D" w:rsidR="00E763EE" w:rsidRPr="005C3EA2" w:rsidRDefault="00E763EE" w:rsidP="00D25C45">
            <w:pPr>
              <w:jc w:val="both"/>
              <w:rPr>
                <w:color w:val="000000"/>
                <w:u w:color="000000"/>
              </w:rPr>
            </w:pPr>
            <w:r w:rsidRPr="005C3EA2">
              <w:rPr>
                <w:i/>
                <w:color w:val="000000"/>
                <w:u w:color="000000"/>
              </w:rPr>
              <w:t xml:space="preserve">Termination point for people who do not meet criteria in </w:t>
            </w:r>
            <w:r w:rsidR="00D25C45" w:rsidRPr="005C3EA2">
              <w:rPr>
                <w:i/>
                <w:color w:val="000000"/>
                <w:u w:color="000000"/>
              </w:rPr>
              <w:t>8</w:t>
            </w:r>
            <w:r w:rsidRPr="005C3EA2">
              <w:rPr>
                <w:i/>
                <w:color w:val="000000"/>
                <w:u w:color="000000"/>
              </w:rPr>
              <w:t>.</w:t>
            </w:r>
          </w:p>
        </w:tc>
      </w:tr>
      <w:tr w:rsidR="00E763EE" w:rsidRPr="005C3EA2" w14:paraId="5CAA8A33" w14:textId="77777777" w:rsidTr="00B61C53">
        <w:tc>
          <w:tcPr>
            <w:tcW w:w="990" w:type="dxa"/>
          </w:tcPr>
          <w:p w14:paraId="3BB70E88" w14:textId="45C25C45" w:rsidR="00E763EE" w:rsidRPr="005C3EA2" w:rsidRDefault="00D25C45" w:rsidP="00D25C45">
            <w:pPr>
              <w:jc w:val="both"/>
              <w:rPr>
                <w:color w:val="000000"/>
                <w:u w:color="000000"/>
              </w:rPr>
            </w:pPr>
            <w:r w:rsidRPr="005C3EA2">
              <w:rPr>
                <w:color w:val="000000"/>
                <w:u w:color="000000"/>
              </w:rPr>
              <w:t>9</w:t>
            </w:r>
            <w:r w:rsidR="00E763EE" w:rsidRPr="005C3EA2">
              <w:rPr>
                <w:color w:val="000000"/>
                <w:u w:color="000000"/>
              </w:rPr>
              <w:t>,</w:t>
            </w:r>
            <w:r w:rsidRPr="005C3EA2">
              <w:rPr>
                <w:color w:val="000000"/>
                <w:u w:color="000000"/>
              </w:rPr>
              <w:t>10</w:t>
            </w:r>
          </w:p>
        </w:tc>
        <w:tc>
          <w:tcPr>
            <w:tcW w:w="8478" w:type="dxa"/>
          </w:tcPr>
          <w:p w14:paraId="78B541CF" w14:textId="77777777" w:rsidR="00E763EE" w:rsidRPr="005C3EA2" w:rsidRDefault="00E763EE" w:rsidP="00B61C53">
            <w:pPr>
              <w:jc w:val="both"/>
              <w:rPr>
                <w:color w:val="000000"/>
                <w:u w:color="000000"/>
              </w:rPr>
            </w:pPr>
            <w:r w:rsidRPr="005C3EA2">
              <w:rPr>
                <w:color w:val="000000"/>
                <w:u w:color="000000"/>
              </w:rPr>
              <w:t>Verify that person is either a poly-user of tobacco or a current cigarette smoker only. Recruit a diverse sample.</w:t>
            </w:r>
          </w:p>
        </w:tc>
      </w:tr>
      <w:tr w:rsidR="00E763EE" w:rsidRPr="005C3EA2" w14:paraId="79FEAE1D" w14:textId="77777777" w:rsidTr="00B61C53">
        <w:tc>
          <w:tcPr>
            <w:tcW w:w="990" w:type="dxa"/>
          </w:tcPr>
          <w:p w14:paraId="1584A4DD" w14:textId="4A1D0F25" w:rsidR="00E763EE" w:rsidRPr="005C3EA2" w:rsidRDefault="00E763EE" w:rsidP="00D25C45">
            <w:pPr>
              <w:jc w:val="both"/>
              <w:rPr>
                <w:color w:val="000000"/>
                <w:u w:color="000000"/>
              </w:rPr>
            </w:pPr>
            <w:r w:rsidRPr="005C3EA2">
              <w:rPr>
                <w:color w:val="000000"/>
                <w:u w:color="000000"/>
              </w:rPr>
              <w:t>1</w:t>
            </w:r>
            <w:r w:rsidR="00D25C45" w:rsidRPr="005C3EA2">
              <w:rPr>
                <w:color w:val="000000"/>
                <w:u w:color="000000"/>
              </w:rPr>
              <w:t>1</w:t>
            </w:r>
          </w:p>
        </w:tc>
        <w:tc>
          <w:tcPr>
            <w:tcW w:w="8478" w:type="dxa"/>
          </w:tcPr>
          <w:p w14:paraId="1CB58010" w14:textId="77777777" w:rsidR="00E763EE" w:rsidRPr="005C3EA2" w:rsidRDefault="00E763EE" w:rsidP="00B61C53">
            <w:pPr>
              <w:jc w:val="both"/>
              <w:rPr>
                <w:color w:val="000000"/>
                <w:u w:color="000000"/>
              </w:rPr>
            </w:pPr>
            <w:r w:rsidRPr="005C3EA2">
              <w:rPr>
                <w:color w:val="000000"/>
                <w:u w:color="000000"/>
              </w:rPr>
              <w:t>Verify gender. Ensure a diverse sample.</w:t>
            </w:r>
          </w:p>
        </w:tc>
      </w:tr>
      <w:tr w:rsidR="00E763EE" w:rsidRPr="005C3EA2" w14:paraId="04C5226B" w14:textId="77777777" w:rsidTr="00B61C53">
        <w:tc>
          <w:tcPr>
            <w:tcW w:w="990" w:type="dxa"/>
          </w:tcPr>
          <w:p w14:paraId="3A6A999A" w14:textId="01579774" w:rsidR="00E763EE" w:rsidRPr="005C3EA2" w:rsidRDefault="00E763EE" w:rsidP="00D25C45">
            <w:pPr>
              <w:jc w:val="both"/>
              <w:rPr>
                <w:color w:val="000000"/>
                <w:u w:color="000000"/>
              </w:rPr>
            </w:pPr>
            <w:r w:rsidRPr="005C3EA2">
              <w:rPr>
                <w:color w:val="000000"/>
                <w:u w:color="000000"/>
              </w:rPr>
              <w:t>1</w:t>
            </w:r>
            <w:r w:rsidR="00D25C45" w:rsidRPr="005C3EA2">
              <w:rPr>
                <w:color w:val="000000"/>
                <w:u w:color="000000"/>
              </w:rPr>
              <w:t>2</w:t>
            </w:r>
          </w:p>
        </w:tc>
        <w:tc>
          <w:tcPr>
            <w:tcW w:w="8478" w:type="dxa"/>
          </w:tcPr>
          <w:p w14:paraId="26938795" w14:textId="77777777" w:rsidR="00E763EE" w:rsidRPr="005C3EA2" w:rsidRDefault="00E763EE" w:rsidP="00B61C53">
            <w:pPr>
              <w:jc w:val="both"/>
              <w:rPr>
                <w:color w:val="000000"/>
                <w:u w:color="000000"/>
              </w:rPr>
            </w:pPr>
            <w:r w:rsidRPr="005C3EA2">
              <w:rPr>
                <w:color w:val="000000"/>
                <w:u w:color="000000"/>
              </w:rPr>
              <w:t>Verify race/ethnicity. Ensure a diverse sample.</w:t>
            </w:r>
          </w:p>
        </w:tc>
      </w:tr>
      <w:tr w:rsidR="00E763EE" w:rsidRPr="005C3EA2" w14:paraId="3636CB6A" w14:textId="77777777" w:rsidTr="00B61C53">
        <w:tc>
          <w:tcPr>
            <w:tcW w:w="990" w:type="dxa"/>
          </w:tcPr>
          <w:p w14:paraId="19C61AB2" w14:textId="4D6AEF54" w:rsidR="00E763EE" w:rsidRPr="005C3EA2" w:rsidRDefault="00E763EE" w:rsidP="00D25C45">
            <w:pPr>
              <w:jc w:val="both"/>
              <w:rPr>
                <w:color w:val="000000"/>
                <w:u w:color="000000"/>
              </w:rPr>
            </w:pPr>
            <w:r w:rsidRPr="005C3EA2">
              <w:rPr>
                <w:color w:val="000000"/>
                <w:u w:color="000000"/>
              </w:rPr>
              <w:t>1</w:t>
            </w:r>
            <w:r w:rsidR="00D25C45" w:rsidRPr="005C3EA2">
              <w:rPr>
                <w:color w:val="000000"/>
                <w:u w:color="000000"/>
              </w:rPr>
              <w:t>3</w:t>
            </w:r>
          </w:p>
        </w:tc>
        <w:tc>
          <w:tcPr>
            <w:tcW w:w="8478" w:type="dxa"/>
          </w:tcPr>
          <w:p w14:paraId="5FFADE80" w14:textId="77777777" w:rsidR="00E763EE" w:rsidRPr="005C3EA2" w:rsidRDefault="00E763EE" w:rsidP="00B61C53">
            <w:pPr>
              <w:jc w:val="both"/>
              <w:rPr>
                <w:color w:val="000000"/>
                <w:u w:color="000000"/>
              </w:rPr>
            </w:pPr>
            <w:r w:rsidRPr="005C3EA2">
              <w:rPr>
                <w:color w:val="000000"/>
                <w:u w:color="000000"/>
              </w:rPr>
              <w:t xml:space="preserve">Verify/Validate age from before. </w:t>
            </w:r>
          </w:p>
        </w:tc>
      </w:tr>
      <w:tr w:rsidR="00E763EE" w:rsidRPr="005C3EA2" w14:paraId="62D12A0C" w14:textId="77777777" w:rsidTr="00B61C53">
        <w:tc>
          <w:tcPr>
            <w:tcW w:w="990" w:type="dxa"/>
          </w:tcPr>
          <w:p w14:paraId="6F265F19" w14:textId="4944FA77" w:rsidR="00E763EE" w:rsidRPr="005C3EA2" w:rsidRDefault="00E763EE" w:rsidP="00D25C45">
            <w:pPr>
              <w:jc w:val="both"/>
              <w:rPr>
                <w:color w:val="000000"/>
                <w:u w:color="000000"/>
              </w:rPr>
            </w:pPr>
            <w:r w:rsidRPr="005C3EA2">
              <w:rPr>
                <w:color w:val="000000"/>
                <w:u w:color="000000"/>
              </w:rPr>
              <w:t>1</w:t>
            </w:r>
            <w:r w:rsidR="00D25C45" w:rsidRPr="005C3EA2">
              <w:rPr>
                <w:color w:val="000000"/>
                <w:u w:color="000000"/>
              </w:rPr>
              <w:t>4</w:t>
            </w:r>
          </w:p>
        </w:tc>
        <w:tc>
          <w:tcPr>
            <w:tcW w:w="8478" w:type="dxa"/>
          </w:tcPr>
          <w:p w14:paraId="2E1B27C3" w14:textId="77777777" w:rsidR="00E763EE" w:rsidRPr="005C3EA2" w:rsidRDefault="00E763EE" w:rsidP="00B61C53">
            <w:pPr>
              <w:jc w:val="both"/>
              <w:rPr>
                <w:color w:val="000000"/>
                <w:u w:color="000000"/>
              </w:rPr>
            </w:pPr>
            <w:r w:rsidRPr="005C3EA2">
              <w:rPr>
                <w:color w:val="000000"/>
                <w:u w:color="000000"/>
              </w:rPr>
              <w:t>Verify zip code. Ensure a diverse sample.</w:t>
            </w:r>
          </w:p>
        </w:tc>
      </w:tr>
    </w:tbl>
    <w:p w14:paraId="4488E51A" w14:textId="77777777" w:rsidR="00396E63" w:rsidRPr="005C3EA2" w:rsidRDefault="00396E63" w:rsidP="00E763EE">
      <w:pPr>
        <w:ind w:left="720"/>
      </w:pPr>
    </w:p>
    <w:p w14:paraId="75691122" w14:textId="152273BC" w:rsidR="00E763EE" w:rsidRPr="005C3EA2" w:rsidRDefault="00396E63" w:rsidP="00E763EE">
      <w:pPr>
        <w:ind w:left="720"/>
      </w:pPr>
      <w:r w:rsidRPr="005C3EA2">
        <w:t>S</w:t>
      </w:r>
      <w:r w:rsidR="00E763EE" w:rsidRPr="005C3EA2">
        <w:t xml:space="preserve">oft quotas (Table </w:t>
      </w:r>
      <w:r w:rsidRPr="005C3EA2">
        <w:t>3</w:t>
      </w:r>
      <w:r w:rsidR="00E763EE" w:rsidRPr="005C3EA2">
        <w:t>) will be used to help ensure that the study sample represents individuals from a variety of demographic backgrounds. Soft quotas are not used to strictly enforce a quota or limit for any category and are not meant to be nationally representative. They are instead used to ensure a variety of individuals are accounted for in the survey results. Gender, race/ethnicity, age, and user type are self-identified by participants during the screening process. Soft quota proportions for this research study are based on soft quotas used for recruitment for the previous point-of-sale creative concepts research (</w:t>
      </w:r>
      <w:r w:rsidR="00E763EE" w:rsidRPr="005C3EA2">
        <w:rPr>
          <w:bCs/>
        </w:rPr>
        <w:t>Point-of-Sale Creative Concept Testing – Focus Groups with Current Adult Smokers</w:t>
      </w:r>
      <w:r w:rsidR="00E763EE" w:rsidRPr="005C3EA2">
        <w:t>), which was conducted by CTP in May and June of 2016.</w:t>
      </w:r>
    </w:p>
    <w:p w14:paraId="5AC34ADF" w14:textId="77777777" w:rsidR="00E763EE" w:rsidRPr="005C3EA2" w:rsidRDefault="00E763EE" w:rsidP="00E763EE"/>
    <w:p w14:paraId="111C4114" w14:textId="2822D1EB" w:rsidR="00E763EE" w:rsidRPr="005C3EA2" w:rsidRDefault="00E763EE" w:rsidP="00E763EE">
      <w:pPr>
        <w:pStyle w:val="CommentText"/>
        <w:ind w:left="720"/>
        <w:rPr>
          <w:b/>
          <w:sz w:val="24"/>
          <w:szCs w:val="24"/>
          <w:u w:val="single"/>
        </w:rPr>
      </w:pPr>
      <w:r w:rsidRPr="005C3EA2">
        <w:rPr>
          <w:sz w:val="24"/>
          <w:szCs w:val="24"/>
        </w:rPr>
        <w:t xml:space="preserve">Throughout the data collection process, </w:t>
      </w:r>
      <w:proofErr w:type="spellStart"/>
      <w:r w:rsidRPr="005C3EA2">
        <w:rPr>
          <w:sz w:val="24"/>
          <w:szCs w:val="24"/>
        </w:rPr>
        <w:t>Fors</w:t>
      </w:r>
      <w:proofErr w:type="spellEnd"/>
      <w:r w:rsidRPr="005C3EA2">
        <w:rPr>
          <w:sz w:val="24"/>
          <w:szCs w:val="24"/>
        </w:rPr>
        <w:t xml:space="preserve"> Marsh Group will evaluate the respondent pool daily to adjust for any demographic over/under sampling. These requirements will be communicated to SSI who will then make the adjustments in order to reach the desired target populations. SSI may be asked to contact more or fewer participants of a given demographic background based on the progress of meeting soft quotas. </w:t>
      </w:r>
      <w:proofErr w:type="spellStart"/>
      <w:r w:rsidRPr="005C3EA2">
        <w:rPr>
          <w:sz w:val="24"/>
          <w:szCs w:val="24"/>
        </w:rPr>
        <w:t>Fors</w:t>
      </w:r>
      <w:proofErr w:type="spellEnd"/>
      <w:r w:rsidRPr="005C3EA2">
        <w:rPr>
          <w:sz w:val="24"/>
          <w:szCs w:val="24"/>
        </w:rPr>
        <w:t xml:space="preserve"> Marsh Group will provide twice weekly updates on recruitment to FCB </w:t>
      </w:r>
      <w:r w:rsidR="007E4683" w:rsidRPr="005C3EA2">
        <w:rPr>
          <w:sz w:val="24"/>
          <w:szCs w:val="24"/>
        </w:rPr>
        <w:t xml:space="preserve">and </w:t>
      </w:r>
      <w:r w:rsidRPr="005C3EA2">
        <w:rPr>
          <w:sz w:val="24"/>
          <w:szCs w:val="24"/>
        </w:rPr>
        <w:t xml:space="preserve">CTP. The reports will be sent electronically and will show the total number of respondents from each subgroup.  Based on these updates, it will be determined if any subgroup is being over- or </w:t>
      </w:r>
      <w:r w:rsidRPr="005C3EA2">
        <w:rPr>
          <w:sz w:val="24"/>
          <w:szCs w:val="24"/>
        </w:rPr>
        <w:lastRenderedPageBreak/>
        <w:t xml:space="preserve">under-recruited (based on the study’s soft quotas). If so, </w:t>
      </w:r>
      <w:proofErr w:type="spellStart"/>
      <w:r w:rsidRPr="005C3EA2">
        <w:rPr>
          <w:sz w:val="24"/>
          <w:szCs w:val="24"/>
        </w:rPr>
        <w:t>Fors</w:t>
      </w:r>
      <w:proofErr w:type="spellEnd"/>
      <w:r w:rsidRPr="005C3EA2">
        <w:rPr>
          <w:sz w:val="24"/>
          <w:szCs w:val="24"/>
        </w:rPr>
        <w:t xml:space="preserve"> Marsh Group will be instructed to adjust their recruitment strategies accordingly. </w:t>
      </w:r>
    </w:p>
    <w:p w14:paraId="03F95D9B" w14:textId="77777777" w:rsidR="00E763EE" w:rsidRPr="005C3EA2" w:rsidRDefault="00E763EE" w:rsidP="00E763EE">
      <w:pPr>
        <w:ind w:firstLine="720"/>
        <w:rPr>
          <w:b/>
          <w:bCs/>
        </w:rPr>
      </w:pPr>
    </w:p>
    <w:p w14:paraId="1088C5C6" w14:textId="3C0D240D" w:rsidR="00E763EE" w:rsidRDefault="00E763EE" w:rsidP="00E763EE">
      <w:pPr>
        <w:ind w:firstLine="720"/>
        <w:rPr>
          <w:b/>
          <w:bCs/>
        </w:rPr>
      </w:pPr>
      <w:r w:rsidRPr="005C3EA2">
        <w:rPr>
          <w:b/>
          <w:bCs/>
        </w:rPr>
        <w:t xml:space="preserve">Table </w:t>
      </w:r>
      <w:r w:rsidR="00396E63" w:rsidRPr="005C3EA2">
        <w:rPr>
          <w:b/>
          <w:bCs/>
        </w:rPr>
        <w:t>3</w:t>
      </w:r>
      <w:r w:rsidRPr="005C3EA2">
        <w:rPr>
          <w:b/>
          <w:bCs/>
        </w:rPr>
        <w:t xml:space="preserve"> – Demographic Recruitment Goals</w:t>
      </w:r>
    </w:p>
    <w:p w14:paraId="54539EFD" w14:textId="77777777" w:rsidR="007804D0" w:rsidRPr="005C3EA2" w:rsidRDefault="007804D0" w:rsidP="00E763EE">
      <w:pPr>
        <w:ind w:firstLine="720"/>
        <w:rPr>
          <w:b/>
          <w:bCs/>
        </w:rPr>
      </w:pPr>
    </w:p>
    <w:tbl>
      <w:tblPr>
        <w:tblStyle w:val="TableGrid"/>
        <w:tblW w:w="0" w:type="auto"/>
        <w:tblInd w:w="828" w:type="dxa"/>
        <w:tblLook w:val="04A0" w:firstRow="1" w:lastRow="0" w:firstColumn="1" w:lastColumn="0" w:noHBand="0" w:noVBand="1"/>
      </w:tblPr>
      <w:tblGrid>
        <w:gridCol w:w="2887"/>
        <w:gridCol w:w="2147"/>
      </w:tblGrid>
      <w:tr w:rsidR="00E763EE" w:rsidRPr="005C3EA2" w14:paraId="1EEF7E15" w14:textId="77777777" w:rsidTr="00396E63">
        <w:trPr>
          <w:trHeight w:val="288"/>
        </w:trPr>
        <w:tc>
          <w:tcPr>
            <w:tcW w:w="2887" w:type="dxa"/>
            <w:shd w:val="clear" w:color="auto" w:fill="BFBFBF" w:themeFill="background1" w:themeFillShade="BF"/>
          </w:tcPr>
          <w:p w14:paraId="6A17F4D3" w14:textId="77777777" w:rsidR="00E763EE" w:rsidRPr="005C3EA2" w:rsidRDefault="00E763EE" w:rsidP="00396E63">
            <w:pPr>
              <w:jc w:val="center"/>
              <w:rPr>
                <w:b/>
              </w:rPr>
            </w:pPr>
            <w:r w:rsidRPr="005C3EA2">
              <w:rPr>
                <w:b/>
              </w:rPr>
              <w:t>Demographic Category</w:t>
            </w:r>
          </w:p>
        </w:tc>
        <w:tc>
          <w:tcPr>
            <w:tcW w:w="2147" w:type="dxa"/>
            <w:shd w:val="clear" w:color="auto" w:fill="BFBFBF" w:themeFill="background1" w:themeFillShade="BF"/>
          </w:tcPr>
          <w:p w14:paraId="34182FD3" w14:textId="77777777" w:rsidR="00E763EE" w:rsidRPr="005C3EA2" w:rsidRDefault="00E763EE" w:rsidP="00396E63">
            <w:pPr>
              <w:jc w:val="center"/>
              <w:rPr>
                <w:b/>
              </w:rPr>
            </w:pPr>
            <w:r w:rsidRPr="005C3EA2">
              <w:rPr>
                <w:b/>
              </w:rPr>
              <w:t>Soft Quota</w:t>
            </w:r>
          </w:p>
        </w:tc>
      </w:tr>
      <w:tr w:rsidR="00E763EE" w:rsidRPr="005C3EA2" w14:paraId="285350C5" w14:textId="77777777" w:rsidTr="00814AC1">
        <w:trPr>
          <w:trHeight w:val="269"/>
        </w:trPr>
        <w:tc>
          <w:tcPr>
            <w:tcW w:w="2887" w:type="dxa"/>
          </w:tcPr>
          <w:p w14:paraId="64C4A998" w14:textId="77777777" w:rsidR="00E763EE" w:rsidRPr="005C3EA2" w:rsidRDefault="00E763EE" w:rsidP="00B61C53">
            <w:pPr>
              <w:jc w:val="both"/>
            </w:pPr>
            <w:r w:rsidRPr="005C3EA2">
              <w:rPr>
                <w:bCs/>
              </w:rPr>
              <w:t>Hispanic</w:t>
            </w:r>
          </w:p>
        </w:tc>
        <w:tc>
          <w:tcPr>
            <w:tcW w:w="2147" w:type="dxa"/>
          </w:tcPr>
          <w:p w14:paraId="67AB0E5F" w14:textId="77777777" w:rsidR="00E763EE" w:rsidRPr="005C3EA2" w:rsidRDefault="00E763EE" w:rsidP="00B61C53">
            <w:pPr>
              <w:jc w:val="center"/>
            </w:pPr>
            <w:r w:rsidRPr="005C3EA2">
              <w:t>10%</w:t>
            </w:r>
          </w:p>
        </w:tc>
      </w:tr>
      <w:tr w:rsidR="00E763EE" w:rsidRPr="005C3EA2" w14:paraId="2381ABE8" w14:textId="77777777" w:rsidTr="00814AC1">
        <w:trPr>
          <w:trHeight w:val="288"/>
        </w:trPr>
        <w:tc>
          <w:tcPr>
            <w:tcW w:w="2887" w:type="dxa"/>
          </w:tcPr>
          <w:p w14:paraId="1F4E4B84" w14:textId="77777777" w:rsidR="00E763EE" w:rsidRPr="005C3EA2" w:rsidRDefault="00E763EE" w:rsidP="00B61C53">
            <w:pPr>
              <w:jc w:val="both"/>
            </w:pPr>
            <w:r w:rsidRPr="005C3EA2">
              <w:rPr>
                <w:bCs/>
              </w:rPr>
              <w:t>Caucasian</w:t>
            </w:r>
          </w:p>
        </w:tc>
        <w:tc>
          <w:tcPr>
            <w:tcW w:w="2147" w:type="dxa"/>
          </w:tcPr>
          <w:p w14:paraId="19B3D867" w14:textId="77777777" w:rsidR="00E763EE" w:rsidRPr="005C3EA2" w:rsidRDefault="00E763EE" w:rsidP="00B61C53">
            <w:pPr>
              <w:jc w:val="center"/>
            </w:pPr>
            <w:r w:rsidRPr="005C3EA2">
              <w:t>55%</w:t>
            </w:r>
          </w:p>
        </w:tc>
      </w:tr>
      <w:tr w:rsidR="00E763EE" w:rsidRPr="005C3EA2" w14:paraId="1C22481A" w14:textId="77777777" w:rsidTr="00814AC1">
        <w:trPr>
          <w:trHeight w:val="288"/>
        </w:trPr>
        <w:tc>
          <w:tcPr>
            <w:tcW w:w="2887" w:type="dxa"/>
            <w:tcBorders>
              <w:bottom w:val="single" w:sz="4" w:space="0" w:color="auto"/>
            </w:tcBorders>
          </w:tcPr>
          <w:p w14:paraId="40AC9782" w14:textId="77777777" w:rsidR="00E763EE" w:rsidRPr="005C3EA2" w:rsidRDefault="00E763EE" w:rsidP="00B61C53">
            <w:pPr>
              <w:jc w:val="both"/>
              <w:rPr>
                <w:bCs/>
              </w:rPr>
            </w:pPr>
            <w:r w:rsidRPr="005C3EA2">
              <w:rPr>
                <w:bCs/>
              </w:rPr>
              <w:t>African American</w:t>
            </w:r>
          </w:p>
        </w:tc>
        <w:tc>
          <w:tcPr>
            <w:tcW w:w="2147" w:type="dxa"/>
            <w:tcBorders>
              <w:bottom w:val="single" w:sz="4" w:space="0" w:color="auto"/>
            </w:tcBorders>
          </w:tcPr>
          <w:p w14:paraId="383D20DB" w14:textId="77777777" w:rsidR="00E763EE" w:rsidRPr="005C3EA2" w:rsidRDefault="00E763EE" w:rsidP="00B61C53">
            <w:pPr>
              <w:jc w:val="center"/>
            </w:pPr>
            <w:r w:rsidRPr="005C3EA2">
              <w:t>30%</w:t>
            </w:r>
          </w:p>
        </w:tc>
      </w:tr>
      <w:tr w:rsidR="00E763EE" w:rsidRPr="005C3EA2" w14:paraId="09B49BAD" w14:textId="77777777" w:rsidTr="00814AC1">
        <w:trPr>
          <w:trHeight w:val="288"/>
        </w:trPr>
        <w:tc>
          <w:tcPr>
            <w:tcW w:w="2887" w:type="dxa"/>
            <w:tcBorders>
              <w:bottom w:val="single" w:sz="12" w:space="0" w:color="auto"/>
            </w:tcBorders>
          </w:tcPr>
          <w:p w14:paraId="6A34DF6A" w14:textId="77777777" w:rsidR="00E763EE" w:rsidRPr="005C3EA2" w:rsidRDefault="00E763EE" w:rsidP="00B61C53">
            <w:pPr>
              <w:jc w:val="both"/>
              <w:rPr>
                <w:bCs/>
              </w:rPr>
            </w:pPr>
            <w:r w:rsidRPr="005C3EA2">
              <w:rPr>
                <w:bCs/>
              </w:rPr>
              <w:t>Other</w:t>
            </w:r>
          </w:p>
        </w:tc>
        <w:tc>
          <w:tcPr>
            <w:tcW w:w="2147" w:type="dxa"/>
            <w:tcBorders>
              <w:bottom w:val="single" w:sz="12" w:space="0" w:color="auto"/>
            </w:tcBorders>
          </w:tcPr>
          <w:p w14:paraId="096BDAC6" w14:textId="77777777" w:rsidR="00E763EE" w:rsidRPr="005C3EA2" w:rsidRDefault="00E763EE" w:rsidP="00B61C53">
            <w:pPr>
              <w:jc w:val="center"/>
            </w:pPr>
            <w:r w:rsidRPr="005C3EA2">
              <w:t>5%</w:t>
            </w:r>
          </w:p>
        </w:tc>
      </w:tr>
      <w:tr w:rsidR="00E763EE" w:rsidRPr="005C3EA2" w14:paraId="14DC3E6A" w14:textId="77777777" w:rsidTr="00814AC1">
        <w:trPr>
          <w:trHeight w:val="288"/>
        </w:trPr>
        <w:tc>
          <w:tcPr>
            <w:tcW w:w="2887" w:type="dxa"/>
            <w:tcBorders>
              <w:top w:val="single" w:sz="12" w:space="0" w:color="auto"/>
            </w:tcBorders>
          </w:tcPr>
          <w:p w14:paraId="70C4E2BC" w14:textId="77777777" w:rsidR="00E763EE" w:rsidRPr="005C3EA2" w:rsidRDefault="00E763EE" w:rsidP="00B61C53">
            <w:pPr>
              <w:jc w:val="both"/>
              <w:rPr>
                <w:bCs/>
              </w:rPr>
            </w:pPr>
            <w:r w:rsidRPr="005C3EA2">
              <w:rPr>
                <w:bCs/>
              </w:rPr>
              <w:t>Male</w:t>
            </w:r>
          </w:p>
        </w:tc>
        <w:tc>
          <w:tcPr>
            <w:tcW w:w="2147" w:type="dxa"/>
            <w:tcBorders>
              <w:top w:val="single" w:sz="12" w:space="0" w:color="auto"/>
            </w:tcBorders>
          </w:tcPr>
          <w:p w14:paraId="4C3B2A8D" w14:textId="77777777" w:rsidR="00E763EE" w:rsidRPr="005C3EA2" w:rsidRDefault="00E763EE" w:rsidP="00B61C53">
            <w:pPr>
              <w:jc w:val="center"/>
            </w:pPr>
            <w:r w:rsidRPr="005C3EA2">
              <w:t>50%</w:t>
            </w:r>
          </w:p>
        </w:tc>
      </w:tr>
      <w:tr w:rsidR="00E763EE" w:rsidRPr="005C3EA2" w14:paraId="1DBC9091" w14:textId="77777777" w:rsidTr="00814AC1">
        <w:trPr>
          <w:trHeight w:val="288"/>
        </w:trPr>
        <w:tc>
          <w:tcPr>
            <w:tcW w:w="2887" w:type="dxa"/>
            <w:tcBorders>
              <w:bottom w:val="single" w:sz="12" w:space="0" w:color="auto"/>
            </w:tcBorders>
          </w:tcPr>
          <w:p w14:paraId="60531E28" w14:textId="77777777" w:rsidR="00E763EE" w:rsidRPr="005C3EA2" w:rsidRDefault="00E763EE" w:rsidP="00B61C53">
            <w:pPr>
              <w:jc w:val="both"/>
              <w:rPr>
                <w:bCs/>
              </w:rPr>
            </w:pPr>
            <w:r w:rsidRPr="005C3EA2">
              <w:rPr>
                <w:bCs/>
              </w:rPr>
              <w:t>Female</w:t>
            </w:r>
          </w:p>
        </w:tc>
        <w:tc>
          <w:tcPr>
            <w:tcW w:w="2147" w:type="dxa"/>
            <w:tcBorders>
              <w:bottom w:val="single" w:sz="12" w:space="0" w:color="auto"/>
            </w:tcBorders>
          </w:tcPr>
          <w:p w14:paraId="6FB8C077" w14:textId="77777777" w:rsidR="00E763EE" w:rsidRPr="005C3EA2" w:rsidRDefault="00E763EE" w:rsidP="00B61C53">
            <w:pPr>
              <w:jc w:val="center"/>
            </w:pPr>
            <w:r w:rsidRPr="005C3EA2">
              <w:t>50%</w:t>
            </w:r>
          </w:p>
        </w:tc>
      </w:tr>
      <w:tr w:rsidR="00E763EE" w:rsidRPr="005C3EA2" w14:paraId="47B78197" w14:textId="77777777" w:rsidTr="00814AC1">
        <w:trPr>
          <w:trHeight w:val="288"/>
        </w:trPr>
        <w:tc>
          <w:tcPr>
            <w:tcW w:w="2887" w:type="dxa"/>
            <w:tcBorders>
              <w:top w:val="single" w:sz="12" w:space="0" w:color="auto"/>
            </w:tcBorders>
          </w:tcPr>
          <w:p w14:paraId="6602BD66" w14:textId="77777777" w:rsidR="00E763EE" w:rsidRPr="005C3EA2" w:rsidRDefault="00E763EE" w:rsidP="00B61C53">
            <w:pPr>
              <w:jc w:val="both"/>
              <w:rPr>
                <w:bCs/>
              </w:rPr>
            </w:pPr>
            <w:r w:rsidRPr="005C3EA2">
              <w:rPr>
                <w:bCs/>
              </w:rPr>
              <w:t>Poly-Tobacco Users</w:t>
            </w:r>
          </w:p>
        </w:tc>
        <w:tc>
          <w:tcPr>
            <w:tcW w:w="2147" w:type="dxa"/>
            <w:tcBorders>
              <w:top w:val="single" w:sz="12" w:space="0" w:color="auto"/>
            </w:tcBorders>
          </w:tcPr>
          <w:p w14:paraId="1228F123" w14:textId="2027B3FD" w:rsidR="00E763EE" w:rsidRPr="005C3EA2" w:rsidRDefault="00EE44CD" w:rsidP="00B61C53">
            <w:pPr>
              <w:jc w:val="center"/>
            </w:pPr>
            <w:r w:rsidRPr="005C3EA2">
              <w:t>50</w:t>
            </w:r>
            <w:r w:rsidR="00E763EE" w:rsidRPr="005C3EA2">
              <w:t>%</w:t>
            </w:r>
          </w:p>
        </w:tc>
      </w:tr>
      <w:tr w:rsidR="00E763EE" w:rsidRPr="005C3EA2" w14:paraId="230E060C" w14:textId="77777777" w:rsidTr="00814AC1">
        <w:trPr>
          <w:trHeight w:val="288"/>
        </w:trPr>
        <w:tc>
          <w:tcPr>
            <w:tcW w:w="2887" w:type="dxa"/>
          </w:tcPr>
          <w:p w14:paraId="65F34855" w14:textId="77777777" w:rsidR="00E763EE" w:rsidRPr="005C3EA2" w:rsidRDefault="00E763EE" w:rsidP="00B61C53">
            <w:pPr>
              <w:jc w:val="both"/>
              <w:rPr>
                <w:bCs/>
              </w:rPr>
            </w:pPr>
            <w:r w:rsidRPr="005C3EA2">
              <w:rPr>
                <w:bCs/>
              </w:rPr>
              <w:t>Smokers</w:t>
            </w:r>
          </w:p>
        </w:tc>
        <w:tc>
          <w:tcPr>
            <w:tcW w:w="2147" w:type="dxa"/>
          </w:tcPr>
          <w:p w14:paraId="412AD3D9" w14:textId="1BE2B2D8" w:rsidR="00E763EE" w:rsidRPr="005C3EA2" w:rsidRDefault="00EE44CD" w:rsidP="00B61C53">
            <w:pPr>
              <w:jc w:val="center"/>
            </w:pPr>
            <w:r w:rsidRPr="005C3EA2">
              <w:t>50</w:t>
            </w:r>
            <w:r w:rsidR="00E763EE" w:rsidRPr="005C3EA2">
              <w:t>%</w:t>
            </w:r>
          </w:p>
        </w:tc>
      </w:tr>
    </w:tbl>
    <w:p w14:paraId="6C0AC882" w14:textId="77777777" w:rsidR="00E763EE" w:rsidRPr="005C3EA2" w:rsidRDefault="00E763EE" w:rsidP="00E763EE">
      <w:pPr>
        <w:spacing w:before="100" w:beforeAutospacing="1" w:after="100" w:afterAutospacing="1"/>
        <w:ind w:left="720"/>
      </w:pPr>
      <w:r w:rsidRPr="005C3EA2">
        <w:t xml:space="preserve">Eligible participants will be randomly assigned to either an exposure or control group. Each online survey will take participants in the exposure groups approximately 15-20 minutes to complete. Participants in the control group are likely to complete their surveys in 3-5 minutes.  No personally identifying information from participants will be collected in the online survey.  </w:t>
      </w:r>
    </w:p>
    <w:p w14:paraId="7B6CF4AB" w14:textId="77F55AFA" w:rsidR="006822E2" w:rsidRPr="005C3EA2" w:rsidRDefault="0019374C" w:rsidP="006822E2">
      <w:pPr>
        <w:numPr>
          <w:ilvl w:val="0"/>
          <w:numId w:val="1"/>
        </w:numPr>
        <w:spacing w:before="100" w:beforeAutospacing="1" w:after="100" w:afterAutospacing="1"/>
        <w:ind w:right="-1440"/>
        <w:rPr>
          <w:b/>
          <w:u w:val="single"/>
        </w:rPr>
      </w:pPr>
      <w:r w:rsidRPr="005C3EA2">
        <w:rPr>
          <w:b/>
          <w:u w:val="single"/>
        </w:rPr>
        <w:t xml:space="preserve">Use of </w:t>
      </w:r>
      <w:r w:rsidR="00EB7538" w:rsidRPr="005C3EA2">
        <w:rPr>
          <w:b/>
          <w:u w:val="single"/>
        </w:rPr>
        <w:t xml:space="preserve">Information Technology and Burden Reduction </w:t>
      </w:r>
    </w:p>
    <w:p w14:paraId="60ED89E4" w14:textId="65BEBF7F" w:rsidR="00E763EE" w:rsidRPr="005C3EA2" w:rsidRDefault="00FC5DDB" w:rsidP="006822E2">
      <w:pPr>
        <w:ind w:left="720"/>
      </w:pPr>
      <w:r w:rsidRPr="005C3EA2">
        <w:t>T</w:t>
      </w:r>
      <w:r w:rsidR="00E763EE" w:rsidRPr="005C3EA2">
        <w:t xml:space="preserve">he sample will be provided by the online panel provider, Survey Sampling International (SSI), with the management and oversight of </w:t>
      </w:r>
      <w:proofErr w:type="spellStart"/>
      <w:r w:rsidR="00E763EE" w:rsidRPr="005C3EA2">
        <w:t>Fors</w:t>
      </w:r>
      <w:proofErr w:type="spellEnd"/>
      <w:r w:rsidR="00E763EE" w:rsidRPr="005C3EA2">
        <w:t xml:space="preserve"> Marsh Group. Utilizing online panels is a commonly used method to conduct quantitative research that allows a large targeted sample size to be reached on a broad scale. That said, because participants self-select to participate in these panels, the study uses a non-probability sample.  For this phase of research, a non-probability sample is justified, though, as the primary focus is on a controlled test of the impact of advertisement exposure (rather than gathering representative data).</w:t>
      </w:r>
    </w:p>
    <w:p w14:paraId="28C870A5" w14:textId="77777777" w:rsidR="00E763EE" w:rsidRPr="005C3EA2" w:rsidRDefault="00E763EE" w:rsidP="006822E2">
      <w:pPr>
        <w:ind w:left="720"/>
      </w:pPr>
    </w:p>
    <w:p w14:paraId="448B2CD0" w14:textId="3F33AEA9" w:rsidR="006822E2" w:rsidRPr="005C3EA2" w:rsidRDefault="00A656D6" w:rsidP="006822E2">
      <w:pPr>
        <w:ind w:left="720"/>
      </w:pPr>
      <w:r w:rsidRPr="005C3EA2">
        <w:t>The use of electronic q</w:t>
      </w:r>
      <w:r w:rsidR="006822E2" w:rsidRPr="005C3EA2">
        <w:t xml:space="preserve">uestionnaire surveys offers a number of benefits. First, computerized administration permits the instrument designer to incorporate into the instruments routings that might be overly complex or not possible using a paper-based survey. For example, surveys can be programmed to implement skip patterns based on a </w:t>
      </w:r>
      <w:r w:rsidR="00F81E8D" w:rsidRPr="005C3EA2">
        <w:t>participant</w:t>
      </w:r>
      <w:r w:rsidR="006822E2" w:rsidRPr="005C3EA2">
        <w:t>’s previous answers and/or assigned treatment group. Interviewer and respondent errors caused by faulty implementation of skip instructions are virtually eliminated. Second, electronic administration increases the consisten</w:t>
      </w:r>
      <w:r w:rsidRPr="005C3EA2">
        <w:t>cy of the data. The electronic q</w:t>
      </w:r>
      <w:r w:rsidR="006822E2" w:rsidRPr="005C3EA2">
        <w:t xml:space="preserve">uestionnaire can be programmed to identify inconsistent or incomplete responses and attempt to resolve them through respondent prompts. This approach reduces the need for most manual and machine editing, thus saving time and money. In addition, it is likely that respondent-resolved inconsistencies will result in data that are more accurate than when inconsistencies are resolved using editing rules. Third, electronic data collection permits greater expediency with respect to data processing and analysis (e.g., a number of back-end processing steps, including coding and data entry, will be minimized). These efficiencies save time due to the speed and format of data transmission, as well as receipt in a format suitable for analysis. Fourth, this approach can </w:t>
      </w:r>
      <w:r w:rsidR="006822E2" w:rsidRPr="005C3EA2">
        <w:lastRenderedPageBreak/>
        <w:t xml:space="preserve">increase participation rates by reducing the number of </w:t>
      </w:r>
      <w:r w:rsidR="00E763EE" w:rsidRPr="005C3EA2">
        <w:t>adults</w:t>
      </w:r>
      <w:r w:rsidR="006822E2" w:rsidRPr="005C3EA2">
        <w:t xml:space="preserve"> needed to complete the Screener in order to achieve the desired enrolled sample size (i.e., by</w:t>
      </w:r>
      <w:r w:rsidRPr="005C3EA2">
        <w:t xml:space="preserve"> reducing drop off between the screener and q</w:t>
      </w:r>
      <w:r w:rsidR="006822E2" w:rsidRPr="005C3EA2">
        <w:t xml:space="preserve">uestionnaire, </w:t>
      </w:r>
      <w:r w:rsidRPr="005C3EA2">
        <w:t xml:space="preserve">because </w:t>
      </w:r>
      <w:r w:rsidR="00E763EE" w:rsidRPr="005C3EA2">
        <w:t>adult</w:t>
      </w:r>
      <w:r w:rsidRPr="005C3EA2">
        <w:t xml:space="preserve"> can complete the q</w:t>
      </w:r>
      <w:r w:rsidR="006822E2" w:rsidRPr="005C3EA2">
        <w:t xml:space="preserve">uestionnaire on their own time and on their own devices, thus making study participation more convenient).  This will also decrease time and costs related to recruitment.  Finally, this technology permits </w:t>
      </w:r>
      <w:r w:rsidR="00F81E8D" w:rsidRPr="005C3EA2">
        <w:t>participant</w:t>
      </w:r>
      <w:r w:rsidR="006822E2" w:rsidRPr="005C3EA2">
        <w:t>s to com</w:t>
      </w:r>
      <w:r w:rsidRPr="005C3EA2">
        <w:t>plete the instruments in private</w:t>
      </w:r>
      <w:r w:rsidR="006822E2" w:rsidRPr="005C3EA2">
        <w:t xml:space="preserve">. Providing the </w:t>
      </w:r>
      <w:r w:rsidR="00F81E8D" w:rsidRPr="005C3EA2">
        <w:t>participant</w:t>
      </w:r>
      <w:r w:rsidR="006822E2" w:rsidRPr="005C3EA2">
        <w:t xml:space="preserve"> with a methodology that </w:t>
      </w:r>
      <w:r w:rsidR="00FC1348" w:rsidRPr="005C3EA2">
        <w:t xml:space="preserve">allows for </w:t>
      </w:r>
      <w:r w:rsidR="006822E2" w:rsidRPr="005C3EA2">
        <w:t>privacy makes reporting of potentially embarrassing or stigmatizing behaviors (e.g., tobacco use) less threatening and enhances response validity and response rates.</w:t>
      </w:r>
    </w:p>
    <w:p w14:paraId="5BF948D1" w14:textId="77777777" w:rsidR="006822E2" w:rsidRPr="005C3EA2" w:rsidRDefault="006822E2" w:rsidP="006822E2"/>
    <w:p w14:paraId="3397634B" w14:textId="009EE1B5" w:rsidR="002746DB" w:rsidRPr="005C3EA2" w:rsidRDefault="00EB7538" w:rsidP="006822E2">
      <w:pPr>
        <w:pStyle w:val="ListParagraph"/>
        <w:numPr>
          <w:ilvl w:val="0"/>
          <w:numId w:val="1"/>
        </w:numPr>
        <w:rPr>
          <w:rFonts w:cs="Times New Roman"/>
          <w:b/>
          <w:szCs w:val="24"/>
          <w:u w:val="single"/>
        </w:rPr>
      </w:pPr>
      <w:r w:rsidRPr="005C3EA2">
        <w:rPr>
          <w:rFonts w:cs="Times New Roman"/>
          <w:b/>
          <w:szCs w:val="24"/>
          <w:u w:val="single"/>
        </w:rPr>
        <w:t xml:space="preserve">Efforts to Identify Duplication and Use of Similar Information </w:t>
      </w:r>
    </w:p>
    <w:p w14:paraId="0ED3D90E" w14:textId="77777777" w:rsidR="006822E2" w:rsidRPr="005C3EA2" w:rsidRDefault="006822E2" w:rsidP="00AD49DE">
      <w:pPr>
        <w:ind w:left="720"/>
      </w:pPr>
    </w:p>
    <w:p w14:paraId="1BE198D5" w14:textId="4A138085" w:rsidR="00FA7A5E" w:rsidRPr="005C3EA2" w:rsidRDefault="006822E2" w:rsidP="00AD49DE">
      <w:pPr>
        <w:ind w:left="720"/>
      </w:pPr>
      <w:r w:rsidRPr="005C3EA2">
        <w:t xml:space="preserve">The ads being tested in this study are original to FDA’s </w:t>
      </w:r>
      <w:r w:rsidR="00E763EE" w:rsidRPr="005C3EA2">
        <w:t xml:space="preserve">Point-of-Sale </w:t>
      </w:r>
      <w:r w:rsidR="00E15469" w:rsidRPr="005C3EA2">
        <w:t>c</w:t>
      </w:r>
      <w:r w:rsidRPr="005C3EA2">
        <w:t xml:space="preserve">ampaign and have not previously been copy tested or publically aired. As such, there are no existing datasets that can be used or modified to address FDA’s need for information on </w:t>
      </w:r>
      <w:r w:rsidR="00E763EE" w:rsidRPr="005C3EA2">
        <w:t>adults</w:t>
      </w:r>
      <w:r w:rsidR="00396E63" w:rsidRPr="005C3EA2">
        <w:t>’</w:t>
      </w:r>
      <w:r w:rsidRPr="005C3EA2">
        <w:t xml:space="preserve"> reactions to these ads. Therefore, the proposed information collection does not duplicate previous efforts.</w:t>
      </w:r>
    </w:p>
    <w:p w14:paraId="286ABC76" w14:textId="77777777" w:rsidR="002746DB" w:rsidRPr="005C3EA2" w:rsidRDefault="00EB7538" w:rsidP="00EB7538">
      <w:pPr>
        <w:numPr>
          <w:ilvl w:val="0"/>
          <w:numId w:val="1"/>
        </w:numPr>
        <w:spacing w:before="100" w:beforeAutospacing="1" w:after="100" w:afterAutospacing="1"/>
        <w:rPr>
          <w:b/>
          <w:u w:val="single"/>
        </w:rPr>
      </w:pPr>
      <w:r w:rsidRPr="005C3EA2">
        <w:rPr>
          <w:b/>
          <w:u w:val="single"/>
        </w:rPr>
        <w:t>Impact on Small Businesses or Other Small Entities</w:t>
      </w:r>
    </w:p>
    <w:p w14:paraId="3390F15C" w14:textId="7568F113" w:rsidR="00DD49E5" w:rsidRPr="005C3EA2" w:rsidRDefault="00F81E8D" w:rsidP="00DD49E5">
      <w:pPr>
        <w:spacing w:before="100" w:beforeAutospacing="1" w:after="100" w:afterAutospacing="1"/>
        <w:ind w:left="720"/>
      </w:pPr>
      <w:r w:rsidRPr="005C3EA2">
        <w:t>Participant</w:t>
      </w:r>
      <w:r w:rsidR="006822E2" w:rsidRPr="005C3EA2">
        <w:t>s in this study will be members of the general public, not business entities. No impact on small businesses or other small entities is anticipated.</w:t>
      </w:r>
    </w:p>
    <w:p w14:paraId="5864D48E" w14:textId="1B33350B" w:rsidR="006822E2" w:rsidRPr="005C3EA2" w:rsidRDefault="00EB7538" w:rsidP="006822E2">
      <w:pPr>
        <w:numPr>
          <w:ilvl w:val="0"/>
          <w:numId w:val="1"/>
        </w:numPr>
        <w:spacing w:before="100" w:beforeAutospacing="1" w:after="100" w:afterAutospacing="1"/>
        <w:rPr>
          <w:b/>
          <w:u w:val="single"/>
        </w:rPr>
      </w:pPr>
      <w:r w:rsidRPr="005C3EA2">
        <w:rPr>
          <w:b/>
          <w:u w:val="single"/>
        </w:rPr>
        <w:t>Consequences of Collecting the Information Less Frequently</w:t>
      </w:r>
    </w:p>
    <w:p w14:paraId="7E1F5FC6" w14:textId="04CAA316" w:rsidR="006822E2" w:rsidRPr="005C3EA2" w:rsidRDefault="006822E2" w:rsidP="006822E2">
      <w:pPr>
        <w:spacing w:before="100" w:beforeAutospacing="1" w:after="100" w:afterAutospacing="1"/>
        <w:ind w:left="720"/>
      </w:pPr>
      <w:r w:rsidRPr="005C3EA2">
        <w:t xml:space="preserve">There are no legal obstacles to reduce the burden.  Respondents to this collection of information will answer only once to ensure the participant burden is as low as possible. Without the information collection requested, it would be difficult to measure target audience reactions to </w:t>
      </w:r>
      <w:r w:rsidR="00E763EE" w:rsidRPr="005C3EA2">
        <w:t xml:space="preserve">print </w:t>
      </w:r>
      <w:r w:rsidR="0065275B" w:rsidRPr="005C3EA2">
        <w:t>advertisements</w:t>
      </w:r>
      <w:r w:rsidR="00E763EE" w:rsidRPr="005C3EA2">
        <w:t xml:space="preserve"> for FDA’s Point-of-Sale campaign. F</w:t>
      </w:r>
      <w:r w:rsidRPr="005C3EA2">
        <w:t xml:space="preserve">ailure to collect these data could reduce effectiveness of the FDA’s messaging, and therefore reduce the benefit of the messages </w:t>
      </w:r>
      <w:r w:rsidR="00E763EE" w:rsidRPr="005C3EA2">
        <w:t xml:space="preserve">intended to </w:t>
      </w:r>
      <w:r w:rsidR="003940AE" w:rsidRPr="005C3EA2">
        <w:t xml:space="preserve">ultimately </w:t>
      </w:r>
      <w:r w:rsidR="00E763EE" w:rsidRPr="005C3EA2">
        <w:t xml:space="preserve">decrease tobacco use </w:t>
      </w:r>
      <w:r w:rsidRPr="005C3EA2">
        <w:t>in the United States.</w:t>
      </w:r>
    </w:p>
    <w:p w14:paraId="012E62AC" w14:textId="12D04084" w:rsidR="006822E2" w:rsidRPr="005C3EA2" w:rsidRDefault="00EB7538" w:rsidP="006822E2">
      <w:pPr>
        <w:numPr>
          <w:ilvl w:val="0"/>
          <w:numId w:val="1"/>
        </w:numPr>
        <w:spacing w:before="100" w:beforeAutospacing="1" w:after="100" w:afterAutospacing="1"/>
        <w:rPr>
          <w:b/>
          <w:u w:val="single"/>
        </w:rPr>
      </w:pPr>
      <w:r w:rsidRPr="005C3EA2">
        <w:rPr>
          <w:b/>
          <w:u w:val="single"/>
        </w:rPr>
        <w:t>Special Circumstances Relating to the Guidelines of 5 CFR 1320.5</w:t>
      </w:r>
    </w:p>
    <w:p w14:paraId="6515AB03" w14:textId="5A47CEAF" w:rsidR="00D42B1B" w:rsidRPr="005C3EA2" w:rsidRDefault="006822E2" w:rsidP="006822E2">
      <w:pPr>
        <w:spacing w:before="100" w:beforeAutospacing="1" w:after="100" w:afterAutospacing="1"/>
        <w:ind w:left="720"/>
      </w:pPr>
      <w:r w:rsidRPr="005C3EA2">
        <w:t>There are no special circumstances for this collection of information that require the data collection to be conducted in a manner inconsistent with 5 CRF 1320.5(d</w:t>
      </w:r>
      <w:proofErr w:type="gramStart"/>
      <w:r w:rsidRPr="005C3EA2">
        <w:t>)(</w:t>
      </w:r>
      <w:proofErr w:type="gramEnd"/>
      <w:r w:rsidRPr="005C3EA2">
        <w:t>2). The message testing activities fully comply with the guidelines in 5 CFR 1320.5.</w:t>
      </w:r>
    </w:p>
    <w:p w14:paraId="74A43C33" w14:textId="77777777" w:rsidR="00991249" w:rsidRPr="005C3EA2" w:rsidRDefault="00991249">
      <w:pPr>
        <w:rPr>
          <w:rFonts w:eastAsia="Calibri"/>
          <w:b/>
          <w:u w:val="single"/>
        </w:rPr>
      </w:pPr>
      <w:r w:rsidRPr="005C3EA2">
        <w:rPr>
          <w:b/>
          <w:u w:val="single"/>
        </w:rPr>
        <w:br w:type="page"/>
      </w:r>
    </w:p>
    <w:p w14:paraId="3B9D3071" w14:textId="65472005" w:rsidR="00CD77C3" w:rsidRPr="005C3EA2" w:rsidRDefault="00EB7538" w:rsidP="00CD67B5">
      <w:pPr>
        <w:pStyle w:val="ListParagraph"/>
        <w:numPr>
          <w:ilvl w:val="0"/>
          <w:numId w:val="1"/>
        </w:numPr>
        <w:rPr>
          <w:rFonts w:cs="Times New Roman"/>
          <w:b/>
          <w:szCs w:val="24"/>
          <w:u w:val="single"/>
        </w:rPr>
      </w:pPr>
      <w:r w:rsidRPr="005C3EA2">
        <w:rPr>
          <w:rFonts w:cs="Times New Roman"/>
          <w:b/>
          <w:szCs w:val="24"/>
          <w:u w:val="single"/>
        </w:rPr>
        <w:lastRenderedPageBreak/>
        <w:t>Comments in Response to the Federal Register Notice and Efforts to Consult Outside the Agency</w:t>
      </w:r>
    </w:p>
    <w:p w14:paraId="14979F31" w14:textId="77777777" w:rsidR="00CD67B5" w:rsidRPr="005C3EA2" w:rsidRDefault="00CD67B5" w:rsidP="00CD67B5">
      <w:pPr>
        <w:pStyle w:val="ListParagraph"/>
        <w:rPr>
          <w:rFonts w:cs="Times New Roman"/>
          <w:b/>
          <w:szCs w:val="24"/>
          <w:u w:val="single"/>
        </w:rPr>
      </w:pPr>
    </w:p>
    <w:p w14:paraId="3CDFD9A4" w14:textId="77777777" w:rsidR="00CF658A" w:rsidRPr="005C3EA2" w:rsidRDefault="00CF658A" w:rsidP="00CF658A">
      <w:pPr>
        <w:ind w:left="720"/>
      </w:pPr>
      <w:r w:rsidRPr="005C3EA2">
        <w:t>The following individuals inside the agency have been consulted on the design of the copy testing plan, survey development, or intra-agency coordination of information collection efforts:</w:t>
      </w:r>
    </w:p>
    <w:p w14:paraId="2F4D2060" w14:textId="77777777" w:rsidR="00CF658A" w:rsidRPr="005C3EA2" w:rsidRDefault="00CF658A" w:rsidP="00CD67B5">
      <w:pPr>
        <w:pStyle w:val="ListParagraph"/>
        <w:rPr>
          <w:rFonts w:cs="Times New Roman"/>
          <w:b/>
          <w:szCs w:val="24"/>
          <w:u w:val="single"/>
        </w:rPr>
      </w:pPr>
    </w:p>
    <w:p w14:paraId="68F42DEE" w14:textId="77777777" w:rsidR="009B2C7B" w:rsidRPr="005C3EA2" w:rsidRDefault="009B2C7B" w:rsidP="009B2C7B">
      <w:pPr>
        <w:ind w:left="720"/>
      </w:pPr>
      <w:r w:rsidRPr="005C3EA2">
        <w:t>Chaunetta Jones</w:t>
      </w:r>
    </w:p>
    <w:p w14:paraId="7A92F19A" w14:textId="77777777" w:rsidR="009B2C7B" w:rsidRPr="005C3EA2" w:rsidRDefault="009B2C7B" w:rsidP="009B2C7B">
      <w:pPr>
        <w:ind w:left="720"/>
      </w:pPr>
      <w:r w:rsidRPr="005C3EA2">
        <w:t>Office of Health Communication &amp; Education</w:t>
      </w:r>
    </w:p>
    <w:p w14:paraId="724BA198" w14:textId="77777777" w:rsidR="009B2C7B" w:rsidRPr="005C3EA2" w:rsidRDefault="009B2C7B" w:rsidP="009B2C7B">
      <w:pPr>
        <w:ind w:left="720"/>
      </w:pPr>
      <w:r w:rsidRPr="005C3EA2">
        <w:t>Center for Tobacco Products</w:t>
      </w:r>
    </w:p>
    <w:p w14:paraId="5A833FC6" w14:textId="77777777" w:rsidR="009B2C7B" w:rsidRPr="005C3EA2" w:rsidRDefault="009B2C7B" w:rsidP="009B2C7B">
      <w:pPr>
        <w:ind w:left="720"/>
      </w:pPr>
      <w:r w:rsidRPr="005C3EA2">
        <w:t>Food and Drug Administration</w:t>
      </w:r>
    </w:p>
    <w:p w14:paraId="78327CFF" w14:textId="77777777" w:rsidR="009B2C7B" w:rsidRPr="005C3EA2" w:rsidRDefault="009B2C7B" w:rsidP="009B2C7B">
      <w:pPr>
        <w:ind w:left="720"/>
      </w:pPr>
      <w:r w:rsidRPr="005C3EA2">
        <w:t>10903 New Hampshire Avenue</w:t>
      </w:r>
    </w:p>
    <w:p w14:paraId="43F23C52" w14:textId="77777777" w:rsidR="009B2C7B" w:rsidRPr="005C3EA2" w:rsidRDefault="009B2C7B" w:rsidP="009B2C7B">
      <w:pPr>
        <w:ind w:left="720"/>
      </w:pPr>
      <w:r w:rsidRPr="005C3EA2">
        <w:t>Silver Spring, MD 20993</w:t>
      </w:r>
    </w:p>
    <w:p w14:paraId="3F00EF07" w14:textId="77777777" w:rsidR="009B2C7B" w:rsidRPr="005C3EA2" w:rsidRDefault="009B2C7B" w:rsidP="009B2C7B">
      <w:pPr>
        <w:ind w:left="720"/>
      </w:pPr>
      <w:r w:rsidRPr="005C3EA2">
        <w:t>Phone:</w:t>
      </w:r>
      <w:r w:rsidRPr="005C3EA2">
        <w:tab/>
        <w:t>240-402-0427</w:t>
      </w:r>
    </w:p>
    <w:p w14:paraId="21DEC632" w14:textId="77777777" w:rsidR="009B2C7B" w:rsidRPr="005C3EA2" w:rsidRDefault="009B2C7B" w:rsidP="009B2C7B">
      <w:pPr>
        <w:ind w:left="720"/>
      </w:pPr>
      <w:r w:rsidRPr="005C3EA2">
        <w:t>E-mail:</w:t>
      </w:r>
      <w:r w:rsidRPr="005C3EA2">
        <w:tab/>
        <w:t xml:space="preserve"> </w:t>
      </w:r>
      <w:hyperlink r:id="rId10" w:history="1">
        <w:r w:rsidRPr="005C3EA2">
          <w:rPr>
            <w:rStyle w:val="Hyperlink"/>
          </w:rPr>
          <w:t>Chaunetta.Jones@fda.hhs.gov</w:t>
        </w:r>
      </w:hyperlink>
      <w:r w:rsidRPr="005C3EA2">
        <w:t xml:space="preserve"> </w:t>
      </w:r>
    </w:p>
    <w:p w14:paraId="7A664028" w14:textId="77777777" w:rsidR="009B2C7B" w:rsidRPr="005C3EA2" w:rsidRDefault="009B2C7B" w:rsidP="009B2C7B">
      <w:pPr>
        <w:ind w:left="720"/>
      </w:pPr>
    </w:p>
    <w:p w14:paraId="3FB8301F" w14:textId="77777777" w:rsidR="009B2C7B" w:rsidRPr="005C3EA2" w:rsidRDefault="009B2C7B" w:rsidP="009B2C7B">
      <w:pPr>
        <w:ind w:left="720"/>
      </w:pPr>
      <w:r w:rsidRPr="005C3EA2">
        <w:t>Tesfa Alexander</w:t>
      </w:r>
    </w:p>
    <w:p w14:paraId="181AFD31" w14:textId="77777777" w:rsidR="009B2C7B" w:rsidRPr="005C3EA2" w:rsidRDefault="009B2C7B" w:rsidP="009B2C7B">
      <w:pPr>
        <w:ind w:left="720"/>
      </w:pPr>
      <w:r w:rsidRPr="005C3EA2">
        <w:t>Office of Health Communication &amp; Education</w:t>
      </w:r>
    </w:p>
    <w:p w14:paraId="5E6FF1CD" w14:textId="77777777" w:rsidR="009B2C7B" w:rsidRPr="005C3EA2" w:rsidRDefault="009B2C7B" w:rsidP="009B2C7B">
      <w:pPr>
        <w:ind w:left="720"/>
      </w:pPr>
      <w:r w:rsidRPr="005C3EA2">
        <w:t>Center for Tobacco Products</w:t>
      </w:r>
    </w:p>
    <w:p w14:paraId="079C3DBD" w14:textId="77777777" w:rsidR="009B2C7B" w:rsidRPr="005C3EA2" w:rsidRDefault="009B2C7B" w:rsidP="009B2C7B">
      <w:pPr>
        <w:ind w:left="720"/>
      </w:pPr>
      <w:r w:rsidRPr="005C3EA2">
        <w:t>Food and Drug Administration</w:t>
      </w:r>
    </w:p>
    <w:p w14:paraId="0FF91D3B" w14:textId="77777777" w:rsidR="009B2C7B" w:rsidRPr="005C3EA2" w:rsidRDefault="009B2C7B" w:rsidP="009B2C7B">
      <w:pPr>
        <w:ind w:left="720"/>
      </w:pPr>
      <w:r w:rsidRPr="005C3EA2">
        <w:t>10903 New Hampshire Avenue</w:t>
      </w:r>
    </w:p>
    <w:p w14:paraId="62E3224B" w14:textId="77777777" w:rsidR="009B2C7B" w:rsidRPr="005C3EA2" w:rsidRDefault="009B2C7B" w:rsidP="009B2C7B">
      <w:pPr>
        <w:ind w:left="720"/>
      </w:pPr>
      <w:r w:rsidRPr="005C3EA2">
        <w:t>Silver Spring, MD 20993-0002</w:t>
      </w:r>
    </w:p>
    <w:p w14:paraId="3EA78A7C" w14:textId="77777777" w:rsidR="009B2C7B" w:rsidRPr="005C3EA2" w:rsidRDefault="009B2C7B" w:rsidP="009B2C7B">
      <w:pPr>
        <w:ind w:left="720"/>
      </w:pPr>
      <w:r w:rsidRPr="005C3EA2">
        <w:t>Phone:</w:t>
      </w:r>
      <w:r w:rsidRPr="005C3EA2">
        <w:tab/>
        <w:t>301-796-9335</w:t>
      </w:r>
    </w:p>
    <w:p w14:paraId="3C789ED3" w14:textId="77777777" w:rsidR="009B2C7B" w:rsidRPr="005C3EA2" w:rsidRDefault="009B2C7B" w:rsidP="009B2C7B">
      <w:pPr>
        <w:ind w:left="720"/>
      </w:pPr>
      <w:r w:rsidRPr="005C3EA2">
        <w:t>E-mail:</w:t>
      </w:r>
      <w:r w:rsidRPr="005C3EA2">
        <w:tab/>
        <w:t xml:space="preserve"> </w:t>
      </w:r>
      <w:hyperlink r:id="rId11" w:history="1">
        <w:r w:rsidRPr="005C3EA2">
          <w:rPr>
            <w:rStyle w:val="Hyperlink"/>
          </w:rPr>
          <w:t>Tesfa.Alexander@fda.hhs.gov</w:t>
        </w:r>
      </w:hyperlink>
      <w:r w:rsidRPr="005C3EA2">
        <w:t xml:space="preserve"> </w:t>
      </w:r>
    </w:p>
    <w:p w14:paraId="7A71CE14" w14:textId="77777777" w:rsidR="009B2C7B" w:rsidRPr="005C3EA2" w:rsidRDefault="009B2C7B" w:rsidP="009B2C7B">
      <w:pPr>
        <w:ind w:left="720"/>
      </w:pPr>
    </w:p>
    <w:p w14:paraId="7AFBD5C4" w14:textId="77777777" w:rsidR="009B2C7B" w:rsidRPr="005C3EA2" w:rsidRDefault="009B2C7B" w:rsidP="009B2C7B">
      <w:pPr>
        <w:ind w:left="720"/>
      </w:pPr>
      <w:r w:rsidRPr="005C3EA2">
        <w:t>Maria Roditis</w:t>
      </w:r>
    </w:p>
    <w:p w14:paraId="2A44ADD3" w14:textId="77777777" w:rsidR="009B2C7B" w:rsidRPr="005C3EA2" w:rsidRDefault="009B2C7B" w:rsidP="009B2C7B">
      <w:pPr>
        <w:ind w:left="720"/>
      </w:pPr>
      <w:r w:rsidRPr="005C3EA2">
        <w:t>Office of Health Communication &amp; Education</w:t>
      </w:r>
    </w:p>
    <w:p w14:paraId="27CD479A" w14:textId="77777777" w:rsidR="009B2C7B" w:rsidRPr="005C3EA2" w:rsidRDefault="009B2C7B" w:rsidP="009B2C7B">
      <w:pPr>
        <w:ind w:left="720"/>
      </w:pPr>
      <w:r w:rsidRPr="005C3EA2">
        <w:t>Center for Tobacco Products</w:t>
      </w:r>
    </w:p>
    <w:p w14:paraId="0940B185" w14:textId="77777777" w:rsidR="009B2C7B" w:rsidRPr="005C3EA2" w:rsidRDefault="009B2C7B" w:rsidP="009B2C7B">
      <w:pPr>
        <w:ind w:left="720"/>
      </w:pPr>
      <w:r w:rsidRPr="005C3EA2">
        <w:t>Food and Drug Administration</w:t>
      </w:r>
    </w:p>
    <w:p w14:paraId="11E6F53D" w14:textId="77777777" w:rsidR="009B2C7B" w:rsidRPr="005C3EA2" w:rsidRDefault="009B2C7B" w:rsidP="009B2C7B">
      <w:pPr>
        <w:ind w:left="720"/>
      </w:pPr>
      <w:r w:rsidRPr="005C3EA2">
        <w:t>10903 New Hampshire Avenue</w:t>
      </w:r>
    </w:p>
    <w:p w14:paraId="645AE84B" w14:textId="77777777" w:rsidR="009B2C7B" w:rsidRPr="005C3EA2" w:rsidRDefault="009B2C7B" w:rsidP="009B2C7B">
      <w:pPr>
        <w:ind w:left="720"/>
      </w:pPr>
      <w:r w:rsidRPr="005C3EA2">
        <w:t>Silver Spring, MD 20993</w:t>
      </w:r>
    </w:p>
    <w:p w14:paraId="0E8E7BDC" w14:textId="3A841E46" w:rsidR="009B2C7B" w:rsidRPr="005C3EA2" w:rsidRDefault="009B2C7B" w:rsidP="009B2C7B">
      <w:pPr>
        <w:ind w:left="720"/>
      </w:pPr>
      <w:r w:rsidRPr="005C3EA2">
        <w:t>Phone:</w:t>
      </w:r>
      <w:r w:rsidRPr="005C3EA2">
        <w:tab/>
        <w:t xml:space="preserve"> </w:t>
      </w:r>
      <w:r w:rsidR="00AE6E8C" w:rsidRPr="005C3EA2">
        <w:t>240-402-1928</w:t>
      </w:r>
    </w:p>
    <w:p w14:paraId="0B326F02" w14:textId="77777777" w:rsidR="009B2C7B" w:rsidRPr="005C3EA2" w:rsidRDefault="009B2C7B" w:rsidP="009B2C7B">
      <w:pPr>
        <w:ind w:left="720"/>
      </w:pPr>
      <w:r w:rsidRPr="005C3EA2">
        <w:t>E-mail:</w:t>
      </w:r>
      <w:r w:rsidRPr="005C3EA2">
        <w:tab/>
        <w:t xml:space="preserve"> </w:t>
      </w:r>
      <w:hyperlink r:id="rId12" w:history="1">
        <w:r w:rsidRPr="005C3EA2">
          <w:rPr>
            <w:rStyle w:val="Hyperlink"/>
          </w:rPr>
          <w:t>Maria.Roditis@fda.hhs.gov</w:t>
        </w:r>
      </w:hyperlink>
      <w:r w:rsidRPr="005C3EA2">
        <w:t xml:space="preserve"> </w:t>
      </w:r>
    </w:p>
    <w:p w14:paraId="28D9492A" w14:textId="77777777" w:rsidR="009B2C7B" w:rsidRPr="005C3EA2" w:rsidRDefault="009B2C7B" w:rsidP="009B2C7B">
      <w:pPr>
        <w:ind w:left="720"/>
      </w:pPr>
    </w:p>
    <w:p w14:paraId="32D894E5" w14:textId="77777777" w:rsidR="009B2C7B" w:rsidRPr="005C3EA2" w:rsidRDefault="009B2C7B" w:rsidP="009B2C7B">
      <w:pPr>
        <w:ind w:left="720"/>
      </w:pPr>
      <w:r w:rsidRPr="005C3EA2">
        <w:t xml:space="preserve">Janine Delahanty </w:t>
      </w:r>
    </w:p>
    <w:p w14:paraId="39D4D75B" w14:textId="77777777" w:rsidR="009B2C7B" w:rsidRPr="005C3EA2" w:rsidRDefault="009B2C7B" w:rsidP="009B2C7B">
      <w:pPr>
        <w:ind w:left="720"/>
      </w:pPr>
      <w:r w:rsidRPr="005C3EA2">
        <w:t>Office of Health Communication &amp; Education</w:t>
      </w:r>
    </w:p>
    <w:p w14:paraId="35568072" w14:textId="77777777" w:rsidR="009B2C7B" w:rsidRPr="005C3EA2" w:rsidRDefault="009B2C7B" w:rsidP="009B2C7B">
      <w:pPr>
        <w:ind w:left="720"/>
      </w:pPr>
      <w:r w:rsidRPr="005C3EA2">
        <w:t>Center for Tobacco Products</w:t>
      </w:r>
    </w:p>
    <w:p w14:paraId="528A6CB4" w14:textId="77777777" w:rsidR="009B2C7B" w:rsidRPr="005C3EA2" w:rsidRDefault="009B2C7B" w:rsidP="009B2C7B">
      <w:pPr>
        <w:ind w:left="720"/>
      </w:pPr>
      <w:r w:rsidRPr="005C3EA2">
        <w:t>Food and Drug Administration</w:t>
      </w:r>
    </w:p>
    <w:p w14:paraId="237926AF" w14:textId="77777777" w:rsidR="009B2C7B" w:rsidRPr="005C3EA2" w:rsidRDefault="009B2C7B" w:rsidP="009B2C7B">
      <w:pPr>
        <w:ind w:left="720"/>
      </w:pPr>
      <w:r w:rsidRPr="005C3EA2">
        <w:t>10903 New Hampshire Avenue</w:t>
      </w:r>
    </w:p>
    <w:p w14:paraId="79CDD3A0" w14:textId="77777777" w:rsidR="009B2C7B" w:rsidRPr="005C3EA2" w:rsidRDefault="009B2C7B" w:rsidP="009B2C7B">
      <w:pPr>
        <w:ind w:left="720"/>
      </w:pPr>
      <w:r w:rsidRPr="005C3EA2">
        <w:t>Silver Spring, MD 20993</w:t>
      </w:r>
    </w:p>
    <w:p w14:paraId="683C88F9" w14:textId="77777777" w:rsidR="009B2C7B" w:rsidRPr="005C3EA2" w:rsidRDefault="009B2C7B" w:rsidP="009B2C7B">
      <w:pPr>
        <w:ind w:left="720"/>
      </w:pPr>
      <w:r w:rsidRPr="005C3EA2">
        <w:t>Phone:</w:t>
      </w:r>
      <w:r w:rsidRPr="005C3EA2">
        <w:tab/>
        <w:t>240-402-9705</w:t>
      </w:r>
    </w:p>
    <w:p w14:paraId="755FAF37" w14:textId="77777777" w:rsidR="009B2C7B" w:rsidRPr="005C3EA2" w:rsidRDefault="009B2C7B" w:rsidP="009B2C7B">
      <w:pPr>
        <w:ind w:left="720"/>
      </w:pPr>
      <w:r w:rsidRPr="005C3EA2">
        <w:t>E-mail:</w:t>
      </w:r>
      <w:r w:rsidRPr="005C3EA2">
        <w:tab/>
        <w:t xml:space="preserve"> </w:t>
      </w:r>
      <w:hyperlink r:id="rId13" w:history="1">
        <w:r w:rsidRPr="005C3EA2">
          <w:rPr>
            <w:rStyle w:val="Hyperlink"/>
          </w:rPr>
          <w:t>Janine.Delahanty@fda.hhs.gov</w:t>
        </w:r>
      </w:hyperlink>
      <w:r w:rsidRPr="005C3EA2">
        <w:t xml:space="preserve"> </w:t>
      </w:r>
    </w:p>
    <w:p w14:paraId="72D1CD5C" w14:textId="77777777" w:rsidR="009B2C7B" w:rsidRPr="005C3EA2" w:rsidRDefault="009B2C7B" w:rsidP="009B2C7B">
      <w:pPr>
        <w:ind w:left="720"/>
      </w:pPr>
    </w:p>
    <w:p w14:paraId="1B08EA11" w14:textId="77777777" w:rsidR="00991249" w:rsidRPr="005C3EA2" w:rsidRDefault="00991249">
      <w:r w:rsidRPr="005C3EA2">
        <w:br w:type="page"/>
      </w:r>
    </w:p>
    <w:p w14:paraId="75C03057" w14:textId="5BA66F4E" w:rsidR="009B2C7B" w:rsidRPr="005C3EA2" w:rsidRDefault="009B2C7B" w:rsidP="009B2C7B">
      <w:pPr>
        <w:ind w:left="720"/>
      </w:pPr>
      <w:r w:rsidRPr="005C3EA2">
        <w:lastRenderedPageBreak/>
        <w:t>The following individuals outside of the agency have been consulted on questionnaire development:</w:t>
      </w:r>
    </w:p>
    <w:p w14:paraId="690B656D" w14:textId="77777777" w:rsidR="009B2C7B" w:rsidRPr="005C3EA2" w:rsidRDefault="009B2C7B" w:rsidP="009B2C7B">
      <w:pPr>
        <w:ind w:left="720"/>
      </w:pPr>
    </w:p>
    <w:p w14:paraId="753EEF1F" w14:textId="77777777" w:rsidR="009B2C7B" w:rsidRPr="005C3EA2" w:rsidRDefault="009B2C7B" w:rsidP="009B2C7B">
      <w:pPr>
        <w:ind w:left="720"/>
      </w:pPr>
      <w:r w:rsidRPr="005C3EA2">
        <w:t>Sarah Evans</w:t>
      </w:r>
    </w:p>
    <w:p w14:paraId="0A686104" w14:textId="77777777" w:rsidR="009B2C7B" w:rsidRPr="005C3EA2" w:rsidRDefault="009B2C7B" w:rsidP="009B2C7B">
      <w:pPr>
        <w:ind w:left="720"/>
      </w:pPr>
      <w:r w:rsidRPr="005C3EA2">
        <w:t>Director of Communication Research</w:t>
      </w:r>
    </w:p>
    <w:p w14:paraId="615E8761" w14:textId="77777777" w:rsidR="009B2C7B" w:rsidRPr="005C3EA2" w:rsidRDefault="009B2C7B" w:rsidP="009B2C7B">
      <w:pPr>
        <w:ind w:left="720"/>
      </w:pPr>
      <w:proofErr w:type="spellStart"/>
      <w:r w:rsidRPr="005C3EA2">
        <w:t>Fors</w:t>
      </w:r>
      <w:proofErr w:type="spellEnd"/>
      <w:r w:rsidRPr="005C3EA2">
        <w:t xml:space="preserve"> Marsh Group</w:t>
      </w:r>
    </w:p>
    <w:p w14:paraId="027C8589" w14:textId="77777777" w:rsidR="009B2C7B" w:rsidRPr="005C3EA2" w:rsidRDefault="009B2C7B" w:rsidP="009B2C7B">
      <w:pPr>
        <w:ind w:left="720"/>
      </w:pPr>
      <w:r w:rsidRPr="005C3EA2">
        <w:t>1010 N. Glebe Road Suite 510</w:t>
      </w:r>
    </w:p>
    <w:p w14:paraId="7E1B7E74" w14:textId="77777777" w:rsidR="009B2C7B" w:rsidRPr="005C3EA2" w:rsidRDefault="009B2C7B" w:rsidP="009B2C7B">
      <w:pPr>
        <w:ind w:left="720"/>
      </w:pPr>
      <w:r w:rsidRPr="005C3EA2">
        <w:t>Arlington, VA 22201</w:t>
      </w:r>
    </w:p>
    <w:p w14:paraId="7FCF365A" w14:textId="77777777" w:rsidR="009B2C7B" w:rsidRPr="005C3EA2" w:rsidRDefault="009B2C7B" w:rsidP="009B2C7B">
      <w:pPr>
        <w:ind w:left="720"/>
      </w:pPr>
      <w:r w:rsidRPr="005C3EA2">
        <w:t>Phone: 571-858-3752</w:t>
      </w:r>
    </w:p>
    <w:p w14:paraId="4B652862" w14:textId="77777777" w:rsidR="009B2C7B" w:rsidRPr="005C3EA2" w:rsidRDefault="009B2C7B" w:rsidP="009B2C7B">
      <w:pPr>
        <w:ind w:left="720"/>
      </w:pPr>
      <w:r w:rsidRPr="005C3EA2">
        <w:t xml:space="preserve">Email: </w:t>
      </w:r>
      <w:hyperlink r:id="rId14" w:history="1">
        <w:r w:rsidRPr="005C3EA2">
          <w:rPr>
            <w:rStyle w:val="Hyperlink"/>
          </w:rPr>
          <w:t>sevans@forsmarshgroup.com</w:t>
        </w:r>
      </w:hyperlink>
      <w:r w:rsidRPr="005C3EA2">
        <w:t xml:space="preserve"> </w:t>
      </w:r>
    </w:p>
    <w:p w14:paraId="02CB2407" w14:textId="77777777" w:rsidR="009B2C7B" w:rsidRPr="005C3EA2" w:rsidRDefault="009B2C7B" w:rsidP="009B2C7B">
      <w:pPr>
        <w:ind w:left="720"/>
      </w:pPr>
    </w:p>
    <w:p w14:paraId="4631CDA6" w14:textId="77777777" w:rsidR="009B2C7B" w:rsidRPr="005C3EA2" w:rsidRDefault="009B2C7B" w:rsidP="009B2C7B">
      <w:pPr>
        <w:ind w:left="720"/>
      </w:pPr>
      <w:r w:rsidRPr="005C3EA2">
        <w:t>Cameron Wimpy</w:t>
      </w:r>
    </w:p>
    <w:p w14:paraId="7FAB407B" w14:textId="77777777" w:rsidR="009B2C7B" w:rsidRPr="005C3EA2" w:rsidRDefault="009B2C7B" w:rsidP="009B2C7B">
      <w:pPr>
        <w:ind w:left="720"/>
      </w:pPr>
      <w:r w:rsidRPr="005C3EA2">
        <w:t>Senior Researcher</w:t>
      </w:r>
    </w:p>
    <w:p w14:paraId="67D5A418" w14:textId="77777777" w:rsidR="009B2C7B" w:rsidRPr="005C3EA2" w:rsidRDefault="009B2C7B" w:rsidP="009B2C7B">
      <w:pPr>
        <w:ind w:left="720"/>
      </w:pPr>
      <w:proofErr w:type="spellStart"/>
      <w:r w:rsidRPr="005C3EA2">
        <w:t>Fors</w:t>
      </w:r>
      <w:proofErr w:type="spellEnd"/>
      <w:r w:rsidRPr="005C3EA2">
        <w:t xml:space="preserve"> Marsh Group</w:t>
      </w:r>
    </w:p>
    <w:p w14:paraId="0A051ED7" w14:textId="77777777" w:rsidR="009B2C7B" w:rsidRPr="005C3EA2" w:rsidRDefault="009B2C7B" w:rsidP="009B2C7B">
      <w:pPr>
        <w:ind w:left="720"/>
      </w:pPr>
      <w:r w:rsidRPr="005C3EA2">
        <w:t>1010 N. Glebe Road Suite 510</w:t>
      </w:r>
    </w:p>
    <w:p w14:paraId="017CC3B9" w14:textId="77777777" w:rsidR="009B2C7B" w:rsidRPr="005C3EA2" w:rsidRDefault="009B2C7B" w:rsidP="009B2C7B">
      <w:pPr>
        <w:ind w:left="720"/>
      </w:pPr>
      <w:r w:rsidRPr="005C3EA2">
        <w:t>Arlington, VA 22201</w:t>
      </w:r>
    </w:p>
    <w:p w14:paraId="2A6D4ABA" w14:textId="77777777" w:rsidR="009B2C7B" w:rsidRPr="005C3EA2" w:rsidRDefault="009B2C7B" w:rsidP="009B2C7B">
      <w:pPr>
        <w:ind w:left="720"/>
      </w:pPr>
      <w:r w:rsidRPr="005C3EA2">
        <w:t>Phone: 571-858-3763</w:t>
      </w:r>
    </w:p>
    <w:p w14:paraId="3DD89617" w14:textId="77777777" w:rsidR="009B2C7B" w:rsidRPr="005C3EA2" w:rsidRDefault="009B2C7B" w:rsidP="009B2C7B">
      <w:pPr>
        <w:ind w:left="720"/>
      </w:pPr>
      <w:r w:rsidRPr="005C3EA2">
        <w:t xml:space="preserve">Email: </w:t>
      </w:r>
      <w:hyperlink r:id="rId15" w:history="1">
        <w:r w:rsidRPr="005C3EA2">
          <w:rPr>
            <w:rStyle w:val="Hyperlink"/>
          </w:rPr>
          <w:t>cwimpy@forsmarshgroup.com</w:t>
        </w:r>
      </w:hyperlink>
      <w:r w:rsidRPr="005C3EA2">
        <w:t xml:space="preserve"> </w:t>
      </w:r>
    </w:p>
    <w:p w14:paraId="3902D180" w14:textId="77777777" w:rsidR="009B2C7B" w:rsidRPr="005C3EA2" w:rsidRDefault="009B2C7B" w:rsidP="009B2C7B">
      <w:pPr>
        <w:ind w:left="720"/>
      </w:pPr>
    </w:p>
    <w:p w14:paraId="3C2BF544" w14:textId="77777777" w:rsidR="009B2C7B" w:rsidRPr="005C3EA2" w:rsidRDefault="009B2C7B" w:rsidP="009B2C7B">
      <w:pPr>
        <w:ind w:left="720"/>
      </w:pPr>
      <w:r w:rsidRPr="005C3EA2">
        <w:t>Caitlin Krulikowski</w:t>
      </w:r>
      <w:r w:rsidRPr="005C3EA2">
        <w:br/>
        <w:t>Senior Researcher</w:t>
      </w:r>
    </w:p>
    <w:p w14:paraId="7D6CFC67" w14:textId="77777777" w:rsidR="009B2C7B" w:rsidRPr="005C3EA2" w:rsidRDefault="009B2C7B" w:rsidP="009B2C7B">
      <w:pPr>
        <w:ind w:left="720"/>
      </w:pPr>
      <w:proofErr w:type="spellStart"/>
      <w:r w:rsidRPr="005C3EA2">
        <w:t>Fors</w:t>
      </w:r>
      <w:proofErr w:type="spellEnd"/>
      <w:r w:rsidRPr="005C3EA2">
        <w:t xml:space="preserve"> Marsh Group</w:t>
      </w:r>
    </w:p>
    <w:p w14:paraId="591BFF4A" w14:textId="77777777" w:rsidR="009B2C7B" w:rsidRPr="005C3EA2" w:rsidRDefault="009B2C7B" w:rsidP="009B2C7B">
      <w:pPr>
        <w:ind w:left="720"/>
      </w:pPr>
      <w:r w:rsidRPr="005C3EA2">
        <w:t>1010 N. Glebe Road Suite 510</w:t>
      </w:r>
    </w:p>
    <w:p w14:paraId="221DAE19" w14:textId="77777777" w:rsidR="009B2C7B" w:rsidRPr="005C3EA2" w:rsidRDefault="009B2C7B" w:rsidP="009B2C7B">
      <w:pPr>
        <w:ind w:left="720"/>
      </w:pPr>
      <w:r w:rsidRPr="005C3EA2">
        <w:t>Arlington, VA 22201</w:t>
      </w:r>
    </w:p>
    <w:p w14:paraId="67ACC45B" w14:textId="77777777" w:rsidR="009B2C7B" w:rsidRPr="005C3EA2" w:rsidRDefault="009B2C7B" w:rsidP="009B2C7B">
      <w:pPr>
        <w:ind w:left="720"/>
      </w:pPr>
      <w:r w:rsidRPr="005C3EA2">
        <w:t>Phone: 571-858-3771</w:t>
      </w:r>
    </w:p>
    <w:p w14:paraId="69F5B7A4" w14:textId="77777777" w:rsidR="009B2C7B" w:rsidRPr="005C3EA2" w:rsidRDefault="009B2C7B" w:rsidP="009B2C7B">
      <w:pPr>
        <w:ind w:left="720"/>
      </w:pPr>
      <w:r w:rsidRPr="005C3EA2">
        <w:t xml:space="preserve">Email: </w:t>
      </w:r>
      <w:hyperlink r:id="rId16" w:history="1">
        <w:r w:rsidRPr="005C3EA2">
          <w:rPr>
            <w:rStyle w:val="Hyperlink"/>
          </w:rPr>
          <w:t>ckrulikowski@forsmarshgroup.com</w:t>
        </w:r>
      </w:hyperlink>
      <w:r w:rsidRPr="005C3EA2">
        <w:t xml:space="preserve"> </w:t>
      </w:r>
    </w:p>
    <w:p w14:paraId="1292ED97" w14:textId="77777777" w:rsidR="009B2C7B" w:rsidRPr="005C3EA2" w:rsidRDefault="009B2C7B" w:rsidP="009B2C7B">
      <w:pPr>
        <w:ind w:left="720"/>
      </w:pPr>
    </w:p>
    <w:p w14:paraId="29B1799F" w14:textId="77777777" w:rsidR="009B2C7B" w:rsidRPr="005C3EA2" w:rsidRDefault="009B2C7B" w:rsidP="009B2C7B">
      <w:pPr>
        <w:ind w:left="720"/>
      </w:pPr>
      <w:r w:rsidRPr="005C3EA2">
        <w:t>Nikkita Sarna</w:t>
      </w:r>
    </w:p>
    <w:p w14:paraId="18939258" w14:textId="77777777" w:rsidR="009B2C7B" w:rsidRPr="005C3EA2" w:rsidRDefault="009B2C7B" w:rsidP="009B2C7B">
      <w:pPr>
        <w:ind w:left="720"/>
      </w:pPr>
      <w:r w:rsidRPr="005C3EA2">
        <w:t>Researcher</w:t>
      </w:r>
    </w:p>
    <w:p w14:paraId="7061FBAE" w14:textId="77777777" w:rsidR="009B2C7B" w:rsidRPr="005C3EA2" w:rsidRDefault="009B2C7B" w:rsidP="009B2C7B">
      <w:pPr>
        <w:ind w:left="720"/>
      </w:pPr>
      <w:proofErr w:type="spellStart"/>
      <w:r w:rsidRPr="005C3EA2">
        <w:t>Fors</w:t>
      </w:r>
      <w:proofErr w:type="spellEnd"/>
      <w:r w:rsidRPr="005C3EA2">
        <w:t xml:space="preserve"> Marsh Group</w:t>
      </w:r>
    </w:p>
    <w:p w14:paraId="7A012783" w14:textId="77777777" w:rsidR="009B2C7B" w:rsidRPr="005C3EA2" w:rsidRDefault="009B2C7B" w:rsidP="009B2C7B">
      <w:pPr>
        <w:ind w:left="720"/>
      </w:pPr>
      <w:r w:rsidRPr="005C3EA2">
        <w:t>1010 N. Glebe Road Suite 510</w:t>
      </w:r>
    </w:p>
    <w:p w14:paraId="1955BC9C" w14:textId="77777777" w:rsidR="009B2C7B" w:rsidRPr="005C3EA2" w:rsidRDefault="009B2C7B" w:rsidP="009B2C7B">
      <w:pPr>
        <w:ind w:left="720"/>
      </w:pPr>
      <w:r w:rsidRPr="005C3EA2">
        <w:t>Arlington, VA 22201</w:t>
      </w:r>
    </w:p>
    <w:p w14:paraId="0931756E" w14:textId="77777777" w:rsidR="009B2C7B" w:rsidRPr="005C3EA2" w:rsidRDefault="009B2C7B" w:rsidP="009B2C7B">
      <w:pPr>
        <w:ind w:left="720"/>
      </w:pPr>
      <w:r w:rsidRPr="005C3EA2">
        <w:t>Phone: 571-858-3826</w:t>
      </w:r>
    </w:p>
    <w:p w14:paraId="4972BEBF" w14:textId="77777777" w:rsidR="009B2C7B" w:rsidRPr="005C3EA2" w:rsidRDefault="009B2C7B" w:rsidP="009B2C7B">
      <w:pPr>
        <w:ind w:left="720"/>
      </w:pPr>
      <w:r w:rsidRPr="005C3EA2">
        <w:t xml:space="preserve">Email: </w:t>
      </w:r>
      <w:hyperlink r:id="rId17" w:history="1">
        <w:r w:rsidRPr="005C3EA2">
          <w:rPr>
            <w:rStyle w:val="Hyperlink"/>
          </w:rPr>
          <w:t>nsarna@forsmarshgroup.com</w:t>
        </w:r>
      </w:hyperlink>
      <w:r w:rsidRPr="005C3EA2">
        <w:t xml:space="preserve"> </w:t>
      </w:r>
    </w:p>
    <w:p w14:paraId="520C91A8" w14:textId="77777777" w:rsidR="009B2C7B" w:rsidRPr="005C3EA2" w:rsidRDefault="009B2C7B" w:rsidP="009B2C7B">
      <w:pPr>
        <w:ind w:left="720"/>
      </w:pPr>
    </w:p>
    <w:p w14:paraId="473CC5EE" w14:textId="77777777" w:rsidR="009B2C7B" w:rsidRPr="005C3EA2" w:rsidRDefault="009B2C7B" w:rsidP="009B2C7B">
      <w:pPr>
        <w:ind w:left="720"/>
      </w:pPr>
      <w:r w:rsidRPr="005C3EA2">
        <w:t>Carol Issa</w:t>
      </w:r>
    </w:p>
    <w:p w14:paraId="01820485" w14:textId="77777777" w:rsidR="009B2C7B" w:rsidRPr="005C3EA2" w:rsidRDefault="009B2C7B" w:rsidP="009B2C7B">
      <w:pPr>
        <w:ind w:left="720"/>
      </w:pPr>
      <w:r w:rsidRPr="005C3EA2">
        <w:t>Account Supervisor</w:t>
      </w:r>
    </w:p>
    <w:p w14:paraId="73F4199C" w14:textId="77777777" w:rsidR="009B2C7B" w:rsidRPr="005C3EA2" w:rsidRDefault="009B2C7B" w:rsidP="009B2C7B">
      <w:pPr>
        <w:ind w:left="720"/>
      </w:pPr>
      <w:r w:rsidRPr="005C3EA2">
        <w:t>FCB</w:t>
      </w:r>
    </w:p>
    <w:p w14:paraId="768777D2" w14:textId="77777777" w:rsidR="009B2C7B" w:rsidRPr="005C3EA2" w:rsidRDefault="009B2C7B" w:rsidP="009B2C7B">
      <w:pPr>
        <w:ind w:left="720"/>
      </w:pPr>
      <w:r w:rsidRPr="005C3EA2">
        <w:t>100 West 33rd Street</w:t>
      </w:r>
    </w:p>
    <w:p w14:paraId="460CAC26" w14:textId="77777777" w:rsidR="009B2C7B" w:rsidRPr="005C3EA2" w:rsidRDefault="009B2C7B" w:rsidP="009B2C7B">
      <w:pPr>
        <w:ind w:left="720"/>
      </w:pPr>
      <w:r w:rsidRPr="005C3EA2">
        <w:t>New York, NY 10001</w:t>
      </w:r>
    </w:p>
    <w:p w14:paraId="6F350731" w14:textId="77777777" w:rsidR="009B2C7B" w:rsidRPr="005C3EA2" w:rsidRDefault="009B2C7B" w:rsidP="009B2C7B">
      <w:pPr>
        <w:ind w:left="720"/>
      </w:pPr>
      <w:r w:rsidRPr="005C3EA2">
        <w:t>Phone: 212- 716 7608</w:t>
      </w:r>
    </w:p>
    <w:p w14:paraId="6061D763" w14:textId="77777777" w:rsidR="009B2C7B" w:rsidRPr="005C3EA2" w:rsidRDefault="009B2C7B" w:rsidP="009B2C7B">
      <w:pPr>
        <w:ind w:left="720"/>
      </w:pPr>
      <w:r w:rsidRPr="005C3EA2">
        <w:t xml:space="preserve">Email: </w:t>
      </w:r>
      <w:hyperlink r:id="rId18" w:history="1">
        <w:r w:rsidRPr="005C3EA2">
          <w:rPr>
            <w:rStyle w:val="Hyperlink"/>
          </w:rPr>
          <w:t>Carol.Issa@fcb.com</w:t>
        </w:r>
      </w:hyperlink>
      <w:r w:rsidRPr="005C3EA2">
        <w:t xml:space="preserve">  </w:t>
      </w:r>
    </w:p>
    <w:p w14:paraId="2490E315" w14:textId="77777777" w:rsidR="009B2C7B" w:rsidRPr="005C3EA2" w:rsidRDefault="009B2C7B" w:rsidP="009B2C7B">
      <w:pPr>
        <w:ind w:left="720"/>
      </w:pPr>
    </w:p>
    <w:p w14:paraId="17F69367" w14:textId="77777777" w:rsidR="00991249" w:rsidRPr="005C3EA2" w:rsidRDefault="00991249">
      <w:r w:rsidRPr="005C3EA2">
        <w:br w:type="page"/>
      </w:r>
    </w:p>
    <w:p w14:paraId="6564689B" w14:textId="400842C7" w:rsidR="009B2C7B" w:rsidRPr="005C3EA2" w:rsidRDefault="009B2C7B" w:rsidP="009B2C7B">
      <w:pPr>
        <w:ind w:left="720"/>
      </w:pPr>
      <w:r w:rsidRPr="005C3EA2">
        <w:lastRenderedPageBreak/>
        <w:t>Mark Hall</w:t>
      </w:r>
    </w:p>
    <w:p w14:paraId="580DE331" w14:textId="77777777" w:rsidR="009B2C7B" w:rsidRPr="005C3EA2" w:rsidRDefault="009B2C7B" w:rsidP="009B2C7B">
      <w:pPr>
        <w:ind w:left="720"/>
      </w:pPr>
      <w:r w:rsidRPr="005C3EA2">
        <w:t>Senior Strategic Planner</w:t>
      </w:r>
    </w:p>
    <w:p w14:paraId="27D1A352" w14:textId="77777777" w:rsidR="009B2C7B" w:rsidRPr="005C3EA2" w:rsidRDefault="009B2C7B" w:rsidP="009B2C7B">
      <w:pPr>
        <w:ind w:left="720"/>
      </w:pPr>
      <w:r w:rsidRPr="005C3EA2">
        <w:t>FCB</w:t>
      </w:r>
    </w:p>
    <w:p w14:paraId="3073566F" w14:textId="77777777" w:rsidR="009B2C7B" w:rsidRPr="005C3EA2" w:rsidRDefault="009B2C7B" w:rsidP="009B2C7B">
      <w:pPr>
        <w:ind w:left="720"/>
      </w:pPr>
      <w:r w:rsidRPr="005C3EA2">
        <w:t>100 West 33rd Street</w:t>
      </w:r>
    </w:p>
    <w:p w14:paraId="53C7AB67" w14:textId="77777777" w:rsidR="009B2C7B" w:rsidRPr="005C3EA2" w:rsidRDefault="009B2C7B" w:rsidP="009B2C7B">
      <w:pPr>
        <w:ind w:left="720"/>
      </w:pPr>
      <w:r w:rsidRPr="005C3EA2">
        <w:t>New York, NY 10001</w:t>
      </w:r>
    </w:p>
    <w:p w14:paraId="2E076869" w14:textId="77777777" w:rsidR="009B2C7B" w:rsidRPr="005C3EA2" w:rsidRDefault="009B2C7B" w:rsidP="009B2C7B">
      <w:pPr>
        <w:ind w:left="720"/>
      </w:pPr>
      <w:r w:rsidRPr="005C3EA2">
        <w:t>Phone: 212-885-3372</w:t>
      </w:r>
    </w:p>
    <w:p w14:paraId="6D3D3D63" w14:textId="77777777" w:rsidR="009B2C7B" w:rsidRPr="005C3EA2" w:rsidRDefault="009B2C7B" w:rsidP="009B2C7B">
      <w:pPr>
        <w:ind w:left="720"/>
      </w:pPr>
      <w:r w:rsidRPr="005C3EA2">
        <w:t xml:space="preserve">Email: </w:t>
      </w:r>
      <w:hyperlink r:id="rId19" w:history="1">
        <w:r w:rsidRPr="005C3EA2">
          <w:rPr>
            <w:rStyle w:val="Hyperlink"/>
          </w:rPr>
          <w:t>Mark.W.Hall@fcb.com</w:t>
        </w:r>
      </w:hyperlink>
      <w:r w:rsidRPr="005C3EA2">
        <w:t xml:space="preserve"> </w:t>
      </w:r>
    </w:p>
    <w:p w14:paraId="19BBE65A" w14:textId="77777777" w:rsidR="00355949" w:rsidRPr="005C3EA2" w:rsidRDefault="00355949" w:rsidP="00CF658A">
      <w:pPr>
        <w:ind w:left="720"/>
      </w:pPr>
    </w:p>
    <w:p w14:paraId="0E741B4F" w14:textId="17C2DC37" w:rsidR="006822E2" w:rsidRPr="005C3EA2" w:rsidRDefault="00EB7538" w:rsidP="006822E2">
      <w:pPr>
        <w:numPr>
          <w:ilvl w:val="0"/>
          <w:numId w:val="1"/>
        </w:numPr>
        <w:spacing w:before="100" w:beforeAutospacing="1" w:after="100" w:afterAutospacing="1"/>
        <w:rPr>
          <w:b/>
          <w:u w:val="single"/>
        </w:rPr>
      </w:pPr>
      <w:r w:rsidRPr="005C3EA2">
        <w:rPr>
          <w:b/>
          <w:u w:val="single"/>
        </w:rPr>
        <w:t xml:space="preserve">Explanation of Any </w:t>
      </w:r>
      <w:r w:rsidR="00EE26E0" w:rsidRPr="005C3EA2">
        <w:rPr>
          <w:b/>
          <w:u w:val="single"/>
        </w:rPr>
        <w:t xml:space="preserve">Payment </w:t>
      </w:r>
      <w:r w:rsidRPr="005C3EA2">
        <w:rPr>
          <w:b/>
          <w:u w:val="single"/>
        </w:rPr>
        <w:t>or Gift to Respondents</w:t>
      </w:r>
    </w:p>
    <w:p w14:paraId="3E909D77" w14:textId="61C560EC" w:rsidR="00FB4554" w:rsidRPr="005C3EA2" w:rsidRDefault="00FB4554" w:rsidP="00FB4554">
      <w:pPr>
        <w:pBdr>
          <w:top w:val="nil"/>
          <w:left w:val="nil"/>
          <w:bottom w:val="nil"/>
          <w:right w:val="nil"/>
          <w:between w:val="nil"/>
          <w:bar w:val="nil"/>
        </w:pBdr>
        <w:ind w:left="720"/>
        <w:rPr>
          <w:color w:val="000000"/>
          <w:u w:color="000000"/>
          <w:bdr w:val="nil"/>
        </w:rPr>
      </w:pPr>
      <w:r w:rsidRPr="005C3EA2">
        <w:rPr>
          <w:color w:val="000000"/>
          <w:u w:color="000000"/>
          <w:bdr w:val="nil"/>
        </w:rPr>
        <w:t>Eligible participants who partake in the online survey will receive an “e-reward,” equal to approximately $1.50, through the online panel provider</w:t>
      </w:r>
      <w:r w:rsidR="00B86190" w:rsidRPr="005C3EA2">
        <w:rPr>
          <w:color w:val="000000"/>
          <w:u w:color="000000"/>
          <w:bdr w:val="nil"/>
        </w:rPr>
        <w:t>, SSI,</w:t>
      </w:r>
      <w:r w:rsidRPr="005C3EA2">
        <w:rPr>
          <w:color w:val="000000"/>
          <w:u w:color="000000"/>
          <w:bdr w:val="nil"/>
        </w:rPr>
        <w:t xml:space="preserve"> as an incentive. </w:t>
      </w:r>
      <w:r w:rsidR="00D6464E" w:rsidRPr="005C3EA2">
        <w:rPr>
          <w:color w:val="000000"/>
          <w:u w:color="000000"/>
          <w:bdr w:val="nil"/>
        </w:rPr>
        <w:t xml:space="preserve">This is a typical amount for rewards-based panel systems such as this. </w:t>
      </w:r>
      <w:r w:rsidRPr="005C3EA2">
        <w:rPr>
          <w:color w:val="000000"/>
          <w:u w:color="000000"/>
          <w:bdr w:val="nil"/>
        </w:rPr>
        <w:t xml:space="preserve">The proposed incentive amount will be provided to participants for their entire burden time, which includes screening time and completing the survey. The survey will take most participants no longer than 20 minutes. Only participants who are eligible will receive an incentive, as is common procedure for online research studies. </w:t>
      </w:r>
    </w:p>
    <w:p w14:paraId="4CF5C256" w14:textId="77777777" w:rsidR="00FB4554" w:rsidRPr="005C3EA2" w:rsidRDefault="00FB4554" w:rsidP="00FB4554">
      <w:pPr>
        <w:pBdr>
          <w:top w:val="nil"/>
          <w:left w:val="nil"/>
          <w:bottom w:val="nil"/>
          <w:right w:val="nil"/>
          <w:between w:val="nil"/>
          <w:bar w:val="nil"/>
        </w:pBdr>
        <w:rPr>
          <w:color w:val="000000"/>
          <w:u w:color="000000"/>
          <w:bdr w:val="nil"/>
        </w:rPr>
      </w:pPr>
    </w:p>
    <w:p w14:paraId="0B2D2A7F" w14:textId="77777777" w:rsidR="00FB4554" w:rsidRPr="005C3EA2" w:rsidRDefault="00FB4554" w:rsidP="00FB4554">
      <w:pPr>
        <w:pBdr>
          <w:top w:val="nil"/>
          <w:left w:val="nil"/>
          <w:bottom w:val="nil"/>
          <w:right w:val="nil"/>
          <w:between w:val="nil"/>
          <w:bar w:val="nil"/>
        </w:pBdr>
        <w:ind w:left="720"/>
        <w:rPr>
          <w:color w:val="000000"/>
          <w:u w:color="000000"/>
          <w:bdr w:val="nil"/>
        </w:rPr>
      </w:pPr>
      <w:r w:rsidRPr="005C3EA2">
        <w:rPr>
          <w:color w:val="000000"/>
          <w:u w:color="000000"/>
          <w:bdr w:val="nil"/>
        </w:rPr>
        <w:t>In the market research community, incentives are standard practice and are suggested by organizations that set the standards for conducting ethical market research among human subjects (CASRO Code of Standards and Ethics for Survey Research).  An incentive less than the standard amount offered by the vendor will greatly inhibit the ability to successfully recruit participants.  In the context of FDA’s efforts to inform the public on tobacco-related health issues, this is the first time that FDA is expanding such efforts to target adult smokers with advertising within the tobacco retail environment; as such it is particularly imperative to provide adequate incentives to encourage and retain participation.</w:t>
      </w:r>
    </w:p>
    <w:p w14:paraId="5EC40807" w14:textId="77777777" w:rsidR="00FB4554" w:rsidRPr="005C3EA2" w:rsidRDefault="00FB4554" w:rsidP="00FB4554">
      <w:pPr>
        <w:pBdr>
          <w:top w:val="nil"/>
          <w:left w:val="nil"/>
          <w:bottom w:val="nil"/>
          <w:right w:val="nil"/>
          <w:between w:val="nil"/>
          <w:bar w:val="nil"/>
        </w:pBdr>
        <w:rPr>
          <w:color w:val="000000"/>
          <w:u w:color="000000"/>
          <w:bdr w:val="nil"/>
        </w:rPr>
      </w:pPr>
    </w:p>
    <w:p w14:paraId="2174CFBC" w14:textId="77777777" w:rsidR="00FB4554" w:rsidRPr="005C3EA2" w:rsidRDefault="00FB4554" w:rsidP="00FB4554">
      <w:pPr>
        <w:pBdr>
          <w:top w:val="nil"/>
          <w:left w:val="nil"/>
          <w:bottom w:val="nil"/>
          <w:right w:val="nil"/>
          <w:between w:val="nil"/>
          <w:bar w:val="nil"/>
        </w:pBdr>
        <w:ind w:left="720" w:right="-180"/>
        <w:rPr>
          <w:color w:val="000000"/>
          <w:u w:color="000000"/>
          <w:bdr w:val="nil"/>
        </w:rPr>
      </w:pPr>
      <w:r w:rsidRPr="005C3EA2">
        <w:rPr>
          <w:color w:val="000000"/>
          <w:u w:color="000000"/>
          <w:bdr w:val="nil"/>
        </w:rPr>
        <w:t xml:space="preserve">As participants often have competing demands for their time, incentives are used to encourage participation in research. </w:t>
      </w:r>
      <w:r w:rsidRPr="005C3EA2">
        <w:rPr>
          <w:color w:val="000000"/>
          <w:u w:color="000000"/>
          <w:bdr w:val="nil"/>
          <w:lang w:val="en"/>
        </w:rPr>
        <w:t xml:space="preserve">The use of incentives treats participants justly and with respect by recognizing and acknowledging the effort they expend to participate. In this particular research we are asking participants to provide thought-intensive feedback on advertisements that require a high level of participation. </w:t>
      </w:r>
      <w:r w:rsidRPr="005C3EA2">
        <w:rPr>
          <w:color w:val="000000"/>
          <w:u w:color="000000"/>
          <w:bdr w:val="nil"/>
        </w:rPr>
        <w:t>When applied in a reasonable manner, incentives are not an unjust inducement, but are instead a way to acknowledge respondents for their participation (Halpern, et al., 2004).</w:t>
      </w:r>
    </w:p>
    <w:p w14:paraId="195214F3" w14:textId="77777777" w:rsidR="00FB4554" w:rsidRPr="005C3EA2" w:rsidRDefault="00FB4554" w:rsidP="00FB4554">
      <w:pPr>
        <w:pBdr>
          <w:top w:val="nil"/>
          <w:left w:val="nil"/>
          <w:bottom w:val="nil"/>
          <w:right w:val="nil"/>
          <w:between w:val="nil"/>
          <w:bar w:val="nil"/>
        </w:pBdr>
        <w:ind w:right="-180"/>
        <w:rPr>
          <w:color w:val="000000"/>
          <w:u w:color="000000"/>
          <w:bdr w:val="nil"/>
        </w:rPr>
      </w:pPr>
    </w:p>
    <w:p w14:paraId="7CFA63D9" w14:textId="77777777" w:rsidR="00FB4554" w:rsidRPr="005C3EA2" w:rsidRDefault="00FB4554" w:rsidP="00FB4554">
      <w:pPr>
        <w:pBdr>
          <w:top w:val="nil"/>
          <w:left w:val="nil"/>
          <w:bottom w:val="nil"/>
          <w:right w:val="nil"/>
          <w:between w:val="nil"/>
          <w:bar w:val="nil"/>
        </w:pBdr>
        <w:ind w:left="720" w:right="-180"/>
        <w:rPr>
          <w:color w:val="000000"/>
          <w:u w:color="000000"/>
          <w:bdr w:val="nil"/>
        </w:rPr>
      </w:pPr>
      <w:r w:rsidRPr="005C3EA2">
        <w:rPr>
          <w:color w:val="000000"/>
          <w:u w:color="000000"/>
          <w:bdr w:val="nil"/>
        </w:rPr>
        <w:t xml:space="preserve">Incentives must be high enough to </w:t>
      </w:r>
      <w:r w:rsidRPr="005C3EA2">
        <w:rPr>
          <w:color w:val="000000"/>
          <w:u w:color="000000"/>
          <w:bdr w:val="nil"/>
          <w:lang w:val="en"/>
        </w:rPr>
        <w:t xml:space="preserve">equalize the burden placed on participants with respect to their time and cost of participation (Russell, </w:t>
      </w:r>
      <w:proofErr w:type="spellStart"/>
      <w:r w:rsidRPr="005C3EA2">
        <w:rPr>
          <w:color w:val="000000"/>
          <w:u w:color="000000"/>
          <w:bdr w:val="nil"/>
          <w:lang w:val="en"/>
        </w:rPr>
        <w:t>Moralejo</w:t>
      </w:r>
      <w:proofErr w:type="spellEnd"/>
      <w:r w:rsidRPr="005C3EA2">
        <w:rPr>
          <w:color w:val="000000"/>
          <w:u w:color="000000"/>
          <w:bdr w:val="nil"/>
          <w:lang w:val="en"/>
        </w:rPr>
        <w:t xml:space="preserve">, &amp; Burgess, 2000), </w:t>
      </w:r>
      <w:r w:rsidRPr="005C3EA2">
        <w:rPr>
          <w:color w:val="000000"/>
          <w:u w:color="000000"/>
          <w:bdr w:val="nil"/>
        </w:rPr>
        <w:t xml:space="preserve">as well as provide enough motivation for them to participate in the study rather than another activity. If the incentive is not adequate, participants may agree to participate and then drop out early. Low participation may result in inadequate data collection or, in the worst cases, loss of government funds associated with setting up the research (Morgan &amp; </w:t>
      </w:r>
      <w:proofErr w:type="spellStart"/>
      <w:r w:rsidRPr="005C3EA2">
        <w:rPr>
          <w:color w:val="000000"/>
          <w:u w:color="000000"/>
          <w:bdr w:val="nil"/>
        </w:rPr>
        <w:t>Scannell</w:t>
      </w:r>
      <w:proofErr w:type="spellEnd"/>
      <w:r w:rsidRPr="005C3EA2">
        <w:rPr>
          <w:color w:val="000000"/>
          <w:u w:color="000000"/>
          <w:bdr w:val="nil"/>
        </w:rPr>
        <w:t>, 1998).</w:t>
      </w:r>
    </w:p>
    <w:p w14:paraId="2CD5772A" w14:textId="77777777" w:rsidR="00FB4554" w:rsidRPr="005C3EA2" w:rsidRDefault="00FB4554" w:rsidP="00FB4554">
      <w:pPr>
        <w:pBdr>
          <w:top w:val="nil"/>
          <w:left w:val="nil"/>
          <w:bottom w:val="nil"/>
          <w:right w:val="nil"/>
          <w:between w:val="nil"/>
          <w:bar w:val="nil"/>
        </w:pBdr>
        <w:ind w:right="-180"/>
        <w:rPr>
          <w:color w:val="000000"/>
          <w:u w:color="000000"/>
          <w:bdr w:val="nil"/>
        </w:rPr>
      </w:pPr>
    </w:p>
    <w:p w14:paraId="14495F5A" w14:textId="77777777" w:rsidR="00FB4554" w:rsidRPr="005C3EA2" w:rsidRDefault="00FB4554" w:rsidP="00FB4554">
      <w:pPr>
        <w:pBdr>
          <w:top w:val="nil"/>
          <w:left w:val="nil"/>
          <w:bottom w:val="nil"/>
          <w:right w:val="nil"/>
          <w:between w:val="nil"/>
          <w:bar w:val="nil"/>
        </w:pBdr>
        <w:ind w:left="720"/>
        <w:rPr>
          <w:color w:val="000000"/>
          <w:u w:color="000000"/>
          <w:bdr w:val="nil"/>
        </w:rPr>
      </w:pPr>
      <w:r w:rsidRPr="005C3EA2">
        <w:rPr>
          <w:color w:val="000000"/>
          <w:u w:color="000000"/>
          <w:bdr w:val="nil"/>
        </w:rPr>
        <w:t xml:space="preserve">Additionally, low incentives can cause a difficult and lengthy recruitment process that, in turn, can cause delays in launching the research, both of which lead to increased costs. </w:t>
      </w:r>
      <w:r w:rsidRPr="005C3EA2">
        <w:rPr>
          <w:color w:val="000000"/>
          <w:u w:color="000000"/>
          <w:bdr w:val="nil"/>
          <w:lang w:val="en"/>
        </w:rPr>
        <w:t>Incentives</w:t>
      </w:r>
      <w:r w:rsidRPr="005C3EA2">
        <w:rPr>
          <w:color w:val="000000"/>
          <w:u w:color="000000"/>
          <w:bdr w:val="nil"/>
        </w:rPr>
        <w:t xml:space="preserve"> are also necessary</w:t>
      </w:r>
      <w:r w:rsidRPr="005C3EA2">
        <w:rPr>
          <w:color w:val="000000"/>
          <w:u w:color="000000"/>
          <w:bdr w:val="nil"/>
          <w:lang w:val="en"/>
        </w:rPr>
        <w:t xml:space="preserve"> to ensure adequate representation among</w:t>
      </w:r>
      <w:r w:rsidRPr="005C3EA2">
        <w:rPr>
          <w:color w:val="000000"/>
          <w:u w:color="000000"/>
          <w:bdr w:val="nil"/>
        </w:rPr>
        <w:t xml:space="preserve"> harder-to-recruit populations (</w:t>
      </w:r>
      <w:proofErr w:type="spellStart"/>
      <w:r w:rsidRPr="005C3EA2">
        <w:rPr>
          <w:color w:val="000000"/>
          <w:u w:color="000000"/>
          <w:bdr w:val="nil"/>
        </w:rPr>
        <w:t>Groth</w:t>
      </w:r>
      <w:proofErr w:type="spellEnd"/>
      <w:r w:rsidRPr="005C3EA2">
        <w:rPr>
          <w:color w:val="000000"/>
          <w:u w:color="000000"/>
          <w:bdr w:val="nil"/>
        </w:rPr>
        <w:t xml:space="preserve">, 2010). In the context of this research study, the target population is </w:t>
      </w:r>
      <w:r w:rsidRPr="005C3EA2">
        <w:rPr>
          <w:color w:val="000000"/>
          <w:u w:color="000000"/>
          <w:bdr w:val="nil"/>
        </w:rPr>
        <w:lastRenderedPageBreak/>
        <w:t>considered a harder-to-recruit population because of the screening criteria (e.g., current smokers who have made a quit attempt in the past year).</w:t>
      </w:r>
    </w:p>
    <w:p w14:paraId="5DDBB20C" w14:textId="77777777" w:rsidR="00FB4554" w:rsidRPr="005C3EA2" w:rsidRDefault="00FB4554" w:rsidP="00FB4554">
      <w:pPr>
        <w:pBdr>
          <w:top w:val="nil"/>
          <w:left w:val="nil"/>
          <w:bottom w:val="nil"/>
          <w:right w:val="nil"/>
          <w:between w:val="nil"/>
          <w:bar w:val="nil"/>
        </w:pBdr>
        <w:ind w:left="720"/>
        <w:rPr>
          <w:color w:val="000000"/>
          <w:u w:color="000000"/>
          <w:bdr w:val="nil"/>
        </w:rPr>
      </w:pPr>
    </w:p>
    <w:p w14:paraId="5834EE8C" w14:textId="7E85321E" w:rsidR="006822E2" w:rsidRPr="005C3EA2" w:rsidRDefault="006822E2" w:rsidP="006822E2">
      <w:pPr>
        <w:pStyle w:val="ListParagraph"/>
        <w:numPr>
          <w:ilvl w:val="0"/>
          <w:numId w:val="1"/>
        </w:numPr>
        <w:rPr>
          <w:rFonts w:cs="Times New Roman"/>
          <w:b/>
          <w:szCs w:val="24"/>
          <w:u w:val="single"/>
        </w:rPr>
      </w:pPr>
      <w:r w:rsidRPr="005C3EA2">
        <w:rPr>
          <w:rFonts w:cs="Times New Roman"/>
          <w:b/>
          <w:szCs w:val="24"/>
          <w:u w:val="single"/>
        </w:rPr>
        <w:t>Assurance of Confidentiality Provided to Respondents</w:t>
      </w:r>
    </w:p>
    <w:p w14:paraId="27BB563F" w14:textId="42C29061" w:rsidR="0042770B" w:rsidRPr="005C3EA2" w:rsidRDefault="006822E2" w:rsidP="008500EA">
      <w:pPr>
        <w:spacing w:before="100" w:beforeAutospacing="1" w:after="100" w:afterAutospacing="1"/>
        <w:ind w:left="720"/>
      </w:pPr>
      <w:r w:rsidRPr="005C3EA2">
        <w:t>CTP</w:t>
      </w:r>
      <w:r w:rsidR="00E6441F" w:rsidRPr="005C3EA2">
        <w:t xml:space="preserve"> RIHSC</w:t>
      </w:r>
      <w:r w:rsidRPr="005C3EA2">
        <w:t xml:space="preserve"> and </w:t>
      </w:r>
      <w:r w:rsidR="003F164E">
        <w:t>FDA</w:t>
      </w:r>
      <w:r w:rsidR="003F164E" w:rsidRPr="005C3EA2">
        <w:t xml:space="preserve"> </w:t>
      </w:r>
      <w:r w:rsidRPr="005C3EA2">
        <w:t>IRB review</w:t>
      </w:r>
      <w:r w:rsidR="00897A6F" w:rsidRPr="005C3EA2">
        <w:t>ed</w:t>
      </w:r>
      <w:r w:rsidRPr="005C3EA2">
        <w:t xml:space="preserve"> and approve</w:t>
      </w:r>
      <w:r w:rsidR="00897A6F" w:rsidRPr="005C3EA2">
        <w:t>d</w:t>
      </w:r>
      <w:r w:rsidRPr="005C3EA2">
        <w:t xml:space="preserve"> the protocol and consent form for this study. </w:t>
      </w:r>
      <w:r w:rsidR="00897A6F" w:rsidRPr="005C3EA2">
        <w:t xml:space="preserve">The letter of approval can be found in Attachment </w:t>
      </w:r>
      <w:r w:rsidR="009B2C7B" w:rsidRPr="005C3EA2">
        <w:t>E</w:t>
      </w:r>
      <w:r w:rsidR="00897A6F" w:rsidRPr="005C3EA2">
        <w:t xml:space="preserve">.  </w:t>
      </w:r>
      <w:r w:rsidRPr="005C3EA2">
        <w:t>The IRB</w:t>
      </w:r>
      <w:r w:rsidR="00AD3CBF" w:rsidRPr="005C3EA2">
        <w:t>’</w:t>
      </w:r>
      <w:r w:rsidRPr="005C3EA2">
        <w:t xml:space="preserve">s primary concern is protecting respondents’ rights, one of which is maintaining the privacy of </w:t>
      </w:r>
      <w:r w:rsidR="00F81E8D" w:rsidRPr="005C3EA2">
        <w:t>participant</w:t>
      </w:r>
      <w:r w:rsidRPr="005C3EA2">
        <w:t xml:space="preserve"> information to the fullest extent of the law.</w:t>
      </w:r>
    </w:p>
    <w:p w14:paraId="0CB67E48" w14:textId="77777777" w:rsidR="00FB4554" w:rsidRPr="005C3EA2" w:rsidRDefault="00FB4554" w:rsidP="0065275B">
      <w:pPr>
        <w:pBdr>
          <w:top w:val="nil"/>
          <w:left w:val="nil"/>
          <w:bottom w:val="nil"/>
          <w:right w:val="nil"/>
          <w:between w:val="nil"/>
          <w:bar w:val="nil"/>
        </w:pBdr>
        <w:ind w:left="720"/>
        <w:rPr>
          <w:color w:val="000000"/>
          <w:u w:color="000000"/>
          <w:bdr w:val="nil"/>
        </w:rPr>
      </w:pPr>
      <w:r w:rsidRPr="005C3EA2">
        <w:rPr>
          <w:color w:val="000000"/>
          <w:u w:color="000000"/>
          <w:bdr w:val="nil"/>
        </w:rPr>
        <w:t>The following measures will be used to ensure confidentiality once the survey process begins: (1) full names of the participants are never used on any survey materials; (2) the surveys do not ask for the recording of any personally identifying information; (3) any lists or logs with names are stored securely on a password-protected computer; and (4) given responses to the survey are not attributed to the individual. No identifying information will be included in any data, reports or slides delivered to FDA.</w:t>
      </w:r>
    </w:p>
    <w:p w14:paraId="501757A3" w14:textId="77777777" w:rsidR="00FB4554" w:rsidRPr="005C3EA2" w:rsidRDefault="00FB4554" w:rsidP="00FB4554">
      <w:pPr>
        <w:pBdr>
          <w:top w:val="nil"/>
          <w:left w:val="nil"/>
          <w:bottom w:val="nil"/>
          <w:right w:val="nil"/>
          <w:between w:val="nil"/>
          <w:bar w:val="nil"/>
        </w:pBdr>
        <w:rPr>
          <w:color w:val="000000"/>
          <w:u w:color="000000"/>
          <w:bdr w:val="nil"/>
        </w:rPr>
      </w:pPr>
    </w:p>
    <w:p w14:paraId="2A89ECFF" w14:textId="6FC8A414" w:rsidR="00FB4554" w:rsidRPr="005C3EA2" w:rsidRDefault="00FB4554" w:rsidP="00FB4554">
      <w:pPr>
        <w:pBdr>
          <w:top w:val="nil"/>
          <w:left w:val="nil"/>
          <w:bottom w:val="nil"/>
          <w:right w:val="nil"/>
          <w:between w:val="nil"/>
          <w:bar w:val="nil"/>
        </w:pBdr>
        <w:ind w:left="720"/>
        <w:rPr>
          <w:color w:val="000000"/>
          <w:u w:color="000000"/>
          <w:bdr w:val="nil"/>
        </w:rPr>
      </w:pPr>
      <w:r w:rsidRPr="005C3EA2">
        <w:rPr>
          <w:color w:val="000000"/>
          <w:u w:color="000000"/>
          <w:bdr w:val="nil"/>
        </w:rPr>
        <w:t xml:space="preserve">The following processes are in place to protect personal and sensitive data: (1) raw data from data collections that include sensitive information will be destroyed by deletion or secure shredding once the non-personally identifying data have been extracted and aggregated; (2) </w:t>
      </w:r>
      <w:r w:rsidR="007F14BD" w:rsidRPr="005C3EA2">
        <w:rPr>
          <w:color w:val="000000"/>
          <w:u w:color="000000"/>
          <w:bdr w:val="nil"/>
        </w:rPr>
        <w:t xml:space="preserve">unused </w:t>
      </w:r>
      <w:r w:rsidRPr="005C3EA2">
        <w:rPr>
          <w:color w:val="000000"/>
          <w:u w:color="000000"/>
          <w:bdr w:val="nil"/>
        </w:rPr>
        <w:t>information from screening never becomes part of a system of records containing permanent identifiers that can be used for retrieval; and (3) no datasets generated from the study will include any personal information that can be tied to individual responses to sensitive questions.</w:t>
      </w:r>
    </w:p>
    <w:p w14:paraId="0855B1E1" w14:textId="77777777" w:rsidR="00FB4554" w:rsidRPr="005C3EA2" w:rsidRDefault="00FB4554" w:rsidP="00FB4554">
      <w:pPr>
        <w:pBdr>
          <w:top w:val="nil"/>
          <w:left w:val="nil"/>
          <w:bottom w:val="nil"/>
          <w:right w:val="nil"/>
          <w:between w:val="nil"/>
          <w:bar w:val="nil"/>
        </w:pBdr>
        <w:rPr>
          <w:color w:val="000000"/>
          <w:u w:color="000000"/>
          <w:bdr w:val="nil"/>
        </w:rPr>
      </w:pPr>
    </w:p>
    <w:p w14:paraId="5A95C3E7" w14:textId="77777777" w:rsidR="00FB4554" w:rsidRPr="005C3EA2" w:rsidRDefault="00FB4554" w:rsidP="00FB4554">
      <w:pPr>
        <w:pBdr>
          <w:top w:val="nil"/>
          <w:left w:val="nil"/>
          <w:bottom w:val="nil"/>
          <w:right w:val="nil"/>
          <w:between w:val="nil"/>
          <w:bar w:val="nil"/>
        </w:pBdr>
        <w:ind w:left="720" w:right="-180"/>
        <w:rPr>
          <w:color w:val="000000"/>
          <w:u w:color="000000"/>
          <w:bdr w:val="nil"/>
        </w:rPr>
      </w:pPr>
      <w:r w:rsidRPr="005C3EA2">
        <w:rPr>
          <w:color w:val="000000"/>
          <w:u w:color="000000"/>
          <w:bdr w:val="nil"/>
        </w:rPr>
        <w:t>As with any research study there is a chance that privacy could be compromised as a result of an accidental error or a security breach, however, no other risks are anticipated. In the event a breach occurs, all participants will be contacted and notified as to the extent of the breach, any damages incurred, and future potential risks; contact information for additional inquiries will also be provided.</w:t>
      </w:r>
    </w:p>
    <w:p w14:paraId="127F98E0" w14:textId="77777777" w:rsidR="00FB4554" w:rsidRPr="005C3EA2" w:rsidRDefault="00FB4554" w:rsidP="00FB4554">
      <w:pPr>
        <w:spacing w:before="100" w:beforeAutospacing="1" w:after="100" w:afterAutospacing="1"/>
        <w:ind w:left="720"/>
        <w:rPr>
          <w:u w:val="single"/>
        </w:rPr>
      </w:pPr>
      <w:r w:rsidRPr="005C3EA2">
        <w:rPr>
          <w:u w:val="single"/>
        </w:rPr>
        <w:t xml:space="preserve">Overview of How Information will be </w:t>
      </w:r>
      <w:proofErr w:type="gramStart"/>
      <w:r w:rsidRPr="005C3EA2">
        <w:rPr>
          <w:u w:val="single"/>
        </w:rPr>
        <w:t>Shared</w:t>
      </w:r>
      <w:proofErr w:type="gramEnd"/>
      <w:r w:rsidRPr="005C3EA2">
        <w:rPr>
          <w:u w:val="single"/>
        </w:rPr>
        <w:t xml:space="preserve"> and for What Purposes</w:t>
      </w:r>
    </w:p>
    <w:p w14:paraId="35545200" w14:textId="77777777" w:rsidR="00FB4554" w:rsidRPr="005C3EA2" w:rsidRDefault="00FB4554" w:rsidP="00FB4554">
      <w:pPr>
        <w:pBdr>
          <w:top w:val="nil"/>
          <w:left w:val="nil"/>
          <w:bottom w:val="nil"/>
          <w:right w:val="nil"/>
          <w:between w:val="nil"/>
          <w:bar w:val="nil"/>
        </w:pBdr>
        <w:ind w:left="720"/>
        <w:rPr>
          <w:color w:val="000000"/>
          <w:u w:color="000000"/>
          <w:bdr w:val="nil"/>
        </w:rPr>
      </w:pPr>
      <w:r w:rsidRPr="005C3EA2">
        <w:rPr>
          <w:color w:val="000000"/>
          <w:u w:color="000000"/>
          <w:bdr w:val="nil"/>
        </w:rPr>
        <w:t>All data will be reported in aggregate form such that data collected cannot be traced back to particular participants.  Researchers will never tie respondents’ personal information to their answers. All analyses will also be done in the aggregate and respondent information will not be appended to the data file used.</w:t>
      </w:r>
    </w:p>
    <w:p w14:paraId="7EDAAC4D" w14:textId="77777777" w:rsidR="00FB4554" w:rsidRPr="005C3EA2" w:rsidRDefault="00FB4554" w:rsidP="00FB4554">
      <w:pPr>
        <w:keepNext/>
        <w:pBdr>
          <w:top w:val="nil"/>
          <w:left w:val="nil"/>
          <w:bottom w:val="nil"/>
          <w:right w:val="nil"/>
          <w:between w:val="nil"/>
          <w:bar w:val="nil"/>
        </w:pBdr>
        <w:rPr>
          <w:color w:val="000000"/>
          <w:u w:color="000000"/>
          <w:bdr w:val="nil"/>
        </w:rPr>
      </w:pPr>
    </w:p>
    <w:p w14:paraId="2611122A" w14:textId="77777777" w:rsidR="00FB4554" w:rsidRPr="005C3EA2" w:rsidRDefault="00FB4554" w:rsidP="00FB4554">
      <w:pPr>
        <w:pBdr>
          <w:top w:val="nil"/>
          <w:left w:val="nil"/>
          <w:bottom w:val="nil"/>
          <w:right w:val="nil"/>
          <w:between w:val="nil"/>
          <w:bar w:val="nil"/>
        </w:pBdr>
        <w:ind w:left="720"/>
        <w:rPr>
          <w:color w:val="000000"/>
          <w:u w:color="000000"/>
          <w:bdr w:val="nil"/>
        </w:rPr>
      </w:pPr>
      <w:r w:rsidRPr="005C3EA2">
        <w:rPr>
          <w:color w:val="000000"/>
          <w:u w:color="000000"/>
          <w:bdr w:val="nil"/>
        </w:rPr>
        <w:t>All data will be collected with an assurance that participants’ responses will remain private to the extent allowable by law. All data will be encrypted in transit using HTTPS.  All equipment will be operated and maintained according to industry standard practices, and all software validated using industry standard quality assurance practices.</w:t>
      </w:r>
      <w:r w:rsidRPr="005C3EA2">
        <w:rPr>
          <w:rFonts w:ascii="MS Mincho" w:eastAsia="MS Mincho" w:hAnsi="MS Mincho" w:cs="MS Mincho" w:hint="eastAsia"/>
          <w:color w:val="000000"/>
          <w:u w:color="000000"/>
          <w:bdr w:val="nil"/>
        </w:rPr>
        <w:t> </w:t>
      </w:r>
      <w:r w:rsidRPr="005C3EA2">
        <w:rPr>
          <w:rFonts w:eastAsia="MS Gothic"/>
          <w:color w:val="000000"/>
          <w:u w:color="000000"/>
          <w:bdr w:val="nil"/>
        </w:rPr>
        <w:t xml:space="preserve">All identifiable information will be destroyed upon completion of the study by </w:t>
      </w:r>
      <w:proofErr w:type="spellStart"/>
      <w:r w:rsidRPr="005C3EA2">
        <w:rPr>
          <w:rFonts w:eastAsia="MS Gothic"/>
          <w:color w:val="000000"/>
          <w:u w:color="000000"/>
          <w:bdr w:val="nil"/>
        </w:rPr>
        <w:t>Fors</w:t>
      </w:r>
      <w:proofErr w:type="spellEnd"/>
      <w:r w:rsidRPr="005C3EA2">
        <w:rPr>
          <w:rFonts w:eastAsia="MS Gothic"/>
          <w:color w:val="000000"/>
          <w:u w:color="000000"/>
          <w:bdr w:val="nil"/>
        </w:rPr>
        <w:t xml:space="preserve"> Marsh Group before any reports are delivered to FDA.  Any report delivered to FDA will not include </w:t>
      </w:r>
      <w:r w:rsidRPr="005C3EA2">
        <w:rPr>
          <w:color w:val="000000"/>
          <w:u w:color="000000"/>
          <w:bdr w:val="nil"/>
        </w:rPr>
        <w:t>identifying information.  De-identified screener information or survey results will be used by FDA to assist in material development.  All data received by FDA will remain stored on a password protected computer and/or in locked file cabinets.  After three years, all of the collected data will be destroyed by securely shredding documents or permanently deleting electronic information.</w:t>
      </w:r>
    </w:p>
    <w:p w14:paraId="77F2A966" w14:textId="77777777" w:rsidR="00FB4554" w:rsidRPr="005C3EA2" w:rsidRDefault="00FB4554" w:rsidP="00FB4554">
      <w:pPr>
        <w:pBdr>
          <w:top w:val="nil"/>
          <w:left w:val="nil"/>
          <w:bottom w:val="nil"/>
          <w:right w:val="nil"/>
          <w:between w:val="nil"/>
          <w:bar w:val="nil"/>
        </w:pBdr>
        <w:rPr>
          <w:color w:val="000000"/>
          <w:u w:color="000000"/>
          <w:bdr w:val="nil"/>
        </w:rPr>
      </w:pPr>
    </w:p>
    <w:p w14:paraId="3359AD95" w14:textId="4E30EFD6" w:rsidR="00FB4554" w:rsidRPr="005C3EA2" w:rsidRDefault="00FB4554" w:rsidP="00FB4554">
      <w:pPr>
        <w:pBdr>
          <w:top w:val="nil"/>
          <w:left w:val="nil"/>
          <w:bottom w:val="nil"/>
          <w:right w:val="nil"/>
          <w:between w:val="nil"/>
          <w:bar w:val="nil"/>
        </w:pBdr>
        <w:ind w:left="720"/>
        <w:rPr>
          <w:color w:val="000000"/>
          <w:u w:color="000000"/>
          <w:bdr w:val="nil"/>
        </w:rPr>
      </w:pPr>
      <w:r w:rsidRPr="005C3EA2">
        <w:rPr>
          <w:color w:val="000000"/>
          <w:u w:color="000000"/>
          <w:bdr w:val="nil"/>
        </w:rPr>
        <w:t>The online panel provider and contractor will not share personal information regarding participants with any third party without the participant’s permission unless it is required by law to protect their rights or to comply with judicial proceedings, court order, or other legal process. This possibility will be disclosed in the informed consent form. In the case of a breach of confidentiality, appropriate steps will be taken to notify participants.</w:t>
      </w:r>
    </w:p>
    <w:p w14:paraId="64FE735C" w14:textId="77777777" w:rsidR="00FB4554" w:rsidRPr="005C3EA2" w:rsidRDefault="00FB4554" w:rsidP="00FB4554">
      <w:pPr>
        <w:spacing w:before="100" w:beforeAutospacing="1" w:after="100" w:afterAutospacing="1"/>
        <w:ind w:left="720"/>
        <w:rPr>
          <w:u w:val="single"/>
        </w:rPr>
      </w:pPr>
      <w:r w:rsidRPr="005C3EA2">
        <w:rPr>
          <w:u w:val="single"/>
        </w:rPr>
        <w:t>Overview of Voluntary Participation and the Impact the Proposed Collection will have on the Respondent’s Privacy</w:t>
      </w:r>
    </w:p>
    <w:p w14:paraId="11AB8B52" w14:textId="3BB6A491" w:rsidR="00FB4554" w:rsidRPr="005C3EA2" w:rsidRDefault="00FB4554" w:rsidP="00FB4554">
      <w:pPr>
        <w:autoSpaceDE w:val="0"/>
        <w:autoSpaceDN w:val="0"/>
        <w:ind w:left="720"/>
      </w:pPr>
      <w:r w:rsidRPr="005C3EA2">
        <w:t>After screening, eligible participants will be directed to read and sign an informed consent form online. A copy of the informed consent form is included in the attachments</w:t>
      </w:r>
      <w:r w:rsidR="00D80D31" w:rsidRPr="005C3EA2">
        <w:t xml:space="preserve"> (Attachment A)</w:t>
      </w:r>
      <w:r w:rsidRPr="005C3EA2">
        <w:t xml:space="preserve">. According to the Readability Test Tool available at </w:t>
      </w:r>
      <w:hyperlink r:id="rId20" w:history="1">
        <w:r w:rsidRPr="005C3EA2">
          <w:rPr>
            <w:rStyle w:val="Hyperlink"/>
          </w:rPr>
          <w:t>www.read-able.com</w:t>
        </w:r>
      </w:hyperlink>
      <w:r w:rsidRPr="005C3EA2">
        <w:t xml:space="preserve">, the informed consent form was determined to be at or under the 9.0 Flesch-Kincaid grade </w:t>
      </w:r>
      <w:proofErr w:type="gramStart"/>
      <w:r w:rsidRPr="005C3EA2">
        <w:t>level</w:t>
      </w:r>
      <w:proofErr w:type="gramEnd"/>
      <w:r w:rsidRPr="005C3EA2">
        <w:t>.</w:t>
      </w:r>
    </w:p>
    <w:p w14:paraId="4743DE14" w14:textId="77777777" w:rsidR="00FB4554" w:rsidRPr="005C3EA2" w:rsidRDefault="00FB4554" w:rsidP="00FB4554">
      <w:pPr>
        <w:pBdr>
          <w:top w:val="nil"/>
          <w:left w:val="nil"/>
          <w:bottom w:val="nil"/>
          <w:right w:val="nil"/>
          <w:between w:val="nil"/>
          <w:bar w:val="nil"/>
        </w:pBdr>
        <w:ind w:left="720" w:right="-180"/>
        <w:rPr>
          <w:color w:val="000000"/>
          <w:u w:color="000000"/>
          <w:bdr w:val="nil"/>
        </w:rPr>
      </w:pPr>
    </w:p>
    <w:p w14:paraId="49A95FAE" w14:textId="77777777" w:rsidR="00FB4554" w:rsidRPr="005C3EA2" w:rsidRDefault="00FB4554" w:rsidP="00FB4554">
      <w:pPr>
        <w:pBdr>
          <w:top w:val="nil"/>
          <w:left w:val="nil"/>
          <w:bottom w:val="nil"/>
          <w:right w:val="nil"/>
          <w:between w:val="nil"/>
          <w:bar w:val="nil"/>
        </w:pBdr>
        <w:ind w:left="720" w:right="-180"/>
        <w:rPr>
          <w:color w:val="000000"/>
          <w:u w:color="000000"/>
          <w:bdr w:val="nil"/>
        </w:rPr>
      </w:pPr>
      <w:r w:rsidRPr="005C3EA2">
        <w:rPr>
          <w:color w:val="000000"/>
          <w:u w:color="000000"/>
          <w:bdr w:val="nil"/>
        </w:rPr>
        <w:t>The potential risks to participants in this study are minimal. Participants may be exposed to tobacco-related advertisements. Although the messaging in the advertisements is designed to motivate smokers to make another quit attempt, as in any message-testing, there is the possibility that messaging may have the opposite effect. A link to a smoking cessation resource will be provided at the end of the survey for participants who want more information about quitting. Participants will receive contact information for the research leads and IRB chair and will be told that they can contact researchers before, during, and following their participation in the study if they have questions or concerns about the study or their rights as a participant.</w:t>
      </w:r>
    </w:p>
    <w:p w14:paraId="01C86112" w14:textId="77777777" w:rsidR="00FB4554" w:rsidRPr="005C3EA2" w:rsidRDefault="00FB4554" w:rsidP="00FB4554">
      <w:pPr>
        <w:pBdr>
          <w:top w:val="nil"/>
          <w:left w:val="nil"/>
          <w:bottom w:val="nil"/>
          <w:right w:val="nil"/>
          <w:between w:val="nil"/>
          <w:bar w:val="nil"/>
        </w:pBdr>
        <w:ind w:right="-180"/>
        <w:rPr>
          <w:color w:val="000000"/>
          <w:u w:color="000000"/>
          <w:bdr w:val="nil"/>
        </w:rPr>
      </w:pPr>
    </w:p>
    <w:p w14:paraId="7F408E42" w14:textId="77777777" w:rsidR="00FB4554" w:rsidRPr="005C3EA2" w:rsidRDefault="00FB4554" w:rsidP="00FB4554">
      <w:pPr>
        <w:pBdr>
          <w:top w:val="nil"/>
          <w:left w:val="nil"/>
          <w:bottom w:val="nil"/>
          <w:right w:val="nil"/>
          <w:between w:val="nil"/>
          <w:bar w:val="nil"/>
        </w:pBdr>
        <w:ind w:left="720"/>
        <w:rPr>
          <w:color w:val="000000"/>
          <w:u w:color="000000"/>
          <w:bdr w:val="nil"/>
        </w:rPr>
      </w:pPr>
      <w:r w:rsidRPr="005C3EA2">
        <w:rPr>
          <w:color w:val="000000"/>
          <w:u w:color="000000"/>
          <w:bdr w:val="nil"/>
        </w:rPr>
        <w:t>Although the research will not directly benefit the participants, based on this study being of minimal risk to participants, the potential benefit of information gained outweighs any risks involved.</w:t>
      </w:r>
    </w:p>
    <w:p w14:paraId="1B0F11D8" w14:textId="77777777" w:rsidR="004C6979" w:rsidRPr="005C3EA2" w:rsidRDefault="00DA4596" w:rsidP="00807C9A">
      <w:pPr>
        <w:numPr>
          <w:ilvl w:val="0"/>
          <w:numId w:val="1"/>
        </w:numPr>
        <w:spacing w:before="100" w:beforeAutospacing="1" w:after="100" w:afterAutospacing="1"/>
        <w:rPr>
          <w:b/>
          <w:u w:val="single"/>
        </w:rPr>
      </w:pPr>
      <w:r w:rsidRPr="005C3EA2">
        <w:rPr>
          <w:b/>
          <w:u w:val="single"/>
        </w:rPr>
        <w:t>Ju</w:t>
      </w:r>
      <w:r w:rsidR="00EB7538" w:rsidRPr="005C3EA2">
        <w:rPr>
          <w:b/>
          <w:u w:val="single"/>
        </w:rPr>
        <w:t>stification for Sensitive Questions</w:t>
      </w:r>
    </w:p>
    <w:p w14:paraId="46D3D7E9" w14:textId="77777777" w:rsidR="00FB4554" w:rsidRPr="005C3EA2" w:rsidRDefault="00FB4554" w:rsidP="00FB4554">
      <w:pPr>
        <w:ind w:left="720"/>
      </w:pPr>
      <w:r w:rsidRPr="005C3EA2">
        <w:t>We will ask potential participants a series of screening questions as part of the recruitment process. In order to reach a wide range of participants, this may require asking questions about race/ethnicity. Respondents will be assured that providing this information is completely voluntary and will be treated as private to the extent allowed by law.</w:t>
      </w:r>
    </w:p>
    <w:p w14:paraId="480ED72B" w14:textId="77777777" w:rsidR="00FB4554" w:rsidRPr="005C3EA2" w:rsidRDefault="00FB4554" w:rsidP="00FB4554">
      <w:pPr>
        <w:pStyle w:val="ListParagraph"/>
        <w:rPr>
          <w:rFonts w:cs="Times New Roman"/>
          <w:szCs w:val="24"/>
        </w:rPr>
      </w:pPr>
    </w:p>
    <w:p w14:paraId="59508473" w14:textId="25FE9A1D" w:rsidR="00FB4554" w:rsidRPr="005C3EA2" w:rsidRDefault="00FB4554" w:rsidP="00FB4554">
      <w:pPr>
        <w:pStyle w:val="ListParagraph"/>
        <w:rPr>
          <w:rFonts w:cs="Times New Roman"/>
          <w:szCs w:val="24"/>
        </w:rPr>
      </w:pPr>
      <w:r w:rsidRPr="005C3EA2">
        <w:rPr>
          <w:rFonts w:cs="Times New Roman"/>
          <w:szCs w:val="24"/>
        </w:rPr>
        <w:t>In addition, given the nature of this research effort, participants will be asked about their smoking status and their perceptions of personal risk for serious illness as a consequence of their smoking behavior. This information is necessary in order to gain insight into which types of messages, strategies, and materials will be most effective among the target audience. Though not as personal as questions about sexual behavior or religious beliefs, for instance, questions of this nature still require some sensitivity in how they are worded and approached. Participants will be informed prior to actual participation about the nature of the project, and the consent form will emphasize that their participation is completely voluntary, they can skip any questions they do not feel comfortable answering, and they may leave the study at any time for any reason and will still receive their incentive.</w:t>
      </w:r>
    </w:p>
    <w:p w14:paraId="4D0BED8A" w14:textId="77777777" w:rsidR="004C6979" w:rsidRPr="005C3EA2" w:rsidRDefault="00EB7538" w:rsidP="00EB7538">
      <w:pPr>
        <w:numPr>
          <w:ilvl w:val="0"/>
          <w:numId w:val="1"/>
        </w:numPr>
        <w:spacing w:before="100" w:beforeAutospacing="1" w:after="100" w:afterAutospacing="1"/>
        <w:rPr>
          <w:b/>
          <w:u w:val="single"/>
        </w:rPr>
      </w:pPr>
      <w:r w:rsidRPr="005C3EA2">
        <w:rPr>
          <w:b/>
          <w:u w:val="single"/>
        </w:rPr>
        <w:lastRenderedPageBreak/>
        <w:t>Estimates of Annualized Burden Hours and Costs</w:t>
      </w:r>
    </w:p>
    <w:p w14:paraId="5DA49EF3" w14:textId="77777777" w:rsidR="003D1153" w:rsidRPr="005C3EA2" w:rsidRDefault="003D1153" w:rsidP="003D1153">
      <w:pPr>
        <w:ind w:left="720"/>
        <w:rPr>
          <w:u w:val="single"/>
        </w:rPr>
      </w:pPr>
      <w:r w:rsidRPr="005C3EA2">
        <w:rPr>
          <w:u w:val="single"/>
        </w:rPr>
        <w:t>12 a. Annualized Hour Burden Estimate</w:t>
      </w:r>
    </w:p>
    <w:p w14:paraId="747E4D5E" w14:textId="243EF03C" w:rsidR="00F62912" w:rsidRPr="005C3EA2" w:rsidRDefault="00741493" w:rsidP="00F62912">
      <w:pPr>
        <w:spacing w:before="100" w:beforeAutospacing="1" w:after="100" w:afterAutospacing="1"/>
        <w:ind w:left="720"/>
      </w:pPr>
      <w:r w:rsidRPr="005C3EA2">
        <w:t xml:space="preserve">An estimated one-time reporting burden for this collection will be approximately </w:t>
      </w:r>
      <w:r w:rsidR="00B267F0" w:rsidRPr="005C3EA2">
        <w:t>1,152</w:t>
      </w:r>
      <w:r w:rsidRPr="005C3EA2">
        <w:t xml:space="preserve"> hours (Table </w:t>
      </w:r>
      <w:r w:rsidR="00B86190" w:rsidRPr="005C3EA2">
        <w:t>4</w:t>
      </w:r>
      <w:r w:rsidRPr="005C3EA2">
        <w:t xml:space="preserve">). </w:t>
      </w:r>
      <w:bookmarkStart w:id="2" w:name="_Toc361824170"/>
      <w:r w:rsidRPr="005C3EA2">
        <w:t xml:space="preserve">This includes the time burden associated with the </w:t>
      </w:r>
      <w:r w:rsidR="0076424D" w:rsidRPr="005C3EA2">
        <w:t>s</w:t>
      </w:r>
      <w:r w:rsidRPr="005C3EA2">
        <w:t xml:space="preserve">creener, </w:t>
      </w:r>
      <w:r w:rsidR="00F62912" w:rsidRPr="005C3EA2">
        <w:t xml:space="preserve">consent form, </w:t>
      </w:r>
      <w:r w:rsidRPr="005C3EA2">
        <w:t xml:space="preserve">and the </w:t>
      </w:r>
      <w:r w:rsidR="0076424D" w:rsidRPr="005C3EA2">
        <w:t>q</w:t>
      </w:r>
      <w:r w:rsidRPr="005C3EA2">
        <w:t xml:space="preserve">uestionnaire. Based on previous experience, it is estimated that </w:t>
      </w:r>
      <w:r w:rsidR="00F62912" w:rsidRPr="005C3EA2">
        <w:t xml:space="preserve">the </w:t>
      </w:r>
      <w:r w:rsidR="0076424D" w:rsidRPr="005C3EA2">
        <w:t>s</w:t>
      </w:r>
      <w:r w:rsidRPr="005C3EA2">
        <w:t>creener</w:t>
      </w:r>
      <w:r w:rsidR="00F62912" w:rsidRPr="005C3EA2">
        <w:t xml:space="preserve"> and consent form</w:t>
      </w:r>
      <w:r w:rsidRPr="005C3EA2">
        <w:t xml:space="preserve"> completion will take approximately </w:t>
      </w:r>
      <w:r w:rsidR="00FC5DDB" w:rsidRPr="005C3EA2">
        <w:t xml:space="preserve">5 </w:t>
      </w:r>
      <w:r w:rsidR="00F62912" w:rsidRPr="005C3EA2">
        <w:t>minutes</w:t>
      </w:r>
      <w:r w:rsidRPr="005C3EA2">
        <w:t xml:space="preserve">. Questionnaire completion will take </w:t>
      </w:r>
      <w:r w:rsidR="005C3EA2">
        <w:t>up to</w:t>
      </w:r>
      <w:r w:rsidR="005C3EA2" w:rsidRPr="005C3EA2">
        <w:t xml:space="preserve"> </w:t>
      </w:r>
      <w:r w:rsidR="00FC5DDB" w:rsidRPr="005C3EA2">
        <w:t xml:space="preserve">20 </w:t>
      </w:r>
      <w:r w:rsidRPr="005C3EA2">
        <w:t xml:space="preserve">minutes. </w:t>
      </w:r>
    </w:p>
    <w:p w14:paraId="3AA95C60" w14:textId="54CE9587" w:rsidR="00741493" w:rsidRPr="005C3EA2" w:rsidRDefault="00741493" w:rsidP="00F62912">
      <w:pPr>
        <w:spacing w:before="100" w:beforeAutospacing="1" w:after="100" w:afterAutospacing="1"/>
        <w:ind w:left="720"/>
      </w:pPr>
      <w:r w:rsidRPr="005C3EA2">
        <w:t xml:space="preserve">To obtain a final sample of </w:t>
      </w:r>
      <w:r w:rsidR="00F62912" w:rsidRPr="005C3EA2">
        <w:t>2,</w:t>
      </w:r>
      <w:r w:rsidR="00035F0A" w:rsidRPr="005C3EA2">
        <w:t>844</w:t>
      </w:r>
      <w:r w:rsidRPr="005C3EA2">
        <w:t xml:space="preserve"> participants, it is estimated that </w:t>
      </w:r>
      <w:r w:rsidR="00AE324F" w:rsidRPr="005C3EA2">
        <w:t xml:space="preserve">approximately </w:t>
      </w:r>
      <w:r w:rsidR="00B267F0" w:rsidRPr="005C3EA2">
        <w:t>8,816</w:t>
      </w:r>
      <w:r w:rsidR="00AE324F" w:rsidRPr="005C3EA2">
        <w:t xml:space="preserve"> potential respondents (three times the number of participants enrolled) will need to be screened. </w:t>
      </w:r>
      <w:r w:rsidRPr="005C3EA2">
        <w:t xml:space="preserve">This number is based on previous rounds of data collection </w:t>
      </w:r>
      <w:r w:rsidR="00F62912" w:rsidRPr="005C3EA2">
        <w:t xml:space="preserve">and Survey Sampling International (SSI) estimates based on prior studies and experience. </w:t>
      </w:r>
    </w:p>
    <w:p w14:paraId="6198712D" w14:textId="776FA775" w:rsidR="00F62912" w:rsidRPr="005C3EA2" w:rsidRDefault="00F62912" w:rsidP="009B2C7B">
      <w:pPr>
        <w:spacing w:before="100" w:beforeAutospacing="1" w:after="100" w:afterAutospacing="1"/>
        <w:ind w:left="720"/>
        <w:rPr>
          <w:b/>
        </w:rPr>
      </w:pPr>
      <w:proofErr w:type="gramStart"/>
      <w:r w:rsidRPr="005C3EA2">
        <w:rPr>
          <w:b/>
        </w:rPr>
        <w:t xml:space="preserve">Table </w:t>
      </w:r>
      <w:r w:rsidR="00B86190" w:rsidRPr="005C3EA2">
        <w:rPr>
          <w:b/>
        </w:rPr>
        <w:t>4</w:t>
      </w:r>
      <w:r w:rsidRPr="005C3EA2">
        <w:rPr>
          <w:b/>
        </w:rPr>
        <w:t>.</w:t>
      </w:r>
      <w:proofErr w:type="gramEnd"/>
      <w:r w:rsidRPr="005C3EA2">
        <w:rPr>
          <w:b/>
        </w:rPr>
        <w:t xml:space="preserve"> Estimated Annual Reporting Burden</w:t>
      </w:r>
      <w:r w:rsidRPr="005C3EA2">
        <w:rPr>
          <w:b/>
          <w:vertAlign w:val="superscript"/>
        </w:rPr>
        <w:t>1</w:t>
      </w:r>
      <w:r w:rsidRPr="005C3EA2">
        <w:rPr>
          <w:b/>
        </w:rPr>
        <w:t xml:space="preserve"> </w:t>
      </w:r>
    </w:p>
    <w:tbl>
      <w:tblPr>
        <w:tblStyle w:val="TableGrid"/>
        <w:tblW w:w="5855" w:type="pct"/>
        <w:tblInd w:w="-673" w:type="dxa"/>
        <w:tblLayout w:type="fixed"/>
        <w:tblLook w:val="00A0" w:firstRow="1" w:lastRow="0" w:firstColumn="1" w:lastColumn="0" w:noHBand="0" w:noVBand="0"/>
      </w:tblPr>
      <w:tblGrid>
        <w:gridCol w:w="1497"/>
        <w:gridCol w:w="1624"/>
        <w:gridCol w:w="1583"/>
        <w:gridCol w:w="1568"/>
        <w:gridCol w:w="1440"/>
        <w:gridCol w:w="1350"/>
        <w:gridCol w:w="1258"/>
        <w:gridCol w:w="893"/>
      </w:tblGrid>
      <w:tr w:rsidR="007804D0" w:rsidRPr="005C3EA2" w14:paraId="447E8943" w14:textId="77777777" w:rsidTr="007804D0">
        <w:trPr>
          <w:trHeight w:val="1013"/>
        </w:trPr>
        <w:tc>
          <w:tcPr>
            <w:tcW w:w="668" w:type="pct"/>
            <w:shd w:val="clear" w:color="auto" w:fill="BFBFBF" w:themeFill="background1" w:themeFillShade="BF"/>
            <w:vAlign w:val="center"/>
          </w:tcPr>
          <w:bookmarkEnd w:id="2"/>
          <w:p w14:paraId="553155FF" w14:textId="18A6EC04" w:rsidR="005A294C" w:rsidRPr="007804D0" w:rsidRDefault="005A294C" w:rsidP="00B93940">
            <w:pPr>
              <w:jc w:val="center"/>
              <w:rPr>
                <w:b/>
                <w:sz w:val="23"/>
                <w:szCs w:val="23"/>
              </w:rPr>
            </w:pPr>
            <w:r w:rsidRPr="007804D0">
              <w:rPr>
                <w:b/>
                <w:sz w:val="23"/>
                <w:szCs w:val="23"/>
              </w:rPr>
              <w:t>Type of Respondent</w:t>
            </w:r>
          </w:p>
        </w:tc>
        <w:tc>
          <w:tcPr>
            <w:tcW w:w="1430" w:type="pct"/>
            <w:gridSpan w:val="2"/>
            <w:shd w:val="clear" w:color="auto" w:fill="BFBFBF" w:themeFill="background1" w:themeFillShade="BF"/>
            <w:vAlign w:val="center"/>
          </w:tcPr>
          <w:p w14:paraId="550810AA" w14:textId="51CCC810" w:rsidR="005A294C" w:rsidRPr="007804D0" w:rsidRDefault="005A294C" w:rsidP="00B93940">
            <w:pPr>
              <w:jc w:val="center"/>
              <w:rPr>
                <w:b/>
                <w:sz w:val="23"/>
                <w:szCs w:val="23"/>
              </w:rPr>
            </w:pPr>
            <w:r w:rsidRPr="007804D0">
              <w:rPr>
                <w:b/>
                <w:sz w:val="23"/>
                <w:szCs w:val="23"/>
              </w:rPr>
              <w:t>Activity</w:t>
            </w:r>
          </w:p>
        </w:tc>
        <w:tc>
          <w:tcPr>
            <w:tcW w:w="699" w:type="pct"/>
            <w:shd w:val="clear" w:color="auto" w:fill="BFBFBF" w:themeFill="background1" w:themeFillShade="BF"/>
            <w:vAlign w:val="center"/>
          </w:tcPr>
          <w:p w14:paraId="4A18B78C" w14:textId="49FB9ECE" w:rsidR="005A294C" w:rsidRPr="007804D0" w:rsidRDefault="005A294C" w:rsidP="00B93940">
            <w:pPr>
              <w:jc w:val="center"/>
              <w:rPr>
                <w:b/>
                <w:sz w:val="23"/>
                <w:szCs w:val="23"/>
              </w:rPr>
            </w:pPr>
            <w:r w:rsidRPr="007804D0">
              <w:rPr>
                <w:b/>
                <w:sz w:val="23"/>
                <w:szCs w:val="23"/>
              </w:rPr>
              <w:t>Number of Respondents</w:t>
            </w:r>
          </w:p>
        </w:tc>
        <w:tc>
          <w:tcPr>
            <w:tcW w:w="642" w:type="pct"/>
            <w:shd w:val="clear" w:color="auto" w:fill="BFBFBF" w:themeFill="background1" w:themeFillShade="BF"/>
            <w:vAlign w:val="center"/>
          </w:tcPr>
          <w:p w14:paraId="314645A9" w14:textId="77777777" w:rsidR="005A294C" w:rsidRPr="007804D0" w:rsidRDefault="005A294C" w:rsidP="00B93940">
            <w:pPr>
              <w:jc w:val="center"/>
              <w:rPr>
                <w:b/>
                <w:sz w:val="23"/>
                <w:szCs w:val="23"/>
              </w:rPr>
            </w:pPr>
            <w:r w:rsidRPr="007804D0">
              <w:rPr>
                <w:b/>
                <w:sz w:val="23"/>
                <w:szCs w:val="23"/>
              </w:rPr>
              <w:t>Number of Responses per Respondent</w:t>
            </w:r>
          </w:p>
        </w:tc>
        <w:tc>
          <w:tcPr>
            <w:tcW w:w="602" w:type="pct"/>
            <w:shd w:val="clear" w:color="auto" w:fill="BFBFBF" w:themeFill="background1" w:themeFillShade="BF"/>
            <w:vAlign w:val="center"/>
          </w:tcPr>
          <w:p w14:paraId="6FEB2907" w14:textId="77777777" w:rsidR="005A294C" w:rsidRPr="007804D0" w:rsidRDefault="005A294C" w:rsidP="00B93940">
            <w:pPr>
              <w:jc w:val="center"/>
              <w:rPr>
                <w:b/>
                <w:sz w:val="23"/>
                <w:szCs w:val="23"/>
              </w:rPr>
            </w:pPr>
            <w:r w:rsidRPr="007804D0">
              <w:rPr>
                <w:b/>
                <w:sz w:val="23"/>
                <w:szCs w:val="23"/>
              </w:rPr>
              <w:t>Total Responses</w:t>
            </w:r>
          </w:p>
        </w:tc>
        <w:tc>
          <w:tcPr>
            <w:tcW w:w="561" w:type="pct"/>
            <w:shd w:val="clear" w:color="auto" w:fill="BFBFBF" w:themeFill="background1" w:themeFillShade="BF"/>
            <w:vAlign w:val="center"/>
          </w:tcPr>
          <w:p w14:paraId="2B91DA12" w14:textId="0BF5BD02" w:rsidR="005A294C" w:rsidRPr="007804D0" w:rsidRDefault="005A294C" w:rsidP="00B93940">
            <w:pPr>
              <w:jc w:val="center"/>
              <w:rPr>
                <w:b/>
                <w:sz w:val="23"/>
                <w:szCs w:val="23"/>
              </w:rPr>
            </w:pPr>
            <w:r w:rsidRPr="007804D0">
              <w:rPr>
                <w:b/>
                <w:sz w:val="23"/>
                <w:szCs w:val="23"/>
              </w:rPr>
              <w:t>Average Burden per Response (in hours)</w:t>
            </w:r>
          </w:p>
        </w:tc>
        <w:tc>
          <w:tcPr>
            <w:tcW w:w="398" w:type="pct"/>
            <w:shd w:val="clear" w:color="auto" w:fill="BFBFBF" w:themeFill="background1" w:themeFillShade="BF"/>
            <w:vAlign w:val="center"/>
          </w:tcPr>
          <w:p w14:paraId="1567A701" w14:textId="6212F2B4" w:rsidR="005A294C" w:rsidRPr="007804D0" w:rsidRDefault="005A294C" w:rsidP="00B93940">
            <w:pPr>
              <w:jc w:val="center"/>
              <w:rPr>
                <w:b/>
                <w:sz w:val="23"/>
                <w:szCs w:val="23"/>
              </w:rPr>
            </w:pPr>
            <w:r w:rsidRPr="007804D0">
              <w:rPr>
                <w:b/>
                <w:sz w:val="23"/>
                <w:szCs w:val="23"/>
              </w:rPr>
              <w:t>Total Hours</w:t>
            </w:r>
          </w:p>
        </w:tc>
      </w:tr>
      <w:tr w:rsidR="007804D0" w:rsidRPr="005C3EA2" w14:paraId="16D9ADB7" w14:textId="77777777" w:rsidTr="007804D0">
        <w:trPr>
          <w:trHeight w:val="474"/>
        </w:trPr>
        <w:tc>
          <w:tcPr>
            <w:tcW w:w="668" w:type="pct"/>
            <w:vAlign w:val="center"/>
          </w:tcPr>
          <w:p w14:paraId="45649626" w14:textId="7246E939" w:rsidR="005A294C" w:rsidRPr="007804D0" w:rsidRDefault="005A294C" w:rsidP="00F62912">
            <w:pPr>
              <w:rPr>
                <w:sz w:val="23"/>
                <w:szCs w:val="23"/>
              </w:rPr>
            </w:pPr>
            <w:r w:rsidRPr="007804D0">
              <w:rPr>
                <w:sz w:val="23"/>
                <w:szCs w:val="23"/>
              </w:rPr>
              <w:t>Screened Respondents</w:t>
            </w:r>
          </w:p>
        </w:tc>
        <w:tc>
          <w:tcPr>
            <w:tcW w:w="1430" w:type="pct"/>
            <w:gridSpan w:val="2"/>
            <w:vAlign w:val="center"/>
          </w:tcPr>
          <w:p w14:paraId="4E7E0227" w14:textId="1D92E83E" w:rsidR="005A294C" w:rsidRPr="007804D0" w:rsidRDefault="005A294C" w:rsidP="00FB6B9A">
            <w:pPr>
              <w:jc w:val="center"/>
              <w:rPr>
                <w:sz w:val="23"/>
                <w:szCs w:val="23"/>
              </w:rPr>
            </w:pPr>
            <w:r w:rsidRPr="007804D0">
              <w:rPr>
                <w:sz w:val="23"/>
                <w:szCs w:val="23"/>
              </w:rPr>
              <w:t>Screener Completion</w:t>
            </w:r>
          </w:p>
        </w:tc>
        <w:tc>
          <w:tcPr>
            <w:tcW w:w="699" w:type="pct"/>
            <w:vAlign w:val="center"/>
          </w:tcPr>
          <w:p w14:paraId="583947C3" w14:textId="31741CB4" w:rsidR="005A294C" w:rsidRPr="007804D0" w:rsidRDefault="005A294C" w:rsidP="00FB6B9A">
            <w:pPr>
              <w:jc w:val="center"/>
              <w:rPr>
                <w:sz w:val="23"/>
                <w:szCs w:val="23"/>
              </w:rPr>
            </w:pPr>
            <w:r w:rsidRPr="007804D0">
              <w:rPr>
                <w:sz w:val="23"/>
                <w:szCs w:val="23"/>
              </w:rPr>
              <w:t>8,816</w:t>
            </w:r>
          </w:p>
        </w:tc>
        <w:tc>
          <w:tcPr>
            <w:tcW w:w="642" w:type="pct"/>
            <w:vAlign w:val="center"/>
          </w:tcPr>
          <w:p w14:paraId="2882E5FF" w14:textId="77777777" w:rsidR="005A294C" w:rsidRPr="007804D0" w:rsidRDefault="005A294C" w:rsidP="00FB6B9A">
            <w:pPr>
              <w:jc w:val="center"/>
              <w:rPr>
                <w:sz w:val="23"/>
                <w:szCs w:val="23"/>
              </w:rPr>
            </w:pPr>
            <w:r w:rsidRPr="007804D0">
              <w:rPr>
                <w:sz w:val="23"/>
                <w:szCs w:val="23"/>
              </w:rPr>
              <w:t>1</w:t>
            </w:r>
          </w:p>
        </w:tc>
        <w:tc>
          <w:tcPr>
            <w:tcW w:w="602" w:type="pct"/>
            <w:vAlign w:val="center"/>
          </w:tcPr>
          <w:p w14:paraId="40BE3F87" w14:textId="1B4E7CD5" w:rsidR="005A294C" w:rsidRPr="007804D0" w:rsidRDefault="005A294C" w:rsidP="00FB6B9A">
            <w:pPr>
              <w:jc w:val="center"/>
              <w:rPr>
                <w:sz w:val="23"/>
                <w:szCs w:val="23"/>
              </w:rPr>
            </w:pPr>
            <w:r w:rsidRPr="007804D0">
              <w:rPr>
                <w:sz w:val="23"/>
                <w:szCs w:val="23"/>
              </w:rPr>
              <w:t>8,816</w:t>
            </w:r>
          </w:p>
        </w:tc>
        <w:tc>
          <w:tcPr>
            <w:tcW w:w="561" w:type="pct"/>
            <w:vAlign w:val="center"/>
          </w:tcPr>
          <w:p w14:paraId="5D97FA5A" w14:textId="27E46013" w:rsidR="005A294C" w:rsidRPr="007804D0" w:rsidRDefault="005A294C" w:rsidP="005A294C">
            <w:pPr>
              <w:jc w:val="center"/>
              <w:rPr>
                <w:sz w:val="23"/>
                <w:szCs w:val="23"/>
                <w:vertAlign w:val="superscript"/>
              </w:rPr>
            </w:pPr>
            <w:r w:rsidRPr="007804D0">
              <w:rPr>
                <w:sz w:val="23"/>
                <w:szCs w:val="23"/>
              </w:rPr>
              <w:t>0.03</w:t>
            </w:r>
            <w:bookmarkStart w:id="3" w:name="_GoBack"/>
            <w:bookmarkEnd w:id="3"/>
          </w:p>
        </w:tc>
        <w:tc>
          <w:tcPr>
            <w:tcW w:w="398" w:type="pct"/>
            <w:vAlign w:val="center"/>
          </w:tcPr>
          <w:p w14:paraId="2A6C4682" w14:textId="7F4692AA" w:rsidR="005A294C" w:rsidRPr="007804D0" w:rsidRDefault="005A294C" w:rsidP="00FB6B9A">
            <w:pPr>
              <w:jc w:val="center"/>
              <w:rPr>
                <w:sz w:val="23"/>
                <w:szCs w:val="23"/>
              </w:rPr>
            </w:pPr>
            <w:r w:rsidRPr="007804D0">
              <w:rPr>
                <w:sz w:val="23"/>
                <w:szCs w:val="23"/>
              </w:rPr>
              <w:t>294</w:t>
            </w:r>
          </w:p>
        </w:tc>
      </w:tr>
      <w:tr w:rsidR="007804D0" w:rsidRPr="005C3EA2" w14:paraId="51E3DC65" w14:textId="77777777" w:rsidTr="007804D0">
        <w:trPr>
          <w:trHeight w:val="262"/>
        </w:trPr>
        <w:tc>
          <w:tcPr>
            <w:tcW w:w="668" w:type="pct"/>
            <w:vAlign w:val="center"/>
          </w:tcPr>
          <w:p w14:paraId="795C7A1F" w14:textId="77777777" w:rsidR="005A294C" w:rsidRPr="007804D0" w:rsidRDefault="005A294C" w:rsidP="00F62912">
            <w:pPr>
              <w:rPr>
                <w:sz w:val="23"/>
                <w:szCs w:val="23"/>
              </w:rPr>
            </w:pPr>
          </w:p>
        </w:tc>
        <w:tc>
          <w:tcPr>
            <w:tcW w:w="1430" w:type="pct"/>
            <w:gridSpan w:val="2"/>
            <w:vAlign w:val="center"/>
          </w:tcPr>
          <w:p w14:paraId="5CEFA2EF" w14:textId="77777777" w:rsidR="005A294C" w:rsidRPr="007804D0" w:rsidRDefault="005A294C" w:rsidP="00FB6B9A">
            <w:pPr>
              <w:jc w:val="center"/>
              <w:rPr>
                <w:sz w:val="23"/>
                <w:szCs w:val="23"/>
              </w:rPr>
            </w:pPr>
          </w:p>
        </w:tc>
        <w:tc>
          <w:tcPr>
            <w:tcW w:w="699" w:type="pct"/>
            <w:vAlign w:val="center"/>
          </w:tcPr>
          <w:p w14:paraId="2251FD65" w14:textId="53256710" w:rsidR="005A294C" w:rsidRPr="007804D0" w:rsidRDefault="005A294C" w:rsidP="00FB6B9A">
            <w:pPr>
              <w:jc w:val="center"/>
              <w:rPr>
                <w:sz w:val="23"/>
                <w:szCs w:val="23"/>
              </w:rPr>
            </w:pPr>
          </w:p>
        </w:tc>
        <w:tc>
          <w:tcPr>
            <w:tcW w:w="642" w:type="pct"/>
            <w:vAlign w:val="center"/>
          </w:tcPr>
          <w:p w14:paraId="3E72E36F" w14:textId="77777777" w:rsidR="005A294C" w:rsidRPr="007804D0" w:rsidRDefault="005A294C" w:rsidP="00FB6B9A">
            <w:pPr>
              <w:jc w:val="center"/>
              <w:rPr>
                <w:sz w:val="23"/>
                <w:szCs w:val="23"/>
              </w:rPr>
            </w:pPr>
          </w:p>
        </w:tc>
        <w:tc>
          <w:tcPr>
            <w:tcW w:w="602" w:type="pct"/>
            <w:vAlign w:val="center"/>
          </w:tcPr>
          <w:p w14:paraId="588BE7B3" w14:textId="77777777" w:rsidR="005A294C" w:rsidRPr="007804D0" w:rsidRDefault="005A294C" w:rsidP="00FB6B9A">
            <w:pPr>
              <w:jc w:val="center"/>
              <w:rPr>
                <w:sz w:val="23"/>
                <w:szCs w:val="23"/>
              </w:rPr>
            </w:pPr>
          </w:p>
        </w:tc>
        <w:tc>
          <w:tcPr>
            <w:tcW w:w="561" w:type="pct"/>
            <w:vAlign w:val="center"/>
          </w:tcPr>
          <w:p w14:paraId="0A4497B8" w14:textId="77777777" w:rsidR="005A294C" w:rsidRPr="007804D0" w:rsidRDefault="005A294C" w:rsidP="00741493">
            <w:pPr>
              <w:jc w:val="center"/>
              <w:rPr>
                <w:sz w:val="23"/>
                <w:szCs w:val="23"/>
              </w:rPr>
            </w:pPr>
          </w:p>
        </w:tc>
        <w:tc>
          <w:tcPr>
            <w:tcW w:w="398" w:type="pct"/>
            <w:vAlign w:val="center"/>
          </w:tcPr>
          <w:p w14:paraId="047D3195" w14:textId="77777777" w:rsidR="005A294C" w:rsidRPr="007804D0" w:rsidRDefault="005A294C" w:rsidP="00FB6B9A">
            <w:pPr>
              <w:jc w:val="center"/>
              <w:rPr>
                <w:sz w:val="23"/>
                <w:szCs w:val="23"/>
              </w:rPr>
            </w:pPr>
          </w:p>
        </w:tc>
      </w:tr>
      <w:tr w:rsidR="007804D0" w:rsidRPr="005C3EA2" w14:paraId="7F202C2F" w14:textId="77777777" w:rsidTr="007804D0">
        <w:trPr>
          <w:trHeight w:val="302"/>
        </w:trPr>
        <w:tc>
          <w:tcPr>
            <w:tcW w:w="668" w:type="pct"/>
            <w:vMerge w:val="restart"/>
            <w:vAlign w:val="center"/>
          </w:tcPr>
          <w:p w14:paraId="3E569CE1" w14:textId="422309DF" w:rsidR="005A294C" w:rsidRPr="007804D0" w:rsidRDefault="005A294C" w:rsidP="00FB6B9A">
            <w:pPr>
              <w:rPr>
                <w:sz w:val="23"/>
                <w:szCs w:val="23"/>
              </w:rPr>
            </w:pPr>
            <w:r w:rsidRPr="007804D0">
              <w:rPr>
                <w:sz w:val="23"/>
                <w:szCs w:val="23"/>
              </w:rPr>
              <w:t>Eligible Participants</w:t>
            </w:r>
          </w:p>
        </w:tc>
        <w:tc>
          <w:tcPr>
            <w:tcW w:w="1430" w:type="pct"/>
            <w:gridSpan w:val="2"/>
            <w:vAlign w:val="center"/>
          </w:tcPr>
          <w:p w14:paraId="76433A41" w14:textId="2700B7D2" w:rsidR="005A294C" w:rsidRPr="007804D0" w:rsidRDefault="005A294C" w:rsidP="00FB6B9A">
            <w:pPr>
              <w:jc w:val="center"/>
              <w:rPr>
                <w:sz w:val="23"/>
                <w:szCs w:val="23"/>
              </w:rPr>
            </w:pPr>
            <w:r w:rsidRPr="007804D0">
              <w:rPr>
                <w:sz w:val="23"/>
                <w:szCs w:val="23"/>
              </w:rPr>
              <w:t>Consent Form Completion</w:t>
            </w:r>
          </w:p>
        </w:tc>
        <w:tc>
          <w:tcPr>
            <w:tcW w:w="699" w:type="pct"/>
            <w:vAlign w:val="center"/>
          </w:tcPr>
          <w:p w14:paraId="2BCBA7EC" w14:textId="704A87A8" w:rsidR="005A294C" w:rsidRPr="007804D0" w:rsidRDefault="005A294C" w:rsidP="00FB6B9A">
            <w:pPr>
              <w:jc w:val="center"/>
              <w:rPr>
                <w:sz w:val="23"/>
                <w:szCs w:val="23"/>
              </w:rPr>
            </w:pPr>
            <w:r w:rsidRPr="007804D0">
              <w:rPr>
                <w:sz w:val="23"/>
                <w:szCs w:val="23"/>
              </w:rPr>
              <w:t>2,844</w:t>
            </w:r>
          </w:p>
        </w:tc>
        <w:tc>
          <w:tcPr>
            <w:tcW w:w="642" w:type="pct"/>
            <w:vAlign w:val="center"/>
          </w:tcPr>
          <w:p w14:paraId="3EF5D1A4" w14:textId="7EE9AE1F" w:rsidR="005A294C" w:rsidRPr="007804D0" w:rsidRDefault="005A294C" w:rsidP="00FB6B9A">
            <w:pPr>
              <w:jc w:val="center"/>
              <w:rPr>
                <w:sz w:val="23"/>
                <w:szCs w:val="23"/>
              </w:rPr>
            </w:pPr>
            <w:r w:rsidRPr="007804D0">
              <w:rPr>
                <w:sz w:val="23"/>
                <w:szCs w:val="23"/>
              </w:rPr>
              <w:t>1</w:t>
            </w:r>
          </w:p>
        </w:tc>
        <w:tc>
          <w:tcPr>
            <w:tcW w:w="602" w:type="pct"/>
            <w:vAlign w:val="center"/>
          </w:tcPr>
          <w:p w14:paraId="7778504C" w14:textId="65C9D20F" w:rsidR="005A294C" w:rsidRPr="007804D0" w:rsidRDefault="005A294C" w:rsidP="00FB6B9A">
            <w:pPr>
              <w:jc w:val="center"/>
              <w:rPr>
                <w:sz w:val="23"/>
                <w:szCs w:val="23"/>
              </w:rPr>
            </w:pPr>
            <w:r w:rsidRPr="007804D0">
              <w:rPr>
                <w:sz w:val="23"/>
                <w:szCs w:val="23"/>
              </w:rPr>
              <w:t>2,844</w:t>
            </w:r>
          </w:p>
        </w:tc>
        <w:tc>
          <w:tcPr>
            <w:tcW w:w="561" w:type="pct"/>
            <w:vAlign w:val="center"/>
          </w:tcPr>
          <w:p w14:paraId="5DAD7E00" w14:textId="3E390B3F" w:rsidR="005A294C" w:rsidRPr="007804D0" w:rsidRDefault="006F51B3" w:rsidP="00741493">
            <w:pPr>
              <w:jc w:val="center"/>
              <w:rPr>
                <w:sz w:val="23"/>
                <w:szCs w:val="23"/>
              </w:rPr>
            </w:pPr>
            <w:r w:rsidRPr="007804D0">
              <w:rPr>
                <w:sz w:val="23"/>
                <w:szCs w:val="23"/>
              </w:rPr>
              <w:t>0</w:t>
            </w:r>
            <w:r w:rsidR="005A294C" w:rsidRPr="007804D0">
              <w:rPr>
                <w:sz w:val="23"/>
                <w:szCs w:val="23"/>
              </w:rPr>
              <w:t>.05</w:t>
            </w:r>
          </w:p>
        </w:tc>
        <w:tc>
          <w:tcPr>
            <w:tcW w:w="398" w:type="pct"/>
            <w:vAlign w:val="center"/>
          </w:tcPr>
          <w:p w14:paraId="63C7B2B8" w14:textId="499E3EF7" w:rsidR="005A294C" w:rsidRPr="007804D0" w:rsidRDefault="005A294C" w:rsidP="00FB6B9A">
            <w:pPr>
              <w:jc w:val="center"/>
              <w:rPr>
                <w:sz w:val="23"/>
                <w:szCs w:val="23"/>
              </w:rPr>
            </w:pPr>
            <w:r w:rsidRPr="007804D0">
              <w:rPr>
                <w:sz w:val="23"/>
                <w:szCs w:val="23"/>
              </w:rPr>
              <w:t>142</w:t>
            </w:r>
          </w:p>
        </w:tc>
      </w:tr>
      <w:tr w:rsidR="007804D0" w:rsidRPr="005C3EA2" w14:paraId="257493E7" w14:textId="77777777" w:rsidTr="007804D0">
        <w:trPr>
          <w:trHeight w:val="151"/>
        </w:trPr>
        <w:tc>
          <w:tcPr>
            <w:tcW w:w="668" w:type="pct"/>
            <w:vMerge/>
            <w:vAlign w:val="center"/>
          </w:tcPr>
          <w:p w14:paraId="7B43FACD" w14:textId="780A671F" w:rsidR="005A294C" w:rsidRPr="007804D0" w:rsidRDefault="005A294C" w:rsidP="00FB6B9A">
            <w:pPr>
              <w:rPr>
                <w:sz w:val="23"/>
                <w:szCs w:val="23"/>
              </w:rPr>
            </w:pPr>
          </w:p>
        </w:tc>
        <w:tc>
          <w:tcPr>
            <w:tcW w:w="724" w:type="pct"/>
            <w:vMerge w:val="restart"/>
            <w:vAlign w:val="center"/>
          </w:tcPr>
          <w:p w14:paraId="79F98F18" w14:textId="24F511B2" w:rsidR="005A294C" w:rsidRPr="007804D0" w:rsidRDefault="005A294C" w:rsidP="00FB6B9A">
            <w:pPr>
              <w:rPr>
                <w:sz w:val="23"/>
                <w:szCs w:val="23"/>
              </w:rPr>
            </w:pPr>
            <w:r w:rsidRPr="007804D0">
              <w:rPr>
                <w:sz w:val="23"/>
                <w:szCs w:val="23"/>
              </w:rPr>
              <w:t>Questionnaire Completion</w:t>
            </w:r>
          </w:p>
        </w:tc>
        <w:tc>
          <w:tcPr>
            <w:tcW w:w="706" w:type="pct"/>
            <w:vAlign w:val="center"/>
          </w:tcPr>
          <w:p w14:paraId="13512B1C" w14:textId="0984D0D7" w:rsidR="005A294C" w:rsidRPr="007804D0" w:rsidRDefault="006F51B3" w:rsidP="006F51B3">
            <w:pPr>
              <w:jc w:val="center"/>
              <w:rPr>
                <w:sz w:val="23"/>
                <w:szCs w:val="23"/>
              </w:rPr>
            </w:pPr>
            <w:r w:rsidRPr="007804D0">
              <w:rPr>
                <w:sz w:val="23"/>
                <w:szCs w:val="23"/>
              </w:rPr>
              <w:t>Ad Exposure Group</w:t>
            </w:r>
          </w:p>
        </w:tc>
        <w:tc>
          <w:tcPr>
            <w:tcW w:w="699" w:type="pct"/>
            <w:vAlign w:val="center"/>
          </w:tcPr>
          <w:p w14:paraId="75F378E3" w14:textId="6ABD76D6" w:rsidR="005A294C" w:rsidRPr="007804D0" w:rsidRDefault="006F51B3" w:rsidP="00FB6B9A">
            <w:pPr>
              <w:jc w:val="center"/>
              <w:rPr>
                <w:sz w:val="23"/>
                <w:szCs w:val="23"/>
              </w:rPr>
            </w:pPr>
            <w:r w:rsidRPr="007804D0">
              <w:rPr>
                <w:sz w:val="23"/>
                <w:szCs w:val="23"/>
              </w:rPr>
              <w:t>2,528</w:t>
            </w:r>
          </w:p>
        </w:tc>
        <w:tc>
          <w:tcPr>
            <w:tcW w:w="642" w:type="pct"/>
            <w:vAlign w:val="center"/>
          </w:tcPr>
          <w:p w14:paraId="18718F55" w14:textId="0CD3FAD5" w:rsidR="005A294C" w:rsidRPr="007804D0" w:rsidRDefault="006F51B3" w:rsidP="00FB6B9A">
            <w:pPr>
              <w:jc w:val="center"/>
              <w:rPr>
                <w:sz w:val="23"/>
                <w:szCs w:val="23"/>
              </w:rPr>
            </w:pPr>
            <w:r w:rsidRPr="007804D0">
              <w:rPr>
                <w:sz w:val="23"/>
                <w:szCs w:val="23"/>
              </w:rPr>
              <w:t>1</w:t>
            </w:r>
          </w:p>
        </w:tc>
        <w:tc>
          <w:tcPr>
            <w:tcW w:w="602" w:type="pct"/>
            <w:vAlign w:val="center"/>
          </w:tcPr>
          <w:p w14:paraId="579474E3" w14:textId="5D4A8500" w:rsidR="005A294C" w:rsidRPr="007804D0" w:rsidRDefault="006F51B3" w:rsidP="00FB6B9A">
            <w:pPr>
              <w:jc w:val="center"/>
              <w:rPr>
                <w:sz w:val="23"/>
                <w:szCs w:val="23"/>
              </w:rPr>
            </w:pPr>
            <w:r w:rsidRPr="007804D0">
              <w:rPr>
                <w:sz w:val="23"/>
                <w:szCs w:val="23"/>
              </w:rPr>
              <w:t>2,528</w:t>
            </w:r>
          </w:p>
        </w:tc>
        <w:tc>
          <w:tcPr>
            <w:tcW w:w="561" w:type="pct"/>
            <w:vAlign w:val="center"/>
          </w:tcPr>
          <w:p w14:paraId="75550D77" w14:textId="2D715797" w:rsidR="005A294C" w:rsidRPr="007804D0" w:rsidRDefault="006F51B3" w:rsidP="00741493">
            <w:pPr>
              <w:jc w:val="center"/>
              <w:rPr>
                <w:sz w:val="23"/>
                <w:szCs w:val="23"/>
              </w:rPr>
            </w:pPr>
            <w:r w:rsidRPr="007804D0">
              <w:rPr>
                <w:sz w:val="23"/>
                <w:szCs w:val="23"/>
              </w:rPr>
              <w:t>0.33</w:t>
            </w:r>
          </w:p>
        </w:tc>
        <w:tc>
          <w:tcPr>
            <w:tcW w:w="398" w:type="pct"/>
            <w:vAlign w:val="center"/>
          </w:tcPr>
          <w:p w14:paraId="5AF288BD" w14:textId="5684C2FB" w:rsidR="005A294C" w:rsidRPr="007804D0" w:rsidRDefault="006F51B3" w:rsidP="00FB6B9A">
            <w:pPr>
              <w:jc w:val="center"/>
              <w:rPr>
                <w:sz w:val="23"/>
                <w:szCs w:val="23"/>
              </w:rPr>
            </w:pPr>
            <w:r w:rsidRPr="007804D0">
              <w:rPr>
                <w:sz w:val="23"/>
                <w:szCs w:val="23"/>
              </w:rPr>
              <w:t>843</w:t>
            </w:r>
          </w:p>
        </w:tc>
      </w:tr>
      <w:tr w:rsidR="007804D0" w:rsidRPr="005C3EA2" w14:paraId="3F84960E" w14:textId="77777777" w:rsidTr="007804D0">
        <w:trPr>
          <w:trHeight w:val="302"/>
        </w:trPr>
        <w:tc>
          <w:tcPr>
            <w:tcW w:w="668" w:type="pct"/>
            <w:vMerge/>
            <w:vAlign w:val="center"/>
          </w:tcPr>
          <w:p w14:paraId="417BAF8A" w14:textId="3A8D4ABF" w:rsidR="005A294C" w:rsidRPr="007804D0" w:rsidRDefault="005A294C" w:rsidP="00FB6B9A">
            <w:pPr>
              <w:rPr>
                <w:sz w:val="23"/>
                <w:szCs w:val="23"/>
              </w:rPr>
            </w:pPr>
          </w:p>
        </w:tc>
        <w:tc>
          <w:tcPr>
            <w:tcW w:w="724" w:type="pct"/>
            <w:vMerge/>
            <w:vAlign w:val="center"/>
          </w:tcPr>
          <w:p w14:paraId="410A284F" w14:textId="63D7D78E" w:rsidR="005A294C" w:rsidRPr="007804D0" w:rsidRDefault="005A294C" w:rsidP="00FB6B9A">
            <w:pPr>
              <w:rPr>
                <w:sz w:val="23"/>
                <w:szCs w:val="23"/>
              </w:rPr>
            </w:pPr>
          </w:p>
        </w:tc>
        <w:tc>
          <w:tcPr>
            <w:tcW w:w="706" w:type="pct"/>
            <w:vAlign w:val="center"/>
          </w:tcPr>
          <w:p w14:paraId="1F927C8A" w14:textId="3B4A7FFE" w:rsidR="005A294C" w:rsidRPr="007804D0" w:rsidRDefault="006F51B3" w:rsidP="006F51B3">
            <w:pPr>
              <w:jc w:val="center"/>
              <w:rPr>
                <w:sz w:val="23"/>
                <w:szCs w:val="23"/>
              </w:rPr>
            </w:pPr>
            <w:r w:rsidRPr="007804D0">
              <w:rPr>
                <w:sz w:val="23"/>
                <w:szCs w:val="23"/>
              </w:rPr>
              <w:t>Control Group</w:t>
            </w:r>
          </w:p>
        </w:tc>
        <w:tc>
          <w:tcPr>
            <w:tcW w:w="699" w:type="pct"/>
            <w:vAlign w:val="center"/>
          </w:tcPr>
          <w:p w14:paraId="3DB93D1C" w14:textId="517574D3" w:rsidR="005A294C" w:rsidRPr="007804D0" w:rsidRDefault="006F51B3" w:rsidP="00A26DF3">
            <w:pPr>
              <w:jc w:val="center"/>
              <w:rPr>
                <w:sz w:val="23"/>
                <w:szCs w:val="23"/>
              </w:rPr>
            </w:pPr>
            <w:r w:rsidRPr="007804D0">
              <w:rPr>
                <w:sz w:val="23"/>
                <w:szCs w:val="23"/>
              </w:rPr>
              <w:t>316</w:t>
            </w:r>
          </w:p>
        </w:tc>
        <w:tc>
          <w:tcPr>
            <w:tcW w:w="642" w:type="pct"/>
            <w:vAlign w:val="center"/>
          </w:tcPr>
          <w:p w14:paraId="066A2FEB" w14:textId="586A3E2C" w:rsidR="005A294C" w:rsidRPr="007804D0" w:rsidRDefault="005A294C" w:rsidP="00FB6B9A">
            <w:pPr>
              <w:jc w:val="center"/>
              <w:rPr>
                <w:sz w:val="23"/>
                <w:szCs w:val="23"/>
              </w:rPr>
            </w:pPr>
            <w:r w:rsidRPr="007804D0">
              <w:rPr>
                <w:sz w:val="23"/>
                <w:szCs w:val="23"/>
              </w:rPr>
              <w:t>1</w:t>
            </w:r>
          </w:p>
        </w:tc>
        <w:tc>
          <w:tcPr>
            <w:tcW w:w="602" w:type="pct"/>
            <w:vAlign w:val="center"/>
          </w:tcPr>
          <w:p w14:paraId="32BD0E8F" w14:textId="220FA03D" w:rsidR="005A294C" w:rsidRPr="007804D0" w:rsidRDefault="006F51B3" w:rsidP="00FB6B9A">
            <w:pPr>
              <w:jc w:val="center"/>
              <w:rPr>
                <w:sz w:val="23"/>
                <w:szCs w:val="23"/>
              </w:rPr>
            </w:pPr>
            <w:r w:rsidRPr="007804D0">
              <w:rPr>
                <w:sz w:val="23"/>
                <w:szCs w:val="23"/>
              </w:rPr>
              <w:t>316</w:t>
            </w:r>
          </w:p>
        </w:tc>
        <w:tc>
          <w:tcPr>
            <w:tcW w:w="561" w:type="pct"/>
            <w:vAlign w:val="center"/>
          </w:tcPr>
          <w:p w14:paraId="19E442AB" w14:textId="4C8318FB" w:rsidR="005A294C" w:rsidRPr="007804D0" w:rsidRDefault="005A294C" w:rsidP="006F51B3">
            <w:pPr>
              <w:jc w:val="center"/>
              <w:rPr>
                <w:sz w:val="23"/>
                <w:szCs w:val="23"/>
              </w:rPr>
            </w:pPr>
            <w:r w:rsidRPr="007804D0">
              <w:rPr>
                <w:sz w:val="23"/>
                <w:szCs w:val="23"/>
              </w:rPr>
              <w:t>0.</w:t>
            </w:r>
            <w:r w:rsidR="006F51B3" w:rsidRPr="007804D0">
              <w:rPr>
                <w:sz w:val="23"/>
                <w:szCs w:val="23"/>
              </w:rPr>
              <w:t>08</w:t>
            </w:r>
          </w:p>
        </w:tc>
        <w:tc>
          <w:tcPr>
            <w:tcW w:w="398" w:type="pct"/>
            <w:vAlign w:val="center"/>
          </w:tcPr>
          <w:p w14:paraId="64DE4EDE" w14:textId="5C622056" w:rsidR="005A294C" w:rsidRPr="007804D0" w:rsidRDefault="006F51B3" w:rsidP="00FB6B9A">
            <w:pPr>
              <w:jc w:val="center"/>
              <w:rPr>
                <w:sz w:val="23"/>
                <w:szCs w:val="23"/>
              </w:rPr>
            </w:pPr>
            <w:r w:rsidRPr="007804D0">
              <w:rPr>
                <w:sz w:val="23"/>
                <w:szCs w:val="23"/>
              </w:rPr>
              <w:t>26</w:t>
            </w:r>
          </w:p>
        </w:tc>
      </w:tr>
      <w:tr w:rsidR="007804D0" w:rsidRPr="005C3EA2" w14:paraId="37F6E755" w14:textId="77777777" w:rsidTr="007804D0">
        <w:trPr>
          <w:trHeight w:val="454"/>
        </w:trPr>
        <w:tc>
          <w:tcPr>
            <w:tcW w:w="2797" w:type="pct"/>
            <w:gridSpan w:val="4"/>
            <w:vAlign w:val="center"/>
          </w:tcPr>
          <w:p w14:paraId="4E2D7120" w14:textId="51C0733A" w:rsidR="006F51B3" w:rsidRPr="007804D0" w:rsidRDefault="006F51B3" w:rsidP="006F51B3">
            <w:pPr>
              <w:rPr>
                <w:b/>
                <w:sz w:val="23"/>
                <w:szCs w:val="23"/>
              </w:rPr>
            </w:pPr>
            <w:r w:rsidRPr="007804D0">
              <w:rPr>
                <w:b/>
                <w:sz w:val="23"/>
                <w:szCs w:val="23"/>
              </w:rPr>
              <w:t>Total Annualized Hours</w:t>
            </w:r>
          </w:p>
        </w:tc>
        <w:tc>
          <w:tcPr>
            <w:tcW w:w="642" w:type="pct"/>
            <w:vAlign w:val="center"/>
          </w:tcPr>
          <w:p w14:paraId="4059BA7B" w14:textId="77777777" w:rsidR="006F51B3" w:rsidRPr="007804D0" w:rsidRDefault="006F51B3" w:rsidP="00FB6B9A">
            <w:pPr>
              <w:jc w:val="center"/>
              <w:rPr>
                <w:b/>
                <w:sz w:val="23"/>
                <w:szCs w:val="23"/>
              </w:rPr>
            </w:pPr>
          </w:p>
        </w:tc>
        <w:tc>
          <w:tcPr>
            <w:tcW w:w="602" w:type="pct"/>
            <w:vAlign w:val="center"/>
          </w:tcPr>
          <w:p w14:paraId="4D53E310" w14:textId="77777777" w:rsidR="006F51B3" w:rsidRPr="007804D0" w:rsidRDefault="006F51B3" w:rsidP="00FB6B9A">
            <w:pPr>
              <w:jc w:val="center"/>
              <w:rPr>
                <w:b/>
                <w:sz w:val="23"/>
                <w:szCs w:val="23"/>
              </w:rPr>
            </w:pPr>
          </w:p>
        </w:tc>
        <w:tc>
          <w:tcPr>
            <w:tcW w:w="561" w:type="pct"/>
            <w:vAlign w:val="center"/>
          </w:tcPr>
          <w:p w14:paraId="263AC99C" w14:textId="77777777" w:rsidR="006F51B3" w:rsidRPr="007804D0" w:rsidRDefault="006F51B3" w:rsidP="00FB6B9A">
            <w:pPr>
              <w:jc w:val="center"/>
              <w:rPr>
                <w:b/>
                <w:sz w:val="23"/>
                <w:szCs w:val="23"/>
              </w:rPr>
            </w:pPr>
          </w:p>
        </w:tc>
        <w:tc>
          <w:tcPr>
            <w:tcW w:w="398" w:type="pct"/>
            <w:vAlign w:val="center"/>
          </w:tcPr>
          <w:p w14:paraId="3855359F" w14:textId="3B7F6433" w:rsidR="006F51B3" w:rsidRPr="007804D0" w:rsidRDefault="006F51B3" w:rsidP="00FB6B9A">
            <w:pPr>
              <w:jc w:val="center"/>
              <w:rPr>
                <w:b/>
                <w:sz w:val="23"/>
                <w:szCs w:val="23"/>
              </w:rPr>
            </w:pPr>
            <w:r w:rsidRPr="007804D0">
              <w:rPr>
                <w:b/>
                <w:sz w:val="23"/>
                <w:szCs w:val="23"/>
              </w:rPr>
              <w:t xml:space="preserve">1,305 </w:t>
            </w:r>
          </w:p>
        </w:tc>
      </w:tr>
    </w:tbl>
    <w:p w14:paraId="1E940F0A" w14:textId="2327DB96" w:rsidR="00FB6B9A" w:rsidRPr="007804D0" w:rsidRDefault="00FB6B9A" w:rsidP="00FB6B9A">
      <w:pPr>
        <w:ind w:left="810"/>
        <w:rPr>
          <w:color w:val="000000"/>
          <w:sz w:val="20"/>
        </w:rPr>
      </w:pPr>
      <w:r w:rsidRPr="007804D0">
        <w:rPr>
          <w:sz w:val="20"/>
          <w:vertAlign w:val="superscript"/>
        </w:rPr>
        <w:t>1</w:t>
      </w:r>
      <w:r w:rsidR="00741493" w:rsidRPr="007804D0">
        <w:rPr>
          <w:sz w:val="20"/>
          <w:vertAlign w:val="superscript"/>
        </w:rPr>
        <w:t xml:space="preserve"> </w:t>
      </w:r>
      <w:r w:rsidRPr="007804D0">
        <w:rPr>
          <w:color w:val="000000"/>
          <w:sz w:val="20"/>
        </w:rPr>
        <w:t>The tota</w:t>
      </w:r>
      <w:r w:rsidR="00D83728" w:rsidRPr="007804D0">
        <w:rPr>
          <w:color w:val="000000"/>
          <w:sz w:val="20"/>
        </w:rPr>
        <w:t>l number of respondents is 8,816</w:t>
      </w:r>
      <w:r w:rsidR="00F62912" w:rsidRPr="007804D0">
        <w:rPr>
          <w:color w:val="000000"/>
          <w:sz w:val="20"/>
        </w:rPr>
        <w:t>; for this study 2,</w:t>
      </w:r>
      <w:r w:rsidR="00D83728" w:rsidRPr="007804D0">
        <w:rPr>
          <w:color w:val="000000"/>
          <w:sz w:val="20"/>
        </w:rPr>
        <w:t>844</w:t>
      </w:r>
      <w:r w:rsidRPr="007804D0">
        <w:rPr>
          <w:color w:val="000000"/>
          <w:sz w:val="20"/>
        </w:rPr>
        <w:t xml:space="preserve"> represents the total number of participants</w:t>
      </w:r>
    </w:p>
    <w:p w14:paraId="2B9DCE6E" w14:textId="77777777" w:rsidR="00741493" w:rsidRDefault="00741493" w:rsidP="003D1153">
      <w:pPr>
        <w:ind w:left="720"/>
      </w:pPr>
    </w:p>
    <w:p w14:paraId="37BF0201" w14:textId="77777777" w:rsidR="007804D0" w:rsidRPr="005C3EA2" w:rsidRDefault="007804D0" w:rsidP="003D1153">
      <w:pPr>
        <w:ind w:left="720"/>
      </w:pPr>
    </w:p>
    <w:p w14:paraId="4A3E1B59" w14:textId="1DF0C95A" w:rsidR="00D42B1B" w:rsidRPr="005C3EA2" w:rsidRDefault="0098142A" w:rsidP="007C12E2">
      <w:pPr>
        <w:pStyle w:val="BodyText2"/>
        <w:ind w:left="720"/>
        <w:rPr>
          <w:szCs w:val="24"/>
          <w:u w:val="single"/>
        </w:rPr>
      </w:pPr>
      <w:r w:rsidRPr="005C3EA2">
        <w:rPr>
          <w:szCs w:val="24"/>
          <w:u w:val="single"/>
        </w:rPr>
        <w:t>12b. Annualized Cost Burden Estimate</w:t>
      </w:r>
    </w:p>
    <w:p w14:paraId="273155BB" w14:textId="77777777" w:rsidR="00F230B3" w:rsidRPr="005C3EA2" w:rsidRDefault="00F230B3" w:rsidP="007C12E2">
      <w:pPr>
        <w:pStyle w:val="BodyText2"/>
        <w:ind w:left="720"/>
        <w:rPr>
          <w:szCs w:val="24"/>
          <w:u w:val="single"/>
        </w:rPr>
      </w:pPr>
    </w:p>
    <w:p w14:paraId="4E36157A" w14:textId="0C92ABE7" w:rsidR="00F230B3" w:rsidRDefault="00F230B3" w:rsidP="00741493">
      <w:pPr>
        <w:pStyle w:val="BodyText2"/>
        <w:ind w:left="720"/>
        <w:rPr>
          <w:szCs w:val="24"/>
        </w:rPr>
      </w:pPr>
      <w:r w:rsidRPr="005C3EA2">
        <w:rPr>
          <w:szCs w:val="24"/>
        </w:rPr>
        <w:t xml:space="preserve">Respondents participate on a purely voluntary basis and, therefore, are subject to no direct costs other than time to participate. There are also no start-up or maintenance costs. </w:t>
      </w:r>
      <w:r w:rsidR="00741493" w:rsidRPr="005C3EA2">
        <w:rPr>
          <w:szCs w:val="24"/>
        </w:rPr>
        <w:t>To calculate</w:t>
      </w:r>
      <w:r w:rsidRPr="005C3EA2">
        <w:rPr>
          <w:szCs w:val="24"/>
        </w:rPr>
        <w:t xml:space="preserve"> </w:t>
      </w:r>
      <w:r w:rsidR="00741493" w:rsidRPr="005C3EA2">
        <w:rPr>
          <w:szCs w:val="24"/>
        </w:rPr>
        <w:t xml:space="preserve">estimated burden </w:t>
      </w:r>
      <w:r w:rsidRPr="005C3EA2">
        <w:rPr>
          <w:szCs w:val="24"/>
        </w:rPr>
        <w:t>cost</w:t>
      </w:r>
      <w:r w:rsidR="00741493" w:rsidRPr="005C3EA2">
        <w:rPr>
          <w:szCs w:val="24"/>
        </w:rPr>
        <w:t>s</w:t>
      </w:r>
      <w:r w:rsidRPr="005C3EA2">
        <w:rPr>
          <w:szCs w:val="24"/>
        </w:rPr>
        <w:t>, the mean hourly wage of $</w:t>
      </w:r>
      <w:r w:rsidR="0065275B" w:rsidRPr="005C3EA2">
        <w:rPr>
          <w:szCs w:val="24"/>
        </w:rPr>
        <w:t>25.61</w:t>
      </w:r>
      <w:r w:rsidR="00F62912" w:rsidRPr="005C3EA2">
        <w:rPr>
          <w:szCs w:val="24"/>
        </w:rPr>
        <w:t xml:space="preserve"> for adults</w:t>
      </w:r>
      <w:r w:rsidRPr="005C3EA2">
        <w:rPr>
          <w:szCs w:val="24"/>
        </w:rPr>
        <w:t xml:space="preserve">. The price represents the Department of Labor estimated mean for state, local, and private industry earnings. There are no direct costs to respondents associated with participation in this study. Thus, assuming an average hourly wage of </w:t>
      </w:r>
      <w:r w:rsidR="0065275B" w:rsidRPr="005C3EA2">
        <w:rPr>
          <w:szCs w:val="24"/>
        </w:rPr>
        <w:t>$25.61</w:t>
      </w:r>
      <w:r w:rsidR="00F62912" w:rsidRPr="005C3EA2">
        <w:rPr>
          <w:szCs w:val="24"/>
        </w:rPr>
        <w:t xml:space="preserve">, </w:t>
      </w:r>
      <w:r w:rsidRPr="005C3EA2">
        <w:rPr>
          <w:szCs w:val="24"/>
        </w:rPr>
        <w:t>the estimated cost to participants will be $</w:t>
      </w:r>
      <w:r w:rsidR="006F51B3" w:rsidRPr="005C3EA2">
        <w:rPr>
          <w:szCs w:val="24"/>
        </w:rPr>
        <w:t>33,421.05</w:t>
      </w:r>
      <w:r w:rsidRPr="005C3EA2">
        <w:rPr>
          <w:szCs w:val="24"/>
        </w:rPr>
        <w:t xml:space="preserve">. The estimated value of respondents’ time for participating in the information collection is summarized in Table </w:t>
      </w:r>
      <w:r w:rsidR="009B2C7B" w:rsidRPr="005C3EA2">
        <w:rPr>
          <w:szCs w:val="24"/>
        </w:rPr>
        <w:t>6</w:t>
      </w:r>
      <w:r w:rsidR="0065275B" w:rsidRPr="005C3EA2">
        <w:rPr>
          <w:szCs w:val="24"/>
        </w:rPr>
        <w:t xml:space="preserve"> </w:t>
      </w:r>
      <w:r w:rsidRPr="005C3EA2">
        <w:rPr>
          <w:szCs w:val="24"/>
        </w:rPr>
        <w:t>below.</w:t>
      </w:r>
    </w:p>
    <w:p w14:paraId="519A3395" w14:textId="77777777" w:rsidR="007804D0" w:rsidRPr="005C3EA2" w:rsidRDefault="007804D0" w:rsidP="00741493">
      <w:pPr>
        <w:pStyle w:val="BodyText2"/>
        <w:ind w:left="720"/>
        <w:rPr>
          <w:szCs w:val="24"/>
        </w:rPr>
      </w:pPr>
    </w:p>
    <w:p w14:paraId="2707360A" w14:textId="77777777" w:rsidR="007804D0" w:rsidRDefault="007804D0" w:rsidP="007804D0">
      <w:pPr>
        <w:rPr>
          <w:b/>
        </w:rPr>
      </w:pPr>
    </w:p>
    <w:p w14:paraId="5AB0F2AD" w14:textId="77777777" w:rsidR="007804D0" w:rsidRDefault="007804D0" w:rsidP="007804D0">
      <w:pPr>
        <w:rPr>
          <w:b/>
        </w:rPr>
      </w:pPr>
    </w:p>
    <w:p w14:paraId="515AB6E8" w14:textId="77777777" w:rsidR="007804D0" w:rsidRDefault="007804D0" w:rsidP="007804D0">
      <w:pPr>
        <w:rPr>
          <w:b/>
        </w:rPr>
      </w:pPr>
    </w:p>
    <w:p w14:paraId="58365746" w14:textId="77777777" w:rsidR="007804D0" w:rsidRDefault="007804D0">
      <w:pPr>
        <w:rPr>
          <w:b/>
        </w:rPr>
      </w:pPr>
      <w:r>
        <w:rPr>
          <w:b/>
        </w:rPr>
        <w:br w:type="page"/>
      </w:r>
    </w:p>
    <w:p w14:paraId="0BE2BED1" w14:textId="66D01805" w:rsidR="00F230B3" w:rsidRDefault="00F230B3" w:rsidP="007804D0">
      <w:pPr>
        <w:rPr>
          <w:b/>
        </w:rPr>
      </w:pPr>
      <w:proofErr w:type="gramStart"/>
      <w:r w:rsidRPr="005C3EA2">
        <w:rPr>
          <w:b/>
        </w:rPr>
        <w:lastRenderedPageBreak/>
        <w:t xml:space="preserve">Table </w:t>
      </w:r>
      <w:r w:rsidR="00B86190" w:rsidRPr="005C3EA2">
        <w:rPr>
          <w:b/>
        </w:rPr>
        <w:t>5</w:t>
      </w:r>
      <w:r w:rsidRPr="005C3EA2">
        <w:rPr>
          <w:b/>
        </w:rPr>
        <w:t>.</w:t>
      </w:r>
      <w:proofErr w:type="gramEnd"/>
      <w:r w:rsidRPr="005C3EA2">
        <w:rPr>
          <w:b/>
        </w:rPr>
        <w:t xml:space="preserve"> Estimated Annual Cost</w:t>
      </w:r>
    </w:p>
    <w:p w14:paraId="23B9CF0C" w14:textId="77777777" w:rsidR="007804D0" w:rsidRPr="005C3EA2" w:rsidRDefault="007804D0" w:rsidP="007804D0">
      <w:pPr>
        <w:rPr>
          <w:b/>
        </w:rPr>
      </w:pPr>
    </w:p>
    <w:tbl>
      <w:tblPr>
        <w:tblStyle w:val="TableGrid"/>
        <w:tblW w:w="4568" w:type="pct"/>
        <w:tblInd w:w="828" w:type="dxa"/>
        <w:tblLook w:val="00A0" w:firstRow="1" w:lastRow="0" w:firstColumn="1" w:lastColumn="0" w:noHBand="0" w:noVBand="0"/>
      </w:tblPr>
      <w:tblGrid>
        <w:gridCol w:w="2250"/>
        <w:gridCol w:w="2551"/>
        <w:gridCol w:w="1482"/>
        <w:gridCol w:w="1164"/>
        <w:gridCol w:w="1302"/>
      </w:tblGrid>
      <w:tr w:rsidR="00F230B3" w:rsidRPr="005C3EA2" w14:paraId="42DAAA81" w14:textId="77777777" w:rsidTr="0042770B">
        <w:trPr>
          <w:trHeight w:val="495"/>
        </w:trPr>
        <w:tc>
          <w:tcPr>
            <w:tcW w:w="1286" w:type="pct"/>
            <w:shd w:val="clear" w:color="auto" w:fill="BFBFBF" w:themeFill="background1" w:themeFillShade="BF"/>
            <w:vAlign w:val="center"/>
          </w:tcPr>
          <w:p w14:paraId="14BF1512" w14:textId="77777777" w:rsidR="00F230B3" w:rsidRPr="005C3EA2" w:rsidRDefault="00F230B3" w:rsidP="00FB6B9A">
            <w:pPr>
              <w:jc w:val="center"/>
            </w:pPr>
            <w:r w:rsidRPr="005C3EA2">
              <w:rPr>
                <w:b/>
              </w:rPr>
              <w:t>Type of Respondent</w:t>
            </w:r>
          </w:p>
        </w:tc>
        <w:tc>
          <w:tcPr>
            <w:tcW w:w="1458" w:type="pct"/>
            <w:shd w:val="clear" w:color="auto" w:fill="BFBFBF" w:themeFill="background1" w:themeFillShade="BF"/>
            <w:vAlign w:val="center"/>
          </w:tcPr>
          <w:p w14:paraId="01980F69" w14:textId="77777777" w:rsidR="00F230B3" w:rsidRPr="005C3EA2" w:rsidRDefault="00F230B3" w:rsidP="00FB6B9A">
            <w:pPr>
              <w:keepNext/>
              <w:spacing w:before="60" w:after="60"/>
              <w:jc w:val="center"/>
              <w:rPr>
                <w:b/>
              </w:rPr>
            </w:pPr>
            <w:r w:rsidRPr="005C3EA2">
              <w:rPr>
                <w:b/>
              </w:rPr>
              <w:t>Activity</w:t>
            </w:r>
          </w:p>
        </w:tc>
        <w:tc>
          <w:tcPr>
            <w:tcW w:w="847" w:type="pct"/>
            <w:shd w:val="clear" w:color="auto" w:fill="BFBFBF" w:themeFill="background1" w:themeFillShade="BF"/>
            <w:vAlign w:val="center"/>
          </w:tcPr>
          <w:p w14:paraId="4193E7A4" w14:textId="77777777" w:rsidR="00F230B3" w:rsidRPr="005C3EA2" w:rsidRDefault="00F230B3" w:rsidP="00FB6B9A">
            <w:pPr>
              <w:keepNext/>
              <w:spacing w:before="60" w:after="60"/>
              <w:jc w:val="center"/>
              <w:rPr>
                <w:b/>
              </w:rPr>
            </w:pPr>
            <w:r w:rsidRPr="005C3EA2">
              <w:rPr>
                <w:b/>
              </w:rPr>
              <w:t>Annual Burden Hours</w:t>
            </w:r>
          </w:p>
        </w:tc>
        <w:tc>
          <w:tcPr>
            <w:tcW w:w="665" w:type="pct"/>
            <w:shd w:val="clear" w:color="auto" w:fill="BFBFBF" w:themeFill="background1" w:themeFillShade="BF"/>
            <w:vAlign w:val="center"/>
          </w:tcPr>
          <w:p w14:paraId="622A56C5" w14:textId="77777777" w:rsidR="00F230B3" w:rsidRPr="005C3EA2" w:rsidRDefault="00F230B3" w:rsidP="00FB6B9A">
            <w:pPr>
              <w:keepNext/>
              <w:spacing w:before="60" w:after="60"/>
              <w:jc w:val="center"/>
              <w:rPr>
                <w:b/>
              </w:rPr>
            </w:pPr>
            <w:r w:rsidRPr="005C3EA2">
              <w:rPr>
                <w:b/>
              </w:rPr>
              <w:t>Hourly Wage Rate</w:t>
            </w:r>
          </w:p>
        </w:tc>
        <w:tc>
          <w:tcPr>
            <w:tcW w:w="744" w:type="pct"/>
            <w:shd w:val="clear" w:color="auto" w:fill="BFBFBF" w:themeFill="background1" w:themeFillShade="BF"/>
            <w:vAlign w:val="center"/>
          </w:tcPr>
          <w:p w14:paraId="0D4FA0DB" w14:textId="77777777" w:rsidR="00F230B3" w:rsidRPr="005C3EA2" w:rsidRDefault="00F230B3" w:rsidP="00FB6B9A">
            <w:pPr>
              <w:keepNext/>
              <w:spacing w:before="60" w:after="60"/>
              <w:jc w:val="center"/>
              <w:rPr>
                <w:b/>
              </w:rPr>
            </w:pPr>
            <w:r w:rsidRPr="005C3EA2">
              <w:rPr>
                <w:b/>
              </w:rPr>
              <w:t>Total Cost</w:t>
            </w:r>
          </w:p>
        </w:tc>
      </w:tr>
      <w:tr w:rsidR="00741493" w:rsidRPr="005C3EA2" w14:paraId="5E042891" w14:textId="77777777" w:rsidTr="0042770B">
        <w:trPr>
          <w:trHeight w:val="299"/>
        </w:trPr>
        <w:tc>
          <w:tcPr>
            <w:tcW w:w="1286" w:type="pct"/>
            <w:vAlign w:val="center"/>
          </w:tcPr>
          <w:p w14:paraId="59CBF280" w14:textId="4B366DDE" w:rsidR="00741493" w:rsidRPr="005C3EA2" w:rsidRDefault="00741493" w:rsidP="00F62912">
            <w:pPr>
              <w:spacing w:before="60" w:after="60"/>
            </w:pPr>
            <w:r w:rsidRPr="005C3EA2">
              <w:t xml:space="preserve">Screened </w:t>
            </w:r>
            <w:r w:rsidR="00F62912" w:rsidRPr="005C3EA2">
              <w:t>Respondents</w:t>
            </w:r>
          </w:p>
        </w:tc>
        <w:tc>
          <w:tcPr>
            <w:tcW w:w="1458" w:type="pct"/>
            <w:vAlign w:val="center"/>
          </w:tcPr>
          <w:p w14:paraId="0022F7F6" w14:textId="6CC27629" w:rsidR="00741493" w:rsidRPr="005C3EA2" w:rsidRDefault="00741493" w:rsidP="00FB6B9A">
            <w:pPr>
              <w:spacing w:before="60" w:after="60"/>
            </w:pPr>
            <w:r w:rsidRPr="005C3EA2">
              <w:t>Screener completion</w:t>
            </w:r>
          </w:p>
        </w:tc>
        <w:tc>
          <w:tcPr>
            <w:tcW w:w="847" w:type="pct"/>
            <w:vAlign w:val="center"/>
          </w:tcPr>
          <w:p w14:paraId="588F5B94" w14:textId="71D9618E" w:rsidR="00741493" w:rsidRPr="005C3EA2" w:rsidRDefault="006F51B3" w:rsidP="00FB6B9A">
            <w:pPr>
              <w:autoSpaceDE w:val="0"/>
              <w:autoSpaceDN w:val="0"/>
              <w:adjustRightInd w:val="0"/>
              <w:jc w:val="center"/>
            </w:pPr>
            <w:r w:rsidRPr="005C3EA2">
              <w:t>294</w:t>
            </w:r>
          </w:p>
        </w:tc>
        <w:tc>
          <w:tcPr>
            <w:tcW w:w="665" w:type="pct"/>
            <w:vAlign w:val="center"/>
          </w:tcPr>
          <w:p w14:paraId="0EB913FD" w14:textId="3D0C3B71" w:rsidR="00741493" w:rsidRPr="005C3EA2" w:rsidRDefault="00741493" w:rsidP="0065275B">
            <w:pPr>
              <w:autoSpaceDE w:val="0"/>
              <w:autoSpaceDN w:val="0"/>
              <w:adjustRightInd w:val="0"/>
              <w:jc w:val="center"/>
            </w:pPr>
            <w:r w:rsidRPr="005C3EA2">
              <w:t>$</w:t>
            </w:r>
            <w:r w:rsidR="00F62912" w:rsidRPr="005C3EA2">
              <w:t>2</w:t>
            </w:r>
            <w:r w:rsidR="0065275B" w:rsidRPr="005C3EA2">
              <w:t>5</w:t>
            </w:r>
            <w:r w:rsidR="00F62912" w:rsidRPr="005C3EA2">
              <w:t>.</w:t>
            </w:r>
            <w:r w:rsidR="0065275B" w:rsidRPr="005C3EA2">
              <w:t>61</w:t>
            </w:r>
          </w:p>
        </w:tc>
        <w:tc>
          <w:tcPr>
            <w:tcW w:w="744" w:type="pct"/>
            <w:vAlign w:val="center"/>
          </w:tcPr>
          <w:p w14:paraId="6D407CE4" w14:textId="3B807DF8" w:rsidR="00741493" w:rsidRPr="005C3EA2" w:rsidRDefault="0065275B" w:rsidP="006F51B3">
            <w:pPr>
              <w:autoSpaceDE w:val="0"/>
              <w:autoSpaceDN w:val="0"/>
              <w:adjustRightInd w:val="0"/>
              <w:jc w:val="center"/>
            </w:pPr>
            <w:r w:rsidRPr="005C3EA2">
              <w:t>$</w:t>
            </w:r>
            <w:r w:rsidR="006F51B3" w:rsidRPr="005C3EA2">
              <w:t>7,529.34</w:t>
            </w:r>
          </w:p>
        </w:tc>
      </w:tr>
      <w:tr w:rsidR="004565DF" w:rsidRPr="005C3EA2" w14:paraId="24790C8C" w14:textId="77777777" w:rsidTr="0042770B">
        <w:trPr>
          <w:trHeight w:val="312"/>
        </w:trPr>
        <w:tc>
          <w:tcPr>
            <w:tcW w:w="1286" w:type="pct"/>
            <w:vAlign w:val="center"/>
          </w:tcPr>
          <w:p w14:paraId="0E0042D8" w14:textId="256E1D1B" w:rsidR="004565DF" w:rsidRPr="005C3EA2" w:rsidRDefault="00F62912" w:rsidP="00FB6B9A">
            <w:pPr>
              <w:spacing w:before="60" w:after="60"/>
            </w:pPr>
            <w:r w:rsidRPr="005C3EA2">
              <w:t>Eligible Participants</w:t>
            </w:r>
          </w:p>
        </w:tc>
        <w:tc>
          <w:tcPr>
            <w:tcW w:w="1458" w:type="pct"/>
            <w:vAlign w:val="center"/>
          </w:tcPr>
          <w:p w14:paraId="3B111B3B" w14:textId="7039FE50" w:rsidR="004565DF" w:rsidRPr="005C3EA2" w:rsidRDefault="004565DF" w:rsidP="00F230B3">
            <w:pPr>
              <w:keepNext/>
              <w:spacing w:before="60" w:after="60"/>
            </w:pPr>
            <w:r w:rsidRPr="005C3EA2">
              <w:t>Questionnaire</w:t>
            </w:r>
            <w:r w:rsidR="006F51B3" w:rsidRPr="005C3EA2">
              <w:t>/Consent</w:t>
            </w:r>
            <w:r w:rsidRPr="005C3EA2">
              <w:t xml:space="preserve"> completion</w:t>
            </w:r>
          </w:p>
        </w:tc>
        <w:tc>
          <w:tcPr>
            <w:tcW w:w="847" w:type="pct"/>
            <w:vAlign w:val="center"/>
          </w:tcPr>
          <w:p w14:paraId="1A4E7A35" w14:textId="4B6D76D3" w:rsidR="004565DF" w:rsidRPr="005C3EA2" w:rsidRDefault="006F51B3" w:rsidP="00FB6B9A">
            <w:pPr>
              <w:autoSpaceDE w:val="0"/>
              <w:autoSpaceDN w:val="0"/>
              <w:adjustRightInd w:val="0"/>
              <w:jc w:val="center"/>
            </w:pPr>
            <w:r w:rsidRPr="005C3EA2">
              <w:t>1,011</w:t>
            </w:r>
          </w:p>
        </w:tc>
        <w:tc>
          <w:tcPr>
            <w:tcW w:w="665" w:type="pct"/>
            <w:vAlign w:val="center"/>
          </w:tcPr>
          <w:p w14:paraId="4FB2F994" w14:textId="2EBB8707" w:rsidR="004565DF" w:rsidRPr="005C3EA2" w:rsidRDefault="004565DF" w:rsidP="00F62912">
            <w:pPr>
              <w:autoSpaceDE w:val="0"/>
              <w:autoSpaceDN w:val="0"/>
              <w:adjustRightInd w:val="0"/>
              <w:jc w:val="center"/>
            </w:pPr>
            <w:r w:rsidRPr="005C3EA2">
              <w:t>$</w:t>
            </w:r>
            <w:r w:rsidR="00F62912" w:rsidRPr="005C3EA2">
              <w:t>2</w:t>
            </w:r>
            <w:r w:rsidR="0065275B" w:rsidRPr="005C3EA2">
              <w:t>5.61</w:t>
            </w:r>
          </w:p>
        </w:tc>
        <w:tc>
          <w:tcPr>
            <w:tcW w:w="744" w:type="pct"/>
            <w:vAlign w:val="center"/>
          </w:tcPr>
          <w:p w14:paraId="201D70B1" w14:textId="41744D6D" w:rsidR="004565DF" w:rsidRPr="005C3EA2" w:rsidRDefault="004565DF" w:rsidP="006F51B3">
            <w:pPr>
              <w:autoSpaceDE w:val="0"/>
              <w:autoSpaceDN w:val="0"/>
              <w:adjustRightInd w:val="0"/>
              <w:jc w:val="center"/>
            </w:pPr>
            <w:r w:rsidRPr="005C3EA2">
              <w:t>$</w:t>
            </w:r>
            <w:r w:rsidR="006F51B3" w:rsidRPr="005C3EA2">
              <w:t>25,891.71</w:t>
            </w:r>
          </w:p>
        </w:tc>
      </w:tr>
      <w:tr w:rsidR="00741493" w:rsidRPr="005C3EA2" w14:paraId="55DF9217" w14:textId="77777777" w:rsidTr="0042770B">
        <w:trPr>
          <w:trHeight w:val="312"/>
        </w:trPr>
        <w:tc>
          <w:tcPr>
            <w:tcW w:w="1286" w:type="pct"/>
            <w:vAlign w:val="center"/>
          </w:tcPr>
          <w:p w14:paraId="1B66670B" w14:textId="77777777" w:rsidR="00741493" w:rsidRPr="005C3EA2" w:rsidRDefault="00741493" w:rsidP="00FB6B9A">
            <w:pPr>
              <w:spacing w:before="60" w:after="60"/>
              <w:rPr>
                <w:b/>
              </w:rPr>
            </w:pPr>
            <w:r w:rsidRPr="005C3EA2">
              <w:rPr>
                <w:b/>
              </w:rPr>
              <w:t>Total</w:t>
            </w:r>
          </w:p>
        </w:tc>
        <w:tc>
          <w:tcPr>
            <w:tcW w:w="1458" w:type="pct"/>
            <w:vAlign w:val="center"/>
          </w:tcPr>
          <w:p w14:paraId="428BD5DB" w14:textId="77777777" w:rsidR="00741493" w:rsidRPr="005C3EA2" w:rsidRDefault="00741493" w:rsidP="00FB6B9A">
            <w:pPr>
              <w:keepNext/>
              <w:spacing w:before="60" w:after="60"/>
              <w:jc w:val="center"/>
              <w:rPr>
                <w:b/>
              </w:rPr>
            </w:pPr>
          </w:p>
        </w:tc>
        <w:tc>
          <w:tcPr>
            <w:tcW w:w="847" w:type="pct"/>
            <w:vAlign w:val="center"/>
          </w:tcPr>
          <w:p w14:paraId="099809A1" w14:textId="25CB2118" w:rsidR="00741493" w:rsidRPr="005C3EA2" w:rsidRDefault="006F51B3" w:rsidP="00FB6B9A">
            <w:pPr>
              <w:autoSpaceDE w:val="0"/>
              <w:autoSpaceDN w:val="0"/>
              <w:adjustRightInd w:val="0"/>
              <w:jc w:val="center"/>
              <w:rPr>
                <w:b/>
              </w:rPr>
            </w:pPr>
            <w:r w:rsidRPr="005C3EA2">
              <w:rPr>
                <w:b/>
              </w:rPr>
              <w:t>1,305</w:t>
            </w:r>
          </w:p>
        </w:tc>
        <w:tc>
          <w:tcPr>
            <w:tcW w:w="665" w:type="pct"/>
            <w:vAlign w:val="center"/>
          </w:tcPr>
          <w:p w14:paraId="28B61B83" w14:textId="77777777" w:rsidR="00741493" w:rsidRPr="005C3EA2" w:rsidRDefault="00741493" w:rsidP="00FB6B9A">
            <w:pPr>
              <w:autoSpaceDE w:val="0"/>
              <w:autoSpaceDN w:val="0"/>
              <w:adjustRightInd w:val="0"/>
              <w:jc w:val="center"/>
              <w:rPr>
                <w:b/>
              </w:rPr>
            </w:pPr>
          </w:p>
        </w:tc>
        <w:tc>
          <w:tcPr>
            <w:tcW w:w="744" w:type="pct"/>
            <w:vAlign w:val="center"/>
          </w:tcPr>
          <w:p w14:paraId="6D4A4901" w14:textId="17B8935F" w:rsidR="00741493" w:rsidRPr="005C3EA2" w:rsidRDefault="00741493" w:rsidP="006F51B3">
            <w:pPr>
              <w:autoSpaceDE w:val="0"/>
              <w:autoSpaceDN w:val="0"/>
              <w:adjustRightInd w:val="0"/>
              <w:jc w:val="center"/>
              <w:rPr>
                <w:b/>
              </w:rPr>
            </w:pPr>
            <w:r w:rsidRPr="005C3EA2">
              <w:rPr>
                <w:b/>
              </w:rPr>
              <w:t>$</w:t>
            </w:r>
            <w:r w:rsidR="006F51B3" w:rsidRPr="005C3EA2">
              <w:rPr>
                <w:b/>
              </w:rPr>
              <w:t>33,421.05</w:t>
            </w:r>
          </w:p>
        </w:tc>
      </w:tr>
    </w:tbl>
    <w:p w14:paraId="2AB2AB58" w14:textId="77777777" w:rsidR="00F230B3" w:rsidRPr="005C3EA2" w:rsidRDefault="00F230B3" w:rsidP="00F230B3">
      <w:pPr>
        <w:pStyle w:val="BodyText2"/>
        <w:rPr>
          <w:szCs w:val="24"/>
        </w:rPr>
      </w:pPr>
    </w:p>
    <w:p w14:paraId="45F4B01C" w14:textId="29EEA819" w:rsidR="004C6979" w:rsidRPr="005C3EA2" w:rsidRDefault="00EB7538" w:rsidP="00EB7538">
      <w:pPr>
        <w:numPr>
          <w:ilvl w:val="0"/>
          <w:numId w:val="1"/>
        </w:numPr>
        <w:spacing w:before="100" w:beforeAutospacing="1" w:after="100" w:afterAutospacing="1"/>
        <w:rPr>
          <w:b/>
          <w:u w:val="single"/>
        </w:rPr>
      </w:pPr>
      <w:r w:rsidRPr="005C3EA2">
        <w:rPr>
          <w:b/>
          <w:u w:val="single"/>
        </w:rPr>
        <w:t>Estimates of Other Total Annual Cost</w:t>
      </w:r>
      <w:r w:rsidR="007C75B1" w:rsidRPr="005C3EA2">
        <w:rPr>
          <w:b/>
          <w:u w:val="single"/>
        </w:rPr>
        <w:t>s</w:t>
      </w:r>
      <w:r w:rsidR="00A47C3A" w:rsidRPr="005C3EA2">
        <w:rPr>
          <w:b/>
          <w:u w:val="single"/>
        </w:rPr>
        <w:t xml:space="preserve"> to Respondents or Record K</w:t>
      </w:r>
      <w:r w:rsidR="00350523" w:rsidRPr="005C3EA2">
        <w:rPr>
          <w:b/>
          <w:u w:val="single"/>
        </w:rPr>
        <w:t>eepers</w:t>
      </w:r>
    </w:p>
    <w:p w14:paraId="53B028AB" w14:textId="5A86734A" w:rsidR="00235933" w:rsidRPr="005C3EA2" w:rsidRDefault="00350523" w:rsidP="00A47C3A">
      <w:pPr>
        <w:ind w:left="720"/>
      </w:pPr>
      <w:r w:rsidRPr="005C3EA2">
        <w:t xml:space="preserve">There </w:t>
      </w:r>
      <w:proofErr w:type="gramStart"/>
      <w:r w:rsidRPr="005C3EA2">
        <w:t>are no capital</w:t>
      </w:r>
      <w:proofErr w:type="gramEnd"/>
      <w:r w:rsidRPr="005C3EA2">
        <w:t>, start-up, operating</w:t>
      </w:r>
      <w:r w:rsidR="0045480A" w:rsidRPr="005C3EA2">
        <w:t>,</w:t>
      </w:r>
      <w:r w:rsidRPr="005C3EA2">
        <w:t xml:space="preserve"> or maintenance costs associated with this information collection.</w:t>
      </w:r>
    </w:p>
    <w:p w14:paraId="18212342" w14:textId="7CF618A2" w:rsidR="00122160" w:rsidRPr="005C3EA2" w:rsidRDefault="00EB7538" w:rsidP="00122160">
      <w:pPr>
        <w:numPr>
          <w:ilvl w:val="0"/>
          <w:numId w:val="1"/>
        </w:numPr>
        <w:spacing w:before="100" w:beforeAutospacing="1" w:after="100" w:afterAutospacing="1"/>
        <w:rPr>
          <w:b/>
          <w:u w:val="single"/>
        </w:rPr>
      </w:pPr>
      <w:r w:rsidRPr="005C3EA2">
        <w:rPr>
          <w:b/>
          <w:u w:val="single"/>
        </w:rPr>
        <w:t>Annualized Cost to the Federal Government</w:t>
      </w:r>
    </w:p>
    <w:p w14:paraId="57CD3400" w14:textId="23650AF7" w:rsidR="00122160" w:rsidRPr="007804D0" w:rsidRDefault="00122160" w:rsidP="00122160">
      <w:pPr>
        <w:pStyle w:val="ListParagraph"/>
        <w:rPr>
          <w:rFonts w:cs="Times New Roman"/>
          <w:szCs w:val="24"/>
        </w:rPr>
      </w:pPr>
      <w:r w:rsidRPr="007804D0">
        <w:rPr>
          <w:rFonts w:cs="Times New Roman"/>
          <w:szCs w:val="24"/>
        </w:rPr>
        <w:t>This information collection is funded through a contract with FCB</w:t>
      </w:r>
      <w:r w:rsidR="00C21E04" w:rsidRPr="007804D0">
        <w:rPr>
          <w:rFonts w:cs="Times New Roman"/>
          <w:szCs w:val="24"/>
        </w:rPr>
        <w:t xml:space="preserve"> New York</w:t>
      </w:r>
      <w:r w:rsidRPr="007804D0">
        <w:rPr>
          <w:rFonts w:cs="Times New Roman"/>
          <w:szCs w:val="24"/>
        </w:rPr>
        <w:t xml:space="preserve">. The total estimated costs attributable to this data collection are </w:t>
      </w:r>
      <w:r w:rsidR="00EE26E0" w:rsidRPr="007804D0">
        <w:rPr>
          <w:rFonts w:cs="Times New Roman"/>
          <w:szCs w:val="24"/>
        </w:rPr>
        <w:t>$257,590</w:t>
      </w:r>
      <w:r w:rsidRPr="007804D0">
        <w:rPr>
          <w:rFonts w:cs="Times New Roman"/>
          <w:szCs w:val="24"/>
        </w:rPr>
        <w:t xml:space="preserve"> (Table </w:t>
      </w:r>
      <w:r w:rsidR="00B86190" w:rsidRPr="007804D0">
        <w:rPr>
          <w:rFonts w:cs="Times New Roman"/>
          <w:szCs w:val="24"/>
        </w:rPr>
        <w:t>6</w:t>
      </w:r>
      <w:r w:rsidRPr="007804D0">
        <w:rPr>
          <w:rFonts w:cs="Times New Roman"/>
          <w:szCs w:val="24"/>
        </w:rPr>
        <w:t>). There are additional contract-funded activities occurring before and after this data collection that include project planning and data analysis. Other activities outside this data collection include coordination with FDA, data collection plan development, instrument development, reporting, IRB, and progress reporting and project management. This information collection will occur in 2016.</w:t>
      </w:r>
    </w:p>
    <w:p w14:paraId="7C2D15A1" w14:textId="3B2C7C91" w:rsidR="0042770B" w:rsidRPr="007804D0" w:rsidRDefault="0042770B" w:rsidP="009B2C7B">
      <w:pPr>
        <w:pStyle w:val="FigureTitle"/>
        <w:ind w:left="720"/>
        <w:rPr>
          <w:szCs w:val="24"/>
        </w:rPr>
      </w:pPr>
      <w:proofErr w:type="gramStart"/>
      <w:r w:rsidRPr="007804D0">
        <w:rPr>
          <w:szCs w:val="24"/>
        </w:rPr>
        <w:t xml:space="preserve">Table </w:t>
      </w:r>
      <w:r w:rsidR="00B86190" w:rsidRPr="007804D0">
        <w:rPr>
          <w:szCs w:val="24"/>
        </w:rPr>
        <w:t>6</w:t>
      </w:r>
      <w:r w:rsidRPr="007804D0">
        <w:rPr>
          <w:szCs w:val="24"/>
        </w:rPr>
        <w:t>.</w:t>
      </w:r>
      <w:proofErr w:type="gramEnd"/>
      <w:r w:rsidRPr="007804D0">
        <w:rPr>
          <w:szCs w:val="24"/>
        </w:rPr>
        <w:t xml:space="preserve"> Itemized Cost to the Federal Government</w:t>
      </w:r>
    </w:p>
    <w:tbl>
      <w:tblPr>
        <w:tblStyle w:val="TableGrid"/>
        <w:tblW w:w="4576" w:type="pct"/>
        <w:tblInd w:w="828" w:type="dxa"/>
        <w:tblLook w:val="04A0" w:firstRow="1" w:lastRow="0" w:firstColumn="1" w:lastColumn="0" w:noHBand="0" w:noVBand="1"/>
      </w:tblPr>
      <w:tblGrid>
        <w:gridCol w:w="1787"/>
        <w:gridCol w:w="2202"/>
        <w:gridCol w:w="2999"/>
        <w:gridCol w:w="1776"/>
      </w:tblGrid>
      <w:tr w:rsidR="007804D0" w:rsidRPr="007804D0" w14:paraId="6A8025D2" w14:textId="77777777" w:rsidTr="00CF658A">
        <w:trPr>
          <w:trHeight w:val="78"/>
        </w:trPr>
        <w:tc>
          <w:tcPr>
            <w:tcW w:w="1020" w:type="pct"/>
            <w:shd w:val="clear" w:color="auto" w:fill="BFBFBF" w:themeFill="background1" w:themeFillShade="BF"/>
            <w:vAlign w:val="bottom"/>
            <w:hideMark/>
          </w:tcPr>
          <w:p w14:paraId="68A3CE34" w14:textId="77777777" w:rsidR="0042770B" w:rsidRPr="007804D0" w:rsidRDefault="0042770B" w:rsidP="00CF658A">
            <w:pPr>
              <w:pStyle w:val="FigureTitle"/>
              <w:spacing w:before="0" w:after="60"/>
              <w:jc w:val="center"/>
              <w:rPr>
                <w:szCs w:val="24"/>
              </w:rPr>
            </w:pPr>
            <w:r w:rsidRPr="007804D0">
              <w:rPr>
                <w:szCs w:val="24"/>
              </w:rPr>
              <w:t>Government Personnel</w:t>
            </w:r>
          </w:p>
        </w:tc>
        <w:tc>
          <w:tcPr>
            <w:tcW w:w="1256" w:type="pct"/>
            <w:shd w:val="clear" w:color="auto" w:fill="BFBFBF" w:themeFill="background1" w:themeFillShade="BF"/>
            <w:vAlign w:val="bottom"/>
            <w:hideMark/>
          </w:tcPr>
          <w:p w14:paraId="6F2A7F5F" w14:textId="77777777" w:rsidR="0042770B" w:rsidRPr="007804D0" w:rsidRDefault="0042770B" w:rsidP="00CF658A">
            <w:pPr>
              <w:pStyle w:val="FigureTitle"/>
              <w:spacing w:before="0" w:after="60"/>
              <w:jc w:val="center"/>
              <w:rPr>
                <w:szCs w:val="24"/>
              </w:rPr>
            </w:pPr>
            <w:r w:rsidRPr="007804D0">
              <w:rPr>
                <w:szCs w:val="24"/>
              </w:rPr>
              <w:t>Time Commitment</w:t>
            </w:r>
          </w:p>
        </w:tc>
        <w:tc>
          <w:tcPr>
            <w:tcW w:w="1711" w:type="pct"/>
            <w:shd w:val="clear" w:color="auto" w:fill="BFBFBF" w:themeFill="background1" w:themeFillShade="BF"/>
            <w:vAlign w:val="bottom"/>
            <w:hideMark/>
          </w:tcPr>
          <w:p w14:paraId="4C656196" w14:textId="77777777" w:rsidR="0042770B" w:rsidRPr="007804D0" w:rsidRDefault="0042770B" w:rsidP="00CF658A">
            <w:pPr>
              <w:pStyle w:val="FigureTitle"/>
              <w:spacing w:before="0" w:after="60"/>
              <w:jc w:val="center"/>
              <w:rPr>
                <w:szCs w:val="24"/>
              </w:rPr>
            </w:pPr>
            <w:r w:rsidRPr="007804D0">
              <w:rPr>
                <w:szCs w:val="24"/>
              </w:rPr>
              <w:t>Average Annual Salary</w:t>
            </w:r>
          </w:p>
        </w:tc>
        <w:tc>
          <w:tcPr>
            <w:tcW w:w="1013" w:type="pct"/>
            <w:shd w:val="clear" w:color="auto" w:fill="BFBFBF" w:themeFill="background1" w:themeFillShade="BF"/>
            <w:vAlign w:val="bottom"/>
            <w:hideMark/>
          </w:tcPr>
          <w:p w14:paraId="685D9DEB" w14:textId="77777777" w:rsidR="0042770B" w:rsidRPr="007804D0" w:rsidRDefault="0042770B" w:rsidP="00CF658A">
            <w:pPr>
              <w:pStyle w:val="FigureTitle"/>
              <w:spacing w:before="0" w:after="60"/>
              <w:jc w:val="center"/>
              <w:rPr>
                <w:szCs w:val="24"/>
              </w:rPr>
            </w:pPr>
            <w:r w:rsidRPr="007804D0">
              <w:rPr>
                <w:szCs w:val="24"/>
              </w:rPr>
              <w:t>Total</w:t>
            </w:r>
          </w:p>
        </w:tc>
      </w:tr>
      <w:tr w:rsidR="007804D0" w:rsidRPr="007804D0" w14:paraId="65D2637E" w14:textId="77777777" w:rsidTr="00CF658A">
        <w:trPr>
          <w:trHeight w:val="271"/>
        </w:trPr>
        <w:tc>
          <w:tcPr>
            <w:tcW w:w="1020" w:type="pct"/>
            <w:vAlign w:val="center"/>
            <w:hideMark/>
          </w:tcPr>
          <w:p w14:paraId="5137E73E" w14:textId="77777777" w:rsidR="0042770B" w:rsidRPr="007804D0" w:rsidRDefault="0042770B" w:rsidP="00CF658A">
            <w:pPr>
              <w:pStyle w:val="FigureTitle"/>
              <w:spacing w:before="0" w:after="0"/>
              <w:jc w:val="center"/>
              <w:rPr>
                <w:b w:val="0"/>
                <w:szCs w:val="24"/>
              </w:rPr>
            </w:pPr>
            <w:r w:rsidRPr="007804D0">
              <w:rPr>
                <w:b w:val="0"/>
                <w:bCs/>
                <w:szCs w:val="24"/>
              </w:rPr>
              <w:t>GS-12</w:t>
            </w:r>
          </w:p>
        </w:tc>
        <w:tc>
          <w:tcPr>
            <w:tcW w:w="1256" w:type="pct"/>
            <w:vAlign w:val="center"/>
            <w:hideMark/>
          </w:tcPr>
          <w:p w14:paraId="68AF1C53" w14:textId="77777777" w:rsidR="0042770B" w:rsidRPr="007804D0" w:rsidRDefault="0042770B" w:rsidP="00CF658A">
            <w:pPr>
              <w:pStyle w:val="FigureTitle"/>
              <w:spacing w:before="0" w:after="0"/>
              <w:jc w:val="center"/>
              <w:rPr>
                <w:b w:val="0"/>
                <w:szCs w:val="24"/>
              </w:rPr>
            </w:pPr>
            <w:r w:rsidRPr="007804D0">
              <w:rPr>
                <w:b w:val="0"/>
                <w:bCs/>
                <w:szCs w:val="24"/>
              </w:rPr>
              <w:t>5%</w:t>
            </w:r>
          </w:p>
        </w:tc>
        <w:tc>
          <w:tcPr>
            <w:tcW w:w="1711" w:type="pct"/>
            <w:vAlign w:val="center"/>
            <w:hideMark/>
          </w:tcPr>
          <w:p w14:paraId="20DE7E16" w14:textId="77777777" w:rsidR="0042770B" w:rsidRPr="007804D0" w:rsidRDefault="0042770B" w:rsidP="00CF658A">
            <w:pPr>
              <w:pStyle w:val="FigureTitle"/>
              <w:spacing w:before="0" w:after="0"/>
              <w:jc w:val="center"/>
              <w:rPr>
                <w:b w:val="0"/>
                <w:szCs w:val="24"/>
              </w:rPr>
            </w:pPr>
            <w:r w:rsidRPr="007804D0">
              <w:rPr>
                <w:b w:val="0"/>
                <w:bCs/>
                <w:szCs w:val="24"/>
              </w:rPr>
              <w:t>$77,490</w:t>
            </w:r>
          </w:p>
        </w:tc>
        <w:tc>
          <w:tcPr>
            <w:tcW w:w="1013" w:type="pct"/>
            <w:vAlign w:val="center"/>
            <w:hideMark/>
          </w:tcPr>
          <w:p w14:paraId="1297D4FB" w14:textId="77777777" w:rsidR="0042770B" w:rsidRPr="007804D0" w:rsidRDefault="0042770B" w:rsidP="00CF658A">
            <w:pPr>
              <w:pStyle w:val="FigureTitle"/>
              <w:spacing w:before="0" w:after="0"/>
              <w:jc w:val="center"/>
              <w:rPr>
                <w:b w:val="0"/>
                <w:szCs w:val="24"/>
              </w:rPr>
            </w:pPr>
            <w:r w:rsidRPr="007804D0">
              <w:rPr>
                <w:b w:val="0"/>
                <w:bCs/>
                <w:szCs w:val="24"/>
              </w:rPr>
              <w:t>$3,875</w:t>
            </w:r>
          </w:p>
        </w:tc>
      </w:tr>
      <w:tr w:rsidR="007804D0" w:rsidRPr="007804D0" w14:paraId="0A3630F1" w14:textId="77777777" w:rsidTr="00CF658A">
        <w:trPr>
          <w:trHeight w:val="271"/>
        </w:trPr>
        <w:tc>
          <w:tcPr>
            <w:tcW w:w="1020" w:type="pct"/>
            <w:vAlign w:val="center"/>
            <w:hideMark/>
          </w:tcPr>
          <w:p w14:paraId="533FCF76" w14:textId="77777777" w:rsidR="0042770B" w:rsidRPr="007804D0" w:rsidRDefault="0042770B" w:rsidP="00CF658A">
            <w:pPr>
              <w:pStyle w:val="FigureTitle"/>
              <w:spacing w:before="0" w:after="0"/>
              <w:jc w:val="center"/>
              <w:rPr>
                <w:b w:val="0"/>
                <w:szCs w:val="24"/>
              </w:rPr>
            </w:pPr>
            <w:r w:rsidRPr="007804D0">
              <w:rPr>
                <w:b w:val="0"/>
                <w:bCs/>
                <w:szCs w:val="24"/>
              </w:rPr>
              <w:t>GS-13</w:t>
            </w:r>
          </w:p>
        </w:tc>
        <w:tc>
          <w:tcPr>
            <w:tcW w:w="1256" w:type="pct"/>
            <w:vAlign w:val="center"/>
            <w:hideMark/>
          </w:tcPr>
          <w:p w14:paraId="5206B0EA" w14:textId="77777777" w:rsidR="0042770B" w:rsidRPr="007804D0" w:rsidRDefault="0042770B" w:rsidP="00CF658A">
            <w:pPr>
              <w:pStyle w:val="FigureTitle"/>
              <w:spacing w:before="0" w:after="0"/>
              <w:jc w:val="center"/>
              <w:rPr>
                <w:b w:val="0"/>
                <w:szCs w:val="24"/>
              </w:rPr>
            </w:pPr>
            <w:r w:rsidRPr="007804D0">
              <w:rPr>
                <w:b w:val="0"/>
                <w:bCs/>
                <w:szCs w:val="24"/>
              </w:rPr>
              <w:t>10%</w:t>
            </w:r>
          </w:p>
        </w:tc>
        <w:tc>
          <w:tcPr>
            <w:tcW w:w="1711" w:type="pct"/>
            <w:vAlign w:val="center"/>
            <w:hideMark/>
          </w:tcPr>
          <w:p w14:paraId="65BDF30C" w14:textId="77777777" w:rsidR="0042770B" w:rsidRPr="007804D0" w:rsidRDefault="0042770B" w:rsidP="00CF658A">
            <w:pPr>
              <w:pStyle w:val="FigureTitle"/>
              <w:spacing w:before="0" w:after="0"/>
              <w:jc w:val="center"/>
              <w:rPr>
                <w:b w:val="0"/>
                <w:szCs w:val="24"/>
              </w:rPr>
            </w:pPr>
            <w:r w:rsidRPr="007804D0">
              <w:rPr>
                <w:b w:val="0"/>
                <w:bCs/>
                <w:szCs w:val="24"/>
              </w:rPr>
              <w:t>$92,145</w:t>
            </w:r>
          </w:p>
        </w:tc>
        <w:tc>
          <w:tcPr>
            <w:tcW w:w="1013" w:type="pct"/>
            <w:vAlign w:val="center"/>
            <w:hideMark/>
          </w:tcPr>
          <w:p w14:paraId="4321FEBB" w14:textId="77777777" w:rsidR="0042770B" w:rsidRPr="007804D0" w:rsidRDefault="0042770B" w:rsidP="00CF658A">
            <w:pPr>
              <w:pStyle w:val="FigureTitle"/>
              <w:spacing w:before="0" w:after="0"/>
              <w:jc w:val="center"/>
              <w:rPr>
                <w:b w:val="0"/>
                <w:szCs w:val="24"/>
              </w:rPr>
            </w:pPr>
            <w:r w:rsidRPr="007804D0">
              <w:rPr>
                <w:b w:val="0"/>
                <w:bCs/>
                <w:szCs w:val="24"/>
              </w:rPr>
              <w:t>$9,215</w:t>
            </w:r>
          </w:p>
        </w:tc>
      </w:tr>
      <w:tr w:rsidR="007804D0" w:rsidRPr="007804D0" w14:paraId="3B2688F7" w14:textId="77777777" w:rsidTr="00CF658A">
        <w:trPr>
          <w:trHeight w:val="271"/>
        </w:trPr>
        <w:tc>
          <w:tcPr>
            <w:tcW w:w="1020" w:type="pct"/>
            <w:vAlign w:val="center"/>
          </w:tcPr>
          <w:p w14:paraId="34BF6F99" w14:textId="77777777" w:rsidR="0042770B" w:rsidRPr="007804D0" w:rsidRDefault="0042770B" w:rsidP="00CF658A">
            <w:pPr>
              <w:pStyle w:val="FigureTitle"/>
              <w:spacing w:before="0" w:after="0"/>
              <w:jc w:val="right"/>
              <w:rPr>
                <w:b w:val="0"/>
                <w:szCs w:val="24"/>
              </w:rPr>
            </w:pPr>
          </w:p>
        </w:tc>
        <w:tc>
          <w:tcPr>
            <w:tcW w:w="1256" w:type="pct"/>
            <w:vAlign w:val="center"/>
          </w:tcPr>
          <w:p w14:paraId="2F290631" w14:textId="77777777" w:rsidR="0042770B" w:rsidRPr="007804D0" w:rsidRDefault="0042770B" w:rsidP="00CF658A">
            <w:pPr>
              <w:pStyle w:val="FigureTitle"/>
              <w:spacing w:before="0" w:after="0"/>
              <w:jc w:val="right"/>
              <w:rPr>
                <w:b w:val="0"/>
                <w:szCs w:val="24"/>
              </w:rPr>
            </w:pPr>
          </w:p>
        </w:tc>
        <w:tc>
          <w:tcPr>
            <w:tcW w:w="1711" w:type="pct"/>
            <w:vAlign w:val="center"/>
            <w:hideMark/>
          </w:tcPr>
          <w:p w14:paraId="53DF55D3" w14:textId="77777777" w:rsidR="0042770B" w:rsidRPr="007804D0" w:rsidRDefault="0042770B" w:rsidP="00CF658A">
            <w:pPr>
              <w:pStyle w:val="FigureTitle"/>
              <w:spacing w:before="0" w:after="0"/>
              <w:jc w:val="right"/>
              <w:rPr>
                <w:szCs w:val="24"/>
              </w:rPr>
            </w:pPr>
            <w:r w:rsidRPr="007804D0">
              <w:rPr>
                <w:szCs w:val="24"/>
              </w:rPr>
              <w:t>Total Salary Costs</w:t>
            </w:r>
          </w:p>
        </w:tc>
        <w:tc>
          <w:tcPr>
            <w:tcW w:w="1013" w:type="pct"/>
            <w:vAlign w:val="center"/>
            <w:hideMark/>
          </w:tcPr>
          <w:p w14:paraId="39EC5931" w14:textId="77777777" w:rsidR="0042770B" w:rsidRPr="007804D0" w:rsidRDefault="0042770B" w:rsidP="00CF658A">
            <w:pPr>
              <w:pStyle w:val="FigureTitle"/>
              <w:spacing w:before="0" w:after="0"/>
              <w:jc w:val="center"/>
              <w:rPr>
                <w:b w:val="0"/>
                <w:szCs w:val="24"/>
              </w:rPr>
            </w:pPr>
            <w:r w:rsidRPr="007804D0">
              <w:rPr>
                <w:b w:val="0"/>
                <w:bCs/>
                <w:szCs w:val="24"/>
              </w:rPr>
              <w:t>$13,090</w:t>
            </w:r>
          </w:p>
        </w:tc>
      </w:tr>
      <w:tr w:rsidR="007804D0" w:rsidRPr="007804D0" w14:paraId="2687B317" w14:textId="77777777" w:rsidTr="00CF658A">
        <w:trPr>
          <w:trHeight w:val="271"/>
        </w:trPr>
        <w:tc>
          <w:tcPr>
            <w:tcW w:w="3987" w:type="pct"/>
            <w:gridSpan w:val="3"/>
            <w:vAlign w:val="center"/>
            <w:hideMark/>
          </w:tcPr>
          <w:p w14:paraId="50612F3D" w14:textId="77777777" w:rsidR="0042770B" w:rsidRPr="007804D0" w:rsidRDefault="0042770B" w:rsidP="00CF658A">
            <w:pPr>
              <w:pStyle w:val="FigureTitle"/>
              <w:spacing w:before="0" w:after="0"/>
              <w:jc w:val="right"/>
              <w:rPr>
                <w:szCs w:val="24"/>
              </w:rPr>
            </w:pPr>
            <w:r w:rsidRPr="007804D0">
              <w:rPr>
                <w:szCs w:val="24"/>
              </w:rPr>
              <w:t>Contract Cost</w:t>
            </w:r>
          </w:p>
        </w:tc>
        <w:tc>
          <w:tcPr>
            <w:tcW w:w="1013" w:type="pct"/>
            <w:vAlign w:val="center"/>
          </w:tcPr>
          <w:p w14:paraId="3B5E2A40" w14:textId="77777777" w:rsidR="0042770B" w:rsidRPr="007804D0" w:rsidRDefault="0042770B" w:rsidP="00CF658A">
            <w:pPr>
              <w:pStyle w:val="FigureTitle"/>
              <w:spacing w:before="0" w:after="0"/>
              <w:jc w:val="center"/>
              <w:rPr>
                <w:b w:val="0"/>
                <w:szCs w:val="24"/>
              </w:rPr>
            </w:pPr>
            <w:r w:rsidRPr="007804D0">
              <w:rPr>
                <w:b w:val="0"/>
                <w:szCs w:val="24"/>
              </w:rPr>
              <w:t>$244,500</w:t>
            </w:r>
          </w:p>
        </w:tc>
      </w:tr>
      <w:tr w:rsidR="0042770B" w:rsidRPr="007804D0" w14:paraId="4AB2B30D" w14:textId="77777777" w:rsidTr="00CF658A">
        <w:trPr>
          <w:trHeight w:val="271"/>
        </w:trPr>
        <w:tc>
          <w:tcPr>
            <w:tcW w:w="3987" w:type="pct"/>
            <w:gridSpan w:val="3"/>
            <w:vAlign w:val="center"/>
            <w:hideMark/>
          </w:tcPr>
          <w:p w14:paraId="3EEE4B07" w14:textId="77777777" w:rsidR="0042770B" w:rsidRPr="007804D0" w:rsidRDefault="0042770B" w:rsidP="00CF658A">
            <w:pPr>
              <w:pStyle w:val="FigureTitle"/>
              <w:spacing w:before="0" w:after="0"/>
              <w:jc w:val="right"/>
              <w:rPr>
                <w:szCs w:val="24"/>
              </w:rPr>
            </w:pPr>
            <w:r w:rsidRPr="007804D0">
              <w:rPr>
                <w:szCs w:val="24"/>
              </w:rPr>
              <w:t>Total</w:t>
            </w:r>
          </w:p>
        </w:tc>
        <w:tc>
          <w:tcPr>
            <w:tcW w:w="1013" w:type="pct"/>
            <w:vAlign w:val="center"/>
            <w:hideMark/>
          </w:tcPr>
          <w:p w14:paraId="56C124EE" w14:textId="77777777" w:rsidR="0042770B" w:rsidRPr="007804D0" w:rsidRDefault="0042770B" w:rsidP="00CF658A">
            <w:pPr>
              <w:pStyle w:val="FigureTitle"/>
              <w:spacing w:before="0" w:after="0"/>
              <w:jc w:val="center"/>
              <w:rPr>
                <w:szCs w:val="24"/>
              </w:rPr>
            </w:pPr>
            <w:r w:rsidRPr="007804D0">
              <w:rPr>
                <w:szCs w:val="24"/>
              </w:rPr>
              <w:t>$257,590</w:t>
            </w:r>
          </w:p>
        </w:tc>
      </w:tr>
    </w:tbl>
    <w:p w14:paraId="0F1A39EE" w14:textId="77777777" w:rsidR="0042770B" w:rsidRPr="007804D0" w:rsidRDefault="0042770B" w:rsidP="0042770B">
      <w:pPr>
        <w:rPr>
          <w:b/>
        </w:rPr>
      </w:pPr>
    </w:p>
    <w:p w14:paraId="1889CAE9" w14:textId="77777777" w:rsidR="004C6979" w:rsidRPr="005C3EA2" w:rsidRDefault="00EB7538" w:rsidP="008500EA">
      <w:pPr>
        <w:numPr>
          <w:ilvl w:val="0"/>
          <w:numId w:val="1"/>
        </w:numPr>
        <w:spacing w:after="100" w:afterAutospacing="1"/>
        <w:rPr>
          <w:b/>
          <w:u w:val="single"/>
        </w:rPr>
      </w:pPr>
      <w:r w:rsidRPr="005C3EA2">
        <w:rPr>
          <w:b/>
          <w:u w:val="single"/>
        </w:rPr>
        <w:t>Explanation for Program Changes or Adjustments</w:t>
      </w:r>
    </w:p>
    <w:p w14:paraId="793A02F7" w14:textId="324C12C0" w:rsidR="009F66B5" w:rsidRPr="005C3EA2" w:rsidRDefault="00280CAF" w:rsidP="009B7DA1">
      <w:pPr>
        <w:pStyle w:val="BodyTextIndent"/>
        <w:ind w:left="720"/>
      </w:pPr>
      <w:r w:rsidRPr="005C3EA2">
        <w:t xml:space="preserve">This is a new </w:t>
      </w:r>
      <w:r w:rsidR="00A47C3A" w:rsidRPr="005C3EA2">
        <w:t xml:space="preserve">individual generic collection of information. </w:t>
      </w:r>
    </w:p>
    <w:p w14:paraId="3F6208DC" w14:textId="1E31F3CC" w:rsidR="00C91221" w:rsidRPr="005C3EA2" w:rsidRDefault="00EB7538" w:rsidP="00C91221">
      <w:pPr>
        <w:numPr>
          <w:ilvl w:val="0"/>
          <w:numId w:val="1"/>
        </w:numPr>
        <w:spacing w:before="100" w:beforeAutospacing="1" w:after="100" w:afterAutospacing="1"/>
        <w:rPr>
          <w:b/>
          <w:u w:val="single"/>
        </w:rPr>
      </w:pPr>
      <w:r w:rsidRPr="005C3EA2">
        <w:rPr>
          <w:b/>
          <w:u w:val="single"/>
        </w:rPr>
        <w:t>Plans for Tabulation and Publication and Project Time Schedule</w:t>
      </w:r>
    </w:p>
    <w:p w14:paraId="61E3C6E2" w14:textId="2448CD85" w:rsidR="00977A4E" w:rsidRPr="005C3EA2" w:rsidRDefault="00977A4E" w:rsidP="00977A4E">
      <w:pPr>
        <w:ind w:left="720"/>
      </w:pPr>
      <w:r w:rsidRPr="005C3EA2">
        <w:rPr>
          <w:rFonts w:eastAsia="SimSun"/>
          <w:lang w:eastAsia="zh-CN"/>
        </w:rPr>
        <w:t xml:space="preserve">To assess FDA’s POS advertising materials for adult smokers, participants will be asked a series of questions including their assessment of the main message of the ad, their assessment of believability of the ad, and their assessment of the perceived effectiveness of the ad using the Perceived Effectiveness scale. Additionally, participants will be asked </w:t>
      </w:r>
      <w:r w:rsidRPr="005C3EA2">
        <w:rPr>
          <w:rFonts w:eastAsia="SimSun"/>
          <w:lang w:eastAsia="zh-CN"/>
        </w:rPr>
        <w:lastRenderedPageBreak/>
        <w:t xml:space="preserve">if their perception of the main message of the ad changes once they have seen all the ads together. </w:t>
      </w:r>
      <w:r w:rsidRPr="005C3EA2">
        <w:t xml:space="preserve">Data will be checked in a statistical program, such as </w:t>
      </w:r>
      <w:r w:rsidR="0001643D" w:rsidRPr="005C3EA2">
        <w:t>Stata</w:t>
      </w:r>
      <w:r w:rsidRPr="005C3EA2">
        <w:t>®, to assess the degree of completeness; any variables with more than 5% missing data will be identified and reported. Data describing the sample of participants will be calculated. Sample characteristics for participants endorsing each response category will be analyzed and reported.</w:t>
      </w:r>
    </w:p>
    <w:p w14:paraId="7A51B24D" w14:textId="77777777" w:rsidR="00977A4E" w:rsidRPr="005C3EA2" w:rsidRDefault="00977A4E" w:rsidP="00977A4E">
      <w:pPr>
        <w:keepNext/>
        <w:ind w:left="720"/>
        <w:rPr>
          <w:rFonts w:eastAsia="SimSun"/>
          <w:lang w:eastAsia="zh-CN"/>
        </w:rPr>
      </w:pPr>
    </w:p>
    <w:p w14:paraId="2B322AE3" w14:textId="4DF51B0F" w:rsidR="00977A4E" w:rsidRPr="005C3EA2" w:rsidRDefault="00977A4E" w:rsidP="00977A4E">
      <w:pPr>
        <w:keepNext/>
        <w:ind w:left="720"/>
        <w:rPr>
          <w:rFonts w:eastAsia="SimSun"/>
          <w:lang w:eastAsia="zh-CN"/>
        </w:rPr>
      </w:pPr>
      <w:r w:rsidRPr="005C3EA2">
        <w:t xml:space="preserve">Before conducting analyses comparing results from the ad groups and the control group, we must ensure that the underlying samples of individuals receiving each condition are not significantly different in any way. A randomization check will be conducted to ensure the randomization process worked as expected with equivalent resulting groups on measured descriptive variables and cigarette smoking or quitting behavior. Specifically, the distribution of the demographic variables of age, gender, race/ethnicity, and smoking/poly-use status will be compared. A categorical Chi-Square analysis will be employed to determine if any differences in sample composition occur beyond what would be considered random.  If any significant differences exist between groups, subsequent analyses will account for these differences by controlling for the items on which groups differ. The likelihood of randomization issues is relatively low given the overall sample size and 1:1 group allocation ratios. The expectation is that the likelihood of assignment to one of the exposure or control groups or another is the same for all participants in the sample. </w:t>
      </w:r>
      <w:proofErr w:type="spellStart"/>
      <w:r w:rsidRPr="005C3EA2">
        <w:t>Fors</w:t>
      </w:r>
      <w:proofErr w:type="spellEnd"/>
      <w:r w:rsidRPr="005C3EA2">
        <w:t xml:space="preserve"> Marsh Group will consistently monitor group assignment and progressive levels to ensure that randomization is consistent.</w:t>
      </w:r>
    </w:p>
    <w:p w14:paraId="3EA40422" w14:textId="77777777" w:rsidR="00977A4E" w:rsidRPr="005C3EA2" w:rsidRDefault="00977A4E" w:rsidP="00977A4E">
      <w:pPr>
        <w:ind w:left="720"/>
      </w:pPr>
    </w:p>
    <w:p w14:paraId="353F52A3" w14:textId="77777777" w:rsidR="00977A4E" w:rsidRPr="005C3EA2" w:rsidRDefault="00977A4E" w:rsidP="00977A4E">
      <w:pPr>
        <w:ind w:left="720"/>
      </w:pPr>
      <w:r w:rsidRPr="005C3EA2">
        <w:t xml:space="preserve">The surveys will yield quantitative data that can be used for certain types of statistical analyses. Statistical software (such as R, SPSS, or Stata) will be used to clean and organize the data before analyses. The analyses may include, but are not limited to, comparisons of means, </w:t>
      </w:r>
      <w:r w:rsidRPr="005C3EA2">
        <w:rPr>
          <w:i/>
        </w:rPr>
        <w:t>t</w:t>
      </w:r>
      <w:r w:rsidRPr="005C3EA2">
        <w:t>-tests, regression, calculation of summary statistics and cross-tabulations, and any appropriate estimates of uncertainty. Although some statistics will be calculated, the convenience sampling procedures for the survey do not allow for results that are nationally-representative, and any point estimates may not represent the population at-large.</w:t>
      </w:r>
    </w:p>
    <w:p w14:paraId="60E23A4F" w14:textId="77777777" w:rsidR="00977A4E" w:rsidRPr="005C3EA2" w:rsidRDefault="00977A4E" w:rsidP="00C91221">
      <w:pPr>
        <w:pStyle w:val="BodyText1"/>
        <w:spacing w:after="0" w:line="240" w:lineRule="auto"/>
        <w:ind w:left="720" w:firstLine="0"/>
        <w:rPr>
          <w:szCs w:val="24"/>
        </w:rPr>
      </w:pPr>
    </w:p>
    <w:p w14:paraId="5EBFEE2D" w14:textId="14D0F093" w:rsidR="00C91221" w:rsidRPr="005C3EA2" w:rsidRDefault="00C91221" w:rsidP="00C91221">
      <w:pPr>
        <w:pStyle w:val="BodyText1"/>
        <w:spacing w:after="0" w:line="240" w:lineRule="auto"/>
        <w:ind w:left="720" w:firstLine="0"/>
        <w:rPr>
          <w:szCs w:val="24"/>
          <w:u w:val="single"/>
        </w:rPr>
      </w:pPr>
      <w:r w:rsidRPr="005C3EA2">
        <w:rPr>
          <w:szCs w:val="24"/>
        </w:rPr>
        <w:t>The reporting and dissemination mechanism will consist of one primary component: summary statistics (in the form of PowerPoint presen</w:t>
      </w:r>
      <w:r w:rsidR="00C21E04" w:rsidRPr="005C3EA2">
        <w:rPr>
          <w:szCs w:val="24"/>
        </w:rPr>
        <w:t xml:space="preserve">tations and other briefings) on </w:t>
      </w:r>
      <w:r w:rsidRPr="005C3EA2">
        <w:rPr>
          <w:szCs w:val="24"/>
        </w:rPr>
        <w:t xml:space="preserve">reactions to ads and potential unintended consequences. The key events and reports to be prepared are listed in </w:t>
      </w:r>
      <w:r w:rsidR="00977A4E" w:rsidRPr="005C3EA2">
        <w:rPr>
          <w:szCs w:val="24"/>
        </w:rPr>
        <w:t xml:space="preserve">Table </w:t>
      </w:r>
      <w:r w:rsidR="00B6679C" w:rsidRPr="005C3EA2">
        <w:rPr>
          <w:szCs w:val="24"/>
        </w:rPr>
        <w:t>7</w:t>
      </w:r>
      <w:r w:rsidRPr="005C3EA2">
        <w:rPr>
          <w:szCs w:val="24"/>
        </w:rPr>
        <w:t>.</w:t>
      </w:r>
    </w:p>
    <w:p w14:paraId="04211769" w14:textId="77777777" w:rsidR="00C91221" w:rsidRPr="005C3EA2" w:rsidRDefault="00C91221" w:rsidP="00C91221">
      <w:pPr>
        <w:pStyle w:val="BodyText1"/>
        <w:spacing w:after="0" w:line="240" w:lineRule="auto"/>
        <w:ind w:left="720" w:firstLine="0"/>
        <w:rPr>
          <w:szCs w:val="24"/>
        </w:rPr>
      </w:pPr>
    </w:p>
    <w:p w14:paraId="048BC036" w14:textId="2362680A" w:rsidR="00C91221" w:rsidRPr="005C3EA2" w:rsidRDefault="00C91221" w:rsidP="009B2C7B">
      <w:pPr>
        <w:pStyle w:val="FigureTitle"/>
        <w:spacing w:before="0" w:after="0"/>
        <w:ind w:left="720"/>
        <w:rPr>
          <w:szCs w:val="24"/>
        </w:rPr>
      </w:pPr>
      <w:bookmarkStart w:id="4" w:name="_Ref216592722"/>
      <w:bookmarkStart w:id="5" w:name="_Toc66689102"/>
      <w:bookmarkStart w:id="6" w:name="_Toc140476560"/>
      <w:bookmarkStart w:id="7" w:name="_Toc216595340"/>
      <w:bookmarkStart w:id="8" w:name="_Toc361824172"/>
      <w:proofErr w:type="gramStart"/>
      <w:r w:rsidRPr="005C3EA2">
        <w:rPr>
          <w:szCs w:val="24"/>
        </w:rPr>
        <w:t xml:space="preserve">Table </w:t>
      </w:r>
      <w:bookmarkEnd w:id="4"/>
      <w:r w:rsidR="00B6679C" w:rsidRPr="005C3EA2">
        <w:rPr>
          <w:szCs w:val="24"/>
        </w:rPr>
        <w:t>7</w:t>
      </w:r>
      <w:r w:rsidRPr="005C3EA2">
        <w:rPr>
          <w:szCs w:val="24"/>
        </w:rPr>
        <w:t>.</w:t>
      </w:r>
      <w:bookmarkEnd w:id="5"/>
      <w:bookmarkEnd w:id="6"/>
      <w:bookmarkEnd w:id="7"/>
      <w:proofErr w:type="gramEnd"/>
      <w:r w:rsidRPr="005C3EA2">
        <w:rPr>
          <w:szCs w:val="24"/>
        </w:rPr>
        <w:t xml:space="preserve"> Project Schedule</w:t>
      </w:r>
      <w:bookmarkEnd w:id="8"/>
    </w:p>
    <w:p w14:paraId="0059796A" w14:textId="77777777" w:rsidR="00C91221" w:rsidRPr="005C3EA2" w:rsidRDefault="00C91221" w:rsidP="00C91221">
      <w:pPr>
        <w:pStyle w:val="ListParagraph"/>
        <w:rPr>
          <w:rFonts w:cs="Times New Roman"/>
          <w:szCs w:val="24"/>
        </w:rPr>
      </w:pPr>
    </w:p>
    <w:tbl>
      <w:tblPr>
        <w:tblStyle w:val="TableGrid"/>
        <w:tblW w:w="7890" w:type="dxa"/>
        <w:tblInd w:w="828" w:type="dxa"/>
        <w:tblLayout w:type="fixed"/>
        <w:tblLook w:val="01E0" w:firstRow="1" w:lastRow="1" w:firstColumn="1" w:lastColumn="1" w:noHBand="0" w:noVBand="0"/>
      </w:tblPr>
      <w:tblGrid>
        <w:gridCol w:w="2964"/>
        <w:gridCol w:w="4926"/>
      </w:tblGrid>
      <w:tr w:rsidR="00C91221" w:rsidRPr="005C3EA2" w14:paraId="0705D198" w14:textId="77777777" w:rsidTr="0042770B">
        <w:trPr>
          <w:trHeight w:val="264"/>
        </w:trPr>
        <w:tc>
          <w:tcPr>
            <w:tcW w:w="2964" w:type="dxa"/>
            <w:shd w:val="clear" w:color="auto" w:fill="BFBFBF" w:themeFill="background1" w:themeFillShade="BF"/>
            <w:vAlign w:val="center"/>
          </w:tcPr>
          <w:p w14:paraId="039387EA" w14:textId="77777777" w:rsidR="00C91221" w:rsidRPr="005C3EA2" w:rsidRDefault="00C91221" w:rsidP="00F6518C">
            <w:pPr>
              <w:rPr>
                <w:b/>
              </w:rPr>
            </w:pPr>
            <w:r w:rsidRPr="005C3EA2">
              <w:rPr>
                <w:b/>
              </w:rPr>
              <w:t>Project Activity</w:t>
            </w:r>
          </w:p>
        </w:tc>
        <w:tc>
          <w:tcPr>
            <w:tcW w:w="4926" w:type="dxa"/>
            <w:shd w:val="clear" w:color="auto" w:fill="BFBFBF" w:themeFill="background1" w:themeFillShade="BF"/>
            <w:vAlign w:val="center"/>
          </w:tcPr>
          <w:p w14:paraId="4DD1DC86" w14:textId="77777777" w:rsidR="00C91221" w:rsidRPr="005C3EA2" w:rsidRDefault="00C91221" w:rsidP="00F6518C">
            <w:pPr>
              <w:rPr>
                <w:b/>
              </w:rPr>
            </w:pPr>
            <w:r w:rsidRPr="005C3EA2">
              <w:rPr>
                <w:b/>
              </w:rPr>
              <w:t>Date</w:t>
            </w:r>
          </w:p>
        </w:tc>
      </w:tr>
      <w:tr w:rsidR="00C21E04" w:rsidRPr="005C3EA2" w14:paraId="79A74359" w14:textId="77777777" w:rsidTr="0042770B">
        <w:trPr>
          <w:trHeight w:val="264"/>
        </w:trPr>
        <w:tc>
          <w:tcPr>
            <w:tcW w:w="2964" w:type="dxa"/>
            <w:vAlign w:val="center"/>
          </w:tcPr>
          <w:p w14:paraId="2C2651EA" w14:textId="20CFA658" w:rsidR="00C21E04" w:rsidRPr="005C3EA2" w:rsidRDefault="00C21E04" w:rsidP="00F6518C">
            <w:r w:rsidRPr="005C3EA2">
              <w:t>Recruitment and Fielding</w:t>
            </w:r>
          </w:p>
        </w:tc>
        <w:tc>
          <w:tcPr>
            <w:tcW w:w="4926" w:type="dxa"/>
            <w:vAlign w:val="center"/>
          </w:tcPr>
          <w:p w14:paraId="55214D81" w14:textId="299DC230" w:rsidR="00C21E04" w:rsidRPr="005C3EA2" w:rsidRDefault="00C21E04" w:rsidP="00F6518C">
            <w:r w:rsidRPr="005C3EA2">
              <w:t xml:space="preserve">October </w:t>
            </w:r>
            <w:r w:rsidR="00B86190" w:rsidRPr="005C3EA2">
              <w:t xml:space="preserve">- November </w:t>
            </w:r>
            <w:r w:rsidRPr="005C3EA2">
              <w:t>2016</w:t>
            </w:r>
            <w:r w:rsidR="00B86190" w:rsidRPr="005C3EA2">
              <w:t xml:space="preserve"> (Approximate)</w:t>
            </w:r>
          </w:p>
        </w:tc>
      </w:tr>
      <w:tr w:rsidR="00C91221" w:rsidRPr="005C3EA2" w14:paraId="41FDF619" w14:textId="77777777" w:rsidTr="0042770B">
        <w:trPr>
          <w:trHeight w:val="264"/>
        </w:trPr>
        <w:tc>
          <w:tcPr>
            <w:tcW w:w="2964" w:type="dxa"/>
            <w:vAlign w:val="center"/>
          </w:tcPr>
          <w:p w14:paraId="75965613" w14:textId="77777777" w:rsidR="00C91221" w:rsidRPr="005C3EA2" w:rsidRDefault="00C91221" w:rsidP="00F6518C">
            <w:r w:rsidRPr="005C3EA2">
              <w:t>Data analysis</w:t>
            </w:r>
          </w:p>
        </w:tc>
        <w:tc>
          <w:tcPr>
            <w:tcW w:w="4926" w:type="dxa"/>
            <w:vAlign w:val="center"/>
          </w:tcPr>
          <w:p w14:paraId="237105F3" w14:textId="0149A6B2" w:rsidR="00C91221" w:rsidRPr="005C3EA2" w:rsidRDefault="00B86190" w:rsidP="00F6518C">
            <w:r w:rsidRPr="005C3EA2">
              <w:t xml:space="preserve">December 2016 </w:t>
            </w:r>
            <w:r w:rsidR="00C91221" w:rsidRPr="005C3EA2">
              <w:t>(Approximate)</w:t>
            </w:r>
          </w:p>
        </w:tc>
      </w:tr>
      <w:tr w:rsidR="00C91221" w:rsidRPr="005C3EA2" w14:paraId="1AF3613E" w14:textId="77777777" w:rsidTr="0042770B">
        <w:trPr>
          <w:trHeight w:val="264"/>
        </w:trPr>
        <w:tc>
          <w:tcPr>
            <w:tcW w:w="2964" w:type="dxa"/>
            <w:vAlign w:val="center"/>
          </w:tcPr>
          <w:p w14:paraId="46D6E71C" w14:textId="77777777" w:rsidR="00C91221" w:rsidRPr="005C3EA2" w:rsidRDefault="00C91221" w:rsidP="00F6518C">
            <w:r w:rsidRPr="005C3EA2">
              <w:t>Presentation of findings</w:t>
            </w:r>
          </w:p>
        </w:tc>
        <w:tc>
          <w:tcPr>
            <w:tcW w:w="4926" w:type="dxa"/>
            <w:vAlign w:val="center"/>
          </w:tcPr>
          <w:p w14:paraId="3D6D08B2" w14:textId="2C3A982F" w:rsidR="00C91221" w:rsidRPr="005C3EA2" w:rsidRDefault="00C21E04" w:rsidP="00F6518C">
            <w:r w:rsidRPr="005C3EA2">
              <w:t>December</w:t>
            </w:r>
            <w:r w:rsidR="00C91221" w:rsidRPr="005C3EA2">
              <w:t xml:space="preserve"> 2016 (Approximate)</w:t>
            </w:r>
          </w:p>
        </w:tc>
      </w:tr>
    </w:tbl>
    <w:p w14:paraId="49896890" w14:textId="77777777" w:rsidR="009B7DA1" w:rsidRDefault="009B7DA1" w:rsidP="0042770B"/>
    <w:p w14:paraId="0C36C59C" w14:textId="77777777" w:rsidR="00E97B10" w:rsidRPr="005C3EA2" w:rsidRDefault="00E97B10" w:rsidP="0042770B"/>
    <w:p w14:paraId="0A9BD1BF" w14:textId="5B3B1AE0" w:rsidR="00A47C3A" w:rsidRPr="005C3EA2" w:rsidRDefault="00EB7538" w:rsidP="0042770B">
      <w:pPr>
        <w:numPr>
          <w:ilvl w:val="0"/>
          <w:numId w:val="1"/>
        </w:numPr>
        <w:rPr>
          <w:b/>
          <w:u w:val="single"/>
        </w:rPr>
      </w:pPr>
      <w:r w:rsidRPr="005C3EA2">
        <w:rPr>
          <w:b/>
          <w:u w:val="single"/>
        </w:rPr>
        <w:t>Reason(s) Display of OMB Expiration Date is Inappropriate</w:t>
      </w:r>
    </w:p>
    <w:p w14:paraId="022D65F8" w14:textId="68FD0B4A" w:rsidR="00A47C3A" w:rsidRPr="005C3EA2" w:rsidRDefault="00AE324F" w:rsidP="00A47C3A">
      <w:pPr>
        <w:spacing w:before="100" w:beforeAutospacing="1" w:after="100" w:afterAutospacing="1"/>
        <w:ind w:left="720"/>
        <w:rPr>
          <w:u w:val="single"/>
        </w:rPr>
      </w:pPr>
      <w:r w:rsidRPr="005C3EA2">
        <w:t>An</w:t>
      </w:r>
      <w:r w:rsidR="00A47C3A" w:rsidRPr="005C3EA2">
        <w:t xml:space="preserve"> exemption to this requirement</w:t>
      </w:r>
      <w:r w:rsidRPr="005C3EA2">
        <w:t xml:space="preserve"> is not being requested</w:t>
      </w:r>
      <w:r w:rsidR="00A47C3A" w:rsidRPr="005C3EA2">
        <w:t>.  The OMB expiration date will be displayed.</w:t>
      </w:r>
    </w:p>
    <w:p w14:paraId="145BD9C8" w14:textId="53AB9392" w:rsidR="00A47C3A" w:rsidRPr="007804D0" w:rsidRDefault="00EB7538" w:rsidP="007804D0">
      <w:pPr>
        <w:pStyle w:val="ListParagraph"/>
        <w:numPr>
          <w:ilvl w:val="0"/>
          <w:numId w:val="19"/>
        </w:numPr>
        <w:rPr>
          <w:b/>
          <w:u w:val="single"/>
        </w:rPr>
      </w:pPr>
      <w:r w:rsidRPr="007804D0">
        <w:rPr>
          <w:b/>
          <w:u w:val="single"/>
        </w:rPr>
        <w:lastRenderedPageBreak/>
        <w:t>Exceptions to Certification for Paperwork Reduction Act Submissions</w:t>
      </w:r>
    </w:p>
    <w:p w14:paraId="77D02CB5" w14:textId="77777777" w:rsidR="00C91221" w:rsidRPr="005C3EA2" w:rsidRDefault="00A47C3A" w:rsidP="00C91221">
      <w:pPr>
        <w:spacing w:before="100" w:beforeAutospacing="1" w:after="100" w:afterAutospacing="1"/>
        <w:ind w:left="720"/>
        <w:rPr>
          <w:b/>
        </w:rPr>
      </w:pPr>
      <w:r w:rsidRPr="005C3EA2">
        <w:t>These information collection activities involve no exception to the Certificate for Paperwork Reduction Act Submissions.</w:t>
      </w:r>
    </w:p>
    <w:p w14:paraId="03E5DC69" w14:textId="77777777" w:rsidR="00C91221" w:rsidRPr="007804D0" w:rsidRDefault="00C91221" w:rsidP="00C91221">
      <w:pPr>
        <w:spacing w:before="100" w:beforeAutospacing="1" w:after="100" w:afterAutospacing="1"/>
        <w:rPr>
          <w:b/>
        </w:rPr>
      </w:pPr>
    </w:p>
    <w:p w14:paraId="6D2A1837" w14:textId="242F7864" w:rsidR="00C21E04" w:rsidRPr="007804D0" w:rsidRDefault="00C21E04" w:rsidP="007804D0">
      <w:pPr>
        <w:pStyle w:val="Heading8"/>
        <w:rPr>
          <w:rFonts w:ascii="Times New Roman" w:hAnsi="Times New Roman"/>
          <w:b/>
        </w:rPr>
      </w:pPr>
      <w:r w:rsidRPr="007804D0">
        <w:rPr>
          <w:rFonts w:ascii="Times New Roman" w:hAnsi="Times New Roman"/>
          <w:b/>
        </w:rPr>
        <w:t>References</w:t>
      </w:r>
    </w:p>
    <w:p w14:paraId="02EFE148" w14:textId="77777777" w:rsidR="00C21E04" w:rsidRPr="005C3EA2" w:rsidRDefault="00C21E04" w:rsidP="00C21E04">
      <w:pPr>
        <w:ind w:left="720" w:hanging="720"/>
      </w:pPr>
    </w:p>
    <w:p w14:paraId="47A23ED4" w14:textId="77777777" w:rsidR="00C21E04" w:rsidRPr="005C3EA2" w:rsidRDefault="00C21E04" w:rsidP="00C21E04">
      <w:pPr>
        <w:spacing w:line="480" w:lineRule="auto"/>
        <w:ind w:left="720" w:hanging="720"/>
      </w:pPr>
      <w:proofErr w:type="gramStart"/>
      <w:r w:rsidRPr="005C3EA2">
        <w:t>CASRO.</w:t>
      </w:r>
      <w:proofErr w:type="gramEnd"/>
      <w:r w:rsidRPr="005C3EA2">
        <w:t xml:space="preserve">  (2013) </w:t>
      </w:r>
      <w:r w:rsidRPr="005C3EA2">
        <w:rPr>
          <w:i/>
        </w:rPr>
        <w:t>CASRO Code of Standards and Ethics</w:t>
      </w:r>
      <w:r w:rsidRPr="005C3EA2">
        <w:t xml:space="preserve">, Available at: </w:t>
      </w:r>
      <w:hyperlink r:id="rId21" w:history="1">
        <w:r w:rsidRPr="005C3EA2">
          <w:rPr>
            <w:rStyle w:val="Hyperlink3"/>
            <w:u w:val="single"/>
          </w:rPr>
          <w:t>http://www.casro.org/?page=TheCASROCode</w:t>
        </w:r>
      </w:hyperlink>
      <w:r w:rsidRPr="005C3EA2">
        <w:t xml:space="preserve"> Accessed on: 06/07/2013</w:t>
      </w:r>
    </w:p>
    <w:p w14:paraId="36512349" w14:textId="77777777" w:rsidR="00C21E04" w:rsidRPr="005C3EA2" w:rsidRDefault="00C21E04" w:rsidP="00C21E04">
      <w:pPr>
        <w:spacing w:line="480" w:lineRule="auto"/>
        <w:ind w:left="720" w:hanging="720"/>
      </w:pPr>
      <w:proofErr w:type="gramStart"/>
      <w:r w:rsidRPr="005C3EA2">
        <w:t>Centers for Disease Control and Prevention.</w:t>
      </w:r>
      <w:proofErr w:type="gramEnd"/>
      <w:r w:rsidRPr="005C3EA2">
        <w:t xml:space="preserve"> </w:t>
      </w:r>
      <w:proofErr w:type="gramStart"/>
      <w:r w:rsidRPr="005C3EA2">
        <w:t>(2011) Quitting smoking among adults—United States, 2001–2010.</w:t>
      </w:r>
      <w:proofErr w:type="gramEnd"/>
      <w:r w:rsidRPr="005C3EA2">
        <w:t xml:space="preserve"> </w:t>
      </w:r>
      <w:r w:rsidRPr="005C3EA2">
        <w:rPr>
          <w:i/>
        </w:rPr>
        <w:t>Morbidity and Mortality Weekly Report, 60</w:t>
      </w:r>
      <w:r w:rsidRPr="005C3EA2">
        <w:t>(44), 1513–19.</w:t>
      </w:r>
    </w:p>
    <w:p w14:paraId="61C370F3" w14:textId="77777777" w:rsidR="00C21E04" w:rsidRPr="005C3EA2" w:rsidRDefault="00C21E04" w:rsidP="00C21E04">
      <w:pPr>
        <w:spacing w:line="480" w:lineRule="auto"/>
        <w:ind w:left="720" w:hanging="720"/>
      </w:pPr>
      <w:proofErr w:type="spellStart"/>
      <w:proofErr w:type="gramStart"/>
      <w:r w:rsidRPr="005C3EA2">
        <w:t>Clattenburg</w:t>
      </w:r>
      <w:proofErr w:type="spellEnd"/>
      <w:r w:rsidRPr="005C3EA2">
        <w:t>, E.J., Elf, J.L., &amp; Apelberg, B.J. (2012).</w:t>
      </w:r>
      <w:proofErr w:type="gramEnd"/>
      <w:r w:rsidRPr="005C3EA2">
        <w:t xml:space="preserve"> Unplanned cigarette purchases and tobacco point of sale advertising: A potential barrier to smoking cessation. </w:t>
      </w:r>
      <w:r w:rsidRPr="005C3EA2">
        <w:rPr>
          <w:i/>
        </w:rPr>
        <w:t>Tobacco Control</w:t>
      </w:r>
      <w:r w:rsidRPr="005C3EA2">
        <w:t>, 22(6), 376-381.</w:t>
      </w:r>
    </w:p>
    <w:p w14:paraId="21D0F46B" w14:textId="77777777" w:rsidR="00C21E04" w:rsidRPr="005C3EA2" w:rsidRDefault="00C21E04" w:rsidP="00C21E04">
      <w:pPr>
        <w:spacing w:line="480" w:lineRule="auto"/>
        <w:ind w:left="720" w:hanging="720"/>
      </w:pPr>
      <w:proofErr w:type="spellStart"/>
      <w:r w:rsidRPr="005C3EA2">
        <w:t>Groth</w:t>
      </w:r>
      <w:proofErr w:type="spellEnd"/>
      <w:r w:rsidRPr="005C3EA2">
        <w:t>, S.W. (2010). Honorarium or coercion: Use of incentives for participants in clinical research</w:t>
      </w:r>
      <w:r w:rsidRPr="005C3EA2">
        <w:rPr>
          <w:iCs/>
        </w:rPr>
        <w:t>.</w:t>
      </w:r>
      <w:r w:rsidRPr="005C3EA2">
        <w:rPr>
          <w:i/>
          <w:iCs/>
        </w:rPr>
        <w:t xml:space="preserve"> Journal of the New York State Nurses Association, 41, </w:t>
      </w:r>
      <w:r w:rsidRPr="005C3EA2">
        <w:rPr>
          <w:iCs/>
        </w:rPr>
        <w:t>11-13</w:t>
      </w:r>
      <w:r w:rsidRPr="005C3EA2">
        <w:rPr>
          <w:i/>
          <w:iCs/>
        </w:rPr>
        <w:t>.</w:t>
      </w:r>
    </w:p>
    <w:p w14:paraId="683D740D" w14:textId="77777777" w:rsidR="00C21E04" w:rsidRPr="005C3EA2" w:rsidRDefault="00C21E04" w:rsidP="00C21E04">
      <w:pPr>
        <w:spacing w:line="480" w:lineRule="auto"/>
        <w:ind w:left="720" w:hanging="720"/>
      </w:pPr>
      <w:proofErr w:type="gramStart"/>
      <w:r w:rsidRPr="005C3EA2">
        <w:t xml:space="preserve">Halpern, S.D., </w:t>
      </w:r>
      <w:proofErr w:type="spellStart"/>
      <w:r w:rsidRPr="005C3EA2">
        <w:t>Karlawish</w:t>
      </w:r>
      <w:proofErr w:type="spellEnd"/>
      <w:r w:rsidRPr="005C3EA2">
        <w:t xml:space="preserve">, J.H., </w:t>
      </w:r>
      <w:proofErr w:type="spellStart"/>
      <w:r w:rsidRPr="005C3EA2">
        <w:t>Casarett</w:t>
      </w:r>
      <w:proofErr w:type="spellEnd"/>
      <w:r w:rsidRPr="005C3EA2">
        <w:t>, D., Berlin, J.A., &amp; Asch, D.A. (2004).</w:t>
      </w:r>
      <w:proofErr w:type="gramEnd"/>
      <w:r w:rsidRPr="005C3EA2">
        <w:t xml:space="preserve"> Empirical assessment of whether moderate payments are undue or unjust inducements for participation in clinical trials. </w:t>
      </w:r>
      <w:r w:rsidRPr="005C3EA2">
        <w:rPr>
          <w:i/>
          <w:iCs/>
        </w:rPr>
        <w:t>Archives of Internal Medicine, 164</w:t>
      </w:r>
      <w:r w:rsidRPr="005C3EA2">
        <w:t>(7), 801-803.</w:t>
      </w:r>
    </w:p>
    <w:p w14:paraId="189A05FE" w14:textId="77777777" w:rsidR="00C21E04" w:rsidRPr="005C3EA2" w:rsidRDefault="00C21E04" w:rsidP="00C21E04">
      <w:pPr>
        <w:spacing w:line="480" w:lineRule="auto"/>
        <w:ind w:left="720" w:hanging="720"/>
      </w:pPr>
      <w:proofErr w:type="gramStart"/>
      <w:r w:rsidRPr="005C3EA2">
        <w:t xml:space="preserve">Morgan, D.L. and A.N. </w:t>
      </w:r>
      <w:proofErr w:type="spellStart"/>
      <w:r w:rsidRPr="005C3EA2">
        <w:t>Scannell</w:t>
      </w:r>
      <w:proofErr w:type="spellEnd"/>
      <w:r w:rsidRPr="005C3EA2">
        <w:t>.</w:t>
      </w:r>
      <w:proofErr w:type="gramEnd"/>
      <w:r w:rsidRPr="005C3EA2">
        <w:t xml:space="preserve"> </w:t>
      </w:r>
      <w:proofErr w:type="gramStart"/>
      <w:r w:rsidRPr="005C3EA2">
        <w:t>(1998)  Planning Focus Groups.</w:t>
      </w:r>
      <w:proofErr w:type="gramEnd"/>
      <w:r w:rsidRPr="005C3EA2">
        <w:t xml:space="preserve"> Thousand Oaks, CA: Sage.</w:t>
      </w:r>
    </w:p>
    <w:p w14:paraId="67E4B0FF" w14:textId="77777777" w:rsidR="00C21E04" w:rsidRPr="005C3EA2" w:rsidRDefault="00C21E04" w:rsidP="00C21E04">
      <w:pPr>
        <w:spacing w:line="480" w:lineRule="auto"/>
        <w:ind w:left="720" w:hanging="720"/>
      </w:pPr>
      <w:proofErr w:type="gramStart"/>
      <w:r w:rsidRPr="005C3EA2">
        <w:t>National Association of Convenience Stores (NACS).</w:t>
      </w:r>
      <w:proofErr w:type="gramEnd"/>
      <w:r w:rsidRPr="005C3EA2">
        <w:t xml:space="preserve"> </w:t>
      </w:r>
      <w:proofErr w:type="gramStart"/>
      <w:r w:rsidRPr="005C3EA2">
        <w:t>(2011). State of the Industry Report; 2011.</w:t>
      </w:r>
      <w:proofErr w:type="gramEnd"/>
      <w:r w:rsidRPr="005C3EA2">
        <w:t xml:space="preserve"> Retrieved from: http://www.nacsonline.com/News/Press_Releases/2012/Pages/PR062512.aspx#.VBsMNFeZjJp</w:t>
      </w:r>
    </w:p>
    <w:p w14:paraId="4B670AAA" w14:textId="77777777" w:rsidR="00C21E04" w:rsidRPr="005C3EA2" w:rsidRDefault="00C21E04" w:rsidP="00C21E04">
      <w:pPr>
        <w:spacing w:line="480" w:lineRule="auto"/>
        <w:ind w:left="720" w:hanging="720"/>
        <w:rPr>
          <w:color w:val="333300"/>
          <w:u w:color="333300"/>
        </w:rPr>
      </w:pPr>
      <w:r w:rsidRPr="005C3EA2">
        <w:t xml:space="preserve">Russell, M.L., </w:t>
      </w:r>
      <w:proofErr w:type="spellStart"/>
      <w:r w:rsidRPr="005C3EA2">
        <w:t>Moralejo</w:t>
      </w:r>
      <w:proofErr w:type="spellEnd"/>
      <w:r w:rsidRPr="005C3EA2">
        <w:t xml:space="preserve">, D.G., Burgess, E.D. (2000).  </w:t>
      </w:r>
      <w:proofErr w:type="gramStart"/>
      <w:r w:rsidRPr="005C3EA2">
        <w:rPr>
          <w:iCs/>
        </w:rPr>
        <w:t>Paying research subjects: participants’ perspectives.</w:t>
      </w:r>
      <w:proofErr w:type="gramEnd"/>
      <w:r w:rsidRPr="005C3EA2">
        <w:rPr>
          <w:i/>
          <w:iCs/>
          <w:color w:val="333300"/>
          <w:u w:color="333300"/>
        </w:rPr>
        <w:t xml:space="preserve"> Journal of Medical Ethics</w:t>
      </w:r>
      <w:r w:rsidRPr="005C3EA2">
        <w:rPr>
          <w:color w:val="333300"/>
          <w:u w:color="333300"/>
        </w:rPr>
        <w:t>;</w:t>
      </w:r>
      <w:r w:rsidRPr="005C3EA2">
        <w:rPr>
          <w:i/>
          <w:color w:val="333300"/>
          <w:u w:color="333300"/>
        </w:rPr>
        <w:t xml:space="preserve"> </w:t>
      </w:r>
      <w:r w:rsidRPr="005C3EA2">
        <w:rPr>
          <w:bCs/>
          <w:i/>
          <w:color w:val="333300"/>
          <w:u w:color="333300"/>
        </w:rPr>
        <w:t>26</w:t>
      </w:r>
      <w:r w:rsidRPr="005C3EA2">
        <w:rPr>
          <w:color w:val="333300"/>
          <w:u w:color="333300"/>
        </w:rPr>
        <w:t>, 126-130.</w:t>
      </w:r>
    </w:p>
    <w:p w14:paraId="3DEC1C57" w14:textId="6615FEAE" w:rsidR="006550EE" w:rsidRPr="005C3EA2" w:rsidRDefault="00991249" w:rsidP="00991249">
      <w:pPr>
        <w:spacing w:before="100" w:beforeAutospacing="1" w:after="100" w:afterAutospacing="1" w:line="480" w:lineRule="auto"/>
        <w:ind w:left="720" w:hanging="720"/>
      </w:pPr>
      <w:proofErr w:type="gramStart"/>
      <w:r w:rsidRPr="005C3EA2">
        <w:lastRenderedPageBreak/>
        <w:t>U.S. Department of Health and Human Services (USDHHS).</w:t>
      </w:r>
      <w:proofErr w:type="gramEnd"/>
      <w:r w:rsidRPr="005C3EA2">
        <w:t xml:space="preserve"> (2014). </w:t>
      </w:r>
      <w:proofErr w:type="gramStart"/>
      <w:r w:rsidRPr="005C3EA2">
        <w:t>The</w:t>
      </w:r>
      <w:proofErr w:type="gramEnd"/>
      <w:r w:rsidRPr="005C3EA2">
        <w:t xml:space="preserve"> health consequences of smoking—50 years of progress. </w:t>
      </w:r>
      <w:proofErr w:type="gramStart"/>
      <w:r w:rsidRPr="005C3EA2">
        <w:t>A report of the Surgeon General.</w:t>
      </w:r>
      <w:proofErr w:type="gramEnd"/>
      <w:r w:rsidRPr="005C3EA2">
        <w:t xml:space="preserve"> Atlanta, GA: U.S. Department of Health and Human Services, Centers for Disease Control and Prevention, National Center for Chronic Disease Prevention and Health Promotion, Office on Smoking and Health.</w:t>
      </w:r>
    </w:p>
    <w:sectPr w:rsidR="006550EE" w:rsidRPr="005C3EA2" w:rsidSect="0057779F">
      <w:footerReference w:type="even" r:id="rId22"/>
      <w:footerReference w:type="default" r:id="rId23"/>
      <w:headerReference w:type="first" r:id="rId24"/>
      <w:footerReference w:type="first" r:id="rId25"/>
      <w:pgSz w:w="12240" w:h="15840" w:code="1"/>
      <w:pgMar w:top="1080" w:right="1440" w:bottom="990" w:left="1440" w:header="720" w:footer="36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164495" w15:done="0"/>
  <w15:commentEx w15:paraId="5E848154" w15:done="0"/>
  <w15:commentEx w15:paraId="364B291F" w15:done="0"/>
  <w15:commentEx w15:paraId="4D48B792" w15:done="0"/>
  <w15:commentEx w15:paraId="678F2769" w15:done="0"/>
  <w15:commentEx w15:paraId="2173A0B2" w15:done="0"/>
  <w15:commentEx w15:paraId="156664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52709" w14:textId="77777777" w:rsidR="00A40AE4" w:rsidRDefault="00A40AE4">
      <w:r>
        <w:separator/>
      </w:r>
    </w:p>
  </w:endnote>
  <w:endnote w:type="continuationSeparator" w:id="0">
    <w:p w14:paraId="0E1B5664" w14:textId="77777777" w:rsidR="00A40AE4" w:rsidRDefault="00A40AE4">
      <w:r>
        <w:continuationSeparator/>
      </w:r>
    </w:p>
  </w:endnote>
  <w:endnote w:type="continuationNotice" w:id="1">
    <w:p w14:paraId="7E818E7A" w14:textId="77777777" w:rsidR="00A40AE4" w:rsidRDefault="00A4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A8388" w14:textId="77777777" w:rsidR="007804D0" w:rsidRDefault="007804D0"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4C1E9" w14:textId="77777777" w:rsidR="007804D0" w:rsidRDefault="007804D0">
    <w:pPr>
      <w:pStyle w:val="Footer"/>
    </w:pPr>
  </w:p>
  <w:p w14:paraId="771FE8C0" w14:textId="77777777" w:rsidR="007804D0" w:rsidRDefault="007804D0" w:rsidP="004A3E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A9DB4" w14:textId="77777777" w:rsidR="007804D0" w:rsidRPr="0019374C" w:rsidRDefault="007804D0" w:rsidP="00FB6B9A">
    <w:pPr>
      <w:pStyle w:val="Footer"/>
      <w:framePr w:wrap="around" w:vAnchor="text" w:hAnchor="margin" w:xAlign="center" w:y="1"/>
      <w:jc w:val="center"/>
      <w:rPr>
        <w:sz w:val="18"/>
      </w:rPr>
    </w:pPr>
    <w:r w:rsidRPr="0019374C">
      <w:rPr>
        <w:sz w:val="18"/>
      </w:rPr>
      <w:t xml:space="preserve">Page </w:t>
    </w:r>
    <w:r w:rsidRPr="0019374C">
      <w:rPr>
        <w:b/>
        <w:sz w:val="18"/>
      </w:rPr>
      <w:fldChar w:fldCharType="begin"/>
    </w:r>
    <w:r w:rsidRPr="0019374C">
      <w:rPr>
        <w:b/>
        <w:sz w:val="18"/>
      </w:rPr>
      <w:instrText xml:space="preserve"> PAGE  \* Arabic  \* MERGEFORMAT </w:instrText>
    </w:r>
    <w:r w:rsidRPr="0019374C">
      <w:rPr>
        <w:b/>
        <w:sz w:val="18"/>
      </w:rPr>
      <w:fldChar w:fldCharType="separate"/>
    </w:r>
    <w:r w:rsidR="00062039">
      <w:rPr>
        <w:b/>
        <w:noProof/>
        <w:sz w:val="18"/>
      </w:rPr>
      <w:t>16</w:t>
    </w:r>
    <w:r w:rsidRPr="0019374C">
      <w:rPr>
        <w:b/>
        <w:sz w:val="18"/>
      </w:rPr>
      <w:fldChar w:fldCharType="end"/>
    </w:r>
    <w:r w:rsidRPr="0019374C">
      <w:rPr>
        <w:sz w:val="18"/>
      </w:rPr>
      <w:t xml:space="preserve"> of </w:t>
    </w:r>
    <w:r w:rsidRPr="0019374C">
      <w:rPr>
        <w:b/>
        <w:sz w:val="18"/>
      </w:rPr>
      <w:fldChar w:fldCharType="begin"/>
    </w:r>
    <w:r w:rsidRPr="0019374C">
      <w:rPr>
        <w:b/>
        <w:sz w:val="18"/>
      </w:rPr>
      <w:instrText xml:space="preserve"> NUMPAGES  \* Arabic  \* MERGEFORMAT </w:instrText>
    </w:r>
    <w:r w:rsidRPr="0019374C">
      <w:rPr>
        <w:b/>
        <w:sz w:val="18"/>
      </w:rPr>
      <w:fldChar w:fldCharType="separate"/>
    </w:r>
    <w:r w:rsidR="00062039">
      <w:rPr>
        <w:b/>
        <w:noProof/>
        <w:sz w:val="18"/>
      </w:rPr>
      <w:t>18</w:t>
    </w:r>
    <w:r w:rsidRPr="0019374C">
      <w:rPr>
        <w:b/>
        <w:sz w:val="18"/>
      </w:rPr>
      <w:fldChar w:fldCharType="end"/>
    </w:r>
  </w:p>
  <w:p w14:paraId="7B16C68F" w14:textId="77777777" w:rsidR="007804D0" w:rsidRDefault="007804D0">
    <w:pPr>
      <w:pStyle w:val="Footer"/>
    </w:pPr>
  </w:p>
  <w:p w14:paraId="33CC4D9E" w14:textId="77777777" w:rsidR="007804D0" w:rsidRDefault="007804D0" w:rsidP="004A3E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0D8A" w14:textId="7A896AD5" w:rsidR="007804D0" w:rsidRPr="0019374C" w:rsidRDefault="007804D0" w:rsidP="0019374C">
    <w:pPr>
      <w:pStyle w:val="Footer"/>
      <w:jc w:val="center"/>
      <w:rPr>
        <w:sz w:val="18"/>
      </w:rPr>
    </w:pPr>
    <w:r w:rsidRPr="0019374C">
      <w:rPr>
        <w:sz w:val="18"/>
      </w:rPr>
      <w:t xml:space="preserve">Page </w:t>
    </w:r>
    <w:r w:rsidRPr="0019374C">
      <w:rPr>
        <w:b/>
        <w:sz w:val="18"/>
      </w:rPr>
      <w:fldChar w:fldCharType="begin"/>
    </w:r>
    <w:r w:rsidRPr="0019374C">
      <w:rPr>
        <w:b/>
        <w:sz w:val="18"/>
      </w:rPr>
      <w:instrText xml:space="preserve"> PAGE  \* Arabic  \* MERGEFORMAT </w:instrText>
    </w:r>
    <w:r w:rsidRPr="0019374C">
      <w:rPr>
        <w:b/>
        <w:sz w:val="18"/>
      </w:rPr>
      <w:fldChar w:fldCharType="separate"/>
    </w:r>
    <w:r w:rsidR="009D07A5">
      <w:rPr>
        <w:b/>
        <w:noProof/>
        <w:sz w:val="18"/>
      </w:rPr>
      <w:t>1</w:t>
    </w:r>
    <w:r w:rsidRPr="0019374C">
      <w:rPr>
        <w:b/>
        <w:sz w:val="18"/>
      </w:rPr>
      <w:fldChar w:fldCharType="end"/>
    </w:r>
    <w:r w:rsidRPr="0019374C">
      <w:rPr>
        <w:sz w:val="18"/>
      </w:rPr>
      <w:t xml:space="preserve"> of </w:t>
    </w:r>
    <w:r w:rsidRPr="0019374C">
      <w:rPr>
        <w:b/>
        <w:sz w:val="18"/>
      </w:rPr>
      <w:fldChar w:fldCharType="begin"/>
    </w:r>
    <w:r w:rsidRPr="0019374C">
      <w:rPr>
        <w:b/>
        <w:sz w:val="18"/>
      </w:rPr>
      <w:instrText xml:space="preserve"> NUMPAGES  \* Arabic  \* MERGEFORMAT </w:instrText>
    </w:r>
    <w:r w:rsidRPr="0019374C">
      <w:rPr>
        <w:b/>
        <w:sz w:val="18"/>
      </w:rPr>
      <w:fldChar w:fldCharType="separate"/>
    </w:r>
    <w:r w:rsidR="009D07A5">
      <w:rPr>
        <w:b/>
        <w:noProof/>
        <w:sz w:val="18"/>
      </w:rPr>
      <w:t>18</w:t>
    </w:r>
    <w:r w:rsidRPr="0019374C">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D4B3B" w14:textId="77777777" w:rsidR="00A40AE4" w:rsidRDefault="00A40AE4">
      <w:r>
        <w:separator/>
      </w:r>
    </w:p>
  </w:footnote>
  <w:footnote w:type="continuationSeparator" w:id="0">
    <w:p w14:paraId="488B306A" w14:textId="77777777" w:rsidR="00A40AE4" w:rsidRDefault="00A40AE4">
      <w:r>
        <w:continuationSeparator/>
      </w:r>
    </w:p>
  </w:footnote>
  <w:footnote w:type="continuationNotice" w:id="1">
    <w:p w14:paraId="415EB62B" w14:textId="77777777" w:rsidR="00A40AE4" w:rsidRDefault="00A40A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92A0B" w14:textId="43C9852E" w:rsidR="007804D0" w:rsidRPr="0019374C" w:rsidRDefault="007804D0" w:rsidP="006B3155">
    <w:pPr>
      <w:jc w:val="center"/>
      <w:rPr>
        <w:b/>
      </w:rPr>
    </w:pPr>
    <w:r>
      <w:rPr>
        <w:b/>
      </w:rPr>
      <w:t xml:space="preserve">Point-of-Sale </w:t>
    </w:r>
    <w:r w:rsidRPr="0019374C">
      <w:rPr>
        <w:b/>
      </w:rPr>
      <w:t xml:space="preserve">Campaign: </w:t>
    </w:r>
    <w:r>
      <w:rPr>
        <w:b/>
      </w:rPr>
      <w:t>O</w:t>
    </w:r>
    <w:r w:rsidRPr="0019374C">
      <w:rPr>
        <w:b/>
      </w:rPr>
      <w:t xml:space="preserve">nline Quantitative Study of Reactions to Rough-Cut Advertising Designed to </w:t>
    </w:r>
    <w:r>
      <w:rPr>
        <w:b/>
      </w:rPr>
      <w:t>Encourage Adult Smokers to Quit Smoking</w:t>
    </w:r>
  </w:p>
  <w:p w14:paraId="45D070EE" w14:textId="77777777" w:rsidR="007804D0" w:rsidRDefault="00780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7FE"/>
    <w:multiLevelType w:val="hybridMultilevel"/>
    <w:tmpl w:val="8DFA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575F6"/>
    <w:multiLevelType w:val="hybridMultilevel"/>
    <w:tmpl w:val="A2A2B21E"/>
    <w:lvl w:ilvl="0" w:tplc="CDEC93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711419F"/>
    <w:multiLevelType w:val="hybridMultilevel"/>
    <w:tmpl w:val="9B6E35BE"/>
    <w:lvl w:ilvl="0" w:tplc="390CEB0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4">
    <w:nsid w:val="1F803716"/>
    <w:multiLevelType w:val="hybridMultilevel"/>
    <w:tmpl w:val="F64C7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2E4934"/>
    <w:multiLevelType w:val="hybridMultilevel"/>
    <w:tmpl w:val="405E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60F8A"/>
    <w:multiLevelType w:val="hybridMultilevel"/>
    <w:tmpl w:val="BA0CD136"/>
    <w:lvl w:ilvl="0" w:tplc="67963A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A649C1"/>
    <w:multiLevelType w:val="hybridMultilevel"/>
    <w:tmpl w:val="0394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129C2"/>
    <w:multiLevelType w:val="hybridMultilevel"/>
    <w:tmpl w:val="6EC02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CB552C"/>
    <w:multiLevelType w:val="hybridMultilevel"/>
    <w:tmpl w:val="8910B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4B1878"/>
    <w:multiLevelType w:val="hybridMultilevel"/>
    <w:tmpl w:val="DC32EB74"/>
    <w:lvl w:ilvl="0" w:tplc="D7D0C9E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01675F"/>
    <w:multiLevelType w:val="hybridMultilevel"/>
    <w:tmpl w:val="DCD0B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0E29"/>
    <w:multiLevelType w:val="hybridMultilevel"/>
    <w:tmpl w:val="8F123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B677E3"/>
    <w:multiLevelType w:val="hybridMultilevel"/>
    <w:tmpl w:val="477AA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1F1059D"/>
    <w:multiLevelType w:val="hybridMultilevel"/>
    <w:tmpl w:val="17D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12"/>
  </w:num>
  <w:num w:numId="5">
    <w:abstractNumId w:val="2"/>
  </w:num>
  <w:num w:numId="6">
    <w:abstractNumId w:val="4"/>
  </w:num>
  <w:num w:numId="7">
    <w:abstractNumId w:val="0"/>
  </w:num>
  <w:num w:numId="8">
    <w:abstractNumId w:val="17"/>
  </w:num>
  <w:num w:numId="9">
    <w:abstractNumId w:val="15"/>
  </w:num>
  <w:num w:numId="10">
    <w:abstractNumId w:val="7"/>
  </w:num>
  <w:num w:numId="11">
    <w:abstractNumId w:val="5"/>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6"/>
  </w:num>
  <w:num w:numId="17">
    <w:abstractNumId w:val="10"/>
  </w:num>
  <w:num w:numId="18">
    <w:abstractNumId w:val="9"/>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17FD"/>
    <w:rsid w:val="0000180C"/>
    <w:rsid w:val="00003B0A"/>
    <w:rsid w:val="00010A89"/>
    <w:rsid w:val="000117A6"/>
    <w:rsid w:val="0001643D"/>
    <w:rsid w:val="00035F0A"/>
    <w:rsid w:val="00040CF9"/>
    <w:rsid w:val="000467E8"/>
    <w:rsid w:val="00047384"/>
    <w:rsid w:val="00052041"/>
    <w:rsid w:val="00053382"/>
    <w:rsid w:val="0005577D"/>
    <w:rsid w:val="00060222"/>
    <w:rsid w:val="00062039"/>
    <w:rsid w:val="0006570F"/>
    <w:rsid w:val="00073FA7"/>
    <w:rsid w:val="00083E53"/>
    <w:rsid w:val="000921F8"/>
    <w:rsid w:val="000A56CF"/>
    <w:rsid w:val="000A7906"/>
    <w:rsid w:val="000B0ED3"/>
    <w:rsid w:val="000B230C"/>
    <w:rsid w:val="000B4D98"/>
    <w:rsid w:val="000C1D29"/>
    <w:rsid w:val="000C346A"/>
    <w:rsid w:val="000C4A6F"/>
    <w:rsid w:val="000D48FD"/>
    <w:rsid w:val="000D74C8"/>
    <w:rsid w:val="000E1C64"/>
    <w:rsid w:val="000E2CEC"/>
    <w:rsid w:val="000E7DD9"/>
    <w:rsid w:val="000F147B"/>
    <w:rsid w:val="000F3B94"/>
    <w:rsid w:val="000F3FC9"/>
    <w:rsid w:val="000F4046"/>
    <w:rsid w:val="00100739"/>
    <w:rsid w:val="00107885"/>
    <w:rsid w:val="00111E36"/>
    <w:rsid w:val="00114165"/>
    <w:rsid w:val="00114FC4"/>
    <w:rsid w:val="001153FB"/>
    <w:rsid w:val="00122160"/>
    <w:rsid w:val="0012329C"/>
    <w:rsid w:val="0012481E"/>
    <w:rsid w:val="00125488"/>
    <w:rsid w:val="00130D77"/>
    <w:rsid w:val="00134FA7"/>
    <w:rsid w:val="00137663"/>
    <w:rsid w:val="00137950"/>
    <w:rsid w:val="00152351"/>
    <w:rsid w:val="00152F29"/>
    <w:rsid w:val="00155FD2"/>
    <w:rsid w:val="0017112E"/>
    <w:rsid w:val="00172582"/>
    <w:rsid w:val="00185270"/>
    <w:rsid w:val="00190DB0"/>
    <w:rsid w:val="0019374C"/>
    <w:rsid w:val="001A3B5A"/>
    <w:rsid w:val="001A4207"/>
    <w:rsid w:val="001B0661"/>
    <w:rsid w:val="001B2995"/>
    <w:rsid w:val="001B7CE9"/>
    <w:rsid w:val="001C0748"/>
    <w:rsid w:val="001C222D"/>
    <w:rsid w:val="001C2E96"/>
    <w:rsid w:val="001C44B7"/>
    <w:rsid w:val="001C68FD"/>
    <w:rsid w:val="001D00F6"/>
    <w:rsid w:val="001D0AE2"/>
    <w:rsid w:val="001D108B"/>
    <w:rsid w:val="001D1839"/>
    <w:rsid w:val="001D3941"/>
    <w:rsid w:val="001D495A"/>
    <w:rsid w:val="001E1AE0"/>
    <w:rsid w:val="001E6155"/>
    <w:rsid w:val="001F1BEB"/>
    <w:rsid w:val="001F3DB2"/>
    <w:rsid w:val="001F547D"/>
    <w:rsid w:val="00207A23"/>
    <w:rsid w:val="00212995"/>
    <w:rsid w:val="00215923"/>
    <w:rsid w:val="00215C76"/>
    <w:rsid w:val="002259EF"/>
    <w:rsid w:val="00235933"/>
    <w:rsid w:val="00240958"/>
    <w:rsid w:val="002418A6"/>
    <w:rsid w:val="00242ED1"/>
    <w:rsid w:val="00243382"/>
    <w:rsid w:val="00253F77"/>
    <w:rsid w:val="00254069"/>
    <w:rsid w:val="0026099E"/>
    <w:rsid w:val="00263D73"/>
    <w:rsid w:val="00264EB2"/>
    <w:rsid w:val="00267F33"/>
    <w:rsid w:val="00271A53"/>
    <w:rsid w:val="002734E5"/>
    <w:rsid w:val="002746DB"/>
    <w:rsid w:val="00280CAF"/>
    <w:rsid w:val="00282F09"/>
    <w:rsid w:val="00285959"/>
    <w:rsid w:val="002906E1"/>
    <w:rsid w:val="002A0703"/>
    <w:rsid w:val="002A0E58"/>
    <w:rsid w:val="002A2B78"/>
    <w:rsid w:val="002A339A"/>
    <w:rsid w:val="002B261E"/>
    <w:rsid w:val="002B78A7"/>
    <w:rsid w:val="002C10A3"/>
    <w:rsid w:val="002C2CAA"/>
    <w:rsid w:val="002C5E4F"/>
    <w:rsid w:val="002D14D8"/>
    <w:rsid w:val="002D29B4"/>
    <w:rsid w:val="002D4799"/>
    <w:rsid w:val="002E0928"/>
    <w:rsid w:val="002E2466"/>
    <w:rsid w:val="002E3FA4"/>
    <w:rsid w:val="002E6C4B"/>
    <w:rsid w:val="002F2E75"/>
    <w:rsid w:val="002F57D7"/>
    <w:rsid w:val="0030309E"/>
    <w:rsid w:val="0030587D"/>
    <w:rsid w:val="003061FE"/>
    <w:rsid w:val="0032277F"/>
    <w:rsid w:val="003230AE"/>
    <w:rsid w:val="0032525E"/>
    <w:rsid w:val="003255A3"/>
    <w:rsid w:val="00326D91"/>
    <w:rsid w:val="0033209F"/>
    <w:rsid w:val="00336208"/>
    <w:rsid w:val="00342F1B"/>
    <w:rsid w:val="00345680"/>
    <w:rsid w:val="00350523"/>
    <w:rsid w:val="00353778"/>
    <w:rsid w:val="00353A81"/>
    <w:rsid w:val="00354083"/>
    <w:rsid w:val="00355949"/>
    <w:rsid w:val="00355CE0"/>
    <w:rsid w:val="00367EA8"/>
    <w:rsid w:val="00371569"/>
    <w:rsid w:val="003740BC"/>
    <w:rsid w:val="003744B4"/>
    <w:rsid w:val="003801A3"/>
    <w:rsid w:val="00382C13"/>
    <w:rsid w:val="00383D90"/>
    <w:rsid w:val="00384290"/>
    <w:rsid w:val="0038782E"/>
    <w:rsid w:val="00387B5B"/>
    <w:rsid w:val="00387FCC"/>
    <w:rsid w:val="003931A6"/>
    <w:rsid w:val="003940AE"/>
    <w:rsid w:val="00396E63"/>
    <w:rsid w:val="003972EB"/>
    <w:rsid w:val="003A0BF6"/>
    <w:rsid w:val="003A12ED"/>
    <w:rsid w:val="003A4606"/>
    <w:rsid w:val="003A4A07"/>
    <w:rsid w:val="003A4D03"/>
    <w:rsid w:val="003A4F7C"/>
    <w:rsid w:val="003B3EF2"/>
    <w:rsid w:val="003B42B3"/>
    <w:rsid w:val="003B59DA"/>
    <w:rsid w:val="003B6384"/>
    <w:rsid w:val="003C2644"/>
    <w:rsid w:val="003C4EBB"/>
    <w:rsid w:val="003C53F3"/>
    <w:rsid w:val="003D1153"/>
    <w:rsid w:val="003D1531"/>
    <w:rsid w:val="003D2ADD"/>
    <w:rsid w:val="003E4EC6"/>
    <w:rsid w:val="003E527E"/>
    <w:rsid w:val="003E553E"/>
    <w:rsid w:val="003E7078"/>
    <w:rsid w:val="003F164E"/>
    <w:rsid w:val="003F3DF5"/>
    <w:rsid w:val="003F47F7"/>
    <w:rsid w:val="003F74A3"/>
    <w:rsid w:val="004046BD"/>
    <w:rsid w:val="00404772"/>
    <w:rsid w:val="00404A9C"/>
    <w:rsid w:val="00410177"/>
    <w:rsid w:val="00410B6A"/>
    <w:rsid w:val="00411137"/>
    <w:rsid w:val="00411D11"/>
    <w:rsid w:val="0041231F"/>
    <w:rsid w:val="00413192"/>
    <w:rsid w:val="004151A3"/>
    <w:rsid w:val="0041532A"/>
    <w:rsid w:val="00415E23"/>
    <w:rsid w:val="00420124"/>
    <w:rsid w:val="0042087C"/>
    <w:rsid w:val="0042364C"/>
    <w:rsid w:val="00424044"/>
    <w:rsid w:val="00424061"/>
    <w:rsid w:val="00426594"/>
    <w:rsid w:val="00426C97"/>
    <w:rsid w:val="0042770B"/>
    <w:rsid w:val="00432A3E"/>
    <w:rsid w:val="00435C82"/>
    <w:rsid w:val="0044134D"/>
    <w:rsid w:val="00442E19"/>
    <w:rsid w:val="00443969"/>
    <w:rsid w:val="00445BBD"/>
    <w:rsid w:val="00447D74"/>
    <w:rsid w:val="00450A74"/>
    <w:rsid w:val="00451AD3"/>
    <w:rsid w:val="00451C5C"/>
    <w:rsid w:val="00453667"/>
    <w:rsid w:val="00453B64"/>
    <w:rsid w:val="00453E92"/>
    <w:rsid w:val="0045480A"/>
    <w:rsid w:val="00455A96"/>
    <w:rsid w:val="004565DF"/>
    <w:rsid w:val="00460273"/>
    <w:rsid w:val="00465350"/>
    <w:rsid w:val="004669FC"/>
    <w:rsid w:val="0047327F"/>
    <w:rsid w:val="004737AF"/>
    <w:rsid w:val="0047600B"/>
    <w:rsid w:val="00482371"/>
    <w:rsid w:val="00483B15"/>
    <w:rsid w:val="00483E38"/>
    <w:rsid w:val="0048435A"/>
    <w:rsid w:val="004846BF"/>
    <w:rsid w:val="00486D19"/>
    <w:rsid w:val="0048724F"/>
    <w:rsid w:val="00493736"/>
    <w:rsid w:val="00493C0A"/>
    <w:rsid w:val="00494372"/>
    <w:rsid w:val="004964C4"/>
    <w:rsid w:val="0049721F"/>
    <w:rsid w:val="004A130A"/>
    <w:rsid w:val="004A3E9D"/>
    <w:rsid w:val="004A4637"/>
    <w:rsid w:val="004A4CC8"/>
    <w:rsid w:val="004A5492"/>
    <w:rsid w:val="004B4E1D"/>
    <w:rsid w:val="004C6643"/>
    <w:rsid w:val="004C6979"/>
    <w:rsid w:val="004D3E7A"/>
    <w:rsid w:val="004E141E"/>
    <w:rsid w:val="004E38E9"/>
    <w:rsid w:val="004E7AB4"/>
    <w:rsid w:val="004F0054"/>
    <w:rsid w:val="004F1714"/>
    <w:rsid w:val="00500830"/>
    <w:rsid w:val="00525366"/>
    <w:rsid w:val="00525EF2"/>
    <w:rsid w:val="00526A7F"/>
    <w:rsid w:val="005276E7"/>
    <w:rsid w:val="0053196E"/>
    <w:rsid w:val="0053196F"/>
    <w:rsid w:val="0053517A"/>
    <w:rsid w:val="0053736D"/>
    <w:rsid w:val="00544138"/>
    <w:rsid w:val="005507C2"/>
    <w:rsid w:val="00554D72"/>
    <w:rsid w:val="00555965"/>
    <w:rsid w:val="00566AAF"/>
    <w:rsid w:val="005674EE"/>
    <w:rsid w:val="00573FB5"/>
    <w:rsid w:val="00576B71"/>
    <w:rsid w:val="0057779F"/>
    <w:rsid w:val="00584583"/>
    <w:rsid w:val="00584F39"/>
    <w:rsid w:val="00595DFA"/>
    <w:rsid w:val="00597454"/>
    <w:rsid w:val="005A1BF6"/>
    <w:rsid w:val="005A294C"/>
    <w:rsid w:val="005A4099"/>
    <w:rsid w:val="005A747C"/>
    <w:rsid w:val="005C38B2"/>
    <w:rsid w:val="005C3EA2"/>
    <w:rsid w:val="005C5029"/>
    <w:rsid w:val="005C55C2"/>
    <w:rsid w:val="005C5FF0"/>
    <w:rsid w:val="005D061D"/>
    <w:rsid w:val="005D4DF5"/>
    <w:rsid w:val="005E5CA2"/>
    <w:rsid w:val="005E75F0"/>
    <w:rsid w:val="005F02C1"/>
    <w:rsid w:val="00611D6B"/>
    <w:rsid w:val="006130DE"/>
    <w:rsid w:val="00621286"/>
    <w:rsid w:val="00621E74"/>
    <w:rsid w:val="0062492E"/>
    <w:rsid w:val="006277F2"/>
    <w:rsid w:val="00631481"/>
    <w:rsid w:val="00631D1F"/>
    <w:rsid w:val="00631F55"/>
    <w:rsid w:val="00633088"/>
    <w:rsid w:val="00633830"/>
    <w:rsid w:val="00636B78"/>
    <w:rsid w:val="00647633"/>
    <w:rsid w:val="0065275B"/>
    <w:rsid w:val="006550EE"/>
    <w:rsid w:val="006614EA"/>
    <w:rsid w:val="00662360"/>
    <w:rsid w:val="00662A36"/>
    <w:rsid w:val="00663601"/>
    <w:rsid w:val="006664EE"/>
    <w:rsid w:val="00673DBE"/>
    <w:rsid w:val="00674976"/>
    <w:rsid w:val="006822E2"/>
    <w:rsid w:val="00683663"/>
    <w:rsid w:val="006863A6"/>
    <w:rsid w:val="00687C2D"/>
    <w:rsid w:val="006A26C6"/>
    <w:rsid w:val="006A49C3"/>
    <w:rsid w:val="006A7D5D"/>
    <w:rsid w:val="006B04D1"/>
    <w:rsid w:val="006B0FDD"/>
    <w:rsid w:val="006B3155"/>
    <w:rsid w:val="006C1A8B"/>
    <w:rsid w:val="006C50CC"/>
    <w:rsid w:val="006D7E83"/>
    <w:rsid w:val="006E0F22"/>
    <w:rsid w:val="006E25D2"/>
    <w:rsid w:val="006F1F1D"/>
    <w:rsid w:val="006F450A"/>
    <w:rsid w:val="006F4D6D"/>
    <w:rsid w:val="006F51B3"/>
    <w:rsid w:val="0070014E"/>
    <w:rsid w:val="007010C0"/>
    <w:rsid w:val="007034FD"/>
    <w:rsid w:val="007036B5"/>
    <w:rsid w:val="00703E24"/>
    <w:rsid w:val="00704910"/>
    <w:rsid w:val="00705086"/>
    <w:rsid w:val="00706056"/>
    <w:rsid w:val="0071386C"/>
    <w:rsid w:val="007169BF"/>
    <w:rsid w:val="00732BE9"/>
    <w:rsid w:val="00740714"/>
    <w:rsid w:val="00741493"/>
    <w:rsid w:val="00741790"/>
    <w:rsid w:val="007420A7"/>
    <w:rsid w:val="00745AA8"/>
    <w:rsid w:val="00746520"/>
    <w:rsid w:val="00751640"/>
    <w:rsid w:val="00754497"/>
    <w:rsid w:val="0076154E"/>
    <w:rsid w:val="0076424D"/>
    <w:rsid w:val="00766C35"/>
    <w:rsid w:val="00766DBA"/>
    <w:rsid w:val="0077109C"/>
    <w:rsid w:val="007713A1"/>
    <w:rsid w:val="007804D0"/>
    <w:rsid w:val="007853DA"/>
    <w:rsid w:val="00785465"/>
    <w:rsid w:val="00787C39"/>
    <w:rsid w:val="007904E4"/>
    <w:rsid w:val="007930F0"/>
    <w:rsid w:val="00795DF3"/>
    <w:rsid w:val="007A0089"/>
    <w:rsid w:val="007A2478"/>
    <w:rsid w:val="007A373C"/>
    <w:rsid w:val="007A7055"/>
    <w:rsid w:val="007B225C"/>
    <w:rsid w:val="007C12E2"/>
    <w:rsid w:val="007C37B9"/>
    <w:rsid w:val="007C7037"/>
    <w:rsid w:val="007C75B1"/>
    <w:rsid w:val="007D3DFC"/>
    <w:rsid w:val="007D73A4"/>
    <w:rsid w:val="007E4683"/>
    <w:rsid w:val="007F14BD"/>
    <w:rsid w:val="007F1B17"/>
    <w:rsid w:val="007F4865"/>
    <w:rsid w:val="007F57C3"/>
    <w:rsid w:val="00800161"/>
    <w:rsid w:val="008004D2"/>
    <w:rsid w:val="008030A4"/>
    <w:rsid w:val="00803F3B"/>
    <w:rsid w:val="0080568F"/>
    <w:rsid w:val="00806302"/>
    <w:rsid w:val="00806F60"/>
    <w:rsid w:val="00807306"/>
    <w:rsid w:val="0080776D"/>
    <w:rsid w:val="00807C9A"/>
    <w:rsid w:val="00810145"/>
    <w:rsid w:val="008108FA"/>
    <w:rsid w:val="00810FF1"/>
    <w:rsid w:val="00812099"/>
    <w:rsid w:val="00813D49"/>
    <w:rsid w:val="00814AC1"/>
    <w:rsid w:val="00821387"/>
    <w:rsid w:val="00822336"/>
    <w:rsid w:val="00823DFA"/>
    <w:rsid w:val="0082696F"/>
    <w:rsid w:val="00833445"/>
    <w:rsid w:val="0084083A"/>
    <w:rsid w:val="008434C7"/>
    <w:rsid w:val="00843752"/>
    <w:rsid w:val="00843A0A"/>
    <w:rsid w:val="00843A10"/>
    <w:rsid w:val="00845089"/>
    <w:rsid w:val="008459C8"/>
    <w:rsid w:val="008500EA"/>
    <w:rsid w:val="008514E1"/>
    <w:rsid w:val="0085316E"/>
    <w:rsid w:val="008642E3"/>
    <w:rsid w:val="008718F1"/>
    <w:rsid w:val="00872414"/>
    <w:rsid w:val="00881057"/>
    <w:rsid w:val="0088206B"/>
    <w:rsid w:val="00885B09"/>
    <w:rsid w:val="008904C2"/>
    <w:rsid w:val="00892400"/>
    <w:rsid w:val="00894EF9"/>
    <w:rsid w:val="00897A6F"/>
    <w:rsid w:val="00897B8C"/>
    <w:rsid w:val="008A01BC"/>
    <w:rsid w:val="008A209D"/>
    <w:rsid w:val="008A25BA"/>
    <w:rsid w:val="008B0E29"/>
    <w:rsid w:val="008B0EFA"/>
    <w:rsid w:val="008B2F52"/>
    <w:rsid w:val="008B30AB"/>
    <w:rsid w:val="008B6167"/>
    <w:rsid w:val="008B700C"/>
    <w:rsid w:val="008C0247"/>
    <w:rsid w:val="008C2285"/>
    <w:rsid w:val="008D00DF"/>
    <w:rsid w:val="008D2519"/>
    <w:rsid w:val="008D5220"/>
    <w:rsid w:val="008E29BA"/>
    <w:rsid w:val="008F6C87"/>
    <w:rsid w:val="00905DEF"/>
    <w:rsid w:val="009061FE"/>
    <w:rsid w:val="0091374F"/>
    <w:rsid w:val="00913B43"/>
    <w:rsid w:val="00921D4B"/>
    <w:rsid w:val="00924C1D"/>
    <w:rsid w:val="00924E6E"/>
    <w:rsid w:val="00930203"/>
    <w:rsid w:val="00930EFE"/>
    <w:rsid w:val="009311D2"/>
    <w:rsid w:val="00931275"/>
    <w:rsid w:val="00932BA0"/>
    <w:rsid w:val="00934028"/>
    <w:rsid w:val="00936AC7"/>
    <w:rsid w:val="00936B72"/>
    <w:rsid w:val="00940C27"/>
    <w:rsid w:val="009513F4"/>
    <w:rsid w:val="00955016"/>
    <w:rsid w:val="00961167"/>
    <w:rsid w:val="009631EA"/>
    <w:rsid w:val="0096400B"/>
    <w:rsid w:val="009648FC"/>
    <w:rsid w:val="00974625"/>
    <w:rsid w:val="009747CC"/>
    <w:rsid w:val="00976DD2"/>
    <w:rsid w:val="009779BC"/>
    <w:rsid w:val="00977A4E"/>
    <w:rsid w:val="0098142A"/>
    <w:rsid w:val="00983DC7"/>
    <w:rsid w:val="00983E03"/>
    <w:rsid w:val="0098484C"/>
    <w:rsid w:val="00987BDF"/>
    <w:rsid w:val="00990B02"/>
    <w:rsid w:val="00991249"/>
    <w:rsid w:val="00994CA3"/>
    <w:rsid w:val="00996557"/>
    <w:rsid w:val="009A1674"/>
    <w:rsid w:val="009B15CE"/>
    <w:rsid w:val="009B2C7B"/>
    <w:rsid w:val="009B7DA1"/>
    <w:rsid w:val="009B7DAC"/>
    <w:rsid w:val="009C03E7"/>
    <w:rsid w:val="009C684F"/>
    <w:rsid w:val="009D074C"/>
    <w:rsid w:val="009D07A5"/>
    <w:rsid w:val="009D20BE"/>
    <w:rsid w:val="009D2AB0"/>
    <w:rsid w:val="009D6F5F"/>
    <w:rsid w:val="009E0FFD"/>
    <w:rsid w:val="009E5922"/>
    <w:rsid w:val="009E7ABE"/>
    <w:rsid w:val="009F2B4F"/>
    <w:rsid w:val="009F66B5"/>
    <w:rsid w:val="009F73A3"/>
    <w:rsid w:val="009F7557"/>
    <w:rsid w:val="00A01357"/>
    <w:rsid w:val="00A03719"/>
    <w:rsid w:val="00A04899"/>
    <w:rsid w:val="00A15D0F"/>
    <w:rsid w:val="00A20A7D"/>
    <w:rsid w:val="00A2269A"/>
    <w:rsid w:val="00A26DF3"/>
    <w:rsid w:val="00A35D42"/>
    <w:rsid w:val="00A40AE4"/>
    <w:rsid w:val="00A447F8"/>
    <w:rsid w:val="00A46CCF"/>
    <w:rsid w:val="00A47C3A"/>
    <w:rsid w:val="00A52FA3"/>
    <w:rsid w:val="00A61B75"/>
    <w:rsid w:val="00A656D6"/>
    <w:rsid w:val="00A702FB"/>
    <w:rsid w:val="00A70426"/>
    <w:rsid w:val="00A81D89"/>
    <w:rsid w:val="00A8252D"/>
    <w:rsid w:val="00A83B43"/>
    <w:rsid w:val="00A84DF9"/>
    <w:rsid w:val="00A91E9A"/>
    <w:rsid w:val="00A93ED9"/>
    <w:rsid w:val="00A94D21"/>
    <w:rsid w:val="00AA1D3B"/>
    <w:rsid w:val="00AA6992"/>
    <w:rsid w:val="00AA6A1E"/>
    <w:rsid w:val="00AA6E63"/>
    <w:rsid w:val="00AA71E7"/>
    <w:rsid w:val="00AA71FD"/>
    <w:rsid w:val="00AB48FC"/>
    <w:rsid w:val="00AB7BA7"/>
    <w:rsid w:val="00AC6A99"/>
    <w:rsid w:val="00AC7DCD"/>
    <w:rsid w:val="00AD1662"/>
    <w:rsid w:val="00AD20A5"/>
    <w:rsid w:val="00AD3CBF"/>
    <w:rsid w:val="00AD49DE"/>
    <w:rsid w:val="00AD5695"/>
    <w:rsid w:val="00AE324F"/>
    <w:rsid w:val="00AE6E8C"/>
    <w:rsid w:val="00AF0B2B"/>
    <w:rsid w:val="00B01E83"/>
    <w:rsid w:val="00B055EF"/>
    <w:rsid w:val="00B11B5E"/>
    <w:rsid w:val="00B13DBD"/>
    <w:rsid w:val="00B23769"/>
    <w:rsid w:val="00B267F0"/>
    <w:rsid w:val="00B27779"/>
    <w:rsid w:val="00B31291"/>
    <w:rsid w:val="00B32893"/>
    <w:rsid w:val="00B329A8"/>
    <w:rsid w:val="00B378D2"/>
    <w:rsid w:val="00B41B0D"/>
    <w:rsid w:val="00B42092"/>
    <w:rsid w:val="00B46F13"/>
    <w:rsid w:val="00B57849"/>
    <w:rsid w:val="00B61C53"/>
    <w:rsid w:val="00B621D8"/>
    <w:rsid w:val="00B6547C"/>
    <w:rsid w:val="00B66695"/>
    <w:rsid w:val="00B6679C"/>
    <w:rsid w:val="00B677F7"/>
    <w:rsid w:val="00B74777"/>
    <w:rsid w:val="00B7549F"/>
    <w:rsid w:val="00B770B4"/>
    <w:rsid w:val="00B824F7"/>
    <w:rsid w:val="00B842E0"/>
    <w:rsid w:val="00B850C8"/>
    <w:rsid w:val="00B85C44"/>
    <w:rsid w:val="00B86190"/>
    <w:rsid w:val="00B8688D"/>
    <w:rsid w:val="00B86DFA"/>
    <w:rsid w:val="00B936D0"/>
    <w:rsid w:val="00B93940"/>
    <w:rsid w:val="00B94005"/>
    <w:rsid w:val="00BA4C1E"/>
    <w:rsid w:val="00BA62FA"/>
    <w:rsid w:val="00BB094D"/>
    <w:rsid w:val="00BB0C07"/>
    <w:rsid w:val="00BB1AEF"/>
    <w:rsid w:val="00BB22B0"/>
    <w:rsid w:val="00BB4F56"/>
    <w:rsid w:val="00BB61DE"/>
    <w:rsid w:val="00BB6BAC"/>
    <w:rsid w:val="00BC3814"/>
    <w:rsid w:val="00BC56D0"/>
    <w:rsid w:val="00BE1984"/>
    <w:rsid w:val="00BE3600"/>
    <w:rsid w:val="00BE447D"/>
    <w:rsid w:val="00BF00F9"/>
    <w:rsid w:val="00BF14AB"/>
    <w:rsid w:val="00BF4DD6"/>
    <w:rsid w:val="00C01F6F"/>
    <w:rsid w:val="00C0214D"/>
    <w:rsid w:val="00C02786"/>
    <w:rsid w:val="00C118CF"/>
    <w:rsid w:val="00C133A6"/>
    <w:rsid w:val="00C149AB"/>
    <w:rsid w:val="00C179E6"/>
    <w:rsid w:val="00C20616"/>
    <w:rsid w:val="00C21E04"/>
    <w:rsid w:val="00C221BB"/>
    <w:rsid w:val="00C23CE3"/>
    <w:rsid w:val="00C255C9"/>
    <w:rsid w:val="00C31A60"/>
    <w:rsid w:val="00C40120"/>
    <w:rsid w:val="00C40694"/>
    <w:rsid w:val="00C465A3"/>
    <w:rsid w:val="00C46A7F"/>
    <w:rsid w:val="00C53A21"/>
    <w:rsid w:val="00C70542"/>
    <w:rsid w:val="00C70E8F"/>
    <w:rsid w:val="00C7133F"/>
    <w:rsid w:val="00C72647"/>
    <w:rsid w:val="00C75CBF"/>
    <w:rsid w:val="00C91221"/>
    <w:rsid w:val="00C91B6C"/>
    <w:rsid w:val="00CA33B4"/>
    <w:rsid w:val="00CA3CB0"/>
    <w:rsid w:val="00CB1149"/>
    <w:rsid w:val="00CB211F"/>
    <w:rsid w:val="00CB60E6"/>
    <w:rsid w:val="00CB66D9"/>
    <w:rsid w:val="00CC1059"/>
    <w:rsid w:val="00CC20F9"/>
    <w:rsid w:val="00CC2894"/>
    <w:rsid w:val="00CC501E"/>
    <w:rsid w:val="00CD0567"/>
    <w:rsid w:val="00CD1FBC"/>
    <w:rsid w:val="00CD42FA"/>
    <w:rsid w:val="00CD4E09"/>
    <w:rsid w:val="00CD67B5"/>
    <w:rsid w:val="00CD6C03"/>
    <w:rsid w:val="00CD77C3"/>
    <w:rsid w:val="00CE112C"/>
    <w:rsid w:val="00CE1919"/>
    <w:rsid w:val="00CE196F"/>
    <w:rsid w:val="00CF658A"/>
    <w:rsid w:val="00D06227"/>
    <w:rsid w:val="00D12B29"/>
    <w:rsid w:val="00D1443E"/>
    <w:rsid w:val="00D150FB"/>
    <w:rsid w:val="00D20DF3"/>
    <w:rsid w:val="00D226DA"/>
    <w:rsid w:val="00D25C45"/>
    <w:rsid w:val="00D33943"/>
    <w:rsid w:val="00D34B8F"/>
    <w:rsid w:val="00D42B1B"/>
    <w:rsid w:val="00D43158"/>
    <w:rsid w:val="00D439B9"/>
    <w:rsid w:val="00D44F0F"/>
    <w:rsid w:val="00D45D3E"/>
    <w:rsid w:val="00D504BC"/>
    <w:rsid w:val="00D55DDE"/>
    <w:rsid w:val="00D56944"/>
    <w:rsid w:val="00D608DA"/>
    <w:rsid w:val="00D62FE1"/>
    <w:rsid w:val="00D6464E"/>
    <w:rsid w:val="00D67578"/>
    <w:rsid w:val="00D730BF"/>
    <w:rsid w:val="00D7344E"/>
    <w:rsid w:val="00D73ADE"/>
    <w:rsid w:val="00D76ACB"/>
    <w:rsid w:val="00D8009C"/>
    <w:rsid w:val="00D80D31"/>
    <w:rsid w:val="00D825FD"/>
    <w:rsid w:val="00D83728"/>
    <w:rsid w:val="00D85569"/>
    <w:rsid w:val="00D86753"/>
    <w:rsid w:val="00D86AD0"/>
    <w:rsid w:val="00D92911"/>
    <w:rsid w:val="00DA202E"/>
    <w:rsid w:val="00DA4596"/>
    <w:rsid w:val="00DA4765"/>
    <w:rsid w:val="00DA7613"/>
    <w:rsid w:val="00DB1349"/>
    <w:rsid w:val="00DC006D"/>
    <w:rsid w:val="00DC6551"/>
    <w:rsid w:val="00DC76C7"/>
    <w:rsid w:val="00DD09F5"/>
    <w:rsid w:val="00DD1A71"/>
    <w:rsid w:val="00DD4201"/>
    <w:rsid w:val="00DD49E5"/>
    <w:rsid w:val="00DE4DB2"/>
    <w:rsid w:val="00DE5054"/>
    <w:rsid w:val="00DE5711"/>
    <w:rsid w:val="00DF2112"/>
    <w:rsid w:val="00DF4092"/>
    <w:rsid w:val="00DF4E59"/>
    <w:rsid w:val="00DF769B"/>
    <w:rsid w:val="00E003AB"/>
    <w:rsid w:val="00E00EA0"/>
    <w:rsid w:val="00E1447C"/>
    <w:rsid w:val="00E15469"/>
    <w:rsid w:val="00E21003"/>
    <w:rsid w:val="00E26758"/>
    <w:rsid w:val="00E27CFB"/>
    <w:rsid w:val="00E301B6"/>
    <w:rsid w:val="00E3198E"/>
    <w:rsid w:val="00E37246"/>
    <w:rsid w:val="00E3775C"/>
    <w:rsid w:val="00E433C5"/>
    <w:rsid w:val="00E4357B"/>
    <w:rsid w:val="00E45BB2"/>
    <w:rsid w:val="00E50FAB"/>
    <w:rsid w:val="00E63DE5"/>
    <w:rsid w:val="00E6441F"/>
    <w:rsid w:val="00E65A37"/>
    <w:rsid w:val="00E72424"/>
    <w:rsid w:val="00E763EE"/>
    <w:rsid w:val="00E77B48"/>
    <w:rsid w:val="00E84576"/>
    <w:rsid w:val="00E91799"/>
    <w:rsid w:val="00E95FAF"/>
    <w:rsid w:val="00E97B10"/>
    <w:rsid w:val="00EA0CF3"/>
    <w:rsid w:val="00EA2F4B"/>
    <w:rsid w:val="00EA34E3"/>
    <w:rsid w:val="00EB7538"/>
    <w:rsid w:val="00EB7871"/>
    <w:rsid w:val="00EC13EE"/>
    <w:rsid w:val="00EC786C"/>
    <w:rsid w:val="00ED21BD"/>
    <w:rsid w:val="00ED3274"/>
    <w:rsid w:val="00ED6AA5"/>
    <w:rsid w:val="00ED78B0"/>
    <w:rsid w:val="00EE1B44"/>
    <w:rsid w:val="00EE26E0"/>
    <w:rsid w:val="00EE44CD"/>
    <w:rsid w:val="00EE69F7"/>
    <w:rsid w:val="00EE7FCA"/>
    <w:rsid w:val="00EF0938"/>
    <w:rsid w:val="00F12FD2"/>
    <w:rsid w:val="00F13FA4"/>
    <w:rsid w:val="00F17EEB"/>
    <w:rsid w:val="00F207A4"/>
    <w:rsid w:val="00F20DFC"/>
    <w:rsid w:val="00F230B3"/>
    <w:rsid w:val="00F23915"/>
    <w:rsid w:val="00F23CC2"/>
    <w:rsid w:val="00F27BAC"/>
    <w:rsid w:val="00F3319F"/>
    <w:rsid w:val="00F332CB"/>
    <w:rsid w:val="00F3461C"/>
    <w:rsid w:val="00F355AC"/>
    <w:rsid w:val="00F367C4"/>
    <w:rsid w:val="00F440EE"/>
    <w:rsid w:val="00F446C0"/>
    <w:rsid w:val="00F44DA2"/>
    <w:rsid w:val="00F45908"/>
    <w:rsid w:val="00F46DB5"/>
    <w:rsid w:val="00F47742"/>
    <w:rsid w:val="00F525F3"/>
    <w:rsid w:val="00F537E2"/>
    <w:rsid w:val="00F53E10"/>
    <w:rsid w:val="00F56AEA"/>
    <w:rsid w:val="00F57932"/>
    <w:rsid w:val="00F616C3"/>
    <w:rsid w:val="00F61780"/>
    <w:rsid w:val="00F62912"/>
    <w:rsid w:val="00F6518C"/>
    <w:rsid w:val="00F661F1"/>
    <w:rsid w:val="00F71A5A"/>
    <w:rsid w:val="00F769E0"/>
    <w:rsid w:val="00F80444"/>
    <w:rsid w:val="00F8083E"/>
    <w:rsid w:val="00F81E8D"/>
    <w:rsid w:val="00F909AD"/>
    <w:rsid w:val="00FA0175"/>
    <w:rsid w:val="00FA7A5E"/>
    <w:rsid w:val="00FB4554"/>
    <w:rsid w:val="00FB6B9A"/>
    <w:rsid w:val="00FB7527"/>
    <w:rsid w:val="00FC1348"/>
    <w:rsid w:val="00FC5DDB"/>
    <w:rsid w:val="00FC6BDE"/>
    <w:rsid w:val="00FC77B9"/>
    <w:rsid w:val="00FD74DB"/>
    <w:rsid w:val="00FE2A59"/>
    <w:rsid w:val="00FE3BE8"/>
    <w:rsid w:val="00FE6913"/>
    <w:rsid w:val="00FF1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8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B4E1D"/>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B4E1D"/>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B4E1D"/>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B4E1D"/>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B4E1D"/>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B4E1D"/>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B4E1D"/>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B4E1D"/>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uiPriority w:val="59"/>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basedOn w:val="DefaultParagraphFont"/>
    <w:link w:val="Heading2"/>
    <w:rsid w:val="004B4E1D"/>
    <w:rPr>
      <w:rFonts w:ascii="Verdana" w:hAnsi="Verdana"/>
      <w:b/>
      <w:szCs w:val="22"/>
    </w:rPr>
  </w:style>
  <w:style w:type="character" w:customStyle="1" w:styleId="Heading3Char">
    <w:name w:val="Heading 3 Char"/>
    <w:basedOn w:val="DefaultParagraphFont"/>
    <w:link w:val="Heading3"/>
    <w:rsid w:val="004B4E1D"/>
    <w:rPr>
      <w:rFonts w:ascii="Verdana" w:hAnsi="Verdana"/>
      <w:b/>
      <w:i/>
      <w:iCs/>
      <w:szCs w:val="22"/>
    </w:rPr>
  </w:style>
  <w:style w:type="character" w:customStyle="1" w:styleId="Heading4Char">
    <w:name w:val="Heading 4 Char"/>
    <w:basedOn w:val="DefaultParagraphFont"/>
    <w:link w:val="Heading4"/>
    <w:rsid w:val="004B4E1D"/>
    <w:rPr>
      <w:rFonts w:ascii="Verdana" w:hAnsi="Verdana"/>
      <w:i/>
      <w:iCs/>
      <w:szCs w:val="22"/>
      <w:u w:val="single"/>
    </w:rPr>
  </w:style>
  <w:style w:type="character" w:customStyle="1" w:styleId="Heading5Char">
    <w:name w:val="Heading 5 Char"/>
    <w:basedOn w:val="DefaultParagraphFont"/>
    <w:link w:val="Heading5"/>
    <w:rsid w:val="004B4E1D"/>
    <w:rPr>
      <w:rFonts w:ascii="Optima" w:hAnsi="Optima"/>
      <w:sz w:val="22"/>
      <w:szCs w:val="22"/>
    </w:rPr>
  </w:style>
  <w:style w:type="character" w:customStyle="1" w:styleId="Heading6Char">
    <w:name w:val="Heading 6 Char"/>
    <w:basedOn w:val="DefaultParagraphFont"/>
    <w:link w:val="Heading6"/>
    <w:rsid w:val="004B4E1D"/>
    <w:rPr>
      <w:rFonts w:ascii="Optima" w:hAnsi="Optima"/>
      <w:sz w:val="22"/>
      <w:szCs w:val="22"/>
    </w:rPr>
  </w:style>
  <w:style w:type="character" w:customStyle="1" w:styleId="Heading7Char">
    <w:name w:val="Heading 7 Char"/>
    <w:basedOn w:val="DefaultParagraphFont"/>
    <w:link w:val="Heading7"/>
    <w:rsid w:val="004B4E1D"/>
    <w:rPr>
      <w:rFonts w:ascii="Optima" w:hAnsi="Optima"/>
      <w:sz w:val="22"/>
      <w:szCs w:val="22"/>
    </w:rPr>
  </w:style>
  <w:style w:type="character" w:customStyle="1" w:styleId="Heading8Char">
    <w:name w:val="Heading 8 Char"/>
    <w:basedOn w:val="DefaultParagraphFont"/>
    <w:link w:val="Heading8"/>
    <w:rsid w:val="004B4E1D"/>
    <w:rPr>
      <w:rFonts w:ascii="Optima" w:hAnsi="Optima"/>
      <w:sz w:val="22"/>
      <w:szCs w:val="22"/>
    </w:rPr>
  </w:style>
  <w:style w:type="character" w:customStyle="1" w:styleId="Heading9Char">
    <w:name w:val="Heading 9 Char"/>
    <w:basedOn w:val="DefaultParagraphFont"/>
    <w:link w:val="Heading9"/>
    <w:rsid w:val="004B4E1D"/>
    <w:rPr>
      <w:rFonts w:ascii="Optima" w:hAnsi="Optima"/>
      <w:sz w:val="22"/>
      <w:szCs w:val="22"/>
    </w:rPr>
  </w:style>
  <w:style w:type="paragraph" w:customStyle="1" w:styleId="bullets">
    <w:name w:val="bullets"/>
    <w:basedOn w:val="Normal"/>
    <w:link w:val="bulletsChar"/>
    <w:rsid w:val="004B4E1D"/>
    <w:pPr>
      <w:spacing w:after="120" w:line="240" w:lineRule="exact"/>
      <w:ind w:left="720" w:hanging="360"/>
    </w:pPr>
    <w:rPr>
      <w:rFonts w:ascii="Verdana" w:hAnsi="Verdana"/>
      <w:sz w:val="20"/>
      <w:szCs w:val="22"/>
    </w:rPr>
  </w:style>
  <w:style w:type="paragraph" w:customStyle="1" w:styleId="Answer">
    <w:name w:val="Answer"/>
    <w:basedOn w:val="Normal"/>
    <w:rsid w:val="004B4E1D"/>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B4E1D"/>
    <w:pPr>
      <w:ind w:left="540" w:firstLine="0"/>
    </w:pPr>
    <w:rPr>
      <w:caps/>
    </w:rPr>
  </w:style>
  <w:style w:type="paragraph" w:customStyle="1" w:styleId="bullets-2ndlevel">
    <w:name w:val="bullets-2nd level"/>
    <w:basedOn w:val="bullets"/>
    <w:rsid w:val="004B4E1D"/>
    <w:pPr>
      <w:ind w:left="1080"/>
    </w:pPr>
  </w:style>
  <w:style w:type="paragraph" w:customStyle="1" w:styleId="Direction">
    <w:name w:val="Direction"/>
    <w:basedOn w:val="Normal"/>
    <w:rsid w:val="004B4E1D"/>
    <w:pPr>
      <w:spacing w:before="240" w:after="240"/>
    </w:pPr>
    <w:rPr>
      <w:rFonts w:ascii="Verdana" w:hAnsi="Verdana"/>
      <w:bCs/>
      <w:iCs/>
      <w:sz w:val="20"/>
      <w:szCs w:val="22"/>
    </w:rPr>
  </w:style>
  <w:style w:type="paragraph" w:customStyle="1" w:styleId="equation">
    <w:name w:val="equation"/>
    <w:basedOn w:val="Normal"/>
    <w:rsid w:val="004B4E1D"/>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rsid w:val="004B4E1D"/>
    <w:rPr>
      <w:sz w:val="24"/>
      <w:szCs w:val="24"/>
    </w:rPr>
  </w:style>
  <w:style w:type="character" w:customStyle="1" w:styleId="FootnoteTextChar">
    <w:name w:val="Footnote Text Char"/>
    <w:link w:val="FootnoteText"/>
    <w:rsid w:val="004B4E1D"/>
    <w:rPr>
      <w:rFonts w:ascii="Verdana" w:hAnsi="Verdana"/>
      <w:sz w:val="18"/>
      <w:szCs w:val="18"/>
    </w:rPr>
  </w:style>
  <w:style w:type="paragraph" w:styleId="FootnoteText">
    <w:name w:val="footnote text"/>
    <w:basedOn w:val="Normal"/>
    <w:link w:val="FootnoteTextChar"/>
    <w:rsid w:val="004B4E1D"/>
    <w:pPr>
      <w:ind w:left="270" w:hanging="270"/>
    </w:pPr>
    <w:rPr>
      <w:rFonts w:ascii="Verdana" w:hAnsi="Verdana"/>
      <w:sz w:val="18"/>
      <w:szCs w:val="18"/>
    </w:rPr>
  </w:style>
  <w:style w:type="character" w:customStyle="1" w:styleId="FootnoteTextChar1">
    <w:name w:val="Footnote Text Char1"/>
    <w:basedOn w:val="DefaultParagraphFont"/>
    <w:rsid w:val="004B4E1D"/>
  </w:style>
  <w:style w:type="paragraph" w:styleId="Header">
    <w:name w:val="header"/>
    <w:basedOn w:val="Normal"/>
    <w:next w:val="Normal"/>
    <w:link w:val="HeaderChar"/>
    <w:rsid w:val="004B4E1D"/>
    <w:rPr>
      <w:rFonts w:ascii="Verdana" w:hAnsi="Verdana"/>
      <w:i/>
      <w:iCs/>
      <w:sz w:val="18"/>
      <w:szCs w:val="18"/>
    </w:rPr>
  </w:style>
  <w:style w:type="character" w:customStyle="1" w:styleId="HeaderChar">
    <w:name w:val="Header Char"/>
    <w:basedOn w:val="DefaultParagraphFont"/>
    <w:link w:val="Header"/>
    <w:rsid w:val="004B4E1D"/>
    <w:rPr>
      <w:rFonts w:ascii="Verdana" w:hAnsi="Verdana"/>
      <w:i/>
      <w:iCs/>
      <w:sz w:val="18"/>
      <w:szCs w:val="18"/>
    </w:rPr>
  </w:style>
  <w:style w:type="paragraph" w:customStyle="1" w:styleId="Question">
    <w:name w:val="Question"/>
    <w:aliases w:val="qq,Question Char Char Char,q"/>
    <w:basedOn w:val="Normal"/>
    <w:link w:val="QuestionChar"/>
    <w:rsid w:val="004B4E1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B4E1D"/>
    <w:rPr>
      <w:rFonts w:ascii="Verdana" w:hAnsi="Verdana"/>
      <w:szCs w:val="22"/>
    </w:rPr>
  </w:style>
  <w:style w:type="paragraph" w:customStyle="1" w:styleId="tabfigsourcefullpg">
    <w:name w:val="tab/fig source (full pg)"/>
    <w:basedOn w:val="Normal"/>
    <w:rsid w:val="004B4E1D"/>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B4E1D"/>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B4E1D"/>
    <w:pPr>
      <w:keepNext/>
      <w:keepLines/>
      <w:spacing w:before="320"/>
      <w:ind w:left="-2880"/>
    </w:pPr>
    <w:rPr>
      <w:rFonts w:ascii="Helvetica Black" w:hAnsi="Helvetica Black"/>
      <w:sz w:val="18"/>
      <w:szCs w:val="18"/>
    </w:rPr>
  </w:style>
  <w:style w:type="paragraph" w:customStyle="1" w:styleId="SurveyHeading4">
    <w:name w:val="Survey Heading 4"/>
    <w:basedOn w:val="Normal"/>
    <w:rsid w:val="004B4E1D"/>
    <w:pPr>
      <w:keepNext/>
      <w:spacing w:before="240" w:after="120"/>
    </w:pPr>
    <w:rPr>
      <w:rFonts w:ascii="Verdana" w:hAnsi="Verdana"/>
      <w:i/>
      <w:sz w:val="20"/>
      <w:szCs w:val="22"/>
    </w:rPr>
  </w:style>
  <w:style w:type="paragraph" w:customStyle="1" w:styleId="SurveyHeading3">
    <w:name w:val="Survey Heading 3"/>
    <w:basedOn w:val="Normal"/>
    <w:rsid w:val="004B4E1D"/>
    <w:pPr>
      <w:keepNext/>
      <w:spacing w:before="240" w:after="120"/>
      <w:outlineLvl w:val="2"/>
    </w:pPr>
    <w:rPr>
      <w:rFonts w:ascii="Verdana" w:hAnsi="Verdana"/>
      <w:b/>
      <w:i/>
      <w:sz w:val="20"/>
      <w:szCs w:val="22"/>
    </w:rPr>
  </w:style>
  <w:style w:type="paragraph" w:customStyle="1" w:styleId="SurveyHeading2">
    <w:name w:val="Survey Heading 2"/>
    <w:basedOn w:val="Normal"/>
    <w:rsid w:val="004B4E1D"/>
    <w:pPr>
      <w:keepNext/>
      <w:spacing w:before="360" w:after="120"/>
      <w:outlineLvl w:val="1"/>
    </w:pPr>
    <w:rPr>
      <w:rFonts w:ascii="Verdana" w:hAnsi="Verdana"/>
      <w:b/>
      <w:szCs w:val="22"/>
    </w:rPr>
  </w:style>
  <w:style w:type="paragraph" w:customStyle="1" w:styleId="SurveyHeading1">
    <w:name w:val="Survey Heading 1"/>
    <w:basedOn w:val="Normal"/>
    <w:rsid w:val="004B4E1D"/>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4B4E1D"/>
    <w:rPr>
      <w:rFonts w:ascii="Tahoma" w:hAnsi="Tahoma" w:cs="Tahoma"/>
      <w:sz w:val="16"/>
      <w:szCs w:val="16"/>
    </w:rPr>
  </w:style>
  <w:style w:type="paragraph" w:styleId="ListParagraph">
    <w:name w:val="List Paragraph"/>
    <w:basedOn w:val="Normal"/>
    <w:uiPriority w:val="34"/>
    <w:qFormat/>
    <w:rsid w:val="004B4E1D"/>
    <w:pPr>
      <w:ind w:left="720"/>
      <w:contextualSpacing/>
    </w:pPr>
    <w:rPr>
      <w:rFonts w:eastAsia="Calibri" w:cs="Arial"/>
      <w:szCs w:val="22"/>
    </w:rPr>
  </w:style>
  <w:style w:type="paragraph" w:customStyle="1" w:styleId="basic">
    <w:name w:val="basic"/>
    <w:basedOn w:val="Normal"/>
    <w:link w:val="basicChar"/>
    <w:uiPriority w:val="99"/>
    <w:rsid w:val="004B4E1D"/>
    <w:rPr>
      <w:rFonts w:ascii="Arial" w:hAnsi="Arial" w:cs="Arial"/>
      <w:sz w:val="22"/>
    </w:rPr>
  </w:style>
  <w:style w:type="character" w:customStyle="1" w:styleId="basicChar">
    <w:name w:val="basic Char"/>
    <w:link w:val="basic"/>
    <w:uiPriority w:val="99"/>
    <w:locked/>
    <w:rsid w:val="004B4E1D"/>
    <w:rPr>
      <w:rFonts w:ascii="Arial" w:hAnsi="Arial" w:cs="Arial"/>
      <w:sz w:val="22"/>
      <w:szCs w:val="24"/>
    </w:rPr>
  </w:style>
  <w:style w:type="paragraph" w:customStyle="1" w:styleId="Base">
    <w:name w:val="Base"/>
    <w:basedOn w:val="Normal"/>
    <w:link w:val="BaseChar1"/>
    <w:uiPriority w:val="99"/>
    <w:rsid w:val="004B4E1D"/>
    <w:rPr>
      <w:rFonts w:eastAsia="MS Mincho"/>
      <w:b/>
      <w:caps/>
      <w:u w:val="single"/>
      <w:lang w:eastAsia="ja-JP"/>
    </w:rPr>
  </w:style>
  <w:style w:type="character" w:customStyle="1" w:styleId="BaseChar1">
    <w:name w:val="Base Char1"/>
    <w:link w:val="Base"/>
    <w:uiPriority w:val="99"/>
    <w:locked/>
    <w:rsid w:val="004B4E1D"/>
    <w:rPr>
      <w:rFonts w:eastAsia="MS Mincho"/>
      <w:b/>
      <w:caps/>
      <w:sz w:val="24"/>
      <w:szCs w:val="24"/>
      <w:u w:val="single"/>
      <w:lang w:eastAsia="ja-JP"/>
    </w:rPr>
  </w:style>
  <w:style w:type="paragraph" w:styleId="NoSpacing">
    <w:name w:val="No Spacing"/>
    <w:uiPriority w:val="1"/>
    <w:qFormat/>
    <w:rsid w:val="004B4E1D"/>
    <w:rPr>
      <w:rFonts w:ascii="Calibri" w:eastAsia="Calibri" w:hAnsi="Calibri" w:cs="Arial"/>
      <w:sz w:val="22"/>
      <w:szCs w:val="22"/>
    </w:rPr>
  </w:style>
  <w:style w:type="paragraph" w:customStyle="1" w:styleId="Default">
    <w:name w:val="Default"/>
    <w:rsid w:val="004B4E1D"/>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4B4E1D"/>
    <w:rPr>
      <w:position w:val="6"/>
      <w:sz w:val="16"/>
      <w:szCs w:val="16"/>
    </w:rPr>
  </w:style>
  <w:style w:type="paragraph" w:styleId="Revision">
    <w:name w:val="Revision"/>
    <w:hidden/>
    <w:uiPriority w:val="99"/>
    <w:semiHidden/>
    <w:rsid w:val="004B4E1D"/>
    <w:rPr>
      <w:rFonts w:eastAsia="Calibri" w:cs="Arial"/>
      <w:sz w:val="24"/>
      <w:szCs w:val="22"/>
    </w:rPr>
  </w:style>
  <w:style w:type="paragraph" w:customStyle="1" w:styleId="aresponse">
    <w:name w:val="a_response"/>
    <w:basedOn w:val="Normal"/>
    <w:rsid w:val="004B4E1D"/>
    <w:pPr>
      <w:ind w:left="1350" w:hanging="630"/>
    </w:pPr>
    <w:rPr>
      <w:rFonts w:ascii="Verdana" w:eastAsia="Calibri" w:hAnsi="Verdana"/>
      <w:sz w:val="20"/>
      <w:szCs w:val="20"/>
    </w:rPr>
  </w:style>
  <w:style w:type="paragraph" w:customStyle="1" w:styleId="bodytextpsg">
    <w:name w:val="body text_psg"/>
    <w:basedOn w:val="Normal"/>
    <w:link w:val="bodytextpsgChar"/>
    <w:rsid w:val="004B4E1D"/>
    <w:rPr>
      <w:rFonts w:ascii="Arial" w:hAnsi="Arial" w:cs="Arial"/>
      <w:sz w:val="22"/>
      <w:szCs w:val="22"/>
      <w:lang w:val="en-GB"/>
    </w:rPr>
  </w:style>
  <w:style w:type="character" w:customStyle="1" w:styleId="bodytextpsgChar">
    <w:name w:val="body text_psg Char"/>
    <w:link w:val="bodytextpsg"/>
    <w:rsid w:val="004B4E1D"/>
    <w:rPr>
      <w:rFonts w:ascii="Arial" w:hAnsi="Arial" w:cs="Arial"/>
      <w:sz w:val="22"/>
      <w:szCs w:val="22"/>
      <w:lang w:val="en-GB"/>
    </w:rPr>
  </w:style>
  <w:style w:type="paragraph" w:customStyle="1" w:styleId="Appheading2">
    <w:name w:val="App heading 2"/>
    <w:basedOn w:val="Normal"/>
    <w:qFormat/>
    <w:rsid w:val="004B4E1D"/>
    <w:pPr>
      <w:numPr>
        <w:numId w:val="3"/>
      </w:numPr>
      <w:tabs>
        <w:tab w:val="clear" w:pos="720"/>
        <w:tab w:val="num" w:pos="450"/>
        <w:tab w:val="left" w:pos="7200"/>
      </w:tabs>
      <w:spacing w:after="120"/>
    </w:pPr>
    <w:rPr>
      <w:rFonts w:ascii="Arial" w:hAnsi="Arial" w:cs="Arial"/>
      <w:b/>
      <w:sz w:val="22"/>
      <w:szCs w:val="22"/>
    </w:rPr>
  </w:style>
  <w:style w:type="paragraph" w:customStyle="1" w:styleId="Appheading3">
    <w:name w:val="App heading 3"/>
    <w:basedOn w:val="Normal"/>
    <w:qFormat/>
    <w:rsid w:val="004B4E1D"/>
    <w:pPr>
      <w:keepNext/>
      <w:keepLines/>
      <w:tabs>
        <w:tab w:val="left" w:pos="450"/>
      </w:tabs>
      <w:spacing w:after="120"/>
    </w:pPr>
    <w:rPr>
      <w:rFonts w:ascii="Arial" w:hAnsi="Arial" w:cs="Arial"/>
      <w:b/>
      <w:sz w:val="22"/>
      <w:szCs w:val="22"/>
    </w:rPr>
  </w:style>
  <w:style w:type="paragraph" w:customStyle="1" w:styleId="AppHeading1">
    <w:name w:val="App Heading 1"/>
    <w:rsid w:val="004B4E1D"/>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4B4E1D"/>
    <w:pPr>
      <w:spacing w:after="120"/>
    </w:pPr>
    <w:rPr>
      <w:rFonts w:ascii="Arial" w:hAnsi="Arial"/>
      <w:sz w:val="23"/>
      <w:szCs w:val="20"/>
    </w:rPr>
  </w:style>
  <w:style w:type="character" w:customStyle="1" w:styleId="BodyTextChar0">
    <w:name w:val="Body Text Char"/>
    <w:basedOn w:val="DefaultParagraphFont"/>
    <w:link w:val="BodyText"/>
    <w:rsid w:val="004B4E1D"/>
    <w:rPr>
      <w:rFonts w:ascii="Arial" w:hAnsi="Arial"/>
      <w:sz w:val="23"/>
    </w:rPr>
  </w:style>
  <w:style w:type="character" w:customStyle="1" w:styleId="bulletsChar">
    <w:name w:val="bullets Char"/>
    <w:link w:val="bullets"/>
    <w:rsid w:val="004B4E1D"/>
    <w:rPr>
      <w:rFonts w:ascii="Verdana" w:hAnsi="Verdana"/>
      <w:szCs w:val="22"/>
    </w:rPr>
  </w:style>
  <w:style w:type="paragraph" w:styleId="PlainText">
    <w:name w:val="Plain Text"/>
    <w:basedOn w:val="Normal"/>
    <w:link w:val="PlainTextChar"/>
    <w:rsid w:val="004B4E1D"/>
    <w:rPr>
      <w:rFonts w:ascii="Courier New" w:hAnsi="Courier New" w:cs="Courier New"/>
      <w:sz w:val="20"/>
      <w:szCs w:val="20"/>
    </w:rPr>
  </w:style>
  <w:style w:type="character" w:customStyle="1" w:styleId="PlainTextChar">
    <w:name w:val="Plain Text Char"/>
    <w:basedOn w:val="DefaultParagraphFont"/>
    <w:link w:val="PlainText"/>
    <w:rsid w:val="004B4E1D"/>
    <w:rPr>
      <w:rFonts w:ascii="Courier New" w:hAnsi="Courier New" w:cs="Courier New"/>
    </w:rPr>
  </w:style>
  <w:style w:type="paragraph" w:customStyle="1" w:styleId="ExhibitHeading">
    <w:name w:val="Exhibit Heading"/>
    <w:basedOn w:val="Normal"/>
    <w:link w:val="ExhibitHeadingChar"/>
    <w:rsid w:val="004B4E1D"/>
    <w:pPr>
      <w:spacing w:after="240"/>
    </w:pPr>
    <w:rPr>
      <w:rFonts w:ascii="Arial" w:hAnsi="Arial"/>
      <w:b/>
      <w:sz w:val="22"/>
      <w:szCs w:val="20"/>
      <w:lang w:val="en-CA"/>
    </w:rPr>
  </w:style>
  <w:style w:type="character" w:customStyle="1" w:styleId="ExhibitHeadingChar">
    <w:name w:val="Exhibit Heading Char"/>
    <w:link w:val="ExhibitHeading"/>
    <w:rsid w:val="004B4E1D"/>
    <w:rPr>
      <w:rFonts w:ascii="Arial" w:hAnsi="Arial"/>
      <w:b/>
      <w:sz w:val="22"/>
      <w:lang w:val="en-CA"/>
    </w:rPr>
  </w:style>
  <w:style w:type="paragraph" w:customStyle="1" w:styleId="aex">
    <w:name w:val="aex"/>
    <w:basedOn w:val="Normal"/>
    <w:qFormat/>
    <w:rsid w:val="004B4E1D"/>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B4E1D"/>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B4E1D"/>
  </w:style>
  <w:style w:type="paragraph" w:styleId="TOC2">
    <w:name w:val="toc 2"/>
    <w:basedOn w:val="Normal"/>
    <w:next w:val="Normal"/>
    <w:autoRedefine/>
    <w:uiPriority w:val="39"/>
    <w:qFormat/>
    <w:rsid w:val="004B4E1D"/>
    <w:pPr>
      <w:ind w:left="240"/>
    </w:pPr>
  </w:style>
  <w:style w:type="paragraph" w:styleId="TOC3">
    <w:name w:val="toc 3"/>
    <w:basedOn w:val="Normal"/>
    <w:next w:val="Normal"/>
    <w:autoRedefine/>
    <w:uiPriority w:val="39"/>
    <w:qFormat/>
    <w:rsid w:val="004B4E1D"/>
    <w:pPr>
      <w:ind w:left="480"/>
    </w:pPr>
  </w:style>
  <w:style w:type="paragraph" w:customStyle="1" w:styleId="basicinstruction">
    <w:name w:val="basic instruction"/>
    <w:basedOn w:val="Normal"/>
    <w:link w:val="basicinstructionChar"/>
    <w:uiPriority w:val="99"/>
    <w:rsid w:val="004B4E1D"/>
    <w:rPr>
      <w:rFonts w:ascii="Arial" w:hAnsi="Arial"/>
      <w:b/>
      <w:smallCaps/>
      <w:szCs w:val="20"/>
    </w:rPr>
  </w:style>
  <w:style w:type="character" w:customStyle="1" w:styleId="basicinstructionChar">
    <w:name w:val="basic instruction Char"/>
    <w:link w:val="basicinstruction"/>
    <w:uiPriority w:val="99"/>
    <w:locked/>
    <w:rsid w:val="004B4E1D"/>
    <w:rPr>
      <w:rFonts w:ascii="Arial" w:hAnsi="Arial"/>
      <w:b/>
      <w:smallCaps/>
      <w:sz w:val="24"/>
    </w:rPr>
  </w:style>
  <w:style w:type="character" w:customStyle="1" w:styleId="int">
    <w:name w:val="int"/>
    <w:rsid w:val="00A47C3A"/>
  </w:style>
  <w:style w:type="table" w:customStyle="1" w:styleId="TableGrid1">
    <w:name w:val="Table Grid1"/>
    <w:basedOn w:val="TableNormal"/>
    <w:next w:val="TableGrid"/>
    <w:uiPriority w:val="59"/>
    <w:rsid w:val="00CC20F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0B02"/>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basedOn w:val="DefaultParagraphFont"/>
    <w:rsid w:val="00C21E04"/>
    <w:rPr>
      <w:color w:val="0000FF"/>
      <w:sz w:val="24"/>
      <w:szCs w:val="24"/>
      <w:u w:val="non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B4E1D"/>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B4E1D"/>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B4E1D"/>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B4E1D"/>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B4E1D"/>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B4E1D"/>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B4E1D"/>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B4E1D"/>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uiPriority w:val="59"/>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basedOn w:val="DefaultParagraphFont"/>
    <w:link w:val="Heading2"/>
    <w:rsid w:val="004B4E1D"/>
    <w:rPr>
      <w:rFonts w:ascii="Verdana" w:hAnsi="Verdana"/>
      <w:b/>
      <w:szCs w:val="22"/>
    </w:rPr>
  </w:style>
  <w:style w:type="character" w:customStyle="1" w:styleId="Heading3Char">
    <w:name w:val="Heading 3 Char"/>
    <w:basedOn w:val="DefaultParagraphFont"/>
    <w:link w:val="Heading3"/>
    <w:rsid w:val="004B4E1D"/>
    <w:rPr>
      <w:rFonts w:ascii="Verdana" w:hAnsi="Verdana"/>
      <w:b/>
      <w:i/>
      <w:iCs/>
      <w:szCs w:val="22"/>
    </w:rPr>
  </w:style>
  <w:style w:type="character" w:customStyle="1" w:styleId="Heading4Char">
    <w:name w:val="Heading 4 Char"/>
    <w:basedOn w:val="DefaultParagraphFont"/>
    <w:link w:val="Heading4"/>
    <w:rsid w:val="004B4E1D"/>
    <w:rPr>
      <w:rFonts w:ascii="Verdana" w:hAnsi="Verdana"/>
      <w:i/>
      <w:iCs/>
      <w:szCs w:val="22"/>
      <w:u w:val="single"/>
    </w:rPr>
  </w:style>
  <w:style w:type="character" w:customStyle="1" w:styleId="Heading5Char">
    <w:name w:val="Heading 5 Char"/>
    <w:basedOn w:val="DefaultParagraphFont"/>
    <w:link w:val="Heading5"/>
    <w:rsid w:val="004B4E1D"/>
    <w:rPr>
      <w:rFonts w:ascii="Optima" w:hAnsi="Optima"/>
      <w:sz w:val="22"/>
      <w:szCs w:val="22"/>
    </w:rPr>
  </w:style>
  <w:style w:type="character" w:customStyle="1" w:styleId="Heading6Char">
    <w:name w:val="Heading 6 Char"/>
    <w:basedOn w:val="DefaultParagraphFont"/>
    <w:link w:val="Heading6"/>
    <w:rsid w:val="004B4E1D"/>
    <w:rPr>
      <w:rFonts w:ascii="Optima" w:hAnsi="Optima"/>
      <w:sz w:val="22"/>
      <w:szCs w:val="22"/>
    </w:rPr>
  </w:style>
  <w:style w:type="character" w:customStyle="1" w:styleId="Heading7Char">
    <w:name w:val="Heading 7 Char"/>
    <w:basedOn w:val="DefaultParagraphFont"/>
    <w:link w:val="Heading7"/>
    <w:rsid w:val="004B4E1D"/>
    <w:rPr>
      <w:rFonts w:ascii="Optima" w:hAnsi="Optima"/>
      <w:sz w:val="22"/>
      <w:szCs w:val="22"/>
    </w:rPr>
  </w:style>
  <w:style w:type="character" w:customStyle="1" w:styleId="Heading8Char">
    <w:name w:val="Heading 8 Char"/>
    <w:basedOn w:val="DefaultParagraphFont"/>
    <w:link w:val="Heading8"/>
    <w:rsid w:val="004B4E1D"/>
    <w:rPr>
      <w:rFonts w:ascii="Optima" w:hAnsi="Optima"/>
      <w:sz w:val="22"/>
      <w:szCs w:val="22"/>
    </w:rPr>
  </w:style>
  <w:style w:type="character" w:customStyle="1" w:styleId="Heading9Char">
    <w:name w:val="Heading 9 Char"/>
    <w:basedOn w:val="DefaultParagraphFont"/>
    <w:link w:val="Heading9"/>
    <w:rsid w:val="004B4E1D"/>
    <w:rPr>
      <w:rFonts w:ascii="Optima" w:hAnsi="Optima"/>
      <w:sz w:val="22"/>
      <w:szCs w:val="22"/>
    </w:rPr>
  </w:style>
  <w:style w:type="paragraph" w:customStyle="1" w:styleId="bullets">
    <w:name w:val="bullets"/>
    <w:basedOn w:val="Normal"/>
    <w:link w:val="bulletsChar"/>
    <w:rsid w:val="004B4E1D"/>
    <w:pPr>
      <w:spacing w:after="120" w:line="240" w:lineRule="exact"/>
      <w:ind w:left="720" w:hanging="360"/>
    </w:pPr>
    <w:rPr>
      <w:rFonts w:ascii="Verdana" w:hAnsi="Verdana"/>
      <w:sz w:val="20"/>
      <w:szCs w:val="22"/>
    </w:rPr>
  </w:style>
  <w:style w:type="paragraph" w:customStyle="1" w:styleId="Answer">
    <w:name w:val="Answer"/>
    <w:basedOn w:val="Normal"/>
    <w:rsid w:val="004B4E1D"/>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B4E1D"/>
    <w:pPr>
      <w:ind w:left="540" w:firstLine="0"/>
    </w:pPr>
    <w:rPr>
      <w:caps/>
    </w:rPr>
  </w:style>
  <w:style w:type="paragraph" w:customStyle="1" w:styleId="bullets-2ndlevel">
    <w:name w:val="bullets-2nd level"/>
    <w:basedOn w:val="bullets"/>
    <w:rsid w:val="004B4E1D"/>
    <w:pPr>
      <w:ind w:left="1080"/>
    </w:pPr>
  </w:style>
  <w:style w:type="paragraph" w:customStyle="1" w:styleId="Direction">
    <w:name w:val="Direction"/>
    <w:basedOn w:val="Normal"/>
    <w:rsid w:val="004B4E1D"/>
    <w:pPr>
      <w:spacing w:before="240" w:after="240"/>
    </w:pPr>
    <w:rPr>
      <w:rFonts w:ascii="Verdana" w:hAnsi="Verdana"/>
      <w:bCs/>
      <w:iCs/>
      <w:sz w:val="20"/>
      <w:szCs w:val="22"/>
    </w:rPr>
  </w:style>
  <w:style w:type="paragraph" w:customStyle="1" w:styleId="equation">
    <w:name w:val="equation"/>
    <w:basedOn w:val="Normal"/>
    <w:rsid w:val="004B4E1D"/>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rsid w:val="004B4E1D"/>
    <w:rPr>
      <w:sz w:val="24"/>
      <w:szCs w:val="24"/>
    </w:rPr>
  </w:style>
  <w:style w:type="character" w:customStyle="1" w:styleId="FootnoteTextChar">
    <w:name w:val="Footnote Text Char"/>
    <w:link w:val="FootnoteText"/>
    <w:rsid w:val="004B4E1D"/>
    <w:rPr>
      <w:rFonts w:ascii="Verdana" w:hAnsi="Verdana"/>
      <w:sz w:val="18"/>
      <w:szCs w:val="18"/>
    </w:rPr>
  </w:style>
  <w:style w:type="paragraph" w:styleId="FootnoteText">
    <w:name w:val="footnote text"/>
    <w:basedOn w:val="Normal"/>
    <w:link w:val="FootnoteTextChar"/>
    <w:rsid w:val="004B4E1D"/>
    <w:pPr>
      <w:ind w:left="270" w:hanging="270"/>
    </w:pPr>
    <w:rPr>
      <w:rFonts w:ascii="Verdana" w:hAnsi="Verdana"/>
      <w:sz w:val="18"/>
      <w:szCs w:val="18"/>
    </w:rPr>
  </w:style>
  <w:style w:type="character" w:customStyle="1" w:styleId="FootnoteTextChar1">
    <w:name w:val="Footnote Text Char1"/>
    <w:basedOn w:val="DefaultParagraphFont"/>
    <w:rsid w:val="004B4E1D"/>
  </w:style>
  <w:style w:type="paragraph" w:styleId="Header">
    <w:name w:val="header"/>
    <w:basedOn w:val="Normal"/>
    <w:next w:val="Normal"/>
    <w:link w:val="HeaderChar"/>
    <w:rsid w:val="004B4E1D"/>
    <w:rPr>
      <w:rFonts w:ascii="Verdana" w:hAnsi="Verdana"/>
      <w:i/>
      <w:iCs/>
      <w:sz w:val="18"/>
      <w:szCs w:val="18"/>
    </w:rPr>
  </w:style>
  <w:style w:type="character" w:customStyle="1" w:styleId="HeaderChar">
    <w:name w:val="Header Char"/>
    <w:basedOn w:val="DefaultParagraphFont"/>
    <w:link w:val="Header"/>
    <w:rsid w:val="004B4E1D"/>
    <w:rPr>
      <w:rFonts w:ascii="Verdana" w:hAnsi="Verdana"/>
      <w:i/>
      <w:iCs/>
      <w:sz w:val="18"/>
      <w:szCs w:val="18"/>
    </w:rPr>
  </w:style>
  <w:style w:type="paragraph" w:customStyle="1" w:styleId="Question">
    <w:name w:val="Question"/>
    <w:aliases w:val="qq,Question Char Char Char,q"/>
    <w:basedOn w:val="Normal"/>
    <w:link w:val="QuestionChar"/>
    <w:rsid w:val="004B4E1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B4E1D"/>
    <w:rPr>
      <w:rFonts w:ascii="Verdana" w:hAnsi="Verdana"/>
      <w:szCs w:val="22"/>
    </w:rPr>
  </w:style>
  <w:style w:type="paragraph" w:customStyle="1" w:styleId="tabfigsourcefullpg">
    <w:name w:val="tab/fig source (full pg)"/>
    <w:basedOn w:val="Normal"/>
    <w:rsid w:val="004B4E1D"/>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B4E1D"/>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B4E1D"/>
    <w:pPr>
      <w:keepNext/>
      <w:keepLines/>
      <w:spacing w:before="320"/>
      <w:ind w:left="-2880"/>
    </w:pPr>
    <w:rPr>
      <w:rFonts w:ascii="Helvetica Black" w:hAnsi="Helvetica Black"/>
      <w:sz w:val="18"/>
      <w:szCs w:val="18"/>
    </w:rPr>
  </w:style>
  <w:style w:type="paragraph" w:customStyle="1" w:styleId="SurveyHeading4">
    <w:name w:val="Survey Heading 4"/>
    <w:basedOn w:val="Normal"/>
    <w:rsid w:val="004B4E1D"/>
    <w:pPr>
      <w:keepNext/>
      <w:spacing w:before="240" w:after="120"/>
    </w:pPr>
    <w:rPr>
      <w:rFonts w:ascii="Verdana" w:hAnsi="Verdana"/>
      <w:i/>
      <w:sz w:val="20"/>
      <w:szCs w:val="22"/>
    </w:rPr>
  </w:style>
  <w:style w:type="paragraph" w:customStyle="1" w:styleId="SurveyHeading3">
    <w:name w:val="Survey Heading 3"/>
    <w:basedOn w:val="Normal"/>
    <w:rsid w:val="004B4E1D"/>
    <w:pPr>
      <w:keepNext/>
      <w:spacing w:before="240" w:after="120"/>
      <w:outlineLvl w:val="2"/>
    </w:pPr>
    <w:rPr>
      <w:rFonts w:ascii="Verdana" w:hAnsi="Verdana"/>
      <w:b/>
      <w:i/>
      <w:sz w:val="20"/>
      <w:szCs w:val="22"/>
    </w:rPr>
  </w:style>
  <w:style w:type="paragraph" w:customStyle="1" w:styleId="SurveyHeading2">
    <w:name w:val="Survey Heading 2"/>
    <w:basedOn w:val="Normal"/>
    <w:rsid w:val="004B4E1D"/>
    <w:pPr>
      <w:keepNext/>
      <w:spacing w:before="360" w:after="120"/>
      <w:outlineLvl w:val="1"/>
    </w:pPr>
    <w:rPr>
      <w:rFonts w:ascii="Verdana" w:hAnsi="Verdana"/>
      <w:b/>
      <w:szCs w:val="22"/>
    </w:rPr>
  </w:style>
  <w:style w:type="paragraph" w:customStyle="1" w:styleId="SurveyHeading1">
    <w:name w:val="Survey Heading 1"/>
    <w:basedOn w:val="Normal"/>
    <w:rsid w:val="004B4E1D"/>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4B4E1D"/>
    <w:rPr>
      <w:rFonts w:ascii="Tahoma" w:hAnsi="Tahoma" w:cs="Tahoma"/>
      <w:sz w:val="16"/>
      <w:szCs w:val="16"/>
    </w:rPr>
  </w:style>
  <w:style w:type="paragraph" w:styleId="ListParagraph">
    <w:name w:val="List Paragraph"/>
    <w:basedOn w:val="Normal"/>
    <w:uiPriority w:val="34"/>
    <w:qFormat/>
    <w:rsid w:val="004B4E1D"/>
    <w:pPr>
      <w:ind w:left="720"/>
      <w:contextualSpacing/>
    </w:pPr>
    <w:rPr>
      <w:rFonts w:eastAsia="Calibri" w:cs="Arial"/>
      <w:szCs w:val="22"/>
    </w:rPr>
  </w:style>
  <w:style w:type="paragraph" w:customStyle="1" w:styleId="basic">
    <w:name w:val="basic"/>
    <w:basedOn w:val="Normal"/>
    <w:link w:val="basicChar"/>
    <w:uiPriority w:val="99"/>
    <w:rsid w:val="004B4E1D"/>
    <w:rPr>
      <w:rFonts w:ascii="Arial" w:hAnsi="Arial" w:cs="Arial"/>
      <w:sz w:val="22"/>
    </w:rPr>
  </w:style>
  <w:style w:type="character" w:customStyle="1" w:styleId="basicChar">
    <w:name w:val="basic Char"/>
    <w:link w:val="basic"/>
    <w:uiPriority w:val="99"/>
    <w:locked/>
    <w:rsid w:val="004B4E1D"/>
    <w:rPr>
      <w:rFonts w:ascii="Arial" w:hAnsi="Arial" w:cs="Arial"/>
      <w:sz w:val="22"/>
      <w:szCs w:val="24"/>
    </w:rPr>
  </w:style>
  <w:style w:type="paragraph" w:customStyle="1" w:styleId="Base">
    <w:name w:val="Base"/>
    <w:basedOn w:val="Normal"/>
    <w:link w:val="BaseChar1"/>
    <w:uiPriority w:val="99"/>
    <w:rsid w:val="004B4E1D"/>
    <w:rPr>
      <w:rFonts w:eastAsia="MS Mincho"/>
      <w:b/>
      <w:caps/>
      <w:u w:val="single"/>
      <w:lang w:eastAsia="ja-JP"/>
    </w:rPr>
  </w:style>
  <w:style w:type="character" w:customStyle="1" w:styleId="BaseChar1">
    <w:name w:val="Base Char1"/>
    <w:link w:val="Base"/>
    <w:uiPriority w:val="99"/>
    <w:locked/>
    <w:rsid w:val="004B4E1D"/>
    <w:rPr>
      <w:rFonts w:eastAsia="MS Mincho"/>
      <w:b/>
      <w:caps/>
      <w:sz w:val="24"/>
      <w:szCs w:val="24"/>
      <w:u w:val="single"/>
      <w:lang w:eastAsia="ja-JP"/>
    </w:rPr>
  </w:style>
  <w:style w:type="paragraph" w:styleId="NoSpacing">
    <w:name w:val="No Spacing"/>
    <w:uiPriority w:val="1"/>
    <w:qFormat/>
    <w:rsid w:val="004B4E1D"/>
    <w:rPr>
      <w:rFonts w:ascii="Calibri" w:eastAsia="Calibri" w:hAnsi="Calibri" w:cs="Arial"/>
      <w:sz w:val="22"/>
      <w:szCs w:val="22"/>
    </w:rPr>
  </w:style>
  <w:style w:type="paragraph" w:customStyle="1" w:styleId="Default">
    <w:name w:val="Default"/>
    <w:rsid w:val="004B4E1D"/>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4B4E1D"/>
    <w:rPr>
      <w:position w:val="6"/>
      <w:sz w:val="16"/>
      <w:szCs w:val="16"/>
    </w:rPr>
  </w:style>
  <w:style w:type="paragraph" w:styleId="Revision">
    <w:name w:val="Revision"/>
    <w:hidden/>
    <w:uiPriority w:val="99"/>
    <w:semiHidden/>
    <w:rsid w:val="004B4E1D"/>
    <w:rPr>
      <w:rFonts w:eastAsia="Calibri" w:cs="Arial"/>
      <w:sz w:val="24"/>
      <w:szCs w:val="22"/>
    </w:rPr>
  </w:style>
  <w:style w:type="paragraph" w:customStyle="1" w:styleId="aresponse">
    <w:name w:val="a_response"/>
    <w:basedOn w:val="Normal"/>
    <w:rsid w:val="004B4E1D"/>
    <w:pPr>
      <w:ind w:left="1350" w:hanging="630"/>
    </w:pPr>
    <w:rPr>
      <w:rFonts w:ascii="Verdana" w:eastAsia="Calibri" w:hAnsi="Verdana"/>
      <w:sz w:val="20"/>
      <w:szCs w:val="20"/>
    </w:rPr>
  </w:style>
  <w:style w:type="paragraph" w:customStyle="1" w:styleId="bodytextpsg">
    <w:name w:val="body text_psg"/>
    <w:basedOn w:val="Normal"/>
    <w:link w:val="bodytextpsgChar"/>
    <w:rsid w:val="004B4E1D"/>
    <w:rPr>
      <w:rFonts w:ascii="Arial" w:hAnsi="Arial" w:cs="Arial"/>
      <w:sz w:val="22"/>
      <w:szCs w:val="22"/>
      <w:lang w:val="en-GB"/>
    </w:rPr>
  </w:style>
  <w:style w:type="character" w:customStyle="1" w:styleId="bodytextpsgChar">
    <w:name w:val="body text_psg Char"/>
    <w:link w:val="bodytextpsg"/>
    <w:rsid w:val="004B4E1D"/>
    <w:rPr>
      <w:rFonts w:ascii="Arial" w:hAnsi="Arial" w:cs="Arial"/>
      <w:sz w:val="22"/>
      <w:szCs w:val="22"/>
      <w:lang w:val="en-GB"/>
    </w:rPr>
  </w:style>
  <w:style w:type="paragraph" w:customStyle="1" w:styleId="Appheading2">
    <w:name w:val="App heading 2"/>
    <w:basedOn w:val="Normal"/>
    <w:qFormat/>
    <w:rsid w:val="004B4E1D"/>
    <w:pPr>
      <w:numPr>
        <w:numId w:val="3"/>
      </w:numPr>
      <w:tabs>
        <w:tab w:val="clear" w:pos="720"/>
        <w:tab w:val="num" w:pos="450"/>
        <w:tab w:val="left" w:pos="7200"/>
      </w:tabs>
      <w:spacing w:after="120"/>
    </w:pPr>
    <w:rPr>
      <w:rFonts w:ascii="Arial" w:hAnsi="Arial" w:cs="Arial"/>
      <w:b/>
      <w:sz w:val="22"/>
      <w:szCs w:val="22"/>
    </w:rPr>
  </w:style>
  <w:style w:type="paragraph" w:customStyle="1" w:styleId="Appheading3">
    <w:name w:val="App heading 3"/>
    <w:basedOn w:val="Normal"/>
    <w:qFormat/>
    <w:rsid w:val="004B4E1D"/>
    <w:pPr>
      <w:keepNext/>
      <w:keepLines/>
      <w:tabs>
        <w:tab w:val="left" w:pos="450"/>
      </w:tabs>
      <w:spacing w:after="120"/>
    </w:pPr>
    <w:rPr>
      <w:rFonts w:ascii="Arial" w:hAnsi="Arial" w:cs="Arial"/>
      <w:b/>
      <w:sz w:val="22"/>
      <w:szCs w:val="22"/>
    </w:rPr>
  </w:style>
  <w:style w:type="paragraph" w:customStyle="1" w:styleId="AppHeading1">
    <w:name w:val="App Heading 1"/>
    <w:rsid w:val="004B4E1D"/>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4B4E1D"/>
    <w:pPr>
      <w:spacing w:after="120"/>
    </w:pPr>
    <w:rPr>
      <w:rFonts w:ascii="Arial" w:hAnsi="Arial"/>
      <w:sz w:val="23"/>
      <w:szCs w:val="20"/>
    </w:rPr>
  </w:style>
  <w:style w:type="character" w:customStyle="1" w:styleId="BodyTextChar0">
    <w:name w:val="Body Text Char"/>
    <w:basedOn w:val="DefaultParagraphFont"/>
    <w:link w:val="BodyText"/>
    <w:rsid w:val="004B4E1D"/>
    <w:rPr>
      <w:rFonts w:ascii="Arial" w:hAnsi="Arial"/>
      <w:sz w:val="23"/>
    </w:rPr>
  </w:style>
  <w:style w:type="character" w:customStyle="1" w:styleId="bulletsChar">
    <w:name w:val="bullets Char"/>
    <w:link w:val="bullets"/>
    <w:rsid w:val="004B4E1D"/>
    <w:rPr>
      <w:rFonts w:ascii="Verdana" w:hAnsi="Verdana"/>
      <w:szCs w:val="22"/>
    </w:rPr>
  </w:style>
  <w:style w:type="paragraph" w:styleId="PlainText">
    <w:name w:val="Plain Text"/>
    <w:basedOn w:val="Normal"/>
    <w:link w:val="PlainTextChar"/>
    <w:rsid w:val="004B4E1D"/>
    <w:rPr>
      <w:rFonts w:ascii="Courier New" w:hAnsi="Courier New" w:cs="Courier New"/>
      <w:sz w:val="20"/>
      <w:szCs w:val="20"/>
    </w:rPr>
  </w:style>
  <w:style w:type="character" w:customStyle="1" w:styleId="PlainTextChar">
    <w:name w:val="Plain Text Char"/>
    <w:basedOn w:val="DefaultParagraphFont"/>
    <w:link w:val="PlainText"/>
    <w:rsid w:val="004B4E1D"/>
    <w:rPr>
      <w:rFonts w:ascii="Courier New" w:hAnsi="Courier New" w:cs="Courier New"/>
    </w:rPr>
  </w:style>
  <w:style w:type="paragraph" w:customStyle="1" w:styleId="ExhibitHeading">
    <w:name w:val="Exhibit Heading"/>
    <w:basedOn w:val="Normal"/>
    <w:link w:val="ExhibitHeadingChar"/>
    <w:rsid w:val="004B4E1D"/>
    <w:pPr>
      <w:spacing w:after="240"/>
    </w:pPr>
    <w:rPr>
      <w:rFonts w:ascii="Arial" w:hAnsi="Arial"/>
      <w:b/>
      <w:sz w:val="22"/>
      <w:szCs w:val="20"/>
      <w:lang w:val="en-CA"/>
    </w:rPr>
  </w:style>
  <w:style w:type="character" w:customStyle="1" w:styleId="ExhibitHeadingChar">
    <w:name w:val="Exhibit Heading Char"/>
    <w:link w:val="ExhibitHeading"/>
    <w:rsid w:val="004B4E1D"/>
    <w:rPr>
      <w:rFonts w:ascii="Arial" w:hAnsi="Arial"/>
      <w:b/>
      <w:sz w:val="22"/>
      <w:lang w:val="en-CA"/>
    </w:rPr>
  </w:style>
  <w:style w:type="paragraph" w:customStyle="1" w:styleId="aex">
    <w:name w:val="aex"/>
    <w:basedOn w:val="Normal"/>
    <w:qFormat/>
    <w:rsid w:val="004B4E1D"/>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B4E1D"/>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B4E1D"/>
  </w:style>
  <w:style w:type="paragraph" w:styleId="TOC2">
    <w:name w:val="toc 2"/>
    <w:basedOn w:val="Normal"/>
    <w:next w:val="Normal"/>
    <w:autoRedefine/>
    <w:uiPriority w:val="39"/>
    <w:qFormat/>
    <w:rsid w:val="004B4E1D"/>
    <w:pPr>
      <w:ind w:left="240"/>
    </w:pPr>
  </w:style>
  <w:style w:type="paragraph" w:styleId="TOC3">
    <w:name w:val="toc 3"/>
    <w:basedOn w:val="Normal"/>
    <w:next w:val="Normal"/>
    <w:autoRedefine/>
    <w:uiPriority w:val="39"/>
    <w:qFormat/>
    <w:rsid w:val="004B4E1D"/>
    <w:pPr>
      <w:ind w:left="480"/>
    </w:pPr>
  </w:style>
  <w:style w:type="paragraph" w:customStyle="1" w:styleId="basicinstruction">
    <w:name w:val="basic instruction"/>
    <w:basedOn w:val="Normal"/>
    <w:link w:val="basicinstructionChar"/>
    <w:uiPriority w:val="99"/>
    <w:rsid w:val="004B4E1D"/>
    <w:rPr>
      <w:rFonts w:ascii="Arial" w:hAnsi="Arial"/>
      <w:b/>
      <w:smallCaps/>
      <w:szCs w:val="20"/>
    </w:rPr>
  </w:style>
  <w:style w:type="character" w:customStyle="1" w:styleId="basicinstructionChar">
    <w:name w:val="basic instruction Char"/>
    <w:link w:val="basicinstruction"/>
    <w:uiPriority w:val="99"/>
    <w:locked/>
    <w:rsid w:val="004B4E1D"/>
    <w:rPr>
      <w:rFonts w:ascii="Arial" w:hAnsi="Arial"/>
      <w:b/>
      <w:smallCaps/>
      <w:sz w:val="24"/>
    </w:rPr>
  </w:style>
  <w:style w:type="character" w:customStyle="1" w:styleId="int">
    <w:name w:val="int"/>
    <w:rsid w:val="00A47C3A"/>
  </w:style>
  <w:style w:type="table" w:customStyle="1" w:styleId="TableGrid1">
    <w:name w:val="Table Grid1"/>
    <w:basedOn w:val="TableNormal"/>
    <w:next w:val="TableGrid"/>
    <w:uiPriority w:val="59"/>
    <w:rsid w:val="00CC20F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0B02"/>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basedOn w:val="DefaultParagraphFont"/>
    <w:rsid w:val="00C21E04"/>
    <w:rPr>
      <w:color w:val="0000FF"/>
      <w:sz w:val="24"/>
      <w:szCs w:val="24"/>
      <w:u w:val="non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7477">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269969177">
      <w:bodyDiv w:val="1"/>
      <w:marLeft w:val="0"/>
      <w:marRight w:val="0"/>
      <w:marTop w:val="0"/>
      <w:marBottom w:val="0"/>
      <w:divBdr>
        <w:top w:val="none" w:sz="0" w:space="0" w:color="auto"/>
        <w:left w:val="none" w:sz="0" w:space="0" w:color="auto"/>
        <w:bottom w:val="none" w:sz="0" w:space="0" w:color="auto"/>
        <w:right w:val="none" w:sz="0" w:space="0" w:color="auto"/>
      </w:divBdr>
    </w:div>
    <w:div w:id="306278134">
      <w:bodyDiv w:val="1"/>
      <w:marLeft w:val="0"/>
      <w:marRight w:val="0"/>
      <w:marTop w:val="0"/>
      <w:marBottom w:val="0"/>
      <w:divBdr>
        <w:top w:val="none" w:sz="0" w:space="0" w:color="auto"/>
        <w:left w:val="none" w:sz="0" w:space="0" w:color="auto"/>
        <w:bottom w:val="none" w:sz="0" w:space="0" w:color="auto"/>
        <w:right w:val="none" w:sz="0" w:space="0" w:color="auto"/>
      </w:divBdr>
    </w:div>
    <w:div w:id="339964641">
      <w:bodyDiv w:val="1"/>
      <w:marLeft w:val="0"/>
      <w:marRight w:val="0"/>
      <w:marTop w:val="0"/>
      <w:marBottom w:val="0"/>
      <w:divBdr>
        <w:top w:val="none" w:sz="0" w:space="0" w:color="auto"/>
        <w:left w:val="none" w:sz="0" w:space="0" w:color="auto"/>
        <w:bottom w:val="none" w:sz="0" w:space="0" w:color="auto"/>
        <w:right w:val="none" w:sz="0" w:space="0" w:color="auto"/>
      </w:divBdr>
    </w:div>
    <w:div w:id="353460211">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693401">
      <w:bodyDiv w:val="1"/>
      <w:marLeft w:val="0"/>
      <w:marRight w:val="0"/>
      <w:marTop w:val="0"/>
      <w:marBottom w:val="0"/>
      <w:divBdr>
        <w:top w:val="none" w:sz="0" w:space="0" w:color="auto"/>
        <w:left w:val="none" w:sz="0" w:space="0" w:color="auto"/>
        <w:bottom w:val="none" w:sz="0" w:space="0" w:color="auto"/>
        <w:right w:val="none" w:sz="0" w:space="0" w:color="auto"/>
      </w:divBdr>
    </w:div>
    <w:div w:id="1399861719">
      <w:bodyDiv w:val="1"/>
      <w:marLeft w:val="0"/>
      <w:marRight w:val="0"/>
      <w:marTop w:val="0"/>
      <w:marBottom w:val="0"/>
      <w:divBdr>
        <w:top w:val="none" w:sz="0" w:space="0" w:color="auto"/>
        <w:left w:val="none" w:sz="0" w:space="0" w:color="auto"/>
        <w:bottom w:val="none" w:sz="0" w:space="0" w:color="auto"/>
        <w:right w:val="none" w:sz="0" w:space="0" w:color="auto"/>
      </w:divBdr>
    </w:div>
    <w:div w:id="1416898165">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954555571">
      <w:bodyDiv w:val="1"/>
      <w:marLeft w:val="0"/>
      <w:marRight w:val="0"/>
      <w:marTop w:val="0"/>
      <w:marBottom w:val="0"/>
      <w:divBdr>
        <w:top w:val="none" w:sz="0" w:space="0" w:color="auto"/>
        <w:left w:val="none" w:sz="0" w:space="0" w:color="auto"/>
        <w:bottom w:val="none" w:sz="0" w:space="0" w:color="auto"/>
        <w:right w:val="none" w:sz="0" w:space="0" w:color="auto"/>
      </w:divBdr>
    </w:div>
    <w:div w:id="19700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ine.Delahanty@fda.hhs.gov" TargetMode="External"/><Relationship Id="rId18" Type="http://schemas.openxmlformats.org/officeDocument/2006/relationships/hyperlink" Target="mailto:Carol.Issa@fcb.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asro.org/?page=thecasrocode" TargetMode="External"/><Relationship Id="rId7" Type="http://schemas.openxmlformats.org/officeDocument/2006/relationships/webSettings" Target="webSettings.xml"/><Relationship Id="rId12" Type="http://schemas.openxmlformats.org/officeDocument/2006/relationships/hyperlink" Target="mailto:Maria.Roditis@fda.hhs.gov" TargetMode="External"/><Relationship Id="rId17" Type="http://schemas.openxmlformats.org/officeDocument/2006/relationships/hyperlink" Target="mailto:nsarna@forsmarshgroup.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krulikowski@forsmarshgroup.com" TargetMode="External"/><Relationship Id="rId20" Type="http://schemas.openxmlformats.org/officeDocument/2006/relationships/hyperlink" Target="http://www.read-able.com"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sfa.Alexander@fda.hhs.gov"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mailto:cwimpy@forsmarshgroup.com" TargetMode="External"/><Relationship Id="rId23" Type="http://schemas.openxmlformats.org/officeDocument/2006/relationships/footer" Target="footer2.xml"/><Relationship Id="rId10" Type="http://schemas.openxmlformats.org/officeDocument/2006/relationships/hyperlink" Target="mailto:Chaunetta.Jones@fda.hhs.gov" TargetMode="External"/><Relationship Id="rId19" Type="http://schemas.openxmlformats.org/officeDocument/2006/relationships/hyperlink" Target="mailto:Mark.W.Hall@fcb.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evans@forsmarshgroup.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141F-3F46-4B86-A7F0-78F289D91D7C}">
  <ds:schemaRefs>
    <ds:schemaRef ds:uri="http://schemas.openxmlformats.org/officeDocument/2006/bibliography"/>
  </ds:schemaRefs>
</ds:datastoreItem>
</file>

<file path=customXml/itemProps2.xml><?xml version="1.0" encoding="utf-8"?>
<ds:datastoreItem xmlns:ds="http://schemas.openxmlformats.org/officeDocument/2006/customXml" ds:itemID="{7BFF580C-45FD-46E2-8289-05837119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18</Pages>
  <Words>6469</Words>
  <Characters>37522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43904</CharactersWithSpaces>
  <SharedDoc>false</SharedDoc>
  <HLinks>
    <vt:vector size="162" baseType="variant">
      <vt:variant>
        <vt:i4>7209027</vt:i4>
      </vt:variant>
      <vt:variant>
        <vt:i4>80</vt:i4>
      </vt:variant>
      <vt:variant>
        <vt:i4>0</vt:i4>
      </vt:variant>
      <vt:variant>
        <vt:i4>5</vt:i4>
      </vt:variant>
      <vt:variant>
        <vt:lpwstr>mailto:jnonnemaker@rti.org</vt:lpwstr>
      </vt:variant>
      <vt:variant>
        <vt:lpwstr/>
      </vt:variant>
      <vt:variant>
        <vt:i4>6881375</vt:i4>
      </vt:variant>
      <vt:variant>
        <vt:i4>77</vt:i4>
      </vt:variant>
      <vt:variant>
        <vt:i4>0</vt:i4>
      </vt:variant>
      <vt:variant>
        <vt:i4>5</vt:i4>
      </vt:variant>
      <vt:variant>
        <vt:lpwstr>mailto:kdavis@rti.org</vt:lpwstr>
      </vt:variant>
      <vt:variant>
        <vt:lpwstr/>
      </vt:variant>
      <vt:variant>
        <vt:i4>1441839</vt:i4>
      </vt:variant>
      <vt:variant>
        <vt:i4>74</vt:i4>
      </vt:variant>
      <vt:variant>
        <vt:i4>0</vt:i4>
      </vt:variant>
      <vt:variant>
        <vt:i4>5</vt:i4>
      </vt:variant>
      <vt:variant>
        <vt:lpwstr>mailto:Janeallen@rti.org</vt:lpwstr>
      </vt:variant>
      <vt:variant>
        <vt:lpwstr/>
      </vt:variant>
      <vt:variant>
        <vt:i4>720941</vt:i4>
      </vt:variant>
      <vt:variant>
        <vt:i4>71</vt:i4>
      </vt:variant>
      <vt:variant>
        <vt:i4>0</vt:i4>
      </vt:variant>
      <vt:variant>
        <vt:i4>5</vt:i4>
      </vt:variant>
      <vt:variant>
        <vt:lpwstr>mailto:jduke@rti.org</vt:lpwstr>
      </vt:variant>
      <vt:variant>
        <vt:lpwstr/>
      </vt:variant>
      <vt:variant>
        <vt:i4>7995457</vt:i4>
      </vt:variant>
      <vt:variant>
        <vt:i4>68</vt:i4>
      </vt:variant>
      <vt:variant>
        <vt:i4>0</vt:i4>
      </vt:variant>
      <vt:variant>
        <vt:i4>5</vt:i4>
      </vt:variant>
      <vt:variant>
        <vt:lpwstr>mailto:mcf@rti.org</vt:lpwstr>
      </vt:variant>
      <vt:variant>
        <vt:lpwstr/>
      </vt:variant>
      <vt:variant>
        <vt:i4>1703984</vt:i4>
      </vt:variant>
      <vt:variant>
        <vt:i4>65</vt:i4>
      </vt:variant>
      <vt:variant>
        <vt:i4>0</vt:i4>
      </vt:variant>
      <vt:variant>
        <vt:i4>5</vt:i4>
      </vt:variant>
      <vt:variant>
        <vt:lpwstr>mailto:mohegarty@cdc.gov</vt:lpwstr>
      </vt:variant>
      <vt:variant>
        <vt:lpwstr/>
      </vt:variant>
      <vt:variant>
        <vt:i4>1310844</vt:i4>
      </vt:variant>
      <vt:variant>
        <vt:i4>62</vt:i4>
      </vt:variant>
      <vt:variant>
        <vt:i4>0</vt:i4>
      </vt:variant>
      <vt:variant>
        <vt:i4>5</vt:i4>
      </vt:variant>
      <vt:variant>
        <vt:lpwstr>mailto:ria8@cdc.gov</vt:lpwstr>
      </vt:variant>
      <vt:variant>
        <vt:lpwstr/>
      </vt:variant>
      <vt:variant>
        <vt:i4>262181</vt:i4>
      </vt:variant>
      <vt:variant>
        <vt:i4>59</vt:i4>
      </vt:variant>
      <vt:variant>
        <vt:i4>0</vt:i4>
      </vt:variant>
      <vt:variant>
        <vt:i4>5</vt:i4>
      </vt:variant>
      <vt:variant>
        <vt:lpwstr>mailto:Abby.Prestin@fda.hhs.gov</vt:lpwstr>
      </vt:variant>
      <vt:variant>
        <vt:lpwstr/>
      </vt:variant>
      <vt:variant>
        <vt:i4>786491</vt:i4>
      </vt:variant>
      <vt:variant>
        <vt:i4>56</vt:i4>
      </vt:variant>
      <vt:variant>
        <vt:i4>0</vt:i4>
      </vt:variant>
      <vt:variant>
        <vt:i4>5</vt:i4>
      </vt:variant>
      <vt:variant>
        <vt:lpwstr>mailto:David.Portnoy@fda.hhs.gov</vt:lpwstr>
      </vt:variant>
      <vt:variant>
        <vt:lpwstr/>
      </vt:variant>
      <vt:variant>
        <vt:i4>4784252</vt:i4>
      </vt:variant>
      <vt:variant>
        <vt:i4>53</vt:i4>
      </vt:variant>
      <vt:variant>
        <vt:i4>0</vt:i4>
      </vt:variant>
      <vt:variant>
        <vt:i4>5</vt:i4>
      </vt:variant>
      <vt:variant>
        <vt:lpwstr>mailto:Maria.Benoza@fda.hhs.gov</vt:lpwstr>
      </vt:variant>
      <vt:variant>
        <vt:lpwstr/>
      </vt:variant>
      <vt:variant>
        <vt:i4>917549</vt:i4>
      </vt:variant>
      <vt:variant>
        <vt:i4>50</vt:i4>
      </vt:variant>
      <vt:variant>
        <vt:i4>0</vt:i4>
      </vt:variant>
      <vt:variant>
        <vt:i4>5</vt:i4>
      </vt:variant>
      <vt:variant>
        <vt:lpwstr>mailto:april.brubach@fda.hhs.gov</vt:lpwstr>
      </vt:variant>
      <vt:variant>
        <vt:lpwstr/>
      </vt:variant>
      <vt:variant>
        <vt:i4>1966131</vt:i4>
      </vt:variant>
      <vt:variant>
        <vt:i4>47</vt:i4>
      </vt:variant>
      <vt:variant>
        <vt:i4>0</vt:i4>
      </vt:variant>
      <vt:variant>
        <vt:i4>5</vt:i4>
      </vt:variant>
      <vt:variant>
        <vt:lpwstr>mailto:Lucinda.Miner@fda.hhs.gov</vt:lpwstr>
      </vt:variant>
      <vt:variant>
        <vt:lpwstr/>
      </vt:variant>
      <vt:variant>
        <vt:i4>1245239</vt:i4>
      </vt:variant>
      <vt:variant>
        <vt:i4>44</vt:i4>
      </vt:variant>
      <vt:variant>
        <vt:i4>0</vt:i4>
      </vt:variant>
      <vt:variant>
        <vt:i4>5</vt:i4>
      </vt:variant>
      <vt:variant>
        <vt:lpwstr>mailto:Emily.Talbert@fda.hhs.gov</vt:lpwstr>
      </vt:variant>
      <vt:variant>
        <vt:lpwstr/>
      </vt:variant>
      <vt:variant>
        <vt:i4>7995483</vt:i4>
      </vt:variant>
      <vt:variant>
        <vt:i4>41</vt:i4>
      </vt:variant>
      <vt:variant>
        <vt:i4>0</vt:i4>
      </vt:variant>
      <vt:variant>
        <vt:i4>5</vt:i4>
      </vt:variant>
      <vt:variant>
        <vt:lpwstr>mailto:Tesfa.Alexander@fda.hhs.gov</vt:lpwstr>
      </vt:variant>
      <vt:variant>
        <vt:lpwstr/>
      </vt:variant>
      <vt:variant>
        <vt:i4>786474</vt:i4>
      </vt:variant>
      <vt:variant>
        <vt:i4>36</vt:i4>
      </vt:variant>
      <vt:variant>
        <vt:i4>0</vt:i4>
      </vt:variant>
      <vt:variant>
        <vt:i4>5</vt:i4>
      </vt:variant>
      <vt:variant>
        <vt:lpwstr>mailto:Cjackson@rti.org</vt:lpwstr>
      </vt:variant>
      <vt:variant>
        <vt:lpwstr/>
      </vt:variant>
      <vt:variant>
        <vt:i4>1441839</vt:i4>
      </vt:variant>
      <vt:variant>
        <vt:i4>33</vt:i4>
      </vt:variant>
      <vt:variant>
        <vt:i4>0</vt:i4>
      </vt:variant>
      <vt:variant>
        <vt:i4>5</vt:i4>
      </vt:variant>
      <vt:variant>
        <vt:lpwstr>mailto:Janeallen@rti.org</vt:lpwstr>
      </vt:variant>
      <vt:variant>
        <vt:lpwstr/>
      </vt:variant>
      <vt:variant>
        <vt:i4>720941</vt:i4>
      </vt:variant>
      <vt:variant>
        <vt:i4>30</vt:i4>
      </vt:variant>
      <vt:variant>
        <vt:i4>0</vt:i4>
      </vt:variant>
      <vt:variant>
        <vt:i4>5</vt:i4>
      </vt:variant>
      <vt:variant>
        <vt:lpwstr>mailto:jduke@rti.org</vt:lpwstr>
      </vt:variant>
      <vt:variant>
        <vt:lpwstr/>
      </vt:variant>
      <vt:variant>
        <vt:i4>7995457</vt:i4>
      </vt:variant>
      <vt:variant>
        <vt:i4>27</vt:i4>
      </vt:variant>
      <vt:variant>
        <vt:i4>0</vt:i4>
      </vt:variant>
      <vt:variant>
        <vt:i4>5</vt:i4>
      </vt:variant>
      <vt:variant>
        <vt:lpwstr>mailto:mcf@rti.org</vt:lpwstr>
      </vt:variant>
      <vt:variant>
        <vt:lpwstr/>
      </vt:variant>
      <vt:variant>
        <vt:i4>1703984</vt:i4>
      </vt:variant>
      <vt:variant>
        <vt:i4>24</vt:i4>
      </vt:variant>
      <vt:variant>
        <vt:i4>0</vt:i4>
      </vt:variant>
      <vt:variant>
        <vt:i4>5</vt:i4>
      </vt:variant>
      <vt:variant>
        <vt:lpwstr>mailto:mohegarty@cdc.gov</vt:lpwstr>
      </vt:variant>
      <vt:variant>
        <vt:lpwstr/>
      </vt:variant>
      <vt:variant>
        <vt:i4>1310844</vt:i4>
      </vt:variant>
      <vt:variant>
        <vt:i4>21</vt:i4>
      </vt:variant>
      <vt:variant>
        <vt:i4>0</vt:i4>
      </vt:variant>
      <vt:variant>
        <vt:i4>5</vt:i4>
      </vt:variant>
      <vt:variant>
        <vt:lpwstr>mailto:ria8@cdc.gov</vt:lpwstr>
      </vt:variant>
      <vt:variant>
        <vt:lpwstr/>
      </vt:variant>
      <vt:variant>
        <vt:i4>262181</vt:i4>
      </vt:variant>
      <vt:variant>
        <vt:i4>18</vt:i4>
      </vt:variant>
      <vt:variant>
        <vt:i4>0</vt:i4>
      </vt:variant>
      <vt:variant>
        <vt:i4>5</vt:i4>
      </vt:variant>
      <vt:variant>
        <vt:lpwstr>mailto:Abby.Prestin@fda.hhs.gov</vt:lpwstr>
      </vt:variant>
      <vt:variant>
        <vt:lpwstr/>
      </vt:variant>
      <vt:variant>
        <vt:i4>786491</vt:i4>
      </vt:variant>
      <vt:variant>
        <vt:i4>15</vt:i4>
      </vt:variant>
      <vt:variant>
        <vt:i4>0</vt:i4>
      </vt:variant>
      <vt:variant>
        <vt:i4>5</vt:i4>
      </vt:variant>
      <vt:variant>
        <vt:lpwstr>mailto:David.Portnoy@fda.hhs.gov</vt:lpwstr>
      </vt:variant>
      <vt:variant>
        <vt:lpwstr/>
      </vt:variant>
      <vt:variant>
        <vt:i4>4784252</vt:i4>
      </vt:variant>
      <vt:variant>
        <vt:i4>12</vt:i4>
      </vt:variant>
      <vt:variant>
        <vt:i4>0</vt:i4>
      </vt:variant>
      <vt:variant>
        <vt:i4>5</vt:i4>
      </vt:variant>
      <vt:variant>
        <vt:lpwstr>mailto:Maria.Benoza@fda.hhs.gov</vt:lpwstr>
      </vt:variant>
      <vt:variant>
        <vt:lpwstr/>
      </vt:variant>
      <vt:variant>
        <vt:i4>917549</vt:i4>
      </vt:variant>
      <vt:variant>
        <vt:i4>9</vt:i4>
      </vt:variant>
      <vt:variant>
        <vt:i4>0</vt:i4>
      </vt:variant>
      <vt:variant>
        <vt:i4>5</vt:i4>
      </vt:variant>
      <vt:variant>
        <vt:lpwstr>mailto:April.Brubach@fda.hhs.gov</vt:lpwstr>
      </vt:variant>
      <vt:variant>
        <vt:lpwstr/>
      </vt:variant>
      <vt:variant>
        <vt:i4>1966131</vt:i4>
      </vt:variant>
      <vt:variant>
        <vt:i4>6</vt:i4>
      </vt:variant>
      <vt:variant>
        <vt:i4>0</vt:i4>
      </vt:variant>
      <vt:variant>
        <vt:i4>5</vt:i4>
      </vt:variant>
      <vt:variant>
        <vt:lpwstr>mailto:Lucinda.Miner@fda.hhs.gov</vt:lpwstr>
      </vt:variant>
      <vt:variant>
        <vt:lpwstr/>
      </vt:variant>
      <vt:variant>
        <vt:i4>1245239</vt:i4>
      </vt:variant>
      <vt:variant>
        <vt:i4>3</vt:i4>
      </vt:variant>
      <vt:variant>
        <vt:i4>0</vt:i4>
      </vt:variant>
      <vt:variant>
        <vt:i4>5</vt:i4>
      </vt:variant>
      <vt:variant>
        <vt:lpwstr>mailto:Emily.Talbert@fda.hhs.gov</vt:lpwstr>
      </vt:variant>
      <vt:variant>
        <vt:lpwstr/>
      </vt:variant>
      <vt:variant>
        <vt:i4>7995483</vt:i4>
      </vt:variant>
      <vt:variant>
        <vt:i4>0</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Chaunetta Jones</dc:creator>
  <cp:lastModifiedBy>Gittleson, Daniel</cp:lastModifiedBy>
  <cp:revision>6</cp:revision>
  <dcterms:created xsi:type="dcterms:W3CDTF">2016-09-08T13:54:00Z</dcterms:created>
  <dcterms:modified xsi:type="dcterms:W3CDTF">2016-09-09T19:36:00Z</dcterms:modified>
</cp:coreProperties>
</file>