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F3E" w:rsidRPr="009943A6" w:rsidRDefault="001D7784" w:rsidP="00875F3E">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0910-0810</w:t>
      </w:r>
    </w:p>
    <w:p w:rsidR="006967DB" w:rsidRPr="006967DB" w:rsidRDefault="006967DB" w:rsidP="006967DB">
      <w:pPr>
        <w:rPr>
          <w:rFonts w:ascii="Times New Roman" w:hAnsi="Times New Roman"/>
          <w:b/>
          <w:color w:val="000000"/>
          <w:sz w:val="16"/>
          <w:szCs w:val="16"/>
        </w:rPr>
      </w:pPr>
    </w:p>
    <w:p w:rsidR="006967DB" w:rsidRPr="006967DB" w:rsidRDefault="00875F3E" w:rsidP="006967DB">
      <w:pPr>
        <w:rPr>
          <w:rFonts w:ascii="Times New Roman" w:hAnsi="Times New Roman"/>
          <w:b/>
          <w:color w:val="000000"/>
          <w:sz w:val="28"/>
          <w:szCs w:val="28"/>
        </w:rPr>
      </w:pPr>
      <w:r>
        <w:rPr>
          <w:rFonts w:ascii="Times New Roman" w:hAnsi="Times New Roman"/>
          <w:b/>
          <w:color w:val="000000"/>
          <w:sz w:val="28"/>
          <w:szCs w:val="28"/>
        </w:rPr>
        <w:t>Supporting Statement: Summary</w:t>
      </w:r>
    </w:p>
    <w:p w:rsidR="006967DB" w:rsidRPr="006967DB" w:rsidRDefault="006967DB" w:rsidP="006967DB">
      <w:pP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81DB5" w:rsidRPr="002E3ECD" w:rsidTr="002E3ECD">
        <w:tc>
          <w:tcPr>
            <w:tcW w:w="9576" w:type="dxa"/>
            <w:shd w:val="clear" w:color="auto" w:fill="auto"/>
          </w:tcPr>
          <w:p w:rsidR="006967DB" w:rsidRPr="002E3ECD" w:rsidRDefault="006967DB" w:rsidP="002E3ECD">
            <w:pPr>
              <w:pStyle w:val="ListParagraph"/>
              <w:numPr>
                <w:ilvl w:val="0"/>
                <w:numId w:val="29"/>
              </w:numPr>
              <w:spacing w:before="240"/>
              <w:rPr>
                <w:rFonts w:ascii="Times New Roman" w:hAnsi="Times New Roman"/>
              </w:rPr>
            </w:pPr>
            <w:r w:rsidRPr="002E3ECD">
              <w:rPr>
                <w:rFonts w:ascii="Times New Roman" w:hAnsi="Times New Roman"/>
              </w:rPr>
              <w:t>The goal of this project is to measure youth’s perceptions of various tobacco-related facts and the effectiveness of these facts among youth aged 13 to 17 who have either experimented with smoking (</w:t>
            </w:r>
            <w:r w:rsidRPr="002E3ECD">
              <w:rPr>
                <w:rFonts w:ascii="Times New Roman" w:hAnsi="Times New Roman"/>
                <w:color w:val="000000"/>
              </w:rPr>
              <w:t>i.e., have reported smoking fewer than 100 cigarettes in lifetime)</w:t>
            </w:r>
            <w:r w:rsidRPr="002E3ECD">
              <w:rPr>
                <w:rFonts w:ascii="Times New Roman" w:hAnsi="Times New Roman"/>
              </w:rPr>
              <w:t xml:space="preserve"> or are at risk of initiating smoking </w:t>
            </w:r>
            <w:r w:rsidRPr="002E3ECD">
              <w:rPr>
                <w:rFonts w:ascii="Times New Roman" w:hAnsi="Times New Roman"/>
                <w:color w:val="000000"/>
              </w:rPr>
              <w:t>(e.g., would smoke if a friend offered them a cigarette)</w:t>
            </w:r>
            <w:r w:rsidRPr="002E3ECD">
              <w:rPr>
                <w:rFonts w:ascii="Times New Roman" w:hAnsi="Times New Roman"/>
              </w:rPr>
              <w:t xml:space="preserve">. </w:t>
            </w:r>
          </w:p>
          <w:p w:rsidR="006967DB" w:rsidRPr="002E3ECD" w:rsidRDefault="006967DB" w:rsidP="002E3ECD">
            <w:pPr>
              <w:pStyle w:val="ListParagraph"/>
              <w:numPr>
                <w:ilvl w:val="0"/>
                <w:numId w:val="29"/>
              </w:numPr>
              <w:rPr>
                <w:rFonts w:ascii="Times New Roman" w:hAnsi="Times New Roman"/>
              </w:rPr>
            </w:pPr>
            <w:r w:rsidRPr="002E3ECD">
              <w:rPr>
                <w:rFonts w:ascii="Times New Roman" w:hAnsi="Times New Roman"/>
              </w:rPr>
              <w:t>The study will be conducted using web-based surveys that are self-administered on personal computers. The study will use an online survey to target approximately 1</w:t>
            </w:r>
            <w:r w:rsidR="00560F15">
              <w:rPr>
                <w:rFonts w:ascii="Times New Roman" w:hAnsi="Times New Roman"/>
              </w:rPr>
              <w:t>,</w:t>
            </w:r>
            <w:r w:rsidRPr="002E3ECD">
              <w:rPr>
                <w:rFonts w:ascii="Times New Roman" w:hAnsi="Times New Roman"/>
              </w:rPr>
              <w:t xml:space="preserve">500 youth who are 13-17 years old, and who have experimented with cigarettes or who are at risk of experimenting with cigarettes.  The study will take approximately 20 minutes to complete per participant.   </w:t>
            </w:r>
          </w:p>
          <w:p w:rsidR="006967DB" w:rsidRPr="002E3ECD" w:rsidRDefault="006967DB" w:rsidP="002E3ECD">
            <w:pPr>
              <w:pStyle w:val="ListParagraph"/>
              <w:numPr>
                <w:ilvl w:val="0"/>
                <w:numId w:val="29"/>
              </w:numPr>
              <w:rPr>
                <w:rFonts w:ascii="Times New Roman" w:hAnsi="Times New Roman"/>
              </w:rPr>
            </w:pPr>
            <w:r w:rsidRPr="002E3ECD">
              <w:rPr>
                <w:rFonts w:ascii="Times New Roman" w:hAnsi="Times New Roman"/>
              </w:rPr>
              <w:t>The outcome of the survey will be an understanding of teen’s receptivity to various tobacco-related facts.  Understanding teen perceptions of these facts can help refine tobacco-related messaging for future tobacco prevention campaigns.</w:t>
            </w:r>
          </w:p>
          <w:p w:rsidR="006967DB" w:rsidRPr="002E3ECD" w:rsidRDefault="006967DB" w:rsidP="002E3ECD">
            <w:pPr>
              <w:pStyle w:val="ListParagraph"/>
              <w:numPr>
                <w:ilvl w:val="0"/>
                <w:numId w:val="29"/>
              </w:numPr>
              <w:rPr>
                <w:rFonts w:ascii="Times New Roman" w:hAnsi="Times New Roman"/>
              </w:rPr>
            </w:pPr>
            <w:r w:rsidRPr="002E3ECD">
              <w:rPr>
                <w:rFonts w:ascii="Times New Roman" w:hAnsi="Times New Roman"/>
              </w:rPr>
              <w:t>The resulting data will be analyzed using conventional tabulation techniques. The study questions collect information about respondents’ reactions to tobacco-related facts, and also include basic demographic and tobacco use information in order to understand whether and how these factors may influence individuals’ responses to these facts.</w:t>
            </w:r>
          </w:p>
        </w:tc>
      </w:tr>
    </w:tbl>
    <w:p w:rsidR="006967DB" w:rsidRPr="006967DB" w:rsidRDefault="006967DB" w:rsidP="006967DB">
      <w:pPr>
        <w:rPr>
          <w:rFonts w:ascii="Times New Roman" w:hAnsi="Times New Roman"/>
          <w:b/>
          <w:color w:val="000000"/>
        </w:rPr>
      </w:pPr>
    </w:p>
    <w:p w:rsidR="006967DB" w:rsidRDefault="006967DB" w:rsidP="006967DB">
      <w:pPr>
        <w:rPr>
          <w:rFonts w:ascii="Times New Roman" w:hAnsi="Times New Roman"/>
          <w:b/>
          <w:color w:val="000000"/>
          <w:sz w:val="22"/>
          <w:u w:val="single"/>
        </w:rPr>
      </w:pPr>
    </w:p>
    <w:p w:rsidR="006967DB" w:rsidRDefault="006967DB" w:rsidP="006967DB">
      <w:pPr>
        <w:rPr>
          <w:rFonts w:ascii="Times New Roman" w:hAnsi="Times New Roman"/>
          <w:b/>
          <w:color w:val="000000"/>
          <w:sz w:val="22"/>
          <w:u w:val="single"/>
        </w:rPr>
      </w:pPr>
      <w:r w:rsidRPr="006967DB">
        <w:rPr>
          <w:rFonts w:ascii="Times New Roman" w:hAnsi="Times New Roman"/>
          <w:b/>
          <w:color w:val="000000"/>
          <w:sz w:val="22"/>
          <w:u w:val="single"/>
        </w:rPr>
        <w:t xml:space="preserve">Consent Forms </w:t>
      </w:r>
    </w:p>
    <w:p w:rsidR="006967DB" w:rsidRPr="006967DB" w:rsidRDefault="006967DB" w:rsidP="006967DB">
      <w:pPr>
        <w:spacing w:line="276" w:lineRule="auto"/>
        <w:rPr>
          <w:rFonts w:ascii="Times New Roman" w:hAnsi="Times New Roman"/>
          <w:b/>
          <w:color w:val="000000"/>
          <w:sz w:val="22"/>
        </w:rPr>
      </w:pPr>
    </w:p>
    <w:p w:rsidR="006967DB" w:rsidRPr="006967DB" w:rsidRDefault="006967DB" w:rsidP="006967DB">
      <w:pPr>
        <w:pStyle w:val="ListParagraph"/>
        <w:numPr>
          <w:ilvl w:val="0"/>
          <w:numId w:val="30"/>
        </w:numPr>
        <w:spacing w:after="0"/>
        <w:rPr>
          <w:rFonts w:ascii="Times New Roman" w:hAnsi="Times New Roman"/>
          <w:color w:val="000000"/>
        </w:rPr>
      </w:pPr>
      <w:r w:rsidRPr="006967DB">
        <w:rPr>
          <w:rFonts w:ascii="Times New Roman" w:hAnsi="Times New Roman"/>
          <w:color w:val="000000"/>
        </w:rPr>
        <w:t>Attachment A: Invitation and Parental Permission Form</w:t>
      </w:r>
    </w:p>
    <w:p w:rsidR="006967DB" w:rsidRPr="006967DB" w:rsidRDefault="006967DB" w:rsidP="006967DB">
      <w:pPr>
        <w:pStyle w:val="ListParagraph"/>
        <w:numPr>
          <w:ilvl w:val="0"/>
          <w:numId w:val="30"/>
        </w:numPr>
        <w:spacing w:after="0"/>
        <w:rPr>
          <w:rFonts w:ascii="Times New Roman" w:hAnsi="Times New Roman"/>
          <w:color w:val="000000"/>
        </w:rPr>
      </w:pPr>
      <w:r w:rsidRPr="006967DB">
        <w:rPr>
          <w:rFonts w:ascii="Times New Roman" w:hAnsi="Times New Roman"/>
          <w:color w:val="000000"/>
        </w:rPr>
        <w:t>Attachment B: Invitation and Youth Assent Form</w:t>
      </w:r>
    </w:p>
    <w:p w:rsidR="006967DB" w:rsidRPr="006967DB" w:rsidRDefault="006967DB" w:rsidP="006967DB">
      <w:pPr>
        <w:rPr>
          <w:rFonts w:ascii="Times New Roman" w:hAnsi="Times New Roman"/>
          <w:b/>
          <w:color w:val="000000"/>
        </w:rPr>
      </w:pPr>
    </w:p>
    <w:p w:rsidR="006967DB" w:rsidRDefault="006967DB" w:rsidP="006967DB">
      <w:pPr>
        <w:rPr>
          <w:rFonts w:ascii="Times New Roman" w:hAnsi="Times New Roman"/>
          <w:b/>
          <w:color w:val="000000"/>
          <w:sz w:val="22"/>
          <w:u w:val="single"/>
        </w:rPr>
      </w:pPr>
    </w:p>
    <w:p w:rsidR="006967DB" w:rsidRDefault="006967DB" w:rsidP="006967DB">
      <w:pPr>
        <w:rPr>
          <w:rFonts w:ascii="Times New Roman" w:hAnsi="Times New Roman"/>
          <w:b/>
          <w:color w:val="000000"/>
          <w:sz w:val="22"/>
          <w:u w:val="single"/>
        </w:rPr>
      </w:pPr>
      <w:r w:rsidRPr="006967DB">
        <w:rPr>
          <w:rFonts w:ascii="Times New Roman" w:hAnsi="Times New Roman"/>
          <w:b/>
          <w:color w:val="000000"/>
          <w:sz w:val="22"/>
          <w:u w:val="single"/>
        </w:rPr>
        <w:t>Data Collection Instruments</w:t>
      </w:r>
    </w:p>
    <w:p w:rsidR="006967DB" w:rsidRPr="006967DB" w:rsidRDefault="006967DB" w:rsidP="006967DB">
      <w:pPr>
        <w:spacing w:line="276" w:lineRule="auto"/>
        <w:rPr>
          <w:rFonts w:ascii="Times New Roman" w:hAnsi="Times New Roman"/>
          <w:color w:val="000000"/>
          <w:sz w:val="22"/>
          <w:u w:val="single"/>
        </w:rPr>
      </w:pPr>
    </w:p>
    <w:p w:rsidR="006967DB" w:rsidRPr="006967DB" w:rsidRDefault="006967DB" w:rsidP="006967DB">
      <w:pPr>
        <w:pStyle w:val="ListParagraph"/>
        <w:numPr>
          <w:ilvl w:val="0"/>
          <w:numId w:val="28"/>
        </w:numPr>
        <w:spacing w:after="0"/>
        <w:ind w:left="720"/>
        <w:rPr>
          <w:rFonts w:ascii="Times New Roman" w:hAnsi="Times New Roman"/>
          <w:color w:val="000000"/>
        </w:rPr>
      </w:pPr>
      <w:r w:rsidRPr="006967DB">
        <w:rPr>
          <w:rFonts w:ascii="Times New Roman" w:hAnsi="Times New Roman"/>
          <w:color w:val="000000"/>
        </w:rPr>
        <w:t>Attachment C: Screener</w:t>
      </w:r>
    </w:p>
    <w:p w:rsidR="006967DB" w:rsidRPr="006967DB" w:rsidRDefault="006967DB" w:rsidP="006967DB">
      <w:pPr>
        <w:pStyle w:val="ListParagraph"/>
        <w:numPr>
          <w:ilvl w:val="0"/>
          <w:numId w:val="28"/>
        </w:numPr>
        <w:spacing w:after="0"/>
        <w:ind w:left="720"/>
        <w:rPr>
          <w:rFonts w:ascii="Times New Roman" w:hAnsi="Times New Roman"/>
          <w:color w:val="000000"/>
        </w:rPr>
      </w:pPr>
      <w:r w:rsidRPr="006967DB">
        <w:rPr>
          <w:rFonts w:ascii="Times New Roman" w:hAnsi="Times New Roman"/>
          <w:color w:val="000000"/>
        </w:rPr>
        <w:t>Attachment D: Survey</w:t>
      </w:r>
    </w:p>
    <w:p w:rsidR="006967DB" w:rsidRPr="006967DB" w:rsidRDefault="006967DB" w:rsidP="006967DB">
      <w:pPr>
        <w:pStyle w:val="ListParagraph"/>
        <w:numPr>
          <w:ilvl w:val="0"/>
          <w:numId w:val="28"/>
        </w:numPr>
        <w:spacing w:after="0"/>
        <w:ind w:left="720"/>
        <w:rPr>
          <w:rFonts w:ascii="Times New Roman" w:hAnsi="Times New Roman"/>
          <w:color w:val="000000"/>
        </w:rPr>
      </w:pPr>
      <w:r w:rsidRPr="006967DB">
        <w:rPr>
          <w:rFonts w:ascii="Times New Roman" w:hAnsi="Times New Roman"/>
          <w:color w:val="000000"/>
        </w:rPr>
        <w:t>Attachment E: Facts to be Tested</w:t>
      </w:r>
    </w:p>
    <w:p w:rsidR="006967DB" w:rsidRPr="006967DB" w:rsidRDefault="006967DB" w:rsidP="006967DB">
      <w:pPr>
        <w:pStyle w:val="ListParagraph"/>
        <w:rPr>
          <w:color w:val="000000"/>
        </w:rPr>
      </w:pPr>
      <w:r w:rsidRPr="006967DB">
        <w:rPr>
          <w:color w:val="000000"/>
        </w:rPr>
        <w:t xml:space="preserve"> </w:t>
      </w:r>
    </w:p>
    <w:p w:rsidR="006967DB" w:rsidRDefault="006967DB" w:rsidP="009943A6">
      <w:pPr>
        <w:autoSpaceDE/>
        <w:autoSpaceDN/>
        <w:adjustRightInd/>
        <w:spacing w:before="100" w:beforeAutospacing="1" w:after="100" w:afterAutospacing="1"/>
        <w:jc w:val="center"/>
        <w:outlineLvl w:val="0"/>
        <w:rPr>
          <w:rFonts w:ascii="Times New Roman" w:hAnsi="Times New Roman"/>
          <w:b/>
          <w:sz w:val="24"/>
          <w:szCs w:val="24"/>
        </w:rPr>
      </w:pPr>
    </w:p>
    <w:p w:rsidR="006967DB" w:rsidRDefault="006967DB" w:rsidP="006967DB">
      <w:pPr>
        <w:autoSpaceDE/>
        <w:autoSpaceDN/>
        <w:adjustRightInd/>
        <w:spacing w:before="100" w:beforeAutospacing="1" w:after="100" w:afterAutospacing="1"/>
        <w:outlineLvl w:val="0"/>
        <w:rPr>
          <w:rFonts w:ascii="Times New Roman" w:hAnsi="Times New Roman"/>
          <w:b/>
          <w:sz w:val="24"/>
          <w:szCs w:val="24"/>
        </w:rPr>
      </w:pPr>
    </w:p>
    <w:p w:rsidR="006967DB" w:rsidRPr="006967DB" w:rsidRDefault="006967DB" w:rsidP="006967DB">
      <w:pPr>
        <w:autoSpaceDE/>
        <w:autoSpaceDN/>
        <w:adjustRightInd/>
        <w:spacing w:before="100" w:beforeAutospacing="1" w:after="100" w:afterAutospacing="1"/>
        <w:jc w:val="center"/>
        <w:outlineLvl w:val="0"/>
        <w:rPr>
          <w:rFonts w:ascii="Times New Roman" w:hAnsi="Times New Roman"/>
          <w:b/>
          <w:sz w:val="22"/>
        </w:rPr>
      </w:pPr>
      <w:r>
        <w:rPr>
          <w:rFonts w:ascii="Times New Roman" w:hAnsi="Times New Roman"/>
          <w:b/>
          <w:sz w:val="22"/>
        </w:rPr>
        <w:br w:type="page"/>
      </w:r>
      <w:r w:rsidRPr="006967DB">
        <w:rPr>
          <w:rFonts w:ascii="Times New Roman" w:hAnsi="Times New Roman"/>
          <w:b/>
          <w:sz w:val="22"/>
        </w:rPr>
        <w:lastRenderedPageBreak/>
        <w:t>Quantitative Study of Tobacco Facts Designed to Inform Youth Tobacco Prevention Messaging</w:t>
      </w:r>
    </w:p>
    <w:p w:rsidR="00457B64" w:rsidRPr="009943A6" w:rsidRDefault="00457B64" w:rsidP="009943A6">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09</w:t>
      </w:r>
      <w:r w:rsidR="0002650D">
        <w:rPr>
          <w:rFonts w:ascii="Times New Roman" w:hAnsi="Times New Roman"/>
          <w:b/>
          <w:sz w:val="24"/>
          <w:szCs w:val="24"/>
        </w:rPr>
        <w:t>10</w:t>
      </w:r>
      <w:r w:rsidR="001D7784">
        <w:rPr>
          <w:rFonts w:ascii="Times New Roman" w:hAnsi="Times New Roman"/>
          <w:b/>
          <w:sz w:val="24"/>
          <w:szCs w:val="24"/>
        </w:rPr>
        <w:t>-0810</w:t>
      </w:r>
      <w:bookmarkStart w:id="0" w:name="_GoBack"/>
      <w:bookmarkEnd w:id="0"/>
    </w:p>
    <w:p w:rsidR="00596B96" w:rsidRDefault="009943A6" w:rsidP="00293C23">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sidR="00875F3E">
        <w:rPr>
          <w:rFonts w:ascii="Times New Roman" w:hAnsi="Times New Roman"/>
          <w:b/>
          <w:sz w:val="24"/>
          <w:szCs w:val="24"/>
        </w:rPr>
        <w:t>: Part A</w:t>
      </w:r>
    </w:p>
    <w:p w:rsidR="00293C23" w:rsidRPr="00293C23" w:rsidRDefault="00293C23" w:rsidP="00EB43D0">
      <w:pPr>
        <w:autoSpaceDE/>
        <w:autoSpaceDN/>
        <w:adjustRightInd/>
        <w:spacing w:before="100" w:beforeAutospacing="1" w:after="100" w:afterAutospacing="1"/>
        <w:jc w:val="center"/>
        <w:rPr>
          <w:rFonts w:ascii="Times New Roman" w:hAnsi="Times New Roman"/>
          <w:b/>
          <w:sz w:val="24"/>
          <w:szCs w:val="24"/>
        </w:rPr>
      </w:pPr>
    </w:p>
    <w:p w:rsidR="005C0FF9" w:rsidRPr="002051D8" w:rsidRDefault="005C0FF9" w:rsidP="00EB43D0">
      <w:pPr>
        <w:numPr>
          <w:ilvl w:val="12"/>
          <w:numId w:val="0"/>
        </w:numPr>
        <w:outlineLvl w:val="1"/>
        <w:rPr>
          <w:rFonts w:ascii="Times New Roman" w:hAnsi="Times New Roman"/>
          <w:b/>
          <w:bCs/>
          <w:sz w:val="24"/>
          <w:szCs w:val="24"/>
        </w:rPr>
      </w:pPr>
      <w:bookmarkStart w:id="1" w:name="_Toc239649220"/>
      <w:r w:rsidRPr="002051D8">
        <w:rPr>
          <w:rFonts w:ascii="Times New Roman" w:hAnsi="Times New Roman"/>
          <w:b/>
          <w:bCs/>
          <w:sz w:val="24"/>
          <w:szCs w:val="24"/>
        </w:rPr>
        <w:t>A.  JUSTIFICATION</w:t>
      </w:r>
      <w:bookmarkEnd w:id="1"/>
    </w:p>
    <w:p w:rsidR="005C0FF9" w:rsidRPr="002051D8" w:rsidRDefault="005C0FF9" w:rsidP="00EB43D0">
      <w:pPr>
        <w:numPr>
          <w:ilvl w:val="12"/>
          <w:numId w:val="0"/>
        </w:numPr>
        <w:rPr>
          <w:rFonts w:ascii="Times New Roman" w:hAnsi="Times New Roman"/>
          <w:b/>
          <w:bCs/>
          <w:sz w:val="24"/>
          <w:szCs w:val="24"/>
        </w:rPr>
      </w:pPr>
    </w:p>
    <w:p w:rsidR="005C0FF9" w:rsidRPr="002051D8" w:rsidRDefault="005C0FF9" w:rsidP="00EB43D0">
      <w:pPr>
        <w:numPr>
          <w:ilvl w:val="12"/>
          <w:numId w:val="0"/>
        </w:numPr>
        <w:outlineLvl w:val="2"/>
        <w:rPr>
          <w:rFonts w:ascii="Times New Roman" w:hAnsi="Times New Roman"/>
          <w:b/>
          <w:bCs/>
          <w:sz w:val="24"/>
          <w:szCs w:val="24"/>
          <w:u w:val="single"/>
        </w:rPr>
      </w:pPr>
      <w:bookmarkStart w:id="2" w:name="_Toc239649221"/>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2"/>
    </w:p>
    <w:p w:rsidR="005C0FF9" w:rsidRPr="002051D8" w:rsidRDefault="005C0FF9" w:rsidP="00EB43D0">
      <w:pPr>
        <w:numPr>
          <w:ilvl w:val="12"/>
          <w:numId w:val="0"/>
        </w:numPr>
        <w:rPr>
          <w:rFonts w:ascii="Times New Roman" w:hAnsi="Times New Roman"/>
          <w:sz w:val="24"/>
          <w:szCs w:val="24"/>
        </w:rPr>
      </w:pPr>
    </w:p>
    <w:p w:rsidR="002E3ECD" w:rsidRPr="002E3ECD"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On June 22, 2009, the Food and Drug Administration (FDA) was granted new authority to regulate the manufacture, marketing, and distribution of tobacco products and educate the public about the dangers of tobacco use. Under the Family Smoking Prevention and Tobacco Control Act (Tobacco Control Act) (P.L. 111-31)</w:t>
      </w:r>
      <w:r w:rsidR="001925F1">
        <w:rPr>
          <w:rFonts w:ascii="Times New Roman" w:hAnsi="Times New Roman"/>
          <w:sz w:val="24"/>
          <w:szCs w:val="24"/>
        </w:rPr>
        <w:t>,</w:t>
      </w:r>
      <w:r w:rsidRPr="002E3ECD">
        <w:rPr>
          <w:rFonts w:ascii="Times New Roman" w:hAnsi="Times New Roman"/>
          <w:sz w:val="24"/>
          <w:szCs w:val="24"/>
        </w:rPr>
        <w:t xml:space="preserve"> FDA is responsible for protecting the public health and reducing tobacco use among minors. Section 1003(d)(2)(D) of the Food, Drug and Cosmetic Act (21 U.S.C. Section 393(d)(2)(D)) and Sections 2, 3, 105, 201, 204, 904, and 908 of the 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2E3ECD" w:rsidRDefault="002E3ECD" w:rsidP="002E3ECD">
      <w:pPr>
        <w:numPr>
          <w:ilvl w:val="12"/>
          <w:numId w:val="0"/>
        </w:numPr>
        <w:ind w:left="270"/>
        <w:rPr>
          <w:rFonts w:ascii="Times New Roman" w:hAnsi="Times New Roman"/>
          <w:sz w:val="24"/>
          <w:szCs w:val="24"/>
        </w:rPr>
      </w:pPr>
    </w:p>
    <w:p w:rsidR="002E3ECD" w:rsidRPr="002E3ECD"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Tobacco use is the leading preventable cause of disease, disability, and death in the United States. More than 480,000 deaths are caused by tobacco use each year in the United States (USDHHS, 2014). Each day, more than 2,600 youth in the United States try their first cigarette, and nearly 600 youth become daily smokers (NSDUH, 2014). The FDA Center for Tobacco Products (CTP) was created to carry out the authorities granted under the 2009 Tobacco Control Act, to educate the public about the dangers of tobacco use and serve as a public health resource for tobacco and health information.</w:t>
      </w:r>
    </w:p>
    <w:p w:rsidR="002E3ECD" w:rsidRDefault="002E3ECD" w:rsidP="002E3ECD">
      <w:pPr>
        <w:numPr>
          <w:ilvl w:val="12"/>
          <w:numId w:val="0"/>
        </w:numPr>
        <w:ind w:left="270"/>
        <w:rPr>
          <w:rFonts w:ascii="Times New Roman" w:hAnsi="Times New Roman"/>
          <w:sz w:val="24"/>
          <w:szCs w:val="24"/>
        </w:rPr>
      </w:pPr>
    </w:p>
    <w:p w:rsidR="002E3ECD" w:rsidRPr="002E3ECD"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 xml:space="preserve">Through CTP, FDA researches, develops, and distributes information about tobacco and health to the public, professionals, various branches of government, and other interested groups nationwide using a wide array of formats and media channels. FDA will implement youth tobacco prevention campaigns, which are currently under development and will include evidence-based paid media advertising that highlights the negative health consequences of tobacco use. The objective of the proposed data collection is to measure the effectiveness of tobacco-related facts among youth aged 13 to 17 who have either experimented with smoking or are at risk of experimenting with smoking. </w:t>
      </w:r>
    </w:p>
    <w:p w:rsidR="002E3ECD" w:rsidRDefault="002E3ECD" w:rsidP="002E3ECD">
      <w:pPr>
        <w:numPr>
          <w:ilvl w:val="12"/>
          <w:numId w:val="0"/>
        </w:numPr>
        <w:ind w:left="270"/>
        <w:rPr>
          <w:rFonts w:ascii="Times New Roman" w:hAnsi="Times New Roman"/>
          <w:sz w:val="24"/>
          <w:szCs w:val="24"/>
        </w:rPr>
      </w:pPr>
    </w:p>
    <w:p w:rsidR="002E3ECD" w:rsidRPr="002E3ECD"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This study is designed to measure youth’s perceptions of various tobacco-related facts. The study will be conducted using web-based surveys that are self-administered on personal computers. The study will use an online survey to target approximately 1</w:t>
      </w:r>
      <w:r w:rsidR="00560F15">
        <w:rPr>
          <w:rFonts w:ascii="Times New Roman" w:hAnsi="Times New Roman"/>
          <w:sz w:val="24"/>
          <w:szCs w:val="24"/>
        </w:rPr>
        <w:t>,</w:t>
      </w:r>
      <w:r w:rsidRPr="002E3ECD">
        <w:rPr>
          <w:rFonts w:ascii="Times New Roman" w:hAnsi="Times New Roman"/>
          <w:sz w:val="24"/>
          <w:szCs w:val="24"/>
        </w:rPr>
        <w:t xml:space="preserve">500 youth who are 13-17 years old, and who have experimented with cigarettes or who are at risk of </w:t>
      </w:r>
      <w:r w:rsidRPr="002E3ECD">
        <w:rPr>
          <w:rFonts w:ascii="Times New Roman" w:hAnsi="Times New Roman"/>
          <w:sz w:val="24"/>
          <w:szCs w:val="24"/>
        </w:rPr>
        <w:lastRenderedPageBreak/>
        <w:t>experimenting with cigarettes.  This study will aim to learn about youth’s opinions of tobacco-related facts.  This survey will ask participants to rate approximately10 randomly selected facts about tobacco and then answer questions about their knowledge, attitudes and beliefs about these facts.</w:t>
      </w:r>
    </w:p>
    <w:p w:rsidR="002E3ECD" w:rsidRDefault="002E3ECD" w:rsidP="002E3ECD">
      <w:pPr>
        <w:numPr>
          <w:ilvl w:val="12"/>
          <w:numId w:val="0"/>
        </w:numPr>
        <w:ind w:left="270"/>
        <w:rPr>
          <w:rFonts w:ascii="Times New Roman" w:hAnsi="Times New Roman"/>
          <w:sz w:val="24"/>
          <w:szCs w:val="24"/>
        </w:rPr>
      </w:pPr>
    </w:p>
    <w:p w:rsidR="002E3ECD" w:rsidRPr="002E3ECD"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 xml:space="preserve">Participants will be recruited through an existing </w:t>
      </w:r>
      <w:proofErr w:type="spellStart"/>
      <w:r w:rsidRPr="002E3ECD">
        <w:rPr>
          <w:rFonts w:ascii="Times New Roman" w:hAnsi="Times New Roman"/>
          <w:sz w:val="24"/>
          <w:szCs w:val="24"/>
        </w:rPr>
        <w:t>GfK</w:t>
      </w:r>
      <w:proofErr w:type="spellEnd"/>
      <w:r w:rsidRPr="002E3ECD">
        <w:rPr>
          <w:rFonts w:ascii="Times New Roman" w:hAnsi="Times New Roman"/>
          <w:sz w:val="24"/>
          <w:szCs w:val="24"/>
        </w:rPr>
        <w:t xml:space="preserve"> panel of adults with children ages 13-17 who have been prescreened for their willingness for their child to participate in online surveys.  Adult panelists will receive an initial email invitation from </w:t>
      </w:r>
      <w:proofErr w:type="spellStart"/>
      <w:r w:rsidRPr="002E3ECD">
        <w:rPr>
          <w:rFonts w:ascii="Times New Roman" w:hAnsi="Times New Roman"/>
          <w:sz w:val="24"/>
          <w:szCs w:val="24"/>
        </w:rPr>
        <w:t>GfK</w:t>
      </w:r>
      <w:proofErr w:type="spellEnd"/>
      <w:r w:rsidRPr="002E3ECD">
        <w:rPr>
          <w:rFonts w:ascii="Times New Roman" w:hAnsi="Times New Roman"/>
          <w:sz w:val="24"/>
          <w:szCs w:val="24"/>
        </w:rPr>
        <w:t xml:space="preserve"> that indicates their child has been invited to participate in a new survey (Attachment A). If the parent determines that they would like their child to participate in this particular survey, they will be asked to provide parental permission and an email address for the child. An introductory email will then be sent to the youth inviting them to participate in the study and requesting their assent (Attachment B).   If the youth gives their assent, they will be redirected to the online screener (Attachment C). If they qualify to participate in the study, they will begin the survey (Attachment D).  </w:t>
      </w:r>
    </w:p>
    <w:p w:rsidR="002E3ECD" w:rsidRDefault="002E3ECD" w:rsidP="002E3ECD">
      <w:pPr>
        <w:numPr>
          <w:ilvl w:val="12"/>
          <w:numId w:val="0"/>
        </w:numPr>
        <w:ind w:left="270"/>
        <w:rPr>
          <w:rFonts w:ascii="Times New Roman" w:hAnsi="Times New Roman"/>
          <w:sz w:val="24"/>
          <w:szCs w:val="24"/>
        </w:rPr>
      </w:pPr>
    </w:p>
    <w:p w:rsidR="00654117" w:rsidRPr="002051D8" w:rsidRDefault="002E3ECD" w:rsidP="002E3ECD">
      <w:pPr>
        <w:numPr>
          <w:ilvl w:val="12"/>
          <w:numId w:val="0"/>
        </w:numPr>
        <w:ind w:left="270"/>
        <w:rPr>
          <w:rFonts w:ascii="Times New Roman" w:hAnsi="Times New Roman"/>
          <w:sz w:val="24"/>
          <w:szCs w:val="24"/>
        </w:rPr>
      </w:pPr>
      <w:r w:rsidRPr="002E3ECD">
        <w:rPr>
          <w:rFonts w:ascii="Times New Roman" w:hAnsi="Times New Roman"/>
          <w:sz w:val="24"/>
          <w:szCs w:val="24"/>
        </w:rPr>
        <w:t>We anticipate data collection to take approximately 3 months. The outcome of the survey will be an understanding of teens’ receptivity to various tobacco-related facts.  Understanding teen perceptions of tobacco facts can help refine tobacco-related messaging for future tobacco prevention campaigns.</w:t>
      </w:r>
    </w:p>
    <w:p w:rsidR="007D0A85" w:rsidRDefault="007D0A85">
      <w:pPr>
        <w:autoSpaceDE/>
        <w:autoSpaceDN/>
        <w:adjustRightInd/>
        <w:rPr>
          <w:rFonts w:ascii="Times New Roman" w:hAnsi="Times New Roman"/>
          <w:b/>
          <w:bCs/>
          <w:sz w:val="24"/>
          <w:szCs w:val="24"/>
        </w:rPr>
      </w:pPr>
      <w:bookmarkStart w:id="3" w:name="_Toc239649222"/>
    </w:p>
    <w:p w:rsidR="005C0FF9" w:rsidRPr="005E5681" w:rsidRDefault="005C0FF9" w:rsidP="00EB43D0">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bookmarkEnd w:id="3"/>
    </w:p>
    <w:p w:rsidR="005C0FF9" w:rsidRDefault="005C0FF9" w:rsidP="00EB43D0">
      <w:pPr>
        <w:numPr>
          <w:ilvl w:val="12"/>
          <w:numId w:val="0"/>
        </w:numPr>
        <w:rPr>
          <w:rFonts w:ascii="Times New Roman" w:hAnsi="Times New Roman"/>
          <w:sz w:val="24"/>
          <w:szCs w:val="24"/>
        </w:rPr>
      </w:pPr>
    </w:p>
    <w:p w:rsidR="002E3ECD" w:rsidRPr="002E3ECD" w:rsidRDefault="002E3ECD" w:rsidP="002E3ECD">
      <w:pPr>
        <w:numPr>
          <w:ilvl w:val="12"/>
          <w:numId w:val="0"/>
        </w:numPr>
        <w:ind w:left="360"/>
        <w:rPr>
          <w:rFonts w:ascii="Times New Roman" w:hAnsi="Times New Roman"/>
          <w:sz w:val="24"/>
          <w:szCs w:val="24"/>
        </w:rPr>
      </w:pPr>
      <w:r w:rsidRPr="002E3ECD">
        <w:rPr>
          <w:rFonts w:ascii="Times New Roman" w:hAnsi="Times New Roman"/>
          <w:sz w:val="24"/>
          <w:szCs w:val="24"/>
        </w:rPr>
        <w:t>The information obtained from the proposed data collection activities is collected from youth ages 13-17 in American households, and will be used to inform FDA, prevention practitioners, and researchers about youth’s receptivity to tobacco-related facts.  While not exhaustive, the list below illustrates a range of purposes and uses for the proposed information collection:</w:t>
      </w:r>
    </w:p>
    <w:p w:rsidR="002E3ECD" w:rsidRPr="002E3ECD" w:rsidRDefault="002E3ECD" w:rsidP="002E3ECD">
      <w:pPr>
        <w:numPr>
          <w:ilvl w:val="12"/>
          <w:numId w:val="0"/>
        </w:numPr>
        <w:ind w:left="360"/>
        <w:rPr>
          <w:rFonts w:ascii="Times New Roman" w:hAnsi="Times New Roman"/>
          <w:sz w:val="24"/>
          <w:szCs w:val="24"/>
        </w:rPr>
      </w:pPr>
    </w:p>
    <w:p w:rsidR="002E3ECD" w:rsidRPr="002E3ECD" w:rsidRDefault="002E3ECD" w:rsidP="002E3ECD">
      <w:pPr>
        <w:numPr>
          <w:ilvl w:val="0"/>
          <w:numId w:val="30"/>
        </w:numPr>
        <w:ind w:left="1080"/>
        <w:rPr>
          <w:rFonts w:ascii="Times New Roman" w:hAnsi="Times New Roman"/>
          <w:sz w:val="24"/>
          <w:szCs w:val="24"/>
        </w:rPr>
      </w:pPr>
      <w:r w:rsidRPr="002E3ECD">
        <w:rPr>
          <w:rFonts w:ascii="Times New Roman" w:hAnsi="Times New Roman"/>
          <w:sz w:val="24"/>
          <w:szCs w:val="24"/>
        </w:rPr>
        <w:t>Understand what type of tobacco-related facts youth perceive as most effective to prevent smoking.</w:t>
      </w:r>
    </w:p>
    <w:p w:rsidR="002E3ECD" w:rsidRPr="002E3ECD" w:rsidRDefault="002E3ECD" w:rsidP="002E3ECD">
      <w:pPr>
        <w:numPr>
          <w:ilvl w:val="0"/>
          <w:numId w:val="30"/>
        </w:numPr>
        <w:ind w:left="1080"/>
        <w:rPr>
          <w:rFonts w:ascii="Times New Roman" w:hAnsi="Times New Roman"/>
          <w:sz w:val="24"/>
          <w:szCs w:val="24"/>
        </w:rPr>
      </w:pPr>
      <w:r w:rsidRPr="002E3ECD">
        <w:rPr>
          <w:rFonts w:ascii="Times New Roman" w:hAnsi="Times New Roman"/>
          <w:sz w:val="24"/>
          <w:szCs w:val="24"/>
        </w:rPr>
        <w:t>Inform FDA, policy makers, and other stakeholders on the impact of potential campaign messages.</w:t>
      </w:r>
    </w:p>
    <w:p w:rsidR="002E3ECD" w:rsidRPr="002E3ECD" w:rsidRDefault="002E3ECD" w:rsidP="002E3ECD">
      <w:pPr>
        <w:numPr>
          <w:ilvl w:val="0"/>
          <w:numId w:val="30"/>
        </w:numPr>
        <w:ind w:left="1080"/>
        <w:rPr>
          <w:rFonts w:ascii="Times New Roman" w:hAnsi="Times New Roman"/>
          <w:sz w:val="24"/>
          <w:szCs w:val="24"/>
        </w:rPr>
      </w:pPr>
      <w:r w:rsidRPr="002E3ECD">
        <w:rPr>
          <w:rFonts w:ascii="Times New Roman" w:hAnsi="Times New Roman"/>
          <w:sz w:val="24"/>
          <w:szCs w:val="24"/>
        </w:rPr>
        <w:t>Inform future programs that may be designed for similar purposes.</w:t>
      </w:r>
    </w:p>
    <w:p w:rsidR="002E3ECD" w:rsidRPr="002E3ECD" w:rsidRDefault="002E3ECD" w:rsidP="002E3ECD">
      <w:pPr>
        <w:numPr>
          <w:ilvl w:val="12"/>
          <w:numId w:val="0"/>
        </w:numPr>
        <w:ind w:left="360"/>
        <w:rPr>
          <w:rFonts w:ascii="Times New Roman" w:hAnsi="Times New Roman"/>
          <w:sz w:val="24"/>
          <w:szCs w:val="24"/>
        </w:rPr>
      </w:pPr>
    </w:p>
    <w:p w:rsidR="002E3ECD" w:rsidRPr="002E3ECD" w:rsidRDefault="002E3ECD" w:rsidP="002E3ECD">
      <w:pPr>
        <w:numPr>
          <w:ilvl w:val="12"/>
          <w:numId w:val="0"/>
        </w:numPr>
        <w:ind w:left="360"/>
        <w:rPr>
          <w:rFonts w:ascii="Times New Roman" w:hAnsi="Times New Roman"/>
          <w:sz w:val="24"/>
          <w:szCs w:val="24"/>
        </w:rPr>
      </w:pPr>
      <w:r w:rsidRPr="002E3ECD">
        <w:rPr>
          <w:rFonts w:ascii="Times New Roman" w:hAnsi="Times New Roman"/>
          <w:sz w:val="24"/>
          <w:szCs w:val="24"/>
        </w:rPr>
        <w:t xml:space="preserve">To achieve these goals, data collection will consist of </w:t>
      </w:r>
      <w:proofErr w:type="gramStart"/>
      <w:r w:rsidRPr="002E3ECD">
        <w:rPr>
          <w:rFonts w:ascii="Times New Roman" w:hAnsi="Times New Roman"/>
          <w:sz w:val="24"/>
          <w:szCs w:val="24"/>
        </w:rPr>
        <w:t>a survey</w:t>
      </w:r>
      <w:proofErr w:type="gramEnd"/>
      <w:r w:rsidRPr="002E3ECD">
        <w:rPr>
          <w:rFonts w:ascii="Times New Roman" w:hAnsi="Times New Roman"/>
          <w:sz w:val="24"/>
          <w:szCs w:val="24"/>
        </w:rPr>
        <w:t xml:space="preserve"> dissemination to 1</w:t>
      </w:r>
      <w:r w:rsidR="00560F15">
        <w:rPr>
          <w:rFonts w:ascii="Times New Roman" w:hAnsi="Times New Roman"/>
          <w:sz w:val="24"/>
          <w:szCs w:val="24"/>
        </w:rPr>
        <w:t>,</w:t>
      </w:r>
      <w:r w:rsidRPr="002E3ECD">
        <w:rPr>
          <w:rFonts w:ascii="Times New Roman" w:hAnsi="Times New Roman"/>
          <w:sz w:val="24"/>
          <w:szCs w:val="24"/>
        </w:rPr>
        <w:t>500 teens ages 13-17, 750 who have experimented with smoking and 750 who are at risk of initiating smoking. The survey dissemination will occur over a 3-month period. Youth will not be re-contacted in this study.</w:t>
      </w:r>
    </w:p>
    <w:p w:rsidR="002E3ECD" w:rsidRPr="002E3ECD" w:rsidRDefault="002E3ECD" w:rsidP="002E3ECD">
      <w:pPr>
        <w:numPr>
          <w:ilvl w:val="12"/>
          <w:numId w:val="0"/>
        </w:numPr>
        <w:ind w:left="360"/>
        <w:rPr>
          <w:rFonts w:ascii="Times New Roman" w:hAnsi="Times New Roman"/>
          <w:sz w:val="24"/>
          <w:szCs w:val="24"/>
        </w:rPr>
      </w:pPr>
    </w:p>
    <w:p w:rsidR="000216D8" w:rsidRDefault="002E3ECD" w:rsidP="00581DB5">
      <w:pPr>
        <w:numPr>
          <w:ilvl w:val="12"/>
          <w:numId w:val="0"/>
        </w:numPr>
        <w:ind w:left="360"/>
        <w:rPr>
          <w:rFonts w:ascii="Times New Roman" w:hAnsi="Times New Roman"/>
          <w:sz w:val="24"/>
          <w:szCs w:val="24"/>
        </w:rPr>
      </w:pPr>
      <w:r w:rsidRPr="002E3ECD">
        <w:rPr>
          <w:rFonts w:ascii="Times New Roman" w:hAnsi="Times New Roman"/>
          <w:sz w:val="24"/>
          <w:szCs w:val="24"/>
        </w:rPr>
        <w:t xml:space="preserve">All tracking surveys will be conducted by RTI International using a ‘participant panel’ supplied by </w:t>
      </w:r>
      <w:proofErr w:type="spellStart"/>
      <w:r w:rsidRPr="002E3ECD">
        <w:rPr>
          <w:rFonts w:ascii="Times New Roman" w:hAnsi="Times New Roman"/>
          <w:sz w:val="24"/>
          <w:szCs w:val="24"/>
        </w:rPr>
        <w:t>GfK</w:t>
      </w:r>
      <w:proofErr w:type="spellEnd"/>
      <w:r w:rsidRPr="002E3ECD">
        <w:rPr>
          <w:rFonts w:ascii="Times New Roman" w:hAnsi="Times New Roman"/>
          <w:sz w:val="24"/>
          <w:szCs w:val="24"/>
        </w:rPr>
        <w:t xml:space="preserve">. </w:t>
      </w:r>
      <w:proofErr w:type="spellStart"/>
      <w:r w:rsidRPr="002E3ECD">
        <w:rPr>
          <w:rFonts w:ascii="Times New Roman" w:hAnsi="Times New Roman"/>
          <w:sz w:val="24"/>
          <w:szCs w:val="24"/>
        </w:rPr>
        <w:t>GfK</w:t>
      </w:r>
      <w:proofErr w:type="spellEnd"/>
      <w:r w:rsidRPr="002E3ECD">
        <w:rPr>
          <w:rFonts w:ascii="Times New Roman" w:hAnsi="Times New Roman"/>
          <w:sz w:val="24"/>
          <w:szCs w:val="24"/>
        </w:rPr>
        <w:t xml:space="preserve"> has a nationwide online panel, known as </w:t>
      </w:r>
      <w:proofErr w:type="spellStart"/>
      <w:r w:rsidRPr="002E3ECD">
        <w:rPr>
          <w:rFonts w:ascii="Times New Roman" w:hAnsi="Times New Roman"/>
          <w:sz w:val="24"/>
          <w:szCs w:val="24"/>
        </w:rPr>
        <w:t>KnowledgePanel</w:t>
      </w:r>
      <w:proofErr w:type="spellEnd"/>
      <w:r w:rsidRPr="002E3ECD">
        <w:rPr>
          <w:rFonts w:ascii="Times New Roman" w:hAnsi="Times New Roman"/>
          <w:sz w:val="24"/>
          <w:szCs w:val="24"/>
        </w:rPr>
        <w:t xml:space="preserve">®. </w:t>
      </w:r>
      <w:proofErr w:type="spellStart"/>
      <w:r w:rsidRPr="002E3ECD">
        <w:rPr>
          <w:rFonts w:ascii="Times New Roman" w:hAnsi="Times New Roman"/>
          <w:sz w:val="24"/>
          <w:szCs w:val="24"/>
        </w:rPr>
        <w:t>KnowledgePanel</w:t>
      </w:r>
      <w:proofErr w:type="spellEnd"/>
      <w:r w:rsidRPr="002E3ECD">
        <w:rPr>
          <w:rFonts w:ascii="Times New Roman" w:hAnsi="Times New Roman"/>
          <w:sz w:val="24"/>
          <w:szCs w:val="24"/>
        </w:rPr>
        <w:t xml:space="preserve"> is a nationality representative panel because they use a probability-based sampling methodology which ensures the highest level of accuracy and representativeness available on the web.  Their panel is composed of adults in the United States with children ages 13-17 who have been prescreened for their willingness for their child to participate in </w:t>
      </w:r>
      <w:r w:rsidRPr="002E3ECD">
        <w:rPr>
          <w:rFonts w:ascii="Times New Roman" w:hAnsi="Times New Roman"/>
          <w:sz w:val="24"/>
          <w:szCs w:val="24"/>
        </w:rPr>
        <w:lastRenderedPageBreak/>
        <w:t xml:space="preserve">online surveys.  Adult panelists will receive an initial email invitation from </w:t>
      </w:r>
      <w:proofErr w:type="spellStart"/>
      <w:r w:rsidRPr="002E3ECD">
        <w:rPr>
          <w:rFonts w:ascii="Times New Roman" w:hAnsi="Times New Roman"/>
          <w:sz w:val="24"/>
          <w:szCs w:val="24"/>
        </w:rPr>
        <w:t>GfK</w:t>
      </w:r>
      <w:proofErr w:type="spellEnd"/>
      <w:r w:rsidRPr="002E3ECD">
        <w:rPr>
          <w:rFonts w:ascii="Times New Roman" w:hAnsi="Times New Roman"/>
          <w:sz w:val="24"/>
          <w:szCs w:val="24"/>
        </w:rPr>
        <w:t xml:space="preserve"> that indicates their child has been invited to participate in a new survey (Attachment A). If the parent determines that they would like their child to participate in this particular survey, they will be asked to provide parental permission and an email address for the child. An introductory email will then be sent to the youth inviting them to participate in the study and requesting their assent (Attachment B).   If the youth gives their assent, they will be redirected to the online screener (Attachment C). If they qualify to participate in the study, they will begin the survey (Attachment D) where they will be asked basic demographic information as well as be shown approximately 10 tobacco-related facts.  </w:t>
      </w:r>
    </w:p>
    <w:p w:rsidR="00581DB5" w:rsidRPr="000216D8" w:rsidRDefault="00581DB5" w:rsidP="00581DB5">
      <w:pPr>
        <w:numPr>
          <w:ilvl w:val="12"/>
          <w:numId w:val="0"/>
        </w:numPr>
        <w:ind w:left="360"/>
        <w:rPr>
          <w:rFonts w:ascii="Times New Roman" w:hAnsi="Times New Roman"/>
          <w:sz w:val="24"/>
          <w:szCs w:val="24"/>
        </w:rPr>
      </w:pP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39649223"/>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4"/>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Default="002E3ECD" w:rsidP="002E3ECD">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imes New Roman" w:hAnsi="Times New Roman"/>
          <w:color w:val="000000"/>
          <w:sz w:val="24"/>
          <w:szCs w:val="24"/>
        </w:rPr>
      </w:pPr>
      <w:r w:rsidRPr="002E3ECD">
        <w:rPr>
          <w:rFonts w:ascii="Times New Roman" w:hAnsi="Times New Roman"/>
          <w:color w:val="000000"/>
          <w:sz w:val="24"/>
          <w:szCs w:val="24"/>
        </w:rPr>
        <w:t xml:space="preserve">This study will rely on web-based survey data collection on receptivity to tobacco-related facts among youth ages 13-17 </w:t>
      </w:r>
      <w:proofErr w:type="gramStart"/>
      <w:r w:rsidRPr="002E3ECD">
        <w:rPr>
          <w:rFonts w:ascii="Times New Roman" w:hAnsi="Times New Roman"/>
          <w:color w:val="000000"/>
          <w:sz w:val="24"/>
          <w:szCs w:val="24"/>
        </w:rPr>
        <w:t>who</w:t>
      </w:r>
      <w:proofErr w:type="gramEnd"/>
      <w:r w:rsidRPr="002E3ECD">
        <w:rPr>
          <w:rFonts w:ascii="Times New Roman" w:hAnsi="Times New Roman"/>
          <w:color w:val="000000"/>
          <w:sz w:val="24"/>
          <w:szCs w:val="24"/>
        </w:rPr>
        <w:t xml:space="preserve"> have either experimented with smoking or are at risk of initiating smoking.  Using an anonymous survey allows the respondent to be more candid with their responses.  This allows for more accurate data because respondents provide more honest responses than other types of research methodology, especially since it is clear that the answers will remain confidential.  In addition, using a survey will allow for more participates to respond in a cost-effective and timely manner.  The self-administered, web-based survey permits greater expediency with respect to data processing and analysis (e.g., a number of back-end processing steps, including coding and data entry). Data are transmitted electronically at the end of the day, rather than by mail. These efficiencies save time due to the speed of data transmission, as well as receipt in a format suitable for analysis. Finally, as noted above, this technology permits respondents to complete the interview in privacy. </w:t>
      </w:r>
      <w:proofErr w:type="gramStart"/>
      <w:r w:rsidRPr="002E3ECD">
        <w:rPr>
          <w:rFonts w:ascii="Times New Roman" w:hAnsi="Times New Roman"/>
          <w:color w:val="000000"/>
          <w:sz w:val="24"/>
          <w:szCs w:val="24"/>
        </w:rPr>
        <w:t>Providing the respondent with a methodology that improves privacy makes reporting of potentially embarrassing or stigmatizing behaviors (e.g., tobacco use) less threatening and enhances response validity and response rates.</w:t>
      </w:r>
      <w:proofErr w:type="gramEnd"/>
    </w:p>
    <w:p w:rsidR="002E3ECD" w:rsidRPr="005E5681" w:rsidRDefault="002E3ECD"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5" w:name="_Toc239649224"/>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5"/>
    </w:p>
    <w:p w:rsid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FDA’s youth tobacco prevention campaign efforts are relatively new, and therefore it is important to develop messages which will have the largest impact on reducing tobacco use among at-risk youth.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To date, there has been no in-depth testing of youth reactions to different types of tobacco facts, and therefore there are limited data sources that can help identify the most effective tobacco use prevention campaign messages.  In order to ensure no duplication of efforts, we have reviewed existing data sets to determine whether any of them are sufficiently similar or could be modified to address FDA’s need for information on the tobacco use prevention campaign messages with respect to reducing youth tobacco initiation.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National Institutes of Health – National Cancer Institute </w:t>
      </w:r>
      <w:r w:rsidRPr="00581DB5">
        <w:rPr>
          <w:rFonts w:ascii="Times New Roman" w:hAnsi="Times New Roman"/>
          <w:bCs/>
          <w:sz w:val="24"/>
          <w:szCs w:val="24"/>
        </w:rPr>
        <w:lastRenderedPageBreak/>
        <w:t>(NIH/NCI).  These affiliations serve as information channels, help prevent redundancy, and promote use of consistent measures of effectiveness.  Coordination activities include:</w:t>
      </w:r>
    </w:p>
    <w:p w:rsidR="00581DB5" w:rsidRP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Review of proposed messages for advertisements;</w:t>
      </w:r>
    </w:p>
    <w:p w:rsidR="002E3ECD" w:rsidRPr="00581DB5" w:rsidRDefault="002E3ECD" w:rsidP="00581DB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Review of questionnaires for testing purposes;</w:t>
      </w:r>
    </w:p>
    <w:p w:rsidR="002E3ECD" w:rsidRPr="00581DB5" w:rsidRDefault="002E3ECD" w:rsidP="00581DB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Sharing data; and</w:t>
      </w:r>
    </w:p>
    <w:p w:rsidR="002E3ECD" w:rsidRPr="00581DB5" w:rsidRDefault="002E3ECD" w:rsidP="00581DB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Cs/>
          <w:sz w:val="24"/>
          <w:szCs w:val="24"/>
        </w:rPr>
      </w:pPr>
      <w:r w:rsidRPr="00581DB5">
        <w:rPr>
          <w:rFonts w:ascii="Times New Roman" w:hAnsi="Times New Roman"/>
          <w:bCs/>
          <w:sz w:val="24"/>
          <w:szCs w:val="24"/>
        </w:rPr>
        <w:t xml:space="preserve">Standardizing survey tools where at all possible.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FDA will share the findings from this collection of information with these agencies.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CDC and FDA are developing complementary but distinct communication campaigns to educate the public about the harmful effects of tobacco products.  </w:t>
      </w:r>
      <w:proofErr w:type="gramStart"/>
      <w:r w:rsidRPr="00581DB5">
        <w:rPr>
          <w:rFonts w:ascii="Times New Roman" w:hAnsi="Times New Roman"/>
          <w:bCs/>
          <w:sz w:val="24"/>
          <w:szCs w:val="24"/>
        </w:rPr>
        <w:t>Staff members in FDA’s Health Communication and Education unit work closely with staff in OSH’s Health Communications Branch.</w:t>
      </w:r>
      <w:proofErr w:type="gramEnd"/>
      <w:r w:rsidRPr="00581DB5">
        <w:rPr>
          <w:rFonts w:ascii="Times New Roman" w:hAnsi="Times New Roman"/>
          <w:bCs/>
          <w:sz w:val="24"/>
          <w:szCs w:val="24"/>
        </w:rPr>
        <w:t xml:space="preserve">  Regularly scheduled conference calls are held to review plans, discuss campaign coordination and share research findings of mutual interest. Staff members in FDA’s Health Communication and Education unit are thus working closely with staff in OSH’s Health Communications Branch, ASPA, ASPE, and other HHS OPDIVS as appropriate.  It was determined that message testing proposed in this </w:t>
      </w:r>
      <w:proofErr w:type="spellStart"/>
      <w:r w:rsidRPr="00581DB5">
        <w:rPr>
          <w:rFonts w:ascii="Times New Roman" w:hAnsi="Times New Roman"/>
          <w:bCs/>
          <w:sz w:val="24"/>
          <w:szCs w:val="24"/>
        </w:rPr>
        <w:t>GenIC</w:t>
      </w:r>
      <w:proofErr w:type="spellEnd"/>
      <w:r w:rsidRPr="00581DB5">
        <w:rPr>
          <w:rFonts w:ascii="Times New Roman" w:hAnsi="Times New Roman"/>
          <w:bCs/>
          <w:sz w:val="24"/>
          <w:szCs w:val="24"/>
        </w:rPr>
        <w:t xml:space="preserve"> does not duplicate CDC/OSH efforts.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Points of contact for this coordination are:</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CDC: Diane </w:t>
      </w:r>
      <w:proofErr w:type="spellStart"/>
      <w:r w:rsidRPr="00581DB5">
        <w:rPr>
          <w:rFonts w:ascii="Times New Roman" w:hAnsi="Times New Roman"/>
          <w:bCs/>
          <w:sz w:val="24"/>
          <w:szCs w:val="24"/>
        </w:rPr>
        <w:t>Beistle</w:t>
      </w:r>
      <w:proofErr w:type="spellEnd"/>
      <w:r w:rsidRPr="00581DB5">
        <w:rPr>
          <w:rFonts w:ascii="Times New Roman" w:hAnsi="Times New Roman"/>
          <w:bCs/>
          <w:sz w:val="24"/>
          <w:szCs w:val="24"/>
        </w:rPr>
        <w:t xml:space="preserve">, Chief, Health Communication Branch, Phone: (770) 488-5066, Email: </w:t>
      </w:r>
      <w:hyperlink r:id="rId9" w:history="1">
        <w:r w:rsidR="00581DB5" w:rsidRPr="009F5736">
          <w:rPr>
            <w:rStyle w:val="Hyperlink"/>
            <w:rFonts w:ascii="Times New Roman" w:hAnsi="Times New Roman"/>
            <w:bCs/>
            <w:sz w:val="24"/>
            <w:szCs w:val="24"/>
          </w:rPr>
          <w:t>zgv1@cdc.gov</w:t>
        </w:r>
      </w:hyperlink>
      <w:r w:rsidR="00581DB5">
        <w:rPr>
          <w:rFonts w:ascii="Times New Roman" w:hAnsi="Times New Roman"/>
          <w:bCs/>
          <w:sz w:val="24"/>
          <w:szCs w:val="24"/>
        </w:rPr>
        <w:t xml:space="preserve">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CDC: </w:t>
      </w:r>
      <w:proofErr w:type="spellStart"/>
      <w:r w:rsidRPr="00581DB5">
        <w:rPr>
          <w:rFonts w:ascii="Times New Roman" w:hAnsi="Times New Roman"/>
          <w:bCs/>
          <w:sz w:val="24"/>
          <w:szCs w:val="24"/>
        </w:rPr>
        <w:t>Deesha</w:t>
      </w:r>
      <w:proofErr w:type="spellEnd"/>
      <w:r w:rsidRPr="00581DB5">
        <w:rPr>
          <w:rFonts w:ascii="Times New Roman" w:hAnsi="Times New Roman"/>
          <w:bCs/>
          <w:sz w:val="24"/>
          <w:szCs w:val="24"/>
        </w:rPr>
        <w:t xml:space="preserve"> Patel, Health Communication Specialist, Health Communication Branch, Phone: (770) 488-8503, Email: </w:t>
      </w:r>
      <w:hyperlink r:id="rId10" w:history="1">
        <w:r w:rsidR="00581DB5" w:rsidRPr="009F5736">
          <w:rPr>
            <w:rStyle w:val="Hyperlink"/>
            <w:rFonts w:ascii="Times New Roman" w:hAnsi="Times New Roman"/>
            <w:bCs/>
            <w:sz w:val="24"/>
            <w:szCs w:val="24"/>
          </w:rPr>
          <w:t>wnm2@cdc.gov</w:t>
        </w:r>
      </w:hyperlink>
      <w:r w:rsidR="00581DB5">
        <w:rPr>
          <w:rFonts w:ascii="Times New Roman" w:hAnsi="Times New Roman"/>
          <w:bCs/>
          <w:sz w:val="24"/>
          <w:szCs w:val="24"/>
        </w:rPr>
        <w:t xml:space="preserve"> </w:t>
      </w:r>
      <w:r w:rsidRPr="00581DB5">
        <w:rPr>
          <w:rFonts w:ascii="Times New Roman" w:hAnsi="Times New Roman"/>
          <w:bCs/>
          <w:sz w:val="24"/>
          <w:szCs w:val="24"/>
        </w:rPr>
        <w:t xml:space="preserve">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NCI: Erik </w:t>
      </w:r>
      <w:proofErr w:type="spellStart"/>
      <w:r w:rsidRPr="00581DB5">
        <w:rPr>
          <w:rFonts w:ascii="Times New Roman" w:hAnsi="Times New Roman"/>
          <w:bCs/>
          <w:sz w:val="24"/>
          <w:szCs w:val="24"/>
        </w:rPr>
        <w:t>Augustson</w:t>
      </w:r>
      <w:proofErr w:type="spellEnd"/>
      <w:r w:rsidRPr="00581DB5">
        <w:rPr>
          <w:rFonts w:ascii="Times New Roman" w:hAnsi="Times New Roman"/>
          <w:bCs/>
          <w:sz w:val="24"/>
          <w:szCs w:val="24"/>
        </w:rPr>
        <w:t xml:space="preserve">, Program Director, Tobacco Control Research Branch, Phone: (240) 276-6774, Email: </w:t>
      </w:r>
      <w:hyperlink r:id="rId11" w:history="1">
        <w:r w:rsidR="00581DB5" w:rsidRPr="009F5736">
          <w:rPr>
            <w:rStyle w:val="Hyperlink"/>
            <w:rFonts w:ascii="Times New Roman" w:hAnsi="Times New Roman"/>
            <w:bCs/>
            <w:sz w:val="24"/>
            <w:szCs w:val="24"/>
          </w:rPr>
          <w:t>augustse@mail.nih.gov</w:t>
        </w:r>
      </w:hyperlink>
      <w:r w:rsidR="00581DB5">
        <w:rPr>
          <w:rFonts w:ascii="Times New Roman" w:hAnsi="Times New Roman"/>
          <w:bCs/>
          <w:sz w:val="24"/>
          <w:szCs w:val="24"/>
        </w:rPr>
        <w:t xml:space="preserve"> </w:t>
      </w: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2E3ECD" w:rsidRPr="00581DB5" w:rsidRDefault="002E3ECD"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NCI: Yvonne Hunt, Program Director, Tobacco Control Research Branch, Phone: (240) 276–6975, Email: </w:t>
      </w:r>
      <w:hyperlink r:id="rId12" w:history="1">
        <w:r w:rsidR="00581DB5" w:rsidRPr="009F5736">
          <w:rPr>
            <w:rStyle w:val="Hyperlink"/>
            <w:rFonts w:ascii="Times New Roman" w:hAnsi="Times New Roman"/>
            <w:bCs/>
            <w:sz w:val="24"/>
            <w:szCs w:val="24"/>
          </w:rPr>
          <w:t>huntym@mail.nih.gov</w:t>
        </w:r>
      </w:hyperlink>
      <w:r w:rsidR="00581DB5">
        <w:rPr>
          <w:rFonts w:ascii="Times New Roman" w:hAnsi="Times New Roman"/>
          <w:bCs/>
          <w:sz w:val="24"/>
          <w:szCs w:val="24"/>
        </w:rPr>
        <w:t xml:space="preserve"> </w:t>
      </w: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Pr="008459A9" w:rsidRDefault="005C0FF9" w:rsidP="008459A9">
      <w:pPr>
        <w:autoSpaceDE/>
        <w:autoSpaceDN/>
        <w:adjustRightInd/>
        <w:rPr>
          <w:rFonts w:ascii="Times New Roman" w:hAnsi="Times New Roman"/>
          <w:b/>
          <w:bCs/>
          <w:sz w:val="24"/>
          <w:szCs w:val="24"/>
        </w:rPr>
      </w:pPr>
      <w:bookmarkStart w:id="6" w:name="_Toc239649225"/>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6"/>
    </w:p>
    <w:p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bookmarkStart w:id="7" w:name="_Toc239649226"/>
    </w:p>
    <w:p w:rsidR="00581DB5"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outlineLvl w:val="2"/>
        <w:rPr>
          <w:rFonts w:ascii="Times New Roman" w:hAnsi="Times New Roman"/>
          <w:sz w:val="24"/>
          <w:szCs w:val="24"/>
        </w:rPr>
      </w:pPr>
      <w:r w:rsidRPr="00581DB5">
        <w:rPr>
          <w:rFonts w:ascii="Times New Roman" w:hAnsi="Times New Roman"/>
          <w:sz w:val="24"/>
          <w:szCs w:val="24"/>
        </w:rPr>
        <w:t>Respondents in this study will be members of the general public, specific subpopulations or specific professions, not business entities. No impact on small businesses or other small entities is anticipated.</w:t>
      </w:r>
    </w:p>
    <w:p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sz w:val="24"/>
          <w:szCs w:val="24"/>
        </w:rPr>
      </w:pPr>
    </w:p>
    <w:p w:rsidR="005C0FF9"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7"/>
    </w:p>
    <w:p w:rsidR="00581DB5" w:rsidRPr="00326C6F"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p>
    <w:p w:rsidR="00581DB5" w:rsidRDefault="00581DB5" w:rsidP="00581DB5">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bookmarkStart w:id="8" w:name="_Toc239649227"/>
      <w:r w:rsidRPr="00581DB5">
        <w:rPr>
          <w:rFonts w:ascii="Times New Roman" w:hAnsi="Times New Roman"/>
          <w:sz w:val="24"/>
          <w:szCs w:val="24"/>
        </w:rPr>
        <w:t xml:space="preserve">Respondents to this collection of information will answer only once to ensure the participant burden is as low as possible. Without the information collection requested for this evaluation study, it would be difficult to determine the most effective messages to use in upcoming tobacco prevention campaigns. Failure to collect these data could reduce effectiveness of the </w:t>
      </w:r>
      <w:r w:rsidRPr="00581DB5">
        <w:rPr>
          <w:rFonts w:ascii="Times New Roman" w:hAnsi="Times New Roman"/>
          <w:sz w:val="24"/>
          <w:szCs w:val="24"/>
        </w:rPr>
        <w:lastRenderedPageBreak/>
        <w:t xml:space="preserve">FDA’s messaging, and therefore reduce the benefit of the messages for youth in the United States. </w:t>
      </w:r>
    </w:p>
    <w:p w:rsidR="00581DB5" w:rsidRDefault="00581DB5" w:rsidP="00581DB5">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sz w:val="24"/>
          <w:szCs w:val="24"/>
        </w:rPr>
      </w:pPr>
    </w:p>
    <w:p w:rsidR="005C0FF9" w:rsidRPr="009943A6"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8"/>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355B8B"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581DB5">
        <w:rPr>
          <w:rFonts w:ascii="Times New Roman" w:hAnsi="Times New Roman"/>
          <w:sz w:val="24"/>
          <w:szCs w:val="24"/>
        </w:rPr>
        <w:t>There are no special circumstances for this collection of information that require the data collection to be conducted in a manner inconsistent with 5 CRF 1320.5(d</w:t>
      </w:r>
      <w:proofErr w:type="gramStart"/>
      <w:r w:rsidRPr="00581DB5">
        <w:rPr>
          <w:rFonts w:ascii="Times New Roman" w:hAnsi="Times New Roman"/>
          <w:sz w:val="24"/>
          <w:szCs w:val="24"/>
        </w:rPr>
        <w:t>)(</w:t>
      </w:r>
      <w:proofErr w:type="gramEnd"/>
      <w:r w:rsidRPr="00581DB5">
        <w:rPr>
          <w:rFonts w:ascii="Times New Roman" w:hAnsi="Times New Roman"/>
          <w:sz w:val="24"/>
          <w:szCs w:val="24"/>
        </w:rPr>
        <w:t>2). The message testing activities fully comply with the guidelines in 5 CFR 1320.5.</w:t>
      </w:r>
    </w:p>
    <w:p w:rsidR="00355B8B" w:rsidRPr="00AB77E0" w:rsidRDefault="00355B8B"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Pr="00AB77E0"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9" w:name="_Toc239649228"/>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9"/>
      <w:r w:rsidRPr="00AB77E0">
        <w:rPr>
          <w:rFonts w:ascii="Times New Roman" w:hAnsi="Times New Roman"/>
          <w:b/>
          <w:bCs/>
          <w:sz w:val="24"/>
          <w:szCs w:val="24"/>
          <w:u w:val="single"/>
        </w:rPr>
        <w:t xml:space="preserve"> </w:t>
      </w:r>
    </w:p>
    <w:p w:rsidR="005C0FF9" w:rsidRPr="00AB77E0" w:rsidRDefault="005C0FF9"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id="10" w:name="_Toc239649229"/>
      <w:r w:rsidRPr="00AB77E0">
        <w:rPr>
          <w:rFonts w:ascii="Times New Roman" w:hAnsi="Times New Roman"/>
          <w:b/>
          <w:bCs/>
          <w:sz w:val="24"/>
          <w:szCs w:val="24"/>
          <w:u w:val="single"/>
        </w:rPr>
        <w:t>Agency</w:t>
      </w:r>
      <w:bookmarkEnd w:id="10"/>
    </w:p>
    <w:p w:rsidR="00D66F13" w:rsidRDefault="00D66F13" w:rsidP="00EB43D0">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rsidR="005C0FF9" w:rsidRDefault="00581DB5" w:rsidP="00581DB5">
      <w:pPr>
        <w:ind w:left="270"/>
        <w:rPr>
          <w:rFonts w:ascii="Times New Roman" w:hAnsi="Times New Roman"/>
          <w:sz w:val="24"/>
          <w:szCs w:val="24"/>
        </w:rPr>
      </w:pPr>
      <w:r>
        <w:rPr>
          <w:rFonts w:ascii="Times New Roman" w:hAnsi="Times New Roman"/>
          <w:sz w:val="24"/>
          <w:szCs w:val="24"/>
        </w:rPr>
        <w:t>Not applicable.</w:t>
      </w:r>
    </w:p>
    <w:p w:rsidR="00581DB5" w:rsidRPr="002051D8" w:rsidRDefault="00581DB5" w:rsidP="005E5681">
      <w:pPr>
        <w:rPr>
          <w:rFonts w:ascii="Times New Roman" w:hAnsi="Times New Roman"/>
          <w:sz w:val="24"/>
          <w:szCs w:val="24"/>
        </w:rPr>
      </w:pPr>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1" w:name="_Toc239649230"/>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1"/>
    </w:p>
    <w:p w:rsidR="00581DB5" w:rsidRDefault="00581DB5"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id="12" w:name="_Toc239649231"/>
    </w:p>
    <w:p w:rsid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The survey will be disseminated using an existing adult </w:t>
      </w:r>
      <w:proofErr w:type="spellStart"/>
      <w:r w:rsidRPr="00581DB5">
        <w:rPr>
          <w:rFonts w:ascii="Times New Roman" w:hAnsi="Times New Roman"/>
          <w:bCs/>
          <w:sz w:val="24"/>
          <w:szCs w:val="24"/>
        </w:rPr>
        <w:t>GfK</w:t>
      </w:r>
      <w:proofErr w:type="spellEnd"/>
      <w:r w:rsidRPr="00581DB5">
        <w:rPr>
          <w:rFonts w:ascii="Times New Roman" w:hAnsi="Times New Roman"/>
          <w:bCs/>
          <w:sz w:val="24"/>
          <w:szCs w:val="24"/>
        </w:rPr>
        <w:t xml:space="preserve"> participant panel with children ages 13-17 who have been prescreened for their willingness for their child to participate in online surveys.  Adult panelists will receive an initial email invitation from </w:t>
      </w:r>
      <w:proofErr w:type="spellStart"/>
      <w:r w:rsidRPr="00581DB5">
        <w:rPr>
          <w:rFonts w:ascii="Times New Roman" w:hAnsi="Times New Roman"/>
          <w:bCs/>
          <w:sz w:val="24"/>
          <w:szCs w:val="24"/>
        </w:rPr>
        <w:t>GfK</w:t>
      </w:r>
      <w:proofErr w:type="spellEnd"/>
      <w:r w:rsidRPr="00581DB5">
        <w:rPr>
          <w:rFonts w:ascii="Times New Roman" w:hAnsi="Times New Roman"/>
          <w:bCs/>
          <w:sz w:val="24"/>
          <w:szCs w:val="24"/>
        </w:rPr>
        <w:t xml:space="preserve"> that indicates their child has been invited to participate in a new survey (Attachment A). If the parent determines that they would like their child to participate in this particular survey, they will be asked to provide parental permission and an email address for the child. An introductory email will then be sent to the youth inviting them to participate in the study and requesting their assent (Attachment B).   If the youth gives their assent, they will be redirected to the online screener (Attachment C). If they qualify to participate in the study, they will begin the survey (Attachment D) where they will be asked basic demographic information as well as be shown approximately 10 tobacco-related facts.  </w:t>
      </w:r>
    </w:p>
    <w:p w:rsidR="00581DB5" w:rsidRP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581DB5" w:rsidRP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Incentives will be received as non-monetary ‘points’ through the parent’s </w:t>
      </w:r>
      <w:proofErr w:type="spellStart"/>
      <w:r w:rsidRPr="00581DB5">
        <w:rPr>
          <w:rFonts w:ascii="Times New Roman" w:hAnsi="Times New Roman"/>
          <w:bCs/>
          <w:sz w:val="24"/>
          <w:szCs w:val="24"/>
        </w:rPr>
        <w:t>GfK</w:t>
      </w:r>
      <w:proofErr w:type="spellEnd"/>
      <w:r w:rsidRPr="00581DB5">
        <w:rPr>
          <w:rFonts w:ascii="Times New Roman" w:hAnsi="Times New Roman"/>
          <w:bCs/>
          <w:sz w:val="24"/>
          <w:szCs w:val="24"/>
        </w:rPr>
        <w:t xml:space="preserve"> account.  Points can later be redeemed by the parent on behalf of their child.  These points can be redeemed by the parent through </w:t>
      </w:r>
      <w:proofErr w:type="spellStart"/>
      <w:r w:rsidRPr="00581DB5">
        <w:rPr>
          <w:rFonts w:ascii="Times New Roman" w:hAnsi="Times New Roman"/>
          <w:bCs/>
          <w:sz w:val="24"/>
          <w:szCs w:val="24"/>
        </w:rPr>
        <w:t>GfK’s</w:t>
      </w:r>
      <w:proofErr w:type="spellEnd"/>
      <w:r w:rsidRPr="00581DB5">
        <w:rPr>
          <w:rFonts w:ascii="Times New Roman" w:hAnsi="Times New Roman"/>
          <w:bCs/>
          <w:sz w:val="24"/>
          <w:szCs w:val="24"/>
        </w:rPr>
        <w:t xml:space="preserve"> system for goods or gift cards.  The approximate value of the points is $5 per survey.  We estimate that the survey will take 20 minutes to complete.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w:t>
      </w:r>
      <w:proofErr w:type="spellStart"/>
      <w:r w:rsidRPr="00581DB5">
        <w:rPr>
          <w:rFonts w:ascii="Times New Roman" w:hAnsi="Times New Roman"/>
          <w:bCs/>
          <w:sz w:val="24"/>
          <w:szCs w:val="24"/>
        </w:rPr>
        <w:t>Castiglioni</w:t>
      </w:r>
      <w:proofErr w:type="spellEnd"/>
      <w:r w:rsidRPr="00581DB5">
        <w:rPr>
          <w:rFonts w:ascii="Times New Roman" w:hAnsi="Times New Roman"/>
          <w:bCs/>
          <w:sz w:val="24"/>
          <w:szCs w:val="24"/>
        </w:rPr>
        <w:t xml:space="preserve">, </w:t>
      </w:r>
      <w:proofErr w:type="spellStart"/>
      <w:r w:rsidRPr="00581DB5">
        <w:rPr>
          <w:rFonts w:ascii="Times New Roman" w:hAnsi="Times New Roman"/>
          <w:bCs/>
          <w:sz w:val="24"/>
          <w:szCs w:val="24"/>
        </w:rPr>
        <w:t>Pforr</w:t>
      </w:r>
      <w:proofErr w:type="spellEnd"/>
      <w:r w:rsidRPr="00581DB5">
        <w:rPr>
          <w:rFonts w:ascii="Times New Roman" w:hAnsi="Times New Roman"/>
          <w:bCs/>
          <w:sz w:val="24"/>
          <w:szCs w:val="24"/>
        </w:rPr>
        <w:t xml:space="preserve">, &amp; Krieger, 2008; </w:t>
      </w:r>
      <w:proofErr w:type="spellStart"/>
      <w:r w:rsidRPr="00581DB5">
        <w:rPr>
          <w:rFonts w:ascii="Times New Roman" w:hAnsi="Times New Roman"/>
          <w:bCs/>
          <w:sz w:val="24"/>
          <w:szCs w:val="24"/>
        </w:rPr>
        <w:t>Jäckle</w:t>
      </w:r>
      <w:proofErr w:type="spellEnd"/>
      <w:r w:rsidRPr="00581DB5">
        <w:rPr>
          <w:rFonts w:ascii="Times New Roman" w:hAnsi="Times New Roman"/>
          <w:bCs/>
          <w:sz w:val="24"/>
          <w:szCs w:val="24"/>
        </w:rPr>
        <w:t xml:space="preserve"> &amp; Lynn, 2008; </w:t>
      </w:r>
      <w:proofErr w:type="spellStart"/>
      <w:r w:rsidRPr="00581DB5">
        <w:rPr>
          <w:rFonts w:ascii="Times New Roman" w:hAnsi="Times New Roman"/>
          <w:bCs/>
          <w:sz w:val="24"/>
          <w:szCs w:val="24"/>
        </w:rPr>
        <w:t>Shettle</w:t>
      </w:r>
      <w:proofErr w:type="spellEnd"/>
      <w:r w:rsidRPr="00581DB5">
        <w:rPr>
          <w:rFonts w:ascii="Times New Roman" w:hAnsi="Times New Roman"/>
          <w:bCs/>
          <w:sz w:val="24"/>
          <w:szCs w:val="24"/>
        </w:rPr>
        <w:t xml:space="preserve"> &amp; Mooney, 1999; Singer, 2002). </w:t>
      </w:r>
    </w:p>
    <w:p w:rsid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p>
    <w:p w:rsidR="00581DB5" w:rsidRPr="00581DB5" w:rsidRDefault="00581DB5" w:rsidP="00581DB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outlineLvl w:val="2"/>
        <w:rPr>
          <w:rFonts w:ascii="Times New Roman" w:hAnsi="Times New Roman"/>
          <w:bCs/>
          <w:sz w:val="24"/>
          <w:szCs w:val="24"/>
        </w:rPr>
      </w:pPr>
      <w:r w:rsidRPr="00581DB5">
        <w:rPr>
          <w:rFonts w:ascii="Times New Roman" w:hAnsi="Times New Roman"/>
          <w:bCs/>
          <w:sz w:val="24"/>
          <w:szCs w:val="24"/>
        </w:rP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The specific amount of the proposed incentive is based on a </w:t>
      </w:r>
      <w:proofErr w:type="spellStart"/>
      <w:r w:rsidRPr="00581DB5">
        <w:rPr>
          <w:rFonts w:ascii="Times New Roman" w:hAnsi="Times New Roman"/>
          <w:bCs/>
          <w:sz w:val="24"/>
          <w:szCs w:val="24"/>
        </w:rPr>
        <w:t>GfK</w:t>
      </w:r>
      <w:proofErr w:type="spellEnd"/>
      <w:r w:rsidRPr="00581DB5">
        <w:rPr>
          <w:rFonts w:ascii="Times New Roman" w:hAnsi="Times New Roman"/>
          <w:bCs/>
          <w:sz w:val="24"/>
          <w:szCs w:val="24"/>
        </w:rPr>
        <w:t xml:space="preserve"> incentive equation for the time burden per participant which results in a recommended incentive amount.</w:t>
      </w:r>
    </w:p>
    <w:p w:rsidR="00581DB5" w:rsidRDefault="00581DB5" w:rsidP="00581D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581DB5" w:rsidRPr="00581DB5" w:rsidRDefault="00326755" w:rsidP="00581DB5">
      <w:pPr>
        <w:pStyle w:val="FigureTitle"/>
        <w:ind w:left="720"/>
        <w:rPr>
          <w:sz w:val="22"/>
        </w:rPr>
      </w:pPr>
      <w:bookmarkStart w:id="13" w:name="_Toc361824169"/>
      <w:proofErr w:type="gramStart"/>
      <w:r>
        <w:rPr>
          <w:sz w:val="22"/>
        </w:rPr>
        <w:lastRenderedPageBreak/>
        <w:t>Table</w:t>
      </w:r>
      <w:r w:rsidR="00581DB5" w:rsidRPr="00581DB5">
        <w:rPr>
          <w:sz w:val="22"/>
        </w:rPr>
        <w:t xml:space="preserve"> 1.</w:t>
      </w:r>
      <w:proofErr w:type="gramEnd"/>
      <w:r w:rsidR="00581DB5" w:rsidRPr="00581DB5">
        <w:rPr>
          <w:sz w:val="22"/>
        </w:rPr>
        <w:tab/>
        <w:t>Incentive Type and Amount</w:t>
      </w:r>
      <w:bookmarkEnd w:id="13"/>
    </w:p>
    <w:tbl>
      <w:tblPr>
        <w:tblW w:w="8611" w:type="dxa"/>
        <w:tblInd w:w="864" w:type="dxa"/>
        <w:tblLayout w:type="fixed"/>
        <w:tblCellMar>
          <w:left w:w="115" w:type="dxa"/>
          <w:right w:w="115" w:type="dxa"/>
        </w:tblCellMar>
        <w:tblLook w:val="01E0" w:firstRow="1" w:lastRow="1" w:firstColumn="1" w:lastColumn="1" w:noHBand="0" w:noVBand="0"/>
      </w:tblPr>
      <w:tblGrid>
        <w:gridCol w:w="2311"/>
        <w:gridCol w:w="2250"/>
        <w:gridCol w:w="4050"/>
      </w:tblGrid>
      <w:tr w:rsidR="00581DB5" w:rsidRPr="00581DB5" w:rsidTr="00581DB5">
        <w:trPr>
          <w:cantSplit/>
        </w:trPr>
        <w:tc>
          <w:tcPr>
            <w:tcW w:w="2311" w:type="dxa"/>
            <w:tcBorders>
              <w:top w:val="single" w:sz="12" w:space="0" w:color="auto"/>
              <w:bottom w:val="single" w:sz="6" w:space="0" w:color="auto"/>
            </w:tcBorders>
            <w:vAlign w:val="bottom"/>
          </w:tcPr>
          <w:p w:rsidR="00581DB5" w:rsidRPr="00581DB5" w:rsidRDefault="00581DB5" w:rsidP="00581DB5">
            <w:pPr>
              <w:keepNext/>
              <w:spacing w:before="80" w:after="80"/>
              <w:rPr>
                <w:rFonts w:ascii="Times New Roman" w:hAnsi="Times New Roman"/>
                <w:b/>
              </w:rPr>
            </w:pPr>
            <w:r w:rsidRPr="00581DB5">
              <w:rPr>
                <w:rFonts w:ascii="Times New Roman" w:hAnsi="Times New Roman"/>
                <w:b/>
              </w:rPr>
              <w:t>Type of Incentive</w:t>
            </w:r>
          </w:p>
        </w:tc>
        <w:tc>
          <w:tcPr>
            <w:tcW w:w="2250" w:type="dxa"/>
            <w:tcBorders>
              <w:top w:val="single" w:sz="12" w:space="0" w:color="auto"/>
              <w:bottom w:val="single" w:sz="6" w:space="0" w:color="auto"/>
            </w:tcBorders>
            <w:vAlign w:val="bottom"/>
          </w:tcPr>
          <w:p w:rsidR="00581DB5" w:rsidRPr="00581DB5" w:rsidRDefault="00581DB5" w:rsidP="00581DB5">
            <w:pPr>
              <w:keepNext/>
              <w:spacing w:before="80" w:after="80"/>
              <w:rPr>
                <w:rFonts w:ascii="Times New Roman" w:hAnsi="Times New Roman"/>
                <w:b/>
              </w:rPr>
            </w:pPr>
            <w:r w:rsidRPr="00581DB5">
              <w:rPr>
                <w:rFonts w:ascii="Times New Roman" w:hAnsi="Times New Roman"/>
                <w:b/>
              </w:rPr>
              <w:t>Participant</w:t>
            </w:r>
          </w:p>
        </w:tc>
        <w:tc>
          <w:tcPr>
            <w:tcW w:w="4050" w:type="dxa"/>
            <w:tcBorders>
              <w:top w:val="single" w:sz="12" w:space="0" w:color="auto"/>
              <w:bottom w:val="single" w:sz="6" w:space="0" w:color="auto"/>
            </w:tcBorders>
            <w:vAlign w:val="bottom"/>
          </w:tcPr>
          <w:p w:rsidR="00581DB5" w:rsidRPr="00581DB5" w:rsidRDefault="00581DB5" w:rsidP="00581DB5">
            <w:pPr>
              <w:keepNext/>
              <w:spacing w:before="80" w:after="80"/>
              <w:rPr>
                <w:rFonts w:ascii="Times New Roman" w:hAnsi="Times New Roman"/>
                <w:b/>
              </w:rPr>
            </w:pPr>
            <w:r w:rsidRPr="00581DB5">
              <w:rPr>
                <w:rFonts w:ascii="Times New Roman" w:hAnsi="Times New Roman"/>
                <w:b/>
              </w:rPr>
              <w:t>Amount/Value</w:t>
            </w:r>
          </w:p>
        </w:tc>
      </w:tr>
      <w:tr w:rsidR="00581DB5" w:rsidRPr="00581DB5" w:rsidTr="00581DB5">
        <w:trPr>
          <w:cantSplit/>
        </w:trPr>
        <w:tc>
          <w:tcPr>
            <w:tcW w:w="2311" w:type="dxa"/>
            <w:tcBorders>
              <w:top w:val="single" w:sz="6" w:space="0" w:color="auto"/>
            </w:tcBorders>
          </w:tcPr>
          <w:p w:rsidR="00581DB5" w:rsidRPr="00581DB5" w:rsidRDefault="00581DB5" w:rsidP="00FF7A17">
            <w:pPr>
              <w:keepNext/>
              <w:spacing w:before="80" w:after="80"/>
              <w:rPr>
                <w:rFonts w:ascii="Times New Roman" w:hAnsi="Times New Roman"/>
              </w:rPr>
            </w:pPr>
            <w:r w:rsidRPr="00581DB5">
              <w:rPr>
                <w:rFonts w:ascii="Times New Roman" w:hAnsi="Times New Roman"/>
              </w:rPr>
              <w:t xml:space="preserve">Youth survey </w:t>
            </w:r>
          </w:p>
        </w:tc>
        <w:tc>
          <w:tcPr>
            <w:tcW w:w="2250" w:type="dxa"/>
            <w:tcBorders>
              <w:top w:val="single" w:sz="6" w:space="0" w:color="auto"/>
            </w:tcBorders>
          </w:tcPr>
          <w:p w:rsidR="00581DB5" w:rsidRPr="00581DB5" w:rsidRDefault="00581DB5" w:rsidP="00FF7A17">
            <w:pPr>
              <w:keepNext/>
              <w:spacing w:before="80" w:after="80"/>
              <w:rPr>
                <w:rFonts w:ascii="Times New Roman" w:hAnsi="Times New Roman"/>
              </w:rPr>
            </w:pPr>
            <w:r w:rsidRPr="00581DB5">
              <w:rPr>
                <w:rFonts w:ascii="Times New Roman" w:hAnsi="Times New Roman"/>
              </w:rPr>
              <w:t>All panel members</w:t>
            </w:r>
          </w:p>
        </w:tc>
        <w:tc>
          <w:tcPr>
            <w:tcW w:w="4050" w:type="dxa"/>
            <w:tcBorders>
              <w:top w:val="single" w:sz="6" w:space="0" w:color="auto"/>
            </w:tcBorders>
          </w:tcPr>
          <w:p w:rsidR="00581DB5" w:rsidRPr="00581DB5" w:rsidRDefault="00581DB5" w:rsidP="00FF7A17">
            <w:pPr>
              <w:keepNext/>
              <w:spacing w:before="80" w:after="80"/>
              <w:rPr>
                <w:rFonts w:ascii="Times New Roman" w:hAnsi="Times New Roman"/>
              </w:rPr>
            </w:pPr>
            <w:r w:rsidRPr="00581DB5">
              <w:rPr>
                <w:rFonts w:ascii="Times New Roman" w:hAnsi="Times New Roman"/>
              </w:rPr>
              <w:t>~</w:t>
            </w:r>
            <w:r>
              <w:rPr>
                <w:rFonts w:ascii="Times New Roman" w:hAnsi="Times New Roman"/>
              </w:rPr>
              <w:t xml:space="preserve"> </w:t>
            </w:r>
            <w:r w:rsidRPr="00581DB5">
              <w:rPr>
                <w:rFonts w:ascii="Times New Roman" w:hAnsi="Times New Roman"/>
              </w:rPr>
              <w:t>$5</w:t>
            </w:r>
            <w:r>
              <w:rPr>
                <w:rFonts w:ascii="Times New Roman" w:hAnsi="Times New Roman"/>
              </w:rPr>
              <w:t xml:space="preserve"> </w:t>
            </w:r>
            <w:r w:rsidRPr="00581DB5">
              <w:rPr>
                <w:rFonts w:ascii="Times New Roman" w:hAnsi="Times New Roman"/>
              </w:rPr>
              <w:t>/</w:t>
            </w:r>
            <w:r>
              <w:rPr>
                <w:rFonts w:ascii="Times New Roman" w:hAnsi="Times New Roman"/>
              </w:rPr>
              <w:t xml:space="preserve"> </w:t>
            </w:r>
            <w:r w:rsidRPr="00581DB5">
              <w:rPr>
                <w:rFonts w:ascii="Times New Roman" w:hAnsi="Times New Roman"/>
              </w:rPr>
              <w:t>survey (points equivalent)</w:t>
            </w:r>
          </w:p>
        </w:tc>
      </w:tr>
    </w:tbl>
    <w:p w:rsidR="00581DB5" w:rsidRDefault="00581DB5" w:rsidP="00581D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 xml:space="preserve">10.  </w:t>
      </w:r>
      <w:r w:rsidRPr="005E5681">
        <w:rPr>
          <w:rFonts w:ascii="Times New Roman" w:hAnsi="Times New Roman"/>
          <w:b/>
          <w:bCs/>
          <w:sz w:val="24"/>
          <w:szCs w:val="24"/>
          <w:u w:val="single"/>
        </w:rPr>
        <w:t>Assurance of Confidentiality Provided to Respondents</w:t>
      </w:r>
      <w:bookmarkEnd w:id="12"/>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581DB5">
        <w:rPr>
          <w:rFonts w:ascii="Times New Roman" w:hAnsi="Times New Roman"/>
          <w:sz w:val="24"/>
          <w:szCs w:val="24"/>
        </w:rPr>
        <w:t>RTI’s Institutional Review Board (IRB) will review and approve the protocols and consent forms for the outcome evaluation survey prior to any respondent contact.  The IRB’s primary concern is protecting respondents’ rights, one of which is maintaining the privacy of respondent information to the fullest extent of the law.</w:t>
      </w:r>
    </w:p>
    <w:p w:rsidR="00EB5ADD" w:rsidRDefault="00EB5ADD"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Overview of Data Collection System</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All information will be collected electronically through a self-administered survey instrument hosted in a secure, online, web-based data collection system.  Respondents will be recruited through an existing </w:t>
      </w:r>
      <w:proofErr w:type="spellStart"/>
      <w:r w:rsidRPr="00EB5ADD">
        <w:rPr>
          <w:rFonts w:ascii="Times New Roman" w:hAnsi="Times New Roman"/>
          <w:sz w:val="24"/>
          <w:szCs w:val="24"/>
        </w:rPr>
        <w:t>GfK</w:t>
      </w:r>
      <w:proofErr w:type="spellEnd"/>
      <w:r w:rsidRPr="00EB5ADD">
        <w:rPr>
          <w:rFonts w:ascii="Times New Roman" w:hAnsi="Times New Roman"/>
          <w:sz w:val="24"/>
          <w:szCs w:val="24"/>
        </w:rPr>
        <w:t xml:space="preserve"> web-based panel system, and screened for eligibility and interest prior to administration of the main information collection instrument. All respondents will be ages 13 to 17 </w:t>
      </w:r>
      <w:proofErr w:type="gramStart"/>
      <w:r w:rsidRPr="00EB5ADD">
        <w:rPr>
          <w:rFonts w:ascii="Times New Roman" w:hAnsi="Times New Roman"/>
          <w:sz w:val="24"/>
          <w:szCs w:val="24"/>
        </w:rPr>
        <w:t>who</w:t>
      </w:r>
      <w:proofErr w:type="gramEnd"/>
      <w:r w:rsidRPr="00EB5ADD">
        <w:rPr>
          <w:rFonts w:ascii="Times New Roman" w:hAnsi="Times New Roman"/>
          <w:sz w:val="24"/>
          <w:szCs w:val="24"/>
        </w:rPr>
        <w:t xml:space="preserve"> have either experimented with smoking or are at risk of initiating smoking, and they will have parental permission to participate in the study prior to responding to any study questions.  Each respondent will give basic demographic information and then give their opinions of approximately 10 tobacco-related facts.  The respondent will participate at the time of his or her choosing.  There is no website content directed at children younger than 13 years of age.  RTI will not have direct contact with participants nor will RTI have access to any personal identifying information about the panelists.</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 xml:space="preserve">Overview of How Information will be </w:t>
      </w:r>
      <w:proofErr w:type="gramStart"/>
      <w:r w:rsidRPr="00EB5ADD">
        <w:rPr>
          <w:rFonts w:ascii="Times New Roman" w:hAnsi="Times New Roman"/>
          <w:sz w:val="24"/>
          <w:szCs w:val="24"/>
          <w:u w:val="single"/>
        </w:rPr>
        <w:t>Shared</w:t>
      </w:r>
      <w:proofErr w:type="gramEnd"/>
      <w:r w:rsidRPr="00EB5ADD">
        <w:rPr>
          <w:rFonts w:ascii="Times New Roman" w:hAnsi="Times New Roman"/>
          <w:sz w:val="24"/>
          <w:szCs w:val="24"/>
          <w:u w:val="single"/>
        </w:rPr>
        <w:t xml:space="preserve"> and for What Purposes</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Information will be collected by </w:t>
      </w:r>
      <w:proofErr w:type="spellStart"/>
      <w:r w:rsidRPr="00EB5ADD">
        <w:rPr>
          <w:rFonts w:ascii="Times New Roman" w:hAnsi="Times New Roman"/>
          <w:sz w:val="24"/>
          <w:szCs w:val="24"/>
        </w:rPr>
        <w:t>GfK’s</w:t>
      </w:r>
      <w:proofErr w:type="spellEnd"/>
      <w:r w:rsidRPr="00EB5ADD">
        <w:rPr>
          <w:rFonts w:ascii="Times New Roman" w:hAnsi="Times New Roman"/>
          <w:sz w:val="24"/>
          <w:szCs w:val="24"/>
        </w:rPr>
        <w:t xml:space="preserve"> </w:t>
      </w:r>
      <w:proofErr w:type="spellStart"/>
      <w:r w:rsidRPr="00EB5ADD">
        <w:rPr>
          <w:rFonts w:ascii="Times New Roman" w:hAnsi="Times New Roman"/>
          <w:sz w:val="24"/>
          <w:szCs w:val="24"/>
        </w:rPr>
        <w:t>KnowledgePanel</w:t>
      </w:r>
      <w:proofErr w:type="spellEnd"/>
      <w:r w:rsidRPr="00EB5ADD">
        <w:rPr>
          <w:rFonts w:ascii="Times New Roman" w:hAnsi="Times New Roman"/>
          <w:sz w:val="24"/>
          <w:szCs w:val="24"/>
        </w:rPr>
        <w:t xml:space="preserve">; however, they will not participate in the analysis of the data.  They will provide an aggregated dataset to RTI using a password-protected, encrypted file.  The password will not be sent in the same email as the encrypted file.  RTI will use this data to analyze respondents understanding and preferences of specific tobacco-related facts.  Confounders such as demographic characteristics, state of residence, and smoking status will be controlled for during the data analysis. </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Overview of the Impact the Proposed Collection will have on the Respondent’s Privacy</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No individually identifiable information or personal identifying information (PII) is being collected.  </w:t>
      </w:r>
      <w:proofErr w:type="spellStart"/>
      <w:r w:rsidRPr="00EB5ADD">
        <w:rPr>
          <w:rFonts w:ascii="Times New Roman" w:hAnsi="Times New Roman"/>
          <w:sz w:val="24"/>
          <w:szCs w:val="24"/>
        </w:rPr>
        <w:t>GfK</w:t>
      </w:r>
      <w:proofErr w:type="spellEnd"/>
      <w:r w:rsidRPr="00EB5ADD">
        <w:rPr>
          <w:rFonts w:ascii="Times New Roman" w:hAnsi="Times New Roman"/>
          <w:sz w:val="24"/>
          <w:szCs w:val="24"/>
        </w:rPr>
        <w:t xml:space="preserve"> will recruit from an existing adult panel </w:t>
      </w:r>
      <w:proofErr w:type="gramStart"/>
      <w:r w:rsidRPr="00EB5ADD">
        <w:rPr>
          <w:rFonts w:ascii="Times New Roman" w:hAnsi="Times New Roman"/>
          <w:sz w:val="24"/>
          <w:szCs w:val="24"/>
        </w:rPr>
        <w:t>who</w:t>
      </w:r>
      <w:proofErr w:type="gramEnd"/>
      <w:r w:rsidRPr="00EB5ADD">
        <w:rPr>
          <w:rFonts w:ascii="Times New Roman" w:hAnsi="Times New Roman"/>
          <w:sz w:val="24"/>
          <w:szCs w:val="24"/>
        </w:rPr>
        <w:t xml:space="preserve"> have been pre-screened for being parents of children ages 13 to 17.  Although demographic information (e.g., gender, age, and race) will be gathered, no direct personal identifiers (e.g., full name, phone number, social security number, etc.) will be collected or maintained as part of the screener (Attachment C) or survey (Attachment D).  As such, because it does not exist, no directly identifying information will be transmitted to RTI, and thus, the Privacy Act does not apply.  In addition, the data at the observation level is identified through use only of sample unit identifiers.  Neither </w:t>
      </w:r>
      <w:proofErr w:type="spellStart"/>
      <w:r w:rsidRPr="00EB5ADD">
        <w:rPr>
          <w:rFonts w:ascii="Times New Roman" w:hAnsi="Times New Roman"/>
          <w:sz w:val="24"/>
          <w:szCs w:val="24"/>
        </w:rPr>
        <w:t>GfK</w:t>
      </w:r>
      <w:proofErr w:type="spellEnd"/>
      <w:r w:rsidRPr="00EB5ADD">
        <w:rPr>
          <w:rFonts w:ascii="Times New Roman" w:hAnsi="Times New Roman"/>
          <w:sz w:val="24"/>
          <w:szCs w:val="24"/>
        </w:rPr>
        <w:t xml:space="preserve"> nor RTI employees working on the project will have access to any identifying information.   </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 xml:space="preserve">Overview of Voluntary Participation </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During email invitation, potential respondents will be advised of the nature of the survey, the length of time it will require, and that participation is voluntary. The parental permission form as well as the youth assent form will inform the participant that their participation is voluntary.   Respondents will be assured that they will incur no penalties if they wish not to respond to the information collection as a whole or to any specific questions.  Respondents on the web-based survey will have the option to decline to respond to any item in the survey for any reason and may drop out of the survey at any time.  These procedures conform to ethical practices for collecting data from human participants. </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p>
    <w:p w:rsid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r w:rsidRPr="00EB5ADD">
        <w:rPr>
          <w:rFonts w:ascii="Times New Roman" w:hAnsi="Times New Roman"/>
          <w:sz w:val="24"/>
          <w:szCs w:val="24"/>
          <w:u w:val="single"/>
        </w:rPr>
        <w:t>Overview of Data Security</w:t>
      </w:r>
    </w:p>
    <w:p w:rsidR="00EB5ADD" w:rsidRP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u w:val="single"/>
        </w:rPr>
      </w:pPr>
    </w:p>
    <w:p w:rsidR="00EB5ADD" w:rsidRDefault="00EB5ADD" w:rsidP="00EB5AD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 xml:space="preserve">All web-based respondents will use a link to enter the survey and the </w:t>
      </w:r>
      <w:proofErr w:type="spellStart"/>
      <w:r w:rsidRPr="00EB5ADD">
        <w:rPr>
          <w:rFonts w:ascii="Times New Roman" w:hAnsi="Times New Roman"/>
          <w:sz w:val="24"/>
          <w:szCs w:val="24"/>
        </w:rPr>
        <w:t>GfK</w:t>
      </w:r>
      <w:proofErr w:type="spellEnd"/>
      <w:r w:rsidRPr="00EB5ADD">
        <w:rPr>
          <w:rFonts w:ascii="Times New Roman" w:hAnsi="Times New Roman"/>
          <w:sz w:val="24"/>
          <w:szCs w:val="24"/>
        </w:rPr>
        <w:t xml:space="preserve"> software will assign them a unique ID and the responses will be anonymous.  No Personally Identifiable Information will be linked to the survey data.  All those who handle or analyze data will be required to adhere to the standard data security policies of RTI. All data will be reported in the aggregate only.  During data collection, all data will be stored on password-protected databases to which only </w:t>
      </w:r>
      <w:proofErr w:type="spellStart"/>
      <w:r w:rsidRPr="00EB5ADD">
        <w:rPr>
          <w:rFonts w:ascii="Times New Roman" w:hAnsi="Times New Roman"/>
          <w:sz w:val="24"/>
          <w:szCs w:val="24"/>
        </w:rPr>
        <w:t>GfK</w:t>
      </w:r>
      <w:proofErr w:type="spellEnd"/>
      <w:r w:rsidRPr="00EB5ADD">
        <w:rPr>
          <w:rFonts w:ascii="Times New Roman" w:hAnsi="Times New Roman"/>
          <w:sz w:val="24"/>
          <w:szCs w:val="24"/>
        </w:rPr>
        <w:t xml:space="preserve"> employees working on this project have access.  </w:t>
      </w:r>
      <w:proofErr w:type="spellStart"/>
      <w:r w:rsidRPr="00EB5ADD">
        <w:rPr>
          <w:rFonts w:ascii="Times New Roman" w:hAnsi="Times New Roman"/>
          <w:sz w:val="24"/>
          <w:szCs w:val="24"/>
        </w:rPr>
        <w:t>GfK</w:t>
      </w:r>
      <w:proofErr w:type="spellEnd"/>
      <w:r w:rsidRPr="00EB5ADD">
        <w:rPr>
          <w:rFonts w:ascii="Times New Roman" w:hAnsi="Times New Roman"/>
          <w:sz w:val="24"/>
          <w:szCs w:val="24"/>
        </w:rPr>
        <w:t xml:space="preserve"> will keep the data in non-aggregate form for six months after data collection has been completed, and then the data will be deleted from the password-protected databases.   All data will be sent to RTI using a password protected, encrypted file.  The password will not be sent in the same email as the encrypted file.  RTI will limit access to this portion of the share drive by limiting the personnel with access to this share drive to appropriate project staff.</w:t>
      </w:r>
    </w:p>
    <w:p w:rsidR="00581DB5" w:rsidRPr="005E5681" w:rsidRDefault="00581DB5" w:rsidP="00581DB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4" w:name="_Toc239649232"/>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4"/>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EB5ADD" w:rsidRPr="00EB5ADD"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current smoking behavior)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will apprise respondents that these topics will be covered during the survey. This study includes a number of procedures and methodological characteristics that will minimize potential negative reactions to these types of questions, including the following:</w:t>
      </w:r>
    </w:p>
    <w:p w:rsidR="00EB5ADD" w:rsidRPr="00EB5ADD"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Default="00EB5ADD"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Respondents will be informed that they need not answer any question that makes them feel uncomfortable or that they simply do not wish to answer.</w:t>
      </w:r>
    </w:p>
    <w:p w:rsidR="00EB5ADD" w:rsidRPr="00EB5ADD" w:rsidRDefault="00EB5ADD" w:rsidP="00EB5A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0"/>
        <w:rPr>
          <w:rFonts w:ascii="Times New Roman" w:hAnsi="Times New Roman"/>
          <w:sz w:val="24"/>
          <w:szCs w:val="24"/>
        </w:rPr>
      </w:pPr>
    </w:p>
    <w:p w:rsidR="00EB5ADD" w:rsidRPr="00EB5ADD" w:rsidRDefault="00EB5ADD"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t>Web surveys are entirely self-administered and maximize respondent privacy without the need to verbalize responses.</w:t>
      </w:r>
    </w:p>
    <w:p w:rsidR="00EB5ADD" w:rsidRPr="00EB5ADD" w:rsidRDefault="00EB5ADD" w:rsidP="00EB5ADD">
      <w:pPr>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B5ADD">
        <w:rPr>
          <w:rFonts w:ascii="Times New Roman" w:hAnsi="Times New Roman"/>
          <w:sz w:val="24"/>
          <w:szCs w:val="24"/>
        </w:rPr>
        <w:lastRenderedPageBreak/>
        <w:t xml:space="preserve">Participants will be provided with a toll-free phone number for the RTI project director and a toll-free phone number for the RTI IRB hotline should they have any questions or concerns about the study or their rights as a study participant. </w:t>
      </w:r>
    </w:p>
    <w:p w:rsidR="00EB5ADD" w:rsidRPr="00EB5ADD"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5C0FF9"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EB5ADD">
        <w:rPr>
          <w:rFonts w:ascii="Times New Roman" w:hAnsi="Times New Roman"/>
          <w:sz w:val="24"/>
          <w:szCs w:val="24"/>
        </w:rPr>
        <w:t>Finally, as with all information collected, these data will be presented with all identifiers removed.</w:t>
      </w:r>
    </w:p>
    <w:p w:rsidR="00EB5ADD" w:rsidRPr="005E5681" w:rsidRDefault="00EB5ADD" w:rsidP="00EB5AD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5C0FF9" w:rsidRPr="004732BA"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5" w:name="_Toc239649233"/>
      <w:r w:rsidRPr="004732BA">
        <w:rPr>
          <w:rFonts w:ascii="Times New Roman" w:hAnsi="Times New Roman"/>
          <w:b/>
          <w:bCs/>
          <w:sz w:val="24"/>
          <w:szCs w:val="24"/>
        </w:rPr>
        <w:t xml:space="preserve">12.  </w:t>
      </w:r>
      <w:r w:rsidRPr="004732BA">
        <w:rPr>
          <w:rFonts w:ascii="Times New Roman" w:hAnsi="Times New Roman"/>
          <w:b/>
          <w:bCs/>
          <w:sz w:val="24"/>
          <w:szCs w:val="24"/>
          <w:u w:val="single"/>
        </w:rPr>
        <w:t>Estimates of Annualized Burden Hours and Costs</w:t>
      </w:r>
      <w:bookmarkEnd w:id="15"/>
    </w:p>
    <w:p w:rsidR="005C0FF9" w:rsidRDefault="005C0FF9" w:rsidP="00EB5A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EB5ADD" w:rsidRPr="00EB5ADD" w:rsidRDefault="00EB5ADD" w:rsidP="00EB5ADD">
      <w:pPr>
        <w:ind w:left="450"/>
        <w:rPr>
          <w:rFonts w:ascii="Times New Roman" w:hAnsi="Times New Roman"/>
          <w:sz w:val="24"/>
          <w:szCs w:val="24"/>
        </w:rPr>
      </w:pPr>
      <w:r w:rsidRPr="00EB5ADD">
        <w:rPr>
          <w:rFonts w:ascii="Times New Roman" w:hAnsi="Times New Roman"/>
          <w:sz w:val="24"/>
          <w:szCs w:val="24"/>
          <w:u w:val="single"/>
        </w:rPr>
        <w:t>12 a. Annualized Hour Burden Estimate</w:t>
      </w:r>
    </w:p>
    <w:p w:rsidR="00EB5ADD" w:rsidRPr="00EB5ADD" w:rsidRDefault="00EB5ADD" w:rsidP="00EB5ADD">
      <w:pPr>
        <w:spacing w:before="100" w:beforeAutospacing="1" w:after="100" w:afterAutospacing="1"/>
        <w:ind w:left="450"/>
        <w:rPr>
          <w:rFonts w:ascii="Times New Roman" w:hAnsi="Times New Roman"/>
          <w:sz w:val="24"/>
          <w:szCs w:val="24"/>
        </w:rPr>
      </w:pPr>
      <w:r w:rsidRPr="00EB5ADD">
        <w:rPr>
          <w:rFonts w:ascii="Times New Roman" w:hAnsi="Times New Roman"/>
          <w:sz w:val="24"/>
          <w:szCs w:val="24"/>
        </w:rPr>
        <w:t>An estimated one-time reporting burden for this collection will be approximately 1,</w:t>
      </w:r>
      <w:r w:rsidR="00537206">
        <w:rPr>
          <w:rFonts w:ascii="Times New Roman" w:hAnsi="Times New Roman"/>
          <w:sz w:val="24"/>
          <w:szCs w:val="24"/>
        </w:rPr>
        <w:t>746</w:t>
      </w:r>
      <w:r w:rsidRPr="00EB5ADD">
        <w:rPr>
          <w:rFonts w:ascii="Times New Roman" w:hAnsi="Times New Roman"/>
          <w:sz w:val="24"/>
          <w:szCs w:val="24"/>
        </w:rPr>
        <w:t xml:space="preserve"> hours (Table </w:t>
      </w:r>
      <w:r w:rsidR="00326755">
        <w:rPr>
          <w:rFonts w:ascii="Times New Roman" w:hAnsi="Times New Roman"/>
          <w:sz w:val="24"/>
          <w:szCs w:val="24"/>
        </w:rPr>
        <w:t>2</w:t>
      </w:r>
      <w:r w:rsidRPr="00EB5ADD">
        <w:rPr>
          <w:rFonts w:ascii="Times New Roman" w:hAnsi="Times New Roman"/>
          <w:sz w:val="24"/>
          <w:szCs w:val="24"/>
        </w:rPr>
        <w:t xml:space="preserve">).  </w:t>
      </w:r>
      <w:bookmarkStart w:id="16" w:name="_Toc361824170"/>
      <w:r w:rsidRPr="00EB5ADD">
        <w:rPr>
          <w:rFonts w:ascii="Times New Roman" w:hAnsi="Times New Roman"/>
          <w:sz w:val="24"/>
          <w:szCs w:val="24"/>
        </w:rPr>
        <w:t xml:space="preserve">This includes the time burden associated with the screener.  </w:t>
      </w:r>
    </w:p>
    <w:p w:rsidR="00EB5ADD" w:rsidRPr="00EB5ADD" w:rsidRDefault="00EB5ADD" w:rsidP="00EB5ADD">
      <w:pPr>
        <w:ind w:left="450"/>
        <w:rPr>
          <w:rFonts w:ascii="Times New Roman" w:hAnsi="Times New Roman"/>
          <w:sz w:val="24"/>
          <w:szCs w:val="24"/>
        </w:rPr>
      </w:pPr>
      <w:r w:rsidRPr="00EB5ADD">
        <w:rPr>
          <w:rFonts w:ascii="Times New Roman" w:hAnsi="Times New Roman"/>
          <w:sz w:val="24"/>
          <w:szCs w:val="24"/>
        </w:rPr>
        <w:t xml:space="preserve">To obtain a final sample of </w:t>
      </w:r>
      <w:r w:rsidR="00326755">
        <w:rPr>
          <w:rFonts w:ascii="Times New Roman" w:hAnsi="Times New Roman"/>
          <w:sz w:val="24"/>
          <w:szCs w:val="24"/>
        </w:rPr>
        <w:t xml:space="preserve">1,500 youth; </w:t>
      </w:r>
      <w:r w:rsidRPr="00EB5ADD">
        <w:rPr>
          <w:rFonts w:ascii="Times New Roman" w:hAnsi="Times New Roman"/>
          <w:sz w:val="24"/>
          <w:szCs w:val="24"/>
        </w:rPr>
        <w:t xml:space="preserve">750 youth ages 13-17 who have experimented with smoking and 750 youth ages 13-17 who are susceptible to smoking in the future, we will need to screen approximately 6,251 potential respondents.  This is because we anticipate approximately 24% of youth </w:t>
      </w:r>
      <w:proofErr w:type="gramStart"/>
      <w:r w:rsidRPr="00EB5ADD">
        <w:rPr>
          <w:rFonts w:ascii="Times New Roman" w:hAnsi="Times New Roman"/>
          <w:sz w:val="24"/>
          <w:szCs w:val="24"/>
        </w:rPr>
        <w:t>have</w:t>
      </w:r>
      <w:proofErr w:type="gramEnd"/>
      <w:r w:rsidRPr="00EB5ADD">
        <w:rPr>
          <w:rFonts w:ascii="Times New Roman" w:hAnsi="Times New Roman"/>
          <w:sz w:val="24"/>
          <w:szCs w:val="24"/>
        </w:rPr>
        <w:t xml:space="preserve"> experimented with smoking, and about 16% are susceptible to initiating smoking in the future (NYTS, 2014). Based on experience from previous surveys, we anticipate about 75% of screened contacted respondents will provide both parental permission and child assent to participate in the study.</w:t>
      </w:r>
    </w:p>
    <w:p w:rsidR="00EB5ADD" w:rsidRPr="00EB5ADD" w:rsidRDefault="00326755" w:rsidP="00EB5ADD">
      <w:pPr>
        <w:spacing w:before="100" w:beforeAutospacing="1" w:after="100" w:afterAutospacing="1"/>
        <w:ind w:left="720"/>
        <w:rPr>
          <w:rFonts w:ascii="Times New Roman" w:hAnsi="Times New Roman"/>
          <w:b/>
          <w:sz w:val="24"/>
          <w:szCs w:val="24"/>
          <w:vertAlign w:val="superscript"/>
        </w:rPr>
      </w:pPr>
      <w:r>
        <w:rPr>
          <w:rFonts w:ascii="Times New Roman" w:hAnsi="Times New Roman"/>
          <w:b/>
          <w:sz w:val="24"/>
          <w:szCs w:val="24"/>
        </w:rPr>
        <w:t>Table 2</w:t>
      </w:r>
      <w:r w:rsidR="00EB5ADD" w:rsidRPr="00EB5ADD">
        <w:rPr>
          <w:rFonts w:ascii="Times New Roman" w:hAnsi="Times New Roman"/>
          <w:b/>
          <w:sz w:val="24"/>
          <w:szCs w:val="24"/>
        </w:rPr>
        <w:t>.</w:t>
      </w:r>
      <w:r w:rsidR="0081268C">
        <w:rPr>
          <w:rFonts w:ascii="Times New Roman" w:hAnsi="Times New Roman"/>
          <w:b/>
          <w:sz w:val="24"/>
          <w:szCs w:val="24"/>
        </w:rPr>
        <w:t>—</w:t>
      </w:r>
      <w:r w:rsidR="00EB5ADD" w:rsidRPr="00EB5ADD">
        <w:rPr>
          <w:rFonts w:ascii="Times New Roman" w:hAnsi="Times New Roman"/>
          <w:b/>
          <w:sz w:val="24"/>
          <w:szCs w:val="24"/>
        </w:rPr>
        <w:t>Estimated</w:t>
      </w:r>
      <w:r w:rsidR="0081268C">
        <w:rPr>
          <w:rFonts w:ascii="Times New Roman" w:hAnsi="Times New Roman"/>
          <w:b/>
          <w:sz w:val="24"/>
          <w:szCs w:val="24"/>
        </w:rPr>
        <w:t xml:space="preserve"> </w:t>
      </w:r>
      <w:r w:rsidR="00EB5ADD" w:rsidRPr="00EB5ADD">
        <w:rPr>
          <w:rFonts w:ascii="Times New Roman" w:hAnsi="Times New Roman"/>
          <w:b/>
          <w:sz w:val="24"/>
          <w:szCs w:val="24"/>
        </w:rPr>
        <w:t>Annual Reporting Burden</w:t>
      </w:r>
      <w:bookmarkEnd w:id="16"/>
      <w:r w:rsidR="006576CA" w:rsidRPr="006576CA">
        <w:rPr>
          <w:rFonts w:ascii="Times New Roman" w:hAnsi="Times New Roman"/>
          <w:b/>
          <w:sz w:val="24"/>
          <w:szCs w:val="24"/>
          <w:vertAlign w:val="superscript"/>
        </w:rPr>
        <w:t>1</w:t>
      </w:r>
    </w:p>
    <w:tbl>
      <w:tblPr>
        <w:tblW w:w="8529" w:type="dxa"/>
        <w:tblInd w:w="720"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1980"/>
        <w:gridCol w:w="1170"/>
        <w:gridCol w:w="1119"/>
        <w:gridCol w:w="1008"/>
        <w:gridCol w:w="1080"/>
        <w:gridCol w:w="969"/>
      </w:tblGrid>
      <w:tr w:rsidR="00EB5ADD" w:rsidRPr="00EB5ADD" w:rsidTr="00EB5ADD">
        <w:trPr>
          <w:cantSplit/>
        </w:trPr>
        <w:tc>
          <w:tcPr>
            <w:tcW w:w="1203"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Type of Respondent</w:t>
            </w:r>
          </w:p>
        </w:tc>
        <w:tc>
          <w:tcPr>
            <w:tcW w:w="1980"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Activity</w:t>
            </w:r>
          </w:p>
        </w:tc>
        <w:tc>
          <w:tcPr>
            <w:tcW w:w="1170"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Number of Respondents</w:t>
            </w:r>
          </w:p>
        </w:tc>
        <w:tc>
          <w:tcPr>
            <w:tcW w:w="1119"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Number of Responses per Respondent</w:t>
            </w:r>
          </w:p>
        </w:tc>
        <w:tc>
          <w:tcPr>
            <w:tcW w:w="1008"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Total Responses</w:t>
            </w:r>
          </w:p>
        </w:tc>
        <w:tc>
          <w:tcPr>
            <w:tcW w:w="1080"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Average Burden per Response (in hours)</w:t>
            </w:r>
          </w:p>
        </w:tc>
        <w:tc>
          <w:tcPr>
            <w:tcW w:w="969" w:type="dxa"/>
            <w:vAlign w:val="bottom"/>
          </w:tcPr>
          <w:p w:rsidR="00EB5ADD" w:rsidRPr="00EB5ADD" w:rsidRDefault="00EB5ADD" w:rsidP="00FF7A17">
            <w:pPr>
              <w:keepNext/>
              <w:spacing w:before="20" w:after="20"/>
              <w:jc w:val="center"/>
              <w:rPr>
                <w:rFonts w:ascii="Times New Roman" w:hAnsi="Times New Roman"/>
                <w:b/>
                <w:sz w:val="16"/>
                <w:szCs w:val="24"/>
              </w:rPr>
            </w:pPr>
            <w:r w:rsidRPr="00EB5ADD">
              <w:rPr>
                <w:rFonts w:ascii="Times New Roman" w:hAnsi="Times New Roman"/>
                <w:b/>
                <w:sz w:val="16"/>
                <w:szCs w:val="24"/>
              </w:rPr>
              <w:t>Total Hours¹</w:t>
            </w:r>
          </w:p>
        </w:tc>
      </w:tr>
      <w:tr w:rsidR="0073310C" w:rsidRPr="00EB5ADD" w:rsidTr="0073310C">
        <w:trPr>
          <w:cantSplit/>
          <w:trHeight w:val="478"/>
        </w:trPr>
        <w:tc>
          <w:tcPr>
            <w:tcW w:w="8529" w:type="dxa"/>
            <w:gridSpan w:val="7"/>
            <w:vAlign w:val="center"/>
          </w:tcPr>
          <w:p w:rsidR="0073310C" w:rsidRPr="006576CA" w:rsidRDefault="0073310C" w:rsidP="0073310C">
            <w:pPr>
              <w:rPr>
                <w:rFonts w:ascii="Times New Roman" w:hAnsi="Times New Roman"/>
                <w:b/>
                <w:sz w:val="16"/>
                <w:szCs w:val="24"/>
              </w:rPr>
            </w:pPr>
            <w:r w:rsidRPr="006576CA">
              <w:rPr>
                <w:rFonts w:ascii="Times New Roman" w:hAnsi="Times New Roman"/>
                <w:b/>
                <w:sz w:val="16"/>
                <w:szCs w:val="24"/>
              </w:rPr>
              <w:t>Screened Potential Participants</w:t>
            </w:r>
          </w:p>
        </w:tc>
      </w:tr>
      <w:tr w:rsidR="0040556E" w:rsidRPr="00EB5ADD" w:rsidTr="0073310C">
        <w:trPr>
          <w:cantSplit/>
        </w:trPr>
        <w:tc>
          <w:tcPr>
            <w:tcW w:w="1203" w:type="dxa"/>
            <w:vAlign w:val="center"/>
          </w:tcPr>
          <w:p w:rsidR="0040556E" w:rsidRPr="00EB5ADD" w:rsidRDefault="0040556E" w:rsidP="0040556E">
            <w:pPr>
              <w:keepNext/>
              <w:spacing w:before="20" w:after="20"/>
              <w:rPr>
                <w:rFonts w:ascii="Times New Roman" w:hAnsi="Times New Roman"/>
                <w:sz w:val="16"/>
                <w:szCs w:val="24"/>
              </w:rPr>
            </w:pPr>
            <w:r w:rsidRPr="00EB5ADD">
              <w:rPr>
                <w:rFonts w:ascii="Times New Roman" w:hAnsi="Times New Roman"/>
                <w:sz w:val="16"/>
                <w:szCs w:val="24"/>
              </w:rPr>
              <w:t>General population</w:t>
            </w:r>
          </w:p>
        </w:tc>
        <w:tc>
          <w:tcPr>
            <w:tcW w:w="1980" w:type="dxa"/>
            <w:vAlign w:val="center"/>
          </w:tcPr>
          <w:p w:rsidR="0040556E" w:rsidRPr="00EB5ADD" w:rsidRDefault="0040556E" w:rsidP="0040556E">
            <w:pPr>
              <w:keepNext/>
              <w:spacing w:before="20" w:after="20"/>
              <w:rPr>
                <w:rFonts w:ascii="Times New Roman" w:hAnsi="Times New Roman"/>
                <w:sz w:val="16"/>
                <w:szCs w:val="24"/>
              </w:rPr>
            </w:pPr>
            <w:r>
              <w:rPr>
                <w:rFonts w:ascii="Times New Roman" w:hAnsi="Times New Roman"/>
                <w:sz w:val="16"/>
                <w:szCs w:val="24"/>
              </w:rPr>
              <w:t>Invitation a</w:t>
            </w:r>
            <w:r w:rsidRPr="0040556E">
              <w:rPr>
                <w:rFonts w:ascii="Times New Roman" w:hAnsi="Times New Roman"/>
                <w:sz w:val="16"/>
                <w:szCs w:val="24"/>
              </w:rPr>
              <w:t xml:space="preserve">nd Parental Permission </w:t>
            </w:r>
          </w:p>
        </w:tc>
        <w:tc>
          <w:tcPr>
            <w:tcW w:w="1170" w:type="dxa"/>
            <w:vAlign w:val="center"/>
          </w:tcPr>
          <w:p w:rsidR="0040556E" w:rsidRPr="00EB5ADD" w:rsidRDefault="0040556E" w:rsidP="0040556E">
            <w:pPr>
              <w:keepNext/>
              <w:tabs>
                <w:tab w:val="decimal" w:pos="932"/>
              </w:tabs>
              <w:spacing w:before="20" w:after="20"/>
              <w:rPr>
                <w:rFonts w:ascii="Times New Roman" w:hAnsi="Times New Roman"/>
                <w:sz w:val="16"/>
                <w:szCs w:val="24"/>
              </w:rPr>
            </w:pPr>
            <w:r>
              <w:rPr>
                <w:rFonts w:ascii="Times New Roman" w:hAnsi="Times New Roman"/>
                <w:sz w:val="16"/>
                <w:szCs w:val="24"/>
              </w:rPr>
              <w:t>6,251</w:t>
            </w:r>
          </w:p>
        </w:tc>
        <w:tc>
          <w:tcPr>
            <w:tcW w:w="1119" w:type="dxa"/>
            <w:vAlign w:val="center"/>
          </w:tcPr>
          <w:p w:rsidR="0040556E" w:rsidRPr="00EB5ADD" w:rsidRDefault="0040556E" w:rsidP="0073310C">
            <w:pPr>
              <w:keepNext/>
              <w:spacing w:before="20" w:after="20"/>
              <w:jc w:val="center"/>
              <w:rPr>
                <w:rFonts w:ascii="Times New Roman" w:hAnsi="Times New Roman"/>
                <w:sz w:val="16"/>
                <w:szCs w:val="24"/>
              </w:rPr>
            </w:pPr>
            <w:r>
              <w:rPr>
                <w:rFonts w:ascii="Times New Roman" w:hAnsi="Times New Roman"/>
                <w:sz w:val="16"/>
                <w:szCs w:val="24"/>
              </w:rPr>
              <w:t>1</w:t>
            </w:r>
          </w:p>
        </w:tc>
        <w:tc>
          <w:tcPr>
            <w:tcW w:w="1008" w:type="dxa"/>
            <w:vAlign w:val="center"/>
          </w:tcPr>
          <w:p w:rsidR="0040556E" w:rsidRPr="00EB5ADD" w:rsidRDefault="0073310C" w:rsidP="0073310C">
            <w:pPr>
              <w:keepNext/>
              <w:tabs>
                <w:tab w:val="decimal" w:pos="710"/>
              </w:tabs>
              <w:spacing w:before="20" w:after="20"/>
              <w:rPr>
                <w:rFonts w:ascii="Times New Roman" w:hAnsi="Times New Roman"/>
                <w:sz w:val="16"/>
                <w:szCs w:val="24"/>
              </w:rPr>
            </w:pPr>
            <w:r w:rsidRPr="00EB5ADD">
              <w:rPr>
                <w:rFonts w:ascii="Times New Roman" w:hAnsi="Times New Roman"/>
                <w:sz w:val="16"/>
                <w:szCs w:val="24"/>
              </w:rPr>
              <w:t>6,251</w:t>
            </w:r>
          </w:p>
        </w:tc>
        <w:tc>
          <w:tcPr>
            <w:tcW w:w="1080" w:type="dxa"/>
            <w:vAlign w:val="center"/>
          </w:tcPr>
          <w:p w:rsidR="0040556E" w:rsidRPr="00EB5ADD" w:rsidRDefault="0073310C" w:rsidP="0073310C">
            <w:pPr>
              <w:keepNext/>
              <w:tabs>
                <w:tab w:val="decimal" w:pos="454"/>
              </w:tabs>
              <w:spacing w:before="20" w:after="20"/>
              <w:rPr>
                <w:rFonts w:ascii="Times New Roman" w:hAnsi="Times New Roman"/>
                <w:sz w:val="16"/>
                <w:szCs w:val="24"/>
              </w:rPr>
            </w:pPr>
            <w:r>
              <w:rPr>
                <w:rFonts w:ascii="Times New Roman" w:hAnsi="Times New Roman"/>
                <w:sz w:val="16"/>
                <w:szCs w:val="24"/>
              </w:rPr>
              <w:t>0.08</w:t>
            </w:r>
          </w:p>
        </w:tc>
        <w:tc>
          <w:tcPr>
            <w:tcW w:w="969" w:type="dxa"/>
            <w:vAlign w:val="center"/>
          </w:tcPr>
          <w:p w:rsidR="0040556E" w:rsidRPr="006576CA" w:rsidRDefault="0073310C" w:rsidP="0073310C">
            <w:pPr>
              <w:jc w:val="center"/>
              <w:rPr>
                <w:rFonts w:ascii="Times New Roman" w:hAnsi="Times New Roman"/>
                <w:b/>
                <w:sz w:val="16"/>
                <w:szCs w:val="24"/>
              </w:rPr>
            </w:pPr>
            <w:r w:rsidRPr="006576CA">
              <w:rPr>
                <w:rFonts w:ascii="Times New Roman" w:hAnsi="Times New Roman"/>
                <w:b/>
                <w:sz w:val="16"/>
                <w:szCs w:val="24"/>
              </w:rPr>
              <w:t>500</w:t>
            </w:r>
          </w:p>
        </w:tc>
      </w:tr>
      <w:tr w:rsidR="00EB5ADD" w:rsidRPr="00EB5ADD" w:rsidTr="0073310C">
        <w:trPr>
          <w:cantSplit/>
          <w:trHeight w:val="534"/>
        </w:trPr>
        <w:tc>
          <w:tcPr>
            <w:tcW w:w="1203" w:type="dxa"/>
            <w:vAlign w:val="center"/>
          </w:tcPr>
          <w:p w:rsidR="00EB5ADD" w:rsidRPr="00EB5ADD" w:rsidRDefault="0040556E" w:rsidP="0073310C">
            <w:pPr>
              <w:keepNext/>
              <w:spacing w:before="20" w:after="20"/>
              <w:rPr>
                <w:rFonts w:ascii="Times New Roman" w:hAnsi="Times New Roman"/>
                <w:sz w:val="16"/>
                <w:szCs w:val="24"/>
              </w:rPr>
            </w:pPr>
            <w:r w:rsidRPr="00EB5ADD">
              <w:rPr>
                <w:rFonts w:ascii="Times New Roman" w:hAnsi="Times New Roman"/>
                <w:sz w:val="16"/>
                <w:szCs w:val="24"/>
              </w:rPr>
              <w:t xml:space="preserve">Youth aged </w:t>
            </w:r>
            <w:r w:rsidR="0073310C">
              <w:rPr>
                <w:rFonts w:ascii="Times New Roman" w:hAnsi="Times New Roman"/>
                <w:sz w:val="16"/>
                <w:szCs w:val="24"/>
              </w:rPr>
              <w:br/>
            </w:r>
            <w:r w:rsidRPr="00EB5ADD">
              <w:rPr>
                <w:rFonts w:ascii="Times New Roman" w:hAnsi="Times New Roman"/>
                <w:sz w:val="16"/>
                <w:szCs w:val="24"/>
              </w:rPr>
              <w:t xml:space="preserve">13 to 17 </w:t>
            </w:r>
          </w:p>
        </w:tc>
        <w:tc>
          <w:tcPr>
            <w:tcW w:w="1980" w:type="dxa"/>
            <w:vAlign w:val="center"/>
          </w:tcPr>
          <w:p w:rsidR="00EB5ADD" w:rsidRPr="00EB5ADD" w:rsidRDefault="00537206" w:rsidP="0081268C">
            <w:pPr>
              <w:keepNext/>
              <w:spacing w:before="20" w:after="20"/>
              <w:rPr>
                <w:rFonts w:ascii="Times New Roman" w:hAnsi="Times New Roman"/>
                <w:sz w:val="16"/>
                <w:szCs w:val="24"/>
              </w:rPr>
            </w:pPr>
            <w:r>
              <w:rPr>
                <w:rFonts w:ascii="Times New Roman" w:hAnsi="Times New Roman"/>
                <w:sz w:val="16"/>
                <w:szCs w:val="24"/>
              </w:rPr>
              <w:t>Invitation a</w:t>
            </w:r>
            <w:r w:rsidRPr="0040556E">
              <w:rPr>
                <w:rFonts w:ascii="Times New Roman" w:hAnsi="Times New Roman"/>
                <w:sz w:val="16"/>
                <w:szCs w:val="24"/>
              </w:rPr>
              <w:t xml:space="preserve">nd </w:t>
            </w:r>
            <w:r>
              <w:rPr>
                <w:rFonts w:ascii="Times New Roman" w:hAnsi="Times New Roman"/>
                <w:sz w:val="16"/>
                <w:szCs w:val="24"/>
              </w:rPr>
              <w:t xml:space="preserve">Youth </w:t>
            </w:r>
            <w:r w:rsidR="0081268C">
              <w:rPr>
                <w:rFonts w:ascii="Times New Roman" w:hAnsi="Times New Roman"/>
                <w:sz w:val="16"/>
                <w:szCs w:val="24"/>
              </w:rPr>
              <w:t>Assent</w:t>
            </w:r>
            <w:r w:rsidRPr="0040556E">
              <w:rPr>
                <w:rFonts w:ascii="Times New Roman" w:hAnsi="Times New Roman"/>
                <w:sz w:val="16"/>
                <w:szCs w:val="24"/>
              </w:rPr>
              <w:t xml:space="preserve"> </w:t>
            </w:r>
            <w:r>
              <w:rPr>
                <w:rFonts w:ascii="Times New Roman" w:hAnsi="Times New Roman"/>
                <w:sz w:val="16"/>
                <w:szCs w:val="24"/>
              </w:rPr>
              <w:t xml:space="preserve">/ </w:t>
            </w:r>
            <w:r w:rsidR="0040556E" w:rsidRPr="0040556E">
              <w:rPr>
                <w:rFonts w:ascii="Times New Roman" w:hAnsi="Times New Roman"/>
                <w:sz w:val="16"/>
                <w:szCs w:val="24"/>
              </w:rPr>
              <w:t xml:space="preserve">Youth Screening </w:t>
            </w:r>
          </w:p>
        </w:tc>
        <w:tc>
          <w:tcPr>
            <w:tcW w:w="1170" w:type="dxa"/>
            <w:vAlign w:val="center"/>
          </w:tcPr>
          <w:p w:rsidR="00EB5ADD" w:rsidRPr="00EB5ADD" w:rsidRDefault="0040556E" w:rsidP="0040556E">
            <w:pPr>
              <w:keepNext/>
              <w:tabs>
                <w:tab w:val="decimal" w:pos="932"/>
              </w:tabs>
              <w:spacing w:before="20" w:after="20"/>
              <w:rPr>
                <w:rFonts w:ascii="Times New Roman" w:hAnsi="Times New Roman"/>
                <w:sz w:val="16"/>
                <w:szCs w:val="24"/>
              </w:rPr>
            </w:pPr>
            <w:r>
              <w:rPr>
                <w:rFonts w:ascii="Times New Roman" w:hAnsi="Times New Roman"/>
                <w:sz w:val="16"/>
                <w:szCs w:val="24"/>
              </w:rPr>
              <w:t>4,688</w:t>
            </w:r>
          </w:p>
        </w:tc>
        <w:tc>
          <w:tcPr>
            <w:tcW w:w="1119" w:type="dxa"/>
            <w:vAlign w:val="center"/>
          </w:tcPr>
          <w:p w:rsidR="00EB5ADD" w:rsidRPr="00EB5ADD" w:rsidRDefault="00EB5ADD" w:rsidP="0073310C">
            <w:pPr>
              <w:keepNext/>
              <w:spacing w:before="20" w:after="20"/>
              <w:jc w:val="center"/>
              <w:rPr>
                <w:rFonts w:ascii="Times New Roman" w:hAnsi="Times New Roman"/>
                <w:sz w:val="16"/>
                <w:szCs w:val="24"/>
              </w:rPr>
            </w:pPr>
            <w:r w:rsidRPr="00EB5ADD">
              <w:rPr>
                <w:rFonts w:ascii="Times New Roman" w:hAnsi="Times New Roman"/>
                <w:sz w:val="16"/>
                <w:szCs w:val="24"/>
              </w:rPr>
              <w:t>1</w:t>
            </w:r>
          </w:p>
        </w:tc>
        <w:tc>
          <w:tcPr>
            <w:tcW w:w="1008" w:type="dxa"/>
            <w:vAlign w:val="center"/>
          </w:tcPr>
          <w:p w:rsidR="00EB5ADD" w:rsidRPr="00EB5ADD" w:rsidRDefault="0073310C" w:rsidP="0073310C">
            <w:pPr>
              <w:keepNext/>
              <w:tabs>
                <w:tab w:val="decimal" w:pos="710"/>
              </w:tabs>
              <w:spacing w:before="20" w:after="20"/>
              <w:rPr>
                <w:rFonts w:ascii="Times New Roman" w:hAnsi="Times New Roman"/>
                <w:sz w:val="16"/>
                <w:szCs w:val="24"/>
              </w:rPr>
            </w:pPr>
            <w:r>
              <w:rPr>
                <w:rFonts w:ascii="Times New Roman" w:hAnsi="Times New Roman"/>
                <w:sz w:val="16"/>
                <w:szCs w:val="24"/>
              </w:rPr>
              <w:t>4,688</w:t>
            </w:r>
          </w:p>
        </w:tc>
        <w:tc>
          <w:tcPr>
            <w:tcW w:w="1080" w:type="dxa"/>
            <w:vAlign w:val="center"/>
          </w:tcPr>
          <w:p w:rsidR="00EB5ADD" w:rsidRPr="00EB5ADD" w:rsidRDefault="00EB5ADD" w:rsidP="00537206">
            <w:pPr>
              <w:keepNext/>
              <w:tabs>
                <w:tab w:val="decimal" w:pos="454"/>
              </w:tabs>
              <w:spacing w:before="20" w:after="20"/>
              <w:rPr>
                <w:rFonts w:ascii="Times New Roman" w:hAnsi="Times New Roman"/>
                <w:sz w:val="16"/>
                <w:szCs w:val="24"/>
              </w:rPr>
            </w:pPr>
            <w:r w:rsidRPr="00EB5ADD">
              <w:rPr>
                <w:rFonts w:ascii="Times New Roman" w:hAnsi="Times New Roman"/>
                <w:sz w:val="16"/>
                <w:szCs w:val="24"/>
              </w:rPr>
              <w:t>0.</w:t>
            </w:r>
            <w:r w:rsidR="00537206">
              <w:rPr>
                <w:rFonts w:ascii="Times New Roman" w:hAnsi="Times New Roman"/>
                <w:sz w:val="16"/>
                <w:szCs w:val="24"/>
              </w:rPr>
              <w:t>16</w:t>
            </w:r>
          </w:p>
        </w:tc>
        <w:tc>
          <w:tcPr>
            <w:tcW w:w="969" w:type="dxa"/>
            <w:vAlign w:val="center"/>
          </w:tcPr>
          <w:p w:rsidR="00EB5ADD" w:rsidRPr="006576CA" w:rsidRDefault="00537206" w:rsidP="0073310C">
            <w:pPr>
              <w:jc w:val="center"/>
              <w:rPr>
                <w:rFonts w:ascii="Times New Roman" w:hAnsi="Times New Roman"/>
                <w:b/>
                <w:sz w:val="16"/>
                <w:szCs w:val="24"/>
              </w:rPr>
            </w:pPr>
            <w:r>
              <w:rPr>
                <w:rFonts w:ascii="Times New Roman" w:hAnsi="Times New Roman"/>
                <w:b/>
                <w:sz w:val="16"/>
                <w:szCs w:val="24"/>
              </w:rPr>
              <w:t>750</w:t>
            </w:r>
          </w:p>
        </w:tc>
      </w:tr>
      <w:tr w:rsidR="0073310C" w:rsidRPr="00EB5ADD" w:rsidTr="0073310C">
        <w:trPr>
          <w:cantSplit/>
        </w:trPr>
        <w:tc>
          <w:tcPr>
            <w:tcW w:w="8529" w:type="dxa"/>
            <w:gridSpan w:val="7"/>
            <w:vAlign w:val="center"/>
          </w:tcPr>
          <w:p w:rsidR="0073310C" w:rsidRDefault="0073310C" w:rsidP="0073310C">
            <w:pPr>
              <w:rPr>
                <w:rFonts w:ascii="Times New Roman" w:hAnsi="Times New Roman"/>
                <w:sz w:val="16"/>
                <w:szCs w:val="24"/>
              </w:rPr>
            </w:pPr>
          </w:p>
          <w:p w:rsidR="0073310C" w:rsidRPr="006576CA" w:rsidRDefault="0073310C" w:rsidP="0073310C">
            <w:pPr>
              <w:rPr>
                <w:rFonts w:ascii="Times New Roman" w:hAnsi="Times New Roman"/>
                <w:b/>
                <w:sz w:val="16"/>
                <w:szCs w:val="24"/>
              </w:rPr>
            </w:pPr>
            <w:r w:rsidRPr="006576CA">
              <w:rPr>
                <w:rFonts w:ascii="Times New Roman" w:hAnsi="Times New Roman"/>
                <w:b/>
                <w:sz w:val="16"/>
                <w:szCs w:val="24"/>
              </w:rPr>
              <w:t>Youth Participants</w:t>
            </w:r>
          </w:p>
          <w:p w:rsidR="0073310C" w:rsidRPr="00EB5ADD" w:rsidRDefault="0073310C" w:rsidP="0073310C">
            <w:pPr>
              <w:rPr>
                <w:rFonts w:ascii="Times New Roman" w:hAnsi="Times New Roman"/>
                <w:sz w:val="16"/>
                <w:szCs w:val="24"/>
              </w:rPr>
            </w:pPr>
          </w:p>
        </w:tc>
      </w:tr>
      <w:tr w:rsidR="006576CA" w:rsidRPr="00EB5ADD" w:rsidTr="0073310C">
        <w:trPr>
          <w:cantSplit/>
        </w:trPr>
        <w:tc>
          <w:tcPr>
            <w:tcW w:w="1203" w:type="dxa"/>
            <w:vMerge w:val="restart"/>
            <w:vAlign w:val="center"/>
          </w:tcPr>
          <w:p w:rsidR="006576CA" w:rsidRPr="00EB5ADD" w:rsidRDefault="006576CA" w:rsidP="0073310C">
            <w:pPr>
              <w:keepNext/>
              <w:spacing w:before="20" w:after="20"/>
              <w:rPr>
                <w:rFonts w:ascii="Times New Roman" w:hAnsi="Times New Roman"/>
                <w:sz w:val="16"/>
                <w:szCs w:val="24"/>
              </w:rPr>
            </w:pPr>
            <w:r>
              <w:rPr>
                <w:rFonts w:ascii="Times New Roman" w:hAnsi="Times New Roman"/>
                <w:sz w:val="16"/>
                <w:szCs w:val="24"/>
              </w:rPr>
              <w:t xml:space="preserve">Youth aged </w:t>
            </w:r>
            <w:r>
              <w:rPr>
                <w:rFonts w:ascii="Times New Roman" w:hAnsi="Times New Roman"/>
                <w:sz w:val="16"/>
                <w:szCs w:val="24"/>
              </w:rPr>
              <w:br/>
              <w:t xml:space="preserve">13 to 17 </w:t>
            </w:r>
            <w:r w:rsidRPr="00EB5ADD">
              <w:rPr>
                <w:rFonts w:ascii="Times New Roman" w:hAnsi="Times New Roman"/>
                <w:sz w:val="16"/>
                <w:szCs w:val="24"/>
              </w:rPr>
              <w:t xml:space="preserve"> </w:t>
            </w:r>
          </w:p>
        </w:tc>
        <w:tc>
          <w:tcPr>
            <w:tcW w:w="1980" w:type="dxa"/>
          </w:tcPr>
          <w:p w:rsidR="006576CA" w:rsidRPr="00EB5ADD" w:rsidDel="00841491" w:rsidRDefault="006576CA" w:rsidP="00FF7A17">
            <w:pPr>
              <w:keepNext/>
              <w:spacing w:before="20" w:after="20"/>
              <w:rPr>
                <w:rFonts w:ascii="Times New Roman" w:hAnsi="Times New Roman"/>
                <w:sz w:val="16"/>
                <w:szCs w:val="24"/>
              </w:rPr>
            </w:pPr>
            <w:r w:rsidRPr="00EB5ADD">
              <w:rPr>
                <w:rFonts w:ascii="Times New Roman" w:hAnsi="Times New Roman"/>
                <w:sz w:val="16"/>
                <w:szCs w:val="24"/>
              </w:rPr>
              <w:t>Youth ages 13 to 17 in the United States, who are at risk of initiating smoking</w:t>
            </w:r>
          </w:p>
        </w:tc>
        <w:tc>
          <w:tcPr>
            <w:tcW w:w="1170" w:type="dxa"/>
            <w:vAlign w:val="center"/>
          </w:tcPr>
          <w:p w:rsidR="006576CA" w:rsidRPr="00EB5ADD" w:rsidRDefault="006576CA" w:rsidP="0081268C">
            <w:pPr>
              <w:keepNext/>
              <w:tabs>
                <w:tab w:val="decimal" w:pos="932"/>
              </w:tabs>
              <w:spacing w:before="20" w:after="20"/>
              <w:rPr>
                <w:rFonts w:ascii="Times New Roman" w:hAnsi="Times New Roman"/>
                <w:sz w:val="16"/>
                <w:szCs w:val="24"/>
              </w:rPr>
            </w:pPr>
            <w:r w:rsidRPr="00EB5ADD">
              <w:rPr>
                <w:rFonts w:ascii="Times New Roman" w:hAnsi="Times New Roman"/>
                <w:sz w:val="16"/>
                <w:szCs w:val="24"/>
              </w:rPr>
              <w:t>750</w:t>
            </w:r>
          </w:p>
        </w:tc>
        <w:tc>
          <w:tcPr>
            <w:tcW w:w="1119" w:type="dxa"/>
          </w:tcPr>
          <w:p w:rsidR="006576CA" w:rsidRPr="00EB5ADD" w:rsidRDefault="006576CA" w:rsidP="00FF7A17">
            <w:pPr>
              <w:keepNext/>
              <w:spacing w:before="20" w:after="20"/>
              <w:jc w:val="center"/>
              <w:rPr>
                <w:rFonts w:ascii="Times New Roman" w:hAnsi="Times New Roman"/>
                <w:sz w:val="16"/>
                <w:szCs w:val="24"/>
              </w:rPr>
            </w:pPr>
          </w:p>
          <w:p w:rsidR="006576CA" w:rsidRPr="00EB5ADD" w:rsidRDefault="006576CA" w:rsidP="00FF7A17">
            <w:pPr>
              <w:keepNext/>
              <w:spacing w:before="20" w:after="20"/>
              <w:jc w:val="center"/>
              <w:rPr>
                <w:rFonts w:ascii="Times New Roman" w:hAnsi="Times New Roman"/>
                <w:sz w:val="16"/>
                <w:szCs w:val="24"/>
              </w:rPr>
            </w:pPr>
            <w:r w:rsidRPr="00EB5ADD">
              <w:rPr>
                <w:rFonts w:ascii="Times New Roman" w:hAnsi="Times New Roman"/>
                <w:sz w:val="16"/>
                <w:szCs w:val="24"/>
              </w:rPr>
              <w:t>1</w:t>
            </w:r>
          </w:p>
        </w:tc>
        <w:tc>
          <w:tcPr>
            <w:tcW w:w="1008" w:type="dxa"/>
          </w:tcPr>
          <w:p w:rsidR="006576CA" w:rsidRPr="00EB5ADD" w:rsidRDefault="006576CA" w:rsidP="00FF7A17">
            <w:pPr>
              <w:keepNext/>
              <w:tabs>
                <w:tab w:val="decimal" w:pos="710"/>
              </w:tabs>
              <w:spacing w:before="20" w:after="20"/>
              <w:rPr>
                <w:rFonts w:ascii="Times New Roman" w:hAnsi="Times New Roman"/>
                <w:sz w:val="16"/>
                <w:szCs w:val="24"/>
              </w:rPr>
            </w:pPr>
          </w:p>
          <w:p w:rsidR="006576CA" w:rsidRPr="00EB5ADD" w:rsidRDefault="006576CA" w:rsidP="00FF7A17">
            <w:pPr>
              <w:keepNext/>
              <w:tabs>
                <w:tab w:val="decimal" w:pos="710"/>
              </w:tabs>
              <w:spacing w:before="20" w:after="20"/>
              <w:rPr>
                <w:rFonts w:ascii="Times New Roman" w:hAnsi="Times New Roman"/>
                <w:sz w:val="16"/>
                <w:szCs w:val="24"/>
              </w:rPr>
            </w:pPr>
            <w:r w:rsidRPr="00EB5ADD">
              <w:rPr>
                <w:rFonts w:ascii="Times New Roman" w:hAnsi="Times New Roman"/>
                <w:sz w:val="16"/>
                <w:szCs w:val="24"/>
              </w:rPr>
              <w:t>750</w:t>
            </w:r>
          </w:p>
        </w:tc>
        <w:tc>
          <w:tcPr>
            <w:tcW w:w="1080" w:type="dxa"/>
          </w:tcPr>
          <w:p w:rsidR="006576CA" w:rsidRPr="00EB5ADD" w:rsidRDefault="006576CA" w:rsidP="00FF7A17">
            <w:pPr>
              <w:keepNext/>
              <w:tabs>
                <w:tab w:val="decimal" w:pos="454"/>
              </w:tabs>
              <w:spacing w:before="20" w:after="20"/>
              <w:rPr>
                <w:rFonts w:ascii="Times New Roman" w:hAnsi="Times New Roman"/>
                <w:sz w:val="16"/>
                <w:szCs w:val="24"/>
              </w:rPr>
            </w:pPr>
          </w:p>
          <w:p w:rsidR="006576CA" w:rsidRPr="00EB5ADD" w:rsidRDefault="006576CA" w:rsidP="00FF7A17">
            <w:pPr>
              <w:keepNext/>
              <w:tabs>
                <w:tab w:val="decimal" w:pos="454"/>
              </w:tabs>
              <w:spacing w:before="20" w:after="20"/>
              <w:rPr>
                <w:rFonts w:ascii="Times New Roman" w:hAnsi="Times New Roman"/>
                <w:sz w:val="16"/>
                <w:szCs w:val="24"/>
              </w:rPr>
            </w:pPr>
            <w:r w:rsidRPr="00EB5ADD">
              <w:rPr>
                <w:rFonts w:ascii="Times New Roman" w:hAnsi="Times New Roman"/>
                <w:sz w:val="16"/>
                <w:szCs w:val="24"/>
              </w:rPr>
              <w:t>0.33</w:t>
            </w:r>
          </w:p>
        </w:tc>
        <w:tc>
          <w:tcPr>
            <w:tcW w:w="969" w:type="dxa"/>
          </w:tcPr>
          <w:p w:rsidR="006576CA" w:rsidRPr="00EB5ADD" w:rsidRDefault="006576CA" w:rsidP="00FF7A17">
            <w:pPr>
              <w:jc w:val="center"/>
              <w:rPr>
                <w:rFonts w:ascii="Times New Roman" w:hAnsi="Times New Roman"/>
                <w:sz w:val="16"/>
                <w:szCs w:val="24"/>
              </w:rPr>
            </w:pPr>
          </w:p>
          <w:p w:rsidR="006576CA" w:rsidRPr="00EB5ADD" w:rsidRDefault="006576CA" w:rsidP="00FF7A17">
            <w:pPr>
              <w:jc w:val="center"/>
              <w:rPr>
                <w:rFonts w:ascii="Times New Roman" w:hAnsi="Times New Roman"/>
                <w:sz w:val="16"/>
                <w:szCs w:val="24"/>
              </w:rPr>
            </w:pPr>
            <w:r w:rsidRPr="00EB5ADD">
              <w:rPr>
                <w:rFonts w:ascii="Times New Roman" w:hAnsi="Times New Roman"/>
                <w:sz w:val="16"/>
                <w:szCs w:val="24"/>
              </w:rPr>
              <w:t>248</w:t>
            </w:r>
          </w:p>
        </w:tc>
      </w:tr>
      <w:tr w:rsidR="006576CA" w:rsidRPr="00EB5ADD" w:rsidTr="0073310C">
        <w:trPr>
          <w:cantSplit/>
        </w:trPr>
        <w:tc>
          <w:tcPr>
            <w:tcW w:w="1203" w:type="dxa"/>
            <w:vMerge/>
            <w:vAlign w:val="center"/>
          </w:tcPr>
          <w:p w:rsidR="006576CA" w:rsidRPr="00EB5ADD" w:rsidRDefault="006576CA" w:rsidP="00FF7A17">
            <w:pPr>
              <w:keepNext/>
              <w:spacing w:before="20" w:after="20"/>
              <w:rPr>
                <w:rFonts w:ascii="Times New Roman" w:hAnsi="Times New Roman"/>
                <w:sz w:val="16"/>
                <w:szCs w:val="24"/>
              </w:rPr>
            </w:pPr>
          </w:p>
        </w:tc>
        <w:tc>
          <w:tcPr>
            <w:tcW w:w="1980" w:type="dxa"/>
          </w:tcPr>
          <w:p w:rsidR="006576CA" w:rsidRPr="00EB5ADD" w:rsidDel="00841491" w:rsidRDefault="006576CA" w:rsidP="00FF7A17">
            <w:pPr>
              <w:keepNext/>
              <w:spacing w:before="20" w:after="20"/>
              <w:rPr>
                <w:rFonts w:ascii="Times New Roman" w:hAnsi="Times New Roman"/>
                <w:sz w:val="16"/>
                <w:szCs w:val="24"/>
              </w:rPr>
            </w:pPr>
            <w:r w:rsidRPr="00EB5ADD">
              <w:rPr>
                <w:rFonts w:ascii="Times New Roman" w:hAnsi="Times New Roman"/>
                <w:sz w:val="16"/>
                <w:szCs w:val="24"/>
              </w:rPr>
              <w:t>Youth ages 13 to 17 in the United States, who have experimented with smoking</w:t>
            </w:r>
          </w:p>
        </w:tc>
        <w:tc>
          <w:tcPr>
            <w:tcW w:w="1170" w:type="dxa"/>
            <w:vAlign w:val="center"/>
          </w:tcPr>
          <w:p w:rsidR="006576CA" w:rsidRPr="00EB5ADD" w:rsidRDefault="006576CA" w:rsidP="0081268C">
            <w:pPr>
              <w:keepNext/>
              <w:tabs>
                <w:tab w:val="decimal" w:pos="932"/>
              </w:tabs>
              <w:spacing w:before="20" w:after="20"/>
              <w:rPr>
                <w:rFonts w:ascii="Times New Roman" w:hAnsi="Times New Roman"/>
                <w:sz w:val="16"/>
                <w:szCs w:val="24"/>
              </w:rPr>
            </w:pPr>
            <w:r w:rsidRPr="00EB5ADD">
              <w:rPr>
                <w:rFonts w:ascii="Times New Roman" w:hAnsi="Times New Roman"/>
                <w:sz w:val="16"/>
                <w:szCs w:val="24"/>
              </w:rPr>
              <w:t>750</w:t>
            </w:r>
          </w:p>
        </w:tc>
        <w:tc>
          <w:tcPr>
            <w:tcW w:w="1119" w:type="dxa"/>
          </w:tcPr>
          <w:p w:rsidR="006576CA" w:rsidRPr="00EB5ADD" w:rsidRDefault="006576CA" w:rsidP="00FF7A17">
            <w:pPr>
              <w:keepNext/>
              <w:spacing w:before="20" w:after="20"/>
              <w:jc w:val="center"/>
              <w:rPr>
                <w:rFonts w:ascii="Times New Roman" w:hAnsi="Times New Roman"/>
                <w:sz w:val="16"/>
                <w:szCs w:val="24"/>
              </w:rPr>
            </w:pPr>
          </w:p>
          <w:p w:rsidR="006576CA" w:rsidRPr="00EB5ADD" w:rsidRDefault="006576CA" w:rsidP="00FF7A17">
            <w:pPr>
              <w:keepNext/>
              <w:spacing w:before="20" w:after="20"/>
              <w:jc w:val="center"/>
              <w:rPr>
                <w:rFonts w:ascii="Times New Roman" w:hAnsi="Times New Roman"/>
                <w:sz w:val="16"/>
                <w:szCs w:val="24"/>
              </w:rPr>
            </w:pPr>
            <w:r w:rsidRPr="00EB5ADD">
              <w:rPr>
                <w:rFonts w:ascii="Times New Roman" w:hAnsi="Times New Roman"/>
                <w:sz w:val="16"/>
                <w:szCs w:val="24"/>
              </w:rPr>
              <w:t>1</w:t>
            </w:r>
          </w:p>
        </w:tc>
        <w:tc>
          <w:tcPr>
            <w:tcW w:w="1008" w:type="dxa"/>
          </w:tcPr>
          <w:p w:rsidR="006576CA" w:rsidRPr="00EB5ADD" w:rsidRDefault="006576CA" w:rsidP="00FF7A17">
            <w:pPr>
              <w:keepNext/>
              <w:tabs>
                <w:tab w:val="decimal" w:pos="710"/>
              </w:tabs>
              <w:spacing w:before="20" w:after="20"/>
              <w:rPr>
                <w:rFonts w:ascii="Times New Roman" w:hAnsi="Times New Roman"/>
                <w:sz w:val="16"/>
                <w:szCs w:val="24"/>
              </w:rPr>
            </w:pPr>
          </w:p>
          <w:p w:rsidR="006576CA" w:rsidRPr="00EB5ADD" w:rsidRDefault="006576CA" w:rsidP="00FF7A17">
            <w:pPr>
              <w:keepNext/>
              <w:tabs>
                <w:tab w:val="decimal" w:pos="710"/>
              </w:tabs>
              <w:spacing w:before="20" w:after="20"/>
              <w:rPr>
                <w:rFonts w:ascii="Times New Roman" w:hAnsi="Times New Roman"/>
                <w:sz w:val="16"/>
                <w:szCs w:val="24"/>
              </w:rPr>
            </w:pPr>
            <w:r w:rsidRPr="00EB5ADD">
              <w:rPr>
                <w:rFonts w:ascii="Times New Roman" w:hAnsi="Times New Roman"/>
                <w:sz w:val="16"/>
                <w:szCs w:val="24"/>
              </w:rPr>
              <w:t>750</w:t>
            </w:r>
          </w:p>
        </w:tc>
        <w:tc>
          <w:tcPr>
            <w:tcW w:w="1080" w:type="dxa"/>
          </w:tcPr>
          <w:p w:rsidR="006576CA" w:rsidRPr="00EB5ADD" w:rsidRDefault="006576CA" w:rsidP="00FF7A17">
            <w:pPr>
              <w:keepNext/>
              <w:tabs>
                <w:tab w:val="decimal" w:pos="454"/>
              </w:tabs>
              <w:spacing w:before="20" w:after="20"/>
              <w:rPr>
                <w:rFonts w:ascii="Times New Roman" w:hAnsi="Times New Roman"/>
                <w:sz w:val="16"/>
                <w:szCs w:val="24"/>
              </w:rPr>
            </w:pPr>
          </w:p>
          <w:p w:rsidR="006576CA" w:rsidRPr="00EB5ADD" w:rsidRDefault="006576CA" w:rsidP="00FF7A17">
            <w:pPr>
              <w:keepNext/>
              <w:tabs>
                <w:tab w:val="decimal" w:pos="454"/>
              </w:tabs>
              <w:spacing w:before="20" w:after="20"/>
              <w:rPr>
                <w:rFonts w:ascii="Times New Roman" w:hAnsi="Times New Roman"/>
                <w:sz w:val="16"/>
                <w:szCs w:val="24"/>
              </w:rPr>
            </w:pPr>
            <w:r w:rsidRPr="00EB5ADD">
              <w:rPr>
                <w:rFonts w:ascii="Times New Roman" w:hAnsi="Times New Roman"/>
                <w:sz w:val="16"/>
                <w:szCs w:val="24"/>
              </w:rPr>
              <w:t>0.33</w:t>
            </w:r>
          </w:p>
        </w:tc>
        <w:tc>
          <w:tcPr>
            <w:tcW w:w="969" w:type="dxa"/>
          </w:tcPr>
          <w:p w:rsidR="006576CA" w:rsidRPr="00EB5ADD" w:rsidRDefault="006576CA" w:rsidP="00FF7A17">
            <w:pPr>
              <w:jc w:val="center"/>
              <w:rPr>
                <w:rFonts w:ascii="Times New Roman" w:hAnsi="Times New Roman"/>
                <w:sz w:val="16"/>
                <w:szCs w:val="24"/>
              </w:rPr>
            </w:pPr>
          </w:p>
          <w:p w:rsidR="006576CA" w:rsidRPr="00EB5ADD" w:rsidRDefault="006576CA" w:rsidP="00FF7A17">
            <w:pPr>
              <w:jc w:val="center"/>
              <w:rPr>
                <w:rFonts w:ascii="Times New Roman" w:hAnsi="Times New Roman"/>
                <w:sz w:val="16"/>
                <w:szCs w:val="24"/>
              </w:rPr>
            </w:pPr>
            <w:r w:rsidRPr="00EB5ADD">
              <w:rPr>
                <w:rFonts w:ascii="Times New Roman" w:hAnsi="Times New Roman"/>
                <w:sz w:val="16"/>
                <w:szCs w:val="24"/>
              </w:rPr>
              <w:t>248</w:t>
            </w:r>
          </w:p>
        </w:tc>
      </w:tr>
      <w:tr w:rsidR="006576CA" w:rsidRPr="00EB5ADD" w:rsidTr="0073310C">
        <w:trPr>
          <w:cantSplit/>
        </w:trPr>
        <w:tc>
          <w:tcPr>
            <w:tcW w:w="1203" w:type="dxa"/>
            <w:vMerge/>
            <w:vAlign w:val="center"/>
          </w:tcPr>
          <w:p w:rsidR="006576CA" w:rsidRPr="00EB5ADD" w:rsidRDefault="006576CA" w:rsidP="0073310C">
            <w:pPr>
              <w:keepNext/>
              <w:spacing w:before="20" w:after="20"/>
              <w:rPr>
                <w:rFonts w:ascii="Times New Roman" w:hAnsi="Times New Roman"/>
                <w:b/>
                <w:sz w:val="16"/>
                <w:szCs w:val="24"/>
              </w:rPr>
            </w:pPr>
          </w:p>
        </w:tc>
        <w:tc>
          <w:tcPr>
            <w:tcW w:w="1980" w:type="dxa"/>
            <w:vAlign w:val="center"/>
          </w:tcPr>
          <w:p w:rsidR="006576CA" w:rsidRPr="00EB5ADD" w:rsidRDefault="006576CA" w:rsidP="006576CA">
            <w:pPr>
              <w:keepNext/>
              <w:spacing w:before="20" w:after="20"/>
              <w:jc w:val="center"/>
              <w:rPr>
                <w:rFonts w:ascii="Times New Roman" w:hAnsi="Times New Roman"/>
                <w:sz w:val="16"/>
                <w:szCs w:val="24"/>
              </w:rPr>
            </w:pPr>
            <w:r>
              <w:rPr>
                <w:rFonts w:ascii="Times New Roman" w:hAnsi="Times New Roman"/>
                <w:sz w:val="16"/>
                <w:szCs w:val="24"/>
              </w:rPr>
              <w:t xml:space="preserve">                                  Total: </w:t>
            </w:r>
          </w:p>
        </w:tc>
        <w:tc>
          <w:tcPr>
            <w:tcW w:w="1170" w:type="dxa"/>
            <w:vAlign w:val="center"/>
          </w:tcPr>
          <w:p w:rsidR="006576CA" w:rsidRPr="00EB5ADD" w:rsidRDefault="006576CA" w:rsidP="0081268C">
            <w:pPr>
              <w:keepNext/>
              <w:tabs>
                <w:tab w:val="decimal" w:pos="932"/>
              </w:tabs>
              <w:spacing w:before="20" w:after="20"/>
              <w:rPr>
                <w:rFonts w:ascii="Times New Roman" w:hAnsi="Times New Roman"/>
                <w:sz w:val="16"/>
                <w:szCs w:val="24"/>
              </w:rPr>
            </w:pPr>
            <w:r>
              <w:rPr>
                <w:rFonts w:ascii="Times New Roman" w:hAnsi="Times New Roman"/>
                <w:sz w:val="16"/>
                <w:szCs w:val="24"/>
              </w:rPr>
              <w:t>1,500</w:t>
            </w:r>
          </w:p>
        </w:tc>
        <w:tc>
          <w:tcPr>
            <w:tcW w:w="1119" w:type="dxa"/>
            <w:vAlign w:val="center"/>
          </w:tcPr>
          <w:p w:rsidR="006576CA" w:rsidRPr="00EB5ADD" w:rsidRDefault="006576CA" w:rsidP="0073310C">
            <w:pPr>
              <w:keepNext/>
              <w:spacing w:before="20" w:after="20"/>
              <w:rPr>
                <w:rFonts w:ascii="Times New Roman" w:hAnsi="Times New Roman"/>
                <w:sz w:val="16"/>
                <w:szCs w:val="24"/>
              </w:rPr>
            </w:pPr>
          </w:p>
        </w:tc>
        <w:tc>
          <w:tcPr>
            <w:tcW w:w="1008" w:type="dxa"/>
            <w:vAlign w:val="center"/>
          </w:tcPr>
          <w:p w:rsidR="006576CA" w:rsidRPr="00EB5ADD" w:rsidRDefault="006576CA" w:rsidP="0073310C">
            <w:pPr>
              <w:keepNext/>
              <w:tabs>
                <w:tab w:val="decimal" w:pos="710"/>
              </w:tabs>
              <w:spacing w:before="20" w:after="20"/>
              <w:rPr>
                <w:rFonts w:ascii="Times New Roman" w:hAnsi="Times New Roman"/>
                <w:sz w:val="16"/>
                <w:szCs w:val="24"/>
              </w:rPr>
            </w:pPr>
          </w:p>
        </w:tc>
        <w:tc>
          <w:tcPr>
            <w:tcW w:w="1080" w:type="dxa"/>
            <w:vAlign w:val="center"/>
          </w:tcPr>
          <w:p w:rsidR="006576CA" w:rsidRPr="00EB5ADD" w:rsidRDefault="006576CA" w:rsidP="0073310C">
            <w:pPr>
              <w:keepNext/>
              <w:tabs>
                <w:tab w:val="decimal" w:pos="454"/>
              </w:tabs>
              <w:spacing w:before="20" w:after="20"/>
              <w:rPr>
                <w:rFonts w:ascii="Times New Roman" w:hAnsi="Times New Roman"/>
                <w:sz w:val="16"/>
                <w:szCs w:val="24"/>
              </w:rPr>
            </w:pPr>
          </w:p>
        </w:tc>
        <w:tc>
          <w:tcPr>
            <w:tcW w:w="969" w:type="dxa"/>
            <w:vAlign w:val="center"/>
          </w:tcPr>
          <w:p w:rsidR="006576CA" w:rsidRPr="006576CA" w:rsidRDefault="006576CA" w:rsidP="0073310C">
            <w:pPr>
              <w:jc w:val="center"/>
              <w:rPr>
                <w:rFonts w:ascii="Times New Roman" w:hAnsi="Times New Roman"/>
                <w:b/>
                <w:sz w:val="16"/>
                <w:szCs w:val="24"/>
              </w:rPr>
            </w:pPr>
            <w:r w:rsidRPr="006576CA">
              <w:rPr>
                <w:rFonts w:ascii="Times New Roman" w:hAnsi="Times New Roman"/>
                <w:b/>
                <w:sz w:val="16"/>
                <w:szCs w:val="24"/>
              </w:rPr>
              <w:t>496</w:t>
            </w:r>
          </w:p>
        </w:tc>
      </w:tr>
      <w:tr w:rsidR="006576CA" w:rsidRPr="00EB5ADD" w:rsidTr="0073310C">
        <w:trPr>
          <w:cantSplit/>
        </w:trPr>
        <w:tc>
          <w:tcPr>
            <w:tcW w:w="1203" w:type="dxa"/>
            <w:vAlign w:val="center"/>
          </w:tcPr>
          <w:p w:rsidR="006576CA" w:rsidRPr="00EB5ADD" w:rsidRDefault="006576CA" w:rsidP="00FC4E3D">
            <w:pPr>
              <w:keepNext/>
              <w:spacing w:before="20" w:after="20"/>
              <w:rPr>
                <w:rFonts w:ascii="Times New Roman" w:hAnsi="Times New Roman"/>
                <w:b/>
                <w:sz w:val="16"/>
                <w:szCs w:val="24"/>
              </w:rPr>
            </w:pPr>
            <w:r w:rsidRPr="00EB5ADD">
              <w:rPr>
                <w:rFonts w:ascii="Times New Roman" w:hAnsi="Times New Roman"/>
                <w:b/>
                <w:sz w:val="16"/>
                <w:szCs w:val="24"/>
              </w:rPr>
              <w:t>Total Annualized Hours</w:t>
            </w:r>
          </w:p>
        </w:tc>
        <w:tc>
          <w:tcPr>
            <w:tcW w:w="1980" w:type="dxa"/>
            <w:vAlign w:val="center"/>
          </w:tcPr>
          <w:p w:rsidR="006576CA" w:rsidRPr="00EB5ADD" w:rsidRDefault="006576CA" w:rsidP="00FC4E3D">
            <w:pPr>
              <w:keepNext/>
              <w:spacing w:before="20" w:after="20"/>
              <w:rPr>
                <w:rFonts w:ascii="Times New Roman" w:hAnsi="Times New Roman"/>
                <w:sz w:val="16"/>
                <w:szCs w:val="24"/>
              </w:rPr>
            </w:pPr>
          </w:p>
        </w:tc>
        <w:tc>
          <w:tcPr>
            <w:tcW w:w="1170" w:type="dxa"/>
            <w:vAlign w:val="center"/>
          </w:tcPr>
          <w:p w:rsidR="006576CA" w:rsidRPr="00EB5ADD" w:rsidRDefault="006576CA" w:rsidP="00FC4E3D">
            <w:pPr>
              <w:keepNext/>
              <w:tabs>
                <w:tab w:val="decimal" w:pos="932"/>
              </w:tabs>
              <w:spacing w:before="20" w:after="20"/>
              <w:rPr>
                <w:rFonts w:ascii="Times New Roman" w:hAnsi="Times New Roman"/>
                <w:sz w:val="16"/>
                <w:szCs w:val="24"/>
              </w:rPr>
            </w:pPr>
          </w:p>
        </w:tc>
        <w:tc>
          <w:tcPr>
            <w:tcW w:w="1119" w:type="dxa"/>
            <w:vAlign w:val="center"/>
          </w:tcPr>
          <w:p w:rsidR="006576CA" w:rsidRPr="00EB5ADD" w:rsidRDefault="006576CA" w:rsidP="00FC4E3D">
            <w:pPr>
              <w:keepNext/>
              <w:spacing w:before="20" w:after="20"/>
              <w:rPr>
                <w:rFonts w:ascii="Times New Roman" w:hAnsi="Times New Roman"/>
                <w:sz w:val="16"/>
                <w:szCs w:val="24"/>
              </w:rPr>
            </w:pPr>
          </w:p>
        </w:tc>
        <w:tc>
          <w:tcPr>
            <w:tcW w:w="1008" w:type="dxa"/>
            <w:vAlign w:val="center"/>
          </w:tcPr>
          <w:p w:rsidR="006576CA" w:rsidRPr="00EB5ADD" w:rsidRDefault="006576CA" w:rsidP="00FC4E3D">
            <w:pPr>
              <w:keepNext/>
              <w:tabs>
                <w:tab w:val="decimal" w:pos="710"/>
              </w:tabs>
              <w:spacing w:before="20" w:after="20"/>
              <w:rPr>
                <w:rFonts w:ascii="Times New Roman" w:hAnsi="Times New Roman"/>
                <w:sz w:val="16"/>
                <w:szCs w:val="24"/>
              </w:rPr>
            </w:pPr>
          </w:p>
        </w:tc>
        <w:tc>
          <w:tcPr>
            <w:tcW w:w="1080" w:type="dxa"/>
            <w:vAlign w:val="center"/>
          </w:tcPr>
          <w:p w:rsidR="006576CA" w:rsidRPr="00EB5ADD" w:rsidRDefault="006576CA" w:rsidP="00FC4E3D">
            <w:pPr>
              <w:keepNext/>
              <w:tabs>
                <w:tab w:val="decimal" w:pos="454"/>
              </w:tabs>
              <w:spacing w:before="20" w:after="20"/>
              <w:rPr>
                <w:rFonts w:ascii="Times New Roman" w:hAnsi="Times New Roman"/>
                <w:sz w:val="16"/>
                <w:szCs w:val="24"/>
              </w:rPr>
            </w:pPr>
          </w:p>
        </w:tc>
        <w:tc>
          <w:tcPr>
            <w:tcW w:w="969" w:type="dxa"/>
            <w:vAlign w:val="center"/>
          </w:tcPr>
          <w:p w:rsidR="006576CA" w:rsidRPr="00EB5ADD" w:rsidRDefault="006576CA" w:rsidP="00537206">
            <w:pPr>
              <w:jc w:val="center"/>
              <w:rPr>
                <w:rFonts w:ascii="Times New Roman" w:hAnsi="Times New Roman"/>
                <w:b/>
                <w:sz w:val="16"/>
                <w:szCs w:val="24"/>
              </w:rPr>
            </w:pPr>
            <w:r>
              <w:rPr>
                <w:rFonts w:ascii="Times New Roman" w:hAnsi="Times New Roman"/>
                <w:b/>
                <w:sz w:val="16"/>
                <w:szCs w:val="24"/>
              </w:rPr>
              <w:t>1,</w:t>
            </w:r>
            <w:r w:rsidR="00537206">
              <w:rPr>
                <w:rFonts w:ascii="Times New Roman" w:hAnsi="Times New Roman"/>
                <w:b/>
                <w:sz w:val="16"/>
                <w:szCs w:val="24"/>
              </w:rPr>
              <w:t>746</w:t>
            </w:r>
          </w:p>
        </w:tc>
      </w:tr>
    </w:tbl>
    <w:p w:rsidR="0081268C" w:rsidRPr="0081268C" w:rsidRDefault="0081268C" w:rsidP="0081268C">
      <w:pPr>
        <w:jc w:val="center"/>
        <w:rPr>
          <w:rFonts w:ascii="Times New Roman" w:hAnsi="Times New Roman"/>
          <w:color w:val="000000"/>
          <w:sz w:val="16"/>
          <w:szCs w:val="24"/>
        </w:rPr>
      </w:pPr>
      <w:r w:rsidRPr="0081268C">
        <w:rPr>
          <w:rFonts w:ascii="Times New Roman" w:hAnsi="Times New Roman"/>
          <w:color w:val="000000"/>
          <w:sz w:val="16"/>
          <w:szCs w:val="24"/>
          <w:vertAlign w:val="superscript"/>
        </w:rPr>
        <w:t>1</w:t>
      </w:r>
      <w:r w:rsidRPr="0081268C">
        <w:rPr>
          <w:rFonts w:ascii="Times New Roman" w:hAnsi="Times New Roman"/>
          <w:sz w:val="12"/>
        </w:rPr>
        <w:t xml:space="preserve"> </w:t>
      </w:r>
      <w:r w:rsidRPr="0081268C">
        <w:rPr>
          <w:rFonts w:ascii="Times New Roman" w:hAnsi="Times New Roman"/>
          <w:color w:val="000000"/>
          <w:sz w:val="16"/>
          <w:szCs w:val="24"/>
        </w:rPr>
        <w:t xml:space="preserve">The total number of respondents is </w:t>
      </w:r>
      <w:r>
        <w:rPr>
          <w:rFonts w:ascii="Times New Roman" w:hAnsi="Times New Roman"/>
          <w:color w:val="000000"/>
          <w:sz w:val="16"/>
          <w:szCs w:val="24"/>
        </w:rPr>
        <w:t>6,251</w:t>
      </w:r>
      <w:r w:rsidRPr="0081268C">
        <w:rPr>
          <w:rFonts w:ascii="Times New Roman" w:hAnsi="Times New Roman"/>
          <w:color w:val="000000"/>
          <w:sz w:val="16"/>
          <w:szCs w:val="24"/>
        </w:rPr>
        <w:t xml:space="preserve">; </w:t>
      </w:r>
      <w:r>
        <w:rPr>
          <w:rFonts w:ascii="Times New Roman" w:hAnsi="Times New Roman"/>
          <w:color w:val="000000"/>
          <w:sz w:val="16"/>
          <w:szCs w:val="24"/>
        </w:rPr>
        <w:t>for this study 1,500</w:t>
      </w:r>
      <w:r w:rsidRPr="0081268C">
        <w:rPr>
          <w:rFonts w:ascii="Times New Roman" w:hAnsi="Times New Roman"/>
          <w:color w:val="000000"/>
          <w:sz w:val="16"/>
          <w:szCs w:val="24"/>
        </w:rPr>
        <w:t xml:space="preserve"> represent the total numb</w:t>
      </w:r>
      <w:r>
        <w:rPr>
          <w:rFonts w:ascii="Times New Roman" w:hAnsi="Times New Roman"/>
          <w:color w:val="000000"/>
          <w:sz w:val="16"/>
          <w:szCs w:val="24"/>
        </w:rPr>
        <w:t>er of participants.</w:t>
      </w:r>
    </w:p>
    <w:p w:rsidR="00EB5ADD" w:rsidRPr="00EB5ADD" w:rsidRDefault="00EB5ADD" w:rsidP="00EB5ADD">
      <w:pPr>
        <w:spacing w:after="240"/>
        <w:rPr>
          <w:rFonts w:ascii="Times New Roman" w:hAnsi="Times New Roman"/>
          <w:sz w:val="22"/>
          <w:szCs w:val="24"/>
        </w:rPr>
      </w:pPr>
    </w:p>
    <w:p w:rsidR="00EB5ADD" w:rsidRPr="00EB5ADD" w:rsidRDefault="00EB5ADD" w:rsidP="00EB5ADD">
      <w:pPr>
        <w:pStyle w:val="BodyText2"/>
        <w:ind w:left="720"/>
        <w:rPr>
          <w:rFonts w:ascii="Times New Roman" w:hAnsi="Times New Roman"/>
          <w:u w:val="single"/>
        </w:rPr>
      </w:pPr>
    </w:p>
    <w:p w:rsidR="00326755" w:rsidRDefault="00326755" w:rsidP="00EB5ADD">
      <w:pPr>
        <w:pStyle w:val="BodyText2"/>
        <w:ind w:left="450" w:firstLine="0"/>
        <w:rPr>
          <w:rFonts w:ascii="Times New Roman" w:hAnsi="Times New Roman"/>
          <w:u w:val="single"/>
        </w:rPr>
      </w:pPr>
    </w:p>
    <w:p w:rsidR="00326755" w:rsidRDefault="00326755" w:rsidP="00EB5ADD">
      <w:pPr>
        <w:pStyle w:val="BodyText2"/>
        <w:ind w:left="450" w:firstLine="0"/>
        <w:rPr>
          <w:rFonts w:ascii="Times New Roman" w:hAnsi="Times New Roman"/>
          <w:u w:val="single"/>
        </w:rPr>
      </w:pPr>
    </w:p>
    <w:p w:rsidR="00326755" w:rsidRDefault="00326755" w:rsidP="00EB5ADD">
      <w:pPr>
        <w:pStyle w:val="BodyText2"/>
        <w:ind w:left="450" w:firstLine="0"/>
        <w:rPr>
          <w:rFonts w:ascii="Times New Roman" w:hAnsi="Times New Roman"/>
          <w:u w:val="single"/>
        </w:rPr>
      </w:pPr>
    </w:p>
    <w:p w:rsidR="00EB5ADD" w:rsidRDefault="00EB5ADD" w:rsidP="00EB5ADD">
      <w:pPr>
        <w:pStyle w:val="BodyText2"/>
        <w:ind w:left="450" w:firstLine="0"/>
        <w:rPr>
          <w:rFonts w:ascii="Times New Roman" w:hAnsi="Times New Roman"/>
          <w:u w:val="single"/>
        </w:rPr>
      </w:pPr>
      <w:r w:rsidRPr="00EB5ADD">
        <w:rPr>
          <w:rFonts w:ascii="Times New Roman" w:hAnsi="Times New Roman"/>
          <w:u w:val="single"/>
        </w:rPr>
        <w:t>12b. Annualized Cost Burden Estimate</w:t>
      </w:r>
    </w:p>
    <w:p w:rsidR="00EB5ADD" w:rsidRPr="00EB5ADD" w:rsidRDefault="00EB5ADD" w:rsidP="00EB5ADD">
      <w:pPr>
        <w:pStyle w:val="BodyText2"/>
        <w:ind w:left="450" w:firstLine="0"/>
        <w:rPr>
          <w:rFonts w:ascii="Times New Roman" w:hAnsi="Times New Roman"/>
        </w:rPr>
      </w:pPr>
    </w:p>
    <w:p w:rsidR="00EB5ADD" w:rsidRPr="00EB5ADD" w:rsidRDefault="00EB5ADD" w:rsidP="00EB5ADD">
      <w:pPr>
        <w:pStyle w:val="BodyText2"/>
        <w:ind w:left="450" w:firstLine="0"/>
        <w:rPr>
          <w:rFonts w:ascii="Times New Roman" w:hAnsi="Times New Roman"/>
        </w:rPr>
      </w:pPr>
      <w:r w:rsidRPr="00EB5ADD">
        <w:rPr>
          <w:rFonts w:ascii="Times New Roman" w:hAnsi="Times New Roman"/>
        </w:rPr>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prior surveys and estimate that data collection for this study will take approximately 20 minutes per respondent.  We have also allocated a few minutes time for parents to give their permission for their child to participate and for youth to give their assent to participate.</w:t>
      </w:r>
    </w:p>
    <w:p w:rsidR="00EB5ADD" w:rsidRPr="00EB5ADD" w:rsidRDefault="00EB5ADD" w:rsidP="00EB5ADD">
      <w:pPr>
        <w:pStyle w:val="BodyText2"/>
        <w:ind w:left="450" w:firstLine="0"/>
        <w:rPr>
          <w:rFonts w:ascii="Times New Roman" w:hAnsi="Times New Roman"/>
        </w:rPr>
      </w:pPr>
    </w:p>
    <w:p w:rsidR="00EB5ADD" w:rsidRPr="00EB5ADD" w:rsidRDefault="00EB5ADD" w:rsidP="00EB5ADD">
      <w:pPr>
        <w:pStyle w:val="BodyText2"/>
        <w:ind w:left="450" w:firstLine="0"/>
        <w:rPr>
          <w:rFonts w:ascii="Times New Roman" w:hAnsi="Times New Roman"/>
        </w:rPr>
      </w:pPr>
      <w:r w:rsidRPr="00EB5ADD">
        <w:rPr>
          <w:rFonts w:ascii="Times New Roman" w:hAnsi="Times New Roman"/>
        </w:rPr>
        <w:t>To calculate this cost, the mean hourly wage of $7.25 was used for youth and $22.33 was used for parents.  The youth price represents the minimum wage, and the parental costs represent the Department of Labor estimated mean for state, local, and private industry earnings.  There are no direct costs to respondents associated with participation in this information collection.  Thus, assuming an average hourly wage of $7.25 and $22.33 (youth and parent), the estimated one-year annualized cost to participants will be $</w:t>
      </w:r>
      <w:r w:rsidR="006576CA">
        <w:rPr>
          <w:rFonts w:ascii="Times New Roman" w:hAnsi="Times New Roman"/>
        </w:rPr>
        <w:t>17,480</w:t>
      </w:r>
      <w:r w:rsidRPr="00EB5ADD">
        <w:rPr>
          <w:rFonts w:ascii="Times New Roman" w:hAnsi="Times New Roman"/>
        </w:rPr>
        <w:t>. The estimated value of respondents’ time for participating in the information collection is summarized in Exhibit 3.</w:t>
      </w:r>
    </w:p>
    <w:p w:rsidR="00EB5ADD" w:rsidRPr="00EB5ADD" w:rsidRDefault="00326755" w:rsidP="00EB5ADD">
      <w:pPr>
        <w:keepNext/>
        <w:keepLines/>
        <w:spacing w:before="240" w:after="240"/>
        <w:ind w:left="720"/>
        <w:rPr>
          <w:rFonts w:ascii="Times New Roman" w:hAnsi="Times New Roman"/>
          <w:b/>
          <w:sz w:val="24"/>
          <w:szCs w:val="24"/>
        </w:rPr>
      </w:pPr>
      <w:proofErr w:type="gramStart"/>
      <w:r>
        <w:rPr>
          <w:rFonts w:ascii="Times New Roman" w:hAnsi="Times New Roman"/>
          <w:b/>
          <w:sz w:val="24"/>
          <w:szCs w:val="24"/>
        </w:rPr>
        <w:t>Table</w:t>
      </w:r>
      <w:r w:rsidR="00EB5ADD" w:rsidRPr="00EB5ADD">
        <w:rPr>
          <w:rFonts w:ascii="Times New Roman" w:hAnsi="Times New Roman"/>
          <w:b/>
          <w:sz w:val="24"/>
          <w:szCs w:val="24"/>
        </w:rPr>
        <w:t xml:space="preserve"> 3.</w:t>
      </w:r>
      <w:proofErr w:type="gramEnd"/>
      <w:r w:rsidR="00EB5ADD" w:rsidRPr="00EB5ADD">
        <w:rPr>
          <w:rFonts w:ascii="Times New Roman" w:hAnsi="Times New Roman"/>
          <w:b/>
          <w:sz w:val="24"/>
          <w:szCs w:val="24"/>
        </w:rPr>
        <w:t xml:space="preserve"> Estimated Annual Cost</w:t>
      </w:r>
    </w:p>
    <w:tbl>
      <w:tblPr>
        <w:tblW w:w="8100" w:type="dxa"/>
        <w:tblInd w:w="72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EB5ADD" w:rsidRPr="00EB5ADD" w:rsidTr="00EB5ADD">
        <w:trPr>
          <w:cantSplit/>
          <w:tblHeader/>
        </w:trPr>
        <w:tc>
          <w:tcPr>
            <w:tcW w:w="1862" w:type="dxa"/>
            <w:vAlign w:val="bottom"/>
          </w:tcPr>
          <w:p w:rsidR="00EB5ADD" w:rsidRPr="00EB5ADD" w:rsidRDefault="00EB5ADD" w:rsidP="00FF7A17">
            <w:pPr>
              <w:keepNext/>
              <w:spacing w:before="60" w:after="60"/>
              <w:jc w:val="center"/>
              <w:rPr>
                <w:rFonts w:ascii="Times New Roman" w:hAnsi="Times New Roman"/>
                <w:b/>
                <w:sz w:val="18"/>
                <w:szCs w:val="24"/>
              </w:rPr>
            </w:pPr>
            <w:r w:rsidRPr="00EB5ADD">
              <w:rPr>
                <w:rFonts w:ascii="Times New Roman" w:hAnsi="Times New Roman"/>
                <w:b/>
                <w:sz w:val="18"/>
                <w:szCs w:val="24"/>
              </w:rPr>
              <w:t>Type of Respondent</w:t>
            </w:r>
          </w:p>
        </w:tc>
        <w:tc>
          <w:tcPr>
            <w:tcW w:w="2610" w:type="dxa"/>
            <w:vAlign w:val="bottom"/>
          </w:tcPr>
          <w:p w:rsidR="00EB5ADD" w:rsidRPr="00EB5ADD" w:rsidRDefault="00EB5ADD" w:rsidP="00FF7A17">
            <w:pPr>
              <w:keepNext/>
              <w:spacing w:before="60" w:after="60"/>
              <w:jc w:val="center"/>
              <w:rPr>
                <w:rFonts w:ascii="Times New Roman" w:hAnsi="Times New Roman"/>
                <w:b/>
                <w:sz w:val="18"/>
                <w:szCs w:val="24"/>
              </w:rPr>
            </w:pPr>
            <w:r w:rsidRPr="00EB5ADD">
              <w:rPr>
                <w:rFonts w:ascii="Times New Roman" w:hAnsi="Times New Roman"/>
                <w:b/>
                <w:sz w:val="18"/>
                <w:szCs w:val="24"/>
              </w:rPr>
              <w:t>Activity</w:t>
            </w:r>
          </w:p>
        </w:tc>
        <w:tc>
          <w:tcPr>
            <w:tcW w:w="1350" w:type="dxa"/>
            <w:vAlign w:val="bottom"/>
          </w:tcPr>
          <w:p w:rsidR="00EB5ADD" w:rsidRPr="00EB5ADD" w:rsidRDefault="00EB5ADD" w:rsidP="00FF7A17">
            <w:pPr>
              <w:keepNext/>
              <w:spacing w:before="60" w:after="60"/>
              <w:jc w:val="center"/>
              <w:rPr>
                <w:rFonts w:ascii="Times New Roman" w:hAnsi="Times New Roman"/>
                <w:b/>
                <w:sz w:val="18"/>
                <w:szCs w:val="24"/>
              </w:rPr>
            </w:pPr>
            <w:r w:rsidRPr="00EB5ADD">
              <w:rPr>
                <w:rFonts w:ascii="Times New Roman" w:hAnsi="Times New Roman"/>
                <w:b/>
                <w:sz w:val="18"/>
                <w:szCs w:val="24"/>
              </w:rPr>
              <w:t>Annual Burden Hours</w:t>
            </w:r>
          </w:p>
        </w:tc>
        <w:tc>
          <w:tcPr>
            <w:tcW w:w="1080" w:type="dxa"/>
            <w:vAlign w:val="bottom"/>
          </w:tcPr>
          <w:p w:rsidR="00EB5ADD" w:rsidRPr="00EB5ADD" w:rsidRDefault="00EB5ADD" w:rsidP="00FF7A17">
            <w:pPr>
              <w:keepNext/>
              <w:spacing w:before="60" w:after="60"/>
              <w:jc w:val="center"/>
              <w:rPr>
                <w:rFonts w:ascii="Times New Roman" w:hAnsi="Times New Roman"/>
                <w:b/>
                <w:sz w:val="18"/>
                <w:szCs w:val="24"/>
              </w:rPr>
            </w:pPr>
            <w:r w:rsidRPr="00EB5ADD">
              <w:rPr>
                <w:rFonts w:ascii="Times New Roman" w:hAnsi="Times New Roman"/>
                <w:b/>
                <w:sz w:val="18"/>
                <w:szCs w:val="24"/>
              </w:rPr>
              <w:t>Hourly Wage Rate</w:t>
            </w:r>
          </w:p>
        </w:tc>
        <w:tc>
          <w:tcPr>
            <w:tcW w:w="1198" w:type="dxa"/>
            <w:vAlign w:val="bottom"/>
          </w:tcPr>
          <w:p w:rsidR="00EB5ADD" w:rsidRPr="00EB5ADD" w:rsidRDefault="00EB5ADD" w:rsidP="00FF7A17">
            <w:pPr>
              <w:keepNext/>
              <w:spacing w:before="60" w:after="60"/>
              <w:jc w:val="center"/>
              <w:rPr>
                <w:rFonts w:ascii="Times New Roman" w:hAnsi="Times New Roman"/>
                <w:b/>
                <w:sz w:val="18"/>
                <w:szCs w:val="24"/>
              </w:rPr>
            </w:pPr>
            <w:r w:rsidRPr="00EB5ADD">
              <w:rPr>
                <w:rFonts w:ascii="Times New Roman" w:hAnsi="Times New Roman"/>
                <w:b/>
                <w:sz w:val="18"/>
                <w:szCs w:val="24"/>
              </w:rPr>
              <w:t>Total Cost</w:t>
            </w:r>
          </w:p>
        </w:tc>
      </w:tr>
      <w:tr w:rsidR="00EB5ADD" w:rsidRPr="00EB5ADD" w:rsidTr="00057464">
        <w:trPr>
          <w:cantSplit/>
        </w:trPr>
        <w:tc>
          <w:tcPr>
            <w:tcW w:w="1862" w:type="dxa"/>
            <w:vMerge w:val="restart"/>
            <w:vAlign w:val="center"/>
          </w:tcPr>
          <w:p w:rsidR="00EB5ADD" w:rsidRPr="00EB5ADD" w:rsidRDefault="00057464" w:rsidP="00FF7A17">
            <w:pPr>
              <w:spacing w:before="60" w:after="60"/>
              <w:rPr>
                <w:rFonts w:ascii="Times New Roman" w:hAnsi="Times New Roman"/>
                <w:sz w:val="18"/>
                <w:szCs w:val="24"/>
              </w:rPr>
            </w:pPr>
            <w:r w:rsidRPr="0073310C">
              <w:rPr>
                <w:rFonts w:ascii="Times New Roman" w:hAnsi="Times New Roman"/>
                <w:sz w:val="16"/>
                <w:szCs w:val="24"/>
              </w:rPr>
              <w:t>Screened Potential Participants</w:t>
            </w:r>
          </w:p>
        </w:tc>
        <w:tc>
          <w:tcPr>
            <w:tcW w:w="2610" w:type="dxa"/>
          </w:tcPr>
          <w:p w:rsidR="00EB5ADD" w:rsidRPr="00EB5ADD" w:rsidRDefault="00057464" w:rsidP="00057464">
            <w:pPr>
              <w:spacing w:before="60" w:after="60"/>
              <w:rPr>
                <w:rFonts w:ascii="Times New Roman" w:hAnsi="Times New Roman"/>
                <w:sz w:val="18"/>
                <w:szCs w:val="24"/>
              </w:rPr>
            </w:pPr>
            <w:r>
              <w:rPr>
                <w:rFonts w:ascii="Times New Roman" w:hAnsi="Times New Roman"/>
                <w:sz w:val="16"/>
                <w:szCs w:val="24"/>
              </w:rPr>
              <w:t>Invitation a</w:t>
            </w:r>
            <w:r w:rsidRPr="0040556E">
              <w:rPr>
                <w:rFonts w:ascii="Times New Roman" w:hAnsi="Times New Roman"/>
                <w:sz w:val="16"/>
                <w:szCs w:val="24"/>
              </w:rPr>
              <w:t>nd Parental Permission Form</w:t>
            </w:r>
            <w:r w:rsidRPr="00057464">
              <w:rPr>
                <w:rFonts w:ascii="Times New Roman" w:hAnsi="Times New Roman"/>
                <w:sz w:val="16"/>
                <w:szCs w:val="24"/>
              </w:rPr>
              <w:t xml:space="preserve"> (Parent)</w:t>
            </w:r>
          </w:p>
        </w:tc>
        <w:tc>
          <w:tcPr>
            <w:tcW w:w="1350" w:type="dxa"/>
            <w:vAlign w:val="center"/>
          </w:tcPr>
          <w:p w:rsidR="00EB5ADD" w:rsidRPr="00EB5ADD" w:rsidRDefault="00057464" w:rsidP="00057464">
            <w:pPr>
              <w:jc w:val="center"/>
              <w:rPr>
                <w:rFonts w:ascii="Times New Roman" w:hAnsi="Times New Roman"/>
                <w:sz w:val="18"/>
                <w:szCs w:val="24"/>
              </w:rPr>
            </w:pPr>
            <w:r>
              <w:rPr>
                <w:rFonts w:ascii="Times New Roman" w:hAnsi="Times New Roman"/>
                <w:sz w:val="18"/>
                <w:szCs w:val="24"/>
              </w:rPr>
              <w:t>500</w:t>
            </w:r>
          </w:p>
        </w:tc>
        <w:tc>
          <w:tcPr>
            <w:tcW w:w="1080" w:type="dxa"/>
            <w:vAlign w:val="center"/>
          </w:tcPr>
          <w:p w:rsidR="00EB5ADD" w:rsidRPr="00EB5ADD" w:rsidRDefault="00EB5ADD" w:rsidP="00057464">
            <w:pPr>
              <w:jc w:val="center"/>
              <w:rPr>
                <w:rFonts w:ascii="Times New Roman" w:hAnsi="Times New Roman"/>
                <w:sz w:val="18"/>
                <w:szCs w:val="24"/>
              </w:rPr>
            </w:pPr>
            <w:r w:rsidRPr="00EB5ADD">
              <w:rPr>
                <w:rFonts w:ascii="Times New Roman" w:hAnsi="Times New Roman"/>
                <w:sz w:val="18"/>
                <w:szCs w:val="24"/>
              </w:rPr>
              <w:t>$</w:t>
            </w:r>
            <w:r w:rsidR="00057464">
              <w:rPr>
                <w:rFonts w:ascii="Times New Roman" w:hAnsi="Times New Roman"/>
                <w:sz w:val="18"/>
                <w:szCs w:val="24"/>
              </w:rPr>
              <w:t xml:space="preserve"> </w:t>
            </w:r>
            <w:r w:rsidR="00057464" w:rsidRPr="00EB5ADD">
              <w:rPr>
                <w:rFonts w:ascii="Times New Roman" w:hAnsi="Times New Roman"/>
                <w:sz w:val="18"/>
                <w:szCs w:val="24"/>
              </w:rPr>
              <w:t>22.33</w:t>
            </w:r>
          </w:p>
        </w:tc>
        <w:tc>
          <w:tcPr>
            <w:tcW w:w="1198" w:type="dxa"/>
            <w:vAlign w:val="center"/>
          </w:tcPr>
          <w:p w:rsidR="00EB5ADD" w:rsidRPr="00EB5ADD" w:rsidRDefault="00EB5ADD" w:rsidP="006576CA">
            <w:pPr>
              <w:jc w:val="center"/>
              <w:rPr>
                <w:rFonts w:ascii="Times New Roman" w:hAnsi="Times New Roman"/>
                <w:sz w:val="18"/>
                <w:szCs w:val="24"/>
              </w:rPr>
            </w:pPr>
            <w:r w:rsidRPr="00EB5ADD">
              <w:rPr>
                <w:rFonts w:ascii="Times New Roman" w:hAnsi="Times New Roman"/>
                <w:sz w:val="18"/>
                <w:szCs w:val="24"/>
              </w:rPr>
              <w:t>$</w:t>
            </w:r>
            <w:r w:rsidR="00057464">
              <w:rPr>
                <w:rFonts w:ascii="Times New Roman" w:hAnsi="Times New Roman"/>
                <w:sz w:val="18"/>
                <w:szCs w:val="24"/>
              </w:rPr>
              <w:t xml:space="preserve"> 11,165</w:t>
            </w:r>
          </w:p>
        </w:tc>
      </w:tr>
      <w:tr w:rsidR="00EB5ADD" w:rsidRPr="00EB5ADD" w:rsidTr="00057464">
        <w:trPr>
          <w:cantSplit/>
        </w:trPr>
        <w:tc>
          <w:tcPr>
            <w:tcW w:w="1862" w:type="dxa"/>
            <w:vMerge/>
            <w:vAlign w:val="center"/>
          </w:tcPr>
          <w:p w:rsidR="00EB5ADD" w:rsidRPr="00EB5ADD" w:rsidRDefault="00EB5ADD" w:rsidP="00FF7A17">
            <w:pPr>
              <w:spacing w:before="60" w:after="60"/>
              <w:rPr>
                <w:rFonts w:ascii="Times New Roman" w:hAnsi="Times New Roman"/>
                <w:sz w:val="18"/>
                <w:szCs w:val="24"/>
              </w:rPr>
            </w:pPr>
          </w:p>
        </w:tc>
        <w:tc>
          <w:tcPr>
            <w:tcW w:w="2610" w:type="dxa"/>
          </w:tcPr>
          <w:p w:rsidR="00EB5ADD" w:rsidRPr="00EB5ADD" w:rsidRDefault="00057464" w:rsidP="00057464">
            <w:pPr>
              <w:spacing w:before="60" w:after="60"/>
              <w:rPr>
                <w:rFonts w:ascii="Times New Roman" w:hAnsi="Times New Roman"/>
                <w:sz w:val="18"/>
                <w:szCs w:val="24"/>
              </w:rPr>
            </w:pPr>
            <w:r w:rsidRPr="0040556E">
              <w:rPr>
                <w:rFonts w:ascii="Times New Roman" w:hAnsi="Times New Roman"/>
                <w:sz w:val="16"/>
                <w:szCs w:val="24"/>
              </w:rPr>
              <w:t xml:space="preserve">Youth Screening Questionnaire </w:t>
            </w:r>
            <w:r w:rsidR="00EB5ADD" w:rsidRPr="00057464">
              <w:rPr>
                <w:rFonts w:ascii="Times New Roman" w:hAnsi="Times New Roman"/>
                <w:sz w:val="16"/>
                <w:szCs w:val="24"/>
              </w:rPr>
              <w:t>(</w:t>
            </w:r>
            <w:r w:rsidRPr="00057464">
              <w:rPr>
                <w:rFonts w:ascii="Times New Roman" w:hAnsi="Times New Roman"/>
                <w:sz w:val="16"/>
                <w:szCs w:val="24"/>
              </w:rPr>
              <w:t>Youth</w:t>
            </w:r>
            <w:r w:rsidR="00EB5ADD" w:rsidRPr="00057464">
              <w:rPr>
                <w:rFonts w:ascii="Times New Roman" w:hAnsi="Times New Roman"/>
                <w:sz w:val="16"/>
                <w:szCs w:val="24"/>
              </w:rPr>
              <w:t>)</w:t>
            </w:r>
          </w:p>
        </w:tc>
        <w:tc>
          <w:tcPr>
            <w:tcW w:w="1350" w:type="dxa"/>
            <w:vAlign w:val="center"/>
          </w:tcPr>
          <w:p w:rsidR="00EB5ADD" w:rsidRPr="00EB5ADD" w:rsidRDefault="00537206" w:rsidP="00057464">
            <w:pPr>
              <w:jc w:val="center"/>
              <w:rPr>
                <w:rFonts w:ascii="Times New Roman" w:hAnsi="Times New Roman"/>
                <w:sz w:val="18"/>
                <w:szCs w:val="24"/>
              </w:rPr>
            </w:pPr>
            <w:r>
              <w:rPr>
                <w:rFonts w:ascii="Times New Roman" w:hAnsi="Times New Roman"/>
                <w:sz w:val="18"/>
                <w:szCs w:val="24"/>
              </w:rPr>
              <w:t>750</w:t>
            </w:r>
          </w:p>
        </w:tc>
        <w:tc>
          <w:tcPr>
            <w:tcW w:w="1080" w:type="dxa"/>
            <w:vAlign w:val="center"/>
          </w:tcPr>
          <w:p w:rsidR="00EB5ADD" w:rsidRPr="00EB5ADD" w:rsidRDefault="00EB5ADD" w:rsidP="00057464">
            <w:pPr>
              <w:jc w:val="center"/>
              <w:rPr>
                <w:rFonts w:ascii="Times New Roman" w:hAnsi="Times New Roman"/>
                <w:sz w:val="18"/>
                <w:szCs w:val="24"/>
              </w:rPr>
            </w:pPr>
            <w:r w:rsidRPr="00EB5ADD">
              <w:rPr>
                <w:rFonts w:ascii="Times New Roman" w:hAnsi="Times New Roman"/>
                <w:sz w:val="18"/>
                <w:szCs w:val="24"/>
              </w:rPr>
              <w:t>$</w:t>
            </w:r>
            <w:r w:rsidR="00057464">
              <w:rPr>
                <w:rFonts w:ascii="Times New Roman" w:hAnsi="Times New Roman"/>
                <w:sz w:val="18"/>
                <w:szCs w:val="24"/>
              </w:rPr>
              <w:t xml:space="preserve"> 7.25</w:t>
            </w:r>
          </w:p>
        </w:tc>
        <w:tc>
          <w:tcPr>
            <w:tcW w:w="1198" w:type="dxa"/>
            <w:vAlign w:val="center"/>
          </w:tcPr>
          <w:p w:rsidR="00EB5ADD" w:rsidRPr="00EB5ADD" w:rsidRDefault="00EB5ADD" w:rsidP="00537206">
            <w:pPr>
              <w:jc w:val="center"/>
              <w:rPr>
                <w:rFonts w:ascii="Times New Roman" w:hAnsi="Times New Roman"/>
                <w:sz w:val="18"/>
                <w:szCs w:val="24"/>
              </w:rPr>
            </w:pPr>
            <w:r w:rsidRPr="00EB5ADD">
              <w:rPr>
                <w:rFonts w:ascii="Times New Roman" w:hAnsi="Times New Roman"/>
                <w:sz w:val="18"/>
                <w:szCs w:val="24"/>
              </w:rPr>
              <w:t>$</w:t>
            </w:r>
            <w:r w:rsidR="00057464">
              <w:rPr>
                <w:rFonts w:ascii="Times New Roman" w:hAnsi="Times New Roman"/>
                <w:sz w:val="18"/>
                <w:szCs w:val="24"/>
              </w:rPr>
              <w:t xml:space="preserve"> </w:t>
            </w:r>
            <w:r w:rsidR="006576CA">
              <w:rPr>
                <w:rFonts w:ascii="Times New Roman" w:hAnsi="Times New Roman"/>
                <w:sz w:val="18"/>
                <w:szCs w:val="24"/>
              </w:rPr>
              <w:t xml:space="preserve"> </w:t>
            </w:r>
            <w:r w:rsidR="00537206">
              <w:rPr>
                <w:rFonts w:ascii="Times New Roman" w:hAnsi="Times New Roman"/>
                <w:sz w:val="18"/>
                <w:szCs w:val="24"/>
              </w:rPr>
              <w:t>5,438</w:t>
            </w:r>
          </w:p>
        </w:tc>
      </w:tr>
      <w:tr w:rsidR="00057464" w:rsidRPr="00EB5ADD" w:rsidTr="00057464">
        <w:trPr>
          <w:cantSplit/>
          <w:trHeight w:val="444"/>
        </w:trPr>
        <w:tc>
          <w:tcPr>
            <w:tcW w:w="1862" w:type="dxa"/>
            <w:vAlign w:val="center"/>
          </w:tcPr>
          <w:p w:rsidR="00057464" w:rsidRPr="00057464" w:rsidRDefault="00057464" w:rsidP="00057464">
            <w:pPr>
              <w:rPr>
                <w:rFonts w:ascii="Times New Roman" w:hAnsi="Times New Roman"/>
                <w:sz w:val="16"/>
                <w:szCs w:val="24"/>
              </w:rPr>
            </w:pPr>
            <w:r>
              <w:rPr>
                <w:rFonts w:ascii="Times New Roman" w:hAnsi="Times New Roman"/>
                <w:sz w:val="16"/>
                <w:szCs w:val="24"/>
              </w:rPr>
              <w:t>Youth Participants</w:t>
            </w:r>
          </w:p>
        </w:tc>
        <w:tc>
          <w:tcPr>
            <w:tcW w:w="2610" w:type="dxa"/>
            <w:vAlign w:val="center"/>
          </w:tcPr>
          <w:p w:rsidR="00057464" w:rsidRPr="00EB5ADD" w:rsidDel="00841491" w:rsidRDefault="00057464" w:rsidP="00057464">
            <w:pPr>
              <w:keepNext/>
              <w:spacing w:before="60" w:after="60"/>
              <w:rPr>
                <w:rFonts w:ascii="Times New Roman" w:hAnsi="Times New Roman"/>
                <w:sz w:val="18"/>
                <w:szCs w:val="24"/>
              </w:rPr>
            </w:pPr>
            <w:r w:rsidRPr="00EB5ADD">
              <w:rPr>
                <w:rFonts w:ascii="Times New Roman" w:hAnsi="Times New Roman"/>
                <w:sz w:val="18"/>
                <w:szCs w:val="24"/>
              </w:rPr>
              <w:t xml:space="preserve">Youth ages 13-17 </w:t>
            </w:r>
          </w:p>
        </w:tc>
        <w:tc>
          <w:tcPr>
            <w:tcW w:w="1350" w:type="dxa"/>
            <w:vAlign w:val="center"/>
          </w:tcPr>
          <w:p w:rsidR="00057464" w:rsidRPr="00EB5ADD" w:rsidRDefault="00057464" w:rsidP="00057464">
            <w:pPr>
              <w:jc w:val="center"/>
              <w:rPr>
                <w:rFonts w:ascii="Times New Roman" w:hAnsi="Times New Roman"/>
                <w:sz w:val="18"/>
                <w:szCs w:val="24"/>
              </w:rPr>
            </w:pPr>
            <w:r>
              <w:rPr>
                <w:rFonts w:ascii="Times New Roman" w:hAnsi="Times New Roman"/>
                <w:sz w:val="18"/>
                <w:szCs w:val="24"/>
              </w:rPr>
              <w:t>496</w:t>
            </w:r>
          </w:p>
        </w:tc>
        <w:tc>
          <w:tcPr>
            <w:tcW w:w="1080" w:type="dxa"/>
            <w:vAlign w:val="center"/>
          </w:tcPr>
          <w:p w:rsidR="00057464" w:rsidRPr="00EB5ADD" w:rsidRDefault="00057464" w:rsidP="00057464">
            <w:pPr>
              <w:jc w:val="center"/>
              <w:rPr>
                <w:rFonts w:ascii="Times New Roman" w:hAnsi="Times New Roman"/>
                <w:sz w:val="18"/>
                <w:szCs w:val="24"/>
              </w:rPr>
            </w:pPr>
            <w:r w:rsidRPr="00EB5ADD">
              <w:rPr>
                <w:rFonts w:ascii="Times New Roman" w:hAnsi="Times New Roman"/>
                <w:sz w:val="18"/>
                <w:szCs w:val="24"/>
              </w:rPr>
              <w:t>$</w:t>
            </w:r>
            <w:r>
              <w:rPr>
                <w:rFonts w:ascii="Times New Roman" w:hAnsi="Times New Roman"/>
                <w:sz w:val="18"/>
                <w:szCs w:val="24"/>
              </w:rPr>
              <w:t xml:space="preserve"> </w:t>
            </w:r>
            <w:r w:rsidRPr="00EB5ADD">
              <w:rPr>
                <w:rFonts w:ascii="Times New Roman" w:hAnsi="Times New Roman"/>
                <w:sz w:val="18"/>
                <w:szCs w:val="24"/>
              </w:rPr>
              <w:t>7.25</w:t>
            </w:r>
          </w:p>
        </w:tc>
        <w:tc>
          <w:tcPr>
            <w:tcW w:w="1198" w:type="dxa"/>
            <w:vAlign w:val="center"/>
          </w:tcPr>
          <w:p w:rsidR="00057464" w:rsidRPr="00EB5ADD" w:rsidRDefault="00057464" w:rsidP="006576CA">
            <w:pPr>
              <w:jc w:val="center"/>
              <w:rPr>
                <w:rFonts w:ascii="Times New Roman" w:hAnsi="Times New Roman"/>
                <w:sz w:val="18"/>
                <w:szCs w:val="24"/>
              </w:rPr>
            </w:pPr>
            <w:r w:rsidRPr="00EB5ADD">
              <w:rPr>
                <w:rFonts w:ascii="Times New Roman" w:hAnsi="Times New Roman"/>
                <w:sz w:val="18"/>
                <w:szCs w:val="24"/>
              </w:rPr>
              <w:t>$</w:t>
            </w:r>
            <w:r>
              <w:rPr>
                <w:rFonts w:ascii="Times New Roman" w:hAnsi="Times New Roman"/>
                <w:sz w:val="18"/>
                <w:szCs w:val="24"/>
              </w:rPr>
              <w:t xml:space="preserve"> </w:t>
            </w:r>
            <w:r w:rsidR="006576CA">
              <w:rPr>
                <w:rFonts w:ascii="Times New Roman" w:hAnsi="Times New Roman"/>
                <w:sz w:val="18"/>
                <w:szCs w:val="24"/>
              </w:rPr>
              <w:t xml:space="preserve"> </w:t>
            </w:r>
            <w:r>
              <w:rPr>
                <w:rFonts w:ascii="Times New Roman" w:hAnsi="Times New Roman"/>
                <w:sz w:val="18"/>
                <w:szCs w:val="24"/>
              </w:rPr>
              <w:t>3,596</w:t>
            </w:r>
          </w:p>
        </w:tc>
      </w:tr>
      <w:tr w:rsidR="00057464" w:rsidRPr="00EB5ADD" w:rsidTr="00057464">
        <w:trPr>
          <w:cantSplit/>
        </w:trPr>
        <w:tc>
          <w:tcPr>
            <w:tcW w:w="1862" w:type="dxa"/>
            <w:vAlign w:val="center"/>
          </w:tcPr>
          <w:p w:rsidR="00057464" w:rsidRPr="00EB5ADD" w:rsidRDefault="00057464" w:rsidP="00FF7A17">
            <w:pPr>
              <w:spacing w:before="60" w:after="60"/>
              <w:rPr>
                <w:rFonts w:ascii="Times New Roman" w:hAnsi="Times New Roman"/>
                <w:sz w:val="18"/>
                <w:szCs w:val="24"/>
              </w:rPr>
            </w:pPr>
            <w:r w:rsidRPr="00EB5ADD">
              <w:rPr>
                <w:rFonts w:ascii="Times New Roman" w:hAnsi="Times New Roman"/>
                <w:sz w:val="18"/>
                <w:szCs w:val="24"/>
              </w:rPr>
              <w:t>Total</w:t>
            </w:r>
          </w:p>
        </w:tc>
        <w:tc>
          <w:tcPr>
            <w:tcW w:w="2610" w:type="dxa"/>
          </w:tcPr>
          <w:p w:rsidR="00057464" w:rsidRPr="00EB5ADD" w:rsidRDefault="00057464" w:rsidP="00FF7A17">
            <w:pPr>
              <w:keepNext/>
              <w:spacing w:before="60" w:after="60"/>
              <w:rPr>
                <w:rFonts w:ascii="Times New Roman" w:hAnsi="Times New Roman"/>
                <w:sz w:val="18"/>
                <w:szCs w:val="24"/>
              </w:rPr>
            </w:pPr>
          </w:p>
        </w:tc>
        <w:tc>
          <w:tcPr>
            <w:tcW w:w="1350" w:type="dxa"/>
            <w:vAlign w:val="center"/>
          </w:tcPr>
          <w:p w:rsidR="00057464" w:rsidRPr="00EB5ADD" w:rsidRDefault="00057464" w:rsidP="00537206">
            <w:pPr>
              <w:jc w:val="center"/>
              <w:rPr>
                <w:rFonts w:ascii="Times New Roman" w:hAnsi="Times New Roman"/>
                <w:sz w:val="18"/>
                <w:szCs w:val="24"/>
              </w:rPr>
            </w:pPr>
            <w:r>
              <w:rPr>
                <w:rFonts w:ascii="Times New Roman" w:hAnsi="Times New Roman"/>
                <w:sz w:val="18"/>
                <w:szCs w:val="24"/>
              </w:rPr>
              <w:t>1,</w:t>
            </w:r>
            <w:r w:rsidR="00537206">
              <w:rPr>
                <w:rFonts w:ascii="Times New Roman" w:hAnsi="Times New Roman"/>
                <w:sz w:val="18"/>
                <w:szCs w:val="24"/>
              </w:rPr>
              <w:t>746</w:t>
            </w:r>
          </w:p>
        </w:tc>
        <w:tc>
          <w:tcPr>
            <w:tcW w:w="1080" w:type="dxa"/>
            <w:vAlign w:val="center"/>
          </w:tcPr>
          <w:p w:rsidR="00057464" w:rsidRPr="00EB5ADD" w:rsidRDefault="00057464" w:rsidP="00057464">
            <w:pPr>
              <w:jc w:val="center"/>
              <w:rPr>
                <w:rFonts w:ascii="Times New Roman" w:hAnsi="Times New Roman"/>
                <w:sz w:val="18"/>
                <w:szCs w:val="24"/>
              </w:rPr>
            </w:pPr>
          </w:p>
        </w:tc>
        <w:tc>
          <w:tcPr>
            <w:tcW w:w="1198" w:type="dxa"/>
            <w:vAlign w:val="center"/>
          </w:tcPr>
          <w:p w:rsidR="00057464" w:rsidRPr="00EB5ADD" w:rsidRDefault="00057464" w:rsidP="00537206">
            <w:pPr>
              <w:jc w:val="center"/>
              <w:rPr>
                <w:rFonts w:ascii="Times New Roman" w:hAnsi="Times New Roman"/>
                <w:sz w:val="18"/>
                <w:szCs w:val="24"/>
              </w:rPr>
            </w:pPr>
            <w:r w:rsidRPr="00EB5ADD">
              <w:rPr>
                <w:rFonts w:ascii="Times New Roman" w:hAnsi="Times New Roman"/>
                <w:sz w:val="18"/>
                <w:szCs w:val="24"/>
              </w:rPr>
              <w:t>$</w:t>
            </w:r>
            <w:r>
              <w:rPr>
                <w:rFonts w:ascii="Times New Roman" w:hAnsi="Times New Roman"/>
                <w:sz w:val="18"/>
                <w:szCs w:val="24"/>
              </w:rPr>
              <w:t xml:space="preserve"> </w:t>
            </w:r>
            <w:r w:rsidR="00537206">
              <w:rPr>
                <w:rFonts w:ascii="Times New Roman" w:hAnsi="Times New Roman"/>
                <w:sz w:val="18"/>
                <w:szCs w:val="24"/>
              </w:rPr>
              <w:t>20,199</w:t>
            </w:r>
          </w:p>
        </w:tc>
      </w:tr>
    </w:tbl>
    <w:p w:rsidR="00EB5ADD" w:rsidRPr="00EB5ADD" w:rsidRDefault="00EB5ADD" w:rsidP="00EB5ADD">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005C0FF9" w:rsidRPr="00F303FE"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7" w:name="_Toc239649234"/>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7"/>
    </w:p>
    <w:p w:rsidR="00CE4712" w:rsidRPr="00057464" w:rsidRDefault="004675D7" w:rsidP="00057464">
      <w:pPr>
        <w:pStyle w:val="ListParagraph"/>
        <w:spacing w:before="100" w:beforeAutospacing="1" w:after="100" w:afterAutospacing="1" w:line="240" w:lineRule="auto"/>
        <w:ind w:left="450"/>
        <w:rPr>
          <w:rFonts w:ascii="Times New Roman" w:hAnsi="Times New Roman"/>
          <w:sz w:val="24"/>
          <w:szCs w:val="24"/>
        </w:rPr>
      </w:pPr>
      <w:r w:rsidRPr="004675D7">
        <w:rPr>
          <w:rFonts w:ascii="Times New Roman" w:hAnsi="Times New Roman"/>
          <w:sz w:val="24"/>
          <w:szCs w:val="24"/>
        </w:rPr>
        <w:t xml:space="preserve">There </w:t>
      </w:r>
      <w:proofErr w:type="gramStart"/>
      <w:r w:rsidRPr="004675D7">
        <w:rPr>
          <w:rFonts w:ascii="Times New Roman" w:hAnsi="Times New Roman"/>
          <w:sz w:val="24"/>
          <w:szCs w:val="24"/>
        </w:rPr>
        <w:t>are no capital</w:t>
      </w:r>
      <w:proofErr w:type="gramEnd"/>
      <w:r w:rsidRPr="004675D7">
        <w:rPr>
          <w:rFonts w:ascii="Times New Roman" w:hAnsi="Times New Roman"/>
          <w:sz w:val="24"/>
          <w:szCs w:val="24"/>
        </w:rPr>
        <w:t>,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r w:rsidR="00573151">
        <w:rPr>
          <w:rFonts w:ascii="Times New Roman" w:hAnsi="Times New Roman"/>
          <w:sz w:val="24"/>
          <w:szCs w:val="24"/>
        </w:rPr>
        <w:t>.</w:t>
      </w: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bookmarkStart w:id="18" w:name="_Toc239649235"/>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057464" w:rsidRDefault="00057464"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rPr>
      </w:pPr>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2051D8">
        <w:rPr>
          <w:rFonts w:ascii="Times New Roman" w:hAnsi="Times New Roman"/>
          <w:b/>
          <w:bCs/>
          <w:sz w:val="24"/>
          <w:szCs w:val="24"/>
        </w:rPr>
        <w:t xml:space="preserve">14.  </w:t>
      </w:r>
      <w:r w:rsidRPr="002051D8">
        <w:rPr>
          <w:rFonts w:ascii="Times New Roman" w:hAnsi="Times New Roman"/>
          <w:b/>
          <w:bCs/>
          <w:sz w:val="24"/>
          <w:szCs w:val="24"/>
          <w:u w:val="single"/>
        </w:rPr>
        <w:t>Annualized Cost to the Federal Government</w:t>
      </w:r>
      <w:bookmarkEnd w:id="18"/>
    </w:p>
    <w:p w:rsidR="00CE4712" w:rsidRPr="00F332CB" w:rsidRDefault="00326755" w:rsidP="00CE4712">
      <w:pPr>
        <w:pStyle w:val="FigureTitle"/>
        <w:ind w:left="720"/>
      </w:pPr>
      <w:proofErr w:type="gramStart"/>
      <w:r>
        <w:t>Table</w:t>
      </w:r>
      <w:r w:rsidR="00CE4712" w:rsidRPr="00F332CB">
        <w:t xml:space="preserve"> 4.</w:t>
      </w:r>
      <w:proofErr w:type="gramEnd"/>
      <w:r w:rsidR="00CE4712" w:rsidRPr="00F332CB">
        <w:t xml:space="preserve">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86"/>
        <w:gridCol w:w="2007"/>
        <w:gridCol w:w="2735"/>
        <w:gridCol w:w="1620"/>
      </w:tblGrid>
      <w:tr w:rsidR="00CE4712" w:rsidRPr="00CE4712" w:rsidTr="00FF7A17">
        <w:trPr>
          <w:trHeight w:val="107"/>
        </w:trPr>
        <w:tc>
          <w:tcPr>
            <w:tcW w:w="2386"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120"/>
              <w:jc w:val="center"/>
              <w:rPr>
                <w:sz w:val="18"/>
              </w:rPr>
            </w:pPr>
            <w:r w:rsidRPr="00CE4712">
              <w:rPr>
                <w:sz w:val="16"/>
                <w:szCs w:val="22"/>
              </w:rPr>
              <w:t>Government Personnel</w:t>
            </w:r>
          </w:p>
        </w:tc>
        <w:tc>
          <w:tcPr>
            <w:tcW w:w="2007" w:type="dxa"/>
            <w:tcBorders>
              <w:top w:val="single" w:sz="12" w:space="0" w:color="auto"/>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120"/>
              <w:jc w:val="center"/>
              <w:rPr>
                <w:sz w:val="18"/>
              </w:rPr>
            </w:pPr>
            <w:r w:rsidRPr="00CE4712">
              <w:rPr>
                <w:sz w:val="16"/>
                <w:szCs w:val="22"/>
              </w:rPr>
              <w:t>Time Commitment</w:t>
            </w:r>
          </w:p>
        </w:tc>
        <w:tc>
          <w:tcPr>
            <w:tcW w:w="2735"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hideMark/>
          </w:tcPr>
          <w:p w:rsidR="00CE4712" w:rsidRPr="00CE4712" w:rsidRDefault="00CE4712" w:rsidP="00FF7A17">
            <w:pPr>
              <w:pStyle w:val="FigureTitle"/>
              <w:spacing w:before="0" w:after="120"/>
              <w:jc w:val="center"/>
              <w:rPr>
                <w:sz w:val="18"/>
              </w:rPr>
            </w:pPr>
            <w:r w:rsidRPr="00CE4712">
              <w:rPr>
                <w:sz w:val="16"/>
                <w:szCs w:val="22"/>
              </w:rPr>
              <w:t>Average Annual Salary</w:t>
            </w:r>
          </w:p>
        </w:tc>
        <w:tc>
          <w:tcPr>
            <w:tcW w:w="1620" w:type="dxa"/>
            <w:tcBorders>
              <w:top w:val="single" w:sz="12" w:space="0" w:color="auto"/>
              <w:left w:val="nil"/>
              <w:bottom w:val="single" w:sz="8" w:space="0" w:color="auto"/>
              <w:right w:val="nil"/>
            </w:tcBorders>
            <w:tcMar>
              <w:top w:w="0" w:type="dxa"/>
              <w:left w:w="108" w:type="dxa"/>
              <w:bottom w:w="0" w:type="dxa"/>
              <w:right w:w="108" w:type="dxa"/>
            </w:tcMar>
            <w:hideMark/>
          </w:tcPr>
          <w:p w:rsidR="00CE4712" w:rsidRPr="00CE4712" w:rsidRDefault="00CE4712" w:rsidP="00FF7A17">
            <w:pPr>
              <w:pStyle w:val="FigureTitle"/>
              <w:spacing w:before="0" w:after="120"/>
              <w:jc w:val="center"/>
              <w:rPr>
                <w:sz w:val="18"/>
              </w:rPr>
            </w:pPr>
            <w:r w:rsidRPr="00CE4712">
              <w:rPr>
                <w:sz w:val="16"/>
                <w:szCs w:val="22"/>
              </w:rPr>
              <w:t>Total</w:t>
            </w:r>
          </w:p>
        </w:tc>
      </w:tr>
      <w:tr w:rsidR="00CE4712" w:rsidRPr="00CE4712" w:rsidTr="00FF7A17">
        <w:trPr>
          <w:trHeight w:val="368"/>
        </w:trPr>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center"/>
              <w:rPr>
                <w:b w:val="0"/>
                <w:sz w:val="16"/>
                <w:szCs w:val="22"/>
              </w:rPr>
            </w:pPr>
            <w:r w:rsidRPr="00CE4712">
              <w:rPr>
                <w:b w:val="0"/>
                <w:bCs/>
                <w:sz w:val="16"/>
                <w:szCs w:val="22"/>
              </w:rPr>
              <w:t>GS-12</w:t>
            </w:r>
          </w:p>
        </w:tc>
        <w:tc>
          <w:tcPr>
            <w:tcW w:w="2007"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center"/>
              <w:rPr>
                <w:b w:val="0"/>
                <w:sz w:val="16"/>
                <w:szCs w:val="22"/>
              </w:rPr>
            </w:pPr>
            <w:r w:rsidRPr="00CE4712">
              <w:rPr>
                <w:b w:val="0"/>
                <w:bCs/>
                <w:sz w:val="16"/>
                <w:szCs w:val="22"/>
              </w:rPr>
              <w:t>5%</w:t>
            </w: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right"/>
              <w:rPr>
                <w:b w:val="0"/>
                <w:sz w:val="16"/>
                <w:szCs w:val="22"/>
              </w:rPr>
            </w:pPr>
            <w:r w:rsidRPr="00CE4712">
              <w:rPr>
                <w:b w:val="0"/>
                <w:bCs/>
                <w:sz w:val="16"/>
                <w:szCs w:val="22"/>
              </w:rPr>
              <w:t>$77,490</w:t>
            </w:r>
          </w:p>
        </w:tc>
        <w:tc>
          <w:tcPr>
            <w:tcW w:w="1620" w:type="dxa"/>
            <w:tcBorders>
              <w:top w:val="nil"/>
              <w:left w:val="nil"/>
              <w:bottom w:val="single" w:sz="8" w:space="0" w:color="auto"/>
              <w:right w:val="nil"/>
            </w:tcBorders>
            <w:tcMar>
              <w:top w:w="0" w:type="dxa"/>
              <w:left w:w="108" w:type="dxa"/>
              <w:bottom w:w="0" w:type="dxa"/>
              <w:right w:w="108" w:type="dxa"/>
            </w:tcMar>
            <w:hideMark/>
          </w:tcPr>
          <w:p w:rsidR="00CE4712" w:rsidRPr="00CE4712" w:rsidRDefault="00CE4712" w:rsidP="00FF7A17">
            <w:pPr>
              <w:pStyle w:val="FigureTitle"/>
              <w:spacing w:before="0" w:after="60"/>
              <w:jc w:val="right"/>
              <w:rPr>
                <w:b w:val="0"/>
                <w:sz w:val="16"/>
                <w:szCs w:val="22"/>
              </w:rPr>
            </w:pPr>
            <w:r w:rsidRPr="00CE4712">
              <w:rPr>
                <w:b w:val="0"/>
                <w:bCs/>
                <w:sz w:val="16"/>
                <w:szCs w:val="22"/>
              </w:rPr>
              <w:t>$3,874</w:t>
            </w:r>
          </w:p>
        </w:tc>
      </w:tr>
      <w:tr w:rsidR="00CE4712" w:rsidRPr="00CE4712" w:rsidTr="00FF7A17">
        <w:tc>
          <w:tcPr>
            <w:tcW w:w="2386"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center"/>
              <w:rPr>
                <w:b w:val="0"/>
                <w:sz w:val="16"/>
                <w:szCs w:val="22"/>
              </w:rPr>
            </w:pPr>
            <w:r w:rsidRPr="00CE4712">
              <w:rPr>
                <w:b w:val="0"/>
                <w:bCs/>
                <w:sz w:val="16"/>
                <w:szCs w:val="22"/>
              </w:rPr>
              <w:t>GS-13</w:t>
            </w:r>
          </w:p>
        </w:tc>
        <w:tc>
          <w:tcPr>
            <w:tcW w:w="2007"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center"/>
              <w:rPr>
                <w:b w:val="0"/>
                <w:sz w:val="16"/>
                <w:szCs w:val="22"/>
              </w:rPr>
            </w:pPr>
            <w:r w:rsidRPr="00CE4712">
              <w:rPr>
                <w:b w:val="0"/>
                <w:bCs/>
                <w:sz w:val="16"/>
                <w:szCs w:val="22"/>
              </w:rPr>
              <w:t>10%</w:t>
            </w: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right"/>
              <w:rPr>
                <w:b w:val="0"/>
                <w:sz w:val="16"/>
                <w:szCs w:val="22"/>
              </w:rPr>
            </w:pPr>
            <w:r w:rsidRPr="00CE4712">
              <w:rPr>
                <w:b w:val="0"/>
                <w:bCs/>
                <w:sz w:val="16"/>
                <w:szCs w:val="22"/>
              </w:rPr>
              <w:t>$92,145</w:t>
            </w:r>
          </w:p>
        </w:tc>
        <w:tc>
          <w:tcPr>
            <w:tcW w:w="1620" w:type="dxa"/>
            <w:tcBorders>
              <w:top w:val="nil"/>
              <w:left w:val="nil"/>
              <w:bottom w:val="single" w:sz="8" w:space="0" w:color="auto"/>
              <w:right w:val="nil"/>
            </w:tcBorders>
            <w:tcMar>
              <w:top w:w="0" w:type="dxa"/>
              <w:left w:w="108" w:type="dxa"/>
              <w:bottom w:w="0" w:type="dxa"/>
              <w:right w:w="108" w:type="dxa"/>
            </w:tcMar>
            <w:hideMark/>
          </w:tcPr>
          <w:p w:rsidR="00CE4712" w:rsidRPr="00CE4712" w:rsidRDefault="00CE4712" w:rsidP="00FF7A17">
            <w:pPr>
              <w:pStyle w:val="FigureTitle"/>
              <w:spacing w:before="0" w:after="60"/>
              <w:jc w:val="right"/>
              <w:rPr>
                <w:b w:val="0"/>
                <w:sz w:val="16"/>
                <w:szCs w:val="22"/>
              </w:rPr>
            </w:pPr>
            <w:r w:rsidRPr="00CE4712">
              <w:rPr>
                <w:b w:val="0"/>
                <w:bCs/>
                <w:sz w:val="16"/>
                <w:szCs w:val="22"/>
              </w:rPr>
              <w:t>$9,215</w:t>
            </w:r>
          </w:p>
        </w:tc>
      </w:tr>
      <w:tr w:rsidR="00CE4712" w:rsidRPr="00CE4712" w:rsidTr="00FF7A17">
        <w:trPr>
          <w:trHeight w:val="260"/>
        </w:trPr>
        <w:tc>
          <w:tcPr>
            <w:tcW w:w="2386" w:type="dxa"/>
            <w:tcBorders>
              <w:top w:val="nil"/>
              <w:left w:val="nil"/>
              <w:bottom w:val="single" w:sz="8" w:space="0" w:color="auto"/>
              <w:right w:val="single" w:sz="8" w:space="0" w:color="auto"/>
            </w:tcBorders>
            <w:tcMar>
              <w:top w:w="0" w:type="dxa"/>
              <w:left w:w="108" w:type="dxa"/>
              <w:bottom w:w="0" w:type="dxa"/>
              <w:right w:w="108" w:type="dxa"/>
            </w:tcMar>
          </w:tcPr>
          <w:p w:rsidR="00CE4712" w:rsidRPr="00CE4712" w:rsidRDefault="00CE4712" w:rsidP="00FF7A17">
            <w:pPr>
              <w:pStyle w:val="FigureTitle"/>
              <w:spacing w:before="0" w:after="60"/>
              <w:jc w:val="center"/>
              <w:rPr>
                <w:b w:val="0"/>
                <w:sz w:val="16"/>
                <w:szCs w:val="22"/>
              </w:rPr>
            </w:pPr>
          </w:p>
        </w:tc>
        <w:tc>
          <w:tcPr>
            <w:tcW w:w="2007" w:type="dxa"/>
            <w:tcBorders>
              <w:top w:val="nil"/>
              <w:left w:val="nil"/>
              <w:bottom w:val="single" w:sz="8" w:space="0" w:color="auto"/>
              <w:right w:val="single" w:sz="8" w:space="0" w:color="auto"/>
            </w:tcBorders>
            <w:tcMar>
              <w:top w:w="0" w:type="dxa"/>
              <w:left w:w="108" w:type="dxa"/>
              <w:bottom w:w="0" w:type="dxa"/>
              <w:right w:w="108" w:type="dxa"/>
            </w:tcMar>
          </w:tcPr>
          <w:p w:rsidR="00CE4712" w:rsidRPr="00CE4712" w:rsidRDefault="00CE4712" w:rsidP="00FF7A17">
            <w:pPr>
              <w:pStyle w:val="FigureTitle"/>
              <w:spacing w:before="0" w:after="60"/>
              <w:jc w:val="center"/>
              <w:rPr>
                <w:b w:val="0"/>
                <w:sz w:val="16"/>
                <w:szCs w:val="22"/>
              </w:rPr>
            </w:pPr>
          </w:p>
        </w:tc>
        <w:tc>
          <w:tcPr>
            <w:tcW w:w="2735" w:type="dxa"/>
            <w:tcBorders>
              <w:top w:val="nil"/>
              <w:left w:val="nil"/>
              <w:bottom w:val="single" w:sz="8" w:space="0" w:color="auto"/>
              <w:right w:val="single" w:sz="8" w:space="0" w:color="auto"/>
            </w:tcBorders>
            <w:tcMar>
              <w:top w:w="0" w:type="dxa"/>
              <w:left w:w="108" w:type="dxa"/>
              <w:bottom w:w="0" w:type="dxa"/>
              <w:right w:w="108" w:type="dxa"/>
            </w:tcMar>
          </w:tcPr>
          <w:p w:rsidR="00CE4712" w:rsidRPr="00CE4712" w:rsidRDefault="00CE4712" w:rsidP="00FF7A17">
            <w:pPr>
              <w:pStyle w:val="FigureTitle"/>
              <w:spacing w:before="0" w:after="60"/>
              <w:jc w:val="right"/>
              <w:rPr>
                <w:b w:val="0"/>
                <w:sz w:val="16"/>
                <w:szCs w:val="22"/>
              </w:rPr>
            </w:pPr>
          </w:p>
        </w:tc>
        <w:tc>
          <w:tcPr>
            <w:tcW w:w="1620" w:type="dxa"/>
            <w:tcBorders>
              <w:top w:val="nil"/>
              <w:left w:val="nil"/>
              <w:bottom w:val="single" w:sz="8" w:space="0" w:color="auto"/>
              <w:right w:val="nil"/>
            </w:tcBorders>
            <w:tcMar>
              <w:top w:w="0" w:type="dxa"/>
              <w:left w:w="108" w:type="dxa"/>
              <w:bottom w:w="0" w:type="dxa"/>
              <w:right w:w="108" w:type="dxa"/>
            </w:tcMar>
          </w:tcPr>
          <w:p w:rsidR="00CE4712" w:rsidRPr="00CE4712" w:rsidRDefault="00CE4712" w:rsidP="00FF7A17">
            <w:pPr>
              <w:pStyle w:val="FigureTitle"/>
              <w:spacing w:before="0" w:after="60"/>
              <w:jc w:val="right"/>
              <w:rPr>
                <w:b w:val="0"/>
                <w:sz w:val="16"/>
                <w:szCs w:val="22"/>
              </w:rPr>
            </w:pPr>
          </w:p>
        </w:tc>
      </w:tr>
      <w:tr w:rsidR="00CE4712" w:rsidRPr="00CE4712" w:rsidTr="00FF7A17">
        <w:trPr>
          <w:trHeight w:val="260"/>
        </w:trPr>
        <w:tc>
          <w:tcPr>
            <w:tcW w:w="2386" w:type="dxa"/>
            <w:tcBorders>
              <w:top w:val="nil"/>
              <w:left w:val="nil"/>
              <w:bottom w:val="single" w:sz="8" w:space="0" w:color="auto"/>
              <w:right w:val="single" w:sz="8" w:space="0" w:color="auto"/>
            </w:tcBorders>
            <w:tcMar>
              <w:top w:w="0" w:type="dxa"/>
              <w:left w:w="108" w:type="dxa"/>
              <w:bottom w:w="0" w:type="dxa"/>
              <w:right w:w="108" w:type="dxa"/>
            </w:tcMar>
          </w:tcPr>
          <w:p w:rsidR="00CE4712" w:rsidRPr="00CE4712" w:rsidRDefault="00CE4712" w:rsidP="00FF7A17">
            <w:pPr>
              <w:pStyle w:val="FigureTitle"/>
              <w:spacing w:before="0" w:after="60"/>
              <w:jc w:val="center"/>
              <w:rPr>
                <w:b w:val="0"/>
                <w:sz w:val="16"/>
                <w:szCs w:val="22"/>
              </w:rPr>
            </w:pPr>
          </w:p>
        </w:tc>
        <w:tc>
          <w:tcPr>
            <w:tcW w:w="2007" w:type="dxa"/>
            <w:tcBorders>
              <w:top w:val="nil"/>
              <w:left w:val="nil"/>
              <w:bottom w:val="single" w:sz="8" w:space="0" w:color="auto"/>
              <w:right w:val="single" w:sz="8" w:space="0" w:color="auto"/>
            </w:tcBorders>
            <w:tcMar>
              <w:top w:w="0" w:type="dxa"/>
              <w:left w:w="108" w:type="dxa"/>
              <w:bottom w:w="0" w:type="dxa"/>
              <w:right w:w="108" w:type="dxa"/>
            </w:tcMar>
          </w:tcPr>
          <w:p w:rsidR="00CE4712" w:rsidRPr="00CE4712" w:rsidRDefault="00CE4712" w:rsidP="00FF7A17">
            <w:pPr>
              <w:pStyle w:val="FigureTitle"/>
              <w:spacing w:before="0" w:after="60"/>
              <w:jc w:val="center"/>
              <w:rPr>
                <w:b w:val="0"/>
                <w:sz w:val="16"/>
                <w:szCs w:val="22"/>
              </w:rPr>
            </w:pPr>
          </w:p>
        </w:tc>
        <w:tc>
          <w:tcPr>
            <w:tcW w:w="2735" w:type="dxa"/>
            <w:tcBorders>
              <w:top w:val="nil"/>
              <w:left w:val="nil"/>
              <w:bottom w:val="single" w:sz="8"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right"/>
              <w:rPr>
                <w:sz w:val="16"/>
                <w:szCs w:val="22"/>
              </w:rPr>
            </w:pPr>
            <w:r w:rsidRPr="00CE4712">
              <w:rPr>
                <w:sz w:val="16"/>
                <w:szCs w:val="22"/>
              </w:rPr>
              <w:t>Total Salary Costs</w:t>
            </w:r>
          </w:p>
        </w:tc>
        <w:tc>
          <w:tcPr>
            <w:tcW w:w="1620" w:type="dxa"/>
            <w:tcBorders>
              <w:top w:val="nil"/>
              <w:left w:val="nil"/>
              <w:bottom w:val="single" w:sz="8" w:space="0" w:color="auto"/>
              <w:right w:val="nil"/>
            </w:tcBorders>
            <w:tcMar>
              <w:top w:w="0" w:type="dxa"/>
              <w:left w:w="108" w:type="dxa"/>
              <w:bottom w:w="0" w:type="dxa"/>
              <w:right w:w="108" w:type="dxa"/>
            </w:tcMar>
            <w:hideMark/>
          </w:tcPr>
          <w:p w:rsidR="00CE4712" w:rsidRPr="00CE4712" w:rsidRDefault="00CE4712" w:rsidP="00FF7A17">
            <w:pPr>
              <w:pStyle w:val="FigureTitle"/>
              <w:spacing w:before="0" w:after="60"/>
              <w:jc w:val="right"/>
              <w:rPr>
                <w:b w:val="0"/>
                <w:sz w:val="16"/>
                <w:szCs w:val="22"/>
              </w:rPr>
            </w:pPr>
            <w:r w:rsidRPr="00CE4712">
              <w:rPr>
                <w:b w:val="0"/>
                <w:bCs/>
                <w:sz w:val="16"/>
                <w:szCs w:val="22"/>
              </w:rPr>
              <w:t>$13,089</w:t>
            </w:r>
          </w:p>
        </w:tc>
      </w:tr>
      <w:tr w:rsidR="00CE4712" w:rsidRPr="00CE4712" w:rsidTr="00FF7A17">
        <w:trPr>
          <w:trHeight w:val="458"/>
        </w:trPr>
        <w:tc>
          <w:tcPr>
            <w:tcW w:w="7128" w:type="dxa"/>
            <w:gridSpan w:val="3"/>
            <w:tcBorders>
              <w:top w:val="nil"/>
              <w:left w:val="nil"/>
              <w:bottom w:val="single" w:sz="12"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right"/>
              <w:rPr>
                <w:sz w:val="16"/>
                <w:szCs w:val="22"/>
              </w:rPr>
            </w:pPr>
            <w:r w:rsidRPr="00CE4712">
              <w:rPr>
                <w:sz w:val="16"/>
                <w:szCs w:val="22"/>
              </w:rPr>
              <w:t>Contract Cost</w:t>
            </w:r>
          </w:p>
        </w:tc>
        <w:tc>
          <w:tcPr>
            <w:tcW w:w="1620" w:type="dxa"/>
            <w:tcBorders>
              <w:top w:val="nil"/>
              <w:left w:val="nil"/>
              <w:bottom w:val="single" w:sz="12" w:space="0" w:color="auto"/>
              <w:right w:val="nil"/>
            </w:tcBorders>
            <w:tcMar>
              <w:top w:w="0" w:type="dxa"/>
              <w:left w:w="108" w:type="dxa"/>
              <w:bottom w:w="0" w:type="dxa"/>
              <w:right w:w="108" w:type="dxa"/>
            </w:tcMar>
          </w:tcPr>
          <w:p w:rsidR="00CE4712" w:rsidRPr="00CE4712" w:rsidRDefault="00CE4712" w:rsidP="00FF7A17">
            <w:pPr>
              <w:pStyle w:val="FigureTitle"/>
              <w:spacing w:before="0" w:after="60"/>
              <w:jc w:val="right"/>
              <w:rPr>
                <w:b w:val="0"/>
                <w:sz w:val="16"/>
                <w:szCs w:val="22"/>
              </w:rPr>
            </w:pPr>
            <w:r w:rsidRPr="00CE4712">
              <w:rPr>
                <w:b w:val="0"/>
                <w:sz w:val="16"/>
                <w:szCs w:val="22"/>
              </w:rPr>
              <w:t>$93,000</w:t>
            </w:r>
          </w:p>
        </w:tc>
      </w:tr>
      <w:tr w:rsidR="00CE4712" w:rsidRPr="00CE4712" w:rsidTr="00FF7A17">
        <w:trPr>
          <w:trHeight w:val="458"/>
        </w:trPr>
        <w:tc>
          <w:tcPr>
            <w:tcW w:w="7128" w:type="dxa"/>
            <w:gridSpan w:val="3"/>
            <w:tcBorders>
              <w:top w:val="nil"/>
              <w:left w:val="nil"/>
              <w:bottom w:val="single" w:sz="12" w:space="0" w:color="auto"/>
              <w:right w:val="single" w:sz="8" w:space="0" w:color="auto"/>
            </w:tcBorders>
            <w:tcMar>
              <w:top w:w="0" w:type="dxa"/>
              <w:left w:w="108" w:type="dxa"/>
              <w:bottom w:w="0" w:type="dxa"/>
              <w:right w:w="108" w:type="dxa"/>
            </w:tcMar>
            <w:hideMark/>
          </w:tcPr>
          <w:p w:rsidR="00CE4712" w:rsidRPr="00CE4712" w:rsidRDefault="00CE4712" w:rsidP="00FF7A17">
            <w:pPr>
              <w:pStyle w:val="FigureTitle"/>
              <w:spacing w:before="0" w:after="60"/>
              <w:jc w:val="right"/>
              <w:rPr>
                <w:sz w:val="16"/>
                <w:szCs w:val="22"/>
              </w:rPr>
            </w:pPr>
            <w:r w:rsidRPr="00CE4712">
              <w:rPr>
                <w:sz w:val="16"/>
                <w:szCs w:val="22"/>
              </w:rPr>
              <w:t>Total</w:t>
            </w:r>
          </w:p>
        </w:tc>
        <w:tc>
          <w:tcPr>
            <w:tcW w:w="1620" w:type="dxa"/>
            <w:tcBorders>
              <w:top w:val="nil"/>
              <w:left w:val="nil"/>
              <w:bottom w:val="single" w:sz="12" w:space="0" w:color="auto"/>
              <w:right w:val="nil"/>
            </w:tcBorders>
            <w:tcMar>
              <w:top w:w="0" w:type="dxa"/>
              <w:left w:w="108" w:type="dxa"/>
              <w:bottom w:w="0" w:type="dxa"/>
              <w:right w:w="108" w:type="dxa"/>
            </w:tcMar>
            <w:hideMark/>
          </w:tcPr>
          <w:p w:rsidR="00CE4712" w:rsidRPr="00CE4712" w:rsidRDefault="00CE4712" w:rsidP="00FF7A17">
            <w:pPr>
              <w:pStyle w:val="FigureTitle"/>
              <w:spacing w:before="0" w:after="60"/>
              <w:jc w:val="right"/>
              <w:rPr>
                <w:sz w:val="16"/>
                <w:szCs w:val="22"/>
              </w:rPr>
            </w:pPr>
            <w:r w:rsidRPr="00CE4712">
              <w:rPr>
                <w:sz w:val="16"/>
                <w:szCs w:val="22"/>
              </w:rPr>
              <w:t>$106,089</w:t>
            </w:r>
          </w:p>
        </w:tc>
      </w:tr>
    </w:tbl>
    <w:p w:rsidR="00A703F9" w:rsidRPr="00CE4712" w:rsidRDefault="00A703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18"/>
          <w:szCs w:val="24"/>
        </w:rPr>
      </w:pP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9" w:name="_Toc239649236"/>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19"/>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Pr="002051D8" w:rsidRDefault="005C0FF9" w:rsidP="00CE47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5E5681">
        <w:rPr>
          <w:rFonts w:ascii="Times New Roman" w:hAnsi="Times New Roman"/>
          <w:sz w:val="24"/>
          <w:szCs w:val="24"/>
        </w:rPr>
        <w:t>This is a new collection of information.</w:t>
      </w:r>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0" w:name="_Toc239649237"/>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20"/>
    </w:p>
    <w:p w:rsidR="005C0FF9" w:rsidRPr="002051D8"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CE4712" w:rsidRPr="00F332CB" w:rsidRDefault="00CE4712" w:rsidP="00CE4712">
      <w:pPr>
        <w:pStyle w:val="BodyText1"/>
        <w:spacing w:after="0" w:line="240" w:lineRule="auto"/>
        <w:ind w:left="450" w:firstLine="0"/>
      </w:pPr>
      <w:r w:rsidRPr="00F332CB">
        <w:t>The analysis will examine overall levels of perceived effectiveness and rating of tobacco</w:t>
      </w:r>
      <w:r>
        <w:t>-related</w:t>
      </w:r>
      <w:r w:rsidRPr="00F332CB">
        <w:t xml:space="preserve"> facts that were tested.  Summary statistics will be analyzed for each tobacco</w:t>
      </w:r>
      <w:r>
        <w:t>-</w:t>
      </w:r>
      <w:r w:rsidRPr="00F332CB">
        <w:t xml:space="preserve">related message for groups such as all youth, at-risk youth, youth who have experimented with smoking as well as for various demographic categories (e.g. age, gender, </w:t>
      </w:r>
      <w:proofErr w:type="gramStart"/>
      <w:r w:rsidRPr="00F332CB">
        <w:t>race</w:t>
      </w:r>
      <w:proofErr w:type="gramEnd"/>
      <w:r w:rsidRPr="00F332CB">
        <w:t>/ethnicity).  All analyses will be estimated with sampling weights that adjust for non-response and sample design.  Findings from these analyses will be used to inform FDA CTP health communication strategies.</w:t>
      </w:r>
    </w:p>
    <w:p w:rsidR="00CE4712" w:rsidRPr="00F332CB" w:rsidRDefault="00CE4712" w:rsidP="00CE4712">
      <w:pPr>
        <w:pStyle w:val="BodyText1"/>
        <w:spacing w:after="0" w:line="240" w:lineRule="auto"/>
        <w:ind w:left="450" w:firstLine="0"/>
        <w:rPr>
          <w:b/>
          <w:u w:val="single"/>
        </w:rPr>
      </w:pPr>
    </w:p>
    <w:p w:rsidR="00CE4712" w:rsidRDefault="00CE4712" w:rsidP="00CE4712">
      <w:pPr>
        <w:pStyle w:val="BodyText1"/>
        <w:spacing w:after="0" w:line="240" w:lineRule="auto"/>
        <w:ind w:left="450" w:firstLine="0"/>
        <w:rPr>
          <w:u w:val="single"/>
        </w:rPr>
      </w:pPr>
      <w:r w:rsidRPr="00CE4712">
        <w:rPr>
          <w:u w:val="single"/>
        </w:rPr>
        <w:t>Reporting</w:t>
      </w:r>
    </w:p>
    <w:p w:rsidR="00CE4712" w:rsidRPr="00CE4712" w:rsidRDefault="00CE4712" w:rsidP="00CE4712">
      <w:pPr>
        <w:pStyle w:val="BodyText1"/>
        <w:spacing w:after="0" w:line="240" w:lineRule="auto"/>
        <w:ind w:left="450"/>
        <w:rPr>
          <w:u w:val="single"/>
        </w:rPr>
      </w:pPr>
    </w:p>
    <w:p w:rsidR="00CE4712" w:rsidRPr="00F332CB" w:rsidRDefault="00CE4712" w:rsidP="00CE4712">
      <w:pPr>
        <w:pStyle w:val="BodyText1"/>
        <w:spacing w:after="0" w:line="240" w:lineRule="auto"/>
        <w:ind w:left="450" w:firstLine="0"/>
      </w:pPr>
      <w:r w:rsidRPr="00F332CB">
        <w:t>The reporting and dissemination mechanism will consist of three primary components: (1) summary statistics (in the form of PowerPoint presentations and other briefings) on youth perceptions and preference of tobacco related facts, and (2) a comprehensive evaluation report summarizing findings from this information collection. The key events and reports to be prepared are listed in Exhibit 5.</w:t>
      </w:r>
    </w:p>
    <w:p w:rsidR="00CE4712" w:rsidRPr="00F332CB" w:rsidRDefault="00CE4712" w:rsidP="00CE4712">
      <w:pPr>
        <w:pStyle w:val="BodyText1"/>
        <w:spacing w:after="0" w:line="240" w:lineRule="auto"/>
        <w:ind w:left="720" w:firstLine="0"/>
      </w:pPr>
    </w:p>
    <w:p w:rsidR="00CE4712" w:rsidRPr="00F332CB" w:rsidRDefault="00326755" w:rsidP="00CE4712">
      <w:pPr>
        <w:pStyle w:val="FigureTitle"/>
        <w:spacing w:before="0" w:after="0"/>
        <w:ind w:left="720"/>
      </w:pPr>
      <w:bookmarkStart w:id="21" w:name="_Ref216592722"/>
      <w:bookmarkStart w:id="22" w:name="_Toc66689102"/>
      <w:bookmarkStart w:id="23" w:name="_Toc140476560"/>
      <w:bookmarkStart w:id="24" w:name="_Toc216595340"/>
      <w:bookmarkStart w:id="25" w:name="_Toc361824172"/>
      <w:proofErr w:type="gramStart"/>
      <w:r>
        <w:t>Table</w:t>
      </w:r>
      <w:r w:rsidR="00CE4712" w:rsidRPr="00F332CB">
        <w:t xml:space="preserve"> </w:t>
      </w:r>
      <w:bookmarkEnd w:id="21"/>
      <w:r w:rsidR="00CE4712">
        <w:t>5</w:t>
      </w:r>
      <w:r w:rsidR="00CE4712" w:rsidRPr="00F332CB">
        <w:t>.</w:t>
      </w:r>
      <w:bookmarkEnd w:id="22"/>
      <w:bookmarkEnd w:id="23"/>
      <w:bookmarkEnd w:id="24"/>
      <w:proofErr w:type="gramEnd"/>
      <w:r w:rsidR="00CE4712" w:rsidRPr="00F332CB">
        <w:t xml:space="preserve"> Project Schedule</w:t>
      </w:r>
      <w:bookmarkEnd w:id="25"/>
    </w:p>
    <w:p w:rsidR="00CE4712" w:rsidRPr="00F332CB" w:rsidRDefault="00CE4712" w:rsidP="00CE4712">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CE4712" w:rsidRPr="00F332CB" w:rsidTr="00FF7A17">
        <w:trPr>
          <w:cantSplit/>
        </w:trPr>
        <w:tc>
          <w:tcPr>
            <w:tcW w:w="3211" w:type="dxa"/>
            <w:tcBorders>
              <w:top w:val="single" w:sz="12" w:space="0" w:color="auto"/>
              <w:bottom w:val="single" w:sz="6" w:space="0" w:color="auto"/>
            </w:tcBorders>
            <w:vAlign w:val="bottom"/>
          </w:tcPr>
          <w:p w:rsidR="00CE4712" w:rsidRPr="00CE4712" w:rsidRDefault="00CE4712" w:rsidP="00CE4712">
            <w:pPr>
              <w:pStyle w:val="TableHeaders"/>
              <w:keepNext/>
              <w:jc w:val="left"/>
              <w:rPr>
                <w:sz w:val="18"/>
              </w:rPr>
            </w:pPr>
            <w:r w:rsidRPr="00CE4712">
              <w:rPr>
                <w:sz w:val="18"/>
              </w:rPr>
              <w:t>Project Activity</w:t>
            </w:r>
          </w:p>
        </w:tc>
        <w:tc>
          <w:tcPr>
            <w:tcW w:w="5522" w:type="dxa"/>
            <w:tcBorders>
              <w:top w:val="single" w:sz="12" w:space="0" w:color="auto"/>
              <w:bottom w:val="single" w:sz="6" w:space="0" w:color="auto"/>
            </w:tcBorders>
            <w:vAlign w:val="bottom"/>
          </w:tcPr>
          <w:p w:rsidR="00CE4712" w:rsidRPr="00CE4712" w:rsidRDefault="00CE4712" w:rsidP="00CE4712">
            <w:pPr>
              <w:pStyle w:val="TableHeaders"/>
              <w:keepNext/>
              <w:jc w:val="left"/>
              <w:rPr>
                <w:sz w:val="18"/>
              </w:rPr>
            </w:pPr>
            <w:r w:rsidRPr="00CE4712">
              <w:rPr>
                <w:sz w:val="18"/>
              </w:rPr>
              <w:t>Date</w:t>
            </w:r>
          </w:p>
        </w:tc>
      </w:tr>
      <w:tr w:rsidR="00CE4712" w:rsidRPr="00F332CB" w:rsidTr="00FF7A17">
        <w:tblPrEx>
          <w:tblCellMar>
            <w:top w:w="0" w:type="dxa"/>
          </w:tblCellMar>
        </w:tblPrEx>
        <w:trPr>
          <w:cantSplit/>
        </w:trPr>
        <w:tc>
          <w:tcPr>
            <w:tcW w:w="3211" w:type="dxa"/>
          </w:tcPr>
          <w:p w:rsidR="00CE4712" w:rsidRPr="00CE4712" w:rsidRDefault="00CE4712" w:rsidP="00FF7A17">
            <w:pPr>
              <w:keepNext/>
              <w:spacing w:before="40" w:after="40"/>
              <w:rPr>
                <w:rFonts w:ascii="Times New Roman" w:hAnsi="Times New Roman"/>
                <w:sz w:val="18"/>
                <w:szCs w:val="22"/>
              </w:rPr>
            </w:pPr>
            <w:r w:rsidRPr="00CE4712">
              <w:rPr>
                <w:rFonts w:ascii="Times New Roman" w:hAnsi="Times New Roman"/>
                <w:sz w:val="18"/>
                <w:szCs w:val="22"/>
              </w:rPr>
              <w:t>Survey</w:t>
            </w:r>
          </w:p>
        </w:tc>
        <w:tc>
          <w:tcPr>
            <w:tcW w:w="5522" w:type="dxa"/>
          </w:tcPr>
          <w:p w:rsidR="00CE4712" w:rsidRPr="00CE4712" w:rsidRDefault="00CE4712" w:rsidP="00FF7A17">
            <w:pPr>
              <w:keepNext/>
              <w:spacing w:before="40" w:after="40"/>
              <w:rPr>
                <w:rFonts w:ascii="Times New Roman" w:hAnsi="Times New Roman"/>
                <w:sz w:val="18"/>
                <w:szCs w:val="22"/>
              </w:rPr>
            </w:pPr>
            <w:r w:rsidRPr="00CE4712">
              <w:rPr>
                <w:rFonts w:ascii="Times New Roman" w:hAnsi="Times New Roman"/>
                <w:sz w:val="18"/>
                <w:szCs w:val="22"/>
              </w:rPr>
              <w:t>March 2016 to April 2016 (Approximate)</w:t>
            </w:r>
          </w:p>
        </w:tc>
      </w:tr>
      <w:tr w:rsidR="00CE4712" w:rsidRPr="00F332CB" w:rsidTr="00FF7A17">
        <w:tblPrEx>
          <w:tblCellMar>
            <w:top w:w="0" w:type="dxa"/>
          </w:tblCellMar>
        </w:tblPrEx>
        <w:trPr>
          <w:cantSplit/>
        </w:trPr>
        <w:tc>
          <w:tcPr>
            <w:tcW w:w="3211" w:type="dxa"/>
            <w:tcBorders>
              <w:bottom w:val="nil"/>
            </w:tcBorders>
          </w:tcPr>
          <w:p w:rsidR="00CE4712" w:rsidRPr="00CE4712" w:rsidRDefault="00CE4712" w:rsidP="00FF7A17">
            <w:pPr>
              <w:keepNext/>
              <w:spacing w:before="40" w:after="40"/>
              <w:rPr>
                <w:rFonts w:ascii="Times New Roman" w:hAnsi="Times New Roman"/>
                <w:sz w:val="18"/>
                <w:szCs w:val="22"/>
              </w:rPr>
            </w:pPr>
            <w:r>
              <w:rPr>
                <w:rFonts w:ascii="Times New Roman" w:hAnsi="Times New Roman"/>
                <w:sz w:val="18"/>
                <w:szCs w:val="22"/>
              </w:rPr>
              <w:t>Data A</w:t>
            </w:r>
            <w:r w:rsidRPr="00CE4712">
              <w:rPr>
                <w:rFonts w:ascii="Times New Roman" w:hAnsi="Times New Roman"/>
                <w:sz w:val="18"/>
                <w:szCs w:val="22"/>
              </w:rPr>
              <w:t>nalysis</w:t>
            </w:r>
          </w:p>
        </w:tc>
        <w:tc>
          <w:tcPr>
            <w:tcW w:w="5522" w:type="dxa"/>
            <w:tcBorders>
              <w:bottom w:val="nil"/>
            </w:tcBorders>
          </w:tcPr>
          <w:p w:rsidR="00CE4712" w:rsidRPr="00CE4712" w:rsidRDefault="00CE4712" w:rsidP="00FF7A17">
            <w:pPr>
              <w:keepNext/>
              <w:spacing w:before="40" w:after="40"/>
              <w:rPr>
                <w:rFonts w:ascii="Times New Roman" w:hAnsi="Times New Roman"/>
                <w:sz w:val="18"/>
                <w:szCs w:val="22"/>
              </w:rPr>
            </w:pPr>
            <w:r w:rsidRPr="00CE4712">
              <w:rPr>
                <w:rFonts w:ascii="Times New Roman" w:hAnsi="Times New Roman"/>
                <w:sz w:val="18"/>
                <w:szCs w:val="22"/>
              </w:rPr>
              <w:t>May</w:t>
            </w:r>
            <w:r w:rsidR="00A46E11">
              <w:rPr>
                <w:rFonts w:ascii="Times New Roman" w:hAnsi="Times New Roman"/>
                <w:sz w:val="18"/>
                <w:szCs w:val="22"/>
              </w:rPr>
              <w:t xml:space="preserve"> </w:t>
            </w:r>
            <w:r w:rsidRPr="00CE4712">
              <w:rPr>
                <w:rFonts w:ascii="Times New Roman" w:hAnsi="Times New Roman"/>
                <w:sz w:val="18"/>
                <w:szCs w:val="22"/>
              </w:rPr>
              <w:t>2016 to June 2016 (Approximate)</w:t>
            </w:r>
          </w:p>
        </w:tc>
      </w:tr>
      <w:tr w:rsidR="00CE4712" w:rsidRPr="00F332CB" w:rsidTr="00FF7A17">
        <w:tblPrEx>
          <w:tblCellMar>
            <w:top w:w="0" w:type="dxa"/>
          </w:tblCellMar>
        </w:tblPrEx>
        <w:trPr>
          <w:cantSplit/>
        </w:trPr>
        <w:tc>
          <w:tcPr>
            <w:tcW w:w="3211" w:type="dxa"/>
            <w:tcBorders>
              <w:top w:val="nil"/>
              <w:bottom w:val="single" w:sz="12" w:space="0" w:color="auto"/>
            </w:tcBorders>
          </w:tcPr>
          <w:p w:rsidR="00CE4712" w:rsidRPr="00CE4712" w:rsidRDefault="00CE4712" w:rsidP="00FF7A17">
            <w:pPr>
              <w:keepNext/>
              <w:spacing w:before="40" w:after="40"/>
              <w:rPr>
                <w:rFonts w:ascii="Times New Roman" w:hAnsi="Times New Roman"/>
                <w:sz w:val="18"/>
                <w:szCs w:val="22"/>
              </w:rPr>
            </w:pPr>
            <w:r>
              <w:rPr>
                <w:rFonts w:ascii="Times New Roman" w:hAnsi="Times New Roman"/>
                <w:sz w:val="18"/>
                <w:szCs w:val="22"/>
              </w:rPr>
              <w:t>Report Writing and D</w:t>
            </w:r>
            <w:r w:rsidRPr="00CE4712">
              <w:rPr>
                <w:rFonts w:ascii="Times New Roman" w:hAnsi="Times New Roman"/>
                <w:sz w:val="18"/>
                <w:szCs w:val="22"/>
              </w:rPr>
              <w:t>issemination</w:t>
            </w:r>
          </w:p>
        </w:tc>
        <w:tc>
          <w:tcPr>
            <w:tcW w:w="5522" w:type="dxa"/>
            <w:tcBorders>
              <w:top w:val="nil"/>
              <w:bottom w:val="single" w:sz="12" w:space="0" w:color="auto"/>
            </w:tcBorders>
          </w:tcPr>
          <w:p w:rsidR="00CE4712" w:rsidRPr="00CE4712" w:rsidRDefault="00CE4712" w:rsidP="00FF7A17">
            <w:pPr>
              <w:keepNext/>
              <w:spacing w:before="40" w:after="40"/>
              <w:rPr>
                <w:rFonts w:ascii="Times New Roman" w:hAnsi="Times New Roman"/>
                <w:sz w:val="18"/>
                <w:szCs w:val="22"/>
              </w:rPr>
            </w:pPr>
            <w:r w:rsidRPr="00CE4712">
              <w:rPr>
                <w:rFonts w:ascii="Times New Roman" w:hAnsi="Times New Roman"/>
                <w:sz w:val="18"/>
                <w:szCs w:val="22"/>
              </w:rPr>
              <w:t>July 2016 to November 2016 (Approximate)</w:t>
            </w:r>
          </w:p>
        </w:tc>
      </w:tr>
    </w:tbl>
    <w:p w:rsidR="00CE4712" w:rsidRPr="00F332CB" w:rsidRDefault="00CE4712" w:rsidP="00CE4712">
      <w:pPr>
        <w:ind w:left="720"/>
      </w:pPr>
    </w:p>
    <w:p w:rsidR="005C0FF9" w:rsidRPr="005E5681" w:rsidRDefault="00CE4712" w:rsidP="00CE471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u w:val="single"/>
        </w:rPr>
      </w:pPr>
      <w:r>
        <w:rPr>
          <w:rFonts w:ascii="Times New Roman" w:hAnsi="Times New Roman"/>
          <w:sz w:val="24"/>
          <w:szCs w:val="24"/>
        </w:rPr>
        <w:br w:type="page"/>
      </w:r>
      <w:bookmarkStart w:id="26" w:name="_Toc239649238"/>
      <w:r w:rsidR="005C0FF9" w:rsidRPr="005E5681">
        <w:rPr>
          <w:rFonts w:ascii="Times New Roman" w:hAnsi="Times New Roman"/>
          <w:b/>
          <w:bCs/>
          <w:sz w:val="24"/>
          <w:szCs w:val="24"/>
        </w:rPr>
        <w:lastRenderedPageBreak/>
        <w:t xml:space="preserve">17.  </w:t>
      </w:r>
      <w:r w:rsidR="005C0FF9" w:rsidRPr="005E5681">
        <w:rPr>
          <w:rFonts w:ascii="Times New Roman" w:hAnsi="Times New Roman"/>
          <w:b/>
          <w:bCs/>
          <w:sz w:val="24"/>
          <w:szCs w:val="24"/>
          <w:u w:val="single"/>
        </w:rPr>
        <w:t>Reason(s) Display of OMB Expiration Date is Inappropriate</w:t>
      </w:r>
      <w:bookmarkEnd w:id="26"/>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Pr="005E5681" w:rsidRDefault="009943A6"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005C0FF9" w:rsidRPr="005E5681">
        <w:rPr>
          <w:rFonts w:ascii="Times New Roman" w:hAnsi="Times New Roman"/>
          <w:sz w:val="24"/>
          <w:szCs w:val="24"/>
        </w:rPr>
        <w:t>The OMB expiration date will be displayed.</w:t>
      </w: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7" w:name="_Toc239649239"/>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7"/>
    </w:p>
    <w:p w:rsidR="005C0FF9" w:rsidRPr="005E5681" w:rsidRDefault="005C0FF9" w:rsidP="00EB43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5C0FF9" w:rsidRDefault="005C0FF9"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p w:rsid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p>
    <w:p w:rsid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p>
    <w:p w:rsidR="00057464" w:rsidRDefault="00057464"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p>
    <w:p w:rsidR="00057464" w:rsidRDefault="00057464"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bCs/>
          <w:sz w:val="24"/>
          <w:szCs w:val="24"/>
        </w:rPr>
      </w:pPr>
    </w:p>
    <w:p w:rsidR="00CE4712" w:rsidRP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b/>
          <w:sz w:val="24"/>
          <w:szCs w:val="24"/>
        </w:rPr>
      </w:pPr>
      <w:r w:rsidRPr="00CE4712">
        <w:rPr>
          <w:rFonts w:ascii="Times New Roman" w:hAnsi="Times New Roman"/>
          <w:b/>
          <w:sz w:val="24"/>
          <w:szCs w:val="24"/>
        </w:rPr>
        <w:t>References</w:t>
      </w:r>
    </w:p>
    <w:p w:rsidR="00057464" w:rsidRDefault="00057464"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CE4712" w:rsidRP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 xml:space="preserve">Abreu, D. A., &amp; </w:t>
      </w:r>
      <w:proofErr w:type="gramStart"/>
      <w:r w:rsidRPr="00CE4712">
        <w:rPr>
          <w:rFonts w:ascii="Times New Roman" w:hAnsi="Times New Roman"/>
          <w:sz w:val="24"/>
          <w:szCs w:val="24"/>
        </w:rPr>
        <w:t>Winters</w:t>
      </w:r>
      <w:proofErr w:type="gramEnd"/>
      <w:r w:rsidRPr="00CE4712">
        <w:rPr>
          <w:rFonts w:ascii="Times New Roman" w:hAnsi="Times New Roman"/>
          <w:sz w:val="24"/>
          <w:szCs w:val="24"/>
        </w:rPr>
        <w:t xml:space="preserve">, F. (1999). </w:t>
      </w:r>
      <w:proofErr w:type="gramStart"/>
      <w:r w:rsidRPr="00CE4712">
        <w:rPr>
          <w:rFonts w:ascii="Times New Roman" w:hAnsi="Times New Roman"/>
          <w:sz w:val="24"/>
          <w:szCs w:val="24"/>
        </w:rPr>
        <w:t>Using monetary incentives to reduce attrition in the survey of incom</w:t>
      </w:r>
      <w:r>
        <w:rPr>
          <w:rFonts w:ascii="Times New Roman" w:hAnsi="Times New Roman"/>
          <w:sz w:val="24"/>
          <w:szCs w:val="24"/>
        </w:rPr>
        <w:t>e and program participation.</w:t>
      </w:r>
      <w:proofErr w:type="gramEnd"/>
      <w:r>
        <w:rPr>
          <w:rFonts w:ascii="Times New Roman" w:hAnsi="Times New Roman"/>
          <w:sz w:val="24"/>
          <w:szCs w:val="24"/>
        </w:rPr>
        <w:t xml:space="preserve"> </w:t>
      </w:r>
      <w:r w:rsidRPr="00CE4712">
        <w:rPr>
          <w:rFonts w:ascii="Times New Roman" w:hAnsi="Times New Roman"/>
          <w:i/>
          <w:sz w:val="24"/>
          <w:szCs w:val="24"/>
        </w:rPr>
        <w:t xml:space="preserve">Proceedings of the Survey Research Methods Section </w:t>
      </w:r>
      <w:r w:rsidRPr="00CE4712">
        <w:rPr>
          <w:rFonts w:ascii="Times New Roman" w:hAnsi="Times New Roman"/>
          <w:sz w:val="24"/>
          <w:szCs w:val="24"/>
        </w:rPr>
        <w:t>(pp. 533-538).</w:t>
      </w:r>
    </w:p>
    <w:p w:rsid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CE4712" w:rsidRP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roofErr w:type="spellStart"/>
      <w:proofErr w:type="gramStart"/>
      <w:r w:rsidRPr="00CE4712">
        <w:rPr>
          <w:rFonts w:ascii="Times New Roman" w:hAnsi="Times New Roman"/>
          <w:sz w:val="24"/>
          <w:szCs w:val="24"/>
        </w:rPr>
        <w:t>Castiglioni</w:t>
      </w:r>
      <w:proofErr w:type="spellEnd"/>
      <w:r w:rsidRPr="00CE4712">
        <w:rPr>
          <w:rFonts w:ascii="Times New Roman" w:hAnsi="Times New Roman"/>
          <w:sz w:val="24"/>
          <w:szCs w:val="24"/>
        </w:rPr>
        <w:t xml:space="preserve">, L., </w:t>
      </w:r>
      <w:proofErr w:type="spellStart"/>
      <w:r w:rsidRPr="00CE4712">
        <w:rPr>
          <w:rFonts w:ascii="Times New Roman" w:hAnsi="Times New Roman"/>
          <w:sz w:val="24"/>
          <w:szCs w:val="24"/>
        </w:rPr>
        <w:t>Pforr</w:t>
      </w:r>
      <w:proofErr w:type="spellEnd"/>
      <w:r w:rsidRPr="00CE4712">
        <w:rPr>
          <w:rFonts w:ascii="Times New Roman" w:hAnsi="Times New Roman"/>
          <w:sz w:val="24"/>
          <w:szCs w:val="24"/>
        </w:rPr>
        <w:t>, K., &amp; Krieger, U. (2008, December).</w:t>
      </w:r>
      <w:proofErr w:type="gramEnd"/>
      <w:r w:rsidRPr="00CE4712">
        <w:rPr>
          <w:rFonts w:ascii="Times New Roman" w:hAnsi="Times New Roman"/>
          <w:sz w:val="24"/>
          <w:szCs w:val="24"/>
        </w:rPr>
        <w:t xml:space="preserve"> The effect of incentives on response rates and panel attrition: Results</w:t>
      </w:r>
      <w:r>
        <w:rPr>
          <w:rFonts w:ascii="Times New Roman" w:hAnsi="Times New Roman"/>
          <w:sz w:val="24"/>
          <w:szCs w:val="24"/>
        </w:rPr>
        <w:t xml:space="preserve"> of a controlled experiment. </w:t>
      </w:r>
      <w:r w:rsidRPr="00CE4712">
        <w:rPr>
          <w:rFonts w:ascii="Times New Roman" w:hAnsi="Times New Roman"/>
          <w:i/>
          <w:sz w:val="24"/>
          <w:szCs w:val="24"/>
        </w:rPr>
        <w:t>Survey Research Methods (</w:t>
      </w:r>
      <w:r w:rsidRPr="00CE4712">
        <w:rPr>
          <w:rFonts w:ascii="Times New Roman" w:hAnsi="Times New Roman"/>
          <w:sz w:val="24"/>
          <w:szCs w:val="24"/>
        </w:rPr>
        <w:t>Vol. 2, No. 3, pp. 151-158).</w:t>
      </w:r>
    </w:p>
    <w:p w:rsid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CE4712" w:rsidRP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roofErr w:type="spellStart"/>
      <w:proofErr w:type="gramStart"/>
      <w:r w:rsidRPr="00CE4712">
        <w:rPr>
          <w:rFonts w:ascii="Times New Roman" w:hAnsi="Times New Roman"/>
          <w:sz w:val="24"/>
          <w:szCs w:val="24"/>
        </w:rPr>
        <w:t>Jäckle</w:t>
      </w:r>
      <w:proofErr w:type="spellEnd"/>
      <w:r w:rsidRPr="00CE4712">
        <w:rPr>
          <w:rFonts w:ascii="Times New Roman" w:hAnsi="Times New Roman"/>
          <w:sz w:val="24"/>
          <w:szCs w:val="24"/>
        </w:rPr>
        <w:t>, A., &amp; Lynn, P. (2008).</w:t>
      </w:r>
      <w:proofErr w:type="gramEnd"/>
      <w:r w:rsidRPr="00CE4712">
        <w:rPr>
          <w:rFonts w:ascii="Times New Roman" w:hAnsi="Times New Roman"/>
          <w:sz w:val="24"/>
          <w:szCs w:val="24"/>
        </w:rPr>
        <w:t xml:space="preserve"> </w:t>
      </w:r>
      <w:proofErr w:type="spellStart"/>
      <w:r w:rsidRPr="00CE4712">
        <w:rPr>
          <w:rFonts w:ascii="Times New Roman" w:hAnsi="Times New Roman"/>
          <w:sz w:val="24"/>
          <w:szCs w:val="24"/>
        </w:rPr>
        <w:t>Offre</w:t>
      </w:r>
      <w:proofErr w:type="spellEnd"/>
      <w:r w:rsidRPr="00CE4712">
        <w:rPr>
          <w:rFonts w:ascii="Times New Roman" w:hAnsi="Times New Roman"/>
          <w:sz w:val="24"/>
          <w:szCs w:val="24"/>
        </w:rPr>
        <w:t xml:space="preserve"> de primes </w:t>
      </w:r>
      <w:proofErr w:type="spellStart"/>
      <w:r w:rsidRPr="00CE4712">
        <w:rPr>
          <w:rFonts w:ascii="Times New Roman" w:hAnsi="Times New Roman"/>
          <w:sz w:val="24"/>
          <w:szCs w:val="24"/>
        </w:rPr>
        <w:t>d’encouragement</w:t>
      </w:r>
      <w:proofErr w:type="spellEnd"/>
      <w:r w:rsidRPr="00CE4712">
        <w:rPr>
          <w:rFonts w:ascii="Times New Roman" w:hAnsi="Times New Roman"/>
          <w:sz w:val="24"/>
          <w:szCs w:val="24"/>
        </w:rPr>
        <w:t xml:space="preserve"> aux </w:t>
      </w:r>
      <w:proofErr w:type="spellStart"/>
      <w:r w:rsidRPr="00CE4712">
        <w:rPr>
          <w:rFonts w:ascii="Times New Roman" w:hAnsi="Times New Roman"/>
          <w:sz w:val="24"/>
          <w:szCs w:val="24"/>
        </w:rPr>
        <w:t>répondants</w:t>
      </w:r>
      <w:proofErr w:type="spellEnd"/>
      <w:r w:rsidRPr="00CE4712">
        <w:rPr>
          <w:rFonts w:ascii="Times New Roman" w:hAnsi="Times New Roman"/>
          <w:sz w:val="24"/>
          <w:szCs w:val="24"/>
        </w:rPr>
        <w:t xml:space="preserve"> </w:t>
      </w:r>
      <w:proofErr w:type="spellStart"/>
      <w:r w:rsidRPr="00CE4712">
        <w:rPr>
          <w:rFonts w:ascii="Times New Roman" w:hAnsi="Times New Roman"/>
          <w:sz w:val="24"/>
          <w:szCs w:val="24"/>
        </w:rPr>
        <w:t>dans</w:t>
      </w:r>
      <w:proofErr w:type="spellEnd"/>
      <w:r w:rsidRPr="00CE4712">
        <w:rPr>
          <w:rFonts w:ascii="Times New Roman" w:hAnsi="Times New Roman"/>
          <w:sz w:val="24"/>
          <w:szCs w:val="24"/>
        </w:rPr>
        <w:t xml:space="preserve"> </w:t>
      </w:r>
      <w:proofErr w:type="spellStart"/>
      <w:r w:rsidRPr="00CE4712">
        <w:rPr>
          <w:rFonts w:ascii="Times New Roman" w:hAnsi="Times New Roman"/>
          <w:sz w:val="24"/>
          <w:szCs w:val="24"/>
        </w:rPr>
        <w:t>une</w:t>
      </w:r>
      <w:proofErr w:type="spellEnd"/>
      <w:r w:rsidRPr="00CE4712">
        <w:rPr>
          <w:rFonts w:ascii="Times New Roman" w:hAnsi="Times New Roman"/>
          <w:sz w:val="24"/>
          <w:szCs w:val="24"/>
        </w:rPr>
        <w:t xml:space="preserve"> </w:t>
      </w:r>
      <w:proofErr w:type="spellStart"/>
      <w:r w:rsidRPr="00CE4712">
        <w:rPr>
          <w:rFonts w:ascii="Times New Roman" w:hAnsi="Times New Roman"/>
          <w:sz w:val="24"/>
          <w:szCs w:val="24"/>
        </w:rPr>
        <w:t>enquête</w:t>
      </w:r>
      <w:proofErr w:type="spellEnd"/>
      <w:r w:rsidRPr="00CE4712">
        <w:rPr>
          <w:rFonts w:ascii="Times New Roman" w:hAnsi="Times New Roman"/>
          <w:sz w:val="24"/>
          <w:szCs w:val="24"/>
        </w:rPr>
        <w:t xml:space="preserve"> par panel </w:t>
      </w:r>
      <w:proofErr w:type="spellStart"/>
      <w:r w:rsidRPr="00CE4712">
        <w:rPr>
          <w:rFonts w:ascii="Times New Roman" w:hAnsi="Times New Roman"/>
          <w:sz w:val="24"/>
          <w:szCs w:val="24"/>
        </w:rPr>
        <w:t>multimodes</w:t>
      </w:r>
      <w:proofErr w:type="spellEnd"/>
      <w:r w:rsidRPr="00CE4712">
        <w:rPr>
          <w:rFonts w:ascii="Times New Roman" w:hAnsi="Times New Roman"/>
          <w:sz w:val="24"/>
          <w:szCs w:val="24"/>
        </w:rPr>
        <w:t xml:space="preserve">: </w:t>
      </w:r>
      <w:proofErr w:type="spellStart"/>
      <w:r w:rsidRPr="00CE4712">
        <w:rPr>
          <w:rFonts w:ascii="Times New Roman" w:hAnsi="Times New Roman"/>
          <w:sz w:val="24"/>
          <w:szCs w:val="24"/>
        </w:rPr>
        <w:t>effets</w:t>
      </w:r>
      <w:proofErr w:type="spellEnd"/>
      <w:r w:rsidRPr="00CE4712">
        <w:rPr>
          <w:rFonts w:ascii="Times New Roman" w:hAnsi="Times New Roman"/>
          <w:sz w:val="24"/>
          <w:szCs w:val="24"/>
        </w:rPr>
        <w:t xml:space="preserve"> </w:t>
      </w:r>
      <w:proofErr w:type="spellStart"/>
      <w:r w:rsidRPr="00CE4712">
        <w:rPr>
          <w:rFonts w:ascii="Times New Roman" w:hAnsi="Times New Roman"/>
          <w:sz w:val="24"/>
          <w:szCs w:val="24"/>
        </w:rPr>
        <w:t>cumulatifs</w:t>
      </w:r>
      <w:proofErr w:type="spellEnd"/>
      <w:r w:rsidRPr="00CE4712">
        <w:rPr>
          <w:rFonts w:ascii="Times New Roman" w:hAnsi="Times New Roman"/>
          <w:sz w:val="24"/>
          <w:szCs w:val="24"/>
        </w:rPr>
        <w:t xml:space="preserve"> </w:t>
      </w:r>
      <w:proofErr w:type="spellStart"/>
      <w:r w:rsidRPr="00CE4712">
        <w:rPr>
          <w:rFonts w:ascii="Times New Roman" w:hAnsi="Times New Roman"/>
          <w:sz w:val="24"/>
          <w:szCs w:val="24"/>
        </w:rPr>
        <w:t>sur</w:t>
      </w:r>
      <w:proofErr w:type="spellEnd"/>
      <w:r w:rsidRPr="00CE4712">
        <w:rPr>
          <w:rFonts w:ascii="Times New Roman" w:hAnsi="Times New Roman"/>
          <w:sz w:val="24"/>
          <w:szCs w:val="24"/>
        </w:rPr>
        <w:t xml:space="preserve"> la non-</w:t>
      </w:r>
      <w:proofErr w:type="spellStart"/>
      <w:r w:rsidRPr="00CE4712">
        <w:rPr>
          <w:rFonts w:ascii="Times New Roman" w:hAnsi="Times New Roman"/>
          <w:sz w:val="24"/>
          <w:szCs w:val="24"/>
        </w:rPr>
        <w:t>réponse</w:t>
      </w:r>
      <w:proofErr w:type="spellEnd"/>
      <w:r w:rsidRPr="00CE4712">
        <w:rPr>
          <w:rFonts w:ascii="Times New Roman" w:hAnsi="Times New Roman"/>
          <w:sz w:val="24"/>
          <w:szCs w:val="24"/>
        </w:rPr>
        <w:t xml:space="preserve"> </w:t>
      </w:r>
      <w:proofErr w:type="gramStart"/>
      <w:r w:rsidRPr="00CE4712">
        <w:rPr>
          <w:rFonts w:ascii="Times New Roman" w:hAnsi="Times New Roman"/>
          <w:sz w:val="24"/>
          <w:szCs w:val="24"/>
        </w:rPr>
        <w:t>et</w:t>
      </w:r>
      <w:proofErr w:type="gramEnd"/>
      <w:r w:rsidRPr="00CE4712">
        <w:rPr>
          <w:rFonts w:ascii="Times New Roman" w:hAnsi="Times New Roman"/>
          <w:sz w:val="24"/>
          <w:szCs w:val="24"/>
        </w:rPr>
        <w:t xml:space="preserve"> le </w:t>
      </w:r>
      <w:proofErr w:type="spellStart"/>
      <w:r w:rsidRPr="00CE4712">
        <w:rPr>
          <w:rFonts w:ascii="Times New Roman" w:hAnsi="Times New Roman"/>
          <w:sz w:val="24"/>
          <w:szCs w:val="24"/>
        </w:rPr>
        <w:t>biais</w:t>
      </w:r>
      <w:proofErr w:type="spellEnd"/>
      <w:r w:rsidRPr="00CE4712">
        <w:rPr>
          <w:rFonts w:ascii="Times New Roman" w:hAnsi="Times New Roman"/>
          <w:sz w:val="24"/>
          <w:szCs w:val="24"/>
        </w:rPr>
        <w:t xml:space="preserve">. </w:t>
      </w:r>
      <w:proofErr w:type="gramStart"/>
      <w:r w:rsidRPr="00CE4712">
        <w:rPr>
          <w:rFonts w:ascii="Times New Roman" w:hAnsi="Times New Roman"/>
          <w:i/>
          <w:sz w:val="24"/>
          <w:szCs w:val="24"/>
        </w:rPr>
        <w:t xml:space="preserve">Techniques </w:t>
      </w:r>
      <w:proofErr w:type="spellStart"/>
      <w:r w:rsidRPr="00CE4712">
        <w:rPr>
          <w:rFonts w:ascii="Times New Roman" w:hAnsi="Times New Roman"/>
          <w:i/>
          <w:sz w:val="24"/>
          <w:szCs w:val="24"/>
        </w:rPr>
        <w:t>d’enquête</w:t>
      </w:r>
      <w:proofErr w:type="spellEnd"/>
      <w:r w:rsidRPr="00CE4712">
        <w:rPr>
          <w:rFonts w:ascii="Times New Roman" w:hAnsi="Times New Roman"/>
          <w:sz w:val="24"/>
          <w:szCs w:val="24"/>
        </w:rPr>
        <w:t>, 34(1), 115-130.</w:t>
      </w:r>
      <w:proofErr w:type="gramEnd"/>
    </w:p>
    <w:p w:rsid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CE4712" w:rsidRP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r w:rsidRPr="00CE4712">
        <w:rPr>
          <w:rFonts w:ascii="Times New Roman" w:hAnsi="Times New Roman"/>
          <w:sz w:val="24"/>
          <w:szCs w:val="24"/>
        </w:rPr>
        <w:t xml:space="preserve">Singer, E. (2002). </w:t>
      </w:r>
      <w:proofErr w:type="gramStart"/>
      <w:r w:rsidRPr="00CE4712">
        <w:rPr>
          <w:rFonts w:ascii="Times New Roman" w:hAnsi="Times New Roman"/>
          <w:sz w:val="24"/>
          <w:szCs w:val="24"/>
        </w:rPr>
        <w:t>The use of incentives to reduce nonrespons</w:t>
      </w:r>
      <w:r>
        <w:rPr>
          <w:rFonts w:ascii="Times New Roman" w:hAnsi="Times New Roman"/>
          <w:sz w:val="24"/>
          <w:szCs w:val="24"/>
        </w:rPr>
        <w:t>e in household surveys.</w:t>
      </w:r>
      <w:proofErr w:type="gramEnd"/>
      <w:r>
        <w:rPr>
          <w:rFonts w:ascii="Times New Roman" w:hAnsi="Times New Roman"/>
          <w:sz w:val="24"/>
          <w:szCs w:val="24"/>
        </w:rPr>
        <w:t xml:space="preserve"> </w:t>
      </w:r>
      <w:r w:rsidRPr="00CE4712">
        <w:rPr>
          <w:rFonts w:ascii="Times New Roman" w:hAnsi="Times New Roman"/>
          <w:i/>
          <w:sz w:val="24"/>
          <w:szCs w:val="24"/>
        </w:rPr>
        <w:t>Survey Nonresponse</w:t>
      </w:r>
      <w:r w:rsidRPr="00CE4712">
        <w:rPr>
          <w:rFonts w:ascii="Times New Roman" w:hAnsi="Times New Roman"/>
          <w:sz w:val="24"/>
          <w:szCs w:val="24"/>
        </w:rPr>
        <w:t>, 51, 163-177.</w:t>
      </w:r>
    </w:p>
    <w:p w:rsidR="00CE4712"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
    <w:p w:rsidR="00CE4712" w:rsidRPr="002051D8" w:rsidRDefault="00CE4712" w:rsidP="00CE4712">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imes New Roman" w:hAnsi="Times New Roman"/>
          <w:sz w:val="24"/>
          <w:szCs w:val="24"/>
        </w:rPr>
      </w:pPr>
      <w:proofErr w:type="spellStart"/>
      <w:proofErr w:type="gramStart"/>
      <w:r w:rsidRPr="00CE4712">
        <w:rPr>
          <w:rFonts w:ascii="Times New Roman" w:hAnsi="Times New Roman"/>
          <w:sz w:val="24"/>
          <w:szCs w:val="24"/>
        </w:rPr>
        <w:t>Shettle</w:t>
      </w:r>
      <w:proofErr w:type="spellEnd"/>
      <w:r w:rsidRPr="00CE4712">
        <w:rPr>
          <w:rFonts w:ascii="Times New Roman" w:hAnsi="Times New Roman"/>
          <w:sz w:val="24"/>
          <w:szCs w:val="24"/>
        </w:rPr>
        <w:t>, C., &amp; Mooney, G. (1999).</w:t>
      </w:r>
      <w:proofErr w:type="gramEnd"/>
      <w:r w:rsidRPr="00CE4712">
        <w:rPr>
          <w:rFonts w:ascii="Times New Roman" w:hAnsi="Times New Roman"/>
          <w:sz w:val="24"/>
          <w:szCs w:val="24"/>
        </w:rPr>
        <w:t xml:space="preserve"> </w:t>
      </w:r>
      <w:proofErr w:type="gramStart"/>
      <w:r w:rsidRPr="00CE4712">
        <w:rPr>
          <w:rFonts w:ascii="Times New Roman" w:hAnsi="Times New Roman"/>
          <w:sz w:val="24"/>
          <w:szCs w:val="24"/>
        </w:rPr>
        <w:t>Monetary incentives in US government surveys.</w:t>
      </w:r>
      <w:proofErr w:type="gramEnd"/>
      <w:r w:rsidRPr="00CE4712">
        <w:rPr>
          <w:rFonts w:ascii="Times New Roman" w:hAnsi="Times New Roman"/>
          <w:sz w:val="24"/>
          <w:szCs w:val="24"/>
        </w:rPr>
        <w:t xml:space="preserve"> </w:t>
      </w:r>
      <w:proofErr w:type="gramStart"/>
      <w:r w:rsidRPr="00CE4712">
        <w:rPr>
          <w:rFonts w:ascii="Times New Roman" w:hAnsi="Times New Roman"/>
          <w:i/>
          <w:sz w:val="24"/>
          <w:szCs w:val="24"/>
        </w:rPr>
        <w:t>Journal of Official Statistics</w:t>
      </w:r>
      <w:r w:rsidRPr="00CE4712">
        <w:rPr>
          <w:rFonts w:ascii="Times New Roman" w:hAnsi="Times New Roman"/>
          <w:sz w:val="24"/>
          <w:szCs w:val="24"/>
        </w:rPr>
        <w:t>, 15(2), 231.</w:t>
      </w:r>
      <w:proofErr w:type="gramEnd"/>
    </w:p>
    <w:sectPr w:rsidR="00CE4712" w:rsidRPr="002051D8" w:rsidSect="002E3ECD">
      <w:footerReference w:type="default" r:id="rId13"/>
      <w:headerReference w:type="first" r:id="rId14"/>
      <w:footerReference w:type="first" r:id="rId15"/>
      <w:type w:val="continuous"/>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1E" w:rsidRDefault="00A0101E">
      <w:r>
        <w:separator/>
      </w:r>
    </w:p>
  </w:endnote>
  <w:endnote w:type="continuationSeparator" w:id="0">
    <w:p w:rsidR="00A0101E" w:rsidRDefault="00A0101E">
      <w:r>
        <w:continuationSeparator/>
      </w:r>
    </w:p>
  </w:endnote>
  <w:endnote w:type="continuationNotice" w:id="1">
    <w:p w:rsidR="00A0101E" w:rsidRDefault="00A01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5F2" w:rsidRPr="002E3ECD" w:rsidRDefault="002E3ECD" w:rsidP="002E3ECD">
    <w:pPr>
      <w:pStyle w:val="Footer"/>
      <w:jc w:val="center"/>
      <w:rPr>
        <w:sz w:val="16"/>
        <w:szCs w:val="16"/>
      </w:rPr>
    </w:pPr>
    <w:r w:rsidRPr="002E3ECD">
      <w:rPr>
        <w:sz w:val="16"/>
        <w:szCs w:val="16"/>
      </w:rPr>
      <w:t xml:space="preserve">Page </w:t>
    </w:r>
    <w:r w:rsidRPr="002E3ECD">
      <w:rPr>
        <w:b/>
        <w:bCs/>
        <w:sz w:val="16"/>
        <w:szCs w:val="16"/>
      </w:rPr>
      <w:fldChar w:fldCharType="begin"/>
    </w:r>
    <w:r w:rsidRPr="002E3ECD">
      <w:rPr>
        <w:b/>
        <w:bCs/>
        <w:sz w:val="16"/>
        <w:szCs w:val="16"/>
      </w:rPr>
      <w:instrText xml:space="preserve"> PAGE </w:instrText>
    </w:r>
    <w:r w:rsidRPr="002E3ECD">
      <w:rPr>
        <w:b/>
        <w:bCs/>
        <w:sz w:val="16"/>
        <w:szCs w:val="16"/>
      </w:rPr>
      <w:fldChar w:fldCharType="separate"/>
    </w:r>
    <w:r w:rsidR="001D7784">
      <w:rPr>
        <w:b/>
        <w:bCs/>
        <w:noProof/>
        <w:sz w:val="16"/>
        <w:szCs w:val="16"/>
      </w:rPr>
      <w:t>12</w:t>
    </w:r>
    <w:r w:rsidRPr="002E3ECD">
      <w:rPr>
        <w:b/>
        <w:bCs/>
        <w:sz w:val="16"/>
        <w:szCs w:val="16"/>
      </w:rPr>
      <w:fldChar w:fldCharType="end"/>
    </w:r>
    <w:r w:rsidRPr="002E3ECD">
      <w:rPr>
        <w:sz w:val="16"/>
        <w:szCs w:val="16"/>
      </w:rPr>
      <w:t xml:space="preserve"> of </w:t>
    </w:r>
    <w:r w:rsidRPr="002E3ECD">
      <w:rPr>
        <w:b/>
        <w:bCs/>
        <w:sz w:val="16"/>
        <w:szCs w:val="16"/>
      </w:rPr>
      <w:fldChar w:fldCharType="begin"/>
    </w:r>
    <w:r w:rsidRPr="002E3ECD">
      <w:rPr>
        <w:b/>
        <w:bCs/>
        <w:sz w:val="16"/>
        <w:szCs w:val="16"/>
      </w:rPr>
      <w:instrText xml:space="preserve"> NUMPAGES  </w:instrText>
    </w:r>
    <w:r w:rsidRPr="002E3ECD">
      <w:rPr>
        <w:b/>
        <w:bCs/>
        <w:sz w:val="16"/>
        <w:szCs w:val="16"/>
      </w:rPr>
      <w:fldChar w:fldCharType="separate"/>
    </w:r>
    <w:r w:rsidR="001D7784">
      <w:rPr>
        <w:b/>
        <w:bCs/>
        <w:noProof/>
        <w:sz w:val="16"/>
        <w:szCs w:val="16"/>
      </w:rPr>
      <w:t>12</w:t>
    </w:r>
    <w:r w:rsidRPr="002E3ECD">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CD" w:rsidRPr="002E3ECD" w:rsidRDefault="002E3ECD" w:rsidP="002E3ECD">
    <w:pPr>
      <w:pStyle w:val="Header"/>
      <w:jc w:val="center"/>
      <w:rPr>
        <w:sz w:val="16"/>
      </w:rPr>
    </w:pPr>
    <w:r w:rsidRPr="002E3ECD">
      <w:rPr>
        <w:sz w:val="16"/>
      </w:rPr>
      <w:t xml:space="preserve">Page </w:t>
    </w:r>
    <w:r w:rsidRPr="002E3ECD">
      <w:rPr>
        <w:b/>
        <w:bCs/>
        <w:sz w:val="16"/>
      </w:rPr>
      <w:fldChar w:fldCharType="begin"/>
    </w:r>
    <w:r w:rsidRPr="002E3ECD">
      <w:rPr>
        <w:b/>
        <w:bCs/>
        <w:sz w:val="16"/>
      </w:rPr>
      <w:instrText xml:space="preserve"> PAGE </w:instrText>
    </w:r>
    <w:r w:rsidRPr="002E3ECD">
      <w:rPr>
        <w:b/>
        <w:bCs/>
        <w:sz w:val="16"/>
      </w:rPr>
      <w:fldChar w:fldCharType="separate"/>
    </w:r>
    <w:r w:rsidR="001D7784">
      <w:rPr>
        <w:b/>
        <w:bCs/>
        <w:noProof/>
        <w:sz w:val="16"/>
      </w:rPr>
      <w:t>1</w:t>
    </w:r>
    <w:r w:rsidRPr="002E3ECD">
      <w:rPr>
        <w:b/>
        <w:bCs/>
        <w:sz w:val="16"/>
      </w:rPr>
      <w:fldChar w:fldCharType="end"/>
    </w:r>
    <w:r w:rsidRPr="002E3ECD">
      <w:rPr>
        <w:sz w:val="16"/>
      </w:rPr>
      <w:t xml:space="preserve"> of </w:t>
    </w:r>
    <w:r w:rsidRPr="002E3ECD">
      <w:rPr>
        <w:b/>
        <w:bCs/>
        <w:sz w:val="16"/>
      </w:rPr>
      <w:fldChar w:fldCharType="begin"/>
    </w:r>
    <w:r w:rsidRPr="002E3ECD">
      <w:rPr>
        <w:b/>
        <w:bCs/>
        <w:sz w:val="16"/>
      </w:rPr>
      <w:instrText xml:space="preserve"> NUMPAGES  </w:instrText>
    </w:r>
    <w:r w:rsidRPr="002E3ECD">
      <w:rPr>
        <w:b/>
        <w:bCs/>
        <w:sz w:val="16"/>
      </w:rPr>
      <w:fldChar w:fldCharType="separate"/>
    </w:r>
    <w:r w:rsidR="001D7784">
      <w:rPr>
        <w:b/>
        <w:bCs/>
        <w:noProof/>
        <w:sz w:val="16"/>
      </w:rPr>
      <w:t>12</w:t>
    </w:r>
    <w:r w:rsidRPr="002E3ECD">
      <w:rPr>
        <w:b/>
        <w:bCs/>
        <w:sz w:val="16"/>
      </w:rPr>
      <w:fldChar w:fldCharType="end"/>
    </w:r>
  </w:p>
  <w:p w:rsidR="002E3ECD" w:rsidRDefault="002E3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1E" w:rsidRDefault="00A0101E">
      <w:r>
        <w:separator/>
      </w:r>
    </w:p>
  </w:footnote>
  <w:footnote w:type="continuationSeparator" w:id="0">
    <w:p w:rsidR="00A0101E" w:rsidRDefault="00A0101E">
      <w:r>
        <w:continuationSeparator/>
      </w:r>
    </w:p>
  </w:footnote>
  <w:footnote w:type="continuationNotice" w:id="1">
    <w:p w:rsidR="00A0101E" w:rsidRDefault="00A010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CD" w:rsidRDefault="002E3ECD">
    <w:pPr>
      <w:pStyle w:val="Header"/>
    </w:pPr>
    <w:r w:rsidRPr="006967DB">
      <w:rPr>
        <w:rFonts w:ascii="Times New Roman" w:hAnsi="Times New Roman"/>
        <w:b/>
        <w:sz w:val="22"/>
      </w:rPr>
      <w:t>Quantitative Study of Tobacco Facts Designed to Inform Youth Tobacco Prevention Messaging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CA37B7F"/>
    <w:multiLevelType w:val="hybridMultilevel"/>
    <w:tmpl w:val="24E02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9">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20">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21">
    <w:nsid w:val="414533CB"/>
    <w:multiLevelType w:val="hybridMultilevel"/>
    <w:tmpl w:val="571EB218"/>
    <w:lvl w:ilvl="0" w:tplc="4A60DA54">
      <w:numFmt w:val="bullet"/>
      <w:lvlText w:val="•"/>
      <w:lvlJc w:val="left"/>
      <w:pPr>
        <w:ind w:left="1170" w:hanging="45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2270126"/>
    <w:multiLevelType w:val="hybridMultilevel"/>
    <w:tmpl w:val="8EA6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9F2939"/>
    <w:multiLevelType w:val="hybridMultilevel"/>
    <w:tmpl w:val="5D1ED18C"/>
    <w:lvl w:ilvl="0" w:tplc="4A60DA54">
      <w:numFmt w:val="bullet"/>
      <w:lvlText w:val="•"/>
      <w:lvlJc w:val="left"/>
      <w:pPr>
        <w:ind w:left="720" w:hanging="45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33">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19"/>
  </w:num>
  <w:num w:numId="4">
    <w:abstractNumId w:val="32"/>
  </w:num>
  <w:num w:numId="5">
    <w:abstractNumId w:val="4"/>
  </w:num>
  <w:num w:numId="6">
    <w:abstractNumId w:val="30"/>
  </w:num>
  <w:num w:numId="7">
    <w:abstractNumId w:val="35"/>
  </w:num>
  <w:num w:numId="8">
    <w:abstractNumId w:val="25"/>
  </w:num>
  <w:num w:numId="9">
    <w:abstractNumId w:val="33"/>
  </w:num>
  <w:num w:numId="10">
    <w:abstractNumId w:val="23"/>
  </w:num>
  <w:num w:numId="11">
    <w:abstractNumId w:val="18"/>
  </w:num>
  <w:num w:numId="12">
    <w:abstractNumId w:val="12"/>
  </w:num>
  <w:num w:numId="13">
    <w:abstractNumId w:val="1"/>
  </w:num>
  <w:num w:numId="14">
    <w:abstractNumId w:val="14"/>
  </w:num>
  <w:num w:numId="15">
    <w:abstractNumId w:val="27"/>
  </w:num>
  <w:num w:numId="16">
    <w:abstractNumId w:val="5"/>
  </w:num>
  <w:num w:numId="17">
    <w:abstractNumId w:val="7"/>
  </w:num>
  <w:num w:numId="18">
    <w:abstractNumId w:val="34"/>
  </w:num>
  <w:num w:numId="19">
    <w:abstractNumId w:val="24"/>
  </w:num>
  <w:num w:numId="20">
    <w:abstractNumId w:val="10"/>
  </w:num>
  <w:num w:numId="21">
    <w:abstractNumId w:val="6"/>
  </w:num>
  <w:num w:numId="22">
    <w:abstractNumId w:val="16"/>
  </w:num>
  <w:num w:numId="23">
    <w:abstractNumId w:val="17"/>
  </w:num>
  <w:num w:numId="24">
    <w:abstractNumId w:val="0"/>
  </w:num>
  <w:num w:numId="25">
    <w:abstractNumId w:val="26"/>
  </w:num>
  <w:num w:numId="26">
    <w:abstractNumId w:val="9"/>
  </w:num>
  <w:num w:numId="27">
    <w:abstractNumId w:val="13"/>
  </w:num>
  <w:num w:numId="28">
    <w:abstractNumId w:val="28"/>
  </w:num>
  <w:num w:numId="29">
    <w:abstractNumId w:val="15"/>
  </w:num>
  <w:num w:numId="30">
    <w:abstractNumId w:val="11"/>
  </w:num>
  <w:num w:numId="31">
    <w:abstractNumId w:val="22"/>
  </w:num>
  <w:num w:numId="32">
    <w:abstractNumId w:val="3"/>
  </w:num>
  <w:num w:numId="33">
    <w:abstractNumId w:val="29"/>
  </w:num>
  <w:num w:numId="34">
    <w:abstractNumId w:val="2"/>
  </w:num>
  <w:num w:numId="35">
    <w:abstractNumId w:val="2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030B"/>
    <w:rsid w:val="00007C02"/>
    <w:rsid w:val="00016DF6"/>
    <w:rsid w:val="000216D8"/>
    <w:rsid w:val="00024664"/>
    <w:rsid w:val="0002650D"/>
    <w:rsid w:val="00057464"/>
    <w:rsid w:val="0006445E"/>
    <w:rsid w:val="0007013B"/>
    <w:rsid w:val="000759F5"/>
    <w:rsid w:val="00075BFF"/>
    <w:rsid w:val="0007649E"/>
    <w:rsid w:val="00077D08"/>
    <w:rsid w:val="00087E7A"/>
    <w:rsid w:val="00092D53"/>
    <w:rsid w:val="000A69E5"/>
    <w:rsid w:val="000B1493"/>
    <w:rsid w:val="000B2AED"/>
    <w:rsid w:val="000C6188"/>
    <w:rsid w:val="000D317F"/>
    <w:rsid w:val="000D5B55"/>
    <w:rsid w:val="000E2B4D"/>
    <w:rsid w:val="000E690D"/>
    <w:rsid w:val="00114ED0"/>
    <w:rsid w:val="00117BD9"/>
    <w:rsid w:val="0013250E"/>
    <w:rsid w:val="001331DD"/>
    <w:rsid w:val="00134977"/>
    <w:rsid w:val="00143DFE"/>
    <w:rsid w:val="00157822"/>
    <w:rsid w:val="001605F2"/>
    <w:rsid w:val="00160B7D"/>
    <w:rsid w:val="00161B0D"/>
    <w:rsid w:val="00164C23"/>
    <w:rsid w:val="001666A0"/>
    <w:rsid w:val="00167209"/>
    <w:rsid w:val="00167A02"/>
    <w:rsid w:val="00170DC8"/>
    <w:rsid w:val="0018222E"/>
    <w:rsid w:val="00182612"/>
    <w:rsid w:val="0018611D"/>
    <w:rsid w:val="001925F1"/>
    <w:rsid w:val="001A241E"/>
    <w:rsid w:val="001A2822"/>
    <w:rsid w:val="001B0183"/>
    <w:rsid w:val="001B0F9B"/>
    <w:rsid w:val="001B33C8"/>
    <w:rsid w:val="001B51A4"/>
    <w:rsid w:val="001C3211"/>
    <w:rsid w:val="001D1D63"/>
    <w:rsid w:val="001D7784"/>
    <w:rsid w:val="001E094C"/>
    <w:rsid w:val="001E22AC"/>
    <w:rsid w:val="001E723C"/>
    <w:rsid w:val="001F24C8"/>
    <w:rsid w:val="001F3059"/>
    <w:rsid w:val="001F41CF"/>
    <w:rsid w:val="002039FC"/>
    <w:rsid w:val="00203CCA"/>
    <w:rsid w:val="002051D8"/>
    <w:rsid w:val="002063C6"/>
    <w:rsid w:val="0020760E"/>
    <w:rsid w:val="00212767"/>
    <w:rsid w:val="00212ECB"/>
    <w:rsid w:val="002173A3"/>
    <w:rsid w:val="00217A3C"/>
    <w:rsid w:val="00221C66"/>
    <w:rsid w:val="0022679B"/>
    <w:rsid w:val="002301EC"/>
    <w:rsid w:val="00230787"/>
    <w:rsid w:val="0023288A"/>
    <w:rsid w:val="0023594B"/>
    <w:rsid w:val="00237CEC"/>
    <w:rsid w:val="002423EA"/>
    <w:rsid w:val="00242883"/>
    <w:rsid w:val="00254739"/>
    <w:rsid w:val="00255D9B"/>
    <w:rsid w:val="00266851"/>
    <w:rsid w:val="00267147"/>
    <w:rsid w:val="002760ED"/>
    <w:rsid w:val="00291772"/>
    <w:rsid w:val="00293C23"/>
    <w:rsid w:val="002A71C2"/>
    <w:rsid w:val="002B0CBE"/>
    <w:rsid w:val="002B21B2"/>
    <w:rsid w:val="002B26DF"/>
    <w:rsid w:val="002B467A"/>
    <w:rsid w:val="002B6095"/>
    <w:rsid w:val="002B6C74"/>
    <w:rsid w:val="002E08A7"/>
    <w:rsid w:val="002E1EB3"/>
    <w:rsid w:val="002E3812"/>
    <w:rsid w:val="002E3ECD"/>
    <w:rsid w:val="002E5C08"/>
    <w:rsid w:val="002E6437"/>
    <w:rsid w:val="002F716B"/>
    <w:rsid w:val="00300BB3"/>
    <w:rsid w:val="00301B59"/>
    <w:rsid w:val="0031695B"/>
    <w:rsid w:val="0032273F"/>
    <w:rsid w:val="00326755"/>
    <w:rsid w:val="00326C6F"/>
    <w:rsid w:val="00341225"/>
    <w:rsid w:val="00341478"/>
    <w:rsid w:val="0034441D"/>
    <w:rsid w:val="00346B32"/>
    <w:rsid w:val="00351C73"/>
    <w:rsid w:val="00354712"/>
    <w:rsid w:val="00355B8B"/>
    <w:rsid w:val="0036363E"/>
    <w:rsid w:val="003762AF"/>
    <w:rsid w:val="00385951"/>
    <w:rsid w:val="00386D6C"/>
    <w:rsid w:val="003874B9"/>
    <w:rsid w:val="003B00A6"/>
    <w:rsid w:val="003E02D6"/>
    <w:rsid w:val="0040556E"/>
    <w:rsid w:val="00426D15"/>
    <w:rsid w:val="004308FB"/>
    <w:rsid w:val="004335FC"/>
    <w:rsid w:val="004546B9"/>
    <w:rsid w:val="00457B64"/>
    <w:rsid w:val="00460A53"/>
    <w:rsid w:val="004675D7"/>
    <w:rsid w:val="00470E70"/>
    <w:rsid w:val="004732BA"/>
    <w:rsid w:val="00482A31"/>
    <w:rsid w:val="00485D99"/>
    <w:rsid w:val="004868D1"/>
    <w:rsid w:val="004953D8"/>
    <w:rsid w:val="004A2CD8"/>
    <w:rsid w:val="004C1F78"/>
    <w:rsid w:val="004C5B66"/>
    <w:rsid w:val="004C6682"/>
    <w:rsid w:val="004C6CE0"/>
    <w:rsid w:val="004D3E3E"/>
    <w:rsid w:val="00500D1E"/>
    <w:rsid w:val="00506019"/>
    <w:rsid w:val="005072D1"/>
    <w:rsid w:val="00507F32"/>
    <w:rsid w:val="00507FCD"/>
    <w:rsid w:val="0051608C"/>
    <w:rsid w:val="00520F63"/>
    <w:rsid w:val="00535C40"/>
    <w:rsid w:val="00537206"/>
    <w:rsid w:val="00556746"/>
    <w:rsid w:val="00560084"/>
    <w:rsid w:val="00560F15"/>
    <w:rsid w:val="00566286"/>
    <w:rsid w:val="00570A96"/>
    <w:rsid w:val="005718F6"/>
    <w:rsid w:val="00573151"/>
    <w:rsid w:val="00573AE4"/>
    <w:rsid w:val="00581DB5"/>
    <w:rsid w:val="00596B96"/>
    <w:rsid w:val="005B124E"/>
    <w:rsid w:val="005C0FF9"/>
    <w:rsid w:val="005C23C2"/>
    <w:rsid w:val="005C6607"/>
    <w:rsid w:val="005C7A18"/>
    <w:rsid w:val="005D00E9"/>
    <w:rsid w:val="005D5B2C"/>
    <w:rsid w:val="005E1541"/>
    <w:rsid w:val="005E206E"/>
    <w:rsid w:val="005E5681"/>
    <w:rsid w:val="005E6B0C"/>
    <w:rsid w:val="005F6485"/>
    <w:rsid w:val="00604124"/>
    <w:rsid w:val="006229A4"/>
    <w:rsid w:val="006271AB"/>
    <w:rsid w:val="006347B4"/>
    <w:rsid w:val="0063754B"/>
    <w:rsid w:val="00637C23"/>
    <w:rsid w:val="00654117"/>
    <w:rsid w:val="006576CA"/>
    <w:rsid w:val="0065772E"/>
    <w:rsid w:val="006914FA"/>
    <w:rsid w:val="006967DB"/>
    <w:rsid w:val="006A327E"/>
    <w:rsid w:val="006A6421"/>
    <w:rsid w:val="006C0D51"/>
    <w:rsid w:val="006C3950"/>
    <w:rsid w:val="006D010D"/>
    <w:rsid w:val="006D21F9"/>
    <w:rsid w:val="006E1019"/>
    <w:rsid w:val="006E225C"/>
    <w:rsid w:val="006E769E"/>
    <w:rsid w:val="006F117E"/>
    <w:rsid w:val="007101BF"/>
    <w:rsid w:val="00717893"/>
    <w:rsid w:val="007274ED"/>
    <w:rsid w:val="00731AD7"/>
    <w:rsid w:val="0073310C"/>
    <w:rsid w:val="00734BED"/>
    <w:rsid w:val="00756B50"/>
    <w:rsid w:val="0076293C"/>
    <w:rsid w:val="00770D2F"/>
    <w:rsid w:val="00773576"/>
    <w:rsid w:val="007A31C3"/>
    <w:rsid w:val="007A3A41"/>
    <w:rsid w:val="007C3E2D"/>
    <w:rsid w:val="007D097E"/>
    <w:rsid w:val="007D0A85"/>
    <w:rsid w:val="007D57EE"/>
    <w:rsid w:val="007D7E6C"/>
    <w:rsid w:val="007E29EB"/>
    <w:rsid w:val="007E609B"/>
    <w:rsid w:val="00802C2A"/>
    <w:rsid w:val="00807DD4"/>
    <w:rsid w:val="0081268C"/>
    <w:rsid w:val="008153F3"/>
    <w:rsid w:val="00815BD1"/>
    <w:rsid w:val="00817163"/>
    <w:rsid w:val="0082223D"/>
    <w:rsid w:val="008267E2"/>
    <w:rsid w:val="008443DC"/>
    <w:rsid w:val="008459A9"/>
    <w:rsid w:val="0085008D"/>
    <w:rsid w:val="0085765D"/>
    <w:rsid w:val="00875F3E"/>
    <w:rsid w:val="00884ECF"/>
    <w:rsid w:val="00892C71"/>
    <w:rsid w:val="00893951"/>
    <w:rsid w:val="008A1FE8"/>
    <w:rsid w:val="008A673F"/>
    <w:rsid w:val="008B301B"/>
    <w:rsid w:val="008B76F4"/>
    <w:rsid w:val="008C689B"/>
    <w:rsid w:val="008D288A"/>
    <w:rsid w:val="008D3C57"/>
    <w:rsid w:val="008E075B"/>
    <w:rsid w:val="008E455D"/>
    <w:rsid w:val="009028FD"/>
    <w:rsid w:val="00905441"/>
    <w:rsid w:val="009077BC"/>
    <w:rsid w:val="009157A4"/>
    <w:rsid w:val="009169AF"/>
    <w:rsid w:val="00920C1E"/>
    <w:rsid w:val="00927939"/>
    <w:rsid w:val="0093178C"/>
    <w:rsid w:val="00944C49"/>
    <w:rsid w:val="00946942"/>
    <w:rsid w:val="00965100"/>
    <w:rsid w:val="00970C26"/>
    <w:rsid w:val="00975CEA"/>
    <w:rsid w:val="00986B61"/>
    <w:rsid w:val="009943A6"/>
    <w:rsid w:val="009A3696"/>
    <w:rsid w:val="009B2186"/>
    <w:rsid w:val="009D65E5"/>
    <w:rsid w:val="009D7EDD"/>
    <w:rsid w:val="009E10AF"/>
    <w:rsid w:val="009F1268"/>
    <w:rsid w:val="00A0101E"/>
    <w:rsid w:val="00A028A1"/>
    <w:rsid w:val="00A037C8"/>
    <w:rsid w:val="00A115F0"/>
    <w:rsid w:val="00A2461B"/>
    <w:rsid w:val="00A36C49"/>
    <w:rsid w:val="00A46E11"/>
    <w:rsid w:val="00A46F41"/>
    <w:rsid w:val="00A63338"/>
    <w:rsid w:val="00A65768"/>
    <w:rsid w:val="00A703F9"/>
    <w:rsid w:val="00A82E0F"/>
    <w:rsid w:val="00A862F4"/>
    <w:rsid w:val="00A93423"/>
    <w:rsid w:val="00A93540"/>
    <w:rsid w:val="00A94186"/>
    <w:rsid w:val="00AA0B21"/>
    <w:rsid w:val="00AB58C8"/>
    <w:rsid w:val="00AB604A"/>
    <w:rsid w:val="00AB77E0"/>
    <w:rsid w:val="00AC1CA0"/>
    <w:rsid w:val="00AC1D6D"/>
    <w:rsid w:val="00AD1713"/>
    <w:rsid w:val="00AE0B67"/>
    <w:rsid w:val="00AF1E23"/>
    <w:rsid w:val="00B109F9"/>
    <w:rsid w:val="00B22A14"/>
    <w:rsid w:val="00B26B2F"/>
    <w:rsid w:val="00B32381"/>
    <w:rsid w:val="00B427EC"/>
    <w:rsid w:val="00B571F4"/>
    <w:rsid w:val="00B61CCA"/>
    <w:rsid w:val="00B66FDB"/>
    <w:rsid w:val="00B670BE"/>
    <w:rsid w:val="00B70413"/>
    <w:rsid w:val="00B72260"/>
    <w:rsid w:val="00B75848"/>
    <w:rsid w:val="00B75B2C"/>
    <w:rsid w:val="00B76929"/>
    <w:rsid w:val="00B85276"/>
    <w:rsid w:val="00B966EB"/>
    <w:rsid w:val="00B9786B"/>
    <w:rsid w:val="00BD6916"/>
    <w:rsid w:val="00BF1587"/>
    <w:rsid w:val="00C21E57"/>
    <w:rsid w:val="00C5011F"/>
    <w:rsid w:val="00C53269"/>
    <w:rsid w:val="00C63371"/>
    <w:rsid w:val="00C63BCA"/>
    <w:rsid w:val="00C746B6"/>
    <w:rsid w:val="00C77F04"/>
    <w:rsid w:val="00C80EA7"/>
    <w:rsid w:val="00C81369"/>
    <w:rsid w:val="00C82283"/>
    <w:rsid w:val="00CA5C63"/>
    <w:rsid w:val="00CA6C16"/>
    <w:rsid w:val="00CA7318"/>
    <w:rsid w:val="00CC20A8"/>
    <w:rsid w:val="00CD1B4D"/>
    <w:rsid w:val="00CD6993"/>
    <w:rsid w:val="00CE0B38"/>
    <w:rsid w:val="00CE4712"/>
    <w:rsid w:val="00CE5058"/>
    <w:rsid w:val="00CF672D"/>
    <w:rsid w:val="00D17BAA"/>
    <w:rsid w:val="00D41618"/>
    <w:rsid w:val="00D50B3C"/>
    <w:rsid w:val="00D5356E"/>
    <w:rsid w:val="00D6223C"/>
    <w:rsid w:val="00D66F13"/>
    <w:rsid w:val="00D71C85"/>
    <w:rsid w:val="00D772A6"/>
    <w:rsid w:val="00DA1197"/>
    <w:rsid w:val="00DA5001"/>
    <w:rsid w:val="00DB125A"/>
    <w:rsid w:val="00DD255D"/>
    <w:rsid w:val="00DD5987"/>
    <w:rsid w:val="00DD68A8"/>
    <w:rsid w:val="00DE0599"/>
    <w:rsid w:val="00DE30C2"/>
    <w:rsid w:val="00DE44F9"/>
    <w:rsid w:val="00DE7DFA"/>
    <w:rsid w:val="00DF188B"/>
    <w:rsid w:val="00DF2D6B"/>
    <w:rsid w:val="00DF2FAD"/>
    <w:rsid w:val="00E00750"/>
    <w:rsid w:val="00E0144F"/>
    <w:rsid w:val="00E01C04"/>
    <w:rsid w:val="00E02D2D"/>
    <w:rsid w:val="00E04CC3"/>
    <w:rsid w:val="00E1207E"/>
    <w:rsid w:val="00E134B1"/>
    <w:rsid w:val="00E147DF"/>
    <w:rsid w:val="00E14D38"/>
    <w:rsid w:val="00E35A37"/>
    <w:rsid w:val="00E37AEF"/>
    <w:rsid w:val="00E51BED"/>
    <w:rsid w:val="00E57535"/>
    <w:rsid w:val="00E657BD"/>
    <w:rsid w:val="00E7313D"/>
    <w:rsid w:val="00E82325"/>
    <w:rsid w:val="00E91B2D"/>
    <w:rsid w:val="00E9490F"/>
    <w:rsid w:val="00E94A9A"/>
    <w:rsid w:val="00EB3501"/>
    <w:rsid w:val="00EB43D0"/>
    <w:rsid w:val="00EB579B"/>
    <w:rsid w:val="00EB5ADD"/>
    <w:rsid w:val="00EB78D8"/>
    <w:rsid w:val="00EC0F03"/>
    <w:rsid w:val="00EC577D"/>
    <w:rsid w:val="00ED372F"/>
    <w:rsid w:val="00ED481C"/>
    <w:rsid w:val="00EE1E64"/>
    <w:rsid w:val="00EE31E0"/>
    <w:rsid w:val="00EF118C"/>
    <w:rsid w:val="00EF497A"/>
    <w:rsid w:val="00F177D2"/>
    <w:rsid w:val="00F22923"/>
    <w:rsid w:val="00F22E2B"/>
    <w:rsid w:val="00F23886"/>
    <w:rsid w:val="00F303FE"/>
    <w:rsid w:val="00F32EF4"/>
    <w:rsid w:val="00F37575"/>
    <w:rsid w:val="00F37923"/>
    <w:rsid w:val="00F37F38"/>
    <w:rsid w:val="00F42249"/>
    <w:rsid w:val="00F46ED3"/>
    <w:rsid w:val="00F5021A"/>
    <w:rsid w:val="00F5357E"/>
    <w:rsid w:val="00F5375C"/>
    <w:rsid w:val="00F6532D"/>
    <w:rsid w:val="00F709E9"/>
    <w:rsid w:val="00F70DC5"/>
    <w:rsid w:val="00F75419"/>
    <w:rsid w:val="00F7603D"/>
    <w:rsid w:val="00F9158A"/>
    <w:rsid w:val="00FA42BB"/>
    <w:rsid w:val="00FA4C7F"/>
    <w:rsid w:val="00FB59EB"/>
    <w:rsid w:val="00FC0892"/>
    <w:rsid w:val="00FC2246"/>
    <w:rsid w:val="00FC344A"/>
    <w:rsid w:val="00FE0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Courier 10cpi" w:hAnsi="Courier 10cpi"/>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uiPriority w:val="34"/>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rsid w:val="0076293C"/>
    <w:rPr>
      <w:color w:val="800080"/>
      <w:u w:val="single"/>
    </w:rPr>
  </w:style>
  <w:style w:type="character" w:customStyle="1" w:styleId="HeaderChar">
    <w:name w:val="Header Char"/>
    <w:link w:val="Header"/>
    <w:uiPriority w:val="99"/>
    <w:rsid w:val="002E3ECD"/>
    <w:rPr>
      <w:rFonts w:ascii="Courier 10cpi" w:hAnsi="Courier 10cpi"/>
    </w:rPr>
  </w:style>
  <w:style w:type="paragraph" w:customStyle="1" w:styleId="FigureTitle">
    <w:name w:val="Figure Title"/>
    <w:basedOn w:val="Normal"/>
    <w:uiPriority w:val="99"/>
    <w:rsid w:val="00581DB5"/>
    <w:pPr>
      <w:keepNext/>
      <w:keepLines/>
      <w:autoSpaceDE/>
      <w:autoSpaceDN/>
      <w:adjustRightInd/>
      <w:spacing w:before="240" w:after="240"/>
    </w:pPr>
    <w:rPr>
      <w:rFonts w:ascii="Times New Roman" w:hAnsi="Times New Roman"/>
      <w:b/>
      <w:sz w:val="24"/>
    </w:rPr>
  </w:style>
  <w:style w:type="character" w:customStyle="1" w:styleId="bodytextChar">
    <w:name w:val="body text Char"/>
    <w:aliases w:val="bt Char,body tx Char,indent Char1,flush Char Char,indent Char,flush Char"/>
    <w:link w:val="BodyText1"/>
    <w:locked/>
    <w:rsid w:val="00CE4712"/>
    <w:rPr>
      <w:sz w:val="24"/>
    </w:rPr>
  </w:style>
  <w:style w:type="paragraph" w:customStyle="1" w:styleId="BodyText1">
    <w:name w:val="Body Text1"/>
    <w:aliases w:val="bt,body tx,indent,flush,body text"/>
    <w:basedOn w:val="Normal"/>
    <w:link w:val="bodytextChar"/>
    <w:rsid w:val="00CE4712"/>
    <w:pPr>
      <w:autoSpaceDE/>
      <w:autoSpaceDN/>
      <w:adjustRightInd/>
      <w:spacing w:after="120" w:line="360" w:lineRule="auto"/>
      <w:ind w:firstLine="720"/>
    </w:pPr>
    <w:rPr>
      <w:rFonts w:ascii="Times New Roman" w:hAnsi="Times New Roman"/>
      <w:sz w:val="24"/>
    </w:rPr>
  </w:style>
  <w:style w:type="paragraph" w:customStyle="1" w:styleId="TableHeaders">
    <w:name w:val="Table Headers"/>
    <w:basedOn w:val="Normal"/>
    <w:uiPriority w:val="99"/>
    <w:rsid w:val="00CE4712"/>
    <w:pPr>
      <w:autoSpaceDE/>
      <w:autoSpaceDN/>
      <w:adjustRightInd/>
      <w:spacing w:before="40" w:after="40"/>
      <w:jc w:val="center"/>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13979">
      <w:bodyDiv w:val="1"/>
      <w:marLeft w:val="0"/>
      <w:marRight w:val="0"/>
      <w:marTop w:val="0"/>
      <w:marBottom w:val="0"/>
      <w:divBdr>
        <w:top w:val="none" w:sz="0" w:space="0" w:color="auto"/>
        <w:left w:val="none" w:sz="0" w:space="0" w:color="auto"/>
        <w:bottom w:val="none" w:sz="0" w:space="0" w:color="auto"/>
        <w:right w:val="none" w:sz="0" w:space="0" w:color="auto"/>
      </w:divBdr>
    </w:div>
    <w:div w:id="663823284">
      <w:bodyDiv w:val="1"/>
      <w:marLeft w:val="0"/>
      <w:marRight w:val="0"/>
      <w:marTop w:val="0"/>
      <w:marBottom w:val="0"/>
      <w:divBdr>
        <w:top w:val="none" w:sz="0" w:space="0" w:color="auto"/>
        <w:left w:val="none" w:sz="0" w:space="0" w:color="auto"/>
        <w:bottom w:val="none" w:sz="0" w:space="0" w:color="auto"/>
        <w:right w:val="none" w:sz="0" w:space="0" w:color="auto"/>
      </w:divBdr>
    </w:div>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095127882">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ntym@mail.nih.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gustse@mail.nih.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wnm2@cdc.gov" TargetMode="External"/><Relationship Id="rId4" Type="http://schemas.microsoft.com/office/2007/relationships/stylesWithEffects" Target="stylesWithEffects.xml"/><Relationship Id="rId9" Type="http://schemas.openxmlformats.org/officeDocument/2006/relationships/hyperlink" Target="mailto:zgv1@cd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8F10-4893-433E-A1B7-4CCD0873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4351</Words>
  <Characters>24828</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29121</CharactersWithSpaces>
  <SharedDoc>false</SharedDoc>
  <HLinks>
    <vt:vector size="18"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6946875</vt:i4>
      </vt:variant>
      <vt:variant>
        <vt:i4>0</vt:i4>
      </vt:variant>
      <vt:variant>
        <vt:i4>0</vt:i4>
      </vt:variant>
      <vt:variant>
        <vt:i4>5</vt:i4>
      </vt:variant>
      <vt:variant>
        <vt:lpwstr>http://www.fda.gov/ScienceResearch/AboutScienceResearchatFDA/ucm342936.htm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Sanford, Amber</cp:lastModifiedBy>
  <cp:revision>2</cp:revision>
  <cp:lastPrinted>2015-09-18T14:08:00Z</cp:lastPrinted>
  <dcterms:created xsi:type="dcterms:W3CDTF">2016-03-24T19:19:00Z</dcterms:created>
  <dcterms:modified xsi:type="dcterms:W3CDTF">2016-03-24T19:19:00Z</dcterms:modified>
</cp:coreProperties>
</file>