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75440" w14:textId="77777777" w:rsidR="00BA2DBE" w:rsidRPr="00D20211" w:rsidRDefault="00BA2DBE">
      <w:pPr>
        <w:rPr>
          <w:rFonts w:ascii="Arial" w:hAnsi="Arial" w:cs="Arial"/>
        </w:rPr>
      </w:pPr>
      <w:bookmarkStart w:id="0" w:name="_Toc337198071"/>
      <w:bookmarkStart w:id="1" w:name="_Toc423335421"/>
      <w:bookmarkStart w:id="2" w:name="_GoBack"/>
      <w:bookmarkEnd w:id="2"/>
    </w:p>
    <w:p w14:paraId="1CC7FA30" w14:textId="77777777" w:rsidR="00BA2DBE" w:rsidRPr="00D20211" w:rsidRDefault="00BA2DBE">
      <w:pPr>
        <w:rPr>
          <w:rFonts w:ascii="Arial" w:hAnsi="Arial" w:cs="Arial"/>
        </w:rPr>
      </w:pPr>
    </w:p>
    <w:p w14:paraId="3ED5BC3C" w14:textId="77777777" w:rsidR="00BA2DBE" w:rsidRPr="00D20211" w:rsidRDefault="00BA2DBE">
      <w:pPr>
        <w:rPr>
          <w:rFonts w:ascii="Arial" w:hAnsi="Arial" w:cs="Arial"/>
        </w:rPr>
      </w:pPr>
    </w:p>
    <w:p w14:paraId="28A31780" w14:textId="77777777" w:rsidR="00BA2DBE" w:rsidRPr="00D20211" w:rsidRDefault="00BA2DBE">
      <w:pPr>
        <w:rPr>
          <w:rFonts w:ascii="Arial" w:hAnsi="Arial" w:cs="Arial"/>
        </w:rPr>
      </w:pPr>
    </w:p>
    <w:p w14:paraId="13C94AD7" w14:textId="77777777" w:rsidR="00BA2DBE" w:rsidRPr="00D20211" w:rsidRDefault="00BA2DBE">
      <w:pPr>
        <w:rPr>
          <w:rFonts w:ascii="Arial" w:hAnsi="Arial" w:cs="Arial"/>
        </w:rPr>
      </w:pPr>
    </w:p>
    <w:p w14:paraId="2C48DC92" w14:textId="77777777" w:rsidR="00B805CE" w:rsidRPr="00D572CD" w:rsidRDefault="00B805CE" w:rsidP="00B805CE">
      <w:pPr>
        <w:rPr>
          <w:rFonts w:ascii="Cambria" w:hAnsi="Cambria"/>
          <w:sz w:val="48"/>
          <w:szCs w:val="48"/>
        </w:rPr>
      </w:pPr>
      <w:r w:rsidRPr="00D572CD">
        <w:rPr>
          <w:rFonts w:ascii="Cambria" w:hAnsi="Cambria"/>
          <w:sz w:val="48"/>
          <w:szCs w:val="48"/>
        </w:rPr>
        <w:t xml:space="preserve">Healthy Homes and Lead Poisoning </w:t>
      </w:r>
      <w:r w:rsidRPr="00D572CD">
        <w:rPr>
          <w:rFonts w:ascii="Cambria" w:hAnsi="Cambria"/>
          <w:color w:val="000000"/>
          <w:sz w:val="48"/>
          <w:szCs w:val="48"/>
        </w:rPr>
        <w:t>Surveillance System</w:t>
      </w:r>
      <w:r w:rsidR="001C7F7C">
        <w:rPr>
          <w:rFonts w:ascii="Cambria" w:hAnsi="Cambria"/>
          <w:sz w:val="48"/>
          <w:szCs w:val="48"/>
        </w:rPr>
        <w:t xml:space="preserve"> (HHL</w:t>
      </w:r>
      <w:r w:rsidRPr="00D572CD">
        <w:rPr>
          <w:rFonts w:ascii="Cambria" w:hAnsi="Cambria"/>
          <w:sz w:val="48"/>
          <w:szCs w:val="48"/>
        </w:rPr>
        <w:t>PSS)</w:t>
      </w:r>
    </w:p>
    <w:p w14:paraId="024284F1" w14:textId="77777777" w:rsidR="00BA2DBE" w:rsidRPr="00D20211" w:rsidRDefault="00480FC6" w:rsidP="001626E8">
      <w:pPr>
        <w:pStyle w:val="Subtitle"/>
        <w:rPr>
          <w:color w:val="auto"/>
        </w:rPr>
      </w:pPr>
      <w:r w:rsidRPr="00D20211">
        <w:rPr>
          <w:color w:val="auto"/>
        </w:rPr>
        <w:t xml:space="preserve">OMB Control </w:t>
      </w:r>
      <w:r w:rsidRPr="0023593F">
        <w:rPr>
          <w:color w:val="auto"/>
        </w:rPr>
        <w:t>N</w:t>
      </w:r>
      <w:r w:rsidR="00EA55C0" w:rsidRPr="0023593F">
        <w:rPr>
          <w:color w:val="auto"/>
        </w:rPr>
        <w:t>o. 0920-</w:t>
      </w:r>
      <w:r w:rsidR="00B805CE" w:rsidRPr="0023593F">
        <w:rPr>
          <w:color w:val="auto"/>
        </w:rPr>
        <w:t>0931</w:t>
      </w:r>
      <w:r w:rsidR="00E52761" w:rsidRPr="0023593F">
        <w:rPr>
          <w:color w:val="auto"/>
        </w:rPr>
        <w:t xml:space="preserve"> </w:t>
      </w:r>
      <w:r w:rsidRPr="0023593F">
        <w:rPr>
          <w:color w:val="auto"/>
        </w:rPr>
        <w:t>(Expiration</w:t>
      </w:r>
      <w:r w:rsidRPr="00D20211">
        <w:rPr>
          <w:color w:val="auto"/>
        </w:rPr>
        <w:t xml:space="preserve"> Date</w:t>
      </w:r>
      <w:r w:rsidR="00AE1D9F" w:rsidRPr="00D20211">
        <w:rPr>
          <w:color w:val="auto"/>
        </w:rPr>
        <w:t xml:space="preserve">: </w:t>
      </w:r>
      <w:r w:rsidR="00B805CE">
        <w:rPr>
          <w:color w:val="auto"/>
        </w:rPr>
        <w:t>05</w:t>
      </w:r>
      <w:r w:rsidR="00AE1D9F" w:rsidRPr="00D20211">
        <w:rPr>
          <w:color w:val="auto"/>
        </w:rPr>
        <w:t>/</w:t>
      </w:r>
      <w:r w:rsidR="00B805CE">
        <w:rPr>
          <w:color w:val="auto"/>
        </w:rPr>
        <w:t>31</w:t>
      </w:r>
      <w:r w:rsidR="00AE1D9F" w:rsidRPr="00D20211">
        <w:rPr>
          <w:color w:val="auto"/>
        </w:rPr>
        <w:t>/</w:t>
      </w:r>
      <w:r w:rsidR="00B805CE">
        <w:rPr>
          <w:color w:val="auto"/>
        </w:rPr>
        <w:t>2018</w:t>
      </w:r>
      <w:r w:rsidRPr="00D20211">
        <w:rPr>
          <w:color w:val="auto"/>
        </w:rPr>
        <w:t xml:space="preserve">) </w:t>
      </w:r>
    </w:p>
    <w:p w14:paraId="4CF2B1FF" w14:textId="77777777" w:rsidR="00B805CE" w:rsidRPr="00D572CD" w:rsidRDefault="00B805CE" w:rsidP="00B805CE">
      <w:pPr>
        <w:spacing w:after="200" w:line="276" w:lineRule="auto"/>
        <w:rPr>
          <w:rFonts w:ascii="Cambria" w:hAnsi="Cambria"/>
          <w:sz w:val="36"/>
          <w:szCs w:val="36"/>
        </w:rPr>
      </w:pPr>
      <w:r w:rsidRPr="00D572CD">
        <w:rPr>
          <w:rFonts w:ascii="Cambria" w:hAnsi="Cambria"/>
          <w:sz w:val="36"/>
          <w:szCs w:val="36"/>
        </w:rPr>
        <w:t>Request for Extension</w:t>
      </w:r>
    </w:p>
    <w:p w14:paraId="15A35012" w14:textId="77777777" w:rsidR="00C000CD" w:rsidRPr="00D20211" w:rsidRDefault="00C000CD" w:rsidP="001626E8">
      <w:pPr>
        <w:pStyle w:val="Subtitle"/>
        <w:rPr>
          <w:color w:val="auto"/>
        </w:rPr>
      </w:pPr>
    </w:p>
    <w:p w14:paraId="35437125"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77587187" w14:textId="77777777" w:rsidR="00BA2DBE" w:rsidRPr="00D20211" w:rsidRDefault="00480FC6" w:rsidP="001626E8">
      <w:pPr>
        <w:pStyle w:val="Subtitle"/>
        <w:rPr>
          <w:color w:val="auto"/>
        </w:rPr>
      </w:pPr>
      <w:r w:rsidRPr="00D20211">
        <w:rPr>
          <w:color w:val="auto"/>
        </w:rPr>
        <w:t>Justification</w:t>
      </w:r>
    </w:p>
    <w:p w14:paraId="17084720" w14:textId="77777777" w:rsidR="00BA2DBE" w:rsidRPr="00D20211" w:rsidRDefault="00BA2DBE">
      <w:pPr>
        <w:spacing w:after="200" w:line="276" w:lineRule="auto"/>
        <w:rPr>
          <w:rFonts w:asciiTheme="majorHAnsi" w:hAnsiTheme="majorHAnsi" w:cs="Arial"/>
          <w:sz w:val="36"/>
          <w:szCs w:val="36"/>
        </w:rPr>
      </w:pPr>
    </w:p>
    <w:p w14:paraId="339D4C80" w14:textId="77777777" w:rsidR="00BA2DBE" w:rsidRPr="00D20211" w:rsidRDefault="00BA2DBE" w:rsidP="0045341A">
      <w:pPr>
        <w:spacing w:after="200" w:line="240" w:lineRule="auto"/>
        <w:rPr>
          <w:rFonts w:asciiTheme="majorHAnsi" w:hAnsiTheme="majorHAnsi" w:cs="Arial"/>
          <w:sz w:val="36"/>
          <w:szCs w:val="36"/>
        </w:rPr>
      </w:pPr>
    </w:p>
    <w:p w14:paraId="348C94FB" w14:textId="6CDAF754" w:rsidR="0045341A" w:rsidRDefault="00480FC6" w:rsidP="0045341A">
      <w:pPr>
        <w:spacing w:after="0" w:line="240" w:lineRule="auto"/>
        <w:rPr>
          <w:rFonts w:asciiTheme="majorHAnsi" w:hAnsiTheme="majorHAnsi"/>
          <w:sz w:val="30"/>
          <w:szCs w:val="30"/>
        </w:rPr>
      </w:pPr>
      <w:r w:rsidRPr="00B805CE">
        <w:rPr>
          <w:rFonts w:asciiTheme="majorHAnsi" w:hAnsiTheme="majorHAnsi"/>
          <w:sz w:val="30"/>
          <w:szCs w:val="30"/>
        </w:rPr>
        <w:t xml:space="preserve">Program Official: </w:t>
      </w:r>
    </w:p>
    <w:p w14:paraId="103C29CB" w14:textId="77777777" w:rsidR="00B805CE" w:rsidRPr="00B805CE" w:rsidRDefault="00B805CE" w:rsidP="0045341A">
      <w:pPr>
        <w:spacing w:after="0" w:line="240" w:lineRule="auto"/>
        <w:rPr>
          <w:rFonts w:asciiTheme="majorHAnsi" w:hAnsiTheme="majorHAnsi"/>
          <w:sz w:val="30"/>
          <w:szCs w:val="30"/>
        </w:rPr>
      </w:pPr>
      <w:r w:rsidRPr="00B805CE">
        <w:rPr>
          <w:rFonts w:asciiTheme="majorHAnsi" w:hAnsiTheme="majorHAnsi"/>
          <w:sz w:val="30"/>
          <w:szCs w:val="30"/>
        </w:rPr>
        <w:t>Adrienne S. Ettinger, ScD, MPH, MS</w:t>
      </w:r>
    </w:p>
    <w:p w14:paraId="6F1C0498" w14:textId="77777777" w:rsidR="00B805CE" w:rsidRPr="00B805CE" w:rsidRDefault="0045341A" w:rsidP="0045341A">
      <w:pPr>
        <w:spacing w:after="0" w:line="240" w:lineRule="auto"/>
        <w:rPr>
          <w:rFonts w:asciiTheme="majorHAnsi" w:hAnsiTheme="majorHAnsi"/>
          <w:sz w:val="30"/>
          <w:szCs w:val="30"/>
        </w:rPr>
      </w:pPr>
      <w:r>
        <w:rPr>
          <w:rFonts w:asciiTheme="majorHAnsi" w:hAnsiTheme="majorHAnsi"/>
          <w:sz w:val="30"/>
          <w:szCs w:val="30"/>
        </w:rPr>
        <w:t xml:space="preserve">Chief, </w:t>
      </w:r>
      <w:r w:rsidR="00B805CE" w:rsidRPr="00B805CE">
        <w:rPr>
          <w:rFonts w:asciiTheme="majorHAnsi" w:hAnsiTheme="majorHAnsi"/>
          <w:sz w:val="30"/>
          <w:szCs w:val="30"/>
        </w:rPr>
        <w:t>Healthy Homes and Lead Poisoning Prevention Program</w:t>
      </w:r>
    </w:p>
    <w:p w14:paraId="20E92FBC" w14:textId="77777777" w:rsidR="00B805CE" w:rsidRPr="00B805CE" w:rsidRDefault="00B805CE" w:rsidP="0045341A">
      <w:pPr>
        <w:spacing w:after="0" w:line="240" w:lineRule="auto"/>
        <w:rPr>
          <w:rFonts w:asciiTheme="majorHAnsi" w:hAnsiTheme="majorHAnsi"/>
          <w:sz w:val="30"/>
          <w:szCs w:val="30"/>
        </w:rPr>
      </w:pPr>
      <w:r w:rsidRPr="00B805CE">
        <w:rPr>
          <w:rFonts w:asciiTheme="majorHAnsi" w:hAnsiTheme="majorHAnsi"/>
          <w:sz w:val="30"/>
          <w:szCs w:val="30"/>
        </w:rPr>
        <w:t>National Center for Environmental Health</w:t>
      </w:r>
    </w:p>
    <w:p w14:paraId="2CD90428" w14:textId="77777777" w:rsidR="00B805CE" w:rsidRPr="00B805CE" w:rsidRDefault="00B805CE" w:rsidP="0045341A">
      <w:pPr>
        <w:spacing w:after="0" w:line="240" w:lineRule="auto"/>
        <w:rPr>
          <w:rFonts w:asciiTheme="majorHAnsi" w:hAnsiTheme="majorHAnsi"/>
          <w:sz w:val="30"/>
          <w:szCs w:val="30"/>
        </w:rPr>
      </w:pPr>
      <w:r w:rsidRPr="00B805CE">
        <w:rPr>
          <w:rFonts w:asciiTheme="majorHAnsi" w:hAnsiTheme="majorHAnsi"/>
          <w:sz w:val="30"/>
          <w:szCs w:val="30"/>
        </w:rPr>
        <w:t>U.S. Centers for Disease Control and Prevention (CDC)</w:t>
      </w:r>
    </w:p>
    <w:p w14:paraId="1C81499A" w14:textId="77777777" w:rsidR="00B805CE" w:rsidRPr="00B805CE" w:rsidRDefault="00B805CE" w:rsidP="0045341A">
      <w:pPr>
        <w:spacing w:after="0" w:line="240" w:lineRule="auto"/>
        <w:rPr>
          <w:rFonts w:asciiTheme="majorHAnsi" w:hAnsiTheme="majorHAnsi" w:cs="Arial"/>
          <w:sz w:val="30"/>
          <w:szCs w:val="30"/>
        </w:rPr>
      </w:pPr>
      <w:r w:rsidRPr="00B805CE">
        <w:rPr>
          <w:rFonts w:asciiTheme="majorHAnsi" w:hAnsiTheme="majorHAnsi" w:cs="Arial"/>
          <w:sz w:val="30"/>
          <w:szCs w:val="30"/>
        </w:rPr>
        <w:t>4770 Buford Hwy N.E., MS-F</w:t>
      </w:r>
      <w:r w:rsidR="00011A7D">
        <w:rPr>
          <w:rFonts w:asciiTheme="majorHAnsi" w:hAnsiTheme="majorHAnsi" w:cs="Arial"/>
          <w:sz w:val="30"/>
          <w:szCs w:val="30"/>
        </w:rPr>
        <w:t>58</w:t>
      </w:r>
    </w:p>
    <w:p w14:paraId="26F14EF8" w14:textId="77777777" w:rsidR="00B805CE" w:rsidRPr="00B805CE" w:rsidRDefault="00B805CE" w:rsidP="0045341A">
      <w:pPr>
        <w:spacing w:after="0" w:line="240" w:lineRule="auto"/>
        <w:rPr>
          <w:rFonts w:asciiTheme="majorHAnsi" w:hAnsiTheme="majorHAnsi" w:cs="Arial"/>
          <w:sz w:val="30"/>
          <w:szCs w:val="30"/>
          <w:lang w:val="es-ES"/>
        </w:rPr>
      </w:pPr>
      <w:r w:rsidRPr="00B805CE">
        <w:rPr>
          <w:rFonts w:asciiTheme="majorHAnsi" w:hAnsiTheme="majorHAnsi" w:cs="Arial"/>
          <w:sz w:val="30"/>
          <w:szCs w:val="30"/>
          <w:lang w:val="es-ES"/>
        </w:rPr>
        <w:t>Atlanta, GA 30341</w:t>
      </w:r>
    </w:p>
    <w:p w14:paraId="126F5883" w14:textId="77777777" w:rsidR="00011A7D" w:rsidRPr="00D20211" w:rsidRDefault="00011A7D" w:rsidP="00011A7D">
      <w:pPr>
        <w:pStyle w:val="Subtitle"/>
        <w:spacing w:after="0"/>
        <w:rPr>
          <w:color w:val="auto"/>
        </w:rPr>
      </w:pPr>
      <w:r w:rsidRPr="00D20211">
        <w:rPr>
          <w:color w:val="auto"/>
        </w:rPr>
        <w:t xml:space="preserve">Email: </w:t>
      </w:r>
      <w:r>
        <w:rPr>
          <w:color w:val="auto"/>
        </w:rPr>
        <w:t>aettinger@cdc.gov</w:t>
      </w:r>
    </w:p>
    <w:p w14:paraId="54A359F4" w14:textId="77777777" w:rsidR="00BA2DBE" w:rsidRPr="00D20211" w:rsidRDefault="00107476" w:rsidP="0045341A">
      <w:pPr>
        <w:pStyle w:val="Subtitle"/>
        <w:tabs>
          <w:tab w:val="left" w:pos="1908"/>
        </w:tabs>
        <w:spacing w:after="0"/>
        <w:rPr>
          <w:color w:val="auto"/>
        </w:rPr>
      </w:pPr>
      <w:r w:rsidRPr="00D20211">
        <w:rPr>
          <w:color w:val="auto"/>
        </w:rPr>
        <w:t>Phone</w:t>
      </w:r>
      <w:r w:rsidR="00480FC6" w:rsidRPr="00D20211">
        <w:rPr>
          <w:color w:val="auto"/>
        </w:rPr>
        <w:t>:</w:t>
      </w:r>
      <w:r w:rsidR="00B805CE">
        <w:rPr>
          <w:color w:val="auto"/>
        </w:rPr>
        <w:t xml:space="preserve"> (770) 488-7492</w:t>
      </w:r>
      <w:r w:rsidR="00B805CE">
        <w:rPr>
          <w:color w:val="auto"/>
        </w:rPr>
        <w:tab/>
      </w:r>
    </w:p>
    <w:p w14:paraId="19BEC09B" w14:textId="77777777" w:rsidR="00BA2DBE" w:rsidRPr="00D20211" w:rsidRDefault="00107476" w:rsidP="0045341A">
      <w:pPr>
        <w:pStyle w:val="Subtitle"/>
        <w:spacing w:after="0"/>
        <w:rPr>
          <w:color w:val="auto"/>
        </w:rPr>
      </w:pPr>
      <w:r w:rsidRPr="00D20211">
        <w:rPr>
          <w:color w:val="auto"/>
        </w:rPr>
        <w:t>Fax</w:t>
      </w:r>
      <w:r w:rsidR="00480FC6" w:rsidRPr="00D20211">
        <w:rPr>
          <w:color w:val="auto"/>
        </w:rPr>
        <w:t>:</w:t>
      </w:r>
      <w:r w:rsidR="00B805CE">
        <w:rPr>
          <w:color w:val="auto"/>
        </w:rPr>
        <w:t xml:space="preserve"> (770) 488-3635</w:t>
      </w:r>
    </w:p>
    <w:p w14:paraId="45EFC16A" w14:textId="77777777" w:rsidR="00EA0849" w:rsidRPr="00D20211" w:rsidRDefault="00EA0849" w:rsidP="0045341A">
      <w:pPr>
        <w:pStyle w:val="Subtitle"/>
        <w:spacing w:after="0"/>
        <w:rPr>
          <w:color w:val="auto"/>
        </w:rPr>
      </w:pPr>
    </w:p>
    <w:p w14:paraId="19DBE7D0" w14:textId="312F8CB6" w:rsidR="00965C2A" w:rsidRPr="00D20211" w:rsidRDefault="00480FC6" w:rsidP="0045341A">
      <w:pPr>
        <w:pStyle w:val="Subtitle"/>
        <w:spacing w:after="0"/>
        <w:rPr>
          <w:rFonts w:ascii="Arial" w:hAnsi="Arial"/>
          <w:color w:val="auto"/>
        </w:rPr>
      </w:pPr>
      <w:r w:rsidRPr="000309B3">
        <w:rPr>
          <w:color w:val="auto"/>
        </w:rPr>
        <w:t>Date:</w:t>
      </w:r>
      <w:r w:rsidR="00B805CE" w:rsidRPr="000309B3">
        <w:rPr>
          <w:color w:val="auto"/>
        </w:rPr>
        <w:t xml:space="preserve"> </w:t>
      </w:r>
      <w:r w:rsidR="000309B3" w:rsidRPr="000309B3">
        <w:rPr>
          <w:rFonts w:ascii="Cambria" w:hAnsi="Cambria"/>
          <w:color w:val="auto"/>
        </w:rPr>
        <w:t>January 9, 2018</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2458C40C" w14:textId="77777777" w:rsidR="009B765E" w:rsidRPr="00D20211" w:rsidRDefault="009B765E" w:rsidP="00637DF7">
          <w:pPr>
            <w:pStyle w:val="TOCHeading"/>
            <w:spacing w:after="480"/>
            <w:jc w:val="center"/>
            <w:rPr>
              <w:color w:val="auto"/>
            </w:rPr>
          </w:pPr>
          <w:r w:rsidRPr="00D20211">
            <w:rPr>
              <w:color w:val="auto"/>
            </w:rPr>
            <w:t>Table of Contents</w:t>
          </w:r>
        </w:p>
        <w:p w14:paraId="7C65BDA6" w14:textId="3F2288B9" w:rsidR="004653CE"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493853236" w:history="1">
            <w:r w:rsidR="004653CE" w:rsidRPr="00E819C1">
              <w:rPr>
                <w:rStyle w:val="Hyperlink"/>
                <w:noProof/>
              </w:rPr>
              <w:t>A.1. Circumstances Making the Collection of Information Necessary</w:t>
            </w:r>
            <w:r w:rsidR="004653CE">
              <w:rPr>
                <w:noProof/>
                <w:webHidden/>
              </w:rPr>
              <w:tab/>
            </w:r>
            <w:r w:rsidR="004653CE">
              <w:rPr>
                <w:noProof/>
                <w:webHidden/>
              </w:rPr>
              <w:fldChar w:fldCharType="begin"/>
            </w:r>
            <w:r w:rsidR="004653CE">
              <w:rPr>
                <w:noProof/>
                <w:webHidden/>
              </w:rPr>
              <w:instrText xml:space="preserve"> PAGEREF _Toc493853236 \h </w:instrText>
            </w:r>
            <w:r w:rsidR="004653CE">
              <w:rPr>
                <w:noProof/>
                <w:webHidden/>
              </w:rPr>
            </w:r>
            <w:r w:rsidR="004653CE">
              <w:rPr>
                <w:noProof/>
                <w:webHidden/>
              </w:rPr>
              <w:fldChar w:fldCharType="separate"/>
            </w:r>
            <w:r w:rsidR="000309B3">
              <w:rPr>
                <w:noProof/>
                <w:webHidden/>
              </w:rPr>
              <w:t>3</w:t>
            </w:r>
            <w:r w:rsidR="004653CE">
              <w:rPr>
                <w:noProof/>
                <w:webHidden/>
              </w:rPr>
              <w:fldChar w:fldCharType="end"/>
            </w:r>
          </w:hyperlink>
        </w:p>
        <w:p w14:paraId="66297978" w14:textId="5D5EBF82" w:rsidR="004653CE" w:rsidRDefault="003E392F">
          <w:pPr>
            <w:pStyle w:val="TOC1"/>
            <w:tabs>
              <w:tab w:val="right" w:leader="dot" w:pos="9350"/>
            </w:tabs>
            <w:rPr>
              <w:noProof/>
              <w:sz w:val="22"/>
              <w:szCs w:val="22"/>
            </w:rPr>
          </w:pPr>
          <w:hyperlink w:anchor="_Toc493853237" w:history="1">
            <w:r w:rsidR="004653CE" w:rsidRPr="00E819C1">
              <w:rPr>
                <w:rStyle w:val="Hyperlink"/>
                <w:noProof/>
              </w:rPr>
              <w:t>A.2. Purpose and Use of the Information Collection</w:t>
            </w:r>
            <w:r w:rsidR="004653CE">
              <w:rPr>
                <w:noProof/>
                <w:webHidden/>
              </w:rPr>
              <w:tab/>
            </w:r>
            <w:r w:rsidR="004653CE">
              <w:rPr>
                <w:noProof/>
                <w:webHidden/>
              </w:rPr>
              <w:fldChar w:fldCharType="begin"/>
            </w:r>
            <w:r w:rsidR="004653CE">
              <w:rPr>
                <w:noProof/>
                <w:webHidden/>
              </w:rPr>
              <w:instrText xml:space="preserve"> PAGEREF _Toc493853237 \h </w:instrText>
            </w:r>
            <w:r w:rsidR="004653CE">
              <w:rPr>
                <w:noProof/>
                <w:webHidden/>
              </w:rPr>
            </w:r>
            <w:r w:rsidR="004653CE">
              <w:rPr>
                <w:noProof/>
                <w:webHidden/>
              </w:rPr>
              <w:fldChar w:fldCharType="separate"/>
            </w:r>
            <w:r w:rsidR="000309B3">
              <w:rPr>
                <w:noProof/>
                <w:webHidden/>
              </w:rPr>
              <w:t>5</w:t>
            </w:r>
            <w:r w:rsidR="004653CE">
              <w:rPr>
                <w:noProof/>
                <w:webHidden/>
              </w:rPr>
              <w:fldChar w:fldCharType="end"/>
            </w:r>
          </w:hyperlink>
        </w:p>
        <w:p w14:paraId="6025EDA6" w14:textId="69023546" w:rsidR="004653CE" w:rsidRDefault="003E392F">
          <w:pPr>
            <w:pStyle w:val="TOC1"/>
            <w:tabs>
              <w:tab w:val="right" w:leader="dot" w:pos="9350"/>
            </w:tabs>
            <w:rPr>
              <w:noProof/>
              <w:sz w:val="22"/>
              <w:szCs w:val="22"/>
            </w:rPr>
          </w:pPr>
          <w:hyperlink w:anchor="_Toc493853238" w:history="1">
            <w:r w:rsidR="004653CE" w:rsidRPr="00E819C1">
              <w:rPr>
                <w:rStyle w:val="Hyperlink"/>
                <w:noProof/>
              </w:rPr>
              <w:t>A.3.  Use of Improved Information Technology and Burden Reduction</w:t>
            </w:r>
            <w:r w:rsidR="004653CE">
              <w:rPr>
                <w:noProof/>
                <w:webHidden/>
              </w:rPr>
              <w:tab/>
            </w:r>
            <w:r w:rsidR="004653CE">
              <w:rPr>
                <w:noProof/>
                <w:webHidden/>
              </w:rPr>
              <w:fldChar w:fldCharType="begin"/>
            </w:r>
            <w:r w:rsidR="004653CE">
              <w:rPr>
                <w:noProof/>
                <w:webHidden/>
              </w:rPr>
              <w:instrText xml:space="preserve"> PAGEREF _Toc493853238 \h </w:instrText>
            </w:r>
            <w:r w:rsidR="004653CE">
              <w:rPr>
                <w:noProof/>
                <w:webHidden/>
              </w:rPr>
            </w:r>
            <w:r w:rsidR="004653CE">
              <w:rPr>
                <w:noProof/>
                <w:webHidden/>
              </w:rPr>
              <w:fldChar w:fldCharType="separate"/>
            </w:r>
            <w:r w:rsidR="000309B3">
              <w:rPr>
                <w:noProof/>
                <w:webHidden/>
              </w:rPr>
              <w:t>12</w:t>
            </w:r>
            <w:r w:rsidR="004653CE">
              <w:rPr>
                <w:noProof/>
                <w:webHidden/>
              </w:rPr>
              <w:fldChar w:fldCharType="end"/>
            </w:r>
          </w:hyperlink>
        </w:p>
        <w:p w14:paraId="2A1AD937" w14:textId="1F3D1541" w:rsidR="004653CE" w:rsidRDefault="003E392F">
          <w:pPr>
            <w:pStyle w:val="TOC1"/>
            <w:tabs>
              <w:tab w:val="right" w:leader="dot" w:pos="9350"/>
            </w:tabs>
            <w:rPr>
              <w:noProof/>
              <w:sz w:val="22"/>
              <w:szCs w:val="22"/>
            </w:rPr>
          </w:pPr>
          <w:hyperlink w:anchor="_Toc493853239" w:history="1">
            <w:r w:rsidR="004653CE" w:rsidRPr="00E819C1">
              <w:rPr>
                <w:rStyle w:val="Hyperlink"/>
                <w:noProof/>
              </w:rPr>
              <w:t>A.4.  Efforts to Identify Duplication and Use of Similar Information</w:t>
            </w:r>
            <w:r w:rsidR="004653CE">
              <w:rPr>
                <w:noProof/>
                <w:webHidden/>
              </w:rPr>
              <w:tab/>
            </w:r>
            <w:r w:rsidR="004653CE">
              <w:rPr>
                <w:noProof/>
                <w:webHidden/>
              </w:rPr>
              <w:fldChar w:fldCharType="begin"/>
            </w:r>
            <w:r w:rsidR="004653CE">
              <w:rPr>
                <w:noProof/>
                <w:webHidden/>
              </w:rPr>
              <w:instrText xml:space="preserve"> PAGEREF _Toc493853239 \h </w:instrText>
            </w:r>
            <w:r w:rsidR="004653CE">
              <w:rPr>
                <w:noProof/>
                <w:webHidden/>
              </w:rPr>
            </w:r>
            <w:r w:rsidR="004653CE">
              <w:rPr>
                <w:noProof/>
                <w:webHidden/>
              </w:rPr>
              <w:fldChar w:fldCharType="separate"/>
            </w:r>
            <w:r w:rsidR="000309B3">
              <w:rPr>
                <w:noProof/>
                <w:webHidden/>
              </w:rPr>
              <w:t>13</w:t>
            </w:r>
            <w:r w:rsidR="004653CE">
              <w:rPr>
                <w:noProof/>
                <w:webHidden/>
              </w:rPr>
              <w:fldChar w:fldCharType="end"/>
            </w:r>
          </w:hyperlink>
        </w:p>
        <w:p w14:paraId="630BD9A3" w14:textId="0C3374D8" w:rsidR="004653CE" w:rsidRDefault="003E392F">
          <w:pPr>
            <w:pStyle w:val="TOC1"/>
            <w:tabs>
              <w:tab w:val="right" w:leader="dot" w:pos="9350"/>
            </w:tabs>
            <w:rPr>
              <w:noProof/>
              <w:sz w:val="22"/>
              <w:szCs w:val="22"/>
            </w:rPr>
          </w:pPr>
          <w:hyperlink w:anchor="_Toc493853240" w:history="1">
            <w:r w:rsidR="004653CE" w:rsidRPr="00E819C1">
              <w:rPr>
                <w:rStyle w:val="Hyperlink"/>
                <w:noProof/>
              </w:rPr>
              <w:t>A.5.  Impact on Small Businesses or Other Small Entities</w:t>
            </w:r>
            <w:r w:rsidR="004653CE">
              <w:rPr>
                <w:noProof/>
                <w:webHidden/>
              </w:rPr>
              <w:tab/>
            </w:r>
            <w:r w:rsidR="004653CE">
              <w:rPr>
                <w:noProof/>
                <w:webHidden/>
              </w:rPr>
              <w:fldChar w:fldCharType="begin"/>
            </w:r>
            <w:r w:rsidR="004653CE">
              <w:rPr>
                <w:noProof/>
                <w:webHidden/>
              </w:rPr>
              <w:instrText xml:space="preserve"> PAGEREF _Toc493853240 \h </w:instrText>
            </w:r>
            <w:r w:rsidR="004653CE">
              <w:rPr>
                <w:noProof/>
                <w:webHidden/>
              </w:rPr>
            </w:r>
            <w:r w:rsidR="004653CE">
              <w:rPr>
                <w:noProof/>
                <w:webHidden/>
              </w:rPr>
              <w:fldChar w:fldCharType="separate"/>
            </w:r>
            <w:r w:rsidR="000309B3">
              <w:rPr>
                <w:noProof/>
                <w:webHidden/>
              </w:rPr>
              <w:t>13</w:t>
            </w:r>
            <w:r w:rsidR="004653CE">
              <w:rPr>
                <w:noProof/>
                <w:webHidden/>
              </w:rPr>
              <w:fldChar w:fldCharType="end"/>
            </w:r>
          </w:hyperlink>
        </w:p>
        <w:p w14:paraId="58A92711" w14:textId="3333F14A" w:rsidR="004653CE" w:rsidRDefault="003E392F">
          <w:pPr>
            <w:pStyle w:val="TOC1"/>
            <w:tabs>
              <w:tab w:val="right" w:leader="dot" w:pos="9350"/>
            </w:tabs>
            <w:rPr>
              <w:noProof/>
              <w:sz w:val="22"/>
              <w:szCs w:val="22"/>
            </w:rPr>
          </w:pPr>
          <w:hyperlink w:anchor="_Toc493853241" w:history="1">
            <w:r w:rsidR="004653CE" w:rsidRPr="00E819C1">
              <w:rPr>
                <w:rStyle w:val="Hyperlink"/>
                <w:noProof/>
              </w:rPr>
              <w:t>A.6.  Consequences of Collecting the Information Less Frequently</w:t>
            </w:r>
            <w:r w:rsidR="004653CE">
              <w:rPr>
                <w:noProof/>
                <w:webHidden/>
              </w:rPr>
              <w:tab/>
            </w:r>
            <w:r w:rsidR="004653CE">
              <w:rPr>
                <w:noProof/>
                <w:webHidden/>
              </w:rPr>
              <w:fldChar w:fldCharType="begin"/>
            </w:r>
            <w:r w:rsidR="004653CE">
              <w:rPr>
                <w:noProof/>
                <w:webHidden/>
              </w:rPr>
              <w:instrText xml:space="preserve"> PAGEREF _Toc493853241 \h </w:instrText>
            </w:r>
            <w:r w:rsidR="004653CE">
              <w:rPr>
                <w:noProof/>
                <w:webHidden/>
              </w:rPr>
            </w:r>
            <w:r w:rsidR="004653CE">
              <w:rPr>
                <w:noProof/>
                <w:webHidden/>
              </w:rPr>
              <w:fldChar w:fldCharType="separate"/>
            </w:r>
            <w:r w:rsidR="000309B3">
              <w:rPr>
                <w:noProof/>
                <w:webHidden/>
              </w:rPr>
              <w:t>13</w:t>
            </w:r>
            <w:r w:rsidR="004653CE">
              <w:rPr>
                <w:noProof/>
                <w:webHidden/>
              </w:rPr>
              <w:fldChar w:fldCharType="end"/>
            </w:r>
          </w:hyperlink>
        </w:p>
        <w:p w14:paraId="6C4CA3BF" w14:textId="67CC981D" w:rsidR="004653CE" w:rsidRDefault="003E392F">
          <w:pPr>
            <w:pStyle w:val="TOC1"/>
            <w:tabs>
              <w:tab w:val="right" w:leader="dot" w:pos="9350"/>
            </w:tabs>
            <w:rPr>
              <w:noProof/>
              <w:sz w:val="22"/>
              <w:szCs w:val="22"/>
            </w:rPr>
          </w:pPr>
          <w:hyperlink w:anchor="_Toc493853242" w:history="1">
            <w:r w:rsidR="004653CE" w:rsidRPr="00E819C1">
              <w:rPr>
                <w:rStyle w:val="Hyperlink"/>
                <w:noProof/>
              </w:rPr>
              <w:t>A.7.  Special Circumstances Relating to the Guidelines of 5 CFR 1320.5</w:t>
            </w:r>
            <w:r w:rsidR="004653CE">
              <w:rPr>
                <w:noProof/>
                <w:webHidden/>
              </w:rPr>
              <w:tab/>
            </w:r>
            <w:r w:rsidR="004653CE">
              <w:rPr>
                <w:noProof/>
                <w:webHidden/>
              </w:rPr>
              <w:fldChar w:fldCharType="begin"/>
            </w:r>
            <w:r w:rsidR="004653CE">
              <w:rPr>
                <w:noProof/>
                <w:webHidden/>
              </w:rPr>
              <w:instrText xml:space="preserve"> PAGEREF _Toc493853242 \h </w:instrText>
            </w:r>
            <w:r w:rsidR="004653CE">
              <w:rPr>
                <w:noProof/>
                <w:webHidden/>
              </w:rPr>
            </w:r>
            <w:r w:rsidR="004653CE">
              <w:rPr>
                <w:noProof/>
                <w:webHidden/>
              </w:rPr>
              <w:fldChar w:fldCharType="separate"/>
            </w:r>
            <w:r w:rsidR="000309B3">
              <w:rPr>
                <w:noProof/>
                <w:webHidden/>
              </w:rPr>
              <w:t>14</w:t>
            </w:r>
            <w:r w:rsidR="004653CE">
              <w:rPr>
                <w:noProof/>
                <w:webHidden/>
              </w:rPr>
              <w:fldChar w:fldCharType="end"/>
            </w:r>
          </w:hyperlink>
        </w:p>
        <w:p w14:paraId="5332B7CB" w14:textId="14E69522" w:rsidR="004653CE" w:rsidRDefault="003E392F">
          <w:pPr>
            <w:pStyle w:val="TOC1"/>
            <w:tabs>
              <w:tab w:val="right" w:leader="dot" w:pos="9350"/>
            </w:tabs>
            <w:rPr>
              <w:noProof/>
              <w:sz w:val="22"/>
              <w:szCs w:val="22"/>
            </w:rPr>
          </w:pPr>
          <w:hyperlink w:anchor="_Toc493853243" w:history="1">
            <w:r w:rsidR="004653CE" w:rsidRPr="00E819C1">
              <w:rPr>
                <w:rStyle w:val="Hyperlink"/>
                <w:noProof/>
              </w:rPr>
              <w:t>A.8.  Comments in Response to the Federal Register Notice and Efforts to Consult Outside the Agency</w:t>
            </w:r>
            <w:r w:rsidR="004653CE">
              <w:rPr>
                <w:noProof/>
                <w:webHidden/>
              </w:rPr>
              <w:tab/>
            </w:r>
            <w:r w:rsidR="004653CE">
              <w:rPr>
                <w:noProof/>
                <w:webHidden/>
              </w:rPr>
              <w:fldChar w:fldCharType="begin"/>
            </w:r>
            <w:r w:rsidR="004653CE">
              <w:rPr>
                <w:noProof/>
                <w:webHidden/>
              </w:rPr>
              <w:instrText xml:space="preserve"> PAGEREF _Toc493853243 \h </w:instrText>
            </w:r>
            <w:r w:rsidR="004653CE">
              <w:rPr>
                <w:noProof/>
                <w:webHidden/>
              </w:rPr>
            </w:r>
            <w:r w:rsidR="004653CE">
              <w:rPr>
                <w:noProof/>
                <w:webHidden/>
              </w:rPr>
              <w:fldChar w:fldCharType="separate"/>
            </w:r>
            <w:r w:rsidR="000309B3">
              <w:rPr>
                <w:noProof/>
                <w:webHidden/>
              </w:rPr>
              <w:t>14</w:t>
            </w:r>
            <w:r w:rsidR="004653CE">
              <w:rPr>
                <w:noProof/>
                <w:webHidden/>
              </w:rPr>
              <w:fldChar w:fldCharType="end"/>
            </w:r>
          </w:hyperlink>
        </w:p>
        <w:p w14:paraId="5BC1C5AE" w14:textId="5F36B68B" w:rsidR="004653CE" w:rsidRDefault="003E392F">
          <w:pPr>
            <w:pStyle w:val="TOC1"/>
            <w:tabs>
              <w:tab w:val="right" w:leader="dot" w:pos="9350"/>
            </w:tabs>
            <w:rPr>
              <w:noProof/>
              <w:sz w:val="22"/>
              <w:szCs w:val="22"/>
            </w:rPr>
          </w:pPr>
          <w:hyperlink w:anchor="_Toc493853244" w:history="1">
            <w:r w:rsidR="004653CE" w:rsidRPr="00E819C1">
              <w:rPr>
                <w:rStyle w:val="Hyperlink"/>
                <w:noProof/>
              </w:rPr>
              <w:t>A.9.  Explanation of Any Payment or Gift to Respondents</w:t>
            </w:r>
            <w:r w:rsidR="004653CE">
              <w:rPr>
                <w:noProof/>
                <w:webHidden/>
              </w:rPr>
              <w:tab/>
            </w:r>
            <w:r w:rsidR="004653CE">
              <w:rPr>
                <w:noProof/>
                <w:webHidden/>
              </w:rPr>
              <w:fldChar w:fldCharType="begin"/>
            </w:r>
            <w:r w:rsidR="004653CE">
              <w:rPr>
                <w:noProof/>
                <w:webHidden/>
              </w:rPr>
              <w:instrText xml:space="preserve"> PAGEREF _Toc493853244 \h </w:instrText>
            </w:r>
            <w:r w:rsidR="004653CE">
              <w:rPr>
                <w:noProof/>
                <w:webHidden/>
              </w:rPr>
            </w:r>
            <w:r w:rsidR="004653CE">
              <w:rPr>
                <w:noProof/>
                <w:webHidden/>
              </w:rPr>
              <w:fldChar w:fldCharType="separate"/>
            </w:r>
            <w:r w:rsidR="000309B3">
              <w:rPr>
                <w:noProof/>
                <w:webHidden/>
              </w:rPr>
              <w:t>14</w:t>
            </w:r>
            <w:r w:rsidR="004653CE">
              <w:rPr>
                <w:noProof/>
                <w:webHidden/>
              </w:rPr>
              <w:fldChar w:fldCharType="end"/>
            </w:r>
          </w:hyperlink>
        </w:p>
        <w:p w14:paraId="33C9835F" w14:textId="7ED4A571" w:rsidR="004653CE" w:rsidRDefault="003E392F">
          <w:pPr>
            <w:pStyle w:val="TOC1"/>
            <w:tabs>
              <w:tab w:val="right" w:leader="dot" w:pos="9350"/>
            </w:tabs>
            <w:rPr>
              <w:noProof/>
              <w:sz w:val="22"/>
              <w:szCs w:val="22"/>
            </w:rPr>
          </w:pPr>
          <w:hyperlink w:anchor="_Toc493853245" w:history="1">
            <w:r w:rsidR="004653CE" w:rsidRPr="00E819C1">
              <w:rPr>
                <w:rStyle w:val="Hyperlink"/>
                <w:noProof/>
              </w:rPr>
              <w:t>A.10.  Protection of the Privacy and Confidentiality of Information Provided by Respondents</w:t>
            </w:r>
            <w:r w:rsidR="004653CE">
              <w:rPr>
                <w:noProof/>
                <w:webHidden/>
              </w:rPr>
              <w:tab/>
            </w:r>
            <w:r w:rsidR="004653CE">
              <w:rPr>
                <w:noProof/>
                <w:webHidden/>
              </w:rPr>
              <w:fldChar w:fldCharType="begin"/>
            </w:r>
            <w:r w:rsidR="004653CE">
              <w:rPr>
                <w:noProof/>
                <w:webHidden/>
              </w:rPr>
              <w:instrText xml:space="preserve"> PAGEREF _Toc493853245 \h </w:instrText>
            </w:r>
            <w:r w:rsidR="004653CE">
              <w:rPr>
                <w:noProof/>
                <w:webHidden/>
              </w:rPr>
            </w:r>
            <w:r w:rsidR="004653CE">
              <w:rPr>
                <w:noProof/>
                <w:webHidden/>
              </w:rPr>
              <w:fldChar w:fldCharType="separate"/>
            </w:r>
            <w:r w:rsidR="000309B3">
              <w:rPr>
                <w:noProof/>
                <w:webHidden/>
              </w:rPr>
              <w:t>14</w:t>
            </w:r>
            <w:r w:rsidR="004653CE">
              <w:rPr>
                <w:noProof/>
                <w:webHidden/>
              </w:rPr>
              <w:fldChar w:fldCharType="end"/>
            </w:r>
          </w:hyperlink>
        </w:p>
        <w:p w14:paraId="54C1A136" w14:textId="7D0936F7" w:rsidR="004653CE" w:rsidRDefault="003E392F">
          <w:pPr>
            <w:pStyle w:val="TOC1"/>
            <w:tabs>
              <w:tab w:val="right" w:leader="dot" w:pos="9350"/>
            </w:tabs>
            <w:rPr>
              <w:noProof/>
              <w:sz w:val="22"/>
              <w:szCs w:val="22"/>
            </w:rPr>
          </w:pPr>
          <w:hyperlink w:anchor="_Toc493853246" w:history="1">
            <w:r w:rsidR="004653CE" w:rsidRPr="00E819C1">
              <w:rPr>
                <w:rStyle w:val="Hyperlink"/>
                <w:noProof/>
              </w:rPr>
              <w:t>A.11.  Institutional Review Board (IRB) and Justification for Sensitive Questions</w:t>
            </w:r>
            <w:r w:rsidR="004653CE">
              <w:rPr>
                <w:noProof/>
                <w:webHidden/>
              </w:rPr>
              <w:tab/>
            </w:r>
            <w:r w:rsidR="004653CE">
              <w:rPr>
                <w:noProof/>
                <w:webHidden/>
              </w:rPr>
              <w:fldChar w:fldCharType="begin"/>
            </w:r>
            <w:r w:rsidR="004653CE">
              <w:rPr>
                <w:noProof/>
                <w:webHidden/>
              </w:rPr>
              <w:instrText xml:space="preserve"> PAGEREF _Toc493853246 \h </w:instrText>
            </w:r>
            <w:r w:rsidR="004653CE">
              <w:rPr>
                <w:noProof/>
                <w:webHidden/>
              </w:rPr>
            </w:r>
            <w:r w:rsidR="004653CE">
              <w:rPr>
                <w:noProof/>
                <w:webHidden/>
              </w:rPr>
              <w:fldChar w:fldCharType="separate"/>
            </w:r>
            <w:r w:rsidR="000309B3">
              <w:rPr>
                <w:noProof/>
                <w:webHidden/>
              </w:rPr>
              <w:t>18</w:t>
            </w:r>
            <w:r w:rsidR="004653CE">
              <w:rPr>
                <w:noProof/>
                <w:webHidden/>
              </w:rPr>
              <w:fldChar w:fldCharType="end"/>
            </w:r>
          </w:hyperlink>
        </w:p>
        <w:p w14:paraId="23527C52" w14:textId="536ECA4A" w:rsidR="004653CE" w:rsidRDefault="003E392F">
          <w:pPr>
            <w:pStyle w:val="TOC1"/>
            <w:tabs>
              <w:tab w:val="right" w:leader="dot" w:pos="9350"/>
            </w:tabs>
            <w:rPr>
              <w:noProof/>
              <w:sz w:val="22"/>
              <w:szCs w:val="22"/>
            </w:rPr>
          </w:pPr>
          <w:hyperlink w:anchor="_Toc493853247" w:history="1">
            <w:r w:rsidR="004653CE" w:rsidRPr="00E819C1">
              <w:rPr>
                <w:rStyle w:val="Hyperlink"/>
                <w:noProof/>
              </w:rPr>
              <w:t>A.12.  Estimates of Annualized Burden Hours and Costs</w:t>
            </w:r>
            <w:r w:rsidR="004653CE">
              <w:rPr>
                <w:noProof/>
                <w:webHidden/>
              </w:rPr>
              <w:tab/>
            </w:r>
            <w:r w:rsidR="004653CE">
              <w:rPr>
                <w:noProof/>
                <w:webHidden/>
              </w:rPr>
              <w:fldChar w:fldCharType="begin"/>
            </w:r>
            <w:r w:rsidR="004653CE">
              <w:rPr>
                <w:noProof/>
                <w:webHidden/>
              </w:rPr>
              <w:instrText xml:space="preserve"> PAGEREF _Toc493853247 \h </w:instrText>
            </w:r>
            <w:r w:rsidR="004653CE">
              <w:rPr>
                <w:noProof/>
                <w:webHidden/>
              </w:rPr>
            </w:r>
            <w:r w:rsidR="004653CE">
              <w:rPr>
                <w:noProof/>
                <w:webHidden/>
              </w:rPr>
              <w:fldChar w:fldCharType="separate"/>
            </w:r>
            <w:r w:rsidR="000309B3">
              <w:rPr>
                <w:noProof/>
                <w:webHidden/>
              </w:rPr>
              <w:t>19</w:t>
            </w:r>
            <w:r w:rsidR="004653CE">
              <w:rPr>
                <w:noProof/>
                <w:webHidden/>
              </w:rPr>
              <w:fldChar w:fldCharType="end"/>
            </w:r>
          </w:hyperlink>
        </w:p>
        <w:p w14:paraId="2E781840" w14:textId="3B9135A4" w:rsidR="004653CE" w:rsidRDefault="003E392F">
          <w:pPr>
            <w:pStyle w:val="TOC1"/>
            <w:tabs>
              <w:tab w:val="right" w:leader="dot" w:pos="9350"/>
            </w:tabs>
            <w:rPr>
              <w:noProof/>
              <w:sz w:val="22"/>
              <w:szCs w:val="22"/>
            </w:rPr>
          </w:pPr>
          <w:hyperlink w:anchor="_Toc493853248" w:history="1">
            <w:r w:rsidR="004653CE" w:rsidRPr="00E819C1">
              <w:rPr>
                <w:rStyle w:val="Hyperlink"/>
                <w:noProof/>
              </w:rPr>
              <w:t>A.13. Estimates of Other Total Annual Cost Burden to Respondents and Record Keepers</w:t>
            </w:r>
            <w:r w:rsidR="004653CE">
              <w:rPr>
                <w:noProof/>
                <w:webHidden/>
              </w:rPr>
              <w:tab/>
            </w:r>
            <w:r w:rsidR="004653CE">
              <w:rPr>
                <w:noProof/>
                <w:webHidden/>
              </w:rPr>
              <w:fldChar w:fldCharType="begin"/>
            </w:r>
            <w:r w:rsidR="004653CE">
              <w:rPr>
                <w:noProof/>
                <w:webHidden/>
              </w:rPr>
              <w:instrText xml:space="preserve"> PAGEREF _Toc493853248 \h </w:instrText>
            </w:r>
            <w:r w:rsidR="004653CE">
              <w:rPr>
                <w:noProof/>
                <w:webHidden/>
              </w:rPr>
            </w:r>
            <w:r w:rsidR="004653CE">
              <w:rPr>
                <w:noProof/>
                <w:webHidden/>
              </w:rPr>
              <w:fldChar w:fldCharType="separate"/>
            </w:r>
            <w:r w:rsidR="000309B3">
              <w:rPr>
                <w:noProof/>
                <w:webHidden/>
              </w:rPr>
              <w:t>21</w:t>
            </w:r>
            <w:r w:rsidR="004653CE">
              <w:rPr>
                <w:noProof/>
                <w:webHidden/>
              </w:rPr>
              <w:fldChar w:fldCharType="end"/>
            </w:r>
          </w:hyperlink>
        </w:p>
        <w:p w14:paraId="50472D82" w14:textId="2D08AB55" w:rsidR="004653CE" w:rsidRDefault="003E392F">
          <w:pPr>
            <w:pStyle w:val="TOC1"/>
            <w:tabs>
              <w:tab w:val="right" w:leader="dot" w:pos="9350"/>
            </w:tabs>
            <w:rPr>
              <w:noProof/>
              <w:sz w:val="22"/>
              <w:szCs w:val="22"/>
            </w:rPr>
          </w:pPr>
          <w:hyperlink w:anchor="_Toc493853249" w:history="1">
            <w:r w:rsidR="004653CE" w:rsidRPr="00E819C1">
              <w:rPr>
                <w:rStyle w:val="Hyperlink"/>
                <w:noProof/>
              </w:rPr>
              <w:t>A.14. Annualized Cost to the Federal Government</w:t>
            </w:r>
            <w:r w:rsidR="004653CE">
              <w:rPr>
                <w:noProof/>
                <w:webHidden/>
              </w:rPr>
              <w:tab/>
            </w:r>
            <w:r w:rsidR="004653CE">
              <w:rPr>
                <w:noProof/>
                <w:webHidden/>
              </w:rPr>
              <w:fldChar w:fldCharType="begin"/>
            </w:r>
            <w:r w:rsidR="004653CE">
              <w:rPr>
                <w:noProof/>
                <w:webHidden/>
              </w:rPr>
              <w:instrText xml:space="preserve"> PAGEREF _Toc493853249 \h </w:instrText>
            </w:r>
            <w:r w:rsidR="004653CE">
              <w:rPr>
                <w:noProof/>
                <w:webHidden/>
              </w:rPr>
            </w:r>
            <w:r w:rsidR="004653CE">
              <w:rPr>
                <w:noProof/>
                <w:webHidden/>
              </w:rPr>
              <w:fldChar w:fldCharType="separate"/>
            </w:r>
            <w:r w:rsidR="000309B3">
              <w:rPr>
                <w:noProof/>
                <w:webHidden/>
              </w:rPr>
              <w:t>21</w:t>
            </w:r>
            <w:r w:rsidR="004653CE">
              <w:rPr>
                <w:noProof/>
                <w:webHidden/>
              </w:rPr>
              <w:fldChar w:fldCharType="end"/>
            </w:r>
          </w:hyperlink>
        </w:p>
        <w:p w14:paraId="55A9C165" w14:textId="5E11688C" w:rsidR="004653CE" w:rsidRDefault="003E392F">
          <w:pPr>
            <w:pStyle w:val="TOC1"/>
            <w:tabs>
              <w:tab w:val="right" w:leader="dot" w:pos="9350"/>
            </w:tabs>
            <w:rPr>
              <w:noProof/>
              <w:sz w:val="22"/>
              <w:szCs w:val="22"/>
            </w:rPr>
          </w:pPr>
          <w:hyperlink w:anchor="_Toc493853250" w:history="1">
            <w:r w:rsidR="004653CE" w:rsidRPr="00E819C1">
              <w:rPr>
                <w:rStyle w:val="Hyperlink"/>
                <w:noProof/>
              </w:rPr>
              <w:t>A.15. Explanation for Program Changes or Adjustments</w:t>
            </w:r>
            <w:r w:rsidR="004653CE">
              <w:rPr>
                <w:noProof/>
                <w:webHidden/>
              </w:rPr>
              <w:tab/>
            </w:r>
            <w:r w:rsidR="004653CE">
              <w:rPr>
                <w:noProof/>
                <w:webHidden/>
              </w:rPr>
              <w:fldChar w:fldCharType="begin"/>
            </w:r>
            <w:r w:rsidR="004653CE">
              <w:rPr>
                <w:noProof/>
                <w:webHidden/>
              </w:rPr>
              <w:instrText xml:space="preserve"> PAGEREF _Toc493853250 \h </w:instrText>
            </w:r>
            <w:r w:rsidR="004653CE">
              <w:rPr>
                <w:noProof/>
                <w:webHidden/>
              </w:rPr>
            </w:r>
            <w:r w:rsidR="004653CE">
              <w:rPr>
                <w:noProof/>
                <w:webHidden/>
              </w:rPr>
              <w:fldChar w:fldCharType="separate"/>
            </w:r>
            <w:r w:rsidR="000309B3">
              <w:rPr>
                <w:noProof/>
                <w:webHidden/>
              </w:rPr>
              <w:t>21</w:t>
            </w:r>
            <w:r w:rsidR="004653CE">
              <w:rPr>
                <w:noProof/>
                <w:webHidden/>
              </w:rPr>
              <w:fldChar w:fldCharType="end"/>
            </w:r>
          </w:hyperlink>
        </w:p>
        <w:p w14:paraId="6C6D327B" w14:textId="05636E77" w:rsidR="004653CE" w:rsidRDefault="003E392F">
          <w:pPr>
            <w:pStyle w:val="TOC1"/>
            <w:tabs>
              <w:tab w:val="right" w:leader="dot" w:pos="9350"/>
            </w:tabs>
            <w:rPr>
              <w:noProof/>
              <w:sz w:val="22"/>
              <w:szCs w:val="22"/>
            </w:rPr>
          </w:pPr>
          <w:hyperlink w:anchor="_Toc493853251" w:history="1">
            <w:r w:rsidR="004653CE" w:rsidRPr="00E819C1">
              <w:rPr>
                <w:rStyle w:val="Hyperlink"/>
                <w:noProof/>
              </w:rPr>
              <w:t>A.16. Plans for Tabulation and Publication and Project Time Schedule</w:t>
            </w:r>
            <w:r w:rsidR="004653CE">
              <w:rPr>
                <w:noProof/>
                <w:webHidden/>
              </w:rPr>
              <w:tab/>
            </w:r>
            <w:r w:rsidR="004653CE">
              <w:rPr>
                <w:noProof/>
                <w:webHidden/>
              </w:rPr>
              <w:fldChar w:fldCharType="begin"/>
            </w:r>
            <w:r w:rsidR="004653CE">
              <w:rPr>
                <w:noProof/>
                <w:webHidden/>
              </w:rPr>
              <w:instrText xml:space="preserve"> PAGEREF _Toc493853251 \h </w:instrText>
            </w:r>
            <w:r w:rsidR="004653CE">
              <w:rPr>
                <w:noProof/>
                <w:webHidden/>
              </w:rPr>
            </w:r>
            <w:r w:rsidR="004653CE">
              <w:rPr>
                <w:noProof/>
                <w:webHidden/>
              </w:rPr>
              <w:fldChar w:fldCharType="separate"/>
            </w:r>
            <w:r w:rsidR="000309B3">
              <w:rPr>
                <w:noProof/>
                <w:webHidden/>
              </w:rPr>
              <w:t>22</w:t>
            </w:r>
            <w:r w:rsidR="004653CE">
              <w:rPr>
                <w:noProof/>
                <w:webHidden/>
              </w:rPr>
              <w:fldChar w:fldCharType="end"/>
            </w:r>
          </w:hyperlink>
        </w:p>
        <w:p w14:paraId="34367D03" w14:textId="3DF6CF2E" w:rsidR="004653CE" w:rsidRDefault="003E392F">
          <w:pPr>
            <w:pStyle w:val="TOC1"/>
            <w:tabs>
              <w:tab w:val="right" w:leader="dot" w:pos="9350"/>
            </w:tabs>
            <w:rPr>
              <w:noProof/>
              <w:sz w:val="22"/>
              <w:szCs w:val="22"/>
            </w:rPr>
          </w:pPr>
          <w:hyperlink w:anchor="_Toc493853252" w:history="1">
            <w:r w:rsidR="004653CE" w:rsidRPr="00E819C1">
              <w:rPr>
                <w:rStyle w:val="Hyperlink"/>
                <w:noProof/>
              </w:rPr>
              <w:t>A.17. Reason(s) Display of OMB Expiration Date is Inappropriate</w:t>
            </w:r>
            <w:r w:rsidR="004653CE">
              <w:rPr>
                <w:noProof/>
                <w:webHidden/>
              </w:rPr>
              <w:tab/>
            </w:r>
            <w:r w:rsidR="004653CE">
              <w:rPr>
                <w:noProof/>
                <w:webHidden/>
              </w:rPr>
              <w:fldChar w:fldCharType="begin"/>
            </w:r>
            <w:r w:rsidR="004653CE">
              <w:rPr>
                <w:noProof/>
                <w:webHidden/>
              </w:rPr>
              <w:instrText xml:space="preserve"> PAGEREF _Toc493853252 \h </w:instrText>
            </w:r>
            <w:r w:rsidR="004653CE">
              <w:rPr>
                <w:noProof/>
                <w:webHidden/>
              </w:rPr>
            </w:r>
            <w:r w:rsidR="004653CE">
              <w:rPr>
                <w:noProof/>
                <w:webHidden/>
              </w:rPr>
              <w:fldChar w:fldCharType="separate"/>
            </w:r>
            <w:r w:rsidR="000309B3">
              <w:rPr>
                <w:noProof/>
                <w:webHidden/>
              </w:rPr>
              <w:t>23</w:t>
            </w:r>
            <w:r w:rsidR="004653CE">
              <w:rPr>
                <w:noProof/>
                <w:webHidden/>
              </w:rPr>
              <w:fldChar w:fldCharType="end"/>
            </w:r>
          </w:hyperlink>
        </w:p>
        <w:p w14:paraId="2966BE53" w14:textId="5FD6227A" w:rsidR="004653CE" w:rsidRDefault="003E392F">
          <w:pPr>
            <w:pStyle w:val="TOC1"/>
            <w:tabs>
              <w:tab w:val="right" w:leader="dot" w:pos="9350"/>
            </w:tabs>
            <w:rPr>
              <w:noProof/>
              <w:sz w:val="22"/>
              <w:szCs w:val="22"/>
            </w:rPr>
          </w:pPr>
          <w:hyperlink w:anchor="_Toc493853253" w:history="1">
            <w:r w:rsidR="004653CE" w:rsidRPr="00E819C1">
              <w:rPr>
                <w:rStyle w:val="Hyperlink"/>
                <w:noProof/>
              </w:rPr>
              <w:t>A.18. Exceptions to Certification for Paperwork Reduction Act Submissions</w:t>
            </w:r>
            <w:r w:rsidR="004653CE">
              <w:rPr>
                <w:noProof/>
                <w:webHidden/>
              </w:rPr>
              <w:tab/>
            </w:r>
            <w:r w:rsidR="004653CE">
              <w:rPr>
                <w:noProof/>
                <w:webHidden/>
              </w:rPr>
              <w:fldChar w:fldCharType="begin"/>
            </w:r>
            <w:r w:rsidR="004653CE">
              <w:rPr>
                <w:noProof/>
                <w:webHidden/>
              </w:rPr>
              <w:instrText xml:space="preserve"> PAGEREF _Toc493853253 \h </w:instrText>
            </w:r>
            <w:r w:rsidR="004653CE">
              <w:rPr>
                <w:noProof/>
                <w:webHidden/>
              </w:rPr>
            </w:r>
            <w:r w:rsidR="004653CE">
              <w:rPr>
                <w:noProof/>
                <w:webHidden/>
              </w:rPr>
              <w:fldChar w:fldCharType="separate"/>
            </w:r>
            <w:r w:rsidR="000309B3">
              <w:rPr>
                <w:noProof/>
                <w:webHidden/>
              </w:rPr>
              <w:t>23</w:t>
            </w:r>
            <w:r w:rsidR="004653CE">
              <w:rPr>
                <w:noProof/>
                <w:webHidden/>
              </w:rPr>
              <w:fldChar w:fldCharType="end"/>
            </w:r>
          </w:hyperlink>
        </w:p>
        <w:p w14:paraId="65A02EA5" w14:textId="74CB917B" w:rsidR="004653CE" w:rsidRDefault="003E392F">
          <w:pPr>
            <w:pStyle w:val="TOC1"/>
            <w:tabs>
              <w:tab w:val="right" w:leader="dot" w:pos="9350"/>
            </w:tabs>
            <w:rPr>
              <w:noProof/>
              <w:sz w:val="22"/>
              <w:szCs w:val="22"/>
            </w:rPr>
          </w:pPr>
          <w:hyperlink w:anchor="_Toc493853254" w:history="1">
            <w:r w:rsidR="004653CE" w:rsidRPr="00E819C1">
              <w:rPr>
                <w:rStyle w:val="Hyperlink"/>
                <w:rFonts w:ascii="Cambria" w:hAnsi="Cambria"/>
                <w:noProof/>
              </w:rPr>
              <w:t>References</w:t>
            </w:r>
            <w:r w:rsidR="004653CE">
              <w:rPr>
                <w:noProof/>
                <w:webHidden/>
              </w:rPr>
              <w:tab/>
            </w:r>
            <w:r w:rsidR="004653CE">
              <w:rPr>
                <w:noProof/>
                <w:webHidden/>
              </w:rPr>
              <w:fldChar w:fldCharType="begin"/>
            </w:r>
            <w:r w:rsidR="004653CE">
              <w:rPr>
                <w:noProof/>
                <w:webHidden/>
              </w:rPr>
              <w:instrText xml:space="preserve"> PAGEREF _Toc493853254 \h </w:instrText>
            </w:r>
            <w:r w:rsidR="004653CE">
              <w:rPr>
                <w:noProof/>
                <w:webHidden/>
              </w:rPr>
            </w:r>
            <w:r w:rsidR="004653CE">
              <w:rPr>
                <w:noProof/>
                <w:webHidden/>
              </w:rPr>
              <w:fldChar w:fldCharType="separate"/>
            </w:r>
            <w:r w:rsidR="000309B3">
              <w:rPr>
                <w:noProof/>
                <w:webHidden/>
              </w:rPr>
              <w:t>24</w:t>
            </w:r>
            <w:r w:rsidR="004653CE">
              <w:rPr>
                <w:noProof/>
                <w:webHidden/>
              </w:rPr>
              <w:fldChar w:fldCharType="end"/>
            </w:r>
          </w:hyperlink>
        </w:p>
        <w:p w14:paraId="4D2A6E7F" w14:textId="3FBBA4D3" w:rsidR="004653CE" w:rsidRDefault="003E392F">
          <w:pPr>
            <w:pStyle w:val="TOC1"/>
            <w:tabs>
              <w:tab w:val="right" w:leader="dot" w:pos="9350"/>
            </w:tabs>
            <w:rPr>
              <w:noProof/>
              <w:sz w:val="22"/>
              <w:szCs w:val="22"/>
            </w:rPr>
          </w:pPr>
          <w:hyperlink w:anchor="_Toc493853255" w:history="1">
            <w:r w:rsidR="004653CE" w:rsidRPr="00E819C1">
              <w:rPr>
                <w:rStyle w:val="Hyperlink"/>
                <w:rFonts w:ascii="Cambria" w:hAnsi="Cambria"/>
                <w:noProof/>
              </w:rPr>
              <w:t>List of Attachments</w:t>
            </w:r>
            <w:r w:rsidR="004653CE">
              <w:rPr>
                <w:noProof/>
                <w:webHidden/>
              </w:rPr>
              <w:tab/>
            </w:r>
            <w:r w:rsidR="004653CE">
              <w:rPr>
                <w:noProof/>
                <w:webHidden/>
              </w:rPr>
              <w:fldChar w:fldCharType="begin"/>
            </w:r>
            <w:r w:rsidR="004653CE">
              <w:rPr>
                <w:noProof/>
                <w:webHidden/>
              </w:rPr>
              <w:instrText xml:space="preserve"> PAGEREF _Toc493853255 \h </w:instrText>
            </w:r>
            <w:r w:rsidR="004653CE">
              <w:rPr>
                <w:noProof/>
                <w:webHidden/>
              </w:rPr>
            </w:r>
            <w:r w:rsidR="004653CE">
              <w:rPr>
                <w:noProof/>
                <w:webHidden/>
              </w:rPr>
              <w:fldChar w:fldCharType="separate"/>
            </w:r>
            <w:r w:rsidR="000309B3">
              <w:rPr>
                <w:noProof/>
                <w:webHidden/>
              </w:rPr>
              <w:t>28</w:t>
            </w:r>
            <w:r w:rsidR="004653CE">
              <w:rPr>
                <w:noProof/>
                <w:webHidden/>
              </w:rPr>
              <w:fldChar w:fldCharType="end"/>
            </w:r>
          </w:hyperlink>
        </w:p>
        <w:p w14:paraId="6FDDCFF5" w14:textId="77777777" w:rsidR="009B765E" w:rsidRPr="00D20211" w:rsidRDefault="009B765E">
          <w:r w:rsidRPr="00D20211">
            <w:rPr>
              <w:b/>
              <w:bCs/>
              <w:noProof/>
            </w:rPr>
            <w:fldChar w:fldCharType="end"/>
          </w:r>
        </w:p>
      </w:sdtContent>
    </w:sdt>
    <w:p w14:paraId="2B7FD155" w14:textId="77777777" w:rsidR="00BA2DBE" w:rsidRPr="00D20211" w:rsidRDefault="00BA2DBE">
      <w:pPr>
        <w:spacing w:after="200" w:line="276" w:lineRule="auto"/>
        <w:rPr>
          <w:rFonts w:eastAsiaTheme="majorEastAsia" w:cs="Arial"/>
          <w:b/>
          <w:bCs/>
          <w:sz w:val="26"/>
          <w:szCs w:val="26"/>
        </w:rPr>
      </w:pPr>
    </w:p>
    <w:bookmarkEnd w:id="0"/>
    <w:bookmarkEnd w:id="1"/>
    <w:p w14:paraId="618E6FEF" w14:textId="77777777" w:rsidR="00480FC6" w:rsidRPr="00D20211" w:rsidRDefault="00480FC6">
      <w:r w:rsidRPr="00D20211">
        <w:br w:type="page"/>
      </w:r>
    </w:p>
    <w:p w14:paraId="30691DA9" w14:textId="77777777" w:rsidR="0024399D" w:rsidRPr="001101D0" w:rsidRDefault="0024399D" w:rsidP="001101D0">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21E9B33D" wp14:editId="1D8DF5DE">
                <wp:simplePos x="0" y="0"/>
                <wp:positionH relativeFrom="margin">
                  <wp:align>right</wp:align>
                </wp:positionH>
                <wp:positionV relativeFrom="paragraph">
                  <wp:posOffset>494665</wp:posOffset>
                </wp:positionV>
                <wp:extent cx="5930900" cy="2453640"/>
                <wp:effectExtent l="0" t="0" r="1270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453640"/>
                        </a:xfrm>
                        <a:prstGeom prst="rect">
                          <a:avLst/>
                        </a:prstGeom>
                        <a:solidFill>
                          <a:srgbClr val="FFFFFF"/>
                        </a:solidFill>
                        <a:ln w="9525">
                          <a:solidFill>
                            <a:srgbClr val="000000"/>
                          </a:solidFill>
                          <a:miter lim="800000"/>
                          <a:headEnd/>
                          <a:tailEnd/>
                        </a:ln>
                      </wps:spPr>
                      <wps:txbx>
                        <w:txbxContent>
                          <w:p w14:paraId="36646D7F" w14:textId="77777777" w:rsidR="00321FFA" w:rsidRDefault="00321FFA" w:rsidP="0045341A">
                            <w:pPr>
                              <w:spacing w:before="240" w:line="240" w:lineRule="auto"/>
                            </w:pPr>
                            <w:r w:rsidRPr="001B2712">
                              <w:rPr>
                                <w:b/>
                                <w:sz w:val="24"/>
                                <w:szCs w:val="24"/>
                              </w:rPr>
                              <w:t xml:space="preserve">Goal of the study: </w:t>
                            </w:r>
                            <w:r>
                              <w:t>I</w:t>
                            </w:r>
                            <w:r w:rsidRPr="00657B21">
                              <w:t>mprove health and quality of life by preventing disability through the control or elimination of lead exposure</w:t>
                            </w:r>
                            <w:r>
                              <w:t>.</w:t>
                            </w:r>
                          </w:p>
                          <w:p w14:paraId="45C968EB" w14:textId="77777777" w:rsidR="00321FFA" w:rsidRDefault="00321FFA" w:rsidP="0045341A">
                            <w:pPr>
                              <w:spacing w:before="240" w:line="240" w:lineRule="auto"/>
                            </w:pPr>
                            <w:r w:rsidRPr="001B2712">
                              <w:rPr>
                                <w:b/>
                                <w:sz w:val="24"/>
                                <w:szCs w:val="24"/>
                              </w:rPr>
                              <w:t xml:space="preserve">Intended use of the resulting data: </w:t>
                            </w:r>
                            <w:r w:rsidRPr="00657B21">
                              <w:t>T</w:t>
                            </w:r>
                            <w:r w:rsidRPr="00453F29">
                              <w:t>o determine whether target</w:t>
                            </w:r>
                            <w:r>
                              <w:t>ed</w:t>
                            </w:r>
                            <w:r w:rsidRPr="00657B21">
                              <w:t xml:space="preserve"> screening strategies are indeed identifying</w:t>
                            </w:r>
                            <w:r>
                              <w:t xml:space="preserve"> children at </w:t>
                            </w:r>
                            <w:r w:rsidRPr="00657B21">
                              <w:t>high risk</w:t>
                            </w:r>
                            <w:r>
                              <w:t xml:space="preserve"> in contact with lead contamination sources. </w:t>
                            </w:r>
                          </w:p>
                          <w:p w14:paraId="5ACAD9A9" w14:textId="77777777" w:rsidR="00321FFA" w:rsidRDefault="00321FFA" w:rsidP="0045341A">
                            <w:r w:rsidRPr="0045341A">
                              <w:rPr>
                                <w:b/>
                                <w:sz w:val="24"/>
                                <w:szCs w:val="24"/>
                              </w:rPr>
                              <w:t xml:space="preserve">Methods to be used to collect: </w:t>
                            </w:r>
                            <w:r>
                              <w:t>Case management, home visits and</w:t>
                            </w:r>
                            <w:r w:rsidRPr="00024DF2">
                              <w:t xml:space="preserve"> </w:t>
                            </w:r>
                            <w:r>
                              <w:t xml:space="preserve">healthy housing community outreach efforts. </w:t>
                            </w:r>
                          </w:p>
                          <w:p w14:paraId="330CFD84" w14:textId="77777777" w:rsidR="00321FFA" w:rsidRPr="001B2712" w:rsidRDefault="00321FFA" w:rsidP="008C46E9">
                            <w:pPr>
                              <w:spacing w:before="240" w:line="240" w:lineRule="auto"/>
                              <w:rPr>
                                <w:sz w:val="24"/>
                                <w:szCs w:val="24"/>
                              </w:rPr>
                            </w:pPr>
                            <w:r w:rsidRPr="001B2712">
                              <w:rPr>
                                <w:b/>
                                <w:sz w:val="24"/>
                                <w:szCs w:val="24"/>
                              </w:rPr>
                              <w:t xml:space="preserve">Subpopulation to be studied: </w:t>
                            </w:r>
                            <w:r w:rsidRPr="00E953B7">
                              <w:t>Infant</w:t>
                            </w:r>
                            <w:r>
                              <w:t>s</w:t>
                            </w:r>
                            <w:r w:rsidRPr="00E953B7">
                              <w:t xml:space="preserve"> and children up to 16 years of age in the U.S.</w:t>
                            </w:r>
                          </w:p>
                          <w:p w14:paraId="1466719F" w14:textId="77777777" w:rsidR="00321FFA" w:rsidRPr="001B2712" w:rsidRDefault="00321FFA" w:rsidP="008C46E9">
                            <w:pPr>
                              <w:spacing w:before="240" w:line="240" w:lineRule="auto"/>
                              <w:rPr>
                                <w:sz w:val="24"/>
                                <w:szCs w:val="24"/>
                              </w:rPr>
                            </w:pPr>
                            <w:r w:rsidRPr="001B2712">
                              <w:rPr>
                                <w:b/>
                                <w:sz w:val="24"/>
                                <w:szCs w:val="24"/>
                              </w:rPr>
                              <w:t xml:space="preserve">How data will be analyzed: </w:t>
                            </w:r>
                            <w:r w:rsidRPr="00657B21">
                              <w:t xml:space="preserve">Descriptive statistics such as means and ranges will be used to characterize the collected data.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8.95pt;width:467pt;height:193.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">
                <v:textbox>
                  <w:txbxContent>
                    <w:p w14:paraId="36646D7F" w14:textId="77777777" w:rsidR="00321FFA" w:rsidRDefault="00321FFA" w:rsidP="0045341A">
                      <w:pPr>
                        <w:spacing w:before="240" w:line="240" w:lineRule="auto"/>
                      </w:pPr>
                      <w:r w:rsidRPr="001B2712">
                        <w:rPr>
                          <w:b/>
                          <w:sz w:val="24"/>
                          <w:szCs w:val="24"/>
                        </w:rPr>
                        <w:t xml:space="preserve">Goal of the study: </w:t>
                      </w:r>
                      <w:r>
                        <w:t>I</w:t>
                      </w:r>
                      <w:r w:rsidRPr="00657B21">
                        <w:t>mprove health and quality of life by preventing disability through the control or elimination of lead exposure</w:t>
                      </w:r>
                      <w:r>
                        <w:t>.</w:t>
                      </w:r>
                    </w:p>
                    <w:p w14:paraId="45C968EB" w14:textId="77777777" w:rsidR="00321FFA" w:rsidRDefault="00321FFA" w:rsidP="0045341A">
                      <w:pPr>
                        <w:spacing w:before="240" w:line="240" w:lineRule="auto"/>
                      </w:pPr>
                      <w:r w:rsidRPr="001B2712">
                        <w:rPr>
                          <w:b/>
                          <w:sz w:val="24"/>
                          <w:szCs w:val="24"/>
                        </w:rPr>
                        <w:t xml:space="preserve">Intended use of the resulting data: </w:t>
                      </w:r>
                      <w:r w:rsidRPr="00657B21">
                        <w:t>T</w:t>
                      </w:r>
                      <w:r w:rsidRPr="00453F29">
                        <w:t>o determine whether target</w:t>
                      </w:r>
                      <w:r>
                        <w:t>ed</w:t>
                      </w:r>
                      <w:r w:rsidRPr="00657B21">
                        <w:t xml:space="preserve"> screening strategies are indeed identifying</w:t>
                      </w:r>
                      <w:r>
                        <w:t xml:space="preserve"> children at </w:t>
                      </w:r>
                      <w:r w:rsidRPr="00657B21">
                        <w:t>high risk</w:t>
                      </w:r>
                      <w:r>
                        <w:t xml:space="preserve"> in contact with lead contamination sources. </w:t>
                      </w:r>
                    </w:p>
                    <w:p w14:paraId="5ACAD9A9" w14:textId="77777777" w:rsidR="00321FFA" w:rsidRDefault="00321FFA" w:rsidP="0045341A">
                      <w:r w:rsidRPr="0045341A">
                        <w:rPr>
                          <w:b/>
                          <w:sz w:val="24"/>
                          <w:szCs w:val="24"/>
                        </w:rPr>
                        <w:t xml:space="preserve">Methods to be used to collect: </w:t>
                      </w:r>
                      <w:r>
                        <w:t>Case management, home visits and</w:t>
                      </w:r>
                      <w:r w:rsidRPr="00024DF2">
                        <w:t xml:space="preserve"> </w:t>
                      </w:r>
                      <w:r>
                        <w:t xml:space="preserve">healthy housing community outreach efforts. </w:t>
                      </w:r>
                    </w:p>
                    <w:p w14:paraId="330CFD84" w14:textId="77777777" w:rsidR="00321FFA" w:rsidRPr="001B2712" w:rsidRDefault="00321FFA" w:rsidP="008C46E9">
                      <w:pPr>
                        <w:spacing w:before="240" w:line="240" w:lineRule="auto"/>
                        <w:rPr>
                          <w:sz w:val="24"/>
                          <w:szCs w:val="24"/>
                        </w:rPr>
                      </w:pPr>
                      <w:r w:rsidRPr="001B2712">
                        <w:rPr>
                          <w:b/>
                          <w:sz w:val="24"/>
                          <w:szCs w:val="24"/>
                        </w:rPr>
                        <w:t xml:space="preserve">Subpopulation to be studied: </w:t>
                      </w:r>
                      <w:r w:rsidRPr="00E953B7">
                        <w:t>Infant</w:t>
                      </w:r>
                      <w:r>
                        <w:t>s</w:t>
                      </w:r>
                      <w:r w:rsidRPr="00E953B7">
                        <w:t xml:space="preserve"> and children up to 16 years of age in the U.S.</w:t>
                      </w:r>
                    </w:p>
                    <w:p w14:paraId="1466719F" w14:textId="77777777" w:rsidR="00321FFA" w:rsidRPr="001B2712" w:rsidRDefault="00321FFA" w:rsidP="008C46E9">
                      <w:pPr>
                        <w:spacing w:before="240" w:line="240" w:lineRule="auto"/>
                        <w:rPr>
                          <w:sz w:val="24"/>
                          <w:szCs w:val="24"/>
                        </w:rPr>
                      </w:pPr>
                      <w:r w:rsidRPr="001B2712">
                        <w:rPr>
                          <w:b/>
                          <w:sz w:val="24"/>
                          <w:szCs w:val="24"/>
                        </w:rPr>
                        <w:t xml:space="preserve">How data will be analyzed: </w:t>
                      </w:r>
                      <w:r w:rsidRPr="00657B21">
                        <w:t xml:space="preserve">Descriptive statistics such as means and ranges will be used to characterize the collected data.  </w:t>
                      </w:r>
                    </w:p>
                  </w:txbxContent>
                </v:textbox>
                <w10:wrap type="square" anchorx="margin"/>
              </v:shape>
            </w:pict>
          </mc:Fallback>
        </mc:AlternateContent>
      </w:r>
      <w:r w:rsidRPr="00D20211">
        <w:rPr>
          <w:rFonts w:asciiTheme="majorHAnsi" w:hAnsiTheme="majorHAnsi"/>
          <w:sz w:val="36"/>
          <w:szCs w:val="36"/>
        </w:rPr>
        <w:t>Part A. Justificatio</w:t>
      </w:r>
      <w:r w:rsidR="001101D0">
        <w:rPr>
          <w:rFonts w:asciiTheme="majorHAnsi" w:hAnsiTheme="majorHAnsi"/>
          <w:sz w:val="36"/>
          <w:szCs w:val="36"/>
        </w:rPr>
        <w:t>n</w:t>
      </w:r>
    </w:p>
    <w:p w14:paraId="4BA39D35" w14:textId="77777777" w:rsidR="00B45002" w:rsidRPr="00D20211" w:rsidRDefault="00FC5B5A" w:rsidP="00C03179">
      <w:pPr>
        <w:pStyle w:val="Heading1"/>
        <w:pBdr>
          <w:bottom w:val="none" w:sz="0" w:space="0" w:color="auto"/>
        </w:pBdr>
        <w:rPr>
          <w:color w:val="auto"/>
        </w:rPr>
      </w:pPr>
      <w:bookmarkStart w:id="3" w:name="_Toc493853236"/>
      <w:r w:rsidRPr="00D20211">
        <w:rPr>
          <w:color w:val="auto"/>
        </w:rPr>
        <w:t>A</w:t>
      </w:r>
      <w:r w:rsidR="0024399D" w:rsidRPr="00D20211">
        <w:rPr>
          <w:color w:val="auto"/>
        </w:rPr>
        <w:t>.</w:t>
      </w:r>
      <w:r w:rsidR="004D21C9" w:rsidRPr="00D20211">
        <w:rPr>
          <w:color w:val="auto"/>
        </w:rPr>
        <w:t>1</w:t>
      </w:r>
      <w:r w:rsidR="002202CC" w:rsidRPr="00D20211">
        <w:rPr>
          <w:color w:val="auto"/>
        </w:rPr>
        <w:t>. Circumstances</w:t>
      </w:r>
      <w:r w:rsidR="00B45002" w:rsidRPr="00D20211">
        <w:rPr>
          <w:color w:val="auto"/>
        </w:rPr>
        <w:t xml:space="preserve"> Making the Collection of Information Necessary</w:t>
      </w:r>
      <w:bookmarkEnd w:id="3"/>
    </w:p>
    <w:p w14:paraId="5ED2D8A9" w14:textId="77777777" w:rsidR="008C00FC" w:rsidRDefault="0045341A" w:rsidP="0068173E">
      <w:pPr>
        <w:spacing w:after="240" w:line="276" w:lineRule="auto"/>
        <w:rPr>
          <w:sz w:val="24"/>
          <w:szCs w:val="24"/>
        </w:rPr>
      </w:pPr>
      <w:r w:rsidRPr="00570FBB">
        <w:rPr>
          <w:sz w:val="24"/>
          <w:szCs w:val="24"/>
        </w:rPr>
        <w:t xml:space="preserve">The Centers for Disease Control and Prevention (CDC) is requesting </w:t>
      </w:r>
      <w:r>
        <w:rPr>
          <w:sz w:val="24"/>
          <w:szCs w:val="24"/>
        </w:rPr>
        <w:t>OMB approval for a</w:t>
      </w:r>
      <w:r w:rsidR="00EC7EFC">
        <w:rPr>
          <w:sz w:val="24"/>
          <w:szCs w:val="24"/>
        </w:rPr>
        <w:t>n</w:t>
      </w:r>
      <w:r w:rsidRPr="00570FBB">
        <w:rPr>
          <w:sz w:val="24"/>
          <w:szCs w:val="24"/>
        </w:rPr>
        <w:t xml:space="preserve"> </w:t>
      </w:r>
      <w:r w:rsidR="0023593F">
        <w:rPr>
          <w:sz w:val="24"/>
          <w:szCs w:val="24"/>
        </w:rPr>
        <w:t>1</w:t>
      </w:r>
      <w:r w:rsidR="00EC7EFC">
        <w:rPr>
          <w:sz w:val="24"/>
          <w:szCs w:val="24"/>
        </w:rPr>
        <w:t>8</w:t>
      </w:r>
      <w:r w:rsidRPr="00570FBB">
        <w:rPr>
          <w:sz w:val="24"/>
          <w:szCs w:val="24"/>
        </w:rPr>
        <w:t>-</w:t>
      </w:r>
      <w:r w:rsidR="0023593F">
        <w:rPr>
          <w:sz w:val="24"/>
          <w:szCs w:val="24"/>
        </w:rPr>
        <w:t>month</w:t>
      </w:r>
      <w:r w:rsidRPr="00570FBB">
        <w:rPr>
          <w:sz w:val="24"/>
          <w:szCs w:val="24"/>
        </w:rPr>
        <w:t xml:space="preserve"> extension for </w:t>
      </w:r>
      <w:r>
        <w:rPr>
          <w:sz w:val="24"/>
          <w:szCs w:val="24"/>
        </w:rPr>
        <w:t xml:space="preserve">the </w:t>
      </w:r>
      <w:r w:rsidRPr="00F86BCB">
        <w:rPr>
          <w:sz w:val="24"/>
          <w:szCs w:val="24"/>
        </w:rPr>
        <w:t>Healthy Homes and Lead Poisoning</w:t>
      </w:r>
      <w:r>
        <w:rPr>
          <w:sz w:val="24"/>
          <w:szCs w:val="24"/>
        </w:rPr>
        <w:t xml:space="preserve"> </w:t>
      </w:r>
      <w:r w:rsidRPr="00F86BCB">
        <w:rPr>
          <w:color w:val="000000"/>
          <w:sz w:val="24"/>
          <w:szCs w:val="24"/>
        </w:rPr>
        <w:t>Surveillance System</w:t>
      </w:r>
      <w:r w:rsidRPr="00570FBB">
        <w:rPr>
          <w:sz w:val="24"/>
          <w:szCs w:val="24"/>
        </w:rPr>
        <w:t xml:space="preserve"> (</w:t>
      </w:r>
      <w:r w:rsidR="001C7F7C">
        <w:rPr>
          <w:sz w:val="24"/>
          <w:szCs w:val="24"/>
        </w:rPr>
        <w:t>HHLP</w:t>
      </w:r>
      <w:r>
        <w:rPr>
          <w:sz w:val="24"/>
          <w:szCs w:val="24"/>
        </w:rPr>
        <w:t xml:space="preserve">SS - </w:t>
      </w:r>
      <w:r w:rsidRPr="00F86BCB">
        <w:rPr>
          <w:sz w:val="24"/>
          <w:szCs w:val="24"/>
        </w:rPr>
        <w:t>OMB No. 0920-0931</w:t>
      </w:r>
      <w:r>
        <w:rPr>
          <w:sz w:val="24"/>
          <w:szCs w:val="24"/>
        </w:rPr>
        <w:t>; e</w:t>
      </w:r>
      <w:r w:rsidRPr="00455289">
        <w:rPr>
          <w:sz w:val="24"/>
          <w:szCs w:val="24"/>
        </w:rPr>
        <w:t xml:space="preserve">xpiration </w:t>
      </w:r>
      <w:r>
        <w:rPr>
          <w:sz w:val="24"/>
          <w:szCs w:val="24"/>
        </w:rPr>
        <w:t>d</w:t>
      </w:r>
      <w:r w:rsidRPr="00F86BCB">
        <w:rPr>
          <w:sz w:val="24"/>
          <w:szCs w:val="24"/>
        </w:rPr>
        <w:t xml:space="preserve">ate: </w:t>
      </w:r>
      <w:r w:rsidR="0023593F">
        <w:rPr>
          <w:sz w:val="24"/>
          <w:szCs w:val="24"/>
        </w:rPr>
        <w:t xml:space="preserve">May </w:t>
      </w:r>
      <w:r>
        <w:rPr>
          <w:sz w:val="24"/>
          <w:szCs w:val="24"/>
        </w:rPr>
        <w:t>3</w:t>
      </w:r>
      <w:r w:rsidR="0023593F">
        <w:rPr>
          <w:sz w:val="24"/>
          <w:szCs w:val="24"/>
        </w:rPr>
        <w:t>1</w:t>
      </w:r>
      <w:r>
        <w:rPr>
          <w:sz w:val="24"/>
          <w:szCs w:val="24"/>
        </w:rPr>
        <w:t>, 201</w:t>
      </w:r>
      <w:r w:rsidR="0023593F">
        <w:rPr>
          <w:sz w:val="24"/>
          <w:szCs w:val="24"/>
        </w:rPr>
        <w:t>8</w:t>
      </w:r>
      <w:r>
        <w:rPr>
          <w:sz w:val="24"/>
          <w:szCs w:val="24"/>
        </w:rPr>
        <w:t xml:space="preserve">). </w:t>
      </w:r>
    </w:p>
    <w:p w14:paraId="59CEC680" w14:textId="66E96D72" w:rsidR="008C00FC" w:rsidRDefault="0045341A" w:rsidP="0068173E">
      <w:pPr>
        <w:spacing w:after="240" w:line="276" w:lineRule="auto"/>
        <w:rPr>
          <w:sz w:val="24"/>
          <w:szCs w:val="24"/>
        </w:rPr>
      </w:pPr>
      <w:r w:rsidRPr="00570FBB">
        <w:rPr>
          <w:sz w:val="24"/>
          <w:szCs w:val="24"/>
        </w:rPr>
        <w:t xml:space="preserve">This data collection </w:t>
      </w:r>
      <w:r w:rsidR="008C00FC">
        <w:rPr>
          <w:sz w:val="24"/>
          <w:szCs w:val="24"/>
        </w:rPr>
        <w:t>i</w:t>
      </w:r>
      <w:r w:rsidR="008C00FC" w:rsidRPr="00570FBB">
        <w:rPr>
          <w:sz w:val="24"/>
          <w:szCs w:val="24"/>
        </w:rPr>
        <w:t>s</w:t>
      </w:r>
      <w:r w:rsidR="008C00FC">
        <w:rPr>
          <w:sz w:val="24"/>
          <w:szCs w:val="24"/>
        </w:rPr>
        <w:t xml:space="preserve"> authorized under</w:t>
      </w:r>
      <w:r w:rsidR="008C00FC" w:rsidRPr="00570FBB">
        <w:rPr>
          <w:sz w:val="24"/>
          <w:szCs w:val="24"/>
        </w:rPr>
        <w:t xml:space="preserve"> </w:t>
      </w:r>
      <w:r w:rsidRPr="00570FBB">
        <w:rPr>
          <w:sz w:val="24"/>
          <w:szCs w:val="24"/>
        </w:rPr>
        <w:t>Section</w:t>
      </w:r>
      <w:r w:rsidR="008C00FC">
        <w:rPr>
          <w:sz w:val="24"/>
          <w:szCs w:val="24"/>
        </w:rPr>
        <w:t>s</w:t>
      </w:r>
      <w:r w:rsidRPr="00570FBB">
        <w:rPr>
          <w:sz w:val="24"/>
          <w:szCs w:val="24"/>
        </w:rPr>
        <w:t xml:space="preserve"> 301</w:t>
      </w:r>
      <w:r w:rsidR="008C00FC">
        <w:rPr>
          <w:sz w:val="24"/>
          <w:szCs w:val="24"/>
        </w:rPr>
        <w:t>(a) (</w:t>
      </w:r>
      <w:r w:rsidR="003F79D3">
        <w:rPr>
          <w:sz w:val="24"/>
          <w:szCs w:val="24"/>
        </w:rPr>
        <w:t>Attachment 1</w:t>
      </w:r>
      <w:r w:rsidR="008C00FC">
        <w:rPr>
          <w:sz w:val="24"/>
          <w:szCs w:val="24"/>
        </w:rPr>
        <w:t xml:space="preserve">), 317A and 318B of the 1944 </w:t>
      </w:r>
      <w:r w:rsidR="008C00FC" w:rsidRPr="00123823">
        <w:rPr>
          <w:sz w:val="24"/>
          <w:szCs w:val="24"/>
        </w:rPr>
        <w:t>of the Public Health Service Act (42 U.S.C. 241)</w:t>
      </w:r>
      <w:r w:rsidRPr="00123823">
        <w:rPr>
          <w:sz w:val="24"/>
          <w:szCs w:val="24"/>
        </w:rPr>
        <w:t xml:space="preserve"> as </w:t>
      </w:r>
      <w:r w:rsidR="008C00FC">
        <w:rPr>
          <w:sz w:val="24"/>
          <w:szCs w:val="24"/>
        </w:rPr>
        <w:t xml:space="preserve">amended </w:t>
      </w:r>
      <w:r w:rsidR="00D13AAE">
        <w:rPr>
          <w:sz w:val="24"/>
          <w:szCs w:val="24"/>
        </w:rPr>
        <w:t>by the 1988 Lead Contamination C</w:t>
      </w:r>
      <w:r w:rsidR="008C00FC">
        <w:rPr>
          <w:sz w:val="24"/>
          <w:szCs w:val="24"/>
        </w:rPr>
        <w:t>ontrol Act</w:t>
      </w:r>
      <w:r w:rsidR="005A1581">
        <w:rPr>
          <w:sz w:val="24"/>
          <w:szCs w:val="24"/>
        </w:rPr>
        <w:t xml:space="preserve"> </w:t>
      </w:r>
      <w:r w:rsidR="003F79D3">
        <w:rPr>
          <w:sz w:val="24"/>
          <w:szCs w:val="24"/>
        </w:rPr>
        <w:t>(Attachment 1</w:t>
      </w:r>
      <w:r w:rsidR="005A1581" w:rsidRPr="005A1581">
        <w:rPr>
          <w:sz w:val="24"/>
          <w:szCs w:val="24"/>
        </w:rPr>
        <w:t>)</w:t>
      </w:r>
      <w:r w:rsidR="008C00FC">
        <w:rPr>
          <w:sz w:val="24"/>
          <w:szCs w:val="24"/>
        </w:rPr>
        <w:t xml:space="preserve">. </w:t>
      </w:r>
      <w:r w:rsidR="00D13AAE">
        <w:rPr>
          <w:sz w:val="24"/>
          <w:szCs w:val="24"/>
        </w:rPr>
        <w:t xml:space="preserve">In addition, </w:t>
      </w:r>
      <w:r w:rsidR="00D13AAE">
        <w:rPr>
          <w:rFonts w:cs="TimesNewRomanPSMT"/>
          <w:sz w:val="24"/>
          <w:szCs w:val="24"/>
        </w:rPr>
        <w:t>this program is also authorized under Section 4002 of the Patient Protection and Affordable Care Act of 2010 (ACA), P. L. 111-148, (42 U.S.C. Section 300u-11</w:t>
      </w:r>
      <w:r w:rsidR="00D13AAE" w:rsidRPr="005A1581">
        <w:rPr>
          <w:rFonts w:cs="TimesNewRomanPSMT"/>
          <w:sz w:val="24"/>
          <w:szCs w:val="24"/>
        </w:rPr>
        <w:t xml:space="preserve">) </w:t>
      </w:r>
      <w:r w:rsidRPr="005A1581">
        <w:rPr>
          <w:sz w:val="24"/>
          <w:szCs w:val="24"/>
        </w:rPr>
        <w:t xml:space="preserve">(Attachment </w:t>
      </w:r>
      <w:r w:rsidR="00B0540B" w:rsidRPr="005A1581">
        <w:rPr>
          <w:sz w:val="24"/>
          <w:szCs w:val="24"/>
        </w:rPr>
        <w:t>1</w:t>
      </w:r>
      <w:r w:rsidRPr="005A1581">
        <w:rPr>
          <w:sz w:val="24"/>
          <w:szCs w:val="24"/>
        </w:rPr>
        <w:t>)</w:t>
      </w:r>
      <w:r w:rsidRPr="00123823">
        <w:rPr>
          <w:sz w:val="24"/>
          <w:szCs w:val="24"/>
        </w:rPr>
        <w:t>.</w:t>
      </w:r>
      <w:r>
        <w:rPr>
          <w:sz w:val="24"/>
          <w:szCs w:val="24"/>
        </w:rPr>
        <w:t xml:space="preserve"> </w:t>
      </w:r>
    </w:p>
    <w:p w14:paraId="6CA2070C" w14:textId="78C21D5B" w:rsidR="0045341A" w:rsidRDefault="0045341A" w:rsidP="0068173E">
      <w:pPr>
        <w:spacing w:after="240" w:line="276" w:lineRule="auto"/>
        <w:rPr>
          <w:sz w:val="24"/>
          <w:szCs w:val="24"/>
        </w:rPr>
      </w:pPr>
      <w:r>
        <w:rPr>
          <w:sz w:val="24"/>
          <w:szCs w:val="24"/>
        </w:rPr>
        <w:t xml:space="preserve">The 60-day Federal Register Notice was published </w:t>
      </w:r>
      <w:r w:rsidRPr="00D43AE7">
        <w:rPr>
          <w:sz w:val="24"/>
          <w:szCs w:val="24"/>
        </w:rPr>
        <w:t xml:space="preserve">on </w:t>
      </w:r>
      <w:r w:rsidR="004D63DD">
        <w:rPr>
          <w:sz w:val="24"/>
          <w:szCs w:val="24"/>
        </w:rPr>
        <w:t>November 8, 2017</w:t>
      </w:r>
      <w:r w:rsidR="00297660" w:rsidRPr="00D43AE7">
        <w:rPr>
          <w:sz w:val="24"/>
          <w:szCs w:val="24"/>
        </w:rPr>
        <w:t xml:space="preserve"> </w:t>
      </w:r>
      <w:r w:rsidRPr="00D43AE7">
        <w:rPr>
          <w:sz w:val="24"/>
          <w:szCs w:val="24"/>
        </w:rPr>
        <w:t>(Attachment</w:t>
      </w:r>
      <w:r>
        <w:rPr>
          <w:sz w:val="24"/>
          <w:szCs w:val="24"/>
        </w:rPr>
        <w:t xml:space="preserve"> </w:t>
      </w:r>
      <w:r w:rsidR="00B0540B">
        <w:rPr>
          <w:sz w:val="24"/>
          <w:szCs w:val="24"/>
        </w:rPr>
        <w:t>2</w:t>
      </w:r>
      <w:r>
        <w:rPr>
          <w:sz w:val="24"/>
          <w:szCs w:val="24"/>
        </w:rPr>
        <w:t>), and is further discussed in Section A8.</w:t>
      </w:r>
    </w:p>
    <w:p w14:paraId="1EF53C71" w14:textId="77777777" w:rsidR="009E2CA7" w:rsidRDefault="00B0540B" w:rsidP="0068173E">
      <w:pPr>
        <w:spacing w:after="240" w:line="276" w:lineRule="auto"/>
        <w:rPr>
          <w:sz w:val="24"/>
          <w:szCs w:val="24"/>
        </w:rPr>
      </w:pPr>
      <w:r>
        <w:rPr>
          <w:sz w:val="24"/>
          <w:szCs w:val="24"/>
        </w:rPr>
        <w:t xml:space="preserve">The sole purpose of this extension is to provide continuity of </w:t>
      </w:r>
      <w:r w:rsidR="004377B8">
        <w:rPr>
          <w:sz w:val="24"/>
          <w:szCs w:val="24"/>
        </w:rPr>
        <w:t>information</w:t>
      </w:r>
      <w:r>
        <w:rPr>
          <w:sz w:val="24"/>
          <w:szCs w:val="24"/>
        </w:rPr>
        <w:t xml:space="preserve"> collection </w:t>
      </w:r>
      <w:r w:rsidR="005F5D75">
        <w:rPr>
          <w:sz w:val="24"/>
          <w:szCs w:val="24"/>
        </w:rPr>
        <w:t>for the 3</w:t>
      </w:r>
      <w:r w:rsidR="005F5D75" w:rsidRPr="003F5651">
        <w:rPr>
          <w:sz w:val="24"/>
          <w:szCs w:val="24"/>
          <w:vertAlign w:val="superscript"/>
        </w:rPr>
        <w:t>rd</w:t>
      </w:r>
      <w:r w:rsidR="005F5D75">
        <w:rPr>
          <w:sz w:val="24"/>
          <w:szCs w:val="24"/>
        </w:rPr>
        <w:t xml:space="preserve"> year </w:t>
      </w:r>
      <w:r w:rsidR="002202CC">
        <w:rPr>
          <w:sz w:val="24"/>
          <w:szCs w:val="24"/>
        </w:rPr>
        <w:t>supplement, which</w:t>
      </w:r>
      <w:r w:rsidR="005D68C1">
        <w:rPr>
          <w:sz w:val="24"/>
          <w:szCs w:val="24"/>
        </w:rPr>
        <w:t xml:space="preserve"> represents</w:t>
      </w:r>
      <w:r w:rsidR="00AE7B3E">
        <w:rPr>
          <w:sz w:val="24"/>
          <w:szCs w:val="24"/>
        </w:rPr>
        <w:t xml:space="preserve"> the </w:t>
      </w:r>
      <w:r w:rsidR="00C424E8">
        <w:rPr>
          <w:sz w:val="24"/>
          <w:szCs w:val="24"/>
        </w:rPr>
        <w:t>fourth and final year</w:t>
      </w:r>
      <w:r w:rsidR="002202CC">
        <w:rPr>
          <w:sz w:val="24"/>
          <w:szCs w:val="24"/>
        </w:rPr>
        <w:t>,</w:t>
      </w:r>
      <w:r w:rsidR="00C424E8">
        <w:rPr>
          <w:sz w:val="24"/>
          <w:szCs w:val="24"/>
        </w:rPr>
        <w:t xml:space="preserve"> of the </w:t>
      </w:r>
      <w:r w:rsidR="00005521" w:rsidRPr="00005521">
        <w:rPr>
          <w:sz w:val="24"/>
          <w:szCs w:val="24"/>
        </w:rPr>
        <w:t>CDC-RFA-EH14-1408PPHF14</w:t>
      </w:r>
      <w:r w:rsidR="00AE7B3E">
        <w:rPr>
          <w:sz w:val="24"/>
          <w:szCs w:val="24"/>
        </w:rPr>
        <w:t xml:space="preserve"> cooperative agreement</w:t>
      </w:r>
      <w:r w:rsidR="00C424E8">
        <w:rPr>
          <w:sz w:val="24"/>
          <w:szCs w:val="24"/>
        </w:rPr>
        <w:t>. This extension will last</w:t>
      </w:r>
      <w:r w:rsidR="00AE7B3E">
        <w:rPr>
          <w:sz w:val="24"/>
          <w:szCs w:val="24"/>
        </w:rPr>
        <w:t xml:space="preserve"> </w:t>
      </w:r>
      <w:r>
        <w:rPr>
          <w:sz w:val="24"/>
          <w:szCs w:val="24"/>
        </w:rPr>
        <w:t xml:space="preserve">until the approval of the impending </w:t>
      </w:r>
      <w:r w:rsidRPr="00B0540B">
        <w:rPr>
          <w:sz w:val="24"/>
          <w:szCs w:val="24"/>
        </w:rPr>
        <w:t>Childhood Blood Lead Surveillance (CBLS) and Adult Blood Lead Epidemiology and Surveillance (ABLES)</w:t>
      </w:r>
      <w:r>
        <w:rPr>
          <w:sz w:val="24"/>
          <w:szCs w:val="24"/>
        </w:rPr>
        <w:t xml:space="preserve"> - OMB Control No. 0920-NEW</w:t>
      </w:r>
      <w:r w:rsidR="00553D01">
        <w:rPr>
          <w:sz w:val="24"/>
          <w:szCs w:val="24"/>
        </w:rPr>
        <w:t>, which has been summarily s</w:t>
      </w:r>
      <w:r>
        <w:rPr>
          <w:sz w:val="24"/>
          <w:szCs w:val="24"/>
        </w:rPr>
        <w:t>ubmitted for OMB approval.</w:t>
      </w:r>
      <w:r w:rsidR="005F5D75">
        <w:rPr>
          <w:sz w:val="24"/>
          <w:szCs w:val="24"/>
        </w:rPr>
        <w:t xml:space="preserve"> </w:t>
      </w:r>
      <w:r w:rsidR="00AE7B3E">
        <w:rPr>
          <w:sz w:val="24"/>
          <w:szCs w:val="24"/>
        </w:rPr>
        <w:t>This</w:t>
      </w:r>
      <w:r w:rsidR="005F5D75">
        <w:rPr>
          <w:sz w:val="24"/>
          <w:szCs w:val="24"/>
        </w:rPr>
        <w:t xml:space="preserve"> </w:t>
      </w:r>
      <w:r w:rsidR="009E754C">
        <w:rPr>
          <w:sz w:val="24"/>
          <w:szCs w:val="24"/>
        </w:rPr>
        <w:t xml:space="preserve">extension ICR </w:t>
      </w:r>
      <w:r w:rsidR="005F5D75">
        <w:rPr>
          <w:sz w:val="24"/>
          <w:szCs w:val="24"/>
        </w:rPr>
        <w:t>will be discontinued at the end of the program period.</w:t>
      </w:r>
    </w:p>
    <w:p w14:paraId="411C6FE0" w14:textId="77777777" w:rsidR="00396835" w:rsidRDefault="00396835">
      <w:pPr>
        <w:rPr>
          <w:sz w:val="24"/>
          <w:szCs w:val="24"/>
          <w:u w:val="single"/>
        </w:rPr>
      </w:pPr>
      <w:r>
        <w:rPr>
          <w:sz w:val="24"/>
          <w:szCs w:val="24"/>
          <w:u w:val="single"/>
        </w:rPr>
        <w:br w:type="page"/>
      </w:r>
    </w:p>
    <w:p w14:paraId="7AFCC062" w14:textId="77777777" w:rsidR="0045341A" w:rsidRPr="009917E4" w:rsidRDefault="0045341A" w:rsidP="0068173E">
      <w:pPr>
        <w:spacing w:after="240" w:line="276" w:lineRule="auto"/>
        <w:rPr>
          <w:sz w:val="24"/>
          <w:szCs w:val="24"/>
        </w:rPr>
      </w:pPr>
      <w:r w:rsidRPr="00123823">
        <w:rPr>
          <w:sz w:val="24"/>
          <w:szCs w:val="24"/>
          <w:u w:val="single"/>
        </w:rPr>
        <w:t>Background</w:t>
      </w:r>
    </w:p>
    <w:p w14:paraId="4D6D71E7" w14:textId="77777777" w:rsidR="00B908AD" w:rsidRDefault="0045341A" w:rsidP="0068173E">
      <w:pPr>
        <w:spacing w:after="240" w:line="276" w:lineRule="auto"/>
        <w:rPr>
          <w:sz w:val="24"/>
          <w:szCs w:val="24"/>
        </w:rPr>
      </w:pPr>
      <w:r w:rsidRPr="00123823">
        <w:rPr>
          <w:sz w:val="24"/>
          <w:szCs w:val="24"/>
        </w:rPr>
        <w:t xml:space="preserve">The mission of CDC’s Healthy Homes and Lead Poisoning Prevention </w:t>
      </w:r>
      <w:r>
        <w:rPr>
          <w:sz w:val="24"/>
          <w:szCs w:val="24"/>
        </w:rPr>
        <w:t>Program</w:t>
      </w:r>
      <w:r w:rsidRPr="00123823">
        <w:rPr>
          <w:sz w:val="24"/>
          <w:szCs w:val="24"/>
        </w:rPr>
        <w:t xml:space="preserve"> </w:t>
      </w:r>
      <w:r>
        <w:rPr>
          <w:sz w:val="24"/>
          <w:szCs w:val="24"/>
        </w:rPr>
        <w:t xml:space="preserve">(HHLPPP – hereafter, the “Program”) </w:t>
      </w:r>
      <w:r w:rsidRPr="00123823">
        <w:rPr>
          <w:sz w:val="24"/>
          <w:szCs w:val="24"/>
        </w:rPr>
        <w:t>is to improve health and quality of life by preventing disability through the control or elimination of lead exposure</w:t>
      </w:r>
      <w:r>
        <w:rPr>
          <w:sz w:val="24"/>
          <w:szCs w:val="24"/>
        </w:rPr>
        <w:t xml:space="preserve"> </w:t>
      </w:r>
      <w:r w:rsidRPr="00123823">
        <w:rPr>
          <w:sz w:val="24"/>
          <w:szCs w:val="24"/>
        </w:rPr>
        <w:t xml:space="preserve">in homes and elsewhere and </w:t>
      </w:r>
      <w:r>
        <w:rPr>
          <w:sz w:val="24"/>
          <w:szCs w:val="24"/>
        </w:rPr>
        <w:t xml:space="preserve">of exposure to </w:t>
      </w:r>
      <w:r w:rsidRPr="00123823">
        <w:rPr>
          <w:sz w:val="24"/>
          <w:szCs w:val="24"/>
        </w:rPr>
        <w:t xml:space="preserve">other </w:t>
      </w:r>
      <w:r>
        <w:rPr>
          <w:sz w:val="24"/>
          <w:szCs w:val="24"/>
        </w:rPr>
        <w:t xml:space="preserve">housing-related health </w:t>
      </w:r>
      <w:r w:rsidRPr="00123823">
        <w:rPr>
          <w:sz w:val="24"/>
          <w:szCs w:val="24"/>
        </w:rPr>
        <w:t>hazard</w:t>
      </w:r>
      <w:r>
        <w:rPr>
          <w:sz w:val="24"/>
          <w:szCs w:val="24"/>
        </w:rPr>
        <w:t>s. The Program</w:t>
      </w:r>
      <w:r w:rsidRPr="00123823">
        <w:rPr>
          <w:sz w:val="24"/>
          <w:szCs w:val="24"/>
        </w:rPr>
        <w:t xml:space="preserve"> fulfills its mission in a multi-faceted manner, which </w:t>
      </w:r>
      <w:r w:rsidR="002202CC" w:rsidRPr="00123823">
        <w:rPr>
          <w:sz w:val="24"/>
          <w:szCs w:val="24"/>
        </w:rPr>
        <w:t>includes</w:t>
      </w:r>
      <w:r w:rsidRPr="00123823">
        <w:rPr>
          <w:sz w:val="24"/>
          <w:szCs w:val="24"/>
        </w:rPr>
        <w:t xml:space="preserve"> providing financial and technical assistance to </w:t>
      </w:r>
      <w:r>
        <w:rPr>
          <w:sz w:val="24"/>
          <w:szCs w:val="24"/>
        </w:rPr>
        <w:t>s</w:t>
      </w:r>
      <w:r w:rsidRPr="00123823">
        <w:rPr>
          <w:sz w:val="24"/>
          <w:szCs w:val="24"/>
        </w:rPr>
        <w:t>tate, local</w:t>
      </w:r>
      <w:r>
        <w:rPr>
          <w:sz w:val="24"/>
          <w:szCs w:val="24"/>
        </w:rPr>
        <w:t>,</w:t>
      </w:r>
      <w:r w:rsidRPr="00123823">
        <w:rPr>
          <w:sz w:val="24"/>
          <w:szCs w:val="24"/>
        </w:rPr>
        <w:t xml:space="preserve"> and</w:t>
      </w:r>
      <w:r>
        <w:rPr>
          <w:sz w:val="24"/>
          <w:szCs w:val="24"/>
        </w:rPr>
        <w:t xml:space="preserve"> </w:t>
      </w:r>
      <w:r w:rsidRPr="00123823">
        <w:rPr>
          <w:sz w:val="24"/>
          <w:szCs w:val="24"/>
        </w:rPr>
        <w:t xml:space="preserve">territorial health departments for childhood lead poisoning prevention programs; providing a </w:t>
      </w:r>
      <w:r>
        <w:rPr>
          <w:sz w:val="24"/>
          <w:szCs w:val="24"/>
        </w:rPr>
        <w:t>sound</w:t>
      </w:r>
      <w:r w:rsidRPr="00123823">
        <w:rPr>
          <w:sz w:val="24"/>
          <w:szCs w:val="24"/>
        </w:rPr>
        <w:t xml:space="preserve"> basis for policy decisions; and facilitating the integration of health issues in policies established by health, housing, and environmental agencies at the federal, state, local</w:t>
      </w:r>
      <w:r>
        <w:rPr>
          <w:sz w:val="24"/>
          <w:szCs w:val="24"/>
        </w:rPr>
        <w:t>, and territorial</w:t>
      </w:r>
      <w:r w:rsidRPr="00123823">
        <w:rPr>
          <w:sz w:val="24"/>
          <w:szCs w:val="24"/>
        </w:rPr>
        <w:t xml:space="preserve"> levels. The significant and sustained decrease in blood lead levels among </w:t>
      </w:r>
      <w:smartTag w:uri="urn:schemas-microsoft-com:office:smarttags" w:element="country-region">
        <w:smartTag w:uri="urn:schemas-microsoft-com:office:smarttags" w:element="place">
          <w:r w:rsidRPr="00123823">
            <w:rPr>
              <w:sz w:val="24"/>
              <w:szCs w:val="24"/>
            </w:rPr>
            <w:t>U. S.</w:t>
          </w:r>
        </w:smartTag>
      </w:smartTag>
      <w:r w:rsidRPr="00123823">
        <w:rPr>
          <w:sz w:val="24"/>
          <w:szCs w:val="24"/>
        </w:rPr>
        <w:t xml:space="preserve"> children is testament to the success of these activities. </w:t>
      </w:r>
      <w:r w:rsidR="00B908AD">
        <w:rPr>
          <w:sz w:val="24"/>
          <w:szCs w:val="24"/>
        </w:rPr>
        <w:t xml:space="preserve">The </w:t>
      </w:r>
      <w:r w:rsidR="00B908AD" w:rsidRPr="00123823">
        <w:rPr>
          <w:sz w:val="24"/>
          <w:szCs w:val="24"/>
        </w:rPr>
        <w:t>CDC</w:t>
      </w:r>
      <w:r w:rsidR="00B908AD">
        <w:rPr>
          <w:sz w:val="24"/>
          <w:szCs w:val="24"/>
        </w:rPr>
        <w:t xml:space="preserve">’s </w:t>
      </w:r>
      <w:r w:rsidR="00B908AD" w:rsidRPr="00C51691">
        <w:rPr>
          <w:rStyle w:val="Emphasis"/>
          <w:b/>
          <w:color w:val="222222"/>
          <w:sz w:val="24"/>
          <w:szCs w:val="24"/>
          <w:lang w:val="en"/>
        </w:rPr>
        <w:t>National Center for Environmental Health</w:t>
      </w:r>
      <w:r w:rsidR="00B908AD">
        <w:rPr>
          <w:sz w:val="24"/>
          <w:szCs w:val="24"/>
        </w:rPr>
        <w:t xml:space="preserve"> (NCEH)</w:t>
      </w:r>
      <w:r w:rsidR="00B908AD" w:rsidRPr="00123823">
        <w:rPr>
          <w:sz w:val="24"/>
          <w:szCs w:val="24"/>
        </w:rPr>
        <w:t xml:space="preserve">, through its experience with lead poisoning prevention and environmental health programs in </w:t>
      </w:r>
      <w:r w:rsidR="00B908AD" w:rsidRPr="007A0894">
        <w:rPr>
          <w:sz w:val="24"/>
          <w:szCs w:val="24"/>
        </w:rPr>
        <w:t>states and communities, is recognized as a leader in the field of healthy housing by the World Health Organization, the U. S. Department of Housing and Urban Development</w:t>
      </w:r>
      <w:r w:rsidR="00BF418A">
        <w:rPr>
          <w:sz w:val="24"/>
          <w:szCs w:val="24"/>
        </w:rPr>
        <w:t>,</w:t>
      </w:r>
      <w:r w:rsidR="00B908AD" w:rsidRPr="007A0894">
        <w:rPr>
          <w:sz w:val="24"/>
          <w:szCs w:val="24"/>
        </w:rPr>
        <w:t xml:space="preserve"> and the U. S. Environmental Protection Agency.  </w:t>
      </w:r>
    </w:p>
    <w:p w14:paraId="7AB77FF5" w14:textId="0A30E293" w:rsidR="0045341A" w:rsidRDefault="0045341A" w:rsidP="0068173E">
      <w:pPr>
        <w:spacing w:after="240" w:line="276" w:lineRule="auto"/>
        <w:rPr>
          <w:sz w:val="24"/>
          <w:szCs w:val="24"/>
        </w:rPr>
      </w:pPr>
      <w:r>
        <w:rPr>
          <w:sz w:val="24"/>
          <w:szCs w:val="24"/>
        </w:rPr>
        <w:t>Among adults, l</w:t>
      </w:r>
      <w:r w:rsidRPr="007D6929">
        <w:rPr>
          <w:sz w:val="24"/>
          <w:szCs w:val="24"/>
        </w:rPr>
        <w:t>ead exposure causes acute and chronic adverse effects in multiple organ systems ranging from subclinical changes in function to symptomatic life-threatening intoxication. Moreover, evidence indicates that lead exposure at low doses can lead to adverse cardiovascular and kidney effects, cognitive dysfunction, and adverse reproductive outcomes. Current research has found decreased renal function associated with BLLs at 5 µg/dL and lower, and increased risk of hypertension and essential tremor at BLLs below 10 µg/dL.</w:t>
      </w:r>
      <w:r>
        <w:rPr>
          <w:sz w:val="24"/>
          <w:szCs w:val="24"/>
        </w:rPr>
        <w:t xml:space="preserve"> </w:t>
      </w:r>
      <w:r w:rsidRPr="00C876B4">
        <w:rPr>
          <w:sz w:val="24"/>
          <w:szCs w:val="24"/>
        </w:rPr>
        <w:t>The vast majority of elevated blood lead levels (BLLs) in the United States are workplace-related. Most lead exposures at work occur in the manufacturing, con</w:t>
      </w:r>
      <w:r w:rsidR="004F339D">
        <w:rPr>
          <w:sz w:val="24"/>
          <w:szCs w:val="24"/>
        </w:rPr>
        <w:t xml:space="preserve">struction, services, and mining </w:t>
      </w:r>
      <w:r w:rsidRPr="00C876B4">
        <w:rPr>
          <w:sz w:val="24"/>
          <w:szCs w:val="24"/>
        </w:rPr>
        <w:t xml:space="preserve">industries. </w:t>
      </w:r>
      <w:r w:rsidR="00EE7FAD">
        <w:rPr>
          <w:sz w:val="24"/>
          <w:szCs w:val="24"/>
        </w:rPr>
        <w:t xml:space="preserve">The </w:t>
      </w:r>
      <w:r w:rsidRPr="00C876B4">
        <w:rPr>
          <w:sz w:val="24"/>
          <w:szCs w:val="24"/>
        </w:rPr>
        <w:t>CDC</w:t>
      </w:r>
      <w:r w:rsidR="00EE7FAD">
        <w:rPr>
          <w:sz w:val="24"/>
          <w:szCs w:val="24"/>
        </w:rPr>
        <w:t>’s</w:t>
      </w:r>
      <w:r>
        <w:rPr>
          <w:sz w:val="24"/>
          <w:szCs w:val="24"/>
        </w:rPr>
        <w:t xml:space="preserve"> </w:t>
      </w:r>
      <w:r w:rsidRPr="00F10E97">
        <w:rPr>
          <w:rStyle w:val="Emphasis"/>
          <w:b/>
          <w:color w:val="222222"/>
          <w:sz w:val="24"/>
          <w:szCs w:val="24"/>
          <w:lang w:val="en"/>
        </w:rPr>
        <w:t>National Institute for Occupational Safety and Health</w:t>
      </w:r>
      <w:r>
        <w:rPr>
          <w:sz w:val="24"/>
          <w:szCs w:val="24"/>
        </w:rPr>
        <w:t xml:space="preserve"> (NIOSH) is responsible for making recommendations for the prevention of work-related illnesses and injuries.  </w:t>
      </w:r>
      <w:r w:rsidR="00E85325">
        <w:rPr>
          <w:sz w:val="24"/>
          <w:szCs w:val="24"/>
        </w:rPr>
        <w:t xml:space="preserve">As of 2016, </w:t>
      </w:r>
      <w:r>
        <w:rPr>
          <w:sz w:val="24"/>
          <w:szCs w:val="24"/>
        </w:rPr>
        <w:t xml:space="preserve">NIOSH </w:t>
      </w:r>
      <w:r w:rsidRPr="00C876B4">
        <w:rPr>
          <w:sz w:val="24"/>
          <w:szCs w:val="24"/>
        </w:rPr>
        <w:t>considers BLLs ≥</w:t>
      </w:r>
      <w:r w:rsidR="00E85325">
        <w:rPr>
          <w:sz w:val="24"/>
          <w:szCs w:val="24"/>
        </w:rPr>
        <w:t>5</w:t>
      </w:r>
      <w:r w:rsidR="00E85325" w:rsidRPr="00C876B4">
        <w:rPr>
          <w:sz w:val="24"/>
          <w:szCs w:val="24"/>
        </w:rPr>
        <w:t xml:space="preserve"> </w:t>
      </w:r>
      <w:r w:rsidRPr="00C876B4">
        <w:rPr>
          <w:sz w:val="24"/>
          <w:szCs w:val="24"/>
        </w:rPr>
        <w:t>µg/dL</w:t>
      </w:r>
      <w:r>
        <w:rPr>
          <w:sz w:val="24"/>
          <w:szCs w:val="24"/>
        </w:rPr>
        <w:t xml:space="preserve"> among adults</w:t>
      </w:r>
      <w:r w:rsidRPr="00C876B4">
        <w:rPr>
          <w:sz w:val="24"/>
          <w:szCs w:val="24"/>
        </w:rPr>
        <w:t xml:space="preserve"> to be elevated.</w:t>
      </w:r>
      <w:r>
        <w:rPr>
          <w:sz w:val="24"/>
          <w:szCs w:val="24"/>
        </w:rPr>
        <w:t xml:space="preserve">  </w:t>
      </w:r>
    </w:p>
    <w:p w14:paraId="4C52163A" w14:textId="60B9DE9D" w:rsidR="0045341A" w:rsidRDefault="0045341A" w:rsidP="0068173E">
      <w:pPr>
        <w:spacing w:after="240" w:line="276" w:lineRule="auto"/>
        <w:rPr>
          <w:color w:val="000000"/>
          <w:sz w:val="24"/>
          <w:szCs w:val="24"/>
        </w:rPr>
      </w:pPr>
      <w:r w:rsidRPr="00123823">
        <w:rPr>
          <w:color w:val="000000"/>
          <w:sz w:val="24"/>
          <w:szCs w:val="24"/>
        </w:rPr>
        <w:t xml:space="preserve">The overarching goal of this </w:t>
      </w:r>
      <w:r>
        <w:rPr>
          <w:color w:val="000000"/>
          <w:sz w:val="24"/>
          <w:szCs w:val="24"/>
        </w:rPr>
        <w:t>information collection</w:t>
      </w:r>
      <w:r w:rsidRPr="00123823">
        <w:rPr>
          <w:color w:val="000000"/>
          <w:sz w:val="24"/>
          <w:szCs w:val="24"/>
        </w:rPr>
        <w:t xml:space="preserve"> is to </w:t>
      </w:r>
      <w:r w:rsidR="00E85325">
        <w:rPr>
          <w:color w:val="000000"/>
          <w:sz w:val="24"/>
          <w:szCs w:val="24"/>
        </w:rPr>
        <w:t>continue</w:t>
      </w:r>
      <w:r w:rsidR="00E85325" w:rsidRPr="00123823">
        <w:rPr>
          <w:color w:val="000000"/>
          <w:sz w:val="24"/>
          <w:szCs w:val="24"/>
        </w:rPr>
        <w:t xml:space="preserve"> </w:t>
      </w:r>
      <w:r>
        <w:rPr>
          <w:color w:val="000000"/>
          <w:sz w:val="24"/>
          <w:szCs w:val="24"/>
        </w:rPr>
        <w:t xml:space="preserve">the </w:t>
      </w:r>
      <w:r w:rsidR="001C7F7C">
        <w:rPr>
          <w:color w:val="000000"/>
          <w:sz w:val="24"/>
          <w:szCs w:val="24"/>
        </w:rPr>
        <w:t>HHLPSS</w:t>
      </w:r>
      <w:r w:rsidRPr="00123823">
        <w:rPr>
          <w:color w:val="000000"/>
          <w:sz w:val="24"/>
          <w:szCs w:val="24"/>
        </w:rPr>
        <w:t xml:space="preserve"> at the state and national levels.  </w:t>
      </w:r>
      <w:r w:rsidR="00E85325" w:rsidRPr="00CA7FA2">
        <w:rPr>
          <w:sz w:val="24"/>
          <w:szCs w:val="24"/>
        </w:rPr>
        <w:t>Over the last three years, 7 states have adopted the HHLPPS and 13 are in beta-testing.</w:t>
      </w:r>
      <w:r w:rsidR="00E85325">
        <w:rPr>
          <w:sz w:val="24"/>
          <w:szCs w:val="24"/>
        </w:rPr>
        <w:t xml:space="preserve"> </w:t>
      </w:r>
      <w:r w:rsidR="00E85325" w:rsidRPr="00657B21">
        <w:rPr>
          <w:sz w:val="24"/>
          <w:szCs w:val="24"/>
        </w:rPr>
        <w:t>The</w:t>
      </w:r>
      <w:r w:rsidR="00E85325">
        <w:rPr>
          <w:sz w:val="24"/>
          <w:szCs w:val="24"/>
        </w:rPr>
        <w:t>se</w:t>
      </w:r>
      <w:r w:rsidR="00E85325" w:rsidRPr="00657B21">
        <w:rPr>
          <w:sz w:val="24"/>
          <w:szCs w:val="24"/>
        </w:rPr>
        <w:t xml:space="preserve"> </w:t>
      </w:r>
      <w:r w:rsidR="00E85325">
        <w:rPr>
          <w:sz w:val="24"/>
          <w:szCs w:val="24"/>
        </w:rPr>
        <w:t xml:space="preserve">states continue to </w:t>
      </w:r>
      <w:r w:rsidR="00E85325" w:rsidRPr="00657B21">
        <w:rPr>
          <w:sz w:val="24"/>
          <w:szCs w:val="24"/>
        </w:rPr>
        <w:t>sen</w:t>
      </w:r>
      <w:r w:rsidR="00E85325">
        <w:rPr>
          <w:sz w:val="24"/>
          <w:szCs w:val="24"/>
        </w:rPr>
        <w:t>d</w:t>
      </w:r>
      <w:r w:rsidR="00E85325" w:rsidRPr="00657B21">
        <w:rPr>
          <w:sz w:val="24"/>
          <w:szCs w:val="24"/>
        </w:rPr>
        <w:t xml:space="preserve"> the collected lead data to the </w:t>
      </w:r>
      <w:r w:rsidR="00E85325">
        <w:rPr>
          <w:sz w:val="24"/>
          <w:szCs w:val="24"/>
        </w:rPr>
        <w:t>Program</w:t>
      </w:r>
      <w:r w:rsidR="00E85325" w:rsidRPr="00657B21">
        <w:rPr>
          <w:sz w:val="24"/>
          <w:szCs w:val="24"/>
        </w:rPr>
        <w:t xml:space="preserve">. </w:t>
      </w:r>
      <w:r w:rsidRPr="00123823">
        <w:rPr>
          <w:color w:val="000000"/>
          <w:sz w:val="24"/>
          <w:szCs w:val="24"/>
        </w:rPr>
        <w:t>Currently,</w:t>
      </w:r>
      <w:r>
        <w:rPr>
          <w:color w:val="000000"/>
          <w:sz w:val="24"/>
          <w:szCs w:val="24"/>
        </w:rPr>
        <w:t xml:space="preserve"> </w:t>
      </w:r>
      <w:r w:rsidR="008F0B6D">
        <w:rPr>
          <w:color w:val="000000"/>
          <w:sz w:val="24"/>
          <w:szCs w:val="24"/>
        </w:rPr>
        <w:t xml:space="preserve">up to </w:t>
      </w:r>
      <w:r>
        <w:rPr>
          <w:color w:val="000000"/>
          <w:sz w:val="24"/>
          <w:szCs w:val="24"/>
        </w:rPr>
        <w:t>40</w:t>
      </w:r>
      <w:r w:rsidRPr="00123823">
        <w:rPr>
          <w:color w:val="000000"/>
          <w:sz w:val="24"/>
          <w:szCs w:val="24"/>
        </w:rPr>
        <w:t xml:space="preserve"> state and local Childhood Lead Poisoning Prevention Programs (CLPPP) and </w:t>
      </w:r>
      <w:r w:rsidRPr="00123823">
        <w:rPr>
          <w:sz w:val="24"/>
          <w:szCs w:val="24"/>
        </w:rPr>
        <w:t>the state-based Adult Blood Lead Epidemiology and Surveillance (ABLES) program</w:t>
      </w:r>
      <w:r w:rsidRPr="00123823">
        <w:rPr>
          <w:color w:val="000000"/>
          <w:sz w:val="24"/>
          <w:szCs w:val="24"/>
        </w:rPr>
        <w:t xml:space="preserve"> </w:t>
      </w:r>
      <w:r>
        <w:rPr>
          <w:color w:val="000000"/>
          <w:sz w:val="24"/>
          <w:szCs w:val="24"/>
        </w:rPr>
        <w:t xml:space="preserve">sponsored by NIOSH </w:t>
      </w:r>
      <w:r w:rsidRPr="00123823">
        <w:rPr>
          <w:color w:val="000000"/>
          <w:sz w:val="24"/>
          <w:szCs w:val="24"/>
        </w:rPr>
        <w:t xml:space="preserve">report information (e.g., presence of lead paint, age of housing, and occupation of adults) to the </w:t>
      </w:r>
      <w:r w:rsidR="001C7F7C">
        <w:rPr>
          <w:color w:val="000000"/>
          <w:sz w:val="24"/>
        </w:rPr>
        <w:t>HHLPSS</w:t>
      </w:r>
      <w:r>
        <w:rPr>
          <w:color w:val="000000"/>
          <w:sz w:val="24"/>
          <w:szCs w:val="24"/>
        </w:rPr>
        <w:t xml:space="preserve">. Linking these two systems through </w:t>
      </w:r>
      <w:r w:rsidR="001C7F7C">
        <w:rPr>
          <w:color w:val="000000"/>
          <w:sz w:val="24"/>
          <w:szCs w:val="24"/>
        </w:rPr>
        <w:t>HHLPSS</w:t>
      </w:r>
      <w:r>
        <w:rPr>
          <w:color w:val="000000"/>
          <w:sz w:val="24"/>
          <w:szCs w:val="24"/>
        </w:rPr>
        <w:t xml:space="preserve"> ensures that CDC can identify and intervene for occupational exposures, so-called ‘take home’ exposures when workers bring lead contaminated clothing or equipment home and expose children and childhood lead exposure from lead paint, contaminated water, soil, dust or consumer products.  </w:t>
      </w:r>
    </w:p>
    <w:p w14:paraId="042B9B32" w14:textId="77777777" w:rsidR="00B45002" w:rsidRPr="00D20211" w:rsidRDefault="00601F1A" w:rsidP="00601F1A">
      <w:pPr>
        <w:pStyle w:val="Heading1"/>
        <w:pBdr>
          <w:bottom w:val="none" w:sz="0" w:space="0" w:color="auto"/>
        </w:pBdr>
        <w:rPr>
          <w:color w:val="auto"/>
        </w:rPr>
      </w:pPr>
      <w:bookmarkStart w:id="4" w:name="_Toc493853237"/>
      <w:r w:rsidRPr="00D20211">
        <w:rPr>
          <w:color w:val="auto"/>
        </w:rPr>
        <w:t>A.</w:t>
      </w:r>
      <w:r w:rsidR="004D21C9" w:rsidRPr="00D20211">
        <w:rPr>
          <w:color w:val="auto"/>
        </w:rPr>
        <w:t>2</w:t>
      </w:r>
      <w:r w:rsidR="002202CC" w:rsidRPr="00D20211">
        <w:rPr>
          <w:color w:val="auto"/>
        </w:rPr>
        <w:t>. Purpose</w:t>
      </w:r>
      <w:r w:rsidR="00B45002" w:rsidRPr="00D20211">
        <w:rPr>
          <w:color w:val="auto"/>
        </w:rPr>
        <w:t xml:space="preserve"> and Use of the Information Collection</w:t>
      </w:r>
      <w:bookmarkEnd w:id="4"/>
    </w:p>
    <w:p w14:paraId="17ED84C3" w14:textId="77777777" w:rsidR="0045341A" w:rsidRPr="002202CC" w:rsidRDefault="0045341A" w:rsidP="0068173E">
      <w:pPr>
        <w:spacing w:after="240" w:line="276" w:lineRule="auto"/>
        <w:rPr>
          <w:rFonts w:ascii="Calibri" w:hAnsi="Calibri"/>
          <w:sz w:val="24"/>
          <w:szCs w:val="24"/>
          <w:u w:val="single"/>
        </w:rPr>
      </w:pPr>
      <w:r w:rsidRPr="002202CC">
        <w:rPr>
          <w:rFonts w:ascii="Calibri" w:hAnsi="Calibri"/>
          <w:sz w:val="24"/>
          <w:szCs w:val="24"/>
          <w:u w:val="single"/>
        </w:rPr>
        <w:t>Public Health Practice</w:t>
      </w:r>
    </w:p>
    <w:p w14:paraId="0E0AFE24" w14:textId="6D79DAF4" w:rsidR="0045341A" w:rsidRPr="002202CC" w:rsidRDefault="001C7F7C" w:rsidP="0068173E">
      <w:pPr>
        <w:spacing w:after="240" w:line="276" w:lineRule="auto"/>
        <w:rPr>
          <w:rFonts w:ascii="Calibri" w:hAnsi="Calibri"/>
          <w:sz w:val="24"/>
          <w:szCs w:val="24"/>
        </w:rPr>
      </w:pPr>
      <w:r>
        <w:rPr>
          <w:rFonts w:ascii="Calibri" w:hAnsi="Calibri"/>
          <w:sz w:val="24"/>
          <w:szCs w:val="24"/>
        </w:rPr>
        <w:t>HHLPSS</w:t>
      </w:r>
      <w:r w:rsidR="0045341A" w:rsidRPr="002202CC">
        <w:rPr>
          <w:rFonts w:ascii="Calibri" w:hAnsi="Calibri"/>
          <w:sz w:val="24"/>
          <w:szCs w:val="24"/>
        </w:rPr>
        <w:t xml:space="preserve"> is a systematic assessment tool of programmatic activities under the non</w:t>
      </w:r>
      <w:r w:rsidR="005343F2" w:rsidRPr="002202CC">
        <w:rPr>
          <w:rFonts w:ascii="Calibri" w:hAnsi="Calibri"/>
          <w:sz w:val="24"/>
          <w:szCs w:val="24"/>
        </w:rPr>
        <w:t>-</w:t>
      </w:r>
      <w:r w:rsidR="0045341A" w:rsidRPr="002202CC">
        <w:rPr>
          <w:rFonts w:ascii="Calibri" w:hAnsi="Calibri"/>
          <w:sz w:val="24"/>
          <w:szCs w:val="24"/>
        </w:rPr>
        <w:t xml:space="preserve">research healthy homes cooperative agreement. In </w:t>
      </w:r>
      <w:r w:rsidR="0045341A" w:rsidRPr="002202CC">
        <w:rPr>
          <w:rFonts w:ascii="Calibri" w:hAnsi="Calibri" w:cs="Calibri"/>
          <w:color w:val="000000"/>
          <w:sz w:val="24"/>
          <w:szCs w:val="24"/>
        </w:rPr>
        <w:t>fiscal</w:t>
      </w:r>
      <w:r w:rsidR="0045341A" w:rsidRPr="002202CC">
        <w:rPr>
          <w:rFonts w:ascii="Calibri" w:hAnsi="Calibri"/>
          <w:sz w:val="24"/>
          <w:szCs w:val="24"/>
        </w:rPr>
        <w:t xml:space="preserve"> year 2011, the budget authorization, appropriation line, and Branch name were changed to reflect Congress’ intention that the Program expand from a sole focus on lead poisoning to a broad mission to improve the nation’s capacity to identify and address housing</w:t>
      </w:r>
      <w:r w:rsidR="00BF418A">
        <w:rPr>
          <w:rFonts w:ascii="Calibri" w:hAnsi="Calibri"/>
          <w:sz w:val="24"/>
          <w:szCs w:val="24"/>
        </w:rPr>
        <w:t>-</w:t>
      </w:r>
      <w:r w:rsidR="0045341A" w:rsidRPr="002202CC">
        <w:rPr>
          <w:rFonts w:ascii="Calibri" w:hAnsi="Calibri"/>
          <w:sz w:val="24"/>
          <w:szCs w:val="24"/>
        </w:rPr>
        <w:t>related health hazards.</w:t>
      </w:r>
    </w:p>
    <w:p w14:paraId="56C461A0" w14:textId="2A09A475" w:rsidR="00FB1711" w:rsidRPr="002202CC" w:rsidRDefault="003F3497" w:rsidP="0068173E">
      <w:pPr>
        <w:spacing w:after="240" w:line="276" w:lineRule="auto"/>
        <w:rPr>
          <w:rFonts w:ascii="Calibri" w:hAnsi="Calibri"/>
          <w:sz w:val="24"/>
          <w:szCs w:val="24"/>
        </w:rPr>
      </w:pPr>
      <w:r w:rsidRPr="002202CC">
        <w:rPr>
          <w:rFonts w:ascii="Calibri" w:hAnsi="Calibri" w:cs="ITCFranklinGothicStd-Book"/>
          <w:sz w:val="24"/>
          <w:szCs w:val="24"/>
        </w:rPr>
        <w:t>Th</w:t>
      </w:r>
      <w:r w:rsidR="00195AD3" w:rsidRPr="002202CC">
        <w:rPr>
          <w:rFonts w:ascii="Calibri" w:hAnsi="Calibri" w:cs="ITCFranklinGothicStd-Book"/>
          <w:sz w:val="24"/>
          <w:szCs w:val="24"/>
        </w:rPr>
        <w:t>e</w:t>
      </w:r>
      <w:r w:rsidR="005F5D75" w:rsidRPr="002202CC">
        <w:rPr>
          <w:rFonts w:ascii="Calibri" w:hAnsi="Calibri" w:cs="ITCFranklinGothicStd-Book"/>
          <w:sz w:val="24"/>
          <w:szCs w:val="24"/>
        </w:rPr>
        <w:t xml:space="preserve"> </w:t>
      </w:r>
      <w:r w:rsidRPr="002202CC">
        <w:rPr>
          <w:rFonts w:ascii="Calibri" w:hAnsi="Calibri" w:cs="ITCFranklinGothicStd-Book"/>
          <w:sz w:val="24"/>
          <w:szCs w:val="24"/>
        </w:rPr>
        <w:t xml:space="preserve">sole </w:t>
      </w:r>
      <w:r w:rsidR="005F5D75" w:rsidRPr="002202CC">
        <w:rPr>
          <w:rFonts w:ascii="Calibri" w:hAnsi="Calibri" w:cs="ITCFranklinGothicStd-Book"/>
          <w:sz w:val="24"/>
          <w:szCs w:val="24"/>
        </w:rPr>
        <w:t xml:space="preserve">purpose of this information collection is “program planning or management” and </w:t>
      </w:r>
      <w:r w:rsidR="00FB1711" w:rsidRPr="002202CC">
        <w:rPr>
          <w:rFonts w:ascii="Calibri" w:hAnsi="Calibri"/>
          <w:sz w:val="24"/>
          <w:szCs w:val="24"/>
        </w:rPr>
        <w:t xml:space="preserve">to provide continuity of information </w:t>
      </w:r>
      <w:r w:rsidR="009F15A7" w:rsidRPr="002202CC">
        <w:rPr>
          <w:rFonts w:ascii="Calibri" w:hAnsi="Calibri"/>
          <w:sz w:val="24"/>
          <w:szCs w:val="24"/>
        </w:rPr>
        <w:t xml:space="preserve">collection for the </w:t>
      </w:r>
      <w:r w:rsidR="00BF418A">
        <w:rPr>
          <w:rFonts w:ascii="Calibri" w:hAnsi="Calibri"/>
          <w:sz w:val="24"/>
          <w:szCs w:val="24"/>
        </w:rPr>
        <w:t>third-</w:t>
      </w:r>
      <w:r w:rsidR="009F15A7" w:rsidRPr="002202CC">
        <w:rPr>
          <w:rFonts w:ascii="Calibri" w:hAnsi="Calibri"/>
          <w:sz w:val="24"/>
          <w:szCs w:val="24"/>
        </w:rPr>
        <w:t xml:space="preserve">year supplement which represents the fourth and final year of the CDC-RFA-EH14-1408PPHF14 cooperative agreement </w:t>
      </w:r>
      <w:r w:rsidR="00FB1711" w:rsidRPr="002202CC">
        <w:rPr>
          <w:rFonts w:ascii="Calibri" w:hAnsi="Calibri"/>
          <w:sz w:val="24"/>
          <w:szCs w:val="24"/>
        </w:rPr>
        <w:t>until the approval of the impending Childhood Blood Lead Surveillance (CBLS) and Adult Blood Lead Epidemiology and Surveillance (ABLES) - OMB Control No. 0920-NEW, which has been summarily submitted for OMB approval. This extension ICR will be discontinued at the end of the program period.</w:t>
      </w:r>
    </w:p>
    <w:p w14:paraId="46E219F5" w14:textId="77777777" w:rsidR="0056252D" w:rsidRPr="002202CC" w:rsidRDefault="0045341A" w:rsidP="0068173E">
      <w:pPr>
        <w:spacing w:after="240" w:line="276" w:lineRule="auto"/>
        <w:rPr>
          <w:rFonts w:ascii="Calibri" w:hAnsi="Calibri"/>
          <w:sz w:val="24"/>
          <w:szCs w:val="24"/>
        </w:rPr>
      </w:pPr>
      <w:r w:rsidRPr="002202CC">
        <w:rPr>
          <w:rFonts w:ascii="Calibri" w:hAnsi="Calibri"/>
          <w:sz w:val="24"/>
          <w:szCs w:val="24"/>
        </w:rPr>
        <w:t xml:space="preserve">This </w:t>
      </w:r>
      <w:r w:rsidR="00605B42" w:rsidRPr="002202CC">
        <w:rPr>
          <w:rFonts w:ascii="Calibri" w:hAnsi="Calibri"/>
          <w:sz w:val="24"/>
          <w:szCs w:val="24"/>
        </w:rPr>
        <w:t>information collection</w:t>
      </w:r>
      <w:r w:rsidRPr="002202CC">
        <w:rPr>
          <w:rFonts w:ascii="Calibri" w:hAnsi="Calibri"/>
          <w:sz w:val="24"/>
          <w:szCs w:val="24"/>
        </w:rPr>
        <w:t xml:space="preserve"> will help CDC NCEH to monitor the activities of the healthy homes programs to ensure that services are timely and consistent with the terms of the cooperative agreement.  </w:t>
      </w:r>
    </w:p>
    <w:p w14:paraId="6B0A95E2" w14:textId="77777777" w:rsidR="0056252D" w:rsidRPr="002202CC" w:rsidRDefault="00316C79" w:rsidP="0068173E">
      <w:pPr>
        <w:spacing w:after="240" w:line="276" w:lineRule="auto"/>
        <w:rPr>
          <w:rFonts w:ascii="Calibri" w:hAnsi="Calibri"/>
          <w:sz w:val="24"/>
          <w:szCs w:val="24"/>
          <w:u w:val="single"/>
        </w:rPr>
      </w:pPr>
      <w:r w:rsidRPr="002202CC">
        <w:rPr>
          <w:rFonts w:ascii="Calibri" w:hAnsi="Calibri"/>
          <w:sz w:val="24"/>
          <w:szCs w:val="24"/>
          <w:u w:val="single"/>
        </w:rPr>
        <w:t>Program Gains</w:t>
      </w:r>
      <w:r w:rsidR="009D21BA" w:rsidRPr="002202CC">
        <w:rPr>
          <w:rFonts w:ascii="Calibri" w:hAnsi="Calibri"/>
          <w:sz w:val="24"/>
          <w:szCs w:val="24"/>
          <w:u w:val="single"/>
        </w:rPr>
        <w:t xml:space="preserve"> and Accomplishments</w:t>
      </w:r>
    </w:p>
    <w:p w14:paraId="1024DCB1" w14:textId="77777777" w:rsidR="00F34EAF" w:rsidRPr="002202CC" w:rsidRDefault="00A250EC" w:rsidP="0068173E">
      <w:pPr>
        <w:widowControl w:val="0"/>
        <w:autoSpaceDE w:val="0"/>
        <w:autoSpaceDN w:val="0"/>
        <w:adjustRightInd w:val="0"/>
        <w:spacing w:after="240" w:line="276" w:lineRule="auto"/>
        <w:rPr>
          <w:rFonts w:ascii="Calibri" w:hAnsi="Calibri"/>
          <w:sz w:val="24"/>
          <w:szCs w:val="24"/>
        </w:rPr>
      </w:pPr>
      <w:r w:rsidRPr="002202CC">
        <w:rPr>
          <w:rFonts w:ascii="Calibri" w:hAnsi="Calibri"/>
          <w:sz w:val="24"/>
          <w:szCs w:val="24"/>
        </w:rPr>
        <w:t xml:space="preserve">Forty years ago, more than 99% of the US population had elevated blood lead levels by today’s standards (&gt;5 µg/dL). The Lead Contamination Control Act of 1988 had a tremendous impact on public health because it supported the creation of childhood lead poisoning prevention programs to identify, monitor, and respond to cases of elevated blood lead levels in US children. Between 1991 and 2006, the percent of US children ages 1 to 5 years old with blood lead levels &gt;10 µg/dL fell from 4.4% to 0.6%. </w:t>
      </w:r>
    </w:p>
    <w:p w14:paraId="713320D4" w14:textId="77777777" w:rsidR="00A250EC" w:rsidRPr="002202CC" w:rsidRDefault="00A250EC" w:rsidP="0068173E">
      <w:pPr>
        <w:widowControl w:val="0"/>
        <w:autoSpaceDE w:val="0"/>
        <w:autoSpaceDN w:val="0"/>
        <w:adjustRightInd w:val="0"/>
        <w:spacing w:after="240" w:line="276" w:lineRule="auto"/>
        <w:rPr>
          <w:rFonts w:ascii="Calibri" w:hAnsi="Calibri"/>
          <w:sz w:val="24"/>
          <w:szCs w:val="24"/>
        </w:rPr>
      </w:pPr>
      <w:r w:rsidRPr="002202CC">
        <w:rPr>
          <w:rFonts w:ascii="Calibri" w:hAnsi="Calibri"/>
          <w:sz w:val="24"/>
          <w:szCs w:val="24"/>
        </w:rPr>
        <w:t xml:space="preserve">We can attribute much of this remarkable public health success to many of CDC’s efforts including supporting state and local health departments to develop prevention and surveillance programs to identify and monitor where children are most likely to be exposed to dangerous levels of lead, developing safe renovation guidelines, and educating parents, the general public, and health care providers.  </w:t>
      </w:r>
    </w:p>
    <w:p w14:paraId="517F5D80" w14:textId="77777777" w:rsidR="00DC75E8" w:rsidRPr="002202CC" w:rsidRDefault="00DC75E8" w:rsidP="0068173E">
      <w:pPr>
        <w:autoSpaceDE w:val="0"/>
        <w:autoSpaceDN w:val="0"/>
        <w:adjustRightInd w:val="0"/>
        <w:spacing w:after="240" w:line="276" w:lineRule="auto"/>
        <w:rPr>
          <w:rFonts w:ascii="Calibri" w:hAnsi="Calibri" w:cs="Calibri"/>
          <w:color w:val="000000"/>
          <w:sz w:val="24"/>
          <w:szCs w:val="24"/>
        </w:rPr>
      </w:pPr>
      <w:r w:rsidRPr="002202CC">
        <w:rPr>
          <w:rFonts w:ascii="Calibri" w:hAnsi="Calibri" w:cs="Calibri"/>
          <w:color w:val="000000"/>
          <w:sz w:val="24"/>
          <w:szCs w:val="24"/>
        </w:rPr>
        <w:t xml:space="preserve">During the past three years, the HHLPPP met annually with </w:t>
      </w:r>
      <w:r w:rsidRPr="002202CC">
        <w:rPr>
          <w:rFonts w:ascii="Calibri" w:hAnsi="Calibri"/>
          <w:sz w:val="24"/>
          <w:szCs w:val="24"/>
        </w:rPr>
        <w:t>CDC-RFA-EH14-1408PPHF14 cooperative agreement</w:t>
      </w:r>
      <w:r w:rsidRPr="002202CC">
        <w:rPr>
          <w:rFonts w:ascii="Calibri" w:hAnsi="Calibri" w:cs="Calibri"/>
          <w:color w:val="000000"/>
          <w:sz w:val="24"/>
          <w:szCs w:val="24"/>
        </w:rPr>
        <w:t xml:space="preserve"> progra</w:t>
      </w:r>
      <w:r w:rsidR="002202CC" w:rsidRPr="002202CC">
        <w:rPr>
          <w:rFonts w:ascii="Calibri" w:hAnsi="Calibri" w:cs="Calibri"/>
          <w:color w:val="000000"/>
          <w:sz w:val="24"/>
          <w:szCs w:val="24"/>
        </w:rPr>
        <w:t>m managers,</w:t>
      </w:r>
      <w:r w:rsidRPr="002202CC">
        <w:rPr>
          <w:rFonts w:ascii="Calibri" w:hAnsi="Calibri" w:cs="Calibri"/>
          <w:color w:val="000000"/>
          <w:sz w:val="24"/>
          <w:szCs w:val="24"/>
        </w:rPr>
        <w:t xml:space="preserve"> worked with them to identify children at highest risk for lead exposure and targeted prevention activities to eliminate childhood lead poisoning in awardee jurisdictions. </w:t>
      </w:r>
    </w:p>
    <w:p w14:paraId="1E32D457" w14:textId="77777777" w:rsidR="00482812" w:rsidRPr="002202CC" w:rsidRDefault="00482812" w:rsidP="0068173E">
      <w:pPr>
        <w:autoSpaceDE w:val="0"/>
        <w:autoSpaceDN w:val="0"/>
        <w:adjustRightInd w:val="0"/>
        <w:spacing w:after="240" w:line="276" w:lineRule="auto"/>
        <w:rPr>
          <w:rFonts w:ascii="Calibri" w:hAnsi="Calibri" w:cs="Calibri"/>
          <w:color w:val="000000"/>
          <w:sz w:val="24"/>
          <w:szCs w:val="24"/>
        </w:rPr>
      </w:pPr>
      <w:r w:rsidRPr="002202CC">
        <w:rPr>
          <w:rFonts w:ascii="Calibri" w:hAnsi="Calibri" w:cs="Calibri"/>
          <w:color w:val="000000"/>
          <w:sz w:val="24"/>
          <w:szCs w:val="24"/>
        </w:rPr>
        <w:t>During 2014-</w:t>
      </w:r>
      <w:r w:rsidR="00B6011E" w:rsidRPr="002202CC">
        <w:rPr>
          <w:rFonts w:ascii="Calibri" w:hAnsi="Calibri" w:cs="Calibri"/>
          <w:color w:val="000000"/>
          <w:sz w:val="24"/>
          <w:szCs w:val="24"/>
        </w:rPr>
        <w:t>2017</w:t>
      </w:r>
      <w:r w:rsidRPr="002202CC">
        <w:rPr>
          <w:rFonts w:ascii="Calibri" w:hAnsi="Calibri" w:cs="Calibri"/>
          <w:color w:val="000000"/>
          <w:sz w:val="24"/>
          <w:szCs w:val="24"/>
        </w:rPr>
        <w:t xml:space="preserve">, the HHLPPP produced </w:t>
      </w:r>
      <w:r w:rsidR="0096150F" w:rsidRPr="002202CC">
        <w:rPr>
          <w:rFonts w:ascii="Calibri" w:hAnsi="Calibri" w:cs="Calibri"/>
          <w:color w:val="000000"/>
          <w:sz w:val="24"/>
          <w:szCs w:val="24"/>
        </w:rPr>
        <w:t xml:space="preserve">17 </w:t>
      </w:r>
      <w:r w:rsidR="00936836" w:rsidRPr="002202CC">
        <w:rPr>
          <w:rFonts w:ascii="Calibri" w:hAnsi="Calibri" w:cs="Calibri"/>
          <w:color w:val="000000"/>
          <w:sz w:val="24"/>
          <w:szCs w:val="24"/>
        </w:rPr>
        <w:t xml:space="preserve">peer-reviewed </w:t>
      </w:r>
      <w:r w:rsidRPr="002202CC">
        <w:rPr>
          <w:rFonts w:ascii="Calibri" w:hAnsi="Calibri" w:cs="Calibri"/>
          <w:color w:val="000000"/>
          <w:sz w:val="24"/>
          <w:szCs w:val="24"/>
        </w:rPr>
        <w:t xml:space="preserve">publications (see </w:t>
      </w:r>
      <w:r w:rsidR="00DC75E8" w:rsidRPr="002202CC">
        <w:rPr>
          <w:rFonts w:ascii="Calibri" w:hAnsi="Calibri" w:cs="Calibri"/>
          <w:color w:val="000000"/>
          <w:sz w:val="24"/>
          <w:szCs w:val="24"/>
        </w:rPr>
        <w:t>References</w:t>
      </w:r>
      <w:r w:rsidRPr="002202CC">
        <w:rPr>
          <w:rFonts w:ascii="Calibri" w:hAnsi="Calibri" w:cs="Calibri"/>
          <w:color w:val="000000"/>
          <w:sz w:val="24"/>
          <w:szCs w:val="24"/>
        </w:rPr>
        <w:t>)</w:t>
      </w:r>
      <w:r w:rsidRPr="00396835">
        <w:rPr>
          <w:rFonts w:ascii="Calibri" w:hAnsi="Calibri" w:cs="Calibri"/>
          <w:color w:val="000000"/>
          <w:sz w:val="24"/>
          <w:szCs w:val="24"/>
        </w:rPr>
        <w:t>.</w:t>
      </w:r>
      <w:r w:rsidRPr="002202CC">
        <w:rPr>
          <w:rFonts w:ascii="Calibri" w:hAnsi="Calibri" w:cs="Calibri"/>
          <w:color w:val="000000"/>
          <w:sz w:val="24"/>
          <w:szCs w:val="24"/>
        </w:rPr>
        <w:t xml:space="preserve"> Additional examples of t</w:t>
      </w:r>
      <w:r w:rsidRPr="002202CC">
        <w:rPr>
          <w:rFonts w:ascii="Calibri" w:hAnsi="Calibri"/>
          <w:sz w:val="24"/>
          <w:szCs w:val="24"/>
        </w:rPr>
        <w:t xml:space="preserve">he </w:t>
      </w:r>
      <w:r w:rsidR="00166F78" w:rsidRPr="002202CC">
        <w:rPr>
          <w:rFonts w:ascii="Calibri" w:hAnsi="Calibri"/>
          <w:sz w:val="24"/>
          <w:szCs w:val="24"/>
        </w:rPr>
        <w:t xml:space="preserve">CDC-RFA-EH14-1408PPHF14 cooperative agreement </w:t>
      </w:r>
      <w:r w:rsidRPr="002202CC">
        <w:rPr>
          <w:rFonts w:ascii="Calibri" w:hAnsi="Calibri"/>
          <w:sz w:val="24"/>
          <w:szCs w:val="24"/>
        </w:rPr>
        <w:t>program accomplishments are below:</w:t>
      </w:r>
    </w:p>
    <w:p w14:paraId="1F08C31B" w14:textId="77777777" w:rsidR="00482812" w:rsidRPr="002202CC" w:rsidRDefault="00482812" w:rsidP="0068173E">
      <w:pPr>
        <w:autoSpaceDE w:val="0"/>
        <w:autoSpaceDN w:val="0"/>
        <w:adjustRightInd w:val="0"/>
        <w:spacing w:before="240" w:after="240" w:line="276" w:lineRule="auto"/>
        <w:rPr>
          <w:rFonts w:ascii="Calibri" w:hAnsi="Calibri"/>
          <w:sz w:val="24"/>
          <w:szCs w:val="24"/>
          <w:u w:val="single"/>
        </w:rPr>
      </w:pPr>
      <w:r w:rsidRPr="002202CC">
        <w:rPr>
          <w:rFonts w:ascii="Calibri" w:hAnsi="Calibri"/>
          <w:sz w:val="24"/>
          <w:szCs w:val="24"/>
          <w:u w:val="single"/>
        </w:rPr>
        <w:t>2014 (Year 1):</w:t>
      </w:r>
    </w:p>
    <w:p w14:paraId="2E31B0CF" w14:textId="77777777" w:rsidR="00482812" w:rsidRPr="002202CC" w:rsidRDefault="00482812" w:rsidP="0068173E">
      <w:pPr>
        <w:pStyle w:val="ListParagraph"/>
        <w:numPr>
          <w:ilvl w:val="0"/>
          <w:numId w:val="7"/>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sz w:val="24"/>
          <w:szCs w:val="24"/>
        </w:rPr>
        <w:t>JT Lewis Site Investigation/Epi-Aid with ATSDR, EPA, and Philadelphia Department of Health (</w:t>
      </w:r>
      <w:r w:rsidRPr="002202CC">
        <w:rPr>
          <w:rFonts w:ascii="Calibri" w:hAnsi="Calibri" w:cs="Arial"/>
          <w:sz w:val="24"/>
          <w:szCs w:val="24"/>
        </w:rPr>
        <w:t xml:space="preserve">Emergency Epidemic Investigations; </w:t>
      </w:r>
      <w:r w:rsidRPr="002202CC">
        <w:rPr>
          <w:rFonts w:ascii="Calibri" w:hAnsi="Calibri"/>
          <w:sz w:val="24"/>
          <w:szCs w:val="24"/>
        </w:rPr>
        <w:t>OMB Control No. 0920-0008; expiration date 07/31/2014).</w:t>
      </w:r>
    </w:p>
    <w:p w14:paraId="4358D269" w14:textId="77777777" w:rsidR="00482812" w:rsidRPr="002202CC" w:rsidRDefault="00482812" w:rsidP="0068173E">
      <w:pPr>
        <w:autoSpaceDE w:val="0"/>
        <w:autoSpaceDN w:val="0"/>
        <w:adjustRightInd w:val="0"/>
        <w:spacing w:after="240" w:line="276" w:lineRule="auto"/>
        <w:rPr>
          <w:rFonts w:ascii="Calibri" w:hAnsi="Calibri" w:cs="Calibri"/>
          <w:color w:val="000000"/>
          <w:sz w:val="24"/>
          <w:szCs w:val="24"/>
          <w:u w:val="single"/>
        </w:rPr>
      </w:pPr>
      <w:r w:rsidRPr="002202CC">
        <w:rPr>
          <w:rFonts w:ascii="Calibri" w:hAnsi="Calibri" w:cs="Calibri"/>
          <w:color w:val="000000"/>
          <w:sz w:val="24"/>
          <w:szCs w:val="24"/>
          <w:u w:val="single"/>
        </w:rPr>
        <w:t>Awardee Activities:</w:t>
      </w:r>
    </w:p>
    <w:p w14:paraId="418CDE7C" w14:textId="77777777" w:rsidR="00482812" w:rsidRPr="002202CC" w:rsidRDefault="00482812" w:rsidP="0068173E">
      <w:pPr>
        <w:pStyle w:val="ListParagraph"/>
        <w:numPr>
          <w:ilvl w:val="0"/>
          <w:numId w:val="8"/>
        </w:numPr>
        <w:autoSpaceDE w:val="0"/>
        <w:autoSpaceDN w:val="0"/>
        <w:adjustRightInd w:val="0"/>
        <w:spacing w:after="240" w:line="276" w:lineRule="auto"/>
        <w:contextualSpacing w:val="0"/>
        <w:rPr>
          <w:rFonts w:ascii="Calibri" w:hAnsi="Calibri"/>
          <w:sz w:val="24"/>
          <w:szCs w:val="24"/>
          <w:u w:val="single"/>
        </w:rPr>
      </w:pPr>
      <w:r w:rsidRPr="002202CC">
        <w:rPr>
          <w:rFonts w:ascii="Calibri" w:hAnsi="Calibri" w:cs="Calibri"/>
          <w:color w:val="000000"/>
          <w:sz w:val="24"/>
          <w:szCs w:val="24"/>
        </w:rPr>
        <w:t xml:space="preserve">New York City identified lead hazards related to Bo Ying Compound, which is marketed for treatment of ailments in infants and children. The City reported its finding to the Food and Drug Administration (FDA). See Public Safety Alert at </w:t>
      </w:r>
      <w:hyperlink r:id="rId9" w:history="1">
        <w:r w:rsidRPr="002202CC">
          <w:rPr>
            <w:rStyle w:val="Hyperlink"/>
            <w:rFonts w:ascii="Calibri" w:hAnsi="Calibri"/>
            <w:sz w:val="24"/>
            <w:szCs w:val="24"/>
          </w:rPr>
          <w:t>http://www.fda.gov/Safety/MedWatch/SafetyInformation/SafetyAlertsforHumanMedicalProducts/ucm416441.htm</w:t>
        </w:r>
      </w:hyperlink>
    </w:p>
    <w:p w14:paraId="54401ACE" w14:textId="77777777" w:rsidR="00482812" w:rsidRPr="002202CC" w:rsidRDefault="00482812" w:rsidP="0068173E">
      <w:pPr>
        <w:autoSpaceDE w:val="0"/>
        <w:autoSpaceDN w:val="0"/>
        <w:adjustRightInd w:val="0"/>
        <w:spacing w:before="360" w:after="240" w:line="276" w:lineRule="auto"/>
        <w:rPr>
          <w:rFonts w:ascii="Calibri" w:hAnsi="Calibri" w:cs="Calibri"/>
          <w:color w:val="000000"/>
          <w:sz w:val="24"/>
          <w:szCs w:val="24"/>
        </w:rPr>
      </w:pPr>
      <w:r w:rsidRPr="002202CC">
        <w:rPr>
          <w:rFonts w:ascii="Calibri" w:hAnsi="Calibri"/>
          <w:sz w:val="24"/>
          <w:szCs w:val="24"/>
          <w:u w:val="single"/>
        </w:rPr>
        <w:t>2015 (Year 2):</w:t>
      </w:r>
    </w:p>
    <w:p w14:paraId="3A512FEC" w14:textId="77777777" w:rsidR="00482812" w:rsidRPr="002202CC" w:rsidRDefault="00482812" w:rsidP="0068173E">
      <w:pPr>
        <w:pStyle w:val="ListParagraph"/>
        <w:numPr>
          <w:ilvl w:val="0"/>
          <w:numId w:val="8"/>
        </w:numPr>
        <w:autoSpaceDE w:val="0"/>
        <w:autoSpaceDN w:val="0"/>
        <w:adjustRightInd w:val="0"/>
        <w:spacing w:after="240" w:line="276" w:lineRule="auto"/>
        <w:ind w:right="667"/>
        <w:contextualSpacing w:val="0"/>
        <w:rPr>
          <w:rFonts w:ascii="Calibri" w:hAnsi="Calibri" w:cs="Calibri"/>
          <w:color w:val="000000"/>
          <w:sz w:val="24"/>
          <w:szCs w:val="24"/>
        </w:rPr>
      </w:pPr>
      <w:r w:rsidRPr="002202CC">
        <w:rPr>
          <w:rFonts w:ascii="Calibri" w:hAnsi="Calibri" w:cs="Calibri"/>
          <w:color w:val="000000"/>
          <w:sz w:val="24"/>
          <w:szCs w:val="24"/>
        </w:rPr>
        <w:t>HHLPPP completed data analysis for the JT Lewis Site Investigation/Epi-Aid in conjunction with the US Environmental Protection Agency (EPA) and the Philadelphia Health Department. The final report is in development.</w:t>
      </w:r>
    </w:p>
    <w:p w14:paraId="57A83777" w14:textId="77777777" w:rsidR="00482812" w:rsidRPr="002202CC" w:rsidRDefault="00482812" w:rsidP="0068173E">
      <w:pPr>
        <w:autoSpaceDE w:val="0"/>
        <w:autoSpaceDN w:val="0"/>
        <w:adjustRightInd w:val="0"/>
        <w:spacing w:after="240" w:line="276" w:lineRule="auto"/>
        <w:rPr>
          <w:rFonts w:ascii="Calibri" w:hAnsi="Calibri" w:cs="Calibri"/>
          <w:color w:val="000000"/>
          <w:sz w:val="24"/>
          <w:szCs w:val="24"/>
          <w:u w:val="single"/>
        </w:rPr>
      </w:pPr>
      <w:r w:rsidRPr="002202CC">
        <w:rPr>
          <w:rFonts w:ascii="Calibri" w:hAnsi="Calibri" w:cs="Calibri"/>
          <w:color w:val="000000"/>
          <w:sz w:val="24"/>
          <w:szCs w:val="24"/>
          <w:u w:val="single"/>
        </w:rPr>
        <w:t>Awardee Activities:</w:t>
      </w:r>
    </w:p>
    <w:p w14:paraId="6B64BC0D" w14:textId="77777777" w:rsidR="00482812" w:rsidRPr="002202CC" w:rsidRDefault="00482812" w:rsidP="0068173E">
      <w:pPr>
        <w:pStyle w:val="ListParagraph"/>
        <w:numPr>
          <w:ilvl w:val="0"/>
          <w:numId w:val="9"/>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Rhode Island used the cooperative agreement to create reports for all schools in the state showing screening rates in all schools.</w:t>
      </w:r>
    </w:p>
    <w:p w14:paraId="128F272D" w14:textId="77777777" w:rsidR="00482812" w:rsidRPr="002202CC" w:rsidRDefault="00482812" w:rsidP="0068173E">
      <w:pPr>
        <w:pStyle w:val="ListParagraph"/>
        <w:numPr>
          <w:ilvl w:val="0"/>
          <w:numId w:val="9"/>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 xml:space="preserve">New York City created and shared a poster for the Chinese community on Bo Ying Compound. The compound, marketed for treatment of ailments in infants and children, may contain excessive levels of lead. The poster has been distributed throughout the Chinese communities in New York City and Washington State, supporting lead poisoning prevention efforts and showing collaborative effort from the cooperative agreement. </w:t>
      </w:r>
    </w:p>
    <w:p w14:paraId="18DEA4EB" w14:textId="77777777" w:rsidR="00DC75E8" w:rsidRPr="002202CC" w:rsidRDefault="00DC75E8" w:rsidP="0068173E">
      <w:pPr>
        <w:pStyle w:val="ListParagraph"/>
        <w:numPr>
          <w:ilvl w:val="0"/>
          <w:numId w:val="9"/>
        </w:numPr>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 xml:space="preserve">New Jersey: The program identified the need for a recovery project that increased residents’ knowledge of the connections between health and housing; ensured a competent health, social services, and housing professional workforce that is knowledgeable on the health impacts of housing conditions; and increased access to blood lead screenings for high-risk residents. The NJ Healthy Homes Training Center (HHTC), a public/private partnership between NJ DOH and Isles, Inc, a Trenton-based non-profit community development agency, developed a one-hour public education presentation “Creating a Healthy Home after a Hurricane or Flood” Local health departments conducted targeted screening using the LeadCare II blood lead analyzer. Statewide, in SFY2014, 2.9% of children less than 17 years of age had a blood lead level 5 µg/dL or greater. The recovery project identified a rate of 7.2% (95% confidence interval). </w:t>
      </w:r>
    </w:p>
    <w:p w14:paraId="30698E5C" w14:textId="77777777" w:rsidR="00DC75E8" w:rsidRPr="002202CC" w:rsidRDefault="00DC75E8" w:rsidP="0068173E">
      <w:pPr>
        <w:pStyle w:val="ListParagraph"/>
        <w:numPr>
          <w:ilvl w:val="0"/>
          <w:numId w:val="9"/>
        </w:numPr>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 xml:space="preserve">Oklahoma: OCLPPP has had two meetings with the Oklahoma Health Care Authority (OHCA) to discuss a data sharing agreement to obtain a waiver of universal lead screening of all Medicaid children and focus on targeted screening for children who live in high risk areas.  The purpose is to compare the rates of children being screened on Medicaid versus those not on Medicaid. This can be compared to national screening levels of children on Medicaid </w:t>
      </w:r>
      <w:r w:rsidR="002202CC" w:rsidRPr="002202CC">
        <w:rPr>
          <w:rFonts w:ascii="Calibri" w:hAnsi="Calibri" w:cs="Calibri"/>
          <w:color w:val="000000"/>
          <w:sz w:val="24"/>
          <w:szCs w:val="24"/>
        </w:rPr>
        <w:t>and</w:t>
      </w:r>
      <w:r w:rsidRPr="002202CC">
        <w:rPr>
          <w:rFonts w:ascii="Calibri" w:hAnsi="Calibri" w:cs="Calibri"/>
          <w:color w:val="000000"/>
          <w:sz w:val="24"/>
          <w:szCs w:val="24"/>
        </w:rPr>
        <w:t xml:space="preserve"> to determine if there are areas in the state that have very low screening rates.  These areas can be targeted to increase screening and ensure that decisions made on low risk and high risk areas are data-driven.  This will also allow OCLPPP to explore option for billing for services such as environmental investigations for children covered by Medicaid. </w:t>
      </w:r>
    </w:p>
    <w:p w14:paraId="5C8721BB" w14:textId="77777777" w:rsidR="00DC75E8" w:rsidRPr="00CA00D3" w:rsidRDefault="00DC75E8" w:rsidP="00396835">
      <w:pPr>
        <w:pStyle w:val="ListParagraph"/>
        <w:numPr>
          <w:ilvl w:val="0"/>
          <w:numId w:val="9"/>
        </w:numPr>
        <w:spacing w:after="240" w:line="276" w:lineRule="auto"/>
        <w:contextualSpacing w:val="0"/>
        <w:rPr>
          <w:rFonts w:ascii="Calibri" w:hAnsi="Calibri" w:cs="Calibri"/>
          <w:color w:val="000000"/>
          <w:sz w:val="24"/>
          <w:szCs w:val="24"/>
        </w:rPr>
      </w:pPr>
      <w:r w:rsidRPr="00CA00D3">
        <w:rPr>
          <w:rFonts w:ascii="Calibri" w:hAnsi="Calibri" w:cs="Calibri"/>
          <w:color w:val="000000"/>
          <w:sz w:val="24"/>
          <w:szCs w:val="24"/>
        </w:rPr>
        <w:t>Wisconsin-Minnesota Success Story: Fraser Shipyard Lead Investigation Plan</w:t>
      </w:r>
      <w:r w:rsidR="00CA00D3" w:rsidRPr="00CA00D3">
        <w:rPr>
          <w:rFonts w:ascii="Calibri" w:hAnsi="Calibri" w:cs="Calibri"/>
          <w:color w:val="000000"/>
          <w:sz w:val="24"/>
          <w:szCs w:val="24"/>
        </w:rPr>
        <w:t>.</w:t>
      </w:r>
      <w:r w:rsidR="00CA00D3">
        <w:rPr>
          <w:rFonts w:ascii="Calibri" w:hAnsi="Calibri" w:cs="Calibri"/>
          <w:color w:val="000000"/>
          <w:sz w:val="24"/>
          <w:szCs w:val="24"/>
        </w:rPr>
        <w:t xml:space="preserve"> </w:t>
      </w:r>
      <w:r w:rsidRPr="00CA00D3">
        <w:rPr>
          <w:rFonts w:ascii="Calibri" w:hAnsi="Calibri" w:cs="Calibri"/>
          <w:color w:val="000000"/>
          <w:sz w:val="24"/>
          <w:szCs w:val="24"/>
        </w:rPr>
        <w:t xml:space="preserve">Renovations in early 2015 at the Fraser Shipyard on the Wisconsin-Minnesota border resulted in elevated blood lead levels (EBLLs) in three employees working on the project. The investigation and response resulted in a large-scale collaboration between the Minnesota Department of Health (MDH), the Wisconsin Department of Health Services (WI DHS), OSHA, and Wisconsin Local Public Health Agencies (LPHAs). The collaboration took a three-pronged approach to the situation: a survey to assess the worksite and take home risk of lead exposure and lead exposure related symptoms; blood-lead sampling by health departments in both states to track blood lead levels of workers and their families; and environmental sampling by a certified professional for residences and vehicles from confirmed cases. Of the 357 workers who were potentially exposed to lead hazards at the shipyard, 233 had at least one blood lead screening. Worker protection and medical monitoring has increased due to this incident, and policies and procedures have been reevaluated in light of the challenges faced throughout this event. </w:t>
      </w:r>
    </w:p>
    <w:p w14:paraId="4725F99F" w14:textId="77777777" w:rsidR="00482812" w:rsidRPr="002202CC" w:rsidRDefault="00482812" w:rsidP="0068173E">
      <w:pPr>
        <w:autoSpaceDE w:val="0"/>
        <w:autoSpaceDN w:val="0"/>
        <w:adjustRightInd w:val="0"/>
        <w:spacing w:before="360" w:after="240" w:line="276" w:lineRule="auto"/>
        <w:rPr>
          <w:rFonts w:ascii="Calibri" w:hAnsi="Calibri"/>
          <w:sz w:val="24"/>
          <w:szCs w:val="24"/>
          <w:u w:val="single"/>
        </w:rPr>
      </w:pPr>
      <w:r w:rsidRPr="002202CC">
        <w:rPr>
          <w:rFonts w:ascii="Calibri" w:hAnsi="Calibri"/>
          <w:sz w:val="24"/>
          <w:szCs w:val="24"/>
          <w:u w:val="single"/>
        </w:rPr>
        <w:t>2016 (Year 3):</w:t>
      </w:r>
    </w:p>
    <w:p w14:paraId="16E617D0" w14:textId="77777777" w:rsidR="00482812" w:rsidRPr="002202CC" w:rsidRDefault="00482812" w:rsidP="0068173E">
      <w:pPr>
        <w:pStyle w:val="ListParagraph"/>
        <w:numPr>
          <w:ilvl w:val="0"/>
          <w:numId w:val="10"/>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The HHLPPP supported CDC’s response to the lead contamination of drinking water in Flint, Michigan, including Emergency Operations Center (EOC) activation, data management, and community outreach.</w:t>
      </w:r>
    </w:p>
    <w:p w14:paraId="142C523E" w14:textId="77777777" w:rsidR="00482812" w:rsidRPr="002202CC" w:rsidRDefault="00482812" w:rsidP="0068173E">
      <w:pPr>
        <w:pStyle w:val="ListParagraph"/>
        <w:numPr>
          <w:ilvl w:val="1"/>
          <w:numId w:val="10"/>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Assisted Flint in response to the water contamination crisis with monitoring BLLs in more than 50% of the community’s children under 6 years of age, connecting more than 90% of children with elevated BLLs to case management.</w:t>
      </w:r>
    </w:p>
    <w:p w14:paraId="035BD989" w14:textId="77777777" w:rsidR="00482812" w:rsidRPr="002202CC" w:rsidRDefault="00482812" w:rsidP="0068173E">
      <w:pPr>
        <w:pStyle w:val="ListParagraph"/>
        <w:numPr>
          <w:ilvl w:val="1"/>
          <w:numId w:val="10"/>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 xml:space="preserve">Created an activity book to offer parents an interactive way to talk to their kids about lead in water. </w:t>
      </w:r>
    </w:p>
    <w:p w14:paraId="75B51B68" w14:textId="77777777" w:rsidR="00482812" w:rsidRPr="002202CC" w:rsidRDefault="00482812" w:rsidP="0068173E">
      <w:pPr>
        <w:pStyle w:val="ListParagraph"/>
        <w:numPr>
          <w:ilvl w:val="0"/>
          <w:numId w:val="10"/>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 xml:space="preserve">Collaborated with leadership from the NCEH Communications team for an innovation project related to a CDC lead poisoning prevention program redesign (as part of the HHS Ignite Accelerator program). </w:t>
      </w:r>
    </w:p>
    <w:p w14:paraId="3FE95F4A" w14:textId="77777777" w:rsidR="00482812" w:rsidRPr="002202CC" w:rsidRDefault="00482812" w:rsidP="0068173E">
      <w:pPr>
        <w:pStyle w:val="ListParagraph"/>
        <w:numPr>
          <w:ilvl w:val="0"/>
          <w:numId w:val="10"/>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 xml:space="preserve">Provided data that supported the U.S. Department of Housing and Urban Development’s plan to ban smoking in public housing. </w:t>
      </w:r>
    </w:p>
    <w:p w14:paraId="76F9731F" w14:textId="77777777" w:rsidR="00482812" w:rsidRPr="002202CC" w:rsidRDefault="00482812" w:rsidP="0068173E">
      <w:pPr>
        <w:pStyle w:val="ListParagraph"/>
        <w:numPr>
          <w:ilvl w:val="0"/>
          <w:numId w:val="10"/>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 xml:space="preserve">Raised awareness about lead poisoning during October’s National Lead Poisoning Prevention Week via the tri-agency toolkit with customizable resources for state and local governments and organizations to develop their own campaigns. </w:t>
      </w:r>
    </w:p>
    <w:p w14:paraId="5AC252EA" w14:textId="77777777" w:rsidR="00482812" w:rsidRPr="002202CC" w:rsidRDefault="00482812" w:rsidP="0068173E">
      <w:pPr>
        <w:autoSpaceDE w:val="0"/>
        <w:autoSpaceDN w:val="0"/>
        <w:adjustRightInd w:val="0"/>
        <w:spacing w:after="240" w:line="276" w:lineRule="auto"/>
        <w:rPr>
          <w:rFonts w:ascii="Calibri" w:hAnsi="Calibri" w:cs="Calibri"/>
          <w:color w:val="000000"/>
          <w:sz w:val="24"/>
          <w:szCs w:val="24"/>
          <w:u w:val="single"/>
        </w:rPr>
      </w:pPr>
      <w:r w:rsidRPr="002202CC">
        <w:rPr>
          <w:rFonts w:ascii="Calibri" w:hAnsi="Calibri" w:cs="Calibri"/>
          <w:color w:val="000000"/>
          <w:sz w:val="24"/>
          <w:szCs w:val="24"/>
          <w:u w:val="single"/>
        </w:rPr>
        <w:t>Awardee Activities:</w:t>
      </w:r>
    </w:p>
    <w:p w14:paraId="6BF3AF26" w14:textId="77777777" w:rsidR="00186024" w:rsidRPr="002202CC" w:rsidRDefault="00482812" w:rsidP="0068173E">
      <w:pPr>
        <w:pStyle w:val="ListParagraph"/>
        <w:numPr>
          <w:ilvl w:val="0"/>
          <w:numId w:val="12"/>
        </w:numPr>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 xml:space="preserve">The District of Columbia program worked with the Centers for Medicaid and Medicare Services (CMS) and the College of American Pathologists (CAP) to have labs report blood sample type as a requirement for maintaining accreditation—this success contributes to more-accurate surveillance of pediatric BLLs nationwide, improving the knowledge of the true burden of lead poisoning. </w:t>
      </w:r>
    </w:p>
    <w:p w14:paraId="7E934454" w14:textId="77777777" w:rsidR="00666D11" w:rsidRPr="002202CC" w:rsidRDefault="00666D11" w:rsidP="0068173E">
      <w:pPr>
        <w:pStyle w:val="ListParagraph"/>
        <w:widowControl w:val="0"/>
        <w:numPr>
          <w:ilvl w:val="0"/>
          <w:numId w:val="11"/>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New York City: In New York City, over 300,000 children under 6 years of age are tested annually.  Since 2010, the number of children with blood lead levels at or above the 5 micrograms per deciliter (µg/dL) has decreased from 13,000 children in 2010 to 6,000 children in 2014. The lead surveillance program used small-area analyses to identify neighborhoods with higher blood lead levels. Within one neighborhood with a high rate of lead poisoning, the vast majority of children with the highest blood lead levels resided in an area home to a large Hasidic Jewish community. The lead program collaborated with local political and religious leaders and worked with trusted community based organizations to increase awareness about childhood lead poisoning prevention and all information was translated into Yiddish.</w:t>
      </w:r>
    </w:p>
    <w:p w14:paraId="72B150B6" w14:textId="77777777" w:rsidR="00666D11" w:rsidRPr="002202CC" w:rsidRDefault="00666D11" w:rsidP="0068173E">
      <w:pPr>
        <w:pStyle w:val="ListParagraph"/>
        <w:widowControl w:val="0"/>
        <w:numPr>
          <w:ilvl w:val="0"/>
          <w:numId w:val="11"/>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Rhode Island: In 2011, four core cities in Rhode Island reported having three times the number of children with elevated blood lead levels ≥10 µg/dL compared to other Rhode Island cities and towns. An estimated 80% of Rhode Island homes were built before 1978 and likely contain lead-based paint hazards which can create lead dust hazards during renovations to these homes. Rhode Island implemented the US EPA’s 2010 Lead-Based Paint Renovation, Repair and Painting (RRP) Rule that requires workers to be certified and trained in the use of lead-safe work practices, and requires renovation, repair, and painting firms to be licensed by the department of health.  Following the first full year of the program, there were 225 fewer children in Rhode Island with elevated blood levels and 180 cases of RRP violations were prosecuted for failure to obtain lead-safe certificates for rental units.</w:t>
      </w:r>
    </w:p>
    <w:p w14:paraId="17723C3F" w14:textId="77777777" w:rsidR="00666D11" w:rsidRPr="002202CC" w:rsidRDefault="00666D11" w:rsidP="0068173E">
      <w:pPr>
        <w:pStyle w:val="ListParagraph"/>
        <w:widowControl w:val="0"/>
        <w:numPr>
          <w:ilvl w:val="0"/>
          <w:numId w:val="11"/>
        </w:numPr>
        <w:autoSpaceDE w:val="0"/>
        <w:autoSpaceDN w:val="0"/>
        <w:adjustRightInd w:val="0"/>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Louisiana: Louisiana state data demonstrated that some children attending Women and Infants Special Nutrition Projects (WIC clinics) do not receive routine health prevention services, and therefore are unlikely to receive blood lead testing at a medical clinic. The Louisiana lead program partnered with a New Orleans area WIC clinic to increase lead testing rates of children in Louisiana and to determine the percent of children tested during WIC clinic visits who had blood lead levels ≥5 µg/dL. By matching WIC client lists with surveillance data, the program demonstrated that WIC clinics are an efficient way to screen high-risk children who would not otherwise be tested. The program ensured blood lead testing for 1,395 children, 81% of whom had never had a previous test and has expanded to include WIC clinics in other high-risk areas of the state.</w:t>
      </w:r>
    </w:p>
    <w:p w14:paraId="147E068B" w14:textId="77777777" w:rsidR="00666D11" w:rsidRPr="0068173E" w:rsidRDefault="00666D11" w:rsidP="0068173E">
      <w:pPr>
        <w:pStyle w:val="ListParagraph"/>
        <w:widowControl w:val="0"/>
        <w:numPr>
          <w:ilvl w:val="0"/>
          <w:numId w:val="11"/>
        </w:numPr>
        <w:autoSpaceDE w:val="0"/>
        <w:autoSpaceDN w:val="0"/>
        <w:adjustRightInd w:val="0"/>
        <w:spacing w:after="240" w:line="276" w:lineRule="auto"/>
        <w:contextualSpacing w:val="0"/>
        <w:rPr>
          <w:rFonts w:ascii="Calibri" w:hAnsi="Calibri" w:cs="Calibri"/>
          <w:color w:val="000000"/>
          <w:sz w:val="24"/>
          <w:szCs w:val="24"/>
        </w:rPr>
      </w:pPr>
      <w:r w:rsidRPr="0068173E">
        <w:rPr>
          <w:rFonts w:ascii="Calibri" w:hAnsi="Calibri" w:cs="Calibri"/>
          <w:color w:val="000000"/>
          <w:sz w:val="24"/>
          <w:szCs w:val="24"/>
        </w:rPr>
        <w:t>Washington: The Washington State Lead Poisoning Prevention Program convened an expert panel to develop risk-based childhood lead screening recommendations for use by clinicians in the state.  The Program partnered with the Refugee Health Program to screen all refugee children between 6 months and 16 years of age as part of the refugee resettlement program. Over a three-year period from 2013 to 2016, they screened 3,275 children. Fourteen percent of the refugee children screened had elevated blood lead levels and 3% with blood lead levels greater than 10 µg/dL. These children were then able to be linked to appropriate follow-up services.</w:t>
      </w:r>
    </w:p>
    <w:p w14:paraId="41CDCB2D" w14:textId="77777777" w:rsidR="00666D11" w:rsidRPr="002202CC" w:rsidRDefault="00666D11" w:rsidP="0068173E">
      <w:pPr>
        <w:pStyle w:val="ListParagraph"/>
        <w:numPr>
          <w:ilvl w:val="0"/>
          <w:numId w:val="11"/>
        </w:numPr>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Mississippi: The Mississippi Lead Poisoning Prevention and Healthy Homes Program used CDC cooperative agreement funds to partner with six communities identified as high-risk areas for lead poisoning: the City of Meridian, the City of Jackson, the City of Hattiesburg, the City of West Point, the City of Moss Point, and the City of Yazoo City. Between July 1 and December 31, 2015, city partners facilitated lead poisoning prevention and health homes trainings, planned and conducted healthy homes community planning meetings featuring focused discussion on childhood lead poisoning prevention, and distributed health education materials to residents. Through focused campaigns, the communities distributed 2,000 lead poisoning prevention educational materials featuring details about lead testing and identifying lead sources. The communities also distributed 900 lead poisoning prevention toolkits to resident families. Since 2010,* Mississippi has experienced an 18% increase in children tested for lead.</w:t>
      </w:r>
    </w:p>
    <w:p w14:paraId="0EF85E88" w14:textId="77777777" w:rsidR="00DE6DA9" w:rsidRPr="002202CC" w:rsidRDefault="00666D11" w:rsidP="0068173E">
      <w:pPr>
        <w:pStyle w:val="ListParagraph"/>
        <w:numPr>
          <w:ilvl w:val="0"/>
          <w:numId w:val="11"/>
        </w:numPr>
        <w:spacing w:after="240" w:line="276" w:lineRule="auto"/>
        <w:contextualSpacing w:val="0"/>
        <w:rPr>
          <w:rFonts w:ascii="Calibri" w:hAnsi="Calibri" w:cs="Calibri"/>
          <w:color w:val="000000"/>
          <w:sz w:val="24"/>
          <w:szCs w:val="24"/>
        </w:rPr>
      </w:pPr>
      <w:r w:rsidRPr="002202CC">
        <w:rPr>
          <w:rFonts w:ascii="Calibri" w:hAnsi="Calibri" w:cs="Calibri"/>
          <w:color w:val="000000"/>
          <w:sz w:val="24"/>
          <w:szCs w:val="24"/>
        </w:rPr>
        <w:t xml:space="preserve">Ohio: In Marion </w:t>
      </w:r>
      <w:r w:rsidR="006C4EDB" w:rsidRPr="002202CC">
        <w:rPr>
          <w:rFonts w:ascii="Calibri" w:hAnsi="Calibri" w:cs="Calibri"/>
          <w:color w:val="000000"/>
          <w:sz w:val="24"/>
          <w:szCs w:val="24"/>
        </w:rPr>
        <w:t>C</w:t>
      </w:r>
      <w:r w:rsidRPr="002202CC">
        <w:rPr>
          <w:rFonts w:ascii="Calibri" w:hAnsi="Calibri" w:cs="Calibri"/>
          <w:color w:val="000000"/>
          <w:sz w:val="24"/>
          <w:szCs w:val="24"/>
        </w:rPr>
        <w:t>ounty, Ohio</w:t>
      </w:r>
      <w:r w:rsidR="002202CC" w:rsidRPr="002202CC">
        <w:rPr>
          <w:rFonts w:ascii="Calibri" w:hAnsi="Calibri" w:cs="Calibri"/>
          <w:color w:val="000000"/>
          <w:sz w:val="24"/>
          <w:szCs w:val="24"/>
        </w:rPr>
        <w:t>,</w:t>
      </w:r>
      <w:r w:rsidRPr="002202CC">
        <w:rPr>
          <w:rFonts w:ascii="Calibri" w:hAnsi="Calibri" w:cs="Calibri"/>
          <w:color w:val="000000"/>
          <w:sz w:val="24"/>
          <w:szCs w:val="24"/>
        </w:rPr>
        <w:t xml:space="preserve"> staff at the local health department have worked with the OHHLPPP epidemiologist to create customized maps for their area depicting the high risk census tracts. These maps are being used to create posters to display to the public at organized events.</w:t>
      </w:r>
    </w:p>
    <w:p w14:paraId="694F516F" w14:textId="77777777" w:rsidR="00771EFF" w:rsidRPr="002202CC" w:rsidRDefault="00771EFF" w:rsidP="0068173E">
      <w:pPr>
        <w:autoSpaceDE w:val="0"/>
        <w:autoSpaceDN w:val="0"/>
        <w:adjustRightInd w:val="0"/>
        <w:spacing w:before="360" w:after="240" w:line="276" w:lineRule="auto"/>
        <w:rPr>
          <w:rFonts w:ascii="Calibri" w:hAnsi="Calibri"/>
          <w:sz w:val="24"/>
          <w:szCs w:val="24"/>
          <w:u w:val="single"/>
        </w:rPr>
      </w:pPr>
      <w:r w:rsidRPr="002202CC">
        <w:rPr>
          <w:rFonts w:ascii="Calibri" w:hAnsi="Calibri"/>
          <w:sz w:val="24"/>
          <w:szCs w:val="24"/>
          <w:u w:val="single"/>
        </w:rPr>
        <w:t>2017:</w:t>
      </w:r>
    </w:p>
    <w:p w14:paraId="22F3FAD9" w14:textId="77777777" w:rsidR="00771EFF" w:rsidRPr="0068173E" w:rsidRDefault="00771EFF" w:rsidP="0068173E">
      <w:pPr>
        <w:pStyle w:val="ListParagraph"/>
        <w:numPr>
          <w:ilvl w:val="0"/>
          <w:numId w:val="11"/>
        </w:numPr>
        <w:spacing w:after="240" w:line="276" w:lineRule="auto"/>
        <w:contextualSpacing w:val="0"/>
        <w:rPr>
          <w:rFonts w:ascii="Calibri" w:hAnsi="Calibri" w:cs="Calibri"/>
          <w:color w:val="000000"/>
          <w:sz w:val="24"/>
          <w:szCs w:val="24"/>
        </w:rPr>
      </w:pPr>
      <w:r w:rsidRPr="0068173E">
        <w:rPr>
          <w:rFonts w:ascii="Calibri" w:hAnsi="Calibri" w:cs="Calibri"/>
          <w:color w:val="000000"/>
          <w:sz w:val="24"/>
          <w:szCs w:val="24"/>
        </w:rPr>
        <w:t>Illinois: Over the course of three years, the CLEAR-Win project assisted in lead-safe replacement of almost 8,000 windows at 379 properties containing 466 housing units. The 466 housing units included 251 children under the age of 6, the population most vulnerable to lead poisoning. In conjunction with Illinois’ study, HUD analyzed a sample of nearly 100 homes remediated in the CLEAR-Win program, comparing lead dust sampling performed at baseline and at one year. Lead dust wipe samples were collected by HUD before CLEAR-Win commenced, immediately after (clearance sampling), and nominally one year after CLEAR-Win’s work was completed. Between baseline and 1 year post intervention, geometric mean lead dust for interior floors, interior sills, and exterior troughs declined by 44%, 88% and 98% respectively. HUD’s results of CLEAR-Win’s pilot program in Illinois show that a state health department can successfully implement a window replacement program that dramatically reduces childhood lead exposure.</w:t>
      </w:r>
    </w:p>
    <w:p w14:paraId="04EB236A" w14:textId="77777777" w:rsidR="00771EFF" w:rsidRPr="002202CC" w:rsidRDefault="00771EFF" w:rsidP="0068173E">
      <w:pPr>
        <w:spacing w:after="240" w:line="276" w:lineRule="auto"/>
        <w:ind w:left="720"/>
        <w:rPr>
          <w:rFonts w:ascii="Calibri" w:hAnsi="Calibri" w:cs="Calibri"/>
          <w:color w:val="000000"/>
          <w:sz w:val="24"/>
          <w:szCs w:val="24"/>
        </w:rPr>
      </w:pPr>
      <w:r w:rsidRPr="002202CC">
        <w:rPr>
          <w:rFonts w:ascii="Calibri" w:hAnsi="Calibri" w:cs="Calibri"/>
          <w:color w:val="000000"/>
          <w:sz w:val="24"/>
          <w:szCs w:val="24"/>
        </w:rPr>
        <w:t>Reference: CLEAR-Win Final Report 3/30/2016; Jacobs DE, Tobin M, Targos L, Clarkson D, Dixon S, Breysse J, et al.  Window Replacement and Childhood Lead Exposure: Results from CLEAR-Win [unpublished]. Washington, DC: U.S. Department of Housing and Urban Development. 2015.</w:t>
      </w:r>
    </w:p>
    <w:p w14:paraId="4BBA3F0C" w14:textId="77777777" w:rsidR="00186024" w:rsidRPr="002202CC" w:rsidRDefault="00186024" w:rsidP="0068173E">
      <w:pPr>
        <w:widowControl w:val="0"/>
        <w:autoSpaceDE w:val="0"/>
        <w:autoSpaceDN w:val="0"/>
        <w:adjustRightInd w:val="0"/>
        <w:spacing w:after="240" w:line="276" w:lineRule="auto"/>
        <w:rPr>
          <w:rFonts w:ascii="Calibri" w:hAnsi="Calibri" w:cs="Calibri"/>
          <w:color w:val="000000"/>
          <w:sz w:val="24"/>
          <w:szCs w:val="24"/>
          <w:u w:val="single"/>
        </w:rPr>
      </w:pPr>
      <w:r w:rsidRPr="002202CC">
        <w:rPr>
          <w:rFonts w:ascii="Calibri" w:hAnsi="Calibri" w:cs="Calibri"/>
          <w:color w:val="000000"/>
          <w:sz w:val="24"/>
          <w:szCs w:val="24"/>
          <w:u w:val="single"/>
        </w:rPr>
        <w:t>Detailed description of information collected in this approval period</w:t>
      </w:r>
      <w:r w:rsidR="007D2062" w:rsidRPr="002202CC">
        <w:rPr>
          <w:rFonts w:ascii="Calibri" w:hAnsi="Calibri" w:cs="Calibri"/>
          <w:color w:val="000000"/>
          <w:sz w:val="24"/>
          <w:szCs w:val="24"/>
          <w:u w:val="single"/>
        </w:rPr>
        <w:t>:</w:t>
      </w:r>
    </w:p>
    <w:p w14:paraId="43118946" w14:textId="77777777" w:rsidR="00DD0FC8" w:rsidRPr="002202CC" w:rsidRDefault="00F32F50" w:rsidP="0068173E">
      <w:pPr>
        <w:spacing w:after="240" w:line="276" w:lineRule="auto"/>
        <w:rPr>
          <w:rFonts w:ascii="Calibri" w:hAnsi="Calibri"/>
          <w:bCs/>
          <w:sz w:val="24"/>
          <w:szCs w:val="24"/>
        </w:rPr>
      </w:pPr>
      <w:r w:rsidRPr="002202CC">
        <w:rPr>
          <w:rFonts w:ascii="Calibri" w:hAnsi="Calibri"/>
          <w:bCs/>
          <w:sz w:val="24"/>
          <w:szCs w:val="24"/>
        </w:rPr>
        <w:t xml:space="preserve">Data </w:t>
      </w:r>
      <w:r w:rsidR="002202CC" w:rsidRPr="002202CC">
        <w:rPr>
          <w:rFonts w:ascii="Calibri" w:hAnsi="Calibri"/>
          <w:bCs/>
          <w:sz w:val="24"/>
          <w:szCs w:val="24"/>
        </w:rPr>
        <w:t>are</w:t>
      </w:r>
      <w:r w:rsidRPr="002202CC">
        <w:rPr>
          <w:rFonts w:ascii="Calibri" w:hAnsi="Calibri"/>
          <w:bCs/>
          <w:sz w:val="24"/>
          <w:szCs w:val="24"/>
        </w:rPr>
        <w:t xml:space="preserve"> collected during home visits for families referred by their primary health care provider, other social service provider, self-referred, or, as in the case of blood lead levels, reported by laboratories. In most funded cooperative agreement programs, blood lead testing and laboratory reporting of all blood lead levels is required by law (see for example: National Conference of State Legislatures: </w:t>
      </w:r>
      <w:r w:rsidRPr="002202CC">
        <w:rPr>
          <w:rFonts w:ascii="Calibri" w:eastAsiaTheme="minorHAnsi" w:hAnsi="Calibri"/>
          <w:bCs/>
          <w:sz w:val="24"/>
          <w:szCs w:val="24"/>
        </w:rPr>
        <w:t>State Lead Poisoning Prevention Statutes at</w:t>
      </w:r>
      <w:r w:rsidRPr="002202CC">
        <w:rPr>
          <w:rFonts w:ascii="Calibri" w:hAnsi="Calibri"/>
          <w:bCs/>
          <w:sz w:val="24"/>
          <w:szCs w:val="24"/>
        </w:rPr>
        <w:t xml:space="preserve"> </w:t>
      </w:r>
      <w:hyperlink r:id="rId10" w:history="1">
        <w:r w:rsidRPr="002202CC">
          <w:rPr>
            <w:rStyle w:val="Hyperlink"/>
            <w:rFonts w:ascii="Calibri" w:hAnsi="Calibri"/>
            <w:sz w:val="24"/>
            <w:szCs w:val="24"/>
          </w:rPr>
          <w:t>http://www.ncsl.org/documents/environ/stlaws10.pdf</w:t>
        </w:r>
      </w:hyperlink>
      <w:r w:rsidRPr="002202CC">
        <w:rPr>
          <w:rFonts w:ascii="Calibri" w:hAnsi="Calibri"/>
          <w:bCs/>
          <w:sz w:val="24"/>
          <w:szCs w:val="24"/>
        </w:rPr>
        <w:t xml:space="preserve">).  </w:t>
      </w:r>
    </w:p>
    <w:p w14:paraId="12CC1B13" w14:textId="77777777" w:rsidR="00F32F50" w:rsidRPr="002202CC" w:rsidRDefault="00F32F50" w:rsidP="0068173E">
      <w:pPr>
        <w:spacing w:after="240" w:line="276" w:lineRule="auto"/>
        <w:rPr>
          <w:rFonts w:ascii="Calibri" w:hAnsi="Calibri"/>
          <w:sz w:val="24"/>
          <w:szCs w:val="24"/>
        </w:rPr>
      </w:pPr>
      <w:r w:rsidRPr="002202CC">
        <w:rPr>
          <w:rFonts w:ascii="Calibri" w:hAnsi="Calibri"/>
          <w:bCs/>
          <w:sz w:val="24"/>
          <w:szCs w:val="24"/>
        </w:rPr>
        <w:t xml:space="preserve">Data regarding race/ethnicity are collected by the parent or self-report in the clinical office or during the home visit.  All programs use the 5 category race variable found in Attachment 4. During meetings with the cooperative agreement partners, they agreed to and through our authority under the cooperative agreement, CDC requires programs to use the standardized healthy homes questions also found in Attachment 4.  These include the questions related to asthma diagnosis and symptoms cognitively tested by the National Center for Health Statistics (NCHS). However, unlike NCHS, </w:t>
      </w:r>
      <w:r w:rsidR="001C7F7C">
        <w:rPr>
          <w:rFonts w:ascii="Calibri" w:hAnsi="Calibri"/>
          <w:bCs/>
          <w:sz w:val="24"/>
          <w:szCs w:val="24"/>
        </w:rPr>
        <w:t>HHLPSS</w:t>
      </w:r>
      <w:r w:rsidRPr="002202CC">
        <w:rPr>
          <w:rFonts w:ascii="Calibri" w:hAnsi="Calibri"/>
          <w:bCs/>
          <w:sz w:val="24"/>
          <w:szCs w:val="24"/>
        </w:rPr>
        <w:t xml:space="preserve"> uses the clinically relevant age threshold of 6 years old as recommended by the </w:t>
      </w:r>
      <w:r w:rsidRPr="002202CC">
        <w:rPr>
          <w:rFonts w:ascii="Calibri" w:hAnsi="Calibri"/>
          <w:sz w:val="24"/>
          <w:szCs w:val="24"/>
        </w:rPr>
        <w:t>National Heart Lung and Blood Institute.</w:t>
      </w:r>
    </w:p>
    <w:p w14:paraId="3B3756CF" w14:textId="77777777" w:rsidR="00186024" w:rsidRPr="002202CC" w:rsidRDefault="00F32F50" w:rsidP="0068173E">
      <w:pPr>
        <w:pStyle w:val="NormalOMB"/>
        <w:spacing w:after="240" w:line="276" w:lineRule="auto"/>
        <w:ind w:firstLine="0"/>
        <w:rPr>
          <w:rFonts w:ascii="Calibri" w:hAnsi="Calibri"/>
          <w:szCs w:val="24"/>
        </w:rPr>
      </w:pPr>
      <w:r w:rsidRPr="002202CC">
        <w:rPr>
          <w:rFonts w:ascii="Calibri" w:hAnsi="Calibri"/>
          <w:szCs w:val="24"/>
        </w:rPr>
        <w:t xml:space="preserve">Recipients of cooperative agreement awards are required to submit a summary data file within 90 days of the end of each quarter of the federal fiscal year.  </w:t>
      </w:r>
      <w:r w:rsidRPr="002202CC">
        <w:rPr>
          <w:rFonts w:ascii="Calibri" w:hAnsi="Calibri" w:cs="TimesNewRoman"/>
          <w:szCs w:val="24"/>
        </w:rPr>
        <w:t xml:space="preserve">Data will be entered by the state, local, and territorial programs into a database (e.g. Microsoft SQL) which will also be password-protected by state IT security protocols and processes.  State, local, and territorial programs will extract the </w:t>
      </w:r>
      <w:r w:rsidR="001C7F7C">
        <w:rPr>
          <w:rFonts w:ascii="Calibri" w:hAnsi="Calibri" w:cs="TimesNewRoman"/>
          <w:szCs w:val="24"/>
        </w:rPr>
        <w:t>HHLPSS</w:t>
      </w:r>
      <w:r w:rsidRPr="002202CC">
        <w:rPr>
          <w:rFonts w:ascii="Calibri" w:hAnsi="Calibri" w:cs="TimesNewRoman"/>
          <w:szCs w:val="24"/>
        </w:rPr>
        <w:t xml:space="preserve"> data from their existing records and send the encrypted files electronically to Program staff at CDC.</w:t>
      </w:r>
    </w:p>
    <w:p w14:paraId="550A11CC" w14:textId="77777777" w:rsidR="00396835" w:rsidRDefault="00396835">
      <w:pPr>
        <w:rPr>
          <w:rFonts w:ascii="Calibri" w:hAnsi="Calibri" w:cs="Calibri"/>
          <w:color w:val="000000"/>
          <w:sz w:val="24"/>
          <w:szCs w:val="24"/>
          <w:u w:val="single"/>
        </w:rPr>
      </w:pPr>
      <w:r>
        <w:rPr>
          <w:rFonts w:ascii="Calibri" w:hAnsi="Calibri" w:cs="Calibri"/>
          <w:color w:val="000000"/>
          <w:sz w:val="24"/>
          <w:szCs w:val="24"/>
          <w:u w:val="single"/>
        </w:rPr>
        <w:br w:type="page"/>
      </w:r>
    </w:p>
    <w:p w14:paraId="7E59ADB3" w14:textId="77777777" w:rsidR="00186024" w:rsidRPr="002202CC" w:rsidRDefault="00186024" w:rsidP="0068173E">
      <w:pPr>
        <w:spacing w:after="240" w:line="276" w:lineRule="auto"/>
        <w:rPr>
          <w:rFonts w:ascii="Calibri" w:hAnsi="Calibri" w:cs="Calibri"/>
          <w:color w:val="000000"/>
          <w:sz w:val="24"/>
          <w:szCs w:val="24"/>
          <w:u w:val="single"/>
        </w:rPr>
      </w:pPr>
      <w:r w:rsidRPr="002202CC">
        <w:rPr>
          <w:rFonts w:ascii="Calibri" w:hAnsi="Calibri" w:cs="Calibri"/>
          <w:color w:val="000000"/>
          <w:sz w:val="24"/>
          <w:szCs w:val="24"/>
          <w:u w:val="single"/>
        </w:rPr>
        <w:t xml:space="preserve">How </w:t>
      </w:r>
      <w:r w:rsidR="00CB2CC4" w:rsidRPr="002202CC">
        <w:rPr>
          <w:rFonts w:ascii="Calibri" w:hAnsi="Calibri" w:cs="Calibri"/>
          <w:color w:val="000000"/>
          <w:sz w:val="24"/>
          <w:szCs w:val="24"/>
          <w:u w:val="single"/>
        </w:rPr>
        <w:t xml:space="preserve">the information was </w:t>
      </w:r>
      <w:r w:rsidRPr="002202CC">
        <w:rPr>
          <w:rFonts w:ascii="Calibri" w:hAnsi="Calibri" w:cs="Calibri"/>
          <w:color w:val="000000"/>
          <w:sz w:val="24"/>
          <w:szCs w:val="24"/>
          <w:u w:val="single"/>
        </w:rPr>
        <w:t>used</w:t>
      </w:r>
      <w:r w:rsidR="007D2062" w:rsidRPr="002202CC">
        <w:rPr>
          <w:rFonts w:ascii="Calibri" w:hAnsi="Calibri" w:cs="Calibri"/>
          <w:color w:val="000000"/>
          <w:sz w:val="24"/>
          <w:szCs w:val="24"/>
          <w:u w:val="single"/>
        </w:rPr>
        <w:t>:</w:t>
      </w:r>
    </w:p>
    <w:p w14:paraId="5169B020" w14:textId="77777777" w:rsidR="0010438F" w:rsidRPr="002202CC" w:rsidRDefault="00CB2CC4" w:rsidP="0068173E">
      <w:pPr>
        <w:spacing w:after="240" w:line="276" w:lineRule="auto"/>
        <w:rPr>
          <w:rFonts w:ascii="Calibri" w:hAnsi="Calibri" w:cs="Calibri"/>
          <w:color w:val="000000"/>
          <w:sz w:val="24"/>
          <w:szCs w:val="24"/>
        </w:rPr>
      </w:pPr>
      <w:r w:rsidRPr="002202CC">
        <w:rPr>
          <w:rFonts w:ascii="Calibri" w:hAnsi="Calibri"/>
          <w:bCs/>
          <w:sz w:val="24"/>
          <w:szCs w:val="24"/>
        </w:rPr>
        <w:t>The information</w:t>
      </w:r>
      <w:r w:rsidR="00A31BF0" w:rsidRPr="002202CC">
        <w:rPr>
          <w:rFonts w:ascii="Calibri" w:hAnsi="Calibri"/>
          <w:bCs/>
          <w:sz w:val="24"/>
          <w:szCs w:val="24"/>
        </w:rPr>
        <w:t xml:space="preserve"> was</w:t>
      </w:r>
      <w:r w:rsidRPr="002202CC">
        <w:rPr>
          <w:rFonts w:ascii="Calibri" w:hAnsi="Calibri"/>
          <w:bCs/>
          <w:sz w:val="24"/>
          <w:szCs w:val="24"/>
        </w:rPr>
        <w:t xml:space="preserve"> </w:t>
      </w:r>
      <w:r w:rsidR="00A31BF0" w:rsidRPr="002202CC">
        <w:rPr>
          <w:rFonts w:ascii="Calibri" w:hAnsi="Calibri"/>
          <w:bCs/>
          <w:sz w:val="24"/>
          <w:szCs w:val="24"/>
        </w:rPr>
        <w:t>used by</w:t>
      </w:r>
      <w:r w:rsidRPr="002202CC">
        <w:rPr>
          <w:rFonts w:ascii="Calibri" w:hAnsi="Calibri"/>
          <w:bCs/>
          <w:sz w:val="24"/>
          <w:szCs w:val="24"/>
        </w:rPr>
        <w:t xml:space="preserve"> CDC to monitor short-term trends, to monitor the progress toward elimination of housing hazards, and to oversee programmatic activities in a timely fashion.</w:t>
      </w:r>
    </w:p>
    <w:p w14:paraId="5E969E74" w14:textId="77777777" w:rsidR="006519D9" w:rsidRPr="002202CC" w:rsidRDefault="00186024" w:rsidP="0068173E">
      <w:pPr>
        <w:spacing w:after="240" w:line="276" w:lineRule="auto"/>
        <w:rPr>
          <w:rFonts w:ascii="Calibri" w:hAnsi="Calibri" w:cs="Calibri"/>
          <w:color w:val="000000"/>
          <w:sz w:val="24"/>
          <w:szCs w:val="24"/>
        </w:rPr>
      </w:pPr>
      <w:r w:rsidRPr="002202CC">
        <w:rPr>
          <w:rFonts w:ascii="Calibri" w:hAnsi="Calibri" w:cs="Calibri"/>
          <w:color w:val="000000"/>
          <w:sz w:val="24"/>
          <w:szCs w:val="24"/>
          <w:u w:val="single"/>
        </w:rPr>
        <w:t>Why it needs to be collected again with little change</w:t>
      </w:r>
      <w:r w:rsidR="00E72BD9" w:rsidRPr="002202CC">
        <w:rPr>
          <w:rFonts w:ascii="Calibri" w:hAnsi="Calibri" w:cs="Calibri"/>
          <w:color w:val="000000"/>
          <w:sz w:val="24"/>
          <w:szCs w:val="24"/>
          <w:u w:val="single"/>
        </w:rPr>
        <w:t>:</w:t>
      </w:r>
    </w:p>
    <w:p w14:paraId="5349B862" w14:textId="77777777" w:rsidR="004D14C5" w:rsidRPr="002202CC" w:rsidRDefault="006519D9" w:rsidP="0068173E">
      <w:pPr>
        <w:spacing w:after="240" w:line="276" w:lineRule="auto"/>
        <w:rPr>
          <w:sz w:val="24"/>
          <w:szCs w:val="24"/>
        </w:rPr>
      </w:pPr>
      <w:r w:rsidRPr="002202CC">
        <w:rPr>
          <w:rFonts w:ascii="Calibri" w:hAnsi="Calibri" w:cs="ITCFranklinGothicStd-Book"/>
          <w:sz w:val="24"/>
          <w:szCs w:val="24"/>
        </w:rPr>
        <w:t xml:space="preserve">The sole purpose of this information </w:t>
      </w:r>
      <w:r w:rsidR="004D14C5" w:rsidRPr="002202CC">
        <w:rPr>
          <w:rFonts w:ascii="Calibri" w:hAnsi="Calibri"/>
          <w:sz w:val="24"/>
          <w:szCs w:val="24"/>
        </w:rPr>
        <w:t>collection for the 3</w:t>
      </w:r>
      <w:r w:rsidR="004D14C5" w:rsidRPr="002202CC">
        <w:rPr>
          <w:rFonts w:ascii="Calibri" w:hAnsi="Calibri"/>
          <w:sz w:val="24"/>
          <w:szCs w:val="24"/>
          <w:vertAlign w:val="superscript"/>
        </w:rPr>
        <w:t>rd</w:t>
      </w:r>
      <w:r w:rsidR="004D14C5" w:rsidRPr="002202CC">
        <w:rPr>
          <w:rFonts w:ascii="Calibri" w:hAnsi="Calibri"/>
          <w:sz w:val="24"/>
          <w:szCs w:val="24"/>
        </w:rPr>
        <w:t xml:space="preserve"> year supplement which represents the fourth and final year of the CDC-RFA-EH14-1408PPHF14 cooperative agreemen</w:t>
      </w:r>
      <w:r w:rsidRPr="002202CC">
        <w:rPr>
          <w:rFonts w:ascii="Calibri" w:hAnsi="Calibri"/>
          <w:sz w:val="24"/>
          <w:szCs w:val="24"/>
        </w:rPr>
        <w:t>t until the approval of the impending Childhood Blood Lead Surveillance (CBLS) and Adult Blood Lead Epidemiology and Surveillance (ABLES) - OMB Control No. 0920-NEW, which has been summarily submitted for OMB approval. This extension ICR will be discontinued at the end of the program period</w:t>
      </w:r>
      <w:r w:rsidR="004D14C5" w:rsidRPr="002202CC">
        <w:rPr>
          <w:rFonts w:ascii="Calibri" w:hAnsi="Calibri"/>
          <w:sz w:val="24"/>
          <w:szCs w:val="24"/>
        </w:rPr>
        <w:t>.</w:t>
      </w:r>
    </w:p>
    <w:p w14:paraId="4E336530" w14:textId="77777777" w:rsidR="00C13959" w:rsidRPr="00D20211" w:rsidRDefault="00601F1A" w:rsidP="004976CC">
      <w:pPr>
        <w:pStyle w:val="Heading1"/>
        <w:pBdr>
          <w:bottom w:val="none" w:sz="0" w:space="0" w:color="auto"/>
        </w:pBdr>
        <w:rPr>
          <w:color w:val="auto"/>
        </w:rPr>
      </w:pPr>
      <w:bookmarkStart w:id="5" w:name="_Toc493853238"/>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5"/>
    </w:p>
    <w:p w14:paraId="24BDB742" w14:textId="77777777" w:rsidR="0045341A" w:rsidRPr="00E25F35" w:rsidRDefault="0045341A" w:rsidP="00CA00D3">
      <w:pPr>
        <w:pStyle w:val="BodyTextIndent3"/>
        <w:widowControl/>
        <w:spacing w:after="240" w:line="276" w:lineRule="auto"/>
        <w:ind w:left="0"/>
        <w:rPr>
          <w:rFonts w:asciiTheme="minorHAnsi" w:hAnsiTheme="minorHAnsi"/>
          <w:szCs w:val="24"/>
        </w:rPr>
      </w:pPr>
      <w:r w:rsidRPr="00E25F35">
        <w:rPr>
          <w:rFonts w:asciiTheme="minorHAnsi" w:hAnsiTheme="minorHAnsi"/>
          <w:szCs w:val="24"/>
        </w:rPr>
        <w:t xml:space="preserve">Reporting data to the Program using the </w:t>
      </w:r>
      <w:r w:rsidR="001C7F7C">
        <w:rPr>
          <w:rFonts w:asciiTheme="minorHAnsi" w:hAnsiTheme="minorHAnsi"/>
          <w:szCs w:val="24"/>
        </w:rPr>
        <w:t>HHLPSS</w:t>
      </w:r>
      <w:r w:rsidRPr="00E25F35">
        <w:rPr>
          <w:rFonts w:asciiTheme="minorHAnsi" w:hAnsiTheme="minorHAnsi"/>
          <w:szCs w:val="24"/>
        </w:rPr>
        <w:t xml:space="preserve"> will not result in any federally-sponsored burden on residents of the homes that are visited.  </w:t>
      </w:r>
    </w:p>
    <w:p w14:paraId="1D2C2A22" w14:textId="77777777" w:rsidR="0045341A" w:rsidRPr="00E25F35" w:rsidRDefault="0045341A" w:rsidP="00CA00D3">
      <w:pPr>
        <w:pStyle w:val="BodyTextIndent3"/>
        <w:widowControl/>
        <w:spacing w:after="240" w:line="276" w:lineRule="auto"/>
        <w:ind w:left="0"/>
        <w:rPr>
          <w:rFonts w:asciiTheme="minorHAnsi" w:hAnsiTheme="minorHAnsi"/>
          <w:szCs w:val="24"/>
        </w:rPr>
      </w:pPr>
      <w:r w:rsidRPr="00E25F35">
        <w:rPr>
          <w:rFonts w:asciiTheme="minorHAnsi" w:hAnsiTheme="minorHAnsi"/>
          <w:szCs w:val="24"/>
        </w:rPr>
        <w:t xml:space="preserve">The </w:t>
      </w:r>
      <w:r w:rsidR="001C7F7C">
        <w:rPr>
          <w:rFonts w:asciiTheme="minorHAnsi" w:hAnsiTheme="minorHAnsi"/>
          <w:szCs w:val="24"/>
        </w:rPr>
        <w:t>HHLPSS</w:t>
      </w:r>
      <w:r w:rsidRPr="00E25F35">
        <w:rPr>
          <w:rFonts w:asciiTheme="minorHAnsi" w:hAnsiTheme="minorHAnsi"/>
          <w:szCs w:val="24"/>
        </w:rPr>
        <w:t xml:space="preserve"> software extracts these data fields from the data currently collected by the state, local, and territorial healthy home programs.  These programs collect far more extensive data during home visits than are reported to the Program.  For example, for a typical lead paint hazard inspection, while the home visitor records the lead concentration and paint conditions of all painted surfaces inside and outside the house, </w:t>
      </w:r>
      <w:r w:rsidR="001C7F7C">
        <w:rPr>
          <w:rFonts w:asciiTheme="minorHAnsi" w:hAnsiTheme="minorHAnsi"/>
          <w:szCs w:val="24"/>
        </w:rPr>
        <w:t>HHLPSS</w:t>
      </w:r>
      <w:r w:rsidRPr="00E25F35">
        <w:rPr>
          <w:rFonts w:asciiTheme="minorHAnsi" w:hAnsiTheme="minorHAnsi"/>
          <w:szCs w:val="24"/>
        </w:rPr>
        <w:t xml:space="preserve"> only collects 8 data fields related to the lead inspection (</w:t>
      </w:r>
      <w:r w:rsidRPr="004D14C5">
        <w:rPr>
          <w:rFonts w:asciiTheme="minorHAnsi" w:hAnsiTheme="minorHAnsi"/>
          <w:szCs w:val="24"/>
        </w:rPr>
        <w:t xml:space="preserve">See Attachment </w:t>
      </w:r>
      <w:r w:rsidR="00EB21E1" w:rsidRPr="004D14C5">
        <w:rPr>
          <w:rFonts w:asciiTheme="minorHAnsi" w:hAnsiTheme="minorHAnsi"/>
          <w:szCs w:val="24"/>
        </w:rPr>
        <w:t>4</w:t>
      </w:r>
      <w:r w:rsidRPr="00A71AF6">
        <w:rPr>
          <w:rFonts w:asciiTheme="minorHAnsi" w:hAnsiTheme="minorHAnsi"/>
          <w:szCs w:val="24"/>
        </w:rPr>
        <w:t>).</w:t>
      </w:r>
      <w:r w:rsidRPr="00E25F35">
        <w:rPr>
          <w:rFonts w:asciiTheme="minorHAnsi" w:hAnsiTheme="minorHAnsi"/>
          <w:szCs w:val="24"/>
        </w:rPr>
        <w:t xml:space="preserve"> </w:t>
      </w:r>
    </w:p>
    <w:p w14:paraId="425914F2" w14:textId="77777777" w:rsidR="0045341A" w:rsidRPr="00E25F35" w:rsidRDefault="0045341A" w:rsidP="00CA00D3">
      <w:pPr>
        <w:pStyle w:val="BodyTextIndent3"/>
        <w:widowControl/>
        <w:spacing w:after="240" w:line="276" w:lineRule="auto"/>
        <w:ind w:left="0"/>
        <w:rPr>
          <w:rFonts w:asciiTheme="minorHAnsi" w:hAnsiTheme="minorHAnsi"/>
          <w:szCs w:val="24"/>
        </w:rPr>
      </w:pPr>
      <w:r w:rsidRPr="00E25F35">
        <w:rPr>
          <w:rFonts w:asciiTheme="minorHAnsi" w:hAnsiTheme="minorHAnsi"/>
          <w:szCs w:val="24"/>
        </w:rPr>
        <w:t>State ABLES programs: 1) collect data on adult BLLs from laboratories and physicians through mandatory reporting; 2) assign unique identifiers to each adult to account for multiple BLL records, to protect individual privacy, and to permit longitudinal analyses; and 3) follow-up on adults with BLLs ≥25 µg/dL with laboratories, health-care providers, employers, or workers to ensure completeness of information (e.g., the industry where the adult is employed and whether the exposure source is occupational, non</w:t>
      </w:r>
      <w:r w:rsidR="004D14C5">
        <w:rPr>
          <w:rFonts w:asciiTheme="minorHAnsi" w:hAnsiTheme="minorHAnsi"/>
          <w:szCs w:val="24"/>
        </w:rPr>
        <w:t>-</w:t>
      </w:r>
      <w:r w:rsidRPr="00E25F35">
        <w:rPr>
          <w:rFonts w:asciiTheme="minorHAnsi" w:hAnsiTheme="minorHAnsi"/>
          <w:szCs w:val="24"/>
        </w:rPr>
        <w:t>occupational, or both). All respondents (state, local, and territorial programs) will submit data electronically to CDC.</w:t>
      </w:r>
    </w:p>
    <w:p w14:paraId="6E856366" w14:textId="77777777" w:rsidR="00B45002" w:rsidRPr="00D20211" w:rsidRDefault="00601F1A" w:rsidP="004D7237">
      <w:pPr>
        <w:pStyle w:val="Heading1"/>
        <w:pBdr>
          <w:bottom w:val="none" w:sz="0" w:space="0" w:color="auto"/>
        </w:pBdr>
        <w:rPr>
          <w:color w:val="auto"/>
        </w:rPr>
      </w:pPr>
      <w:bookmarkStart w:id="6" w:name="_Toc493853239"/>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6"/>
    </w:p>
    <w:p w14:paraId="0E4337F1" w14:textId="77777777" w:rsidR="0045341A" w:rsidRPr="00F6223F" w:rsidRDefault="00CA00D3" w:rsidP="00CA00D3">
      <w:pPr>
        <w:spacing w:after="240" w:line="276" w:lineRule="auto"/>
        <w:rPr>
          <w:sz w:val="24"/>
          <w:szCs w:val="24"/>
        </w:rPr>
      </w:pPr>
      <w:r>
        <w:rPr>
          <w:sz w:val="24"/>
          <w:szCs w:val="24"/>
        </w:rPr>
        <w:t>T</w:t>
      </w:r>
      <w:r w:rsidR="0045341A">
        <w:rPr>
          <w:sz w:val="24"/>
          <w:szCs w:val="24"/>
        </w:rPr>
        <w:t xml:space="preserve">he </w:t>
      </w:r>
      <w:r w:rsidR="001C7F7C">
        <w:rPr>
          <w:sz w:val="24"/>
          <w:szCs w:val="24"/>
        </w:rPr>
        <w:t>HHLPSS</w:t>
      </w:r>
      <w:r w:rsidR="0045341A">
        <w:rPr>
          <w:sz w:val="24"/>
          <w:szCs w:val="24"/>
        </w:rPr>
        <w:t xml:space="preserve"> is a program management system designed to provide information on health and housing parameters and how they are addressed, and to record and transmit data. N</w:t>
      </w:r>
      <w:r w:rsidR="0045341A" w:rsidRPr="00123823">
        <w:rPr>
          <w:sz w:val="24"/>
          <w:szCs w:val="24"/>
        </w:rPr>
        <w:t xml:space="preserve">o </w:t>
      </w:r>
      <w:r w:rsidR="0045341A">
        <w:rPr>
          <w:sz w:val="24"/>
          <w:szCs w:val="24"/>
        </w:rPr>
        <w:t>other survey</w:t>
      </w:r>
      <w:r w:rsidR="0045341A" w:rsidRPr="00123823">
        <w:rPr>
          <w:sz w:val="24"/>
          <w:szCs w:val="24"/>
        </w:rPr>
        <w:t xml:space="preserve"> collects all of the elements that </w:t>
      </w:r>
      <w:r w:rsidR="0045341A">
        <w:rPr>
          <w:sz w:val="24"/>
          <w:szCs w:val="24"/>
        </w:rPr>
        <w:t>are</w:t>
      </w:r>
      <w:r w:rsidR="0045341A" w:rsidRPr="00123823">
        <w:rPr>
          <w:sz w:val="24"/>
          <w:szCs w:val="24"/>
        </w:rPr>
        <w:t xml:space="preserve"> collected through </w:t>
      </w:r>
      <w:r w:rsidR="001C7F7C">
        <w:rPr>
          <w:sz w:val="24"/>
          <w:szCs w:val="24"/>
        </w:rPr>
        <w:t>HHLPSS</w:t>
      </w:r>
      <w:r w:rsidR="0045341A">
        <w:rPr>
          <w:sz w:val="24"/>
          <w:szCs w:val="24"/>
        </w:rPr>
        <w:t>.</w:t>
      </w:r>
      <w:r w:rsidR="0045341A" w:rsidRPr="00123823">
        <w:rPr>
          <w:sz w:val="24"/>
          <w:szCs w:val="24"/>
        </w:rPr>
        <w:t xml:space="preserve"> </w:t>
      </w:r>
      <w:r w:rsidR="001C7F7C">
        <w:rPr>
          <w:sz w:val="24"/>
          <w:szCs w:val="24"/>
        </w:rPr>
        <w:t>HHLPSS</w:t>
      </w:r>
      <w:r w:rsidR="0045341A">
        <w:rPr>
          <w:sz w:val="24"/>
          <w:szCs w:val="24"/>
        </w:rPr>
        <w:t xml:space="preserve"> data are also used by State ABLES programs to monitor blood lead levels among adults. Unlike the nationally representative CDC surveys such as</w:t>
      </w:r>
      <w:r w:rsidR="0045341A" w:rsidRPr="00C4774B">
        <w:t xml:space="preserve"> </w:t>
      </w:r>
      <w:r w:rsidR="0045341A">
        <w:rPr>
          <w:sz w:val="24"/>
          <w:szCs w:val="24"/>
        </w:rPr>
        <w:t>t</w:t>
      </w:r>
      <w:r w:rsidR="0045341A" w:rsidRPr="00C4774B">
        <w:rPr>
          <w:sz w:val="24"/>
          <w:szCs w:val="24"/>
        </w:rPr>
        <w:t xml:space="preserve">he National Health and Nutrition Examination Survey (NHANES), National Health Interview Survey (NHIS), Behavioral Risk Factor Surveillance System (BRFSS), and the </w:t>
      </w:r>
      <w:r w:rsidR="0045341A">
        <w:rPr>
          <w:sz w:val="24"/>
          <w:szCs w:val="24"/>
        </w:rPr>
        <w:t xml:space="preserve">U.S. Census </w:t>
      </w:r>
      <w:r w:rsidR="0045341A" w:rsidRPr="00C4774B">
        <w:rPr>
          <w:sz w:val="24"/>
          <w:szCs w:val="24"/>
        </w:rPr>
        <w:t>American Housing Survey</w:t>
      </w:r>
      <w:r w:rsidR="0045341A">
        <w:rPr>
          <w:sz w:val="24"/>
          <w:szCs w:val="24"/>
        </w:rPr>
        <w:t xml:space="preserve"> </w:t>
      </w:r>
      <w:r w:rsidR="0045341A" w:rsidRPr="00950C2A">
        <w:rPr>
          <w:sz w:val="24"/>
          <w:szCs w:val="24"/>
        </w:rPr>
        <w:t>(AHS)</w:t>
      </w:r>
      <w:r w:rsidR="0045341A">
        <w:rPr>
          <w:sz w:val="24"/>
          <w:szCs w:val="24"/>
        </w:rPr>
        <w:t xml:space="preserve">, </w:t>
      </w:r>
      <w:r w:rsidR="001C7F7C">
        <w:rPr>
          <w:sz w:val="24"/>
          <w:szCs w:val="24"/>
        </w:rPr>
        <w:t>HHLPSS</w:t>
      </w:r>
      <w:r w:rsidR="0045341A">
        <w:rPr>
          <w:sz w:val="24"/>
          <w:szCs w:val="24"/>
        </w:rPr>
        <w:t xml:space="preserve"> can provide more specific information about addresses and is available in real time.  </w:t>
      </w:r>
      <w:r w:rsidR="001C7F7C">
        <w:rPr>
          <w:sz w:val="24"/>
          <w:szCs w:val="24"/>
        </w:rPr>
        <w:t>HHLPSS</w:t>
      </w:r>
      <w:r w:rsidR="0045341A">
        <w:rPr>
          <w:sz w:val="24"/>
          <w:szCs w:val="24"/>
        </w:rPr>
        <w:t xml:space="preserve"> can also be used to provide insight into trends in local areas as well as to understand the relationship with demographic and housing characteristics among those for whom measurements are available. This allows federal, state and local partners to use all the available data to target resources, to determine priorities and to modify these priorities if necessary. In addition</w:t>
      </w:r>
      <w:r w:rsidR="00704C09">
        <w:rPr>
          <w:sz w:val="24"/>
          <w:szCs w:val="24"/>
        </w:rPr>
        <w:t>,</w:t>
      </w:r>
      <w:r w:rsidR="0045341A">
        <w:rPr>
          <w:sz w:val="24"/>
          <w:szCs w:val="24"/>
        </w:rPr>
        <w:t xml:space="preserve"> only </w:t>
      </w:r>
      <w:r w:rsidR="001C7F7C">
        <w:rPr>
          <w:sz w:val="24"/>
          <w:szCs w:val="24"/>
        </w:rPr>
        <w:t>HHLPSS</w:t>
      </w:r>
      <w:r w:rsidR="0045341A">
        <w:rPr>
          <w:sz w:val="24"/>
          <w:szCs w:val="24"/>
        </w:rPr>
        <w:t xml:space="preserve"> can</w:t>
      </w:r>
      <w:r w:rsidR="0045341A" w:rsidRPr="00123823">
        <w:rPr>
          <w:sz w:val="24"/>
          <w:szCs w:val="24"/>
        </w:rPr>
        <w:t xml:space="preserve"> be used for </w:t>
      </w:r>
      <w:r w:rsidR="0045341A">
        <w:rPr>
          <w:sz w:val="24"/>
          <w:szCs w:val="24"/>
        </w:rPr>
        <w:t>program management</w:t>
      </w:r>
      <w:r w:rsidR="0045341A" w:rsidRPr="00123823">
        <w:rPr>
          <w:sz w:val="24"/>
          <w:szCs w:val="24"/>
        </w:rPr>
        <w:t xml:space="preserve"> and </w:t>
      </w:r>
      <w:r w:rsidR="0045341A">
        <w:rPr>
          <w:sz w:val="24"/>
          <w:szCs w:val="24"/>
        </w:rPr>
        <w:t xml:space="preserve">to evaluate the effectiveness of </w:t>
      </w:r>
      <w:r w:rsidR="0045341A" w:rsidRPr="00123823">
        <w:rPr>
          <w:sz w:val="24"/>
          <w:szCs w:val="24"/>
        </w:rPr>
        <w:t xml:space="preserve">housing interventions </w:t>
      </w:r>
      <w:r w:rsidR="0045341A">
        <w:rPr>
          <w:sz w:val="24"/>
          <w:szCs w:val="24"/>
        </w:rPr>
        <w:t xml:space="preserve">in specific addresses as they are </w:t>
      </w:r>
      <w:r w:rsidR="0045341A" w:rsidRPr="00123823">
        <w:rPr>
          <w:sz w:val="24"/>
          <w:szCs w:val="24"/>
        </w:rPr>
        <w:t>implemented via the state, local, and territorial programs</w:t>
      </w:r>
      <w:r w:rsidR="0045341A">
        <w:rPr>
          <w:sz w:val="24"/>
          <w:szCs w:val="24"/>
        </w:rPr>
        <w:t xml:space="preserve"> funded by the Program</w:t>
      </w:r>
      <w:r w:rsidR="0045341A" w:rsidRPr="00123823">
        <w:rPr>
          <w:sz w:val="24"/>
          <w:szCs w:val="24"/>
        </w:rPr>
        <w:t xml:space="preserve">. </w:t>
      </w:r>
    </w:p>
    <w:p w14:paraId="43C5E401" w14:textId="77777777" w:rsidR="00B45002" w:rsidRPr="00D20211" w:rsidRDefault="00601F1A" w:rsidP="00601F1A">
      <w:pPr>
        <w:pStyle w:val="Heading1"/>
        <w:pBdr>
          <w:bottom w:val="none" w:sz="0" w:space="0" w:color="auto"/>
        </w:pBdr>
        <w:rPr>
          <w:color w:val="auto"/>
        </w:rPr>
      </w:pPr>
      <w:bookmarkStart w:id="7" w:name="_Toc493853240"/>
      <w:r w:rsidRPr="00D20211">
        <w:rPr>
          <w:color w:val="auto"/>
        </w:rPr>
        <w:t>A.</w:t>
      </w:r>
      <w:r w:rsidR="004D21C9" w:rsidRPr="00D20211">
        <w:rPr>
          <w:color w:val="auto"/>
        </w:rPr>
        <w:t xml:space="preserve">5.  </w:t>
      </w:r>
      <w:r w:rsidR="00B45002" w:rsidRPr="00D20211">
        <w:rPr>
          <w:color w:val="auto"/>
        </w:rPr>
        <w:t>Impact on Small Businesses or Other Small Entities</w:t>
      </w:r>
      <w:bookmarkEnd w:id="7"/>
    </w:p>
    <w:p w14:paraId="19C8D0D5" w14:textId="77777777" w:rsidR="006C4EDB" w:rsidRPr="007313DF" w:rsidRDefault="0045341A" w:rsidP="007313DF">
      <w:pPr>
        <w:rPr>
          <w:sz w:val="24"/>
          <w:szCs w:val="24"/>
        </w:rPr>
      </w:pPr>
      <w:r w:rsidRPr="00123823">
        <w:rPr>
          <w:sz w:val="24"/>
          <w:szCs w:val="24"/>
        </w:rPr>
        <w:t>The collection of this information does not directly impact small businesses or small entities.</w:t>
      </w:r>
    </w:p>
    <w:p w14:paraId="48004662" w14:textId="77777777" w:rsidR="00B45002" w:rsidRPr="00D20211" w:rsidRDefault="00601F1A" w:rsidP="00601F1A">
      <w:pPr>
        <w:pStyle w:val="Heading1"/>
        <w:pBdr>
          <w:bottom w:val="none" w:sz="0" w:space="0" w:color="auto"/>
        </w:pBdr>
        <w:rPr>
          <w:color w:val="auto"/>
        </w:rPr>
      </w:pPr>
      <w:bookmarkStart w:id="8" w:name="_Toc493853241"/>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8"/>
    </w:p>
    <w:p w14:paraId="4D98F09F" w14:textId="77777777" w:rsidR="00DA6118" w:rsidRDefault="0045341A" w:rsidP="00CA00D3">
      <w:pPr>
        <w:pStyle w:val="BodyText"/>
        <w:spacing w:after="240" w:line="276" w:lineRule="auto"/>
        <w:rPr>
          <w:rFonts w:cs="ITCFranklinGothicStd-Book"/>
          <w:sz w:val="24"/>
          <w:szCs w:val="24"/>
        </w:rPr>
      </w:pPr>
      <w:r w:rsidRPr="00F6223F">
        <w:rPr>
          <w:sz w:val="24"/>
          <w:szCs w:val="24"/>
        </w:rPr>
        <w:t xml:space="preserve">Respondents will submit data on healthy homes and child blood lead levels to CDC on a quarterly basis. </w:t>
      </w:r>
      <w:r w:rsidR="00F6223F">
        <w:rPr>
          <w:sz w:val="24"/>
          <w:szCs w:val="24"/>
        </w:rPr>
        <w:t>Adult</w:t>
      </w:r>
      <w:r w:rsidRPr="00F6223F">
        <w:rPr>
          <w:sz w:val="24"/>
          <w:szCs w:val="24"/>
        </w:rPr>
        <w:t xml:space="preserve"> blood lead levels will be sent to CDC on an annual basis. NIOSH will analyze adult blood lead data.</w:t>
      </w:r>
      <w:r w:rsidRPr="00F6223F">
        <w:rPr>
          <w:bCs/>
          <w:sz w:val="24"/>
          <w:szCs w:val="24"/>
        </w:rPr>
        <w:t xml:space="preserve"> The collection of this data with this frequency is necessary in order for CDC to monitor short-term trends, to monitor the progress toward elimination of housing hazards, and to oversee programmatic activities in a timely fashion.  </w:t>
      </w:r>
      <w:r w:rsidR="005F3ADE" w:rsidRPr="00D20211">
        <w:rPr>
          <w:rFonts w:cs="ITCFranklinGothicStd-Book"/>
          <w:sz w:val="24"/>
          <w:szCs w:val="24"/>
        </w:rPr>
        <w:t>There are no technical or lega</w:t>
      </w:r>
      <w:r w:rsidR="005F3ADE">
        <w:rPr>
          <w:rFonts w:cs="ITCFranklinGothicStd-Book"/>
          <w:sz w:val="24"/>
          <w:szCs w:val="24"/>
        </w:rPr>
        <w:t>l obstacles to reducing burden.</w:t>
      </w:r>
    </w:p>
    <w:p w14:paraId="7F53E77D" w14:textId="77777777" w:rsidR="00B45002" w:rsidRPr="00D20211" w:rsidRDefault="00601F1A" w:rsidP="00601F1A">
      <w:pPr>
        <w:pStyle w:val="Heading1"/>
        <w:pBdr>
          <w:bottom w:val="none" w:sz="0" w:space="0" w:color="auto"/>
        </w:pBdr>
        <w:rPr>
          <w:color w:val="auto"/>
        </w:rPr>
      </w:pPr>
      <w:bookmarkStart w:id="9" w:name="_Toc493853242"/>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14:paraId="50E49D8C" w14:textId="77777777" w:rsidR="002A26F8" w:rsidRPr="007D2061" w:rsidRDefault="0023593F" w:rsidP="00CA00D3">
      <w:pPr>
        <w:pStyle w:val="N2-2ndBullet"/>
        <w:numPr>
          <w:ilvl w:val="0"/>
          <w:numId w:val="0"/>
        </w:numPr>
        <w:spacing w:line="276" w:lineRule="auto"/>
        <w:jc w:val="left"/>
        <w:rPr>
          <w:rFonts w:asciiTheme="minorHAnsi" w:hAnsiTheme="minorHAnsi"/>
        </w:rPr>
      </w:pPr>
      <w:r w:rsidRPr="007D2061">
        <w:rPr>
          <w:rFonts w:asciiTheme="minorHAnsi" w:hAnsiTheme="minorHAnsi"/>
        </w:rPr>
        <w:t xml:space="preserve">There are no special circumstances with this information collection package. This request fully      complies with the regulation 5 CFR 1320.5.   </w:t>
      </w:r>
    </w:p>
    <w:p w14:paraId="6D7CD681" w14:textId="77777777" w:rsidR="00B45002" w:rsidRPr="00D20211" w:rsidRDefault="00601F1A" w:rsidP="00601F1A">
      <w:pPr>
        <w:pStyle w:val="Heading1"/>
        <w:pBdr>
          <w:bottom w:val="none" w:sz="0" w:space="0" w:color="auto"/>
        </w:pBdr>
        <w:rPr>
          <w:color w:val="auto"/>
        </w:rPr>
      </w:pPr>
      <w:bookmarkStart w:id="10" w:name="_Toc493853243"/>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14:paraId="693DFA1D" w14:textId="1EA303A5" w:rsidR="0023593F" w:rsidRPr="00CD01EC" w:rsidRDefault="00BB4079" w:rsidP="00CA00D3">
      <w:pPr>
        <w:autoSpaceDE w:val="0"/>
        <w:autoSpaceDN w:val="0"/>
        <w:adjustRightInd w:val="0"/>
        <w:spacing w:after="240" w:line="23" w:lineRule="atLeast"/>
        <w:rPr>
          <w:sz w:val="24"/>
          <w:szCs w:val="24"/>
        </w:rPr>
      </w:pPr>
      <w:r>
        <w:rPr>
          <w:sz w:val="24"/>
          <w:szCs w:val="24"/>
        </w:rPr>
        <w:t>A</w:t>
      </w:r>
      <w:r w:rsidRPr="00123823">
        <w:rPr>
          <w:sz w:val="24"/>
          <w:szCs w:val="24"/>
        </w:rPr>
        <w:t>.</w:t>
      </w:r>
      <w:r w:rsidRPr="00123823">
        <w:rPr>
          <w:sz w:val="24"/>
          <w:szCs w:val="24"/>
        </w:rPr>
        <w:tab/>
      </w:r>
      <w:r w:rsidR="00BA749B">
        <w:rPr>
          <w:sz w:val="24"/>
          <w:szCs w:val="24"/>
        </w:rPr>
        <w:t>A</w:t>
      </w:r>
      <w:r w:rsidR="0023593F">
        <w:rPr>
          <w:sz w:val="24"/>
          <w:szCs w:val="24"/>
        </w:rPr>
        <w:t xml:space="preserve"> 60</w:t>
      </w:r>
      <w:r w:rsidR="00BA749B">
        <w:rPr>
          <w:sz w:val="24"/>
          <w:szCs w:val="24"/>
        </w:rPr>
        <w:t>-</w:t>
      </w:r>
      <w:r w:rsidR="0023593F">
        <w:rPr>
          <w:sz w:val="24"/>
          <w:szCs w:val="24"/>
        </w:rPr>
        <w:t>day Federal Register N</w:t>
      </w:r>
      <w:r w:rsidR="0023593F" w:rsidRPr="00123823">
        <w:rPr>
          <w:sz w:val="24"/>
          <w:szCs w:val="24"/>
        </w:rPr>
        <w:t xml:space="preserve">otice </w:t>
      </w:r>
      <w:r w:rsidR="00B42A7D">
        <w:rPr>
          <w:sz w:val="24"/>
          <w:szCs w:val="24"/>
        </w:rPr>
        <w:t>was</w:t>
      </w:r>
      <w:r w:rsidR="00CD01EC" w:rsidRPr="00CD01EC">
        <w:rPr>
          <w:sz w:val="24"/>
          <w:szCs w:val="24"/>
        </w:rPr>
        <w:t xml:space="preserve"> </w:t>
      </w:r>
      <w:r w:rsidR="0023593F" w:rsidRPr="00123823">
        <w:rPr>
          <w:sz w:val="24"/>
          <w:szCs w:val="24"/>
        </w:rPr>
        <w:t>published in</w:t>
      </w:r>
      <w:r w:rsidR="000309B3">
        <w:rPr>
          <w:sz w:val="24"/>
          <w:szCs w:val="24"/>
        </w:rPr>
        <w:t xml:space="preserve"> the</w:t>
      </w:r>
      <w:r w:rsidR="0023593F" w:rsidRPr="00123823">
        <w:rPr>
          <w:sz w:val="24"/>
          <w:szCs w:val="24"/>
        </w:rPr>
        <w:t xml:space="preserve"> </w:t>
      </w:r>
      <w:r w:rsidR="0023593F" w:rsidRPr="00123823">
        <w:rPr>
          <w:i/>
          <w:sz w:val="24"/>
          <w:szCs w:val="24"/>
        </w:rPr>
        <w:t>Federal Register</w:t>
      </w:r>
      <w:r w:rsidR="00BA749B">
        <w:rPr>
          <w:i/>
          <w:sz w:val="24"/>
          <w:szCs w:val="24"/>
        </w:rPr>
        <w:t xml:space="preserve"> </w:t>
      </w:r>
      <w:r w:rsidR="0023593F" w:rsidRPr="00123823">
        <w:rPr>
          <w:sz w:val="24"/>
          <w:szCs w:val="24"/>
        </w:rPr>
        <w:t>on</w:t>
      </w:r>
      <w:r w:rsidR="00434A28">
        <w:rPr>
          <w:sz w:val="24"/>
          <w:szCs w:val="24"/>
        </w:rPr>
        <w:t xml:space="preserve"> November 8, 2017</w:t>
      </w:r>
      <w:r w:rsidR="00BA749B">
        <w:rPr>
          <w:sz w:val="24"/>
          <w:szCs w:val="24"/>
        </w:rPr>
        <w:t xml:space="preserve">, vol. </w:t>
      </w:r>
      <w:r w:rsidR="00434A28">
        <w:rPr>
          <w:sz w:val="24"/>
          <w:szCs w:val="24"/>
        </w:rPr>
        <w:t>82</w:t>
      </w:r>
      <w:r w:rsidR="00BA749B">
        <w:rPr>
          <w:sz w:val="24"/>
          <w:szCs w:val="24"/>
        </w:rPr>
        <w:t xml:space="preserve">, No. </w:t>
      </w:r>
      <w:r w:rsidR="00434A28">
        <w:rPr>
          <w:sz w:val="24"/>
          <w:szCs w:val="24"/>
        </w:rPr>
        <w:t>215</w:t>
      </w:r>
      <w:r w:rsidR="00BA749B">
        <w:rPr>
          <w:sz w:val="24"/>
          <w:szCs w:val="24"/>
        </w:rPr>
        <w:t xml:space="preserve">, pp. </w:t>
      </w:r>
      <w:r w:rsidR="00434A28">
        <w:rPr>
          <w:sz w:val="24"/>
          <w:szCs w:val="24"/>
        </w:rPr>
        <w:t>51841</w:t>
      </w:r>
      <w:r w:rsidR="00BA749B">
        <w:rPr>
          <w:sz w:val="24"/>
          <w:szCs w:val="24"/>
        </w:rPr>
        <w:t xml:space="preserve"> (</w:t>
      </w:r>
      <w:r w:rsidR="00BA749B" w:rsidRPr="00A71AF6">
        <w:rPr>
          <w:sz w:val="24"/>
          <w:szCs w:val="24"/>
        </w:rPr>
        <w:t>Attachment</w:t>
      </w:r>
      <w:r w:rsidR="00BA749B">
        <w:rPr>
          <w:sz w:val="24"/>
          <w:szCs w:val="24"/>
        </w:rPr>
        <w:t xml:space="preserve"> </w:t>
      </w:r>
      <w:r>
        <w:rPr>
          <w:sz w:val="24"/>
          <w:szCs w:val="24"/>
        </w:rPr>
        <w:t>2</w:t>
      </w:r>
      <w:r w:rsidR="00BA749B">
        <w:rPr>
          <w:sz w:val="24"/>
          <w:szCs w:val="24"/>
        </w:rPr>
        <w:t>)</w:t>
      </w:r>
      <w:r w:rsidR="0023593F">
        <w:rPr>
          <w:sz w:val="24"/>
          <w:szCs w:val="24"/>
        </w:rPr>
        <w:t xml:space="preserve">. </w:t>
      </w:r>
      <w:r w:rsidR="0023593F" w:rsidRPr="00123823">
        <w:rPr>
          <w:sz w:val="24"/>
          <w:szCs w:val="24"/>
        </w:rPr>
        <w:t xml:space="preserve"> </w:t>
      </w:r>
      <w:r w:rsidR="000309B3">
        <w:rPr>
          <w:sz w:val="24"/>
          <w:szCs w:val="24"/>
        </w:rPr>
        <w:t>CDC did not receive public comments related to this notice.</w:t>
      </w:r>
    </w:p>
    <w:p w14:paraId="09B11011" w14:textId="77777777" w:rsidR="0023593F" w:rsidRPr="00123823" w:rsidRDefault="0023593F" w:rsidP="00CA00D3">
      <w:pPr>
        <w:numPr>
          <w:ilvl w:val="12"/>
          <w:numId w:val="0"/>
        </w:numPr>
        <w:spacing w:after="240" w:line="23" w:lineRule="atLeast"/>
        <w:rPr>
          <w:sz w:val="24"/>
          <w:szCs w:val="24"/>
        </w:rPr>
      </w:pPr>
      <w:r w:rsidRPr="00123823">
        <w:rPr>
          <w:sz w:val="24"/>
          <w:szCs w:val="24"/>
        </w:rPr>
        <w:t>B.</w:t>
      </w:r>
      <w:r w:rsidRPr="00123823">
        <w:rPr>
          <w:sz w:val="24"/>
          <w:szCs w:val="24"/>
        </w:rPr>
        <w:tab/>
        <w:t xml:space="preserve">During the design phase of creating </w:t>
      </w:r>
      <w:r w:rsidR="001C7F7C">
        <w:rPr>
          <w:sz w:val="24"/>
          <w:szCs w:val="24"/>
        </w:rPr>
        <w:t>HHLPSS</w:t>
      </w:r>
      <w:r w:rsidRPr="00123823">
        <w:rPr>
          <w:sz w:val="24"/>
          <w:szCs w:val="24"/>
        </w:rPr>
        <w:t xml:space="preserve">, CDC’s NCEH Healthy Homes and Lead Poisoning Prevention </w:t>
      </w:r>
      <w:r>
        <w:rPr>
          <w:sz w:val="24"/>
          <w:szCs w:val="24"/>
        </w:rPr>
        <w:t>Program</w:t>
      </w:r>
      <w:r w:rsidRPr="00123823">
        <w:rPr>
          <w:sz w:val="24"/>
          <w:szCs w:val="24"/>
        </w:rPr>
        <w:t xml:space="preserve"> consulted with </w:t>
      </w:r>
      <w:r>
        <w:rPr>
          <w:sz w:val="24"/>
          <w:szCs w:val="24"/>
        </w:rPr>
        <w:t>scientists and program managers</w:t>
      </w:r>
      <w:r w:rsidRPr="00123823">
        <w:rPr>
          <w:sz w:val="24"/>
          <w:szCs w:val="24"/>
        </w:rPr>
        <w:t xml:space="preserve"> from </w:t>
      </w:r>
      <w:r w:rsidR="00843734" w:rsidRPr="002A26F8">
        <w:rPr>
          <w:sz w:val="24"/>
          <w:szCs w:val="24"/>
        </w:rPr>
        <w:t>in 20</w:t>
      </w:r>
      <w:r w:rsidR="005A6C69" w:rsidRPr="002A26F8">
        <w:rPr>
          <w:sz w:val="24"/>
          <w:szCs w:val="24"/>
        </w:rPr>
        <w:t>09</w:t>
      </w:r>
      <w:r w:rsidRPr="002A26F8">
        <w:rPr>
          <w:sz w:val="24"/>
          <w:szCs w:val="24"/>
        </w:rPr>
        <w:t xml:space="preserve">.  We discussed availability of data and frequency of collection issues with </w:t>
      </w:r>
      <w:r w:rsidR="002A26F8">
        <w:rPr>
          <w:sz w:val="24"/>
          <w:szCs w:val="24"/>
        </w:rPr>
        <w:t xml:space="preserve">this </w:t>
      </w:r>
      <w:r w:rsidRPr="002A26F8">
        <w:rPr>
          <w:sz w:val="24"/>
          <w:szCs w:val="24"/>
        </w:rPr>
        <w:t xml:space="preserve">subject matter expert (Table </w:t>
      </w:r>
      <w:r w:rsidR="00550771" w:rsidRPr="002A26F8">
        <w:rPr>
          <w:sz w:val="24"/>
          <w:szCs w:val="24"/>
        </w:rPr>
        <w:t>A8.</w:t>
      </w:r>
      <w:r w:rsidRPr="002A26F8">
        <w:rPr>
          <w:sz w:val="24"/>
          <w:szCs w:val="24"/>
        </w:rPr>
        <w:t>1).</w:t>
      </w:r>
    </w:p>
    <w:p w14:paraId="68C2145F" w14:textId="77777777" w:rsidR="002A26F8" w:rsidRPr="00123823" w:rsidRDefault="002A26F8" w:rsidP="0023593F">
      <w:pPr>
        <w:numPr>
          <w:ilvl w:val="12"/>
          <w:numId w:val="0"/>
        </w:numPr>
        <w:tabs>
          <w:tab w:val="left" w:pos="2880"/>
          <w:tab w:val="left" w:pos="7200"/>
        </w:tabs>
        <w:rPr>
          <w:sz w:val="24"/>
        </w:rPr>
      </w:pPr>
    </w:p>
    <w:p w14:paraId="78946330" w14:textId="77777777" w:rsidR="0023593F" w:rsidRPr="00123823" w:rsidRDefault="0023593F" w:rsidP="0023593F">
      <w:pPr>
        <w:numPr>
          <w:ilvl w:val="12"/>
          <w:numId w:val="0"/>
        </w:numPr>
        <w:tabs>
          <w:tab w:val="left" w:pos="2880"/>
          <w:tab w:val="left" w:pos="7200"/>
        </w:tabs>
        <w:rPr>
          <w:sz w:val="24"/>
        </w:rPr>
      </w:pPr>
      <w:r w:rsidRPr="00D43977">
        <w:rPr>
          <w:sz w:val="24"/>
        </w:rPr>
        <w:t xml:space="preserve">Table </w:t>
      </w:r>
      <w:r w:rsidR="00550771" w:rsidRPr="00D43977">
        <w:rPr>
          <w:sz w:val="24"/>
        </w:rPr>
        <w:t>A8.1</w:t>
      </w:r>
      <w:r w:rsidRPr="00A477D5">
        <w:rPr>
          <w:sz w:val="24"/>
        </w:rPr>
        <w:t>.</w:t>
      </w:r>
      <w:r w:rsidRPr="00123823">
        <w:rPr>
          <w:sz w:val="24"/>
        </w:rPr>
        <w:t xml:space="preserve">  List of experts consulted regarding study design and frequency of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1193"/>
        <w:gridCol w:w="2567"/>
        <w:gridCol w:w="3315"/>
        <w:gridCol w:w="1456"/>
      </w:tblGrid>
      <w:tr w:rsidR="0023593F" w:rsidRPr="00123823" w14:paraId="6357DD76" w14:textId="77777777" w:rsidTr="002A26F8">
        <w:tc>
          <w:tcPr>
            <w:tcW w:w="1063" w:type="dxa"/>
          </w:tcPr>
          <w:p w14:paraId="6FAE311B" w14:textId="77777777" w:rsidR="0023593F" w:rsidRPr="00843734" w:rsidRDefault="0023593F" w:rsidP="00843734">
            <w:pPr>
              <w:numPr>
                <w:ilvl w:val="12"/>
                <w:numId w:val="0"/>
              </w:numPr>
              <w:tabs>
                <w:tab w:val="left" w:pos="2880"/>
                <w:tab w:val="left" w:pos="7200"/>
              </w:tabs>
              <w:spacing w:after="0" w:line="240" w:lineRule="auto"/>
              <w:jc w:val="center"/>
              <w:rPr>
                <w:sz w:val="24"/>
                <w:szCs w:val="24"/>
              </w:rPr>
            </w:pPr>
            <w:r w:rsidRPr="00843734">
              <w:rPr>
                <w:sz w:val="24"/>
                <w:szCs w:val="24"/>
              </w:rPr>
              <w:t>Name</w:t>
            </w:r>
          </w:p>
        </w:tc>
        <w:tc>
          <w:tcPr>
            <w:tcW w:w="1014" w:type="dxa"/>
          </w:tcPr>
          <w:p w14:paraId="089EBEA4" w14:textId="77777777" w:rsidR="0023593F" w:rsidRPr="00843734" w:rsidRDefault="0023593F" w:rsidP="00843734">
            <w:pPr>
              <w:numPr>
                <w:ilvl w:val="12"/>
                <w:numId w:val="0"/>
              </w:numPr>
              <w:tabs>
                <w:tab w:val="left" w:pos="2880"/>
                <w:tab w:val="left" w:pos="7200"/>
              </w:tabs>
              <w:spacing w:after="0" w:line="240" w:lineRule="auto"/>
              <w:jc w:val="center"/>
              <w:rPr>
                <w:sz w:val="24"/>
                <w:szCs w:val="24"/>
              </w:rPr>
            </w:pPr>
            <w:r w:rsidRPr="00843734">
              <w:rPr>
                <w:sz w:val="24"/>
                <w:szCs w:val="24"/>
              </w:rPr>
              <w:t>Title</w:t>
            </w:r>
          </w:p>
        </w:tc>
        <w:tc>
          <w:tcPr>
            <w:tcW w:w="2713" w:type="dxa"/>
          </w:tcPr>
          <w:p w14:paraId="4D04475C" w14:textId="77777777" w:rsidR="0023593F" w:rsidRPr="00843734" w:rsidRDefault="0023593F" w:rsidP="00843734">
            <w:pPr>
              <w:numPr>
                <w:ilvl w:val="12"/>
                <w:numId w:val="0"/>
              </w:numPr>
              <w:tabs>
                <w:tab w:val="left" w:pos="2880"/>
                <w:tab w:val="left" w:pos="7200"/>
              </w:tabs>
              <w:spacing w:after="0" w:line="240" w:lineRule="auto"/>
              <w:jc w:val="center"/>
              <w:rPr>
                <w:sz w:val="24"/>
                <w:szCs w:val="24"/>
              </w:rPr>
            </w:pPr>
            <w:r w:rsidRPr="00843734">
              <w:rPr>
                <w:sz w:val="24"/>
                <w:szCs w:val="24"/>
              </w:rPr>
              <w:t>Affiliation</w:t>
            </w:r>
          </w:p>
        </w:tc>
        <w:tc>
          <w:tcPr>
            <w:tcW w:w="3418" w:type="dxa"/>
          </w:tcPr>
          <w:p w14:paraId="38326D96" w14:textId="77777777" w:rsidR="0023593F" w:rsidRPr="00843734" w:rsidRDefault="0023593F" w:rsidP="00843734">
            <w:pPr>
              <w:numPr>
                <w:ilvl w:val="12"/>
                <w:numId w:val="0"/>
              </w:numPr>
              <w:tabs>
                <w:tab w:val="left" w:pos="2880"/>
                <w:tab w:val="left" w:pos="7200"/>
              </w:tabs>
              <w:spacing w:after="0" w:line="240" w:lineRule="auto"/>
              <w:jc w:val="center"/>
              <w:rPr>
                <w:sz w:val="24"/>
                <w:szCs w:val="24"/>
              </w:rPr>
            </w:pPr>
            <w:r w:rsidRPr="00843734">
              <w:rPr>
                <w:sz w:val="24"/>
                <w:szCs w:val="24"/>
              </w:rPr>
              <w:t>Contact information</w:t>
            </w:r>
          </w:p>
        </w:tc>
        <w:tc>
          <w:tcPr>
            <w:tcW w:w="1142" w:type="dxa"/>
          </w:tcPr>
          <w:p w14:paraId="01A2F32E" w14:textId="77777777" w:rsidR="0023593F" w:rsidRPr="00843734" w:rsidRDefault="0023593F" w:rsidP="00843734">
            <w:pPr>
              <w:numPr>
                <w:ilvl w:val="12"/>
                <w:numId w:val="0"/>
              </w:numPr>
              <w:tabs>
                <w:tab w:val="left" w:pos="2880"/>
                <w:tab w:val="left" w:pos="7200"/>
              </w:tabs>
              <w:spacing w:after="0" w:line="240" w:lineRule="auto"/>
              <w:jc w:val="center"/>
              <w:rPr>
                <w:sz w:val="24"/>
                <w:szCs w:val="24"/>
              </w:rPr>
            </w:pPr>
            <w:r w:rsidRPr="00843734">
              <w:rPr>
                <w:sz w:val="24"/>
                <w:szCs w:val="24"/>
              </w:rPr>
              <w:t>Year of Consultation</w:t>
            </w:r>
          </w:p>
        </w:tc>
      </w:tr>
      <w:tr w:rsidR="0023593F" w:rsidRPr="00123823" w14:paraId="2B39C97D" w14:textId="77777777" w:rsidTr="002A26F8">
        <w:tc>
          <w:tcPr>
            <w:tcW w:w="1063" w:type="dxa"/>
          </w:tcPr>
          <w:p w14:paraId="3CD7E916" w14:textId="77777777" w:rsidR="0023593F" w:rsidRPr="00843734" w:rsidRDefault="0023593F" w:rsidP="00843734">
            <w:pPr>
              <w:numPr>
                <w:ilvl w:val="12"/>
                <w:numId w:val="0"/>
              </w:numPr>
              <w:tabs>
                <w:tab w:val="left" w:pos="2880"/>
                <w:tab w:val="left" w:pos="7200"/>
              </w:tabs>
              <w:spacing w:after="0" w:line="240" w:lineRule="auto"/>
              <w:rPr>
                <w:sz w:val="24"/>
                <w:szCs w:val="24"/>
              </w:rPr>
            </w:pPr>
            <w:r w:rsidRPr="00843734">
              <w:rPr>
                <w:sz w:val="24"/>
                <w:szCs w:val="24"/>
              </w:rPr>
              <w:t>Peter Ashley, DrPH</w:t>
            </w:r>
          </w:p>
        </w:tc>
        <w:tc>
          <w:tcPr>
            <w:tcW w:w="1014" w:type="dxa"/>
          </w:tcPr>
          <w:p w14:paraId="4215C18A" w14:textId="77777777" w:rsidR="0023593F" w:rsidRPr="00843734" w:rsidRDefault="0023593F" w:rsidP="00843734">
            <w:pPr>
              <w:spacing w:after="0" w:line="240" w:lineRule="auto"/>
              <w:rPr>
                <w:sz w:val="24"/>
                <w:szCs w:val="24"/>
              </w:rPr>
            </w:pPr>
            <w:r w:rsidRPr="00843734">
              <w:rPr>
                <w:sz w:val="24"/>
                <w:szCs w:val="24"/>
              </w:rPr>
              <w:t>Director, Policy and Standards Division</w:t>
            </w:r>
          </w:p>
          <w:p w14:paraId="57AEAF16" w14:textId="77777777" w:rsidR="0023593F" w:rsidRPr="00843734" w:rsidRDefault="0023593F" w:rsidP="00843734">
            <w:pPr>
              <w:numPr>
                <w:ilvl w:val="12"/>
                <w:numId w:val="0"/>
              </w:numPr>
              <w:tabs>
                <w:tab w:val="left" w:pos="2880"/>
                <w:tab w:val="left" w:pos="7200"/>
              </w:tabs>
              <w:spacing w:after="0" w:line="240" w:lineRule="auto"/>
              <w:rPr>
                <w:sz w:val="24"/>
                <w:szCs w:val="24"/>
              </w:rPr>
            </w:pPr>
          </w:p>
        </w:tc>
        <w:tc>
          <w:tcPr>
            <w:tcW w:w="2713" w:type="dxa"/>
          </w:tcPr>
          <w:p w14:paraId="637FC4AB" w14:textId="77777777" w:rsidR="0023593F" w:rsidRPr="00843734" w:rsidRDefault="0023593F" w:rsidP="00843734">
            <w:pPr>
              <w:numPr>
                <w:ilvl w:val="12"/>
                <w:numId w:val="0"/>
              </w:numPr>
              <w:tabs>
                <w:tab w:val="left" w:pos="2880"/>
                <w:tab w:val="left" w:pos="7200"/>
              </w:tabs>
              <w:spacing w:after="0" w:line="240" w:lineRule="auto"/>
              <w:rPr>
                <w:sz w:val="24"/>
                <w:szCs w:val="24"/>
              </w:rPr>
            </w:pPr>
            <w:r w:rsidRPr="00843734">
              <w:rPr>
                <w:sz w:val="24"/>
                <w:szCs w:val="24"/>
              </w:rPr>
              <w:t>U.S. Dept. of Housing and Urban Development (HUD)</w:t>
            </w:r>
          </w:p>
        </w:tc>
        <w:tc>
          <w:tcPr>
            <w:tcW w:w="3418" w:type="dxa"/>
          </w:tcPr>
          <w:p w14:paraId="37A8C09E" w14:textId="77777777" w:rsidR="0023593F" w:rsidRPr="00843734" w:rsidRDefault="003E392F" w:rsidP="00843734">
            <w:pPr>
              <w:numPr>
                <w:ilvl w:val="12"/>
                <w:numId w:val="0"/>
              </w:numPr>
              <w:tabs>
                <w:tab w:val="left" w:pos="2880"/>
                <w:tab w:val="left" w:pos="7200"/>
              </w:tabs>
              <w:spacing w:after="0" w:line="240" w:lineRule="auto"/>
              <w:rPr>
                <w:sz w:val="24"/>
                <w:szCs w:val="24"/>
              </w:rPr>
            </w:pPr>
            <w:hyperlink r:id="rId11" w:history="1">
              <w:r w:rsidR="0023593F" w:rsidRPr="00843734">
                <w:rPr>
                  <w:rStyle w:val="Hyperlink"/>
                  <w:sz w:val="24"/>
                  <w:szCs w:val="24"/>
                </w:rPr>
                <w:t>Peter.J.Ashley@hud.gov</w:t>
              </w:r>
            </w:hyperlink>
            <w:r w:rsidR="0023593F" w:rsidRPr="00843734">
              <w:rPr>
                <w:sz w:val="24"/>
                <w:szCs w:val="24"/>
              </w:rPr>
              <w:t xml:space="preserve"> </w:t>
            </w:r>
          </w:p>
          <w:p w14:paraId="5FF247D6" w14:textId="77777777" w:rsidR="0023593F" w:rsidRPr="00843734" w:rsidRDefault="0023593F" w:rsidP="00843734">
            <w:pPr>
              <w:spacing w:after="0" w:line="240" w:lineRule="auto"/>
              <w:rPr>
                <w:sz w:val="24"/>
                <w:szCs w:val="24"/>
              </w:rPr>
            </w:pPr>
            <w:r w:rsidRPr="00843734">
              <w:rPr>
                <w:sz w:val="24"/>
                <w:szCs w:val="24"/>
              </w:rPr>
              <w:t>Phone: 202-402-7595</w:t>
            </w:r>
          </w:p>
          <w:p w14:paraId="6CBABFCC" w14:textId="77777777" w:rsidR="0023593F" w:rsidRPr="00843734" w:rsidRDefault="0023593F" w:rsidP="00843734">
            <w:pPr>
              <w:numPr>
                <w:ilvl w:val="12"/>
                <w:numId w:val="0"/>
              </w:numPr>
              <w:tabs>
                <w:tab w:val="left" w:pos="2880"/>
                <w:tab w:val="left" w:pos="7200"/>
              </w:tabs>
              <w:spacing w:after="0" w:line="240" w:lineRule="auto"/>
              <w:rPr>
                <w:sz w:val="24"/>
                <w:szCs w:val="24"/>
              </w:rPr>
            </w:pPr>
          </w:p>
        </w:tc>
        <w:tc>
          <w:tcPr>
            <w:tcW w:w="1142" w:type="dxa"/>
          </w:tcPr>
          <w:p w14:paraId="535CD3E5" w14:textId="77777777" w:rsidR="0023593F" w:rsidRPr="00843734" w:rsidRDefault="0023593F" w:rsidP="00843734">
            <w:pPr>
              <w:numPr>
                <w:ilvl w:val="12"/>
                <w:numId w:val="0"/>
              </w:numPr>
              <w:tabs>
                <w:tab w:val="left" w:pos="2880"/>
                <w:tab w:val="left" w:pos="7200"/>
              </w:tabs>
              <w:spacing w:after="0" w:line="240" w:lineRule="auto"/>
              <w:jc w:val="center"/>
              <w:rPr>
                <w:sz w:val="24"/>
                <w:szCs w:val="24"/>
              </w:rPr>
            </w:pPr>
            <w:r w:rsidRPr="00843734">
              <w:rPr>
                <w:sz w:val="24"/>
                <w:szCs w:val="24"/>
              </w:rPr>
              <w:t>2009</w:t>
            </w:r>
          </w:p>
        </w:tc>
      </w:tr>
    </w:tbl>
    <w:p w14:paraId="62F39D52" w14:textId="77777777" w:rsidR="00D62EE3" w:rsidRDefault="00D62EE3" w:rsidP="0023593F">
      <w:pPr>
        <w:autoSpaceDE w:val="0"/>
        <w:autoSpaceDN w:val="0"/>
        <w:adjustRightInd w:val="0"/>
        <w:spacing w:after="0" w:line="240" w:lineRule="auto"/>
        <w:rPr>
          <w:rFonts w:cs="ITCFranklinGothicStd-Demi"/>
          <w:sz w:val="24"/>
          <w:szCs w:val="24"/>
        </w:rPr>
      </w:pPr>
    </w:p>
    <w:p w14:paraId="36E7359F" w14:textId="77777777" w:rsidR="00B45002" w:rsidRPr="00D20211" w:rsidRDefault="00601F1A" w:rsidP="00601F1A">
      <w:pPr>
        <w:pStyle w:val="Heading1"/>
        <w:pBdr>
          <w:bottom w:val="none" w:sz="0" w:space="0" w:color="auto"/>
        </w:pBdr>
        <w:rPr>
          <w:color w:val="auto"/>
        </w:rPr>
      </w:pPr>
      <w:bookmarkStart w:id="11" w:name="_Toc493853244"/>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14:paraId="5F00DEA4" w14:textId="77777777" w:rsidR="00524D01" w:rsidRDefault="0048740C" w:rsidP="00CA00D3">
      <w:pPr>
        <w:spacing w:after="240" w:line="276" w:lineRule="auto"/>
        <w:ind w:right="-288"/>
        <w:rPr>
          <w:bCs/>
          <w:sz w:val="24"/>
          <w:szCs w:val="24"/>
        </w:rPr>
      </w:pPr>
      <w:r>
        <w:rPr>
          <w:sz w:val="24"/>
          <w:szCs w:val="24"/>
        </w:rPr>
        <w:t xml:space="preserve">Data submission is required by </w:t>
      </w:r>
      <w:r w:rsidR="00387E70">
        <w:rPr>
          <w:sz w:val="24"/>
          <w:szCs w:val="24"/>
        </w:rPr>
        <w:t xml:space="preserve">CDC’s </w:t>
      </w:r>
      <w:r>
        <w:rPr>
          <w:sz w:val="24"/>
          <w:szCs w:val="24"/>
        </w:rPr>
        <w:t xml:space="preserve">NCEH under </w:t>
      </w:r>
      <w:r w:rsidR="00387E70">
        <w:rPr>
          <w:sz w:val="24"/>
          <w:szCs w:val="24"/>
        </w:rPr>
        <w:t xml:space="preserve">the </w:t>
      </w:r>
      <w:r w:rsidR="00387E70" w:rsidRPr="00005521">
        <w:rPr>
          <w:sz w:val="24"/>
          <w:szCs w:val="24"/>
        </w:rPr>
        <w:t>CDC-RFA-EH14-1408PPHF14</w:t>
      </w:r>
      <w:r w:rsidR="00387E70">
        <w:rPr>
          <w:sz w:val="24"/>
          <w:szCs w:val="24"/>
        </w:rPr>
        <w:t xml:space="preserve"> cooperative agreement </w:t>
      </w:r>
      <w:r>
        <w:rPr>
          <w:sz w:val="24"/>
          <w:szCs w:val="24"/>
        </w:rPr>
        <w:t>(</w:t>
      </w:r>
      <w:r w:rsidRPr="00387E70">
        <w:rPr>
          <w:sz w:val="24"/>
          <w:szCs w:val="24"/>
        </w:rPr>
        <w:t>Attachment 5</w:t>
      </w:r>
      <w:r w:rsidR="00387E70" w:rsidRPr="00387E70">
        <w:rPr>
          <w:sz w:val="24"/>
          <w:szCs w:val="24"/>
        </w:rPr>
        <w:t>)</w:t>
      </w:r>
      <w:r w:rsidRPr="00387E70">
        <w:rPr>
          <w:sz w:val="24"/>
          <w:szCs w:val="24"/>
        </w:rPr>
        <w:t>.</w:t>
      </w:r>
    </w:p>
    <w:p w14:paraId="3F6A172A" w14:textId="77777777" w:rsidR="00B45002" w:rsidRPr="00D20211" w:rsidRDefault="00601F1A" w:rsidP="00601F1A">
      <w:pPr>
        <w:pStyle w:val="Heading1"/>
        <w:pBdr>
          <w:bottom w:val="none" w:sz="0" w:space="0" w:color="auto"/>
        </w:pBdr>
        <w:rPr>
          <w:color w:val="auto"/>
        </w:rPr>
      </w:pPr>
      <w:bookmarkStart w:id="12" w:name="_Toc493853245"/>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2"/>
    </w:p>
    <w:p w14:paraId="64077B13" w14:textId="12514C1E" w:rsidR="0023593F" w:rsidRDefault="0023593F" w:rsidP="00CA00D3">
      <w:pPr>
        <w:numPr>
          <w:ilvl w:val="12"/>
          <w:numId w:val="0"/>
        </w:numPr>
        <w:spacing w:after="240" w:line="23" w:lineRule="atLeast"/>
        <w:rPr>
          <w:sz w:val="24"/>
          <w:szCs w:val="24"/>
        </w:rPr>
      </w:pPr>
      <w:r>
        <w:rPr>
          <w:sz w:val="24"/>
          <w:szCs w:val="24"/>
          <w:u w:val="single"/>
        </w:rPr>
        <w:t xml:space="preserve">A.10.1. </w:t>
      </w:r>
      <w:r w:rsidRPr="00123823">
        <w:rPr>
          <w:sz w:val="24"/>
          <w:szCs w:val="24"/>
          <w:u w:val="single"/>
        </w:rPr>
        <w:t>Privacy Impact Assessment Information</w:t>
      </w:r>
      <w:r w:rsidR="003D5E2B">
        <w:rPr>
          <w:sz w:val="24"/>
          <w:szCs w:val="24"/>
          <w:u w:val="single"/>
        </w:rPr>
        <w:t xml:space="preserve"> </w:t>
      </w:r>
    </w:p>
    <w:p w14:paraId="39EBF151" w14:textId="7B62A48D" w:rsidR="00E53774" w:rsidRDefault="00E53774" w:rsidP="00CA00D3">
      <w:pPr>
        <w:spacing w:after="240" w:line="23" w:lineRule="atLeast"/>
        <w:rPr>
          <w:sz w:val="24"/>
          <w:szCs w:val="24"/>
        </w:rPr>
      </w:pPr>
      <w:r w:rsidRPr="00D74E8E">
        <w:rPr>
          <w:sz w:val="24"/>
          <w:szCs w:val="24"/>
        </w:rPr>
        <w:t xml:space="preserve">The NCEH/ATSDR PRA Contact has reviewed this submission and has determined that the Privacy Act does apply. The applicable Privacy Act System of Records Notice is </w:t>
      </w:r>
      <w:hyperlink r:id="rId12" w:history="1">
        <w:r w:rsidRPr="00D74E8E">
          <w:rPr>
            <w:rStyle w:val="Hyperlink"/>
            <w:rFonts w:cs="ITCFranklinGothicStd-Book"/>
            <w:color w:val="auto"/>
            <w:sz w:val="24"/>
            <w:szCs w:val="24"/>
            <w:u w:val="none"/>
          </w:rPr>
          <w:t>SORN 09-20-0136</w:t>
        </w:r>
      </w:hyperlink>
      <w:r w:rsidRPr="00D74E8E">
        <w:rPr>
          <w:rFonts w:cs="ITCFranklinGothicStd-Book"/>
          <w:sz w:val="24"/>
          <w:szCs w:val="24"/>
        </w:rPr>
        <w:t xml:space="preserve"> “Epidemiologic Studies and Surveillance of Disease Problems”</w:t>
      </w:r>
      <w:r w:rsidR="00106C15">
        <w:rPr>
          <w:rFonts w:cs="ITCFranklinGothicStd-Book"/>
          <w:sz w:val="24"/>
          <w:szCs w:val="24"/>
        </w:rPr>
        <w:t xml:space="preserve"> </w:t>
      </w:r>
      <w:r w:rsidR="00106C15" w:rsidRPr="00106C15">
        <w:rPr>
          <w:rFonts w:cs="ITCFranklinGothicStd-Book"/>
          <w:sz w:val="24"/>
          <w:szCs w:val="24"/>
        </w:rPr>
        <w:t>(</w:t>
      </w:r>
      <w:hyperlink r:id="rId13" w:history="1">
        <w:r w:rsidR="00106C15" w:rsidRPr="00106C15">
          <w:rPr>
            <w:rStyle w:val="Hyperlink"/>
            <w:sz w:val="24"/>
            <w:szCs w:val="24"/>
          </w:rPr>
          <w:t>https://www.cdc.gov/SORNnotice/09-20-0136.htm</w:t>
        </w:r>
      </w:hyperlink>
      <w:r w:rsidR="00106C15">
        <w:rPr>
          <w:sz w:val="24"/>
          <w:szCs w:val="24"/>
        </w:rPr>
        <w:t>).</w:t>
      </w:r>
      <w:r w:rsidRPr="00D74E8E">
        <w:rPr>
          <w:rFonts w:cs="ITCFranklinGothicStd-Book"/>
          <w:sz w:val="24"/>
          <w:szCs w:val="24"/>
          <w:vertAlign w:val="superscript"/>
        </w:rPr>
        <w:t xml:space="preserve"> </w:t>
      </w:r>
      <w:r>
        <w:rPr>
          <w:rFonts w:cs="ITCFranklinGothicStd-Book"/>
          <w:sz w:val="24"/>
          <w:szCs w:val="24"/>
          <w:vertAlign w:val="superscript"/>
        </w:rPr>
        <w:t xml:space="preserve">  </w:t>
      </w:r>
      <w:r w:rsidRPr="004D643F">
        <w:rPr>
          <w:rFonts w:cs="ITCFranklinGothicStd-Book"/>
          <w:sz w:val="24"/>
          <w:szCs w:val="24"/>
        </w:rPr>
        <w:t>On O</w:t>
      </w:r>
      <w:r>
        <w:rPr>
          <w:rFonts w:cs="ITCFranklinGothicStd-Book"/>
          <w:sz w:val="24"/>
          <w:szCs w:val="24"/>
        </w:rPr>
        <w:t>c</w:t>
      </w:r>
      <w:r w:rsidRPr="004D643F">
        <w:rPr>
          <w:rFonts w:cs="ITCFranklinGothicStd-Book"/>
          <w:sz w:val="24"/>
          <w:szCs w:val="24"/>
        </w:rPr>
        <w:t xml:space="preserve">tober 4, </w:t>
      </w:r>
      <w:r w:rsidRPr="004D643F">
        <w:rPr>
          <w:sz w:val="24"/>
          <w:szCs w:val="24"/>
        </w:rPr>
        <w:t>2017</w:t>
      </w:r>
      <w:r>
        <w:rPr>
          <w:sz w:val="24"/>
          <w:szCs w:val="24"/>
        </w:rPr>
        <w:t>, t</w:t>
      </w:r>
      <w:r w:rsidRPr="00D74E8E">
        <w:rPr>
          <w:sz w:val="24"/>
          <w:szCs w:val="24"/>
        </w:rPr>
        <w:t xml:space="preserve">he NCEH/ATSDR Information Systems Security Officer (ISSO) conducted an annual review of the </w:t>
      </w:r>
      <w:r>
        <w:rPr>
          <w:sz w:val="24"/>
          <w:szCs w:val="24"/>
        </w:rPr>
        <w:t xml:space="preserve">HHLPSS and determined that the previously </w:t>
      </w:r>
      <w:r w:rsidR="00D47CE7">
        <w:rPr>
          <w:sz w:val="24"/>
          <w:szCs w:val="24"/>
        </w:rPr>
        <w:t>approved</w:t>
      </w:r>
      <w:r>
        <w:rPr>
          <w:sz w:val="24"/>
          <w:szCs w:val="24"/>
        </w:rPr>
        <w:t xml:space="preserve"> Privacy Impact Assessment </w:t>
      </w:r>
      <w:r w:rsidR="00527CD9">
        <w:rPr>
          <w:sz w:val="24"/>
          <w:szCs w:val="24"/>
        </w:rPr>
        <w:t xml:space="preserve">for </w:t>
      </w:r>
      <w:r w:rsidR="006064A4">
        <w:rPr>
          <w:sz w:val="24"/>
          <w:szCs w:val="24"/>
        </w:rPr>
        <w:t xml:space="preserve">the Childhood Blood-Lead Poisoning Surveillance System </w:t>
      </w:r>
      <w:r w:rsidR="00791208">
        <w:rPr>
          <w:sz w:val="24"/>
          <w:szCs w:val="24"/>
        </w:rPr>
        <w:t xml:space="preserve">(Attachment 9) </w:t>
      </w:r>
      <w:r>
        <w:rPr>
          <w:sz w:val="24"/>
          <w:szCs w:val="24"/>
        </w:rPr>
        <w:t>is sufficient for the extension of this information</w:t>
      </w:r>
      <w:r w:rsidR="00106C15">
        <w:rPr>
          <w:sz w:val="24"/>
          <w:szCs w:val="24"/>
        </w:rPr>
        <w:t xml:space="preserve"> collection</w:t>
      </w:r>
      <w:r>
        <w:rPr>
          <w:sz w:val="24"/>
          <w:szCs w:val="24"/>
        </w:rPr>
        <w:t>.</w:t>
      </w:r>
      <w:r w:rsidR="006064A4">
        <w:rPr>
          <w:sz w:val="24"/>
          <w:szCs w:val="24"/>
        </w:rPr>
        <w:t xml:space="preserve">  The Childhood Blood-Lead Poisoning Surveillance</w:t>
      </w:r>
      <w:r w:rsidR="00D47CE7">
        <w:rPr>
          <w:sz w:val="24"/>
          <w:szCs w:val="24"/>
        </w:rPr>
        <w:t xml:space="preserve"> System and HHLPSS </w:t>
      </w:r>
      <w:r w:rsidR="00527CD9">
        <w:rPr>
          <w:sz w:val="24"/>
          <w:szCs w:val="24"/>
        </w:rPr>
        <w:t>are</w:t>
      </w:r>
      <w:r w:rsidR="007461D5">
        <w:rPr>
          <w:sz w:val="24"/>
          <w:szCs w:val="24"/>
        </w:rPr>
        <w:t xml:space="preserve"> the same </w:t>
      </w:r>
      <w:r w:rsidR="00AF55F7">
        <w:rPr>
          <w:sz w:val="24"/>
          <w:szCs w:val="24"/>
        </w:rPr>
        <w:t xml:space="preserve">system </w:t>
      </w:r>
      <w:r w:rsidR="00527CD9">
        <w:rPr>
          <w:sz w:val="24"/>
          <w:szCs w:val="24"/>
        </w:rPr>
        <w:t xml:space="preserve">used </w:t>
      </w:r>
      <w:r w:rsidR="00AF55F7">
        <w:rPr>
          <w:sz w:val="24"/>
          <w:szCs w:val="24"/>
        </w:rPr>
        <w:t xml:space="preserve">to collect </w:t>
      </w:r>
      <w:r w:rsidR="00321FFA">
        <w:rPr>
          <w:sz w:val="24"/>
          <w:szCs w:val="24"/>
        </w:rPr>
        <w:t>data</w:t>
      </w:r>
      <w:r w:rsidR="00527CD9">
        <w:rPr>
          <w:sz w:val="24"/>
          <w:szCs w:val="24"/>
        </w:rPr>
        <w:t xml:space="preserve"> from state, local, and territorial programs.  </w:t>
      </w:r>
      <w:r w:rsidR="00D47CE7">
        <w:rPr>
          <w:sz w:val="24"/>
          <w:szCs w:val="24"/>
        </w:rPr>
        <w:t xml:space="preserve"> </w:t>
      </w:r>
      <w:r>
        <w:rPr>
          <w:sz w:val="24"/>
          <w:szCs w:val="24"/>
        </w:rPr>
        <w:t xml:space="preserve">  </w:t>
      </w:r>
    </w:p>
    <w:p w14:paraId="1C83DED5" w14:textId="59C6C7CD" w:rsidR="0023593F" w:rsidRPr="00B66900" w:rsidRDefault="0023593F" w:rsidP="00CA00D3">
      <w:pPr>
        <w:spacing w:after="240" w:line="23" w:lineRule="atLeast"/>
        <w:rPr>
          <w:sz w:val="24"/>
          <w:szCs w:val="24"/>
          <w:u w:val="single"/>
        </w:rPr>
      </w:pPr>
      <w:r w:rsidRPr="00B66900">
        <w:rPr>
          <w:sz w:val="24"/>
          <w:szCs w:val="24"/>
          <w:u w:val="single"/>
        </w:rPr>
        <w:t>Overview of the data collection system</w:t>
      </w:r>
    </w:p>
    <w:p w14:paraId="0A084682" w14:textId="77777777" w:rsidR="0023593F" w:rsidRPr="00011433" w:rsidRDefault="0023593F" w:rsidP="00CA00D3">
      <w:pPr>
        <w:spacing w:after="240" w:line="23" w:lineRule="atLeast"/>
        <w:rPr>
          <w:bCs/>
          <w:sz w:val="24"/>
          <w:szCs w:val="24"/>
        </w:rPr>
      </w:pPr>
      <w:r w:rsidRPr="00B66900">
        <w:rPr>
          <w:sz w:val="24"/>
          <w:szCs w:val="24"/>
        </w:rPr>
        <w:t xml:space="preserve">Data will be collected quarterly on healthy homes and child blood lead levels by CDC. Adults blood lead levels will be sent to CDC on an annual basis. NIOSH will analyze adult blood lead </w:t>
      </w:r>
      <w:r w:rsidRPr="00A71AF6">
        <w:rPr>
          <w:sz w:val="24"/>
          <w:szCs w:val="24"/>
        </w:rPr>
        <w:t xml:space="preserve">data. </w:t>
      </w:r>
      <w:r w:rsidR="00127CA4" w:rsidRPr="00D43977">
        <w:rPr>
          <w:bCs/>
          <w:sz w:val="24"/>
          <w:szCs w:val="24"/>
        </w:rPr>
        <w:t xml:space="preserve">Attachment </w:t>
      </w:r>
      <w:r w:rsidR="002154E2" w:rsidRPr="00D43977">
        <w:rPr>
          <w:bCs/>
          <w:sz w:val="24"/>
          <w:szCs w:val="24"/>
        </w:rPr>
        <w:t>4</w:t>
      </w:r>
      <w:r w:rsidRPr="00A71AF6">
        <w:rPr>
          <w:bCs/>
          <w:sz w:val="24"/>
          <w:szCs w:val="24"/>
        </w:rPr>
        <w:t xml:space="preserve"> provides</w:t>
      </w:r>
      <w:r w:rsidRPr="00B66900">
        <w:rPr>
          <w:bCs/>
          <w:sz w:val="24"/>
          <w:szCs w:val="24"/>
        </w:rPr>
        <w:t xml:space="preserve"> a comprehensive list of all of the healthy homes and lead poisoning surveillance variables that will be collected by CDC via </w:t>
      </w:r>
      <w:r w:rsidR="001C7F7C">
        <w:rPr>
          <w:bCs/>
          <w:sz w:val="24"/>
          <w:szCs w:val="24"/>
        </w:rPr>
        <w:t>HHLPSS</w:t>
      </w:r>
      <w:r w:rsidRPr="00B66900">
        <w:rPr>
          <w:bCs/>
          <w:sz w:val="24"/>
          <w:szCs w:val="24"/>
        </w:rPr>
        <w:t>.</w:t>
      </w:r>
    </w:p>
    <w:p w14:paraId="7A859462" w14:textId="77777777" w:rsidR="0023593F" w:rsidRPr="00B66900" w:rsidRDefault="0023593F" w:rsidP="00CA00D3">
      <w:pPr>
        <w:spacing w:after="240" w:line="23" w:lineRule="atLeast"/>
        <w:rPr>
          <w:sz w:val="24"/>
          <w:szCs w:val="24"/>
        </w:rPr>
      </w:pPr>
      <w:r w:rsidRPr="00B66900">
        <w:rPr>
          <w:sz w:val="24"/>
          <w:szCs w:val="24"/>
        </w:rPr>
        <w:t xml:space="preserve">Under cooperative agreement, the state, local, and territorial programs enter their data into a secured </w:t>
      </w:r>
      <w:r w:rsidR="001C7F7C">
        <w:rPr>
          <w:sz w:val="24"/>
          <w:szCs w:val="24"/>
        </w:rPr>
        <w:t>HHLPSS</w:t>
      </w:r>
      <w:r w:rsidRPr="00B66900">
        <w:rPr>
          <w:sz w:val="24"/>
          <w:szCs w:val="24"/>
        </w:rPr>
        <w:t xml:space="preserve"> website that is housed internally on their premises (cookies are not applicable to this website). </w:t>
      </w:r>
    </w:p>
    <w:p w14:paraId="719A656A" w14:textId="77777777" w:rsidR="00CA00D3" w:rsidRPr="00C83A1D" w:rsidRDefault="0023593F" w:rsidP="00C83A1D">
      <w:pPr>
        <w:pStyle w:val="NormalOMB"/>
        <w:spacing w:after="240" w:line="23" w:lineRule="atLeast"/>
        <w:ind w:firstLine="0"/>
        <w:rPr>
          <w:rFonts w:asciiTheme="minorHAnsi" w:hAnsiTheme="minorHAnsi"/>
          <w:szCs w:val="24"/>
        </w:rPr>
      </w:pPr>
      <w:r w:rsidRPr="00B66900">
        <w:rPr>
          <w:rFonts w:asciiTheme="minorHAnsi" w:hAnsiTheme="minorHAnsi"/>
          <w:szCs w:val="24"/>
        </w:rPr>
        <w:t>The CDC Program staff will explain to the funded surveillance programs that the intended uses of the data are for assessing trends in lead and housing data, and also to evaluate programmatic benchmarks (e.g., case management and referrals for housing-related problems) of their funded programs.</w:t>
      </w:r>
    </w:p>
    <w:p w14:paraId="4B31906A" w14:textId="77777777" w:rsidR="0023593F" w:rsidRPr="00D43977" w:rsidRDefault="0023593F" w:rsidP="00B66900">
      <w:pPr>
        <w:rPr>
          <w:color w:val="000000"/>
          <w:sz w:val="24"/>
          <w:szCs w:val="24"/>
        </w:rPr>
      </w:pPr>
      <w:r w:rsidRPr="00D43977">
        <w:rPr>
          <w:color w:val="000000"/>
          <w:sz w:val="24"/>
          <w:szCs w:val="24"/>
          <w:u w:val="single"/>
        </w:rPr>
        <w:t>Items of information to be collected</w:t>
      </w:r>
      <w:r w:rsidR="008E333E" w:rsidRPr="00D43977">
        <w:rPr>
          <w:color w:val="000000"/>
          <w:sz w:val="24"/>
          <w:szCs w:val="24"/>
          <w:u w:val="single"/>
        </w:rPr>
        <w:t xml:space="preserve"> (Tables </w:t>
      </w:r>
      <w:r w:rsidR="002154E2" w:rsidRPr="00D43977">
        <w:rPr>
          <w:color w:val="000000"/>
          <w:sz w:val="24"/>
          <w:szCs w:val="24"/>
          <w:u w:val="single"/>
        </w:rPr>
        <w:t xml:space="preserve">A.10.1 </w:t>
      </w:r>
      <w:r w:rsidR="008E333E" w:rsidRPr="00D43977">
        <w:rPr>
          <w:color w:val="000000"/>
          <w:sz w:val="24"/>
          <w:szCs w:val="24"/>
          <w:u w:val="single"/>
        </w:rPr>
        <w:t xml:space="preserve">and </w:t>
      </w:r>
      <w:r w:rsidR="002154E2" w:rsidRPr="00D43977">
        <w:rPr>
          <w:color w:val="000000"/>
          <w:sz w:val="24"/>
          <w:szCs w:val="24"/>
          <w:u w:val="single"/>
        </w:rPr>
        <w:t>A10.2</w:t>
      </w:r>
      <w:r w:rsidR="008E333E" w:rsidRPr="00D43977">
        <w:rPr>
          <w:color w:val="000000"/>
          <w:sz w:val="24"/>
          <w:szCs w:val="24"/>
          <w:u w:val="single"/>
        </w:rPr>
        <w:t>)</w:t>
      </w:r>
    </w:p>
    <w:p w14:paraId="477E048E" w14:textId="77777777" w:rsidR="0023593F" w:rsidRPr="006625C8" w:rsidRDefault="0023593F" w:rsidP="0023593F">
      <w:pPr>
        <w:rPr>
          <w:sz w:val="24"/>
          <w:szCs w:val="24"/>
        </w:rPr>
      </w:pPr>
      <w:r w:rsidRPr="00D43977">
        <w:rPr>
          <w:color w:val="000000"/>
          <w:sz w:val="24"/>
          <w:szCs w:val="24"/>
        </w:rPr>
        <w:t xml:space="preserve">Table </w:t>
      </w:r>
      <w:r w:rsidR="002154E2" w:rsidRPr="00D43977">
        <w:rPr>
          <w:color w:val="000000"/>
          <w:sz w:val="24"/>
          <w:szCs w:val="24"/>
        </w:rPr>
        <w:t>A10.1</w:t>
      </w:r>
      <w:r w:rsidRPr="00D43977">
        <w:rPr>
          <w:color w:val="000000"/>
          <w:sz w:val="24"/>
          <w:szCs w:val="24"/>
        </w:rPr>
        <w:t>. Home</w:t>
      </w:r>
      <w:r w:rsidRPr="00F922A1">
        <w:rPr>
          <w:color w:val="000000"/>
          <w:sz w:val="24"/>
          <w:szCs w:val="24"/>
        </w:rPr>
        <w:t xml:space="preserve"> and health information collected by </w:t>
      </w:r>
      <w:r w:rsidR="001C7F7C">
        <w:rPr>
          <w:color w:val="000000"/>
          <w:sz w:val="24"/>
          <w:szCs w:val="24"/>
        </w:rPr>
        <w:t>HHLPSS</w:t>
      </w:r>
      <w:r w:rsidRPr="00F922A1">
        <w:rPr>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530"/>
      </w:tblGrid>
      <w:tr w:rsidR="0023593F" w:rsidRPr="00BF1E79" w14:paraId="37A36C40" w14:textId="77777777" w:rsidTr="00A07800">
        <w:trPr>
          <w:trHeight w:val="216"/>
        </w:trPr>
        <w:tc>
          <w:tcPr>
            <w:tcW w:w="8028" w:type="dxa"/>
            <w:shd w:val="clear" w:color="auto" w:fill="auto"/>
          </w:tcPr>
          <w:p w14:paraId="48819174" w14:textId="77777777" w:rsidR="0023593F" w:rsidRPr="00BF1E79" w:rsidRDefault="0023593F" w:rsidP="00765FDB">
            <w:pPr>
              <w:spacing w:after="0" w:line="240" w:lineRule="auto"/>
              <w:jc w:val="center"/>
              <w:rPr>
                <w:sz w:val="24"/>
                <w:szCs w:val="24"/>
              </w:rPr>
            </w:pPr>
            <w:r>
              <w:rPr>
                <w:sz w:val="24"/>
                <w:szCs w:val="24"/>
              </w:rPr>
              <w:t>Type of Data</w:t>
            </w:r>
          </w:p>
        </w:tc>
        <w:tc>
          <w:tcPr>
            <w:tcW w:w="1530" w:type="dxa"/>
            <w:shd w:val="clear" w:color="auto" w:fill="auto"/>
          </w:tcPr>
          <w:p w14:paraId="2DB5EF20" w14:textId="77777777" w:rsidR="0023593F" w:rsidRPr="00BF1E79" w:rsidRDefault="0023593F" w:rsidP="00765FDB">
            <w:pPr>
              <w:spacing w:after="0" w:line="240" w:lineRule="auto"/>
              <w:jc w:val="center"/>
              <w:rPr>
                <w:sz w:val="24"/>
                <w:szCs w:val="24"/>
              </w:rPr>
            </w:pPr>
            <w:r>
              <w:rPr>
                <w:sz w:val="24"/>
                <w:szCs w:val="24"/>
              </w:rPr>
              <w:t xml:space="preserve">Will be collected under </w:t>
            </w:r>
            <w:r w:rsidR="001C7F7C">
              <w:rPr>
                <w:sz w:val="24"/>
                <w:szCs w:val="24"/>
              </w:rPr>
              <w:t>HHLPSS</w:t>
            </w:r>
          </w:p>
        </w:tc>
      </w:tr>
      <w:tr w:rsidR="0023593F" w:rsidRPr="00BF1E79" w14:paraId="66F97CDF" w14:textId="77777777" w:rsidTr="00A07800">
        <w:trPr>
          <w:trHeight w:val="216"/>
        </w:trPr>
        <w:tc>
          <w:tcPr>
            <w:tcW w:w="8028" w:type="dxa"/>
            <w:shd w:val="clear" w:color="auto" w:fill="auto"/>
          </w:tcPr>
          <w:p w14:paraId="137CB3FC" w14:textId="77777777" w:rsidR="0023593F" w:rsidRPr="00BF1E79" w:rsidRDefault="0023593F" w:rsidP="00765FDB">
            <w:pPr>
              <w:spacing w:after="0" w:line="240" w:lineRule="auto"/>
              <w:rPr>
                <w:sz w:val="24"/>
                <w:szCs w:val="24"/>
              </w:rPr>
            </w:pPr>
            <w:r>
              <w:rPr>
                <w:sz w:val="24"/>
                <w:szCs w:val="24"/>
              </w:rPr>
              <w:t xml:space="preserve">Blood Lead Test Data </w:t>
            </w:r>
          </w:p>
        </w:tc>
        <w:tc>
          <w:tcPr>
            <w:tcW w:w="1530" w:type="dxa"/>
            <w:shd w:val="clear" w:color="auto" w:fill="auto"/>
            <w:vAlign w:val="center"/>
          </w:tcPr>
          <w:p w14:paraId="32119121" w14:textId="77777777" w:rsidR="0023593F" w:rsidRPr="00BF1E79" w:rsidRDefault="0023593F" w:rsidP="00765FDB">
            <w:pPr>
              <w:spacing w:after="0" w:line="240" w:lineRule="auto"/>
              <w:jc w:val="center"/>
              <w:rPr>
                <w:sz w:val="24"/>
                <w:szCs w:val="24"/>
              </w:rPr>
            </w:pPr>
            <w:r>
              <w:rPr>
                <w:sz w:val="24"/>
                <w:szCs w:val="24"/>
              </w:rPr>
              <w:t>X</w:t>
            </w:r>
          </w:p>
        </w:tc>
      </w:tr>
      <w:tr w:rsidR="0023593F" w:rsidRPr="00BF1E79" w14:paraId="784722B0" w14:textId="77777777" w:rsidTr="00A07800">
        <w:trPr>
          <w:trHeight w:val="216"/>
        </w:trPr>
        <w:tc>
          <w:tcPr>
            <w:tcW w:w="8028" w:type="dxa"/>
            <w:shd w:val="clear" w:color="auto" w:fill="auto"/>
          </w:tcPr>
          <w:p w14:paraId="0C3867B5" w14:textId="77777777" w:rsidR="0023593F" w:rsidRPr="00BF1E79" w:rsidRDefault="0023593F" w:rsidP="00765FDB">
            <w:pPr>
              <w:spacing w:after="0" w:line="240" w:lineRule="auto"/>
              <w:rPr>
                <w:sz w:val="24"/>
                <w:szCs w:val="24"/>
              </w:rPr>
            </w:pPr>
            <w:r>
              <w:rPr>
                <w:sz w:val="24"/>
                <w:szCs w:val="24"/>
              </w:rPr>
              <w:t xml:space="preserve">Race / ethnicity </w:t>
            </w:r>
          </w:p>
        </w:tc>
        <w:tc>
          <w:tcPr>
            <w:tcW w:w="1530" w:type="dxa"/>
            <w:shd w:val="clear" w:color="auto" w:fill="auto"/>
            <w:vAlign w:val="center"/>
          </w:tcPr>
          <w:p w14:paraId="6AEF456C" w14:textId="77777777" w:rsidR="0023593F" w:rsidRDefault="0023593F" w:rsidP="00765FDB">
            <w:pPr>
              <w:spacing w:after="0" w:line="240" w:lineRule="auto"/>
              <w:jc w:val="center"/>
            </w:pPr>
            <w:r w:rsidRPr="00ED3C1C">
              <w:rPr>
                <w:sz w:val="24"/>
                <w:szCs w:val="24"/>
              </w:rPr>
              <w:t>X</w:t>
            </w:r>
          </w:p>
        </w:tc>
      </w:tr>
      <w:tr w:rsidR="0023593F" w:rsidRPr="00BF1E79" w14:paraId="70DE06F0" w14:textId="77777777" w:rsidTr="00A07800">
        <w:trPr>
          <w:trHeight w:val="359"/>
        </w:trPr>
        <w:tc>
          <w:tcPr>
            <w:tcW w:w="8028" w:type="dxa"/>
            <w:shd w:val="clear" w:color="auto" w:fill="auto"/>
          </w:tcPr>
          <w:p w14:paraId="5C0AADDA" w14:textId="77777777" w:rsidR="0023593F" w:rsidRDefault="0023593F" w:rsidP="00765FDB">
            <w:pPr>
              <w:spacing w:after="0" w:line="240" w:lineRule="auto"/>
              <w:rPr>
                <w:sz w:val="24"/>
                <w:szCs w:val="24"/>
              </w:rPr>
            </w:pPr>
            <w:r>
              <w:rPr>
                <w:sz w:val="24"/>
                <w:szCs w:val="24"/>
              </w:rPr>
              <w:t xml:space="preserve">Lead related housing characteristics </w:t>
            </w:r>
          </w:p>
          <w:p w14:paraId="20BC5E09" w14:textId="77777777" w:rsidR="0023593F" w:rsidRPr="00BF1E79" w:rsidRDefault="0023593F" w:rsidP="00765FDB">
            <w:pPr>
              <w:spacing w:after="0" w:line="240" w:lineRule="auto"/>
              <w:rPr>
                <w:sz w:val="24"/>
                <w:szCs w:val="24"/>
              </w:rPr>
            </w:pPr>
            <w:r>
              <w:rPr>
                <w:sz w:val="24"/>
                <w:szCs w:val="24"/>
              </w:rPr>
              <w:t>(e.g. age of home, measurements of lead concentration in paint or oil)</w:t>
            </w:r>
          </w:p>
        </w:tc>
        <w:tc>
          <w:tcPr>
            <w:tcW w:w="1530" w:type="dxa"/>
            <w:shd w:val="clear" w:color="auto" w:fill="auto"/>
            <w:vAlign w:val="center"/>
          </w:tcPr>
          <w:p w14:paraId="757050F0" w14:textId="77777777" w:rsidR="0023593F" w:rsidRDefault="0023593F" w:rsidP="00765FDB">
            <w:pPr>
              <w:spacing w:after="0" w:line="240" w:lineRule="auto"/>
              <w:jc w:val="center"/>
            </w:pPr>
            <w:r w:rsidRPr="00ED3C1C">
              <w:rPr>
                <w:sz w:val="24"/>
                <w:szCs w:val="24"/>
              </w:rPr>
              <w:t>X</w:t>
            </w:r>
          </w:p>
        </w:tc>
      </w:tr>
      <w:tr w:rsidR="0023593F" w:rsidRPr="00BF1E79" w14:paraId="62DF4137" w14:textId="77777777" w:rsidTr="00A07800">
        <w:trPr>
          <w:trHeight w:val="314"/>
        </w:trPr>
        <w:tc>
          <w:tcPr>
            <w:tcW w:w="8028" w:type="dxa"/>
            <w:shd w:val="clear" w:color="auto" w:fill="auto"/>
          </w:tcPr>
          <w:p w14:paraId="10BD19DB" w14:textId="77777777" w:rsidR="0023593F" w:rsidRDefault="0023593F" w:rsidP="00765FDB">
            <w:pPr>
              <w:spacing w:after="0" w:line="240" w:lineRule="auto"/>
              <w:rPr>
                <w:sz w:val="24"/>
                <w:szCs w:val="24"/>
              </w:rPr>
            </w:pPr>
            <w:r>
              <w:rPr>
                <w:sz w:val="24"/>
                <w:szCs w:val="24"/>
              </w:rPr>
              <w:t xml:space="preserve">Safety features </w:t>
            </w:r>
          </w:p>
          <w:p w14:paraId="419592FE" w14:textId="77777777" w:rsidR="0023593F" w:rsidRPr="00BF1E79" w:rsidRDefault="0023593F" w:rsidP="00765FDB">
            <w:pPr>
              <w:spacing w:after="0" w:line="240" w:lineRule="auto"/>
              <w:rPr>
                <w:sz w:val="24"/>
                <w:szCs w:val="24"/>
              </w:rPr>
            </w:pPr>
            <w:r>
              <w:rPr>
                <w:sz w:val="24"/>
                <w:szCs w:val="24"/>
              </w:rPr>
              <w:t xml:space="preserve">(e.g. child safety locks, smoke detectors, show grab bars, window guards) </w:t>
            </w:r>
          </w:p>
        </w:tc>
        <w:tc>
          <w:tcPr>
            <w:tcW w:w="1530" w:type="dxa"/>
            <w:shd w:val="clear" w:color="auto" w:fill="auto"/>
            <w:vAlign w:val="center"/>
          </w:tcPr>
          <w:p w14:paraId="2234E91A" w14:textId="77777777" w:rsidR="0023593F" w:rsidRDefault="0023593F" w:rsidP="00765FDB">
            <w:pPr>
              <w:spacing w:after="0" w:line="240" w:lineRule="auto"/>
              <w:jc w:val="center"/>
            </w:pPr>
            <w:r w:rsidRPr="00ED3C1C">
              <w:rPr>
                <w:sz w:val="24"/>
                <w:szCs w:val="24"/>
              </w:rPr>
              <w:t>X</w:t>
            </w:r>
          </w:p>
        </w:tc>
      </w:tr>
      <w:tr w:rsidR="0023593F" w:rsidRPr="00BF1E79" w14:paraId="21A4D49C" w14:textId="77777777" w:rsidTr="00A07800">
        <w:trPr>
          <w:trHeight w:val="197"/>
        </w:trPr>
        <w:tc>
          <w:tcPr>
            <w:tcW w:w="8028" w:type="dxa"/>
            <w:shd w:val="clear" w:color="auto" w:fill="auto"/>
          </w:tcPr>
          <w:p w14:paraId="29D5D2B8" w14:textId="77777777" w:rsidR="0023593F" w:rsidRDefault="0023593F" w:rsidP="00765FDB">
            <w:pPr>
              <w:spacing w:after="0" w:line="240" w:lineRule="auto"/>
              <w:rPr>
                <w:sz w:val="24"/>
                <w:szCs w:val="24"/>
              </w:rPr>
            </w:pPr>
            <w:r>
              <w:rPr>
                <w:sz w:val="24"/>
                <w:szCs w:val="24"/>
              </w:rPr>
              <w:t xml:space="preserve">Other housing </w:t>
            </w:r>
            <w:r w:rsidRPr="00A2748C">
              <w:rPr>
                <w:sz w:val="24"/>
                <w:szCs w:val="24"/>
              </w:rPr>
              <w:t>characteristics</w:t>
            </w:r>
          </w:p>
          <w:p w14:paraId="0B019A5D" w14:textId="77777777" w:rsidR="0023593F" w:rsidRPr="00BF1E79" w:rsidRDefault="0023593F" w:rsidP="00765FDB">
            <w:pPr>
              <w:spacing w:after="0" w:line="240" w:lineRule="auto"/>
              <w:rPr>
                <w:sz w:val="24"/>
                <w:szCs w:val="24"/>
              </w:rPr>
            </w:pPr>
            <w:r>
              <w:rPr>
                <w:sz w:val="24"/>
                <w:szCs w:val="24"/>
              </w:rPr>
              <w:t xml:space="preserve">(e.g. water and mold damage, insect and rodent infestations, structural problems) </w:t>
            </w:r>
          </w:p>
        </w:tc>
        <w:tc>
          <w:tcPr>
            <w:tcW w:w="1530" w:type="dxa"/>
            <w:shd w:val="clear" w:color="auto" w:fill="auto"/>
            <w:vAlign w:val="center"/>
          </w:tcPr>
          <w:p w14:paraId="578B9A21" w14:textId="77777777" w:rsidR="0023593F" w:rsidRDefault="0023593F" w:rsidP="00765FDB">
            <w:pPr>
              <w:spacing w:after="0" w:line="240" w:lineRule="auto"/>
              <w:jc w:val="center"/>
            </w:pPr>
            <w:r w:rsidRPr="00ED3C1C">
              <w:rPr>
                <w:sz w:val="24"/>
                <w:szCs w:val="24"/>
              </w:rPr>
              <w:t>X</w:t>
            </w:r>
          </w:p>
        </w:tc>
      </w:tr>
      <w:tr w:rsidR="0023593F" w:rsidRPr="00BF1E79" w14:paraId="43B354F3" w14:textId="77777777" w:rsidTr="00A07800">
        <w:trPr>
          <w:trHeight w:val="422"/>
        </w:trPr>
        <w:tc>
          <w:tcPr>
            <w:tcW w:w="8028" w:type="dxa"/>
            <w:tcBorders>
              <w:bottom w:val="single" w:sz="4" w:space="0" w:color="auto"/>
            </w:tcBorders>
            <w:shd w:val="clear" w:color="auto" w:fill="auto"/>
          </w:tcPr>
          <w:p w14:paraId="4B7D185F" w14:textId="77777777" w:rsidR="0023593F" w:rsidRDefault="0023593F" w:rsidP="00765FDB">
            <w:pPr>
              <w:spacing w:after="0" w:line="240" w:lineRule="auto"/>
              <w:rPr>
                <w:sz w:val="24"/>
                <w:szCs w:val="24"/>
              </w:rPr>
            </w:pPr>
            <w:r>
              <w:rPr>
                <w:sz w:val="24"/>
                <w:szCs w:val="24"/>
              </w:rPr>
              <w:t xml:space="preserve">Behavioral </w:t>
            </w:r>
            <w:r w:rsidRPr="00BB2234">
              <w:rPr>
                <w:sz w:val="24"/>
                <w:szCs w:val="24"/>
              </w:rPr>
              <w:t>characteristics</w:t>
            </w:r>
          </w:p>
          <w:p w14:paraId="191CDB17" w14:textId="77777777" w:rsidR="0023593F" w:rsidRPr="00BF1E79" w:rsidRDefault="0023593F" w:rsidP="00765FDB">
            <w:pPr>
              <w:spacing w:after="0" w:line="240" w:lineRule="auto"/>
              <w:rPr>
                <w:sz w:val="24"/>
                <w:szCs w:val="24"/>
              </w:rPr>
            </w:pPr>
            <w:r w:rsidRPr="00BB2234">
              <w:rPr>
                <w:sz w:val="24"/>
                <w:szCs w:val="24"/>
              </w:rPr>
              <w:t>(e.g.</w:t>
            </w:r>
            <w:r>
              <w:rPr>
                <w:sz w:val="24"/>
                <w:szCs w:val="24"/>
              </w:rPr>
              <w:t xml:space="preserve"> smoking in the home, unvented combustion appliances)</w:t>
            </w:r>
          </w:p>
        </w:tc>
        <w:tc>
          <w:tcPr>
            <w:tcW w:w="1530" w:type="dxa"/>
            <w:tcBorders>
              <w:bottom w:val="single" w:sz="4" w:space="0" w:color="auto"/>
            </w:tcBorders>
            <w:shd w:val="clear" w:color="auto" w:fill="auto"/>
            <w:vAlign w:val="center"/>
          </w:tcPr>
          <w:p w14:paraId="030DCE63" w14:textId="77777777" w:rsidR="0023593F" w:rsidRDefault="0023593F" w:rsidP="00765FDB">
            <w:pPr>
              <w:spacing w:after="0" w:line="240" w:lineRule="auto"/>
              <w:jc w:val="center"/>
            </w:pPr>
            <w:r w:rsidRPr="00ED3C1C">
              <w:rPr>
                <w:sz w:val="24"/>
                <w:szCs w:val="24"/>
              </w:rPr>
              <w:t>X</w:t>
            </w:r>
          </w:p>
        </w:tc>
      </w:tr>
      <w:tr w:rsidR="0023593F" w:rsidRPr="00BF1E79" w14:paraId="6E46E5B9" w14:textId="77777777" w:rsidTr="00A07800">
        <w:trPr>
          <w:trHeight w:val="215"/>
        </w:trPr>
        <w:tc>
          <w:tcPr>
            <w:tcW w:w="8028" w:type="dxa"/>
            <w:tcBorders>
              <w:bottom w:val="single" w:sz="4" w:space="0" w:color="auto"/>
            </w:tcBorders>
            <w:shd w:val="clear" w:color="auto" w:fill="auto"/>
          </w:tcPr>
          <w:p w14:paraId="51CED5D4" w14:textId="77777777" w:rsidR="0023593F" w:rsidRDefault="0023593F" w:rsidP="00765FDB">
            <w:pPr>
              <w:spacing w:after="0" w:line="240" w:lineRule="auto"/>
              <w:rPr>
                <w:sz w:val="24"/>
                <w:szCs w:val="24"/>
              </w:rPr>
            </w:pPr>
            <w:r>
              <w:rPr>
                <w:sz w:val="24"/>
                <w:szCs w:val="24"/>
              </w:rPr>
              <w:t xml:space="preserve">Resident Health </w:t>
            </w:r>
          </w:p>
          <w:p w14:paraId="06EE17E9" w14:textId="77777777" w:rsidR="0023593F" w:rsidRPr="00BF1E79" w:rsidRDefault="0023593F" w:rsidP="00765FDB">
            <w:pPr>
              <w:spacing w:after="0" w:line="240" w:lineRule="auto"/>
              <w:rPr>
                <w:sz w:val="24"/>
                <w:szCs w:val="24"/>
              </w:rPr>
            </w:pPr>
            <w:r w:rsidRPr="00BB2234">
              <w:rPr>
                <w:sz w:val="24"/>
                <w:szCs w:val="24"/>
              </w:rPr>
              <w:t>(e.g.</w:t>
            </w:r>
            <w:r>
              <w:rPr>
                <w:sz w:val="24"/>
                <w:szCs w:val="24"/>
              </w:rPr>
              <w:t xml:space="preserve"> asthma of children or adults, recent childhood injuries in the home) </w:t>
            </w:r>
          </w:p>
        </w:tc>
        <w:tc>
          <w:tcPr>
            <w:tcW w:w="1530" w:type="dxa"/>
            <w:tcBorders>
              <w:bottom w:val="single" w:sz="4" w:space="0" w:color="auto"/>
            </w:tcBorders>
            <w:shd w:val="clear" w:color="auto" w:fill="auto"/>
            <w:vAlign w:val="center"/>
          </w:tcPr>
          <w:p w14:paraId="7717FCB7" w14:textId="77777777" w:rsidR="0023593F" w:rsidRDefault="0023593F" w:rsidP="00765FDB">
            <w:pPr>
              <w:spacing w:after="0" w:line="240" w:lineRule="auto"/>
              <w:jc w:val="center"/>
            </w:pPr>
            <w:r w:rsidRPr="00ED3C1C">
              <w:rPr>
                <w:sz w:val="24"/>
                <w:szCs w:val="24"/>
              </w:rPr>
              <w:t>X</w:t>
            </w:r>
          </w:p>
        </w:tc>
      </w:tr>
      <w:tr w:rsidR="0023593F" w:rsidRPr="00BF1E79" w14:paraId="0D2092A2" w14:textId="77777777" w:rsidTr="00A07800">
        <w:trPr>
          <w:trHeight w:val="206"/>
        </w:trPr>
        <w:tc>
          <w:tcPr>
            <w:tcW w:w="8028" w:type="dxa"/>
            <w:tcBorders>
              <w:top w:val="single" w:sz="4" w:space="0" w:color="auto"/>
              <w:left w:val="nil"/>
              <w:bottom w:val="nil"/>
              <w:right w:val="nil"/>
            </w:tcBorders>
            <w:shd w:val="clear" w:color="auto" w:fill="auto"/>
          </w:tcPr>
          <w:p w14:paraId="30E7E41E" w14:textId="77777777" w:rsidR="0023593F" w:rsidRDefault="0023593F" w:rsidP="00B66900">
            <w:pPr>
              <w:spacing w:line="240" w:lineRule="auto"/>
              <w:rPr>
                <w:sz w:val="24"/>
                <w:szCs w:val="24"/>
              </w:rPr>
            </w:pPr>
          </w:p>
          <w:p w14:paraId="4B271AC1" w14:textId="77777777" w:rsidR="00B66900" w:rsidRDefault="00B66900" w:rsidP="00B66900">
            <w:pPr>
              <w:spacing w:line="240" w:lineRule="auto"/>
              <w:rPr>
                <w:sz w:val="24"/>
                <w:szCs w:val="24"/>
              </w:rPr>
            </w:pPr>
          </w:p>
          <w:p w14:paraId="363A3F5F" w14:textId="77777777" w:rsidR="0023593F" w:rsidRPr="00BF1E79" w:rsidRDefault="0023593F" w:rsidP="002154E2">
            <w:pPr>
              <w:spacing w:line="240" w:lineRule="auto"/>
              <w:rPr>
                <w:sz w:val="24"/>
                <w:szCs w:val="24"/>
              </w:rPr>
            </w:pPr>
            <w:r w:rsidRPr="00EA7B1C">
              <w:rPr>
                <w:sz w:val="24"/>
                <w:szCs w:val="24"/>
              </w:rPr>
              <w:t xml:space="preserve">Table </w:t>
            </w:r>
            <w:r w:rsidR="002154E2">
              <w:rPr>
                <w:sz w:val="24"/>
                <w:szCs w:val="24"/>
              </w:rPr>
              <w:t>A10.2</w:t>
            </w:r>
            <w:r>
              <w:rPr>
                <w:sz w:val="24"/>
                <w:szCs w:val="24"/>
              </w:rPr>
              <w:t xml:space="preserve">. Information In Identifiable Form (IIF) collected in </w:t>
            </w:r>
            <w:r w:rsidR="001C7F7C">
              <w:rPr>
                <w:sz w:val="24"/>
                <w:szCs w:val="24"/>
              </w:rPr>
              <w:t>HHLPSS</w:t>
            </w:r>
            <w:r>
              <w:rPr>
                <w:sz w:val="24"/>
                <w:szCs w:val="24"/>
              </w:rPr>
              <w:t xml:space="preserve">. </w:t>
            </w:r>
          </w:p>
        </w:tc>
        <w:tc>
          <w:tcPr>
            <w:tcW w:w="1530" w:type="dxa"/>
            <w:tcBorders>
              <w:top w:val="single" w:sz="4" w:space="0" w:color="auto"/>
              <w:left w:val="nil"/>
              <w:bottom w:val="nil"/>
              <w:right w:val="nil"/>
            </w:tcBorders>
            <w:shd w:val="clear" w:color="auto" w:fill="auto"/>
          </w:tcPr>
          <w:p w14:paraId="739DF082" w14:textId="77777777" w:rsidR="0023593F" w:rsidRPr="00BF1E79" w:rsidRDefault="0023593F" w:rsidP="00B66900">
            <w:pPr>
              <w:spacing w:line="240" w:lineRule="auto"/>
              <w:rPr>
                <w:sz w:val="24"/>
                <w:szCs w:val="24"/>
              </w:rPr>
            </w:pPr>
          </w:p>
        </w:tc>
      </w:tr>
      <w:tr w:rsidR="0023593F" w:rsidRPr="00BF1E79" w14:paraId="54DAA807" w14:textId="77777777" w:rsidTr="00A07800">
        <w:trPr>
          <w:trHeight w:val="216"/>
        </w:trPr>
        <w:tc>
          <w:tcPr>
            <w:tcW w:w="8028" w:type="dxa"/>
            <w:tcBorders>
              <w:top w:val="nil"/>
              <w:left w:val="nil"/>
              <w:bottom w:val="nil"/>
              <w:right w:val="nil"/>
            </w:tcBorders>
            <w:shd w:val="clear" w:color="auto" w:fill="auto"/>
          </w:tcPr>
          <w:tbl>
            <w:tblPr>
              <w:tblW w:w="6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360"/>
            </w:tblGrid>
            <w:tr w:rsidR="0023593F" w:rsidRPr="009E0571" w14:paraId="4DBCD1A2" w14:textId="77777777" w:rsidTr="00A07800">
              <w:trPr>
                <w:trHeight w:val="440"/>
              </w:trPr>
              <w:tc>
                <w:tcPr>
                  <w:tcW w:w="3455" w:type="dxa"/>
                  <w:shd w:val="clear" w:color="auto" w:fill="auto"/>
                </w:tcPr>
                <w:p w14:paraId="35A5F771" w14:textId="77777777" w:rsidR="0023593F" w:rsidRPr="009E0571" w:rsidRDefault="0023593F" w:rsidP="00765FDB">
                  <w:pPr>
                    <w:spacing w:after="0" w:line="240" w:lineRule="auto"/>
                    <w:jc w:val="center"/>
                    <w:rPr>
                      <w:sz w:val="24"/>
                      <w:szCs w:val="24"/>
                    </w:rPr>
                  </w:pPr>
                  <w:r w:rsidRPr="009E0571">
                    <w:rPr>
                      <w:sz w:val="24"/>
                      <w:szCs w:val="24"/>
                    </w:rPr>
                    <w:t>IIF Category</w:t>
                  </w:r>
                  <w:r>
                    <w:rPr>
                      <w:sz w:val="24"/>
                      <w:szCs w:val="24"/>
                    </w:rPr>
                    <w:t xml:space="preserve"> c</w:t>
                  </w:r>
                  <w:r w:rsidRPr="009E0571">
                    <w:rPr>
                      <w:sz w:val="24"/>
                      <w:szCs w:val="24"/>
                    </w:rPr>
                    <w:t>ollected by state, local</w:t>
                  </w:r>
                  <w:r>
                    <w:rPr>
                      <w:sz w:val="24"/>
                      <w:szCs w:val="24"/>
                    </w:rPr>
                    <w:t>,</w:t>
                  </w:r>
                  <w:r w:rsidRPr="009E0571">
                    <w:rPr>
                      <w:sz w:val="24"/>
                      <w:szCs w:val="24"/>
                    </w:rPr>
                    <w:t xml:space="preserve"> and territorial health departments</w:t>
                  </w:r>
                </w:p>
              </w:tc>
              <w:tc>
                <w:tcPr>
                  <w:tcW w:w="3360" w:type="dxa"/>
                  <w:shd w:val="clear" w:color="auto" w:fill="auto"/>
                </w:tcPr>
                <w:p w14:paraId="3B12726F" w14:textId="77777777" w:rsidR="0023593F" w:rsidRPr="009E0571" w:rsidRDefault="0023593F" w:rsidP="00765FDB">
                  <w:pPr>
                    <w:spacing w:after="0" w:line="240" w:lineRule="auto"/>
                    <w:rPr>
                      <w:sz w:val="24"/>
                      <w:szCs w:val="24"/>
                    </w:rPr>
                  </w:pPr>
                  <w:r>
                    <w:rPr>
                      <w:sz w:val="24"/>
                      <w:szCs w:val="24"/>
                    </w:rPr>
                    <w:t>IIF Category</w:t>
                  </w:r>
                  <w:r w:rsidRPr="009E0571">
                    <w:rPr>
                      <w:sz w:val="24"/>
                      <w:szCs w:val="24"/>
                    </w:rPr>
                    <w:t xml:space="preserve"> sent to the CDC</w:t>
                  </w:r>
                </w:p>
              </w:tc>
            </w:tr>
            <w:tr w:rsidR="0023593F" w:rsidRPr="009E0571" w14:paraId="139EB2DE" w14:textId="77777777" w:rsidTr="00A07800">
              <w:trPr>
                <w:trHeight w:val="170"/>
              </w:trPr>
              <w:tc>
                <w:tcPr>
                  <w:tcW w:w="3455" w:type="dxa"/>
                  <w:shd w:val="clear" w:color="auto" w:fill="auto"/>
                </w:tcPr>
                <w:p w14:paraId="5FC30E5D" w14:textId="77777777" w:rsidR="0023593F" w:rsidRPr="002154E2" w:rsidRDefault="0023593F" w:rsidP="00765FDB">
                  <w:pPr>
                    <w:spacing w:after="0" w:line="240" w:lineRule="auto"/>
                    <w:rPr>
                      <w:sz w:val="24"/>
                      <w:szCs w:val="24"/>
                      <w:highlight w:val="yellow"/>
                    </w:rPr>
                  </w:pPr>
                  <w:r w:rsidRPr="004924B1">
                    <w:rPr>
                      <w:sz w:val="24"/>
                      <w:szCs w:val="24"/>
                    </w:rPr>
                    <w:t>Name</w:t>
                  </w:r>
                </w:p>
              </w:tc>
              <w:tc>
                <w:tcPr>
                  <w:tcW w:w="3360" w:type="dxa"/>
                  <w:shd w:val="clear" w:color="auto" w:fill="auto"/>
                </w:tcPr>
                <w:p w14:paraId="590AEFCF" w14:textId="77777777" w:rsidR="0023593F" w:rsidRPr="002154E2" w:rsidRDefault="0023593F" w:rsidP="00765FDB">
                  <w:pPr>
                    <w:spacing w:after="0" w:line="240" w:lineRule="auto"/>
                    <w:jc w:val="center"/>
                    <w:rPr>
                      <w:sz w:val="24"/>
                      <w:szCs w:val="24"/>
                      <w:highlight w:val="yellow"/>
                    </w:rPr>
                  </w:pPr>
                </w:p>
              </w:tc>
            </w:tr>
            <w:tr w:rsidR="0023593F" w:rsidRPr="009E0571" w14:paraId="0DE3F807" w14:textId="77777777" w:rsidTr="00A07800">
              <w:trPr>
                <w:trHeight w:val="70"/>
              </w:trPr>
              <w:tc>
                <w:tcPr>
                  <w:tcW w:w="3455" w:type="dxa"/>
                  <w:shd w:val="clear" w:color="auto" w:fill="auto"/>
                </w:tcPr>
                <w:p w14:paraId="4A4099E2" w14:textId="77777777" w:rsidR="0023593F" w:rsidRPr="009E0571" w:rsidRDefault="0023593F" w:rsidP="00765FDB">
                  <w:pPr>
                    <w:spacing w:after="0" w:line="240" w:lineRule="auto"/>
                    <w:rPr>
                      <w:sz w:val="24"/>
                      <w:szCs w:val="24"/>
                    </w:rPr>
                  </w:pPr>
                  <w:r w:rsidRPr="009E0571">
                    <w:rPr>
                      <w:sz w:val="24"/>
                      <w:szCs w:val="24"/>
                    </w:rPr>
                    <w:t>Date of birth</w:t>
                  </w:r>
                </w:p>
              </w:tc>
              <w:tc>
                <w:tcPr>
                  <w:tcW w:w="3360" w:type="dxa"/>
                  <w:shd w:val="clear" w:color="auto" w:fill="auto"/>
                </w:tcPr>
                <w:p w14:paraId="2B5C4586" w14:textId="77777777" w:rsidR="0023593F" w:rsidRPr="009E0571" w:rsidRDefault="0023593F" w:rsidP="00765FDB">
                  <w:pPr>
                    <w:spacing w:after="0" w:line="240" w:lineRule="auto"/>
                    <w:jc w:val="center"/>
                    <w:rPr>
                      <w:sz w:val="24"/>
                      <w:szCs w:val="24"/>
                    </w:rPr>
                  </w:pPr>
                  <w:r w:rsidRPr="009E0571">
                    <w:rPr>
                      <w:sz w:val="24"/>
                      <w:szCs w:val="24"/>
                    </w:rPr>
                    <w:t>X</w:t>
                  </w:r>
                </w:p>
              </w:tc>
            </w:tr>
            <w:tr w:rsidR="0023593F" w:rsidRPr="009E0571" w14:paraId="4810CCFF" w14:textId="77777777" w:rsidTr="00A07800">
              <w:trPr>
                <w:trHeight w:val="70"/>
              </w:trPr>
              <w:tc>
                <w:tcPr>
                  <w:tcW w:w="3455" w:type="dxa"/>
                  <w:shd w:val="clear" w:color="auto" w:fill="auto"/>
                </w:tcPr>
                <w:p w14:paraId="7DAEEFEB" w14:textId="77777777" w:rsidR="0023593F" w:rsidRPr="009E0571" w:rsidRDefault="0023593F" w:rsidP="00765FDB">
                  <w:pPr>
                    <w:spacing w:after="0" w:line="240" w:lineRule="auto"/>
                    <w:rPr>
                      <w:sz w:val="24"/>
                      <w:szCs w:val="24"/>
                    </w:rPr>
                  </w:pPr>
                  <w:r w:rsidRPr="009E0571">
                    <w:rPr>
                      <w:sz w:val="24"/>
                      <w:szCs w:val="24"/>
                    </w:rPr>
                    <w:t>Phone numbers</w:t>
                  </w:r>
                </w:p>
              </w:tc>
              <w:tc>
                <w:tcPr>
                  <w:tcW w:w="3360" w:type="dxa"/>
                  <w:shd w:val="clear" w:color="auto" w:fill="auto"/>
                </w:tcPr>
                <w:p w14:paraId="3B37003C" w14:textId="77777777" w:rsidR="0023593F" w:rsidRPr="009E0571" w:rsidRDefault="0023593F" w:rsidP="00765FDB">
                  <w:pPr>
                    <w:spacing w:after="0" w:line="240" w:lineRule="auto"/>
                    <w:jc w:val="center"/>
                    <w:rPr>
                      <w:sz w:val="24"/>
                      <w:szCs w:val="24"/>
                    </w:rPr>
                  </w:pPr>
                </w:p>
              </w:tc>
            </w:tr>
            <w:tr w:rsidR="0023593F" w:rsidRPr="009E0571" w14:paraId="71FD4CFD" w14:textId="77777777" w:rsidTr="00A07800">
              <w:trPr>
                <w:trHeight w:val="70"/>
              </w:trPr>
              <w:tc>
                <w:tcPr>
                  <w:tcW w:w="3455" w:type="dxa"/>
                  <w:shd w:val="clear" w:color="auto" w:fill="auto"/>
                </w:tcPr>
                <w:p w14:paraId="47952C40" w14:textId="77777777" w:rsidR="0023593F" w:rsidRPr="009E0571" w:rsidRDefault="0023593F" w:rsidP="00765FDB">
                  <w:pPr>
                    <w:spacing w:after="0" w:line="240" w:lineRule="auto"/>
                    <w:rPr>
                      <w:sz w:val="24"/>
                      <w:szCs w:val="24"/>
                    </w:rPr>
                  </w:pPr>
                  <w:r w:rsidRPr="009E0571">
                    <w:rPr>
                      <w:sz w:val="24"/>
                      <w:szCs w:val="24"/>
                    </w:rPr>
                    <w:t xml:space="preserve">Medical information and notes </w:t>
                  </w:r>
                </w:p>
              </w:tc>
              <w:tc>
                <w:tcPr>
                  <w:tcW w:w="3360" w:type="dxa"/>
                  <w:shd w:val="clear" w:color="auto" w:fill="auto"/>
                </w:tcPr>
                <w:p w14:paraId="40CF7661" w14:textId="77777777" w:rsidR="0023593F" w:rsidRPr="009E0571" w:rsidRDefault="0023593F" w:rsidP="00765FDB">
                  <w:pPr>
                    <w:spacing w:after="0" w:line="240" w:lineRule="auto"/>
                    <w:jc w:val="center"/>
                    <w:rPr>
                      <w:sz w:val="24"/>
                      <w:szCs w:val="24"/>
                    </w:rPr>
                  </w:pPr>
                  <w:r w:rsidRPr="009E0571">
                    <w:rPr>
                      <w:sz w:val="24"/>
                      <w:szCs w:val="24"/>
                    </w:rPr>
                    <w:t>X</w:t>
                  </w:r>
                </w:p>
              </w:tc>
            </w:tr>
            <w:tr w:rsidR="0023593F" w:rsidRPr="009E0571" w14:paraId="0ADBD11B" w14:textId="77777777" w:rsidTr="00A07800">
              <w:trPr>
                <w:trHeight w:val="80"/>
              </w:trPr>
              <w:tc>
                <w:tcPr>
                  <w:tcW w:w="3455" w:type="dxa"/>
                  <w:shd w:val="clear" w:color="auto" w:fill="auto"/>
                </w:tcPr>
                <w:p w14:paraId="1D7F7961" w14:textId="77777777" w:rsidR="0023593F" w:rsidRPr="009E0571" w:rsidRDefault="0023593F" w:rsidP="00765FDB">
                  <w:pPr>
                    <w:spacing w:after="0" w:line="240" w:lineRule="auto"/>
                    <w:rPr>
                      <w:sz w:val="24"/>
                      <w:szCs w:val="24"/>
                    </w:rPr>
                  </w:pPr>
                  <w:r w:rsidRPr="009E0571">
                    <w:rPr>
                      <w:sz w:val="24"/>
                      <w:szCs w:val="24"/>
                    </w:rPr>
                    <w:t>Email address</w:t>
                  </w:r>
                </w:p>
              </w:tc>
              <w:tc>
                <w:tcPr>
                  <w:tcW w:w="3360" w:type="dxa"/>
                  <w:shd w:val="clear" w:color="auto" w:fill="auto"/>
                </w:tcPr>
                <w:p w14:paraId="3E602E45" w14:textId="77777777" w:rsidR="0023593F" w:rsidRPr="009E0571" w:rsidRDefault="0023593F" w:rsidP="00765FDB">
                  <w:pPr>
                    <w:spacing w:after="0" w:line="240" w:lineRule="auto"/>
                    <w:jc w:val="center"/>
                    <w:rPr>
                      <w:sz w:val="24"/>
                      <w:szCs w:val="24"/>
                    </w:rPr>
                  </w:pPr>
                </w:p>
              </w:tc>
            </w:tr>
            <w:tr w:rsidR="0023593F" w:rsidRPr="009E0571" w14:paraId="4A56D320" w14:textId="77777777" w:rsidTr="00A07800">
              <w:trPr>
                <w:trHeight w:val="70"/>
              </w:trPr>
              <w:tc>
                <w:tcPr>
                  <w:tcW w:w="3455" w:type="dxa"/>
                  <w:shd w:val="clear" w:color="auto" w:fill="auto"/>
                </w:tcPr>
                <w:p w14:paraId="2DF1A997" w14:textId="77777777" w:rsidR="0023593F" w:rsidRPr="002154E2" w:rsidRDefault="0023593F" w:rsidP="00765FDB">
                  <w:pPr>
                    <w:spacing w:after="0" w:line="240" w:lineRule="auto"/>
                    <w:rPr>
                      <w:sz w:val="24"/>
                      <w:szCs w:val="24"/>
                      <w:highlight w:val="yellow"/>
                    </w:rPr>
                  </w:pPr>
                  <w:r w:rsidRPr="004924B1">
                    <w:rPr>
                      <w:sz w:val="24"/>
                      <w:szCs w:val="24"/>
                    </w:rPr>
                    <w:t>Home address</w:t>
                  </w:r>
                </w:p>
              </w:tc>
              <w:tc>
                <w:tcPr>
                  <w:tcW w:w="3360" w:type="dxa"/>
                  <w:shd w:val="clear" w:color="auto" w:fill="auto"/>
                </w:tcPr>
                <w:p w14:paraId="2B03C2D9" w14:textId="77777777" w:rsidR="0023593F" w:rsidRPr="002154E2" w:rsidRDefault="0023593F" w:rsidP="00765FDB">
                  <w:pPr>
                    <w:spacing w:after="0" w:line="240" w:lineRule="auto"/>
                    <w:jc w:val="center"/>
                    <w:rPr>
                      <w:sz w:val="24"/>
                      <w:szCs w:val="24"/>
                      <w:highlight w:val="yellow"/>
                    </w:rPr>
                  </w:pPr>
                </w:p>
              </w:tc>
            </w:tr>
          </w:tbl>
          <w:p w14:paraId="7FEE59B9" w14:textId="77777777" w:rsidR="0023593F" w:rsidRPr="00BF1E79" w:rsidRDefault="0023593F" w:rsidP="00B66900">
            <w:pPr>
              <w:spacing w:line="240" w:lineRule="auto"/>
              <w:rPr>
                <w:sz w:val="24"/>
                <w:szCs w:val="24"/>
              </w:rPr>
            </w:pPr>
          </w:p>
        </w:tc>
        <w:tc>
          <w:tcPr>
            <w:tcW w:w="1530" w:type="dxa"/>
            <w:tcBorders>
              <w:top w:val="nil"/>
              <w:left w:val="nil"/>
              <w:bottom w:val="nil"/>
              <w:right w:val="nil"/>
            </w:tcBorders>
            <w:shd w:val="clear" w:color="auto" w:fill="auto"/>
          </w:tcPr>
          <w:p w14:paraId="75F50C02" w14:textId="77777777" w:rsidR="0023593F" w:rsidRPr="00BF1E79" w:rsidRDefault="0023593F" w:rsidP="00B66900">
            <w:pPr>
              <w:spacing w:line="240" w:lineRule="auto"/>
              <w:rPr>
                <w:sz w:val="24"/>
                <w:szCs w:val="24"/>
              </w:rPr>
            </w:pPr>
          </w:p>
        </w:tc>
      </w:tr>
      <w:tr w:rsidR="0023593F" w:rsidRPr="00BF1E79" w14:paraId="7D491FB4" w14:textId="77777777" w:rsidTr="00A07800">
        <w:trPr>
          <w:trHeight w:val="216"/>
        </w:trPr>
        <w:tc>
          <w:tcPr>
            <w:tcW w:w="8028" w:type="dxa"/>
            <w:tcBorders>
              <w:top w:val="nil"/>
              <w:left w:val="nil"/>
              <w:bottom w:val="nil"/>
              <w:right w:val="nil"/>
            </w:tcBorders>
            <w:shd w:val="clear" w:color="auto" w:fill="auto"/>
          </w:tcPr>
          <w:p w14:paraId="636D05C2" w14:textId="77777777" w:rsidR="0023593F" w:rsidRPr="00BF1E79" w:rsidRDefault="0023593F" w:rsidP="00B66900">
            <w:pPr>
              <w:spacing w:line="240" w:lineRule="auto"/>
              <w:rPr>
                <w:sz w:val="24"/>
                <w:szCs w:val="24"/>
              </w:rPr>
            </w:pPr>
          </w:p>
        </w:tc>
        <w:tc>
          <w:tcPr>
            <w:tcW w:w="1530" w:type="dxa"/>
            <w:tcBorders>
              <w:top w:val="nil"/>
              <w:left w:val="nil"/>
              <w:bottom w:val="nil"/>
              <w:right w:val="nil"/>
            </w:tcBorders>
            <w:shd w:val="clear" w:color="auto" w:fill="auto"/>
          </w:tcPr>
          <w:p w14:paraId="6882CEEC" w14:textId="77777777" w:rsidR="0023593F" w:rsidRPr="00BF1E79" w:rsidRDefault="0023593F" w:rsidP="00B66900">
            <w:pPr>
              <w:spacing w:line="240" w:lineRule="auto"/>
              <w:rPr>
                <w:sz w:val="24"/>
                <w:szCs w:val="24"/>
              </w:rPr>
            </w:pPr>
          </w:p>
        </w:tc>
      </w:tr>
    </w:tbl>
    <w:p w14:paraId="795232C6" w14:textId="77777777" w:rsidR="000D4658" w:rsidRPr="00CA00D3" w:rsidRDefault="0023593F" w:rsidP="00CA00D3">
      <w:pPr>
        <w:spacing w:after="240" w:line="23" w:lineRule="atLeast"/>
        <w:rPr>
          <w:sz w:val="24"/>
          <w:szCs w:val="24"/>
          <w:u w:val="single"/>
        </w:rPr>
      </w:pPr>
      <w:r w:rsidRPr="00CA00D3">
        <w:rPr>
          <w:sz w:val="24"/>
          <w:szCs w:val="24"/>
        </w:rPr>
        <w:t>CDC staff receive</w:t>
      </w:r>
      <w:r w:rsidR="000D4658" w:rsidRPr="00CA00D3">
        <w:rPr>
          <w:sz w:val="24"/>
          <w:szCs w:val="24"/>
        </w:rPr>
        <w:t>s</w:t>
      </w:r>
      <w:r w:rsidRPr="00CA00D3">
        <w:rPr>
          <w:sz w:val="24"/>
          <w:szCs w:val="24"/>
        </w:rPr>
        <w:t xml:space="preserve"> </w:t>
      </w:r>
      <w:r w:rsidR="000D4658" w:rsidRPr="00CA00D3">
        <w:rPr>
          <w:sz w:val="24"/>
          <w:szCs w:val="24"/>
        </w:rPr>
        <w:t xml:space="preserve">de-identified </w:t>
      </w:r>
      <w:r w:rsidRPr="00CA00D3">
        <w:rPr>
          <w:sz w:val="24"/>
          <w:szCs w:val="24"/>
        </w:rPr>
        <w:t>electronic files with date of birth, medical and biological</w:t>
      </w:r>
      <w:r w:rsidR="000D4658" w:rsidRPr="00CA00D3">
        <w:rPr>
          <w:sz w:val="24"/>
          <w:szCs w:val="24"/>
        </w:rPr>
        <w:t xml:space="preserve"> information of each child.</w:t>
      </w:r>
      <w:r w:rsidRPr="00CA00D3">
        <w:rPr>
          <w:sz w:val="24"/>
          <w:szCs w:val="24"/>
        </w:rPr>
        <w:t xml:space="preserve"> Each adult is given by the state a unique identifier and only date of birth is included in the dataset.</w:t>
      </w:r>
    </w:p>
    <w:p w14:paraId="6172D5D5" w14:textId="77777777" w:rsidR="0023593F" w:rsidRPr="00CA00D3" w:rsidRDefault="0023593F" w:rsidP="00CA00D3">
      <w:pPr>
        <w:spacing w:after="240" w:line="23" w:lineRule="atLeast"/>
        <w:rPr>
          <w:sz w:val="24"/>
          <w:szCs w:val="24"/>
          <w:u w:val="single"/>
        </w:rPr>
      </w:pPr>
      <w:r w:rsidRPr="00CA00D3">
        <w:rPr>
          <w:sz w:val="24"/>
          <w:szCs w:val="24"/>
          <w:u w:val="single"/>
        </w:rPr>
        <w:t>How the information will be shared and for what purpose</w:t>
      </w:r>
    </w:p>
    <w:p w14:paraId="0D82289E" w14:textId="77777777" w:rsidR="0023593F" w:rsidRPr="00CA00D3" w:rsidRDefault="0023593F" w:rsidP="00CA00D3">
      <w:pPr>
        <w:spacing w:after="240" w:line="23" w:lineRule="atLeast"/>
        <w:rPr>
          <w:sz w:val="24"/>
          <w:szCs w:val="24"/>
        </w:rPr>
      </w:pPr>
      <w:r w:rsidRPr="00CA00D3">
        <w:rPr>
          <w:sz w:val="24"/>
          <w:szCs w:val="24"/>
        </w:rPr>
        <w:t xml:space="preserve">The Program staff will explain to the funded surveillance programs with whom information </w:t>
      </w:r>
      <w:r w:rsidR="000D4658" w:rsidRPr="00CA00D3">
        <w:rPr>
          <w:sz w:val="24"/>
          <w:szCs w:val="24"/>
        </w:rPr>
        <w:t>may</w:t>
      </w:r>
      <w:r w:rsidRPr="00CA00D3">
        <w:rPr>
          <w:sz w:val="24"/>
          <w:szCs w:val="24"/>
        </w:rPr>
        <w:t xml:space="preserve"> be shared (i.e., to HUD and/ or EPA for </w:t>
      </w:r>
      <w:r w:rsidRPr="00CA00D3">
        <w:rPr>
          <w:color w:val="000000"/>
          <w:sz w:val="24"/>
          <w:szCs w:val="24"/>
        </w:rPr>
        <w:t>enforcement of the Federal Lead Disclosure Rule Section 1018 of Title X and the Lead-Safe Housing Rule (45 CFR 164.512(b)</w:t>
      </w:r>
      <w:r w:rsidRPr="00CA00D3">
        <w:rPr>
          <w:sz w:val="24"/>
          <w:szCs w:val="24"/>
        </w:rPr>
        <w:t>), and the legal authority for the data collection (i.e., through the Public Health Service Act).</w:t>
      </w:r>
      <w:r w:rsidR="001357C3" w:rsidRPr="00CA00D3">
        <w:rPr>
          <w:sz w:val="24"/>
          <w:szCs w:val="24"/>
        </w:rPr>
        <w:t xml:space="preserve"> See Attachment</w:t>
      </w:r>
      <w:r w:rsidR="000D4658" w:rsidRPr="00CA00D3">
        <w:rPr>
          <w:sz w:val="24"/>
          <w:szCs w:val="24"/>
        </w:rPr>
        <w:t>s</w:t>
      </w:r>
      <w:r w:rsidR="001357C3" w:rsidRPr="00CA00D3">
        <w:rPr>
          <w:sz w:val="24"/>
          <w:szCs w:val="24"/>
        </w:rPr>
        <w:t xml:space="preserve"> </w:t>
      </w:r>
      <w:r w:rsidR="000D4658" w:rsidRPr="00CA00D3">
        <w:rPr>
          <w:sz w:val="24"/>
          <w:szCs w:val="24"/>
        </w:rPr>
        <w:t>6 and 7, respectively</w:t>
      </w:r>
      <w:r w:rsidR="001357C3" w:rsidRPr="00CA00D3">
        <w:rPr>
          <w:sz w:val="24"/>
          <w:szCs w:val="24"/>
        </w:rPr>
        <w:t xml:space="preserve">. </w:t>
      </w:r>
    </w:p>
    <w:p w14:paraId="555CFFE0" w14:textId="77777777" w:rsidR="0023593F" w:rsidRPr="00CA00D3" w:rsidRDefault="0023593F" w:rsidP="00CA00D3">
      <w:pPr>
        <w:spacing w:after="240" w:line="23" w:lineRule="atLeast"/>
        <w:rPr>
          <w:sz w:val="24"/>
          <w:szCs w:val="24"/>
        </w:rPr>
      </w:pPr>
      <w:r w:rsidRPr="00CA00D3">
        <w:rPr>
          <w:sz w:val="24"/>
          <w:szCs w:val="24"/>
        </w:rPr>
        <w:t xml:space="preserve">As described in more detail in </w:t>
      </w:r>
      <w:r w:rsidR="00FF2C08" w:rsidRPr="00CA00D3">
        <w:rPr>
          <w:sz w:val="24"/>
          <w:szCs w:val="24"/>
        </w:rPr>
        <w:t>Supporting Statement</w:t>
      </w:r>
      <w:r w:rsidRPr="00CA00D3">
        <w:rPr>
          <w:sz w:val="24"/>
          <w:szCs w:val="24"/>
        </w:rPr>
        <w:t xml:space="preserve"> B, CDC NCEH will share the de-identified data and/or results of the surveillance with interested parties through its website, publications, and peer-reviewed manuscripts.  The limitations as well as the strengths of </w:t>
      </w:r>
      <w:r w:rsidR="001C7F7C">
        <w:rPr>
          <w:sz w:val="24"/>
          <w:szCs w:val="24"/>
        </w:rPr>
        <w:t>HHLPSS</w:t>
      </w:r>
      <w:r w:rsidRPr="00CA00D3">
        <w:rPr>
          <w:sz w:val="24"/>
          <w:szCs w:val="24"/>
        </w:rPr>
        <w:t xml:space="preserve"> data will be described in each of the venues including that </w:t>
      </w:r>
      <w:r w:rsidR="001C7F7C">
        <w:rPr>
          <w:sz w:val="24"/>
          <w:szCs w:val="24"/>
        </w:rPr>
        <w:t>HHLPSS</w:t>
      </w:r>
      <w:r w:rsidRPr="00CA00D3">
        <w:rPr>
          <w:sz w:val="24"/>
          <w:szCs w:val="24"/>
        </w:rPr>
        <w:t xml:space="preserve"> is not derived from a population-based representative sample.  Specifically, consistent with the existing terms of clearance for this collection, the following language will </w:t>
      </w:r>
      <w:r w:rsidRPr="00CA00D3">
        <w:rPr>
          <w:b/>
          <w:i/>
          <w:sz w:val="24"/>
          <w:szCs w:val="24"/>
        </w:rPr>
        <w:t>always</w:t>
      </w:r>
      <w:r w:rsidRPr="00CA00D3">
        <w:rPr>
          <w:sz w:val="24"/>
          <w:szCs w:val="24"/>
        </w:rPr>
        <w:t xml:space="preserve"> accompany any aggregate statistics that the federal government disseminates, including reports or testimony to Congress, on its web site, or as the justification for policy decisions or budget requests.</w:t>
      </w:r>
    </w:p>
    <w:p w14:paraId="6BD12357" w14:textId="77777777" w:rsidR="0023593F" w:rsidRPr="00CA00D3" w:rsidRDefault="0023593F" w:rsidP="00CA00D3">
      <w:pPr>
        <w:spacing w:after="240" w:line="23" w:lineRule="atLeast"/>
        <w:rPr>
          <w:sz w:val="24"/>
          <w:szCs w:val="24"/>
        </w:rPr>
      </w:pPr>
      <w:r w:rsidRPr="00CA00D3">
        <w:rPr>
          <w:sz w:val="24"/>
          <w:szCs w:val="24"/>
        </w:rPr>
        <w:t xml:space="preserve">These data were collected for program management purposes.  The data are not generalizable at the national, state, or local level.  Furthermore, because inclusion criteria vary across grantees, comparisons of aggregate statistics across programs can be misleading (i.e.,  state policies and practices for blood lead testing vary and local priorities drive decisions regarding which homes receive assessments for other housing hazards).  However, descriptive statistics can be used to compare changes over time in a given area when the method by which housing units are chosen for inclusion remains the same.  With a thoughtful understanding of the approach used to include housing units in a given location, </w:t>
      </w:r>
      <w:r w:rsidR="001C7F7C">
        <w:rPr>
          <w:sz w:val="24"/>
          <w:szCs w:val="24"/>
        </w:rPr>
        <w:t>HHLPSS</w:t>
      </w:r>
      <w:r w:rsidRPr="00CA00D3">
        <w:rPr>
          <w:sz w:val="24"/>
          <w:szCs w:val="24"/>
        </w:rPr>
        <w:t xml:space="preserve"> can be used to make associations between the number of individuals in a given area and a specific housing hazard or health condition and geographic descriptors such as poverty, age of housing, tenancy, and health conditions.  </w:t>
      </w:r>
    </w:p>
    <w:p w14:paraId="5145C12F" w14:textId="77777777" w:rsidR="0023593F" w:rsidRPr="00CA00D3" w:rsidRDefault="0023593F" w:rsidP="00CA00D3">
      <w:pPr>
        <w:spacing w:after="240" w:line="23" w:lineRule="atLeast"/>
        <w:rPr>
          <w:sz w:val="24"/>
          <w:szCs w:val="24"/>
        </w:rPr>
      </w:pPr>
      <w:r w:rsidRPr="00CA00D3">
        <w:rPr>
          <w:sz w:val="24"/>
          <w:szCs w:val="24"/>
        </w:rPr>
        <w:t xml:space="preserve">Each of the participating state, local, and territorial health departments will have access only to their respective program’s identifiable data.  </w:t>
      </w:r>
      <w:r w:rsidR="00FF2C08" w:rsidRPr="00CA00D3">
        <w:rPr>
          <w:sz w:val="24"/>
          <w:szCs w:val="24"/>
        </w:rPr>
        <w:t>Each awardee may</w:t>
      </w:r>
      <w:r w:rsidRPr="00CA00D3">
        <w:rPr>
          <w:sz w:val="24"/>
          <w:szCs w:val="24"/>
        </w:rPr>
        <w:t xml:space="preserve"> share address information with HUD and EPA for their use in assessing compliance and enforcing regulations to protect children’s health.</w:t>
      </w:r>
    </w:p>
    <w:p w14:paraId="7C10F639" w14:textId="77777777" w:rsidR="0023593F" w:rsidRPr="00CA00D3" w:rsidRDefault="0023593F" w:rsidP="00CA00D3">
      <w:pPr>
        <w:spacing w:after="240" w:line="23" w:lineRule="atLeast"/>
        <w:rPr>
          <w:sz w:val="24"/>
          <w:szCs w:val="24"/>
          <w:u w:val="single"/>
        </w:rPr>
      </w:pPr>
      <w:r w:rsidRPr="00CA00D3">
        <w:rPr>
          <w:sz w:val="24"/>
          <w:szCs w:val="24"/>
          <w:u w:val="single"/>
        </w:rPr>
        <w:t>Impact the proposed collection will have on respondent privacy</w:t>
      </w:r>
    </w:p>
    <w:p w14:paraId="31C2D3DB" w14:textId="77777777" w:rsidR="0023593F" w:rsidRPr="00CA00D3" w:rsidRDefault="0023593F" w:rsidP="00CA00D3">
      <w:pPr>
        <w:spacing w:after="240" w:line="23" w:lineRule="atLeast"/>
        <w:rPr>
          <w:sz w:val="24"/>
          <w:szCs w:val="24"/>
        </w:rPr>
      </w:pPr>
      <w:r w:rsidRPr="00CA00D3">
        <w:rPr>
          <w:sz w:val="24"/>
          <w:szCs w:val="24"/>
        </w:rPr>
        <w:t xml:space="preserve">If there were a breach of security for any of the above IIF at CDC, some effect on the respondent’s privacy could occur; however, there are a variety of safeguards in place as described below in Information Security.  </w:t>
      </w:r>
    </w:p>
    <w:p w14:paraId="1A4648CF" w14:textId="77777777" w:rsidR="0023593F" w:rsidRPr="00CA00D3" w:rsidRDefault="0023593F" w:rsidP="00CA00D3">
      <w:pPr>
        <w:spacing w:after="240" w:line="23" w:lineRule="atLeast"/>
        <w:rPr>
          <w:sz w:val="24"/>
          <w:szCs w:val="24"/>
          <w:u w:val="single"/>
        </w:rPr>
      </w:pPr>
      <w:r w:rsidRPr="00CA00D3">
        <w:rPr>
          <w:sz w:val="24"/>
          <w:szCs w:val="24"/>
          <w:u w:val="single"/>
        </w:rPr>
        <w:t>Whether individuals are informed that providing the information is voluntary or mandatory</w:t>
      </w:r>
    </w:p>
    <w:p w14:paraId="1563F548" w14:textId="77777777" w:rsidR="0023593F" w:rsidRPr="00CA00D3" w:rsidRDefault="0023593F" w:rsidP="00CA00D3">
      <w:pPr>
        <w:spacing w:after="240" w:line="23" w:lineRule="atLeast"/>
        <w:rPr>
          <w:rFonts w:ascii="Times-Roman" w:hAnsi="Times-Roman" w:cs="Times-Roman"/>
          <w:sz w:val="24"/>
          <w:szCs w:val="24"/>
        </w:rPr>
      </w:pPr>
      <w:r w:rsidRPr="00CA00D3">
        <w:rPr>
          <w:sz w:val="24"/>
          <w:szCs w:val="24"/>
        </w:rPr>
        <w:t xml:space="preserve">Blood lead tests are performed under state regulations for blood lead screening and are thus mandatory.  However, providing information about the mandate in clinical affairs is not uniform. </w:t>
      </w:r>
    </w:p>
    <w:p w14:paraId="36C59AF5" w14:textId="77777777" w:rsidR="0023593F" w:rsidRPr="00CA00D3" w:rsidRDefault="0023593F" w:rsidP="00CA00D3">
      <w:pPr>
        <w:spacing w:after="240" w:line="23" w:lineRule="atLeast"/>
        <w:rPr>
          <w:sz w:val="24"/>
          <w:szCs w:val="24"/>
          <w:u w:val="single"/>
        </w:rPr>
      </w:pPr>
      <w:r w:rsidRPr="00CA00D3">
        <w:rPr>
          <w:sz w:val="24"/>
          <w:szCs w:val="24"/>
          <w:u w:val="single"/>
        </w:rPr>
        <w:t>Opportunities to consent, if any, to sharing and submission of information</w:t>
      </w:r>
    </w:p>
    <w:p w14:paraId="55D66DA3" w14:textId="77777777" w:rsidR="0023593F" w:rsidRPr="00CA00D3" w:rsidRDefault="0023593F" w:rsidP="00CA00D3">
      <w:pPr>
        <w:spacing w:after="240" w:line="23" w:lineRule="atLeast"/>
        <w:rPr>
          <w:sz w:val="24"/>
          <w:szCs w:val="24"/>
        </w:rPr>
      </w:pPr>
      <w:r w:rsidRPr="00CA00D3">
        <w:rPr>
          <w:sz w:val="24"/>
          <w:szCs w:val="24"/>
        </w:rPr>
        <w:t xml:space="preserve">No consent form for collection of this data is required as the data are part of state, local, and territorial surveillance efforts. Consent to share with other federal agencies is not required when it involves </w:t>
      </w:r>
      <w:r w:rsidRPr="00CA00D3">
        <w:rPr>
          <w:color w:val="000000"/>
          <w:sz w:val="24"/>
          <w:szCs w:val="24"/>
        </w:rPr>
        <w:t>enforcement of the Federal Lead Disclosure Rule Section 1018 of Title X and Lead-Safe Housing Rule (45 CFR 164.512(b))</w:t>
      </w:r>
      <w:r w:rsidR="001357C3" w:rsidRPr="00CA00D3">
        <w:rPr>
          <w:color w:val="000000"/>
          <w:sz w:val="24"/>
          <w:szCs w:val="24"/>
        </w:rPr>
        <w:t xml:space="preserve"> (</w:t>
      </w:r>
      <w:r w:rsidR="00527849" w:rsidRPr="00CA00D3">
        <w:rPr>
          <w:color w:val="000000"/>
          <w:sz w:val="24"/>
          <w:szCs w:val="24"/>
        </w:rPr>
        <w:t>Attachment 6</w:t>
      </w:r>
      <w:r w:rsidR="001357C3" w:rsidRPr="00CA00D3">
        <w:rPr>
          <w:color w:val="000000"/>
          <w:sz w:val="24"/>
          <w:szCs w:val="24"/>
        </w:rPr>
        <w:t>)</w:t>
      </w:r>
      <w:r w:rsidRPr="00CA00D3">
        <w:rPr>
          <w:sz w:val="24"/>
          <w:szCs w:val="24"/>
        </w:rPr>
        <w:t xml:space="preserve">.  </w:t>
      </w:r>
    </w:p>
    <w:p w14:paraId="1E38EEBE" w14:textId="77777777" w:rsidR="0023593F" w:rsidRPr="00CA00D3" w:rsidRDefault="0023593F" w:rsidP="00CA00D3">
      <w:pPr>
        <w:spacing w:after="240" w:line="23" w:lineRule="atLeast"/>
        <w:rPr>
          <w:sz w:val="24"/>
          <w:szCs w:val="24"/>
        </w:rPr>
      </w:pPr>
      <w:r w:rsidRPr="00CA00D3">
        <w:rPr>
          <w:sz w:val="24"/>
          <w:szCs w:val="24"/>
        </w:rPr>
        <w:t>Requirements for Disclosure of Known Lead-Based paint and/or Lead-Based Paint Hazards in Housing (24 CFR Part 35, Subpart H and 40 CFR Part 745, Subpart F)</w:t>
      </w:r>
      <w:r w:rsidR="001357C3" w:rsidRPr="00CA00D3">
        <w:rPr>
          <w:sz w:val="24"/>
          <w:szCs w:val="24"/>
        </w:rPr>
        <w:t xml:space="preserve"> (</w:t>
      </w:r>
      <w:r w:rsidR="00BE2673" w:rsidRPr="00CA00D3">
        <w:rPr>
          <w:sz w:val="24"/>
          <w:szCs w:val="24"/>
        </w:rPr>
        <w:t>Attachment 7</w:t>
      </w:r>
      <w:r w:rsidR="001357C3" w:rsidRPr="00CA00D3">
        <w:rPr>
          <w:sz w:val="24"/>
          <w:szCs w:val="24"/>
        </w:rPr>
        <w:t>)</w:t>
      </w:r>
      <w:r w:rsidRPr="00CA00D3">
        <w:rPr>
          <w:sz w:val="24"/>
          <w:szCs w:val="24"/>
        </w:rPr>
        <w:t xml:space="preserve">.  These joint HUD and EPA regulations require lessors of virtually all pre-1978 dwellings to disclose known information about lead hazards and provide an approved educational pamphlet to prospective tenants.  </w:t>
      </w:r>
    </w:p>
    <w:p w14:paraId="092BB16A" w14:textId="77777777" w:rsidR="0023593F" w:rsidRPr="00CA00D3" w:rsidRDefault="0023593F" w:rsidP="00CA00D3">
      <w:pPr>
        <w:spacing w:after="240" w:line="23" w:lineRule="atLeast"/>
        <w:rPr>
          <w:sz w:val="24"/>
          <w:szCs w:val="24"/>
          <w:u w:val="single"/>
        </w:rPr>
      </w:pPr>
      <w:r w:rsidRPr="00CA00D3">
        <w:rPr>
          <w:sz w:val="24"/>
          <w:szCs w:val="24"/>
          <w:u w:val="single"/>
        </w:rPr>
        <w:t>How the information will be secured</w:t>
      </w:r>
    </w:p>
    <w:p w14:paraId="6C41E06F" w14:textId="77777777" w:rsidR="0023593F" w:rsidRPr="00CA00D3" w:rsidRDefault="0023593F" w:rsidP="00CA00D3">
      <w:pPr>
        <w:spacing w:after="240" w:line="23" w:lineRule="atLeast"/>
        <w:rPr>
          <w:sz w:val="24"/>
          <w:szCs w:val="24"/>
        </w:rPr>
      </w:pPr>
      <w:r w:rsidRPr="00CA00D3">
        <w:rPr>
          <w:sz w:val="24"/>
          <w:szCs w:val="24"/>
        </w:rPr>
        <w:t xml:space="preserve">All collected data is secured in a password protected surveillance system.  Only authorized state, local and territorial programs and CDC staff will have access to the raw data in </w:t>
      </w:r>
      <w:r w:rsidR="001C7F7C">
        <w:rPr>
          <w:sz w:val="24"/>
          <w:szCs w:val="24"/>
        </w:rPr>
        <w:t>HHLPSS</w:t>
      </w:r>
      <w:r w:rsidRPr="00CA00D3">
        <w:rPr>
          <w:sz w:val="24"/>
          <w:szCs w:val="24"/>
        </w:rPr>
        <w:t xml:space="preserve">.  Additionally, data from state, local, and territorial programs are uploaded using encryption software.  Encrypted data files will be sent electronically to CDC.  Physical controls will also be implemented.  Data will be stored on highly-secured CDC servers in Atlanta, GA. Access to all CDC campuses is restricted by armed guards. The servers are housed in a secure computer room complete with climate control, emergency power, and an uninterruptible power supply (UPS). Daily back-ups and integrated security are implemented through the CDC computer services infrastructure. All data access is password-protected, and all network communications use encryption.  All servers and PCs that are part of the CDC infrastructure are protected by both host-based firewalls and software in order to prevent the undetected installation of "spyware". </w:t>
      </w:r>
    </w:p>
    <w:p w14:paraId="364BF39E" w14:textId="77777777" w:rsidR="0023593F" w:rsidRPr="00CA00D3" w:rsidRDefault="0023593F" w:rsidP="00CA00D3">
      <w:pPr>
        <w:numPr>
          <w:ilvl w:val="12"/>
          <w:numId w:val="0"/>
        </w:numPr>
        <w:spacing w:after="240" w:line="23" w:lineRule="atLeast"/>
        <w:rPr>
          <w:sz w:val="24"/>
          <w:szCs w:val="24"/>
          <w:u w:val="single"/>
        </w:rPr>
      </w:pPr>
      <w:r w:rsidRPr="00CA00D3">
        <w:rPr>
          <w:sz w:val="24"/>
          <w:szCs w:val="24"/>
          <w:u w:val="single"/>
        </w:rPr>
        <w:t>Whether a system of records is being created under the Privacy Act.</w:t>
      </w:r>
    </w:p>
    <w:p w14:paraId="1ACDC074" w14:textId="77777777" w:rsidR="0023593F" w:rsidRPr="00CA00D3" w:rsidRDefault="0023593F" w:rsidP="00CA00D3">
      <w:pPr>
        <w:pStyle w:val="Default"/>
        <w:spacing w:after="240" w:line="23" w:lineRule="atLeast"/>
        <w:rPr>
          <w:rFonts w:asciiTheme="minorHAnsi" w:hAnsiTheme="minorHAnsi"/>
        </w:rPr>
      </w:pPr>
      <w:r w:rsidRPr="00CA00D3">
        <w:rPr>
          <w:rFonts w:asciiTheme="minorHAnsi" w:hAnsiTheme="minorHAnsi"/>
        </w:rPr>
        <w:t xml:space="preserve">This submission has been reviewed by the CDC Information Collection </w:t>
      </w:r>
      <w:r w:rsidR="008F6AEF" w:rsidRPr="00CA00D3">
        <w:rPr>
          <w:rFonts w:asciiTheme="minorHAnsi" w:hAnsiTheme="minorHAnsi"/>
        </w:rPr>
        <w:t xml:space="preserve">Review </w:t>
      </w:r>
      <w:r w:rsidRPr="00CA00D3">
        <w:rPr>
          <w:rFonts w:asciiTheme="minorHAnsi" w:hAnsiTheme="minorHAnsi"/>
        </w:rPr>
        <w:t xml:space="preserve">Office (ICRO), which has determined that the Privacy Act </w:t>
      </w:r>
      <w:r w:rsidR="00CA00D3">
        <w:rPr>
          <w:rFonts w:asciiTheme="minorHAnsi" w:hAnsiTheme="minorHAnsi"/>
        </w:rPr>
        <w:t xml:space="preserve">does not apply.  </w:t>
      </w:r>
    </w:p>
    <w:p w14:paraId="625CE3A0" w14:textId="77777777" w:rsidR="00B45002" w:rsidRPr="00D20211" w:rsidRDefault="00601F1A" w:rsidP="00601F1A">
      <w:pPr>
        <w:pStyle w:val="Heading1"/>
        <w:pBdr>
          <w:bottom w:val="none" w:sz="0" w:space="0" w:color="auto"/>
        </w:pBdr>
        <w:rPr>
          <w:color w:val="auto"/>
        </w:rPr>
      </w:pPr>
      <w:bookmarkStart w:id="13" w:name="_Toc493853246"/>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3"/>
    </w:p>
    <w:p w14:paraId="209567E3" w14:textId="77777777" w:rsidR="00A71AF6" w:rsidRPr="002F3630" w:rsidRDefault="00A71AF6" w:rsidP="00CA00D3">
      <w:pPr>
        <w:pStyle w:val="CommentText"/>
        <w:spacing w:after="240" w:line="23" w:lineRule="atLeast"/>
        <w:rPr>
          <w:sz w:val="24"/>
          <w:szCs w:val="24"/>
        </w:rPr>
      </w:pPr>
      <w:r w:rsidRPr="002F3630">
        <w:rPr>
          <w:sz w:val="24"/>
          <w:szCs w:val="24"/>
        </w:rPr>
        <w:t xml:space="preserve">The </w:t>
      </w:r>
      <w:r w:rsidR="001C7F7C">
        <w:rPr>
          <w:sz w:val="24"/>
          <w:szCs w:val="24"/>
        </w:rPr>
        <w:t>HHLPSS</w:t>
      </w:r>
      <w:r w:rsidRPr="002F3630">
        <w:rPr>
          <w:sz w:val="24"/>
          <w:szCs w:val="24"/>
        </w:rPr>
        <w:t xml:space="preserve"> is a surveillance system that does not include research involving human subjects and is, therefore, exempt from</w:t>
      </w:r>
      <w:r w:rsidR="00A64EDF" w:rsidRPr="002F3630">
        <w:rPr>
          <w:sz w:val="24"/>
          <w:szCs w:val="24"/>
        </w:rPr>
        <w:t xml:space="preserve"> IRB approvals</w:t>
      </w:r>
      <w:r w:rsidR="00C528FE">
        <w:rPr>
          <w:sz w:val="24"/>
          <w:szCs w:val="24"/>
        </w:rPr>
        <w:t xml:space="preserve"> </w:t>
      </w:r>
      <w:r w:rsidR="00C528FE" w:rsidRPr="00F66907">
        <w:rPr>
          <w:sz w:val="24"/>
          <w:szCs w:val="24"/>
        </w:rPr>
        <w:t>(</w:t>
      </w:r>
      <w:r w:rsidR="00D43977" w:rsidRPr="00F66907">
        <w:rPr>
          <w:sz w:val="24"/>
          <w:szCs w:val="24"/>
        </w:rPr>
        <w:t xml:space="preserve">See </w:t>
      </w:r>
      <w:r w:rsidR="00221758" w:rsidRPr="00F66907">
        <w:rPr>
          <w:sz w:val="24"/>
          <w:szCs w:val="24"/>
        </w:rPr>
        <w:t>Attachment 8</w:t>
      </w:r>
      <w:r w:rsidR="00C528FE" w:rsidRPr="00F66907">
        <w:rPr>
          <w:sz w:val="24"/>
          <w:szCs w:val="24"/>
        </w:rPr>
        <w:t>)</w:t>
      </w:r>
      <w:r w:rsidRPr="00F66907">
        <w:rPr>
          <w:sz w:val="24"/>
          <w:szCs w:val="24"/>
        </w:rPr>
        <w:t>.</w:t>
      </w:r>
    </w:p>
    <w:p w14:paraId="1EBF457C" w14:textId="77777777" w:rsidR="00BD3849" w:rsidRPr="00473493" w:rsidRDefault="00BD3849" w:rsidP="00CA00D3">
      <w:pPr>
        <w:spacing w:after="240" w:line="23" w:lineRule="atLeast"/>
        <w:rPr>
          <w:sz w:val="24"/>
          <w:szCs w:val="24"/>
          <w:u w:val="single"/>
        </w:rPr>
      </w:pPr>
      <w:r w:rsidRPr="00473493">
        <w:rPr>
          <w:sz w:val="24"/>
          <w:szCs w:val="24"/>
          <w:u w:val="single"/>
        </w:rPr>
        <w:t>Sensitive Questions:</w:t>
      </w:r>
    </w:p>
    <w:p w14:paraId="2AD96D9B" w14:textId="77777777" w:rsidR="0023593F" w:rsidRDefault="0023593F" w:rsidP="00CA00D3">
      <w:pPr>
        <w:spacing w:after="240" w:line="23" w:lineRule="atLeast"/>
        <w:rPr>
          <w:sz w:val="24"/>
          <w:szCs w:val="24"/>
        </w:rPr>
      </w:pPr>
      <w:r w:rsidRPr="00BC37EF">
        <w:rPr>
          <w:sz w:val="24"/>
          <w:szCs w:val="24"/>
        </w:rPr>
        <w:t xml:space="preserve">Questions that could be considered sensitive by at least a segment of the population such as information on pregnancy, smoking and injuries such as ever having been scalded </w:t>
      </w:r>
      <w:r>
        <w:rPr>
          <w:sz w:val="24"/>
          <w:szCs w:val="24"/>
        </w:rPr>
        <w:t xml:space="preserve">because of water in the home </w:t>
      </w:r>
      <w:r w:rsidRPr="00BC37EF">
        <w:rPr>
          <w:sz w:val="24"/>
          <w:szCs w:val="24"/>
        </w:rPr>
        <w:t>are being asked about the individuals living in</w:t>
      </w:r>
      <w:r>
        <w:rPr>
          <w:sz w:val="24"/>
          <w:szCs w:val="24"/>
        </w:rPr>
        <w:t xml:space="preserve"> the homes as part of home i</w:t>
      </w:r>
      <w:r w:rsidRPr="00BC37EF">
        <w:rPr>
          <w:sz w:val="24"/>
          <w:szCs w:val="24"/>
        </w:rPr>
        <w:t>nspection</w:t>
      </w:r>
      <w:r>
        <w:rPr>
          <w:sz w:val="24"/>
          <w:szCs w:val="24"/>
        </w:rPr>
        <w:t>s</w:t>
      </w:r>
      <w:r w:rsidRPr="00BC37EF">
        <w:rPr>
          <w:sz w:val="24"/>
          <w:szCs w:val="24"/>
        </w:rPr>
        <w:t xml:space="preserve"> </w:t>
      </w:r>
      <w:r>
        <w:rPr>
          <w:sz w:val="24"/>
          <w:szCs w:val="24"/>
        </w:rPr>
        <w:t xml:space="preserve">and blood lead assessment, </w:t>
      </w:r>
      <w:r w:rsidRPr="00BC37EF">
        <w:rPr>
          <w:sz w:val="24"/>
          <w:szCs w:val="24"/>
        </w:rPr>
        <w:t>and these variables are integral to accomplishing the purp</w:t>
      </w:r>
      <w:r>
        <w:rPr>
          <w:sz w:val="24"/>
          <w:szCs w:val="24"/>
        </w:rPr>
        <w:t>ose of this surveillance system.</w:t>
      </w:r>
      <w:r w:rsidRPr="006769DD">
        <w:rPr>
          <w:sz w:val="24"/>
          <w:szCs w:val="24"/>
        </w:rPr>
        <w:t xml:space="preserve"> </w:t>
      </w:r>
      <w:r>
        <w:rPr>
          <w:sz w:val="24"/>
          <w:szCs w:val="24"/>
        </w:rPr>
        <w:t xml:space="preserve"> </w:t>
      </w:r>
      <w:r w:rsidRPr="00D43977">
        <w:rPr>
          <w:sz w:val="24"/>
          <w:szCs w:val="24"/>
        </w:rPr>
        <w:t xml:space="preserve">Table </w:t>
      </w:r>
      <w:r w:rsidR="00BE2673" w:rsidRPr="00D43977">
        <w:rPr>
          <w:sz w:val="24"/>
          <w:szCs w:val="24"/>
        </w:rPr>
        <w:t>A11.1</w:t>
      </w:r>
      <w:r w:rsidR="00BE2673">
        <w:rPr>
          <w:sz w:val="24"/>
          <w:szCs w:val="24"/>
        </w:rPr>
        <w:t xml:space="preserve"> </w:t>
      </w:r>
      <w:r>
        <w:rPr>
          <w:sz w:val="24"/>
          <w:szCs w:val="24"/>
        </w:rPr>
        <w:t>describes the specific use of the possibly sensitive questions.</w:t>
      </w:r>
    </w:p>
    <w:p w14:paraId="724E98B0" w14:textId="77777777" w:rsidR="0023593F" w:rsidRDefault="0023593F" w:rsidP="0023593F">
      <w:pPr>
        <w:rPr>
          <w:sz w:val="24"/>
          <w:szCs w:val="24"/>
        </w:rPr>
      </w:pPr>
    </w:p>
    <w:p w14:paraId="4C449FC8" w14:textId="77777777" w:rsidR="0023593F" w:rsidRDefault="0023593F" w:rsidP="0023593F">
      <w:pPr>
        <w:rPr>
          <w:sz w:val="24"/>
          <w:szCs w:val="24"/>
        </w:rPr>
      </w:pPr>
      <w:r w:rsidRPr="00D43977">
        <w:rPr>
          <w:sz w:val="24"/>
          <w:szCs w:val="24"/>
        </w:rPr>
        <w:t xml:space="preserve">Table </w:t>
      </w:r>
      <w:r w:rsidR="00BE2673" w:rsidRPr="00D43977">
        <w:rPr>
          <w:sz w:val="24"/>
          <w:szCs w:val="24"/>
        </w:rPr>
        <w:t>A11.1</w:t>
      </w:r>
      <w:r w:rsidRPr="00D43977">
        <w:rPr>
          <w:sz w:val="24"/>
          <w:szCs w:val="24"/>
        </w:rPr>
        <w:t>.</w:t>
      </w:r>
      <w:r w:rsidRPr="008373D6">
        <w:rPr>
          <w:sz w:val="24"/>
          <w:szCs w:val="24"/>
        </w:rPr>
        <w:t xml:space="preserve">  Questions of a possibly sensitive 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00"/>
      </w:tblGrid>
      <w:tr w:rsidR="0023593F" w:rsidRPr="005C3647" w14:paraId="446ED529" w14:textId="77777777" w:rsidTr="00A07800">
        <w:tc>
          <w:tcPr>
            <w:tcW w:w="4518" w:type="dxa"/>
          </w:tcPr>
          <w:p w14:paraId="7FB2A1A1" w14:textId="77777777" w:rsidR="0023593F" w:rsidRPr="005C3647" w:rsidRDefault="0023593F" w:rsidP="005C3647">
            <w:pPr>
              <w:widowControl w:val="0"/>
              <w:spacing w:line="240" w:lineRule="auto"/>
              <w:jc w:val="center"/>
              <w:rPr>
                <w:sz w:val="24"/>
                <w:szCs w:val="24"/>
              </w:rPr>
            </w:pPr>
            <w:r w:rsidRPr="005C3647">
              <w:rPr>
                <w:sz w:val="24"/>
                <w:szCs w:val="24"/>
              </w:rPr>
              <w:t>Questions</w:t>
            </w:r>
          </w:p>
          <w:p w14:paraId="02EFA5DD" w14:textId="77777777" w:rsidR="0023593F" w:rsidRPr="005C3647" w:rsidRDefault="0023593F" w:rsidP="005C3647">
            <w:pPr>
              <w:widowControl w:val="0"/>
              <w:spacing w:line="240" w:lineRule="auto"/>
              <w:jc w:val="center"/>
              <w:rPr>
                <w:sz w:val="24"/>
                <w:szCs w:val="24"/>
              </w:rPr>
            </w:pPr>
            <w:r w:rsidRPr="005C3647">
              <w:rPr>
                <w:sz w:val="24"/>
                <w:szCs w:val="24"/>
              </w:rPr>
              <w:t>(possibly sensitive)</w:t>
            </w:r>
          </w:p>
        </w:tc>
        <w:tc>
          <w:tcPr>
            <w:tcW w:w="4500" w:type="dxa"/>
          </w:tcPr>
          <w:p w14:paraId="3EBAB2E0" w14:textId="77777777" w:rsidR="0023593F" w:rsidRPr="005C3647" w:rsidRDefault="0023593F" w:rsidP="005C3647">
            <w:pPr>
              <w:widowControl w:val="0"/>
              <w:spacing w:line="240" w:lineRule="auto"/>
              <w:jc w:val="center"/>
              <w:rPr>
                <w:sz w:val="24"/>
                <w:szCs w:val="24"/>
              </w:rPr>
            </w:pPr>
            <w:r w:rsidRPr="005C3647">
              <w:rPr>
                <w:sz w:val="24"/>
                <w:szCs w:val="24"/>
              </w:rPr>
              <w:t>Specific uses of information</w:t>
            </w:r>
          </w:p>
          <w:p w14:paraId="1B6D1FEF" w14:textId="77777777" w:rsidR="0023593F" w:rsidRPr="005C3647" w:rsidRDefault="0023593F" w:rsidP="005C3647">
            <w:pPr>
              <w:widowControl w:val="0"/>
              <w:spacing w:line="240" w:lineRule="auto"/>
              <w:jc w:val="center"/>
              <w:rPr>
                <w:sz w:val="24"/>
                <w:szCs w:val="24"/>
              </w:rPr>
            </w:pPr>
          </w:p>
        </w:tc>
      </w:tr>
      <w:tr w:rsidR="0023593F" w:rsidRPr="005C3647" w14:paraId="23566292" w14:textId="77777777" w:rsidTr="00A07800">
        <w:tc>
          <w:tcPr>
            <w:tcW w:w="4518" w:type="dxa"/>
          </w:tcPr>
          <w:p w14:paraId="6AF46EB8" w14:textId="77777777" w:rsidR="0023593F" w:rsidRPr="005C3647" w:rsidRDefault="0023593F" w:rsidP="005C3647">
            <w:pPr>
              <w:spacing w:line="240" w:lineRule="auto"/>
              <w:rPr>
                <w:sz w:val="24"/>
                <w:szCs w:val="24"/>
              </w:rPr>
            </w:pPr>
            <w:r w:rsidRPr="005C3647">
              <w:rPr>
                <w:sz w:val="24"/>
                <w:szCs w:val="24"/>
              </w:rPr>
              <w:t>Pregnant at time of test?  (at time of blood lead test)</w:t>
            </w:r>
          </w:p>
          <w:p w14:paraId="3E48671B" w14:textId="77777777" w:rsidR="0023593F" w:rsidRPr="005C3647" w:rsidRDefault="0023593F" w:rsidP="005C3647">
            <w:pPr>
              <w:widowControl w:val="0"/>
              <w:spacing w:line="240" w:lineRule="auto"/>
              <w:rPr>
                <w:sz w:val="24"/>
                <w:szCs w:val="24"/>
              </w:rPr>
            </w:pPr>
          </w:p>
        </w:tc>
        <w:tc>
          <w:tcPr>
            <w:tcW w:w="4500" w:type="dxa"/>
          </w:tcPr>
          <w:p w14:paraId="7AA83DC3" w14:textId="77777777" w:rsidR="0023593F" w:rsidRPr="005C3647" w:rsidRDefault="0023593F" w:rsidP="005C3647">
            <w:pPr>
              <w:widowControl w:val="0"/>
              <w:spacing w:line="240" w:lineRule="auto"/>
              <w:rPr>
                <w:sz w:val="24"/>
                <w:szCs w:val="24"/>
              </w:rPr>
            </w:pPr>
            <w:r w:rsidRPr="005C3647">
              <w:rPr>
                <w:sz w:val="24"/>
                <w:szCs w:val="24"/>
              </w:rPr>
              <w:t>To assess prevalence of pregnant women with elevated blood lead, this provides important data for clinical follow up of women and their fetuses.</w:t>
            </w:r>
          </w:p>
        </w:tc>
      </w:tr>
      <w:tr w:rsidR="0023593F" w:rsidRPr="005C3647" w14:paraId="4A29C304" w14:textId="77777777" w:rsidTr="00A07800">
        <w:tc>
          <w:tcPr>
            <w:tcW w:w="4518" w:type="dxa"/>
          </w:tcPr>
          <w:p w14:paraId="441030EA" w14:textId="77777777" w:rsidR="0023593F" w:rsidRPr="005C3647" w:rsidRDefault="0023593F" w:rsidP="005C3647">
            <w:pPr>
              <w:pStyle w:val="Default"/>
              <w:widowControl w:val="0"/>
              <w:overflowPunct w:val="0"/>
              <w:textAlignment w:val="baseline"/>
              <w:rPr>
                <w:rFonts w:asciiTheme="minorHAnsi" w:hAnsiTheme="minorHAnsi"/>
              </w:rPr>
            </w:pPr>
            <w:r w:rsidRPr="005C3647">
              <w:rPr>
                <w:rFonts w:asciiTheme="minorHAnsi" w:hAnsiTheme="minorHAnsi"/>
              </w:rPr>
              <w:t xml:space="preserve">Race/ethnicity?   </w:t>
            </w:r>
          </w:p>
        </w:tc>
        <w:tc>
          <w:tcPr>
            <w:tcW w:w="4500" w:type="dxa"/>
          </w:tcPr>
          <w:p w14:paraId="3C314B7D" w14:textId="77777777" w:rsidR="0023593F" w:rsidRPr="005C3647" w:rsidRDefault="0023593F" w:rsidP="005C3647">
            <w:pPr>
              <w:widowControl w:val="0"/>
              <w:spacing w:line="240" w:lineRule="auto"/>
              <w:rPr>
                <w:sz w:val="24"/>
                <w:szCs w:val="24"/>
              </w:rPr>
            </w:pPr>
            <w:r w:rsidRPr="005C3647">
              <w:rPr>
                <w:sz w:val="24"/>
                <w:szCs w:val="24"/>
              </w:rPr>
              <w:t>For targeting resources to subpopulations with high risk for elevated blood lead or housing risk factors</w:t>
            </w:r>
          </w:p>
        </w:tc>
      </w:tr>
      <w:tr w:rsidR="0023593F" w:rsidRPr="005C3647" w14:paraId="345ED83B" w14:textId="77777777" w:rsidTr="00A07800">
        <w:tc>
          <w:tcPr>
            <w:tcW w:w="4518" w:type="dxa"/>
          </w:tcPr>
          <w:p w14:paraId="3F2B4AAB" w14:textId="77777777" w:rsidR="0023593F" w:rsidRPr="005C3647" w:rsidRDefault="0023593F" w:rsidP="005C3647">
            <w:pPr>
              <w:spacing w:line="240" w:lineRule="auto"/>
              <w:rPr>
                <w:color w:val="000000"/>
                <w:sz w:val="24"/>
                <w:szCs w:val="24"/>
              </w:rPr>
            </w:pPr>
            <w:r w:rsidRPr="005C3647">
              <w:rPr>
                <w:color w:val="000000"/>
                <w:sz w:val="24"/>
                <w:szCs w:val="24"/>
              </w:rPr>
              <w:t>In the past 6 months, has anyone been scalded by the water in this home?</w:t>
            </w:r>
          </w:p>
          <w:p w14:paraId="7ADC5045" w14:textId="77777777" w:rsidR="0023593F" w:rsidRPr="005C3647" w:rsidRDefault="0023593F" w:rsidP="005C3647">
            <w:pPr>
              <w:widowControl w:val="0"/>
              <w:spacing w:line="240" w:lineRule="auto"/>
              <w:rPr>
                <w:color w:val="000000"/>
                <w:sz w:val="24"/>
                <w:szCs w:val="24"/>
              </w:rPr>
            </w:pPr>
          </w:p>
        </w:tc>
        <w:tc>
          <w:tcPr>
            <w:tcW w:w="4500" w:type="dxa"/>
          </w:tcPr>
          <w:p w14:paraId="71005236" w14:textId="77777777" w:rsidR="0023593F" w:rsidRPr="005C3647" w:rsidRDefault="0023593F" w:rsidP="005C3647">
            <w:pPr>
              <w:widowControl w:val="0"/>
              <w:spacing w:line="240" w:lineRule="auto"/>
              <w:rPr>
                <w:sz w:val="24"/>
                <w:szCs w:val="24"/>
              </w:rPr>
            </w:pPr>
            <w:r w:rsidRPr="005C3647">
              <w:rPr>
                <w:sz w:val="24"/>
                <w:szCs w:val="24"/>
              </w:rPr>
              <w:t>To assess efficacy of outreach activities and  other interventions to decrease water temperature settings in the home</w:t>
            </w:r>
          </w:p>
        </w:tc>
      </w:tr>
      <w:tr w:rsidR="0023593F" w:rsidRPr="005C3647" w14:paraId="14C6CA31" w14:textId="77777777" w:rsidTr="00A07800">
        <w:tc>
          <w:tcPr>
            <w:tcW w:w="4518" w:type="dxa"/>
          </w:tcPr>
          <w:p w14:paraId="359A1797" w14:textId="77777777" w:rsidR="0023593F" w:rsidRPr="005C3647" w:rsidRDefault="0023593F" w:rsidP="005C3647">
            <w:pPr>
              <w:spacing w:line="240" w:lineRule="auto"/>
              <w:jc w:val="both"/>
              <w:rPr>
                <w:rStyle w:val="A0"/>
                <w:sz w:val="24"/>
                <w:szCs w:val="24"/>
              </w:rPr>
            </w:pPr>
            <w:r w:rsidRPr="005C3647">
              <w:rPr>
                <w:rStyle w:val="A0"/>
                <w:sz w:val="24"/>
                <w:szCs w:val="24"/>
              </w:rPr>
              <w:t>Do you (inspector) smell a musty odor anywhere in the home?</w:t>
            </w:r>
          </w:p>
          <w:p w14:paraId="7387D29F" w14:textId="77777777" w:rsidR="0023593F" w:rsidRPr="005C3647" w:rsidRDefault="0023593F" w:rsidP="005C3647">
            <w:pPr>
              <w:widowControl w:val="0"/>
              <w:spacing w:line="240" w:lineRule="auto"/>
              <w:rPr>
                <w:sz w:val="24"/>
                <w:szCs w:val="24"/>
              </w:rPr>
            </w:pPr>
          </w:p>
        </w:tc>
        <w:tc>
          <w:tcPr>
            <w:tcW w:w="4500" w:type="dxa"/>
          </w:tcPr>
          <w:p w14:paraId="3CA804A4" w14:textId="77777777" w:rsidR="0023593F" w:rsidRPr="005C3647" w:rsidRDefault="0023593F" w:rsidP="005C3647">
            <w:pPr>
              <w:widowControl w:val="0"/>
              <w:spacing w:line="240" w:lineRule="auto"/>
              <w:rPr>
                <w:sz w:val="24"/>
                <w:szCs w:val="24"/>
              </w:rPr>
            </w:pPr>
            <w:r w:rsidRPr="005C3647">
              <w:rPr>
                <w:sz w:val="24"/>
                <w:szCs w:val="24"/>
              </w:rPr>
              <w:t>To assess risk for mold, evaluate effectiveness of related referrals and health education.  Mold sampling is highly technical and recent publications have shown that mold odor is a predictor not only of mold exposure but is predictive of respiratory symptoms in some populations.</w:t>
            </w:r>
          </w:p>
        </w:tc>
      </w:tr>
      <w:tr w:rsidR="0023593F" w:rsidRPr="005C3647" w14:paraId="7F7F97A9" w14:textId="77777777" w:rsidTr="00A07800">
        <w:tc>
          <w:tcPr>
            <w:tcW w:w="4518" w:type="dxa"/>
          </w:tcPr>
          <w:p w14:paraId="29477FA3" w14:textId="77777777" w:rsidR="0023593F" w:rsidRPr="005C3647" w:rsidRDefault="0023593F" w:rsidP="005C3647">
            <w:pPr>
              <w:spacing w:line="240" w:lineRule="auto"/>
              <w:rPr>
                <w:color w:val="000000"/>
                <w:sz w:val="24"/>
                <w:szCs w:val="24"/>
              </w:rPr>
            </w:pPr>
            <w:r w:rsidRPr="005C3647">
              <w:rPr>
                <w:color w:val="000000"/>
                <w:sz w:val="24"/>
                <w:szCs w:val="24"/>
              </w:rPr>
              <w:t>Does anyone who lives in this home smoke?</w:t>
            </w:r>
          </w:p>
          <w:p w14:paraId="36F84EC8" w14:textId="77777777" w:rsidR="0023593F" w:rsidRPr="005C3647" w:rsidRDefault="0023593F" w:rsidP="005C3647">
            <w:pPr>
              <w:widowControl w:val="0"/>
              <w:spacing w:line="240" w:lineRule="auto"/>
              <w:rPr>
                <w:sz w:val="24"/>
                <w:szCs w:val="24"/>
              </w:rPr>
            </w:pPr>
          </w:p>
        </w:tc>
        <w:tc>
          <w:tcPr>
            <w:tcW w:w="4500" w:type="dxa"/>
          </w:tcPr>
          <w:p w14:paraId="6EF31BD4" w14:textId="77777777" w:rsidR="0023593F" w:rsidRPr="005C3647" w:rsidRDefault="0023593F" w:rsidP="005C3647">
            <w:pPr>
              <w:widowControl w:val="0"/>
              <w:spacing w:line="240" w:lineRule="auto"/>
              <w:rPr>
                <w:sz w:val="24"/>
                <w:szCs w:val="24"/>
              </w:rPr>
            </w:pPr>
            <w:r w:rsidRPr="005C3647">
              <w:rPr>
                <w:sz w:val="24"/>
                <w:szCs w:val="24"/>
              </w:rPr>
              <w:t xml:space="preserve">To assess risk for exposure to smoking, evaluate effectiveness of related referrals and health education.  Smoking affects particulate matter in homes and can affect respiratory symptoms of residents.  </w:t>
            </w:r>
          </w:p>
        </w:tc>
      </w:tr>
      <w:tr w:rsidR="0023593F" w:rsidRPr="005C3647" w14:paraId="4F9E93C8" w14:textId="77777777" w:rsidTr="00A07800">
        <w:tc>
          <w:tcPr>
            <w:tcW w:w="4518" w:type="dxa"/>
          </w:tcPr>
          <w:p w14:paraId="5CEA3424" w14:textId="77777777" w:rsidR="0023593F" w:rsidRPr="005C3647" w:rsidRDefault="0023593F" w:rsidP="005C3647">
            <w:pPr>
              <w:widowControl w:val="0"/>
              <w:spacing w:line="240" w:lineRule="auto"/>
              <w:rPr>
                <w:sz w:val="24"/>
                <w:szCs w:val="24"/>
              </w:rPr>
            </w:pPr>
            <w:r w:rsidRPr="005C3647">
              <w:rPr>
                <w:rStyle w:val="A0"/>
                <w:sz w:val="24"/>
                <w:szCs w:val="24"/>
              </w:rPr>
              <w:t>Do you see evidence of cockroaches (bodies or fecal pellets)</w:t>
            </w:r>
          </w:p>
        </w:tc>
        <w:tc>
          <w:tcPr>
            <w:tcW w:w="4500" w:type="dxa"/>
          </w:tcPr>
          <w:p w14:paraId="1FDF2BC3" w14:textId="77777777" w:rsidR="0023593F" w:rsidRPr="005C3647" w:rsidRDefault="0023593F" w:rsidP="005C3647">
            <w:pPr>
              <w:widowControl w:val="0"/>
              <w:spacing w:line="240" w:lineRule="auto"/>
              <w:rPr>
                <w:sz w:val="24"/>
                <w:szCs w:val="24"/>
              </w:rPr>
            </w:pPr>
            <w:r w:rsidRPr="005C3647">
              <w:rPr>
                <w:sz w:val="24"/>
                <w:szCs w:val="24"/>
              </w:rPr>
              <w:t xml:space="preserve">To assess prevalence of cockroach exposures and efficacy of any interventions.  </w:t>
            </w:r>
          </w:p>
        </w:tc>
      </w:tr>
      <w:tr w:rsidR="0023593F" w:rsidRPr="005C3647" w14:paraId="558FA318" w14:textId="77777777" w:rsidTr="00A07800">
        <w:tc>
          <w:tcPr>
            <w:tcW w:w="4518" w:type="dxa"/>
          </w:tcPr>
          <w:p w14:paraId="1198457D" w14:textId="77777777" w:rsidR="0023593F" w:rsidRPr="005C3647" w:rsidRDefault="0023593F" w:rsidP="005C3647">
            <w:pPr>
              <w:spacing w:line="240" w:lineRule="auto"/>
              <w:rPr>
                <w:sz w:val="24"/>
                <w:szCs w:val="24"/>
              </w:rPr>
            </w:pPr>
            <w:r w:rsidRPr="005C3647">
              <w:rPr>
                <w:rStyle w:val="A0"/>
                <w:sz w:val="24"/>
                <w:szCs w:val="24"/>
              </w:rPr>
              <w:t>Do you see evidence of rodents (bodies, fecal pellets or gnaw marks)?</w:t>
            </w:r>
          </w:p>
        </w:tc>
        <w:tc>
          <w:tcPr>
            <w:tcW w:w="4500" w:type="dxa"/>
          </w:tcPr>
          <w:p w14:paraId="19AE7A1E" w14:textId="77777777" w:rsidR="0023593F" w:rsidRPr="005C3647" w:rsidRDefault="0023593F" w:rsidP="005C3647">
            <w:pPr>
              <w:widowControl w:val="0"/>
              <w:spacing w:line="240" w:lineRule="auto"/>
              <w:rPr>
                <w:sz w:val="24"/>
                <w:szCs w:val="24"/>
              </w:rPr>
            </w:pPr>
            <w:r w:rsidRPr="005C3647">
              <w:rPr>
                <w:sz w:val="24"/>
                <w:szCs w:val="24"/>
              </w:rPr>
              <w:t xml:space="preserve">To assess prevalence of rodent exposures and efficacy of any interventions.  </w:t>
            </w:r>
          </w:p>
        </w:tc>
      </w:tr>
    </w:tbl>
    <w:p w14:paraId="0270B387" w14:textId="77777777" w:rsidR="0023593F" w:rsidRDefault="0023593F" w:rsidP="00B855BC">
      <w:pPr>
        <w:autoSpaceDE w:val="0"/>
        <w:autoSpaceDN w:val="0"/>
        <w:adjustRightInd w:val="0"/>
        <w:spacing w:line="240" w:lineRule="auto"/>
        <w:rPr>
          <w:rFonts w:cs="ITCFranklinGothicStd-Book"/>
          <w:sz w:val="24"/>
          <w:szCs w:val="24"/>
        </w:rPr>
      </w:pPr>
    </w:p>
    <w:p w14:paraId="38A3F36C" w14:textId="77777777" w:rsidR="00B45002" w:rsidRPr="00D20211" w:rsidRDefault="00601F1A" w:rsidP="00601F1A">
      <w:pPr>
        <w:pStyle w:val="Heading1"/>
        <w:pBdr>
          <w:bottom w:val="none" w:sz="0" w:space="0" w:color="auto"/>
        </w:pBdr>
        <w:rPr>
          <w:color w:val="auto"/>
        </w:rPr>
      </w:pPr>
      <w:bookmarkStart w:id="14" w:name="_Toc493853247"/>
      <w:r w:rsidRPr="00D20211">
        <w:rPr>
          <w:color w:val="auto"/>
        </w:rPr>
        <w:t>A.</w:t>
      </w:r>
      <w:r w:rsidR="004D21C9" w:rsidRPr="00D20211">
        <w:rPr>
          <w:color w:val="auto"/>
        </w:rPr>
        <w:t xml:space="preserve">12.  </w:t>
      </w:r>
      <w:r w:rsidR="00B45002" w:rsidRPr="00D20211">
        <w:rPr>
          <w:color w:val="auto"/>
        </w:rPr>
        <w:t>Estimates of Annualized Burden Hours and Costs</w:t>
      </w:r>
      <w:bookmarkEnd w:id="14"/>
    </w:p>
    <w:p w14:paraId="04BE449E" w14:textId="77777777" w:rsidR="0023593F" w:rsidRDefault="0023593F" w:rsidP="00CA00D3">
      <w:pPr>
        <w:numPr>
          <w:ilvl w:val="0"/>
          <w:numId w:val="5"/>
        </w:numPr>
        <w:overflowPunct w:val="0"/>
        <w:autoSpaceDE w:val="0"/>
        <w:autoSpaceDN w:val="0"/>
        <w:adjustRightInd w:val="0"/>
        <w:spacing w:after="240" w:line="276" w:lineRule="auto"/>
        <w:ind w:left="360"/>
        <w:textAlignment w:val="baseline"/>
      </w:pPr>
      <w:r w:rsidRPr="00123823">
        <w:rPr>
          <w:sz w:val="24"/>
          <w:szCs w:val="24"/>
        </w:rPr>
        <w:t xml:space="preserve">The respondents will be CDC cooperative agreement fund recipients from official state or territorial health departments, and/or departments of the environment who have received funds for developing and implementing a healthy homes and lead poisoning prevention program.  </w:t>
      </w:r>
      <w:r w:rsidRPr="00D12AC2">
        <w:rPr>
          <w:sz w:val="24"/>
          <w:szCs w:val="24"/>
        </w:rPr>
        <w:t>The funded programs vary from year-to-year base upon conclusions of CDC objective review panels and the amount of funding available</w:t>
      </w:r>
      <w:r>
        <w:rPr>
          <w:sz w:val="24"/>
          <w:szCs w:val="24"/>
        </w:rPr>
        <w:t>.</w:t>
      </w:r>
      <w:r w:rsidRPr="00123823">
        <w:rPr>
          <w:sz w:val="24"/>
          <w:szCs w:val="24"/>
        </w:rPr>
        <w:t xml:space="preserve"> Past experience with </w:t>
      </w:r>
      <w:r>
        <w:rPr>
          <w:sz w:val="24"/>
          <w:szCs w:val="24"/>
        </w:rPr>
        <w:t>awardees</w:t>
      </w:r>
      <w:r w:rsidRPr="00123823">
        <w:rPr>
          <w:sz w:val="24"/>
          <w:szCs w:val="24"/>
        </w:rPr>
        <w:t xml:space="preserve"> funded by the</w:t>
      </w:r>
      <w:r>
        <w:rPr>
          <w:sz w:val="24"/>
          <w:szCs w:val="24"/>
        </w:rPr>
        <w:t xml:space="preserve"> Program</w:t>
      </w:r>
      <w:r w:rsidRPr="00123823">
        <w:rPr>
          <w:sz w:val="24"/>
          <w:szCs w:val="24"/>
        </w:rPr>
        <w:t xml:space="preserve"> informed the estimate of burden hours for the responses listed in </w:t>
      </w:r>
      <w:r w:rsidRPr="00654307">
        <w:rPr>
          <w:sz w:val="24"/>
          <w:szCs w:val="24"/>
        </w:rPr>
        <w:t xml:space="preserve">Table </w:t>
      </w:r>
      <w:r w:rsidR="00E159D5" w:rsidRPr="00654307">
        <w:rPr>
          <w:sz w:val="24"/>
          <w:szCs w:val="24"/>
        </w:rPr>
        <w:t>A12.1</w:t>
      </w:r>
      <w:r w:rsidRPr="00265A32">
        <w:rPr>
          <w:sz w:val="24"/>
          <w:szCs w:val="24"/>
        </w:rPr>
        <w:t>.</w:t>
      </w:r>
      <w:r>
        <w:rPr>
          <w:sz w:val="24"/>
          <w:szCs w:val="24"/>
        </w:rPr>
        <w:t xml:space="preserve"> Data </w:t>
      </w:r>
      <w:r w:rsidRPr="00F922A1">
        <w:rPr>
          <w:sz w:val="24"/>
          <w:szCs w:val="24"/>
        </w:rPr>
        <w:t>will be collected quarterly</w:t>
      </w:r>
      <w:r w:rsidRPr="00753274">
        <w:rPr>
          <w:sz w:val="24"/>
          <w:szCs w:val="24"/>
        </w:rPr>
        <w:t xml:space="preserve"> on healthy homes and child blood lead levels </w:t>
      </w:r>
      <w:r>
        <w:rPr>
          <w:sz w:val="24"/>
          <w:szCs w:val="24"/>
        </w:rPr>
        <w:t>by CDC</w:t>
      </w:r>
      <w:r w:rsidRPr="00753274">
        <w:rPr>
          <w:sz w:val="24"/>
          <w:szCs w:val="24"/>
        </w:rPr>
        <w:t>. Adults blood lead levels will be sent to CDC on a</w:t>
      </w:r>
      <w:r>
        <w:rPr>
          <w:sz w:val="24"/>
          <w:szCs w:val="24"/>
        </w:rPr>
        <w:t xml:space="preserve">n </w:t>
      </w:r>
      <w:r w:rsidRPr="00753274">
        <w:rPr>
          <w:sz w:val="24"/>
          <w:szCs w:val="24"/>
        </w:rPr>
        <w:t xml:space="preserve">annual basis. </w:t>
      </w:r>
      <w:r>
        <w:rPr>
          <w:sz w:val="24"/>
          <w:szCs w:val="24"/>
        </w:rPr>
        <w:t>NIOSH will analyze adult blood lead data. To maximize the burden hour estimates, we assumed that all awardees would submit quarterly reports.</w:t>
      </w:r>
    </w:p>
    <w:p w14:paraId="125B055E" w14:textId="77777777" w:rsidR="0023593F" w:rsidRPr="002934E8" w:rsidRDefault="0023593F" w:rsidP="0023593F">
      <w:pPr>
        <w:ind w:left="360"/>
      </w:pPr>
    </w:p>
    <w:p w14:paraId="48E9A1D1" w14:textId="77777777" w:rsidR="00753EAC" w:rsidRDefault="00753EAC">
      <w:pPr>
        <w:rPr>
          <w:rFonts w:cs="Courier New"/>
          <w:color w:val="000000"/>
          <w:sz w:val="24"/>
          <w:u w:val="single"/>
        </w:rPr>
      </w:pPr>
      <w:r>
        <w:rPr>
          <w:rFonts w:cs="Courier New"/>
          <w:color w:val="000000"/>
          <w:sz w:val="24"/>
          <w:u w:val="single"/>
        </w:rPr>
        <w:br w:type="page"/>
      </w:r>
    </w:p>
    <w:p w14:paraId="45F1B162" w14:textId="77777777" w:rsidR="0023593F" w:rsidRPr="00123823" w:rsidRDefault="0023593F" w:rsidP="0023593F">
      <w:pPr>
        <w:spacing w:line="480" w:lineRule="auto"/>
        <w:rPr>
          <w:rFonts w:cs="Courier New"/>
          <w:color w:val="000000"/>
          <w:sz w:val="24"/>
          <w:u w:val="single"/>
        </w:rPr>
      </w:pPr>
      <w:r w:rsidRPr="00654307">
        <w:rPr>
          <w:rFonts w:cs="Courier New"/>
          <w:color w:val="000000"/>
          <w:sz w:val="24"/>
          <w:u w:val="single"/>
        </w:rPr>
        <w:t xml:space="preserve">Table </w:t>
      </w:r>
      <w:r w:rsidR="00E159D5" w:rsidRPr="00654307">
        <w:rPr>
          <w:rFonts w:cs="Courier New"/>
          <w:color w:val="000000"/>
          <w:sz w:val="24"/>
          <w:u w:val="single"/>
        </w:rPr>
        <w:t>A12.1</w:t>
      </w:r>
      <w:r w:rsidRPr="00654307">
        <w:rPr>
          <w:rFonts w:cs="Courier New"/>
          <w:color w:val="000000"/>
          <w:sz w:val="24"/>
          <w:u w:val="single"/>
        </w:rPr>
        <w:t>.</w:t>
      </w:r>
      <w:r w:rsidRPr="00123823">
        <w:rPr>
          <w:rFonts w:cs="Courier New"/>
          <w:color w:val="000000"/>
          <w:sz w:val="24"/>
          <w:u w:val="single"/>
        </w:rPr>
        <w:t xml:space="preserve">  Estimated Annualized Burden Hours</w:t>
      </w:r>
    </w:p>
    <w:tbl>
      <w:tblPr>
        <w:tblW w:w="9468" w:type="dxa"/>
        <w:tblLayout w:type="fixed"/>
        <w:tblLook w:val="0000" w:firstRow="0" w:lastRow="0" w:firstColumn="0" w:lastColumn="0" w:noHBand="0" w:noVBand="0"/>
      </w:tblPr>
      <w:tblGrid>
        <w:gridCol w:w="1548"/>
        <w:gridCol w:w="1620"/>
        <w:gridCol w:w="1440"/>
        <w:gridCol w:w="1620"/>
        <w:gridCol w:w="1800"/>
        <w:gridCol w:w="1440"/>
      </w:tblGrid>
      <w:tr w:rsidR="0023593F" w:rsidRPr="00123823" w14:paraId="57794B16" w14:textId="77777777" w:rsidTr="00A07800">
        <w:trPr>
          <w:trHeight w:val="253"/>
        </w:trPr>
        <w:tc>
          <w:tcPr>
            <w:tcW w:w="1548" w:type="dxa"/>
            <w:tcBorders>
              <w:top w:val="single" w:sz="8" w:space="0" w:color="000000"/>
              <w:left w:val="single" w:sz="8" w:space="0" w:color="000000"/>
              <w:bottom w:val="single" w:sz="8" w:space="0" w:color="000000"/>
              <w:right w:val="single" w:sz="8" w:space="0" w:color="000000"/>
            </w:tcBorders>
          </w:tcPr>
          <w:p w14:paraId="642ECA00"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Type of Respondents</w:t>
            </w:r>
          </w:p>
        </w:tc>
        <w:tc>
          <w:tcPr>
            <w:tcW w:w="1620" w:type="dxa"/>
            <w:tcBorders>
              <w:top w:val="single" w:sz="8" w:space="0" w:color="000000"/>
              <w:left w:val="single" w:sz="8" w:space="0" w:color="000000"/>
              <w:bottom w:val="single" w:sz="8" w:space="0" w:color="000000"/>
              <w:right w:val="single" w:sz="8" w:space="0" w:color="000000"/>
            </w:tcBorders>
          </w:tcPr>
          <w:p w14:paraId="72085430"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Form</w:t>
            </w:r>
          </w:p>
          <w:p w14:paraId="4492AEBF"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Name</w:t>
            </w:r>
          </w:p>
        </w:tc>
        <w:tc>
          <w:tcPr>
            <w:tcW w:w="1440" w:type="dxa"/>
            <w:tcBorders>
              <w:top w:val="single" w:sz="8" w:space="0" w:color="000000"/>
              <w:left w:val="single" w:sz="8" w:space="0" w:color="000000"/>
              <w:bottom w:val="single" w:sz="8" w:space="0" w:color="000000"/>
              <w:right w:val="single" w:sz="8" w:space="0" w:color="000000"/>
            </w:tcBorders>
          </w:tcPr>
          <w:p w14:paraId="4A46B239"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No. of</w:t>
            </w:r>
          </w:p>
          <w:p w14:paraId="15301092"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Respondents</w:t>
            </w:r>
          </w:p>
        </w:tc>
        <w:tc>
          <w:tcPr>
            <w:tcW w:w="1620" w:type="dxa"/>
            <w:tcBorders>
              <w:top w:val="single" w:sz="8" w:space="0" w:color="000000"/>
              <w:left w:val="single" w:sz="8" w:space="0" w:color="000000"/>
              <w:bottom w:val="single" w:sz="8" w:space="0" w:color="000000"/>
              <w:right w:val="single" w:sz="8" w:space="0" w:color="000000"/>
            </w:tcBorders>
          </w:tcPr>
          <w:p w14:paraId="6FF87F09"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No. of</w:t>
            </w:r>
          </w:p>
          <w:p w14:paraId="2B2E7FD8"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Responses per Respondent</w:t>
            </w:r>
          </w:p>
        </w:tc>
        <w:tc>
          <w:tcPr>
            <w:tcW w:w="1800" w:type="dxa"/>
            <w:tcBorders>
              <w:top w:val="single" w:sz="8" w:space="0" w:color="000000"/>
              <w:left w:val="single" w:sz="8" w:space="0" w:color="000000"/>
              <w:bottom w:val="single" w:sz="8" w:space="0" w:color="000000"/>
              <w:right w:val="single" w:sz="8" w:space="0" w:color="000000"/>
            </w:tcBorders>
          </w:tcPr>
          <w:p w14:paraId="31EB59CF"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 xml:space="preserve">Average Burden per Response </w:t>
            </w:r>
            <w:r w:rsidRPr="00072717">
              <w:rPr>
                <w:rFonts w:cs="Courier New"/>
                <w:color w:val="000000"/>
                <w:sz w:val="24"/>
                <w:szCs w:val="24"/>
              </w:rPr>
              <w:br/>
              <w:t>(in hours)</w:t>
            </w:r>
          </w:p>
        </w:tc>
        <w:tc>
          <w:tcPr>
            <w:tcW w:w="1440" w:type="dxa"/>
            <w:tcBorders>
              <w:top w:val="single" w:sz="8" w:space="0" w:color="000000"/>
              <w:left w:val="single" w:sz="8" w:space="0" w:color="000000"/>
              <w:bottom w:val="single" w:sz="8" w:space="0" w:color="000000"/>
              <w:right w:val="single" w:sz="8" w:space="0" w:color="000000"/>
            </w:tcBorders>
          </w:tcPr>
          <w:p w14:paraId="2CE139F6"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 xml:space="preserve">Total </w:t>
            </w:r>
            <w:r w:rsidRPr="00072717">
              <w:rPr>
                <w:rFonts w:cs="Courier New"/>
                <w:color w:val="000000"/>
                <w:sz w:val="24"/>
                <w:szCs w:val="24"/>
              </w:rPr>
              <w:br/>
              <w:t>Burden Hours</w:t>
            </w:r>
          </w:p>
        </w:tc>
      </w:tr>
      <w:tr w:rsidR="0023593F" w:rsidRPr="00123823" w14:paraId="7DB9D8BD" w14:textId="77777777" w:rsidTr="00A07800">
        <w:trPr>
          <w:trHeight w:val="253"/>
        </w:trPr>
        <w:tc>
          <w:tcPr>
            <w:tcW w:w="1548" w:type="dxa"/>
            <w:tcBorders>
              <w:top w:val="single" w:sz="8" w:space="0" w:color="000000"/>
              <w:left w:val="single" w:sz="8" w:space="0" w:color="000000"/>
              <w:bottom w:val="single" w:sz="8" w:space="0" w:color="000000"/>
              <w:right w:val="single" w:sz="8" w:space="0" w:color="000000"/>
            </w:tcBorders>
          </w:tcPr>
          <w:p w14:paraId="63427816" w14:textId="77777777" w:rsidR="0023593F" w:rsidRPr="00072717" w:rsidRDefault="0023593F" w:rsidP="00072717">
            <w:pPr>
              <w:spacing w:after="0" w:line="240" w:lineRule="auto"/>
              <w:rPr>
                <w:rFonts w:cs="Courier New"/>
                <w:color w:val="000000"/>
                <w:sz w:val="24"/>
                <w:szCs w:val="24"/>
              </w:rPr>
            </w:pPr>
            <w:r w:rsidRPr="00072717">
              <w:rPr>
                <w:color w:val="000000"/>
                <w:sz w:val="24"/>
                <w:szCs w:val="24"/>
              </w:rPr>
              <w:t>State, Local, and Territorial  Health Departments</w:t>
            </w:r>
          </w:p>
        </w:tc>
        <w:tc>
          <w:tcPr>
            <w:tcW w:w="1620" w:type="dxa"/>
            <w:tcBorders>
              <w:top w:val="single" w:sz="8" w:space="0" w:color="000000"/>
              <w:left w:val="single" w:sz="8" w:space="0" w:color="000000"/>
              <w:bottom w:val="single" w:sz="8" w:space="0" w:color="000000"/>
              <w:right w:val="single" w:sz="8" w:space="0" w:color="000000"/>
            </w:tcBorders>
          </w:tcPr>
          <w:p w14:paraId="0805CFD1" w14:textId="77777777" w:rsidR="0023593F" w:rsidRPr="00072717" w:rsidRDefault="0023593F" w:rsidP="00072717">
            <w:pPr>
              <w:spacing w:after="0" w:line="240" w:lineRule="auto"/>
              <w:rPr>
                <w:color w:val="000000"/>
                <w:sz w:val="24"/>
                <w:szCs w:val="24"/>
              </w:rPr>
            </w:pPr>
            <w:r w:rsidRPr="00072717">
              <w:rPr>
                <w:sz w:val="24"/>
                <w:szCs w:val="24"/>
              </w:rPr>
              <w:t>Healthy Homes and Lead Poisoning Prevention Surveillance System (</w:t>
            </w:r>
            <w:r w:rsidR="001C7F7C">
              <w:rPr>
                <w:sz w:val="24"/>
                <w:szCs w:val="24"/>
              </w:rPr>
              <w:t>HHLPSS</w:t>
            </w:r>
            <w:r w:rsidRPr="00072717">
              <w:rPr>
                <w:sz w:val="24"/>
                <w:szCs w:val="24"/>
              </w:rPr>
              <w:t>) Variables</w:t>
            </w:r>
            <w:r w:rsidRPr="00072717">
              <w:rPr>
                <w:rFonts w:ascii="Arial" w:hAnsi="Arial" w:cs="Arial"/>
                <w:sz w:val="24"/>
                <w:szCs w:val="24"/>
              </w:rP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62024703"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40</w:t>
            </w:r>
          </w:p>
        </w:tc>
        <w:tc>
          <w:tcPr>
            <w:tcW w:w="1620" w:type="dxa"/>
            <w:tcBorders>
              <w:top w:val="single" w:sz="8" w:space="0" w:color="000000"/>
              <w:left w:val="single" w:sz="8" w:space="0" w:color="000000"/>
              <w:bottom w:val="single" w:sz="8" w:space="0" w:color="000000"/>
              <w:right w:val="single" w:sz="8" w:space="0" w:color="000000"/>
            </w:tcBorders>
          </w:tcPr>
          <w:p w14:paraId="0C6B1FE0"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4</w:t>
            </w:r>
          </w:p>
        </w:tc>
        <w:tc>
          <w:tcPr>
            <w:tcW w:w="1800" w:type="dxa"/>
            <w:tcBorders>
              <w:top w:val="single" w:sz="8" w:space="0" w:color="000000"/>
              <w:left w:val="single" w:sz="8" w:space="0" w:color="000000"/>
              <w:bottom w:val="single" w:sz="8" w:space="0" w:color="000000"/>
              <w:right w:val="single" w:sz="8" w:space="0" w:color="000000"/>
            </w:tcBorders>
          </w:tcPr>
          <w:p w14:paraId="04B2896E"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4</w:t>
            </w:r>
          </w:p>
        </w:tc>
        <w:tc>
          <w:tcPr>
            <w:tcW w:w="1440" w:type="dxa"/>
            <w:tcBorders>
              <w:top w:val="single" w:sz="8" w:space="0" w:color="000000"/>
              <w:left w:val="single" w:sz="8" w:space="0" w:color="000000"/>
              <w:bottom w:val="single" w:sz="8" w:space="0" w:color="000000"/>
              <w:right w:val="single" w:sz="8" w:space="0" w:color="000000"/>
            </w:tcBorders>
          </w:tcPr>
          <w:p w14:paraId="504EE527"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640</w:t>
            </w:r>
          </w:p>
        </w:tc>
      </w:tr>
      <w:tr w:rsidR="0023593F" w:rsidRPr="00123823" w14:paraId="72FA2EBA" w14:textId="77777777" w:rsidTr="00A07800">
        <w:trPr>
          <w:trHeight w:val="253"/>
        </w:trPr>
        <w:tc>
          <w:tcPr>
            <w:tcW w:w="8028" w:type="dxa"/>
            <w:gridSpan w:val="5"/>
            <w:tcBorders>
              <w:top w:val="single" w:sz="8" w:space="0" w:color="000000"/>
              <w:left w:val="single" w:sz="8" w:space="0" w:color="000000"/>
              <w:bottom w:val="single" w:sz="8" w:space="0" w:color="000000"/>
              <w:right w:val="single" w:sz="8" w:space="0" w:color="000000"/>
            </w:tcBorders>
          </w:tcPr>
          <w:p w14:paraId="5DBCC71D" w14:textId="77777777" w:rsidR="0023593F" w:rsidRPr="00072717" w:rsidRDefault="0023593F" w:rsidP="00072717">
            <w:pPr>
              <w:spacing w:after="0" w:line="240" w:lineRule="auto"/>
              <w:rPr>
                <w:rFonts w:cs="Courier New"/>
                <w:color w:val="000000"/>
                <w:sz w:val="24"/>
                <w:szCs w:val="24"/>
              </w:rPr>
            </w:pPr>
            <w:r w:rsidRPr="00072717">
              <w:rPr>
                <w:rFonts w:cs="Courier New"/>
                <w:color w:val="000000"/>
                <w:sz w:val="24"/>
                <w:szCs w:val="24"/>
              </w:rPr>
              <w:t>Total</w:t>
            </w:r>
          </w:p>
        </w:tc>
        <w:tc>
          <w:tcPr>
            <w:tcW w:w="1440" w:type="dxa"/>
            <w:tcBorders>
              <w:top w:val="single" w:sz="8" w:space="0" w:color="000000"/>
              <w:left w:val="single" w:sz="8" w:space="0" w:color="000000"/>
              <w:bottom w:val="single" w:sz="8" w:space="0" w:color="000000"/>
              <w:right w:val="single" w:sz="8" w:space="0" w:color="000000"/>
            </w:tcBorders>
          </w:tcPr>
          <w:p w14:paraId="2E2F9880"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640</w:t>
            </w:r>
          </w:p>
        </w:tc>
      </w:tr>
    </w:tbl>
    <w:p w14:paraId="02DF99AC" w14:textId="77777777" w:rsidR="0023593F" w:rsidRPr="00123823" w:rsidRDefault="0023593F" w:rsidP="0023593F"/>
    <w:p w14:paraId="571717F3" w14:textId="77777777" w:rsidR="0023593F" w:rsidRPr="00123823" w:rsidRDefault="0023593F" w:rsidP="00CA00D3">
      <w:pPr>
        <w:widowControl w:val="0"/>
        <w:numPr>
          <w:ilvl w:val="0"/>
          <w:numId w:val="5"/>
        </w:numPr>
        <w:tabs>
          <w:tab w:val="left" w:pos="-1440"/>
        </w:tabs>
        <w:autoSpaceDE w:val="0"/>
        <w:autoSpaceDN w:val="0"/>
        <w:adjustRightInd w:val="0"/>
        <w:spacing w:after="240" w:line="276" w:lineRule="auto"/>
        <w:rPr>
          <w:sz w:val="24"/>
          <w:szCs w:val="24"/>
        </w:rPr>
      </w:pPr>
      <w:r w:rsidRPr="00123823">
        <w:rPr>
          <w:sz w:val="24"/>
          <w:szCs w:val="24"/>
        </w:rPr>
        <w:t>Cost to respondents is estimated to be $3</w:t>
      </w:r>
      <w:r w:rsidR="005417E2">
        <w:rPr>
          <w:sz w:val="24"/>
          <w:szCs w:val="24"/>
        </w:rPr>
        <w:t>8.39</w:t>
      </w:r>
      <w:r w:rsidRPr="00123823" w:rsidDel="005D4A85">
        <w:rPr>
          <w:sz w:val="24"/>
          <w:szCs w:val="24"/>
        </w:rPr>
        <w:t xml:space="preserve"> </w:t>
      </w:r>
      <w:r w:rsidRPr="00123823">
        <w:rPr>
          <w:sz w:val="24"/>
          <w:szCs w:val="24"/>
        </w:rPr>
        <w:t>per hour</w:t>
      </w:r>
      <w:r w:rsidR="008E333E">
        <w:rPr>
          <w:sz w:val="24"/>
          <w:szCs w:val="24"/>
        </w:rPr>
        <w:t xml:space="preserve"> </w:t>
      </w:r>
      <w:r w:rsidR="008E333E" w:rsidRPr="00654307">
        <w:rPr>
          <w:sz w:val="24"/>
          <w:szCs w:val="24"/>
        </w:rPr>
        <w:t xml:space="preserve">(Table </w:t>
      </w:r>
      <w:r w:rsidR="00E159D5" w:rsidRPr="00654307">
        <w:rPr>
          <w:sz w:val="24"/>
          <w:szCs w:val="24"/>
        </w:rPr>
        <w:t>A12.2</w:t>
      </w:r>
      <w:r w:rsidR="008E333E">
        <w:rPr>
          <w:sz w:val="24"/>
          <w:szCs w:val="24"/>
        </w:rPr>
        <w:t>)</w:t>
      </w:r>
      <w:r w:rsidRPr="00123823">
        <w:rPr>
          <w:sz w:val="24"/>
          <w:szCs w:val="24"/>
        </w:rPr>
        <w:t xml:space="preserve">.  This is based on the </w:t>
      </w:r>
      <w:r>
        <w:rPr>
          <w:sz w:val="24"/>
          <w:szCs w:val="24"/>
        </w:rPr>
        <w:t xml:space="preserve">median </w:t>
      </w:r>
      <w:r w:rsidRPr="00123823">
        <w:rPr>
          <w:sz w:val="24"/>
          <w:szCs w:val="24"/>
        </w:rPr>
        <w:t xml:space="preserve">hourly rate of pay for a computer programmer </w:t>
      </w:r>
      <w:r w:rsidR="00072717">
        <w:rPr>
          <w:sz w:val="24"/>
          <w:szCs w:val="24"/>
        </w:rPr>
        <w:t xml:space="preserve">in 2016 </w:t>
      </w:r>
      <w:r w:rsidRPr="00A52ABC">
        <w:rPr>
          <w:sz w:val="24"/>
          <w:szCs w:val="24"/>
        </w:rPr>
        <w:t>(</w:t>
      </w:r>
      <w:hyperlink r:id="rId14" w:history="1">
        <w:r w:rsidRPr="00ED7DB4">
          <w:rPr>
            <w:rStyle w:val="Hyperlink"/>
            <w:sz w:val="24"/>
            <w:szCs w:val="24"/>
          </w:rPr>
          <w:t>http://www.bls.gov/oes/current/oes151131.htm</w:t>
        </w:r>
      </w:hyperlink>
      <w:r w:rsidRPr="00A52ABC">
        <w:rPr>
          <w:sz w:val="24"/>
          <w:szCs w:val="24"/>
        </w:rPr>
        <w:t>)</w:t>
      </w:r>
      <w:r>
        <w:rPr>
          <w:sz w:val="24"/>
          <w:szCs w:val="24"/>
        </w:rPr>
        <w:t xml:space="preserve"> </w:t>
      </w:r>
      <w:r w:rsidRPr="00A52ABC">
        <w:rPr>
          <w:sz w:val="24"/>
          <w:szCs w:val="24"/>
        </w:rPr>
        <w:t>to extract and format data, initiate computer run</w:t>
      </w:r>
      <w:r w:rsidRPr="00CD4ED7">
        <w:rPr>
          <w:sz w:val="24"/>
          <w:szCs w:val="24"/>
        </w:rPr>
        <w:t>s, and verify and transmit data to CDC.</w:t>
      </w:r>
      <w:r w:rsidRPr="00123823">
        <w:rPr>
          <w:sz w:val="24"/>
          <w:szCs w:val="24"/>
        </w:rPr>
        <w:t xml:space="preserve"> </w:t>
      </w:r>
    </w:p>
    <w:p w14:paraId="2BFEB586" w14:textId="77777777" w:rsidR="0023593F" w:rsidRPr="00123823" w:rsidRDefault="0023593F" w:rsidP="0023593F">
      <w:pPr>
        <w:widowControl w:val="0"/>
        <w:tabs>
          <w:tab w:val="left" w:pos="-1440"/>
        </w:tabs>
        <w:rPr>
          <w:sz w:val="24"/>
          <w:szCs w:val="24"/>
        </w:rPr>
      </w:pPr>
    </w:p>
    <w:p w14:paraId="6586A3E7" w14:textId="77777777" w:rsidR="0023593F" w:rsidRPr="00123823" w:rsidRDefault="0023593F" w:rsidP="0023593F">
      <w:pPr>
        <w:widowControl w:val="0"/>
        <w:tabs>
          <w:tab w:val="left" w:pos="-1440"/>
        </w:tabs>
        <w:rPr>
          <w:sz w:val="24"/>
          <w:szCs w:val="24"/>
        </w:rPr>
      </w:pPr>
      <w:r w:rsidRPr="00654307">
        <w:rPr>
          <w:rFonts w:cs="Courier New"/>
          <w:color w:val="000000"/>
          <w:sz w:val="24"/>
          <w:u w:val="single"/>
        </w:rPr>
        <w:t xml:space="preserve">Table </w:t>
      </w:r>
      <w:r w:rsidR="00E159D5" w:rsidRPr="00654307">
        <w:rPr>
          <w:rFonts w:cs="Courier New"/>
          <w:color w:val="000000"/>
          <w:sz w:val="24"/>
          <w:u w:val="single"/>
        </w:rPr>
        <w:t>A12.2</w:t>
      </w:r>
      <w:r w:rsidRPr="00654307">
        <w:rPr>
          <w:rFonts w:cs="Courier New"/>
          <w:color w:val="000000"/>
          <w:sz w:val="24"/>
          <w:u w:val="single"/>
        </w:rPr>
        <w:t>.</w:t>
      </w:r>
      <w:r w:rsidRPr="00123823">
        <w:rPr>
          <w:rFonts w:cs="Courier New"/>
          <w:color w:val="000000"/>
          <w:sz w:val="24"/>
          <w:u w:val="single"/>
        </w:rPr>
        <w:t xml:space="preserve">  Estimated Annualized Burden Costs</w:t>
      </w:r>
    </w:p>
    <w:tbl>
      <w:tblPr>
        <w:tblW w:w="9810" w:type="dxa"/>
        <w:tblInd w:w="108" w:type="dxa"/>
        <w:tblLayout w:type="fixed"/>
        <w:tblLook w:val="0000" w:firstRow="0" w:lastRow="0" w:firstColumn="0" w:lastColumn="0" w:noHBand="0" w:noVBand="0"/>
      </w:tblPr>
      <w:tblGrid>
        <w:gridCol w:w="1530"/>
        <w:gridCol w:w="1260"/>
        <w:gridCol w:w="1260"/>
        <w:gridCol w:w="1170"/>
        <w:gridCol w:w="1350"/>
        <w:gridCol w:w="1170"/>
        <w:gridCol w:w="900"/>
        <w:gridCol w:w="1170"/>
      </w:tblGrid>
      <w:tr w:rsidR="0023593F" w:rsidRPr="00123823" w14:paraId="6D075CCD" w14:textId="77777777" w:rsidTr="00A07800">
        <w:trPr>
          <w:trHeight w:val="973"/>
        </w:trPr>
        <w:tc>
          <w:tcPr>
            <w:tcW w:w="1530" w:type="dxa"/>
            <w:tcBorders>
              <w:top w:val="single" w:sz="8" w:space="0" w:color="000000"/>
              <w:left w:val="single" w:sz="8" w:space="0" w:color="000000"/>
              <w:bottom w:val="single" w:sz="8" w:space="0" w:color="000000"/>
              <w:right w:val="single" w:sz="8" w:space="0" w:color="000000"/>
            </w:tcBorders>
          </w:tcPr>
          <w:p w14:paraId="794AC708"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Type of Respondents</w:t>
            </w:r>
          </w:p>
        </w:tc>
        <w:tc>
          <w:tcPr>
            <w:tcW w:w="1260" w:type="dxa"/>
            <w:tcBorders>
              <w:top w:val="single" w:sz="8" w:space="0" w:color="000000"/>
              <w:left w:val="single" w:sz="8" w:space="0" w:color="000000"/>
              <w:bottom w:val="single" w:sz="8" w:space="0" w:color="000000"/>
              <w:right w:val="single" w:sz="8" w:space="0" w:color="000000"/>
            </w:tcBorders>
          </w:tcPr>
          <w:p w14:paraId="44C2703F"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Form</w:t>
            </w:r>
          </w:p>
          <w:p w14:paraId="725901EB"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Name</w:t>
            </w:r>
          </w:p>
        </w:tc>
        <w:tc>
          <w:tcPr>
            <w:tcW w:w="1260" w:type="dxa"/>
            <w:tcBorders>
              <w:top w:val="single" w:sz="8" w:space="0" w:color="000000"/>
              <w:left w:val="single" w:sz="8" w:space="0" w:color="000000"/>
              <w:bottom w:val="single" w:sz="8" w:space="0" w:color="000000"/>
              <w:right w:val="single" w:sz="8" w:space="0" w:color="000000"/>
            </w:tcBorders>
          </w:tcPr>
          <w:p w14:paraId="5BAB76D3"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No. of</w:t>
            </w:r>
          </w:p>
          <w:p w14:paraId="5BFA7091"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Respondents</w:t>
            </w:r>
          </w:p>
        </w:tc>
        <w:tc>
          <w:tcPr>
            <w:tcW w:w="1170" w:type="dxa"/>
            <w:tcBorders>
              <w:top w:val="single" w:sz="8" w:space="0" w:color="000000"/>
              <w:left w:val="single" w:sz="8" w:space="0" w:color="000000"/>
              <w:bottom w:val="single" w:sz="8" w:space="0" w:color="000000"/>
              <w:right w:val="single" w:sz="8" w:space="0" w:color="000000"/>
            </w:tcBorders>
          </w:tcPr>
          <w:p w14:paraId="31BD4471"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No. of</w:t>
            </w:r>
          </w:p>
          <w:p w14:paraId="44F76DC1"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Responses per Respondent</w:t>
            </w:r>
          </w:p>
        </w:tc>
        <w:tc>
          <w:tcPr>
            <w:tcW w:w="1350" w:type="dxa"/>
            <w:tcBorders>
              <w:top w:val="single" w:sz="8" w:space="0" w:color="000000"/>
              <w:left w:val="single" w:sz="8" w:space="0" w:color="000000"/>
              <w:bottom w:val="single" w:sz="8" w:space="0" w:color="000000"/>
              <w:right w:val="single" w:sz="8" w:space="0" w:color="000000"/>
            </w:tcBorders>
          </w:tcPr>
          <w:p w14:paraId="633A629F"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 xml:space="preserve">Average Burden per Response </w:t>
            </w:r>
            <w:r w:rsidRPr="00072717">
              <w:rPr>
                <w:rFonts w:cs="Courier New"/>
                <w:color w:val="000000"/>
                <w:sz w:val="24"/>
                <w:szCs w:val="24"/>
              </w:rPr>
              <w:br/>
              <w:t>(in hours)</w:t>
            </w:r>
          </w:p>
        </w:tc>
        <w:tc>
          <w:tcPr>
            <w:tcW w:w="1170" w:type="dxa"/>
            <w:tcBorders>
              <w:top w:val="single" w:sz="8" w:space="0" w:color="000000"/>
              <w:left w:val="single" w:sz="8" w:space="0" w:color="000000"/>
              <w:bottom w:val="single" w:sz="8" w:space="0" w:color="000000"/>
              <w:right w:val="single" w:sz="8" w:space="0" w:color="000000"/>
            </w:tcBorders>
          </w:tcPr>
          <w:p w14:paraId="51E661FA"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 xml:space="preserve">Total </w:t>
            </w:r>
            <w:r w:rsidRPr="00072717">
              <w:rPr>
                <w:rFonts w:cs="Courier New"/>
                <w:color w:val="000000"/>
                <w:sz w:val="24"/>
                <w:szCs w:val="24"/>
              </w:rPr>
              <w:br/>
              <w:t>Burden Hours</w:t>
            </w:r>
          </w:p>
        </w:tc>
        <w:tc>
          <w:tcPr>
            <w:tcW w:w="900" w:type="dxa"/>
            <w:tcBorders>
              <w:top w:val="single" w:sz="8" w:space="0" w:color="000000"/>
              <w:left w:val="single" w:sz="8" w:space="0" w:color="000000"/>
              <w:bottom w:val="single" w:sz="8" w:space="0" w:color="000000"/>
              <w:right w:val="single" w:sz="8" w:space="0" w:color="000000"/>
            </w:tcBorders>
          </w:tcPr>
          <w:p w14:paraId="0E498319"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Hourly</w:t>
            </w:r>
          </w:p>
          <w:p w14:paraId="3537104D"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Wage Rate</w:t>
            </w:r>
          </w:p>
        </w:tc>
        <w:tc>
          <w:tcPr>
            <w:tcW w:w="1170" w:type="dxa"/>
            <w:tcBorders>
              <w:top w:val="single" w:sz="8" w:space="0" w:color="000000"/>
              <w:left w:val="single" w:sz="8" w:space="0" w:color="000000"/>
              <w:bottom w:val="single" w:sz="8" w:space="0" w:color="000000"/>
              <w:right w:val="single" w:sz="8" w:space="0" w:color="000000"/>
            </w:tcBorders>
          </w:tcPr>
          <w:p w14:paraId="1C7938FC"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 xml:space="preserve">Total </w:t>
            </w:r>
          </w:p>
          <w:p w14:paraId="718BDB4F"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 xml:space="preserve">Respondent </w:t>
            </w:r>
          </w:p>
          <w:p w14:paraId="1D6955A5"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Costs</w:t>
            </w:r>
          </w:p>
        </w:tc>
      </w:tr>
      <w:tr w:rsidR="0023593F" w:rsidRPr="00123823" w14:paraId="2C5745F0" w14:textId="77777777" w:rsidTr="00A07800">
        <w:trPr>
          <w:trHeight w:val="253"/>
        </w:trPr>
        <w:tc>
          <w:tcPr>
            <w:tcW w:w="1530" w:type="dxa"/>
            <w:tcBorders>
              <w:left w:val="single" w:sz="8" w:space="0" w:color="000000"/>
              <w:bottom w:val="single" w:sz="8" w:space="0" w:color="000000"/>
              <w:right w:val="single" w:sz="8" w:space="0" w:color="000000"/>
            </w:tcBorders>
          </w:tcPr>
          <w:p w14:paraId="4E8017B6" w14:textId="77777777" w:rsidR="0023593F" w:rsidRPr="00072717" w:rsidRDefault="0023593F" w:rsidP="00072717">
            <w:pPr>
              <w:spacing w:after="0" w:line="240" w:lineRule="auto"/>
              <w:rPr>
                <w:rFonts w:cs="Courier New"/>
                <w:color w:val="000000"/>
                <w:sz w:val="24"/>
                <w:szCs w:val="24"/>
              </w:rPr>
            </w:pPr>
            <w:r w:rsidRPr="00072717">
              <w:rPr>
                <w:color w:val="000000"/>
                <w:sz w:val="24"/>
                <w:szCs w:val="24"/>
              </w:rPr>
              <w:t>State, Local, and Territorial  Health Departments</w:t>
            </w:r>
          </w:p>
        </w:tc>
        <w:tc>
          <w:tcPr>
            <w:tcW w:w="1260" w:type="dxa"/>
            <w:tcBorders>
              <w:left w:val="single" w:sz="8" w:space="0" w:color="000000"/>
              <w:bottom w:val="single" w:sz="8" w:space="0" w:color="000000"/>
              <w:right w:val="single" w:sz="8" w:space="0" w:color="000000"/>
            </w:tcBorders>
          </w:tcPr>
          <w:p w14:paraId="231A890B" w14:textId="77777777" w:rsidR="0023593F" w:rsidRPr="00072717" w:rsidRDefault="0023593F" w:rsidP="00072717">
            <w:pPr>
              <w:spacing w:after="0" w:line="240" w:lineRule="auto"/>
              <w:jc w:val="center"/>
              <w:rPr>
                <w:rFonts w:cs="Courier New"/>
                <w:color w:val="000000"/>
                <w:sz w:val="24"/>
                <w:szCs w:val="24"/>
              </w:rPr>
            </w:pPr>
            <w:r w:rsidRPr="00072717">
              <w:rPr>
                <w:sz w:val="24"/>
                <w:szCs w:val="24"/>
              </w:rPr>
              <w:t>Healthy Homes and Lead Poisoning Prevention Surveillance System (</w:t>
            </w:r>
            <w:r w:rsidR="001C7F7C">
              <w:rPr>
                <w:sz w:val="24"/>
                <w:szCs w:val="24"/>
              </w:rPr>
              <w:t>HHLPSS</w:t>
            </w:r>
            <w:r w:rsidRPr="00072717">
              <w:rPr>
                <w:sz w:val="24"/>
                <w:szCs w:val="24"/>
              </w:rPr>
              <w:t>) Variables</w:t>
            </w:r>
            <w:r w:rsidRPr="00072717">
              <w:rPr>
                <w:rFonts w:ascii="Arial" w:hAnsi="Arial" w:cs="Arial"/>
                <w:sz w:val="24"/>
                <w:szCs w:val="24"/>
              </w:rPr>
              <w:t xml:space="preserve"> </w:t>
            </w:r>
          </w:p>
        </w:tc>
        <w:tc>
          <w:tcPr>
            <w:tcW w:w="1260" w:type="dxa"/>
            <w:tcBorders>
              <w:top w:val="single" w:sz="8" w:space="0" w:color="000000"/>
              <w:left w:val="single" w:sz="8" w:space="0" w:color="000000"/>
              <w:bottom w:val="single" w:sz="8" w:space="0" w:color="000000"/>
              <w:right w:val="single" w:sz="8" w:space="0" w:color="000000"/>
            </w:tcBorders>
          </w:tcPr>
          <w:p w14:paraId="4C08425D"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40</w:t>
            </w:r>
          </w:p>
        </w:tc>
        <w:tc>
          <w:tcPr>
            <w:tcW w:w="1170" w:type="dxa"/>
            <w:tcBorders>
              <w:top w:val="single" w:sz="8" w:space="0" w:color="000000"/>
              <w:left w:val="single" w:sz="8" w:space="0" w:color="000000"/>
              <w:bottom w:val="single" w:sz="8" w:space="0" w:color="000000"/>
              <w:right w:val="single" w:sz="8" w:space="0" w:color="000000"/>
            </w:tcBorders>
          </w:tcPr>
          <w:p w14:paraId="73E6BBAE"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4</w:t>
            </w:r>
          </w:p>
        </w:tc>
        <w:tc>
          <w:tcPr>
            <w:tcW w:w="1350" w:type="dxa"/>
            <w:tcBorders>
              <w:top w:val="single" w:sz="8" w:space="0" w:color="000000"/>
              <w:left w:val="single" w:sz="8" w:space="0" w:color="000000"/>
              <w:bottom w:val="single" w:sz="8" w:space="0" w:color="000000"/>
              <w:right w:val="single" w:sz="8" w:space="0" w:color="000000"/>
            </w:tcBorders>
          </w:tcPr>
          <w:p w14:paraId="75BAF081"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4</w:t>
            </w:r>
          </w:p>
        </w:tc>
        <w:tc>
          <w:tcPr>
            <w:tcW w:w="1170" w:type="dxa"/>
            <w:tcBorders>
              <w:top w:val="single" w:sz="8" w:space="0" w:color="000000"/>
              <w:left w:val="single" w:sz="8" w:space="0" w:color="000000"/>
              <w:bottom w:val="single" w:sz="8" w:space="0" w:color="000000"/>
              <w:right w:val="single" w:sz="8" w:space="0" w:color="000000"/>
            </w:tcBorders>
          </w:tcPr>
          <w:p w14:paraId="1FA96D17"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640</w:t>
            </w:r>
          </w:p>
        </w:tc>
        <w:tc>
          <w:tcPr>
            <w:tcW w:w="900" w:type="dxa"/>
            <w:tcBorders>
              <w:top w:val="single" w:sz="8" w:space="0" w:color="000000"/>
              <w:left w:val="single" w:sz="8" w:space="0" w:color="000000"/>
              <w:bottom w:val="single" w:sz="8" w:space="0" w:color="000000"/>
              <w:right w:val="single" w:sz="8" w:space="0" w:color="000000"/>
            </w:tcBorders>
          </w:tcPr>
          <w:p w14:paraId="41CAD84F" w14:textId="77777777" w:rsidR="0023593F" w:rsidRPr="00072717" w:rsidRDefault="0023593F" w:rsidP="00072717">
            <w:pPr>
              <w:spacing w:after="0" w:line="240" w:lineRule="auto"/>
              <w:jc w:val="center"/>
              <w:rPr>
                <w:sz w:val="24"/>
                <w:szCs w:val="24"/>
              </w:rPr>
            </w:pPr>
            <w:r w:rsidRPr="00072717">
              <w:rPr>
                <w:rFonts w:cs="Courier New"/>
                <w:color w:val="000000"/>
                <w:sz w:val="24"/>
                <w:szCs w:val="24"/>
              </w:rPr>
              <w:t>$3</w:t>
            </w:r>
            <w:r w:rsidR="005417E2" w:rsidRPr="00072717">
              <w:rPr>
                <w:rFonts w:cs="Courier New"/>
                <w:color w:val="000000"/>
                <w:sz w:val="24"/>
                <w:szCs w:val="24"/>
              </w:rPr>
              <w:t>8.39</w:t>
            </w:r>
          </w:p>
        </w:tc>
        <w:tc>
          <w:tcPr>
            <w:tcW w:w="1170" w:type="dxa"/>
            <w:tcBorders>
              <w:top w:val="single" w:sz="8" w:space="0" w:color="000000"/>
              <w:left w:val="single" w:sz="8" w:space="0" w:color="000000"/>
              <w:bottom w:val="single" w:sz="8" w:space="0" w:color="000000"/>
              <w:right w:val="single" w:sz="8" w:space="0" w:color="000000"/>
            </w:tcBorders>
          </w:tcPr>
          <w:p w14:paraId="1DD91715"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w:t>
            </w:r>
            <w:r w:rsidR="005417E2" w:rsidRPr="00072717">
              <w:rPr>
                <w:rFonts w:cs="Courier New"/>
                <w:color w:val="000000"/>
                <w:sz w:val="24"/>
                <w:szCs w:val="24"/>
              </w:rPr>
              <w:t>24,570</w:t>
            </w:r>
          </w:p>
        </w:tc>
      </w:tr>
      <w:tr w:rsidR="0023593F" w:rsidRPr="00123823" w14:paraId="2BE4EFB7" w14:textId="77777777" w:rsidTr="00A07800">
        <w:trPr>
          <w:trHeight w:val="253"/>
        </w:trPr>
        <w:tc>
          <w:tcPr>
            <w:tcW w:w="1530" w:type="dxa"/>
            <w:tcBorders>
              <w:top w:val="single" w:sz="8" w:space="0" w:color="000000"/>
              <w:left w:val="single" w:sz="8" w:space="0" w:color="000000"/>
              <w:bottom w:val="single" w:sz="8" w:space="0" w:color="000000"/>
              <w:right w:val="single" w:sz="8" w:space="0" w:color="000000"/>
            </w:tcBorders>
          </w:tcPr>
          <w:p w14:paraId="2B22E2B4" w14:textId="77777777" w:rsidR="0023593F" w:rsidRPr="00072717" w:rsidRDefault="0023593F" w:rsidP="00072717">
            <w:pPr>
              <w:spacing w:after="0" w:line="240" w:lineRule="auto"/>
              <w:rPr>
                <w:rFonts w:cs="Courier New"/>
                <w:color w:val="000000"/>
                <w:sz w:val="24"/>
                <w:szCs w:val="24"/>
              </w:rPr>
            </w:pPr>
            <w:r w:rsidRPr="00072717">
              <w:rPr>
                <w:rFonts w:cs="Courier New"/>
                <w:color w:val="000000"/>
                <w:sz w:val="24"/>
                <w:szCs w:val="24"/>
              </w:rPr>
              <w:t>Total</w:t>
            </w:r>
          </w:p>
        </w:tc>
        <w:tc>
          <w:tcPr>
            <w:tcW w:w="7110" w:type="dxa"/>
            <w:gridSpan w:val="6"/>
            <w:tcBorders>
              <w:top w:val="single" w:sz="8" w:space="0" w:color="000000"/>
              <w:left w:val="single" w:sz="8" w:space="0" w:color="000000"/>
              <w:bottom w:val="single" w:sz="8" w:space="0" w:color="000000"/>
              <w:right w:val="single" w:sz="4" w:space="0" w:color="auto"/>
            </w:tcBorders>
          </w:tcPr>
          <w:p w14:paraId="745FD70C" w14:textId="77777777" w:rsidR="0023593F" w:rsidRPr="00072717" w:rsidRDefault="0023593F" w:rsidP="00072717">
            <w:pPr>
              <w:spacing w:after="0" w:line="240" w:lineRule="auto"/>
              <w:jc w:val="center"/>
              <w:rPr>
                <w:rFonts w:cs="Courier New"/>
                <w:color w:val="000000"/>
                <w:sz w:val="24"/>
                <w:szCs w:val="24"/>
              </w:rPr>
            </w:pPr>
          </w:p>
        </w:tc>
        <w:tc>
          <w:tcPr>
            <w:tcW w:w="1170" w:type="dxa"/>
            <w:tcBorders>
              <w:top w:val="single" w:sz="4" w:space="0" w:color="auto"/>
              <w:bottom w:val="single" w:sz="4" w:space="0" w:color="auto"/>
              <w:right w:val="single" w:sz="4" w:space="0" w:color="auto"/>
            </w:tcBorders>
          </w:tcPr>
          <w:p w14:paraId="1BC9E863" w14:textId="77777777" w:rsidR="0023593F" w:rsidRPr="00072717" w:rsidRDefault="0023593F" w:rsidP="00072717">
            <w:pPr>
              <w:spacing w:after="0" w:line="240" w:lineRule="auto"/>
              <w:jc w:val="center"/>
              <w:rPr>
                <w:rFonts w:cs="Courier New"/>
                <w:color w:val="000000"/>
                <w:sz w:val="24"/>
                <w:szCs w:val="24"/>
              </w:rPr>
            </w:pPr>
            <w:r w:rsidRPr="00072717">
              <w:rPr>
                <w:rFonts w:cs="Courier New"/>
                <w:color w:val="000000"/>
                <w:sz w:val="24"/>
                <w:szCs w:val="24"/>
              </w:rPr>
              <w:t>$</w:t>
            </w:r>
            <w:r w:rsidR="005417E2" w:rsidRPr="00072717">
              <w:rPr>
                <w:rFonts w:cs="Courier New"/>
                <w:color w:val="000000"/>
                <w:sz w:val="24"/>
                <w:szCs w:val="24"/>
              </w:rPr>
              <w:t>24,570</w:t>
            </w:r>
          </w:p>
        </w:tc>
      </w:tr>
    </w:tbl>
    <w:p w14:paraId="08CCF97B" w14:textId="77777777" w:rsidR="00ED72E9" w:rsidRPr="00D20211" w:rsidRDefault="00ED72E9" w:rsidP="00ED72E9"/>
    <w:p w14:paraId="3A8B876D" w14:textId="77777777" w:rsidR="00011A7D" w:rsidRPr="00D20211" w:rsidRDefault="00011A7D" w:rsidP="00011A7D">
      <w:pPr>
        <w:pStyle w:val="Heading1"/>
        <w:pBdr>
          <w:bottom w:val="none" w:sz="0" w:space="0" w:color="auto"/>
        </w:pBdr>
        <w:rPr>
          <w:color w:val="auto"/>
        </w:rPr>
      </w:pPr>
      <w:bookmarkStart w:id="15" w:name="_Toc493853248"/>
      <w:r w:rsidRPr="00D20211">
        <w:rPr>
          <w:color w:val="auto"/>
        </w:rPr>
        <w:t>A.13</w:t>
      </w:r>
      <w:r w:rsidR="002202CC" w:rsidRPr="00D20211">
        <w:rPr>
          <w:color w:val="auto"/>
        </w:rPr>
        <w:t>. Estimates</w:t>
      </w:r>
      <w:r w:rsidRPr="00D20211">
        <w:rPr>
          <w:color w:val="auto"/>
        </w:rPr>
        <w:t xml:space="preserve"> of Other Total Annual Cost Burden to Respondents and Record Keepers</w:t>
      </w:r>
      <w:bookmarkEnd w:id="15"/>
    </w:p>
    <w:p w14:paraId="15D72CBA" w14:textId="77777777" w:rsidR="00011A7D" w:rsidRPr="00C9614F" w:rsidRDefault="00011A7D" w:rsidP="00CA00D3">
      <w:pPr>
        <w:spacing w:after="240" w:line="23" w:lineRule="atLeast"/>
        <w:rPr>
          <w:sz w:val="24"/>
          <w:szCs w:val="24"/>
        </w:rPr>
      </w:pPr>
      <w:r w:rsidRPr="00C9614F">
        <w:rPr>
          <w:sz w:val="24"/>
          <w:szCs w:val="24"/>
        </w:rPr>
        <w:t xml:space="preserve">The cost estimate includes the following: </w:t>
      </w:r>
    </w:p>
    <w:p w14:paraId="7ADBA406" w14:textId="77777777" w:rsidR="00011A7D" w:rsidRPr="006D49CA" w:rsidRDefault="00F47D8A" w:rsidP="00CA00D3">
      <w:pPr>
        <w:numPr>
          <w:ilvl w:val="0"/>
          <w:numId w:val="6"/>
        </w:numPr>
        <w:autoSpaceDE w:val="0"/>
        <w:autoSpaceDN w:val="0"/>
        <w:adjustRightInd w:val="0"/>
        <w:spacing w:after="240" w:line="23" w:lineRule="atLeast"/>
        <w:rPr>
          <w:sz w:val="24"/>
          <w:szCs w:val="24"/>
        </w:rPr>
      </w:pPr>
      <w:r>
        <w:rPr>
          <w:sz w:val="24"/>
          <w:szCs w:val="24"/>
        </w:rPr>
        <w:t xml:space="preserve">A </w:t>
      </w:r>
      <w:r w:rsidR="00011A7D" w:rsidRPr="006D49CA">
        <w:rPr>
          <w:sz w:val="24"/>
          <w:szCs w:val="24"/>
        </w:rPr>
        <w:t xml:space="preserve">total capital and start-up cost component – approximately $40,000 for computer hardware and software required for </w:t>
      </w:r>
      <w:r w:rsidR="001C7F7C">
        <w:rPr>
          <w:sz w:val="24"/>
          <w:szCs w:val="24"/>
        </w:rPr>
        <w:t>HHLPSS</w:t>
      </w:r>
      <w:r w:rsidR="00011A7D" w:rsidRPr="006D49CA">
        <w:rPr>
          <w:sz w:val="24"/>
          <w:szCs w:val="24"/>
        </w:rPr>
        <w:t xml:space="preserve">.  Many of the state, local, and territorial programs (e.g., health departments) already have existing equipment that can also be used for </w:t>
      </w:r>
      <w:r w:rsidR="001C7F7C">
        <w:rPr>
          <w:sz w:val="24"/>
          <w:szCs w:val="24"/>
        </w:rPr>
        <w:t>HHLPSS</w:t>
      </w:r>
      <w:r w:rsidR="00011A7D" w:rsidRPr="006D49CA">
        <w:rPr>
          <w:sz w:val="24"/>
          <w:szCs w:val="24"/>
        </w:rPr>
        <w:t>.</w:t>
      </w:r>
    </w:p>
    <w:p w14:paraId="57306CD2" w14:textId="77777777" w:rsidR="00011A7D" w:rsidRPr="006D49CA" w:rsidRDefault="00F47D8A" w:rsidP="00CA00D3">
      <w:pPr>
        <w:numPr>
          <w:ilvl w:val="0"/>
          <w:numId w:val="6"/>
        </w:numPr>
        <w:autoSpaceDE w:val="0"/>
        <w:autoSpaceDN w:val="0"/>
        <w:adjustRightInd w:val="0"/>
        <w:spacing w:after="240" w:line="23" w:lineRule="atLeast"/>
        <w:rPr>
          <w:sz w:val="24"/>
          <w:szCs w:val="24"/>
        </w:rPr>
      </w:pPr>
      <w:r>
        <w:rPr>
          <w:sz w:val="24"/>
          <w:szCs w:val="24"/>
        </w:rPr>
        <w:t xml:space="preserve">A </w:t>
      </w:r>
      <w:r w:rsidR="00011A7D" w:rsidRPr="006D49CA">
        <w:rPr>
          <w:sz w:val="24"/>
          <w:szCs w:val="24"/>
        </w:rPr>
        <w:t xml:space="preserve">total </w:t>
      </w:r>
      <w:r w:rsidR="002202CC" w:rsidRPr="006D49CA">
        <w:rPr>
          <w:sz w:val="24"/>
          <w:szCs w:val="24"/>
        </w:rPr>
        <w:t>operation, maintenance,</w:t>
      </w:r>
      <w:r w:rsidR="00011A7D" w:rsidRPr="006D49CA">
        <w:rPr>
          <w:sz w:val="24"/>
          <w:szCs w:val="24"/>
        </w:rPr>
        <w:t xml:space="preserve"> and purchase of services – maintenance of </w:t>
      </w:r>
      <w:r w:rsidR="001C7F7C">
        <w:rPr>
          <w:sz w:val="24"/>
          <w:szCs w:val="24"/>
        </w:rPr>
        <w:t>HHLPSS</w:t>
      </w:r>
      <w:r w:rsidR="00011A7D" w:rsidRPr="006D49CA">
        <w:rPr>
          <w:sz w:val="24"/>
          <w:szCs w:val="24"/>
        </w:rPr>
        <w:t xml:space="preserve"> is approximately $5,000 per year.  However, many of the state, local, and territorial programs (e.g., health departments) already have existing computer servicing and software contracts in place that can also be used for </w:t>
      </w:r>
      <w:r w:rsidR="001C7F7C">
        <w:rPr>
          <w:sz w:val="24"/>
          <w:szCs w:val="24"/>
        </w:rPr>
        <w:t>HHLPSS</w:t>
      </w:r>
      <w:r w:rsidR="00011A7D" w:rsidRPr="006D49CA">
        <w:rPr>
          <w:sz w:val="24"/>
          <w:szCs w:val="24"/>
        </w:rPr>
        <w:t>.</w:t>
      </w:r>
    </w:p>
    <w:p w14:paraId="77CB8AD4" w14:textId="77777777" w:rsidR="00011A7D" w:rsidRPr="00D20211" w:rsidRDefault="00011A7D" w:rsidP="00011A7D">
      <w:pPr>
        <w:pStyle w:val="Heading1"/>
        <w:pBdr>
          <w:bottom w:val="none" w:sz="0" w:space="0" w:color="auto"/>
        </w:pBdr>
        <w:rPr>
          <w:color w:val="auto"/>
        </w:rPr>
      </w:pPr>
      <w:bookmarkStart w:id="16" w:name="_Toc493853249"/>
      <w:r w:rsidRPr="00D20211">
        <w:rPr>
          <w:color w:val="auto"/>
        </w:rPr>
        <w:t>A.14</w:t>
      </w:r>
      <w:r w:rsidR="002202CC" w:rsidRPr="00D20211">
        <w:rPr>
          <w:color w:val="auto"/>
        </w:rPr>
        <w:t>. Annualized</w:t>
      </w:r>
      <w:r w:rsidRPr="00D20211">
        <w:rPr>
          <w:color w:val="auto"/>
        </w:rPr>
        <w:t xml:space="preserve"> Cost to the Federal Government</w:t>
      </w:r>
      <w:bookmarkEnd w:id="16"/>
    </w:p>
    <w:p w14:paraId="5699DF59" w14:textId="77777777" w:rsidR="00011A7D" w:rsidRDefault="00011A7D" w:rsidP="00CA00D3">
      <w:pPr>
        <w:spacing w:after="240" w:line="276" w:lineRule="auto"/>
        <w:rPr>
          <w:sz w:val="24"/>
          <w:szCs w:val="24"/>
        </w:rPr>
      </w:pPr>
      <w:r>
        <w:rPr>
          <w:sz w:val="24"/>
          <w:szCs w:val="24"/>
        </w:rPr>
        <w:t>The</w:t>
      </w:r>
      <w:r w:rsidRPr="00D64CE7">
        <w:rPr>
          <w:sz w:val="24"/>
          <w:szCs w:val="24"/>
        </w:rPr>
        <w:t xml:space="preserve"> CDC Program ha</w:t>
      </w:r>
      <w:r>
        <w:rPr>
          <w:sz w:val="24"/>
          <w:szCs w:val="24"/>
        </w:rPr>
        <w:t>s</w:t>
      </w:r>
      <w:r w:rsidRPr="00D64CE7">
        <w:rPr>
          <w:sz w:val="24"/>
          <w:szCs w:val="24"/>
        </w:rPr>
        <w:t xml:space="preserve"> congressional appropriation for lead</w:t>
      </w:r>
      <w:r>
        <w:rPr>
          <w:sz w:val="24"/>
          <w:szCs w:val="24"/>
        </w:rPr>
        <w:t xml:space="preserve"> and healthy homes</w:t>
      </w:r>
      <w:r w:rsidRPr="00D64CE7">
        <w:rPr>
          <w:sz w:val="24"/>
          <w:szCs w:val="24"/>
        </w:rPr>
        <w:t xml:space="preserve">-related activities.  The Program’s </w:t>
      </w:r>
      <w:r w:rsidRPr="00D80A91">
        <w:rPr>
          <w:sz w:val="24"/>
          <w:szCs w:val="24"/>
        </w:rPr>
        <w:t xml:space="preserve">FY 2017 </w:t>
      </w:r>
      <w:r>
        <w:rPr>
          <w:sz w:val="24"/>
          <w:szCs w:val="24"/>
        </w:rPr>
        <w:t xml:space="preserve">operating </w:t>
      </w:r>
      <w:r w:rsidRPr="00D80A91">
        <w:rPr>
          <w:sz w:val="24"/>
          <w:szCs w:val="24"/>
        </w:rPr>
        <w:t>budget is $14,500,000</w:t>
      </w:r>
      <w:r w:rsidRPr="00D64CE7">
        <w:rPr>
          <w:sz w:val="24"/>
          <w:szCs w:val="24"/>
        </w:rPr>
        <w:t>.  In FY1</w:t>
      </w:r>
      <w:r>
        <w:rPr>
          <w:sz w:val="24"/>
          <w:szCs w:val="24"/>
        </w:rPr>
        <w:t>7</w:t>
      </w:r>
      <w:r w:rsidRPr="00D64CE7">
        <w:rPr>
          <w:sz w:val="24"/>
          <w:szCs w:val="24"/>
        </w:rPr>
        <w:t xml:space="preserve">, the </w:t>
      </w:r>
      <w:r w:rsidRPr="00011A7D">
        <w:rPr>
          <w:sz w:val="24"/>
          <w:szCs w:val="24"/>
        </w:rPr>
        <w:t xml:space="preserve">total overall operational and maintenance costs for </w:t>
      </w:r>
      <w:r w:rsidR="001C7F7C">
        <w:rPr>
          <w:sz w:val="24"/>
          <w:szCs w:val="24"/>
        </w:rPr>
        <w:t>HHLPSS</w:t>
      </w:r>
      <w:r w:rsidRPr="00011A7D">
        <w:rPr>
          <w:sz w:val="24"/>
          <w:szCs w:val="24"/>
        </w:rPr>
        <w:t xml:space="preserve"> is $650,000 </w:t>
      </w:r>
      <w:r>
        <w:rPr>
          <w:sz w:val="24"/>
          <w:szCs w:val="24"/>
        </w:rPr>
        <w:t>for a</w:t>
      </w:r>
      <w:r w:rsidRPr="00011A7D">
        <w:rPr>
          <w:sz w:val="24"/>
          <w:szCs w:val="24"/>
        </w:rPr>
        <w:t xml:space="preserve"> </w:t>
      </w:r>
      <w:r>
        <w:rPr>
          <w:sz w:val="24"/>
          <w:szCs w:val="24"/>
        </w:rPr>
        <w:t>firm, fixed-price</w:t>
      </w:r>
      <w:r w:rsidRPr="00D64CE7">
        <w:rPr>
          <w:sz w:val="24"/>
          <w:szCs w:val="24"/>
        </w:rPr>
        <w:t xml:space="preserve"> contract </w:t>
      </w:r>
      <w:r>
        <w:rPr>
          <w:sz w:val="24"/>
          <w:szCs w:val="24"/>
        </w:rPr>
        <w:t>(which includes $10,000 estimated travel to support state and local health departments)</w:t>
      </w:r>
      <w:r w:rsidRPr="00D64CE7">
        <w:rPr>
          <w:sz w:val="24"/>
          <w:szCs w:val="24"/>
        </w:rPr>
        <w:t xml:space="preserve">.  </w:t>
      </w:r>
      <w:r w:rsidRPr="006D49CA">
        <w:rPr>
          <w:sz w:val="24"/>
          <w:szCs w:val="24"/>
        </w:rPr>
        <w:t>The contract will support five (5) contract support specialists ranging from database administrator to direct user support, and will focus primarily on management and operations of the system, along with a finite amount of development and upgrades related to state/local health agency user requests.</w:t>
      </w:r>
      <w:r w:rsidRPr="00D64CE7">
        <w:rPr>
          <w:sz w:val="24"/>
          <w:szCs w:val="24"/>
        </w:rPr>
        <w:t xml:space="preserve"> Other tasks in</w:t>
      </w:r>
      <w:r>
        <w:rPr>
          <w:sz w:val="24"/>
          <w:szCs w:val="24"/>
        </w:rPr>
        <w:t>clud</w:t>
      </w:r>
      <w:r w:rsidRPr="00D64CE7">
        <w:rPr>
          <w:sz w:val="24"/>
          <w:szCs w:val="24"/>
        </w:rPr>
        <w:t xml:space="preserve">e the </w:t>
      </w:r>
      <w:r>
        <w:rPr>
          <w:sz w:val="24"/>
          <w:szCs w:val="24"/>
        </w:rPr>
        <w:t xml:space="preserve">data </w:t>
      </w:r>
      <w:r w:rsidRPr="00D64CE7">
        <w:rPr>
          <w:sz w:val="24"/>
          <w:szCs w:val="24"/>
        </w:rPr>
        <w:t>extraction</w:t>
      </w:r>
      <w:r>
        <w:rPr>
          <w:sz w:val="24"/>
          <w:szCs w:val="24"/>
        </w:rPr>
        <w:t xml:space="preserve">, </w:t>
      </w:r>
      <w:r w:rsidRPr="00D64CE7">
        <w:rPr>
          <w:sz w:val="24"/>
          <w:szCs w:val="24"/>
        </w:rPr>
        <w:t>formatting</w:t>
      </w:r>
      <w:r>
        <w:rPr>
          <w:sz w:val="24"/>
          <w:szCs w:val="24"/>
        </w:rPr>
        <w:t>,</w:t>
      </w:r>
      <w:r w:rsidRPr="00D64CE7">
        <w:rPr>
          <w:sz w:val="24"/>
          <w:szCs w:val="24"/>
        </w:rPr>
        <w:t xml:space="preserve"> </w:t>
      </w:r>
      <w:r>
        <w:rPr>
          <w:sz w:val="24"/>
          <w:szCs w:val="24"/>
        </w:rPr>
        <w:t>and processing to validate</w:t>
      </w:r>
      <w:r w:rsidRPr="00D64CE7">
        <w:rPr>
          <w:sz w:val="24"/>
          <w:szCs w:val="24"/>
        </w:rPr>
        <w:t xml:space="preserve"> data </w:t>
      </w:r>
      <w:r>
        <w:rPr>
          <w:sz w:val="24"/>
          <w:szCs w:val="24"/>
        </w:rPr>
        <w:t>submitted</w:t>
      </w:r>
      <w:r w:rsidRPr="00D64CE7">
        <w:rPr>
          <w:sz w:val="24"/>
          <w:szCs w:val="24"/>
        </w:rPr>
        <w:t xml:space="preserve"> to CDC.  </w:t>
      </w:r>
      <w:r>
        <w:rPr>
          <w:sz w:val="24"/>
          <w:szCs w:val="24"/>
        </w:rPr>
        <w:t>Additionally</w:t>
      </w:r>
      <w:r w:rsidRPr="00D64CE7">
        <w:rPr>
          <w:sz w:val="24"/>
          <w:szCs w:val="24"/>
        </w:rPr>
        <w:t xml:space="preserve">, </w:t>
      </w:r>
      <w:r>
        <w:rPr>
          <w:sz w:val="24"/>
          <w:szCs w:val="24"/>
        </w:rPr>
        <w:t>two</w:t>
      </w:r>
      <w:r w:rsidRPr="006D49CA">
        <w:rPr>
          <w:sz w:val="24"/>
          <w:szCs w:val="24"/>
        </w:rPr>
        <w:t xml:space="preserve"> federal employees</w:t>
      </w:r>
      <w:r>
        <w:rPr>
          <w:sz w:val="24"/>
          <w:szCs w:val="24"/>
        </w:rPr>
        <w:t xml:space="preserve"> have</w:t>
      </w:r>
      <w:r w:rsidRPr="00D64CE7">
        <w:rPr>
          <w:sz w:val="24"/>
          <w:szCs w:val="24"/>
        </w:rPr>
        <w:t xml:space="preserve"> major responsibility </w:t>
      </w:r>
      <w:r>
        <w:rPr>
          <w:sz w:val="24"/>
          <w:szCs w:val="24"/>
        </w:rPr>
        <w:t>f</w:t>
      </w:r>
      <w:r w:rsidRPr="00D64CE7">
        <w:rPr>
          <w:sz w:val="24"/>
          <w:szCs w:val="24"/>
        </w:rPr>
        <w:t>or oversight of th</w:t>
      </w:r>
      <w:r>
        <w:rPr>
          <w:sz w:val="24"/>
          <w:szCs w:val="24"/>
        </w:rPr>
        <w:t xml:space="preserve">e national surveillance system </w:t>
      </w:r>
      <w:r w:rsidRPr="00D64CE7">
        <w:rPr>
          <w:sz w:val="24"/>
          <w:szCs w:val="24"/>
        </w:rPr>
        <w:t>management and</w:t>
      </w:r>
      <w:r>
        <w:rPr>
          <w:sz w:val="24"/>
          <w:szCs w:val="24"/>
        </w:rPr>
        <w:t xml:space="preserve"> data</w:t>
      </w:r>
      <w:r w:rsidRPr="00D64CE7">
        <w:rPr>
          <w:sz w:val="24"/>
          <w:szCs w:val="24"/>
        </w:rPr>
        <w:t xml:space="preserve"> analysis.  </w:t>
      </w:r>
    </w:p>
    <w:p w14:paraId="681A4EBE" w14:textId="77777777" w:rsidR="00011A7D" w:rsidRPr="006D49CA" w:rsidRDefault="00011A7D" w:rsidP="00011A7D">
      <w:pPr>
        <w:rPr>
          <w:b/>
          <w:bCs/>
          <w:sz w:val="24"/>
          <w:szCs w:val="24"/>
          <w:u w:val="single"/>
        </w:rPr>
      </w:pPr>
      <w:r w:rsidRPr="006D49CA">
        <w:rPr>
          <w:b/>
          <w:bCs/>
          <w:sz w:val="24"/>
          <w:szCs w:val="24"/>
          <w:u w:val="single"/>
        </w:rPr>
        <w:t xml:space="preserve">Table </w:t>
      </w:r>
      <w:r w:rsidR="00264DF5" w:rsidRPr="00654307">
        <w:rPr>
          <w:b/>
          <w:bCs/>
          <w:sz w:val="24"/>
          <w:szCs w:val="24"/>
          <w:u w:val="single"/>
        </w:rPr>
        <w:t>A14.1</w:t>
      </w:r>
      <w:r w:rsidRPr="00654307">
        <w:rPr>
          <w:b/>
          <w:bCs/>
          <w:sz w:val="24"/>
          <w:szCs w:val="24"/>
          <w:u w:val="single"/>
        </w:rPr>
        <w:t>.</w:t>
      </w:r>
      <w:r w:rsidRPr="006D49CA">
        <w:rPr>
          <w:b/>
          <w:bCs/>
          <w:sz w:val="24"/>
          <w:szCs w:val="24"/>
          <w:u w:val="single"/>
        </w:rPr>
        <w:t xml:space="preserve"> FY17 – </w:t>
      </w:r>
      <w:r w:rsidR="001C7F7C">
        <w:rPr>
          <w:b/>
          <w:bCs/>
          <w:sz w:val="24"/>
          <w:szCs w:val="24"/>
          <w:u w:val="single"/>
        </w:rPr>
        <w:t>HHLPSS</w:t>
      </w:r>
      <w:r w:rsidRPr="006D49CA">
        <w:rPr>
          <w:b/>
          <w:bCs/>
          <w:sz w:val="24"/>
          <w:szCs w:val="24"/>
          <w:u w:val="single"/>
        </w:rPr>
        <w:t xml:space="preserve"> </w:t>
      </w:r>
    </w:p>
    <w:tbl>
      <w:tblPr>
        <w:tblW w:w="8400" w:type="dxa"/>
        <w:tblInd w:w="-15" w:type="dxa"/>
        <w:tblCellMar>
          <w:left w:w="0" w:type="dxa"/>
          <w:right w:w="0" w:type="dxa"/>
        </w:tblCellMar>
        <w:tblLook w:val="04A0" w:firstRow="1" w:lastRow="0" w:firstColumn="1" w:lastColumn="0" w:noHBand="0" w:noVBand="1"/>
      </w:tblPr>
      <w:tblGrid>
        <w:gridCol w:w="6614"/>
        <w:gridCol w:w="1786"/>
      </w:tblGrid>
      <w:tr w:rsidR="00011A7D" w:rsidRPr="006D49CA" w14:paraId="51A1E614" w14:textId="77777777" w:rsidTr="00A07800">
        <w:trPr>
          <w:trHeight w:val="375"/>
        </w:trPr>
        <w:tc>
          <w:tcPr>
            <w:tcW w:w="6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4BC110" w14:textId="77777777" w:rsidR="00011A7D" w:rsidRPr="006D49CA" w:rsidRDefault="00011A7D" w:rsidP="00A07800">
            <w:pPr>
              <w:spacing w:after="0" w:line="240" w:lineRule="auto"/>
              <w:rPr>
                <w:rFonts w:eastAsia="Calibri" w:cs="Arial"/>
                <w:sz w:val="24"/>
                <w:szCs w:val="24"/>
              </w:rPr>
            </w:pPr>
            <w:r w:rsidRPr="006D49CA">
              <w:rPr>
                <w:rFonts w:cs="Arial"/>
                <w:sz w:val="24"/>
                <w:szCs w:val="24"/>
              </w:rPr>
              <w:t>HHLPSS Child Blood Lead System (firm fixed price</w:t>
            </w:r>
            <w:r>
              <w:rPr>
                <w:rFonts w:cs="Arial"/>
                <w:sz w:val="24"/>
                <w:szCs w:val="24"/>
              </w:rPr>
              <w:t xml:space="preserve"> contract</w:t>
            </w:r>
            <w:r w:rsidRPr="006D49CA">
              <w:rPr>
                <w:rFonts w:cs="Arial"/>
                <w:sz w:val="24"/>
                <w:szCs w:val="24"/>
              </w:rPr>
              <w:t>)</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3A6E2E" w14:textId="77777777" w:rsidR="00011A7D" w:rsidRPr="006D49CA" w:rsidRDefault="00011A7D" w:rsidP="00A07800">
            <w:pPr>
              <w:spacing w:after="0" w:line="240" w:lineRule="auto"/>
              <w:jc w:val="right"/>
              <w:rPr>
                <w:rFonts w:eastAsia="Calibri" w:cs="Arial"/>
                <w:sz w:val="24"/>
                <w:szCs w:val="24"/>
              </w:rPr>
            </w:pPr>
            <w:r w:rsidRPr="006D49CA">
              <w:rPr>
                <w:rFonts w:cs="Arial"/>
                <w:sz w:val="24"/>
                <w:szCs w:val="24"/>
              </w:rPr>
              <w:t>$640,000.00</w:t>
            </w:r>
          </w:p>
        </w:tc>
      </w:tr>
      <w:tr w:rsidR="00011A7D" w:rsidRPr="006D49CA" w14:paraId="33A60062" w14:textId="77777777" w:rsidTr="00A07800">
        <w:trPr>
          <w:trHeight w:val="375"/>
        </w:trPr>
        <w:tc>
          <w:tcPr>
            <w:tcW w:w="6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46169" w14:textId="77777777" w:rsidR="00011A7D" w:rsidRPr="006D49CA" w:rsidRDefault="00011A7D" w:rsidP="00A07800">
            <w:pPr>
              <w:spacing w:after="0" w:line="240" w:lineRule="auto"/>
              <w:rPr>
                <w:rFonts w:eastAsia="Calibri" w:cs="Arial"/>
                <w:sz w:val="24"/>
                <w:szCs w:val="24"/>
              </w:rPr>
            </w:pPr>
            <w:r w:rsidRPr="006D49CA">
              <w:rPr>
                <w:rFonts w:cs="Arial"/>
                <w:sz w:val="24"/>
                <w:szCs w:val="24"/>
              </w:rPr>
              <w:t>Travel (to support health departments)</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14:paraId="0219D250" w14:textId="77777777" w:rsidR="00011A7D" w:rsidRPr="006D49CA" w:rsidRDefault="00011A7D" w:rsidP="00A07800">
            <w:pPr>
              <w:spacing w:after="0" w:line="240" w:lineRule="auto"/>
              <w:jc w:val="right"/>
              <w:rPr>
                <w:rFonts w:eastAsia="Calibri" w:cs="Arial"/>
                <w:sz w:val="24"/>
                <w:szCs w:val="24"/>
              </w:rPr>
            </w:pPr>
            <w:r w:rsidRPr="006D49CA">
              <w:rPr>
                <w:rFonts w:cs="Arial"/>
                <w:sz w:val="24"/>
                <w:szCs w:val="24"/>
              </w:rPr>
              <w:t>$10,000.00</w:t>
            </w:r>
          </w:p>
        </w:tc>
      </w:tr>
      <w:tr w:rsidR="00011A7D" w:rsidRPr="006D49CA" w14:paraId="0097D86A" w14:textId="77777777" w:rsidTr="00A07800">
        <w:trPr>
          <w:trHeight w:val="255"/>
        </w:trPr>
        <w:tc>
          <w:tcPr>
            <w:tcW w:w="6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987B9" w14:textId="77777777" w:rsidR="00011A7D" w:rsidRPr="006D49CA" w:rsidRDefault="00011A7D" w:rsidP="00011A7D">
            <w:pPr>
              <w:spacing w:after="0" w:line="240" w:lineRule="auto"/>
              <w:rPr>
                <w:rFonts w:eastAsia="Calibri" w:cs="Arial"/>
                <w:b/>
                <w:bCs/>
                <w:sz w:val="24"/>
                <w:szCs w:val="24"/>
              </w:rPr>
            </w:pPr>
            <w:r w:rsidRPr="006D49CA">
              <w:rPr>
                <w:rFonts w:cs="Arial"/>
                <w:b/>
                <w:bCs/>
                <w:sz w:val="24"/>
                <w:szCs w:val="24"/>
              </w:rPr>
              <w:t xml:space="preserve">Total </w:t>
            </w:r>
            <w:r>
              <w:rPr>
                <w:rFonts w:cs="Arial"/>
                <w:b/>
                <w:bCs/>
                <w:sz w:val="24"/>
                <w:szCs w:val="24"/>
              </w:rPr>
              <w:t>Costs</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887FB4" w14:textId="77777777" w:rsidR="00011A7D" w:rsidRPr="006D49CA" w:rsidRDefault="00011A7D" w:rsidP="00A07800">
            <w:pPr>
              <w:spacing w:after="0" w:line="240" w:lineRule="auto"/>
              <w:jc w:val="right"/>
              <w:rPr>
                <w:rFonts w:eastAsia="Calibri" w:cs="Arial"/>
                <w:b/>
                <w:bCs/>
                <w:sz w:val="24"/>
                <w:szCs w:val="24"/>
              </w:rPr>
            </w:pPr>
            <w:r w:rsidRPr="006D49CA">
              <w:rPr>
                <w:rFonts w:cs="Arial"/>
                <w:b/>
                <w:bCs/>
                <w:sz w:val="24"/>
                <w:szCs w:val="24"/>
              </w:rPr>
              <w:t>$650,000</w:t>
            </w:r>
          </w:p>
        </w:tc>
      </w:tr>
    </w:tbl>
    <w:p w14:paraId="5C561194" w14:textId="77777777" w:rsidR="00011A7D" w:rsidRPr="006D49CA" w:rsidRDefault="00011A7D" w:rsidP="00011A7D">
      <w:pPr>
        <w:rPr>
          <w:sz w:val="24"/>
          <w:szCs w:val="24"/>
        </w:rPr>
      </w:pPr>
    </w:p>
    <w:p w14:paraId="6CED4803" w14:textId="77777777" w:rsidR="00B45002" w:rsidRPr="00D20211" w:rsidRDefault="00601F1A" w:rsidP="001101D0">
      <w:pPr>
        <w:pStyle w:val="Heading1"/>
        <w:pBdr>
          <w:bottom w:val="none" w:sz="0" w:space="0" w:color="auto"/>
        </w:pBdr>
        <w:rPr>
          <w:rFonts w:cs="ITCFranklinGothicStd-Demi"/>
          <w:color w:val="auto"/>
          <w:sz w:val="24"/>
          <w:szCs w:val="24"/>
        </w:rPr>
      </w:pPr>
      <w:bookmarkStart w:id="17" w:name="_Toc493853250"/>
      <w:r w:rsidRPr="00D20211">
        <w:rPr>
          <w:color w:val="auto"/>
        </w:rPr>
        <w:t>A.</w:t>
      </w:r>
      <w:r w:rsidR="00AC62CC" w:rsidRPr="00D20211">
        <w:rPr>
          <w:color w:val="auto"/>
        </w:rPr>
        <w:t>15</w:t>
      </w:r>
      <w:r w:rsidR="002202CC" w:rsidRPr="00D20211">
        <w:rPr>
          <w:color w:val="auto"/>
        </w:rPr>
        <w:t>. Explanation</w:t>
      </w:r>
      <w:r w:rsidR="00B45002" w:rsidRPr="00D20211">
        <w:rPr>
          <w:color w:val="auto"/>
        </w:rPr>
        <w:t xml:space="preserve"> for Program Changes or Adjustments</w:t>
      </w:r>
      <w:bookmarkEnd w:id="17"/>
    </w:p>
    <w:p w14:paraId="65F079F2" w14:textId="77777777" w:rsidR="00654307" w:rsidRPr="00D20211" w:rsidRDefault="0023593F" w:rsidP="00CA00D3">
      <w:pPr>
        <w:numPr>
          <w:ilvl w:val="12"/>
          <w:numId w:val="0"/>
        </w:numPr>
        <w:spacing w:line="276" w:lineRule="auto"/>
        <w:rPr>
          <w:sz w:val="24"/>
          <w:szCs w:val="24"/>
        </w:rPr>
      </w:pPr>
      <w:r w:rsidRPr="00123823">
        <w:rPr>
          <w:sz w:val="24"/>
          <w:szCs w:val="24"/>
        </w:rPr>
        <w:t>This is a</w:t>
      </w:r>
      <w:r>
        <w:rPr>
          <w:sz w:val="24"/>
          <w:szCs w:val="24"/>
        </w:rPr>
        <w:t>n extension of a previously approved</w:t>
      </w:r>
      <w:r w:rsidRPr="00123823">
        <w:rPr>
          <w:sz w:val="24"/>
          <w:szCs w:val="24"/>
        </w:rPr>
        <w:t xml:space="preserve"> data </w:t>
      </w:r>
      <w:r w:rsidRPr="0069004E">
        <w:rPr>
          <w:sz w:val="24"/>
          <w:szCs w:val="24"/>
        </w:rPr>
        <w:t xml:space="preserve">collection.  </w:t>
      </w:r>
      <w:r w:rsidR="001B3522" w:rsidRPr="00D20211">
        <w:rPr>
          <w:sz w:val="24"/>
          <w:szCs w:val="24"/>
        </w:rPr>
        <w:t>T</w:t>
      </w:r>
      <w:r w:rsidR="007F6CB2" w:rsidRPr="00D20211">
        <w:rPr>
          <w:sz w:val="24"/>
          <w:szCs w:val="24"/>
        </w:rPr>
        <w:t>he burden has not changed from the burden shown in the current inventory.</w:t>
      </w:r>
    </w:p>
    <w:p w14:paraId="5583379E" w14:textId="77777777" w:rsidR="003248A4" w:rsidRPr="00D20211" w:rsidRDefault="00601F1A" w:rsidP="001101D0">
      <w:pPr>
        <w:pStyle w:val="Heading1"/>
        <w:pBdr>
          <w:bottom w:val="none" w:sz="0" w:space="0" w:color="auto"/>
        </w:pBdr>
      </w:pPr>
      <w:bookmarkStart w:id="18" w:name="_Toc493853251"/>
      <w:r w:rsidRPr="00D20211">
        <w:rPr>
          <w:color w:val="auto"/>
        </w:rPr>
        <w:t>A.</w:t>
      </w:r>
      <w:r w:rsidR="00AC62CC" w:rsidRPr="00D20211">
        <w:rPr>
          <w:color w:val="auto"/>
        </w:rPr>
        <w:t>16</w:t>
      </w:r>
      <w:r w:rsidR="002202CC" w:rsidRPr="00D20211">
        <w:rPr>
          <w:color w:val="auto"/>
        </w:rPr>
        <w:t>. Plans</w:t>
      </w:r>
      <w:r w:rsidR="00B45002" w:rsidRPr="00D20211">
        <w:rPr>
          <w:color w:val="auto"/>
        </w:rPr>
        <w:t xml:space="preserve"> for Tabulation and Publication and Project Time Schedule</w:t>
      </w:r>
      <w:bookmarkEnd w:id="18"/>
    </w:p>
    <w:p w14:paraId="25F98829" w14:textId="77777777" w:rsidR="0023593F" w:rsidRDefault="0023593F" w:rsidP="00CA00D3">
      <w:pPr>
        <w:spacing w:after="240" w:line="276" w:lineRule="auto"/>
        <w:rPr>
          <w:sz w:val="24"/>
          <w:szCs w:val="24"/>
        </w:rPr>
      </w:pPr>
      <w:r w:rsidRPr="00123823">
        <w:rPr>
          <w:sz w:val="24"/>
          <w:szCs w:val="24"/>
        </w:rPr>
        <w:t>Each state, local, and territorial program has developed a plan for timely analysis and dissemination of summary data to appropriate state-level agencies and individuals.  CDC will analyze the national data set and on an annual basis will disseminate results to the state, local, and territorial programs and to a broader audience via public health publications and other media</w:t>
      </w:r>
      <w:r w:rsidR="008E333E">
        <w:rPr>
          <w:sz w:val="24"/>
          <w:szCs w:val="24"/>
        </w:rPr>
        <w:t xml:space="preserve"> </w:t>
      </w:r>
      <w:r w:rsidR="008E333E" w:rsidRPr="00654307">
        <w:rPr>
          <w:sz w:val="24"/>
          <w:szCs w:val="24"/>
        </w:rPr>
        <w:t xml:space="preserve">(Table </w:t>
      </w:r>
      <w:r w:rsidR="00264DF5" w:rsidRPr="00654307">
        <w:rPr>
          <w:sz w:val="24"/>
          <w:szCs w:val="24"/>
        </w:rPr>
        <w:t>A16.1</w:t>
      </w:r>
      <w:r w:rsidR="008E333E" w:rsidRPr="00654307">
        <w:rPr>
          <w:sz w:val="24"/>
          <w:szCs w:val="24"/>
        </w:rPr>
        <w:t>)</w:t>
      </w:r>
      <w:r w:rsidRPr="00654307">
        <w:rPr>
          <w:sz w:val="24"/>
          <w:szCs w:val="24"/>
        </w:rPr>
        <w:t>.</w:t>
      </w:r>
      <w:r w:rsidRPr="00123823">
        <w:rPr>
          <w:sz w:val="24"/>
          <w:szCs w:val="24"/>
        </w:rPr>
        <w:t xml:space="preserve">  CDC will also provide this information to Executive </w:t>
      </w:r>
      <w:r>
        <w:rPr>
          <w:sz w:val="24"/>
          <w:szCs w:val="24"/>
        </w:rPr>
        <w:t>Program</w:t>
      </w:r>
      <w:r w:rsidRPr="00123823">
        <w:rPr>
          <w:sz w:val="24"/>
          <w:szCs w:val="24"/>
        </w:rPr>
        <w:t xml:space="preserve"> officials, Congress, healthy homes constituents, and other federal, state, and local agencies.</w:t>
      </w:r>
      <w:r>
        <w:rPr>
          <w:sz w:val="24"/>
          <w:szCs w:val="24"/>
        </w:rPr>
        <w:t xml:space="preserve">   The dissemination of these results will always include the following caveats:</w:t>
      </w:r>
    </w:p>
    <w:p w14:paraId="70E9459D" w14:textId="77777777" w:rsidR="00AC5702" w:rsidRDefault="00715C56" w:rsidP="00CA00D3">
      <w:pPr>
        <w:spacing w:after="240" w:line="276" w:lineRule="auto"/>
        <w:rPr>
          <w:sz w:val="24"/>
          <w:szCs w:val="24"/>
        </w:rPr>
      </w:pPr>
      <w:r w:rsidRPr="00743327">
        <w:rPr>
          <w:sz w:val="24"/>
          <w:szCs w:val="24"/>
        </w:rPr>
        <w:t>These data were collected for program management purposes.  The data are not generalizable at the national, state, or local level.  Furthermore, because inclusion criteria vary across grantees, comparisons of aggregate statistics across programs can be misleading</w:t>
      </w:r>
      <w:r>
        <w:rPr>
          <w:sz w:val="24"/>
          <w:szCs w:val="24"/>
        </w:rPr>
        <w:t xml:space="preserve"> (i.e</w:t>
      </w:r>
      <w:r w:rsidRPr="007636DA">
        <w:rPr>
          <w:sz w:val="24"/>
          <w:szCs w:val="24"/>
        </w:rPr>
        <w:t>.,</w:t>
      </w:r>
      <w:r w:rsidRPr="00743327">
        <w:rPr>
          <w:sz w:val="24"/>
          <w:szCs w:val="24"/>
        </w:rPr>
        <w:t xml:space="preserve"> </w:t>
      </w:r>
      <w:r>
        <w:rPr>
          <w:sz w:val="24"/>
          <w:szCs w:val="24"/>
        </w:rPr>
        <w:t xml:space="preserve"> state </w:t>
      </w:r>
      <w:r w:rsidRPr="007636DA">
        <w:rPr>
          <w:sz w:val="24"/>
          <w:szCs w:val="24"/>
        </w:rPr>
        <w:t>policies and practices for blood lead testing</w:t>
      </w:r>
      <w:r>
        <w:rPr>
          <w:sz w:val="24"/>
          <w:szCs w:val="24"/>
        </w:rPr>
        <w:t xml:space="preserve"> vary</w:t>
      </w:r>
      <w:r w:rsidRPr="007636DA">
        <w:rPr>
          <w:sz w:val="24"/>
          <w:szCs w:val="24"/>
        </w:rPr>
        <w:t xml:space="preserve"> and </w:t>
      </w:r>
      <w:r>
        <w:rPr>
          <w:sz w:val="24"/>
          <w:szCs w:val="24"/>
        </w:rPr>
        <w:t xml:space="preserve">local priorities drive decisions regarding which homes receive assessments for other </w:t>
      </w:r>
      <w:r w:rsidRPr="007636DA">
        <w:rPr>
          <w:sz w:val="24"/>
          <w:szCs w:val="24"/>
        </w:rPr>
        <w:t>housing hazards</w:t>
      </w:r>
      <w:r>
        <w:rPr>
          <w:sz w:val="24"/>
          <w:szCs w:val="24"/>
        </w:rPr>
        <w:t>)</w:t>
      </w:r>
      <w:r w:rsidRPr="007636DA">
        <w:rPr>
          <w:sz w:val="24"/>
          <w:szCs w:val="24"/>
        </w:rPr>
        <w:t xml:space="preserve">. </w:t>
      </w:r>
      <w:r w:rsidRPr="00743327">
        <w:rPr>
          <w:sz w:val="24"/>
          <w:szCs w:val="24"/>
        </w:rPr>
        <w:t xml:space="preserve">However, descriptive statistics can be used to compare changes overtime in a given area when the method by which housing units are chosen for inclusion remains the same.  With a thoughtful understanding of the approach used to include housing units in a given location, </w:t>
      </w:r>
      <w:r w:rsidR="001C7F7C">
        <w:rPr>
          <w:sz w:val="24"/>
          <w:szCs w:val="24"/>
        </w:rPr>
        <w:t>HHLPSS</w:t>
      </w:r>
      <w:r>
        <w:rPr>
          <w:sz w:val="24"/>
          <w:szCs w:val="24"/>
        </w:rPr>
        <w:t xml:space="preserve"> can be used to make</w:t>
      </w:r>
      <w:r w:rsidRPr="00743327">
        <w:rPr>
          <w:sz w:val="24"/>
          <w:szCs w:val="24"/>
        </w:rPr>
        <w:t xml:space="preserve"> associations between the number of individuals in a given area </w:t>
      </w:r>
      <w:r>
        <w:rPr>
          <w:sz w:val="24"/>
          <w:szCs w:val="24"/>
        </w:rPr>
        <w:t>and</w:t>
      </w:r>
      <w:r w:rsidRPr="00743327">
        <w:rPr>
          <w:sz w:val="24"/>
          <w:szCs w:val="24"/>
        </w:rPr>
        <w:t xml:space="preserve"> a specific housing hazard or health condition and geographic descriptors such as poverty, age of housing, tenancy, and health conditions.  </w:t>
      </w:r>
    </w:p>
    <w:p w14:paraId="40208522" w14:textId="77777777" w:rsidR="00654307" w:rsidRDefault="00654307" w:rsidP="008E333E">
      <w:pPr>
        <w:rPr>
          <w:sz w:val="24"/>
          <w:szCs w:val="24"/>
        </w:rPr>
      </w:pPr>
    </w:p>
    <w:p w14:paraId="3AA02ED0" w14:textId="77777777" w:rsidR="008E333E" w:rsidRPr="00654307" w:rsidRDefault="008E333E" w:rsidP="008E333E">
      <w:pPr>
        <w:rPr>
          <w:sz w:val="24"/>
          <w:szCs w:val="24"/>
        </w:rPr>
      </w:pPr>
      <w:r w:rsidRPr="00654307">
        <w:rPr>
          <w:sz w:val="24"/>
          <w:szCs w:val="24"/>
        </w:rPr>
        <w:t xml:space="preserve">Table </w:t>
      </w:r>
      <w:r w:rsidR="00264DF5" w:rsidRPr="00654307">
        <w:rPr>
          <w:sz w:val="24"/>
          <w:szCs w:val="24"/>
        </w:rPr>
        <w:t>A16.1</w:t>
      </w:r>
      <w:r w:rsidRPr="00123823">
        <w:rPr>
          <w:sz w:val="24"/>
          <w:szCs w:val="24"/>
        </w:rPr>
        <w:t>.  Project Time Schedule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5"/>
        <w:gridCol w:w="4590"/>
      </w:tblGrid>
      <w:tr w:rsidR="008E333E" w:rsidRPr="00123823" w14:paraId="5C1A9C67" w14:textId="77777777" w:rsidTr="00A07800">
        <w:tc>
          <w:tcPr>
            <w:tcW w:w="4945" w:type="dxa"/>
          </w:tcPr>
          <w:p w14:paraId="2E30A3A7" w14:textId="77777777" w:rsidR="008E333E" w:rsidRPr="00BF0A43" w:rsidRDefault="008E333E" w:rsidP="00A07800">
            <w:pPr>
              <w:spacing w:after="0" w:line="240" w:lineRule="auto"/>
              <w:jc w:val="center"/>
              <w:rPr>
                <w:sz w:val="24"/>
                <w:szCs w:val="24"/>
              </w:rPr>
            </w:pPr>
            <w:r w:rsidRPr="00BF0A43">
              <w:rPr>
                <w:sz w:val="24"/>
                <w:szCs w:val="24"/>
              </w:rPr>
              <w:t>Activity</w:t>
            </w:r>
          </w:p>
        </w:tc>
        <w:tc>
          <w:tcPr>
            <w:tcW w:w="4590" w:type="dxa"/>
          </w:tcPr>
          <w:p w14:paraId="1B02F917" w14:textId="77777777" w:rsidR="008E333E" w:rsidRPr="00BF0A43" w:rsidRDefault="008E333E" w:rsidP="00A07800">
            <w:pPr>
              <w:spacing w:after="0" w:line="240" w:lineRule="auto"/>
              <w:jc w:val="center"/>
              <w:rPr>
                <w:sz w:val="24"/>
                <w:szCs w:val="24"/>
              </w:rPr>
            </w:pPr>
            <w:r w:rsidRPr="00BF0A43">
              <w:rPr>
                <w:sz w:val="24"/>
                <w:szCs w:val="24"/>
              </w:rPr>
              <w:t>Time Schedule</w:t>
            </w:r>
          </w:p>
        </w:tc>
      </w:tr>
      <w:tr w:rsidR="008E333E" w:rsidRPr="00123823" w14:paraId="4A7A3E05" w14:textId="77777777" w:rsidTr="00A07800">
        <w:tc>
          <w:tcPr>
            <w:tcW w:w="4945" w:type="dxa"/>
          </w:tcPr>
          <w:p w14:paraId="03EF0C57" w14:textId="77777777" w:rsidR="008E333E" w:rsidRPr="00BF0A43" w:rsidRDefault="008E333E" w:rsidP="00A07800">
            <w:pPr>
              <w:spacing w:after="0" w:line="240" w:lineRule="auto"/>
              <w:rPr>
                <w:sz w:val="24"/>
                <w:szCs w:val="24"/>
              </w:rPr>
            </w:pPr>
            <w:r w:rsidRPr="00BF0A43">
              <w:rPr>
                <w:sz w:val="24"/>
                <w:szCs w:val="24"/>
              </w:rPr>
              <w:t>States will submit data files quarterly, except for reporting of adult blood lead levels which will be submitted semi-annually</w:t>
            </w:r>
          </w:p>
        </w:tc>
        <w:tc>
          <w:tcPr>
            <w:tcW w:w="4590" w:type="dxa"/>
          </w:tcPr>
          <w:p w14:paraId="04B90ED2" w14:textId="77777777" w:rsidR="008E333E" w:rsidRPr="00BF0A43" w:rsidRDefault="00DA14A4" w:rsidP="00A07800">
            <w:pPr>
              <w:spacing w:after="0" w:line="240" w:lineRule="auto"/>
              <w:rPr>
                <w:sz w:val="24"/>
                <w:szCs w:val="24"/>
              </w:rPr>
            </w:pPr>
            <w:r>
              <w:rPr>
                <w:sz w:val="24"/>
                <w:szCs w:val="24"/>
              </w:rPr>
              <w:t>June 1, 2018</w:t>
            </w:r>
          </w:p>
        </w:tc>
      </w:tr>
      <w:tr w:rsidR="008E333E" w:rsidRPr="00123823" w14:paraId="0D95FA4B" w14:textId="77777777" w:rsidTr="00A07800">
        <w:tc>
          <w:tcPr>
            <w:tcW w:w="4945" w:type="dxa"/>
          </w:tcPr>
          <w:p w14:paraId="4EAA1457" w14:textId="77777777" w:rsidR="008E333E" w:rsidRPr="00BF0A43" w:rsidRDefault="008E333E" w:rsidP="00A07800">
            <w:pPr>
              <w:spacing w:after="0" w:line="240" w:lineRule="auto"/>
              <w:rPr>
                <w:sz w:val="24"/>
                <w:szCs w:val="24"/>
              </w:rPr>
            </w:pPr>
            <w:r w:rsidRPr="00BF0A43">
              <w:rPr>
                <w:sz w:val="24"/>
                <w:szCs w:val="24"/>
              </w:rPr>
              <w:t>Analyze data</w:t>
            </w:r>
          </w:p>
        </w:tc>
        <w:tc>
          <w:tcPr>
            <w:tcW w:w="4590" w:type="dxa"/>
          </w:tcPr>
          <w:p w14:paraId="6DDB353B" w14:textId="77777777" w:rsidR="008E333E" w:rsidRPr="00BF0A43" w:rsidRDefault="00DA14A4" w:rsidP="00A07800">
            <w:pPr>
              <w:spacing w:after="0" w:line="240" w:lineRule="auto"/>
              <w:rPr>
                <w:sz w:val="24"/>
                <w:szCs w:val="24"/>
              </w:rPr>
            </w:pPr>
            <w:r>
              <w:rPr>
                <w:sz w:val="24"/>
                <w:szCs w:val="24"/>
              </w:rPr>
              <w:t>June 1, 2019</w:t>
            </w:r>
          </w:p>
        </w:tc>
      </w:tr>
      <w:tr w:rsidR="008E333E" w:rsidRPr="00123823" w14:paraId="74860071" w14:textId="77777777" w:rsidTr="00A07800">
        <w:tc>
          <w:tcPr>
            <w:tcW w:w="4945" w:type="dxa"/>
          </w:tcPr>
          <w:p w14:paraId="4DAFCB6A" w14:textId="77777777" w:rsidR="008E333E" w:rsidRPr="00BF0A43" w:rsidRDefault="008E333E" w:rsidP="00A07800">
            <w:pPr>
              <w:spacing w:after="0" w:line="240" w:lineRule="auto"/>
              <w:rPr>
                <w:sz w:val="24"/>
                <w:szCs w:val="24"/>
              </w:rPr>
            </w:pPr>
            <w:r w:rsidRPr="00BF0A43">
              <w:rPr>
                <w:sz w:val="24"/>
                <w:szCs w:val="24"/>
              </w:rPr>
              <w:t>Disseminate publication/Data</w:t>
            </w:r>
          </w:p>
        </w:tc>
        <w:tc>
          <w:tcPr>
            <w:tcW w:w="4590" w:type="dxa"/>
          </w:tcPr>
          <w:p w14:paraId="6C1B75E0" w14:textId="77777777" w:rsidR="008E333E" w:rsidRPr="00BF0A43" w:rsidRDefault="00DA14A4" w:rsidP="00A07800">
            <w:pPr>
              <w:spacing w:after="0" w:line="240" w:lineRule="auto"/>
              <w:rPr>
                <w:sz w:val="24"/>
                <w:szCs w:val="24"/>
              </w:rPr>
            </w:pPr>
            <w:r>
              <w:rPr>
                <w:sz w:val="24"/>
                <w:szCs w:val="24"/>
              </w:rPr>
              <w:t>December 1, 2019</w:t>
            </w:r>
          </w:p>
        </w:tc>
      </w:tr>
    </w:tbl>
    <w:p w14:paraId="53CBE8CF" w14:textId="77777777" w:rsidR="0023593F" w:rsidRPr="00123823" w:rsidRDefault="0023593F" w:rsidP="0023593F">
      <w:pPr>
        <w:rPr>
          <w:sz w:val="24"/>
          <w:szCs w:val="24"/>
        </w:rPr>
      </w:pPr>
    </w:p>
    <w:p w14:paraId="50AF2D7B" w14:textId="77777777" w:rsidR="00654307" w:rsidRPr="008A15F7" w:rsidRDefault="0023593F" w:rsidP="00CA00D3">
      <w:pPr>
        <w:tabs>
          <w:tab w:val="left" w:pos="0"/>
        </w:tabs>
        <w:spacing w:after="240" w:line="276" w:lineRule="auto"/>
        <w:rPr>
          <w:sz w:val="24"/>
          <w:szCs w:val="24"/>
        </w:rPr>
      </w:pPr>
      <w:r w:rsidRPr="00123823">
        <w:rPr>
          <w:sz w:val="24"/>
          <w:szCs w:val="24"/>
        </w:rPr>
        <w:t xml:space="preserve">The analysis plan includes descriptive statistics to show prevalence of environmental exposures and health outcomes (i.e., peeling paint in homes, presence of carbon monoxide and smoke alarms, elevated blood lead levels, and asthma).  </w:t>
      </w:r>
      <w:r>
        <w:rPr>
          <w:sz w:val="24"/>
          <w:szCs w:val="24"/>
        </w:rPr>
        <w:t>S</w:t>
      </w:r>
      <w:r w:rsidRPr="00123823">
        <w:rPr>
          <w:sz w:val="24"/>
          <w:szCs w:val="24"/>
        </w:rPr>
        <w:t>tatistical a</w:t>
      </w:r>
      <w:r>
        <w:rPr>
          <w:sz w:val="24"/>
          <w:szCs w:val="24"/>
        </w:rPr>
        <w:t>pproach is</w:t>
      </w:r>
      <w:r w:rsidRPr="00123823">
        <w:rPr>
          <w:sz w:val="24"/>
          <w:szCs w:val="24"/>
        </w:rPr>
        <w:t xml:space="preserve"> described in Part</w:t>
      </w:r>
      <w:r w:rsidR="008A15F7">
        <w:rPr>
          <w:sz w:val="24"/>
          <w:szCs w:val="24"/>
        </w:rPr>
        <w:t xml:space="preserve"> B.</w:t>
      </w:r>
    </w:p>
    <w:p w14:paraId="6B70B12E" w14:textId="77777777" w:rsidR="005B6E55" w:rsidRPr="00D20211" w:rsidRDefault="00601F1A" w:rsidP="001101D0">
      <w:pPr>
        <w:pStyle w:val="Heading1"/>
        <w:pBdr>
          <w:bottom w:val="none" w:sz="0" w:space="0" w:color="auto"/>
        </w:pBdr>
      </w:pPr>
      <w:bookmarkStart w:id="19" w:name="_Toc493853252"/>
      <w:r w:rsidRPr="00D20211">
        <w:rPr>
          <w:color w:val="auto"/>
        </w:rPr>
        <w:t>A.</w:t>
      </w:r>
      <w:r w:rsidR="00AC62CC" w:rsidRPr="00D20211">
        <w:rPr>
          <w:color w:val="auto"/>
        </w:rPr>
        <w:t>17</w:t>
      </w:r>
      <w:r w:rsidR="002202CC" w:rsidRPr="00D20211">
        <w:rPr>
          <w:color w:val="auto"/>
        </w:rPr>
        <w:t>. Reason</w:t>
      </w:r>
      <w:r w:rsidR="00B45002" w:rsidRPr="00D20211">
        <w:rPr>
          <w:color w:val="auto"/>
        </w:rPr>
        <w:t>(s) Display of OMB Expiration Date is Inappropriate</w:t>
      </w:r>
      <w:bookmarkEnd w:id="19"/>
    </w:p>
    <w:p w14:paraId="5D4A2852" w14:textId="77777777" w:rsidR="0023593F" w:rsidRPr="008A15F7" w:rsidRDefault="0023593F" w:rsidP="00CA00D3">
      <w:pPr>
        <w:spacing w:after="240" w:line="276" w:lineRule="auto"/>
        <w:rPr>
          <w:sz w:val="24"/>
          <w:szCs w:val="24"/>
        </w:rPr>
      </w:pPr>
      <w:r>
        <w:rPr>
          <w:sz w:val="24"/>
          <w:szCs w:val="24"/>
        </w:rPr>
        <w:t>E</w:t>
      </w:r>
      <w:r w:rsidRPr="00123823">
        <w:rPr>
          <w:sz w:val="24"/>
          <w:szCs w:val="24"/>
        </w:rPr>
        <w:t>xemption from displaying the expiration date for the OMB approval o</w:t>
      </w:r>
      <w:r w:rsidR="008A15F7">
        <w:rPr>
          <w:sz w:val="24"/>
          <w:szCs w:val="24"/>
        </w:rPr>
        <w:t>f forms is not being requested.</w:t>
      </w:r>
    </w:p>
    <w:p w14:paraId="00F9C050" w14:textId="77777777" w:rsidR="008C154D" w:rsidRPr="00D20211" w:rsidRDefault="00601F1A" w:rsidP="001101D0">
      <w:pPr>
        <w:pStyle w:val="Heading1"/>
        <w:pBdr>
          <w:bottom w:val="none" w:sz="0" w:space="0" w:color="auto"/>
        </w:pBdr>
        <w:rPr>
          <w:sz w:val="24"/>
          <w:szCs w:val="24"/>
        </w:rPr>
      </w:pPr>
      <w:bookmarkStart w:id="20" w:name="_Toc493853253"/>
      <w:r w:rsidRPr="00D20211">
        <w:rPr>
          <w:color w:val="auto"/>
        </w:rPr>
        <w:t>A.</w:t>
      </w:r>
      <w:r w:rsidR="00B45002" w:rsidRPr="00D20211">
        <w:rPr>
          <w:color w:val="auto"/>
        </w:rPr>
        <w:t>18</w:t>
      </w:r>
      <w:r w:rsidR="002202CC" w:rsidRPr="00D20211">
        <w:rPr>
          <w:color w:val="auto"/>
        </w:rPr>
        <w:t>. Exceptions</w:t>
      </w:r>
      <w:r w:rsidR="00B45002" w:rsidRPr="00D20211">
        <w:rPr>
          <w:color w:val="auto"/>
        </w:rPr>
        <w:t xml:space="preserve"> to Certification for Paperwork Reduction Act Submissions</w:t>
      </w:r>
      <w:bookmarkEnd w:id="20"/>
    </w:p>
    <w:p w14:paraId="08536D78" w14:textId="77777777" w:rsidR="0023593F" w:rsidRPr="002C125D" w:rsidRDefault="0023593F" w:rsidP="00CA00D3">
      <w:pPr>
        <w:spacing w:after="240" w:line="276" w:lineRule="auto"/>
        <w:rPr>
          <w:sz w:val="24"/>
          <w:szCs w:val="24"/>
        </w:rPr>
      </w:pPr>
      <w:r w:rsidRPr="00123823">
        <w:rPr>
          <w:sz w:val="24"/>
          <w:szCs w:val="24"/>
        </w:rPr>
        <w:t>There are no exceptions to the certification.</w:t>
      </w:r>
    </w:p>
    <w:p w14:paraId="039B551D" w14:textId="77777777" w:rsidR="00CA00D3" w:rsidRDefault="00CA00D3">
      <w:pPr>
        <w:rPr>
          <w:rFonts w:ascii="Cambria" w:eastAsiaTheme="majorEastAsia" w:hAnsi="Cambria" w:cstheme="majorBidi"/>
          <w:sz w:val="36"/>
          <w:szCs w:val="36"/>
        </w:rPr>
      </w:pPr>
      <w:r>
        <w:rPr>
          <w:rFonts w:ascii="Cambria" w:hAnsi="Cambria"/>
        </w:rPr>
        <w:br w:type="page"/>
      </w:r>
    </w:p>
    <w:p w14:paraId="791CE135" w14:textId="77777777" w:rsidR="009755DB" w:rsidRDefault="000612A5" w:rsidP="003E5EA9">
      <w:pPr>
        <w:pStyle w:val="Heading1"/>
        <w:pBdr>
          <w:bottom w:val="none" w:sz="0" w:space="0" w:color="auto"/>
        </w:pBdr>
        <w:spacing w:before="0" w:after="0"/>
      </w:pPr>
      <w:bookmarkStart w:id="21" w:name="_Toc493853254"/>
      <w:r w:rsidRPr="00D20211">
        <w:rPr>
          <w:rFonts w:ascii="Cambria" w:hAnsi="Cambria"/>
          <w:color w:val="auto"/>
        </w:rPr>
        <w:t>References</w:t>
      </w:r>
      <w:bookmarkEnd w:id="21"/>
    </w:p>
    <w:p w14:paraId="63F8A221" w14:textId="77777777" w:rsidR="009755DB" w:rsidRDefault="009755DB" w:rsidP="001101D0">
      <w:pPr>
        <w:autoSpaceDE w:val="0"/>
        <w:autoSpaceDN w:val="0"/>
        <w:adjustRightInd w:val="0"/>
        <w:spacing w:before="240" w:after="240" w:line="276" w:lineRule="auto"/>
        <w:rPr>
          <w:rFonts w:eastAsia="BulldogStd" w:cs="BulldogStd"/>
          <w:sz w:val="24"/>
          <w:szCs w:val="24"/>
        </w:rPr>
      </w:pPr>
      <w:r>
        <w:rPr>
          <w:sz w:val="24"/>
          <w:szCs w:val="24"/>
        </w:rPr>
        <w:t xml:space="preserve">(AAP) </w:t>
      </w:r>
      <w:r>
        <w:rPr>
          <w:rFonts w:eastAsia="BulldogStd" w:cs="BulldogStd"/>
          <w:sz w:val="24"/>
          <w:szCs w:val="24"/>
        </w:rPr>
        <w:t xml:space="preserve">American Academy of Pediatrics Council on Environmental Health. Prevention of Childhood Lead Toxicity. </w:t>
      </w:r>
      <w:r>
        <w:rPr>
          <w:rFonts w:eastAsia="BulldogStd" w:cs="BulldogStd-Italic"/>
          <w:i/>
          <w:iCs/>
          <w:sz w:val="24"/>
          <w:szCs w:val="24"/>
        </w:rPr>
        <w:t xml:space="preserve">Pediatrics. </w:t>
      </w:r>
      <w:r>
        <w:rPr>
          <w:rFonts w:eastAsia="BulldogStd" w:cs="BulldogStd"/>
          <w:sz w:val="24"/>
          <w:szCs w:val="24"/>
        </w:rPr>
        <w:t>2016;138(1):e20161493</w:t>
      </w:r>
    </w:p>
    <w:p w14:paraId="5470B590" w14:textId="77777777" w:rsidR="009755DB" w:rsidRDefault="009755DB" w:rsidP="00CA00D3">
      <w:pPr>
        <w:pStyle w:val="Default"/>
        <w:spacing w:after="240" w:line="276" w:lineRule="auto"/>
        <w:rPr>
          <w:rStyle w:val="Hyperlink"/>
        </w:rPr>
      </w:pPr>
      <w:r>
        <w:rPr>
          <w:rFonts w:asciiTheme="minorHAnsi" w:eastAsiaTheme="minorEastAsia" w:hAnsiTheme="minorHAnsi"/>
        </w:rPr>
        <w:t>(ACCLPP)</w:t>
      </w:r>
      <w:r>
        <w:rPr>
          <w:rFonts w:asciiTheme="minorHAnsi" w:eastAsiaTheme="minorEastAsia" w:hAnsiTheme="minorHAnsi" w:cs="Calibri"/>
        </w:rPr>
        <w:t xml:space="preserve"> </w:t>
      </w:r>
      <w:r>
        <w:rPr>
          <w:rFonts w:asciiTheme="minorHAnsi" w:eastAsiaTheme="minorEastAsia" w:hAnsiTheme="minorHAnsi" w:cs="Calibri"/>
          <w:bCs/>
        </w:rPr>
        <w:t>Advisory Committee on Childhood Lead Poisoning Prevention.</w:t>
      </w:r>
      <w:r>
        <w:rPr>
          <w:rFonts w:asciiTheme="minorHAnsi" w:eastAsiaTheme="minorEastAsia" w:hAnsiTheme="minorHAnsi" w:cs="Calibri"/>
        </w:rPr>
        <w:t xml:space="preserve"> </w:t>
      </w:r>
      <w:r>
        <w:rPr>
          <w:rFonts w:asciiTheme="minorHAnsi" w:eastAsiaTheme="minorEastAsia" w:hAnsiTheme="minorHAnsi" w:cs="Calibri"/>
          <w:bCs/>
        </w:rPr>
        <w:t>Low Level Lead Exposure Harms Children: A Renewed Call for Primary Prevention (2012, January). A</w:t>
      </w:r>
      <w:r>
        <w:rPr>
          <w:rFonts w:asciiTheme="minorHAnsi" w:hAnsiTheme="minorHAnsi"/>
        </w:rPr>
        <w:t xml:space="preserve">ccessed 01/20/2017 at </w:t>
      </w:r>
      <w:hyperlink r:id="rId15" w:history="1">
        <w:r>
          <w:rPr>
            <w:rStyle w:val="Hyperlink"/>
            <w:rFonts w:asciiTheme="minorHAnsi" w:hAnsiTheme="minorHAnsi"/>
          </w:rPr>
          <w:t>https://www.cdc.gov/nceh/lead/acclpp/final_document_030712.pdf</w:t>
        </w:r>
      </w:hyperlink>
      <w:r>
        <w:rPr>
          <w:rStyle w:val="Hyperlink"/>
          <w:rFonts w:asciiTheme="minorHAnsi" w:hAnsiTheme="minorHAnsi"/>
        </w:rPr>
        <w:t>.</w:t>
      </w:r>
    </w:p>
    <w:p w14:paraId="02F22C88" w14:textId="77777777" w:rsidR="009755DB" w:rsidRPr="00053664" w:rsidRDefault="009755DB" w:rsidP="00CA00D3">
      <w:pPr>
        <w:shd w:val="clear" w:color="auto" w:fill="FFFFFF"/>
        <w:spacing w:after="240" w:line="276" w:lineRule="auto"/>
      </w:pPr>
      <w:r>
        <w:rPr>
          <w:rStyle w:val="Hyperlink"/>
          <w:sz w:val="24"/>
          <w:szCs w:val="24"/>
        </w:rPr>
        <w:t xml:space="preserve">(ACOG) </w:t>
      </w:r>
      <w:r>
        <w:rPr>
          <w:rFonts w:eastAsia="Times New Roman" w:cs="Lucida Sans Unicode"/>
          <w:sz w:val="24"/>
          <w:szCs w:val="24"/>
        </w:rPr>
        <w:t xml:space="preserve">American College of Obstetricians and Gynecologists. Lead screening during pregnancy and lactation. Committee Opinion No. 533. Obstet Gynecol 2012;120:416–20. Accessed 01/27/2017 at </w:t>
      </w:r>
      <w:hyperlink r:id="rId16" w:history="1">
        <w:r>
          <w:rPr>
            <w:rStyle w:val="Hyperlink"/>
            <w:rFonts w:eastAsia="Times New Roman" w:cs="Lucida Sans Unicode"/>
            <w:sz w:val="24"/>
            <w:szCs w:val="24"/>
          </w:rPr>
          <w:t>http://www.acog.org/Resources-And-Publications/Committee-Opinions/Committee-on-Obstetric-Practice/Lead-Screening-During-Pregnancy-and-Lactation</w:t>
        </w:r>
      </w:hyperlink>
      <w:r>
        <w:rPr>
          <w:rFonts w:eastAsia="Times New Roman" w:cs="Lucida Sans Unicode"/>
          <w:sz w:val="24"/>
          <w:szCs w:val="24"/>
        </w:rPr>
        <w:t xml:space="preserve">. </w:t>
      </w:r>
    </w:p>
    <w:p w14:paraId="1FA3215E" w14:textId="77777777" w:rsidR="009755DB" w:rsidRPr="00053664" w:rsidRDefault="009755DB" w:rsidP="00CA00D3">
      <w:pPr>
        <w:shd w:val="clear" w:color="auto" w:fill="FFFFFF"/>
        <w:spacing w:after="240" w:line="276" w:lineRule="auto"/>
        <w:rPr>
          <w:rFonts w:eastAsia="Times New Roman" w:cs="Arial"/>
          <w:sz w:val="24"/>
          <w:szCs w:val="24"/>
        </w:rPr>
      </w:pPr>
      <w:r>
        <w:rPr>
          <w:rFonts w:eastAsia="Times New Roman" w:cs="Arial"/>
          <w:sz w:val="24"/>
          <w:szCs w:val="24"/>
        </w:rPr>
        <w:t>Annest JL, Mahaffey KR, Cox DH, Roberts J.</w:t>
      </w:r>
      <w:r>
        <w:rPr>
          <w:rFonts w:cs="Arial"/>
          <w:sz w:val="24"/>
          <w:szCs w:val="24"/>
        </w:rPr>
        <w:t xml:space="preserve"> </w:t>
      </w:r>
      <w:r>
        <w:rPr>
          <w:rFonts w:eastAsia="Times New Roman" w:cs="Arial"/>
          <w:bCs/>
          <w:kern w:val="36"/>
          <w:sz w:val="24"/>
          <w:szCs w:val="24"/>
        </w:rPr>
        <w:t xml:space="preserve">Blood lead levels for persons 6 months-74 years of age: United States, 1976-80. </w:t>
      </w:r>
      <w:r>
        <w:rPr>
          <w:rFonts w:eastAsia="Times New Roman" w:cs="Arial"/>
          <w:sz w:val="24"/>
          <w:szCs w:val="24"/>
        </w:rPr>
        <w:t>A</w:t>
      </w:r>
      <w:r w:rsidR="00053664">
        <w:rPr>
          <w:rFonts w:eastAsia="Times New Roman" w:cs="Arial"/>
          <w:sz w:val="24"/>
          <w:szCs w:val="24"/>
        </w:rPr>
        <w:t>dv Data. 1982 May 12;(79):1-23.</w:t>
      </w:r>
    </w:p>
    <w:p w14:paraId="5043E353" w14:textId="77777777" w:rsidR="009755DB" w:rsidRDefault="009755DB" w:rsidP="00CA00D3">
      <w:pPr>
        <w:pStyle w:val="Default"/>
        <w:spacing w:after="240" w:line="276" w:lineRule="auto"/>
        <w:rPr>
          <w:rFonts w:asciiTheme="minorHAnsi" w:hAnsiTheme="minorHAnsi"/>
        </w:rPr>
      </w:pPr>
      <w:r>
        <w:rPr>
          <w:rFonts w:asciiTheme="minorHAnsi" w:eastAsiaTheme="minorEastAsia" w:hAnsiTheme="minorHAnsi"/>
        </w:rPr>
        <w:t xml:space="preserve">(CDC) Centers for Disease Control and Prevention. Managing Elevated Blood Lead Levels Among Young Children: </w:t>
      </w:r>
      <w:r>
        <w:rPr>
          <w:rFonts w:asciiTheme="minorHAnsi" w:hAnsiTheme="minorHAnsi"/>
        </w:rPr>
        <w:t xml:space="preserve">Recommendations from the Advisory Committee on Childhood Lead Poisoning Prevention. Atlanta: CDC; 2002. Accessed 01/20/2017 at </w:t>
      </w:r>
      <w:hyperlink r:id="rId17" w:history="1">
        <w:r w:rsidR="00CA00D3" w:rsidRPr="00274F96">
          <w:rPr>
            <w:rStyle w:val="Hyperlink"/>
            <w:rFonts w:asciiTheme="minorHAnsi" w:hAnsiTheme="minorHAnsi"/>
          </w:rPr>
          <w:t>https://www.cdc.gov/nceh/lead/casemanagement/managingEBLLs.pdf</w:t>
        </w:r>
      </w:hyperlink>
      <w:r>
        <w:rPr>
          <w:rFonts w:asciiTheme="minorHAnsi" w:hAnsiTheme="minorHAnsi"/>
        </w:rPr>
        <w:t xml:space="preserve">. </w:t>
      </w:r>
    </w:p>
    <w:p w14:paraId="5774BF44" w14:textId="77777777" w:rsidR="009755DB" w:rsidRDefault="009755DB" w:rsidP="00CA00D3">
      <w:pPr>
        <w:pStyle w:val="Default"/>
        <w:spacing w:after="240" w:line="276" w:lineRule="auto"/>
        <w:rPr>
          <w:rFonts w:asciiTheme="minorHAnsi" w:eastAsiaTheme="minorEastAsia" w:hAnsiTheme="minorHAnsi"/>
        </w:rPr>
      </w:pPr>
      <w:r>
        <w:rPr>
          <w:rFonts w:asciiTheme="minorHAnsi" w:eastAsiaTheme="minorEastAsia" w:hAnsiTheme="minorHAnsi"/>
        </w:rPr>
        <w:t xml:space="preserve">(CDC) Centers for Disease Control and Prevention. Preventing Lead Poisoning in Young Children.  Atlanta: 2005, August. Accessed 01/20/2017 at </w:t>
      </w:r>
      <w:hyperlink r:id="rId18" w:history="1">
        <w:r>
          <w:rPr>
            <w:rStyle w:val="Hyperlink"/>
            <w:rFonts w:asciiTheme="minorHAnsi" w:eastAsiaTheme="minorEastAsia" w:hAnsiTheme="minorHAnsi"/>
          </w:rPr>
          <w:t>https://www.cdc.gov/nceh/lead/publications/prevleadpoisoning.pdf</w:t>
        </w:r>
      </w:hyperlink>
      <w:r>
        <w:rPr>
          <w:rFonts w:asciiTheme="minorHAnsi" w:eastAsiaTheme="minorEastAsia" w:hAnsiTheme="minorHAnsi"/>
        </w:rPr>
        <w:t>.</w:t>
      </w:r>
    </w:p>
    <w:p w14:paraId="34DA84EC" w14:textId="77777777" w:rsidR="009755DB" w:rsidRDefault="009755DB" w:rsidP="00CA00D3">
      <w:pPr>
        <w:pStyle w:val="Default"/>
        <w:spacing w:after="240" w:line="276" w:lineRule="auto"/>
        <w:rPr>
          <w:rFonts w:asciiTheme="minorHAnsi" w:eastAsiaTheme="minorEastAsia" w:hAnsiTheme="minorHAnsi"/>
        </w:rPr>
      </w:pPr>
      <w:r>
        <w:rPr>
          <w:rFonts w:asciiTheme="minorHAnsi" w:eastAsiaTheme="minorEastAsia" w:hAnsiTheme="minorHAnsi"/>
          <w:color w:val="auto"/>
        </w:rPr>
        <w:t xml:space="preserve">(CDC) Centers for Disease Control and Prevention. </w:t>
      </w:r>
      <w:r>
        <w:rPr>
          <w:rFonts w:asciiTheme="minorHAnsi" w:hAnsiTheme="minorHAnsi"/>
          <w:bCs/>
          <w:color w:val="auto"/>
        </w:rPr>
        <w:t xml:space="preserve">Guidelines for the Identification and Management of Lead Exposure in Pregnant and Lactating Women. Atlanta: 2010, November. Accessed 01/20/2017 at </w:t>
      </w:r>
      <w:hyperlink r:id="rId19" w:history="1">
        <w:r>
          <w:rPr>
            <w:rStyle w:val="Hyperlink"/>
            <w:rFonts w:asciiTheme="minorHAnsi" w:hAnsiTheme="minorHAnsi"/>
            <w:bCs/>
          </w:rPr>
          <w:t>https://www.cdc.gov/nceh/lead/publications/leadandpregnancy2010.pdf</w:t>
        </w:r>
      </w:hyperlink>
      <w:r>
        <w:rPr>
          <w:rFonts w:asciiTheme="minorHAnsi" w:hAnsiTheme="minorHAnsi"/>
          <w:bCs/>
          <w:color w:val="008264"/>
        </w:rPr>
        <w:t xml:space="preserve">. </w:t>
      </w:r>
    </w:p>
    <w:p w14:paraId="3E2A16D2" w14:textId="77777777" w:rsidR="009755DB" w:rsidRDefault="009755DB" w:rsidP="00CA00D3">
      <w:pPr>
        <w:pStyle w:val="Default"/>
        <w:spacing w:after="240" w:line="276" w:lineRule="auto"/>
        <w:rPr>
          <w:rFonts w:asciiTheme="minorHAnsi" w:eastAsiaTheme="minorEastAsia" w:hAnsiTheme="minorHAnsi"/>
        </w:rPr>
      </w:pPr>
      <w:r>
        <w:rPr>
          <w:rFonts w:asciiTheme="minorHAnsi" w:eastAsiaTheme="minorEastAsia" w:hAnsiTheme="minorHAnsi"/>
        </w:rPr>
        <w:t xml:space="preserve">(CDC) Centers for Disease Control and Prevention. </w:t>
      </w:r>
      <w:r>
        <w:rPr>
          <w:rFonts w:asciiTheme="minorHAnsi" w:eastAsiaTheme="minorEastAsia" w:hAnsiTheme="minorHAnsi"/>
          <w:bCs/>
        </w:rPr>
        <w:t>CDC Response to Advisory Committee on Childhood Lead Poisoning Prevention</w:t>
      </w:r>
      <w:r>
        <w:rPr>
          <w:rFonts w:asciiTheme="minorHAnsi" w:eastAsiaTheme="minorEastAsia" w:hAnsiTheme="minorHAnsi"/>
        </w:rPr>
        <w:t xml:space="preserve"> </w:t>
      </w:r>
      <w:r>
        <w:rPr>
          <w:rFonts w:asciiTheme="minorHAnsi" w:eastAsiaTheme="minorEastAsia" w:hAnsiTheme="minorHAnsi"/>
          <w:bCs/>
        </w:rPr>
        <w:t>Recommendations in “</w:t>
      </w:r>
      <w:r>
        <w:rPr>
          <w:rFonts w:asciiTheme="minorHAnsi" w:eastAsiaTheme="minorEastAsia" w:hAnsiTheme="minorHAnsi"/>
          <w:bCs/>
          <w:iCs/>
        </w:rPr>
        <w:t>Low Level Lead Exposure Harms Children: A Renewed Call of Primary Prevention</w:t>
      </w:r>
      <w:r>
        <w:rPr>
          <w:rFonts w:asciiTheme="minorHAnsi" w:eastAsiaTheme="minorEastAsia" w:hAnsiTheme="minorHAnsi"/>
          <w:bCs/>
          <w:i/>
          <w:iCs/>
        </w:rPr>
        <w:t>.</w:t>
      </w:r>
      <w:r>
        <w:rPr>
          <w:rFonts w:asciiTheme="minorHAnsi" w:eastAsiaTheme="minorEastAsia" w:hAnsiTheme="minorHAnsi"/>
          <w:bCs/>
        </w:rPr>
        <w:t xml:space="preserve">” </w:t>
      </w:r>
      <w:r>
        <w:rPr>
          <w:rFonts w:asciiTheme="minorHAnsi" w:eastAsiaTheme="minorEastAsia" w:hAnsiTheme="minorHAnsi"/>
        </w:rPr>
        <w:t xml:space="preserve">Atlanta: 2012, June. Accessed 01/20/2017 at </w:t>
      </w:r>
      <w:hyperlink r:id="rId20" w:history="1">
        <w:r>
          <w:rPr>
            <w:rStyle w:val="Hyperlink"/>
            <w:rFonts w:asciiTheme="minorHAnsi" w:eastAsiaTheme="minorEastAsia" w:hAnsiTheme="minorHAnsi"/>
          </w:rPr>
          <w:t>https://www.cdc.gov/nceh/lead/acclpp/cdc_response_lead_exposure_recs.pdf</w:t>
        </w:r>
      </w:hyperlink>
      <w:r>
        <w:rPr>
          <w:rFonts w:asciiTheme="minorHAnsi" w:eastAsiaTheme="minorEastAsia" w:hAnsiTheme="minorHAnsi"/>
        </w:rPr>
        <w:t>.</w:t>
      </w:r>
    </w:p>
    <w:p w14:paraId="6FBA3BE5" w14:textId="77777777" w:rsidR="009755DB" w:rsidRDefault="009755DB" w:rsidP="00CA00D3">
      <w:pPr>
        <w:pStyle w:val="Default"/>
        <w:spacing w:after="240" w:line="276" w:lineRule="auto"/>
        <w:rPr>
          <w:rFonts w:asciiTheme="minorHAnsi" w:eastAsiaTheme="minorEastAsia" w:hAnsiTheme="minorHAnsi"/>
        </w:rPr>
      </w:pPr>
      <w:r>
        <w:rPr>
          <w:rFonts w:asciiTheme="minorHAnsi" w:eastAsiaTheme="minorEastAsia" w:hAnsiTheme="minorHAnsi"/>
        </w:rPr>
        <w:t xml:space="preserve">(CDC) Centers for Disease Control and Prevention. (NHANES) National Health and Nutrition Examination Survey, 2013-2014: Overview – Let’s Improve Our Nation’s Health. Rockville: 2014. Accessed 01/30/2017 at </w:t>
      </w:r>
      <w:hyperlink r:id="rId21" w:history="1">
        <w:r w:rsidR="00CA00D3" w:rsidRPr="00274F96">
          <w:rPr>
            <w:rStyle w:val="Hyperlink"/>
            <w:rFonts w:asciiTheme="minorHAnsi" w:eastAsiaTheme="minorEastAsia" w:hAnsiTheme="minorHAnsi"/>
          </w:rPr>
          <w:t>https://www.cdc.gov/nchs/data/nhanes/nhanes_13_14/2013-14_overview_brochure.pdf</w:t>
        </w:r>
      </w:hyperlink>
      <w:r>
        <w:rPr>
          <w:rFonts w:asciiTheme="minorHAnsi" w:eastAsiaTheme="minorEastAsia" w:hAnsiTheme="minorHAnsi"/>
        </w:rPr>
        <w:t xml:space="preserve"> </w:t>
      </w:r>
    </w:p>
    <w:p w14:paraId="5698B694" w14:textId="77777777" w:rsidR="009755DB" w:rsidRPr="00053664" w:rsidRDefault="009755DB" w:rsidP="00CA00D3">
      <w:pPr>
        <w:spacing w:after="240" w:line="276" w:lineRule="auto"/>
        <w:rPr>
          <w:sz w:val="24"/>
          <w:szCs w:val="24"/>
        </w:rPr>
      </w:pPr>
      <w:r>
        <w:rPr>
          <w:sz w:val="24"/>
          <w:szCs w:val="24"/>
        </w:rPr>
        <w:t xml:space="preserve">(CDC) </w:t>
      </w:r>
      <w:r>
        <w:rPr>
          <w:rFonts w:cs="Times New Roman"/>
          <w:color w:val="000000"/>
          <w:sz w:val="24"/>
          <w:szCs w:val="24"/>
        </w:rPr>
        <w:t xml:space="preserve">Centers for Disease Control and Prevention. </w:t>
      </w:r>
      <w:hyperlink r:id="rId22" w:history="1">
        <w:r>
          <w:rPr>
            <w:rStyle w:val="Hyperlink"/>
            <w:bCs/>
            <w:sz w:val="24"/>
            <w:szCs w:val="24"/>
          </w:rPr>
          <w:t>National Notifiable Diseases Surveillance System (NNDSS)</w:t>
        </w:r>
      </w:hyperlink>
      <w:r>
        <w:rPr>
          <w:bCs/>
          <w:sz w:val="24"/>
          <w:szCs w:val="24"/>
        </w:rPr>
        <w:t>. Diseases and Conditions – Lead, Elevated Blood Levels, Adult (≥16 Years) and Children (&lt;16 Years).</w:t>
      </w:r>
      <w:r>
        <w:rPr>
          <w:sz w:val="24"/>
          <w:szCs w:val="24"/>
        </w:rPr>
        <w:t xml:space="preserve"> Atlanta: 2016. </w:t>
      </w:r>
      <w:r>
        <w:rPr>
          <w:rFonts w:cs="Palatino-Roman"/>
          <w:sz w:val="24"/>
          <w:szCs w:val="24"/>
        </w:rPr>
        <w:t xml:space="preserve">Accessed 01/20/2017 at </w:t>
      </w:r>
      <w:hyperlink r:id="rId23" w:history="1">
        <w:r>
          <w:rPr>
            <w:rStyle w:val="Hyperlink"/>
            <w:rFonts w:cs="Palatino-Roman"/>
            <w:sz w:val="24"/>
            <w:szCs w:val="24"/>
          </w:rPr>
          <w:t>https://wwwn.cdc.gov/nndss/conditions/lead-elevated-blood-levels/case-definition/2016/</w:t>
        </w:r>
      </w:hyperlink>
      <w:r>
        <w:rPr>
          <w:rFonts w:cs="Palatino-Roman"/>
          <w:sz w:val="24"/>
          <w:szCs w:val="24"/>
        </w:rPr>
        <w:t xml:space="preserve">. </w:t>
      </w:r>
    </w:p>
    <w:p w14:paraId="3BA1254E" w14:textId="77777777" w:rsidR="009755DB" w:rsidRDefault="009755DB" w:rsidP="00CA00D3">
      <w:pPr>
        <w:pStyle w:val="Default"/>
        <w:spacing w:after="240" w:line="276" w:lineRule="auto"/>
        <w:rPr>
          <w:rFonts w:asciiTheme="minorHAnsi" w:hAnsiTheme="minorHAnsi"/>
        </w:rPr>
      </w:pPr>
      <w:r>
        <w:rPr>
          <w:rFonts w:asciiTheme="minorHAnsi" w:hAnsiTheme="minorHAnsi"/>
        </w:rPr>
        <w:t xml:space="preserve">(CMS) Centers for Medicaid and Medicare Services. </w:t>
      </w:r>
      <w:r>
        <w:rPr>
          <w:rFonts w:asciiTheme="minorHAnsi" w:hAnsiTheme="minorHAnsi"/>
          <w:bCs/>
        </w:rPr>
        <w:t xml:space="preserve">Coverage of Blood Lead Testing for Children Enrolled in Medicaid and the Children’s Health Insurance Program: Informational Bulletin. Baltimore: </w:t>
      </w:r>
      <w:r>
        <w:rPr>
          <w:rFonts w:asciiTheme="minorHAnsi" w:hAnsiTheme="minorHAnsi"/>
        </w:rPr>
        <w:t xml:space="preserve">2016, November. Accessed 01/20/2017 at </w:t>
      </w:r>
      <w:hyperlink r:id="rId24" w:history="1">
        <w:r>
          <w:rPr>
            <w:rStyle w:val="Hyperlink"/>
            <w:rFonts w:asciiTheme="minorHAnsi" w:hAnsiTheme="minorHAnsi"/>
          </w:rPr>
          <w:t>https://www.medicaid.gov/federal-policy-guidance/downloads/cib113016.pdf</w:t>
        </w:r>
      </w:hyperlink>
      <w:r>
        <w:rPr>
          <w:rFonts w:asciiTheme="minorHAnsi" w:hAnsiTheme="minorHAnsi"/>
        </w:rPr>
        <w:t xml:space="preserve">. </w:t>
      </w:r>
    </w:p>
    <w:p w14:paraId="3020FD80" w14:textId="77777777" w:rsidR="009755DB" w:rsidRPr="00053664" w:rsidRDefault="009755DB" w:rsidP="00CA00D3">
      <w:pPr>
        <w:pStyle w:val="Default"/>
        <w:spacing w:after="240" w:line="276" w:lineRule="auto"/>
        <w:rPr>
          <w:rStyle w:val="Hyperlink"/>
          <w:rFonts w:asciiTheme="minorHAnsi" w:hAnsiTheme="minorHAnsi"/>
          <w:color w:val="auto"/>
          <w:u w:val="none"/>
        </w:rPr>
      </w:pPr>
      <w:r>
        <w:rPr>
          <w:rFonts w:asciiTheme="minorHAnsi" w:hAnsiTheme="minorHAnsi" w:cs="Arial"/>
          <w:color w:val="auto"/>
        </w:rPr>
        <w:t xml:space="preserve">Newman N, Jones C, Page E, Ceballos D, </w:t>
      </w:r>
      <w:hyperlink r:id="rId25" w:history="1">
        <w:r>
          <w:rPr>
            <w:rStyle w:val="Hyperlink"/>
            <w:rFonts w:asciiTheme="minorHAnsi" w:hAnsiTheme="minorHAnsi" w:cs="Arial"/>
            <w:color w:val="auto"/>
          </w:rPr>
          <w:t>Oza A</w:t>
        </w:r>
      </w:hyperlink>
      <w:r>
        <w:rPr>
          <w:rFonts w:asciiTheme="minorHAnsi" w:hAnsiTheme="minorHAnsi" w:cs="Arial"/>
          <w:color w:val="auto"/>
        </w:rPr>
        <w:t xml:space="preserve">. </w:t>
      </w:r>
      <w:r>
        <w:rPr>
          <w:rStyle w:val="highlight2"/>
          <w:rFonts w:asciiTheme="minorHAnsi" w:eastAsiaTheme="majorEastAsia" w:hAnsiTheme="minorHAnsi" w:cs="Arial"/>
          <w:color w:val="auto"/>
        </w:rPr>
        <w:t>Investigation</w:t>
      </w:r>
      <w:r>
        <w:rPr>
          <w:rFonts w:asciiTheme="minorHAnsi" w:hAnsiTheme="minorHAnsi" w:cs="Arial"/>
          <w:color w:val="auto"/>
        </w:rPr>
        <w:t xml:space="preserve"> of </w:t>
      </w:r>
      <w:r>
        <w:rPr>
          <w:rStyle w:val="highlight2"/>
          <w:rFonts w:asciiTheme="minorHAnsi" w:eastAsiaTheme="majorEastAsia" w:hAnsiTheme="minorHAnsi" w:cs="Arial"/>
          <w:color w:val="auto"/>
        </w:rPr>
        <w:t>Childhood</w:t>
      </w:r>
      <w:r>
        <w:rPr>
          <w:rFonts w:asciiTheme="minorHAnsi" w:hAnsiTheme="minorHAnsi" w:cs="Arial"/>
          <w:color w:val="auto"/>
        </w:rPr>
        <w:t xml:space="preserve"> </w:t>
      </w:r>
      <w:r>
        <w:rPr>
          <w:rStyle w:val="highlight2"/>
          <w:rFonts w:asciiTheme="minorHAnsi" w:eastAsiaTheme="majorEastAsia" w:hAnsiTheme="minorHAnsi" w:cs="Arial"/>
          <w:color w:val="auto"/>
        </w:rPr>
        <w:t>Lead</w:t>
      </w:r>
      <w:r>
        <w:rPr>
          <w:rFonts w:asciiTheme="minorHAnsi" w:hAnsiTheme="minorHAnsi" w:cs="Arial"/>
          <w:color w:val="auto"/>
        </w:rPr>
        <w:t xml:space="preserve"> </w:t>
      </w:r>
      <w:r>
        <w:rPr>
          <w:rStyle w:val="highlight2"/>
          <w:rFonts w:asciiTheme="minorHAnsi" w:eastAsiaTheme="majorEastAsia" w:hAnsiTheme="minorHAnsi" w:cs="Arial"/>
          <w:color w:val="auto"/>
        </w:rPr>
        <w:t>Poisoning</w:t>
      </w:r>
      <w:r>
        <w:rPr>
          <w:rFonts w:asciiTheme="minorHAnsi" w:hAnsiTheme="minorHAnsi" w:cs="Arial"/>
          <w:color w:val="auto"/>
        </w:rPr>
        <w:t xml:space="preserve"> from </w:t>
      </w:r>
      <w:r>
        <w:rPr>
          <w:rStyle w:val="highlight2"/>
          <w:rFonts w:asciiTheme="minorHAnsi" w:eastAsiaTheme="majorEastAsia" w:hAnsiTheme="minorHAnsi" w:cs="Arial"/>
          <w:color w:val="auto"/>
        </w:rPr>
        <w:t>Parental</w:t>
      </w:r>
      <w:r>
        <w:rPr>
          <w:rFonts w:asciiTheme="minorHAnsi" w:hAnsiTheme="minorHAnsi" w:cs="Arial"/>
          <w:color w:val="auto"/>
        </w:rPr>
        <w:t xml:space="preserve"> </w:t>
      </w:r>
      <w:r>
        <w:rPr>
          <w:rStyle w:val="highlight2"/>
          <w:rFonts w:asciiTheme="minorHAnsi" w:eastAsiaTheme="majorEastAsia" w:hAnsiTheme="minorHAnsi" w:cs="Arial"/>
          <w:color w:val="auto"/>
        </w:rPr>
        <w:t>Take-Home</w:t>
      </w:r>
      <w:r>
        <w:rPr>
          <w:rFonts w:asciiTheme="minorHAnsi" w:hAnsiTheme="minorHAnsi" w:cs="Arial"/>
          <w:color w:val="auto"/>
        </w:rPr>
        <w:t xml:space="preserve"> </w:t>
      </w:r>
      <w:r>
        <w:rPr>
          <w:rStyle w:val="highlight2"/>
          <w:rFonts w:asciiTheme="minorHAnsi" w:eastAsiaTheme="majorEastAsia" w:hAnsiTheme="minorHAnsi" w:cs="Arial"/>
          <w:color w:val="auto"/>
        </w:rPr>
        <w:t>Exposure</w:t>
      </w:r>
      <w:r>
        <w:rPr>
          <w:rFonts w:asciiTheme="minorHAnsi" w:hAnsiTheme="minorHAnsi" w:cs="Arial"/>
          <w:color w:val="auto"/>
        </w:rPr>
        <w:t xml:space="preserve"> from an Electronic Scrap Recycling Facility — Ohio, 2012. MMWR Morb Mortal Wkly Rep. 2015 Jul 17;64(27):743-5. Accessed 01/20/2017 at </w:t>
      </w:r>
      <w:hyperlink r:id="rId26" w:history="1">
        <w:r>
          <w:rPr>
            <w:rStyle w:val="Hyperlink"/>
            <w:rFonts w:asciiTheme="minorHAnsi" w:hAnsiTheme="minorHAnsi" w:cs="Arial"/>
          </w:rPr>
          <w:t>https://www.cdc.gov/mmwr/pdf/wk/mm6427.pdf</w:t>
        </w:r>
      </w:hyperlink>
      <w:r>
        <w:rPr>
          <w:rFonts w:asciiTheme="minorHAnsi" w:hAnsiTheme="minorHAnsi" w:cs="Arial"/>
          <w:color w:val="auto"/>
        </w:rPr>
        <w:t xml:space="preserve">. </w:t>
      </w:r>
    </w:p>
    <w:p w14:paraId="7CA9DB02" w14:textId="77777777" w:rsidR="009755DB" w:rsidRPr="00CF2F9A" w:rsidRDefault="009755DB" w:rsidP="00CA00D3">
      <w:pPr>
        <w:pStyle w:val="Default"/>
        <w:spacing w:after="240" w:line="276" w:lineRule="auto"/>
        <w:rPr>
          <w:rStyle w:val="Hyperlink"/>
          <w:rFonts w:asciiTheme="minorHAnsi" w:hAnsiTheme="minorHAnsi" w:cs="Arial"/>
          <w:color w:val="auto"/>
        </w:rPr>
      </w:pPr>
      <w:r>
        <w:rPr>
          <w:rFonts w:asciiTheme="minorHAnsi" w:hAnsiTheme="minorHAnsi" w:cs="Lucida Sans Unicode"/>
        </w:rPr>
        <w:t xml:space="preserve">Raymond J, </w:t>
      </w:r>
      <w:r w:rsidRPr="00CF2F9A">
        <w:rPr>
          <w:rFonts w:asciiTheme="minorHAnsi" w:hAnsiTheme="minorHAnsi" w:cs="Lucida Sans Unicode"/>
        </w:rPr>
        <w:t>Brown MJ.</w:t>
      </w:r>
      <w:r w:rsidRPr="00CF2F9A">
        <w:rPr>
          <w:rFonts w:asciiTheme="minorHAnsi" w:hAnsiTheme="minorHAnsi"/>
        </w:rPr>
        <w:t xml:space="preserve"> </w:t>
      </w:r>
      <w:r w:rsidRPr="00CF2F9A">
        <w:rPr>
          <w:rFonts w:asciiTheme="minorHAnsi" w:hAnsiTheme="minorHAnsi" w:cs="Myriad Pro Light"/>
          <w:bCs/>
        </w:rPr>
        <w:t xml:space="preserve">Childhood Blood Lead Levels — United States, 2007–2012. </w:t>
      </w:r>
      <w:r w:rsidRPr="00CF2F9A">
        <w:rPr>
          <w:rFonts w:asciiTheme="minorHAnsi" w:hAnsiTheme="minorHAnsi" w:cs="Arial"/>
          <w:color w:val="auto"/>
        </w:rPr>
        <w:t>MMWR Morb Mortal Wkly Rep. 2015 Oct 23;62(54):76-80. Erratum published 2015 Nov 20;62(45):1277.</w:t>
      </w:r>
    </w:p>
    <w:p w14:paraId="1B43CED2" w14:textId="77777777" w:rsidR="009755DB" w:rsidRPr="00CF2F9A" w:rsidRDefault="009755DB" w:rsidP="00CF2F9A">
      <w:pPr>
        <w:spacing w:after="240" w:line="276" w:lineRule="auto"/>
        <w:rPr>
          <w:rStyle w:val="Hyperlink"/>
          <w:color w:val="auto"/>
          <w:sz w:val="24"/>
          <w:szCs w:val="24"/>
        </w:rPr>
      </w:pPr>
      <w:r w:rsidRPr="00CF2F9A">
        <w:rPr>
          <w:rStyle w:val="Hyperlink"/>
          <w:color w:val="auto"/>
          <w:sz w:val="24"/>
          <w:szCs w:val="24"/>
          <w:u w:val="none"/>
        </w:rPr>
        <w:t>Wengrovitz AM, Brown MJ. Recommendartions for Blood Lead Screening of Medicaid-eligible Children aged 1-5 Years: an Updated Approach to Targeting a Group at High Risk.</w:t>
      </w:r>
      <w:r w:rsidRPr="00CF2F9A">
        <w:rPr>
          <w:rStyle w:val="Hyperlink"/>
          <w:color w:val="auto"/>
          <w:sz w:val="24"/>
          <w:szCs w:val="24"/>
        </w:rPr>
        <w:t xml:space="preserve"> </w:t>
      </w:r>
      <w:r w:rsidRPr="00CF2F9A">
        <w:rPr>
          <w:rFonts w:cs="Arial"/>
          <w:sz w:val="24"/>
          <w:szCs w:val="24"/>
        </w:rPr>
        <w:t>MMWR Morb Mortal Wkly Rep. 2009 Aug 7;58(RR09)</w:t>
      </w:r>
      <w:r w:rsidRPr="00CF2F9A">
        <w:rPr>
          <w:rStyle w:val="Hyperlink"/>
          <w:color w:val="auto"/>
          <w:sz w:val="24"/>
          <w:szCs w:val="24"/>
        </w:rPr>
        <w:t xml:space="preserve">:1-11. </w:t>
      </w:r>
      <w:r w:rsidRPr="009D15A9">
        <w:rPr>
          <w:rStyle w:val="Hyperlink"/>
          <w:color w:val="auto"/>
          <w:sz w:val="24"/>
          <w:szCs w:val="24"/>
          <w:u w:val="none"/>
        </w:rPr>
        <w:t xml:space="preserve">Accessed 01/30/2017 at </w:t>
      </w:r>
      <w:hyperlink r:id="rId27" w:history="1">
        <w:r w:rsidRPr="00CF2F9A">
          <w:rPr>
            <w:rStyle w:val="Hyperlink"/>
            <w:sz w:val="24"/>
            <w:szCs w:val="24"/>
          </w:rPr>
          <w:t>https://www.cdc.gov/mmwr/pdf/rr/rr5809.pdf</w:t>
        </w:r>
      </w:hyperlink>
      <w:r w:rsidRPr="00CF2F9A">
        <w:rPr>
          <w:rStyle w:val="Hyperlink"/>
          <w:color w:val="auto"/>
          <w:sz w:val="24"/>
          <w:szCs w:val="24"/>
        </w:rPr>
        <w:t xml:space="preserve">. </w:t>
      </w:r>
    </w:p>
    <w:p w14:paraId="136201C5" w14:textId="77777777" w:rsidR="009755DB" w:rsidRPr="00CF2F9A" w:rsidRDefault="009755DB" w:rsidP="00CF2F9A">
      <w:pPr>
        <w:spacing w:after="240" w:line="276" w:lineRule="auto"/>
        <w:rPr>
          <w:rFonts w:cs="Arial"/>
          <w:sz w:val="24"/>
          <w:szCs w:val="24"/>
        </w:rPr>
      </w:pPr>
      <w:r w:rsidRPr="00CF2F9A">
        <w:rPr>
          <w:sz w:val="24"/>
          <w:szCs w:val="24"/>
        </w:rPr>
        <w:t xml:space="preserve">Wheeler W. </w:t>
      </w:r>
      <w:r w:rsidRPr="00CF2F9A">
        <w:rPr>
          <w:rFonts w:cs="Arial"/>
          <w:sz w:val="24"/>
          <w:szCs w:val="24"/>
        </w:rPr>
        <w:t xml:space="preserve">Blood lead levels in children aged 1-5 years - United States, 1999-2010. </w:t>
      </w:r>
      <w:hyperlink r:id="rId28" w:tooltip="MMWR. Morbidity and mortality weekly report." w:history="1">
        <w:r w:rsidRPr="00CF2F9A">
          <w:rPr>
            <w:rStyle w:val="Hyperlink"/>
            <w:rFonts w:cs="Arial"/>
            <w:color w:val="auto"/>
            <w:sz w:val="24"/>
            <w:szCs w:val="24"/>
          </w:rPr>
          <w:t>MMWR Morb Mortal Wkly Rep.</w:t>
        </w:r>
      </w:hyperlink>
      <w:r w:rsidRPr="00CF2F9A">
        <w:rPr>
          <w:rFonts w:cs="Arial"/>
          <w:sz w:val="24"/>
          <w:szCs w:val="24"/>
        </w:rPr>
        <w:t xml:space="preserve"> 2013 Apr 5;62(13):245-8. Accessed 03/03/2017 at </w:t>
      </w:r>
      <w:hyperlink r:id="rId29" w:history="1">
        <w:r w:rsidRPr="00CF2F9A">
          <w:rPr>
            <w:rStyle w:val="Hyperlink"/>
            <w:rFonts w:cs="Arial"/>
            <w:sz w:val="24"/>
            <w:szCs w:val="24"/>
          </w:rPr>
          <w:t>https://www.cdc.gov/mmwr/preview/mmwrhtml/mm6213a3.htm</w:t>
        </w:r>
      </w:hyperlink>
      <w:r w:rsidRPr="00CF2F9A">
        <w:rPr>
          <w:rFonts w:cs="Arial"/>
          <w:sz w:val="24"/>
          <w:szCs w:val="24"/>
        </w:rPr>
        <w:t xml:space="preserve">. </w:t>
      </w:r>
    </w:p>
    <w:p w14:paraId="31EA8DE0" w14:textId="77777777" w:rsidR="009755DB" w:rsidRDefault="009755DB" w:rsidP="009755DB">
      <w:pPr>
        <w:pStyle w:val="Default"/>
        <w:rPr>
          <w:rStyle w:val="Hyperlink"/>
        </w:rPr>
      </w:pPr>
    </w:p>
    <w:p w14:paraId="0E51A3C5" w14:textId="77777777" w:rsidR="009755DB" w:rsidRDefault="009755DB" w:rsidP="009755DB">
      <w:pPr>
        <w:pStyle w:val="Default"/>
        <w:rPr>
          <w:rStyle w:val="Hyperlink"/>
          <w:rFonts w:asciiTheme="minorHAnsi" w:hAnsiTheme="minorHAnsi"/>
        </w:rPr>
      </w:pPr>
    </w:p>
    <w:p w14:paraId="6D04646D" w14:textId="77777777" w:rsidR="00CA00D3" w:rsidRDefault="00CA00D3">
      <w:r>
        <w:br w:type="page"/>
      </w:r>
    </w:p>
    <w:tbl>
      <w:tblPr>
        <w:tblStyle w:val="TableGrid"/>
        <w:tblW w:w="0" w:type="auto"/>
        <w:tblLook w:val="04A0" w:firstRow="1" w:lastRow="0" w:firstColumn="1" w:lastColumn="0" w:noHBand="0" w:noVBand="1"/>
      </w:tblPr>
      <w:tblGrid>
        <w:gridCol w:w="9350"/>
      </w:tblGrid>
      <w:tr w:rsidR="009755DB" w14:paraId="3F9B8788" w14:textId="77777777" w:rsidTr="009755DB">
        <w:tc>
          <w:tcPr>
            <w:tcW w:w="9350" w:type="dxa"/>
            <w:tcBorders>
              <w:top w:val="single" w:sz="4" w:space="0" w:color="auto"/>
              <w:left w:val="single" w:sz="4" w:space="0" w:color="auto"/>
              <w:bottom w:val="single" w:sz="4" w:space="0" w:color="auto"/>
              <w:right w:val="single" w:sz="4" w:space="0" w:color="auto"/>
            </w:tcBorders>
            <w:hideMark/>
          </w:tcPr>
          <w:p w14:paraId="5C8D9BB6" w14:textId="77777777" w:rsidR="009755DB" w:rsidRPr="00CA00D3" w:rsidRDefault="009755DB" w:rsidP="00CA00D3">
            <w:pPr>
              <w:spacing w:after="240"/>
              <w:rPr>
                <w:rFonts w:ascii="Calibri" w:hAnsi="Calibri"/>
                <w:b/>
                <w:sz w:val="24"/>
                <w:szCs w:val="24"/>
              </w:rPr>
            </w:pPr>
            <w:r w:rsidRPr="00CA00D3">
              <w:rPr>
                <w:rFonts w:ascii="Calibri" w:hAnsi="Calibri"/>
                <w:b/>
                <w:sz w:val="24"/>
                <w:szCs w:val="24"/>
                <w:u w:val="single"/>
              </w:rPr>
              <w:t>2014-</w:t>
            </w:r>
            <w:r w:rsidR="00D21E54" w:rsidRPr="00CA00D3">
              <w:rPr>
                <w:rFonts w:ascii="Calibri" w:hAnsi="Calibri"/>
                <w:b/>
                <w:sz w:val="24"/>
                <w:szCs w:val="24"/>
                <w:u w:val="single"/>
              </w:rPr>
              <w:t xml:space="preserve">2017 </w:t>
            </w:r>
            <w:r w:rsidRPr="00CA00D3">
              <w:rPr>
                <w:rFonts w:ascii="Calibri" w:hAnsi="Calibri"/>
                <w:b/>
                <w:sz w:val="24"/>
                <w:szCs w:val="24"/>
                <w:u w:val="single"/>
              </w:rPr>
              <w:t>HHLPPP Publications (n=1</w:t>
            </w:r>
            <w:r w:rsidR="00D21E54" w:rsidRPr="00CA00D3">
              <w:rPr>
                <w:rFonts w:ascii="Calibri" w:hAnsi="Calibri"/>
                <w:b/>
                <w:sz w:val="24"/>
                <w:szCs w:val="24"/>
                <w:u w:val="single"/>
              </w:rPr>
              <w:t>7</w:t>
            </w:r>
            <w:r w:rsidRPr="00CA00D3">
              <w:rPr>
                <w:rFonts w:ascii="Calibri" w:hAnsi="Calibri"/>
                <w:b/>
                <w:sz w:val="24"/>
                <w:szCs w:val="24"/>
                <w:u w:val="single"/>
              </w:rPr>
              <w:t>)</w:t>
            </w:r>
          </w:p>
        </w:tc>
      </w:tr>
      <w:tr w:rsidR="009755DB" w14:paraId="400720D5" w14:textId="77777777" w:rsidTr="009755DB">
        <w:tc>
          <w:tcPr>
            <w:tcW w:w="9350" w:type="dxa"/>
            <w:tcBorders>
              <w:top w:val="single" w:sz="4" w:space="0" w:color="auto"/>
              <w:left w:val="single" w:sz="4" w:space="0" w:color="auto"/>
              <w:bottom w:val="single" w:sz="4" w:space="0" w:color="auto"/>
              <w:right w:val="single" w:sz="4" w:space="0" w:color="auto"/>
            </w:tcBorders>
          </w:tcPr>
          <w:p w14:paraId="4CAB5442" w14:textId="77777777" w:rsidR="009755DB" w:rsidRPr="00CA00D3" w:rsidRDefault="00CA00D3" w:rsidP="00CA00D3">
            <w:pPr>
              <w:spacing w:before="240" w:after="240"/>
              <w:rPr>
                <w:rFonts w:ascii="Calibri" w:hAnsi="Calibri"/>
                <w:sz w:val="24"/>
                <w:szCs w:val="24"/>
              </w:rPr>
            </w:pPr>
            <w:r>
              <w:rPr>
                <w:rFonts w:ascii="Calibri" w:hAnsi="Calibri"/>
                <w:sz w:val="24"/>
                <w:szCs w:val="24"/>
              </w:rPr>
              <w:t>2014 (n=4)</w:t>
            </w:r>
          </w:p>
          <w:p w14:paraId="63CC385F" w14:textId="77777777" w:rsidR="009755DB" w:rsidRPr="00CA00D3" w:rsidRDefault="009755DB" w:rsidP="00CA00D3">
            <w:pPr>
              <w:spacing w:after="240"/>
              <w:rPr>
                <w:rFonts w:ascii="Calibri" w:hAnsi="Calibri"/>
                <w:sz w:val="24"/>
                <w:szCs w:val="24"/>
              </w:rPr>
            </w:pPr>
            <w:r w:rsidRPr="00CA00D3">
              <w:rPr>
                <w:rFonts w:ascii="Calibri" w:hAnsi="Calibri"/>
                <w:sz w:val="24"/>
                <w:szCs w:val="24"/>
              </w:rPr>
              <w:t xml:space="preserve">Basir M, Umar-Tsafe N, Getso K, Kaita IM, Nasidi A, Sani-Gwarzo N, et al. Assessment of blood lead levels among children aged ≤5 Years — Zamfara State, Nigeria, June–July 2012. Morbid Mortal Wkly Rep. 2014;63(15):325-7. Available at </w:t>
            </w:r>
            <w:hyperlink r:id="rId30" w:history="1">
              <w:r w:rsidRPr="00CA00D3">
                <w:rPr>
                  <w:rStyle w:val="Hyperlink"/>
                  <w:rFonts w:ascii="Calibri" w:hAnsi="Calibri"/>
                  <w:sz w:val="24"/>
                  <w:szCs w:val="24"/>
                </w:rPr>
                <w:t>http://www.cdc.gov/mmwr/preview/mmwrhtml/mm6315a2.htm?s_cid=mm6315a2_e</w:t>
              </w:r>
            </w:hyperlink>
            <w:r w:rsidRPr="00CA00D3">
              <w:rPr>
                <w:rFonts w:ascii="Calibri" w:hAnsi="Calibri"/>
                <w:sz w:val="24"/>
                <w:szCs w:val="24"/>
              </w:rPr>
              <w:t xml:space="preserve"> [</w:t>
            </w:r>
            <w:r w:rsidRPr="00CA00D3">
              <w:rPr>
                <w:rFonts w:ascii="Calibri" w:hAnsi="Calibri"/>
                <w:b/>
                <w:bCs/>
                <w:sz w:val="24"/>
                <w:szCs w:val="24"/>
              </w:rPr>
              <w:t>Brown MJ</w:t>
            </w:r>
            <w:r w:rsidR="00CA00D3">
              <w:rPr>
                <w:rFonts w:ascii="Calibri" w:hAnsi="Calibri"/>
                <w:sz w:val="24"/>
                <w:szCs w:val="24"/>
              </w:rPr>
              <w:t>].</w:t>
            </w:r>
          </w:p>
          <w:p w14:paraId="2C9B90E5" w14:textId="77777777" w:rsidR="009755DB" w:rsidRPr="00CA00D3" w:rsidRDefault="009755DB" w:rsidP="00CA00D3">
            <w:pPr>
              <w:spacing w:after="240"/>
              <w:rPr>
                <w:rFonts w:ascii="Calibri" w:hAnsi="Calibri"/>
                <w:sz w:val="24"/>
                <w:szCs w:val="24"/>
              </w:rPr>
            </w:pPr>
            <w:r w:rsidRPr="00CA00D3">
              <w:rPr>
                <w:rFonts w:ascii="Calibri" w:hAnsi="Calibri"/>
                <w:b/>
                <w:bCs/>
                <w:sz w:val="24"/>
                <w:szCs w:val="24"/>
              </w:rPr>
              <w:t>Ponder-Brookins P</w:t>
            </w:r>
            <w:r w:rsidRPr="00CA00D3">
              <w:rPr>
                <w:rFonts w:ascii="Calibri" w:hAnsi="Calibri"/>
                <w:sz w:val="24"/>
                <w:szCs w:val="24"/>
              </w:rPr>
              <w:t xml:space="preserve">, </w:t>
            </w:r>
            <w:r w:rsidRPr="00CA00D3">
              <w:rPr>
                <w:rFonts w:ascii="Calibri" w:hAnsi="Calibri"/>
                <w:b/>
                <w:bCs/>
                <w:sz w:val="24"/>
                <w:szCs w:val="24"/>
              </w:rPr>
              <w:t>Witt J</w:t>
            </w:r>
            <w:r w:rsidRPr="00CA00D3">
              <w:rPr>
                <w:rFonts w:ascii="Calibri" w:hAnsi="Calibri"/>
                <w:sz w:val="24"/>
                <w:szCs w:val="24"/>
              </w:rPr>
              <w:t xml:space="preserve">, Steward J, Greenwell D, </w:t>
            </w:r>
            <w:r w:rsidRPr="00CA00D3">
              <w:rPr>
                <w:rFonts w:ascii="Calibri" w:hAnsi="Calibri"/>
                <w:b/>
                <w:bCs/>
                <w:sz w:val="24"/>
                <w:szCs w:val="24"/>
              </w:rPr>
              <w:t>Chew GL</w:t>
            </w:r>
            <w:r w:rsidRPr="00CA00D3">
              <w:rPr>
                <w:rFonts w:ascii="Calibri" w:hAnsi="Calibri"/>
                <w:sz w:val="24"/>
                <w:szCs w:val="24"/>
              </w:rPr>
              <w:t>, Samuel Y, et al. Incorporating community-based participatory research principles into environmental health research: challenges and lessons learned from a housing pilot study. J Environ Health. 2014;76(10):8-17. [</w:t>
            </w:r>
            <w:r w:rsidRPr="00CA00D3">
              <w:rPr>
                <w:rFonts w:ascii="Calibri" w:hAnsi="Calibri"/>
                <w:b/>
                <w:bCs/>
                <w:sz w:val="24"/>
                <w:szCs w:val="24"/>
              </w:rPr>
              <w:t>Kennedy C</w:t>
            </w:r>
            <w:r w:rsidRPr="00CA00D3">
              <w:rPr>
                <w:rFonts w:ascii="Calibri" w:hAnsi="Calibri"/>
                <w:sz w:val="24"/>
                <w:szCs w:val="24"/>
              </w:rPr>
              <w:t xml:space="preserve">, </w:t>
            </w:r>
            <w:r w:rsidRPr="00CA00D3">
              <w:rPr>
                <w:rFonts w:ascii="Calibri" w:hAnsi="Calibri"/>
                <w:b/>
                <w:bCs/>
                <w:sz w:val="24"/>
                <w:szCs w:val="24"/>
              </w:rPr>
              <w:t>Brown, MJ</w:t>
            </w:r>
            <w:r w:rsidRPr="00CA00D3">
              <w:rPr>
                <w:rFonts w:ascii="Calibri" w:hAnsi="Calibri"/>
                <w:sz w:val="24"/>
                <w:szCs w:val="24"/>
              </w:rPr>
              <w:t xml:space="preserve">] Available at </w:t>
            </w:r>
            <w:hyperlink r:id="rId31" w:history="1">
              <w:r w:rsidRPr="00CA00D3">
                <w:rPr>
                  <w:rStyle w:val="Hyperlink"/>
                  <w:rFonts w:ascii="Calibri" w:hAnsi="Calibri"/>
                  <w:sz w:val="24"/>
                  <w:szCs w:val="24"/>
                </w:rPr>
                <w:t>https://www.ncbi.nlm.nih.gov/pubmed/24988659</w:t>
              </w:r>
            </w:hyperlink>
            <w:r w:rsidR="00CA00D3">
              <w:rPr>
                <w:rFonts w:ascii="Calibri" w:hAnsi="Calibri"/>
                <w:sz w:val="24"/>
                <w:szCs w:val="24"/>
              </w:rPr>
              <w:t xml:space="preserve"> </w:t>
            </w:r>
          </w:p>
          <w:p w14:paraId="671268BF" w14:textId="77777777" w:rsidR="009755DB" w:rsidRPr="00CA00D3" w:rsidRDefault="009755DB" w:rsidP="00CA00D3">
            <w:pPr>
              <w:spacing w:after="240"/>
              <w:rPr>
                <w:rFonts w:ascii="Calibri" w:hAnsi="Calibri"/>
                <w:sz w:val="24"/>
                <w:szCs w:val="24"/>
              </w:rPr>
            </w:pPr>
            <w:r w:rsidRPr="00CA00D3">
              <w:rPr>
                <w:rFonts w:ascii="Calibri" w:hAnsi="Calibri"/>
                <w:b/>
                <w:bCs/>
                <w:sz w:val="24"/>
                <w:szCs w:val="24"/>
              </w:rPr>
              <w:t xml:space="preserve">Raymond J, Wheeler W, Brown MJ. </w:t>
            </w:r>
            <w:r w:rsidRPr="00CA00D3">
              <w:rPr>
                <w:rFonts w:ascii="Calibri" w:hAnsi="Calibri"/>
                <w:sz w:val="24"/>
                <w:szCs w:val="24"/>
              </w:rPr>
              <w:t xml:space="preserve">Lead screening and prevalence of blood lead levels in children aged 1–2 years—Child Blood Lead Surveillance System, United States, 2002–2010 and National Health and Nutrition Examination Survey, United States, 1999–2010 and National Health and Nutrition Examination Survey, United States, 1999–2010. In: Use of selected clinical preventive services to improve the health of infants, children, and adolescents—United States, 1999–2011. MMWR 2014;63(Suppl 2). Available at </w:t>
            </w:r>
            <w:hyperlink r:id="rId32" w:history="1">
              <w:r w:rsidRPr="00CA00D3">
                <w:rPr>
                  <w:rStyle w:val="Hyperlink"/>
                  <w:rFonts w:ascii="Calibri" w:hAnsi="Calibri"/>
                  <w:sz w:val="24"/>
                  <w:szCs w:val="24"/>
                </w:rPr>
                <w:t>http://www.cdc.gov/mmwr/preview/mmwrhtml/su6302a6.htm</w:t>
              </w:r>
            </w:hyperlink>
            <w:r w:rsidR="00CA00D3">
              <w:rPr>
                <w:rFonts w:ascii="Calibri" w:hAnsi="Calibri"/>
                <w:sz w:val="24"/>
                <w:szCs w:val="24"/>
              </w:rPr>
              <w:t xml:space="preserve">. </w:t>
            </w:r>
          </w:p>
          <w:p w14:paraId="48495322" w14:textId="77777777" w:rsidR="009755DB" w:rsidRPr="00CA00D3" w:rsidRDefault="009755DB" w:rsidP="00CA00D3">
            <w:pPr>
              <w:pStyle w:val="Default"/>
              <w:spacing w:after="240"/>
              <w:rPr>
                <w:rFonts w:ascii="Calibri" w:hAnsi="Calibri"/>
                <w:color w:val="0000FF" w:themeColor="hyperlink"/>
                <w:u w:val="single"/>
              </w:rPr>
            </w:pPr>
            <w:r w:rsidRPr="00CA00D3">
              <w:rPr>
                <w:rFonts w:ascii="Calibri" w:hAnsi="Calibri"/>
              </w:rPr>
              <w:t xml:space="preserve">Thurtle N, Greig J, Cooney L, Amitai Y, Ariti C, </w:t>
            </w:r>
            <w:r w:rsidRPr="00CA00D3">
              <w:rPr>
                <w:rFonts w:ascii="Calibri" w:hAnsi="Calibri"/>
                <w:b/>
                <w:bCs/>
              </w:rPr>
              <w:t>Brown MJ</w:t>
            </w:r>
            <w:r w:rsidRPr="00CA00D3">
              <w:rPr>
                <w:rFonts w:ascii="Calibri" w:hAnsi="Calibri"/>
              </w:rPr>
              <w:t xml:space="preserve">, et al. Description of 3,180 courses of chelation with dimercaptosuccinic acid in children ≤5 y with severe lead poisoning in Zamfara, Northern Nigeria: A retrospective analysis of programme data. PLoS Med 11(10): e1001739. Available at </w:t>
            </w:r>
            <w:hyperlink r:id="rId33" w:history="1">
              <w:r w:rsidRPr="00CA00D3">
                <w:rPr>
                  <w:rStyle w:val="Hyperlink"/>
                  <w:rFonts w:ascii="Calibri" w:hAnsi="Calibri"/>
                </w:rPr>
                <w:t>http://journals.plos.org/plosmedicine/article?id=10.1371/journal.pmed.1001739</w:t>
              </w:r>
            </w:hyperlink>
          </w:p>
        </w:tc>
      </w:tr>
      <w:tr w:rsidR="009755DB" w14:paraId="1CA6C2F6" w14:textId="77777777" w:rsidTr="009755DB">
        <w:tc>
          <w:tcPr>
            <w:tcW w:w="9350" w:type="dxa"/>
            <w:tcBorders>
              <w:top w:val="single" w:sz="4" w:space="0" w:color="auto"/>
              <w:left w:val="single" w:sz="4" w:space="0" w:color="auto"/>
              <w:bottom w:val="single" w:sz="4" w:space="0" w:color="auto"/>
              <w:right w:val="single" w:sz="4" w:space="0" w:color="auto"/>
            </w:tcBorders>
          </w:tcPr>
          <w:p w14:paraId="6C837147" w14:textId="77777777" w:rsidR="009755DB" w:rsidRPr="00371C87" w:rsidRDefault="009755DB" w:rsidP="00371C87">
            <w:pPr>
              <w:spacing w:after="240"/>
              <w:rPr>
                <w:sz w:val="24"/>
                <w:szCs w:val="24"/>
              </w:rPr>
            </w:pPr>
            <w:r w:rsidRPr="00371C87">
              <w:rPr>
                <w:sz w:val="24"/>
                <w:szCs w:val="24"/>
              </w:rPr>
              <w:t>2015 (n=6)</w:t>
            </w:r>
          </w:p>
          <w:p w14:paraId="099DB233" w14:textId="77777777" w:rsidR="009755DB" w:rsidRPr="00371C87" w:rsidRDefault="009755DB" w:rsidP="00371C87">
            <w:pPr>
              <w:spacing w:after="240"/>
              <w:rPr>
                <w:rFonts w:cs="Calibri"/>
                <w:color w:val="000000"/>
                <w:sz w:val="24"/>
                <w:szCs w:val="24"/>
              </w:rPr>
            </w:pPr>
            <w:r w:rsidRPr="00371C87">
              <w:rPr>
                <w:rFonts w:cs="Calibri"/>
                <w:color w:val="000000"/>
                <w:sz w:val="24"/>
                <w:szCs w:val="24"/>
              </w:rPr>
              <w:t>Educational Services for Children Affected by Lead Expert Panel. Educational interventions for children affected by lead. Atlanta: U.S. Department of Health and Human Services; 2015 [</w:t>
            </w:r>
            <w:r w:rsidRPr="00371C87">
              <w:rPr>
                <w:rFonts w:cs="Calibri"/>
                <w:b/>
                <w:bCs/>
                <w:color w:val="000000"/>
                <w:sz w:val="24"/>
                <w:szCs w:val="24"/>
              </w:rPr>
              <w:t>Brown MJ</w:t>
            </w:r>
            <w:r w:rsidRPr="00371C87">
              <w:rPr>
                <w:rFonts w:cs="Calibri"/>
                <w:color w:val="000000"/>
                <w:sz w:val="24"/>
                <w:szCs w:val="24"/>
              </w:rPr>
              <w:t>]. This publication is being used by numerous health agencies to collaborate and share with local Head Starts and school depa</w:t>
            </w:r>
            <w:r w:rsidR="00CA00D3" w:rsidRPr="00371C87">
              <w:rPr>
                <w:rFonts w:cs="Calibri"/>
                <w:color w:val="000000"/>
                <w:sz w:val="24"/>
                <w:szCs w:val="24"/>
              </w:rPr>
              <w:t xml:space="preserve">rtments and education leaders. </w:t>
            </w:r>
          </w:p>
          <w:p w14:paraId="01C9F652" w14:textId="77777777" w:rsidR="009755DB" w:rsidRPr="00371C87" w:rsidRDefault="009755DB" w:rsidP="00371C87">
            <w:pPr>
              <w:spacing w:after="240"/>
              <w:rPr>
                <w:rFonts w:cs="Calibri"/>
                <w:color w:val="000000"/>
                <w:sz w:val="24"/>
                <w:szCs w:val="24"/>
              </w:rPr>
            </w:pPr>
            <w:r w:rsidRPr="00371C87">
              <w:rPr>
                <w:rFonts w:cs="Calibri"/>
                <w:color w:val="000000"/>
                <w:sz w:val="24"/>
                <w:szCs w:val="24"/>
              </w:rPr>
              <w:t>Childhood Blood Lead Surveillance System (CBLS)</w:t>
            </w:r>
            <w:r w:rsidR="00CA00D3" w:rsidRPr="00371C87">
              <w:rPr>
                <w:rFonts w:cs="Calibri"/>
                <w:color w:val="000000"/>
                <w:sz w:val="24"/>
                <w:szCs w:val="24"/>
              </w:rPr>
              <w:t xml:space="preserve"> 2014 data on the lead website.</w:t>
            </w:r>
          </w:p>
          <w:p w14:paraId="3BFB4636" w14:textId="77777777" w:rsidR="009755DB" w:rsidRPr="00371C87" w:rsidRDefault="009755DB" w:rsidP="00371C87">
            <w:pPr>
              <w:spacing w:after="240"/>
              <w:rPr>
                <w:rFonts w:cs="Calibri"/>
                <w:color w:val="000000"/>
                <w:sz w:val="24"/>
                <w:szCs w:val="24"/>
              </w:rPr>
            </w:pPr>
            <w:r w:rsidRPr="00371C87">
              <w:rPr>
                <w:rFonts w:cs="Calibri"/>
                <w:b/>
                <w:bCs/>
                <w:color w:val="000000"/>
                <w:sz w:val="24"/>
                <w:szCs w:val="24"/>
              </w:rPr>
              <w:t xml:space="preserve">Mason J, Wheeler W, Brown MJ. </w:t>
            </w:r>
            <w:r w:rsidRPr="00371C87">
              <w:rPr>
                <w:rFonts w:cs="Calibri"/>
                <w:color w:val="000000"/>
                <w:sz w:val="24"/>
                <w:szCs w:val="24"/>
              </w:rPr>
              <w:t>The economic burden of exposure to secondhand smoke for child and adult never smokers residing in U.S. public housing. Public Health Rep. 2015 130(3):230–44. This publication was mentioned on NPR as validation for HUD smoke‐free</w:t>
            </w:r>
            <w:r w:rsidR="00CA00D3" w:rsidRPr="00371C87">
              <w:rPr>
                <w:rFonts w:cs="Calibri"/>
                <w:color w:val="000000"/>
                <w:sz w:val="24"/>
                <w:szCs w:val="24"/>
              </w:rPr>
              <w:t xml:space="preserve"> activities in public housing. </w:t>
            </w:r>
          </w:p>
          <w:p w14:paraId="31C155B8" w14:textId="77777777" w:rsidR="009755DB" w:rsidRPr="00371C87" w:rsidRDefault="009755DB" w:rsidP="00371C87">
            <w:pPr>
              <w:spacing w:after="240"/>
              <w:rPr>
                <w:rFonts w:cs="Calibri"/>
                <w:color w:val="000000"/>
                <w:sz w:val="24"/>
                <w:szCs w:val="24"/>
              </w:rPr>
            </w:pPr>
            <w:r w:rsidRPr="00371C87">
              <w:rPr>
                <w:rFonts w:cs="Calibri"/>
                <w:b/>
                <w:bCs/>
                <w:color w:val="000000"/>
                <w:sz w:val="24"/>
                <w:szCs w:val="24"/>
              </w:rPr>
              <w:t xml:space="preserve">Raymond J, Brown MJ. </w:t>
            </w:r>
            <w:r w:rsidRPr="00371C87">
              <w:rPr>
                <w:rFonts w:cs="Calibri"/>
                <w:color w:val="000000"/>
                <w:sz w:val="24"/>
                <w:szCs w:val="24"/>
              </w:rPr>
              <w:t>Childhood blood lead levels—United States, 2007–2012. MMWR Morb Mortal Wkly Rep 2015;62(54):76‐80. Errata in: MMWR Morb Mor</w:t>
            </w:r>
            <w:r w:rsidR="00CA00D3" w:rsidRPr="00371C87">
              <w:rPr>
                <w:rFonts w:cs="Calibri"/>
                <w:color w:val="000000"/>
                <w:sz w:val="24"/>
                <w:szCs w:val="24"/>
              </w:rPr>
              <w:t xml:space="preserve">tal Wkly Rep 2015;42(45):1277. </w:t>
            </w:r>
          </w:p>
          <w:p w14:paraId="610244FD" w14:textId="77777777" w:rsidR="009755DB" w:rsidRPr="00371C87" w:rsidRDefault="009755DB" w:rsidP="00371C87">
            <w:pPr>
              <w:spacing w:after="240"/>
              <w:rPr>
                <w:rFonts w:cs="Calibri"/>
                <w:color w:val="000000"/>
                <w:sz w:val="24"/>
                <w:szCs w:val="24"/>
              </w:rPr>
            </w:pPr>
            <w:r w:rsidRPr="00371C87">
              <w:rPr>
                <w:rFonts w:cs="Calibri"/>
                <w:b/>
                <w:bCs/>
                <w:color w:val="000000"/>
                <w:sz w:val="24"/>
                <w:szCs w:val="24"/>
              </w:rPr>
              <w:t>Kennedy C</w:t>
            </w:r>
            <w:r w:rsidRPr="00371C87">
              <w:rPr>
                <w:rFonts w:cs="Calibri"/>
                <w:color w:val="000000"/>
                <w:sz w:val="24"/>
                <w:szCs w:val="24"/>
              </w:rPr>
              <w:t xml:space="preserve">, Lordo R, Sucosky MS, Boehm R, </w:t>
            </w:r>
            <w:r w:rsidRPr="00371C87">
              <w:rPr>
                <w:rFonts w:cs="Calibri"/>
                <w:b/>
                <w:bCs/>
                <w:color w:val="000000"/>
                <w:sz w:val="24"/>
                <w:szCs w:val="24"/>
              </w:rPr>
              <w:t>Brown MJ</w:t>
            </w:r>
            <w:r w:rsidRPr="00371C87">
              <w:rPr>
                <w:rFonts w:cs="Calibri"/>
                <w:color w:val="000000"/>
                <w:sz w:val="24"/>
                <w:szCs w:val="24"/>
              </w:rPr>
              <w:t xml:space="preserve">. Evaluating the effectiveness of state specific lead‐based paint hazard risk reduction laws in preventing recurring incidences of lead poisoning in children. Int J Hyg Environ Health. 2016;219(1):110–7. Epub 2015 Oct 9. </w:t>
            </w:r>
          </w:p>
          <w:p w14:paraId="2F1D9340" w14:textId="77777777" w:rsidR="009755DB" w:rsidRPr="00371C87" w:rsidRDefault="009755DB" w:rsidP="00371C87">
            <w:pPr>
              <w:spacing w:after="240"/>
              <w:rPr>
                <w:rFonts w:cs="Calibri"/>
                <w:color w:val="000000"/>
                <w:sz w:val="24"/>
                <w:szCs w:val="24"/>
              </w:rPr>
            </w:pPr>
            <w:r w:rsidRPr="00371C87">
              <w:rPr>
                <w:rFonts w:cs="Calibri"/>
                <w:b/>
                <w:bCs/>
                <w:color w:val="000000"/>
                <w:sz w:val="24"/>
                <w:szCs w:val="24"/>
              </w:rPr>
              <w:t>Dignam T</w:t>
            </w:r>
            <w:r w:rsidRPr="00371C87">
              <w:rPr>
                <w:rFonts w:cs="Calibri"/>
                <w:color w:val="000000"/>
                <w:sz w:val="24"/>
                <w:szCs w:val="24"/>
              </w:rPr>
              <w:t xml:space="preserve">, García BR, De León M, </w:t>
            </w:r>
            <w:r w:rsidRPr="00371C87">
              <w:rPr>
                <w:rFonts w:cs="Calibri"/>
                <w:b/>
                <w:bCs/>
                <w:color w:val="000000"/>
                <w:sz w:val="24"/>
                <w:szCs w:val="24"/>
              </w:rPr>
              <w:t>Curtis G</w:t>
            </w:r>
            <w:r w:rsidRPr="00371C87">
              <w:rPr>
                <w:rFonts w:cs="Calibri"/>
                <w:color w:val="000000"/>
                <w:sz w:val="24"/>
                <w:szCs w:val="24"/>
              </w:rPr>
              <w:t>, Creanga AA, Azofeifa A, et al. Prevalence of Elevated Blood Lead Levels and Risk Factors Among Residents Younger Than 6 Years, Puerto Rico‐2010. J Public Health Manag Pract. 2016;22(1):E22–35. doi: 10.1097/PHH.0000000000000224. [</w:t>
            </w:r>
            <w:r w:rsidRPr="00371C87">
              <w:rPr>
                <w:rFonts w:cs="Calibri"/>
                <w:b/>
                <w:bCs/>
                <w:color w:val="000000"/>
                <w:sz w:val="24"/>
                <w:szCs w:val="24"/>
              </w:rPr>
              <w:t>Kennedy C, Brown MJ</w:t>
            </w:r>
            <w:r w:rsidRPr="00371C87">
              <w:rPr>
                <w:rFonts w:cs="Calibri"/>
                <w:color w:val="000000"/>
                <w:sz w:val="24"/>
                <w:szCs w:val="24"/>
              </w:rPr>
              <w:t>]</w:t>
            </w:r>
            <w:r w:rsidR="00CA00D3" w:rsidRPr="00371C87">
              <w:rPr>
                <w:rFonts w:cs="Calibri"/>
                <w:color w:val="000000"/>
                <w:sz w:val="24"/>
                <w:szCs w:val="24"/>
              </w:rPr>
              <w:t xml:space="preserve"> </w:t>
            </w:r>
          </w:p>
        </w:tc>
      </w:tr>
      <w:tr w:rsidR="009755DB" w14:paraId="4BF5EFE7" w14:textId="77777777" w:rsidTr="009755DB">
        <w:tc>
          <w:tcPr>
            <w:tcW w:w="9350" w:type="dxa"/>
            <w:tcBorders>
              <w:top w:val="single" w:sz="4" w:space="0" w:color="auto"/>
              <w:left w:val="single" w:sz="4" w:space="0" w:color="auto"/>
              <w:bottom w:val="single" w:sz="4" w:space="0" w:color="auto"/>
              <w:right w:val="single" w:sz="4" w:space="0" w:color="auto"/>
            </w:tcBorders>
          </w:tcPr>
          <w:p w14:paraId="4492207F" w14:textId="77777777" w:rsidR="009755DB" w:rsidRPr="00371C87" w:rsidRDefault="009755DB" w:rsidP="00371C87">
            <w:pPr>
              <w:spacing w:after="240"/>
              <w:rPr>
                <w:rFonts w:cs="Calibri"/>
                <w:bCs/>
                <w:color w:val="000000"/>
                <w:sz w:val="24"/>
                <w:szCs w:val="24"/>
                <w:u w:val="single"/>
              </w:rPr>
            </w:pPr>
            <w:r w:rsidRPr="00371C87">
              <w:rPr>
                <w:rFonts w:cs="Calibri"/>
                <w:bCs/>
                <w:color w:val="000000"/>
                <w:sz w:val="24"/>
                <w:szCs w:val="24"/>
                <w:u w:val="single"/>
              </w:rPr>
              <w:t>2016 (n=6)</w:t>
            </w:r>
          </w:p>
          <w:p w14:paraId="34F58CC4" w14:textId="77777777" w:rsidR="009755DB" w:rsidRPr="00371C87" w:rsidRDefault="009755DB" w:rsidP="00371C87">
            <w:pPr>
              <w:spacing w:after="240"/>
              <w:rPr>
                <w:rFonts w:cs="Calibri"/>
                <w:color w:val="000000"/>
                <w:sz w:val="24"/>
                <w:szCs w:val="24"/>
              </w:rPr>
            </w:pPr>
            <w:r w:rsidRPr="00371C87">
              <w:rPr>
                <w:rFonts w:cs="Calibri"/>
                <w:color w:val="000000"/>
                <w:sz w:val="24"/>
                <w:szCs w:val="24"/>
              </w:rPr>
              <w:t xml:space="preserve">Childhood Blood Lead Surveillance System (CBLS) 2015 data on the lead website. </w:t>
            </w:r>
          </w:p>
          <w:p w14:paraId="4B2612DE" w14:textId="77777777" w:rsidR="009755DB" w:rsidRPr="00371C87" w:rsidRDefault="009755DB" w:rsidP="00371C87">
            <w:pPr>
              <w:spacing w:after="240"/>
              <w:rPr>
                <w:rFonts w:cs="Calibri"/>
                <w:color w:val="000000"/>
                <w:sz w:val="24"/>
                <w:szCs w:val="24"/>
              </w:rPr>
            </w:pPr>
            <w:r w:rsidRPr="00371C87">
              <w:rPr>
                <w:rFonts w:cs="Calibri"/>
                <w:b/>
                <w:bCs/>
                <w:color w:val="000000"/>
                <w:sz w:val="24"/>
                <w:szCs w:val="24"/>
              </w:rPr>
              <w:t>Dignam T</w:t>
            </w:r>
            <w:r w:rsidRPr="00371C87">
              <w:rPr>
                <w:rFonts w:cs="Calibri"/>
                <w:color w:val="000000"/>
                <w:sz w:val="24"/>
                <w:szCs w:val="24"/>
              </w:rPr>
              <w:t>, García BR, De León M, Curtis G, Creanga AA, Azofeifa A, et al. Prevalence of elevated blood lead levels and risk factors among residents younger than 6 years, Puerto Rico-2010. J Public Health Manag Pract. 2016;22(1):E22–35. [</w:t>
            </w:r>
            <w:r w:rsidRPr="00371C87">
              <w:rPr>
                <w:rFonts w:cs="Calibri"/>
                <w:b/>
                <w:bCs/>
                <w:color w:val="000000"/>
                <w:sz w:val="24"/>
                <w:szCs w:val="24"/>
              </w:rPr>
              <w:t>Kennedy C, Brown MJ</w:t>
            </w:r>
            <w:r w:rsidRPr="00371C87">
              <w:rPr>
                <w:rFonts w:cs="Calibri"/>
                <w:color w:val="000000"/>
                <w:sz w:val="24"/>
                <w:szCs w:val="24"/>
              </w:rPr>
              <w:t xml:space="preserve">]. </w:t>
            </w:r>
          </w:p>
          <w:p w14:paraId="0EAEBC6C" w14:textId="77777777" w:rsidR="009755DB" w:rsidRPr="00371C87" w:rsidRDefault="009755DB" w:rsidP="00371C87">
            <w:pPr>
              <w:spacing w:after="240"/>
              <w:rPr>
                <w:rFonts w:cs="Calibri"/>
                <w:color w:val="000000"/>
                <w:sz w:val="24"/>
                <w:szCs w:val="24"/>
              </w:rPr>
            </w:pPr>
            <w:r w:rsidRPr="00371C87">
              <w:rPr>
                <w:rFonts w:cs="Calibri"/>
                <w:color w:val="000000"/>
                <w:sz w:val="24"/>
                <w:szCs w:val="24"/>
              </w:rPr>
              <w:t xml:space="preserve">Kaufman JA, </w:t>
            </w:r>
            <w:r w:rsidRPr="00371C87">
              <w:rPr>
                <w:rFonts w:cs="Calibri"/>
                <w:b/>
                <w:bCs/>
                <w:color w:val="000000"/>
                <w:sz w:val="24"/>
                <w:szCs w:val="24"/>
              </w:rPr>
              <w:t>Brown MJ</w:t>
            </w:r>
            <w:r w:rsidRPr="00371C87">
              <w:rPr>
                <w:rFonts w:cs="Calibri"/>
                <w:color w:val="000000"/>
                <w:sz w:val="24"/>
                <w:szCs w:val="24"/>
              </w:rPr>
              <w:t xml:space="preserve">, Umar-Tsafe NT, Adbullah MB, Getso KI, Kaita IM, et al. Prevalence and risk factors of elevated blood lead in children in gold ore processing communities, Zamfara, Nigeria, 2012. J Health Pollut. 2016;6(11):2–8. </w:t>
            </w:r>
          </w:p>
          <w:p w14:paraId="607F32AE" w14:textId="77777777" w:rsidR="009755DB" w:rsidRPr="00371C87" w:rsidRDefault="009755DB" w:rsidP="00371C87">
            <w:pPr>
              <w:spacing w:after="240"/>
              <w:rPr>
                <w:rFonts w:cs="Calibri"/>
                <w:color w:val="000000"/>
                <w:sz w:val="24"/>
                <w:szCs w:val="24"/>
              </w:rPr>
            </w:pPr>
            <w:r w:rsidRPr="00371C87">
              <w:rPr>
                <w:rFonts w:cs="Calibri"/>
                <w:b/>
                <w:bCs/>
                <w:color w:val="000000"/>
                <w:sz w:val="24"/>
                <w:szCs w:val="24"/>
              </w:rPr>
              <w:t>Kennedy C</w:t>
            </w:r>
            <w:r w:rsidRPr="00371C87">
              <w:rPr>
                <w:rFonts w:cs="Calibri"/>
                <w:color w:val="000000"/>
                <w:sz w:val="24"/>
                <w:szCs w:val="24"/>
              </w:rPr>
              <w:t xml:space="preserve">, Lordo R, </w:t>
            </w:r>
            <w:r w:rsidRPr="00371C87">
              <w:rPr>
                <w:rFonts w:cs="Calibri"/>
                <w:b/>
                <w:bCs/>
                <w:color w:val="000000"/>
                <w:sz w:val="24"/>
                <w:szCs w:val="24"/>
              </w:rPr>
              <w:t>Sucosky MS</w:t>
            </w:r>
            <w:r w:rsidRPr="00371C87">
              <w:rPr>
                <w:rFonts w:cs="Calibri"/>
                <w:color w:val="000000"/>
                <w:sz w:val="24"/>
                <w:szCs w:val="24"/>
              </w:rPr>
              <w:t xml:space="preserve">, Boehm R, </w:t>
            </w:r>
            <w:r w:rsidRPr="00371C87">
              <w:rPr>
                <w:rFonts w:cs="Calibri"/>
                <w:b/>
                <w:bCs/>
                <w:color w:val="000000"/>
                <w:sz w:val="24"/>
                <w:szCs w:val="24"/>
              </w:rPr>
              <w:t>Brown MJ</w:t>
            </w:r>
            <w:r w:rsidRPr="00371C87">
              <w:rPr>
                <w:rFonts w:cs="Calibri"/>
                <w:color w:val="000000"/>
                <w:sz w:val="24"/>
                <w:szCs w:val="24"/>
              </w:rPr>
              <w:t xml:space="preserve">. Evaluating the effectiveness of state specific lead-based paint hazard risk reduction laws in preventing recurring incidences of lead poisoning in children. Int J Hyg Environ Health. 2016;219(1):110–7. Epub 2015 Oct 9. </w:t>
            </w:r>
          </w:p>
          <w:p w14:paraId="0AC826F0" w14:textId="77777777" w:rsidR="009755DB" w:rsidRPr="00371C87" w:rsidRDefault="009755DB" w:rsidP="00371C87">
            <w:pPr>
              <w:spacing w:after="240"/>
              <w:rPr>
                <w:rFonts w:cs="Calibri"/>
                <w:color w:val="000000"/>
                <w:sz w:val="24"/>
                <w:szCs w:val="24"/>
              </w:rPr>
            </w:pPr>
            <w:r w:rsidRPr="00371C87">
              <w:rPr>
                <w:rFonts w:cs="Calibri"/>
                <w:color w:val="000000"/>
                <w:sz w:val="24"/>
                <w:szCs w:val="24"/>
              </w:rPr>
              <w:t>Kennedy C, Yard E, Dignam T, et al. Blood lead levels among children aged &lt;6 Years—Flint, Michigan, 2013–2016. MMWR. 2016;65. [</w:t>
            </w:r>
            <w:r w:rsidRPr="00371C87">
              <w:rPr>
                <w:rFonts w:cs="Calibri"/>
                <w:b/>
                <w:bCs/>
                <w:color w:val="000000"/>
                <w:sz w:val="24"/>
                <w:szCs w:val="24"/>
              </w:rPr>
              <w:t>Buchanan S, Brown MJ, Raymond J, Rogers HS, Sarisky J</w:t>
            </w:r>
            <w:r w:rsidRPr="00371C87">
              <w:rPr>
                <w:rFonts w:cs="Calibri"/>
                <w:color w:val="000000"/>
                <w:sz w:val="24"/>
                <w:szCs w:val="24"/>
              </w:rPr>
              <w:t xml:space="preserve">] </w:t>
            </w:r>
          </w:p>
          <w:p w14:paraId="3B8A83FA" w14:textId="77777777" w:rsidR="009755DB" w:rsidRPr="00371C87" w:rsidRDefault="009755DB" w:rsidP="00371C87">
            <w:pPr>
              <w:spacing w:after="240"/>
              <w:rPr>
                <w:rFonts w:cs="Calibri"/>
                <w:color w:val="000000"/>
                <w:sz w:val="24"/>
                <w:szCs w:val="24"/>
              </w:rPr>
            </w:pPr>
            <w:r w:rsidRPr="00371C87">
              <w:rPr>
                <w:rFonts w:cs="Calibri"/>
                <w:b/>
                <w:bCs/>
                <w:color w:val="000000"/>
                <w:sz w:val="24"/>
                <w:szCs w:val="24"/>
              </w:rPr>
              <w:t>Raymond J, Brown MJ</w:t>
            </w:r>
            <w:r w:rsidRPr="00371C87">
              <w:rPr>
                <w:rFonts w:cs="Calibri"/>
                <w:color w:val="000000"/>
                <w:sz w:val="24"/>
                <w:szCs w:val="24"/>
              </w:rPr>
              <w:t>. Blood lead levels in children aged &lt;5 years — United States, 2007–2013. MMWR. 2016;63:</w:t>
            </w:r>
            <w:r w:rsidR="006F46F6" w:rsidRPr="00371C87">
              <w:rPr>
                <w:rFonts w:cs="Calibri"/>
                <w:color w:val="000000"/>
                <w:sz w:val="24"/>
                <w:szCs w:val="24"/>
              </w:rPr>
              <w:t xml:space="preserve"> </w:t>
            </w:r>
            <w:r w:rsidR="00CA00D3" w:rsidRPr="00371C87">
              <w:rPr>
                <w:rFonts w:cs="Calibri"/>
                <w:color w:val="000000"/>
                <w:sz w:val="24"/>
                <w:szCs w:val="24"/>
              </w:rPr>
              <w:t xml:space="preserve">66–72. </w:t>
            </w:r>
          </w:p>
        </w:tc>
      </w:tr>
      <w:tr w:rsidR="00B44DD3" w14:paraId="360C4035" w14:textId="77777777" w:rsidTr="009755DB">
        <w:tc>
          <w:tcPr>
            <w:tcW w:w="9350" w:type="dxa"/>
            <w:tcBorders>
              <w:top w:val="single" w:sz="4" w:space="0" w:color="auto"/>
              <w:left w:val="single" w:sz="4" w:space="0" w:color="auto"/>
              <w:bottom w:val="single" w:sz="4" w:space="0" w:color="auto"/>
              <w:right w:val="single" w:sz="4" w:space="0" w:color="auto"/>
            </w:tcBorders>
          </w:tcPr>
          <w:p w14:paraId="350141D7" w14:textId="77777777" w:rsidR="00B44DD3" w:rsidRPr="00371C87" w:rsidRDefault="00B44DD3" w:rsidP="00371C87">
            <w:pPr>
              <w:spacing w:after="240"/>
              <w:rPr>
                <w:rFonts w:cs="Calibri"/>
                <w:bCs/>
                <w:color w:val="000000"/>
                <w:sz w:val="24"/>
                <w:szCs w:val="24"/>
                <w:u w:val="single"/>
              </w:rPr>
            </w:pPr>
            <w:r w:rsidRPr="00371C87">
              <w:rPr>
                <w:rFonts w:cs="Calibri"/>
                <w:bCs/>
                <w:color w:val="000000"/>
                <w:sz w:val="24"/>
                <w:szCs w:val="24"/>
                <w:u w:val="single"/>
              </w:rPr>
              <w:t>2017 (n=1)</w:t>
            </w:r>
          </w:p>
          <w:p w14:paraId="0C47B58B" w14:textId="77777777" w:rsidR="00B44DD3" w:rsidRPr="00371C87" w:rsidRDefault="00C65518" w:rsidP="00371C87">
            <w:pPr>
              <w:spacing w:after="240"/>
              <w:rPr>
                <w:rFonts w:cs="Calibri"/>
                <w:color w:val="000000"/>
                <w:sz w:val="24"/>
                <w:szCs w:val="24"/>
              </w:rPr>
            </w:pPr>
            <w:r w:rsidRPr="00371C87">
              <w:rPr>
                <w:rFonts w:cs="Calibri"/>
                <w:b/>
                <w:bCs/>
                <w:color w:val="000000"/>
                <w:sz w:val="24"/>
                <w:szCs w:val="24"/>
              </w:rPr>
              <w:t>Raymond J, Brown MJ.</w:t>
            </w:r>
            <w:r w:rsidRPr="00371C87">
              <w:rPr>
                <w:color w:val="333333"/>
                <w:sz w:val="24"/>
                <w:szCs w:val="24"/>
              </w:rPr>
              <w:t xml:space="preserve"> </w:t>
            </w:r>
            <w:hyperlink r:id="rId34" w:history="1">
              <w:r w:rsidRPr="00371C87">
                <w:rPr>
                  <w:rFonts w:cs="Calibri"/>
                  <w:color w:val="000000"/>
                  <w:sz w:val="24"/>
                  <w:szCs w:val="24"/>
                </w:rPr>
                <w:t>Childhood Blood Lead Levels in Children Aged &lt;5 Years — United States, 2007–2014</w:t>
              </w:r>
            </w:hyperlink>
            <w:r w:rsidRPr="00371C87">
              <w:rPr>
                <w:rFonts w:cs="Calibri"/>
                <w:color w:val="000000"/>
                <w:sz w:val="24"/>
                <w:szCs w:val="24"/>
              </w:rPr>
              <w:t>. MMW</w:t>
            </w:r>
            <w:r w:rsidR="00053664" w:rsidRPr="00371C87">
              <w:rPr>
                <w:rFonts w:cs="Calibri"/>
                <w:color w:val="000000"/>
                <w:sz w:val="24"/>
                <w:szCs w:val="24"/>
              </w:rPr>
              <w:t>R. January 20, 2017 / 66; 1-10.</w:t>
            </w:r>
          </w:p>
        </w:tc>
      </w:tr>
    </w:tbl>
    <w:p w14:paraId="0F07F943" w14:textId="77777777" w:rsidR="009755DB" w:rsidRDefault="009755DB" w:rsidP="009755DB">
      <w:pPr>
        <w:pStyle w:val="Default"/>
        <w:rPr>
          <w:rFonts w:asciiTheme="minorHAnsi" w:hAnsiTheme="minorHAnsi"/>
        </w:rPr>
      </w:pPr>
    </w:p>
    <w:p w14:paraId="3FF2482C" w14:textId="77777777" w:rsidR="00E85325" w:rsidRDefault="00E85325">
      <w:pPr>
        <w:rPr>
          <w:rFonts w:ascii="Cambria" w:eastAsiaTheme="majorEastAsia" w:hAnsi="Cambria" w:cstheme="majorBidi"/>
          <w:sz w:val="36"/>
          <w:szCs w:val="36"/>
        </w:rPr>
      </w:pPr>
      <w:bookmarkStart w:id="22" w:name="_Toc493853255"/>
      <w:r>
        <w:rPr>
          <w:rFonts w:ascii="Cambria" w:hAnsi="Cambria"/>
        </w:rPr>
        <w:br w:type="page"/>
      </w:r>
    </w:p>
    <w:p w14:paraId="4CC788BD" w14:textId="77777777" w:rsidR="008C154D" w:rsidRPr="00D20211" w:rsidRDefault="00CA00D3" w:rsidP="008C154D">
      <w:pPr>
        <w:pStyle w:val="Heading1"/>
        <w:pBdr>
          <w:bottom w:val="none" w:sz="0" w:space="0" w:color="auto"/>
        </w:pBdr>
        <w:rPr>
          <w:rFonts w:ascii="Cambria" w:hAnsi="Cambria"/>
          <w:color w:val="auto"/>
        </w:rPr>
      </w:pPr>
      <w:r>
        <w:rPr>
          <w:rFonts w:ascii="Cambria" w:hAnsi="Cambria"/>
          <w:color w:val="auto"/>
        </w:rPr>
        <w:t>L</w:t>
      </w:r>
      <w:r w:rsidR="00E278FC" w:rsidRPr="00D20211">
        <w:rPr>
          <w:rFonts w:ascii="Cambria" w:hAnsi="Cambria"/>
          <w:color w:val="auto"/>
        </w:rPr>
        <w:t>ist of</w:t>
      </w:r>
      <w:r w:rsidR="008C154D" w:rsidRPr="00D20211">
        <w:rPr>
          <w:rFonts w:ascii="Cambria" w:hAnsi="Cambria"/>
          <w:color w:val="auto"/>
        </w:rPr>
        <w:t xml:space="preserve"> Attachments</w:t>
      </w:r>
      <w:bookmarkEnd w:id="22"/>
    </w:p>
    <w:p w14:paraId="1DD5A2D0" w14:textId="2888CFFC" w:rsidR="00D778BF" w:rsidRPr="00E67191" w:rsidRDefault="006F7879" w:rsidP="00E67191">
      <w:pPr>
        <w:spacing w:after="240" w:line="276" w:lineRule="auto"/>
        <w:rPr>
          <w:rFonts w:ascii="Cambria" w:hAnsi="Cambria"/>
          <w:sz w:val="24"/>
          <w:szCs w:val="24"/>
        </w:rPr>
      </w:pPr>
      <w:r w:rsidRPr="00E67191">
        <w:rPr>
          <w:rFonts w:ascii="Cambria" w:hAnsi="Cambria"/>
          <w:sz w:val="24"/>
          <w:szCs w:val="24"/>
        </w:rPr>
        <w:t>Attachment 1</w:t>
      </w:r>
      <w:r w:rsidR="001D489E" w:rsidRPr="00E67191">
        <w:rPr>
          <w:rFonts w:ascii="Cambria" w:hAnsi="Cambria"/>
          <w:sz w:val="24"/>
          <w:szCs w:val="24"/>
        </w:rPr>
        <w:t>:</w:t>
      </w:r>
      <w:r w:rsidR="00654307" w:rsidRPr="00E67191">
        <w:rPr>
          <w:rFonts w:ascii="Cambria" w:hAnsi="Cambria"/>
          <w:sz w:val="24"/>
          <w:szCs w:val="24"/>
        </w:rPr>
        <w:t xml:space="preserve"> </w:t>
      </w:r>
      <w:r w:rsidR="003F79D3">
        <w:rPr>
          <w:rFonts w:ascii="Cambria" w:hAnsi="Cambria"/>
          <w:sz w:val="24"/>
          <w:szCs w:val="24"/>
        </w:rPr>
        <w:t>HHLPSS</w:t>
      </w:r>
      <w:r w:rsidR="003F79D3" w:rsidRPr="00E67191">
        <w:rPr>
          <w:rFonts w:ascii="Cambria" w:hAnsi="Cambria"/>
          <w:sz w:val="24"/>
          <w:szCs w:val="24"/>
        </w:rPr>
        <w:t xml:space="preserve"> Authority Authorizing Legislation</w:t>
      </w:r>
    </w:p>
    <w:p w14:paraId="0331A67F" w14:textId="77777777" w:rsidR="008C154D" w:rsidRPr="00E67191" w:rsidRDefault="008C154D" w:rsidP="00E67191">
      <w:pPr>
        <w:spacing w:after="240" w:line="276" w:lineRule="auto"/>
        <w:rPr>
          <w:rFonts w:ascii="Cambria" w:hAnsi="Cambria"/>
          <w:sz w:val="24"/>
          <w:szCs w:val="24"/>
        </w:rPr>
      </w:pPr>
      <w:r w:rsidRPr="00E67191">
        <w:rPr>
          <w:rFonts w:ascii="Cambria" w:hAnsi="Cambria"/>
          <w:sz w:val="24"/>
          <w:szCs w:val="24"/>
        </w:rPr>
        <w:t xml:space="preserve">Attachment </w:t>
      </w:r>
      <w:r w:rsidR="001D489E" w:rsidRPr="00E67191">
        <w:rPr>
          <w:rFonts w:ascii="Cambria" w:hAnsi="Cambria"/>
          <w:sz w:val="24"/>
          <w:szCs w:val="24"/>
        </w:rPr>
        <w:t>2</w:t>
      </w:r>
      <w:r w:rsidR="00412EEF" w:rsidRPr="00E67191">
        <w:rPr>
          <w:rFonts w:ascii="Cambria" w:hAnsi="Cambria"/>
          <w:sz w:val="24"/>
          <w:szCs w:val="24"/>
        </w:rPr>
        <w:t>. 60-D</w:t>
      </w:r>
      <w:r w:rsidRPr="00E67191">
        <w:rPr>
          <w:rFonts w:ascii="Cambria" w:hAnsi="Cambria"/>
          <w:sz w:val="24"/>
          <w:szCs w:val="24"/>
        </w:rPr>
        <w:t>ay Federal Register Notice</w:t>
      </w:r>
    </w:p>
    <w:p w14:paraId="22CCF8D5" w14:textId="77777777" w:rsidR="008C154D" w:rsidRPr="00E67191" w:rsidRDefault="008C154D" w:rsidP="00E67191">
      <w:pPr>
        <w:spacing w:after="240" w:line="276" w:lineRule="auto"/>
        <w:rPr>
          <w:rFonts w:ascii="Cambria" w:hAnsi="Cambria"/>
          <w:sz w:val="24"/>
          <w:szCs w:val="24"/>
        </w:rPr>
      </w:pPr>
      <w:r w:rsidRPr="00E67191">
        <w:rPr>
          <w:rFonts w:ascii="Cambria" w:hAnsi="Cambria"/>
          <w:sz w:val="24"/>
          <w:szCs w:val="24"/>
        </w:rPr>
        <w:t xml:space="preserve">Attachment </w:t>
      </w:r>
      <w:r w:rsidR="001D489E" w:rsidRPr="00E67191">
        <w:rPr>
          <w:rFonts w:ascii="Cambria" w:hAnsi="Cambria"/>
          <w:sz w:val="24"/>
          <w:szCs w:val="24"/>
        </w:rPr>
        <w:t>3</w:t>
      </w:r>
      <w:r w:rsidR="00011433" w:rsidRPr="00E67191">
        <w:rPr>
          <w:rFonts w:ascii="Cambria" w:hAnsi="Cambria"/>
          <w:sz w:val="24"/>
          <w:szCs w:val="24"/>
        </w:rPr>
        <w:t>.</w:t>
      </w:r>
      <w:r w:rsidRPr="00E67191">
        <w:rPr>
          <w:rFonts w:ascii="Cambria" w:hAnsi="Cambria"/>
          <w:sz w:val="24"/>
          <w:szCs w:val="24"/>
        </w:rPr>
        <w:t xml:space="preserve"> </w:t>
      </w:r>
      <w:r w:rsidR="00B60DC0" w:rsidRPr="00E67191">
        <w:rPr>
          <w:rFonts w:ascii="Cambria" w:hAnsi="Cambria"/>
          <w:sz w:val="24"/>
          <w:szCs w:val="24"/>
        </w:rPr>
        <w:t xml:space="preserve">2013 </w:t>
      </w:r>
      <w:r w:rsidR="001C7F7C">
        <w:rPr>
          <w:rFonts w:ascii="Cambria" w:hAnsi="Cambria"/>
          <w:sz w:val="24"/>
          <w:szCs w:val="24"/>
        </w:rPr>
        <w:t>HHLPSS</w:t>
      </w:r>
      <w:r w:rsidR="00B60DC0" w:rsidRPr="00E67191">
        <w:rPr>
          <w:rFonts w:ascii="Cambria" w:hAnsi="Cambria"/>
          <w:sz w:val="24"/>
          <w:szCs w:val="24"/>
        </w:rPr>
        <w:t xml:space="preserve"> Deployment </w:t>
      </w:r>
      <w:r w:rsidR="001D489E" w:rsidRPr="00E67191">
        <w:rPr>
          <w:rFonts w:ascii="Cambria" w:hAnsi="Cambria"/>
          <w:sz w:val="24"/>
          <w:szCs w:val="24"/>
        </w:rPr>
        <w:t>(if still required)</w:t>
      </w:r>
    </w:p>
    <w:p w14:paraId="2C72BAAE" w14:textId="77777777" w:rsidR="00A71AF6" w:rsidRPr="00E67191" w:rsidRDefault="00A71AF6" w:rsidP="00E67191">
      <w:pPr>
        <w:spacing w:after="240" w:line="276" w:lineRule="auto"/>
        <w:rPr>
          <w:rFonts w:ascii="Cambria" w:hAnsi="Cambria"/>
          <w:sz w:val="24"/>
          <w:szCs w:val="24"/>
        </w:rPr>
      </w:pPr>
      <w:r w:rsidRPr="00E67191">
        <w:rPr>
          <w:rFonts w:ascii="Cambria" w:hAnsi="Cambria"/>
          <w:sz w:val="24"/>
          <w:szCs w:val="24"/>
        </w:rPr>
        <w:t xml:space="preserve">Attachment </w:t>
      </w:r>
      <w:r w:rsidR="006569B8" w:rsidRPr="00E67191">
        <w:rPr>
          <w:rFonts w:ascii="Cambria" w:hAnsi="Cambria"/>
          <w:sz w:val="24"/>
          <w:szCs w:val="24"/>
        </w:rPr>
        <w:t>4</w:t>
      </w:r>
      <w:r w:rsidRPr="00E67191">
        <w:rPr>
          <w:rFonts w:ascii="Cambria" w:hAnsi="Cambria"/>
          <w:sz w:val="24"/>
          <w:szCs w:val="24"/>
        </w:rPr>
        <w:t>. Healthy Homes and Lead Poisoning Prevention Surveillance System (</w:t>
      </w:r>
      <w:r w:rsidR="001C7F7C">
        <w:rPr>
          <w:rFonts w:ascii="Cambria" w:hAnsi="Cambria"/>
          <w:sz w:val="24"/>
          <w:szCs w:val="24"/>
        </w:rPr>
        <w:t>HHLPSS</w:t>
      </w:r>
      <w:r w:rsidRPr="00E67191">
        <w:rPr>
          <w:rFonts w:ascii="Cambria" w:hAnsi="Cambria"/>
          <w:sz w:val="24"/>
          <w:szCs w:val="24"/>
        </w:rPr>
        <w:t>) Variables</w:t>
      </w:r>
    </w:p>
    <w:p w14:paraId="487071A3" w14:textId="77777777" w:rsidR="001F7EFE" w:rsidRPr="00E67191" w:rsidRDefault="001F7EFE" w:rsidP="00E67191">
      <w:pPr>
        <w:spacing w:after="240" w:line="276" w:lineRule="auto"/>
        <w:rPr>
          <w:rFonts w:ascii="Cambria" w:hAnsi="Cambria"/>
          <w:sz w:val="24"/>
          <w:szCs w:val="24"/>
        </w:rPr>
      </w:pPr>
      <w:r w:rsidRPr="00E67191">
        <w:rPr>
          <w:rFonts w:ascii="Cambria" w:hAnsi="Cambria"/>
          <w:sz w:val="24"/>
          <w:szCs w:val="24"/>
        </w:rPr>
        <w:t>Attachment 5. CDC-RFA-EH14-</w:t>
      </w:r>
      <w:r w:rsidRPr="00E67191">
        <w:rPr>
          <w:rFonts w:ascii="Cambria" w:hAnsi="Cambria"/>
          <w:color w:val="000000"/>
          <w:sz w:val="24"/>
          <w:szCs w:val="24"/>
        </w:rPr>
        <w:t>1408PPHF14 Corporative Agreement</w:t>
      </w:r>
      <w:r w:rsidRPr="00E67191">
        <w:rPr>
          <w:rFonts w:ascii="Cambria" w:hAnsi="Cambria"/>
          <w:sz w:val="24"/>
          <w:szCs w:val="24"/>
        </w:rPr>
        <w:t xml:space="preserve"> </w:t>
      </w:r>
    </w:p>
    <w:p w14:paraId="1CC45E8C" w14:textId="77777777" w:rsidR="00C40897" w:rsidRPr="00E67191" w:rsidRDefault="00A71AF6" w:rsidP="00E67191">
      <w:pPr>
        <w:spacing w:after="240" w:line="276" w:lineRule="auto"/>
        <w:rPr>
          <w:rFonts w:ascii="Cambria" w:hAnsi="Cambria"/>
          <w:sz w:val="24"/>
          <w:szCs w:val="24"/>
        </w:rPr>
      </w:pPr>
      <w:r w:rsidRPr="00E67191">
        <w:rPr>
          <w:rFonts w:ascii="Cambria" w:hAnsi="Cambria"/>
          <w:sz w:val="24"/>
          <w:szCs w:val="24"/>
        </w:rPr>
        <w:t xml:space="preserve">Attachment </w:t>
      </w:r>
      <w:r w:rsidR="00B807E6" w:rsidRPr="00E67191">
        <w:rPr>
          <w:rFonts w:ascii="Cambria" w:hAnsi="Cambria"/>
          <w:sz w:val="24"/>
          <w:szCs w:val="24"/>
        </w:rPr>
        <w:t>6</w:t>
      </w:r>
      <w:r w:rsidR="006F3C02" w:rsidRPr="00E67191">
        <w:rPr>
          <w:rFonts w:ascii="Cambria" w:hAnsi="Cambria"/>
          <w:sz w:val="24"/>
          <w:szCs w:val="24"/>
        </w:rPr>
        <w:t xml:space="preserve">. </w:t>
      </w:r>
      <w:r w:rsidR="00C40897" w:rsidRPr="00E67191">
        <w:rPr>
          <w:rFonts w:ascii="Cambria" w:hAnsi="Cambria"/>
          <w:color w:val="000000"/>
          <w:sz w:val="24"/>
          <w:szCs w:val="24"/>
        </w:rPr>
        <w:t>Enforcement of Federal Lead Disclosure Rule Section 1018 of Title X and Lead-Safe Housing Rule (45 CFR 164.512(b)</w:t>
      </w:r>
    </w:p>
    <w:p w14:paraId="346BDCA7" w14:textId="77777777" w:rsidR="00C40897" w:rsidRPr="00E67191" w:rsidRDefault="00C40897" w:rsidP="00E67191">
      <w:pPr>
        <w:spacing w:after="240" w:line="276" w:lineRule="auto"/>
        <w:rPr>
          <w:rFonts w:ascii="Cambria" w:hAnsi="Cambria"/>
          <w:sz w:val="24"/>
          <w:szCs w:val="24"/>
        </w:rPr>
      </w:pPr>
      <w:r w:rsidRPr="00E67191">
        <w:rPr>
          <w:rFonts w:ascii="Cambria" w:hAnsi="Cambria"/>
          <w:sz w:val="24"/>
          <w:szCs w:val="24"/>
        </w:rPr>
        <w:t xml:space="preserve">Attachment </w:t>
      </w:r>
      <w:r w:rsidR="00B807E6" w:rsidRPr="00E67191">
        <w:rPr>
          <w:rFonts w:ascii="Cambria" w:hAnsi="Cambria"/>
          <w:sz w:val="24"/>
          <w:szCs w:val="24"/>
        </w:rPr>
        <w:t>7</w:t>
      </w:r>
      <w:r w:rsidRPr="00E67191">
        <w:rPr>
          <w:rFonts w:ascii="Cambria" w:hAnsi="Cambria"/>
          <w:sz w:val="24"/>
          <w:szCs w:val="24"/>
        </w:rPr>
        <w:t xml:space="preserve">. HUD Lead Safe Housing Rule (24 CFR 35)   </w:t>
      </w:r>
    </w:p>
    <w:p w14:paraId="28FCCA90" w14:textId="0FA7D643" w:rsidR="00A64EDF" w:rsidRDefault="00B95EC7" w:rsidP="00E67191">
      <w:pPr>
        <w:spacing w:after="240" w:line="276" w:lineRule="auto"/>
        <w:rPr>
          <w:rFonts w:ascii="Cambria" w:hAnsi="Cambria"/>
          <w:sz w:val="24"/>
          <w:szCs w:val="24"/>
        </w:rPr>
      </w:pPr>
      <w:r w:rsidRPr="00E67191">
        <w:rPr>
          <w:rFonts w:ascii="Cambria" w:hAnsi="Cambria"/>
          <w:sz w:val="24"/>
          <w:szCs w:val="24"/>
        </w:rPr>
        <w:t xml:space="preserve">Attachment </w:t>
      </w:r>
      <w:r w:rsidR="00B807E6" w:rsidRPr="00E67191">
        <w:rPr>
          <w:rFonts w:ascii="Cambria" w:hAnsi="Cambria"/>
          <w:sz w:val="24"/>
          <w:szCs w:val="24"/>
        </w:rPr>
        <w:t>8</w:t>
      </w:r>
      <w:r w:rsidR="00A64EDF" w:rsidRPr="00E67191">
        <w:rPr>
          <w:rFonts w:ascii="Cambria" w:hAnsi="Cambria"/>
          <w:sz w:val="24"/>
          <w:szCs w:val="24"/>
        </w:rPr>
        <w:t>. Research Determination</w:t>
      </w:r>
    </w:p>
    <w:p w14:paraId="34D3748C" w14:textId="3E131E11" w:rsidR="00791208" w:rsidRPr="00E67191" w:rsidRDefault="00791208" w:rsidP="00E67191">
      <w:pPr>
        <w:spacing w:after="240" w:line="276" w:lineRule="auto"/>
        <w:rPr>
          <w:rFonts w:ascii="Cambria" w:hAnsi="Cambria"/>
          <w:sz w:val="24"/>
          <w:szCs w:val="24"/>
        </w:rPr>
      </w:pPr>
      <w:r>
        <w:rPr>
          <w:rFonts w:ascii="Cambria" w:hAnsi="Cambria"/>
          <w:sz w:val="24"/>
          <w:szCs w:val="24"/>
        </w:rPr>
        <w:t>Attachment 9. Privacy Impact Assessment</w:t>
      </w:r>
    </w:p>
    <w:p w14:paraId="04F3AC44" w14:textId="77777777" w:rsidR="00A64EDF" w:rsidRPr="001357C3" w:rsidRDefault="00A64EDF" w:rsidP="00C40897">
      <w:pPr>
        <w:rPr>
          <w:rFonts w:ascii="Cambria" w:hAnsi="Cambria"/>
          <w:sz w:val="32"/>
          <w:szCs w:val="32"/>
        </w:rPr>
      </w:pPr>
    </w:p>
    <w:p w14:paraId="132457CA" w14:textId="77777777" w:rsidR="00C40897" w:rsidRDefault="00C40897" w:rsidP="00C40897">
      <w:pPr>
        <w:rPr>
          <w:sz w:val="24"/>
          <w:szCs w:val="24"/>
        </w:rPr>
      </w:pPr>
    </w:p>
    <w:p w14:paraId="7448A4DD" w14:textId="77777777" w:rsidR="008C154D" w:rsidRPr="008B24CB" w:rsidRDefault="008C154D" w:rsidP="005F3ADE">
      <w:pPr>
        <w:rPr>
          <w:rFonts w:ascii="Cambria" w:hAnsi="Cambria"/>
          <w:sz w:val="32"/>
          <w:szCs w:val="32"/>
        </w:rPr>
      </w:pPr>
    </w:p>
    <w:sectPr w:rsidR="008C154D" w:rsidRPr="008B24CB" w:rsidSect="00F91C38">
      <w:footerReference w:type="default" r:id="rId3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AEFF6" w14:textId="77777777" w:rsidR="00321FFA" w:rsidRDefault="00321FFA" w:rsidP="008B5D54">
      <w:r>
        <w:separator/>
      </w:r>
    </w:p>
  </w:endnote>
  <w:endnote w:type="continuationSeparator" w:id="0">
    <w:p w14:paraId="7551E3C6" w14:textId="77777777" w:rsidR="00321FFA" w:rsidRDefault="00321FF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BulldogStd">
    <w:altName w:val="MS Mincho"/>
    <w:panose1 w:val="00000000000000000000"/>
    <w:charset w:val="80"/>
    <w:family w:val="auto"/>
    <w:notTrueType/>
    <w:pitch w:val="default"/>
    <w:sig w:usb0="00000000" w:usb1="08070000" w:usb2="00000010" w:usb3="00000000" w:csb0="00020000" w:csb1="00000000"/>
  </w:font>
  <w:font w:name="BulldogStd-Italic">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Roman">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79529"/>
      <w:docPartObj>
        <w:docPartGallery w:val="Page Numbers (Bottom of Page)"/>
        <w:docPartUnique/>
      </w:docPartObj>
    </w:sdtPr>
    <w:sdtEndPr>
      <w:rPr>
        <w:noProof/>
      </w:rPr>
    </w:sdtEndPr>
    <w:sdtContent>
      <w:p w14:paraId="3F1C142B" w14:textId="25559042" w:rsidR="00321FFA" w:rsidRDefault="00321FFA">
        <w:pPr>
          <w:pStyle w:val="Footer"/>
          <w:jc w:val="right"/>
        </w:pPr>
        <w:r>
          <w:fldChar w:fldCharType="begin"/>
        </w:r>
        <w:r>
          <w:instrText xml:space="preserve"> PAGE   \* MERGEFORMAT </w:instrText>
        </w:r>
        <w:r>
          <w:fldChar w:fldCharType="separate"/>
        </w:r>
        <w:r w:rsidR="003E392F">
          <w:rPr>
            <w:noProof/>
          </w:rPr>
          <w:t>1</w:t>
        </w:r>
        <w:r>
          <w:rPr>
            <w:noProof/>
          </w:rPr>
          <w:fldChar w:fldCharType="end"/>
        </w:r>
      </w:p>
    </w:sdtContent>
  </w:sdt>
  <w:p w14:paraId="333E7982" w14:textId="77777777" w:rsidR="00321FFA" w:rsidRDefault="00321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482AB" w14:textId="77777777" w:rsidR="00321FFA" w:rsidRDefault="00321FFA" w:rsidP="008B5D54">
      <w:r>
        <w:separator/>
      </w:r>
    </w:p>
  </w:footnote>
  <w:footnote w:type="continuationSeparator" w:id="0">
    <w:p w14:paraId="1F013586" w14:textId="77777777" w:rsidR="00321FFA" w:rsidRDefault="00321FF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14EC7"/>
    <w:multiLevelType w:val="hybridMultilevel"/>
    <w:tmpl w:val="81C0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2055BDB"/>
    <w:multiLevelType w:val="hybridMultilevel"/>
    <w:tmpl w:val="6338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F44ED7"/>
    <w:multiLevelType w:val="hybridMultilevel"/>
    <w:tmpl w:val="D048D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2495D27"/>
    <w:multiLevelType w:val="singleLevel"/>
    <w:tmpl w:val="5F06E0D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757FED"/>
    <w:multiLevelType w:val="hybridMultilevel"/>
    <w:tmpl w:val="15B87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F674464"/>
    <w:multiLevelType w:val="hybridMultilevel"/>
    <w:tmpl w:val="82767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A65743D"/>
    <w:multiLevelType w:val="hybridMultilevel"/>
    <w:tmpl w:val="A968A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F3E9E"/>
    <w:multiLevelType w:val="hybridMultilevel"/>
    <w:tmpl w:val="7DB62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FE353D"/>
    <w:multiLevelType w:val="hybridMultilevel"/>
    <w:tmpl w:val="AA64604A"/>
    <w:lvl w:ilvl="0" w:tplc="49EEB1EA">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4"/>
  </w:num>
  <w:num w:numId="5">
    <w:abstractNumId w:val="11"/>
  </w:num>
  <w:num w:numId="6">
    <w:abstractNumId w:val="8"/>
  </w:num>
  <w:num w:numId="7">
    <w:abstractNumId w:val="9"/>
  </w:num>
  <w:num w:numId="8">
    <w:abstractNumId w:val="7"/>
  </w:num>
  <w:num w:numId="9">
    <w:abstractNumId w:val="6"/>
  </w:num>
  <w:num w:numId="10">
    <w:abstractNumId w:val="3"/>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s-ES"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1F18"/>
    <w:rsid w:val="00005521"/>
    <w:rsid w:val="0000689D"/>
    <w:rsid w:val="000071D1"/>
    <w:rsid w:val="00011433"/>
    <w:rsid w:val="00011A7D"/>
    <w:rsid w:val="00013DB5"/>
    <w:rsid w:val="0002168F"/>
    <w:rsid w:val="000230AF"/>
    <w:rsid w:val="00026800"/>
    <w:rsid w:val="000273E9"/>
    <w:rsid w:val="00027B1B"/>
    <w:rsid w:val="000309B3"/>
    <w:rsid w:val="00031863"/>
    <w:rsid w:val="00034E70"/>
    <w:rsid w:val="00040E13"/>
    <w:rsid w:val="00040F4A"/>
    <w:rsid w:val="0004487B"/>
    <w:rsid w:val="00045A02"/>
    <w:rsid w:val="00047490"/>
    <w:rsid w:val="00051810"/>
    <w:rsid w:val="00051816"/>
    <w:rsid w:val="00051B38"/>
    <w:rsid w:val="00053664"/>
    <w:rsid w:val="000602B8"/>
    <w:rsid w:val="000612A5"/>
    <w:rsid w:val="0006228C"/>
    <w:rsid w:val="00064766"/>
    <w:rsid w:val="00065509"/>
    <w:rsid w:val="000712F6"/>
    <w:rsid w:val="00072010"/>
    <w:rsid w:val="00072717"/>
    <w:rsid w:val="00073609"/>
    <w:rsid w:val="00075A8C"/>
    <w:rsid w:val="00076C74"/>
    <w:rsid w:val="000771B9"/>
    <w:rsid w:val="0007753E"/>
    <w:rsid w:val="00077A0C"/>
    <w:rsid w:val="00092FD7"/>
    <w:rsid w:val="00094108"/>
    <w:rsid w:val="00094E12"/>
    <w:rsid w:val="000A16FA"/>
    <w:rsid w:val="000A204D"/>
    <w:rsid w:val="000A30A8"/>
    <w:rsid w:val="000A4BD7"/>
    <w:rsid w:val="000A5AC6"/>
    <w:rsid w:val="000A6E17"/>
    <w:rsid w:val="000A77B0"/>
    <w:rsid w:val="000B0207"/>
    <w:rsid w:val="000B05FE"/>
    <w:rsid w:val="000B14F2"/>
    <w:rsid w:val="000B6439"/>
    <w:rsid w:val="000D099C"/>
    <w:rsid w:val="000D109C"/>
    <w:rsid w:val="000D4658"/>
    <w:rsid w:val="000E7FAD"/>
    <w:rsid w:val="000F2833"/>
    <w:rsid w:val="00100D0E"/>
    <w:rsid w:val="00102B84"/>
    <w:rsid w:val="00103DFD"/>
    <w:rsid w:val="00104051"/>
    <w:rsid w:val="0010438F"/>
    <w:rsid w:val="00106836"/>
    <w:rsid w:val="00106C15"/>
    <w:rsid w:val="00107476"/>
    <w:rsid w:val="001101D0"/>
    <w:rsid w:val="00110A2F"/>
    <w:rsid w:val="00110D29"/>
    <w:rsid w:val="0011321F"/>
    <w:rsid w:val="00116841"/>
    <w:rsid w:val="00117C5A"/>
    <w:rsid w:val="001232E4"/>
    <w:rsid w:val="00123A3D"/>
    <w:rsid w:val="00124561"/>
    <w:rsid w:val="00127CA4"/>
    <w:rsid w:val="001317DF"/>
    <w:rsid w:val="00132004"/>
    <w:rsid w:val="001324C6"/>
    <w:rsid w:val="001346BF"/>
    <w:rsid w:val="00134BEF"/>
    <w:rsid w:val="001357C3"/>
    <w:rsid w:val="001372DB"/>
    <w:rsid w:val="0013764F"/>
    <w:rsid w:val="0014151A"/>
    <w:rsid w:val="001417E6"/>
    <w:rsid w:val="00142483"/>
    <w:rsid w:val="00147AEA"/>
    <w:rsid w:val="00150025"/>
    <w:rsid w:val="0015103C"/>
    <w:rsid w:val="00151318"/>
    <w:rsid w:val="00154573"/>
    <w:rsid w:val="00160A9B"/>
    <w:rsid w:val="001626E8"/>
    <w:rsid w:val="00163C21"/>
    <w:rsid w:val="00166F78"/>
    <w:rsid w:val="00167A15"/>
    <w:rsid w:val="001727C1"/>
    <w:rsid w:val="0017392F"/>
    <w:rsid w:val="00176AF4"/>
    <w:rsid w:val="00177ABE"/>
    <w:rsid w:val="0018019E"/>
    <w:rsid w:val="00185386"/>
    <w:rsid w:val="001855E3"/>
    <w:rsid w:val="00186024"/>
    <w:rsid w:val="001872E6"/>
    <w:rsid w:val="00195AD3"/>
    <w:rsid w:val="001963A2"/>
    <w:rsid w:val="00196C12"/>
    <w:rsid w:val="001A15F9"/>
    <w:rsid w:val="001A34B9"/>
    <w:rsid w:val="001A5EC6"/>
    <w:rsid w:val="001B2712"/>
    <w:rsid w:val="001B3522"/>
    <w:rsid w:val="001C040F"/>
    <w:rsid w:val="001C04DB"/>
    <w:rsid w:val="001C066E"/>
    <w:rsid w:val="001C1DD5"/>
    <w:rsid w:val="001C268C"/>
    <w:rsid w:val="001C27CC"/>
    <w:rsid w:val="001C3EBE"/>
    <w:rsid w:val="001C7F7C"/>
    <w:rsid w:val="001D391B"/>
    <w:rsid w:val="001D489E"/>
    <w:rsid w:val="001D56E7"/>
    <w:rsid w:val="001D75CC"/>
    <w:rsid w:val="001E27D7"/>
    <w:rsid w:val="001E595A"/>
    <w:rsid w:val="001E6B9F"/>
    <w:rsid w:val="001F19FD"/>
    <w:rsid w:val="001F1D97"/>
    <w:rsid w:val="001F23DF"/>
    <w:rsid w:val="001F3995"/>
    <w:rsid w:val="001F4FFA"/>
    <w:rsid w:val="001F53D2"/>
    <w:rsid w:val="001F5BDA"/>
    <w:rsid w:val="001F7EFE"/>
    <w:rsid w:val="00201308"/>
    <w:rsid w:val="00203A62"/>
    <w:rsid w:val="00204DD3"/>
    <w:rsid w:val="002064EF"/>
    <w:rsid w:val="00206A3D"/>
    <w:rsid w:val="00206AAE"/>
    <w:rsid w:val="00214062"/>
    <w:rsid w:val="00215202"/>
    <w:rsid w:val="002154E2"/>
    <w:rsid w:val="002202CC"/>
    <w:rsid w:val="002203E0"/>
    <w:rsid w:val="00221758"/>
    <w:rsid w:val="00227817"/>
    <w:rsid w:val="0023081C"/>
    <w:rsid w:val="00231951"/>
    <w:rsid w:val="00234211"/>
    <w:rsid w:val="0023593F"/>
    <w:rsid w:val="00236267"/>
    <w:rsid w:val="0023630E"/>
    <w:rsid w:val="002369DA"/>
    <w:rsid w:val="002377B1"/>
    <w:rsid w:val="002379B5"/>
    <w:rsid w:val="0024399D"/>
    <w:rsid w:val="00244F46"/>
    <w:rsid w:val="00253421"/>
    <w:rsid w:val="002573D5"/>
    <w:rsid w:val="00257CB9"/>
    <w:rsid w:val="002605A1"/>
    <w:rsid w:val="00261399"/>
    <w:rsid w:val="00264DF5"/>
    <w:rsid w:val="00265663"/>
    <w:rsid w:val="00271C0C"/>
    <w:rsid w:val="00274D11"/>
    <w:rsid w:val="0027619F"/>
    <w:rsid w:val="00276E69"/>
    <w:rsid w:val="002771FE"/>
    <w:rsid w:val="00282ECC"/>
    <w:rsid w:val="00283881"/>
    <w:rsid w:val="0028491D"/>
    <w:rsid w:val="0028566F"/>
    <w:rsid w:val="00287A8C"/>
    <w:rsid w:val="00287B5A"/>
    <w:rsid w:val="00290F85"/>
    <w:rsid w:val="002928DF"/>
    <w:rsid w:val="002930EC"/>
    <w:rsid w:val="00294E11"/>
    <w:rsid w:val="00296069"/>
    <w:rsid w:val="00297660"/>
    <w:rsid w:val="002A1AB0"/>
    <w:rsid w:val="002A26F8"/>
    <w:rsid w:val="002A3655"/>
    <w:rsid w:val="002B1D7C"/>
    <w:rsid w:val="002C044F"/>
    <w:rsid w:val="002C06A1"/>
    <w:rsid w:val="002C1279"/>
    <w:rsid w:val="002C2A8D"/>
    <w:rsid w:val="002C645E"/>
    <w:rsid w:val="002C6753"/>
    <w:rsid w:val="002D317D"/>
    <w:rsid w:val="002D3A9E"/>
    <w:rsid w:val="002E0397"/>
    <w:rsid w:val="002E2E4E"/>
    <w:rsid w:val="002E368A"/>
    <w:rsid w:val="002E3C81"/>
    <w:rsid w:val="002E4498"/>
    <w:rsid w:val="002E48A7"/>
    <w:rsid w:val="002E5E57"/>
    <w:rsid w:val="002F1EC0"/>
    <w:rsid w:val="002F3630"/>
    <w:rsid w:val="002F3924"/>
    <w:rsid w:val="00302CC4"/>
    <w:rsid w:val="00306DDE"/>
    <w:rsid w:val="00307FE7"/>
    <w:rsid w:val="003113D2"/>
    <w:rsid w:val="00316980"/>
    <w:rsid w:val="00316C79"/>
    <w:rsid w:val="00320135"/>
    <w:rsid w:val="003210B3"/>
    <w:rsid w:val="00321FFA"/>
    <w:rsid w:val="00323C10"/>
    <w:rsid w:val="003248A4"/>
    <w:rsid w:val="00326844"/>
    <w:rsid w:val="00330703"/>
    <w:rsid w:val="00332993"/>
    <w:rsid w:val="0033469A"/>
    <w:rsid w:val="00337ED2"/>
    <w:rsid w:val="00340E99"/>
    <w:rsid w:val="00342BA4"/>
    <w:rsid w:val="00346C4C"/>
    <w:rsid w:val="00346E41"/>
    <w:rsid w:val="003506B8"/>
    <w:rsid w:val="003507B3"/>
    <w:rsid w:val="00354A4E"/>
    <w:rsid w:val="00354E0E"/>
    <w:rsid w:val="00355B97"/>
    <w:rsid w:val="00356A8A"/>
    <w:rsid w:val="00357396"/>
    <w:rsid w:val="00357FB5"/>
    <w:rsid w:val="00360896"/>
    <w:rsid w:val="00360BBB"/>
    <w:rsid w:val="00361201"/>
    <w:rsid w:val="00361AF0"/>
    <w:rsid w:val="003648A2"/>
    <w:rsid w:val="00364CCC"/>
    <w:rsid w:val="0036566F"/>
    <w:rsid w:val="00365B89"/>
    <w:rsid w:val="003712EB"/>
    <w:rsid w:val="00371C87"/>
    <w:rsid w:val="00373456"/>
    <w:rsid w:val="003747FB"/>
    <w:rsid w:val="003810E2"/>
    <w:rsid w:val="00383848"/>
    <w:rsid w:val="00385207"/>
    <w:rsid w:val="00386C3A"/>
    <w:rsid w:val="00387305"/>
    <w:rsid w:val="00387C4A"/>
    <w:rsid w:val="00387E70"/>
    <w:rsid w:val="00390B2D"/>
    <w:rsid w:val="00391007"/>
    <w:rsid w:val="00391972"/>
    <w:rsid w:val="003924FB"/>
    <w:rsid w:val="00396835"/>
    <w:rsid w:val="003A007B"/>
    <w:rsid w:val="003A0349"/>
    <w:rsid w:val="003A2F76"/>
    <w:rsid w:val="003A4B8F"/>
    <w:rsid w:val="003A5DD1"/>
    <w:rsid w:val="003B1968"/>
    <w:rsid w:val="003B2A57"/>
    <w:rsid w:val="003B3057"/>
    <w:rsid w:val="003C0795"/>
    <w:rsid w:val="003C0CED"/>
    <w:rsid w:val="003C130A"/>
    <w:rsid w:val="003C21A1"/>
    <w:rsid w:val="003C4886"/>
    <w:rsid w:val="003C530B"/>
    <w:rsid w:val="003D1A64"/>
    <w:rsid w:val="003D3E78"/>
    <w:rsid w:val="003D5E2B"/>
    <w:rsid w:val="003D702E"/>
    <w:rsid w:val="003D7C7F"/>
    <w:rsid w:val="003E092D"/>
    <w:rsid w:val="003E392F"/>
    <w:rsid w:val="003E5EA9"/>
    <w:rsid w:val="003E717F"/>
    <w:rsid w:val="003E7D3C"/>
    <w:rsid w:val="003F2C06"/>
    <w:rsid w:val="003F3497"/>
    <w:rsid w:val="003F49A0"/>
    <w:rsid w:val="003F51BF"/>
    <w:rsid w:val="003F5651"/>
    <w:rsid w:val="003F612D"/>
    <w:rsid w:val="003F6A54"/>
    <w:rsid w:val="003F7043"/>
    <w:rsid w:val="003F79D3"/>
    <w:rsid w:val="00400C55"/>
    <w:rsid w:val="0040594D"/>
    <w:rsid w:val="00407B3E"/>
    <w:rsid w:val="00410476"/>
    <w:rsid w:val="00411405"/>
    <w:rsid w:val="00411D9C"/>
    <w:rsid w:val="00412EEF"/>
    <w:rsid w:val="00413951"/>
    <w:rsid w:val="0041449A"/>
    <w:rsid w:val="004154B7"/>
    <w:rsid w:val="00416242"/>
    <w:rsid w:val="0042273F"/>
    <w:rsid w:val="0042567B"/>
    <w:rsid w:val="004302E3"/>
    <w:rsid w:val="004302E9"/>
    <w:rsid w:val="00434368"/>
    <w:rsid w:val="00434825"/>
    <w:rsid w:val="00434990"/>
    <w:rsid w:val="00434A28"/>
    <w:rsid w:val="00434A3F"/>
    <w:rsid w:val="00436064"/>
    <w:rsid w:val="004377B8"/>
    <w:rsid w:val="0044037B"/>
    <w:rsid w:val="004417A7"/>
    <w:rsid w:val="00441874"/>
    <w:rsid w:val="0044654D"/>
    <w:rsid w:val="00450486"/>
    <w:rsid w:val="00451BBD"/>
    <w:rsid w:val="0045341A"/>
    <w:rsid w:val="00454425"/>
    <w:rsid w:val="00455158"/>
    <w:rsid w:val="00455277"/>
    <w:rsid w:val="004558AD"/>
    <w:rsid w:val="00462755"/>
    <w:rsid w:val="00462CB7"/>
    <w:rsid w:val="00463291"/>
    <w:rsid w:val="004653CE"/>
    <w:rsid w:val="00465813"/>
    <w:rsid w:val="004677EB"/>
    <w:rsid w:val="00473493"/>
    <w:rsid w:val="0047610D"/>
    <w:rsid w:val="00476284"/>
    <w:rsid w:val="0047778A"/>
    <w:rsid w:val="00477BB5"/>
    <w:rsid w:val="00480FC6"/>
    <w:rsid w:val="00482812"/>
    <w:rsid w:val="004834F8"/>
    <w:rsid w:val="00483E2D"/>
    <w:rsid w:val="004863C6"/>
    <w:rsid w:val="0048740C"/>
    <w:rsid w:val="0049091C"/>
    <w:rsid w:val="004924B1"/>
    <w:rsid w:val="004939F0"/>
    <w:rsid w:val="00496470"/>
    <w:rsid w:val="00496C37"/>
    <w:rsid w:val="004976CC"/>
    <w:rsid w:val="0049782F"/>
    <w:rsid w:val="004A0C8C"/>
    <w:rsid w:val="004A3C34"/>
    <w:rsid w:val="004A7B18"/>
    <w:rsid w:val="004B0729"/>
    <w:rsid w:val="004B091D"/>
    <w:rsid w:val="004B1388"/>
    <w:rsid w:val="004B1E79"/>
    <w:rsid w:val="004B2746"/>
    <w:rsid w:val="004B2F79"/>
    <w:rsid w:val="004B69EF"/>
    <w:rsid w:val="004B7B35"/>
    <w:rsid w:val="004B7E0F"/>
    <w:rsid w:val="004C37C5"/>
    <w:rsid w:val="004C5AFC"/>
    <w:rsid w:val="004C78BB"/>
    <w:rsid w:val="004D14C5"/>
    <w:rsid w:val="004D194E"/>
    <w:rsid w:val="004D21C9"/>
    <w:rsid w:val="004D3245"/>
    <w:rsid w:val="004D3E35"/>
    <w:rsid w:val="004D46A8"/>
    <w:rsid w:val="004D621C"/>
    <w:rsid w:val="004D63DD"/>
    <w:rsid w:val="004D6B87"/>
    <w:rsid w:val="004D7237"/>
    <w:rsid w:val="004E1D4C"/>
    <w:rsid w:val="004E29A9"/>
    <w:rsid w:val="004E3771"/>
    <w:rsid w:val="004E3F14"/>
    <w:rsid w:val="004E40CE"/>
    <w:rsid w:val="004E580C"/>
    <w:rsid w:val="004E5B73"/>
    <w:rsid w:val="004E62B1"/>
    <w:rsid w:val="004E7FB2"/>
    <w:rsid w:val="004F0165"/>
    <w:rsid w:val="004F1D6F"/>
    <w:rsid w:val="004F1E46"/>
    <w:rsid w:val="004F339D"/>
    <w:rsid w:val="004F3917"/>
    <w:rsid w:val="004F7591"/>
    <w:rsid w:val="00522208"/>
    <w:rsid w:val="00523A2A"/>
    <w:rsid w:val="00524D01"/>
    <w:rsid w:val="00525695"/>
    <w:rsid w:val="00527849"/>
    <w:rsid w:val="00527CD9"/>
    <w:rsid w:val="0053377F"/>
    <w:rsid w:val="005343F2"/>
    <w:rsid w:val="0054047D"/>
    <w:rsid w:val="0054053A"/>
    <w:rsid w:val="005407DB"/>
    <w:rsid w:val="005417E2"/>
    <w:rsid w:val="00541808"/>
    <w:rsid w:val="00543808"/>
    <w:rsid w:val="00543DCF"/>
    <w:rsid w:val="00544418"/>
    <w:rsid w:val="005459BB"/>
    <w:rsid w:val="0055030C"/>
    <w:rsid w:val="00550771"/>
    <w:rsid w:val="00551931"/>
    <w:rsid w:val="00553D01"/>
    <w:rsid w:val="005564DC"/>
    <w:rsid w:val="00557B25"/>
    <w:rsid w:val="0056252D"/>
    <w:rsid w:val="005655A6"/>
    <w:rsid w:val="00566D2A"/>
    <w:rsid w:val="005676C8"/>
    <w:rsid w:val="00567B7B"/>
    <w:rsid w:val="00572450"/>
    <w:rsid w:val="005773F6"/>
    <w:rsid w:val="00581C29"/>
    <w:rsid w:val="0058290A"/>
    <w:rsid w:val="00583B69"/>
    <w:rsid w:val="00585152"/>
    <w:rsid w:val="005918F7"/>
    <w:rsid w:val="00597B55"/>
    <w:rsid w:val="005A033A"/>
    <w:rsid w:val="005A1581"/>
    <w:rsid w:val="005A1E38"/>
    <w:rsid w:val="005A5FA1"/>
    <w:rsid w:val="005A6C69"/>
    <w:rsid w:val="005B03EC"/>
    <w:rsid w:val="005B07B8"/>
    <w:rsid w:val="005B191C"/>
    <w:rsid w:val="005B1AD5"/>
    <w:rsid w:val="005B610F"/>
    <w:rsid w:val="005B6E55"/>
    <w:rsid w:val="005B7771"/>
    <w:rsid w:val="005C33C7"/>
    <w:rsid w:val="005C34DF"/>
    <w:rsid w:val="005C3647"/>
    <w:rsid w:val="005C465C"/>
    <w:rsid w:val="005C7CF0"/>
    <w:rsid w:val="005D31AE"/>
    <w:rsid w:val="005D68C1"/>
    <w:rsid w:val="005E02BF"/>
    <w:rsid w:val="005E0AD5"/>
    <w:rsid w:val="005E24DB"/>
    <w:rsid w:val="005E6239"/>
    <w:rsid w:val="005E69D1"/>
    <w:rsid w:val="005E7243"/>
    <w:rsid w:val="005F0539"/>
    <w:rsid w:val="005F3ADE"/>
    <w:rsid w:val="005F5D75"/>
    <w:rsid w:val="00601F1A"/>
    <w:rsid w:val="0060347C"/>
    <w:rsid w:val="00603C64"/>
    <w:rsid w:val="00605B42"/>
    <w:rsid w:val="006064A4"/>
    <w:rsid w:val="006065B9"/>
    <w:rsid w:val="00606634"/>
    <w:rsid w:val="00610DFB"/>
    <w:rsid w:val="00611F76"/>
    <w:rsid w:val="00614A15"/>
    <w:rsid w:val="00614ABC"/>
    <w:rsid w:val="00617C0E"/>
    <w:rsid w:val="006206E1"/>
    <w:rsid w:val="006223BF"/>
    <w:rsid w:val="00622886"/>
    <w:rsid w:val="00623105"/>
    <w:rsid w:val="00623EE7"/>
    <w:rsid w:val="006253E1"/>
    <w:rsid w:val="006316B5"/>
    <w:rsid w:val="006322DF"/>
    <w:rsid w:val="00637DF7"/>
    <w:rsid w:val="0064011A"/>
    <w:rsid w:val="00641218"/>
    <w:rsid w:val="0064474F"/>
    <w:rsid w:val="0064662B"/>
    <w:rsid w:val="00647EBF"/>
    <w:rsid w:val="006519D9"/>
    <w:rsid w:val="00653F5D"/>
    <w:rsid w:val="00654307"/>
    <w:rsid w:val="00654A1D"/>
    <w:rsid w:val="006562A8"/>
    <w:rsid w:val="006569B8"/>
    <w:rsid w:val="0065706B"/>
    <w:rsid w:val="006570C6"/>
    <w:rsid w:val="00664763"/>
    <w:rsid w:val="00664ABF"/>
    <w:rsid w:val="00666272"/>
    <w:rsid w:val="00666D11"/>
    <w:rsid w:val="00670339"/>
    <w:rsid w:val="0068062A"/>
    <w:rsid w:val="006806D2"/>
    <w:rsid w:val="0068173E"/>
    <w:rsid w:val="00681BC2"/>
    <w:rsid w:val="00684E9A"/>
    <w:rsid w:val="006851AD"/>
    <w:rsid w:val="0069075F"/>
    <w:rsid w:val="0069661B"/>
    <w:rsid w:val="006971FA"/>
    <w:rsid w:val="006A1D99"/>
    <w:rsid w:val="006A5C4D"/>
    <w:rsid w:val="006B3ACC"/>
    <w:rsid w:val="006B486C"/>
    <w:rsid w:val="006B5B71"/>
    <w:rsid w:val="006B6A68"/>
    <w:rsid w:val="006B7E68"/>
    <w:rsid w:val="006C00B3"/>
    <w:rsid w:val="006C448B"/>
    <w:rsid w:val="006C4EDB"/>
    <w:rsid w:val="006C4FDD"/>
    <w:rsid w:val="006C51A7"/>
    <w:rsid w:val="006C6445"/>
    <w:rsid w:val="006C6578"/>
    <w:rsid w:val="006C6F2C"/>
    <w:rsid w:val="006D047B"/>
    <w:rsid w:val="006D1B41"/>
    <w:rsid w:val="006D35F6"/>
    <w:rsid w:val="006D3D2C"/>
    <w:rsid w:val="006D432C"/>
    <w:rsid w:val="006D4FB7"/>
    <w:rsid w:val="006D518C"/>
    <w:rsid w:val="006E334B"/>
    <w:rsid w:val="006F1213"/>
    <w:rsid w:val="006F125A"/>
    <w:rsid w:val="006F2B95"/>
    <w:rsid w:val="006F3C02"/>
    <w:rsid w:val="006F46F6"/>
    <w:rsid w:val="006F66B2"/>
    <w:rsid w:val="006F7879"/>
    <w:rsid w:val="00702423"/>
    <w:rsid w:val="00702996"/>
    <w:rsid w:val="00702BFD"/>
    <w:rsid w:val="00704C09"/>
    <w:rsid w:val="007157E4"/>
    <w:rsid w:val="00715C56"/>
    <w:rsid w:val="0072106B"/>
    <w:rsid w:val="0072405E"/>
    <w:rsid w:val="00725912"/>
    <w:rsid w:val="00726E14"/>
    <w:rsid w:val="00727EDB"/>
    <w:rsid w:val="007313DF"/>
    <w:rsid w:val="00734F65"/>
    <w:rsid w:val="00740EDF"/>
    <w:rsid w:val="007461D5"/>
    <w:rsid w:val="007504EA"/>
    <w:rsid w:val="00751DEA"/>
    <w:rsid w:val="007532D4"/>
    <w:rsid w:val="00753E88"/>
    <w:rsid w:val="00753EAC"/>
    <w:rsid w:val="007541E5"/>
    <w:rsid w:val="00754C47"/>
    <w:rsid w:val="00754F1A"/>
    <w:rsid w:val="00755987"/>
    <w:rsid w:val="007565A5"/>
    <w:rsid w:val="007565AC"/>
    <w:rsid w:val="00765FDB"/>
    <w:rsid w:val="00771A9A"/>
    <w:rsid w:val="00771EFF"/>
    <w:rsid w:val="007756CB"/>
    <w:rsid w:val="007829B4"/>
    <w:rsid w:val="00783896"/>
    <w:rsid w:val="00790966"/>
    <w:rsid w:val="00791208"/>
    <w:rsid w:val="0079260A"/>
    <w:rsid w:val="00794160"/>
    <w:rsid w:val="00797535"/>
    <w:rsid w:val="00797B1C"/>
    <w:rsid w:val="007A104B"/>
    <w:rsid w:val="007A2363"/>
    <w:rsid w:val="007A4BAC"/>
    <w:rsid w:val="007A5A11"/>
    <w:rsid w:val="007A5A47"/>
    <w:rsid w:val="007A6725"/>
    <w:rsid w:val="007A7A76"/>
    <w:rsid w:val="007B1E0A"/>
    <w:rsid w:val="007B5AA7"/>
    <w:rsid w:val="007C145D"/>
    <w:rsid w:val="007C25FE"/>
    <w:rsid w:val="007C38D8"/>
    <w:rsid w:val="007C46F5"/>
    <w:rsid w:val="007D2061"/>
    <w:rsid w:val="007D2062"/>
    <w:rsid w:val="007D206B"/>
    <w:rsid w:val="007D4F53"/>
    <w:rsid w:val="007D55AD"/>
    <w:rsid w:val="007E0A51"/>
    <w:rsid w:val="007E1497"/>
    <w:rsid w:val="007E36E8"/>
    <w:rsid w:val="007E6427"/>
    <w:rsid w:val="007F0D7A"/>
    <w:rsid w:val="007F1D07"/>
    <w:rsid w:val="007F3330"/>
    <w:rsid w:val="007F429B"/>
    <w:rsid w:val="007F6841"/>
    <w:rsid w:val="007F6CB2"/>
    <w:rsid w:val="0080091A"/>
    <w:rsid w:val="00803390"/>
    <w:rsid w:val="00807133"/>
    <w:rsid w:val="0081382D"/>
    <w:rsid w:val="00817403"/>
    <w:rsid w:val="00820DBF"/>
    <w:rsid w:val="0082222A"/>
    <w:rsid w:val="008235B2"/>
    <w:rsid w:val="0082388A"/>
    <w:rsid w:val="00824698"/>
    <w:rsid w:val="00826387"/>
    <w:rsid w:val="008266BD"/>
    <w:rsid w:val="00830EB8"/>
    <w:rsid w:val="00832C83"/>
    <w:rsid w:val="00837C67"/>
    <w:rsid w:val="00841F6B"/>
    <w:rsid w:val="00843734"/>
    <w:rsid w:val="00845576"/>
    <w:rsid w:val="008458FA"/>
    <w:rsid w:val="00846F82"/>
    <w:rsid w:val="00847DB7"/>
    <w:rsid w:val="0085194F"/>
    <w:rsid w:val="00853428"/>
    <w:rsid w:val="00853C63"/>
    <w:rsid w:val="00861D3A"/>
    <w:rsid w:val="008705D5"/>
    <w:rsid w:val="00872A5F"/>
    <w:rsid w:val="00872CF4"/>
    <w:rsid w:val="008734A9"/>
    <w:rsid w:val="00877F7C"/>
    <w:rsid w:val="00882793"/>
    <w:rsid w:val="00887415"/>
    <w:rsid w:val="008960B8"/>
    <w:rsid w:val="0089651E"/>
    <w:rsid w:val="008A15F7"/>
    <w:rsid w:val="008A254B"/>
    <w:rsid w:val="008A6EA6"/>
    <w:rsid w:val="008B24CB"/>
    <w:rsid w:val="008B5D54"/>
    <w:rsid w:val="008B6A7E"/>
    <w:rsid w:val="008C00FC"/>
    <w:rsid w:val="008C0677"/>
    <w:rsid w:val="008C154D"/>
    <w:rsid w:val="008C36BB"/>
    <w:rsid w:val="008C46E9"/>
    <w:rsid w:val="008C47D8"/>
    <w:rsid w:val="008C536A"/>
    <w:rsid w:val="008C6811"/>
    <w:rsid w:val="008D1AE4"/>
    <w:rsid w:val="008D678D"/>
    <w:rsid w:val="008E1058"/>
    <w:rsid w:val="008E333E"/>
    <w:rsid w:val="008E3A6C"/>
    <w:rsid w:val="008E47E6"/>
    <w:rsid w:val="008E49FD"/>
    <w:rsid w:val="008E7A31"/>
    <w:rsid w:val="008F0707"/>
    <w:rsid w:val="008F0B6D"/>
    <w:rsid w:val="008F26E1"/>
    <w:rsid w:val="008F6AEF"/>
    <w:rsid w:val="008F6D26"/>
    <w:rsid w:val="008F6E48"/>
    <w:rsid w:val="008F7C11"/>
    <w:rsid w:val="0090078A"/>
    <w:rsid w:val="00901E43"/>
    <w:rsid w:val="00904FB6"/>
    <w:rsid w:val="0090515B"/>
    <w:rsid w:val="00906B16"/>
    <w:rsid w:val="0091320B"/>
    <w:rsid w:val="00913909"/>
    <w:rsid w:val="00915629"/>
    <w:rsid w:val="009163A4"/>
    <w:rsid w:val="0091651D"/>
    <w:rsid w:val="00917B52"/>
    <w:rsid w:val="00925F13"/>
    <w:rsid w:val="00930D68"/>
    <w:rsid w:val="00932BF5"/>
    <w:rsid w:val="009345A0"/>
    <w:rsid w:val="009363D4"/>
    <w:rsid w:val="00936836"/>
    <w:rsid w:val="00940376"/>
    <w:rsid w:val="00943FCF"/>
    <w:rsid w:val="00952841"/>
    <w:rsid w:val="00952BF9"/>
    <w:rsid w:val="009535EC"/>
    <w:rsid w:val="009577A5"/>
    <w:rsid w:val="0096150F"/>
    <w:rsid w:val="00962A73"/>
    <w:rsid w:val="00963256"/>
    <w:rsid w:val="00963A1F"/>
    <w:rsid w:val="00964F8C"/>
    <w:rsid w:val="00965C2A"/>
    <w:rsid w:val="00966B3A"/>
    <w:rsid w:val="00975121"/>
    <w:rsid w:val="009755DB"/>
    <w:rsid w:val="009758DC"/>
    <w:rsid w:val="00976EBB"/>
    <w:rsid w:val="00993AAD"/>
    <w:rsid w:val="009948CC"/>
    <w:rsid w:val="009977B4"/>
    <w:rsid w:val="009A107B"/>
    <w:rsid w:val="009A379F"/>
    <w:rsid w:val="009A551B"/>
    <w:rsid w:val="009A57A2"/>
    <w:rsid w:val="009B1D4A"/>
    <w:rsid w:val="009B2321"/>
    <w:rsid w:val="009B26BF"/>
    <w:rsid w:val="009B46AF"/>
    <w:rsid w:val="009B4E9B"/>
    <w:rsid w:val="009B6329"/>
    <w:rsid w:val="009B6C89"/>
    <w:rsid w:val="009B6DBA"/>
    <w:rsid w:val="009B765E"/>
    <w:rsid w:val="009C4626"/>
    <w:rsid w:val="009C49EF"/>
    <w:rsid w:val="009C5156"/>
    <w:rsid w:val="009C654B"/>
    <w:rsid w:val="009C7ACF"/>
    <w:rsid w:val="009D0E8F"/>
    <w:rsid w:val="009D15A9"/>
    <w:rsid w:val="009D21BA"/>
    <w:rsid w:val="009D2718"/>
    <w:rsid w:val="009D6685"/>
    <w:rsid w:val="009D6EBD"/>
    <w:rsid w:val="009D7F7F"/>
    <w:rsid w:val="009E2CA7"/>
    <w:rsid w:val="009E313A"/>
    <w:rsid w:val="009E4B22"/>
    <w:rsid w:val="009E754C"/>
    <w:rsid w:val="009E7B1B"/>
    <w:rsid w:val="009F15A7"/>
    <w:rsid w:val="00A007C5"/>
    <w:rsid w:val="00A07800"/>
    <w:rsid w:val="00A10A8C"/>
    <w:rsid w:val="00A131F4"/>
    <w:rsid w:val="00A148A3"/>
    <w:rsid w:val="00A150EF"/>
    <w:rsid w:val="00A22372"/>
    <w:rsid w:val="00A22B44"/>
    <w:rsid w:val="00A22E60"/>
    <w:rsid w:val="00A23017"/>
    <w:rsid w:val="00A250EC"/>
    <w:rsid w:val="00A30192"/>
    <w:rsid w:val="00A31BF0"/>
    <w:rsid w:val="00A321C9"/>
    <w:rsid w:val="00A40E0B"/>
    <w:rsid w:val="00A414FE"/>
    <w:rsid w:val="00A43C9D"/>
    <w:rsid w:val="00A446D4"/>
    <w:rsid w:val="00A45AE6"/>
    <w:rsid w:val="00A477D5"/>
    <w:rsid w:val="00A47D8D"/>
    <w:rsid w:val="00A50F29"/>
    <w:rsid w:val="00A51051"/>
    <w:rsid w:val="00A53644"/>
    <w:rsid w:val="00A54359"/>
    <w:rsid w:val="00A55830"/>
    <w:rsid w:val="00A561BB"/>
    <w:rsid w:val="00A6012F"/>
    <w:rsid w:val="00A60685"/>
    <w:rsid w:val="00A609A6"/>
    <w:rsid w:val="00A635F0"/>
    <w:rsid w:val="00A64299"/>
    <w:rsid w:val="00A64EDF"/>
    <w:rsid w:val="00A65244"/>
    <w:rsid w:val="00A6592C"/>
    <w:rsid w:val="00A65BAD"/>
    <w:rsid w:val="00A664B4"/>
    <w:rsid w:val="00A6728E"/>
    <w:rsid w:val="00A70A6F"/>
    <w:rsid w:val="00A71627"/>
    <w:rsid w:val="00A71AF6"/>
    <w:rsid w:val="00A73862"/>
    <w:rsid w:val="00A75E63"/>
    <w:rsid w:val="00A81AAF"/>
    <w:rsid w:val="00A84859"/>
    <w:rsid w:val="00A85F25"/>
    <w:rsid w:val="00A866D5"/>
    <w:rsid w:val="00A931CD"/>
    <w:rsid w:val="00A94610"/>
    <w:rsid w:val="00A96F70"/>
    <w:rsid w:val="00AA03E9"/>
    <w:rsid w:val="00AA2343"/>
    <w:rsid w:val="00AA2F28"/>
    <w:rsid w:val="00AA54F3"/>
    <w:rsid w:val="00AB09FF"/>
    <w:rsid w:val="00AB12D6"/>
    <w:rsid w:val="00AB18A6"/>
    <w:rsid w:val="00AB2DFE"/>
    <w:rsid w:val="00AB3C31"/>
    <w:rsid w:val="00AB3CEB"/>
    <w:rsid w:val="00AB46DB"/>
    <w:rsid w:val="00AC4C7D"/>
    <w:rsid w:val="00AC5702"/>
    <w:rsid w:val="00AC5BD1"/>
    <w:rsid w:val="00AC62CC"/>
    <w:rsid w:val="00AC7410"/>
    <w:rsid w:val="00AC76C2"/>
    <w:rsid w:val="00AD362D"/>
    <w:rsid w:val="00AD4E9D"/>
    <w:rsid w:val="00AD5BBF"/>
    <w:rsid w:val="00AD5E41"/>
    <w:rsid w:val="00AD6A63"/>
    <w:rsid w:val="00AE1D9F"/>
    <w:rsid w:val="00AE5246"/>
    <w:rsid w:val="00AE7B3E"/>
    <w:rsid w:val="00AF0689"/>
    <w:rsid w:val="00AF3796"/>
    <w:rsid w:val="00AF55F7"/>
    <w:rsid w:val="00AF7E84"/>
    <w:rsid w:val="00B04C37"/>
    <w:rsid w:val="00B04CD7"/>
    <w:rsid w:val="00B0540B"/>
    <w:rsid w:val="00B1012D"/>
    <w:rsid w:val="00B10E0C"/>
    <w:rsid w:val="00B128A4"/>
    <w:rsid w:val="00B15E05"/>
    <w:rsid w:val="00B209BD"/>
    <w:rsid w:val="00B2287C"/>
    <w:rsid w:val="00B262EC"/>
    <w:rsid w:val="00B266F0"/>
    <w:rsid w:val="00B31D18"/>
    <w:rsid w:val="00B3235B"/>
    <w:rsid w:val="00B32586"/>
    <w:rsid w:val="00B362F9"/>
    <w:rsid w:val="00B405D8"/>
    <w:rsid w:val="00B40DFF"/>
    <w:rsid w:val="00B42A7D"/>
    <w:rsid w:val="00B43AF9"/>
    <w:rsid w:val="00B44DD3"/>
    <w:rsid w:val="00B45002"/>
    <w:rsid w:val="00B45779"/>
    <w:rsid w:val="00B459A6"/>
    <w:rsid w:val="00B4706E"/>
    <w:rsid w:val="00B4734F"/>
    <w:rsid w:val="00B47B8F"/>
    <w:rsid w:val="00B5095A"/>
    <w:rsid w:val="00B50EA9"/>
    <w:rsid w:val="00B53975"/>
    <w:rsid w:val="00B55735"/>
    <w:rsid w:val="00B5628C"/>
    <w:rsid w:val="00B56E8A"/>
    <w:rsid w:val="00B572CF"/>
    <w:rsid w:val="00B6011E"/>
    <w:rsid w:val="00B60332"/>
    <w:rsid w:val="00B608AC"/>
    <w:rsid w:val="00B60DC0"/>
    <w:rsid w:val="00B62148"/>
    <w:rsid w:val="00B62898"/>
    <w:rsid w:val="00B655CA"/>
    <w:rsid w:val="00B65C2F"/>
    <w:rsid w:val="00B65C54"/>
    <w:rsid w:val="00B66900"/>
    <w:rsid w:val="00B67D13"/>
    <w:rsid w:val="00B805CE"/>
    <w:rsid w:val="00B807E6"/>
    <w:rsid w:val="00B81631"/>
    <w:rsid w:val="00B82B61"/>
    <w:rsid w:val="00B855BC"/>
    <w:rsid w:val="00B908AD"/>
    <w:rsid w:val="00B909F9"/>
    <w:rsid w:val="00B9184D"/>
    <w:rsid w:val="00B9186E"/>
    <w:rsid w:val="00B91B41"/>
    <w:rsid w:val="00B92BFB"/>
    <w:rsid w:val="00B9370C"/>
    <w:rsid w:val="00B95D90"/>
    <w:rsid w:val="00B95EC7"/>
    <w:rsid w:val="00B97C3B"/>
    <w:rsid w:val="00BA0CB2"/>
    <w:rsid w:val="00BA1042"/>
    <w:rsid w:val="00BA2D35"/>
    <w:rsid w:val="00BA2DBE"/>
    <w:rsid w:val="00BA4A65"/>
    <w:rsid w:val="00BA60FD"/>
    <w:rsid w:val="00BA6BB7"/>
    <w:rsid w:val="00BA749B"/>
    <w:rsid w:val="00BB0E8E"/>
    <w:rsid w:val="00BB3447"/>
    <w:rsid w:val="00BB375A"/>
    <w:rsid w:val="00BB4079"/>
    <w:rsid w:val="00BB5AE3"/>
    <w:rsid w:val="00BC0A06"/>
    <w:rsid w:val="00BC17AA"/>
    <w:rsid w:val="00BC592A"/>
    <w:rsid w:val="00BD24A8"/>
    <w:rsid w:val="00BD3849"/>
    <w:rsid w:val="00BD4653"/>
    <w:rsid w:val="00BD4D7F"/>
    <w:rsid w:val="00BD70C4"/>
    <w:rsid w:val="00BD7198"/>
    <w:rsid w:val="00BE035C"/>
    <w:rsid w:val="00BE14E2"/>
    <w:rsid w:val="00BE223E"/>
    <w:rsid w:val="00BE2673"/>
    <w:rsid w:val="00BE5BD0"/>
    <w:rsid w:val="00BE6013"/>
    <w:rsid w:val="00BE6F95"/>
    <w:rsid w:val="00BE7F98"/>
    <w:rsid w:val="00BF0A43"/>
    <w:rsid w:val="00BF3E5B"/>
    <w:rsid w:val="00BF418A"/>
    <w:rsid w:val="00BF6C67"/>
    <w:rsid w:val="00C000CD"/>
    <w:rsid w:val="00C00DE8"/>
    <w:rsid w:val="00C03179"/>
    <w:rsid w:val="00C0357E"/>
    <w:rsid w:val="00C0417E"/>
    <w:rsid w:val="00C0561A"/>
    <w:rsid w:val="00C10248"/>
    <w:rsid w:val="00C10594"/>
    <w:rsid w:val="00C10AE3"/>
    <w:rsid w:val="00C1136E"/>
    <w:rsid w:val="00C11E84"/>
    <w:rsid w:val="00C1323F"/>
    <w:rsid w:val="00C13936"/>
    <w:rsid w:val="00C13959"/>
    <w:rsid w:val="00C14779"/>
    <w:rsid w:val="00C1745D"/>
    <w:rsid w:val="00C17718"/>
    <w:rsid w:val="00C17A31"/>
    <w:rsid w:val="00C26766"/>
    <w:rsid w:val="00C314B6"/>
    <w:rsid w:val="00C32985"/>
    <w:rsid w:val="00C36D9E"/>
    <w:rsid w:val="00C40897"/>
    <w:rsid w:val="00C409FC"/>
    <w:rsid w:val="00C424E8"/>
    <w:rsid w:val="00C50474"/>
    <w:rsid w:val="00C51691"/>
    <w:rsid w:val="00C528FE"/>
    <w:rsid w:val="00C54298"/>
    <w:rsid w:val="00C564AD"/>
    <w:rsid w:val="00C56C35"/>
    <w:rsid w:val="00C610F6"/>
    <w:rsid w:val="00C63466"/>
    <w:rsid w:val="00C63A84"/>
    <w:rsid w:val="00C63AD7"/>
    <w:rsid w:val="00C65518"/>
    <w:rsid w:val="00C70072"/>
    <w:rsid w:val="00C72C51"/>
    <w:rsid w:val="00C773A9"/>
    <w:rsid w:val="00C77F81"/>
    <w:rsid w:val="00C829E4"/>
    <w:rsid w:val="00C836A1"/>
    <w:rsid w:val="00C83A1D"/>
    <w:rsid w:val="00C929D2"/>
    <w:rsid w:val="00C92BCB"/>
    <w:rsid w:val="00CA00D3"/>
    <w:rsid w:val="00CA2658"/>
    <w:rsid w:val="00CA4658"/>
    <w:rsid w:val="00CA72CD"/>
    <w:rsid w:val="00CA736B"/>
    <w:rsid w:val="00CA7FA2"/>
    <w:rsid w:val="00CB0BD9"/>
    <w:rsid w:val="00CB14BD"/>
    <w:rsid w:val="00CB17F2"/>
    <w:rsid w:val="00CB18A3"/>
    <w:rsid w:val="00CB2CC4"/>
    <w:rsid w:val="00CB4B3C"/>
    <w:rsid w:val="00CB747C"/>
    <w:rsid w:val="00CD01EC"/>
    <w:rsid w:val="00CD11AD"/>
    <w:rsid w:val="00CD2300"/>
    <w:rsid w:val="00CD671C"/>
    <w:rsid w:val="00CD7A35"/>
    <w:rsid w:val="00CE4B47"/>
    <w:rsid w:val="00CE70D0"/>
    <w:rsid w:val="00CE71F8"/>
    <w:rsid w:val="00CE76C1"/>
    <w:rsid w:val="00CF24E4"/>
    <w:rsid w:val="00CF2F9A"/>
    <w:rsid w:val="00CF603B"/>
    <w:rsid w:val="00CF7455"/>
    <w:rsid w:val="00CF766A"/>
    <w:rsid w:val="00D00836"/>
    <w:rsid w:val="00D01949"/>
    <w:rsid w:val="00D02999"/>
    <w:rsid w:val="00D07EA8"/>
    <w:rsid w:val="00D1101D"/>
    <w:rsid w:val="00D12747"/>
    <w:rsid w:val="00D12B9C"/>
    <w:rsid w:val="00D13AAE"/>
    <w:rsid w:val="00D14962"/>
    <w:rsid w:val="00D150A8"/>
    <w:rsid w:val="00D16598"/>
    <w:rsid w:val="00D179EA"/>
    <w:rsid w:val="00D20211"/>
    <w:rsid w:val="00D2041B"/>
    <w:rsid w:val="00D21504"/>
    <w:rsid w:val="00D21E54"/>
    <w:rsid w:val="00D22285"/>
    <w:rsid w:val="00D22A94"/>
    <w:rsid w:val="00D234B1"/>
    <w:rsid w:val="00D30BDF"/>
    <w:rsid w:val="00D312D8"/>
    <w:rsid w:val="00D32500"/>
    <w:rsid w:val="00D408B1"/>
    <w:rsid w:val="00D40D1B"/>
    <w:rsid w:val="00D431BD"/>
    <w:rsid w:val="00D43977"/>
    <w:rsid w:val="00D43AE7"/>
    <w:rsid w:val="00D4576A"/>
    <w:rsid w:val="00D476FA"/>
    <w:rsid w:val="00D47CE7"/>
    <w:rsid w:val="00D51816"/>
    <w:rsid w:val="00D5249F"/>
    <w:rsid w:val="00D5424F"/>
    <w:rsid w:val="00D54C0F"/>
    <w:rsid w:val="00D5583A"/>
    <w:rsid w:val="00D62EE3"/>
    <w:rsid w:val="00D64CE7"/>
    <w:rsid w:val="00D6587B"/>
    <w:rsid w:val="00D67B08"/>
    <w:rsid w:val="00D72EA8"/>
    <w:rsid w:val="00D778BF"/>
    <w:rsid w:val="00D80860"/>
    <w:rsid w:val="00D815D4"/>
    <w:rsid w:val="00D83A5F"/>
    <w:rsid w:val="00D84506"/>
    <w:rsid w:val="00D91D4C"/>
    <w:rsid w:val="00D938F7"/>
    <w:rsid w:val="00D94701"/>
    <w:rsid w:val="00D9512F"/>
    <w:rsid w:val="00DA14A4"/>
    <w:rsid w:val="00DA1FD9"/>
    <w:rsid w:val="00DA2BC4"/>
    <w:rsid w:val="00DA519E"/>
    <w:rsid w:val="00DA54A6"/>
    <w:rsid w:val="00DA5A96"/>
    <w:rsid w:val="00DA6118"/>
    <w:rsid w:val="00DA655A"/>
    <w:rsid w:val="00DB2341"/>
    <w:rsid w:val="00DB40A8"/>
    <w:rsid w:val="00DB4709"/>
    <w:rsid w:val="00DC352E"/>
    <w:rsid w:val="00DC57CC"/>
    <w:rsid w:val="00DC75E8"/>
    <w:rsid w:val="00DC7E2A"/>
    <w:rsid w:val="00DD046B"/>
    <w:rsid w:val="00DD0FC8"/>
    <w:rsid w:val="00DD160E"/>
    <w:rsid w:val="00DD30E1"/>
    <w:rsid w:val="00DD5C03"/>
    <w:rsid w:val="00DD7989"/>
    <w:rsid w:val="00DD7ABB"/>
    <w:rsid w:val="00DE0A9B"/>
    <w:rsid w:val="00DE0E6C"/>
    <w:rsid w:val="00DE5708"/>
    <w:rsid w:val="00DE6DA9"/>
    <w:rsid w:val="00DF2BF4"/>
    <w:rsid w:val="00DF5F5A"/>
    <w:rsid w:val="00E00D5C"/>
    <w:rsid w:val="00E00EAC"/>
    <w:rsid w:val="00E03799"/>
    <w:rsid w:val="00E073FF"/>
    <w:rsid w:val="00E11F63"/>
    <w:rsid w:val="00E159D5"/>
    <w:rsid w:val="00E22E3A"/>
    <w:rsid w:val="00E252AA"/>
    <w:rsid w:val="00E25AB9"/>
    <w:rsid w:val="00E25F35"/>
    <w:rsid w:val="00E26D57"/>
    <w:rsid w:val="00E2725E"/>
    <w:rsid w:val="00E278FC"/>
    <w:rsid w:val="00E3707E"/>
    <w:rsid w:val="00E443DB"/>
    <w:rsid w:val="00E44C4F"/>
    <w:rsid w:val="00E47940"/>
    <w:rsid w:val="00E52761"/>
    <w:rsid w:val="00E527F6"/>
    <w:rsid w:val="00E53774"/>
    <w:rsid w:val="00E53CD8"/>
    <w:rsid w:val="00E64C21"/>
    <w:rsid w:val="00E67191"/>
    <w:rsid w:val="00E71A5F"/>
    <w:rsid w:val="00E72BD9"/>
    <w:rsid w:val="00E733C0"/>
    <w:rsid w:val="00E73437"/>
    <w:rsid w:val="00E73BE0"/>
    <w:rsid w:val="00E747E6"/>
    <w:rsid w:val="00E75B19"/>
    <w:rsid w:val="00E82C63"/>
    <w:rsid w:val="00E84AC1"/>
    <w:rsid w:val="00E85215"/>
    <w:rsid w:val="00E85325"/>
    <w:rsid w:val="00E85627"/>
    <w:rsid w:val="00E857BB"/>
    <w:rsid w:val="00E90B55"/>
    <w:rsid w:val="00E953B7"/>
    <w:rsid w:val="00E95E60"/>
    <w:rsid w:val="00EA0849"/>
    <w:rsid w:val="00EA2AFC"/>
    <w:rsid w:val="00EA3339"/>
    <w:rsid w:val="00EA52EC"/>
    <w:rsid w:val="00EA538D"/>
    <w:rsid w:val="00EA55C0"/>
    <w:rsid w:val="00EA7430"/>
    <w:rsid w:val="00EA7B1C"/>
    <w:rsid w:val="00EB0B5C"/>
    <w:rsid w:val="00EB21E1"/>
    <w:rsid w:val="00EB246C"/>
    <w:rsid w:val="00EC1D86"/>
    <w:rsid w:val="00EC5E2E"/>
    <w:rsid w:val="00EC64FB"/>
    <w:rsid w:val="00EC7EFC"/>
    <w:rsid w:val="00ED0D0E"/>
    <w:rsid w:val="00ED13C9"/>
    <w:rsid w:val="00ED4142"/>
    <w:rsid w:val="00ED614F"/>
    <w:rsid w:val="00ED72E9"/>
    <w:rsid w:val="00ED73C0"/>
    <w:rsid w:val="00EE2130"/>
    <w:rsid w:val="00EE2348"/>
    <w:rsid w:val="00EE3715"/>
    <w:rsid w:val="00EE45EC"/>
    <w:rsid w:val="00EE7CF9"/>
    <w:rsid w:val="00EE7FAD"/>
    <w:rsid w:val="00EF0F25"/>
    <w:rsid w:val="00EF1ECD"/>
    <w:rsid w:val="00EF32C2"/>
    <w:rsid w:val="00EF4047"/>
    <w:rsid w:val="00EF6692"/>
    <w:rsid w:val="00EF674C"/>
    <w:rsid w:val="00F0210B"/>
    <w:rsid w:val="00F024E8"/>
    <w:rsid w:val="00F1279E"/>
    <w:rsid w:val="00F12AD6"/>
    <w:rsid w:val="00F12EE9"/>
    <w:rsid w:val="00F13451"/>
    <w:rsid w:val="00F1603C"/>
    <w:rsid w:val="00F16DA0"/>
    <w:rsid w:val="00F1710D"/>
    <w:rsid w:val="00F20B48"/>
    <w:rsid w:val="00F219A6"/>
    <w:rsid w:val="00F226AD"/>
    <w:rsid w:val="00F23A4F"/>
    <w:rsid w:val="00F2476B"/>
    <w:rsid w:val="00F262CE"/>
    <w:rsid w:val="00F30919"/>
    <w:rsid w:val="00F31217"/>
    <w:rsid w:val="00F31B4E"/>
    <w:rsid w:val="00F32F50"/>
    <w:rsid w:val="00F32FA5"/>
    <w:rsid w:val="00F33B65"/>
    <w:rsid w:val="00F34EAF"/>
    <w:rsid w:val="00F43818"/>
    <w:rsid w:val="00F47D8A"/>
    <w:rsid w:val="00F546BB"/>
    <w:rsid w:val="00F55293"/>
    <w:rsid w:val="00F557E4"/>
    <w:rsid w:val="00F6029C"/>
    <w:rsid w:val="00F61266"/>
    <w:rsid w:val="00F6223F"/>
    <w:rsid w:val="00F63FAF"/>
    <w:rsid w:val="00F643DD"/>
    <w:rsid w:val="00F66551"/>
    <w:rsid w:val="00F66907"/>
    <w:rsid w:val="00F71763"/>
    <w:rsid w:val="00F71851"/>
    <w:rsid w:val="00F71BAF"/>
    <w:rsid w:val="00F7214F"/>
    <w:rsid w:val="00F77C21"/>
    <w:rsid w:val="00F8030A"/>
    <w:rsid w:val="00F82AF2"/>
    <w:rsid w:val="00F84FB5"/>
    <w:rsid w:val="00F86B2F"/>
    <w:rsid w:val="00F86B72"/>
    <w:rsid w:val="00F90B8D"/>
    <w:rsid w:val="00F916B5"/>
    <w:rsid w:val="00F91C38"/>
    <w:rsid w:val="00F94AB3"/>
    <w:rsid w:val="00F95F22"/>
    <w:rsid w:val="00FA029C"/>
    <w:rsid w:val="00FA4342"/>
    <w:rsid w:val="00FA4DE0"/>
    <w:rsid w:val="00FA77F8"/>
    <w:rsid w:val="00FB1711"/>
    <w:rsid w:val="00FB25EB"/>
    <w:rsid w:val="00FB3333"/>
    <w:rsid w:val="00FB6BD6"/>
    <w:rsid w:val="00FC2B23"/>
    <w:rsid w:val="00FC2F2A"/>
    <w:rsid w:val="00FC5B5A"/>
    <w:rsid w:val="00FD00E5"/>
    <w:rsid w:val="00FD251A"/>
    <w:rsid w:val="00FD2841"/>
    <w:rsid w:val="00FE3F77"/>
    <w:rsid w:val="00FE5528"/>
    <w:rsid w:val="00FE5AEA"/>
    <w:rsid w:val="00FE60FC"/>
    <w:rsid w:val="00FF0E4A"/>
    <w:rsid w:val="00FF2C08"/>
    <w:rsid w:val="00FF4957"/>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4D68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1101D0"/>
    <w:pPr>
      <w:keepNext/>
      <w:keepLines/>
      <w:pBdr>
        <w:bottom w:val="single" w:sz="4" w:space="1" w:color="4F81BD" w:themeColor="accent1"/>
      </w:pBdr>
      <w:spacing w:before="400" w:after="2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1101D0"/>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NormalOMB">
    <w:name w:val="Normal OMB"/>
    <w:basedOn w:val="Normal"/>
    <w:rsid w:val="0045341A"/>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45341A"/>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45341A"/>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5341A"/>
  </w:style>
  <w:style w:type="character" w:customStyle="1" w:styleId="BodyTextChar">
    <w:name w:val="Body Text Char"/>
    <w:basedOn w:val="DefaultParagraphFont"/>
    <w:link w:val="BodyText"/>
    <w:uiPriority w:val="99"/>
    <w:rsid w:val="0045341A"/>
  </w:style>
  <w:style w:type="paragraph" w:customStyle="1" w:styleId="N2-2ndBullet">
    <w:name w:val="N2-2nd Bullet"/>
    <w:basedOn w:val="Normal"/>
    <w:rsid w:val="0023593F"/>
    <w:pPr>
      <w:numPr>
        <w:numId w:val="4"/>
      </w:numPr>
      <w:spacing w:after="240" w:line="240" w:lineRule="auto"/>
      <w:ind w:left="1440" w:hanging="720"/>
      <w:jc w:val="both"/>
    </w:pPr>
    <w:rPr>
      <w:rFonts w:ascii="Times New Roman" w:eastAsia="Times New Roman" w:hAnsi="Times New Roman" w:cs="Times New Roman"/>
      <w:sz w:val="24"/>
      <w:szCs w:val="24"/>
    </w:rPr>
  </w:style>
  <w:style w:type="paragraph" w:customStyle="1" w:styleId="Default">
    <w:name w:val="Default"/>
    <w:rsid w:val="002359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0">
    <w:name w:val="A0"/>
    <w:rsid w:val="0023593F"/>
    <w:rPr>
      <w:color w:val="000000"/>
      <w:sz w:val="20"/>
    </w:rPr>
  </w:style>
  <w:style w:type="character" w:customStyle="1" w:styleId="highlight2">
    <w:name w:val="highlight2"/>
    <w:basedOn w:val="DefaultParagraphFont"/>
    <w:rsid w:val="009755DB"/>
  </w:style>
  <w:style w:type="paragraph" w:styleId="FootnoteText">
    <w:name w:val="footnote text"/>
    <w:basedOn w:val="Normal"/>
    <w:link w:val="FootnoteTextChar"/>
    <w:uiPriority w:val="99"/>
    <w:semiHidden/>
    <w:unhideWhenUsed/>
    <w:rsid w:val="00E537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774"/>
    <w:rPr>
      <w:sz w:val="20"/>
      <w:szCs w:val="20"/>
    </w:rPr>
  </w:style>
  <w:style w:type="character" w:styleId="FootnoteReference">
    <w:name w:val="footnote reference"/>
    <w:basedOn w:val="DefaultParagraphFont"/>
    <w:uiPriority w:val="99"/>
    <w:semiHidden/>
    <w:unhideWhenUsed/>
    <w:rsid w:val="00E537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1101D0"/>
    <w:pPr>
      <w:keepNext/>
      <w:keepLines/>
      <w:pBdr>
        <w:bottom w:val="single" w:sz="4" w:space="1" w:color="4F81BD" w:themeColor="accent1"/>
      </w:pBdr>
      <w:spacing w:before="400" w:after="2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1101D0"/>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NormalOMB">
    <w:name w:val="Normal OMB"/>
    <w:basedOn w:val="Normal"/>
    <w:rsid w:val="0045341A"/>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45341A"/>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45341A"/>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5341A"/>
  </w:style>
  <w:style w:type="character" w:customStyle="1" w:styleId="BodyTextChar">
    <w:name w:val="Body Text Char"/>
    <w:basedOn w:val="DefaultParagraphFont"/>
    <w:link w:val="BodyText"/>
    <w:uiPriority w:val="99"/>
    <w:rsid w:val="0045341A"/>
  </w:style>
  <w:style w:type="paragraph" w:customStyle="1" w:styleId="N2-2ndBullet">
    <w:name w:val="N2-2nd Bullet"/>
    <w:basedOn w:val="Normal"/>
    <w:rsid w:val="0023593F"/>
    <w:pPr>
      <w:numPr>
        <w:numId w:val="4"/>
      </w:numPr>
      <w:spacing w:after="240" w:line="240" w:lineRule="auto"/>
      <w:ind w:left="1440" w:hanging="720"/>
      <w:jc w:val="both"/>
    </w:pPr>
    <w:rPr>
      <w:rFonts w:ascii="Times New Roman" w:eastAsia="Times New Roman" w:hAnsi="Times New Roman" w:cs="Times New Roman"/>
      <w:sz w:val="24"/>
      <w:szCs w:val="24"/>
    </w:rPr>
  </w:style>
  <w:style w:type="paragraph" w:customStyle="1" w:styleId="Default">
    <w:name w:val="Default"/>
    <w:rsid w:val="002359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0">
    <w:name w:val="A0"/>
    <w:rsid w:val="0023593F"/>
    <w:rPr>
      <w:color w:val="000000"/>
      <w:sz w:val="20"/>
    </w:rPr>
  </w:style>
  <w:style w:type="character" w:customStyle="1" w:styleId="highlight2">
    <w:name w:val="highlight2"/>
    <w:basedOn w:val="DefaultParagraphFont"/>
    <w:rsid w:val="009755DB"/>
  </w:style>
  <w:style w:type="paragraph" w:styleId="FootnoteText">
    <w:name w:val="footnote text"/>
    <w:basedOn w:val="Normal"/>
    <w:link w:val="FootnoteTextChar"/>
    <w:uiPriority w:val="99"/>
    <w:semiHidden/>
    <w:unhideWhenUsed/>
    <w:rsid w:val="00E537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774"/>
    <w:rPr>
      <w:sz w:val="20"/>
      <w:szCs w:val="20"/>
    </w:rPr>
  </w:style>
  <w:style w:type="character" w:styleId="FootnoteReference">
    <w:name w:val="footnote reference"/>
    <w:basedOn w:val="DefaultParagraphFont"/>
    <w:uiPriority w:val="99"/>
    <w:semiHidden/>
    <w:unhideWhenUsed/>
    <w:rsid w:val="00E53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533403">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29786">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41">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309801">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SORNnotice/09-20-0136.htm" TargetMode="External"/><Relationship Id="rId18" Type="http://schemas.openxmlformats.org/officeDocument/2006/relationships/hyperlink" Target="https://www.cdc.gov/nceh/lead/publications/prevleadpoisoning.pdf" TargetMode="External"/><Relationship Id="rId26" Type="http://schemas.openxmlformats.org/officeDocument/2006/relationships/hyperlink" Target="https://www.cdc.gov/mmwr/pdf/wk/mm6427.pdf" TargetMode="External"/><Relationship Id="rId3" Type="http://schemas.openxmlformats.org/officeDocument/2006/relationships/styles" Target="styles.xml"/><Relationship Id="rId21" Type="http://schemas.openxmlformats.org/officeDocument/2006/relationships/hyperlink" Target="https://www.cdc.gov/nchs/data/nhanes/nhanes_13_14/2013-14_overview_brochure.pdf" TargetMode="External"/><Relationship Id="rId34" Type="http://schemas.openxmlformats.org/officeDocument/2006/relationships/hyperlink" Target="https://www.cdc.gov/mmwr/volumes/66/ss/ss6603a1.htm" TargetMode="External"/><Relationship Id="rId7" Type="http://schemas.openxmlformats.org/officeDocument/2006/relationships/footnotes" Target="footnotes.xml"/><Relationship Id="rId12" Type="http://schemas.openxmlformats.org/officeDocument/2006/relationships/hyperlink" Target="http://www.cdc.gov/SORNnotice/09-20-0136.htm" TargetMode="External"/><Relationship Id="rId17" Type="http://schemas.openxmlformats.org/officeDocument/2006/relationships/hyperlink" Target="https://www.cdc.gov/nceh/lead/casemanagement/managingEBLLs.pdf" TargetMode="External"/><Relationship Id="rId25" Type="http://schemas.openxmlformats.org/officeDocument/2006/relationships/hyperlink" Target="https://www.ncbi.nlm.nih.gov/pubmed/?term=Oza%20A%5BAuthor%5D&amp;cauthor=true&amp;cauthor_uid=26182192" TargetMode="External"/><Relationship Id="rId33" Type="http://schemas.openxmlformats.org/officeDocument/2006/relationships/hyperlink" Target="http://journals.plos.org/plosmedicine/article?id=10.1371/journal.pmed.1001739" TargetMode="External"/><Relationship Id="rId2" Type="http://schemas.openxmlformats.org/officeDocument/2006/relationships/numbering" Target="numbering.xml"/><Relationship Id="rId16" Type="http://schemas.openxmlformats.org/officeDocument/2006/relationships/hyperlink" Target="http://www.acog.org/Resources-And-Publications/Committee-Opinions/Committee-on-Obstetric-Practice/Lead-Screening-During-Pregnancy-and-Lactation" TargetMode="External"/><Relationship Id="rId20" Type="http://schemas.openxmlformats.org/officeDocument/2006/relationships/hyperlink" Target="https://www.cdc.gov/nceh/lead/acclpp/cdc_response_lead_exposure_recs.pdf" TargetMode="External"/><Relationship Id="rId29" Type="http://schemas.openxmlformats.org/officeDocument/2006/relationships/hyperlink" Target="https://www.cdc.gov/mmwr/preview/mmwrhtml/mm6213a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er.J.Ashley@hud.gov" TargetMode="External"/><Relationship Id="rId24" Type="http://schemas.openxmlformats.org/officeDocument/2006/relationships/hyperlink" Target="https://www.medicaid.gov/federal-policy-guidance/downloads/cib113016.pdf" TargetMode="External"/><Relationship Id="rId32" Type="http://schemas.openxmlformats.org/officeDocument/2006/relationships/hyperlink" Target="http://www.cdc.gov/mmwr/preview/mmwrhtml/su6302a6.ht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dc.gov/nceh/lead/acclpp/final_document_030712.pdf" TargetMode="External"/><Relationship Id="rId23" Type="http://schemas.openxmlformats.org/officeDocument/2006/relationships/hyperlink" Target="https://wwwn.cdc.gov/nndss/conditions/lead-elevated-blood-levels/case-definition/2016/" TargetMode="External"/><Relationship Id="rId28" Type="http://schemas.openxmlformats.org/officeDocument/2006/relationships/hyperlink" Target="https://www.ncbi.nlm.nih.gov/pubmed/23552225" TargetMode="External"/><Relationship Id="rId36" Type="http://schemas.openxmlformats.org/officeDocument/2006/relationships/fontTable" Target="fontTable.xml"/><Relationship Id="rId10" Type="http://schemas.openxmlformats.org/officeDocument/2006/relationships/hyperlink" Target="http://www.ncsl.org/documents/environ/stlaws10.pdf" TargetMode="External"/><Relationship Id="rId19" Type="http://schemas.openxmlformats.org/officeDocument/2006/relationships/hyperlink" Target="https://www.cdc.gov/nceh/lead/publications/leadandpregnancy2010.pdf" TargetMode="External"/><Relationship Id="rId31" Type="http://schemas.openxmlformats.org/officeDocument/2006/relationships/hyperlink" Target="https://www.ncbi.nlm.nih.gov/pubmed/24988659" TargetMode="External"/><Relationship Id="rId4" Type="http://schemas.microsoft.com/office/2007/relationships/stylesWithEffects" Target="stylesWithEffects.xml"/><Relationship Id="rId9" Type="http://schemas.openxmlformats.org/officeDocument/2006/relationships/hyperlink" Target="http://www.fda.gov/Safety/MedWatch/SafetyInformation/SafetyAlertsforHumanMedicalProducts/ucm416441.htm" TargetMode="External"/><Relationship Id="rId14" Type="http://schemas.openxmlformats.org/officeDocument/2006/relationships/hyperlink" Target="http://www.bls.gov/oes/current/oes151131.htm" TargetMode="External"/><Relationship Id="rId22" Type="http://schemas.openxmlformats.org/officeDocument/2006/relationships/hyperlink" Target="https://wwwn.cdc.gov/nndss/" TargetMode="External"/><Relationship Id="rId27" Type="http://schemas.openxmlformats.org/officeDocument/2006/relationships/hyperlink" Target="https://www.cdc.gov/mmwr/pdf/rr/rr5809.pdf" TargetMode="External"/><Relationship Id="rId30" Type="http://schemas.openxmlformats.org/officeDocument/2006/relationships/hyperlink" Target="http://www.cdc.gov/mmwr/preview/mmwrhtml/mm6315a2.htm?s_cid=mm6315a2_e"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EA304-8BAD-4665-85B8-C5CA18FD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8519</Words>
  <Characters>48563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SYSTEM</cp:lastModifiedBy>
  <cp:revision>2</cp:revision>
  <cp:lastPrinted>2017-09-21T01:04:00Z</cp:lastPrinted>
  <dcterms:created xsi:type="dcterms:W3CDTF">2018-03-23T20:57:00Z</dcterms:created>
  <dcterms:modified xsi:type="dcterms:W3CDTF">2018-03-23T20:57:00Z</dcterms:modified>
</cp:coreProperties>
</file>