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52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1699A" w:rsidRPr="00B1699A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 (OMB Control Number: </w:t>
      </w:r>
      <w:r w:rsidR="006F1D52">
        <w:rPr>
          <w:sz w:val="28"/>
        </w:rPr>
        <w:t>0920-0953</w:t>
      </w:r>
      <w:r>
        <w:rPr>
          <w:sz w:val="28"/>
        </w:rPr>
        <w:t>)</w:t>
      </w:r>
    </w:p>
    <w:p w:rsidR="00E50293" w:rsidRPr="009239AA" w:rsidRDefault="004D329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63B08B" wp14:editId="4878B3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C131C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5C7ED9">
        <w:t>Surveillance Systems Feedback Survey</w:t>
      </w:r>
    </w:p>
    <w:p w:rsidR="005E714A" w:rsidRDefault="005E714A"/>
    <w:p w:rsidR="004D329A" w:rsidRDefault="00F15956" w:rsidP="005C7ED9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  <w:r w:rsidR="005C7ED9">
        <w:rPr>
          <w:b/>
        </w:rPr>
        <w:t xml:space="preserve"> </w:t>
      </w:r>
      <w:r w:rsidR="0001630C">
        <w:t>T</w:t>
      </w:r>
      <w:r w:rsidR="005C7ED9" w:rsidRPr="005C7ED9">
        <w:t xml:space="preserve">he Surveillance Branch of the Division of Surveillance, Hazard Evaluations and Field Studies, </w:t>
      </w:r>
      <w:r w:rsidR="005C7ED9">
        <w:t>created several web</w:t>
      </w:r>
      <w:r w:rsidR="00394BA7">
        <w:t xml:space="preserve"> applications meant to support surveillance activities for users. </w:t>
      </w:r>
      <w:r w:rsidR="00BA554A">
        <w:t>Obtaining user satisfaction metrics for federal government IT systems is a requirement of the Federal Information Technology Acquisition Reform Act (FITARA).</w:t>
      </w:r>
      <w:r w:rsidR="00BA554A" w:rsidRPr="00BA554A">
        <w:t xml:space="preserve"> </w:t>
      </w:r>
      <w:r w:rsidR="004D329A">
        <w:t xml:space="preserve">There are </w:t>
      </w:r>
      <w:r w:rsidR="0026721A">
        <w:t xml:space="preserve">three </w:t>
      </w:r>
      <w:r w:rsidR="004D329A">
        <w:t>system</w:t>
      </w:r>
      <w:r w:rsidR="00A433CC">
        <w:t xml:space="preserve"> applications</w:t>
      </w:r>
      <w:r w:rsidR="004D329A">
        <w:t xml:space="preserve"> </w:t>
      </w:r>
      <w:r w:rsidR="00A433CC">
        <w:t>for which we</w:t>
      </w:r>
      <w:r w:rsidR="00BA554A">
        <w:t xml:space="preserve"> </w:t>
      </w:r>
      <w:r w:rsidR="004D329A">
        <w:t>would like to obtain</w:t>
      </w:r>
      <w:r w:rsidR="0001630C">
        <w:t xml:space="preserve"> user</w:t>
      </w:r>
      <w:r w:rsidR="004D329A">
        <w:t xml:space="preserve"> feedback</w:t>
      </w:r>
      <w:r w:rsidR="00BA554A">
        <w:t xml:space="preserve">; the purpose of each </w:t>
      </w:r>
      <w:r w:rsidR="005B5128">
        <w:t xml:space="preserve">application </w:t>
      </w:r>
      <w:r w:rsidR="00BA554A">
        <w:t xml:space="preserve">is different, though each </w:t>
      </w:r>
      <w:r w:rsidR="005B5128">
        <w:t xml:space="preserve">application </w:t>
      </w:r>
      <w:r w:rsidR="00BA554A">
        <w:t>was built in-house by NIOSH and contract IT personnel</w:t>
      </w:r>
      <w:r w:rsidR="004D329A">
        <w:t>:</w:t>
      </w:r>
    </w:p>
    <w:p w:rsidR="004D329A" w:rsidRDefault="004D329A" w:rsidP="004D329A">
      <w:pPr>
        <w:pStyle w:val="ListParagraph"/>
        <w:numPr>
          <w:ilvl w:val="0"/>
          <w:numId w:val="19"/>
        </w:numPr>
      </w:pPr>
      <w:r w:rsidRPr="005C7ED9">
        <w:t>NIOSH Industry and Occupation Comput</w:t>
      </w:r>
      <w:r>
        <w:t>erized Coding System (NIOCCS)</w:t>
      </w:r>
    </w:p>
    <w:p w:rsidR="004D329A" w:rsidRDefault="004D329A" w:rsidP="004D329A">
      <w:pPr>
        <w:pStyle w:val="ListParagraph"/>
        <w:numPr>
          <w:ilvl w:val="0"/>
          <w:numId w:val="19"/>
        </w:numPr>
      </w:pPr>
      <w:r w:rsidRPr="005C7ED9">
        <w:t>State-based Occupational He</w:t>
      </w:r>
      <w:r>
        <w:t>alth Surveillance Clearinghouse</w:t>
      </w:r>
      <w:r w:rsidR="00071695">
        <w:t xml:space="preserve"> (</w:t>
      </w:r>
      <w:r w:rsidR="006963DC">
        <w:t>“</w:t>
      </w:r>
      <w:r w:rsidR="00071695">
        <w:t>Clearinghouse</w:t>
      </w:r>
      <w:r w:rsidR="006963DC">
        <w:t>”</w:t>
      </w:r>
      <w:r w:rsidR="00071695">
        <w:t>)</w:t>
      </w:r>
    </w:p>
    <w:p w:rsidR="004D329A" w:rsidRDefault="00773896" w:rsidP="004D329A">
      <w:pPr>
        <w:pStyle w:val="ListParagraph"/>
        <w:numPr>
          <w:ilvl w:val="0"/>
          <w:numId w:val="19"/>
        </w:numPr>
      </w:pPr>
      <w:r>
        <w:t>Worker Health Charts (WHC)</w:t>
      </w:r>
      <w:r w:rsidR="004D329A" w:rsidRPr="005C7ED9">
        <w:t xml:space="preserve"> </w:t>
      </w:r>
    </w:p>
    <w:p w:rsidR="001B0AAA" w:rsidRPr="005C7ED9" w:rsidRDefault="00380C32" w:rsidP="004D329A">
      <w:r>
        <w:t>The purpose of this effort is</w:t>
      </w:r>
      <w:r w:rsidR="005C7ED9" w:rsidRPr="005C7ED9">
        <w:t xml:space="preserve"> </w:t>
      </w:r>
      <w:r w:rsidR="0001630C" w:rsidRPr="005C7ED9">
        <w:t>to</w:t>
      </w:r>
      <w:r w:rsidR="0001630C">
        <w:t xml:space="preserve"> determine usability of each </w:t>
      </w:r>
      <w:r w:rsidR="005B5128">
        <w:t>application</w:t>
      </w:r>
      <w:r w:rsidR="0001630C">
        <w:t xml:space="preserve"> </w:t>
      </w:r>
      <w:r w:rsidR="008B347E">
        <w:t xml:space="preserve">and </w:t>
      </w:r>
      <w:r w:rsidR="005C7ED9" w:rsidRPr="005C7ED9">
        <w:t>identify ways t</w:t>
      </w:r>
      <w:r>
        <w:t>o improve or</w:t>
      </w:r>
      <w:r w:rsidR="005C7ED9" w:rsidRPr="005C7ED9">
        <w:t xml:space="preserve"> </w:t>
      </w:r>
      <w:r>
        <w:t>verify that</w:t>
      </w:r>
      <w:r w:rsidR="005C7ED9" w:rsidRPr="005C7ED9">
        <w:t xml:space="preserve"> the </w:t>
      </w:r>
      <w:r w:rsidR="00A433CC">
        <w:t xml:space="preserve">applications are </w:t>
      </w:r>
      <w:r w:rsidR="005C7ED9" w:rsidRPr="005C7ED9">
        <w:t xml:space="preserve">functioning </w:t>
      </w:r>
      <w:r>
        <w:t>properly and</w:t>
      </w:r>
      <w:r w:rsidR="005C7ED9" w:rsidRPr="005C7ED9">
        <w:t xml:space="preserve"> </w:t>
      </w:r>
      <w:r w:rsidR="00773896">
        <w:t>are</w:t>
      </w:r>
      <w:r w:rsidR="005C7ED9" w:rsidRPr="005C7ED9">
        <w:t xml:space="preserve"> useful</w:t>
      </w:r>
      <w:r w:rsidR="00BA554A">
        <w:t xml:space="preserve"> to users</w:t>
      </w:r>
      <w:r w:rsidR="005C7ED9" w:rsidRPr="005C7ED9">
        <w:t xml:space="preserve">. The results will </w:t>
      </w:r>
      <w:r>
        <w:t>be u</w:t>
      </w:r>
      <w:r w:rsidR="00773896">
        <w:t>sed to direct future IT efforts by identifying and triaging</w:t>
      </w:r>
      <w:r>
        <w:t xml:space="preserve"> improvements need</w:t>
      </w:r>
      <w:r w:rsidR="00773896">
        <w:t>ed</w:t>
      </w:r>
      <w:r>
        <w:t xml:space="preserve"> </w:t>
      </w:r>
      <w:r w:rsidR="00773896">
        <w:t>to ensure</w:t>
      </w:r>
      <w:r>
        <w:t xml:space="preserve"> </w:t>
      </w:r>
      <w:r w:rsidR="00773896">
        <w:t xml:space="preserve">our </w:t>
      </w:r>
      <w:r>
        <w:t xml:space="preserve">tools </w:t>
      </w:r>
      <w:r w:rsidR="00773896">
        <w:t xml:space="preserve">are useful </w:t>
      </w:r>
      <w:r>
        <w:t>to public health researchers, academia</w:t>
      </w:r>
      <w:r w:rsidR="00773896">
        <w:t>,</w:t>
      </w:r>
      <w:r>
        <w:t xml:space="preserve"> </w:t>
      </w:r>
      <w:r w:rsidR="00773896">
        <w:t>and state agencies</w:t>
      </w:r>
      <w:r>
        <w:t xml:space="preserve">. </w:t>
      </w:r>
      <w:r w:rsidR="00F70AC3">
        <w:t xml:space="preserve">Please see the attached screen shots of the survey tool, which was created in Survey Monkey. </w:t>
      </w:r>
      <w:r>
        <w:t xml:space="preserve">The results will </w:t>
      </w:r>
      <w:r w:rsidR="005C7ED9" w:rsidRPr="005C7ED9">
        <w:t>not be used for publication purposes</w:t>
      </w:r>
      <w:r w:rsidR="006D6306">
        <w:t xml:space="preserve"> but will be used to satisfy FITARA reporting requirements.</w:t>
      </w:r>
    </w:p>
    <w:p w:rsidR="001B0AAA" w:rsidRDefault="001B0AAA"/>
    <w:p w:rsidR="00276F0E" w:rsidRDefault="00434E33" w:rsidP="00276F0E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5B5128">
        <w:t>These</w:t>
      </w:r>
      <w:r w:rsidR="0026721A">
        <w:t xml:space="preserve"> </w:t>
      </w:r>
      <w:r w:rsidR="00A433CC">
        <w:t xml:space="preserve">three </w:t>
      </w:r>
      <w:r w:rsidR="008B347E">
        <w:t xml:space="preserve">system </w:t>
      </w:r>
      <w:r w:rsidR="005B5128">
        <w:t xml:space="preserve">applications </w:t>
      </w:r>
      <w:r w:rsidR="00276F0E">
        <w:t>are public</w:t>
      </w:r>
      <w:r w:rsidR="0026721A">
        <w:t>ly</w:t>
      </w:r>
      <w:r w:rsidR="00276F0E">
        <w:t xml:space="preserve"> access</w:t>
      </w:r>
      <w:r w:rsidR="0026721A">
        <w:t>ible</w:t>
      </w:r>
      <w:r w:rsidR="00276F0E">
        <w:t xml:space="preserve">, so the set of respondents is not entirely known.  </w:t>
      </w:r>
      <w:r w:rsidR="0067670E">
        <w:t>In some cases, we have a list of users and are able to contact them directly because they are required</w:t>
      </w:r>
      <w:r w:rsidR="00276F0E">
        <w:t xml:space="preserve"> to register for a user account</w:t>
      </w:r>
      <w:r w:rsidR="0067670E">
        <w:t xml:space="preserve">. </w:t>
      </w:r>
    </w:p>
    <w:p w:rsidR="00276F0E" w:rsidRDefault="00276F0E" w:rsidP="00276F0E">
      <w:pPr>
        <w:pStyle w:val="Header"/>
        <w:tabs>
          <w:tab w:val="clear" w:pos="4320"/>
          <w:tab w:val="clear" w:pos="8640"/>
        </w:tabs>
      </w:pPr>
    </w:p>
    <w:p w:rsidR="00117450" w:rsidRDefault="00276F0E" w:rsidP="00117450">
      <w:pPr>
        <w:pStyle w:val="Header"/>
        <w:tabs>
          <w:tab w:val="clear" w:pos="4320"/>
          <w:tab w:val="clear" w:pos="8640"/>
        </w:tabs>
      </w:pPr>
      <w:r>
        <w:t xml:space="preserve">Because is it likely that our users use more than one </w:t>
      </w:r>
      <w:r w:rsidR="005B5128">
        <w:t>application</w:t>
      </w:r>
      <w:r>
        <w:t xml:space="preserve">, we will prepare a master list of email contacts from each of the listservs below and remove </w:t>
      </w:r>
      <w:r w:rsidR="00AA5798">
        <w:t xml:space="preserve">duplicate </w:t>
      </w:r>
      <w:r>
        <w:t xml:space="preserve">email addresses to avoid sending multiple emails to the same user. </w:t>
      </w:r>
      <w:r w:rsidR="00BA554A">
        <w:t>T</w:t>
      </w:r>
      <w:r w:rsidR="0001630C">
        <w:t>h</w:t>
      </w:r>
      <w:r w:rsidR="00BA554A">
        <w:t>e</w:t>
      </w:r>
      <w:r w:rsidR="0001630C">
        <w:t xml:space="preserve"> </w:t>
      </w:r>
      <w:r w:rsidR="00117450">
        <w:t xml:space="preserve">survey instrument will </w:t>
      </w:r>
      <w:r w:rsidR="0001630C">
        <w:t xml:space="preserve">give </w:t>
      </w:r>
      <w:r w:rsidR="00117450">
        <w:t>users</w:t>
      </w:r>
      <w:r w:rsidR="0001630C">
        <w:t xml:space="preserve"> the opportunity</w:t>
      </w:r>
      <w:r w:rsidR="00117450">
        <w:t xml:space="preserve"> to complete survey questions for </w:t>
      </w:r>
      <w:r w:rsidR="00BA554A">
        <w:t>the</w:t>
      </w:r>
      <w:r w:rsidR="00117450">
        <w:t xml:space="preserve"> </w:t>
      </w:r>
      <w:r w:rsidR="008B347E">
        <w:t xml:space="preserve">system </w:t>
      </w:r>
      <w:r w:rsidR="005B5128">
        <w:t>applications</w:t>
      </w:r>
      <w:r w:rsidR="00117450">
        <w:t xml:space="preserve"> they use, rather than send out </w:t>
      </w:r>
      <w:r w:rsidR="00BA554A">
        <w:t xml:space="preserve">multiple </w:t>
      </w:r>
      <w:r w:rsidR="00117450">
        <w:t xml:space="preserve">surveys. </w:t>
      </w:r>
    </w:p>
    <w:p w:rsidR="00276F0E" w:rsidRDefault="00276F0E" w:rsidP="00773896">
      <w:pPr>
        <w:pStyle w:val="Header"/>
        <w:tabs>
          <w:tab w:val="clear" w:pos="4320"/>
          <w:tab w:val="clear" w:pos="8640"/>
        </w:tabs>
      </w:pPr>
    </w:p>
    <w:p w:rsidR="00773896" w:rsidRDefault="00276F0E" w:rsidP="00773896">
      <w:pPr>
        <w:pStyle w:val="Header"/>
        <w:tabs>
          <w:tab w:val="clear" w:pos="4320"/>
          <w:tab w:val="clear" w:pos="8640"/>
        </w:tabs>
      </w:pPr>
      <w:r>
        <w:t>The master listserv will be prepared using contact information obtained from</w:t>
      </w:r>
      <w:r w:rsidR="00773896">
        <w:t>:</w:t>
      </w:r>
    </w:p>
    <w:p w:rsidR="00773896" w:rsidRDefault="00071695" w:rsidP="00773896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R</w:t>
      </w:r>
      <w:r w:rsidR="0067670E">
        <w:t>egistered NIOCCS users</w:t>
      </w:r>
      <w:r w:rsidR="007B58DC">
        <w:t xml:space="preserve"> (</w:t>
      </w:r>
      <w:r w:rsidR="00BA554A">
        <w:t xml:space="preserve">n= </w:t>
      </w:r>
      <w:r w:rsidR="004F074E">
        <w:t>500)</w:t>
      </w:r>
    </w:p>
    <w:p w:rsidR="00773896" w:rsidRDefault="00276F0E" w:rsidP="00276F0E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S</w:t>
      </w:r>
      <w:r w:rsidR="0067670E">
        <w:t>tate agencies who also conduct surveillance efforts</w:t>
      </w:r>
      <w:r w:rsidR="004F074E">
        <w:t xml:space="preserve"> (n=</w:t>
      </w:r>
      <w:r>
        <w:t xml:space="preserve"> 174)</w:t>
      </w:r>
    </w:p>
    <w:p w:rsidR="00AC394A" w:rsidRDefault="00276F0E" w:rsidP="00773896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 xml:space="preserve">ABLES </w:t>
      </w:r>
      <w:r w:rsidR="00AC394A">
        <w:t>listserv (n=184)</w:t>
      </w:r>
      <w:r w:rsidR="00FE6C68">
        <w:t xml:space="preserve"> (ABLES data are included in the Worker Health Charts application, and therefore users of ABLES may have used WHC)</w:t>
      </w:r>
    </w:p>
    <w:p w:rsidR="00276F0E" w:rsidRDefault="00276F0E" w:rsidP="00276F0E">
      <w:pPr>
        <w:pStyle w:val="Header"/>
        <w:tabs>
          <w:tab w:val="clear" w:pos="4320"/>
          <w:tab w:val="clear" w:pos="8640"/>
        </w:tabs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67670E">
        <w:rPr>
          <w:bCs/>
          <w:sz w:val="24"/>
        </w:rPr>
        <w:t xml:space="preserve"> </w:t>
      </w:r>
      <w:r w:rsidR="0067670E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</w:t>
      </w:r>
      <w:r w:rsidR="00F2169E">
        <w:t>Amy E Mobley</w:t>
      </w:r>
      <w:r>
        <w:t>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2169E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F2169E">
        <w:t>x</w:t>
      </w:r>
      <w:r>
        <w:t xml:space="preserve">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</w:t>
      </w:r>
      <w:r w:rsidR="00F2169E">
        <w:t>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AD7606" w:rsidP="00843796">
            <w:r>
              <w:t>NIOCCS Users</w:t>
            </w:r>
          </w:p>
        </w:tc>
        <w:tc>
          <w:tcPr>
            <w:tcW w:w="1530" w:type="dxa"/>
          </w:tcPr>
          <w:p w:rsidR="006832D9" w:rsidRDefault="00DC618D" w:rsidP="00843796">
            <w:r>
              <w:t>500</w:t>
            </w:r>
          </w:p>
        </w:tc>
        <w:tc>
          <w:tcPr>
            <w:tcW w:w="1710" w:type="dxa"/>
          </w:tcPr>
          <w:p w:rsidR="006832D9" w:rsidRDefault="00DC618D" w:rsidP="00843796">
            <w:r>
              <w:t>5</w:t>
            </w:r>
            <w:r w:rsidR="00734782">
              <w:t>/60</w:t>
            </w:r>
          </w:p>
        </w:tc>
        <w:tc>
          <w:tcPr>
            <w:tcW w:w="1003" w:type="dxa"/>
          </w:tcPr>
          <w:p w:rsidR="006832D9" w:rsidRDefault="00734782" w:rsidP="00843796">
            <w:r>
              <w:t>42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AD7606" w:rsidP="00843796">
            <w:r>
              <w:t>State Agency Contacts</w:t>
            </w:r>
          </w:p>
        </w:tc>
        <w:tc>
          <w:tcPr>
            <w:tcW w:w="1530" w:type="dxa"/>
          </w:tcPr>
          <w:p w:rsidR="006832D9" w:rsidRDefault="00DC618D" w:rsidP="00843796">
            <w:r>
              <w:t>174</w:t>
            </w:r>
          </w:p>
        </w:tc>
        <w:tc>
          <w:tcPr>
            <w:tcW w:w="1710" w:type="dxa"/>
          </w:tcPr>
          <w:p w:rsidR="006832D9" w:rsidRDefault="00734782" w:rsidP="00843796">
            <w:r>
              <w:t>5/60</w:t>
            </w:r>
          </w:p>
        </w:tc>
        <w:tc>
          <w:tcPr>
            <w:tcW w:w="1003" w:type="dxa"/>
          </w:tcPr>
          <w:p w:rsidR="006832D9" w:rsidRDefault="00734782" w:rsidP="00843796">
            <w:r>
              <w:t>15</w:t>
            </w:r>
          </w:p>
        </w:tc>
      </w:tr>
      <w:tr w:rsidR="00DC618D" w:rsidTr="00EF2095">
        <w:trPr>
          <w:trHeight w:val="274"/>
        </w:trPr>
        <w:tc>
          <w:tcPr>
            <w:tcW w:w="5418" w:type="dxa"/>
          </w:tcPr>
          <w:p w:rsidR="00DC618D" w:rsidRPr="00357C2F" w:rsidRDefault="00DC618D" w:rsidP="00DC618D">
            <w:pPr>
              <w:pStyle w:val="Header"/>
            </w:pPr>
            <w:r w:rsidRPr="00357C2F">
              <w:t xml:space="preserve">ABLES listserv </w:t>
            </w:r>
          </w:p>
        </w:tc>
        <w:tc>
          <w:tcPr>
            <w:tcW w:w="1530" w:type="dxa"/>
          </w:tcPr>
          <w:p w:rsidR="00DC618D" w:rsidRDefault="00DC618D" w:rsidP="00DC618D">
            <w:r>
              <w:t>1</w:t>
            </w:r>
            <w:r w:rsidRPr="00357C2F">
              <w:t>84</w:t>
            </w:r>
          </w:p>
        </w:tc>
        <w:tc>
          <w:tcPr>
            <w:tcW w:w="1710" w:type="dxa"/>
          </w:tcPr>
          <w:p w:rsidR="00DC618D" w:rsidRDefault="00734782" w:rsidP="00DC618D">
            <w:r>
              <w:t>5/60</w:t>
            </w:r>
          </w:p>
        </w:tc>
        <w:tc>
          <w:tcPr>
            <w:tcW w:w="1003" w:type="dxa"/>
          </w:tcPr>
          <w:p w:rsidR="00DC618D" w:rsidRDefault="00734782" w:rsidP="00DC618D">
            <w:r>
              <w:t>15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DF2D21" w:rsidP="00843796">
            <w:pPr>
              <w:rPr>
                <w:b/>
              </w:rPr>
            </w:pPr>
            <w:r>
              <w:rPr>
                <w:b/>
              </w:rPr>
              <w:t>858</w:t>
            </w:r>
            <w:r w:rsidR="00855F5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734782" w:rsidRDefault="00855F52" w:rsidP="00843796">
            <w:pPr>
              <w:rPr>
                <w:b/>
              </w:rPr>
            </w:pPr>
            <w:r>
              <w:rPr>
                <w:b/>
              </w:rPr>
              <w:t>7</w:t>
            </w:r>
            <w:r w:rsidR="00734782">
              <w:rPr>
                <w:b/>
              </w:rPr>
              <w:t xml:space="preserve">2 </w:t>
            </w:r>
          </w:p>
          <w:p w:rsidR="00734782" w:rsidRPr="00F6240A" w:rsidRDefault="00734782" w:rsidP="00843796">
            <w:pPr>
              <w:rPr>
                <w:b/>
              </w:rPr>
            </w:pPr>
          </w:p>
        </w:tc>
      </w:tr>
    </w:tbl>
    <w:p w:rsidR="00F3170F" w:rsidRDefault="00734782" w:rsidP="00F3170F">
      <w:r>
        <w:t xml:space="preserve"> </w:t>
      </w:r>
    </w:p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6702B">
        <w:t xml:space="preserve">$2,000 (cost of one-year </w:t>
      </w:r>
      <w:r w:rsidR="00F70AC3">
        <w:t>S</w:t>
      </w:r>
      <w:r w:rsidR="00A6702B">
        <w:t xml:space="preserve">urvey </w:t>
      </w:r>
      <w:r w:rsidR="00F70AC3">
        <w:t>M</w:t>
      </w:r>
      <w:r w:rsidR="00A6702B">
        <w:t>onkey subscription and personnel time)</w:t>
      </w:r>
      <w:r w:rsidR="00C86E91">
        <w:t xml:space="preserve">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1231A">
        <w:t>[x</w:t>
      </w:r>
      <w:r>
        <w:t>] Yes</w:t>
      </w:r>
      <w:r>
        <w:tab/>
        <w:t>[</w:t>
      </w:r>
      <w:r w:rsidR="0081231A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C2873" w:rsidRDefault="009C2873" w:rsidP="001B0AAA"/>
    <w:p w:rsidR="009C2873" w:rsidRDefault="00AF74AE" w:rsidP="001B0AAA">
      <w:r>
        <w:t xml:space="preserve">NIOCCS </w:t>
      </w:r>
      <w:r w:rsidR="009C2873">
        <w:t>maintain</w:t>
      </w:r>
      <w:r>
        <w:t>s a list of</w:t>
      </w:r>
      <w:r w:rsidR="0001630C">
        <w:t xml:space="preserve"> self-subscribing</w:t>
      </w:r>
      <w:r w:rsidR="009C2873">
        <w:t xml:space="preserve"> user</w:t>
      </w:r>
      <w:r w:rsidR="00BE2EB1">
        <w:t>s</w:t>
      </w:r>
      <w:r>
        <w:t>. Additionally, the ABLES data set, which is used in Worker Health Charts, also maintains a listserv of stakeholders. It is likely that these stakeholders have gone to chart the data in Worker Health Charts</w:t>
      </w:r>
      <w:r w:rsidR="00F06B7E">
        <w:t xml:space="preserve">. </w:t>
      </w:r>
      <w:r>
        <w:t xml:space="preserve">We also have a list of state agency contacts who participate in the Clearinghouse. From these three </w:t>
      </w:r>
      <w:r w:rsidR="006963DC">
        <w:t>lists, we</w:t>
      </w:r>
      <w:r w:rsidR="0001630C">
        <w:t xml:space="preserve"> will create </w:t>
      </w:r>
      <w:r w:rsidR="006963DC">
        <w:t xml:space="preserve">a </w:t>
      </w:r>
      <w:r w:rsidR="00F06B7E">
        <w:t>master listserv</w:t>
      </w:r>
      <w:r w:rsidR="006963DC">
        <w:t>,</w:t>
      </w:r>
      <w:r w:rsidR="00F06B7E">
        <w:t xml:space="preserve"> </w:t>
      </w:r>
      <w:r w:rsidR="0001630C">
        <w:t>removing</w:t>
      </w:r>
      <w:r w:rsidR="00F06B7E">
        <w:t xml:space="preserve"> duplicate email addresses to avoid sending multiple survey requests to a user who may be on more than one listserv.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F308A5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F308A5">
        <w:t>ilitators be used?  [  ] Yes 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617D9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617D9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A2" w:rsidRDefault="00710BA2">
      <w:r>
        <w:separator/>
      </w:r>
    </w:p>
  </w:endnote>
  <w:endnote w:type="continuationSeparator" w:id="0">
    <w:p w:rsidR="00710BA2" w:rsidRDefault="0071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615E4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1085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A2" w:rsidRDefault="00710BA2">
      <w:r>
        <w:separator/>
      </w:r>
    </w:p>
  </w:footnote>
  <w:footnote w:type="continuationSeparator" w:id="0">
    <w:p w:rsidR="00710BA2" w:rsidRDefault="0071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64EEE"/>
    <w:multiLevelType w:val="hybridMultilevel"/>
    <w:tmpl w:val="84C8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6505A"/>
    <w:multiLevelType w:val="hybridMultilevel"/>
    <w:tmpl w:val="9AC8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5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6"/>
  </w:num>
  <w:num w:numId="18">
    <w:abstractNumId w:val="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C2F"/>
    <w:rsid w:val="0001630C"/>
    <w:rsid w:val="000239A8"/>
    <w:rsid w:val="00023A57"/>
    <w:rsid w:val="00047A64"/>
    <w:rsid w:val="00067329"/>
    <w:rsid w:val="00071695"/>
    <w:rsid w:val="000A4F5C"/>
    <w:rsid w:val="000B2838"/>
    <w:rsid w:val="000C572C"/>
    <w:rsid w:val="000D44CA"/>
    <w:rsid w:val="000D7FEE"/>
    <w:rsid w:val="000E200B"/>
    <w:rsid w:val="000F68BE"/>
    <w:rsid w:val="00117450"/>
    <w:rsid w:val="0016484C"/>
    <w:rsid w:val="001927A4"/>
    <w:rsid w:val="00194AC6"/>
    <w:rsid w:val="001A23B0"/>
    <w:rsid w:val="001A25CC"/>
    <w:rsid w:val="001B0AAA"/>
    <w:rsid w:val="001C39F7"/>
    <w:rsid w:val="001E0914"/>
    <w:rsid w:val="001E6F62"/>
    <w:rsid w:val="00211696"/>
    <w:rsid w:val="00237B48"/>
    <w:rsid w:val="0024521E"/>
    <w:rsid w:val="00256DB0"/>
    <w:rsid w:val="00263C3D"/>
    <w:rsid w:val="0026721A"/>
    <w:rsid w:val="00274D0B"/>
    <w:rsid w:val="00276F0E"/>
    <w:rsid w:val="002B3C95"/>
    <w:rsid w:val="002D0B92"/>
    <w:rsid w:val="00380C32"/>
    <w:rsid w:val="00394BA7"/>
    <w:rsid w:val="003D5BBE"/>
    <w:rsid w:val="003E3C61"/>
    <w:rsid w:val="003F1C5B"/>
    <w:rsid w:val="00434E33"/>
    <w:rsid w:val="00441434"/>
    <w:rsid w:val="0045264C"/>
    <w:rsid w:val="004876EC"/>
    <w:rsid w:val="004D329A"/>
    <w:rsid w:val="004D6E14"/>
    <w:rsid w:val="004F074E"/>
    <w:rsid w:val="004F35DF"/>
    <w:rsid w:val="005009B0"/>
    <w:rsid w:val="0051085E"/>
    <w:rsid w:val="005163A1"/>
    <w:rsid w:val="00552D9C"/>
    <w:rsid w:val="005617D9"/>
    <w:rsid w:val="005A1006"/>
    <w:rsid w:val="005B5128"/>
    <w:rsid w:val="005C7ED9"/>
    <w:rsid w:val="005D2324"/>
    <w:rsid w:val="005E714A"/>
    <w:rsid w:val="006140A0"/>
    <w:rsid w:val="00615E44"/>
    <w:rsid w:val="00636621"/>
    <w:rsid w:val="00642B49"/>
    <w:rsid w:val="0067670E"/>
    <w:rsid w:val="006832D9"/>
    <w:rsid w:val="0069403B"/>
    <w:rsid w:val="006963DC"/>
    <w:rsid w:val="006D6306"/>
    <w:rsid w:val="006F1D52"/>
    <w:rsid w:val="006F3DDE"/>
    <w:rsid w:val="00704678"/>
    <w:rsid w:val="00710BA2"/>
    <w:rsid w:val="00734782"/>
    <w:rsid w:val="007425E7"/>
    <w:rsid w:val="00773896"/>
    <w:rsid w:val="007A6153"/>
    <w:rsid w:val="007B2009"/>
    <w:rsid w:val="007B58DC"/>
    <w:rsid w:val="007F7F9C"/>
    <w:rsid w:val="00802607"/>
    <w:rsid w:val="008101A5"/>
    <w:rsid w:val="0081231A"/>
    <w:rsid w:val="00822664"/>
    <w:rsid w:val="00843796"/>
    <w:rsid w:val="00855F52"/>
    <w:rsid w:val="00865880"/>
    <w:rsid w:val="00895229"/>
    <w:rsid w:val="008B347E"/>
    <w:rsid w:val="008F0203"/>
    <w:rsid w:val="008F5009"/>
    <w:rsid w:val="008F50D4"/>
    <w:rsid w:val="009239AA"/>
    <w:rsid w:val="00935ADA"/>
    <w:rsid w:val="00946B6C"/>
    <w:rsid w:val="00955A71"/>
    <w:rsid w:val="00955BD6"/>
    <w:rsid w:val="0096108F"/>
    <w:rsid w:val="0097790D"/>
    <w:rsid w:val="00984F7B"/>
    <w:rsid w:val="009C13B9"/>
    <w:rsid w:val="009C2873"/>
    <w:rsid w:val="009D01A2"/>
    <w:rsid w:val="009F5923"/>
    <w:rsid w:val="00A01CDF"/>
    <w:rsid w:val="00A10E14"/>
    <w:rsid w:val="00A403BB"/>
    <w:rsid w:val="00A433CC"/>
    <w:rsid w:val="00A50A02"/>
    <w:rsid w:val="00A6702B"/>
    <w:rsid w:val="00A674DF"/>
    <w:rsid w:val="00A83AA6"/>
    <w:rsid w:val="00AA5798"/>
    <w:rsid w:val="00AB088C"/>
    <w:rsid w:val="00AC394A"/>
    <w:rsid w:val="00AD7606"/>
    <w:rsid w:val="00AE1809"/>
    <w:rsid w:val="00AF74AE"/>
    <w:rsid w:val="00B1699A"/>
    <w:rsid w:val="00B80D76"/>
    <w:rsid w:val="00B94085"/>
    <w:rsid w:val="00B94D81"/>
    <w:rsid w:val="00BA2105"/>
    <w:rsid w:val="00BA554A"/>
    <w:rsid w:val="00BA7E06"/>
    <w:rsid w:val="00BB43B5"/>
    <w:rsid w:val="00BB6219"/>
    <w:rsid w:val="00BD290F"/>
    <w:rsid w:val="00BE2EB1"/>
    <w:rsid w:val="00C14CC4"/>
    <w:rsid w:val="00C33C52"/>
    <w:rsid w:val="00C40D8B"/>
    <w:rsid w:val="00C76497"/>
    <w:rsid w:val="00C8407A"/>
    <w:rsid w:val="00C8488C"/>
    <w:rsid w:val="00C8662F"/>
    <w:rsid w:val="00C86E91"/>
    <w:rsid w:val="00CA2650"/>
    <w:rsid w:val="00CB1078"/>
    <w:rsid w:val="00CC0794"/>
    <w:rsid w:val="00CC6FAF"/>
    <w:rsid w:val="00D04253"/>
    <w:rsid w:val="00D24698"/>
    <w:rsid w:val="00D6383F"/>
    <w:rsid w:val="00DB59D0"/>
    <w:rsid w:val="00DC33D3"/>
    <w:rsid w:val="00DC618D"/>
    <w:rsid w:val="00DF2D21"/>
    <w:rsid w:val="00E018E5"/>
    <w:rsid w:val="00E26329"/>
    <w:rsid w:val="00E40B50"/>
    <w:rsid w:val="00E50293"/>
    <w:rsid w:val="00E65FFC"/>
    <w:rsid w:val="00E71E28"/>
    <w:rsid w:val="00E80951"/>
    <w:rsid w:val="00E83820"/>
    <w:rsid w:val="00E86CC6"/>
    <w:rsid w:val="00EB56B3"/>
    <w:rsid w:val="00ED6492"/>
    <w:rsid w:val="00EF2095"/>
    <w:rsid w:val="00F06866"/>
    <w:rsid w:val="00F06B7E"/>
    <w:rsid w:val="00F15956"/>
    <w:rsid w:val="00F2169E"/>
    <w:rsid w:val="00F24CFC"/>
    <w:rsid w:val="00F308A5"/>
    <w:rsid w:val="00F3170F"/>
    <w:rsid w:val="00F70AC3"/>
    <w:rsid w:val="00F976B0"/>
    <w:rsid w:val="00FA6DE7"/>
    <w:rsid w:val="00FC0A8E"/>
    <w:rsid w:val="00FE2FA6"/>
    <w:rsid w:val="00FE3DF2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855F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855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2018-08-16T20:04:00Z</cp:lastPrinted>
  <dcterms:created xsi:type="dcterms:W3CDTF">2018-10-04T13:11:00Z</dcterms:created>
  <dcterms:modified xsi:type="dcterms:W3CDTF">2018-10-04T13:11:00Z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