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5237B3" w14:textId="77777777" w:rsidR="00DF120F" w:rsidRDefault="00DF120F">
      <w:pPr>
        <w:rPr>
          <w:b/>
        </w:rPr>
      </w:pPr>
      <w:bookmarkStart w:id="0" w:name="_GoBack"/>
      <w:bookmarkEnd w:id="0"/>
    </w:p>
    <w:p w14:paraId="25A7811B" w14:textId="77777777" w:rsidR="00DF120F" w:rsidRPr="00DF120F" w:rsidRDefault="00DF120F" w:rsidP="00DF120F">
      <w:pPr>
        <w:autoSpaceDE w:val="0"/>
        <w:autoSpaceDN w:val="0"/>
        <w:spacing w:after="0" w:line="240" w:lineRule="auto"/>
        <w:rPr>
          <w:rFonts w:ascii="Calibri" w:eastAsia="Calibri" w:hAnsi="Calibri" w:cs="Calibri"/>
          <w:color w:val="231F20"/>
          <w:sz w:val="20"/>
          <w:szCs w:val="20"/>
        </w:rPr>
      </w:pPr>
    </w:p>
    <w:p w14:paraId="2610BA68" w14:textId="77777777" w:rsidR="00DF120F" w:rsidRPr="00DF120F" w:rsidRDefault="00DF120F" w:rsidP="00DF120F">
      <w:pPr>
        <w:autoSpaceDE w:val="0"/>
        <w:autoSpaceDN w:val="0"/>
        <w:spacing w:after="0" w:line="240" w:lineRule="auto"/>
        <w:jc w:val="right"/>
        <w:rPr>
          <w:rFonts w:ascii="Calibri" w:eastAsia="Calibri" w:hAnsi="Calibri" w:cs="Calibri"/>
          <w:color w:val="231F20"/>
          <w:sz w:val="20"/>
          <w:szCs w:val="20"/>
        </w:rPr>
      </w:pPr>
      <w:r w:rsidRPr="00DF120F">
        <w:rPr>
          <w:rFonts w:ascii="Calibri" w:eastAsia="Calibri" w:hAnsi="Calibri" w:cs="Calibri"/>
          <w:color w:val="231F20"/>
          <w:sz w:val="20"/>
          <w:szCs w:val="20"/>
        </w:rPr>
        <w:t>Form Approved</w:t>
      </w:r>
    </w:p>
    <w:p w14:paraId="6ACBFA33" w14:textId="2268650D" w:rsidR="00DF120F" w:rsidRPr="00DF120F" w:rsidRDefault="00DF120F" w:rsidP="00DF120F">
      <w:pPr>
        <w:autoSpaceDE w:val="0"/>
        <w:autoSpaceDN w:val="0"/>
        <w:spacing w:after="0" w:line="240" w:lineRule="auto"/>
        <w:jc w:val="right"/>
        <w:rPr>
          <w:rFonts w:ascii="Calibri" w:eastAsia="Calibri" w:hAnsi="Calibri" w:cs="Calibri"/>
          <w:color w:val="231F20"/>
          <w:sz w:val="20"/>
          <w:szCs w:val="20"/>
        </w:rPr>
      </w:pPr>
      <w:r w:rsidRPr="00DF120F">
        <w:rPr>
          <w:rFonts w:ascii="Calibri" w:eastAsia="Calibri" w:hAnsi="Calibri" w:cs="Calibri"/>
          <w:color w:val="231F20"/>
          <w:sz w:val="20"/>
          <w:szCs w:val="20"/>
        </w:rPr>
        <w:t>OMB No. 0920-</w:t>
      </w:r>
      <w:r>
        <w:rPr>
          <w:rFonts w:ascii="Calibri" w:eastAsia="Calibri" w:hAnsi="Calibri" w:cs="Calibri"/>
          <w:color w:val="231F20"/>
          <w:sz w:val="20"/>
          <w:szCs w:val="20"/>
        </w:rPr>
        <w:t>0953</w:t>
      </w:r>
    </w:p>
    <w:p w14:paraId="2E4A6F3D" w14:textId="788F7171" w:rsidR="00DF120F" w:rsidRPr="00DF120F" w:rsidRDefault="00272EE9" w:rsidP="00DF120F">
      <w:pPr>
        <w:spacing w:after="0" w:line="240" w:lineRule="auto"/>
        <w:jc w:val="right"/>
        <w:rPr>
          <w:rFonts w:ascii="Calibri" w:eastAsia="Calibri" w:hAnsi="Calibri" w:cs="Calibri"/>
          <w:color w:val="1F497D"/>
        </w:rPr>
      </w:pPr>
      <w:r>
        <w:rPr>
          <w:rFonts w:ascii="Calibri" w:eastAsia="Calibri" w:hAnsi="Calibri" w:cs="Calibri"/>
          <w:color w:val="231F20"/>
          <w:sz w:val="20"/>
          <w:szCs w:val="20"/>
        </w:rPr>
        <w:t>Exp. Date 8</w:t>
      </w:r>
      <w:r w:rsidR="00DF120F" w:rsidRPr="00DF120F">
        <w:rPr>
          <w:rFonts w:ascii="Calibri" w:eastAsia="Calibri" w:hAnsi="Calibri" w:cs="Calibri"/>
          <w:color w:val="231F20"/>
          <w:sz w:val="20"/>
          <w:szCs w:val="20"/>
        </w:rPr>
        <w:t>/31/202</w:t>
      </w:r>
      <w:r>
        <w:rPr>
          <w:rFonts w:ascii="Calibri" w:eastAsia="Calibri" w:hAnsi="Calibri" w:cs="Calibri"/>
          <w:color w:val="231F20"/>
          <w:sz w:val="20"/>
          <w:szCs w:val="20"/>
        </w:rPr>
        <w:t>1</w:t>
      </w:r>
    </w:p>
    <w:p w14:paraId="0814B1B1" w14:textId="77777777" w:rsidR="00DF120F" w:rsidRDefault="00DF120F">
      <w:pPr>
        <w:rPr>
          <w:b/>
        </w:rPr>
      </w:pPr>
    </w:p>
    <w:p w14:paraId="79BDC719" w14:textId="77777777" w:rsidR="00DF120F" w:rsidRDefault="00DF120F">
      <w:pPr>
        <w:rPr>
          <w:b/>
        </w:rPr>
      </w:pPr>
    </w:p>
    <w:p w14:paraId="09690A3C" w14:textId="1CF18D13" w:rsidR="00D36B0A" w:rsidRDefault="00D36B0A">
      <w:pPr>
        <w:rPr>
          <w:b/>
        </w:rPr>
      </w:pPr>
      <w:r>
        <w:rPr>
          <w:b/>
        </w:rPr>
        <w:t>2019 NIOSH Centers Grantee Meeting Evaluation – Invitation Email</w:t>
      </w:r>
    </w:p>
    <w:p w14:paraId="2610B924" w14:textId="77777777" w:rsidR="00D36B0A" w:rsidRDefault="00D36B0A">
      <w:r>
        <w:t>Dear NIOSH Centers Grantee:</w:t>
      </w:r>
    </w:p>
    <w:p w14:paraId="5DDDA4D8" w14:textId="63C0943C" w:rsidR="00D36B0A" w:rsidRDefault="00D36B0A">
      <w:r>
        <w:t xml:space="preserve">You are invited to participate in an evaluation of the 2019 NIOSH Centers Grantee Meeting that was held August 20-21, 2019 at the University of Cincinnati (Cincinnati, OH). </w:t>
      </w:r>
    </w:p>
    <w:p w14:paraId="163BB82E" w14:textId="77777777" w:rsidR="00D36B0A" w:rsidRDefault="00D36B0A">
      <w:r>
        <w:t>Your input will be invaluable to the planning efforts for the 2021 NIOSH Centers Grantee Meeting, which will be held at the University of Utah (Salt Lake City, UT)</w:t>
      </w:r>
    </w:p>
    <w:p w14:paraId="2F058A7E" w14:textId="530A19C6" w:rsidR="00D36B0A" w:rsidRDefault="00D36B0A">
      <w:r>
        <w:t xml:space="preserve">Participation in this evaluation includes clicking the link below and providing your responses to the </w:t>
      </w:r>
      <w:r w:rsidR="002B260E">
        <w:t>evaluation questions</w:t>
      </w:r>
      <w:r>
        <w:t xml:space="preserve">. The </w:t>
      </w:r>
      <w:r w:rsidR="002B260E">
        <w:t>evaluation</w:t>
      </w:r>
      <w:r>
        <w:t xml:space="preserve"> will take less than 10 minutes to complete. </w:t>
      </w:r>
    </w:p>
    <w:p w14:paraId="7B506217" w14:textId="193080BF" w:rsidR="00D36B0A" w:rsidRDefault="00D36B0A">
      <w:pPr>
        <w:rPr>
          <w:b/>
        </w:rPr>
      </w:pPr>
      <w:r w:rsidRPr="00D36B0A">
        <w:rPr>
          <w:b/>
        </w:rPr>
        <w:t xml:space="preserve">[SURVEYMONKEY LINK </w:t>
      </w:r>
      <w:r w:rsidR="00430D26">
        <w:rPr>
          <w:b/>
        </w:rPr>
        <w:t xml:space="preserve">TO BE </w:t>
      </w:r>
      <w:r w:rsidRPr="00D36B0A">
        <w:rPr>
          <w:b/>
        </w:rPr>
        <w:t>PROVIDED HERE]</w:t>
      </w:r>
    </w:p>
    <w:p w14:paraId="013C218F" w14:textId="23A1C327" w:rsidR="00696763" w:rsidRPr="00D36B0A" w:rsidRDefault="00696763">
      <w:pPr>
        <w:rPr>
          <w:b/>
        </w:rPr>
      </w:pPr>
      <w:r>
        <w:rPr>
          <w:b/>
        </w:rPr>
        <w:t xml:space="preserve">This </w:t>
      </w:r>
      <w:r w:rsidR="002B260E">
        <w:rPr>
          <w:b/>
        </w:rPr>
        <w:t>evaluation</w:t>
      </w:r>
      <w:r>
        <w:rPr>
          <w:b/>
        </w:rPr>
        <w:t xml:space="preserve"> is approved under OMB Control Number </w:t>
      </w:r>
      <w:r w:rsidR="00430D26">
        <w:rPr>
          <w:b/>
        </w:rPr>
        <w:t>[</w:t>
      </w:r>
      <w:r>
        <w:rPr>
          <w:b/>
        </w:rPr>
        <w:t>XXX-YYYY</w:t>
      </w:r>
      <w:r w:rsidR="00430D26">
        <w:rPr>
          <w:b/>
        </w:rPr>
        <w:t>]</w:t>
      </w:r>
      <w:r>
        <w:rPr>
          <w:b/>
        </w:rPr>
        <w:t>.</w:t>
      </w:r>
    </w:p>
    <w:p w14:paraId="66162FA2" w14:textId="77777777" w:rsidR="00D36B0A" w:rsidRDefault="00D36B0A">
      <w:r>
        <w:t xml:space="preserve">For additional information, please contact Dr. Jessica Streit, NIOSH Office of Research Integration, at </w:t>
      </w:r>
      <w:hyperlink r:id="rId8" w:history="1">
        <w:r w:rsidRPr="002C3F61">
          <w:rPr>
            <w:rStyle w:val="Hyperlink"/>
          </w:rPr>
          <w:t>jstreit@cdc.gov</w:t>
        </w:r>
      </w:hyperlink>
      <w:r>
        <w:t xml:space="preserve">. You may also email Dr. Sarah Felknor, NIOSH Associate Director for Research Integration, at </w:t>
      </w:r>
      <w:hyperlink r:id="rId9" w:history="1">
        <w:r w:rsidRPr="002C3F61">
          <w:rPr>
            <w:rStyle w:val="Hyperlink"/>
          </w:rPr>
          <w:t>sfelknor@cdc.gov</w:t>
        </w:r>
      </w:hyperlink>
      <w:r>
        <w:t xml:space="preserve">. </w:t>
      </w:r>
    </w:p>
    <w:p w14:paraId="46574B94" w14:textId="77777777" w:rsidR="00D36B0A" w:rsidRDefault="00D36B0A">
      <w:r>
        <w:t>Thank you very much for your consideration of this evaluation!</w:t>
      </w:r>
    </w:p>
    <w:p w14:paraId="4013654D" w14:textId="77777777" w:rsidR="00D36B0A" w:rsidRDefault="00D36B0A">
      <w:r>
        <w:t>Sincerely,</w:t>
      </w:r>
    </w:p>
    <w:p w14:paraId="11224835" w14:textId="77777777" w:rsidR="00DF120F" w:rsidRDefault="00D36B0A">
      <w:r>
        <w:t>The NIOSH Centers Grantee Meeting Planning Team</w:t>
      </w:r>
    </w:p>
    <w:p w14:paraId="7CB417DF" w14:textId="77777777" w:rsidR="00DF120F" w:rsidRDefault="00DF120F"/>
    <w:p w14:paraId="6388DC81" w14:textId="77777777" w:rsidR="00DF120F" w:rsidRDefault="00DF120F"/>
    <w:p w14:paraId="15C8EC4F" w14:textId="77777777" w:rsidR="00DF120F" w:rsidRDefault="00DF120F"/>
    <w:p w14:paraId="1F487D90" w14:textId="56E22F92" w:rsidR="00DF120F" w:rsidRDefault="00DF120F"/>
    <w:p w14:paraId="3E47E003" w14:textId="6669A31C" w:rsidR="00DF120F" w:rsidRDefault="00DF120F"/>
    <w:p w14:paraId="7DA36912" w14:textId="0102DA11" w:rsidR="00DF120F" w:rsidRDefault="00DF120F"/>
    <w:p w14:paraId="657481D6" w14:textId="41A5C968" w:rsidR="00DF120F" w:rsidRDefault="00DF120F"/>
    <w:p w14:paraId="102C77D8" w14:textId="77777777" w:rsidR="00DF120F" w:rsidRDefault="00DF120F"/>
    <w:p w14:paraId="2F80D108" w14:textId="77777777" w:rsidR="00DF120F" w:rsidRPr="00DF120F" w:rsidRDefault="00DF120F" w:rsidP="00DF120F">
      <w:pPr>
        <w:spacing w:after="0" w:line="240" w:lineRule="auto"/>
        <w:rPr>
          <w:rFonts w:ascii="Calibri" w:eastAsia="Calibri" w:hAnsi="Calibri" w:cs="Times New Roman"/>
          <w:color w:val="1F497D"/>
        </w:rPr>
      </w:pPr>
    </w:p>
    <w:p w14:paraId="7BDFE1B1" w14:textId="19745EFC" w:rsidR="00DF120F" w:rsidRPr="00DF120F" w:rsidRDefault="00DF120F" w:rsidP="00DF120F">
      <w:pPr>
        <w:autoSpaceDE w:val="0"/>
        <w:autoSpaceDN w:val="0"/>
        <w:spacing w:after="0" w:line="240" w:lineRule="auto"/>
        <w:rPr>
          <w:rFonts w:ascii="MyriadPro-Regular" w:eastAsia="Calibri" w:hAnsi="MyriadPro-Regular" w:cs="Times New Roman"/>
          <w:sz w:val="16"/>
          <w:szCs w:val="16"/>
        </w:rPr>
      </w:pPr>
      <w:r w:rsidRPr="00DF120F">
        <w:rPr>
          <w:rFonts w:ascii="MyriadPro-Regular" w:eastAsia="Calibri" w:hAnsi="MyriadPro-Regular" w:cs="Times New Roman"/>
          <w:sz w:val="16"/>
          <w:szCs w:val="16"/>
        </w:rPr>
        <w:t>Public reporting burden of this collection of info</w:t>
      </w:r>
      <w:r>
        <w:rPr>
          <w:rFonts w:ascii="MyriadPro-Regular" w:eastAsia="Calibri" w:hAnsi="MyriadPro-Regular" w:cs="Times New Roman"/>
          <w:sz w:val="16"/>
          <w:szCs w:val="16"/>
        </w:rPr>
        <w:t>rmation is estimated to average10</w:t>
      </w:r>
      <w:r w:rsidRPr="00DF120F">
        <w:rPr>
          <w:rFonts w:ascii="MyriadPro-Regular" w:eastAsia="Calibri" w:hAnsi="MyriadPro-Regular" w:cs="Times New Roman"/>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w:t>
      </w:r>
      <w:r>
        <w:rPr>
          <w:rFonts w:ascii="MyriadPro-Regular" w:eastAsia="Calibri" w:hAnsi="MyriadPro-Regular" w:cs="Times New Roman"/>
          <w:sz w:val="16"/>
          <w:szCs w:val="16"/>
        </w:rPr>
        <w:t>orgia 30333 ATTN: PRA (0920-0953</w:t>
      </w:r>
      <w:r w:rsidRPr="00DF120F">
        <w:rPr>
          <w:rFonts w:ascii="MyriadPro-Regular" w:eastAsia="Calibri" w:hAnsi="MyriadPro-Regular" w:cs="Times New Roman"/>
          <w:sz w:val="16"/>
          <w:szCs w:val="16"/>
        </w:rPr>
        <w:t>).</w:t>
      </w:r>
    </w:p>
    <w:p w14:paraId="6481655F" w14:textId="77777777" w:rsidR="00DF120F" w:rsidRDefault="00DF120F"/>
    <w:p w14:paraId="7C65D432" w14:textId="3B05B1C3" w:rsidR="00D36B0A" w:rsidRDefault="00D36B0A">
      <w:pPr>
        <w:rPr>
          <w:b/>
        </w:rPr>
      </w:pPr>
      <w:r>
        <w:rPr>
          <w:b/>
        </w:rPr>
        <w:br w:type="page"/>
      </w:r>
    </w:p>
    <w:p w14:paraId="5C2950D3" w14:textId="37D38107" w:rsidR="002B260E" w:rsidRDefault="003026B3">
      <w:pPr>
        <w:rPr>
          <w:b/>
        </w:rPr>
      </w:pPr>
      <w:r w:rsidRPr="00A333B8">
        <w:rPr>
          <w:b/>
        </w:rPr>
        <w:lastRenderedPageBreak/>
        <w:t>NIOSH Centers Grantee Meeting Evaluation</w:t>
      </w:r>
      <w:r w:rsidR="00D36B0A">
        <w:rPr>
          <w:b/>
        </w:rPr>
        <w:t xml:space="preserve"> - </w:t>
      </w:r>
      <w:r w:rsidR="002B260E">
        <w:rPr>
          <w:b/>
        </w:rPr>
        <w:t>Instrument</w:t>
      </w:r>
      <w:r w:rsidRPr="00A333B8">
        <w:rPr>
          <w:b/>
        </w:rPr>
        <w:t xml:space="preserve"> </w:t>
      </w:r>
    </w:p>
    <w:p w14:paraId="793BA4CB" w14:textId="38742E84" w:rsidR="00FC70C6" w:rsidRPr="00A333B8" w:rsidRDefault="00017987">
      <w:pPr>
        <w:rPr>
          <w:b/>
        </w:rPr>
      </w:pPr>
      <w:r>
        <w:rPr>
          <w:b/>
        </w:rPr>
        <w:t>[to be converted to online SurveyMonkey format after OMB approval]</w:t>
      </w:r>
    </w:p>
    <w:p w14:paraId="36D4ACBA" w14:textId="328AA438" w:rsidR="00CE3667" w:rsidRPr="00CE3667" w:rsidRDefault="00CE3667" w:rsidP="00CE3667">
      <w:pPr>
        <w:rPr>
          <w:u w:val="single"/>
        </w:rPr>
      </w:pPr>
      <w:r>
        <w:rPr>
          <w:u w:val="single"/>
        </w:rPr>
        <w:t>Instructions</w:t>
      </w:r>
    </w:p>
    <w:p w14:paraId="2912B558" w14:textId="79A9A6CA" w:rsidR="00BA6077" w:rsidRDefault="00CE3667" w:rsidP="00CE3667">
      <w:r>
        <w:t>This is a brief participant evaluation of the 2019 NIOSH Centers Grantee Meeting (hereafter the Meeting)</w:t>
      </w:r>
      <w:r w:rsidR="00BA6077">
        <w:t>, which was held August 20-21 at the University of Cincinnati.</w:t>
      </w:r>
    </w:p>
    <w:p w14:paraId="2013F1E7" w14:textId="05C48375" w:rsidR="00CE3667" w:rsidRDefault="002B260E" w:rsidP="00CE3667">
      <w:r>
        <w:t>This evaluation</w:t>
      </w:r>
      <w:r w:rsidR="00BA6077">
        <w:t xml:space="preserve"> is completely voluntary. All of your responses will be kept confidential. </w:t>
      </w:r>
      <w:r w:rsidR="00CE3667">
        <w:t>Please answer each question about the Meeting to the best of your ability.</w:t>
      </w:r>
      <w:r w:rsidR="00BA6077">
        <w:t xml:space="preserve"> By completing </w:t>
      </w:r>
      <w:r>
        <w:t xml:space="preserve">and submitting </w:t>
      </w:r>
      <w:r w:rsidR="00BA6077">
        <w:t>this</w:t>
      </w:r>
      <w:r>
        <w:t xml:space="preserve"> evaluation</w:t>
      </w:r>
      <w:r w:rsidR="00BA6077">
        <w:t>, you grant your consent to participate</w:t>
      </w:r>
      <w:r>
        <w:t xml:space="preserve">. </w:t>
      </w:r>
    </w:p>
    <w:p w14:paraId="6248F05C" w14:textId="0FDA8E19" w:rsidR="00696763" w:rsidRDefault="00696763" w:rsidP="00CE3667">
      <w:r w:rsidRPr="00696763">
        <w:t>This</w:t>
      </w:r>
      <w:r w:rsidR="002B260E">
        <w:t xml:space="preserve"> evaluation</w:t>
      </w:r>
      <w:r w:rsidRPr="00696763">
        <w:t xml:space="preserve"> is approved under OMB Control Number </w:t>
      </w:r>
      <w:r w:rsidR="00430D26" w:rsidRPr="00430D26">
        <w:rPr>
          <w:b/>
        </w:rPr>
        <w:t>[</w:t>
      </w:r>
      <w:r w:rsidRPr="00430D26">
        <w:rPr>
          <w:b/>
        </w:rPr>
        <w:t>XXX-YYYY</w:t>
      </w:r>
      <w:r w:rsidR="00430D26">
        <w:t>]</w:t>
      </w:r>
      <w:r w:rsidRPr="00696763">
        <w:t>.</w:t>
      </w:r>
    </w:p>
    <w:p w14:paraId="69C79E22" w14:textId="77777777" w:rsidR="00CE3667" w:rsidRDefault="00CE3667" w:rsidP="00CE3667">
      <w:pPr>
        <w:pStyle w:val="ListParagraph"/>
        <w:ind w:left="360"/>
      </w:pPr>
    </w:p>
    <w:p w14:paraId="2C763809" w14:textId="3ACBC86C" w:rsidR="006B1F21" w:rsidRDefault="00FF59F6" w:rsidP="00FF59F6">
      <w:pPr>
        <w:pStyle w:val="ListParagraph"/>
        <w:numPr>
          <w:ilvl w:val="0"/>
          <w:numId w:val="2"/>
        </w:numPr>
        <w:ind w:left="360"/>
      </w:pPr>
      <w:r>
        <w:t xml:space="preserve">[Select one] </w:t>
      </w:r>
    </w:p>
    <w:p w14:paraId="74A0FD0E" w14:textId="5CFC94FA" w:rsidR="00FF59F6" w:rsidRDefault="00BA6077" w:rsidP="005048E0">
      <w:pPr>
        <w:pStyle w:val="ListParagraph"/>
        <w:spacing w:after="0"/>
        <w:ind w:left="360"/>
      </w:pPr>
      <w:r>
        <w:t xml:space="preserve">Which of the following best represents your </w:t>
      </w:r>
      <w:r w:rsidR="00FF59F6" w:rsidRPr="00FF59F6">
        <w:rPr>
          <w:u w:val="single"/>
        </w:rPr>
        <w:t>overall satisfaction</w:t>
      </w:r>
      <w:r w:rsidR="00FF59F6">
        <w:t xml:space="preserve"> with the Meeting</w:t>
      </w:r>
      <w:r>
        <w:t>?</w:t>
      </w:r>
    </w:p>
    <w:p w14:paraId="72F4D027" w14:textId="77777777" w:rsidR="00430D26" w:rsidRDefault="00430D26" w:rsidP="005048E0">
      <w:pPr>
        <w:pStyle w:val="ListParagraph"/>
        <w:numPr>
          <w:ilvl w:val="0"/>
          <w:numId w:val="19"/>
        </w:numPr>
        <w:spacing w:after="0"/>
        <w:ind w:left="1080"/>
      </w:pPr>
      <w:r>
        <w:t>Very satisfied</w:t>
      </w:r>
    </w:p>
    <w:p w14:paraId="2272A573" w14:textId="77777777" w:rsidR="00430D26" w:rsidRDefault="00430D26" w:rsidP="005048E0">
      <w:pPr>
        <w:pStyle w:val="ListParagraph"/>
        <w:numPr>
          <w:ilvl w:val="0"/>
          <w:numId w:val="19"/>
        </w:numPr>
        <w:spacing w:after="0"/>
        <w:ind w:left="1080"/>
      </w:pPr>
      <w:r>
        <w:t>Satisfied</w:t>
      </w:r>
    </w:p>
    <w:p w14:paraId="331D4F76" w14:textId="77777777" w:rsidR="00430D26" w:rsidRDefault="00430D26" w:rsidP="005048E0">
      <w:pPr>
        <w:pStyle w:val="ListParagraph"/>
        <w:numPr>
          <w:ilvl w:val="0"/>
          <w:numId w:val="19"/>
        </w:numPr>
        <w:spacing w:after="0"/>
        <w:ind w:left="1080"/>
      </w:pPr>
      <w:r>
        <w:t>Dissatisfied</w:t>
      </w:r>
    </w:p>
    <w:p w14:paraId="59C1CC10" w14:textId="3782E1CD" w:rsidR="00FF59F6" w:rsidRDefault="006B1F21" w:rsidP="005048E0">
      <w:pPr>
        <w:pStyle w:val="ListParagraph"/>
        <w:numPr>
          <w:ilvl w:val="0"/>
          <w:numId w:val="19"/>
        </w:numPr>
        <w:spacing w:after="0"/>
        <w:ind w:left="1080"/>
      </w:pPr>
      <w:r>
        <w:t>Very dissatisfied</w:t>
      </w:r>
    </w:p>
    <w:p w14:paraId="794F9334" w14:textId="77777777" w:rsidR="006B1F21" w:rsidRDefault="006B1F21" w:rsidP="006B1F21">
      <w:pPr>
        <w:pStyle w:val="ListParagraph"/>
      </w:pPr>
    </w:p>
    <w:p w14:paraId="388A7C24" w14:textId="77777777" w:rsidR="003C2149" w:rsidRDefault="003C2149" w:rsidP="003C2149">
      <w:pPr>
        <w:pStyle w:val="ListParagraph"/>
        <w:numPr>
          <w:ilvl w:val="0"/>
          <w:numId w:val="2"/>
        </w:numPr>
        <w:ind w:left="360"/>
      </w:pPr>
      <w:r>
        <w:t xml:space="preserve">[Select multiple] </w:t>
      </w:r>
    </w:p>
    <w:p w14:paraId="33C94BBE" w14:textId="4B165E85" w:rsidR="003C2149" w:rsidRDefault="008F6968" w:rsidP="003C2149">
      <w:pPr>
        <w:pStyle w:val="ListParagraph"/>
        <w:ind w:left="360"/>
      </w:pPr>
      <w:r>
        <w:t>W</w:t>
      </w:r>
      <w:r w:rsidR="003C2149">
        <w:t xml:space="preserve">hich aspects of the 2019 NIOSH Centers Grantee Meeting were </w:t>
      </w:r>
      <w:r w:rsidR="003C2149" w:rsidRPr="00017E2F">
        <w:rPr>
          <w:u w:val="single"/>
        </w:rPr>
        <w:t>most</w:t>
      </w:r>
      <w:r w:rsidR="003C2149" w:rsidRPr="0037306D">
        <w:rPr>
          <w:u w:val="single"/>
        </w:rPr>
        <w:t xml:space="preserve"> valuable</w:t>
      </w:r>
      <w:r w:rsidR="003C2149">
        <w:t xml:space="preserve"> for you? </w:t>
      </w:r>
    </w:p>
    <w:p w14:paraId="4C6B899F" w14:textId="3FE55AC9" w:rsidR="003C2149" w:rsidRPr="00430D26" w:rsidRDefault="003C2149" w:rsidP="003C2149">
      <w:pPr>
        <w:pStyle w:val="ListParagraph"/>
        <w:ind w:left="360"/>
      </w:pPr>
      <w:r w:rsidRPr="00430D26">
        <w:t xml:space="preserve">Please select </w:t>
      </w:r>
      <w:r w:rsidR="00430D26" w:rsidRPr="00430D26">
        <w:t>up to four (4).</w:t>
      </w:r>
      <w:r w:rsidR="001B1C9B" w:rsidRPr="00430D26">
        <w:t xml:space="preserve"> </w:t>
      </w:r>
    </w:p>
    <w:p w14:paraId="452994E4" w14:textId="77777777" w:rsidR="003C2149" w:rsidRDefault="003C2149" w:rsidP="00430D26">
      <w:pPr>
        <w:pStyle w:val="ListParagraph"/>
        <w:numPr>
          <w:ilvl w:val="0"/>
          <w:numId w:val="15"/>
        </w:numPr>
      </w:pPr>
      <w:r>
        <w:t>Informational panels</w:t>
      </w:r>
    </w:p>
    <w:p w14:paraId="6741B63C" w14:textId="22677ACE" w:rsidR="003C2149" w:rsidRDefault="003C2149" w:rsidP="00430D26">
      <w:pPr>
        <w:pStyle w:val="ListParagraph"/>
        <w:numPr>
          <w:ilvl w:val="0"/>
          <w:numId w:val="15"/>
        </w:numPr>
      </w:pPr>
      <w:r>
        <w:t>NIOSH news and opportunities [excluding funding</w:t>
      </w:r>
      <w:r w:rsidR="004E6D7F">
        <w:t xml:space="preserve"> updates</w:t>
      </w:r>
      <w:r>
        <w:t>]</w:t>
      </w:r>
    </w:p>
    <w:p w14:paraId="5EF8F99B" w14:textId="77777777" w:rsidR="003C2149" w:rsidRDefault="003C2149" w:rsidP="00430D26">
      <w:pPr>
        <w:pStyle w:val="ListParagraph"/>
        <w:numPr>
          <w:ilvl w:val="0"/>
          <w:numId w:val="15"/>
        </w:numPr>
      </w:pPr>
      <w:r>
        <w:t>Question Storming Session</w:t>
      </w:r>
    </w:p>
    <w:p w14:paraId="108C9909" w14:textId="77777777" w:rsidR="003C2149" w:rsidRDefault="003C2149" w:rsidP="00430D26">
      <w:pPr>
        <w:pStyle w:val="ListParagraph"/>
        <w:numPr>
          <w:ilvl w:val="0"/>
          <w:numId w:val="15"/>
        </w:numPr>
      </w:pPr>
      <w:r>
        <w:t>Open mic</w:t>
      </w:r>
    </w:p>
    <w:p w14:paraId="7CD7AD0E" w14:textId="77777777" w:rsidR="003C2149" w:rsidRDefault="003C2149" w:rsidP="00430D26">
      <w:pPr>
        <w:pStyle w:val="ListParagraph"/>
        <w:numPr>
          <w:ilvl w:val="0"/>
          <w:numId w:val="15"/>
        </w:numPr>
      </w:pPr>
      <w:r>
        <w:t>NIOSH funding updates</w:t>
      </w:r>
    </w:p>
    <w:p w14:paraId="7916FA87" w14:textId="77777777" w:rsidR="003C2149" w:rsidRDefault="003C2149" w:rsidP="00430D26">
      <w:pPr>
        <w:pStyle w:val="ListParagraph"/>
        <w:numPr>
          <w:ilvl w:val="0"/>
          <w:numId w:val="15"/>
        </w:numPr>
      </w:pPr>
      <w:r>
        <w:t>Networking during the meeting</w:t>
      </w:r>
    </w:p>
    <w:p w14:paraId="01960468" w14:textId="77777777" w:rsidR="003C2149" w:rsidRDefault="003C2149" w:rsidP="00430D26">
      <w:pPr>
        <w:pStyle w:val="ListParagraph"/>
        <w:numPr>
          <w:ilvl w:val="0"/>
          <w:numId w:val="15"/>
        </w:numPr>
      </w:pPr>
      <w:r>
        <w:t>Networking at the lunch and social</w:t>
      </w:r>
    </w:p>
    <w:p w14:paraId="7333CAE4" w14:textId="77777777" w:rsidR="003C2149" w:rsidRDefault="003C2149" w:rsidP="00430D26">
      <w:pPr>
        <w:pStyle w:val="ListParagraph"/>
        <w:numPr>
          <w:ilvl w:val="0"/>
          <w:numId w:val="15"/>
        </w:numPr>
      </w:pPr>
      <w:r>
        <w:t>Center meetings</w:t>
      </w:r>
    </w:p>
    <w:p w14:paraId="24FB871D" w14:textId="77777777" w:rsidR="003C2149" w:rsidRDefault="003C2149" w:rsidP="00430D26">
      <w:pPr>
        <w:pStyle w:val="ListParagraph"/>
        <w:numPr>
          <w:ilvl w:val="0"/>
          <w:numId w:val="15"/>
        </w:numPr>
      </w:pPr>
      <w:r>
        <w:t>Other [specify]</w:t>
      </w:r>
    </w:p>
    <w:p w14:paraId="41AE3AA7" w14:textId="77777777" w:rsidR="003C2149" w:rsidRDefault="003C2149" w:rsidP="003C2149">
      <w:pPr>
        <w:pStyle w:val="ListParagraph"/>
        <w:ind w:left="360"/>
      </w:pPr>
    </w:p>
    <w:p w14:paraId="540CE94A" w14:textId="77777777" w:rsidR="003C2149" w:rsidRDefault="003C2149" w:rsidP="003C2149">
      <w:pPr>
        <w:pStyle w:val="ListParagraph"/>
        <w:numPr>
          <w:ilvl w:val="0"/>
          <w:numId w:val="2"/>
        </w:numPr>
        <w:ind w:left="360"/>
      </w:pPr>
      <w:r>
        <w:t xml:space="preserve">[Select multiple] </w:t>
      </w:r>
    </w:p>
    <w:p w14:paraId="0E5EA6CF" w14:textId="502B2869" w:rsidR="003C2149" w:rsidRDefault="008F6968" w:rsidP="003C2149">
      <w:pPr>
        <w:pStyle w:val="ListParagraph"/>
        <w:ind w:left="360"/>
      </w:pPr>
      <w:r>
        <w:t>W</w:t>
      </w:r>
      <w:r w:rsidR="003C2149">
        <w:t xml:space="preserve">hich aspects of the 2019 NIOSH Centers Grantee Meeting were </w:t>
      </w:r>
      <w:r w:rsidR="003C2149" w:rsidRPr="0037306D">
        <w:rPr>
          <w:u w:val="single"/>
        </w:rPr>
        <w:t>least valuable</w:t>
      </w:r>
      <w:r w:rsidR="003C2149">
        <w:t xml:space="preserve"> for you?</w:t>
      </w:r>
    </w:p>
    <w:p w14:paraId="60320E64" w14:textId="2802620F" w:rsidR="003C2149" w:rsidRDefault="003C2149" w:rsidP="003C2149">
      <w:pPr>
        <w:pStyle w:val="ListParagraph"/>
        <w:ind w:left="360"/>
      </w:pPr>
      <w:r>
        <w:t xml:space="preserve">Please select up to </w:t>
      </w:r>
      <w:r w:rsidR="00430D26">
        <w:t>four (4</w:t>
      </w:r>
      <w:r>
        <w:t>).</w:t>
      </w:r>
    </w:p>
    <w:p w14:paraId="7B5EFF32" w14:textId="77777777" w:rsidR="003C2149" w:rsidRDefault="003C2149" w:rsidP="00430D26">
      <w:pPr>
        <w:pStyle w:val="ListParagraph"/>
        <w:numPr>
          <w:ilvl w:val="0"/>
          <w:numId w:val="14"/>
        </w:numPr>
      </w:pPr>
      <w:r>
        <w:t>Informational panels</w:t>
      </w:r>
    </w:p>
    <w:p w14:paraId="06711E73" w14:textId="4B631186" w:rsidR="003C2149" w:rsidRDefault="003C2149" w:rsidP="00430D26">
      <w:pPr>
        <w:pStyle w:val="ListParagraph"/>
        <w:numPr>
          <w:ilvl w:val="0"/>
          <w:numId w:val="14"/>
        </w:numPr>
      </w:pPr>
      <w:r>
        <w:t>NIOSH news and opportunities [excluding funding</w:t>
      </w:r>
      <w:r w:rsidR="004E6D7F">
        <w:t xml:space="preserve"> updates</w:t>
      </w:r>
      <w:r>
        <w:t>]</w:t>
      </w:r>
    </w:p>
    <w:p w14:paraId="3CA9C9DD" w14:textId="77777777" w:rsidR="003C2149" w:rsidRDefault="003C2149" w:rsidP="00430D26">
      <w:pPr>
        <w:pStyle w:val="ListParagraph"/>
        <w:numPr>
          <w:ilvl w:val="0"/>
          <w:numId w:val="14"/>
        </w:numPr>
      </w:pPr>
      <w:r>
        <w:t>Question Storming Session</w:t>
      </w:r>
    </w:p>
    <w:p w14:paraId="58B203F1" w14:textId="77777777" w:rsidR="003C2149" w:rsidRDefault="003C2149" w:rsidP="00430D26">
      <w:pPr>
        <w:pStyle w:val="ListParagraph"/>
        <w:numPr>
          <w:ilvl w:val="0"/>
          <w:numId w:val="14"/>
        </w:numPr>
      </w:pPr>
      <w:r>
        <w:t>Open mic</w:t>
      </w:r>
    </w:p>
    <w:p w14:paraId="404E1A87" w14:textId="77777777" w:rsidR="003C2149" w:rsidRDefault="003C2149" w:rsidP="00430D26">
      <w:pPr>
        <w:pStyle w:val="ListParagraph"/>
        <w:numPr>
          <w:ilvl w:val="0"/>
          <w:numId w:val="14"/>
        </w:numPr>
      </w:pPr>
      <w:r>
        <w:t>NIOSH funding updates</w:t>
      </w:r>
    </w:p>
    <w:p w14:paraId="0F5C8F0D" w14:textId="77777777" w:rsidR="003C2149" w:rsidRDefault="003C2149" w:rsidP="00430D26">
      <w:pPr>
        <w:pStyle w:val="ListParagraph"/>
        <w:numPr>
          <w:ilvl w:val="0"/>
          <w:numId w:val="14"/>
        </w:numPr>
      </w:pPr>
      <w:r>
        <w:t>Networking during the meeting</w:t>
      </w:r>
    </w:p>
    <w:p w14:paraId="6CE8AFAD" w14:textId="77777777" w:rsidR="003C2149" w:rsidRDefault="003C2149" w:rsidP="00430D26">
      <w:pPr>
        <w:pStyle w:val="ListParagraph"/>
        <w:numPr>
          <w:ilvl w:val="0"/>
          <w:numId w:val="14"/>
        </w:numPr>
      </w:pPr>
      <w:r>
        <w:t>Networking at the lunch and social</w:t>
      </w:r>
    </w:p>
    <w:p w14:paraId="35A86467" w14:textId="77777777" w:rsidR="003C2149" w:rsidRDefault="003C2149" w:rsidP="00430D26">
      <w:pPr>
        <w:pStyle w:val="ListParagraph"/>
        <w:numPr>
          <w:ilvl w:val="0"/>
          <w:numId w:val="14"/>
        </w:numPr>
      </w:pPr>
      <w:r>
        <w:t>Center meetings</w:t>
      </w:r>
    </w:p>
    <w:p w14:paraId="18209445" w14:textId="77777777" w:rsidR="003C2149" w:rsidRDefault="003C2149" w:rsidP="00430D26">
      <w:pPr>
        <w:pStyle w:val="ListParagraph"/>
        <w:numPr>
          <w:ilvl w:val="0"/>
          <w:numId w:val="14"/>
        </w:numPr>
      </w:pPr>
      <w:r>
        <w:t>Other [specify]</w:t>
      </w:r>
    </w:p>
    <w:p w14:paraId="205AD107" w14:textId="77777777" w:rsidR="003C2149" w:rsidRDefault="003C2149" w:rsidP="003C2149">
      <w:pPr>
        <w:pStyle w:val="ListParagraph"/>
        <w:spacing w:after="0"/>
        <w:ind w:left="360"/>
      </w:pPr>
      <w:r>
        <w:t xml:space="preserve"> </w:t>
      </w:r>
    </w:p>
    <w:p w14:paraId="307B182F" w14:textId="344B15FD" w:rsidR="00BA6077" w:rsidRDefault="003C2149" w:rsidP="00696763">
      <w:pPr>
        <w:pStyle w:val="ListParagraph"/>
        <w:numPr>
          <w:ilvl w:val="0"/>
          <w:numId w:val="2"/>
        </w:numPr>
        <w:ind w:left="360"/>
      </w:pPr>
      <w:r>
        <w:br w:type="page"/>
      </w:r>
      <w:r w:rsidR="00BA6077">
        <w:t>[Select one]</w:t>
      </w:r>
    </w:p>
    <w:p w14:paraId="3FA4784A" w14:textId="39D76304" w:rsidR="00E33C07" w:rsidRDefault="00E33C07" w:rsidP="00E33C07">
      <w:pPr>
        <w:pStyle w:val="ListParagraph"/>
        <w:spacing w:after="0"/>
        <w:ind w:left="360"/>
      </w:pPr>
      <w:r>
        <w:t xml:space="preserve">For this evaluation, </w:t>
      </w:r>
      <w:r>
        <w:rPr>
          <w:i/>
        </w:rPr>
        <w:t>engag</w:t>
      </w:r>
      <w:r w:rsidR="00B67B6D">
        <w:rPr>
          <w:i/>
        </w:rPr>
        <w:t xml:space="preserve">ing </w:t>
      </w:r>
      <w:r>
        <w:t xml:space="preserve">refers to </w:t>
      </w:r>
      <w:r w:rsidR="00B67B6D">
        <w:t>an activity that evoked the</w:t>
      </w:r>
      <w:r>
        <w:t xml:space="preserve"> attention, curiosity, interest, optimism, and passion </w:t>
      </w:r>
      <w:r w:rsidR="00B67B6D">
        <w:t xml:space="preserve">of Meeting </w:t>
      </w:r>
      <w:r>
        <w:t>participants.</w:t>
      </w:r>
    </w:p>
    <w:p w14:paraId="7BE3CEC9" w14:textId="77777777" w:rsidR="00E33C07" w:rsidRPr="00E33C07" w:rsidRDefault="00E33C07" w:rsidP="00E33C07">
      <w:pPr>
        <w:pStyle w:val="ListParagraph"/>
        <w:spacing w:after="0"/>
        <w:ind w:left="360"/>
      </w:pPr>
    </w:p>
    <w:p w14:paraId="7D5B8096" w14:textId="441066A8" w:rsidR="00BA6077" w:rsidRDefault="00BA6077" w:rsidP="00BA6077">
      <w:pPr>
        <w:ind w:left="360"/>
      </w:pPr>
      <w:r w:rsidRPr="00BA6077">
        <w:t xml:space="preserve">How </w:t>
      </w:r>
      <w:r w:rsidR="00E33C07">
        <w:rPr>
          <w:u w:val="single"/>
        </w:rPr>
        <w:t>engaging</w:t>
      </w:r>
      <w:r>
        <w:t xml:space="preserve"> </w:t>
      </w:r>
      <w:r w:rsidR="00554795">
        <w:t>was</w:t>
      </w:r>
      <w:r w:rsidR="00E33C07">
        <w:t xml:space="preserve"> </w:t>
      </w:r>
      <w:r w:rsidRPr="00BA6077">
        <w:t xml:space="preserve">each of the following Meeting </w:t>
      </w:r>
      <w:r w:rsidR="00554795">
        <w:t>presentations and panels</w:t>
      </w:r>
      <w:r>
        <w:t>?</w:t>
      </w:r>
    </w:p>
    <w:tbl>
      <w:tblPr>
        <w:tblStyle w:val="TableGrid"/>
        <w:tblW w:w="0" w:type="auto"/>
        <w:tblInd w:w="360" w:type="dxa"/>
        <w:tblLook w:val="04A0" w:firstRow="1" w:lastRow="0" w:firstColumn="1" w:lastColumn="0" w:noHBand="0" w:noVBand="1"/>
      </w:tblPr>
      <w:tblGrid>
        <w:gridCol w:w="4135"/>
        <w:gridCol w:w="1393"/>
        <w:gridCol w:w="1394"/>
        <w:gridCol w:w="1394"/>
        <w:gridCol w:w="1394"/>
      </w:tblGrid>
      <w:tr w:rsidR="0037306D" w14:paraId="4C476F92" w14:textId="77777777" w:rsidTr="00430D26">
        <w:tc>
          <w:tcPr>
            <w:tcW w:w="4135" w:type="dxa"/>
            <w:vAlign w:val="bottom"/>
          </w:tcPr>
          <w:p w14:paraId="5C754700" w14:textId="77777777" w:rsidR="00BA6077" w:rsidRPr="00CE3667" w:rsidRDefault="00BA6077" w:rsidP="00D436C8">
            <w:pPr>
              <w:rPr>
                <w:b/>
              </w:rPr>
            </w:pPr>
            <w:r w:rsidRPr="00CE3667">
              <w:rPr>
                <w:b/>
              </w:rPr>
              <w:t>Meeting presentation or panel</w:t>
            </w:r>
          </w:p>
        </w:tc>
        <w:tc>
          <w:tcPr>
            <w:tcW w:w="1393" w:type="dxa"/>
          </w:tcPr>
          <w:p w14:paraId="1A31C0B7" w14:textId="45E1C3E6" w:rsidR="00BA6077" w:rsidRPr="00CE3667" w:rsidRDefault="00430D26" w:rsidP="00E33C07">
            <w:pPr>
              <w:jc w:val="center"/>
              <w:rPr>
                <w:b/>
              </w:rPr>
            </w:pPr>
            <w:r>
              <w:rPr>
                <w:b/>
              </w:rPr>
              <w:t>Very engaging</w:t>
            </w:r>
          </w:p>
        </w:tc>
        <w:tc>
          <w:tcPr>
            <w:tcW w:w="1394" w:type="dxa"/>
          </w:tcPr>
          <w:p w14:paraId="01BAEDAC" w14:textId="012490A3" w:rsidR="00BA6077" w:rsidRPr="00CE3667" w:rsidRDefault="00430D26" w:rsidP="00D436C8">
            <w:pPr>
              <w:jc w:val="center"/>
              <w:rPr>
                <w:b/>
              </w:rPr>
            </w:pPr>
            <w:r>
              <w:rPr>
                <w:b/>
              </w:rPr>
              <w:t>Mostly engaging</w:t>
            </w:r>
          </w:p>
        </w:tc>
        <w:tc>
          <w:tcPr>
            <w:tcW w:w="1394" w:type="dxa"/>
          </w:tcPr>
          <w:p w14:paraId="7B3C9401" w14:textId="179B0628" w:rsidR="00BA6077" w:rsidRPr="00CE3667" w:rsidRDefault="00430D26" w:rsidP="00D436C8">
            <w:pPr>
              <w:jc w:val="center"/>
              <w:rPr>
                <w:b/>
              </w:rPr>
            </w:pPr>
            <w:r>
              <w:rPr>
                <w:b/>
              </w:rPr>
              <w:t>A little engaging</w:t>
            </w:r>
          </w:p>
        </w:tc>
        <w:tc>
          <w:tcPr>
            <w:tcW w:w="1394" w:type="dxa"/>
          </w:tcPr>
          <w:p w14:paraId="5E06F73B" w14:textId="538C6880" w:rsidR="00BA6077" w:rsidRPr="00CE3667" w:rsidRDefault="00430D26" w:rsidP="00D436C8">
            <w:pPr>
              <w:jc w:val="center"/>
              <w:rPr>
                <w:b/>
              </w:rPr>
            </w:pPr>
            <w:r>
              <w:rPr>
                <w:b/>
              </w:rPr>
              <w:t>Not at all engaging</w:t>
            </w:r>
          </w:p>
        </w:tc>
      </w:tr>
      <w:tr w:rsidR="0037306D" w14:paraId="6C885022" w14:textId="77777777" w:rsidTr="00430D26">
        <w:tc>
          <w:tcPr>
            <w:tcW w:w="4135" w:type="dxa"/>
          </w:tcPr>
          <w:p w14:paraId="6B900569" w14:textId="77777777" w:rsidR="00BA6077" w:rsidRDefault="00BA6077" w:rsidP="00D436C8">
            <w:r>
              <w:t xml:space="preserve">Future of Work Initiative at NIOSH </w:t>
            </w:r>
          </w:p>
          <w:p w14:paraId="0F2C7107" w14:textId="77777777" w:rsidR="00BA6077" w:rsidRDefault="00BA6077" w:rsidP="00D436C8">
            <w:r>
              <w:t>(Tamers)</w:t>
            </w:r>
          </w:p>
        </w:tc>
        <w:tc>
          <w:tcPr>
            <w:tcW w:w="1393" w:type="dxa"/>
          </w:tcPr>
          <w:p w14:paraId="36F8D1F7" w14:textId="77777777" w:rsidR="00BA6077" w:rsidRDefault="00BA6077" w:rsidP="00D436C8"/>
        </w:tc>
        <w:tc>
          <w:tcPr>
            <w:tcW w:w="1394" w:type="dxa"/>
          </w:tcPr>
          <w:p w14:paraId="029BC1F5" w14:textId="77777777" w:rsidR="00BA6077" w:rsidRDefault="00BA6077" w:rsidP="00D436C8"/>
        </w:tc>
        <w:tc>
          <w:tcPr>
            <w:tcW w:w="1394" w:type="dxa"/>
          </w:tcPr>
          <w:p w14:paraId="2C6C8396" w14:textId="77777777" w:rsidR="00BA6077" w:rsidRDefault="00BA6077" w:rsidP="00D436C8"/>
        </w:tc>
        <w:tc>
          <w:tcPr>
            <w:tcW w:w="1394" w:type="dxa"/>
          </w:tcPr>
          <w:p w14:paraId="5A00D215" w14:textId="77777777" w:rsidR="00BA6077" w:rsidRDefault="00BA6077" w:rsidP="00D436C8"/>
        </w:tc>
      </w:tr>
      <w:tr w:rsidR="0037306D" w14:paraId="24A39D50" w14:textId="77777777" w:rsidTr="00430D26">
        <w:tc>
          <w:tcPr>
            <w:tcW w:w="4135" w:type="dxa"/>
          </w:tcPr>
          <w:p w14:paraId="447726C1" w14:textId="77777777" w:rsidR="00BA6077" w:rsidRDefault="00BA6077" w:rsidP="00D436C8">
            <w:r>
              <w:t>Future of Work Panel</w:t>
            </w:r>
          </w:p>
          <w:p w14:paraId="2A16A470" w14:textId="77777777" w:rsidR="00BA6077" w:rsidRDefault="00BA6077" w:rsidP="00D436C8">
            <w:r>
              <w:t>(Lucchini, Punnett, Sorensen, Cain)</w:t>
            </w:r>
          </w:p>
        </w:tc>
        <w:tc>
          <w:tcPr>
            <w:tcW w:w="1393" w:type="dxa"/>
          </w:tcPr>
          <w:p w14:paraId="41AF2CDC" w14:textId="77777777" w:rsidR="00BA6077" w:rsidRDefault="00BA6077" w:rsidP="00D436C8"/>
        </w:tc>
        <w:tc>
          <w:tcPr>
            <w:tcW w:w="1394" w:type="dxa"/>
          </w:tcPr>
          <w:p w14:paraId="7858DB65" w14:textId="77777777" w:rsidR="00BA6077" w:rsidRDefault="00BA6077" w:rsidP="00D436C8"/>
        </w:tc>
        <w:tc>
          <w:tcPr>
            <w:tcW w:w="1394" w:type="dxa"/>
          </w:tcPr>
          <w:p w14:paraId="03E5ABFA" w14:textId="77777777" w:rsidR="00BA6077" w:rsidRDefault="00BA6077" w:rsidP="00D436C8"/>
        </w:tc>
        <w:tc>
          <w:tcPr>
            <w:tcW w:w="1394" w:type="dxa"/>
          </w:tcPr>
          <w:p w14:paraId="1D035A15" w14:textId="77777777" w:rsidR="00BA6077" w:rsidRDefault="00BA6077" w:rsidP="00D436C8"/>
        </w:tc>
      </w:tr>
      <w:tr w:rsidR="0037306D" w14:paraId="73A90FEF" w14:textId="77777777" w:rsidTr="00430D26">
        <w:tc>
          <w:tcPr>
            <w:tcW w:w="4135" w:type="dxa"/>
          </w:tcPr>
          <w:p w14:paraId="33D6DD0E" w14:textId="77777777" w:rsidR="00BA6077" w:rsidRDefault="00BA6077" w:rsidP="00D436C8">
            <w:r>
              <w:t>Expanded Focus for OSH Panel</w:t>
            </w:r>
          </w:p>
          <w:p w14:paraId="54EB3781" w14:textId="77777777" w:rsidR="00BA6077" w:rsidRDefault="00BA6077" w:rsidP="00D436C8">
            <w:r>
              <w:t>(Seixas, Delclos, Schulte, Newman)</w:t>
            </w:r>
          </w:p>
        </w:tc>
        <w:tc>
          <w:tcPr>
            <w:tcW w:w="1393" w:type="dxa"/>
          </w:tcPr>
          <w:p w14:paraId="5EBD2C66" w14:textId="77777777" w:rsidR="00BA6077" w:rsidRDefault="00BA6077" w:rsidP="00D436C8"/>
        </w:tc>
        <w:tc>
          <w:tcPr>
            <w:tcW w:w="1394" w:type="dxa"/>
          </w:tcPr>
          <w:p w14:paraId="1A5D2B69" w14:textId="77777777" w:rsidR="00BA6077" w:rsidRDefault="00BA6077" w:rsidP="00D436C8"/>
        </w:tc>
        <w:tc>
          <w:tcPr>
            <w:tcW w:w="1394" w:type="dxa"/>
          </w:tcPr>
          <w:p w14:paraId="03571345" w14:textId="77777777" w:rsidR="00BA6077" w:rsidRDefault="00BA6077" w:rsidP="00D436C8"/>
        </w:tc>
        <w:tc>
          <w:tcPr>
            <w:tcW w:w="1394" w:type="dxa"/>
          </w:tcPr>
          <w:p w14:paraId="3E8AF36A" w14:textId="77777777" w:rsidR="00BA6077" w:rsidRDefault="00BA6077" w:rsidP="00D436C8"/>
        </w:tc>
      </w:tr>
      <w:tr w:rsidR="0037306D" w14:paraId="3F6BEBAD" w14:textId="77777777" w:rsidTr="00430D26">
        <w:tc>
          <w:tcPr>
            <w:tcW w:w="4135" w:type="dxa"/>
          </w:tcPr>
          <w:p w14:paraId="37D52947" w14:textId="77777777" w:rsidR="00BA6077" w:rsidRDefault="00BA6077" w:rsidP="00D436C8">
            <w:r>
              <w:t>Future Research Allocation: BNI Approach</w:t>
            </w:r>
          </w:p>
          <w:p w14:paraId="079D608A" w14:textId="77777777" w:rsidR="00BA6077" w:rsidRDefault="00BA6077" w:rsidP="00D436C8">
            <w:r>
              <w:t>(Felknor)</w:t>
            </w:r>
          </w:p>
        </w:tc>
        <w:tc>
          <w:tcPr>
            <w:tcW w:w="1393" w:type="dxa"/>
          </w:tcPr>
          <w:p w14:paraId="3B8D3625" w14:textId="77777777" w:rsidR="00BA6077" w:rsidRDefault="00BA6077" w:rsidP="00D436C8"/>
        </w:tc>
        <w:tc>
          <w:tcPr>
            <w:tcW w:w="1394" w:type="dxa"/>
          </w:tcPr>
          <w:p w14:paraId="33630322" w14:textId="77777777" w:rsidR="00BA6077" w:rsidRDefault="00BA6077" w:rsidP="00D436C8"/>
        </w:tc>
        <w:tc>
          <w:tcPr>
            <w:tcW w:w="1394" w:type="dxa"/>
          </w:tcPr>
          <w:p w14:paraId="787BF315" w14:textId="77777777" w:rsidR="00BA6077" w:rsidRDefault="00BA6077" w:rsidP="00D436C8"/>
        </w:tc>
        <w:tc>
          <w:tcPr>
            <w:tcW w:w="1394" w:type="dxa"/>
          </w:tcPr>
          <w:p w14:paraId="462974A0" w14:textId="77777777" w:rsidR="00BA6077" w:rsidRDefault="00BA6077" w:rsidP="00D436C8"/>
        </w:tc>
      </w:tr>
      <w:tr w:rsidR="0037306D" w14:paraId="53C5F647" w14:textId="77777777" w:rsidTr="00430D26">
        <w:tc>
          <w:tcPr>
            <w:tcW w:w="4135" w:type="dxa"/>
          </w:tcPr>
          <w:p w14:paraId="2A3D259D" w14:textId="77777777" w:rsidR="00BA6077" w:rsidRDefault="00BA6077" w:rsidP="00D436C8">
            <w:r>
              <w:t>NIOSH News and Opportunities</w:t>
            </w:r>
          </w:p>
          <w:p w14:paraId="06D8C2BE" w14:textId="77777777" w:rsidR="00BA6077" w:rsidRDefault="00BA6077" w:rsidP="00D436C8">
            <w:r>
              <w:t>(Kitt)</w:t>
            </w:r>
          </w:p>
        </w:tc>
        <w:tc>
          <w:tcPr>
            <w:tcW w:w="1393" w:type="dxa"/>
          </w:tcPr>
          <w:p w14:paraId="44B3AA2C" w14:textId="77777777" w:rsidR="00BA6077" w:rsidRDefault="00BA6077" w:rsidP="00D436C8"/>
        </w:tc>
        <w:tc>
          <w:tcPr>
            <w:tcW w:w="1394" w:type="dxa"/>
          </w:tcPr>
          <w:p w14:paraId="3B9427D6" w14:textId="77777777" w:rsidR="00BA6077" w:rsidRDefault="00BA6077" w:rsidP="00D436C8"/>
        </w:tc>
        <w:tc>
          <w:tcPr>
            <w:tcW w:w="1394" w:type="dxa"/>
          </w:tcPr>
          <w:p w14:paraId="3DC90C04" w14:textId="77777777" w:rsidR="00BA6077" w:rsidRDefault="00BA6077" w:rsidP="00D436C8"/>
        </w:tc>
        <w:tc>
          <w:tcPr>
            <w:tcW w:w="1394" w:type="dxa"/>
          </w:tcPr>
          <w:p w14:paraId="64DED609" w14:textId="77777777" w:rsidR="00BA6077" w:rsidRDefault="00BA6077" w:rsidP="00D436C8"/>
        </w:tc>
      </w:tr>
      <w:tr w:rsidR="0037306D" w14:paraId="210FE323" w14:textId="77777777" w:rsidTr="00430D26">
        <w:tc>
          <w:tcPr>
            <w:tcW w:w="4135" w:type="dxa"/>
          </w:tcPr>
          <w:p w14:paraId="6C85E7EB" w14:textId="77777777" w:rsidR="00BA6077" w:rsidRDefault="00BA6077" w:rsidP="00D436C8">
            <w:r>
              <w:t>Wikipedia</w:t>
            </w:r>
          </w:p>
          <w:p w14:paraId="681F1250" w14:textId="77777777" w:rsidR="00BA6077" w:rsidRDefault="00BA6077" w:rsidP="00D436C8">
            <w:r>
              <w:t>(Morata)</w:t>
            </w:r>
          </w:p>
        </w:tc>
        <w:tc>
          <w:tcPr>
            <w:tcW w:w="1393" w:type="dxa"/>
          </w:tcPr>
          <w:p w14:paraId="0B0E6F4B" w14:textId="77777777" w:rsidR="00BA6077" w:rsidRDefault="00BA6077" w:rsidP="00D436C8"/>
        </w:tc>
        <w:tc>
          <w:tcPr>
            <w:tcW w:w="1394" w:type="dxa"/>
          </w:tcPr>
          <w:p w14:paraId="43D036C2" w14:textId="77777777" w:rsidR="00BA6077" w:rsidRDefault="00BA6077" w:rsidP="00D436C8"/>
        </w:tc>
        <w:tc>
          <w:tcPr>
            <w:tcW w:w="1394" w:type="dxa"/>
          </w:tcPr>
          <w:p w14:paraId="25D19841" w14:textId="77777777" w:rsidR="00BA6077" w:rsidRDefault="00BA6077" w:rsidP="00D436C8"/>
        </w:tc>
        <w:tc>
          <w:tcPr>
            <w:tcW w:w="1394" w:type="dxa"/>
          </w:tcPr>
          <w:p w14:paraId="74CABF0A" w14:textId="77777777" w:rsidR="00BA6077" w:rsidRDefault="00BA6077" w:rsidP="00D436C8"/>
        </w:tc>
      </w:tr>
      <w:tr w:rsidR="0037306D" w14:paraId="5CD5D56A" w14:textId="77777777" w:rsidTr="00430D26">
        <w:tc>
          <w:tcPr>
            <w:tcW w:w="4135" w:type="dxa"/>
          </w:tcPr>
          <w:p w14:paraId="79897CF8" w14:textId="77777777" w:rsidR="00BA6077" w:rsidRDefault="00BA6077" w:rsidP="00D436C8">
            <w:r>
              <w:t>Outreach Opportunities</w:t>
            </w:r>
          </w:p>
          <w:p w14:paraId="2A8C2C55" w14:textId="77777777" w:rsidR="00BA6077" w:rsidRDefault="00BA6077" w:rsidP="00D436C8">
            <w:r>
              <w:t>(Flynn)</w:t>
            </w:r>
          </w:p>
        </w:tc>
        <w:tc>
          <w:tcPr>
            <w:tcW w:w="1393" w:type="dxa"/>
          </w:tcPr>
          <w:p w14:paraId="5E8D84A1" w14:textId="77777777" w:rsidR="00BA6077" w:rsidRDefault="00BA6077" w:rsidP="00D436C8"/>
        </w:tc>
        <w:tc>
          <w:tcPr>
            <w:tcW w:w="1394" w:type="dxa"/>
          </w:tcPr>
          <w:p w14:paraId="762606D3" w14:textId="77777777" w:rsidR="00BA6077" w:rsidRDefault="00BA6077" w:rsidP="00D436C8"/>
        </w:tc>
        <w:tc>
          <w:tcPr>
            <w:tcW w:w="1394" w:type="dxa"/>
          </w:tcPr>
          <w:p w14:paraId="2BE0D3E6" w14:textId="77777777" w:rsidR="00BA6077" w:rsidRDefault="00BA6077" w:rsidP="00D436C8"/>
        </w:tc>
        <w:tc>
          <w:tcPr>
            <w:tcW w:w="1394" w:type="dxa"/>
          </w:tcPr>
          <w:p w14:paraId="6B2DF325" w14:textId="77777777" w:rsidR="00BA6077" w:rsidRDefault="00BA6077" w:rsidP="00D436C8"/>
        </w:tc>
      </w:tr>
      <w:tr w:rsidR="0037306D" w14:paraId="0C3F5E19" w14:textId="77777777" w:rsidTr="00430D26">
        <w:tc>
          <w:tcPr>
            <w:tcW w:w="4135" w:type="dxa"/>
          </w:tcPr>
          <w:p w14:paraId="126930D5" w14:textId="77777777" w:rsidR="00BA6077" w:rsidRDefault="00BA6077" w:rsidP="00D436C8">
            <w:r>
              <w:t>FY2020 Funding Updates</w:t>
            </w:r>
          </w:p>
          <w:p w14:paraId="68830F61" w14:textId="77777777" w:rsidR="00BA6077" w:rsidRDefault="00BA6077" w:rsidP="00D436C8">
            <w:r>
              <w:t>(DiMuzio)</w:t>
            </w:r>
          </w:p>
        </w:tc>
        <w:tc>
          <w:tcPr>
            <w:tcW w:w="1393" w:type="dxa"/>
          </w:tcPr>
          <w:p w14:paraId="06F1D854" w14:textId="77777777" w:rsidR="00BA6077" w:rsidRDefault="00BA6077" w:rsidP="00D436C8"/>
        </w:tc>
        <w:tc>
          <w:tcPr>
            <w:tcW w:w="1394" w:type="dxa"/>
          </w:tcPr>
          <w:p w14:paraId="0704CB10" w14:textId="77777777" w:rsidR="00BA6077" w:rsidRDefault="00BA6077" w:rsidP="00D436C8"/>
        </w:tc>
        <w:tc>
          <w:tcPr>
            <w:tcW w:w="1394" w:type="dxa"/>
          </w:tcPr>
          <w:p w14:paraId="5DEECF4C" w14:textId="77777777" w:rsidR="00BA6077" w:rsidRDefault="00BA6077" w:rsidP="00D436C8"/>
        </w:tc>
        <w:tc>
          <w:tcPr>
            <w:tcW w:w="1394" w:type="dxa"/>
          </w:tcPr>
          <w:p w14:paraId="2D937013" w14:textId="77777777" w:rsidR="00BA6077" w:rsidRDefault="00BA6077" w:rsidP="00D436C8"/>
        </w:tc>
      </w:tr>
      <w:tr w:rsidR="0037306D" w14:paraId="13BD2F56" w14:textId="77777777" w:rsidTr="00430D26">
        <w:tc>
          <w:tcPr>
            <w:tcW w:w="4135" w:type="dxa"/>
          </w:tcPr>
          <w:p w14:paraId="7609ACB6" w14:textId="77777777" w:rsidR="00BA6077" w:rsidRDefault="00BA6077" w:rsidP="00D436C8">
            <w:r>
              <w:t>Changes to the Common Rule</w:t>
            </w:r>
          </w:p>
          <w:p w14:paraId="6C33B4D4" w14:textId="77777777" w:rsidR="00BA6077" w:rsidRDefault="00BA6077" w:rsidP="00D436C8">
            <w:r>
              <w:t>(Morley)</w:t>
            </w:r>
          </w:p>
        </w:tc>
        <w:tc>
          <w:tcPr>
            <w:tcW w:w="1393" w:type="dxa"/>
          </w:tcPr>
          <w:p w14:paraId="16AD2CD1" w14:textId="77777777" w:rsidR="00BA6077" w:rsidRDefault="00BA6077" w:rsidP="00D436C8"/>
        </w:tc>
        <w:tc>
          <w:tcPr>
            <w:tcW w:w="1394" w:type="dxa"/>
          </w:tcPr>
          <w:p w14:paraId="0C9D14E3" w14:textId="77777777" w:rsidR="00BA6077" w:rsidRDefault="00BA6077" w:rsidP="00D436C8"/>
        </w:tc>
        <w:tc>
          <w:tcPr>
            <w:tcW w:w="1394" w:type="dxa"/>
          </w:tcPr>
          <w:p w14:paraId="0136FC78" w14:textId="77777777" w:rsidR="00BA6077" w:rsidRDefault="00BA6077" w:rsidP="00D436C8"/>
        </w:tc>
        <w:tc>
          <w:tcPr>
            <w:tcW w:w="1394" w:type="dxa"/>
          </w:tcPr>
          <w:p w14:paraId="35803D51" w14:textId="77777777" w:rsidR="00BA6077" w:rsidRDefault="00BA6077" w:rsidP="00D436C8"/>
        </w:tc>
      </w:tr>
      <w:tr w:rsidR="0037306D" w14:paraId="6DAB80B7" w14:textId="77777777" w:rsidTr="00430D26">
        <w:tc>
          <w:tcPr>
            <w:tcW w:w="4135" w:type="dxa"/>
          </w:tcPr>
          <w:p w14:paraId="5BCDAC30" w14:textId="77777777" w:rsidR="00BA6077" w:rsidRDefault="00BA6077" w:rsidP="00D436C8">
            <w:r>
              <w:t>New FOAs for Centers</w:t>
            </w:r>
          </w:p>
          <w:p w14:paraId="7C53A53F" w14:textId="77777777" w:rsidR="00BA6077" w:rsidRDefault="00BA6077" w:rsidP="00D436C8">
            <w:r>
              <w:t>(Robison)</w:t>
            </w:r>
          </w:p>
        </w:tc>
        <w:tc>
          <w:tcPr>
            <w:tcW w:w="1393" w:type="dxa"/>
          </w:tcPr>
          <w:p w14:paraId="2FF74CBC" w14:textId="77777777" w:rsidR="00BA6077" w:rsidRDefault="00BA6077" w:rsidP="00D436C8"/>
        </w:tc>
        <w:tc>
          <w:tcPr>
            <w:tcW w:w="1394" w:type="dxa"/>
          </w:tcPr>
          <w:p w14:paraId="3D47A309" w14:textId="77777777" w:rsidR="00BA6077" w:rsidRDefault="00BA6077" w:rsidP="00D436C8"/>
        </w:tc>
        <w:tc>
          <w:tcPr>
            <w:tcW w:w="1394" w:type="dxa"/>
          </w:tcPr>
          <w:p w14:paraId="004668D7" w14:textId="77777777" w:rsidR="00BA6077" w:rsidRDefault="00BA6077" w:rsidP="00D436C8"/>
        </w:tc>
        <w:tc>
          <w:tcPr>
            <w:tcW w:w="1394" w:type="dxa"/>
          </w:tcPr>
          <w:p w14:paraId="2830A80B" w14:textId="77777777" w:rsidR="00BA6077" w:rsidRDefault="00BA6077" w:rsidP="00D436C8"/>
        </w:tc>
      </w:tr>
    </w:tbl>
    <w:p w14:paraId="6B6F862B" w14:textId="77777777" w:rsidR="00BA6077" w:rsidRDefault="00BA6077" w:rsidP="00BA6077">
      <w:pPr>
        <w:pStyle w:val="ListParagraph"/>
        <w:spacing w:after="0"/>
        <w:ind w:left="360"/>
      </w:pPr>
    </w:p>
    <w:p w14:paraId="7C30B576" w14:textId="5091F4D7" w:rsidR="006B1F21" w:rsidRDefault="00BA6077" w:rsidP="003C2149">
      <w:pPr>
        <w:pStyle w:val="ListParagraph"/>
        <w:numPr>
          <w:ilvl w:val="0"/>
          <w:numId w:val="2"/>
        </w:numPr>
        <w:spacing w:after="0"/>
        <w:ind w:left="360"/>
      </w:pPr>
      <w:r>
        <w:br w:type="page"/>
      </w:r>
      <w:r w:rsidR="006B1F21">
        <w:t>[Select one]</w:t>
      </w:r>
    </w:p>
    <w:p w14:paraId="172D3308" w14:textId="273320D7" w:rsidR="008F6968" w:rsidRPr="008F6968" w:rsidRDefault="008F6968" w:rsidP="003C2149">
      <w:pPr>
        <w:ind w:left="360"/>
      </w:pPr>
      <w:r>
        <w:t xml:space="preserve">For this evaluation, </w:t>
      </w:r>
      <w:r>
        <w:rPr>
          <w:i/>
        </w:rPr>
        <w:t>relevan</w:t>
      </w:r>
      <w:r w:rsidR="00B67B6D">
        <w:rPr>
          <w:i/>
        </w:rPr>
        <w:t>t</w:t>
      </w:r>
      <w:r>
        <w:rPr>
          <w:i/>
        </w:rPr>
        <w:t xml:space="preserve"> </w:t>
      </w:r>
      <w:r>
        <w:t>refers to a</w:t>
      </w:r>
      <w:r w:rsidR="00B67B6D">
        <w:t>n activity with</w:t>
      </w:r>
      <w:r>
        <w:t xml:space="preserve"> </w:t>
      </w:r>
      <w:r w:rsidR="00B67B6D">
        <w:t xml:space="preserve">a </w:t>
      </w:r>
      <w:r>
        <w:t xml:space="preserve">close connection to </w:t>
      </w:r>
      <w:r w:rsidR="00B67B6D">
        <w:t>the C</w:t>
      </w:r>
      <w:r w:rsidR="00430D26">
        <w:t>enters’ interests</w:t>
      </w:r>
      <w:r>
        <w:t>.</w:t>
      </w:r>
    </w:p>
    <w:p w14:paraId="53F8389F" w14:textId="7F50DEDE" w:rsidR="00FF59F6" w:rsidRDefault="00E33C07" w:rsidP="003C2149">
      <w:pPr>
        <w:ind w:left="360"/>
      </w:pPr>
      <w:r>
        <w:t>How</w:t>
      </w:r>
      <w:r w:rsidR="00BA6077" w:rsidRPr="00BA6077">
        <w:t xml:space="preserve"> </w:t>
      </w:r>
      <w:r w:rsidR="00BA6077" w:rsidRPr="00BA6077">
        <w:rPr>
          <w:u w:val="single"/>
        </w:rPr>
        <w:t>relevant</w:t>
      </w:r>
      <w:r w:rsidR="00554795">
        <w:t xml:space="preserve"> was</w:t>
      </w:r>
      <w:r w:rsidR="00BA6077" w:rsidRPr="00BA6077">
        <w:t xml:space="preserve"> each</w:t>
      </w:r>
      <w:r>
        <w:t xml:space="preserve"> of the following</w:t>
      </w:r>
      <w:r w:rsidR="00BA6077" w:rsidRPr="00BA6077">
        <w:t xml:space="preserve"> </w:t>
      </w:r>
      <w:r>
        <w:t>to your Center’s</w:t>
      </w:r>
      <w:r w:rsidR="00C22A43">
        <w:t xml:space="preserve"> goals and activities (either </w:t>
      </w:r>
      <w:r w:rsidR="0037306D">
        <w:t>current</w:t>
      </w:r>
      <w:r w:rsidR="00C22A43">
        <w:t xml:space="preserve"> or upcoming)?</w:t>
      </w:r>
    </w:p>
    <w:tbl>
      <w:tblPr>
        <w:tblStyle w:val="TableGrid"/>
        <w:tblW w:w="0" w:type="auto"/>
        <w:tblInd w:w="445" w:type="dxa"/>
        <w:tblLook w:val="04A0" w:firstRow="1" w:lastRow="0" w:firstColumn="1" w:lastColumn="0" w:noHBand="0" w:noVBand="1"/>
      </w:tblPr>
      <w:tblGrid>
        <w:gridCol w:w="4590"/>
        <w:gridCol w:w="1258"/>
        <w:gridCol w:w="1259"/>
        <w:gridCol w:w="1259"/>
        <w:gridCol w:w="1259"/>
      </w:tblGrid>
      <w:tr w:rsidR="00CE3667" w14:paraId="5A01FDA3" w14:textId="77777777" w:rsidTr="00430D26">
        <w:tc>
          <w:tcPr>
            <w:tcW w:w="4590" w:type="dxa"/>
            <w:vAlign w:val="bottom"/>
          </w:tcPr>
          <w:p w14:paraId="69AC25AA" w14:textId="7858BDC9" w:rsidR="00CE3667" w:rsidRPr="00CE3667" w:rsidRDefault="00CE3667" w:rsidP="00CE3667">
            <w:pPr>
              <w:rPr>
                <w:b/>
              </w:rPr>
            </w:pPr>
            <w:r w:rsidRPr="00CE3667">
              <w:rPr>
                <w:b/>
              </w:rPr>
              <w:t>Meeting presentation or panel</w:t>
            </w:r>
          </w:p>
        </w:tc>
        <w:tc>
          <w:tcPr>
            <w:tcW w:w="1258" w:type="dxa"/>
          </w:tcPr>
          <w:p w14:paraId="0C2DCF2A" w14:textId="786CDCC8" w:rsidR="00CE3667" w:rsidRPr="00CE3667" w:rsidRDefault="00430D26" w:rsidP="00430D26">
            <w:pPr>
              <w:jc w:val="center"/>
              <w:rPr>
                <w:b/>
              </w:rPr>
            </w:pPr>
            <w:r>
              <w:rPr>
                <w:b/>
              </w:rPr>
              <w:t>Very relevant</w:t>
            </w:r>
          </w:p>
        </w:tc>
        <w:tc>
          <w:tcPr>
            <w:tcW w:w="1259" w:type="dxa"/>
          </w:tcPr>
          <w:p w14:paraId="54714105" w14:textId="73C70C1D" w:rsidR="00CE3667" w:rsidRPr="00CE3667" w:rsidRDefault="00430D26" w:rsidP="00CE3667">
            <w:pPr>
              <w:jc w:val="center"/>
              <w:rPr>
                <w:b/>
              </w:rPr>
            </w:pPr>
            <w:r>
              <w:rPr>
                <w:b/>
              </w:rPr>
              <w:t>Mostly relevant</w:t>
            </w:r>
          </w:p>
        </w:tc>
        <w:tc>
          <w:tcPr>
            <w:tcW w:w="1259" w:type="dxa"/>
          </w:tcPr>
          <w:p w14:paraId="17D83097" w14:textId="18B8FA4C" w:rsidR="00CE3667" w:rsidRPr="00CE3667" w:rsidRDefault="00430D26" w:rsidP="00CE3667">
            <w:pPr>
              <w:jc w:val="center"/>
              <w:rPr>
                <w:b/>
              </w:rPr>
            </w:pPr>
            <w:r>
              <w:rPr>
                <w:b/>
              </w:rPr>
              <w:t>A little relevant</w:t>
            </w:r>
          </w:p>
        </w:tc>
        <w:tc>
          <w:tcPr>
            <w:tcW w:w="1259" w:type="dxa"/>
          </w:tcPr>
          <w:p w14:paraId="5BCCC72D" w14:textId="37A09A71" w:rsidR="00CE3667" w:rsidRPr="00CE3667" w:rsidRDefault="00430D26" w:rsidP="00CE3667">
            <w:pPr>
              <w:jc w:val="center"/>
              <w:rPr>
                <w:b/>
              </w:rPr>
            </w:pPr>
            <w:r>
              <w:rPr>
                <w:b/>
              </w:rPr>
              <w:t>Not at all relevant</w:t>
            </w:r>
          </w:p>
        </w:tc>
      </w:tr>
      <w:tr w:rsidR="00CE3667" w14:paraId="7E262E74" w14:textId="77777777" w:rsidTr="00430D26">
        <w:tc>
          <w:tcPr>
            <w:tcW w:w="4590" w:type="dxa"/>
          </w:tcPr>
          <w:p w14:paraId="6BEA49C1" w14:textId="77777777" w:rsidR="00CE3667" w:rsidRDefault="00CE3667" w:rsidP="006B1F21">
            <w:r>
              <w:t xml:space="preserve">Future of Work Initiative at NIOSH </w:t>
            </w:r>
          </w:p>
          <w:p w14:paraId="196C2C76" w14:textId="68236622" w:rsidR="00CE3667" w:rsidRDefault="00BA6077" w:rsidP="00BA6077">
            <w:r>
              <w:t>(</w:t>
            </w:r>
            <w:r w:rsidR="00CE3667">
              <w:t>Tamers)</w:t>
            </w:r>
          </w:p>
        </w:tc>
        <w:tc>
          <w:tcPr>
            <w:tcW w:w="1258" w:type="dxa"/>
          </w:tcPr>
          <w:p w14:paraId="65F260F7" w14:textId="77777777" w:rsidR="00CE3667" w:rsidRDefault="00CE3667" w:rsidP="006B1F21"/>
        </w:tc>
        <w:tc>
          <w:tcPr>
            <w:tcW w:w="1259" w:type="dxa"/>
          </w:tcPr>
          <w:p w14:paraId="1E7EC31E" w14:textId="77777777" w:rsidR="00CE3667" w:rsidRDefault="00CE3667" w:rsidP="006B1F21"/>
        </w:tc>
        <w:tc>
          <w:tcPr>
            <w:tcW w:w="1259" w:type="dxa"/>
          </w:tcPr>
          <w:p w14:paraId="00101225" w14:textId="77777777" w:rsidR="00CE3667" w:rsidRDefault="00CE3667" w:rsidP="006B1F21"/>
        </w:tc>
        <w:tc>
          <w:tcPr>
            <w:tcW w:w="1259" w:type="dxa"/>
          </w:tcPr>
          <w:p w14:paraId="0394CA6B" w14:textId="77777777" w:rsidR="00CE3667" w:rsidRDefault="00CE3667" w:rsidP="006B1F21"/>
        </w:tc>
      </w:tr>
      <w:tr w:rsidR="00CE3667" w14:paraId="1B454ABE" w14:textId="77777777" w:rsidTr="00430D26">
        <w:tc>
          <w:tcPr>
            <w:tcW w:w="4590" w:type="dxa"/>
          </w:tcPr>
          <w:p w14:paraId="12794122" w14:textId="77777777" w:rsidR="00CE3667" w:rsidRDefault="00CE3667" w:rsidP="006B1F21">
            <w:r>
              <w:t>Future of Work Panel</w:t>
            </w:r>
          </w:p>
          <w:p w14:paraId="19D11FDB" w14:textId="63E54EA0" w:rsidR="00CE3667" w:rsidRDefault="00CE3667" w:rsidP="006B1F21">
            <w:r>
              <w:t>(Lucchini, Punnett, Sorensen, Cain)</w:t>
            </w:r>
          </w:p>
        </w:tc>
        <w:tc>
          <w:tcPr>
            <w:tcW w:w="1258" w:type="dxa"/>
          </w:tcPr>
          <w:p w14:paraId="06BFE4D0" w14:textId="77777777" w:rsidR="00CE3667" w:rsidRDefault="00CE3667" w:rsidP="006B1F21"/>
        </w:tc>
        <w:tc>
          <w:tcPr>
            <w:tcW w:w="1259" w:type="dxa"/>
          </w:tcPr>
          <w:p w14:paraId="0AB9A149" w14:textId="77777777" w:rsidR="00CE3667" w:rsidRDefault="00CE3667" w:rsidP="006B1F21"/>
        </w:tc>
        <w:tc>
          <w:tcPr>
            <w:tcW w:w="1259" w:type="dxa"/>
          </w:tcPr>
          <w:p w14:paraId="0E6D16F5" w14:textId="77777777" w:rsidR="00CE3667" w:rsidRDefault="00CE3667" w:rsidP="006B1F21"/>
        </w:tc>
        <w:tc>
          <w:tcPr>
            <w:tcW w:w="1259" w:type="dxa"/>
          </w:tcPr>
          <w:p w14:paraId="0A1679A4" w14:textId="77777777" w:rsidR="00CE3667" w:rsidRDefault="00CE3667" w:rsidP="006B1F21"/>
        </w:tc>
      </w:tr>
      <w:tr w:rsidR="00CE3667" w14:paraId="2D8A63E3" w14:textId="77777777" w:rsidTr="00430D26">
        <w:tc>
          <w:tcPr>
            <w:tcW w:w="4590" w:type="dxa"/>
          </w:tcPr>
          <w:p w14:paraId="7606E324" w14:textId="0B00975D" w:rsidR="00CE3667" w:rsidRDefault="00CE3667" w:rsidP="006B1F21">
            <w:r>
              <w:t>Expanded Focus for OSH Panel</w:t>
            </w:r>
          </w:p>
          <w:p w14:paraId="4C511D69" w14:textId="18C73338" w:rsidR="00CE3667" w:rsidRDefault="00CE3667" w:rsidP="006B1F21">
            <w:r>
              <w:t>(Seixas, Delclos, Schulte, Newman)</w:t>
            </w:r>
          </w:p>
        </w:tc>
        <w:tc>
          <w:tcPr>
            <w:tcW w:w="1258" w:type="dxa"/>
          </w:tcPr>
          <w:p w14:paraId="5EE21C6F" w14:textId="77777777" w:rsidR="00CE3667" w:rsidRDefault="00CE3667" w:rsidP="006B1F21"/>
        </w:tc>
        <w:tc>
          <w:tcPr>
            <w:tcW w:w="1259" w:type="dxa"/>
          </w:tcPr>
          <w:p w14:paraId="2369BF9E" w14:textId="77777777" w:rsidR="00CE3667" w:rsidRDefault="00CE3667" w:rsidP="006B1F21"/>
        </w:tc>
        <w:tc>
          <w:tcPr>
            <w:tcW w:w="1259" w:type="dxa"/>
          </w:tcPr>
          <w:p w14:paraId="2AE8DC74" w14:textId="77777777" w:rsidR="00CE3667" w:rsidRDefault="00CE3667" w:rsidP="006B1F21"/>
        </w:tc>
        <w:tc>
          <w:tcPr>
            <w:tcW w:w="1259" w:type="dxa"/>
          </w:tcPr>
          <w:p w14:paraId="425E0FA1" w14:textId="77777777" w:rsidR="00CE3667" w:rsidRDefault="00CE3667" w:rsidP="006B1F21"/>
        </w:tc>
      </w:tr>
      <w:tr w:rsidR="00CE3667" w14:paraId="3F9961FD" w14:textId="77777777" w:rsidTr="00430D26">
        <w:tc>
          <w:tcPr>
            <w:tcW w:w="4590" w:type="dxa"/>
          </w:tcPr>
          <w:p w14:paraId="3A767E2F" w14:textId="77777777" w:rsidR="00CE3667" w:rsidRDefault="00CE3667" w:rsidP="006B1F21">
            <w:r>
              <w:t>Future Research Allocation: BNI Approach</w:t>
            </w:r>
          </w:p>
          <w:p w14:paraId="3126D17C" w14:textId="17D15560" w:rsidR="00CE3667" w:rsidRDefault="00CE3667" w:rsidP="006B1F21">
            <w:r>
              <w:t>(Felknor)</w:t>
            </w:r>
          </w:p>
        </w:tc>
        <w:tc>
          <w:tcPr>
            <w:tcW w:w="1258" w:type="dxa"/>
          </w:tcPr>
          <w:p w14:paraId="393F499B" w14:textId="77777777" w:rsidR="00CE3667" w:rsidRDefault="00CE3667" w:rsidP="006B1F21"/>
        </w:tc>
        <w:tc>
          <w:tcPr>
            <w:tcW w:w="1259" w:type="dxa"/>
          </w:tcPr>
          <w:p w14:paraId="4BF784B1" w14:textId="77777777" w:rsidR="00CE3667" w:rsidRDefault="00CE3667" w:rsidP="006B1F21"/>
        </w:tc>
        <w:tc>
          <w:tcPr>
            <w:tcW w:w="1259" w:type="dxa"/>
          </w:tcPr>
          <w:p w14:paraId="71AA5BC8" w14:textId="77777777" w:rsidR="00CE3667" w:rsidRDefault="00CE3667" w:rsidP="006B1F21"/>
        </w:tc>
        <w:tc>
          <w:tcPr>
            <w:tcW w:w="1259" w:type="dxa"/>
          </w:tcPr>
          <w:p w14:paraId="2F8FED8F" w14:textId="77777777" w:rsidR="00CE3667" w:rsidRDefault="00CE3667" w:rsidP="006B1F21"/>
        </w:tc>
      </w:tr>
      <w:tr w:rsidR="00CE3667" w14:paraId="75FBEEA5" w14:textId="77777777" w:rsidTr="00430D26">
        <w:tc>
          <w:tcPr>
            <w:tcW w:w="4590" w:type="dxa"/>
          </w:tcPr>
          <w:p w14:paraId="0F632AE5" w14:textId="77777777" w:rsidR="00CE3667" w:rsidRDefault="00BA6077" w:rsidP="006B1F21">
            <w:r>
              <w:t>NIOSH News and Opportunities</w:t>
            </w:r>
          </w:p>
          <w:p w14:paraId="7A50F4FB" w14:textId="3DBF86C1" w:rsidR="00BA6077" w:rsidRDefault="00BA6077" w:rsidP="006B1F21">
            <w:r>
              <w:t>(Kitt)</w:t>
            </w:r>
          </w:p>
        </w:tc>
        <w:tc>
          <w:tcPr>
            <w:tcW w:w="1258" w:type="dxa"/>
          </w:tcPr>
          <w:p w14:paraId="0ED34BBB" w14:textId="77777777" w:rsidR="00CE3667" w:rsidRDefault="00CE3667" w:rsidP="006B1F21"/>
        </w:tc>
        <w:tc>
          <w:tcPr>
            <w:tcW w:w="1259" w:type="dxa"/>
          </w:tcPr>
          <w:p w14:paraId="5B0CF2DD" w14:textId="77777777" w:rsidR="00CE3667" w:rsidRDefault="00CE3667" w:rsidP="006B1F21"/>
        </w:tc>
        <w:tc>
          <w:tcPr>
            <w:tcW w:w="1259" w:type="dxa"/>
          </w:tcPr>
          <w:p w14:paraId="1ACDEF64" w14:textId="77777777" w:rsidR="00CE3667" w:rsidRDefault="00CE3667" w:rsidP="006B1F21"/>
        </w:tc>
        <w:tc>
          <w:tcPr>
            <w:tcW w:w="1259" w:type="dxa"/>
          </w:tcPr>
          <w:p w14:paraId="69658067" w14:textId="77777777" w:rsidR="00CE3667" w:rsidRDefault="00CE3667" w:rsidP="006B1F21"/>
        </w:tc>
      </w:tr>
      <w:tr w:rsidR="00CE3667" w14:paraId="5C4CB422" w14:textId="77777777" w:rsidTr="00430D26">
        <w:tc>
          <w:tcPr>
            <w:tcW w:w="4590" w:type="dxa"/>
          </w:tcPr>
          <w:p w14:paraId="1AC513DE" w14:textId="77777777" w:rsidR="00CE3667" w:rsidRDefault="00BA6077" w:rsidP="006B1F21">
            <w:r>
              <w:t>Wikipedia</w:t>
            </w:r>
          </w:p>
          <w:p w14:paraId="5CFF1A1D" w14:textId="6EC33F57" w:rsidR="00BA6077" w:rsidRDefault="00BA6077" w:rsidP="006B1F21">
            <w:r>
              <w:t>(Morata)</w:t>
            </w:r>
          </w:p>
        </w:tc>
        <w:tc>
          <w:tcPr>
            <w:tcW w:w="1258" w:type="dxa"/>
          </w:tcPr>
          <w:p w14:paraId="4199B336" w14:textId="77777777" w:rsidR="00CE3667" w:rsidRDefault="00CE3667" w:rsidP="006B1F21"/>
        </w:tc>
        <w:tc>
          <w:tcPr>
            <w:tcW w:w="1259" w:type="dxa"/>
          </w:tcPr>
          <w:p w14:paraId="407CEEF1" w14:textId="77777777" w:rsidR="00CE3667" w:rsidRDefault="00CE3667" w:rsidP="006B1F21"/>
        </w:tc>
        <w:tc>
          <w:tcPr>
            <w:tcW w:w="1259" w:type="dxa"/>
          </w:tcPr>
          <w:p w14:paraId="13E7629A" w14:textId="77777777" w:rsidR="00CE3667" w:rsidRDefault="00CE3667" w:rsidP="006B1F21"/>
        </w:tc>
        <w:tc>
          <w:tcPr>
            <w:tcW w:w="1259" w:type="dxa"/>
          </w:tcPr>
          <w:p w14:paraId="2EBE79A0" w14:textId="77777777" w:rsidR="00CE3667" w:rsidRDefault="00CE3667" w:rsidP="006B1F21"/>
        </w:tc>
      </w:tr>
      <w:tr w:rsidR="00CE3667" w14:paraId="281D79B8" w14:textId="77777777" w:rsidTr="00430D26">
        <w:tc>
          <w:tcPr>
            <w:tcW w:w="4590" w:type="dxa"/>
          </w:tcPr>
          <w:p w14:paraId="7FB990D4" w14:textId="77777777" w:rsidR="00CE3667" w:rsidRDefault="00BA6077" w:rsidP="006B1F21">
            <w:r>
              <w:t>Outreach Opportunities</w:t>
            </w:r>
          </w:p>
          <w:p w14:paraId="05A7615C" w14:textId="6AC03DD9" w:rsidR="00BA6077" w:rsidRDefault="00BA6077" w:rsidP="006B1F21">
            <w:r>
              <w:t>(Flynn)</w:t>
            </w:r>
          </w:p>
        </w:tc>
        <w:tc>
          <w:tcPr>
            <w:tcW w:w="1258" w:type="dxa"/>
          </w:tcPr>
          <w:p w14:paraId="014EB435" w14:textId="77777777" w:rsidR="00CE3667" w:rsidRDefault="00CE3667" w:rsidP="006B1F21"/>
        </w:tc>
        <w:tc>
          <w:tcPr>
            <w:tcW w:w="1259" w:type="dxa"/>
          </w:tcPr>
          <w:p w14:paraId="4364080E" w14:textId="77777777" w:rsidR="00CE3667" w:rsidRDefault="00CE3667" w:rsidP="006B1F21"/>
        </w:tc>
        <w:tc>
          <w:tcPr>
            <w:tcW w:w="1259" w:type="dxa"/>
          </w:tcPr>
          <w:p w14:paraId="6F95E0C5" w14:textId="77777777" w:rsidR="00CE3667" w:rsidRDefault="00CE3667" w:rsidP="006B1F21"/>
        </w:tc>
        <w:tc>
          <w:tcPr>
            <w:tcW w:w="1259" w:type="dxa"/>
          </w:tcPr>
          <w:p w14:paraId="63DCC925" w14:textId="77777777" w:rsidR="00CE3667" w:rsidRDefault="00CE3667" w:rsidP="006B1F21"/>
        </w:tc>
      </w:tr>
      <w:tr w:rsidR="00BA6077" w14:paraId="2FBBDD42" w14:textId="77777777" w:rsidTr="00430D26">
        <w:tc>
          <w:tcPr>
            <w:tcW w:w="4590" w:type="dxa"/>
          </w:tcPr>
          <w:p w14:paraId="41CC407C" w14:textId="77777777" w:rsidR="00BA6077" w:rsidRDefault="00BA6077" w:rsidP="006B1F21">
            <w:r>
              <w:t>FY2020 Funding Updates</w:t>
            </w:r>
          </w:p>
          <w:p w14:paraId="74BA1BAE" w14:textId="7E7FFF22" w:rsidR="00BA6077" w:rsidRDefault="00BA6077" w:rsidP="006B1F21">
            <w:r>
              <w:t>(DiMuzio)</w:t>
            </w:r>
          </w:p>
        </w:tc>
        <w:tc>
          <w:tcPr>
            <w:tcW w:w="1258" w:type="dxa"/>
          </w:tcPr>
          <w:p w14:paraId="22C4E26A" w14:textId="77777777" w:rsidR="00BA6077" w:rsidRDefault="00BA6077" w:rsidP="006B1F21"/>
        </w:tc>
        <w:tc>
          <w:tcPr>
            <w:tcW w:w="1259" w:type="dxa"/>
          </w:tcPr>
          <w:p w14:paraId="762ECE40" w14:textId="77777777" w:rsidR="00BA6077" w:rsidRDefault="00BA6077" w:rsidP="006B1F21"/>
        </w:tc>
        <w:tc>
          <w:tcPr>
            <w:tcW w:w="1259" w:type="dxa"/>
          </w:tcPr>
          <w:p w14:paraId="7CAB73F8" w14:textId="77777777" w:rsidR="00BA6077" w:rsidRDefault="00BA6077" w:rsidP="006B1F21"/>
        </w:tc>
        <w:tc>
          <w:tcPr>
            <w:tcW w:w="1259" w:type="dxa"/>
          </w:tcPr>
          <w:p w14:paraId="588CE1B6" w14:textId="77777777" w:rsidR="00BA6077" w:rsidRDefault="00BA6077" w:rsidP="006B1F21"/>
        </w:tc>
      </w:tr>
      <w:tr w:rsidR="00BA6077" w14:paraId="4E80CC89" w14:textId="77777777" w:rsidTr="00430D26">
        <w:tc>
          <w:tcPr>
            <w:tcW w:w="4590" w:type="dxa"/>
          </w:tcPr>
          <w:p w14:paraId="6B8ACDAF" w14:textId="77777777" w:rsidR="00BA6077" w:rsidRDefault="00BA6077" w:rsidP="006B1F21">
            <w:r>
              <w:t>Changes to the Common Rule</w:t>
            </w:r>
          </w:p>
          <w:p w14:paraId="742BCC1C" w14:textId="4B1C4D2E" w:rsidR="00BA6077" w:rsidRDefault="00BA6077" w:rsidP="006B1F21">
            <w:r>
              <w:t>(Morley)</w:t>
            </w:r>
          </w:p>
        </w:tc>
        <w:tc>
          <w:tcPr>
            <w:tcW w:w="1258" w:type="dxa"/>
          </w:tcPr>
          <w:p w14:paraId="4F424F33" w14:textId="77777777" w:rsidR="00BA6077" w:rsidRDefault="00BA6077" w:rsidP="006B1F21"/>
        </w:tc>
        <w:tc>
          <w:tcPr>
            <w:tcW w:w="1259" w:type="dxa"/>
          </w:tcPr>
          <w:p w14:paraId="3DE52946" w14:textId="77777777" w:rsidR="00BA6077" w:rsidRDefault="00BA6077" w:rsidP="006B1F21"/>
        </w:tc>
        <w:tc>
          <w:tcPr>
            <w:tcW w:w="1259" w:type="dxa"/>
          </w:tcPr>
          <w:p w14:paraId="1B6D42CA" w14:textId="77777777" w:rsidR="00BA6077" w:rsidRDefault="00BA6077" w:rsidP="006B1F21"/>
        </w:tc>
        <w:tc>
          <w:tcPr>
            <w:tcW w:w="1259" w:type="dxa"/>
          </w:tcPr>
          <w:p w14:paraId="49A8097D" w14:textId="77777777" w:rsidR="00BA6077" w:rsidRDefault="00BA6077" w:rsidP="006B1F21"/>
        </w:tc>
      </w:tr>
      <w:tr w:rsidR="00BA6077" w14:paraId="390E942D" w14:textId="77777777" w:rsidTr="00430D26">
        <w:tc>
          <w:tcPr>
            <w:tcW w:w="4590" w:type="dxa"/>
          </w:tcPr>
          <w:p w14:paraId="4973777A" w14:textId="77777777" w:rsidR="00BA6077" w:rsidRDefault="00BA6077" w:rsidP="006B1F21">
            <w:r>
              <w:t>New FOAs for Centers</w:t>
            </w:r>
          </w:p>
          <w:p w14:paraId="66A2C83B" w14:textId="7E01768B" w:rsidR="00BA6077" w:rsidRDefault="00BA6077" w:rsidP="006B1F21">
            <w:r>
              <w:t>(Robison)</w:t>
            </w:r>
          </w:p>
        </w:tc>
        <w:tc>
          <w:tcPr>
            <w:tcW w:w="1258" w:type="dxa"/>
          </w:tcPr>
          <w:p w14:paraId="0DE861AB" w14:textId="77777777" w:rsidR="00BA6077" w:rsidRDefault="00BA6077" w:rsidP="006B1F21"/>
        </w:tc>
        <w:tc>
          <w:tcPr>
            <w:tcW w:w="1259" w:type="dxa"/>
          </w:tcPr>
          <w:p w14:paraId="26F7959E" w14:textId="77777777" w:rsidR="00BA6077" w:rsidRDefault="00BA6077" w:rsidP="006B1F21"/>
        </w:tc>
        <w:tc>
          <w:tcPr>
            <w:tcW w:w="1259" w:type="dxa"/>
          </w:tcPr>
          <w:p w14:paraId="0333A698" w14:textId="77777777" w:rsidR="00BA6077" w:rsidRDefault="00BA6077" w:rsidP="006B1F21"/>
        </w:tc>
        <w:tc>
          <w:tcPr>
            <w:tcW w:w="1259" w:type="dxa"/>
          </w:tcPr>
          <w:p w14:paraId="6F8AC0AD" w14:textId="77777777" w:rsidR="00BA6077" w:rsidRDefault="00BA6077" w:rsidP="006B1F21"/>
        </w:tc>
      </w:tr>
    </w:tbl>
    <w:p w14:paraId="68931BA6" w14:textId="6E988C4A" w:rsidR="00CE3667" w:rsidRDefault="00CE3667" w:rsidP="006B1F21">
      <w:pPr>
        <w:ind w:left="360"/>
      </w:pPr>
    </w:p>
    <w:p w14:paraId="3AD4D173" w14:textId="77777777" w:rsidR="00C22A43" w:rsidRDefault="00C22A43" w:rsidP="00C22A43">
      <w:pPr>
        <w:pStyle w:val="ListParagraph"/>
        <w:ind w:left="360"/>
      </w:pPr>
    </w:p>
    <w:p w14:paraId="11740504" w14:textId="77777777" w:rsidR="00C22A43" w:rsidRDefault="00C22A43" w:rsidP="00C22A43">
      <w:pPr>
        <w:pStyle w:val="ListParagraph"/>
        <w:numPr>
          <w:ilvl w:val="0"/>
          <w:numId w:val="2"/>
        </w:numPr>
        <w:ind w:left="360"/>
      </w:pPr>
      <w:r>
        <w:t xml:space="preserve">[Ranking] </w:t>
      </w:r>
    </w:p>
    <w:p w14:paraId="2AF134EF" w14:textId="289E2242" w:rsidR="00C22A43" w:rsidRDefault="00C22A43" w:rsidP="00C22A43">
      <w:pPr>
        <w:pStyle w:val="ListParagraph"/>
        <w:ind w:left="360"/>
      </w:pPr>
      <w:r>
        <w:t xml:space="preserve">The NIOSH webinar series is an available mechanism to continue dialogue on topics discussed at the Meeting. Please rank the following prospective FY2020 webinar topics in order of preference, with 1 indicating your most preferred topic (i.e., the webinar you would be most interested in attending). </w:t>
      </w:r>
    </w:p>
    <w:p w14:paraId="02887D6F" w14:textId="77777777" w:rsidR="00C22A43" w:rsidRDefault="00C22A43" w:rsidP="00C22A43">
      <w:pPr>
        <w:pStyle w:val="ListParagraph"/>
      </w:pPr>
      <w:r>
        <w:t>_____ Future of work</w:t>
      </w:r>
    </w:p>
    <w:p w14:paraId="4940BF2D" w14:textId="77777777" w:rsidR="00C22A43" w:rsidRDefault="00C22A43" w:rsidP="00C22A43">
      <w:pPr>
        <w:pStyle w:val="ListParagraph"/>
      </w:pPr>
      <w:r>
        <w:t>_____ Expanded Focus for OSH</w:t>
      </w:r>
    </w:p>
    <w:p w14:paraId="3EBF8D94" w14:textId="77777777" w:rsidR="001B1C9B" w:rsidRDefault="00C22A43" w:rsidP="00C22A43">
      <w:pPr>
        <w:pStyle w:val="ListParagraph"/>
      </w:pPr>
      <w:r>
        <w:t>_____ Burden, Need, and Impact</w:t>
      </w:r>
    </w:p>
    <w:p w14:paraId="53F2EF80" w14:textId="55207714" w:rsidR="00C22A43" w:rsidRPr="001B1C9B" w:rsidRDefault="001B1C9B" w:rsidP="00C22A43">
      <w:pPr>
        <w:pStyle w:val="ListParagraph"/>
        <w:rPr>
          <w:color w:val="C00000"/>
        </w:rPr>
      </w:pPr>
      <w:r w:rsidRPr="00430D26">
        <w:t>_____ Other [please specify]</w:t>
      </w:r>
    </w:p>
    <w:p w14:paraId="7A2D66FC" w14:textId="77777777" w:rsidR="00C22A43" w:rsidRDefault="00C22A43" w:rsidP="00C22A43">
      <w:pPr>
        <w:pStyle w:val="ListParagraph"/>
        <w:spacing w:after="0"/>
        <w:ind w:left="360"/>
      </w:pPr>
    </w:p>
    <w:p w14:paraId="51FF12C6" w14:textId="77777777" w:rsidR="00C22A43" w:rsidRDefault="00C22A43">
      <w:r>
        <w:br w:type="page"/>
      </w:r>
    </w:p>
    <w:p w14:paraId="7E614378" w14:textId="55950C20" w:rsidR="0037306D" w:rsidRPr="00554795" w:rsidRDefault="0037306D" w:rsidP="003C2149">
      <w:pPr>
        <w:pStyle w:val="ListParagraph"/>
        <w:numPr>
          <w:ilvl w:val="0"/>
          <w:numId w:val="2"/>
        </w:numPr>
        <w:spacing w:after="0"/>
        <w:ind w:left="360"/>
      </w:pPr>
      <w:r w:rsidRPr="00554795">
        <w:t>[Select one]</w:t>
      </w:r>
    </w:p>
    <w:p w14:paraId="267293C4" w14:textId="3FDF2C32" w:rsidR="00C22A43" w:rsidRDefault="00C22A43" w:rsidP="00C22A43">
      <w:pPr>
        <w:spacing w:after="0"/>
        <w:ind w:left="360"/>
      </w:pPr>
      <w:r>
        <w:t xml:space="preserve">For this evaluation, </w:t>
      </w:r>
      <w:r>
        <w:rPr>
          <w:i/>
        </w:rPr>
        <w:t xml:space="preserve">meaningful </w:t>
      </w:r>
      <w:r>
        <w:t>refers to a</w:t>
      </w:r>
      <w:r w:rsidR="00B67B6D">
        <w:t xml:space="preserve">n activity with a </w:t>
      </w:r>
      <w:r>
        <w:t>purpose that is</w:t>
      </w:r>
      <w:r w:rsidR="00B67B6D">
        <w:t xml:space="preserve"> serious, important, or</w:t>
      </w:r>
      <w:r>
        <w:t xml:space="preserve"> useful.</w:t>
      </w:r>
    </w:p>
    <w:p w14:paraId="494CA7D8" w14:textId="77777777" w:rsidR="00C22A43" w:rsidRDefault="00C22A43" w:rsidP="00C22A43">
      <w:pPr>
        <w:spacing w:after="0"/>
        <w:ind w:left="360"/>
      </w:pPr>
    </w:p>
    <w:p w14:paraId="53B0DB6D" w14:textId="06FA3EEC" w:rsidR="0037306D" w:rsidRPr="00554795" w:rsidRDefault="0037306D" w:rsidP="00C22A43">
      <w:pPr>
        <w:spacing w:after="0"/>
        <w:ind w:left="360"/>
      </w:pPr>
      <w:r w:rsidRPr="00554795">
        <w:t xml:space="preserve">How </w:t>
      </w:r>
      <w:r w:rsidR="00554795" w:rsidRPr="00554795">
        <w:rPr>
          <w:u w:val="single"/>
        </w:rPr>
        <w:t>meaningful</w:t>
      </w:r>
      <w:r w:rsidR="00554795" w:rsidRPr="00554795">
        <w:t xml:space="preserve"> was your participation in the</w:t>
      </w:r>
      <w:r w:rsidRPr="00554795">
        <w:t xml:space="preserve"> Question Storming session</w:t>
      </w:r>
      <w:r w:rsidR="00554795" w:rsidRPr="00554795">
        <w:t xml:space="preserve"> on Day 1 of the Meeting</w:t>
      </w:r>
      <w:r w:rsidRPr="00554795">
        <w:t>?</w:t>
      </w:r>
    </w:p>
    <w:p w14:paraId="5F796E1B" w14:textId="77777777" w:rsidR="00430D26" w:rsidRDefault="00430D26" w:rsidP="005048E0">
      <w:pPr>
        <w:pStyle w:val="ListParagraph"/>
        <w:numPr>
          <w:ilvl w:val="0"/>
          <w:numId w:val="18"/>
        </w:numPr>
        <w:spacing w:after="0"/>
        <w:ind w:left="1080"/>
      </w:pPr>
      <w:r>
        <w:t>Very meaningful</w:t>
      </w:r>
    </w:p>
    <w:p w14:paraId="3D3D2C00" w14:textId="77777777" w:rsidR="00430D26" w:rsidRDefault="00430D26" w:rsidP="005048E0">
      <w:pPr>
        <w:pStyle w:val="ListParagraph"/>
        <w:numPr>
          <w:ilvl w:val="0"/>
          <w:numId w:val="18"/>
        </w:numPr>
        <w:spacing w:after="0"/>
        <w:ind w:left="1080"/>
      </w:pPr>
      <w:r>
        <w:t>Mostly meaningful</w:t>
      </w:r>
    </w:p>
    <w:p w14:paraId="4DEC44C4" w14:textId="77777777" w:rsidR="00430D26" w:rsidRDefault="00430D26" w:rsidP="005048E0">
      <w:pPr>
        <w:pStyle w:val="ListParagraph"/>
        <w:numPr>
          <w:ilvl w:val="0"/>
          <w:numId w:val="18"/>
        </w:numPr>
        <w:spacing w:after="0"/>
        <w:ind w:left="1080"/>
      </w:pPr>
      <w:r>
        <w:t>A little meaningful</w:t>
      </w:r>
    </w:p>
    <w:p w14:paraId="3D0CDDE9" w14:textId="0ECC47D4" w:rsidR="0037306D" w:rsidRPr="00554795" w:rsidRDefault="00554795" w:rsidP="005048E0">
      <w:pPr>
        <w:pStyle w:val="ListParagraph"/>
        <w:numPr>
          <w:ilvl w:val="0"/>
          <w:numId w:val="18"/>
        </w:numPr>
        <w:spacing w:after="0"/>
        <w:ind w:left="1080"/>
      </w:pPr>
      <w:r w:rsidRPr="00554795">
        <w:t>Not at all meaningful</w:t>
      </w:r>
    </w:p>
    <w:p w14:paraId="19E5B3FB" w14:textId="62B53BF9" w:rsidR="00995174" w:rsidRPr="00430D26" w:rsidRDefault="001B1C9B" w:rsidP="005048E0">
      <w:pPr>
        <w:pStyle w:val="ListParagraph"/>
        <w:numPr>
          <w:ilvl w:val="0"/>
          <w:numId w:val="18"/>
        </w:numPr>
        <w:spacing w:after="0"/>
        <w:ind w:left="1080"/>
      </w:pPr>
      <w:r w:rsidRPr="00430D26">
        <w:t>Not applicable – I did not attend a Question Storming Session</w:t>
      </w:r>
      <w:r w:rsidR="00430D26">
        <w:t xml:space="preserve"> on Day 1.</w:t>
      </w:r>
    </w:p>
    <w:p w14:paraId="133BE427" w14:textId="77777777" w:rsidR="00017E2F" w:rsidRDefault="00017E2F" w:rsidP="00C22A43">
      <w:pPr>
        <w:pStyle w:val="ListParagraph"/>
        <w:ind w:left="1170"/>
        <w:rPr>
          <w:u w:val="single"/>
        </w:rPr>
      </w:pPr>
    </w:p>
    <w:p w14:paraId="76167B23" w14:textId="3174E457" w:rsidR="003C2149" w:rsidRDefault="003C2149" w:rsidP="00C22A43">
      <w:pPr>
        <w:pStyle w:val="ListParagraph"/>
        <w:numPr>
          <w:ilvl w:val="0"/>
          <w:numId w:val="2"/>
        </w:numPr>
        <w:ind w:left="360"/>
      </w:pPr>
      <w:r>
        <w:t>[Select one]</w:t>
      </w:r>
    </w:p>
    <w:p w14:paraId="1EEFFD4C" w14:textId="107A2581" w:rsidR="003C2149" w:rsidRDefault="003C2149" w:rsidP="00430D26">
      <w:pPr>
        <w:pStyle w:val="ListParagraph"/>
        <w:spacing w:after="0"/>
        <w:ind w:left="360"/>
      </w:pPr>
      <w:r>
        <w:t xml:space="preserve">Would your Center </w:t>
      </w:r>
      <w:r w:rsidR="00C22A43">
        <w:t xml:space="preserve">be interested in </w:t>
      </w:r>
      <w:r w:rsidR="00C22A43" w:rsidRPr="00C22A43">
        <w:rPr>
          <w:u w:val="single"/>
        </w:rPr>
        <w:t xml:space="preserve">receiving </w:t>
      </w:r>
      <w:r w:rsidRPr="00554795">
        <w:rPr>
          <w:u w:val="single"/>
        </w:rPr>
        <w:t>updates</w:t>
      </w:r>
      <w:r>
        <w:t xml:space="preserve"> as NIOSH </w:t>
      </w:r>
      <w:r w:rsidR="003054A1">
        <w:t xml:space="preserve">continues to work on </w:t>
      </w:r>
      <w:r w:rsidR="00554795">
        <w:t xml:space="preserve">the challenges we discussed during the </w:t>
      </w:r>
      <w:r>
        <w:t>Question Storming session?</w:t>
      </w:r>
    </w:p>
    <w:p w14:paraId="13EAEC8F" w14:textId="2CF1FF63" w:rsidR="00430D26" w:rsidRPr="003C2149" w:rsidRDefault="00430D26" w:rsidP="005048E0">
      <w:pPr>
        <w:pStyle w:val="ListParagraph"/>
        <w:numPr>
          <w:ilvl w:val="0"/>
          <w:numId w:val="17"/>
        </w:numPr>
        <w:spacing w:after="0"/>
        <w:ind w:left="1080"/>
      </w:pPr>
      <w:r>
        <w:t>Yes. My Center would be interested in receiving updates on NIOSH’s progress.</w:t>
      </w:r>
    </w:p>
    <w:p w14:paraId="37F67757" w14:textId="2E3C7B5E" w:rsidR="003C2149" w:rsidRDefault="003C2149" w:rsidP="005048E0">
      <w:pPr>
        <w:pStyle w:val="ListParagraph"/>
        <w:numPr>
          <w:ilvl w:val="0"/>
          <w:numId w:val="17"/>
        </w:numPr>
        <w:spacing w:after="0"/>
        <w:ind w:left="1080"/>
      </w:pPr>
      <w:r>
        <w:t>No.</w:t>
      </w:r>
      <w:r w:rsidR="00554795">
        <w:t xml:space="preserve"> My Center would not be interested in recei</w:t>
      </w:r>
      <w:r w:rsidR="003054A1">
        <w:t>ving updates on NIOSH’s progres</w:t>
      </w:r>
      <w:r w:rsidR="00554795">
        <w:t>s.</w:t>
      </w:r>
      <w:r>
        <w:t xml:space="preserve"> </w:t>
      </w:r>
    </w:p>
    <w:p w14:paraId="5A9768C7" w14:textId="77777777" w:rsidR="003C2149" w:rsidRDefault="003C2149" w:rsidP="003C2149">
      <w:pPr>
        <w:pStyle w:val="ListParagraph"/>
        <w:ind w:left="360"/>
      </w:pPr>
    </w:p>
    <w:p w14:paraId="0EB0D93A" w14:textId="6567865C" w:rsidR="00554795" w:rsidRDefault="00554795" w:rsidP="00C22A43">
      <w:pPr>
        <w:pStyle w:val="ListParagraph"/>
        <w:numPr>
          <w:ilvl w:val="0"/>
          <w:numId w:val="2"/>
        </w:numPr>
        <w:ind w:left="360"/>
      </w:pPr>
      <w:r>
        <w:t>[Select one]</w:t>
      </w:r>
    </w:p>
    <w:p w14:paraId="0746ACD5" w14:textId="116F6B9A" w:rsidR="00C22A43" w:rsidRDefault="00C22A43" w:rsidP="00554795">
      <w:pPr>
        <w:pStyle w:val="ListParagraph"/>
        <w:ind w:left="360"/>
      </w:pPr>
      <w:r>
        <w:t xml:space="preserve">For this evaluation, </w:t>
      </w:r>
      <w:r>
        <w:rPr>
          <w:i/>
        </w:rPr>
        <w:t>productiv</w:t>
      </w:r>
      <w:r w:rsidR="00B67B6D">
        <w:rPr>
          <w:i/>
        </w:rPr>
        <w:t>e</w:t>
      </w:r>
      <w:r>
        <w:rPr>
          <w:i/>
        </w:rPr>
        <w:t xml:space="preserve"> </w:t>
      </w:r>
      <w:r>
        <w:t xml:space="preserve">refers to </w:t>
      </w:r>
      <w:r w:rsidR="00B67B6D">
        <w:t>an activity that achieves</w:t>
      </w:r>
      <w:r>
        <w:t xml:space="preserve"> a useful or effective result.  </w:t>
      </w:r>
    </w:p>
    <w:p w14:paraId="04428523" w14:textId="77777777" w:rsidR="00C22A43" w:rsidRDefault="00C22A43" w:rsidP="00554795">
      <w:pPr>
        <w:pStyle w:val="ListParagraph"/>
        <w:ind w:left="360"/>
      </w:pPr>
    </w:p>
    <w:p w14:paraId="318A3101" w14:textId="07AC9E53" w:rsidR="00554795" w:rsidRDefault="00554795" w:rsidP="00430D26">
      <w:pPr>
        <w:pStyle w:val="ListParagraph"/>
        <w:spacing w:after="0"/>
        <w:ind w:left="360"/>
      </w:pPr>
      <w:r>
        <w:t xml:space="preserve">How </w:t>
      </w:r>
      <w:r w:rsidR="00C22A43">
        <w:rPr>
          <w:u w:val="single"/>
        </w:rPr>
        <w:t>productive</w:t>
      </w:r>
      <w:r>
        <w:t xml:space="preserve"> was the Center Business Meeting (Ag, CON, ERC, or TWH) you attended on Day 2 of the Meeting?</w:t>
      </w:r>
    </w:p>
    <w:p w14:paraId="76875A8C" w14:textId="77777777" w:rsidR="00430D26" w:rsidRDefault="00430D26" w:rsidP="005048E0">
      <w:pPr>
        <w:pStyle w:val="ListParagraph"/>
        <w:numPr>
          <w:ilvl w:val="0"/>
          <w:numId w:val="16"/>
        </w:numPr>
        <w:spacing w:after="0"/>
        <w:ind w:left="1080"/>
      </w:pPr>
      <w:r>
        <w:t>Very productive</w:t>
      </w:r>
    </w:p>
    <w:p w14:paraId="22CE2FF3" w14:textId="77777777" w:rsidR="00430D26" w:rsidRDefault="00430D26" w:rsidP="005048E0">
      <w:pPr>
        <w:pStyle w:val="ListParagraph"/>
        <w:numPr>
          <w:ilvl w:val="0"/>
          <w:numId w:val="16"/>
        </w:numPr>
        <w:spacing w:after="0"/>
        <w:ind w:left="1080"/>
      </w:pPr>
      <w:r>
        <w:t>Mostly productive</w:t>
      </w:r>
    </w:p>
    <w:p w14:paraId="30C9FC30" w14:textId="77777777" w:rsidR="00430D26" w:rsidRDefault="00430D26" w:rsidP="005048E0">
      <w:pPr>
        <w:pStyle w:val="ListParagraph"/>
        <w:numPr>
          <w:ilvl w:val="0"/>
          <w:numId w:val="16"/>
        </w:numPr>
        <w:spacing w:after="0"/>
        <w:ind w:left="1080"/>
      </w:pPr>
      <w:r>
        <w:t>A little productive</w:t>
      </w:r>
    </w:p>
    <w:p w14:paraId="1D86D047" w14:textId="48BDB4B2" w:rsidR="00554795" w:rsidRDefault="00554795" w:rsidP="005048E0">
      <w:pPr>
        <w:pStyle w:val="ListParagraph"/>
        <w:numPr>
          <w:ilvl w:val="0"/>
          <w:numId w:val="16"/>
        </w:numPr>
        <w:spacing w:after="0"/>
        <w:ind w:left="1080"/>
      </w:pPr>
      <w:r>
        <w:t xml:space="preserve">Not at all </w:t>
      </w:r>
      <w:r w:rsidR="00C22A43">
        <w:t>productive</w:t>
      </w:r>
    </w:p>
    <w:p w14:paraId="3B2E3B48" w14:textId="2D3CA8F0" w:rsidR="00995174" w:rsidRPr="00430D26" w:rsidRDefault="001B1C9B" w:rsidP="005048E0">
      <w:pPr>
        <w:pStyle w:val="ListParagraph"/>
        <w:numPr>
          <w:ilvl w:val="0"/>
          <w:numId w:val="16"/>
        </w:numPr>
        <w:spacing w:after="0"/>
        <w:ind w:left="1080"/>
      </w:pPr>
      <w:r w:rsidRPr="00430D26">
        <w:t>Not applicable – I did not attend a Center Business Meeting</w:t>
      </w:r>
      <w:r w:rsidR="00430D26">
        <w:t xml:space="preserve"> on Day 2</w:t>
      </w:r>
      <w:r w:rsidRPr="00430D26">
        <w:t>.</w:t>
      </w:r>
    </w:p>
    <w:p w14:paraId="219B1520" w14:textId="069BA2D4" w:rsidR="0037306D" w:rsidRDefault="0037306D" w:rsidP="0037306D">
      <w:pPr>
        <w:pStyle w:val="ListParagraph"/>
      </w:pPr>
    </w:p>
    <w:p w14:paraId="30517522" w14:textId="761869AD" w:rsidR="006B1F21" w:rsidRDefault="006B1F21" w:rsidP="003C2149">
      <w:pPr>
        <w:pStyle w:val="ListParagraph"/>
        <w:numPr>
          <w:ilvl w:val="0"/>
          <w:numId w:val="2"/>
        </w:numPr>
        <w:ind w:left="360"/>
      </w:pPr>
      <w:r>
        <w:t>[Open field]</w:t>
      </w:r>
    </w:p>
    <w:p w14:paraId="65CF2911" w14:textId="3728B917" w:rsidR="00091993" w:rsidRDefault="00091993" w:rsidP="00430D26">
      <w:pPr>
        <w:pStyle w:val="ListParagraph"/>
        <w:spacing w:after="0"/>
        <w:ind w:left="360"/>
      </w:pPr>
      <w:r>
        <w:t>What</w:t>
      </w:r>
      <w:r w:rsidR="00AC0669">
        <w:t xml:space="preserve"> might</w:t>
      </w:r>
      <w:r>
        <w:t xml:space="preserve"> we do differently at future Centers Grantee meetings to improve their effectiveness for you?</w:t>
      </w:r>
    </w:p>
    <w:p w14:paraId="57676098" w14:textId="5EB3E640" w:rsidR="00091993" w:rsidRDefault="00017E2F" w:rsidP="00430D26">
      <w:pPr>
        <w:ind w:left="630"/>
      </w:pPr>
      <w:r>
        <w:t>[</w:t>
      </w:r>
      <w:r w:rsidR="006B1F21">
        <w:t>text box for responses]</w:t>
      </w:r>
    </w:p>
    <w:p w14:paraId="33F184E1" w14:textId="77777777" w:rsidR="00017E2F" w:rsidRDefault="00017E2F" w:rsidP="004476E7">
      <w:pPr>
        <w:pStyle w:val="ListParagraph"/>
        <w:ind w:left="360"/>
      </w:pPr>
    </w:p>
    <w:p w14:paraId="07E88D0E" w14:textId="7EAE5EA7" w:rsidR="0037306D" w:rsidRDefault="0037306D" w:rsidP="003C2149">
      <w:pPr>
        <w:pStyle w:val="ListParagraph"/>
        <w:numPr>
          <w:ilvl w:val="0"/>
          <w:numId w:val="2"/>
        </w:numPr>
        <w:ind w:left="360"/>
      </w:pPr>
      <w:r>
        <w:t>[Open field]</w:t>
      </w:r>
    </w:p>
    <w:p w14:paraId="02721AE4" w14:textId="43E546BB" w:rsidR="0037306D" w:rsidRDefault="0037306D" w:rsidP="00430D26">
      <w:pPr>
        <w:pStyle w:val="ListParagraph"/>
        <w:spacing w:after="0"/>
        <w:ind w:left="360"/>
      </w:pPr>
      <w:r>
        <w:t>Is there anything else you want us to know?</w:t>
      </w:r>
    </w:p>
    <w:p w14:paraId="59DD7EEF" w14:textId="77777777" w:rsidR="0037306D" w:rsidRDefault="0037306D" w:rsidP="00430D26">
      <w:pPr>
        <w:ind w:left="720"/>
      </w:pPr>
      <w:r>
        <w:t>[text box for responses]</w:t>
      </w:r>
    </w:p>
    <w:p w14:paraId="4DD75B7C" w14:textId="1AF8F442" w:rsidR="0037306D" w:rsidRDefault="0037306D" w:rsidP="0037306D">
      <w:pPr>
        <w:pStyle w:val="ListParagraph"/>
        <w:ind w:left="360"/>
      </w:pPr>
    </w:p>
    <w:p w14:paraId="5BBF371B" w14:textId="51B1EA50" w:rsidR="003C2149" w:rsidRDefault="003C2149" w:rsidP="0037306D">
      <w:pPr>
        <w:pStyle w:val="ListParagraph"/>
        <w:ind w:left="360"/>
      </w:pPr>
    </w:p>
    <w:p w14:paraId="3176E14B" w14:textId="38ADD91B" w:rsidR="003C2149" w:rsidRDefault="003C2149" w:rsidP="0037306D">
      <w:pPr>
        <w:pStyle w:val="ListParagraph"/>
        <w:ind w:left="360"/>
      </w:pPr>
    </w:p>
    <w:p w14:paraId="006EB901" w14:textId="32BC06D3" w:rsidR="003C2149" w:rsidRDefault="003C2149" w:rsidP="0037306D">
      <w:pPr>
        <w:pStyle w:val="ListParagraph"/>
        <w:ind w:left="360"/>
      </w:pPr>
    </w:p>
    <w:p w14:paraId="725E8D9D" w14:textId="77777777" w:rsidR="003C2149" w:rsidRDefault="003C2149" w:rsidP="0037306D">
      <w:pPr>
        <w:pStyle w:val="ListParagraph"/>
        <w:ind w:left="360"/>
      </w:pPr>
    </w:p>
    <w:p w14:paraId="5647C90E" w14:textId="3D1A8F90" w:rsidR="003C2149" w:rsidRDefault="003C2149" w:rsidP="003C2149">
      <w:pPr>
        <w:pStyle w:val="ListParagraph"/>
        <w:ind w:left="360"/>
        <w:jc w:val="center"/>
        <w:rPr>
          <w:b/>
        </w:rPr>
      </w:pPr>
      <w:r w:rsidRPr="003C2149">
        <w:rPr>
          <w:b/>
        </w:rPr>
        <w:t>This is the end of the 2019 Cen</w:t>
      </w:r>
      <w:r w:rsidR="002B260E">
        <w:rPr>
          <w:b/>
        </w:rPr>
        <w:t>ters Grantee Meeting Evaluation</w:t>
      </w:r>
      <w:r w:rsidRPr="003C2149">
        <w:rPr>
          <w:b/>
        </w:rPr>
        <w:t xml:space="preserve">. </w:t>
      </w:r>
    </w:p>
    <w:p w14:paraId="2232C7BE" w14:textId="6214E2A5" w:rsidR="003C2149" w:rsidRPr="003C2149" w:rsidRDefault="003C2149" w:rsidP="003C2149">
      <w:pPr>
        <w:pStyle w:val="ListParagraph"/>
        <w:ind w:left="360"/>
        <w:jc w:val="center"/>
        <w:rPr>
          <w:b/>
        </w:rPr>
      </w:pPr>
      <w:r w:rsidRPr="003C2149">
        <w:rPr>
          <w:b/>
        </w:rPr>
        <w:t>Thank you for your responses!</w:t>
      </w:r>
    </w:p>
    <w:sectPr w:rsidR="003C2149" w:rsidRPr="003C2149" w:rsidSect="00D2690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3D8B6E" w14:textId="77777777" w:rsidR="003026B3" w:rsidRDefault="003026B3" w:rsidP="003026B3">
      <w:pPr>
        <w:spacing w:after="0" w:line="240" w:lineRule="auto"/>
      </w:pPr>
      <w:r>
        <w:separator/>
      </w:r>
    </w:p>
  </w:endnote>
  <w:endnote w:type="continuationSeparator" w:id="0">
    <w:p w14:paraId="29B0562A" w14:textId="77777777" w:rsidR="003026B3" w:rsidRDefault="003026B3" w:rsidP="00302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yriadPro-Regular">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20CEB" w14:textId="77777777" w:rsidR="003026B3" w:rsidRDefault="003026B3" w:rsidP="003026B3">
      <w:pPr>
        <w:spacing w:after="0" w:line="240" w:lineRule="auto"/>
      </w:pPr>
      <w:r>
        <w:separator/>
      </w:r>
    </w:p>
  </w:footnote>
  <w:footnote w:type="continuationSeparator" w:id="0">
    <w:p w14:paraId="14E19D13" w14:textId="77777777" w:rsidR="003026B3" w:rsidRDefault="003026B3" w:rsidP="003026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30EC"/>
    <w:multiLevelType w:val="hybridMultilevel"/>
    <w:tmpl w:val="1D267A0A"/>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
    <w:nsid w:val="09495A3B"/>
    <w:multiLevelType w:val="hybridMultilevel"/>
    <w:tmpl w:val="C6ECCFEE"/>
    <w:lvl w:ilvl="0" w:tplc="50E266B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6A3E08"/>
    <w:multiLevelType w:val="hybridMultilevel"/>
    <w:tmpl w:val="F050C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BC6E95"/>
    <w:multiLevelType w:val="hybridMultilevel"/>
    <w:tmpl w:val="3E7C7F4E"/>
    <w:lvl w:ilvl="0" w:tplc="50E266B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AB5202F"/>
    <w:multiLevelType w:val="hybridMultilevel"/>
    <w:tmpl w:val="C076F9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F5F148E"/>
    <w:multiLevelType w:val="hybridMultilevel"/>
    <w:tmpl w:val="A0508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9F6A8F"/>
    <w:multiLevelType w:val="hybridMultilevel"/>
    <w:tmpl w:val="655CF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940D2A"/>
    <w:multiLevelType w:val="hybridMultilevel"/>
    <w:tmpl w:val="66A68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AC25496"/>
    <w:multiLevelType w:val="hybridMultilevel"/>
    <w:tmpl w:val="7F2C5A8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8470EE"/>
    <w:multiLevelType w:val="hybridMultilevel"/>
    <w:tmpl w:val="586C92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EB42D52"/>
    <w:multiLevelType w:val="hybridMultilevel"/>
    <w:tmpl w:val="D67E1F7E"/>
    <w:lvl w:ilvl="0" w:tplc="04090003">
      <w:start w:val="1"/>
      <w:numFmt w:val="bullet"/>
      <w:lvlText w:val="o"/>
      <w:lvlJc w:val="left"/>
      <w:pPr>
        <w:ind w:left="1354" w:hanging="360"/>
      </w:pPr>
      <w:rPr>
        <w:rFonts w:ascii="Courier New" w:hAnsi="Courier New" w:cs="Courier New"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1">
    <w:nsid w:val="3EBA1AC7"/>
    <w:multiLevelType w:val="hybridMultilevel"/>
    <w:tmpl w:val="FF3C42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35949C1"/>
    <w:multiLevelType w:val="hybridMultilevel"/>
    <w:tmpl w:val="711803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789703D"/>
    <w:multiLevelType w:val="hybridMultilevel"/>
    <w:tmpl w:val="2AA20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874A46"/>
    <w:multiLevelType w:val="hybridMultilevel"/>
    <w:tmpl w:val="2FA403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35A03AF"/>
    <w:multiLevelType w:val="hybridMultilevel"/>
    <w:tmpl w:val="AEFC9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F849C1"/>
    <w:multiLevelType w:val="hybridMultilevel"/>
    <w:tmpl w:val="E7A444A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4E4228"/>
    <w:multiLevelType w:val="hybridMultilevel"/>
    <w:tmpl w:val="92CE60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BC92110"/>
    <w:multiLevelType w:val="hybridMultilevel"/>
    <w:tmpl w:val="4B00B1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8"/>
  </w:num>
  <w:num w:numId="3">
    <w:abstractNumId w:val="5"/>
  </w:num>
  <w:num w:numId="4">
    <w:abstractNumId w:val="6"/>
  </w:num>
  <w:num w:numId="5">
    <w:abstractNumId w:val="13"/>
  </w:num>
  <w:num w:numId="6">
    <w:abstractNumId w:val="15"/>
  </w:num>
  <w:num w:numId="7">
    <w:abstractNumId w:val="18"/>
  </w:num>
  <w:num w:numId="8">
    <w:abstractNumId w:val="7"/>
  </w:num>
  <w:num w:numId="9">
    <w:abstractNumId w:val="2"/>
  </w:num>
  <w:num w:numId="10">
    <w:abstractNumId w:val="4"/>
  </w:num>
  <w:num w:numId="11">
    <w:abstractNumId w:val="0"/>
  </w:num>
  <w:num w:numId="12">
    <w:abstractNumId w:val="16"/>
  </w:num>
  <w:num w:numId="13">
    <w:abstractNumId w:val="9"/>
  </w:num>
  <w:num w:numId="14">
    <w:abstractNumId w:val="3"/>
  </w:num>
  <w:num w:numId="15">
    <w:abstractNumId w:val="1"/>
  </w:num>
  <w:num w:numId="16">
    <w:abstractNumId w:val="10"/>
  </w:num>
  <w:num w:numId="17">
    <w:abstractNumId w:val="11"/>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6B3"/>
    <w:rsid w:val="00017987"/>
    <w:rsid w:val="00017E2F"/>
    <w:rsid w:val="00091993"/>
    <w:rsid w:val="001B1C9B"/>
    <w:rsid w:val="00272EE9"/>
    <w:rsid w:val="002B260E"/>
    <w:rsid w:val="002F2593"/>
    <w:rsid w:val="003026B3"/>
    <w:rsid w:val="003054A1"/>
    <w:rsid w:val="0037306D"/>
    <w:rsid w:val="003C2149"/>
    <w:rsid w:val="00430D26"/>
    <w:rsid w:val="004476E7"/>
    <w:rsid w:val="004E6D7F"/>
    <w:rsid w:val="005048E0"/>
    <w:rsid w:val="00554795"/>
    <w:rsid w:val="00696763"/>
    <w:rsid w:val="006B1F21"/>
    <w:rsid w:val="008F6968"/>
    <w:rsid w:val="00925C4A"/>
    <w:rsid w:val="00995174"/>
    <w:rsid w:val="00A333B8"/>
    <w:rsid w:val="00AC0669"/>
    <w:rsid w:val="00B67B6D"/>
    <w:rsid w:val="00BA6077"/>
    <w:rsid w:val="00BD04AB"/>
    <w:rsid w:val="00C00F57"/>
    <w:rsid w:val="00C22A43"/>
    <w:rsid w:val="00CE3667"/>
    <w:rsid w:val="00D26908"/>
    <w:rsid w:val="00D36B0A"/>
    <w:rsid w:val="00DF120F"/>
    <w:rsid w:val="00E33C07"/>
    <w:rsid w:val="00FC70C6"/>
    <w:rsid w:val="00FF5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4B3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6B3"/>
  </w:style>
  <w:style w:type="paragraph" w:styleId="Footer">
    <w:name w:val="footer"/>
    <w:basedOn w:val="Normal"/>
    <w:link w:val="FooterChar"/>
    <w:uiPriority w:val="99"/>
    <w:unhideWhenUsed/>
    <w:rsid w:val="00302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6B3"/>
  </w:style>
  <w:style w:type="paragraph" w:styleId="ListParagraph">
    <w:name w:val="List Paragraph"/>
    <w:basedOn w:val="Normal"/>
    <w:uiPriority w:val="34"/>
    <w:qFormat/>
    <w:rsid w:val="00A333B8"/>
    <w:pPr>
      <w:ind w:left="720"/>
      <w:contextualSpacing/>
    </w:pPr>
  </w:style>
  <w:style w:type="character" w:styleId="CommentReference">
    <w:name w:val="annotation reference"/>
    <w:basedOn w:val="DefaultParagraphFont"/>
    <w:uiPriority w:val="99"/>
    <w:semiHidden/>
    <w:unhideWhenUsed/>
    <w:rsid w:val="00C00F57"/>
    <w:rPr>
      <w:sz w:val="16"/>
      <w:szCs w:val="16"/>
    </w:rPr>
  </w:style>
  <w:style w:type="paragraph" w:styleId="CommentText">
    <w:name w:val="annotation text"/>
    <w:basedOn w:val="Normal"/>
    <w:link w:val="CommentTextChar"/>
    <w:uiPriority w:val="99"/>
    <w:semiHidden/>
    <w:unhideWhenUsed/>
    <w:rsid w:val="00C00F57"/>
    <w:pPr>
      <w:spacing w:line="240" w:lineRule="auto"/>
    </w:pPr>
    <w:rPr>
      <w:sz w:val="20"/>
      <w:szCs w:val="20"/>
    </w:rPr>
  </w:style>
  <w:style w:type="character" w:customStyle="1" w:styleId="CommentTextChar">
    <w:name w:val="Comment Text Char"/>
    <w:basedOn w:val="DefaultParagraphFont"/>
    <w:link w:val="CommentText"/>
    <w:uiPriority w:val="99"/>
    <w:semiHidden/>
    <w:rsid w:val="00C00F57"/>
    <w:rPr>
      <w:sz w:val="20"/>
      <w:szCs w:val="20"/>
    </w:rPr>
  </w:style>
  <w:style w:type="paragraph" w:styleId="CommentSubject">
    <w:name w:val="annotation subject"/>
    <w:basedOn w:val="CommentText"/>
    <w:next w:val="CommentText"/>
    <w:link w:val="CommentSubjectChar"/>
    <w:uiPriority w:val="99"/>
    <w:semiHidden/>
    <w:unhideWhenUsed/>
    <w:rsid w:val="00C00F57"/>
    <w:rPr>
      <w:b/>
      <w:bCs/>
    </w:rPr>
  </w:style>
  <w:style w:type="character" w:customStyle="1" w:styleId="CommentSubjectChar">
    <w:name w:val="Comment Subject Char"/>
    <w:basedOn w:val="CommentTextChar"/>
    <w:link w:val="CommentSubject"/>
    <w:uiPriority w:val="99"/>
    <w:semiHidden/>
    <w:rsid w:val="00C00F57"/>
    <w:rPr>
      <w:b/>
      <w:bCs/>
      <w:sz w:val="20"/>
      <w:szCs w:val="20"/>
    </w:rPr>
  </w:style>
  <w:style w:type="paragraph" w:styleId="BalloonText">
    <w:name w:val="Balloon Text"/>
    <w:basedOn w:val="Normal"/>
    <w:link w:val="BalloonTextChar"/>
    <w:uiPriority w:val="99"/>
    <w:semiHidden/>
    <w:unhideWhenUsed/>
    <w:rsid w:val="00C00F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F57"/>
    <w:rPr>
      <w:rFonts w:ascii="Segoe UI" w:hAnsi="Segoe UI" w:cs="Segoe UI"/>
      <w:sz w:val="18"/>
      <w:szCs w:val="18"/>
    </w:rPr>
  </w:style>
  <w:style w:type="table" w:styleId="TableGrid">
    <w:name w:val="Table Grid"/>
    <w:basedOn w:val="TableNormal"/>
    <w:uiPriority w:val="39"/>
    <w:rsid w:val="00CE3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6B0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6B3"/>
  </w:style>
  <w:style w:type="paragraph" w:styleId="Footer">
    <w:name w:val="footer"/>
    <w:basedOn w:val="Normal"/>
    <w:link w:val="FooterChar"/>
    <w:uiPriority w:val="99"/>
    <w:unhideWhenUsed/>
    <w:rsid w:val="00302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6B3"/>
  </w:style>
  <w:style w:type="paragraph" w:styleId="ListParagraph">
    <w:name w:val="List Paragraph"/>
    <w:basedOn w:val="Normal"/>
    <w:uiPriority w:val="34"/>
    <w:qFormat/>
    <w:rsid w:val="00A333B8"/>
    <w:pPr>
      <w:ind w:left="720"/>
      <w:contextualSpacing/>
    </w:pPr>
  </w:style>
  <w:style w:type="character" w:styleId="CommentReference">
    <w:name w:val="annotation reference"/>
    <w:basedOn w:val="DefaultParagraphFont"/>
    <w:uiPriority w:val="99"/>
    <w:semiHidden/>
    <w:unhideWhenUsed/>
    <w:rsid w:val="00C00F57"/>
    <w:rPr>
      <w:sz w:val="16"/>
      <w:szCs w:val="16"/>
    </w:rPr>
  </w:style>
  <w:style w:type="paragraph" w:styleId="CommentText">
    <w:name w:val="annotation text"/>
    <w:basedOn w:val="Normal"/>
    <w:link w:val="CommentTextChar"/>
    <w:uiPriority w:val="99"/>
    <w:semiHidden/>
    <w:unhideWhenUsed/>
    <w:rsid w:val="00C00F57"/>
    <w:pPr>
      <w:spacing w:line="240" w:lineRule="auto"/>
    </w:pPr>
    <w:rPr>
      <w:sz w:val="20"/>
      <w:szCs w:val="20"/>
    </w:rPr>
  </w:style>
  <w:style w:type="character" w:customStyle="1" w:styleId="CommentTextChar">
    <w:name w:val="Comment Text Char"/>
    <w:basedOn w:val="DefaultParagraphFont"/>
    <w:link w:val="CommentText"/>
    <w:uiPriority w:val="99"/>
    <w:semiHidden/>
    <w:rsid w:val="00C00F57"/>
    <w:rPr>
      <w:sz w:val="20"/>
      <w:szCs w:val="20"/>
    </w:rPr>
  </w:style>
  <w:style w:type="paragraph" w:styleId="CommentSubject">
    <w:name w:val="annotation subject"/>
    <w:basedOn w:val="CommentText"/>
    <w:next w:val="CommentText"/>
    <w:link w:val="CommentSubjectChar"/>
    <w:uiPriority w:val="99"/>
    <w:semiHidden/>
    <w:unhideWhenUsed/>
    <w:rsid w:val="00C00F57"/>
    <w:rPr>
      <w:b/>
      <w:bCs/>
    </w:rPr>
  </w:style>
  <w:style w:type="character" w:customStyle="1" w:styleId="CommentSubjectChar">
    <w:name w:val="Comment Subject Char"/>
    <w:basedOn w:val="CommentTextChar"/>
    <w:link w:val="CommentSubject"/>
    <w:uiPriority w:val="99"/>
    <w:semiHidden/>
    <w:rsid w:val="00C00F57"/>
    <w:rPr>
      <w:b/>
      <w:bCs/>
      <w:sz w:val="20"/>
      <w:szCs w:val="20"/>
    </w:rPr>
  </w:style>
  <w:style w:type="paragraph" w:styleId="BalloonText">
    <w:name w:val="Balloon Text"/>
    <w:basedOn w:val="Normal"/>
    <w:link w:val="BalloonTextChar"/>
    <w:uiPriority w:val="99"/>
    <w:semiHidden/>
    <w:unhideWhenUsed/>
    <w:rsid w:val="00C00F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F57"/>
    <w:rPr>
      <w:rFonts w:ascii="Segoe UI" w:hAnsi="Segoe UI" w:cs="Segoe UI"/>
      <w:sz w:val="18"/>
      <w:szCs w:val="18"/>
    </w:rPr>
  </w:style>
  <w:style w:type="table" w:styleId="TableGrid">
    <w:name w:val="Table Grid"/>
    <w:basedOn w:val="TableNormal"/>
    <w:uiPriority w:val="39"/>
    <w:rsid w:val="00CE3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6B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480910">
      <w:bodyDiv w:val="1"/>
      <w:marLeft w:val="0"/>
      <w:marRight w:val="0"/>
      <w:marTop w:val="0"/>
      <w:marBottom w:val="0"/>
      <w:divBdr>
        <w:top w:val="none" w:sz="0" w:space="0" w:color="auto"/>
        <w:left w:val="none" w:sz="0" w:space="0" w:color="auto"/>
        <w:bottom w:val="none" w:sz="0" w:space="0" w:color="auto"/>
        <w:right w:val="none" w:sz="0" w:space="0" w:color="auto"/>
      </w:divBdr>
    </w:div>
    <w:div w:id="110068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treit@cdc.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felknor@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Streit, Jessica M. K. (CDC/NIOSH/DSI/SSTRB)</dc:creator>
  <cp:keywords/>
  <dc:description/>
  <cp:lastModifiedBy>SYSTEM</cp:lastModifiedBy>
  <cp:revision>2</cp:revision>
  <dcterms:created xsi:type="dcterms:W3CDTF">2019-09-17T16:10:00Z</dcterms:created>
  <dcterms:modified xsi:type="dcterms:W3CDTF">2019-09-17T16:10:00Z</dcterms:modified>
</cp:coreProperties>
</file>