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F72602" w:rsidR="00F72602">
        <w:rPr>
          <w:sz w:val="28"/>
        </w:rPr>
        <w:t>0920-0953</w:t>
      </w:r>
      <w:r>
        <w:rPr>
          <w:sz w:val="28"/>
        </w:rPr>
        <w:t>)</w:t>
      </w:r>
    </w:p>
    <w:p w:rsidRPr="009239AA" w:rsidR="00E50293" w:rsidP="00434E33" w:rsidRDefault="007F7080">
      <w:pPr>
        <w:rPr>
          <w:b/>
        </w:rPr>
      </w:pPr>
      <w:r>
        <w:rPr>
          <w:b/>
          <w:noProof/>
        </w:rPr>
        <w:pict>
          <v:line id="_x0000_s1027" style="position:absolute;z-index:251657216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F72602">
        <w:t>Survey to solicit feedback</w:t>
      </w:r>
      <w:r w:rsidR="00957182">
        <w:t xml:space="preserve"> on technical assistance on worker safety and health provided as part of the COVID-19 response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/>
    <w:p w:rsidR="007343D3" w:rsidRDefault="00F72602">
      <w:r w:rsidRPr="00F72602">
        <w:t xml:space="preserve">The Centers for Disease Control and Prevention (CDC), National Institute for Occupational </w:t>
      </w:r>
      <w:r w:rsidRPr="00666C4D">
        <w:t xml:space="preserve">Safety and Health (NIOSH) seeks approval from the Office of Management and Budget (OMB) to collect information from a group of customers. </w:t>
      </w:r>
      <w:r w:rsidR="007343D3">
        <w:t xml:space="preserve">NIOSH would like to </w:t>
      </w:r>
      <w:r w:rsidR="0086209B">
        <w:t>conduct</w:t>
      </w:r>
      <w:r w:rsidRPr="00A95102" w:rsidR="00A95102">
        <w:t xml:space="preserve"> </w:t>
      </w:r>
      <w:r w:rsidR="007343D3">
        <w:t xml:space="preserve">a follow-up survey on </w:t>
      </w:r>
      <w:r w:rsidRPr="00A95102" w:rsidR="00A95102">
        <w:t>the field and virtual technical assistance (TA) provided by the Worker Safety and Health team during the COVID-19 respons</w:t>
      </w:r>
      <w:r w:rsidR="007343D3">
        <w:t xml:space="preserve">e. </w:t>
      </w:r>
      <w:r w:rsidR="00372A6E">
        <w:t>These engagements are typically done at the request of state, local and tribal health departments and include one or more employers</w:t>
      </w:r>
      <w:r w:rsidR="00EB32F0">
        <w:t>.</w:t>
      </w:r>
      <w:r w:rsidRPr="007343D3" w:rsidR="007343D3">
        <w:t xml:space="preserve"> </w:t>
      </w:r>
      <w:r w:rsidR="002B3339">
        <w:t xml:space="preserve">Recipients either receive a field visit from CDC/NIOSH staff (“field” technical assistance) or remote assistance from CDC/NIOSH staff working at their normal duty station (“virtual” technical assistance). In both field and virtual TA, CDC/NIOSH staff provide recommendations on ways to prevent the spread of COVID-19 in the workplace.  </w:t>
      </w:r>
    </w:p>
    <w:p w:rsidR="007343D3" w:rsidRDefault="007343D3"/>
    <w:p w:rsidR="00486A96" w:rsidRDefault="007343D3">
      <w:r>
        <w:t xml:space="preserve">The survey will help NIOSH assess satisfaction of TA recipients, and better understand </w:t>
      </w:r>
      <w:r w:rsidR="00CF271B">
        <w:t>the facilitators and barriers to implementing recommendations.</w:t>
      </w:r>
      <w:r>
        <w:t xml:space="preserve"> </w:t>
      </w:r>
      <w:r w:rsidR="00CF271B">
        <w:t xml:space="preserve">There are two slightly different versions of the survey, one for virtual TA recipients and one for field TA recipients. The information </w:t>
      </w:r>
      <w:r w:rsidRPr="00A95102" w:rsidR="00CF271B">
        <w:t xml:space="preserve">will be used to improve TA </w:t>
      </w:r>
      <w:r w:rsidR="002B3339">
        <w:t>in</w:t>
      </w:r>
      <w:r w:rsidRPr="00A95102" w:rsidR="00CF271B">
        <w:t xml:space="preserve"> the COVID-19 response and future responses.</w:t>
      </w:r>
    </w:p>
    <w:p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372A6E" w:rsidRDefault="00F72602">
      <w:r>
        <w:t xml:space="preserve">Respondents are </w:t>
      </w:r>
      <w:r w:rsidR="00CF271B">
        <w:t>recipients of field and virtual TA</w:t>
      </w:r>
      <w:r w:rsidR="00372A6E">
        <w:t xml:space="preserve"> from the WSH team.  For each TA engagement, the main state, local, or tribal health department contact; employer contact; and union/worker organization contact (if applicable) will each be invited via email to take the survey.</w:t>
      </w:r>
    </w:p>
    <w:p w:rsidR="00E26329" w:rsidRDefault="00372A6E">
      <w:pPr>
        <w:rPr>
          <w:b/>
        </w:rPr>
      </w:pPr>
      <w:r>
        <w:rPr>
          <w:b/>
        </w:rPr>
        <w:t xml:space="preserve"> </w:t>
      </w: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F72602">
        <w:rPr>
          <w:bCs/>
          <w:sz w:val="24"/>
        </w:rPr>
        <w:t xml:space="preserve"> </w:t>
      </w:r>
      <w:r w:rsidR="00F72602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 w:rsidRPr="00666C4D">
        <w:t>Name:</w:t>
      </w:r>
      <w:r w:rsidRPr="00666C4D" w:rsidR="00666C4D">
        <w:t xml:space="preserve"> </w:t>
      </w:r>
      <w:r w:rsidR="007343D3">
        <w:t>Emily Novicki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72602">
        <w:t>[  ] Yes  [X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7343D3">
        <w:t>X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</w:t>
      </w:r>
      <w:r w:rsidR="00F72602">
        <w:t>d to participants?  [  ] Yes [ 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494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1653"/>
        <w:gridCol w:w="1653"/>
        <w:gridCol w:w="1504"/>
        <w:gridCol w:w="1428"/>
      </w:tblGrid>
      <w:tr w:rsidR="00252697" w:rsidTr="00252697">
        <w:trPr>
          <w:trHeight w:val="274"/>
        </w:trPr>
        <w:tc>
          <w:tcPr>
            <w:tcW w:w="1706" w:type="pct"/>
          </w:tcPr>
          <w:p w:rsidRPr="00666C4D" w:rsidR="00252697" w:rsidP="000E633C" w:rsidRDefault="00252697">
            <w:pPr>
              <w:rPr>
                <w:b/>
              </w:rPr>
            </w:pPr>
            <w:r>
              <w:rPr>
                <w:b/>
              </w:rPr>
              <w:t>Type</w:t>
            </w:r>
            <w:r w:rsidRPr="00666C4D">
              <w:rPr>
                <w:b/>
              </w:rPr>
              <w:t xml:space="preserve"> of Respondent </w:t>
            </w:r>
          </w:p>
        </w:tc>
        <w:tc>
          <w:tcPr>
            <w:tcW w:w="873" w:type="pct"/>
          </w:tcPr>
          <w:p w:rsidRPr="00666C4D" w:rsidR="00252697" w:rsidP="000E633C" w:rsidRDefault="00252697">
            <w:pPr>
              <w:rPr>
                <w:b/>
              </w:rPr>
            </w:pPr>
            <w:r>
              <w:rPr>
                <w:b/>
              </w:rPr>
              <w:t>Form Name</w:t>
            </w:r>
          </w:p>
        </w:tc>
        <w:tc>
          <w:tcPr>
            <w:tcW w:w="873" w:type="pct"/>
          </w:tcPr>
          <w:p w:rsidRPr="00666C4D" w:rsidR="00252697" w:rsidP="000E633C" w:rsidRDefault="00252697">
            <w:pPr>
              <w:rPr>
                <w:b/>
              </w:rPr>
            </w:pPr>
            <w:r w:rsidRPr="00666C4D">
              <w:rPr>
                <w:b/>
              </w:rPr>
              <w:t>No. of Respondents</w:t>
            </w:r>
          </w:p>
        </w:tc>
        <w:tc>
          <w:tcPr>
            <w:tcW w:w="794" w:type="pct"/>
          </w:tcPr>
          <w:p w:rsidRPr="00666C4D" w:rsidR="00252697" w:rsidP="000E633C" w:rsidRDefault="00252697">
            <w:pPr>
              <w:rPr>
                <w:b/>
              </w:rPr>
            </w:pPr>
            <w:r>
              <w:rPr>
                <w:b/>
              </w:rPr>
              <w:t xml:space="preserve">Average Burden </w:t>
            </w:r>
            <w:r w:rsidRPr="00666C4D">
              <w:rPr>
                <w:b/>
              </w:rPr>
              <w:t>per Respon</w:t>
            </w:r>
            <w:r>
              <w:rPr>
                <w:b/>
              </w:rPr>
              <w:t>se (in hours</w:t>
            </w:r>
            <w:r w:rsidRPr="00666C4D">
              <w:rPr>
                <w:b/>
              </w:rPr>
              <w:t>)</w:t>
            </w:r>
          </w:p>
        </w:tc>
        <w:tc>
          <w:tcPr>
            <w:tcW w:w="754" w:type="pct"/>
          </w:tcPr>
          <w:p w:rsidRPr="00666C4D" w:rsidR="00252697" w:rsidP="000E633C" w:rsidRDefault="00252697">
            <w:pPr>
              <w:rPr>
                <w:b/>
              </w:rPr>
            </w:pPr>
            <w:r>
              <w:rPr>
                <w:b/>
              </w:rPr>
              <w:t>Total Burden Hours</w:t>
            </w:r>
          </w:p>
        </w:tc>
      </w:tr>
      <w:tr w:rsidR="00252697" w:rsidTr="00252697">
        <w:trPr>
          <w:trHeight w:val="274"/>
        </w:trPr>
        <w:tc>
          <w:tcPr>
            <w:tcW w:w="1706" w:type="pct"/>
            <w:vMerge w:val="restart"/>
          </w:tcPr>
          <w:p w:rsidRPr="00666C4D" w:rsidR="00252697" w:rsidP="000E633C" w:rsidRDefault="00252697">
            <w:r>
              <w:t>Private Sector</w:t>
            </w:r>
          </w:p>
        </w:tc>
        <w:tc>
          <w:tcPr>
            <w:tcW w:w="873" w:type="pct"/>
          </w:tcPr>
          <w:p w:rsidR="00252697" w:rsidP="00F72602" w:rsidRDefault="00252697">
            <w:r>
              <w:t>Field survey</w:t>
            </w:r>
          </w:p>
        </w:tc>
        <w:tc>
          <w:tcPr>
            <w:tcW w:w="873" w:type="pct"/>
            <w:shd w:val="clear" w:color="auto" w:fill="auto"/>
          </w:tcPr>
          <w:p w:rsidR="00252697" w:rsidP="00F72602" w:rsidRDefault="00252697">
            <w:r>
              <w:t>640</w:t>
            </w:r>
          </w:p>
        </w:tc>
        <w:tc>
          <w:tcPr>
            <w:tcW w:w="794" w:type="pct"/>
            <w:shd w:val="clear" w:color="auto" w:fill="auto"/>
          </w:tcPr>
          <w:p w:rsidRPr="00666C4D" w:rsidR="00252697" w:rsidP="000E633C" w:rsidRDefault="00252697">
            <w:r>
              <w:t>12/60</w:t>
            </w:r>
          </w:p>
        </w:tc>
        <w:tc>
          <w:tcPr>
            <w:tcW w:w="754" w:type="pct"/>
            <w:shd w:val="clear" w:color="auto" w:fill="auto"/>
          </w:tcPr>
          <w:p w:rsidR="00252697" w:rsidP="000E633C" w:rsidRDefault="00252697">
            <w:r>
              <w:t>128 hours</w:t>
            </w:r>
          </w:p>
        </w:tc>
      </w:tr>
      <w:tr w:rsidR="00252697" w:rsidTr="00252697">
        <w:trPr>
          <w:trHeight w:val="274"/>
        </w:trPr>
        <w:tc>
          <w:tcPr>
            <w:tcW w:w="1706" w:type="pct"/>
            <w:vMerge/>
          </w:tcPr>
          <w:p w:rsidR="00252697" w:rsidP="000E633C" w:rsidRDefault="00252697"/>
        </w:tc>
        <w:tc>
          <w:tcPr>
            <w:tcW w:w="873" w:type="pct"/>
          </w:tcPr>
          <w:p w:rsidR="00252697" w:rsidP="00F72602" w:rsidRDefault="00252697">
            <w:r>
              <w:t>Virtual survey</w:t>
            </w:r>
          </w:p>
        </w:tc>
        <w:tc>
          <w:tcPr>
            <w:tcW w:w="873" w:type="pct"/>
            <w:shd w:val="clear" w:color="auto" w:fill="auto"/>
          </w:tcPr>
          <w:p w:rsidR="00252697" w:rsidP="00F72602" w:rsidRDefault="00252697">
            <w:r>
              <w:t>160</w:t>
            </w:r>
          </w:p>
        </w:tc>
        <w:tc>
          <w:tcPr>
            <w:tcW w:w="794" w:type="pct"/>
            <w:shd w:val="clear" w:color="auto" w:fill="auto"/>
          </w:tcPr>
          <w:p w:rsidRPr="002E569C" w:rsidR="00252697" w:rsidP="000E633C" w:rsidRDefault="00252697">
            <w:r>
              <w:t>12/60</w:t>
            </w:r>
          </w:p>
        </w:tc>
        <w:tc>
          <w:tcPr>
            <w:tcW w:w="754" w:type="pct"/>
            <w:shd w:val="clear" w:color="auto" w:fill="auto"/>
          </w:tcPr>
          <w:p w:rsidR="00252697" w:rsidP="000E633C" w:rsidRDefault="00252697">
            <w:r>
              <w:t>32 hours</w:t>
            </w:r>
          </w:p>
        </w:tc>
      </w:tr>
      <w:tr w:rsidR="00252697" w:rsidTr="00252697">
        <w:trPr>
          <w:trHeight w:val="274"/>
        </w:trPr>
        <w:tc>
          <w:tcPr>
            <w:tcW w:w="1706" w:type="pct"/>
            <w:vMerge w:val="restart"/>
          </w:tcPr>
          <w:p w:rsidRPr="00666C4D" w:rsidR="00252697" w:rsidP="000E633C" w:rsidRDefault="00252697">
            <w:r w:rsidRPr="002E569C">
              <w:t>State, local, or tribal governments</w:t>
            </w:r>
          </w:p>
        </w:tc>
        <w:tc>
          <w:tcPr>
            <w:tcW w:w="873" w:type="pct"/>
          </w:tcPr>
          <w:p w:rsidR="00252697" w:rsidP="00F72602" w:rsidRDefault="00252697">
            <w:r>
              <w:t>Field survey</w:t>
            </w:r>
          </w:p>
        </w:tc>
        <w:tc>
          <w:tcPr>
            <w:tcW w:w="873" w:type="pct"/>
            <w:shd w:val="clear" w:color="auto" w:fill="auto"/>
          </w:tcPr>
          <w:p w:rsidR="00252697" w:rsidP="00F72602" w:rsidRDefault="00252697">
            <w:r>
              <w:t>320</w:t>
            </w:r>
          </w:p>
        </w:tc>
        <w:tc>
          <w:tcPr>
            <w:tcW w:w="794" w:type="pct"/>
            <w:shd w:val="clear" w:color="auto" w:fill="auto"/>
          </w:tcPr>
          <w:p w:rsidRPr="00666C4D" w:rsidR="00252697" w:rsidP="000E633C" w:rsidRDefault="00252697">
            <w:r>
              <w:t>12/60</w:t>
            </w:r>
          </w:p>
        </w:tc>
        <w:tc>
          <w:tcPr>
            <w:tcW w:w="754" w:type="pct"/>
            <w:shd w:val="clear" w:color="auto" w:fill="auto"/>
          </w:tcPr>
          <w:p w:rsidR="00252697" w:rsidP="000E633C" w:rsidRDefault="00252697">
            <w:r>
              <w:t>64 hours</w:t>
            </w:r>
          </w:p>
        </w:tc>
      </w:tr>
      <w:tr w:rsidR="00252697" w:rsidTr="00252697">
        <w:trPr>
          <w:trHeight w:val="274"/>
        </w:trPr>
        <w:tc>
          <w:tcPr>
            <w:tcW w:w="1706" w:type="pct"/>
            <w:vMerge/>
          </w:tcPr>
          <w:p w:rsidRPr="002E569C" w:rsidR="00252697" w:rsidP="000E633C" w:rsidRDefault="00252697"/>
        </w:tc>
        <w:tc>
          <w:tcPr>
            <w:tcW w:w="873" w:type="pct"/>
          </w:tcPr>
          <w:p w:rsidR="00252697" w:rsidP="00F72602" w:rsidRDefault="00252697">
            <w:r>
              <w:t>Virtual survey</w:t>
            </w:r>
          </w:p>
        </w:tc>
        <w:tc>
          <w:tcPr>
            <w:tcW w:w="873" w:type="pct"/>
            <w:shd w:val="clear" w:color="auto" w:fill="auto"/>
          </w:tcPr>
          <w:p w:rsidR="00252697" w:rsidP="00F72602" w:rsidRDefault="00252697">
            <w:r>
              <w:t>80</w:t>
            </w:r>
          </w:p>
        </w:tc>
        <w:tc>
          <w:tcPr>
            <w:tcW w:w="794" w:type="pct"/>
            <w:shd w:val="clear" w:color="auto" w:fill="auto"/>
          </w:tcPr>
          <w:p w:rsidRPr="002E569C" w:rsidR="00252697" w:rsidP="000E633C" w:rsidRDefault="00252697">
            <w:r>
              <w:t>12/60</w:t>
            </w:r>
          </w:p>
        </w:tc>
        <w:tc>
          <w:tcPr>
            <w:tcW w:w="754" w:type="pct"/>
            <w:shd w:val="clear" w:color="auto" w:fill="auto"/>
          </w:tcPr>
          <w:p w:rsidR="00252697" w:rsidP="000E633C" w:rsidRDefault="00252697">
            <w:r>
              <w:t>16 hours</w:t>
            </w:r>
          </w:p>
        </w:tc>
      </w:tr>
      <w:tr w:rsidR="00252697" w:rsidTr="00252697">
        <w:trPr>
          <w:trHeight w:val="289"/>
        </w:trPr>
        <w:tc>
          <w:tcPr>
            <w:tcW w:w="5000" w:type="pct"/>
            <w:gridSpan w:val="5"/>
          </w:tcPr>
          <w:p w:rsidRPr="007D27B5" w:rsidR="00252697" w:rsidP="002E569C" w:rsidRDefault="00252697">
            <w:r w:rsidRPr="00666C4D">
              <w:rPr>
                <w:b/>
              </w:rPr>
              <w:t>Total</w:t>
            </w:r>
            <w:r>
              <w:rPr>
                <w:b/>
              </w:rPr>
              <w:t xml:space="preserve"> </w:t>
            </w:r>
            <w:r>
              <w:t xml:space="preserve">                                                                                                                            240 hours</w:t>
            </w:r>
          </w:p>
        </w:tc>
      </w:tr>
    </w:tbl>
    <w:p w:rsidR="00F3170F" w:rsidP="00F3170F" w:rsidRDefault="00F3170F"/>
    <w:p w:rsidR="00F7260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F72602">
        <w:t xml:space="preserve"> $</w:t>
      </w:r>
      <w:r w:rsidR="006222EB">
        <w:t>7500</w:t>
      </w:r>
      <w:r w:rsidR="00F1669F">
        <w:t xml:space="preserve"> </w:t>
      </w:r>
      <w:r w:rsidR="00F72602">
        <w:t>(personnel time).</w:t>
      </w:r>
    </w:p>
    <w:p w:rsidR="00F72602" w:rsidRDefault="00F72602"/>
    <w:p w:rsidR="00ED6492" w:rsidRDefault="00F726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F72602">
        <w:t>[x</w:t>
      </w:r>
      <w:r>
        <w:t>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/>
    <w:p w:rsidR="00A403BB" w:rsidP="00A403BB" w:rsidRDefault="00A403BB"/>
    <w:p w:rsidR="00EB32F0" w:rsidP="00EB32F0" w:rsidRDefault="00EB32F0">
      <w:r>
        <w:lastRenderedPageBreak/>
        <w:t xml:space="preserve">The </w:t>
      </w:r>
      <w:r w:rsidR="0086209B">
        <w:t xml:space="preserve">Worker Safety and Health </w:t>
      </w:r>
      <w:r>
        <w:t xml:space="preserve">team has provided a range of field and virtual TA, from responding to a single specific question to multi-day engagements. In order to create a sample with similar characteristics, inclusion and exclusion criteria </w:t>
      </w:r>
      <w:r w:rsidR="0086209B">
        <w:t>were developed.</w:t>
      </w:r>
      <w:r>
        <w:t xml:space="preserve"> This </w:t>
      </w:r>
      <w:r w:rsidR="0086209B">
        <w:t>data collection</w:t>
      </w:r>
      <w:r>
        <w:t xml:space="preserve"> is intended to focus on the industrial hygiene component of the field and virtual TA rather than epidemiology, as industrial hygiene is a unique contribution by the </w:t>
      </w:r>
      <w:r w:rsidR="0086209B">
        <w:t>Worker Safety and Health t</w:t>
      </w:r>
      <w:r>
        <w:t xml:space="preserve">eam to the overall CDC response. We estimate </w:t>
      </w:r>
      <w:r w:rsidR="00C53D2B">
        <w:t>400</w:t>
      </w:r>
      <w:r>
        <w:t xml:space="preserve"> engagements will be included in the sample</w:t>
      </w:r>
      <w:r w:rsidR="006222EB">
        <w:t xml:space="preserve"> by the time the survey concludes in in September 2021</w:t>
      </w:r>
      <w:r>
        <w:t xml:space="preserve">. </w:t>
      </w:r>
    </w:p>
    <w:p w:rsidR="00EB32F0" w:rsidP="00EB32F0" w:rsidRDefault="00EB32F0"/>
    <w:tbl>
      <w:tblPr>
        <w:tblW w:w="0" w:type="auto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B32F0" w:rsidTr="0031472F">
        <w:tc>
          <w:tcPr>
            <w:tcW w:w="4675" w:type="dxa"/>
            <w:shd w:val="clear" w:color="auto" w:fill="auto"/>
          </w:tcPr>
          <w:p w:rsidRPr="0031472F" w:rsidR="00EB32F0" w:rsidP="001D67BE" w:rsidRDefault="00EB32F0">
            <w:pPr>
              <w:rPr>
                <w:rFonts w:eastAsia="Calibri"/>
                <w:b/>
                <w:bCs/>
              </w:rPr>
            </w:pPr>
            <w:r w:rsidRPr="0031472F">
              <w:rPr>
                <w:rFonts w:eastAsia="Calibri"/>
                <w:b/>
                <w:bCs/>
              </w:rPr>
              <w:t>Inclusion criteria</w:t>
            </w:r>
          </w:p>
        </w:tc>
        <w:tc>
          <w:tcPr>
            <w:tcW w:w="4675" w:type="dxa"/>
            <w:shd w:val="clear" w:color="auto" w:fill="auto"/>
          </w:tcPr>
          <w:p w:rsidRPr="0031472F" w:rsidR="00EB32F0" w:rsidP="001D67BE" w:rsidRDefault="00EB32F0">
            <w:pPr>
              <w:rPr>
                <w:rFonts w:eastAsia="Calibri"/>
                <w:b/>
                <w:bCs/>
              </w:rPr>
            </w:pPr>
            <w:r w:rsidRPr="0031472F">
              <w:rPr>
                <w:rFonts w:eastAsia="Calibri"/>
                <w:b/>
                <w:bCs/>
              </w:rPr>
              <w:t xml:space="preserve">Rationale </w:t>
            </w:r>
          </w:p>
        </w:tc>
      </w:tr>
      <w:tr w:rsidR="00EB32F0" w:rsidTr="0031472F">
        <w:tc>
          <w:tcPr>
            <w:tcW w:w="4675" w:type="dxa"/>
            <w:shd w:val="clear" w:color="auto" w:fill="F2F2F2"/>
          </w:tcPr>
          <w:p w:rsidRPr="006222EB" w:rsidR="00EB32F0" w:rsidP="001D67BE" w:rsidRDefault="00EB32F0">
            <w:pPr>
              <w:rPr>
                <w:rFonts w:eastAsia="Calibri"/>
              </w:rPr>
            </w:pPr>
            <w:r w:rsidRPr="006222EB">
              <w:rPr>
                <w:rFonts w:eastAsia="Calibri"/>
              </w:rPr>
              <w:t>TA concluded at least two months ago</w:t>
            </w:r>
          </w:p>
        </w:tc>
        <w:tc>
          <w:tcPr>
            <w:tcW w:w="4675" w:type="dxa"/>
            <w:shd w:val="clear" w:color="auto" w:fill="F2F2F2"/>
          </w:tcPr>
          <w:p w:rsidRPr="0031472F" w:rsidR="00EB32F0" w:rsidP="001D67BE" w:rsidRDefault="00EB32F0">
            <w:pPr>
              <w:rPr>
                <w:rFonts w:eastAsia="Calibri"/>
              </w:rPr>
            </w:pPr>
            <w:r w:rsidRPr="0031472F">
              <w:rPr>
                <w:rFonts w:eastAsia="Calibri"/>
              </w:rPr>
              <w:t>Allows sufficient time for implementation</w:t>
            </w:r>
          </w:p>
        </w:tc>
      </w:tr>
      <w:tr w:rsidR="00EB32F0" w:rsidTr="0031472F">
        <w:tc>
          <w:tcPr>
            <w:tcW w:w="4675" w:type="dxa"/>
            <w:shd w:val="clear" w:color="auto" w:fill="auto"/>
          </w:tcPr>
          <w:p w:rsidRPr="006222EB" w:rsidR="00EB32F0" w:rsidP="001D67BE" w:rsidRDefault="00EB32F0">
            <w:pPr>
              <w:rPr>
                <w:rFonts w:eastAsia="Calibri"/>
              </w:rPr>
            </w:pPr>
            <w:r w:rsidRPr="006222EB">
              <w:rPr>
                <w:rFonts w:eastAsia="Calibri"/>
              </w:rPr>
              <w:t>NIOSH provided or contributed to site-specific recommendations (e.g., memo, verbal recommendations)</w:t>
            </w:r>
          </w:p>
        </w:tc>
        <w:tc>
          <w:tcPr>
            <w:tcW w:w="4675" w:type="dxa"/>
            <w:shd w:val="clear" w:color="auto" w:fill="auto"/>
          </w:tcPr>
          <w:p w:rsidRPr="0031472F" w:rsidR="00EB32F0" w:rsidP="001D67BE" w:rsidRDefault="00EB32F0">
            <w:pPr>
              <w:rPr>
                <w:rFonts w:eastAsia="Calibri"/>
              </w:rPr>
            </w:pPr>
            <w:r w:rsidRPr="0031472F">
              <w:rPr>
                <w:rFonts w:eastAsia="Calibri"/>
              </w:rPr>
              <w:t>Ensure a minimum level of engagement and communication between NIOSH and requestor</w:t>
            </w:r>
          </w:p>
        </w:tc>
      </w:tr>
      <w:tr w:rsidR="00EB32F0" w:rsidTr="0031472F">
        <w:tc>
          <w:tcPr>
            <w:tcW w:w="4675" w:type="dxa"/>
            <w:shd w:val="clear" w:color="auto" w:fill="F2F2F2"/>
          </w:tcPr>
          <w:p w:rsidRPr="006222EB" w:rsidR="00EB32F0" w:rsidP="001D67BE" w:rsidRDefault="00EB32F0">
            <w:pPr>
              <w:rPr>
                <w:rFonts w:eastAsia="Calibri"/>
              </w:rPr>
            </w:pPr>
            <w:r w:rsidRPr="006222EB">
              <w:rPr>
                <w:rFonts w:eastAsia="Calibri"/>
              </w:rPr>
              <w:t>One or more NIOSH staff participated in TA to provide industrial hygiene TA</w:t>
            </w:r>
          </w:p>
        </w:tc>
        <w:tc>
          <w:tcPr>
            <w:tcW w:w="4675" w:type="dxa"/>
            <w:shd w:val="clear" w:color="auto" w:fill="F2F2F2"/>
          </w:tcPr>
          <w:p w:rsidRPr="0031472F" w:rsidR="00EB32F0" w:rsidP="001D67BE" w:rsidRDefault="00EB32F0">
            <w:pPr>
              <w:rPr>
                <w:rFonts w:eastAsia="Calibri"/>
              </w:rPr>
            </w:pPr>
            <w:r w:rsidRPr="0031472F">
              <w:rPr>
                <w:rFonts w:eastAsia="Calibri"/>
              </w:rPr>
              <w:t>Want to include instances where NIOSH was embedded in larger CDC teams</w:t>
            </w:r>
          </w:p>
        </w:tc>
      </w:tr>
      <w:tr w:rsidR="00EB32F0" w:rsidTr="0031472F">
        <w:tc>
          <w:tcPr>
            <w:tcW w:w="4675" w:type="dxa"/>
            <w:shd w:val="clear" w:color="auto" w:fill="auto"/>
          </w:tcPr>
          <w:p w:rsidRPr="006222EB" w:rsidR="00EB32F0" w:rsidP="001D67BE" w:rsidRDefault="00EB32F0">
            <w:pPr>
              <w:rPr>
                <w:rFonts w:eastAsia="Calibri"/>
              </w:rPr>
            </w:pPr>
            <w:r w:rsidRPr="006222EB">
              <w:rPr>
                <w:rFonts w:eastAsia="Calibri"/>
              </w:rPr>
              <w:t xml:space="preserve">Industrial hygiene TA was provided in workplaces where NIOSH </w:t>
            </w:r>
            <w:r w:rsidRPr="006222EB">
              <w:rPr>
                <w:rFonts w:eastAsia="Calibri"/>
                <w:u w:val="single"/>
              </w:rPr>
              <w:t>was</w:t>
            </w:r>
            <w:r w:rsidRPr="006222EB">
              <w:rPr>
                <w:rFonts w:eastAsia="Calibri"/>
              </w:rPr>
              <w:t xml:space="preserve"> the main author of the guidance (e.g., food processing)</w:t>
            </w:r>
          </w:p>
        </w:tc>
        <w:tc>
          <w:tcPr>
            <w:tcW w:w="4675" w:type="dxa"/>
            <w:shd w:val="clear" w:color="auto" w:fill="auto"/>
          </w:tcPr>
          <w:p w:rsidRPr="0031472F" w:rsidR="00EB32F0" w:rsidP="001D67BE" w:rsidRDefault="00EB32F0">
            <w:pPr>
              <w:rPr>
                <w:rFonts w:eastAsia="Calibri"/>
              </w:rPr>
            </w:pPr>
            <w:r w:rsidRPr="0031472F">
              <w:rPr>
                <w:rFonts w:eastAsia="Calibri"/>
              </w:rPr>
              <w:t>Evaluating TA, not guidance</w:t>
            </w:r>
          </w:p>
        </w:tc>
      </w:tr>
      <w:tr w:rsidR="00EB32F0" w:rsidTr="0031472F">
        <w:tc>
          <w:tcPr>
            <w:tcW w:w="4675" w:type="dxa"/>
            <w:shd w:val="clear" w:color="auto" w:fill="F2F2F2"/>
          </w:tcPr>
          <w:p w:rsidRPr="006222EB" w:rsidR="00EB32F0" w:rsidP="001D67BE" w:rsidRDefault="00EB32F0">
            <w:pPr>
              <w:rPr>
                <w:rFonts w:eastAsia="Calibri"/>
              </w:rPr>
            </w:pPr>
            <w:r w:rsidRPr="006222EB">
              <w:rPr>
                <w:rFonts w:eastAsia="Calibri"/>
              </w:rPr>
              <w:t xml:space="preserve">Industrial hygiene TA was provided in workplaces where NIOSH </w:t>
            </w:r>
            <w:r w:rsidRPr="006222EB">
              <w:rPr>
                <w:rFonts w:eastAsia="Calibri"/>
                <w:u w:val="single"/>
              </w:rPr>
              <w:t>was not</w:t>
            </w:r>
            <w:r w:rsidRPr="006222EB">
              <w:rPr>
                <w:rFonts w:eastAsia="Calibri"/>
              </w:rPr>
              <w:t xml:space="preserve"> the main author of the guidance (e.g., detention centers)</w:t>
            </w:r>
          </w:p>
        </w:tc>
        <w:tc>
          <w:tcPr>
            <w:tcW w:w="4675" w:type="dxa"/>
            <w:shd w:val="clear" w:color="auto" w:fill="F2F2F2"/>
          </w:tcPr>
          <w:p w:rsidRPr="0031472F" w:rsidR="00EB32F0" w:rsidP="001D67BE" w:rsidRDefault="00EB32F0">
            <w:pPr>
              <w:rPr>
                <w:rFonts w:eastAsia="Calibri"/>
              </w:rPr>
            </w:pPr>
            <w:r w:rsidRPr="0031472F">
              <w:rPr>
                <w:rFonts w:eastAsia="Calibri"/>
              </w:rPr>
              <w:t xml:space="preserve">Evaluating TA, not guidance </w:t>
            </w:r>
          </w:p>
        </w:tc>
      </w:tr>
      <w:tr w:rsidR="00EB32F0" w:rsidTr="0031472F">
        <w:tc>
          <w:tcPr>
            <w:tcW w:w="4675" w:type="dxa"/>
            <w:shd w:val="clear" w:color="auto" w:fill="auto"/>
          </w:tcPr>
          <w:p w:rsidRPr="006222EB" w:rsidR="00EB32F0" w:rsidP="001D67BE" w:rsidRDefault="00EB32F0">
            <w:pPr>
              <w:rPr>
                <w:rFonts w:eastAsia="Calibri"/>
              </w:rPr>
            </w:pPr>
            <w:r w:rsidRPr="006222EB">
              <w:rPr>
                <w:rFonts w:eastAsia="Calibri"/>
              </w:rPr>
              <w:t>Review of employer reopening or operating plans</w:t>
            </w:r>
          </w:p>
        </w:tc>
        <w:tc>
          <w:tcPr>
            <w:tcW w:w="4675" w:type="dxa"/>
            <w:shd w:val="clear" w:color="auto" w:fill="auto"/>
          </w:tcPr>
          <w:p w:rsidRPr="0031472F" w:rsidR="00EB32F0" w:rsidP="001D67BE" w:rsidRDefault="00EB32F0">
            <w:pPr>
              <w:rPr>
                <w:rFonts w:eastAsia="Calibri"/>
              </w:rPr>
            </w:pPr>
            <w:r w:rsidRPr="0031472F">
              <w:rPr>
                <w:rFonts w:eastAsia="Calibri"/>
              </w:rPr>
              <w:t>WSH team provided detailed comments to requestors, making this a form of virtual TA</w:t>
            </w:r>
          </w:p>
        </w:tc>
      </w:tr>
    </w:tbl>
    <w:p w:rsidR="00EB32F0" w:rsidP="00EB32F0" w:rsidRDefault="00EB32F0"/>
    <w:tbl>
      <w:tblPr>
        <w:tblW w:w="0" w:type="auto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86209B" w:rsidR="00EB32F0" w:rsidTr="0031472F">
        <w:tc>
          <w:tcPr>
            <w:tcW w:w="4675" w:type="dxa"/>
            <w:shd w:val="clear" w:color="auto" w:fill="auto"/>
          </w:tcPr>
          <w:p w:rsidRPr="006222EB" w:rsidR="00EB32F0" w:rsidP="001D67BE" w:rsidRDefault="00EB32F0">
            <w:pPr>
              <w:rPr>
                <w:rFonts w:eastAsia="Calibri"/>
              </w:rPr>
            </w:pPr>
            <w:r w:rsidRPr="006222EB">
              <w:rPr>
                <w:rFonts w:eastAsia="Calibri"/>
              </w:rPr>
              <w:t>Exclusion criteria</w:t>
            </w:r>
          </w:p>
        </w:tc>
        <w:tc>
          <w:tcPr>
            <w:tcW w:w="4675" w:type="dxa"/>
            <w:shd w:val="clear" w:color="auto" w:fill="auto"/>
          </w:tcPr>
          <w:p w:rsidRPr="0031472F" w:rsidR="00EB32F0" w:rsidP="001D67BE" w:rsidRDefault="00EB32F0">
            <w:pPr>
              <w:rPr>
                <w:rFonts w:eastAsia="Calibri"/>
                <w:b/>
                <w:bCs/>
              </w:rPr>
            </w:pPr>
            <w:r w:rsidRPr="0031472F">
              <w:rPr>
                <w:rFonts w:eastAsia="Calibri"/>
                <w:b/>
                <w:bCs/>
              </w:rPr>
              <w:t xml:space="preserve">Rationale </w:t>
            </w:r>
          </w:p>
        </w:tc>
      </w:tr>
      <w:tr w:rsidRPr="0086209B" w:rsidR="00EB32F0" w:rsidTr="0031472F">
        <w:tc>
          <w:tcPr>
            <w:tcW w:w="4675" w:type="dxa"/>
            <w:shd w:val="clear" w:color="auto" w:fill="F2F2F2"/>
          </w:tcPr>
          <w:p w:rsidRPr="006222EB" w:rsidR="00EB32F0" w:rsidP="001D67BE" w:rsidRDefault="00EB32F0">
            <w:pPr>
              <w:rPr>
                <w:rFonts w:eastAsia="Calibri"/>
              </w:rPr>
            </w:pPr>
            <w:r w:rsidRPr="006222EB">
              <w:rPr>
                <w:rFonts w:eastAsia="Calibri"/>
              </w:rPr>
              <w:t xml:space="preserve">Webinars and other one-time speaking engagements </w:t>
            </w:r>
          </w:p>
        </w:tc>
        <w:tc>
          <w:tcPr>
            <w:tcW w:w="4675" w:type="dxa"/>
            <w:shd w:val="clear" w:color="auto" w:fill="F2F2F2"/>
          </w:tcPr>
          <w:p w:rsidRPr="0031472F" w:rsidR="00EB32F0" w:rsidP="001D67BE" w:rsidRDefault="00EB32F0">
            <w:pPr>
              <w:rPr>
                <w:rFonts w:eastAsia="Calibri"/>
              </w:rPr>
            </w:pPr>
            <w:r w:rsidRPr="0031472F">
              <w:rPr>
                <w:rFonts w:eastAsia="Calibri"/>
              </w:rPr>
              <w:t>Ensure a minimum level of engagement and communication between NIOSH and requestee. Speaking engagements provide high-level overviews of guidance, rather than site-specific TA</w:t>
            </w:r>
          </w:p>
        </w:tc>
      </w:tr>
      <w:tr w:rsidRPr="0086209B" w:rsidR="00EB32F0" w:rsidTr="0031472F">
        <w:tc>
          <w:tcPr>
            <w:tcW w:w="4675" w:type="dxa"/>
            <w:shd w:val="clear" w:color="auto" w:fill="auto"/>
          </w:tcPr>
          <w:p w:rsidRPr="006222EB" w:rsidR="00EB32F0" w:rsidP="001D67BE" w:rsidRDefault="00EB32F0">
            <w:pPr>
              <w:rPr>
                <w:rFonts w:eastAsia="Calibri"/>
              </w:rPr>
            </w:pPr>
            <w:r w:rsidRPr="006222EB">
              <w:rPr>
                <w:rFonts w:eastAsia="Calibri"/>
              </w:rPr>
              <w:t xml:space="preserve">Responses to one-off questions </w:t>
            </w:r>
          </w:p>
        </w:tc>
        <w:tc>
          <w:tcPr>
            <w:tcW w:w="4675" w:type="dxa"/>
            <w:shd w:val="clear" w:color="auto" w:fill="auto"/>
          </w:tcPr>
          <w:p w:rsidRPr="0031472F" w:rsidR="00EB32F0" w:rsidP="001D67BE" w:rsidRDefault="00EB32F0">
            <w:pPr>
              <w:rPr>
                <w:rFonts w:eastAsia="Calibri"/>
              </w:rPr>
            </w:pPr>
            <w:r w:rsidRPr="0031472F">
              <w:rPr>
                <w:rFonts w:eastAsia="Calibri"/>
              </w:rPr>
              <w:t>Ensure a minimum level of engagement and communication between NIOSH and requestee</w:t>
            </w:r>
          </w:p>
        </w:tc>
      </w:tr>
      <w:tr w:rsidRPr="0086209B" w:rsidR="00EB32F0" w:rsidTr="0031472F">
        <w:tc>
          <w:tcPr>
            <w:tcW w:w="4675" w:type="dxa"/>
            <w:shd w:val="clear" w:color="auto" w:fill="F2F2F2"/>
          </w:tcPr>
          <w:p w:rsidRPr="006222EB" w:rsidR="00EB32F0" w:rsidP="001D67BE" w:rsidRDefault="00EB32F0">
            <w:pPr>
              <w:rPr>
                <w:rFonts w:eastAsia="Calibri"/>
              </w:rPr>
            </w:pPr>
            <w:r w:rsidRPr="006222EB">
              <w:rPr>
                <w:rFonts w:eastAsia="Calibri"/>
              </w:rPr>
              <w:t>Field visits/virtual engagements where NIOSH’s only role was to provide epidemiology support</w:t>
            </w:r>
          </w:p>
        </w:tc>
        <w:tc>
          <w:tcPr>
            <w:tcW w:w="4675" w:type="dxa"/>
            <w:shd w:val="clear" w:color="auto" w:fill="F2F2F2"/>
          </w:tcPr>
          <w:p w:rsidRPr="0031472F" w:rsidR="00EB32F0" w:rsidP="001D67BE" w:rsidRDefault="00EB32F0">
            <w:pPr>
              <w:rPr>
                <w:rFonts w:eastAsia="Calibri"/>
              </w:rPr>
            </w:pPr>
            <w:r w:rsidRPr="0031472F">
              <w:rPr>
                <w:rFonts w:eastAsia="Calibri"/>
              </w:rPr>
              <w:t>These surveys will only focus on industrial hygiene TA provided, rather than epidemiology</w:t>
            </w:r>
          </w:p>
        </w:tc>
      </w:tr>
      <w:tr w:rsidRPr="0086209B" w:rsidR="00EB32F0" w:rsidTr="0031472F">
        <w:tc>
          <w:tcPr>
            <w:tcW w:w="4675" w:type="dxa"/>
            <w:shd w:val="clear" w:color="auto" w:fill="auto"/>
          </w:tcPr>
          <w:p w:rsidRPr="006222EB" w:rsidR="00EB32F0" w:rsidP="001D67BE" w:rsidRDefault="0086209B">
            <w:pPr>
              <w:rPr>
                <w:rFonts w:eastAsia="Calibri"/>
              </w:rPr>
            </w:pPr>
            <w:r w:rsidRPr="006222EB">
              <w:rPr>
                <w:rFonts w:eastAsia="Calibri"/>
              </w:rPr>
              <w:t>State, local, or tribal health department</w:t>
            </w:r>
            <w:r w:rsidRPr="006222EB" w:rsidR="00EB32F0">
              <w:rPr>
                <w:rFonts w:eastAsia="Calibri"/>
              </w:rPr>
              <w:t xml:space="preserve"> recommends against inclusion because employer has already indicated they do not want further contact</w:t>
            </w:r>
          </w:p>
        </w:tc>
        <w:tc>
          <w:tcPr>
            <w:tcW w:w="4675" w:type="dxa"/>
            <w:shd w:val="clear" w:color="auto" w:fill="auto"/>
          </w:tcPr>
          <w:p w:rsidRPr="0031472F" w:rsidR="00EB32F0" w:rsidP="001D67BE" w:rsidRDefault="00EB32F0">
            <w:pPr>
              <w:rPr>
                <w:rFonts w:eastAsia="Calibri"/>
              </w:rPr>
            </w:pPr>
            <w:r w:rsidRPr="0031472F">
              <w:rPr>
                <w:rFonts w:eastAsia="Calibri"/>
              </w:rPr>
              <w:t xml:space="preserve">We want to be sensitive to the burden that a survey places on employers and respect the wishes of those who have indicated that they do not wish to have further contact. </w:t>
            </w:r>
          </w:p>
        </w:tc>
      </w:tr>
    </w:tbl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F72602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lastRenderedPageBreak/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</w:t>
      </w:r>
      <w:r w:rsidR="00F72602">
        <w:t>cilitators be used?  [  ] Yes [X</w:t>
      </w:r>
      <w:r>
        <w:t xml:space="preserve">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F24CFC" w:rsidR="00F72602" w:rsidP="0024521E" w:rsidRDefault="00F72602">
      <w:pPr>
        <w:rPr>
          <w:b/>
        </w:rPr>
      </w:pPr>
    </w:p>
    <w:p w:rsidR="00F24CFC" w:rsidP="00F24CFC" w:rsidRDefault="00486A96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Pr="00F06866" w:rsidR="00F24CFC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P="00F24CFC" w:rsidRDefault="007F7080">
      <w:pPr>
        <w:rPr>
          <w:b/>
        </w:rPr>
      </w:pPr>
      <w:r>
        <w:rPr>
          <w:b/>
          <w:noProof/>
        </w:rPr>
        <w:pict>
          <v:line id="_x0000_s1028" style="position:absolute;z-index:251658240" o:allowincell="f" strokeweight="1.5pt" from="0,0" to="468pt,0"/>
        </w:pic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F24CFC" w:rsidR="00F24CFC" w:rsidP="00F24CFC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517" w:rsidRDefault="00500517">
      <w:r>
        <w:separator/>
      </w:r>
    </w:p>
  </w:endnote>
  <w:endnote w:type="continuationSeparator" w:id="0">
    <w:p w:rsidR="00500517" w:rsidRDefault="0050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182" w:rsidRDefault="009571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9101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182" w:rsidRDefault="00957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517" w:rsidRDefault="00500517">
      <w:r>
        <w:separator/>
      </w:r>
    </w:p>
  </w:footnote>
  <w:footnote w:type="continuationSeparator" w:id="0">
    <w:p w:rsidR="00500517" w:rsidRDefault="0050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182" w:rsidRDefault="009571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182" w:rsidRDefault="009571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182" w:rsidRDefault="00957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5784F"/>
    <w:multiLevelType w:val="hybridMultilevel"/>
    <w:tmpl w:val="62A6F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C69DB"/>
    <w:rsid w:val="000D44CA"/>
    <w:rsid w:val="000E200B"/>
    <w:rsid w:val="000E633C"/>
    <w:rsid w:val="000F68BE"/>
    <w:rsid w:val="00106F14"/>
    <w:rsid w:val="001656A7"/>
    <w:rsid w:val="00173481"/>
    <w:rsid w:val="001927A4"/>
    <w:rsid w:val="00194AC6"/>
    <w:rsid w:val="001A23B0"/>
    <w:rsid w:val="001A25CC"/>
    <w:rsid w:val="001B0AAA"/>
    <w:rsid w:val="001C39F7"/>
    <w:rsid w:val="001D67BE"/>
    <w:rsid w:val="001E22B8"/>
    <w:rsid w:val="00237B48"/>
    <w:rsid w:val="0024521E"/>
    <w:rsid w:val="00252697"/>
    <w:rsid w:val="00263C3D"/>
    <w:rsid w:val="00274D0B"/>
    <w:rsid w:val="00290A8A"/>
    <w:rsid w:val="00290FBC"/>
    <w:rsid w:val="002B052D"/>
    <w:rsid w:val="002B3339"/>
    <w:rsid w:val="002B34CD"/>
    <w:rsid w:val="002B3C95"/>
    <w:rsid w:val="002D0B92"/>
    <w:rsid w:val="002E569C"/>
    <w:rsid w:val="0031472F"/>
    <w:rsid w:val="003457AD"/>
    <w:rsid w:val="00372A6E"/>
    <w:rsid w:val="003B2CD8"/>
    <w:rsid w:val="003D5BBE"/>
    <w:rsid w:val="003E3C61"/>
    <w:rsid w:val="003F1C5B"/>
    <w:rsid w:val="004211CD"/>
    <w:rsid w:val="00434E33"/>
    <w:rsid w:val="00441434"/>
    <w:rsid w:val="0045264C"/>
    <w:rsid w:val="004618F1"/>
    <w:rsid w:val="00486A96"/>
    <w:rsid w:val="004876EC"/>
    <w:rsid w:val="004D6E14"/>
    <w:rsid w:val="004E3CE4"/>
    <w:rsid w:val="00500206"/>
    <w:rsid w:val="00500517"/>
    <w:rsid w:val="005009B0"/>
    <w:rsid w:val="005A1006"/>
    <w:rsid w:val="005D4910"/>
    <w:rsid w:val="005E714A"/>
    <w:rsid w:val="005F693D"/>
    <w:rsid w:val="006140A0"/>
    <w:rsid w:val="006222EB"/>
    <w:rsid w:val="0062536F"/>
    <w:rsid w:val="00636621"/>
    <w:rsid w:val="00642B49"/>
    <w:rsid w:val="00666C4D"/>
    <w:rsid w:val="006832D9"/>
    <w:rsid w:val="00693970"/>
    <w:rsid w:val="0069403B"/>
    <w:rsid w:val="006F3DDE"/>
    <w:rsid w:val="00704678"/>
    <w:rsid w:val="007343D3"/>
    <w:rsid w:val="007425E7"/>
    <w:rsid w:val="00753606"/>
    <w:rsid w:val="007D27B5"/>
    <w:rsid w:val="007E187F"/>
    <w:rsid w:val="007F7080"/>
    <w:rsid w:val="00802607"/>
    <w:rsid w:val="00804075"/>
    <w:rsid w:val="008101A5"/>
    <w:rsid w:val="00822664"/>
    <w:rsid w:val="00843796"/>
    <w:rsid w:val="0086209B"/>
    <w:rsid w:val="00893084"/>
    <w:rsid w:val="00895229"/>
    <w:rsid w:val="008B2EB3"/>
    <w:rsid w:val="008D3EED"/>
    <w:rsid w:val="008F0203"/>
    <w:rsid w:val="008F50D4"/>
    <w:rsid w:val="009239AA"/>
    <w:rsid w:val="00933806"/>
    <w:rsid w:val="00935ADA"/>
    <w:rsid w:val="00946B6C"/>
    <w:rsid w:val="00955A71"/>
    <w:rsid w:val="00957182"/>
    <w:rsid w:val="0096108F"/>
    <w:rsid w:val="00967323"/>
    <w:rsid w:val="009C13B9"/>
    <w:rsid w:val="009D01A2"/>
    <w:rsid w:val="009F5923"/>
    <w:rsid w:val="00A403BB"/>
    <w:rsid w:val="00A65992"/>
    <w:rsid w:val="00A674DF"/>
    <w:rsid w:val="00A83AA6"/>
    <w:rsid w:val="00A934D6"/>
    <w:rsid w:val="00A95102"/>
    <w:rsid w:val="00AB57EA"/>
    <w:rsid w:val="00AE1809"/>
    <w:rsid w:val="00B71D0A"/>
    <w:rsid w:val="00B80D76"/>
    <w:rsid w:val="00BA2105"/>
    <w:rsid w:val="00BA58DE"/>
    <w:rsid w:val="00BA7E06"/>
    <w:rsid w:val="00BB43B5"/>
    <w:rsid w:val="00BB6219"/>
    <w:rsid w:val="00BD290F"/>
    <w:rsid w:val="00C14CC4"/>
    <w:rsid w:val="00C33C52"/>
    <w:rsid w:val="00C40D8B"/>
    <w:rsid w:val="00C53D2B"/>
    <w:rsid w:val="00C75992"/>
    <w:rsid w:val="00C8407A"/>
    <w:rsid w:val="00C8488C"/>
    <w:rsid w:val="00C86E91"/>
    <w:rsid w:val="00CA2650"/>
    <w:rsid w:val="00CA3BD0"/>
    <w:rsid w:val="00CB1078"/>
    <w:rsid w:val="00CC6FAF"/>
    <w:rsid w:val="00CF271B"/>
    <w:rsid w:val="00CF6542"/>
    <w:rsid w:val="00D009A3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97C"/>
    <w:rsid w:val="00E86CC6"/>
    <w:rsid w:val="00EA567E"/>
    <w:rsid w:val="00EB32F0"/>
    <w:rsid w:val="00EB56B3"/>
    <w:rsid w:val="00ED6492"/>
    <w:rsid w:val="00EF2095"/>
    <w:rsid w:val="00F06866"/>
    <w:rsid w:val="00F15956"/>
    <w:rsid w:val="00F1669F"/>
    <w:rsid w:val="00F24CFC"/>
    <w:rsid w:val="00F3170F"/>
    <w:rsid w:val="00F72602"/>
    <w:rsid w:val="00F91018"/>
    <w:rsid w:val="00F931E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163E1A7-55CC-4CB8-B299-79F79481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EB32F0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PlainTable1">
    <w:name w:val="Plain Table 1"/>
    <w:basedOn w:val="TableNormal"/>
    <w:uiPriority w:val="41"/>
    <w:rsid w:val="0086209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63BB87ED693489DF545C68D111AB5" ma:contentTypeVersion="12" ma:contentTypeDescription="Create a new document." ma:contentTypeScope="" ma:versionID="289c88e1e64c4626f8c4ead64f3f8324">
  <xsd:schema xmlns:xsd="http://www.w3.org/2001/XMLSchema" xmlns:xs="http://www.w3.org/2001/XMLSchema" xmlns:p="http://schemas.microsoft.com/office/2006/metadata/properties" xmlns:ns1="http://schemas.microsoft.com/sharepoint/v3" xmlns:ns2="52ff0146-47b4-4d51-8c1c-03266fcd63a2" xmlns:ns3="cd03f174-a395-49eb-8ee9-8d943e22f40d" targetNamespace="http://schemas.microsoft.com/office/2006/metadata/properties" ma:root="true" ma:fieldsID="f8022b78cf24972682fbb26c152a86c6" ns1:_="" ns2:_="" ns3:_="">
    <xsd:import namespace="http://schemas.microsoft.com/sharepoint/v3"/>
    <xsd:import namespace="52ff0146-47b4-4d51-8c1c-03266fcd63a2"/>
    <xsd:import namespace="cd03f174-a395-49eb-8ee9-8d943e22f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f0146-47b4-4d51-8c1c-03266fcd6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3f174-a395-49eb-8ee9-8d943e22f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28482-E46C-4763-B016-114F18111E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E4DD1-71CE-437F-B3ED-0C1F357B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ff0146-47b4-4d51-8c1c-03266fcd63a2"/>
    <ds:schemaRef ds:uri="cd03f174-a395-49eb-8ee9-8d943e22f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2FFFA-3EF8-4FAA-8AFC-B057E5FE7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DCFD52-B12E-46F9-92B6-3B4983E42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1653418-6336-46FB-8EA9-CA7FF37C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Steinberg, Shari (CDC/DDPHSS/OS/OSI)</cp:lastModifiedBy>
  <cp:revision>2</cp:revision>
  <cp:lastPrinted>2010-10-04T15:59:00Z</cp:lastPrinted>
  <dcterms:created xsi:type="dcterms:W3CDTF">2020-11-12T17:31:00Z</dcterms:created>
  <dcterms:modified xsi:type="dcterms:W3CDTF">2020-11-12T17:31:00Z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2020-11-02T16:03:34Z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f0f41d1a-8b9f-469e-bc66-3c97a7a077c3</vt:lpwstr>
  </property>
  <property fmtid="{D5CDD505-2E9C-101B-9397-08002B2CF9AE}" pid="9" name="MSIP_Label_7b94a7b8-f06c-4dfe-bdcc-9b548fd58c31_ContentBits">
    <vt:lpwstr>0</vt:lpwstr>
  </property>
  <property fmtid="{D5CDD505-2E9C-101B-9397-08002B2CF9AE}" pid="10" name="display_urn:schemas-microsoft-com:office:office#SharedWithUsers">
    <vt:lpwstr>Sawyer, Tamela (CDC/NIOSH/OD/ODDM)</vt:lpwstr>
  </property>
  <property fmtid="{D5CDD505-2E9C-101B-9397-08002B2CF9AE}" pid="11" name="SharedWithUsers">
    <vt:lpwstr>389;#Sawyer, Tamela (CDC/NIOSH/OD/ODDM)</vt:lpwstr>
  </property>
</Properties>
</file>