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 xml:space="preserve">“Generic Clearance for </w:t>
      </w:r>
      <w:r w:rsidRPr="00BF5DF5" w:rsidR="00BF5DF5">
        <w:rPr>
          <w:sz w:val="28"/>
        </w:rPr>
        <w:t>the Collection of Routine Customer Feedback</w:t>
      </w:r>
      <w:r w:rsidRPr="00F06866">
        <w:rPr>
          <w:sz w:val="28"/>
        </w:rPr>
        <w:t>”</w:t>
      </w:r>
      <w:r>
        <w:rPr>
          <w:sz w:val="28"/>
        </w:rPr>
        <w:t xml:space="preserve"> (OMB Control Number: </w:t>
      </w:r>
      <w:r w:rsidR="00BF5DF5">
        <w:rPr>
          <w:sz w:val="28"/>
        </w:rPr>
        <w:t>0920-0953</w:t>
      </w:r>
      <w:r>
        <w:rPr>
          <w:sz w:val="28"/>
        </w:rPr>
        <w:t>)</w:t>
      </w:r>
    </w:p>
    <w:p w:rsidRPr="009239AA" w:rsidR="00E50293" w:rsidP="00434E33" w:rsidRDefault="007F7080">
      <w:pPr>
        <w:rPr>
          <w:b/>
        </w:rPr>
      </w:pPr>
      <w:r>
        <w:rPr>
          <w:b/>
          <w:noProof/>
        </w:rPr>
        <w:pict>
          <v:line id="_x0000_s1027" style="position:absolute;z-index:251657216" o:allowincell="f" strokeweight="1.5pt" from="0,0" to="468pt,0"/>
        </w:pict>
      </w:r>
      <w:r w:rsidRPr="00434E33" w:rsidR="005E714A">
        <w:rPr>
          <w:b/>
        </w:rPr>
        <w:t>TITLE OF INFORMATION COLLECTION:</w:t>
      </w:r>
      <w:r w:rsidR="005E714A">
        <w:t xml:space="preserve">  </w:t>
      </w:r>
      <w:r w:rsidR="00555972">
        <w:t xml:space="preserve">Focus groups to </w:t>
      </w:r>
      <w:r w:rsidR="00531540">
        <w:t>obtain input from retail empl</w:t>
      </w:r>
      <w:r w:rsidR="00305DB0">
        <w:t>oyers and employees</w:t>
      </w:r>
    </w:p>
    <w:p w:rsidRPr="007B2C9E" w:rsidR="005E714A" w:rsidRDefault="005E714A"/>
    <w:p w:rsidRPr="007B2C9E" w:rsidR="004728B9" w:rsidP="007B2C9E" w:rsidRDefault="00F15956">
      <w:pPr>
        <w:autoSpaceDN w:val="0"/>
        <w:spacing w:after="200" w:line="276" w:lineRule="auto"/>
      </w:pPr>
      <w:r w:rsidRPr="007B2C9E">
        <w:rPr>
          <w:b/>
        </w:rPr>
        <w:t>PURPOSE:</w:t>
      </w:r>
      <w:r w:rsidRPr="007B2C9E" w:rsidR="00C14CC4">
        <w:rPr>
          <w:b/>
        </w:rPr>
        <w:t xml:space="preserve">  </w:t>
      </w:r>
      <w:r w:rsidRPr="007B2C9E" w:rsidR="00531540">
        <w:t>The Centers for Disease Control and Prevention (CDC), National Institute for Occupational Safety and Health (NIOSH)</w:t>
      </w:r>
      <w:r w:rsidRPr="007B2C9E" w:rsidR="004728B9">
        <w:t>, National Center for Productive Aging and Work (NCPAW),</w:t>
      </w:r>
      <w:r w:rsidRPr="007B2C9E" w:rsidR="00531540">
        <w:t xml:space="preserve"> seeks approval from the Office of Management and Budget (OMB) </w:t>
      </w:r>
      <w:r w:rsidRPr="007B2C9E" w:rsidR="007B2C9E">
        <w:t>to obtain focus group input from retail employers and workers of diverse ages to identify common themes in their experiences with NIOSH products and their communication preferences for dissemination of products about</w:t>
      </w:r>
      <w:r w:rsidR="00C3783C">
        <w:t xml:space="preserve"> </w:t>
      </w:r>
      <w:r w:rsidRPr="00C3783C" w:rsidR="00C3783C">
        <w:t xml:space="preserve">work-related musculoskeletal disorders </w:t>
      </w:r>
      <w:r w:rsidR="00C3783C">
        <w:t>(</w:t>
      </w:r>
      <w:r w:rsidRPr="007B2C9E" w:rsidR="007B2C9E">
        <w:t>WMSDs</w:t>
      </w:r>
      <w:r w:rsidR="00C3783C">
        <w:t>)</w:t>
      </w:r>
      <w:r w:rsidRPr="007B2C9E" w:rsidR="007B2C9E">
        <w:t xml:space="preserve"> due to manual material handling and </w:t>
      </w:r>
      <w:r w:rsidRPr="00C3783C" w:rsidR="00C3783C">
        <w:t>slips, trips and falls</w:t>
      </w:r>
      <w:r w:rsidR="00C3783C">
        <w:t xml:space="preserve"> (</w:t>
      </w:r>
      <w:r w:rsidRPr="007B2C9E" w:rsidR="007B2C9E">
        <w:t>STFs</w:t>
      </w:r>
      <w:r w:rsidR="00C3783C">
        <w:t>)</w:t>
      </w:r>
      <w:r w:rsidRPr="007B2C9E" w:rsidR="007B2C9E">
        <w:t>.</w:t>
      </w:r>
      <w:r w:rsidRPr="007B2C9E" w:rsidR="00531540">
        <w:t xml:space="preserve"> This project is the </w:t>
      </w:r>
      <w:r w:rsidRPr="007B2C9E" w:rsidR="007B2C9E">
        <w:t xml:space="preserve">second </w:t>
      </w:r>
      <w:r w:rsidRPr="007B2C9E" w:rsidR="00531540">
        <w:t>phase of a larger project that aims to develop a suite of communication products that present solutions to common WMSDs due to manual material handling and STFs in the retail sector.</w:t>
      </w:r>
      <w:r w:rsidR="007B2C9E">
        <w:t xml:space="preserve"> </w:t>
      </w:r>
      <w:r w:rsidRPr="007B2C9E" w:rsidR="004728B9">
        <w:t>The National Center for Productive Aging and Work (NCPAW) is a virtual center within the National Institute for Occupational Safety and Health (NIOSH) that advances lifelong well-being for workers of all ages and supports productive aging across the working life. In part, NCPAW’s mission is to enhance aging-related research in occupational safety and health, and to develop and promote a broad range of translational products and resources that target workers, organizations, and sectors where aging issues are particularly salient.</w:t>
      </w:r>
    </w:p>
    <w:p w:rsidR="00C8488C" w:rsidRDefault="00C8488C"/>
    <w:p w:rsidR="00F15956" w:rsidRDefault="00F15956"/>
    <w:p w:rsidR="00E26329" w:rsidP="00434E33" w:rsidRDefault="00E26329">
      <w:pPr>
        <w:pStyle w:val="Header"/>
        <w:tabs>
          <w:tab w:val="clear" w:pos="4320"/>
          <w:tab w:val="clear" w:pos="8640"/>
        </w:tabs>
        <w:rPr>
          <w:b/>
        </w:rPr>
      </w:pP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65328A">
      <w:r>
        <w:t>Four of the focus group</w:t>
      </w:r>
      <w:r w:rsidR="002B656C">
        <w:t>s</w:t>
      </w:r>
      <w:r>
        <w:t xml:space="preserve"> will consist of employees in the retail sector in different age groups while two focus group</w:t>
      </w:r>
      <w:r w:rsidR="002B656C">
        <w:t>s</w:t>
      </w:r>
      <w:r>
        <w:t xml:space="preserve"> will consist of employers in large and small businesses. </w:t>
      </w:r>
    </w:p>
    <w:p w:rsidR="00F15956" w:rsidRDefault="00F15956"/>
    <w:p w:rsidR="00434E33" w:rsidRDefault="00434E33"/>
    <w:p w:rsidR="00E26329" w:rsidRDefault="00E26329">
      <w:pPr>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proofErr w:type="gramStart"/>
      <w:r w:rsidR="004728B9">
        <w:rPr>
          <w:bCs/>
          <w:sz w:val="24"/>
        </w:rPr>
        <w:t>X</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proofErr w:type="gramStart"/>
      <w:r>
        <w:t>Name:_</w:t>
      </w:r>
      <w:proofErr w:type="gramEnd"/>
      <w:r>
        <w:t>__</w:t>
      </w:r>
      <w:r w:rsidR="004728B9">
        <w:t>Harpriya Kaur, PhD</w:t>
      </w:r>
      <w:r>
        <w:t>_____________________________________________</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proofErr w:type="gramStart"/>
      <w:r w:rsidRPr="00C86E91">
        <w:rPr>
          <w:b/>
        </w:rPr>
        <w:t>Personally</w:t>
      </w:r>
      <w:proofErr w:type="gramEnd"/>
      <w:r w:rsidRPr="00C86E91">
        <w:rPr>
          <w:b/>
        </w:rPr>
        <w:t xml:space="preserve">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 </w:t>
      </w:r>
      <w:r w:rsidR="004728B9">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w:t>
      </w:r>
      <w:proofErr w:type="gramStart"/>
      <w:r w:rsidR="004728B9">
        <w:t>X</w:t>
      </w:r>
      <w:r>
        <w:t xml:space="preserve"> ]</w:t>
      </w:r>
      <w:proofErr w:type="gramEnd"/>
      <w:r>
        <w:t xml:space="preserve"> Yes [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88"/>
        <w:gridCol w:w="1530"/>
        <w:gridCol w:w="2520"/>
        <w:gridCol w:w="1800"/>
        <w:gridCol w:w="1440"/>
      </w:tblGrid>
      <w:tr w:rsidR="00BF5DF5" w:rsidTr="004D1C2C">
        <w:trPr>
          <w:trHeight w:val="274"/>
        </w:trPr>
        <w:tc>
          <w:tcPr>
            <w:tcW w:w="2988" w:type="dxa"/>
          </w:tcPr>
          <w:p w:rsidRPr="0001027E" w:rsidR="00BF5DF5" w:rsidP="00C8488C" w:rsidRDefault="00BF5DF5">
            <w:pPr>
              <w:rPr>
                <w:b/>
              </w:rPr>
            </w:pPr>
            <w:r w:rsidRPr="0001027E">
              <w:rPr>
                <w:b/>
              </w:rPr>
              <w:t xml:space="preserve">Category of Respondent </w:t>
            </w:r>
          </w:p>
        </w:tc>
        <w:tc>
          <w:tcPr>
            <w:tcW w:w="1530" w:type="dxa"/>
          </w:tcPr>
          <w:p w:rsidRPr="0001027E" w:rsidR="00BF5DF5" w:rsidP="00843796" w:rsidRDefault="00BF5DF5">
            <w:pPr>
              <w:rPr>
                <w:b/>
              </w:rPr>
            </w:pPr>
            <w:r w:rsidRPr="0001027E">
              <w:rPr>
                <w:b/>
              </w:rPr>
              <w:t>No. of Respondents</w:t>
            </w:r>
          </w:p>
        </w:tc>
        <w:tc>
          <w:tcPr>
            <w:tcW w:w="2520" w:type="dxa"/>
          </w:tcPr>
          <w:p w:rsidRPr="0001027E" w:rsidR="00BF5DF5" w:rsidP="00843796" w:rsidRDefault="00BF5DF5">
            <w:pPr>
              <w:rPr>
                <w:b/>
              </w:rPr>
            </w:pPr>
            <w:r>
              <w:rPr>
                <w:b/>
              </w:rPr>
              <w:t>No. of Responses per Respondent</w:t>
            </w:r>
          </w:p>
        </w:tc>
        <w:tc>
          <w:tcPr>
            <w:tcW w:w="1800" w:type="dxa"/>
          </w:tcPr>
          <w:p w:rsidRPr="0001027E" w:rsidR="00BF5DF5" w:rsidP="00843796" w:rsidRDefault="00C3783C">
            <w:pPr>
              <w:rPr>
                <w:b/>
              </w:rPr>
            </w:pPr>
            <w:r>
              <w:rPr>
                <w:b/>
              </w:rPr>
              <w:t>Average Burden per Response (in hours)</w:t>
            </w:r>
          </w:p>
        </w:tc>
        <w:tc>
          <w:tcPr>
            <w:tcW w:w="1440" w:type="dxa"/>
          </w:tcPr>
          <w:p w:rsidRPr="0001027E" w:rsidR="00BF5DF5" w:rsidP="00843796" w:rsidRDefault="00C3783C">
            <w:pPr>
              <w:rPr>
                <w:b/>
              </w:rPr>
            </w:pPr>
            <w:r>
              <w:rPr>
                <w:b/>
              </w:rPr>
              <w:t xml:space="preserve">Total </w:t>
            </w:r>
            <w:r w:rsidRPr="0001027E" w:rsidR="00BF5DF5">
              <w:rPr>
                <w:b/>
              </w:rPr>
              <w:t>Burden</w:t>
            </w:r>
            <w:r>
              <w:rPr>
                <w:b/>
              </w:rPr>
              <w:t xml:space="preserve"> Hours</w:t>
            </w:r>
          </w:p>
        </w:tc>
      </w:tr>
      <w:tr w:rsidR="00BF5DF5" w:rsidTr="004D1C2C">
        <w:trPr>
          <w:trHeight w:val="274"/>
        </w:trPr>
        <w:tc>
          <w:tcPr>
            <w:tcW w:w="2988" w:type="dxa"/>
          </w:tcPr>
          <w:p w:rsidR="00BF5DF5" w:rsidP="00843796" w:rsidRDefault="00BF5DF5">
            <w:r w:rsidRPr="0077162B">
              <w:rPr>
                <w:rFonts w:ascii="Calibri" w:hAnsi="Calibri" w:cs="Calibri"/>
                <w:sz w:val="22"/>
              </w:rPr>
              <w:t>Older (55 years and older) workers in small businesses</w:t>
            </w:r>
          </w:p>
        </w:tc>
        <w:tc>
          <w:tcPr>
            <w:tcW w:w="1530" w:type="dxa"/>
          </w:tcPr>
          <w:p w:rsidR="00BF5DF5" w:rsidP="00843796" w:rsidRDefault="00BF5DF5">
            <w:r>
              <w:t>12</w:t>
            </w:r>
          </w:p>
        </w:tc>
        <w:tc>
          <w:tcPr>
            <w:tcW w:w="2520" w:type="dxa"/>
          </w:tcPr>
          <w:p w:rsidR="00BF5DF5" w:rsidP="00843796" w:rsidRDefault="00C3783C">
            <w:r>
              <w:t>1</w:t>
            </w:r>
          </w:p>
        </w:tc>
        <w:tc>
          <w:tcPr>
            <w:tcW w:w="1800" w:type="dxa"/>
          </w:tcPr>
          <w:p w:rsidR="00BF5DF5" w:rsidP="00843796" w:rsidRDefault="00C3783C">
            <w:r>
              <w:t>1.5</w:t>
            </w:r>
          </w:p>
        </w:tc>
        <w:tc>
          <w:tcPr>
            <w:tcW w:w="1440" w:type="dxa"/>
          </w:tcPr>
          <w:p w:rsidR="00BF5DF5" w:rsidP="003053A1" w:rsidRDefault="00BF5DF5">
            <w:r>
              <w:t xml:space="preserve">18 </w:t>
            </w:r>
          </w:p>
        </w:tc>
      </w:tr>
      <w:tr w:rsidR="00BF5DF5" w:rsidTr="004D1C2C">
        <w:trPr>
          <w:trHeight w:val="274"/>
        </w:trPr>
        <w:tc>
          <w:tcPr>
            <w:tcW w:w="2988" w:type="dxa"/>
          </w:tcPr>
          <w:p w:rsidR="00BF5DF5" w:rsidP="00843796" w:rsidRDefault="00BF5DF5">
            <w:r w:rsidRPr="0077162B">
              <w:t>Young and middle-aged workers (less than 55 years and old) in small businesses</w:t>
            </w:r>
          </w:p>
        </w:tc>
        <w:tc>
          <w:tcPr>
            <w:tcW w:w="1530" w:type="dxa"/>
          </w:tcPr>
          <w:p w:rsidR="00BF5DF5" w:rsidP="00843796" w:rsidRDefault="00BF5DF5">
            <w:r>
              <w:t>12</w:t>
            </w:r>
          </w:p>
        </w:tc>
        <w:tc>
          <w:tcPr>
            <w:tcW w:w="2520" w:type="dxa"/>
          </w:tcPr>
          <w:p w:rsidR="00BF5DF5" w:rsidP="00843796" w:rsidRDefault="00C3783C">
            <w:r>
              <w:t>1</w:t>
            </w:r>
          </w:p>
        </w:tc>
        <w:tc>
          <w:tcPr>
            <w:tcW w:w="1800" w:type="dxa"/>
          </w:tcPr>
          <w:p w:rsidR="00BF5DF5" w:rsidP="00843796" w:rsidRDefault="00C3783C">
            <w:r>
              <w:t>1.5</w:t>
            </w:r>
          </w:p>
        </w:tc>
        <w:tc>
          <w:tcPr>
            <w:tcW w:w="1440" w:type="dxa"/>
          </w:tcPr>
          <w:p w:rsidR="00BF5DF5" w:rsidP="00843796" w:rsidRDefault="00BF5DF5">
            <w:r>
              <w:t xml:space="preserve">18 </w:t>
            </w:r>
          </w:p>
        </w:tc>
      </w:tr>
      <w:tr w:rsidR="00BF5DF5" w:rsidTr="004D1C2C">
        <w:trPr>
          <w:trHeight w:val="274"/>
        </w:trPr>
        <w:tc>
          <w:tcPr>
            <w:tcW w:w="2988" w:type="dxa"/>
          </w:tcPr>
          <w:p w:rsidRPr="0077162B" w:rsidR="00BF5DF5" w:rsidP="00843796" w:rsidRDefault="00BF5DF5">
            <w:r w:rsidRPr="0077162B">
              <w:rPr>
                <w:rFonts w:ascii="Calibri" w:hAnsi="Calibri" w:cs="Calibri"/>
                <w:sz w:val="22"/>
              </w:rPr>
              <w:t>Older workers (55 years and older) in large businesses</w:t>
            </w:r>
          </w:p>
        </w:tc>
        <w:tc>
          <w:tcPr>
            <w:tcW w:w="1530" w:type="dxa"/>
          </w:tcPr>
          <w:p w:rsidR="00BF5DF5" w:rsidP="00843796" w:rsidRDefault="00BF5DF5">
            <w:r>
              <w:t>12</w:t>
            </w:r>
          </w:p>
        </w:tc>
        <w:tc>
          <w:tcPr>
            <w:tcW w:w="2520" w:type="dxa"/>
          </w:tcPr>
          <w:p w:rsidR="00BF5DF5" w:rsidP="00843796" w:rsidRDefault="00C3783C">
            <w:r>
              <w:t>1</w:t>
            </w:r>
          </w:p>
        </w:tc>
        <w:tc>
          <w:tcPr>
            <w:tcW w:w="1800" w:type="dxa"/>
          </w:tcPr>
          <w:p w:rsidR="00BF5DF5" w:rsidP="00843796" w:rsidRDefault="00C3783C">
            <w:r>
              <w:t>1.5</w:t>
            </w:r>
          </w:p>
        </w:tc>
        <w:tc>
          <w:tcPr>
            <w:tcW w:w="1440" w:type="dxa"/>
          </w:tcPr>
          <w:p w:rsidR="00BF5DF5" w:rsidP="00843796" w:rsidRDefault="00BF5DF5">
            <w:r>
              <w:t xml:space="preserve">18 </w:t>
            </w:r>
          </w:p>
        </w:tc>
      </w:tr>
      <w:tr w:rsidR="00BF5DF5" w:rsidTr="004D1C2C">
        <w:trPr>
          <w:trHeight w:val="274"/>
        </w:trPr>
        <w:tc>
          <w:tcPr>
            <w:tcW w:w="2988" w:type="dxa"/>
          </w:tcPr>
          <w:p w:rsidRPr="0077162B" w:rsidR="00BF5DF5" w:rsidP="0077162B" w:rsidRDefault="00BF5DF5">
            <w:r w:rsidRPr="0077162B">
              <w:t>Young and middle-aged workers (less than 55 years and old) in larger businesses</w:t>
            </w:r>
          </w:p>
          <w:p w:rsidRPr="0077162B" w:rsidR="00BF5DF5" w:rsidP="00843796" w:rsidRDefault="00BF5DF5"/>
        </w:tc>
        <w:tc>
          <w:tcPr>
            <w:tcW w:w="1530" w:type="dxa"/>
          </w:tcPr>
          <w:p w:rsidR="00BF5DF5" w:rsidP="00843796" w:rsidRDefault="00BF5DF5">
            <w:r>
              <w:t>12</w:t>
            </w:r>
          </w:p>
        </w:tc>
        <w:tc>
          <w:tcPr>
            <w:tcW w:w="2520" w:type="dxa"/>
          </w:tcPr>
          <w:p w:rsidR="00BF5DF5" w:rsidP="00843796" w:rsidRDefault="00C3783C">
            <w:r>
              <w:t>1</w:t>
            </w:r>
          </w:p>
        </w:tc>
        <w:tc>
          <w:tcPr>
            <w:tcW w:w="1800" w:type="dxa"/>
          </w:tcPr>
          <w:p w:rsidR="00BF5DF5" w:rsidP="00843796" w:rsidRDefault="00C3783C">
            <w:r>
              <w:t>1.5</w:t>
            </w:r>
          </w:p>
        </w:tc>
        <w:tc>
          <w:tcPr>
            <w:tcW w:w="1440" w:type="dxa"/>
          </w:tcPr>
          <w:p w:rsidR="00BF5DF5" w:rsidP="00843796" w:rsidRDefault="00BF5DF5">
            <w:r>
              <w:t xml:space="preserve">18 </w:t>
            </w:r>
          </w:p>
        </w:tc>
      </w:tr>
      <w:tr w:rsidR="00BF5DF5" w:rsidTr="004D1C2C">
        <w:trPr>
          <w:trHeight w:val="274"/>
        </w:trPr>
        <w:tc>
          <w:tcPr>
            <w:tcW w:w="2988" w:type="dxa"/>
          </w:tcPr>
          <w:p w:rsidRPr="0077162B" w:rsidR="00BF5DF5" w:rsidP="0077162B" w:rsidRDefault="00BF5DF5">
            <w:r w:rsidRPr="0077162B">
              <w:t>Retail trade employers/managers in large businesses</w:t>
            </w:r>
          </w:p>
          <w:p w:rsidRPr="0077162B" w:rsidR="00BF5DF5" w:rsidP="00843796" w:rsidRDefault="00BF5DF5"/>
        </w:tc>
        <w:tc>
          <w:tcPr>
            <w:tcW w:w="1530" w:type="dxa"/>
          </w:tcPr>
          <w:p w:rsidR="00BF5DF5" w:rsidP="00843796" w:rsidRDefault="00BF5DF5">
            <w:r>
              <w:t>12</w:t>
            </w:r>
          </w:p>
        </w:tc>
        <w:tc>
          <w:tcPr>
            <w:tcW w:w="2520" w:type="dxa"/>
          </w:tcPr>
          <w:p w:rsidR="00BF5DF5" w:rsidP="00843796" w:rsidRDefault="00C3783C">
            <w:r>
              <w:t>1</w:t>
            </w:r>
          </w:p>
        </w:tc>
        <w:tc>
          <w:tcPr>
            <w:tcW w:w="1800" w:type="dxa"/>
          </w:tcPr>
          <w:p w:rsidR="00BF5DF5" w:rsidP="00843796" w:rsidRDefault="00C3783C">
            <w:r>
              <w:t>1.5</w:t>
            </w:r>
          </w:p>
        </w:tc>
        <w:tc>
          <w:tcPr>
            <w:tcW w:w="1440" w:type="dxa"/>
          </w:tcPr>
          <w:p w:rsidR="00BF5DF5" w:rsidP="00843796" w:rsidRDefault="00BF5DF5">
            <w:r>
              <w:t>18</w:t>
            </w:r>
          </w:p>
          <w:p w:rsidR="00BF5DF5" w:rsidP="00843796" w:rsidRDefault="00BF5DF5"/>
        </w:tc>
      </w:tr>
      <w:tr w:rsidR="00BF5DF5" w:rsidTr="004D1C2C">
        <w:trPr>
          <w:trHeight w:val="274"/>
        </w:trPr>
        <w:tc>
          <w:tcPr>
            <w:tcW w:w="2988" w:type="dxa"/>
          </w:tcPr>
          <w:p w:rsidRPr="0077162B" w:rsidR="00BF5DF5" w:rsidP="007B2C9E" w:rsidRDefault="00BF5DF5">
            <w:r w:rsidRPr="00BA4545">
              <w:t>Retail trade employers/managers in small businesses</w:t>
            </w:r>
          </w:p>
        </w:tc>
        <w:tc>
          <w:tcPr>
            <w:tcW w:w="1530" w:type="dxa"/>
          </w:tcPr>
          <w:p w:rsidR="00BF5DF5" w:rsidP="007B2C9E" w:rsidRDefault="00BF5DF5">
            <w:r>
              <w:t>12</w:t>
            </w:r>
          </w:p>
        </w:tc>
        <w:tc>
          <w:tcPr>
            <w:tcW w:w="2520" w:type="dxa"/>
          </w:tcPr>
          <w:p w:rsidR="00BF5DF5" w:rsidP="007B2C9E" w:rsidRDefault="00C3783C">
            <w:r>
              <w:t>1</w:t>
            </w:r>
          </w:p>
        </w:tc>
        <w:tc>
          <w:tcPr>
            <w:tcW w:w="1800" w:type="dxa"/>
          </w:tcPr>
          <w:p w:rsidR="00BF5DF5" w:rsidP="007B2C9E" w:rsidRDefault="00C3783C">
            <w:r>
              <w:t>1.5</w:t>
            </w:r>
          </w:p>
        </w:tc>
        <w:tc>
          <w:tcPr>
            <w:tcW w:w="1440" w:type="dxa"/>
          </w:tcPr>
          <w:p w:rsidR="00BF5DF5" w:rsidP="007B2C9E" w:rsidRDefault="00BF5DF5">
            <w:r>
              <w:t>18</w:t>
            </w:r>
          </w:p>
          <w:p w:rsidR="00BF5DF5" w:rsidP="007B2C9E" w:rsidRDefault="00BF5DF5"/>
        </w:tc>
      </w:tr>
      <w:tr w:rsidR="00C3783C" w:rsidTr="00F346C5">
        <w:trPr>
          <w:trHeight w:val="289"/>
        </w:trPr>
        <w:tc>
          <w:tcPr>
            <w:tcW w:w="2988" w:type="dxa"/>
          </w:tcPr>
          <w:p w:rsidRPr="0001027E" w:rsidR="00C3783C" w:rsidP="007B2C9E" w:rsidRDefault="00C3783C">
            <w:pPr>
              <w:rPr>
                <w:b/>
              </w:rPr>
            </w:pPr>
            <w:r w:rsidRPr="0001027E">
              <w:rPr>
                <w:b/>
              </w:rPr>
              <w:t>Total</w:t>
            </w:r>
          </w:p>
        </w:tc>
        <w:tc>
          <w:tcPr>
            <w:tcW w:w="7290" w:type="dxa"/>
            <w:gridSpan w:val="4"/>
          </w:tcPr>
          <w:p w:rsidR="00C3783C" w:rsidP="007B2C9E" w:rsidRDefault="00C3783C">
            <w:pPr>
              <w:rPr>
                <w:b/>
              </w:rPr>
            </w:pPr>
            <w:r>
              <w:rPr>
                <w:b/>
              </w:rPr>
              <w:t xml:space="preserve">                                                                                                  108</w:t>
            </w:r>
          </w:p>
          <w:p w:rsidRPr="0001027E" w:rsidR="00C3783C" w:rsidP="007B2C9E" w:rsidRDefault="00C3783C">
            <w:pPr>
              <w:rPr>
                <w:b/>
              </w:rPr>
            </w:pPr>
          </w:p>
        </w:tc>
      </w:tr>
    </w:tbl>
    <w:p w:rsidR="00F3170F" w:rsidP="00F3170F" w:rsidRDefault="00F3170F"/>
    <w:p w:rsidR="005E714A" w:rsidRDefault="001C39F7">
      <w:r>
        <w:rPr>
          <w:b/>
        </w:rPr>
        <w:lastRenderedPageBreak/>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4E44E2">
        <w:t>$</w:t>
      </w:r>
      <w:proofErr w:type="gramEnd"/>
      <w:r w:rsidR="004E44E2">
        <w:t>3</w:t>
      </w:r>
      <w:r w:rsidR="00FF43F5">
        <w:t>7</w:t>
      </w:r>
      <w:r w:rsidR="004E44E2">
        <w:t>,</w:t>
      </w:r>
      <w:r w:rsidR="00FF43F5">
        <w:t>056</w:t>
      </w:r>
      <w:r w:rsidR="004E44E2">
        <w:t xml:space="preserve"> (total cost of the contract)</w:t>
      </w:r>
    </w:p>
    <w:p w:rsidR="00FF43F5" w:rsidRDefault="00FF43F5"/>
    <w:tbl>
      <w:tblPr>
        <w:tblW w:w="103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15"/>
        <w:gridCol w:w="2334"/>
      </w:tblGrid>
      <w:tr w:rsidRPr="00D9079C" w:rsidR="00FF43F5" w:rsidTr="001F714C">
        <w:trPr>
          <w:trHeight w:val="855"/>
        </w:trPr>
        <w:tc>
          <w:tcPr>
            <w:tcW w:w="8015" w:type="dxa"/>
            <w:shd w:val="clear" w:color="auto" w:fill="auto"/>
          </w:tcPr>
          <w:p w:rsidRPr="001F714C" w:rsidR="00FF43F5" w:rsidP="001F714C" w:rsidRDefault="00FF43F5">
            <w:pPr>
              <w:spacing w:line="276" w:lineRule="auto"/>
              <w:rPr>
                <w:rFonts w:ascii="Calibri" w:hAnsi="Calibri"/>
                <w:b/>
                <w:sz w:val="22"/>
              </w:rPr>
            </w:pPr>
            <w:r w:rsidRPr="001F714C">
              <w:rPr>
                <w:rFonts w:ascii="Calibri" w:hAnsi="Calibri" w:cs="Calibri"/>
                <w:b/>
                <w:sz w:val="22"/>
              </w:rPr>
              <w:t>Item Description</w:t>
            </w:r>
          </w:p>
        </w:tc>
        <w:tc>
          <w:tcPr>
            <w:tcW w:w="2334" w:type="dxa"/>
            <w:shd w:val="clear" w:color="auto" w:fill="auto"/>
          </w:tcPr>
          <w:p w:rsidRPr="001F714C" w:rsidR="00FF43F5" w:rsidP="001F714C" w:rsidRDefault="00FF43F5">
            <w:pPr>
              <w:spacing w:line="276" w:lineRule="auto"/>
              <w:rPr>
                <w:rFonts w:ascii="Calibri" w:hAnsi="Calibri"/>
                <w:b/>
                <w:sz w:val="22"/>
              </w:rPr>
            </w:pPr>
            <w:r w:rsidRPr="001F714C">
              <w:rPr>
                <w:rFonts w:ascii="Calibri" w:hAnsi="Calibri" w:cs="Calibri"/>
                <w:b/>
                <w:sz w:val="22"/>
              </w:rPr>
              <w:t>Payment per task*</w:t>
            </w:r>
          </w:p>
        </w:tc>
      </w:tr>
      <w:tr w:rsidRPr="00D9079C" w:rsidR="00FF43F5" w:rsidTr="001F714C">
        <w:trPr>
          <w:trHeight w:val="628"/>
        </w:trPr>
        <w:tc>
          <w:tcPr>
            <w:tcW w:w="8015" w:type="dxa"/>
            <w:shd w:val="clear" w:color="auto" w:fill="auto"/>
          </w:tcPr>
          <w:p w:rsidRPr="001F714C" w:rsidR="00FF43F5" w:rsidP="001F714C" w:rsidRDefault="00FF43F5">
            <w:pPr>
              <w:spacing w:line="276" w:lineRule="auto"/>
              <w:rPr>
                <w:rFonts w:ascii="Calibri" w:hAnsi="Calibri"/>
                <w:sz w:val="22"/>
              </w:rPr>
            </w:pPr>
            <w:r w:rsidRPr="001F714C">
              <w:rPr>
                <w:b/>
              </w:rPr>
              <w:t>Task 1</w:t>
            </w:r>
            <w:r w:rsidRPr="001F714C">
              <w:rPr>
                <w:rFonts w:ascii="Calibri" w:hAnsi="Calibri"/>
                <w:b/>
                <w:sz w:val="22"/>
              </w:rPr>
              <w:t>:</w:t>
            </w:r>
            <w:r w:rsidRPr="001F714C">
              <w:rPr>
                <w:rFonts w:ascii="Calibri" w:hAnsi="Calibri"/>
                <w:sz w:val="22"/>
              </w:rPr>
              <w:t xml:space="preserve"> Develop project plan and recruitment plan for focus group sessions.</w:t>
            </w:r>
          </w:p>
        </w:tc>
        <w:tc>
          <w:tcPr>
            <w:tcW w:w="2334" w:type="dxa"/>
            <w:shd w:val="clear" w:color="auto" w:fill="auto"/>
          </w:tcPr>
          <w:p w:rsidRPr="001F714C" w:rsidR="00FF43F5" w:rsidP="001F714C" w:rsidRDefault="00FF43F5">
            <w:pPr>
              <w:spacing w:line="276" w:lineRule="auto"/>
              <w:rPr>
                <w:rFonts w:ascii="Calibri" w:hAnsi="Calibri"/>
                <w:sz w:val="22"/>
              </w:rPr>
            </w:pPr>
            <w:r w:rsidRPr="001F714C">
              <w:rPr>
                <w:rFonts w:ascii="Calibri" w:hAnsi="Calibri"/>
                <w:sz w:val="22"/>
              </w:rPr>
              <w:t xml:space="preserve">20% of total </w:t>
            </w:r>
          </w:p>
        </w:tc>
      </w:tr>
      <w:tr w:rsidRPr="00D9079C" w:rsidR="00FF43F5" w:rsidTr="001F714C">
        <w:trPr>
          <w:trHeight w:val="855"/>
        </w:trPr>
        <w:tc>
          <w:tcPr>
            <w:tcW w:w="8015" w:type="dxa"/>
            <w:shd w:val="clear" w:color="auto" w:fill="auto"/>
          </w:tcPr>
          <w:p w:rsidRPr="001F714C" w:rsidR="00FF43F5" w:rsidP="001F714C" w:rsidRDefault="00FF43F5">
            <w:pPr>
              <w:spacing w:line="276" w:lineRule="auto"/>
              <w:rPr>
                <w:rFonts w:ascii="Calibri" w:hAnsi="Calibri"/>
                <w:sz w:val="22"/>
              </w:rPr>
            </w:pPr>
            <w:r w:rsidRPr="001F714C">
              <w:rPr>
                <w:b/>
              </w:rPr>
              <w:t xml:space="preserve">Task 2: </w:t>
            </w:r>
            <w:r w:rsidRPr="001F714C">
              <w:rPr>
                <w:rFonts w:ascii="Calibri" w:hAnsi="Calibri"/>
                <w:sz w:val="22"/>
              </w:rPr>
              <w:t>Prepare interview protocol for each of the six focus groups and conduct one pilot test focus group.</w:t>
            </w:r>
          </w:p>
        </w:tc>
        <w:tc>
          <w:tcPr>
            <w:tcW w:w="2334" w:type="dxa"/>
            <w:shd w:val="clear" w:color="auto" w:fill="auto"/>
          </w:tcPr>
          <w:p w:rsidRPr="001F714C" w:rsidR="00FF43F5" w:rsidP="001F714C" w:rsidRDefault="00FF43F5">
            <w:pPr>
              <w:spacing w:line="276" w:lineRule="auto"/>
              <w:rPr>
                <w:rFonts w:ascii="Calibri" w:hAnsi="Calibri"/>
                <w:sz w:val="22"/>
              </w:rPr>
            </w:pPr>
            <w:r w:rsidRPr="001F714C">
              <w:rPr>
                <w:rFonts w:ascii="Calibri" w:hAnsi="Calibri"/>
                <w:sz w:val="22"/>
              </w:rPr>
              <w:t>30% of total</w:t>
            </w:r>
          </w:p>
        </w:tc>
      </w:tr>
      <w:tr w:rsidRPr="00D9079C" w:rsidR="00FF43F5" w:rsidTr="001F714C">
        <w:trPr>
          <w:trHeight w:val="550"/>
        </w:trPr>
        <w:tc>
          <w:tcPr>
            <w:tcW w:w="8015" w:type="dxa"/>
            <w:shd w:val="clear" w:color="auto" w:fill="auto"/>
          </w:tcPr>
          <w:p w:rsidRPr="001F714C" w:rsidR="00FF43F5" w:rsidP="001F714C" w:rsidRDefault="00FF43F5">
            <w:pPr>
              <w:spacing w:line="276" w:lineRule="auto"/>
              <w:rPr>
                <w:rFonts w:ascii="Calibri" w:hAnsi="Calibri"/>
                <w:sz w:val="22"/>
              </w:rPr>
            </w:pPr>
            <w:r w:rsidRPr="001F714C">
              <w:rPr>
                <w:b/>
              </w:rPr>
              <w:t xml:space="preserve">Task 3: </w:t>
            </w:r>
            <w:r w:rsidRPr="001F714C">
              <w:rPr>
                <w:rFonts w:ascii="Calibri" w:hAnsi="Calibri"/>
                <w:sz w:val="22"/>
              </w:rPr>
              <w:t>Conduct six focus groups with up to twelve participants each.</w:t>
            </w:r>
          </w:p>
        </w:tc>
        <w:tc>
          <w:tcPr>
            <w:tcW w:w="2334" w:type="dxa"/>
            <w:shd w:val="clear" w:color="auto" w:fill="auto"/>
          </w:tcPr>
          <w:p w:rsidRPr="001F714C" w:rsidR="00FF43F5" w:rsidP="001F714C" w:rsidRDefault="00FF43F5">
            <w:pPr>
              <w:spacing w:line="276" w:lineRule="auto"/>
              <w:rPr>
                <w:rFonts w:ascii="Calibri" w:hAnsi="Calibri"/>
                <w:sz w:val="22"/>
              </w:rPr>
            </w:pPr>
            <w:r w:rsidRPr="001F714C">
              <w:rPr>
                <w:rFonts w:ascii="Calibri" w:hAnsi="Calibri"/>
                <w:sz w:val="22"/>
              </w:rPr>
              <w:t>30% of total</w:t>
            </w:r>
          </w:p>
        </w:tc>
      </w:tr>
      <w:tr w:rsidRPr="00D9079C" w:rsidR="00FF43F5" w:rsidTr="001F714C">
        <w:trPr>
          <w:trHeight w:val="855"/>
        </w:trPr>
        <w:tc>
          <w:tcPr>
            <w:tcW w:w="8015" w:type="dxa"/>
            <w:shd w:val="clear" w:color="auto" w:fill="auto"/>
          </w:tcPr>
          <w:p w:rsidRPr="001F714C" w:rsidR="00FF43F5" w:rsidP="001F714C" w:rsidRDefault="00FF43F5">
            <w:pPr>
              <w:spacing w:line="276" w:lineRule="auto"/>
              <w:rPr>
                <w:rFonts w:ascii="Calibri" w:hAnsi="Calibri"/>
                <w:sz w:val="22"/>
              </w:rPr>
            </w:pPr>
            <w:r w:rsidRPr="001F714C">
              <w:rPr>
                <w:b/>
              </w:rPr>
              <w:t xml:space="preserve">Task 4: </w:t>
            </w:r>
            <w:r w:rsidRPr="001F714C">
              <w:rPr>
                <w:rFonts w:ascii="Calibri" w:hAnsi="Calibri"/>
                <w:sz w:val="22"/>
              </w:rPr>
              <w:t>Conduct analysis of the feedback collected and produce summary report.</w:t>
            </w:r>
          </w:p>
        </w:tc>
        <w:tc>
          <w:tcPr>
            <w:tcW w:w="2334" w:type="dxa"/>
            <w:shd w:val="clear" w:color="auto" w:fill="auto"/>
          </w:tcPr>
          <w:p w:rsidRPr="001F714C" w:rsidR="00FF43F5" w:rsidP="001F714C" w:rsidRDefault="00FF43F5">
            <w:pPr>
              <w:spacing w:line="276" w:lineRule="auto"/>
              <w:rPr>
                <w:rFonts w:ascii="Calibri" w:hAnsi="Calibri"/>
                <w:sz w:val="22"/>
              </w:rPr>
            </w:pPr>
            <w:r w:rsidRPr="001F714C">
              <w:rPr>
                <w:rFonts w:ascii="Calibri" w:hAnsi="Calibri"/>
                <w:sz w:val="22"/>
              </w:rPr>
              <w:t>20% of total</w:t>
            </w:r>
          </w:p>
        </w:tc>
      </w:tr>
    </w:tbl>
    <w:p w:rsidR="00FF43F5" w:rsidRDefault="00FF43F5">
      <w:pPr>
        <w:rPr>
          <w:b/>
        </w:rPr>
      </w:pP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4E44E2" w:rsidP="00F06866" w:rsidRDefault="004E44E2">
      <w:pPr>
        <w:rPr>
          <w:b/>
        </w:rPr>
      </w:pP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proofErr w:type="gramStart"/>
      <w:r w:rsidR="004E44E2">
        <w:t>X</w:t>
      </w:r>
      <w:r>
        <w:t xml:space="preserve"> ]</w:t>
      </w:r>
      <w:proofErr w:type="gramEnd"/>
      <w:r>
        <w:t xml:space="preserve"> No</w:t>
      </w:r>
    </w:p>
    <w:p w:rsidR="00636621" w:rsidP="00636621" w:rsidRDefault="00636621">
      <w:pPr>
        <w:pStyle w:val="ListParagraph"/>
      </w:pPr>
    </w:p>
    <w:p w:rsidR="00636621" w:rsidP="001B0AAA" w:rsidRDefault="00636621">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A403BB" w:rsidRDefault="004E44E2">
      <w:r>
        <w:t xml:space="preserve">The focus groups will include workers </w:t>
      </w:r>
      <w:r w:rsidR="00085A57">
        <w:t xml:space="preserve">and employers </w:t>
      </w:r>
      <w:r>
        <w:t xml:space="preserve">from </w:t>
      </w:r>
      <w:r w:rsidR="00085A57">
        <w:t xml:space="preserve">the </w:t>
      </w:r>
      <w:r>
        <w:t xml:space="preserve">retail industry. The contractor will reach out to employers and employees </w:t>
      </w:r>
      <w:r w:rsidR="00085A57">
        <w:t>to recruit them for focus group participation</w:t>
      </w:r>
      <w:r w:rsidR="002B656C">
        <w:t>. I</w:t>
      </w:r>
      <w:r>
        <w:t>ndividuals who would like to voluntee</w:t>
      </w:r>
      <w:r w:rsidR="008D1F90">
        <w:t xml:space="preserve">r would be selected based on the eligibility criteria of the focus group (age group and occupation). The focus group will have </w:t>
      </w:r>
      <w:proofErr w:type="gramStart"/>
      <w:r w:rsidR="008D1F90">
        <w:t>a number of</w:t>
      </w:r>
      <w:proofErr w:type="gramEnd"/>
      <w:r w:rsidR="008D1F90">
        <w:t xml:space="preserve"> female workers that represent the female proportion of the worker population in</w:t>
      </w:r>
      <w:r w:rsidR="002B656C">
        <w:t xml:space="preserve"> the</w:t>
      </w:r>
      <w:r w:rsidR="008D1F90">
        <w:t xml:space="preserve"> retail sector. </w:t>
      </w:r>
      <w:r w:rsidR="002B656C">
        <w:t>The contractor will recruit potential participants from pre-existing lists of personnel; therefore, no new personally identifiable information (PII) will be collected.</w:t>
      </w:r>
    </w:p>
    <w:p w:rsidR="00A403BB" w:rsidP="00A403BB" w:rsidRDefault="00A403BB"/>
    <w:p w:rsidR="00A403BB" w:rsidP="00A403BB" w:rsidRDefault="00A403BB"/>
    <w:p w:rsidR="00A403BB" w:rsidP="00A403BB" w:rsidRDefault="00A403BB"/>
    <w:p w:rsidR="00A403BB" w:rsidP="00A403BB" w:rsidRDefault="00A403BB"/>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proofErr w:type="gramStart"/>
      <w:r>
        <w:t xml:space="preserve">[ </w:t>
      </w:r>
      <w:r w:rsidR="001B0AAA">
        <w:t xml:space="preserve"> </w:t>
      </w:r>
      <w:r>
        <w:t>]</w:t>
      </w:r>
      <w:proofErr w:type="gramEnd"/>
      <w:r>
        <w:t xml:space="preserve"> Web-based</w:t>
      </w:r>
      <w:r w:rsidR="001B0AAA">
        <w:t xml:space="preserve"> or other forms of Social Media </w:t>
      </w:r>
    </w:p>
    <w:p w:rsidR="001B0AAA" w:rsidP="001B0AAA" w:rsidRDefault="00A403BB">
      <w:pPr>
        <w:ind w:left="720"/>
      </w:pPr>
      <w:proofErr w:type="gramStart"/>
      <w:r>
        <w:t xml:space="preserve">[ </w:t>
      </w:r>
      <w:r w:rsidR="001B0AAA">
        <w:t xml:space="preserve"> </w:t>
      </w:r>
      <w:r>
        <w:t>]</w:t>
      </w:r>
      <w:proofErr w:type="gramEnd"/>
      <w:r>
        <w:t xml:space="preserve"> Telephone</w:t>
      </w:r>
      <w:r>
        <w:tab/>
      </w:r>
    </w:p>
    <w:p w:rsidR="001B0AAA" w:rsidP="001B0AAA" w:rsidRDefault="00A403BB">
      <w:pPr>
        <w:ind w:left="720"/>
      </w:pPr>
      <w:r>
        <w:t>[</w:t>
      </w:r>
      <w:proofErr w:type="gramStart"/>
      <w:r w:rsidR="00BA4545">
        <w:t>X</w:t>
      </w:r>
      <w:r w:rsidR="001B0AAA">
        <w:t xml:space="preserve"> </w:t>
      </w:r>
      <w:r>
        <w:t xml:space="preserve"> ]</w:t>
      </w:r>
      <w:proofErr w:type="gramEnd"/>
      <w:r>
        <w:t xml:space="preserve"> In-person</w:t>
      </w:r>
      <w:r>
        <w:tab/>
      </w:r>
    </w:p>
    <w:p w:rsidR="001B0AAA" w:rsidP="001B0AAA" w:rsidRDefault="00A403BB">
      <w:pPr>
        <w:ind w:left="720"/>
      </w:pPr>
      <w:proofErr w:type="gramStart"/>
      <w:r>
        <w:lastRenderedPageBreak/>
        <w:t xml:space="preserve">[ </w:t>
      </w:r>
      <w:r w:rsidR="001B0AAA">
        <w:t xml:space="preserve"> </w:t>
      </w:r>
      <w:r>
        <w:t>]</w:t>
      </w:r>
      <w:proofErr w:type="gramEnd"/>
      <w:r>
        <w:t xml:space="preserve"> Mail</w:t>
      </w:r>
      <w:r w:rsidR="001B0AAA">
        <w:t xml:space="preserve"> </w:t>
      </w:r>
    </w:p>
    <w:p w:rsidR="001B0AAA" w:rsidP="001B0AAA" w:rsidRDefault="00A403BB">
      <w:pPr>
        <w:ind w:left="720"/>
      </w:pPr>
      <w:proofErr w:type="gramStart"/>
      <w:r>
        <w:t xml:space="preserve">[ </w:t>
      </w:r>
      <w:r w:rsidR="001B0AAA">
        <w:t xml:space="preserve"> </w:t>
      </w:r>
      <w:r>
        <w:t>]</w:t>
      </w:r>
      <w:proofErr w:type="gramEnd"/>
      <w:r>
        <w:t xml:space="preserve"> Other, Explain</w:t>
      </w:r>
    </w:p>
    <w:p w:rsidR="00F24CFC" w:rsidP="00F24CFC" w:rsidRDefault="00F24CFC">
      <w:pPr>
        <w:pStyle w:val="ListParagraph"/>
        <w:numPr>
          <w:ilvl w:val="0"/>
          <w:numId w:val="17"/>
        </w:numPr>
      </w:pPr>
      <w:r>
        <w:t>Will interviewers or facilitators be used?  [</w:t>
      </w:r>
      <w:proofErr w:type="gramStart"/>
      <w:r w:rsidR="00BA4545">
        <w:t>X</w:t>
      </w:r>
      <w:r>
        <w:t xml:space="preserve">  ]</w:t>
      </w:r>
      <w:proofErr w:type="gramEnd"/>
      <w:r>
        <w:t xml:space="preserve"> Yes [  ]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7F7080">
      <w:pPr>
        <w:rPr>
          <w:b/>
        </w:rPr>
      </w:pPr>
      <w:r>
        <w:rPr>
          <w:b/>
          <w:noProof/>
        </w:rPr>
        <w:pict>
          <v:line id="_x0000_s1028" style="position:absolute;z-index:251658240" o:allowincell="f" strokeweight="1.5pt" from="0,0" to="468pt,0"/>
        </w:pic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proofErr w:type="gramStart"/>
      <w:r w:rsidR="00CF6542">
        <w:t>period of time</w:t>
      </w:r>
      <w:proofErr w:type="gramEnd"/>
      <w:r w:rsidR="00CF6542">
        <w:t xml:space="preserv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F24CFC" w:rsidR="00F24CFC" w:rsidP="00F24CFC" w:rsidRDefault="00CF6542">
      <w:pPr>
        <w:rPr>
          <w:b/>
        </w:rPr>
      </w:pPr>
      <w:r>
        <w:rPr>
          <w:b/>
        </w:rPr>
        <w:t xml:space="preserve">Submit </w:t>
      </w:r>
      <w:r w:rsidRPr="00F24CFC" w:rsidR="00F24CFC">
        <w:rPr>
          <w:b/>
        </w:rPr>
        <w:t>all instruments, instructions, and scripts are submitted with the request.</w:t>
      </w:r>
    </w:p>
    <w:p w:rsidR="005E714A" w:rsidP="00F24CFC" w:rsidRDefault="005E714A">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53A" w:rsidRDefault="00CC253A">
      <w:r>
        <w:separator/>
      </w:r>
    </w:p>
  </w:endnote>
  <w:endnote w:type="continuationSeparator" w:id="0">
    <w:p w:rsidR="00CC253A" w:rsidRDefault="00CC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0425D">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53A" w:rsidRDefault="00CC253A">
      <w:r>
        <w:separator/>
      </w:r>
    </w:p>
  </w:footnote>
  <w:footnote w:type="continuationSeparator" w:id="0">
    <w:p w:rsidR="00CC253A" w:rsidRDefault="00CC2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0C461A"/>
    <w:multiLevelType w:val="hybridMultilevel"/>
    <w:tmpl w:val="36BC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27564"/>
    <w:rsid w:val="00047A64"/>
    <w:rsid w:val="00067329"/>
    <w:rsid w:val="00085A57"/>
    <w:rsid w:val="000B2838"/>
    <w:rsid w:val="000D44CA"/>
    <w:rsid w:val="000E200B"/>
    <w:rsid w:val="000F68BE"/>
    <w:rsid w:val="00164069"/>
    <w:rsid w:val="00174715"/>
    <w:rsid w:val="001927A4"/>
    <w:rsid w:val="00194AC6"/>
    <w:rsid w:val="001A23B0"/>
    <w:rsid w:val="001A25CC"/>
    <w:rsid w:val="001B0AAA"/>
    <w:rsid w:val="001C39F7"/>
    <w:rsid w:val="001F714C"/>
    <w:rsid w:val="00237B48"/>
    <w:rsid w:val="0024521E"/>
    <w:rsid w:val="00263C3D"/>
    <w:rsid w:val="00274D0B"/>
    <w:rsid w:val="002B052D"/>
    <w:rsid w:val="002B34CD"/>
    <w:rsid w:val="002B3C95"/>
    <w:rsid w:val="002B656C"/>
    <w:rsid w:val="002B6E8E"/>
    <w:rsid w:val="002D0B92"/>
    <w:rsid w:val="003053A1"/>
    <w:rsid w:val="00305DB0"/>
    <w:rsid w:val="003457AD"/>
    <w:rsid w:val="00366C1D"/>
    <w:rsid w:val="003B1453"/>
    <w:rsid w:val="003B2CD8"/>
    <w:rsid w:val="003B5CC1"/>
    <w:rsid w:val="003D5BBE"/>
    <w:rsid w:val="003E3C61"/>
    <w:rsid w:val="003F1C5B"/>
    <w:rsid w:val="00434E33"/>
    <w:rsid w:val="00441434"/>
    <w:rsid w:val="0045264C"/>
    <w:rsid w:val="004728B9"/>
    <w:rsid w:val="004876EC"/>
    <w:rsid w:val="004D1C2C"/>
    <w:rsid w:val="004D6E14"/>
    <w:rsid w:val="004E44E2"/>
    <w:rsid w:val="005009B0"/>
    <w:rsid w:val="00531540"/>
    <w:rsid w:val="00555972"/>
    <w:rsid w:val="005A1006"/>
    <w:rsid w:val="005E714A"/>
    <w:rsid w:val="005F693D"/>
    <w:rsid w:val="0060425D"/>
    <w:rsid w:val="006140A0"/>
    <w:rsid w:val="00636621"/>
    <w:rsid w:val="00642B49"/>
    <w:rsid w:val="0065328A"/>
    <w:rsid w:val="006832D9"/>
    <w:rsid w:val="0069403B"/>
    <w:rsid w:val="006F3DDE"/>
    <w:rsid w:val="00704678"/>
    <w:rsid w:val="007425E7"/>
    <w:rsid w:val="0077162B"/>
    <w:rsid w:val="007B2C9E"/>
    <w:rsid w:val="007F7080"/>
    <w:rsid w:val="00802607"/>
    <w:rsid w:val="008101A5"/>
    <w:rsid w:val="00822664"/>
    <w:rsid w:val="00843796"/>
    <w:rsid w:val="00895229"/>
    <w:rsid w:val="008B2EB3"/>
    <w:rsid w:val="008D1F90"/>
    <w:rsid w:val="008E77E0"/>
    <w:rsid w:val="008F0203"/>
    <w:rsid w:val="008F50D4"/>
    <w:rsid w:val="009239AA"/>
    <w:rsid w:val="00935ADA"/>
    <w:rsid w:val="00946B6C"/>
    <w:rsid w:val="0095449E"/>
    <w:rsid w:val="00955A71"/>
    <w:rsid w:val="0096108F"/>
    <w:rsid w:val="0098369E"/>
    <w:rsid w:val="009B2B14"/>
    <w:rsid w:val="009C13B9"/>
    <w:rsid w:val="009D01A2"/>
    <w:rsid w:val="009F5923"/>
    <w:rsid w:val="00A403BB"/>
    <w:rsid w:val="00A674DF"/>
    <w:rsid w:val="00A730BA"/>
    <w:rsid w:val="00A83AA6"/>
    <w:rsid w:val="00A934D6"/>
    <w:rsid w:val="00AE1809"/>
    <w:rsid w:val="00B107AC"/>
    <w:rsid w:val="00B24074"/>
    <w:rsid w:val="00B80D76"/>
    <w:rsid w:val="00BA2105"/>
    <w:rsid w:val="00BA4545"/>
    <w:rsid w:val="00BA7E06"/>
    <w:rsid w:val="00BB43B5"/>
    <w:rsid w:val="00BB6219"/>
    <w:rsid w:val="00BD290F"/>
    <w:rsid w:val="00BF5DF5"/>
    <w:rsid w:val="00C0253C"/>
    <w:rsid w:val="00C14CC4"/>
    <w:rsid w:val="00C33C52"/>
    <w:rsid w:val="00C3783C"/>
    <w:rsid w:val="00C40D8B"/>
    <w:rsid w:val="00C8407A"/>
    <w:rsid w:val="00C8488C"/>
    <w:rsid w:val="00C86E91"/>
    <w:rsid w:val="00C96DBB"/>
    <w:rsid w:val="00CA2650"/>
    <w:rsid w:val="00CB1078"/>
    <w:rsid w:val="00CC253A"/>
    <w:rsid w:val="00CC6FAF"/>
    <w:rsid w:val="00CF6542"/>
    <w:rsid w:val="00CF67E5"/>
    <w:rsid w:val="00D23AAF"/>
    <w:rsid w:val="00D24698"/>
    <w:rsid w:val="00D6383F"/>
    <w:rsid w:val="00DB59D0"/>
    <w:rsid w:val="00DC33D3"/>
    <w:rsid w:val="00E26329"/>
    <w:rsid w:val="00E40B50"/>
    <w:rsid w:val="00E50293"/>
    <w:rsid w:val="00E65FFC"/>
    <w:rsid w:val="00E744EA"/>
    <w:rsid w:val="00E80951"/>
    <w:rsid w:val="00E86CC6"/>
    <w:rsid w:val="00EB56B3"/>
    <w:rsid w:val="00ED6492"/>
    <w:rsid w:val="00EF0F28"/>
    <w:rsid w:val="00EF2095"/>
    <w:rsid w:val="00EF542C"/>
    <w:rsid w:val="00F06866"/>
    <w:rsid w:val="00F15956"/>
    <w:rsid w:val="00F24CFC"/>
    <w:rsid w:val="00F3170F"/>
    <w:rsid w:val="00F346C5"/>
    <w:rsid w:val="00F976B0"/>
    <w:rsid w:val="00FA6DE7"/>
    <w:rsid w:val="00FC0A8E"/>
    <w:rsid w:val="00FE2FA6"/>
    <w:rsid w:val="00FE3DF2"/>
    <w:rsid w:val="00FF4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A0F5FFC-3C8C-4A37-B139-0A339074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883E2-6947-499A-B4F5-F77BE4E3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Sims, Thelma (CDC/DDPHSS/OS/OSI)</cp:lastModifiedBy>
  <cp:revision>2</cp:revision>
  <cp:lastPrinted>2010-10-04T15:59:00Z</cp:lastPrinted>
  <dcterms:created xsi:type="dcterms:W3CDTF">2020-03-12T15:36:00Z</dcterms:created>
  <dcterms:modified xsi:type="dcterms:W3CDTF">2020-03-12T15:36:00Z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