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8F908" w14:textId="35268AA0" w:rsidR="0054255A" w:rsidRDefault="0054255A">
      <w:pPr>
        <w:rPr>
          <w:b/>
        </w:rPr>
      </w:pPr>
      <w:bookmarkStart w:id="0" w:name="_GoBack"/>
      <w:bookmarkEnd w:id="0"/>
    </w:p>
    <w:p w14:paraId="5D3454B7" w14:textId="5D2C99C1" w:rsidR="00450E13" w:rsidRPr="001A7365" w:rsidRDefault="00450E13" w:rsidP="001A7365">
      <w:pPr>
        <w:pBdr>
          <w:top w:val="nil"/>
          <w:left w:val="nil"/>
          <w:bottom w:val="nil"/>
          <w:right w:val="nil"/>
          <w:between w:val="nil"/>
        </w:pBdr>
        <w:spacing w:after="0" w:line="420" w:lineRule="auto"/>
        <w:jc w:val="center"/>
        <w:rPr>
          <w:rFonts w:ascii="Arial" w:hAnsi="Arial"/>
          <w:color w:val="000000"/>
        </w:rPr>
      </w:pPr>
      <w:r w:rsidRPr="001A7365">
        <w:rPr>
          <w:rFonts w:ascii="Arial" w:hAnsi="Arial"/>
          <w:b/>
          <w:color w:val="000000"/>
          <w:sz w:val="40"/>
        </w:rPr>
        <w:t>Youth Empowerment Information, Data Collection, and Exploration on Avoidance of Sex (IDEAS)—Pre-Test</w:t>
      </w:r>
    </w:p>
    <w:p w14:paraId="62DEA0B8" w14:textId="6532DF5F" w:rsidR="0054255A" w:rsidRPr="001A7365" w:rsidRDefault="0054255A" w:rsidP="001A7365">
      <w:pPr>
        <w:pBdr>
          <w:top w:val="nil"/>
          <w:left w:val="nil"/>
          <w:bottom w:val="nil"/>
          <w:right w:val="nil"/>
          <w:between w:val="nil"/>
        </w:pBdr>
        <w:spacing w:after="0" w:line="420" w:lineRule="auto"/>
        <w:jc w:val="center"/>
        <w:rPr>
          <w:rFonts w:ascii="Arial" w:hAnsi="Arial"/>
          <w:color w:val="000000"/>
        </w:rPr>
      </w:pPr>
      <w:r w:rsidRPr="001A7365">
        <w:rPr>
          <w:rFonts w:ascii="Arial" w:hAnsi="Arial"/>
          <w:b/>
          <w:color w:val="000000"/>
          <w:sz w:val="40"/>
        </w:rPr>
        <w:t xml:space="preserve"> </w:t>
      </w:r>
    </w:p>
    <w:p w14:paraId="11C893CE" w14:textId="77777777" w:rsidR="0054255A" w:rsidRPr="001A7365" w:rsidRDefault="0054255A" w:rsidP="001A7365">
      <w:pPr>
        <w:pBdr>
          <w:top w:val="nil"/>
          <w:left w:val="nil"/>
          <w:bottom w:val="nil"/>
          <w:right w:val="nil"/>
          <w:between w:val="nil"/>
        </w:pBdr>
        <w:spacing w:after="0" w:line="420" w:lineRule="auto"/>
        <w:rPr>
          <w:rFonts w:ascii="Arial" w:hAnsi="Arial"/>
          <w:color w:val="000000"/>
        </w:rPr>
      </w:pPr>
    </w:p>
    <w:p w14:paraId="56DAFAF6" w14:textId="77777777" w:rsidR="0054255A" w:rsidRPr="001A7365" w:rsidRDefault="0054255A" w:rsidP="001A7365">
      <w:pPr>
        <w:pBdr>
          <w:top w:val="nil"/>
          <w:left w:val="nil"/>
          <w:bottom w:val="nil"/>
          <w:right w:val="nil"/>
          <w:between w:val="nil"/>
        </w:pBdr>
        <w:spacing w:after="0" w:line="420" w:lineRule="auto"/>
        <w:rPr>
          <w:rFonts w:ascii="Arial" w:hAnsi="Arial"/>
          <w:color w:val="000000"/>
        </w:rPr>
      </w:pPr>
    </w:p>
    <w:p w14:paraId="29DA80E4" w14:textId="77777777" w:rsidR="0054255A" w:rsidRPr="001A7365" w:rsidRDefault="0054255A" w:rsidP="001A7365">
      <w:pPr>
        <w:pBdr>
          <w:top w:val="nil"/>
          <w:left w:val="nil"/>
          <w:bottom w:val="nil"/>
          <w:right w:val="nil"/>
          <w:between w:val="nil"/>
        </w:pBdr>
        <w:spacing w:after="0" w:line="420" w:lineRule="auto"/>
        <w:jc w:val="center"/>
        <w:rPr>
          <w:rFonts w:ascii="Arial" w:hAnsi="Arial"/>
          <w:color w:val="000000"/>
          <w:sz w:val="32"/>
        </w:rPr>
      </w:pPr>
      <w:r w:rsidRPr="001A7365">
        <w:rPr>
          <w:rFonts w:ascii="Arial" w:hAnsi="Arial"/>
          <w:b/>
          <w:color w:val="000000"/>
          <w:sz w:val="32"/>
        </w:rPr>
        <w:t>OMB Information Collection Request</w:t>
      </w:r>
    </w:p>
    <w:p w14:paraId="3E8F7648" w14:textId="57B27156" w:rsidR="0054255A" w:rsidRPr="001A7365" w:rsidRDefault="0054255A" w:rsidP="001A7365">
      <w:pPr>
        <w:pBdr>
          <w:top w:val="nil"/>
          <w:left w:val="nil"/>
          <w:bottom w:val="nil"/>
          <w:right w:val="nil"/>
          <w:between w:val="nil"/>
        </w:pBdr>
        <w:spacing w:after="0" w:line="420" w:lineRule="auto"/>
        <w:jc w:val="center"/>
        <w:rPr>
          <w:rFonts w:ascii="Arial" w:hAnsi="Arial"/>
          <w:color w:val="000000"/>
          <w:sz w:val="32"/>
        </w:rPr>
      </w:pPr>
      <w:r w:rsidRPr="001A7365">
        <w:rPr>
          <w:rFonts w:ascii="Arial" w:hAnsi="Arial"/>
          <w:b/>
          <w:color w:val="000000"/>
          <w:sz w:val="32"/>
        </w:rPr>
        <w:t xml:space="preserve">0970 - </w:t>
      </w:r>
      <w:r w:rsidR="00450E13" w:rsidRPr="001A7365">
        <w:rPr>
          <w:rFonts w:ascii="Arial" w:hAnsi="Arial"/>
          <w:b/>
          <w:color w:val="000000"/>
          <w:sz w:val="32"/>
        </w:rPr>
        <w:t>0355</w:t>
      </w:r>
    </w:p>
    <w:p w14:paraId="073B8B22" w14:textId="77777777" w:rsidR="0054255A" w:rsidRPr="0066719C" w:rsidRDefault="0054255A" w:rsidP="0066719C">
      <w:pPr>
        <w:pBdr>
          <w:top w:val="nil"/>
          <w:left w:val="nil"/>
          <w:bottom w:val="nil"/>
          <w:right w:val="nil"/>
          <w:between w:val="nil"/>
        </w:pBdr>
        <w:spacing w:after="840" w:line="260" w:lineRule="auto"/>
        <w:rPr>
          <w:rFonts w:ascii="Arial" w:hAnsi="Arial"/>
          <w:color w:val="000000"/>
        </w:rPr>
      </w:pPr>
    </w:p>
    <w:p w14:paraId="12554403" w14:textId="77777777" w:rsidR="0054255A" w:rsidRPr="001A7365" w:rsidRDefault="0054255A" w:rsidP="001A7365">
      <w:pPr>
        <w:pBdr>
          <w:top w:val="nil"/>
          <w:left w:val="nil"/>
          <w:bottom w:val="nil"/>
          <w:right w:val="nil"/>
          <w:between w:val="nil"/>
        </w:pBdr>
        <w:spacing w:after="360" w:line="240" w:lineRule="auto"/>
        <w:jc w:val="center"/>
        <w:rPr>
          <w:rFonts w:ascii="Arial" w:hAnsi="Arial"/>
          <w:color w:val="000000"/>
          <w:sz w:val="48"/>
        </w:rPr>
      </w:pPr>
      <w:r w:rsidRPr="001A7365">
        <w:rPr>
          <w:rFonts w:ascii="Arial" w:hAnsi="Arial"/>
          <w:b/>
          <w:color w:val="000000"/>
          <w:sz w:val="48"/>
        </w:rPr>
        <w:t>Supporting Statement</w:t>
      </w:r>
    </w:p>
    <w:p w14:paraId="6C1EE474" w14:textId="77777777" w:rsidR="0054255A" w:rsidRPr="001A7365" w:rsidRDefault="0054255A" w:rsidP="001A7365">
      <w:pPr>
        <w:pBdr>
          <w:top w:val="nil"/>
          <w:left w:val="nil"/>
          <w:bottom w:val="nil"/>
          <w:right w:val="nil"/>
          <w:between w:val="nil"/>
        </w:pBdr>
        <w:spacing w:after="360" w:line="240" w:lineRule="auto"/>
        <w:jc w:val="center"/>
        <w:rPr>
          <w:rFonts w:ascii="Arial" w:hAnsi="Arial"/>
          <w:color w:val="000000"/>
          <w:sz w:val="48"/>
        </w:rPr>
      </w:pPr>
      <w:r w:rsidRPr="001A7365">
        <w:rPr>
          <w:rFonts w:ascii="Arial" w:hAnsi="Arial"/>
          <w:b/>
          <w:color w:val="000000"/>
          <w:sz w:val="48"/>
        </w:rPr>
        <w:t>Part A</w:t>
      </w:r>
    </w:p>
    <w:p w14:paraId="782F2D46" w14:textId="4CB94863" w:rsidR="0054255A" w:rsidRPr="001A7365" w:rsidRDefault="00450E13" w:rsidP="001A7365">
      <w:pPr>
        <w:pBdr>
          <w:top w:val="nil"/>
          <w:left w:val="nil"/>
          <w:bottom w:val="nil"/>
          <w:right w:val="nil"/>
          <w:between w:val="nil"/>
        </w:pBdr>
        <w:spacing w:after="840" w:line="260" w:lineRule="auto"/>
        <w:jc w:val="center"/>
        <w:rPr>
          <w:rFonts w:ascii="Arial" w:hAnsi="Arial"/>
          <w:color w:val="000000"/>
        </w:rPr>
      </w:pPr>
      <w:r w:rsidRPr="001A7365">
        <w:rPr>
          <w:rFonts w:ascii="Arial" w:hAnsi="Arial"/>
          <w:b/>
          <w:color w:val="000000"/>
          <w:sz w:val="24"/>
        </w:rPr>
        <w:t>June 2019</w:t>
      </w:r>
    </w:p>
    <w:p w14:paraId="44E8CF70" w14:textId="77777777" w:rsidR="0054255A" w:rsidRPr="00B13297" w:rsidRDefault="0054255A" w:rsidP="00B13297">
      <w:pPr>
        <w:spacing w:after="0" w:line="240" w:lineRule="auto"/>
        <w:jc w:val="center"/>
        <w:rPr>
          <w:rFonts w:ascii="Arial" w:hAnsi="Arial" w:cs="Arial"/>
        </w:rPr>
      </w:pPr>
    </w:p>
    <w:p w14:paraId="326AE304" w14:textId="77777777" w:rsidR="0054255A" w:rsidRPr="00B13297" w:rsidRDefault="0054255A" w:rsidP="00B13297">
      <w:pPr>
        <w:spacing w:after="0" w:line="240" w:lineRule="auto"/>
        <w:jc w:val="center"/>
        <w:rPr>
          <w:rFonts w:ascii="Arial" w:hAnsi="Arial" w:cs="Arial"/>
        </w:rPr>
      </w:pPr>
      <w:r w:rsidRPr="00B13297">
        <w:rPr>
          <w:rFonts w:ascii="Arial" w:hAnsi="Arial" w:cs="Arial"/>
        </w:rPr>
        <w:t>Submitted By:</w:t>
      </w:r>
    </w:p>
    <w:p w14:paraId="4993D670" w14:textId="28A31F23" w:rsidR="0054255A" w:rsidRPr="00B13297" w:rsidRDefault="0054255A" w:rsidP="00B13297">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14:paraId="47965330" w14:textId="77777777" w:rsidR="0054255A" w:rsidRPr="00B13297" w:rsidRDefault="0054255A" w:rsidP="00B13297">
      <w:pPr>
        <w:spacing w:after="0" w:line="240" w:lineRule="auto"/>
        <w:jc w:val="center"/>
        <w:rPr>
          <w:rFonts w:ascii="Arial" w:hAnsi="Arial" w:cs="Arial"/>
        </w:rPr>
      </w:pPr>
      <w:r w:rsidRPr="00B13297">
        <w:rPr>
          <w:rFonts w:ascii="Arial" w:hAnsi="Arial" w:cs="Arial"/>
        </w:rPr>
        <w:t xml:space="preserve">Administration for Children and Families </w:t>
      </w:r>
    </w:p>
    <w:p w14:paraId="6D0243BB" w14:textId="77777777" w:rsidR="0054255A" w:rsidRPr="00B13297" w:rsidRDefault="0054255A" w:rsidP="00B13297">
      <w:pPr>
        <w:spacing w:after="0" w:line="240" w:lineRule="auto"/>
        <w:jc w:val="center"/>
        <w:rPr>
          <w:rFonts w:ascii="Arial" w:hAnsi="Arial" w:cs="Arial"/>
        </w:rPr>
      </w:pPr>
      <w:r w:rsidRPr="00B13297">
        <w:rPr>
          <w:rFonts w:ascii="Arial" w:hAnsi="Arial" w:cs="Arial"/>
        </w:rPr>
        <w:t>U.S. Department of Health and Human Services</w:t>
      </w:r>
    </w:p>
    <w:p w14:paraId="0AED6156" w14:textId="77777777" w:rsidR="0054255A" w:rsidRPr="00B13297" w:rsidRDefault="0054255A" w:rsidP="00B13297">
      <w:pPr>
        <w:spacing w:after="0" w:line="240" w:lineRule="auto"/>
        <w:jc w:val="center"/>
        <w:rPr>
          <w:rFonts w:ascii="Arial" w:hAnsi="Arial" w:cs="Arial"/>
        </w:rPr>
      </w:pPr>
    </w:p>
    <w:p w14:paraId="4FBBD238" w14:textId="77777777" w:rsidR="0054255A" w:rsidRPr="00B13297" w:rsidRDefault="0054255A" w:rsidP="00B1329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14:paraId="737C8E19" w14:textId="77777777" w:rsidR="0054255A" w:rsidRPr="00B13297" w:rsidRDefault="0054255A" w:rsidP="00B13297">
      <w:pPr>
        <w:spacing w:after="0" w:line="240" w:lineRule="auto"/>
        <w:jc w:val="center"/>
        <w:rPr>
          <w:rFonts w:ascii="Arial" w:hAnsi="Arial" w:cs="Arial"/>
        </w:rPr>
      </w:pPr>
      <w:r w:rsidRPr="00B13297">
        <w:rPr>
          <w:rFonts w:ascii="Arial" w:hAnsi="Arial" w:cs="Arial"/>
        </w:rPr>
        <w:t>330 C Street, SW</w:t>
      </w:r>
    </w:p>
    <w:p w14:paraId="0C645A88" w14:textId="77777777" w:rsidR="0054255A" w:rsidRPr="00B13297" w:rsidRDefault="0054255A" w:rsidP="00B13297">
      <w:pPr>
        <w:spacing w:after="0" w:line="240" w:lineRule="auto"/>
        <w:jc w:val="center"/>
        <w:rPr>
          <w:rFonts w:ascii="Arial" w:hAnsi="Arial" w:cs="Arial"/>
        </w:rPr>
      </w:pPr>
      <w:r w:rsidRPr="00B13297">
        <w:rPr>
          <w:rFonts w:ascii="Arial" w:hAnsi="Arial" w:cs="Arial"/>
        </w:rPr>
        <w:t>Washington, D.C. 20201</w:t>
      </w:r>
    </w:p>
    <w:p w14:paraId="00F1DA38" w14:textId="77777777" w:rsidR="0054255A" w:rsidRPr="00B13297" w:rsidRDefault="0054255A" w:rsidP="00B13297">
      <w:pPr>
        <w:spacing w:after="0" w:line="240" w:lineRule="auto"/>
        <w:jc w:val="center"/>
        <w:rPr>
          <w:rFonts w:ascii="Arial" w:hAnsi="Arial" w:cs="Arial"/>
        </w:rPr>
      </w:pPr>
    </w:p>
    <w:p w14:paraId="34D90E4D" w14:textId="2272C95D" w:rsidR="00AA5A4D" w:rsidRDefault="00454CD3" w:rsidP="001A7365">
      <w:pPr>
        <w:jc w:val="center"/>
        <w:rPr>
          <w:rFonts w:ascii="Arial" w:hAnsi="Arial" w:cs="Arial"/>
        </w:rPr>
      </w:pPr>
      <w:r>
        <w:rPr>
          <w:rFonts w:ascii="Arial" w:hAnsi="Arial" w:cs="Arial"/>
        </w:rPr>
        <w:t>Federal Project Officer</w:t>
      </w:r>
      <w:r w:rsidR="0054255A" w:rsidRPr="00B13297">
        <w:rPr>
          <w:rFonts w:ascii="Arial" w:hAnsi="Arial" w:cs="Arial"/>
        </w:rPr>
        <w:t>:</w:t>
      </w:r>
    </w:p>
    <w:p w14:paraId="0313461E" w14:textId="30130CD2" w:rsidR="0054255A" w:rsidRDefault="00AA5A4D" w:rsidP="00B13297">
      <w:pPr>
        <w:spacing w:after="0" w:line="240" w:lineRule="auto"/>
        <w:jc w:val="center"/>
        <w:rPr>
          <w:b/>
        </w:rPr>
      </w:pPr>
      <w:r>
        <w:rPr>
          <w:rFonts w:ascii="Arial" w:hAnsi="Arial" w:cs="Arial"/>
        </w:rPr>
        <w:t>Caryn Blitz</w:t>
      </w:r>
    </w:p>
    <w:p w14:paraId="07833600" w14:textId="3D220CCD" w:rsidR="0054255A" w:rsidRDefault="0054255A" w:rsidP="0066719C">
      <w:pPr>
        <w:rPr>
          <w:b/>
        </w:rPr>
      </w:pPr>
    </w:p>
    <w:p w14:paraId="36C08276" w14:textId="671DC8EB" w:rsidR="00624DDC" w:rsidRDefault="0068303E" w:rsidP="00624DDC">
      <w:pPr>
        <w:spacing w:after="0" w:line="240" w:lineRule="auto"/>
        <w:jc w:val="center"/>
        <w:rPr>
          <w:b/>
          <w:sz w:val="32"/>
          <w:szCs w:val="32"/>
        </w:rPr>
      </w:pPr>
      <w:r w:rsidRPr="00624DDC">
        <w:rPr>
          <w:b/>
          <w:sz w:val="32"/>
          <w:szCs w:val="32"/>
        </w:rPr>
        <w:t>Part A</w:t>
      </w:r>
    </w:p>
    <w:p w14:paraId="331767F9" w14:textId="77777777" w:rsidR="00624DDC" w:rsidRDefault="00624DDC" w:rsidP="00624DDC">
      <w:pPr>
        <w:spacing w:after="0" w:line="240" w:lineRule="auto"/>
        <w:jc w:val="center"/>
        <w:rPr>
          <w:b/>
        </w:rPr>
      </w:pPr>
    </w:p>
    <w:p w14:paraId="095FF910" w14:textId="77777777" w:rsidR="00026192" w:rsidRDefault="00026192" w:rsidP="000F1E4A">
      <w:pPr>
        <w:spacing w:after="0" w:line="240" w:lineRule="auto"/>
        <w:rPr>
          <w:b/>
          <w:u w:val="single"/>
        </w:rPr>
      </w:pPr>
    </w:p>
    <w:p w14:paraId="4CA5E0BD" w14:textId="77777777" w:rsidR="00026192" w:rsidRDefault="00026192" w:rsidP="000F1E4A">
      <w:pPr>
        <w:spacing w:after="0" w:line="240" w:lineRule="auto"/>
        <w:rPr>
          <w:b/>
          <w:u w:val="single"/>
        </w:rPr>
      </w:pPr>
    </w:p>
    <w:p w14:paraId="5E4659ED" w14:textId="4B12C786" w:rsidR="00840D32" w:rsidRPr="00026192" w:rsidRDefault="00840D32" w:rsidP="000F1E4A">
      <w:pPr>
        <w:spacing w:after="0" w:line="240" w:lineRule="auto"/>
        <w:rPr>
          <w:b/>
          <w:sz w:val="28"/>
        </w:rPr>
      </w:pPr>
      <w:r w:rsidRPr="00026192">
        <w:rPr>
          <w:b/>
          <w:sz w:val="28"/>
          <w:u w:val="single"/>
        </w:rPr>
        <w:t>Executive Summary</w:t>
      </w:r>
    </w:p>
    <w:p w14:paraId="5D7B325A" w14:textId="6F433416" w:rsidR="00B04785" w:rsidRDefault="00B04785" w:rsidP="000F1E4A">
      <w:pPr>
        <w:spacing w:after="0" w:line="240" w:lineRule="auto"/>
        <w:rPr>
          <w:b/>
        </w:rPr>
      </w:pPr>
    </w:p>
    <w:p w14:paraId="00321FF0" w14:textId="06CB4FF9" w:rsidR="00B04785" w:rsidRPr="00454CD3" w:rsidRDefault="00B04785" w:rsidP="001A7365">
      <w:pPr>
        <w:numPr>
          <w:ilvl w:val="0"/>
          <w:numId w:val="44"/>
        </w:numPr>
        <w:pBdr>
          <w:top w:val="nil"/>
          <w:left w:val="nil"/>
          <w:bottom w:val="nil"/>
          <w:right w:val="nil"/>
          <w:between w:val="nil"/>
        </w:pBdr>
        <w:spacing w:after="0" w:line="240" w:lineRule="auto"/>
        <w:rPr>
          <w:rFonts w:cstheme="minorHAnsi"/>
        </w:rPr>
      </w:pPr>
      <w:r w:rsidRPr="001A7365">
        <w:rPr>
          <w:b/>
          <w:color w:val="000000"/>
        </w:rPr>
        <w:t xml:space="preserve">Type of Request: </w:t>
      </w:r>
      <w:r w:rsidRPr="001A7365">
        <w:rPr>
          <w:color w:val="000000"/>
        </w:rPr>
        <w:t>This Informati</w:t>
      </w:r>
      <w:r w:rsidR="00450E13" w:rsidRPr="001A7365">
        <w:rPr>
          <w:color w:val="000000"/>
        </w:rPr>
        <w:t>on Collection Request is for a Generic Information Collection</w:t>
      </w:r>
      <w:r w:rsidR="00FD1073" w:rsidRPr="0066719C">
        <w:rPr>
          <w:rFonts w:ascii="Calibri" w:hAnsi="Calibri"/>
          <w:color w:val="000000"/>
        </w:rPr>
        <w:t xml:space="preserve"> </w:t>
      </w:r>
      <w:r w:rsidR="00454CD3" w:rsidRPr="00454CD3">
        <w:rPr>
          <w:rFonts w:cstheme="minorHAnsi"/>
        </w:rPr>
        <w:t xml:space="preserve">under the </w:t>
      </w:r>
      <w:r w:rsidR="00FD1073">
        <w:rPr>
          <w:rFonts w:cstheme="minorHAnsi"/>
        </w:rPr>
        <w:t>OPRE’s G</w:t>
      </w:r>
      <w:r w:rsidR="00454CD3" w:rsidRPr="00454CD3">
        <w:rPr>
          <w:rFonts w:cstheme="minorHAnsi"/>
        </w:rPr>
        <w:t>eneric</w:t>
      </w:r>
      <w:r w:rsidR="00FD1073">
        <w:rPr>
          <w:rFonts w:cstheme="minorHAnsi"/>
        </w:rPr>
        <w:t xml:space="preserve"> Clearance</w:t>
      </w:r>
      <w:r w:rsidR="00454CD3" w:rsidRPr="00454CD3">
        <w:rPr>
          <w:rFonts w:cstheme="minorHAnsi"/>
        </w:rPr>
        <w:t xml:space="preserve"> for </w:t>
      </w:r>
      <w:r w:rsidR="00454CD3" w:rsidRPr="00454CD3">
        <w:rPr>
          <w:rFonts w:eastAsia="Arial Unicode MS" w:cstheme="minorHAnsi"/>
          <w:noProof/>
        </w:rPr>
        <w:t>Pre-testing of Evaluation Data Collection Activities (0970-0355)</w:t>
      </w:r>
      <w:r w:rsidR="003C780F">
        <w:rPr>
          <w:color w:val="000000"/>
        </w:rPr>
        <w:t>.</w:t>
      </w:r>
    </w:p>
    <w:p w14:paraId="4084A1D1" w14:textId="3CC14128" w:rsidR="00C53AEC" w:rsidRPr="001A7365" w:rsidRDefault="00C53AEC" w:rsidP="00906F6A">
      <w:pPr>
        <w:spacing w:after="0" w:line="240" w:lineRule="auto"/>
      </w:pPr>
    </w:p>
    <w:p w14:paraId="326F835E" w14:textId="448C3280" w:rsidR="002F4F4F" w:rsidRPr="0066719C" w:rsidRDefault="00C53AEC" w:rsidP="002F4F4F">
      <w:pPr>
        <w:numPr>
          <w:ilvl w:val="0"/>
          <w:numId w:val="44"/>
        </w:numPr>
        <w:pBdr>
          <w:top w:val="nil"/>
          <w:left w:val="nil"/>
          <w:bottom w:val="nil"/>
          <w:right w:val="nil"/>
          <w:between w:val="nil"/>
        </w:pBdr>
        <w:spacing w:after="0" w:line="240" w:lineRule="auto"/>
        <w:rPr>
          <w:color w:val="000000"/>
        </w:rPr>
      </w:pPr>
      <w:r w:rsidRPr="001A7365">
        <w:rPr>
          <w:b/>
          <w:color w:val="000000"/>
        </w:rPr>
        <w:t>Description of Request:</w:t>
      </w:r>
      <w:r w:rsidR="002F4F4F" w:rsidRPr="0066719C">
        <w:t xml:space="preserve"> </w:t>
      </w:r>
      <w:r w:rsidR="00FD1073">
        <w:rPr>
          <w:color w:val="000000"/>
        </w:rPr>
        <w:t xml:space="preserve">ACF has </w:t>
      </w:r>
      <w:r w:rsidR="001447F4">
        <w:rPr>
          <w:color w:val="000000"/>
        </w:rPr>
        <w:t>designed</w:t>
      </w:r>
      <w:r w:rsidR="00FD1073">
        <w:rPr>
          <w:color w:val="000000"/>
        </w:rPr>
        <w:t xml:space="preserve"> the</w:t>
      </w:r>
      <w:r w:rsidR="002F4F4F" w:rsidRPr="002F4F4F">
        <w:rPr>
          <w:color w:val="000000"/>
        </w:rPr>
        <w:t xml:space="preserve"> Youth Empowerment Information, Data Collection, and Exploration on A</w:t>
      </w:r>
      <w:r w:rsidR="00FD1073">
        <w:rPr>
          <w:color w:val="000000"/>
        </w:rPr>
        <w:t xml:space="preserve">voidance of Sex (IDEAS) project as a </w:t>
      </w:r>
      <w:r w:rsidR="004064D1">
        <w:rPr>
          <w:color w:val="000000"/>
        </w:rPr>
        <w:t>national</w:t>
      </w:r>
      <w:r w:rsidR="002F4F4F" w:rsidRPr="002F4F4F">
        <w:rPr>
          <w:color w:val="000000"/>
        </w:rPr>
        <w:t xml:space="preserve"> study  to identify effective </w:t>
      </w:r>
      <w:r w:rsidR="004D3366">
        <w:rPr>
          <w:color w:val="000000"/>
        </w:rPr>
        <w:t>messages</w:t>
      </w:r>
      <w:r w:rsidR="002F4F4F" w:rsidRPr="002F4F4F">
        <w:rPr>
          <w:color w:val="000000"/>
        </w:rPr>
        <w:t xml:space="preserve"> and approaches </w:t>
      </w:r>
      <w:r w:rsidR="001447F4">
        <w:rPr>
          <w:color w:val="000000"/>
        </w:rPr>
        <w:t>to</w:t>
      </w:r>
      <w:r w:rsidR="002F4F4F" w:rsidRPr="002F4F4F">
        <w:rPr>
          <w:color w:val="000000"/>
        </w:rPr>
        <w:t xml:space="preserve"> empower youth to make healthy and informed decisions related to sexual risk avoidance, teen pregnancy prevention, and their well-being. </w:t>
      </w:r>
    </w:p>
    <w:p w14:paraId="60DB01B5" w14:textId="77777777" w:rsidR="002F4F4F" w:rsidRDefault="002F4F4F" w:rsidP="0066719C">
      <w:pPr>
        <w:pBdr>
          <w:top w:val="nil"/>
          <w:left w:val="nil"/>
          <w:bottom w:val="nil"/>
          <w:right w:val="nil"/>
          <w:between w:val="nil"/>
        </w:pBdr>
        <w:spacing w:after="0" w:line="240" w:lineRule="auto"/>
        <w:rPr>
          <w:color w:val="000000"/>
        </w:rPr>
      </w:pPr>
    </w:p>
    <w:p w14:paraId="0B78AB5D" w14:textId="4B1A8577" w:rsidR="00BD7963" w:rsidRPr="002F4F4F" w:rsidRDefault="002F4F4F" w:rsidP="002F4F4F">
      <w:pPr>
        <w:pBdr>
          <w:top w:val="nil"/>
          <w:left w:val="nil"/>
          <w:bottom w:val="nil"/>
          <w:right w:val="nil"/>
          <w:between w:val="nil"/>
        </w:pBdr>
        <w:spacing w:after="0" w:line="240" w:lineRule="auto"/>
        <w:ind w:left="720"/>
        <w:rPr>
          <w:color w:val="000000"/>
        </w:rPr>
      </w:pPr>
      <w:r w:rsidRPr="002F4F4F">
        <w:rPr>
          <w:color w:val="000000"/>
        </w:rPr>
        <w:t xml:space="preserve">This generic ICR </w:t>
      </w:r>
      <w:r w:rsidR="004D3366">
        <w:rPr>
          <w:color w:val="000000"/>
        </w:rPr>
        <w:t>supports</w:t>
      </w:r>
      <w:r w:rsidRPr="002F4F4F">
        <w:rPr>
          <w:color w:val="000000"/>
        </w:rPr>
        <w:t xml:space="preserve"> pre-testing of new survey items and item adaptations in Parent</w:t>
      </w:r>
      <w:r w:rsidR="00CE71C9">
        <w:rPr>
          <w:color w:val="000000"/>
        </w:rPr>
        <w:t>,</w:t>
      </w:r>
      <w:r w:rsidRPr="002F4F4F">
        <w:rPr>
          <w:color w:val="000000"/>
        </w:rPr>
        <w:t xml:space="preserve"> Youth</w:t>
      </w:r>
      <w:r w:rsidR="00CE71C9">
        <w:rPr>
          <w:color w:val="000000"/>
        </w:rPr>
        <w:t xml:space="preserve"> and </w:t>
      </w:r>
      <w:r w:rsidR="004D3366">
        <w:rPr>
          <w:color w:val="000000"/>
        </w:rPr>
        <w:t>Young Adult</w:t>
      </w:r>
      <w:r w:rsidRPr="002F4F4F">
        <w:rPr>
          <w:color w:val="000000"/>
        </w:rPr>
        <w:t xml:space="preserve"> survey instruments.  The focus of the pretest is on item validity and reliability</w:t>
      </w:r>
      <w:r>
        <w:rPr>
          <w:color w:val="000000"/>
        </w:rPr>
        <w:t xml:space="preserve"> across </w:t>
      </w:r>
      <w:r w:rsidR="00D74047">
        <w:rPr>
          <w:color w:val="000000"/>
        </w:rPr>
        <w:t xml:space="preserve">demographically </w:t>
      </w:r>
      <w:r>
        <w:rPr>
          <w:color w:val="000000"/>
        </w:rPr>
        <w:t>diverse populations and several geographic locations.  P</w:t>
      </w:r>
      <w:r w:rsidRPr="002F4F4F">
        <w:rPr>
          <w:color w:val="000000"/>
        </w:rPr>
        <w:t xml:space="preserve">re-test data </w:t>
      </w:r>
      <w:r>
        <w:rPr>
          <w:color w:val="000000"/>
        </w:rPr>
        <w:t xml:space="preserve">are </w:t>
      </w:r>
      <w:r w:rsidRPr="002F4F4F">
        <w:rPr>
          <w:color w:val="000000"/>
        </w:rPr>
        <w:t>not intended to produce generalizable statistical information.</w:t>
      </w:r>
      <w:r w:rsidR="00C53AEC" w:rsidRPr="002F4F4F">
        <w:rPr>
          <w:b/>
          <w:color w:val="000000"/>
        </w:rPr>
        <w:t xml:space="preserve"> </w:t>
      </w:r>
    </w:p>
    <w:p w14:paraId="7EEF528A" w14:textId="7E197B9B" w:rsidR="001A38FD" w:rsidRDefault="001A38FD">
      <w:r>
        <w:br w:type="page"/>
      </w:r>
    </w:p>
    <w:p w14:paraId="695C22E4" w14:textId="77777777" w:rsidR="00D5346A" w:rsidRDefault="00D5346A" w:rsidP="001A38FD">
      <w:pPr>
        <w:spacing w:after="0" w:line="240" w:lineRule="auto"/>
      </w:pPr>
    </w:p>
    <w:p w14:paraId="5CB85B8F" w14:textId="0993BDE2" w:rsidR="004328A4" w:rsidRDefault="00BD702B" w:rsidP="007D0F6E">
      <w:pPr>
        <w:spacing w:after="120" w:line="240" w:lineRule="auto"/>
      </w:pPr>
      <w:r w:rsidRPr="00624DDC">
        <w:rPr>
          <w:b/>
        </w:rPr>
        <w:t>A1</w:t>
      </w:r>
      <w:r>
        <w:t>.</w:t>
      </w:r>
      <w:r>
        <w:tab/>
      </w:r>
      <w:r w:rsidR="004E5778" w:rsidRPr="004328A4">
        <w:rPr>
          <w:b/>
        </w:rPr>
        <w:t>Necessity for Collection</w:t>
      </w:r>
      <w:r w:rsidR="004E5778">
        <w:t xml:space="preserve"> </w:t>
      </w:r>
      <w:r w:rsidR="00FD1073">
        <w:br/>
      </w:r>
    </w:p>
    <w:p w14:paraId="144FC5BB" w14:textId="1C534291" w:rsidR="007D21DA" w:rsidRPr="008A7AB2" w:rsidRDefault="00E20E7D" w:rsidP="0066719C">
      <w:pPr>
        <w:pBdr>
          <w:top w:val="nil"/>
          <w:left w:val="nil"/>
          <w:bottom w:val="nil"/>
          <w:right w:val="nil"/>
          <w:between w:val="nil"/>
        </w:pBdr>
        <w:spacing w:after="0"/>
        <w:rPr>
          <w:color w:val="000000"/>
        </w:rPr>
      </w:pPr>
      <w:r w:rsidRPr="008A7AB2">
        <w:rPr>
          <w:color w:val="000000"/>
        </w:rPr>
        <w:t xml:space="preserve">The Administration for Children and Families (ACF) at the U.S. Department of Health and Human Services seeks approval for </w:t>
      </w:r>
      <w:r w:rsidR="00FE28BA" w:rsidRPr="008A7AB2">
        <w:rPr>
          <w:color w:val="000000"/>
        </w:rPr>
        <w:t>a</w:t>
      </w:r>
      <w:r w:rsidRPr="008A7AB2">
        <w:rPr>
          <w:color w:val="000000"/>
        </w:rPr>
        <w:t xml:space="preserve"> pre-test of the Parent and Youth survey instruments for the Youth Empowerment Information, Data Collection, and Exploration on Avoidance of Sex (IDEAS) project.</w:t>
      </w:r>
      <w:r w:rsidR="007D21DA" w:rsidRPr="008A7AB2">
        <w:rPr>
          <w:color w:val="000000"/>
        </w:rPr>
        <w:t xml:space="preserve"> This proposed information collection meets the primary goals of ACF’s generic clearance for pre-testing (0970-0355): to develop and test information collection instruments and procedures.</w:t>
      </w:r>
    </w:p>
    <w:p w14:paraId="692DCD16" w14:textId="77777777" w:rsidR="00E20E7D" w:rsidRPr="008A7AB2" w:rsidRDefault="00E20E7D" w:rsidP="005F066E">
      <w:pPr>
        <w:pBdr>
          <w:top w:val="nil"/>
          <w:left w:val="nil"/>
          <w:bottom w:val="nil"/>
          <w:right w:val="nil"/>
          <w:between w:val="nil"/>
        </w:pBdr>
        <w:spacing w:after="0"/>
        <w:ind w:hanging="720"/>
        <w:rPr>
          <w:color w:val="000000"/>
        </w:rPr>
      </w:pPr>
    </w:p>
    <w:p w14:paraId="053D7ACA" w14:textId="71377EBC" w:rsidR="00E20E7D" w:rsidRPr="008A7AB2" w:rsidRDefault="00E20E7D" w:rsidP="00FA6ED2">
      <w:pPr>
        <w:pBdr>
          <w:top w:val="nil"/>
          <w:left w:val="nil"/>
          <w:bottom w:val="nil"/>
          <w:right w:val="nil"/>
          <w:between w:val="nil"/>
        </w:pBdr>
        <w:spacing w:after="0"/>
        <w:rPr>
          <w:color w:val="000000"/>
        </w:rPr>
      </w:pPr>
      <w:r w:rsidRPr="008A7AB2">
        <w:rPr>
          <w:color w:val="000000"/>
        </w:rPr>
        <w:t xml:space="preserve">The Youth Empowerment IDEAS project is a </w:t>
      </w:r>
      <w:r w:rsidR="005F066E">
        <w:rPr>
          <w:color w:val="000000"/>
        </w:rPr>
        <w:t xml:space="preserve">planned </w:t>
      </w:r>
      <w:r w:rsidRPr="008A7AB2">
        <w:rPr>
          <w:color w:val="000000"/>
        </w:rPr>
        <w:t xml:space="preserve">descriptive study </w:t>
      </w:r>
      <w:r w:rsidR="002F4F4F">
        <w:rPr>
          <w:color w:val="000000"/>
        </w:rPr>
        <w:t>designed</w:t>
      </w:r>
      <w:r w:rsidRPr="008A7AB2">
        <w:rPr>
          <w:color w:val="000000"/>
        </w:rPr>
        <w:t xml:space="preserve"> to identify strategies and approaches that resonate with youth and empower them to make healthy and informed decisions related to sexual risk avoidance, teen pregnancy prevention, and their well-being. Data for the project will be collected through </w:t>
      </w:r>
      <w:r w:rsidR="00CE71C9">
        <w:rPr>
          <w:color w:val="000000"/>
        </w:rPr>
        <w:t>three</w:t>
      </w:r>
      <w:r w:rsidR="00CE71C9" w:rsidRPr="008A7AB2">
        <w:rPr>
          <w:color w:val="000000"/>
        </w:rPr>
        <w:t xml:space="preserve"> </w:t>
      </w:r>
      <w:r w:rsidRPr="008A7AB2">
        <w:rPr>
          <w:color w:val="000000"/>
        </w:rPr>
        <w:t>survey</w:t>
      </w:r>
      <w:r w:rsidR="002F4F4F">
        <w:rPr>
          <w:color w:val="000000"/>
        </w:rPr>
        <w:t xml:space="preserve"> instruments</w:t>
      </w:r>
      <w:r w:rsidRPr="008A7AB2">
        <w:rPr>
          <w:color w:val="000000"/>
        </w:rPr>
        <w:t xml:space="preserve">, </w:t>
      </w:r>
      <w:r w:rsidR="007D21DA" w:rsidRPr="008A7AB2">
        <w:rPr>
          <w:color w:val="000000"/>
        </w:rPr>
        <w:t xml:space="preserve">a Youth Survey </w:t>
      </w:r>
      <w:r w:rsidRPr="008A7AB2">
        <w:rPr>
          <w:color w:val="000000"/>
        </w:rPr>
        <w:t xml:space="preserve"> (ages 14 to 18)</w:t>
      </w:r>
      <w:r w:rsidR="00CE71C9">
        <w:rPr>
          <w:color w:val="000000"/>
        </w:rPr>
        <w:t>,</w:t>
      </w:r>
      <w:r w:rsidR="008052FA">
        <w:rPr>
          <w:color w:val="000000"/>
        </w:rPr>
        <w:t xml:space="preserve"> </w:t>
      </w:r>
      <w:r w:rsidR="00CE71C9">
        <w:rPr>
          <w:color w:val="000000"/>
        </w:rPr>
        <w:t>a</w:t>
      </w:r>
      <w:r w:rsidRPr="008A7AB2">
        <w:rPr>
          <w:color w:val="000000"/>
        </w:rPr>
        <w:t xml:space="preserve"> </w:t>
      </w:r>
      <w:r w:rsidR="00CE71C9">
        <w:rPr>
          <w:color w:val="000000"/>
        </w:rPr>
        <w:t>Y</w:t>
      </w:r>
      <w:r w:rsidRPr="008A7AB2">
        <w:rPr>
          <w:color w:val="000000"/>
        </w:rPr>
        <w:t xml:space="preserve">oung </w:t>
      </w:r>
      <w:r w:rsidR="00CE71C9">
        <w:rPr>
          <w:color w:val="000000"/>
        </w:rPr>
        <w:t>A</w:t>
      </w:r>
      <w:r w:rsidRPr="008A7AB2">
        <w:rPr>
          <w:color w:val="000000"/>
        </w:rPr>
        <w:t>dult</w:t>
      </w:r>
      <w:r w:rsidR="00CE71C9">
        <w:rPr>
          <w:color w:val="000000"/>
        </w:rPr>
        <w:t xml:space="preserve"> Survey</w:t>
      </w:r>
      <w:r w:rsidRPr="008A7AB2">
        <w:rPr>
          <w:color w:val="000000"/>
        </w:rPr>
        <w:t xml:space="preserve"> (ages 19 to 24), and </w:t>
      </w:r>
      <w:r w:rsidR="007D21DA" w:rsidRPr="008A7AB2">
        <w:rPr>
          <w:color w:val="000000"/>
        </w:rPr>
        <w:t>a Parent Survey</w:t>
      </w:r>
      <w:r w:rsidRPr="008A7AB2">
        <w:rPr>
          <w:color w:val="000000"/>
        </w:rPr>
        <w:t xml:space="preserve"> of parents of youth ages 14 to 18.  </w:t>
      </w:r>
      <w:r w:rsidR="00C059D0">
        <w:t>ACF</w:t>
      </w:r>
      <w:r w:rsidR="00C059D0" w:rsidRPr="00F7163E">
        <w:t xml:space="preserve"> will use the pre</w:t>
      </w:r>
      <w:r w:rsidR="00C059D0">
        <w:t>-</w:t>
      </w:r>
      <w:r w:rsidR="00C059D0" w:rsidRPr="00F7163E">
        <w:t xml:space="preserve">test data </w:t>
      </w:r>
      <w:r w:rsidR="00C059D0">
        <w:t xml:space="preserve">from this </w:t>
      </w:r>
      <w:r w:rsidR="004D3366">
        <w:t xml:space="preserve">generic </w:t>
      </w:r>
      <w:r w:rsidR="00C059D0">
        <w:t>information collection to refine the</w:t>
      </w:r>
      <w:r w:rsidR="00C059D0" w:rsidRPr="00F7163E">
        <w:t xml:space="preserve"> </w:t>
      </w:r>
      <w:r w:rsidR="00C059D0">
        <w:t>surveys</w:t>
      </w:r>
      <w:r w:rsidR="00C059D0" w:rsidRPr="00F7163E">
        <w:t xml:space="preserve"> </w:t>
      </w:r>
      <w:r w:rsidR="004D3366">
        <w:t>prior to submitting final instruments to</w:t>
      </w:r>
      <w:r w:rsidR="00C059D0" w:rsidRPr="00F7163E">
        <w:t xml:space="preserve"> </w:t>
      </w:r>
      <w:r w:rsidR="00C059D0">
        <w:t>the Office of Management and Budget (</w:t>
      </w:r>
      <w:r w:rsidR="00C059D0" w:rsidRPr="00F7163E">
        <w:t>OMB</w:t>
      </w:r>
      <w:r w:rsidR="00C059D0">
        <w:t>)</w:t>
      </w:r>
      <w:r w:rsidR="00C059D0" w:rsidRPr="00F7163E">
        <w:t xml:space="preserve"> </w:t>
      </w:r>
      <w:r w:rsidR="00C059D0">
        <w:t>as a new full information collection request for the Youth Empowerment IDEAS project</w:t>
      </w:r>
      <w:r w:rsidR="00C059D0" w:rsidRPr="00F7163E">
        <w:t>.</w:t>
      </w:r>
    </w:p>
    <w:p w14:paraId="5161A5F8" w14:textId="490E1F36" w:rsidR="00A345F8" w:rsidRPr="008A7AB2" w:rsidRDefault="00C059D0" w:rsidP="002F4F4F">
      <w:pPr>
        <w:shd w:val="clear" w:color="auto" w:fill="FFFFFF"/>
        <w:spacing w:after="0"/>
        <w:rPr>
          <w:color w:val="000000"/>
        </w:rPr>
      </w:pPr>
      <w:r>
        <w:t xml:space="preserve"> </w:t>
      </w:r>
    </w:p>
    <w:p w14:paraId="1369DEA9" w14:textId="77777777" w:rsidR="00E20E7D" w:rsidRPr="00A345F8" w:rsidRDefault="00E20E7D" w:rsidP="00FD1073">
      <w:pPr>
        <w:spacing w:after="120" w:line="240" w:lineRule="auto"/>
        <w:rPr>
          <w:i/>
        </w:rPr>
      </w:pPr>
      <w:r w:rsidRPr="00A345F8">
        <w:rPr>
          <w:i/>
        </w:rPr>
        <w:t xml:space="preserve">Study Background </w:t>
      </w:r>
    </w:p>
    <w:p w14:paraId="5F8FC1A0" w14:textId="045EEB8D" w:rsidR="00E20E7D" w:rsidRDefault="00E20E7D" w:rsidP="0066719C">
      <w:pPr>
        <w:shd w:val="clear" w:color="auto" w:fill="FFFFFF"/>
        <w:spacing w:after="280"/>
      </w:pPr>
      <w:r w:rsidRPr="005D26D1">
        <w:t>The consequences of adolescent sexual activity remain a critical social and economic issue in the United States, shaping the lives of thousands of teens and their families every year</w:t>
      </w:r>
      <w:r>
        <w:t xml:space="preserve">. </w:t>
      </w:r>
      <w:r w:rsidR="002F4F4F">
        <w:t>Despite its decline</w:t>
      </w:r>
      <w:r w:rsidRPr="005D26D1">
        <w:t xml:space="preserve"> </w:t>
      </w:r>
      <w:r>
        <w:t>over</w:t>
      </w:r>
      <w:r w:rsidRPr="005D26D1">
        <w:t xml:space="preserve"> the past 25 years, the teen birthrate </w:t>
      </w:r>
      <w:r>
        <w:t xml:space="preserve">in the United States </w:t>
      </w:r>
      <w:r w:rsidRPr="005D26D1">
        <w:t>remains higher than in other industrialized countries</w:t>
      </w:r>
      <w:r w:rsidR="004D3366">
        <w:t>,</w:t>
      </w:r>
      <w:r w:rsidRPr="005D26D1">
        <w:t xml:space="preserve"> and varies widely across geographic regions and racial</w:t>
      </w:r>
      <w:r>
        <w:t xml:space="preserve"> and </w:t>
      </w:r>
      <w:r w:rsidRPr="005D26D1">
        <w:t>ethnic groups</w:t>
      </w:r>
      <w:r>
        <w:t>.</w:t>
      </w:r>
      <w:r w:rsidRPr="008A7AB2">
        <w:rPr>
          <w:vertAlign w:val="superscript"/>
        </w:rPr>
        <w:footnoteReference w:id="2"/>
      </w:r>
      <w:r w:rsidRPr="005D26D1">
        <w:t xml:space="preserve"> </w:t>
      </w:r>
      <w:r>
        <w:t>Further, a</w:t>
      </w:r>
      <w:r w:rsidRPr="005D26D1">
        <w:t xml:space="preserve">dolescents and young adults account for half of all </w:t>
      </w:r>
      <w:r>
        <w:t xml:space="preserve">new </w:t>
      </w:r>
      <w:r w:rsidRPr="005D26D1">
        <w:t xml:space="preserve">cases </w:t>
      </w:r>
      <w:r>
        <w:t xml:space="preserve">of </w:t>
      </w:r>
      <w:r w:rsidRPr="005D26D1">
        <w:t>sexually transmitted infection</w:t>
      </w:r>
      <w:r>
        <w:t>s</w:t>
      </w:r>
      <w:r w:rsidRPr="005D26D1">
        <w:t xml:space="preserve"> each year</w:t>
      </w:r>
      <w:r>
        <w:t>.</w:t>
      </w:r>
      <w:r w:rsidRPr="008A7AB2">
        <w:rPr>
          <w:vertAlign w:val="superscript"/>
        </w:rPr>
        <w:footnoteReference w:id="3"/>
      </w:r>
      <w:r w:rsidRPr="005D26D1">
        <w:t xml:space="preserve"> </w:t>
      </w:r>
      <w:r>
        <w:t xml:space="preserve">Sexual activity in youth is also </w:t>
      </w:r>
      <w:r w:rsidR="002F4F4F">
        <w:t>associated with</w:t>
      </w:r>
      <w:r>
        <w:t xml:space="preserve"> other </w:t>
      </w:r>
      <w:r w:rsidRPr="005D26D1">
        <w:t>risk behaviors</w:t>
      </w:r>
      <w:r>
        <w:t>,</w:t>
      </w:r>
      <w:r w:rsidRPr="005D26D1">
        <w:t xml:space="preserve"> such as alcohol and substance </w:t>
      </w:r>
      <w:r w:rsidRPr="008E5981">
        <w:t>use</w:t>
      </w:r>
      <w:r w:rsidR="007E70E3">
        <w:t>.</w:t>
      </w:r>
      <w:r w:rsidRPr="008E5981">
        <w:t xml:space="preserve"> </w:t>
      </w:r>
      <w:r w:rsidR="008E5981" w:rsidRPr="008E5981">
        <w:t>The IDEA project’s Parent, Youth, and Young Adult survey instruments</w:t>
      </w:r>
      <w:r w:rsidR="007E70E3">
        <w:t xml:space="preserve"> </w:t>
      </w:r>
      <w:r w:rsidR="007E70E3" w:rsidRPr="008E5981">
        <w:t xml:space="preserve">are designed to identify </w:t>
      </w:r>
      <w:r w:rsidR="007E70E3" w:rsidRPr="001438A5">
        <w:t xml:space="preserve">appropriate strategies, skills, messages, and themes </w:t>
      </w:r>
      <w:r w:rsidR="007E70E3" w:rsidRPr="008E5981">
        <w:t>likely to resonate with youth for use in designing educational programs and policies</w:t>
      </w:r>
      <w:r w:rsidR="007E70E3">
        <w:t xml:space="preserve"> to address these risk behaviors.</w:t>
      </w:r>
      <w:r>
        <w:t xml:space="preserve"> </w:t>
      </w:r>
    </w:p>
    <w:p w14:paraId="29040BDD" w14:textId="72378764" w:rsidR="00E20E7D" w:rsidRPr="00A345F8" w:rsidRDefault="00E20E7D" w:rsidP="00A345F8">
      <w:pPr>
        <w:spacing w:after="120" w:line="240" w:lineRule="auto"/>
        <w:rPr>
          <w:i/>
        </w:rPr>
      </w:pPr>
      <w:r w:rsidRPr="00A345F8">
        <w:rPr>
          <w:i/>
        </w:rPr>
        <w:t xml:space="preserve">Legal or Administrative Requirements that Necessitate the Collection </w:t>
      </w:r>
    </w:p>
    <w:p w14:paraId="1B47F6FA" w14:textId="1582A585" w:rsidR="00C31FDE" w:rsidRDefault="00E20E7D" w:rsidP="00E20E7D">
      <w:r w:rsidRPr="00104562">
        <w:t>There are no legal or administrative requirements that necessitate the collection. ACF is undertaking the collection at the discretion of the agency.</w:t>
      </w:r>
    </w:p>
    <w:p w14:paraId="501496FD" w14:textId="77777777" w:rsidR="00C31FDE" w:rsidRDefault="00C31FDE">
      <w:r>
        <w:br w:type="page"/>
      </w:r>
    </w:p>
    <w:p w14:paraId="778B15CC" w14:textId="77777777" w:rsidR="004328A4" w:rsidRPr="008A7AB2" w:rsidRDefault="004328A4" w:rsidP="008A7AB2">
      <w:pPr>
        <w:pBdr>
          <w:top w:val="nil"/>
          <w:left w:val="nil"/>
          <w:bottom w:val="nil"/>
          <w:right w:val="nil"/>
          <w:between w:val="nil"/>
        </w:pBdr>
        <w:spacing w:after="0" w:line="240" w:lineRule="auto"/>
        <w:ind w:left="360" w:hanging="720"/>
        <w:rPr>
          <w:color w:val="000000"/>
        </w:rPr>
      </w:pPr>
    </w:p>
    <w:p w14:paraId="77508B66" w14:textId="0BE9013A" w:rsidR="004328A4" w:rsidRDefault="00BD702B" w:rsidP="007D0F6E">
      <w:pPr>
        <w:spacing w:after="120" w:line="240" w:lineRule="auto"/>
        <w:rPr>
          <w:b/>
        </w:rPr>
      </w:pPr>
      <w:r w:rsidRPr="00624DDC">
        <w:rPr>
          <w:b/>
        </w:rPr>
        <w:t>A2</w:t>
      </w:r>
      <w:r>
        <w:t>.</w:t>
      </w:r>
      <w:r>
        <w:tab/>
      </w:r>
      <w:r w:rsidR="00107D87" w:rsidRPr="004328A4">
        <w:rPr>
          <w:b/>
        </w:rPr>
        <w:t>Purpose</w:t>
      </w:r>
      <w:r w:rsidR="00FD1073">
        <w:rPr>
          <w:b/>
        </w:rPr>
        <w:br/>
      </w:r>
    </w:p>
    <w:p w14:paraId="01ECDCA0" w14:textId="77777777" w:rsidR="00FD1073" w:rsidRDefault="004328A4" w:rsidP="00FD1073">
      <w:pPr>
        <w:spacing w:after="120" w:line="240" w:lineRule="auto"/>
        <w:rPr>
          <w:i/>
        </w:rPr>
      </w:pPr>
      <w:r w:rsidRPr="004328A4">
        <w:rPr>
          <w:i/>
        </w:rPr>
        <w:t xml:space="preserve">Purpose and Use </w:t>
      </w:r>
    </w:p>
    <w:p w14:paraId="5E9A67E3" w14:textId="3047D3E2" w:rsidR="00D97B01" w:rsidRPr="0066719C" w:rsidRDefault="00E20E7D" w:rsidP="0066719C">
      <w:pPr>
        <w:spacing w:after="120"/>
        <w:rPr>
          <w:i/>
        </w:rPr>
      </w:pPr>
      <w:r>
        <w:t xml:space="preserve">The </w:t>
      </w:r>
      <w:r w:rsidR="0052240A">
        <w:t xml:space="preserve">Youth Empowerment </w:t>
      </w:r>
      <w:r w:rsidR="002F4F4F">
        <w:t xml:space="preserve">IDEAS project </w:t>
      </w:r>
      <w:r>
        <w:t>surveys</w:t>
      </w:r>
      <w:r w:rsidR="002F4F4F">
        <w:t xml:space="preserve"> will </w:t>
      </w:r>
      <w:r>
        <w:t xml:space="preserve">collect </w:t>
      </w:r>
      <w:r w:rsidR="002F4F4F">
        <w:t>national</w:t>
      </w:r>
      <w:r w:rsidR="00EA7529">
        <w:t>-level</w:t>
      </w:r>
      <w:r w:rsidR="002F4F4F">
        <w:t xml:space="preserve"> data about</w:t>
      </w:r>
      <w:r>
        <w:t xml:space="preserve"> youth and parent</w:t>
      </w:r>
      <w:r w:rsidRPr="0071132B">
        <w:t xml:space="preserve"> </w:t>
      </w:r>
      <w:r>
        <w:t xml:space="preserve">attitudes, opinions, knowledge, and experiences </w:t>
      </w:r>
      <w:r w:rsidR="0052240A">
        <w:t>with</w:t>
      </w:r>
      <w:r>
        <w:t xml:space="preserve"> communication between youth and parents</w:t>
      </w:r>
      <w:r w:rsidR="0052240A">
        <w:t xml:space="preserve">; </w:t>
      </w:r>
      <w:r>
        <w:t>attitudes and beliefs about life-event sequencing</w:t>
      </w:r>
      <w:r w:rsidR="0052240A">
        <w:t xml:space="preserve">; </w:t>
      </w:r>
      <w:r>
        <w:t>sex</w:t>
      </w:r>
      <w:r w:rsidR="0052240A">
        <w:t xml:space="preserve">; </w:t>
      </w:r>
      <w:r>
        <w:t xml:space="preserve">and sex education. </w:t>
      </w:r>
      <w:r w:rsidR="005F066E">
        <w:t>Prior to the full national study, we</w:t>
      </w:r>
      <w:r w:rsidR="00D97B01">
        <w:t xml:space="preserve"> propose pre-testing these survey instruments</w:t>
      </w:r>
      <w:r w:rsidR="00D97B01" w:rsidRPr="00A00A1D">
        <w:t xml:space="preserve"> with a diverse group of </w:t>
      </w:r>
      <w:r w:rsidR="00D97B01">
        <w:t>youth, young adults, and parents of youth</w:t>
      </w:r>
      <w:r w:rsidR="00D97B01" w:rsidRPr="00A00A1D">
        <w:t xml:space="preserve"> to ensure that </w:t>
      </w:r>
      <w:r w:rsidR="00D97B01">
        <w:t xml:space="preserve">survey items </w:t>
      </w:r>
      <w:r w:rsidR="00D97B01" w:rsidRPr="00A00A1D">
        <w:t>are comprehensible and carry the same meaning across a range of participants.</w:t>
      </w:r>
    </w:p>
    <w:p w14:paraId="0A980F02" w14:textId="644FD0B0" w:rsidR="00E20E7D" w:rsidRDefault="00DD0F5E" w:rsidP="00A345F8">
      <w:r w:rsidRPr="00E40839">
        <w:t xml:space="preserve">When designing the </w:t>
      </w:r>
      <w:r w:rsidR="00D97B01">
        <w:t xml:space="preserve">IDEAS project </w:t>
      </w:r>
      <w:r w:rsidRPr="00E40839">
        <w:t xml:space="preserve">surveys, the study team reviewed </w:t>
      </w:r>
      <w:r w:rsidR="0052240A">
        <w:t xml:space="preserve">survey items from </w:t>
      </w:r>
      <w:r w:rsidRPr="00E40839">
        <w:t>1</w:t>
      </w:r>
      <w:r w:rsidR="00FD246D">
        <w:t>2</w:t>
      </w:r>
      <w:r w:rsidR="0052240A">
        <w:t xml:space="preserve"> existing</w:t>
      </w:r>
      <w:r w:rsidRPr="00E40839">
        <w:t xml:space="preserve"> national surveys and </w:t>
      </w:r>
      <w:r w:rsidR="003D0A32">
        <w:t>7</w:t>
      </w:r>
      <w:r w:rsidRPr="00E40839">
        <w:t xml:space="preserve"> previously used research and evaluation instruments</w:t>
      </w:r>
      <w:r w:rsidR="00366B11">
        <w:t xml:space="preserve"> (Attachment </w:t>
      </w:r>
      <w:r w:rsidR="009A06CB">
        <w:t>A</w:t>
      </w:r>
      <w:r w:rsidR="00366B11">
        <w:t>)</w:t>
      </w:r>
      <w:r w:rsidRPr="00E40839">
        <w:t xml:space="preserve">. </w:t>
      </w:r>
      <w:r w:rsidR="0052240A">
        <w:t xml:space="preserve">Where possible, the team </w:t>
      </w:r>
      <w:r>
        <w:t>drew</w:t>
      </w:r>
      <w:r w:rsidRPr="00A00A1D">
        <w:t xml:space="preserve"> </w:t>
      </w:r>
      <w:r w:rsidR="0052240A">
        <w:t>survey</w:t>
      </w:r>
      <w:r w:rsidRPr="00A00A1D">
        <w:t xml:space="preserve"> items from </w:t>
      </w:r>
      <w:r>
        <w:t xml:space="preserve">these </w:t>
      </w:r>
      <w:r w:rsidRPr="00A00A1D">
        <w:t xml:space="preserve">existing </w:t>
      </w:r>
      <w:r w:rsidR="0052240A">
        <w:t>instruments</w:t>
      </w:r>
      <w:r w:rsidRPr="00A00A1D">
        <w:t>,</w:t>
      </w:r>
      <w:r w:rsidRPr="00A00A1D" w:rsidDel="00EA3F3F">
        <w:t xml:space="preserve"> </w:t>
      </w:r>
      <w:r w:rsidR="0052240A">
        <w:t xml:space="preserve">but the </w:t>
      </w:r>
      <w:r w:rsidR="00EA7529">
        <w:t xml:space="preserve">review </w:t>
      </w:r>
      <w:r w:rsidRPr="00A00A1D">
        <w:t xml:space="preserve">identified </w:t>
      </w:r>
      <w:r w:rsidR="00EA7529">
        <w:t xml:space="preserve">that </w:t>
      </w:r>
      <w:r w:rsidR="0052240A">
        <w:t xml:space="preserve">several relevant </w:t>
      </w:r>
      <w:r w:rsidRPr="00A00A1D">
        <w:t xml:space="preserve">constructs </w:t>
      </w:r>
      <w:r w:rsidR="00EA7529">
        <w:t xml:space="preserve">for the study </w:t>
      </w:r>
      <w:r w:rsidR="0052240A">
        <w:t>were not previously measured</w:t>
      </w:r>
      <w:r w:rsidRPr="00A00A1D">
        <w:t xml:space="preserve">. </w:t>
      </w:r>
      <w:r w:rsidR="0052240A">
        <w:t xml:space="preserve">Following </w:t>
      </w:r>
      <w:r w:rsidR="000C4F66">
        <w:t xml:space="preserve">item </w:t>
      </w:r>
      <w:r w:rsidR="0052240A">
        <w:t>review by</w:t>
      </w:r>
      <w:r>
        <w:t xml:space="preserve"> subject matter experts and ACF leaders, the study team </w:t>
      </w:r>
      <w:r w:rsidR="0052240A">
        <w:t xml:space="preserve">also </w:t>
      </w:r>
      <w:r>
        <w:t xml:space="preserve">modified </w:t>
      </w:r>
      <w:r w:rsidR="0052240A">
        <w:t xml:space="preserve">several </w:t>
      </w:r>
      <w:r>
        <w:t>previously used items to better suit the goals of the IDEAS project</w:t>
      </w:r>
      <w:r w:rsidR="009A06CB">
        <w:t xml:space="preserve">. </w:t>
      </w:r>
      <w:r w:rsidR="008A7AB2">
        <w:t xml:space="preserve"> </w:t>
      </w:r>
      <w:r w:rsidR="009A06CB">
        <w:t>Modified</w:t>
      </w:r>
      <w:r>
        <w:t xml:space="preserve"> items can no longer be considered </w:t>
      </w:r>
      <w:r w:rsidR="0052240A">
        <w:t>validated</w:t>
      </w:r>
      <w:r w:rsidR="009A06CB">
        <w:t xml:space="preserve"> and</w:t>
      </w:r>
      <w:r w:rsidR="0052240A">
        <w:t xml:space="preserve"> </w:t>
      </w:r>
      <w:r>
        <w:t xml:space="preserve">must be treated as new survey items. </w:t>
      </w:r>
    </w:p>
    <w:p w14:paraId="2349F7CC" w14:textId="2ED7B264" w:rsidR="00E20E7D" w:rsidRDefault="00E20E7D" w:rsidP="0066719C">
      <w:r>
        <w:t xml:space="preserve">The </w:t>
      </w:r>
      <w:r w:rsidRPr="008A77E6">
        <w:t xml:space="preserve">primary goal </w:t>
      </w:r>
      <w:r w:rsidR="0052240A">
        <w:t>of</w:t>
      </w:r>
      <w:r w:rsidR="0052240A" w:rsidRPr="008A77E6">
        <w:t xml:space="preserve"> </w:t>
      </w:r>
      <w:r w:rsidRPr="008A77E6">
        <w:t xml:space="preserve">the </w:t>
      </w:r>
      <w:r>
        <w:t>pre-test</w:t>
      </w:r>
      <w:r w:rsidRPr="008A77E6">
        <w:t xml:space="preserve"> is to ensure </w:t>
      </w:r>
      <w:r w:rsidR="0052240A">
        <w:t xml:space="preserve">final </w:t>
      </w:r>
      <w:r w:rsidRPr="008A77E6">
        <w:t>questionnair</w:t>
      </w:r>
      <w:r>
        <w:t xml:space="preserve">e items are appropriate for their intended </w:t>
      </w:r>
      <w:r w:rsidRPr="008A77E6">
        <w:t>population</w:t>
      </w:r>
      <w:r>
        <w:t xml:space="preserve"> (youth, young adults, and parents)</w:t>
      </w:r>
      <w:r w:rsidR="005F066E">
        <w:t xml:space="preserve">; </w:t>
      </w:r>
      <w:r>
        <w:t xml:space="preserve">are </w:t>
      </w:r>
      <w:r w:rsidRPr="008A77E6">
        <w:t>clearly written</w:t>
      </w:r>
      <w:r w:rsidR="005F066E">
        <w:t>;</w:t>
      </w:r>
      <w:r w:rsidRPr="008A77E6">
        <w:t xml:space="preserve"> </w:t>
      </w:r>
      <w:r>
        <w:t>provide sufficient response options</w:t>
      </w:r>
      <w:r w:rsidR="005F066E">
        <w:t xml:space="preserve">; </w:t>
      </w:r>
      <w:r w:rsidRPr="008A77E6">
        <w:t xml:space="preserve">and </w:t>
      </w:r>
      <w:r>
        <w:t xml:space="preserve">are </w:t>
      </w:r>
      <w:r w:rsidRPr="008A77E6">
        <w:t xml:space="preserve">not </w:t>
      </w:r>
      <w:r w:rsidR="0052240A">
        <w:t>culturally biased</w:t>
      </w:r>
      <w:r w:rsidRPr="008A77E6">
        <w:t xml:space="preserve">. </w:t>
      </w:r>
      <w:r w:rsidR="000C4F66">
        <w:t>I</w:t>
      </w:r>
      <w:r w:rsidR="0052240A">
        <w:t>nterviews</w:t>
      </w:r>
      <w:r w:rsidR="000C4F66">
        <w:t xml:space="preserve"> with test respondents will offer a </w:t>
      </w:r>
      <w:r w:rsidRPr="008A77E6">
        <w:t>clear</w:t>
      </w:r>
      <w:r w:rsidR="000C4F66">
        <w:t>er</w:t>
      </w:r>
      <w:r w:rsidRPr="008A77E6">
        <w:t xml:space="preserve"> understanding of participants’ comprehension, </w:t>
      </w:r>
      <w:r w:rsidR="0052240A">
        <w:t>recall</w:t>
      </w:r>
      <w:r w:rsidRPr="008A77E6">
        <w:t xml:space="preserve">, judgment, and response strategies </w:t>
      </w:r>
      <w:r w:rsidR="000C4F66">
        <w:t>for</w:t>
      </w:r>
      <w:r w:rsidRPr="008A77E6">
        <w:t xml:space="preserve"> selected items</w:t>
      </w:r>
      <w:r w:rsidR="000C4F66">
        <w:t>.  This information will be used to</w:t>
      </w:r>
      <w:r w:rsidRPr="008A77E6">
        <w:t xml:space="preserve"> improve item wording and format. </w:t>
      </w:r>
      <w:r w:rsidR="000C4F66">
        <w:t>ACF</w:t>
      </w:r>
      <w:r w:rsidR="000C4F66" w:rsidRPr="00F7163E">
        <w:t xml:space="preserve"> will </w:t>
      </w:r>
      <w:r w:rsidR="000C4F66">
        <w:t xml:space="preserve">incorporate findings from the pre-test into instruments submitted for a full OMB information collection request </w:t>
      </w:r>
      <w:r w:rsidR="000C4F66" w:rsidRPr="00F7163E">
        <w:t xml:space="preserve">for </w:t>
      </w:r>
      <w:r w:rsidR="000C4F66">
        <w:t>the</w:t>
      </w:r>
      <w:r w:rsidR="000C4F66" w:rsidRPr="00F7163E">
        <w:t xml:space="preserve"> </w:t>
      </w:r>
      <w:r w:rsidR="000C4F66">
        <w:t>Youth Empowerment IDEAS project</w:t>
      </w:r>
      <w:r w:rsidR="000C4F66" w:rsidRPr="00F7163E">
        <w:t xml:space="preserve">. </w:t>
      </w:r>
    </w:p>
    <w:p w14:paraId="3D05813B" w14:textId="77777777" w:rsidR="007D0F6E" w:rsidRPr="004328A4" w:rsidRDefault="007D0F6E" w:rsidP="00DF1291">
      <w:pPr>
        <w:spacing w:after="0" w:line="240" w:lineRule="auto"/>
        <w:rPr>
          <w:i/>
        </w:rPr>
      </w:pPr>
    </w:p>
    <w:p w14:paraId="57EB8C37" w14:textId="11DD13FE" w:rsidR="004328A4" w:rsidRDefault="004328A4" w:rsidP="007D0F6E">
      <w:pPr>
        <w:spacing w:after="120" w:line="240" w:lineRule="auto"/>
        <w:rPr>
          <w:i/>
        </w:rPr>
      </w:pPr>
      <w:r w:rsidRPr="004328A4">
        <w:rPr>
          <w:i/>
        </w:rPr>
        <w:t>Research Questions or Tests</w:t>
      </w:r>
    </w:p>
    <w:p w14:paraId="2F66E0A5" w14:textId="77777777" w:rsidR="00E20E7D" w:rsidRDefault="00E20E7D" w:rsidP="00E20E7D">
      <w:pPr>
        <w:ind w:left="180" w:hanging="180"/>
      </w:pPr>
      <w:r>
        <w:t>ACF proposes to examine the following research questions for this pre-test effort:</w:t>
      </w:r>
    </w:p>
    <w:p w14:paraId="18C4D6B6" w14:textId="77777777" w:rsidR="00E20E7D" w:rsidRDefault="00E20E7D" w:rsidP="008A7AB2">
      <w:pPr>
        <w:numPr>
          <w:ilvl w:val="0"/>
          <w:numId w:val="43"/>
        </w:numPr>
        <w:spacing w:after="0" w:line="240" w:lineRule="auto"/>
      </w:pPr>
      <w:r>
        <w:t>Are the questions on the survey instruments appropriate for their intended populations?</w:t>
      </w:r>
    </w:p>
    <w:p w14:paraId="526DC381" w14:textId="77777777" w:rsidR="00E20E7D" w:rsidRDefault="00E20E7D" w:rsidP="008A7AB2">
      <w:pPr>
        <w:numPr>
          <w:ilvl w:val="0"/>
          <w:numId w:val="43"/>
        </w:numPr>
        <w:spacing w:after="0" w:line="240" w:lineRule="auto"/>
      </w:pPr>
      <w:r>
        <w:t>Are the questions and response options clearly written, easy to understand, and free of bias?</w:t>
      </w:r>
    </w:p>
    <w:p w14:paraId="57F21F54" w14:textId="487F2743" w:rsidR="00E20E7D" w:rsidRDefault="007E70E3" w:rsidP="008A7AB2">
      <w:pPr>
        <w:numPr>
          <w:ilvl w:val="0"/>
          <w:numId w:val="43"/>
        </w:numPr>
        <w:spacing w:after="0" w:line="240" w:lineRule="auto"/>
      </w:pPr>
      <w:r>
        <w:t>If questions are misunderstood, a</w:t>
      </w:r>
      <w:r w:rsidR="00E20E7D">
        <w:t>re there ways to improve the question wording so respondents better understand what is being asked?</w:t>
      </w:r>
    </w:p>
    <w:p w14:paraId="7EA8AFD4" w14:textId="77777777" w:rsidR="00E20E7D" w:rsidRPr="00BB640C" w:rsidRDefault="00E20E7D" w:rsidP="008A7AB2">
      <w:pPr>
        <w:numPr>
          <w:ilvl w:val="0"/>
          <w:numId w:val="43"/>
        </w:numPr>
        <w:spacing w:after="0" w:line="240" w:lineRule="auto"/>
      </w:pPr>
      <w:r>
        <w:t>Are the questions on the survey instruments reliably measuring the intended constructs?</w:t>
      </w:r>
    </w:p>
    <w:p w14:paraId="5B5CEC90" w14:textId="1EED0E56" w:rsidR="004328A4" w:rsidRDefault="004328A4" w:rsidP="00DF1291">
      <w:pPr>
        <w:spacing w:after="0" w:line="240" w:lineRule="auto"/>
        <w:rPr>
          <w:i/>
        </w:rPr>
      </w:pPr>
    </w:p>
    <w:p w14:paraId="074BB4AA" w14:textId="40F1402D" w:rsidR="00C31FDE" w:rsidRDefault="00C31FDE">
      <w:pPr>
        <w:rPr>
          <w:i/>
        </w:rPr>
      </w:pPr>
      <w:r>
        <w:rPr>
          <w:i/>
        </w:rPr>
        <w:br w:type="page"/>
      </w:r>
    </w:p>
    <w:p w14:paraId="0237D724" w14:textId="77777777" w:rsidR="007D0F6E" w:rsidRDefault="007D0F6E" w:rsidP="00DF1291">
      <w:pPr>
        <w:spacing w:after="0" w:line="240" w:lineRule="auto"/>
        <w:rPr>
          <w:i/>
        </w:rPr>
      </w:pPr>
    </w:p>
    <w:p w14:paraId="5C99A251" w14:textId="6A23A25B" w:rsidR="004328A4" w:rsidRPr="0066719C" w:rsidRDefault="004328A4" w:rsidP="00FD1073">
      <w:pPr>
        <w:spacing w:after="120" w:line="240" w:lineRule="auto"/>
      </w:pPr>
      <w:r>
        <w:rPr>
          <w:i/>
        </w:rPr>
        <w:t>Study Design</w:t>
      </w:r>
    </w:p>
    <w:p w14:paraId="57684973" w14:textId="4BCCAF34" w:rsidR="00C13F5D" w:rsidRDefault="00C13F5D" w:rsidP="00FD1073">
      <w:r>
        <w:t xml:space="preserve">Each phase </w:t>
      </w:r>
      <w:r w:rsidR="001C656D">
        <w:t xml:space="preserve">of pre-testing </w:t>
      </w:r>
      <w:r>
        <w:t xml:space="preserve">will consist of </w:t>
      </w:r>
      <w:r w:rsidR="004064D1">
        <w:t>survey administration</w:t>
      </w:r>
      <w:r w:rsidRPr="003D7182">
        <w:t xml:space="preserve"> </w:t>
      </w:r>
      <w:r w:rsidR="008037E4">
        <w:t>and</w:t>
      </w:r>
      <w:r w:rsidRPr="003D7182">
        <w:t xml:space="preserve"> a small group debrief session</w:t>
      </w:r>
      <w:r>
        <w:t xml:space="preserve"> to collect information about respondents’ reaction to the survey instrument</w:t>
      </w:r>
      <w:r w:rsidRPr="003D7182">
        <w:t>.</w:t>
      </w:r>
      <w:r w:rsidR="001C656D">
        <w:t xml:space="preserve"> We propose an iterative testing process, of up to three phase</w:t>
      </w:r>
      <w:r w:rsidR="001C656D" w:rsidRPr="003D7182">
        <w:t>s</w:t>
      </w:r>
      <w:r w:rsidR="001C656D">
        <w:t xml:space="preserve">: </w:t>
      </w:r>
    </w:p>
    <w:p w14:paraId="352A74B0" w14:textId="6D2E58EC" w:rsidR="001C656D" w:rsidRDefault="001C656D" w:rsidP="00FD1073">
      <w:pPr>
        <w:ind w:left="720" w:hanging="360"/>
      </w:pPr>
      <w:r>
        <w:t>(1)</w:t>
      </w:r>
      <w:r w:rsidRPr="00E20E7D">
        <w:t xml:space="preserve"> </w:t>
      </w:r>
      <w:r w:rsidR="004064D1">
        <w:t xml:space="preserve"> </w:t>
      </w:r>
      <w:r>
        <w:t>We w</w:t>
      </w:r>
      <w:r w:rsidRPr="00E20E7D">
        <w:t xml:space="preserve">ill administer the entire survey, and the debrief will focus on the new or newly modified items. </w:t>
      </w:r>
    </w:p>
    <w:p w14:paraId="7A49DB74" w14:textId="1E19F0B4" w:rsidR="001C656D" w:rsidRDefault="001C656D" w:rsidP="00FD1073">
      <w:pPr>
        <w:ind w:left="720" w:hanging="360"/>
      </w:pPr>
      <w:r>
        <w:t>(2)</w:t>
      </w:r>
      <w:r w:rsidR="004064D1">
        <w:t xml:space="preserve"> </w:t>
      </w:r>
      <w:r>
        <w:t xml:space="preserve"> We</w:t>
      </w:r>
      <w:r w:rsidRPr="00E20E7D">
        <w:t xml:space="preserve"> will </w:t>
      </w:r>
      <w:r w:rsidR="004064D1">
        <w:t>administer questions that were revised based on the first phase</w:t>
      </w:r>
      <w:r w:rsidRPr="00E20E7D">
        <w:t>.</w:t>
      </w:r>
    </w:p>
    <w:p w14:paraId="7D2DD56D" w14:textId="1CC12A34" w:rsidR="001C656D" w:rsidRDefault="001C656D" w:rsidP="0066719C">
      <w:pPr>
        <w:ind w:left="720" w:hanging="360"/>
      </w:pPr>
      <w:r>
        <w:t>(3)</w:t>
      </w:r>
      <w:r w:rsidRPr="00E20E7D">
        <w:t xml:space="preserve"> </w:t>
      </w:r>
      <w:r w:rsidR="004064D1">
        <w:t xml:space="preserve"> </w:t>
      </w:r>
      <w:r w:rsidRPr="00E20E7D">
        <w:t>Due to the large number of</w:t>
      </w:r>
      <w:r>
        <w:t xml:space="preserve"> survey</w:t>
      </w:r>
      <w:r w:rsidRPr="00E20E7D">
        <w:t xml:space="preserve"> items that were new or newly modified, it may be necessary to conduct a third phase of cognitive pre-testing to ensure that all survey items are</w:t>
      </w:r>
      <w:r w:rsidR="004064D1">
        <w:t xml:space="preserve"> reliable and</w:t>
      </w:r>
      <w:r w:rsidRPr="00E20E7D">
        <w:t xml:space="preserve"> appropriate for the intended populations. </w:t>
      </w:r>
      <w:r w:rsidR="004064D1">
        <w:t>If necessary, the</w:t>
      </w:r>
      <w:r w:rsidRPr="00E20E7D">
        <w:t xml:space="preserve"> third round would focus on revisions, from the second pre-testing phase. </w:t>
      </w:r>
    </w:p>
    <w:p w14:paraId="254F62B3" w14:textId="485D2B1A" w:rsidR="001C656D" w:rsidRDefault="001C656D" w:rsidP="00FD1073">
      <w:r>
        <w:t xml:space="preserve">See Supporting Statement B for additional information about the target population and the procedures for collection of data. </w:t>
      </w:r>
    </w:p>
    <w:p w14:paraId="02B399F5" w14:textId="268E1FAE" w:rsidR="00D97B01" w:rsidRPr="004064D1" w:rsidRDefault="00D97B01" w:rsidP="00FD1073">
      <w:pPr>
        <w:spacing w:after="120"/>
        <w:rPr>
          <w:i/>
        </w:rPr>
      </w:pPr>
      <w:r w:rsidRPr="004064D1">
        <w:rPr>
          <w:i/>
        </w:rPr>
        <w:t xml:space="preserve">Study </w:t>
      </w:r>
      <w:r w:rsidR="00B4613F" w:rsidRPr="004064D1">
        <w:rPr>
          <w:i/>
        </w:rPr>
        <w:t xml:space="preserve">Instruments and </w:t>
      </w:r>
      <w:r w:rsidRPr="004064D1">
        <w:rPr>
          <w:i/>
        </w:rPr>
        <w:t>Protocol</w:t>
      </w:r>
    </w:p>
    <w:p w14:paraId="643D823F" w14:textId="7823CE1D" w:rsidR="00B77EF1" w:rsidRDefault="00D74047" w:rsidP="00B77EF1">
      <w:pPr>
        <w:spacing w:after="0" w:line="240" w:lineRule="auto"/>
        <w:rPr>
          <w:i/>
        </w:rPr>
      </w:pPr>
      <w:r>
        <w:t xml:space="preserve">The pre-test consists of four </w:t>
      </w:r>
      <w:r w:rsidR="008037E4">
        <w:t>instruments</w:t>
      </w:r>
      <w:r w:rsidR="009156E2">
        <w:t>,</w:t>
      </w:r>
      <w:r w:rsidR="003D7182" w:rsidRPr="003D7182">
        <w:t xml:space="preserve"> based upon respondent type and age</w:t>
      </w:r>
      <w:r w:rsidR="008037E4">
        <w:t>:</w:t>
      </w:r>
      <w:r w:rsidR="008037E4">
        <w:br/>
      </w:r>
      <w:r w:rsidR="008037E4" w:rsidRPr="003D7182">
        <w:t xml:space="preserve"> </w:t>
      </w:r>
    </w:p>
    <w:p w14:paraId="26BA9C1B" w14:textId="23E372FB" w:rsidR="00B77EF1" w:rsidRPr="0066719C" w:rsidRDefault="00B77EF1" w:rsidP="0066719C">
      <w:pPr>
        <w:pStyle w:val="ListParagraph"/>
        <w:numPr>
          <w:ilvl w:val="0"/>
          <w:numId w:val="45"/>
        </w:numPr>
        <w:spacing w:after="0"/>
        <w:rPr>
          <w:b/>
          <w:i/>
        </w:rPr>
      </w:pPr>
      <w:r w:rsidRPr="0066719C">
        <w:rPr>
          <w:b/>
          <w:i/>
        </w:rPr>
        <w:t>Parent Pre-Test</w:t>
      </w:r>
      <w:r w:rsidR="00472C7F">
        <w:rPr>
          <w:b/>
          <w:i/>
        </w:rPr>
        <w:t xml:space="preserve"> Protocol</w:t>
      </w:r>
      <w:r w:rsidR="006D4EFA">
        <w:rPr>
          <w:b/>
          <w:i/>
        </w:rPr>
        <w:t>:</w:t>
      </w:r>
      <w:r w:rsidRPr="0066719C">
        <w:rPr>
          <w:b/>
          <w:i/>
        </w:rPr>
        <w:t xml:space="preserve"> Survey and Debrief Topic Guide</w:t>
      </w:r>
      <w:r w:rsidR="001C656D" w:rsidRPr="00FA6ED2">
        <w:rPr>
          <w:b/>
          <w:i/>
        </w:rPr>
        <w:t xml:space="preserve"> (Instrument 1)</w:t>
      </w:r>
    </w:p>
    <w:p w14:paraId="11FF86CB" w14:textId="57BF960F" w:rsidR="0081375A" w:rsidRPr="0081375A" w:rsidRDefault="0081375A" w:rsidP="004064D1">
      <w:pPr>
        <w:ind w:left="360"/>
      </w:pPr>
      <w:r w:rsidRPr="008037E4">
        <w:t xml:space="preserve">This instrument will be tested with </w:t>
      </w:r>
      <w:r>
        <w:t>parents</w:t>
      </w:r>
      <w:r w:rsidRPr="008037E4">
        <w:t xml:space="preserve"> of youth aged 14-18.</w:t>
      </w:r>
    </w:p>
    <w:p w14:paraId="60037CE4" w14:textId="438DA8B4" w:rsidR="00C31FDE" w:rsidRDefault="000C4F66" w:rsidP="0066719C">
      <w:pPr>
        <w:shd w:val="clear" w:color="auto" w:fill="FFFFFF"/>
        <w:spacing w:after="280"/>
        <w:ind w:left="360"/>
      </w:pPr>
      <w:r>
        <w:t xml:space="preserve">The </w:t>
      </w:r>
      <w:r w:rsidR="0081375A">
        <w:t>IDEAS project p</w:t>
      </w:r>
      <w:r>
        <w:t>arent survey collects information about</w:t>
      </w:r>
      <w:r w:rsidR="00B77EF1">
        <w:t xml:space="preserve"> </w:t>
      </w:r>
      <w:r>
        <w:t>demographics of the</w:t>
      </w:r>
      <w:r w:rsidR="00B77EF1">
        <w:t xml:space="preserve"> parent</w:t>
      </w:r>
      <w:r>
        <w:t xml:space="preserve"> and focal child;</w:t>
      </w:r>
      <w:r w:rsidR="00B77EF1">
        <w:t xml:space="preserve"> </w:t>
      </w:r>
      <w:r>
        <w:t xml:space="preserve">the </w:t>
      </w:r>
      <w:r w:rsidR="00B77EF1">
        <w:t>relationship and communication with the focal child</w:t>
      </w:r>
      <w:r>
        <w:t xml:space="preserve">; the </w:t>
      </w:r>
      <w:r w:rsidR="00B77EF1">
        <w:t>child’s exposure to sexual education and parental beliefs about sexual education</w:t>
      </w:r>
      <w:r>
        <w:t xml:space="preserve">; parental </w:t>
      </w:r>
      <w:r w:rsidR="00B77EF1">
        <w:t>attitudes and beliefs about youth sexual behavior</w:t>
      </w:r>
      <w:r>
        <w:t xml:space="preserve">; </w:t>
      </w:r>
      <w:r w:rsidR="00B77EF1">
        <w:t xml:space="preserve">and </w:t>
      </w:r>
      <w:r>
        <w:t xml:space="preserve">parent’s </w:t>
      </w:r>
      <w:r w:rsidR="00B77EF1">
        <w:t>knowledge of youth sexual risk behaviors</w:t>
      </w:r>
      <w:r>
        <w:t>,</w:t>
      </w:r>
      <w:r w:rsidR="00B77EF1">
        <w:t xml:space="preserve"> </w:t>
      </w:r>
      <w:r>
        <w:t xml:space="preserve">including </w:t>
      </w:r>
      <w:r w:rsidR="00B77EF1">
        <w:t xml:space="preserve">the focal child’s behaviors. </w:t>
      </w:r>
      <w:r w:rsidR="00C13F5D">
        <w:br/>
      </w:r>
      <w:r w:rsidR="00C13F5D">
        <w:br/>
      </w:r>
      <w:r w:rsidR="00B77EF1">
        <w:t>The Parent Pre-Test session will take up to two hours. The first 45 minutes will consist of a group introduction to the pre-testing/discussion task; conducting the consent procedures</w:t>
      </w:r>
      <w:r w:rsidR="004064D1">
        <w:t>;</w:t>
      </w:r>
      <w:r w:rsidR="00B77EF1">
        <w:t xml:space="preserve"> and time for parent</w:t>
      </w:r>
      <w:r w:rsidR="008037E4">
        <w:t>s</w:t>
      </w:r>
      <w:r w:rsidR="00B77EF1">
        <w:t xml:space="preserve"> to complete the survey instrument. </w:t>
      </w:r>
      <w:r w:rsidR="00C13F5D">
        <w:t>The</w:t>
      </w:r>
      <w:r w:rsidR="00B77EF1">
        <w:t xml:space="preserve"> parent instrument is designed to take 20 minutes to </w:t>
      </w:r>
      <w:r w:rsidR="00C13F5D">
        <w:t>complete</w:t>
      </w:r>
      <w:r w:rsidR="00B77EF1">
        <w:t>,</w:t>
      </w:r>
      <w:r w:rsidR="00C13F5D">
        <w:t xml:space="preserve"> but </w:t>
      </w:r>
      <w:r w:rsidR="00B77EF1">
        <w:t xml:space="preserve">we allow more time for parents to respond </w:t>
      </w:r>
      <w:r w:rsidR="00C13F5D">
        <w:t xml:space="preserve">during the pre-test, including writing </w:t>
      </w:r>
      <w:r w:rsidR="00B77EF1">
        <w:t xml:space="preserve">notes on items </w:t>
      </w:r>
      <w:r w:rsidR="00C13F5D">
        <w:t xml:space="preserve">that are </w:t>
      </w:r>
      <w:r w:rsidR="00B77EF1">
        <w:t xml:space="preserve">difficult to understand or </w:t>
      </w:r>
      <w:r w:rsidR="00C13F5D">
        <w:t xml:space="preserve">raise </w:t>
      </w:r>
      <w:r w:rsidR="00B77EF1">
        <w:t xml:space="preserve">concerns </w:t>
      </w:r>
      <w:r w:rsidR="008037E4">
        <w:t>for</w:t>
      </w:r>
      <w:r w:rsidR="00B77EF1">
        <w:t xml:space="preserve"> discuss</w:t>
      </w:r>
      <w:r w:rsidR="008037E4">
        <w:t>ion</w:t>
      </w:r>
      <w:r w:rsidR="00B77EF1">
        <w:t>. From previous experience pre-testing surveys, we have found that allowing additional time for completion improves the quality of</w:t>
      </w:r>
      <w:r w:rsidR="00C13F5D">
        <w:t xml:space="preserve"> resulting</w:t>
      </w:r>
      <w:r w:rsidR="00B77EF1">
        <w:t xml:space="preserve"> information and </w:t>
      </w:r>
      <w:r w:rsidR="00C13F5D">
        <w:t>enables</w:t>
      </w:r>
      <w:r w:rsidR="00B77EF1">
        <w:t xml:space="preserve"> more productive group discussion. The remaining 75 minutes of the session will </w:t>
      </w:r>
      <w:r w:rsidR="00C13F5D">
        <w:t>be</w:t>
      </w:r>
      <w:r w:rsidR="00B77EF1">
        <w:t xml:space="preserve"> </w:t>
      </w:r>
      <w:r w:rsidR="00C13F5D">
        <w:t xml:space="preserve">a </w:t>
      </w:r>
      <w:r w:rsidR="00B77EF1">
        <w:t xml:space="preserve">structured small group discussion, following the pre-test protocol and focusing on new items and previously used items modified for this study.  </w:t>
      </w:r>
    </w:p>
    <w:p w14:paraId="2C8DCF05" w14:textId="77777777" w:rsidR="00C31FDE" w:rsidRDefault="00C31FDE">
      <w:r>
        <w:br w:type="page"/>
      </w:r>
    </w:p>
    <w:p w14:paraId="023EF019" w14:textId="77777777" w:rsidR="00B77EF1" w:rsidRDefault="00B77EF1" w:rsidP="0066719C">
      <w:pPr>
        <w:shd w:val="clear" w:color="auto" w:fill="FFFFFF"/>
        <w:spacing w:after="280"/>
        <w:ind w:left="360"/>
      </w:pPr>
    </w:p>
    <w:p w14:paraId="00DB22CE" w14:textId="4A63E852" w:rsidR="00B77EF1" w:rsidRPr="00FA6ED2" w:rsidRDefault="00B77EF1" w:rsidP="00FA6ED2">
      <w:pPr>
        <w:pStyle w:val="ListParagraph"/>
        <w:numPr>
          <w:ilvl w:val="0"/>
          <w:numId w:val="45"/>
        </w:numPr>
        <w:spacing w:after="0"/>
        <w:rPr>
          <w:b/>
          <w:i/>
        </w:rPr>
      </w:pPr>
      <w:r w:rsidRPr="0066719C">
        <w:rPr>
          <w:b/>
          <w:i/>
        </w:rPr>
        <w:t xml:space="preserve">Youth </w:t>
      </w:r>
      <w:r w:rsidR="003521FC">
        <w:rPr>
          <w:b/>
          <w:i/>
        </w:rPr>
        <w:t>Pre-test Protocol:</w:t>
      </w:r>
      <w:r w:rsidR="00472C7F">
        <w:rPr>
          <w:b/>
          <w:i/>
        </w:rPr>
        <w:t xml:space="preserve"> </w:t>
      </w:r>
      <w:r w:rsidRPr="0066719C">
        <w:rPr>
          <w:b/>
          <w:i/>
        </w:rPr>
        <w:t xml:space="preserve">Survey and Debrief Topic </w:t>
      </w:r>
      <w:r w:rsidRPr="00FA6ED2">
        <w:rPr>
          <w:b/>
          <w:i/>
        </w:rPr>
        <w:t>Guide</w:t>
      </w:r>
      <w:r w:rsidR="00D97B01" w:rsidRPr="00FA6ED2">
        <w:rPr>
          <w:b/>
          <w:i/>
        </w:rPr>
        <w:t>s</w:t>
      </w:r>
      <w:r w:rsidRPr="00FA6ED2">
        <w:rPr>
          <w:i/>
        </w:rPr>
        <w:t xml:space="preserve"> </w:t>
      </w:r>
      <w:r w:rsidR="001C656D" w:rsidRPr="00FA6ED2">
        <w:rPr>
          <w:b/>
          <w:i/>
        </w:rPr>
        <w:t>(Instruments 2</w:t>
      </w:r>
      <w:r w:rsidR="001C656D" w:rsidRPr="0066719C">
        <w:rPr>
          <w:b/>
          <w:i/>
        </w:rPr>
        <w:t xml:space="preserve"> and </w:t>
      </w:r>
      <w:r w:rsidR="001C656D" w:rsidRPr="00FA6ED2">
        <w:rPr>
          <w:b/>
          <w:i/>
        </w:rPr>
        <w:t>3)</w:t>
      </w:r>
    </w:p>
    <w:p w14:paraId="1D10C9B4" w14:textId="1BB71322" w:rsidR="008037E4" w:rsidRDefault="008037E4" w:rsidP="004064D1">
      <w:pPr>
        <w:ind w:left="360"/>
      </w:pPr>
      <w:r>
        <w:t>Th</w:t>
      </w:r>
      <w:r w:rsidR="00D97B01">
        <w:t>ese</w:t>
      </w:r>
      <w:r>
        <w:t xml:space="preserve"> instrument</w:t>
      </w:r>
      <w:r w:rsidR="00D97B01">
        <w:t>s</w:t>
      </w:r>
      <w:r>
        <w:t xml:space="preserve"> will be pre-tested with youth aged 14-18.  Given the instrument </w:t>
      </w:r>
      <w:r w:rsidRPr="00E20E7D">
        <w:t>length, sensitive topics, and cognitive demands of the debrief, youth respondents</w:t>
      </w:r>
      <w:r>
        <w:t xml:space="preserve"> will receive</w:t>
      </w:r>
      <w:r w:rsidRPr="00E20E7D">
        <w:t xml:space="preserve"> </w:t>
      </w:r>
      <w:r w:rsidRPr="00856459">
        <w:rPr>
          <w:i/>
        </w:rPr>
        <w:t>either</w:t>
      </w:r>
      <w:r w:rsidRPr="00E20E7D">
        <w:t xml:space="preserve"> Part 1 or Part 2 of the survey </w:t>
      </w:r>
      <w:r>
        <w:t>for pre-testing.</w:t>
      </w:r>
    </w:p>
    <w:p w14:paraId="7B9EDEC7" w14:textId="67BEDA0D" w:rsidR="008037E4" w:rsidRDefault="00B77EF1" w:rsidP="004064D1">
      <w:pPr>
        <w:shd w:val="clear" w:color="auto" w:fill="FFFFFF"/>
        <w:spacing w:after="240"/>
        <w:ind w:left="360"/>
      </w:pPr>
      <w:r>
        <w:t xml:space="preserve">Questions in the Youth Survey Part 1 focus on </w:t>
      </w:r>
      <w:r w:rsidR="001C656D">
        <w:t xml:space="preserve">youth </w:t>
      </w:r>
      <w:r>
        <w:t>demographics</w:t>
      </w:r>
      <w:r w:rsidR="008037E4">
        <w:t xml:space="preserve">; </w:t>
      </w:r>
      <w:r>
        <w:t>relationship and communication with parents</w:t>
      </w:r>
      <w:r w:rsidR="008037E4">
        <w:t xml:space="preserve">; </w:t>
      </w:r>
      <w:r>
        <w:t>aspirations</w:t>
      </w:r>
      <w:r w:rsidR="00472C7F">
        <w:t xml:space="preserve"> about education and romantic relationships</w:t>
      </w:r>
      <w:r w:rsidR="008037E4">
        <w:t xml:space="preserve">; </w:t>
      </w:r>
      <w:r>
        <w:t xml:space="preserve">and attitudes and beliefs about youth sexual behavior. </w:t>
      </w:r>
    </w:p>
    <w:p w14:paraId="7F72B334" w14:textId="3B0B2ACB" w:rsidR="001C656D" w:rsidRDefault="00B77EF1" w:rsidP="004064D1">
      <w:pPr>
        <w:shd w:val="clear" w:color="auto" w:fill="FFFFFF"/>
        <w:spacing w:after="100" w:afterAutospacing="1"/>
        <w:ind w:left="360"/>
      </w:pPr>
      <w:r>
        <w:t>Questions in the Youth Survey Part 2 focus on</w:t>
      </w:r>
      <w:r w:rsidR="008037E4">
        <w:t xml:space="preserve"> youth’s</w:t>
      </w:r>
      <w:r>
        <w:t xml:space="preserve"> knowledge of prevalence of risk behaviors and risk prevention</w:t>
      </w:r>
      <w:r w:rsidR="008037E4">
        <w:t xml:space="preserve">; </w:t>
      </w:r>
      <w:r>
        <w:t>exposure to and beliefs about sexual education</w:t>
      </w:r>
      <w:r w:rsidR="008037E4">
        <w:t xml:space="preserve">; </w:t>
      </w:r>
      <w:r>
        <w:t xml:space="preserve">and </w:t>
      </w:r>
      <w:r w:rsidRPr="00B1270D">
        <w:t>sexual risk behaviors.</w:t>
      </w:r>
      <w:r>
        <w:t xml:space="preserve"> </w:t>
      </w:r>
    </w:p>
    <w:p w14:paraId="7264D5B0" w14:textId="09863741" w:rsidR="001C656D" w:rsidRDefault="001C656D" w:rsidP="0066719C">
      <w:pPr>
        <w:shd w:val="clear" w:color="auto" w:fill="FFFFFF"/>
        <w:spacing w:after="240"/>
        <w:ind w:left="360"/>
      </w:pPr>
      <w:r>
        <w:t xml:space="preserve">Each Youth Survey pre-test session will take 90 minutes to complete. The first step will be obtaining parental </w:t>
      </w:r>
      <w:r w:rsidR="00D97B01">
        <w:t>consent</w:t>
      </w:r>
      <w:r>
        <w:t xml:space="preserve"> for youth participation. After consent is obtained, youth will be taken to a separate room from parents and the next </w:t>
      </w:r>
      <w:r w:rsidRPr="00EF737C">
        <w:t xml:space="preserve">30 minutes will consist of introduction, </w:t>
      </w:r>
      <w:r>
        <w:t>assent,</w:t>
      </w:r>
      <w:r w:rsidRPr="00EF737C">
        <w:t xml:space="preserve"> and the time for the </w:t>
      </w:r>
      <w:r>
        <w:t>youth</w:t>
      </w:r>
      <w:r w:rsidRPr="00EF737C">
        <w:t xml:space="preserve"> to complete the survey instrument. The remaining 60 minutes will be used for the structured small group discussion, following the pre</w:t>
      </w:r>
      <w:r>
        <w:t>-</w:t>
      </w:r>
      <w:r w:rsidRPr="00EF737C">
        <w:t>test protocol</w:t>
      </w:r>
      <w:r>
        <w:t xml:space="preserve"> and</w:t>
      </w:r>
      <w:r w:rsidRPr="00EF737C">
        <w:t xml:space="preserve"> focusing on</w:t>
      </w:r>
      <w:r>
        <w:t xml:space="preserve"> new and</w:t>
      </w:r>
      <w:r w:rsidRPr="00EF737C">
        <w:t xml:space="preserve"> previously</w:t>
      </w:r>
      <w:r>
        <w:t>-</w:t>
      </w:r>
      <w:r w:rsidRPr="00EF737C">
        <w:t>used</w:t>
      </w:r>
      <w:r>
        <w:t xml:space="preserve"> items that were modified for the IDEAS project</w:t>
      </w:r>
      <w:r w:rsidRPr="00EF737C">
        <w:t>.</w:t>
      </w:r>
    </w:p>
    <w:p w14:paraId="2F8ADA8E" w14:textId="5ABEE197" w:rsidR="00B77EF1" w:rsidRPr="0066719C" w:rsidRDefault="00B77EF1" w:rsidP="0066719C">
      <w:pPr>
        <w:pStyle w:val="ListParagraph"/>
        <w:numPr>
          <w:ilvl w:val="0"/>
          <w:numId w:val="45"/>
        </w:numPr>
        <w:spacing w:after="0"/>
        <w:rPr>
          <w:b/>
          <w:i/>
        </w:rPr>
      </w:pPr>
      <w:r w:rsidRPr="0066719C">
        <w:rPr>
          <w:b/>
          <w:i/>
        </w:rPr>
        <w:t xml:space="preserve">Young Adult </w:t>
      </w:r>
      <w:r w:rsidR="003521FC">
        <w:rPr>
          <w:b/>
          <w:i/>
        </w:rPr>
        <w:t>Pretest Protocol:</w:t>
      </w:r>
      <w:r w:rsidR="008D5AFB">
        <w:rPr>
          <w:b/>
          <w:i/>
        </w:rPr>
        <w:t xml:space="preserve"> </w:t>
      </w:r>
      <w:r w:rsidRPr="0066719C">
        <w:rPr>
          <w:b/>
          <w:i/>
        </w:rPr>
        <w:t>Survey and Debrief Topic Guide</w:t>
      </w:r>
      <w:r w:rsidR="001C656D" w:rsidRPr="00FA6ED2">
        <w:rPr>
          <w:b/>
          <w:i/>
        </w:rPr>
        <w:t xml:space="preserve"> (Instrument 4)</w:t>
      </w:r>
    </w:p>
    <w:p w14:paraId="0E445B60" w14:textId="1FC020E2" w:rsidR="001C656D" w:rsidRPr="001C656D" w:rsidRDefault="001C656D" w:rsidP="004064D1">
      <w:pPr>
        <w:ind w:left="360"/>
      </w:pPr>
      <w:r w:rsidRPr="00B4613F">
        <w:t xml:space="preserve">This instrument will be pre-tested with young adults aged </w:t>
      </w:r>
      <w:r w:rsidR="008D5AFB" w:rsidRPr="00B4613F">
        <w:t>1</w:t>
      </w:r>
      <w:r w:rsidR="008D5AFB">
        <w:t>9</w:t>
      </w:r>
      <w:r w:rsidRPr="00B4613F">
        <w:t>-2</w:t>
      </w:r>
      <w:r w:rsidR="00470E1D">
        <w:t>4</w:t>
      </w:r>
      <w:r w:rsidRPr="00B4613F">
        <w:t>.</w:t>
      </w:r>
    </w:p>
    <w:p w14:paraId="7CEF53B9" w14:textId="041AC470" w:rsidR="00B77EF1" w:rsidRPr="00B33C94" w:rsidRDefault="00B77EF1" w:rsidP="0066719C">
      <w:pPr>
        <w:ind w:left="360"/>
      </w:pPr>
      <w:r>
        <w:t xml:space="preserve">Questions in the Young Adult Survey are similar to the Youth Survey Part 1 and 2, with wording changes and some additional questions more appropriate for this older age group. </w:t>
      </w:r>
      <w:r w:rsidR="001C656D">
        <w:br/>
      </w:r>
      <w:r w:rsidR="001C656D">
        <w:br/>
      </w:r>
      <w:r w:rsidRPr="008C7ECA">
        <w:t xml:space="preserve">The </w:t>
      </w:r>
      <w:r>
        <w:t>Young Adult</w:t>
      </w:r>
      <w:r w:rsidRPr="008C7ECA">
        <w:t xml:space="preserve"> Pre</w:t>
      </w:r>
      <w:r>
        <w:t>-T</w:t>
      </w:r>
      <w:r w:rsidRPr="008C7ECA">
        <w:t xml:space="preserve">est will take up to </w:t>
      </w:r>
      <w:r>
        <w:t>two</w:t>
      </w:r>
      <w:r w:rsidRPr="008C7ECA">
        <w:t xml:space="preserve"> hours to complete. The first 45 minutes will consist of the introduction, </w:t>
      </w:r>
      <w:r w:rsidR="00D97B01">
        <w:t>consent</w:t>
      </w:r>
      <w:r>
        <w:t>,</w:t>
      </w:r>
      <w:r w:rsidRPr="008C7ECA">
        <w:t xml:space="preserve"> and the time for the </w:t>
      </w:r>
      <w:r>
        <w:t>respondent</w:t>
      </w:r>
      <w:r w:rsidRPr="008C7ECA">
        <w:t xml:space="preserve"> to complete the survey instrument. The remaining 75 minutes will be used for the structured small group discussion, following the pre</w:t>
      </w:r>
      <w:r>
        <w:t>-</w:t>
      </w:r>
      <w:r w:rsidRPr="008C7ECA">
        <w:t>test protocol</w:t>
      </w:r>
      <w:r>
        <w:t xml:space="preserve"> and</w:t>
      </w:r>
      <w:r w:rsidRPr="008C7ECA">
        <w:t xml:space="preserve"> focusing on previously used items </w:t>
      </w:r>
      <w:r>
        <w:t xml:space="preserve">that were </w:t>
      </w:r>
      <w:r w:rsidRPr="008C7ECA">
        <w:t>modified a</w:t>
      </w:r>
      <w:r>
        <w:t>s well as</w:t>
      </w:r>
      <w:r w:rsidRPr="008C7ECA">
        <w:t xml:space="preserve"> new items.</w:t>
      </w:r>
    </w:p>
    <w:p w14:paraId="3D73964B" w14:textId="7407E242" w:rsidR="00CB1F9B" w:rsidRDefault="00CB1F9B" w:rsidP="007D0F6E">
      <w:pPr>
        <w:spacing w:after="0" w:line="240" w:lineRule="auto"/>
      </w:pPr>
    </w:p>
    <w:p w14:paraId="14276DBE" w14:textId="37E5F18E" w:rsidR="007D0F6E" w:rsidRDefault="00BD702B" w:rsidP="007D0F6E">
      <w:pPr>
        <w:spacing w:after="120" w:line="240" w:lineRule="auto"/>
        <w:rPr>
          <w:b/>
        </w:rPr>
      </w:pPr>
      <w:r w:rsidRPr="00624DDC">
        <w:rPr>
          <w:b/>
        </w:rPr>
        <w:t>A3</w:t>
      </w:r>
      <w:r w:rsidR="007D0F6E">
        <w:t>.</w:t>
      </w:r>
      <w:r w:rsidR="007D0F6E">
        <w:tab/>
      </w:r>
      <w:r w:rsidR="004E5778" w:rsidRPr="007D0F6E">
        <w:rPr>
          <w:b/>
        </w:rPr>
        <w:t>Use of Information Technology to Reduce Burden</w:t>
      </w:r>
      <w:r w:rsidR="00FD1073">
        <w:rPr>
          <w:b/>
        </w:rPr>
        <w:br/>
      </w:r>
    </w:p>
    <w:p w14:paraId="0D4EC89E" w14:textId="0413163F" w:rsidR="00CB1F9B" w:rsidRDefault="00F949D4" w:rsidP="00F949D4">
      <w:r w:rsidRPr="00A748DB">
        <w:t xml:space="preserve">The surveys </w:t>
      </w:r>
      <w:r w:rsidR="00DF699C">
        <w:t xml:space="preserve">for the final Youth Empowerment IDEAS national data collection </w:t>
      </w:r>
      <w:r w:rsidRPr="00A748DB">
        <w:t xml:space="preserve">will ultimately be programmed as web surveys. </w:t>
      </w:r>
      <w:r>
        <w:t xml:space="preserve">At this stage of the design, </w:t>
      </w:r>
      <w:r w:rsidR="001C656D">
        <w:t xml:space="preserve">questions will likely change based on pre-test feedback, so it </w:t>
      </w:r>
      <w:r w:rsidRPr="00C47D77">
        <w:t>is inefficient to program the pre</w:t>
      </w:r>
      <w:r>
        <w:t>-</w:t>
      </w:r>
      <w:r w:rsidRPr="00C47D77">
        <w:t xml:space="preserve">test survey instrument into a </w:t>
      </w:r>
      <w:r w:rsidRPr="00A748DB">
        <w:t>web survey</w:t>
      </w:r>
      <w:r w:rsidRPr="00C47D77">
        <w:t xml:space="preserve"> system.</w:t>
      </w:r>
      <w:r>
        <w:t xml:space="preserve"> </w:t>
      </w:r>
      <w:r w:rsidRPr="00A748DB">
        <w:t xml:space="preserve">Respondents will complete the survey on hardcopy </w:t>
      </w:r>
      <w:r>
        <w:t>so</w:t>
      </w:r>
      <w:r w:rsidRPr="00A748DB">
        <w:t xml:space="preserve"> they can easily </w:t>
      </w:r>
      <w:r>
        <w:t>mark</w:t>
      </w:r>
      <w:r w:rsidRPr="00A748DB">
        <w:t xml:space="preserve"> items that were difficult to comprehend. Qualitative information from the small group discussions will be collected via written notes</w:t>
      </w:r>
      <w:r w:rsidRPr="00C47D77">
        <w:t xml:space="preserve"> </w:t>
      </w:r>
      <w:r w:rsidRPr="00A748DB">
        <w:t>onto laptops and will be audio</w:t>
      </w:r>
      <w:r>
        <w:t xml:space="preserve"> </w:t>
      </w:r>
      <w:r w:rsidRPr="00A748DB">
        <w:t>recorded.</w:t>
      </w:r>
      <w:r>
        <w:t xml:space="preserve"> </w:t>
      </w:r>
    </w:p>
    <w:p w14:paraId="5B14A5A4" w14:textId="77777777" w:rsidR="005651C7" w:rsidRPr="001B5085" w:rsidRDefault="005651C7" w:rsidP="001B5085">
      <w:pPr>
        <w:pBdr>
          <w:top w:val="nil"/>
          <w:left w:val="nil"/>
          <w:bottom w:val="nil"/>
          <w:right w:val="nil"/>
          <w:between w:val="nil"/>
        </w:pBdr>
        <w:spacing w:after="0" w:line="240" w:lineRule="auto"/>
        <w:ind w:left="360" w:hanging="720"/>
        <w:rPr>
          <w:color w:val="000000"/>
        </w:rPr>
      </w:pPr>
    </w:p>
    <w:p w14:paraId="1F639D74" w14:textId="3A718F41" w:rsidR="00891CD9" w:rsidRDefault="00BD702B" w:rsidP="007D0F6E">
      <w:pPr>
        <w:spacing w:after="120" w:line="240" w:lineRule="auto"/>
        <w:ind w:left="720" w:hanging="720"/>
        <w:rPr>
          <w:b/>
        </w:rPr>
      </w:pPr>
      <w:r w:rsidRPr="00624DDC">
        <w:rPr>
          <w:b/>
        </w:rPr>
        <w:t>A4</w:t>
      </w:r>
      <w:r>
        <w:t>.</w:t>
      </w:r>
      <w:r>
        <w:tab/>
      </w:r>
      <w:r w:rsidR="004E5778" w:rsidRPr="007D0F6E">
        <w:rPr>
          <w:b/>
        </w:rPr>
        <w:t xml:space="preserve">Use of Existing Data: </w:t>
      </w:r>
      <w:r w:rsidR="0068303E" w:rsidRPr="007D0F6E">
        <w:rPr>
          <w:b/>
        </w:rPr>
        <w:t>E</w:t>
      </w:r>
      <w:r w:rsidR="00CC4651" w:rsidRPr="007D0F6E">
        <w:rPr>
          <w:b/>
        </w:rPr>
        <w:t>fforts to</w:t>
      </w:r>
      <w:r w:rsidR="00891CD9" w:rsidRPr="007D0F6E">
        <w:rPr>
          <w:b/>
        </w:rPr>
        <w:t xml:space="preserve"> reduce duplication</w:t>
      </w:r>
      <w:r w:rsidR="009A3AD8" w:rsidRPr="007D0F6E">
        <w:rPr>
          <w:b/>
        </w:rPr>
        <w:t>,</w:t>
      </w:r>
      <w:r w:rsidR="00EA0D4F" w:rsidRPr="007D0F6E">
        <w:rPr>
          <w:b/>
        </w:rPr>
        <w:t xml:space="preserve"> minimize burden</w:t>
      </w:r>
      <w:r w:rsidR="009A3AD8" w:rsidRPr="007D0F6E">
        <w:rPr>
          <w:b/>
        </w:rPr>
        <w:t>,</w:t>
      </w:r>
      <w:r w:rsidR="00A03E3F" w:rsidRPr="007D0F6E">
        <w:rPr>
          <w:b/>
        </w:rPr>
        <w:t xml:space="preserve"> and</w:t>
      </w:r>
      <w:r w:rsidR="00EA0D4F" w:rsidRPr="007D0F6E">
        <w:rPr>
          <w:b/>
        </w:rPr>
        <w:t xml:space="preserve"> increase</w:t>
      </w:r>
      <w:r w:rsidR="00D55767" w:rsidRPr="007D0F6E">
        <w:rPr>
          <w:b/>
        </w:rPr>
        <w:t xml:space="preserve"> utility and</w:t>
      </w:r>
      <w:r w:rsidR="00EA0D4F" w:rsidRPr="007D0F6E">
        <w:rPr>
          <w:b/>
        </w:rPr>
        <w:t xml:space="preserve"> government </w:t>
      </w:r>
      <w:r w:rsidR="00591283" w:rsidRPr="007D0F6E">
        <w:rPr>
          <w:b/>
        </w:rPr>
        <w:t>efficiency</w:t>
      </w:r>
      <w:r w:rsidR="00FD1073">
        <w:rPr>
          <w:b/>
        </w:rPr>
        <w:br/>
      </w:r>
    </w:p>
    <w:p w14:paraId="3000107E" w14:textId="6BC612B2" w:rsidR="00CB1F9B" w:rsidRDefault="00F949D4" w:rsidP="0066719C">
      <w:pPr>
        <w:spacing w:after="0"/>
      </w:pPr>
      <w:r>
        <w:t xml:space="preserve">ACF has carefully reviewed the information collection requirements to avoid duplication with existing studies or other ongoing federal teen pregnancy prevention evaluations. As mentioned above, when designing the survey instruments, the study team reviewed </w:t>
      </w:r>
      <w:r w:rsidR="00865301">
        <w:t>12</w:t>
      </w:r>
      <w:r w:rsidR="00865301" w:rsidRPr="00A748DB">
        <w:t xml:space="preserve"> </w:t>
      </w:r>
      <w:r w:rsidRPr="00A748DB">
        <w:t xml:space="preserve">national surveys and </w:t>
      </w:r>
      <w:r w:rsidR="00865301">
        <w:t>7</w:t>
      </w:r>
      <w:r w:rsidR="00865301" w:rsidRPr="00A748DB">
        <w:t xml:space="preserve"> </w:t>
      </w:r>
      <w:r w:rsidRPr="00A748DB">
        <w:t>previously used research and evaluation instruments</w:t>
      </w:r>
      <w:r>
        <w:t xml:space="preserve">. Although a number of survey questions from these sources were added to the current instruments, in order to address all the research questions of the Youth Empowerment IDEAS project, the study team </w:t>
      </w:r>
      <w:r w:rsidR="000454E4">
        <w:t xml:space="preserve">modified </w:t>
      </w:r>
      <w:r>
        <w:t>many previously used items and design</w:t>
      </w:r>
      <w:r w:rsidR="000454E4">
        <w:t>ed</w:t>
      </w:r>
      <w:r>
        <w:t xml:space="preserve"> new items. As noted, </w:t>
      </w:r>
      <w:r w:rsidR="000454E4">
        <w:t>the</w:t>
      </w:r>
      <w:r>
        <w:t xml:space="preserve"> pre-test is</w:t>
      </w:r>
      <w:r w:rsidR="000454E4">
        <w:t xml:space="preserve"> focused</w:t>
      </w:r>
      <w:r>
        <w:t xml:space="preserve"> on modified and new items.</w:t>
      </w:r>
    </w:p>
    <w:p w14:paraId="28C83119" w14:textId="77777777" w:rsidR="008D5AFB" w:rsidRDefault="008D5AFB" w:rsidP="00060B30">
      <w:pPr>
        <w:spacing w:after="120" w:line="240" w:lineRule="auto"/>
        <w:rPr>
          <w:b/>
        </w:rPr>
      </w:pPr>
    </w:p>
    <w:p w14:paraId="0F92E2E6" w14:textId="7DC386E7" w:rsidR="00B9441B" w:rsidRDefault="00BD702B" w:rsidP="00060B30">
      <w:pPr>
        <w:spacing w:after="120" w:line="240" w:lineRule="auto"/>
      </w:pPr>
      <w:r w:rsidRPr="00624DDC">
        <w:rPr>
          <w:b/>
        </w:rPr>
        <w:t>A5</w:t>
      </w:r>
      <w:r>
        <w:t>.</w:t>
      </w:r>
      <w:r>
        <w:tab/>
      </w:r>
      <w:r w:rsidR="004E5778" w:rsidRPr="00721395">
        <w:rPr>
          <w:b/>
        </w:rPr>
        <w:t>Impact on Small Businesses</w:t>
      </w:r>
      <w:r w:rsidR="004E5778">
        <w:t xml:space="preserve"> </w:t>
      </w:r>
    </w:p>
    <w:p w14:paraId="111749C1" w14:textId="12EAE7AB" w:rsidR="00B9441B" w:rsidRDefault="00B9441B" w:rsidP="00DF1291">
      <w:pPr>
        <w:spacing w:after="0" w:line="240" w:lineRule="auto"/>
      </w:pPr>
    </w:p>
    <w:p w14:paraId="3D31203C" w14:textId="23105E6E" w:rsidR="00CB1F9B" w:rsidRDefault="00D74047" w:rsidP="00F949D4">
      <w:r>
        <w:t>This data collection has no</w:t>
      </w:r>
      <w:r w:rsidR="00BA4B14">
        <w:t xml:space="preserve"> impact on Small Businesses.</w:t>
      </w:r>
    </w:p>
    <w:p w14:paraId="373D68B1" w14:textId="77777777" w:rsidR="005B5FCC" w:rsidRDefault="005B5FCC" w:rsidP="00DF1291">
      <w:pPr>
        <w:spacing w:after="0" w:line="240" w:lineRule="auto"/>
      </w:pPr>
    </w:p>
    <w:p w14:paraId="0B3334AC" w14:textId="7368B523" w:rsidR="00CC4651" w:rsidRDefault="00BD702B" w:rsidP="00060B30">
      <w:pPr>
        <w:spacing w:after="120"/>
      </w:pPr>
      <w:r w:rsidRPr="00624DDC">
        <w:rPr>
          <w:b/>
        </w:rPr>
        <w:t>A6</w:t>
      </w:r>
      <w:r>
        <w:t>.</w:t>
      </w:r>
      <w:r>
        <w:tab/>
      </w:r>
      <w:r w:rsidR="004E5778" w:rsidRPr="005E3F36">
        <w:rPr>
          <w:b/>
        </w:rPr>
        <w:t>Consequences of Less Frequent Collection</w:t>
      </w:r>
      <w:r w:rsidR="004E5778">
        <w:t xml:space="preserve"> </w:t>
      </w:r>
      <w:r w:rsidR="001253F4">
        <w:t xml:space="preserve"> </w:t>
      </w:r>
    </w:p>
    <w:p w14:paraId="1CBE0FAD" w14:textId="275B0177" w:rsidR="00A5066A" w:rsidRDefault="00A5066A" w:rsidP="0066719C">
      <w:pPr>
        <w:spacing w:after="0"/>
      </w:pPr>
      <w:r w:rsidRPr="00647468">
        <w:t xml:space="preserve">The purpose of this data collection is to pre-test </w:t>
      </w:r>
      <w:r w:rsidR="00FA6ED2">
        <w:t>survey</w:t>
      </w:r>
      <w:r w:rsidRPr="00647468">
        <w:t xml:space="preserve"> instrument</w:t>
      </w:r>
      <w:r>
        <w:t>s</w:t>
      </w:r>
      <w:r w:rsidRPr="00647468">
        <w:t xml:space="preserve"> for use in </w:t>
      </w:r>
      <w:r>
        <w:t xml:space="preserve">a </w:t>
      </w:r>
      <w:r w:rsidR="004064D1">
        <w:t>planned national survey</w:t>
      </w:r>
      <w:r w:rsidRPr="00647468">
        <w:t xml:space="preserve">. </w:t>
      </w:r>
      <w:r>
        <w:t>Pre</w:t>
      </w:r>
      <w:r w:rsidRPr="00647468">
        <w:t xml:space="preserve">-testing </w:t>
      </w:r>
      <w:r>
        <w:t xml:space="preserve">in </w:t>
      </w:r>
      <w:r w:rsidR="00FA6ED2">
        <w:t>several</w:t>
      </w:r>
      <w:r>
        <w:t xml:space="preserve"> geographic regions</w:t>
      </w:r>
      <w:r w:rsidRPr="00647468">
        <w:t xml:space="preserve"> is ne</w:t>
      </w:r>
      <w:r>
        <w:t>cessary</w:t>
      </w:r>
      <w:r w:rsidRPr="00647468">
        <w:t xml:space="preserve"> </w:t>
      </w:r>
      <w:r w:rsidR="00FA6ED2">
        <w:t xml:space="preserve">to ensure </w:t>
      </w:r>
      <w:r>
        <w:t>questions are appropriate for respondents across the country</w:t>
      </w:r>
      <w:r w:rsidRPr="00647468">
        <w:t xml:space="preserve">. </w:t>
      </w:r>
      <w:r>
        <w:t xml:space="preserve">A smaller pre-test of fewer than 10 participants </w:t>
      </w:r>
      <w:r w:rsidR="00FA6ED2">
        <w:t xml:space="preserve">per instrument </w:t>
      </w:r>
      <w:r>
        <w:t>is not sufficient given the length of the instrument</w:t>
      </w:r>
      <w:r w:rsidR="00FA6ED2">
        <w:t>;</w:t>
      </w:r>
      <w:r>
        <w:t xml:space="preserve"> the sensitive questions</w:t>
      </w:r>
      <w:r w:rsidR="00FA6ED2">
        <w:t>;</w:t>
      </w:r>
      <w:r>
        <w:t xml:space="preserve"> the number of new</w:t>
      </w:r>
      <w:r w:rsidR="000454E4">
        <w:t xml:space="preserve"> or modified </w:t>
      </w:r>
      <w:r>
        <w:t>questions</w:t>
      </w:r>
      <w:r w:rsidR="00FA6ED2">
        <w:t xml:space="preserve">; </w:t>
      </w:r>
      <w:r>
        <w:t xml:space="preserve">and the diversity of the expected set of national study participants. </w:t>
      </w:r>
    </w:p>
    <w:p w14:paraId="2092E3EA" w14:textId="77777777" w:rsidR="00CB1F9B" w:rsidRDefault="00CB1F9B" w:rsidP="00060B30">
      <w:pPr>
        <w:spacing w:after="0"/>
      </w:pPr>
    </w:p>
    <w:p w14:paraId="109190DF" w14:textId="7B83890D" w:rsidR="00B9441B" w:rsidRDefault="00BD702B" w:rsidP="00060B30">
      <w:pPr>
        <w:spacing w:after="120" w:line="240" w:lineRule="auto"/>
        <w:rPr>
          <w:b/>
        </w:rPr>
      </w:pPr>
      <w:r w:rsidRPr="00624DDC">
        <w:rPr>
          <w:b/>
        </w:rPr>
        <w:t>A7</w:t>
      </w:r>
      <w:r>
        <w:t>.</w:t>
      </w:r>
      <w:r>
        <w:tab/>
      </w:r>
      <w:r w:rsidR="00B9441B" w:rsidRPr="00834C54">
        <w:rPr>
          <w:b/>
        </w:rPr>
        <w:t>Now subsumed under 2(b) above and 10 (below)</w:t>
      </w:r>
    </w:p>
    <w:p w14:paraId="710CF48F" w14:textId="77777777" w:rsidR="00FA5F83" w:rsidRDefault="00FA5F83" w:rsidP="00060B30">
      <w:pPr>
        <w:spacing w:after="120"/>
        <w:rPr>
          <w:b/>
        </w:rPr>
      </w:pPr>
    </w:p>
    <w:p w14:paraId="3B6F8604" w14:textId="7D10D63C" w:rsidR="00B9441B" w:rsidRDefault="00BD702B" w:rsidP="00060B30">
      <w:pPr>
        <w:spacing w:after="120"/>
        <w:rPr>
          <w:b/>
        </w:rPr>
      </w:pPr>
      <w:r w:rsidRPr="00624DDC">
        <w:rPr>
          <w:b/>
        </w:rPr>
        <w:t>A8</w:t>
      </w:r>
      <w:r>
        <w:t>.</w:t>
      </w:r>
      <w:r>
        <w:tab/>
      </w:r>
      <w:r w:rsidR="00B9441B" w:rsidRPr="00834C54">
        <w:rPr>
          <w:b/>
        </w:rPr>
        <w:t>Consultation</w:t>
      </w:r>
    </w:p>
    <w:p w14:paraId="2F3836D2" w14:textId="44F17674" w:rsidR="00060B30" w:rsidRPr="00060B30" w:rsidRDefault="00FD1073" w:rsidP="00060B30">
      <w:pPr>
        <w:spacing w:after="120"/>
        <w:rPr>
          <w:i/>
        </w:rPr>
      </w:pPr>
      <w:r>
        <w:rPr>
          <w:i/>
        </w:rPr>
        <w:br/>
      </w:r>
      <w:r w:rsidR="00060B30" w:rsidRPr="00060B30">
        <w:rPr>
          <w:i/>
        </w:rPr>
        <w:t>Federal Register Notice and Comments</w:t>
      </w:r>
    </w:p>
    <w:p w14:paraId="1A9BD6E1" w14:textId="22B38723" w:rsidR="00C31FDE" w:rsidRDefault="00060B30" w:rsidP="00060B30">
      <w:r w:rsidRPr="00F4788E">
        <w:t>In accordance with the Paperwork Reduction Act of 1995 (Pub. L. 104-13</w:t>
      </w:r>
      <w:r>
        <w:t>)</w:t>
      </w:r>
      <w:r w:rsidRPr="00F4788E">
        <w:t xml:space="preserve"> and Office of Management and Budget (OMB) regulations at 5 CFR Part 1320 (60 FR 44978, August 29, 1995), </w:t>
      </w:r>
      <w:r w:rsidRPr="00F4788E" w:rsidDel="00DF699C">
        <w:t xml:space="preserve">ACF published a notice in the Federal Register announcing the agency’s intention to </w:t>
      </w:r>
      <w:r w:rsidRPr="001E1086" w:rsidDel="00DF699C">
        <w:t xml:space="preserve">request an OMB review </w:t>
      </w:r>
      <w:r w:rsidR="00CE69E1" w:rsidRPr="00D44EA5">
        <w:t xml:space="preserve">of the overarching generic clearance for </w:t>
      </w:r>
      <w:r w:rsidR="00CE69E1" w:rsidRPr="00454CD3">
        <w:rPr>
          <w:rFonts w:eastAsia="Arial Unicode MS" w:cstheme="minorHAnsi"/>
          <w:noProof/>
        </w:rPr>
        <w:t xml:space="preserve">Pre-testing of Evaluation Data Collection Activities </w:t>
      </w:r>
      <w:r w:rsidR="00CE69E1">
        <w:rPr>
          <w:rFonts w:eastAsia="Arial Unicode MS" w:cstheme="minorHAnsi"/>
          <w:noProof/>
        </w:rPr>
        <w:t>(0970-0355)</w:t>
      </w:r>
      <w:r w:rsidRPr="001E1086" w:rsidDel="00DF699C">
        <w:t xml:space="preserve">.  This notice was </w:t>
      </w:r>
      <w:r w:rsidRPr="00060B30" w:rsidDel="00DF699C">
        <w:t xml:space="preserve">published on </w:t>
      </w:r>
      <w:r w:rsidR="00A5066A" w:rsidDel="00DF699C">
        <w:t>October 20, 2017</w:t>
      </w:r>
      <w:r w:rsidRPr="00060B30" w:rsidDel="00DF699C">
        <w:t xml:space="preserve">, Volume </w:t>
      </w:r>
      <w:r w:rsidR="00A5066A" w:rsidDel="00DF699C">
        <w:t>82</w:t>
      </w:r>
      <w:r w:rsidRPr="00060B30" w:rsidDel="00DF699C">
        <w:t xml:space="preserve">, Number </w:t>
      </w:r>
      <w:r w:rsidR="00A5066A" w:rsidDel="00DF699C">
        <w:t>202</w:t>
      </w:r>
      <w:r w:rsidRPr="00060B30" w:rsidDel="00DF699C">
        <w:t xml:space="preserve">, page </w:t>
      </w:r>
      <w:r w:rsidR="00A5066A" w:rsidDel="00DF699C">
        <w:t>48820</w:t>
      </w:r>
      <w:r w:rsidRPr="00060B30" w:rsidDel="00DF699C">
        <w:t xml:space="preserve">, and provided a sixty-day period for public comment.  </w:t>
      </w:r>
      <w:r w:rsidR="00A5066A" w:rsidRPr="006E7EA2" w:rsidDel="00DF699C">
        <w:t>During the notice and comment period, no substantive comments were received.</w:t>
      </w:r>
    </w:p>
    <w:p w14:paraId="5C5413F8" w14:textId="77777777" w:rsidR="00C31FDE" w:rsidRDefault="00C31FDE">
      <w:r>
        <w:br w:type="page"/>
      </w:r>
    </w:p>
    <w:p w14:paraId="678F3F3E" w14:textId="1475A3A2" w:rsidR="00060B30" w:rsidRPr="00911008" w:rsidRDefault="00FA6ED2" w:rsidP="00911008">
      <w:pPr>
        <w:spacing w:after="120"/>
        <w:rPr>
          <w:b/>
          <w:i/>
        </w:rPr>
      </w:pPr>
      <w:r>
        <w:br/>
      </w:r>
      <w:r w:rsidR="00060B30" w:rsidRPr="00911008">
        <w:rPr>
          <w:i/>
        </w:rPr>
        <w:t>Consultation with Experts Outside of the Study</w:t>
      </w:r>
    </w:p>
    <w:p w14:paraId="46690A25" w14:textId="4E4C18A7" w:rsidR="00FA5F83" w:rsidRPr="00911008" w:rsidRDefault="00A5066A" w:rsidP="00911008">
      <w:pPr>
        <w:spacing w:after="60"/>
      </w:pPr>
      <w:r w:rsidRPr="009A1180">
        <w:t>To</w:t>
      </w:r>
      <w:r w:rsidRPr="00962976">
        <w:t xml:space="preserve"> develop the Parent and Youth Survey, ACF consulted with </w:t>
      </w:r>
      <w:r>
        <w:t xml:space="preserve">national </w:t>
      </w:r>
      <w:r w:rsidRPr="00962976">
        <w:t>subject matter experts in adolescent health</w:t>
      </w:r>
      <w:r>
        <w:t xml:space="preserve">, </w:t>
      </w:r>
      <w:r w:rsidRPr="00962976">
        <w:t>sexual education</w:t>
      </w:r>
      <w:r>
        <w:t>, and instrument development.</w:t>
      </w:r>
      <w:r w:rsidRPr="00962976">
        <w:t xml:space="preserve"> Table </w:t>
      </w:r>
      <w:r>
        <w:t>A8</w:t>
      </w:r>
      <w:r w:rsidRPr="00962976">
        <w:t xml:space="preserve"> </w:t>
      </w:r>
      <w:r>
        <w:t>lists</w:t>
      </w:r>
      <w:r w:rsidRPr="00962976">
        <w:t xml:space="preserve"> the experts consulted and their affiliation.</w:t>
      </w:r>
      <w:r w:rsidR="00D97B01">
        <w:br/>
      </w:r>
    </w:p>
    <w:p w14:paraId="7561C2F8" w14:textId="2C95E75D" w:rsidR="00A5066A" w:rsidRPr="00A70D8F" w:rsidRDefault="00A5066A" w:rsidP="00A5066A">
      <w:pPr>
        <w:rPr>
          <w:b/>
        </w:rPr>
      </w:pPr>
      <w:r>
        <w:rPr>
          <w:b/>
        </w:rPr>
        <w:t>Table A8.</w:t>
      </w:r>
      <w:r w:rsidRPr="00A70D8F">
        <w:rPr>
          <w:b/>
        </w:rPr>
        <w:t xml:space="preserve"> Experts Consulted in Development of IDEAS Parent and Youth Surveys</w:t>
      </w:r>
      <w:r w:rsidR="00FD1073">
        <w:rPr>
          <w:b/>
        </w:rPr>
        <w:br/>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268"/>
        <w:gridCol w:w="6480"/>
      </w:tblGrid>
      <w:tr w:rsidR="00A5066A" w:rsidRPr="008A7942" w14:paraId="40E1F123" w14:textId="77777777" w:rsidTr="001B5085">
        <w:tc>
          <w:tcPr>
            <w:tcW w:w="2268" w:type="dxa"/>
            <w:shd w:val="clear" w:color="auto" w:fill="auto"/>
          </w:tcPr>
          <w:p w14:paraId="4281A68B" w14:textId="77777777" w:rsidR="00A5066A" w:rsidRPr="001B5085" w:rsidRDefault="00A5066A" w:rsidP="001B5085">
            <w:pPr>
              <w:pBdr>
                <w:top w:val="nil"/>
                <w:left w:val="nil"/>
                <w:bottom w:val="nil"/>
                <w:right w:val="nil"/>
                <w:between w:val="nil"/>
              </w:pBdr>
              <w:spacing w:after="240"/>
              <w:rPr>
                <w:b/>
                <w:color w:val="000000"/>
              </w:rPr>
            </w:pPr>
            <w:r w:rsidRPr="001B5085">
              <w:rPr>
                <w:b/>
                <w:color w:val="000000"/>
              </w:rPr>
              <w:t>Name</w:t>
            </w:r>
          </w:p>
        </w:tc>
        <w:tc>
          <w:tcPr>
            <w:tcW w:w="6480" w:type="dxa"/>
            <w:shd w:val="clear" w:color="auto" w:fill="auto"/>
          </w:tcPr>
          <w:p w14:paraId="02DF057B" w14:textId="77777777" w:rsidR="00A5066A" w:rsidRPr="001B5085" w:rsidRDefault="00A5066A" w:rsidP="001B5085">
            <w:pPr>
              <w:pBdr>
                <w:top w:val="nil"/>
                <w:left w:val="nil"/>
                <w:bottom w:val="nil"/>
                <w:right w:val="nil"/>
                <w:between w:val="nil"/>
              </w:pBdr>
              <w:spacing w:after="240"/>
              <w:rPr>
                <w:b/>
                <w:color w:val="000000"/>
              </w:rPr>
            </w:pPr>
            <w:r w:rsidRPr="001B5085">
              <w:rPr>
                <w:b/>
                <w:color w:val="000000"/>
              </w:rPr>
              <w:t>Affiliation</w:t>
            </w:r>
          </w:p>
        </w:tc>
      </w:tr>
      <w:tr w:rsidR="00A5066A" w:rsidRPr="008A7942" w14:paraId="21C0063A" w14:textId="77777777" w:rsidTr="001B5085">
        <w:tc>
          <w:tcPr>
            <w:tcW w:w="2268" w:type="dxa"/>
            <w:shd w:val="clear" w:color="auto" w:fill="auto"/>
          </w:tcPr>
          <w:p w14:paraId="36ECA110" w14:textId="77777777" w:rsidR="00A5066A" w:rsidRPr="001B5085" w:rsidRDefault="00A5066A" w:rsidP="001B5085">
            <w:pPr>
              <w:pBdr>
                <w:top w:val="nil"/>
                <w:left w:val="nil"/>
                <w:bottom w:val="nil"/>
                <w:right w:val="nil"/>
                <w:between w:val="nil"/>
              </w:pBdr>
              <w:spacing w:after="240"/>
              <w:rPr>
                <w:color w:val="000000"/>
              </w:rPr>
            </w:pPr>
            <w:r w:rsidRPr="001B5085">
              <w:rPr>
                <w:color w:val="000000"/>
              </w:rPr>
              <w:t>Brooke Hempell</w:t>
            </w:r>
          </w:p>
        </w:tc>
        <w:tc>
          <w:tcPr>
            <w:tcW w:w="6480" w:type="dxa"/>
            <w:shd w:val="clear" w:color="auto" w:fill="auto"/>
          </w:tcPr>
          <w:p w14:paraId="2EEBA906" w14:textId="77777777" w:rsidR="00A5066A" w:rsidRPr="001B5085" w:rsidRDefault="00A5066A" w:rsidP="001B5085">
            <w:pPr>
              <w:pBdr>
                <w:top w:val="nil"/>
                <w:left w:val="nil"/>
                <w:bottom w:val="nil"/>
                <w:right w:val="nil"/>
                <w:between w:val="nil"/>
              </w:pBdr>
              <w:spacing w:after="240"/>
              <w:rPr>
                <w:color w:val="000000"/>
              </w:rPr>
            </w:pPr>
            <w:r w:rsidRPr="001B5085">
              <w:rPr>
                <w:color w:val="000000"/>
              </w:rPr>
              <w:t>Senior Vice President of Research, Barna Research</w:t>
            </w:r>
          </w:p>
        </w:tc>
      </w:tr>
      <w:tr w:rsidR="00A5066A" w:rsidRPr="008A7942" w14:paraId="0F74195D" w14:textId="77777777" w:rsidTr="001B5085">
        <w:tc>
          <w:tcPr>
            <w:tcW w:w="2268" w:type="dxa"/>
            <w:shd w:val="clear" w:color="auto" w:fill="auto"/>
          </w:tcPr>
          <w:p w14:paraId="5EBB97A4" w14:textId="77777777" w:rsidR="00A5066A" w:rsidRPr="001B5085" w:rsidRDefault="00A5066A" w:rsidP="001B5085">
            <w:pPr>
              <w:pBdr>
                <w:top w:val="nil"/>
                <w:left w:val="nil"/>
                <w:bottom w:val="nil"/>
                <w:right w:val="nil"/>
                <w:between w:val="nil"/>
              </w:pBdr>
              <w:spacing w:after="240"/>
              <w:rPr>
                <w:color w:val="000000"/>
              </w:rPr>
            </w:pPr>
            <w:r w:rsidRPr="001B5085">
              <w:rPr>
                <w:color w:val="000000"/>
              </w:rPr>
              <w:t>John Vessey</w:t>
            </w:r>
          </w:p>
        </w:tc>
        <w:tc>
          <w:tcPr>
            <w:tcW w:w="6480" w:type="dxa"/>
            <w:shd w:val="clear" w:color="auto" w:fill="auto"/>
          </w:tcPr>
          <w:p w14:paraId="5DB54DBC" w14:textId="77777777" w:rsidR="00A5066A" w:rsidRPr="001B5085" w:rsidRDefault="00A5066A" w:rsidP="001B5085">
            <w:pPr>
              <w:pBdr>
                <w:top w:val="nil"/>
                <w:left w:val="nil"/>
                <w:bottom w:val="nil"/>
                <w:right w:val="nil"/>
                <w:between w:val="nil"/>
              </w:pBdr>
              <w:spacing w:after="240"/>
              <w:rPr>
                <w:color w:val="000000"/>
              </w:rPr>
            </w:pPr>
            <w:r w:rsidRPr="001B5085">
              <w:rPr>
                <w:color w:val="000000"/>
              </w:rPr>
              <w:t>Associate Professor of Psychology, Wheaton College</w:t>
            </w:r>
          </w:p>
        </w:tc>
      </w:tr>
      <w:tr w:rsidR="00A5066A" w:rsidRPr="008A7942" w14:paraId="32F33654" w14:textId="77777777" w:rsidTr="001B5085">
        <w:tc>
          <w:tcPr>
            <w:tcW w:w="2268" w:type="dxa"/>
            <w:shd w:val="clear" w:color="auto" w:fill="auto"/>
          </w:tcPr>
          <w:p w14:paraId="73FDC61F" w14:textId="77777777" w:rsidR="00A5066A" w:rsidRPr="001B5085" w:rsidRDefault="00A5066A" w:rsidP="001B5085">
            <w:pPr>
              <w:pBdr>
                <w:top w:val="nil"/>
                <w:left w:val="nil"/>
                <w:bottom w:val="nil"/>
                <w:right w:val="nil"/>
                <w:between w:val="nil"/>
              </w:pBdr>
              <w:spacing w:after="240"/>
              <w:rPr>
                <w:color w:val="000000"/>
              </w:rPr>
            </w:pPr>
            <w:r w:rsidRPr="001B5085">
              <w:rPr>
                <w:color w:val="000000"/>
              </w:rPr>
              <w:t>Lisa Rue</w:t>
            </w:r>
          </w:p>
        </w:tc>
        <w:tc>
          <w:tcPr>
            <w:tcW w:w="6480" w:type="dxa"/>
            <w:shd w:val="clear" w:color="auto" w:fill="auto"/>
          </w:tcPr>
          <w:p w14:paraId="69A67C16" w14:textId="77777777" w:rsidR="00A5066A" w:rsidRPr="001B5085" w:rsidRDefault="00A5066A" w:rsidP="001B5085">
            <w:pPr>
              <w:pBdr>
                <w:top w:val="nil"/>
                <w:left w:val="nil"/>
                <w:bottom w:val="nil"/>
                <w:right w:val="nil"/>
                <w:between w:val="nil"/>
              </w:pBdr>
              <w:spacing w:after="240"/>
              <w:rPr>
                <w:color w:val="000000"/>
              </w:rPr>
            </w:pPr>
            <w:r w:rsidRPr="001B5085">
              <w:rPr>
                <w:color w:val="000000"/>
              </w:rPr>
              <w:t>Senior Advisor and Strategic Partnerships at Cliexa</w:t>
            </w:r>
          </w:p>
        </w:tc>
      </w:tr>
      <w:tr w:rsidR="00A5066A" w:rsidRPr="008A7942" w14:paraId="284D68EE" w14:textId="77777777" w:rsidTr="001B5085">
        <w:tc>
          <w:tcPr>
            <w:tcW w:w="2268" w:type="dxa"/>
            <w:shd w:val="clear" w:color="auto" w:fill="auto"/>
          </w:tcPr>
          <w:p w14:paraId="3778024B" w14:textId="77777777" w:rsidR="00A5066A" w:rsidRPr="001B5085" w:rsidRDefault="00A5066A" w:rsidP="001B5085">
            <w:pPr>
              <w:pBdr>
                <w:top w:val="nil"/>
                <w:left w:val="nil"/>
                <w:bottom w:val="nil"/>
                <w:right w:val="nil"/>
                <w:between w:val="nil"/>
              </w:pBdr>
              <w:spacing w:after="240"/>
              <w:rPr>
                <w:color w:val="000000"/>
              </w:rPr>
            </w:pPr>
            <w:r w:rsidRPr="001B5085">
              <w:rPr>
                <w:color w:val="000000"/>
              </w:rPr>
              <w:t>Peter Scales</w:t>
            </w:r>
          </w:p>
        </w:tc>
        <w:tc>
          <w:tcPr>
            <w:tcW w:w="6480" w:type="dxa"/>
            <w:shd w:val="clear" w:color="auto" w:fill="auto"/>
          </w:tcPr>
          <w:p w14:paraId="11FCBF8E" w14:textId="77777777" w:rsidR="00A5066A" w:rsidRPr="001B5085" w:rsidRDefault="00A5066A" w:rsidP="001B5085">
            <w:pPr>
              <w:pBdr>
                <w:top w:val="nil"/>
                <w:left w:val="nil"/>
                <w:bottom w:val="nil"/>
                <w:right w:val="nil"/>
                <w:between w:val="nil"/>
              </w:pBdr>
              <w:spacing w:after="240"/>
              <w:rPr>
                <w:color w:val="000000"/>
              </w:rPr>
            </w:pPr>
            <w:r w:rsidRPr="001B5085">
              <w:rPr>
                <w:color w:val="000000"/>
              </w:rPr>
              <w:t>Senior Fellow, Search Institute</w:t>
            </w:r>
          </w:p>
        </w:tc>
      </w:tr>
      <w:tr w:rsidR="00A5066A" w:rsidRPr="008A7942" w14:paraId="3695FF51" w14:textId="77777777" w:rsidTr="001B5085">
        <w:tc>
          <w:tcPr>
            <w:tcW w:w="2268" w:type="dxa"/>
            <w:shd w:val="clear" w:color="auto" w:fill="auto"/>
          </w:tcPr>
          <w:p w14:paraId="3CBF2ABC" w14:textId="77777777" w:rsidR="00A5066A" w:rsidRPr="001B5085" w:rsidRDefault="00A5066A" w:rsidP="001B5085">
            <w:pPr>
              <w:pBdr>
                <w:top w:val="nil"/>
                <w:left w:val="nil"/>
                <w:bottom w:val="nil"/>
                <w:right w:val="nil"/>
                <w:between w:val="nil"/>
              </w:pBdr>
              <w:spacing w:after="240"/>
              <w:rPr>
                <w:color w:val="000000"/>
              </w:rPr>
            </w:pPr>
            <w:r w:rsidRPr="001B5085">
              <w:rPr>
                <w:color w:val="000000"/>
              </w:rPr>
              <w:t>Scott Gardner</w:t>
            </w:r>
          </w:p>
        </w:tc>
        <w:tc>
          <w:tcPr>
            <w:tcW w:w="6480" w:type="dxa"/>
            <w:shd w:val="clear" w:color="auto" w:fill="auto"/>
          </w:tcPr>
          <w:p w14:paraId="0CD73196" w14:textId="77777777" w:rsidR="00A5066A" w:rsidRPr="001B5085" w:rsidRDefault="00A5066A" w:rsidP="001B5085">
            <w:pPr>
              <w:pBdr>
                <w:top w:val="nil"/>
                <w:left w:val="nil"/>
                <w:bottom w:val="nil"/>
                <w:right w:val="nil"/>
                <w:between w:val="nil"/>
              </w:pBdr>
              <w:spacing w:after="240"/>
              <w:rPr>
                <w:color w:val="000000"/>
              </w:rPr>
            </w:pPr>
            <w:r w:rsidRPr="001B5085">
              <w:rPr>
                <w:color w:val="000000"/>
              </w:rPr>
              <w:t>Professor, Brigham Young University – Idaho</w:t>
            </w:r>
          </w:p>
        </w:tc>
      </w:tr>
      <w:tr w:rsidR="00A5066A" w:rsidRPr="008A7942" w14:paraId="4CDF0E34" w14:textId="77777777" w:rsidTr="001B5085">
        <w:tc>
          <w:tcPr>
            <w:tcW w:w="2268" w:type="dxa"/>
            <w:shd w:val="clear" w:color="auto" w:fill="auto"/>
          </w:tcPr>
          <w:p w14:paraId="33708644" w14:textId="77777777" w:rsidR="00A5066A" w:rsidRPr="001B5085" w:rsidRDefault="00A5066A" w:rsidP="001B5085">
            <w:pPr>
              <w:pBdr>
                <w:top w:val="nil"/>
                <w:left w:val="nil"/>
                <w:bottom w:val="nil"/>
                <w:right w:val="nil"/>
                <w:between w:val="nil"/>
              </w:pBdr>
              <w:spacing w:after="240"/>
              <w:rPr>
                <w:color w:val="000000"/>
              </w:rPr>
            </w:pPr>
            <w:r w:rsidRPr="001B5085">
              <w:rPr>
                <w:color w:val="000000"/>
              </w:rPr>
              <w:t>Tim Rarick</w:t>
            </w:r>
          </w:p>
        </w:tc>
        <w:tc>
          <w:tcPr>
            <w:tcW w:w="6480" w:type="dxa"/>
            <w:shd w:val="clear" w:color="auto" w:fill="auto"/>
          </w:tcPr>
          <w:p w14:paraId="7EDBAF3F" w14:textId="77777777" w:rsidR="00A5066A" w:rsidRPr="001B5085" w:rsidRDefault="00A5066A" w:rsidP="001B5085">
            <w:pPr>
              <w:pBdr>
                <w:top w:val="nil"/>
                <w:left w:val="nil"/>
                <w:bottom w:val="nil"/>
                <w:right w:val="nil"/>
                <w:between w:val="nil"/>
              </w:pBdr>
              <w:spacing w:after="240"/>
              <w:rPr>
                <w:color w:val="000000"/>
              </w:rPr>
            </w:pPr>
            <w:r w:rsidRPr="001B5085">
              <w:rPr>
                <w:color w:val="000000"/>
              </w:rPr>
              <w:t>Professor, Brigham Young University – Idaho</w:t>
            </w:r>
          </w:p>
        </w:tc>
      </w:tr>
      <w:tr w:rsidR="00A5066A" w:rsidRPr="008A7942" w14:paraId="1E7A6735" w14:textId="77777777" w:rsidTr="001B5085">
        <w:tc>
          <w:tcPr>
            <w:tcW w:w="2268" w:type="dxa"/>
            <w:shd w:val="clear" w:color="auto" w:fill="auto"/>
          </w:tcPr>
          <w:p w14:paraId="2430C6B8" w14:textId="77777777" w:rsidR="00A5066A" w:rsidRPr="001B5085" w:rsidRDefault="00A5066A" w:rsidP="001B5085">
            <w:pPr>
              <w:pBdr>
                <w:top w:val="nil"/>
                <w:left w:val="nil"/>
                <w:bottom w:val="nil"/>
                <w:right w:val="nil"/>
                <w:between w:val="nil"/>
              </w:pBdr>
              <w:spacing w:after="240"/>
              <w:rPr>
                <w:color w:val="000000"/>
              </w:rPr>
            </w:pPr>
            <w:r w:rsidRPr="001B5085">
              <w:rPr>
                <w:color w:val="000000"/>
              </w:rPr>
              <w:t>Wade Horn</w:t>
            </w:r>
          </w:p>
        </w:tc>
        <w:tc>
          <w:tcPr>
            <w:tcW w:w="6480" w:type="dxa"/>
            <w:shd w:val="clear" w:color="auto" w:fill="auto"/>
          </w:tcPr>
          <w:p w14:paraId="7E4454E9" w14:textId="77777777" w:rsidR="00A5066A" w:rsidRPr="001B5085" w:rsidRDefault="00A5066A" w:rsidP="001B5085">
            <w:pPr>
              <w:pBdr>
                <w:top w:val="nil"/>
                <w:left w:val="nil"/>
                <w:bottom w:val="nil"/>
                <w:right w:val="nil"/>
                <w:between w:val="nil"/>
              </w:pBdr>
              <w:spacing w:after="240"/>
              <w:rPr>
                <w:color w:val="000000"/>
              </w:rPr>
            </w:pPr>
            <w:r w:rsidRPr="001B5085">
              <w:rPr>
                <w:color w:val="000000"/>
              </w:rPr>
              <w:t>Director, Deloitte Consulting LLP’s Public Sector Practice; Former Assistant Secretary, ACF</w:t>
            </w:r>
          </w:p>
        </w:tc>
      </w:tr>
    </w:tbl>
    <w:p w14:paraId="4F415BD5" w14:textId="6A93C137" w:rsidR="002560D7" w:rsidRDefault="002F7BD5" w:rsidP="002F7BD5">
      <w:pPr>
        <w:tabs>
          <w:tab w:val="left" w:pos="1276"/>
        </w:tabs>
      </w:pPr>
      <w:r>
        <w:rPr>
          <w:b/>
        </w:rPr>
        <w:tab/>
      </w:r>
    </w:p>
    <w:p w14:paraId="4ADF0CCE" w14:textId="7E2DB297" w:rsidR="009A39E1" w:rsidRDefault="00BD702B" w:rsidP="002560D7">
      <w:pPr>
        <w:spacing w:after="120" w:line="240" w:lineRule="auto"/>
      </w:pPr>
      <w:r w:rsidRPr="00624DDC">
        <w:rPr>
          <w:b/>
        </w:rPr>
        <w:t>A9</w:t>
      </w:r>
      <w:r>
        <w:t>.</w:t>
      </w:r>
      <w:r>
        <w:tab/>
      </w:r>
      <w:r w:rsidR="009A39E1" w:rsidRPr="005B5FCC">
        <w:rPr>
          <w:b/>
        </w:rPr>
        <w:t>Tokens of App</w:t>
      </w:r>
      <w:r w:rsidR="005B5FCC" w:rsidRPr="005B5FCC">
        <w:rPr>
          <w:b/>
        </w:rPr>
        <w:t>reciation</w:t>
      </w:r>
      <w:r w:rsidR="00FD1073">
        <w:rPr>
          <w:b/>
        </w:rPr>
        <w:br/>
      </w:r>
    </w:p>
    <w:p w14:paraId="72CAB6D9" w14:textId="77777777" w:rsidR="00944F02" w:rsidRDefault="00A5066A" w:rsidP="00A5066A">
      <w:pPr>
        <w:spacing w:after="0"/>
      </w:pPr>
      <w:r w:rsidRPr="00A5066A">
        <w:t xml:space="preserve">To recruit and conduct the pre-testing activities efficiently in three geographic regions of the United States, </w:t>
      </w:r>
      <w:r w:rsidR="00042DF1">
        <w:t>our contractor, Mathematica, will</w:t>
      </w:r>
      <w:r w:rsidR="00042DF1" w:rsidRPr="00A5066A">
        <w:t xml:space="preserve"> </w:t>
      </w:r>
      <w:r w:rsidR="00042DF1">
        <w:t>collaborate with</w:t>
      </w:r>
      <w:r w:rsidRPr="00A5066A">
        <w:t xml:space="preserve"> three small organizations that maintain large and diverse pools of research participants. This approach</w:t>
      </w:r>
      <w:r w:rsidR="00FA6ED2">
        <w:t xml:space="preserve"> </w:t>
      </w:r>
      <w:r w:rsidR="00FA6ED2" w:rsidRPr="00A5066A">
        <w:t xml:space="preserve">simultaneously </w:t>
      </w:r>
      <w:r w:rsidR="00FA6ED2">
        <w:t>improves</w:t>
      </w:r>
      <w:r w:rsidR="00FA6ED2" w:rsidRPr="00A5066A">
        <w:t xml:space="preserve"> the diversity of participants </w:t>
      </w:r>
      <w:r w:rsidR="00FA6ED2">
        <w:t xml:space="preserve">and </w:t>
      </w:r>
      <w:r w:rsidRPr="00A5066A">
        <w:t xml:space="preserve">reduces costs to the federal government by using on-the-ground facilities with connections to the community. It is standard practice for these research organizations to provide </w:t>
      </w:r>
      <w:r w:rsidR="00942204">
        <w:t>token</w:t>
      </w:r>
      <w:r w:rsidR="002F7BD5">
        <w:t>s</w:t>
      </w:r>
      <w:r w:rsidR="00942204">
        <w:t xml:space="preserve"> of appreciation</w:t>
      </w:r>
      <w:r w:rsidRPr="00A5066A">
        <w:t xml:space="preserve"> to their panel participants for </w:t>
      </w:r>
      <w:r w:rsidR="00FA6ED2">
        <w:t>attending study sessions</w:t>
      </w:r>
      <w:r w:rsidRPr="00A5066A">
        <w:t>. The amounts vary by organization</w:t>
      </w:r>
      <w:r w:rsidR="00FA6ED2">
        <w:t>;</w:t>
      </w:r>
      <w:r w:rsidRPr="00A5066A">
        <w:t xml:space="preserve"> age of participant</w:t>
      </w:r>
      <w:r w:rsidR="00FA6ED2">
        <w:t>;</w:t>
      </w:r>
      <w:r w:rsidRPr="00A5066A">
        <w:t xml:space="preserve"> and the length of time the participant is expected to attend a pre-test session. </w:t>
      </w:r>
    </w:p>
    <w:p w14:paraId="4FF640C7" w14:textId="77777777" w:rsidR="00944F02" w:rsidRDefault="00944F02">
      <w:r>
        <w:br w:type="page"/>
      </w:r>
    </w:p>
    <w:p w14:paraId="5BC6446A" w14:textId="0970E354" w:rsidR="00A5066A" w:rsidRPr="00A5066A" w:rsidRDefault="000454E4" w:rsidP="00A5066A">
      <w:pPr>
        <w:spacing w:after="0"/>
      </w:pPr>
      <w:r>
        <w:br/>
      </w:r>
      <w:r w:rsidR="00A5066A" w:rsidRPr="00A5066A">
        <w:t xml:space="preserve">We expect that </w:t>
      </w:r>
      <w:r w:rsidR="00FA6ED2">
        <w:t xml:space="preserve">these organizations will pay </w:t>
      </w:r>
      <w:r w:rsidR="00942204">
        <w:t>token</w:t>
      </w:r>
      <w:r>
        <w:t>s</w:t>
      </w:r>
      <w:r w:rsidR="002F7BD5">
        <w:t xml:space="preserve"> </w:t>
      </w:r>
      <w:r w:rsidR="00942204">
        <w:t>of appreciation</w:t>
      </w:r>
      <w:r w:rsidR="00FA6ED2">
        <w:t xml:space="preserve"> </w:t>
      </w:r>
      <w:r w:rsidR="00A5066A" w:rsidRPr="00A5066A">
        <w:t>directly to the participants</w:t>
      </w:r>
      <w:r>
        <w:t xml:space="preserve">, </w:t>
      </w:r>
      <w:r w:rsidR="00FA6ED2">
        <w:t>with amounts</w:t>
      </w:r>
      <w:r w:rsidR="00A5066A" w:rsidRPr="00A5066A">
        <w:t xml:space="preserve"> </w:t>
      </w:r>
      <w:r w:rsidR="00BA1B0D">
        <w:t>of</w:t>
      </w:r>
      <w:r w:rsidR="00A5066A" w:rsidRPr="00A5066A">
        <w:t xml:space="preserve"> $25 for youth </w:t>
      </w:r>
      <w:r w:rsidR="00BA1B0D">
        <w:t>and</w:t>
      </w:r>
      <w:r w:rsidR="00BA1B0D" w:rsidRPr="00A5066A">
        <w:t xml:space="preserve"> </w:t>
      </w:r>
      <w:r w:rsidR="00A5066A" w:rsidRPr="00A5066A">
        <w:t xml:space="preserve">$50 for young adults and parents. </w:t>
      </w:r>
      <w:r>
        <w:t xml:space="preserve">Tokens of appreciation are intended to offset the costs of participation in the data collection, including </w:t>
      </w:r>
      <w:r w:rsidR="00A5066A" w:rsidRPr="00A5066A">
        <w:t>travel</w:t>
      </w:r>
      <w:r>
        <w:t xml:space="preserve"> </w:t>
      </w:r>
      <w:r w:rsidR="00A5066A" w:rsidRPr="00A5066A">
        <w:t>to and from the research facility</w:t>
      </w:r>
      <w:r w:rsidR="00FA6ED2">
        <w:t xml:space="preserve"> for scheduled group meetings and arranging child care, if necessary</w:t>
      </w:r>
      <w:r w:rsidR="00A5066A" w:rsidRPr="00A5066A">
        <w:t>. Th</w:t>
      </w:r>
      <w:r>
        <w:t>is</w:t>
      </w:r>
      <w:r w:rsidR="00A5066A" w:rsidRPr="00A5066A">
        <w:t xml:space="preserve"> amount is consistent with similar pre-testing activities approved and conducted under ACF’s generic pre-testing clearance process. For example, the Pretest of </w:t>
      </w:r>
      <w:r>
        <w:t xml:space="preserve">the </w:t>
      </w:r>
      <w:r w:rsidR="00A5066A" w:rsidRPr="00A5066A">
        <w:t>Annual</w:t>
      </w:r>
      <w:r>
        <w:t xml:space="preserve"> Survey of</w:t>
      </w:r>
      <w:r w:rsidR="00A5066A" w:rsidRPr="00A5066A">
        <w:t xml:space="preserve"> Refugees offered participants a $40 gift card for a 1 hour survey and 1 hour debrief. Similarly, youth participating in a 30 minute pre-test for the Pre-testing of Evaluation Surveys: An Examination of the Intersection of Domestic Human Trafficking with Child Welfare and Runaway and Homeless Youth Programs received a $25 gift card.</w:t>
      </w:r>
    </w:p>
    <w:p w14:paraId="081C54E2" w14:textId="77777777" w:rsidR="002560D7" w:rsidRDefault="002560D7" w:rsidP="002560D7">
      <w:pPr>
        <w:spacing w:after="0"/>
      </w:pPr>
    </w:p>
    <w:p w14:paraId="50697237" w14:textId="41C95953" w:rsidR="007C7B4B" w:rsidRDefault="00BD702B" w:rsidP="00CB57CE">
      <w:pPr>
        <w:spacing w:after="120" w:line="240" w:lineRule="auto"/>
      </w:pPr>
      <w:r w:rsidRPr="00624DDC">
        <w:rPr>
          <w:b/>
        </w:rPr>
        <w:t>A10</w:t>
      </w:r>
      <w:r>
        <w:t>.</w:t>
      </w:r>
      <w:r>
        <w:tab/>
      </w:r>
      <w:r w:rsidR="002A41C6" w:rsidRPr="005B5FCC">
        <w:rPr>
          <w:b/>
        </w:rPr>
        <w:t xml:space="preserve">Privacy:  </w:t>
      </w:r>
      <w:r w:rsidR="00FB5BF6" w:rsidRPr="005B5FCC">
        <w:rPr>
          <w:b/>
        </w:rPr>
        <w:t>Procedures to p</w:t>
      </w:r>
      <w:r w:rsidR="004B75AC" w:rsidRPr="005B5FCC">
        <w:rPr>
          <w:b/>
        </w:rPr>
        <w:t xml:space="preserve">rotect </w:t>
      </w:r>
      <w:r w:rsidR="00FB5BF6" w:rsidRPr="005B5FCC">
        <w:rPr>
          <w:b/>
        </w:rPr>
        <w:t>p</w:t>
      </w:r>
      <w:r w:rsidR="00083227" w:rsidRPr="005B5FCC">
        <w:rPr>
          <w:b/>
        </w:rPr>
        <w:t>rivacy</w:t>
      </w:r>
      <w:r w:rsidR="004B75AC" w:rsidRPr="005B5FCC">
        <w:rPr>
          <w:b/>
        </w:rPr>
        <w:t xml:space="preserve"> of </w:t>
      </w:r>
      <w:r w:rsidR="00FB5BF6" w:rsidRPr="005B5FCC">
        <w:rPr>
          <w:b/>
        </w:rPr>
        <w:t>i</w:t>
      </w:r>
      <w:r w:rsidR="004B75AC" w:rsidRPr="005B5FCC">
        <w:rPr>
          <w:b/>
        </w:rPr>
        <w:t>nformation</w:t>
      </w:r>
      <w:r w:rsidR="00FB5BF6" w:rsidRPr="005B5FCC">
        <w:rPr>
          <w:b/>
        </w:rPr>
        <w:t>, while maximizing data sharing</w:t>
      </w:r>
      <w:r w:rsidR="00FD1073">
        <w:rPr>
          <w:b/>
        </w:rPr>
        <w:br/>
      </w:r>
    </w:p>
    <w:p w14:paraId="6433E3BC" w14:textId="584A6F56" w:rsidR="00CB57CE" w:rsidRDefault="00CB57CE" w:rsidP="00CB57CE">
      <w:pPr>
        <w:spacing w:after="120" w:line="240" w:lineRule="auto"/>
        <w:rPr>
          <w:i/>
        </w:rPr>
      </w:pPr>
      <w:r>
        <w:rPr>
          <w:i/>
        </w:rPr>
        <w:t>Personally Identifiable Information</w:t>
      </w:r>
    </w:p>
    <w:p w14:paraId="3A9E2882" w14:textId="69661019" w:rsidR="002560D7" w:rsidRPr="00865CDF" w:rsidRDefault="00865CDF" w:rsidP="002560D7">
      <w:pPr>
        <w:spacing w:after="0" w:line="240" w:lineRule="auto"/>
      </w:pPr>
      <w:r>
        <w:t>Respondent name will be recorded on consent and</w:t>
      </w:r>
      <w:r w:rsidR="00FA6ED2">
        <w:t>/or</w:t>
      </w:r>
      <w:r>
        <w:t xml:space="preserve"> assent forms</w:t>
      </w:r>
      <w:r w:rsidR="00FA6ED2">
        <w:t>.</w:t>
      </w:r>
      <w:r>
        <w:t xml:space="preserve"> </w:t>
      </w:r>
      <w:r w:rsidR="00FA6ED2">
        <w:t>D</w:t>
      </w:r>
      <w:r>
        <w:t>emographic information, such as age, race</w:t>
      </w:r>
      <w:r w:rsidR="00FA6ED2">
        <w:t>,</w:t>
      </w:r>
      <w:r>
        <w:t xml:space="preserve"> and ethnicity will be collected from the recruiting organization</w:t>
      </w:r>
      <w:r w:rsidR="00FA6ED2">
        <w:t>s</w:t>
      </w:r>
      <w:r>
        <w:t xml:space="preserve">. </w:t>
      </w:r>
      <w:r w:rsidR="004D0362">
        <w:t xml:space="preserve">Respondents will be instructed to not record their name on survey instruments. </w:t>
      </w:r>
      <w:r w:rsidR="00D02CF0">
        <w:t xml:space="preserve">This </w:t>
      </w:r>
      <w:r w:rsidR="00FA6ED2">
        <w:t xml:space="preserve">data </w:t>
      </w:r>
      <w:r w:rsidR="00D02CF0">
        <w:t>collection is not subject to the Privacy Act, as i</w:t>
      </w:r>
      <w:r w:rsidRPr="00865CDF">
        <w:t>nformation will not be maintained in a paper or electronic system from which data are actually or directly retrieved by an individuals’ personal identifier.</w:t>
      </w:r>
    </w:p>
    <w:p w14:paraId="18EED10A" w14:textId="77777777" w:rsidR="002560D7" w:rsidRDefault="002560D7" w:rsidP="002560D7">
      <w:pPr>
        <w:spacing w:after="0" w:line="240" w:lineRule="auto"/>
        <w:rPr>
          <w:i/>
        </w:rPr>
      </w:pPr>
    </w:p>
    <w:p w14:paraId="28D37A40" w14:textId="7557B9D2" w:rsidR="002560D7" w:rsidRDefault="002560D7" w:rsidP="00CB57CE">
      <w:pPr>
        <w:spacing w:after="120" w:line="240" w:lineRule="auto"/>
        <w:rPr>
          <w:i/>
        </w:rPr>
      </w:pPr>
      <w:r>
        <w:rPr>
          <w:i/>
        </w:rPr>
        <w:t>Assurances of Privacy</w:t>
      </w:r>
    </w:p>
    <w:p w14:paraId="4180ABFE" w14:textId="66718BDD" w:rsidR="002560D7" w:rsidRDefault="002560D7" w:rsidP="002560D7">
      <w:pPr>
        <w:spacing w:after="120" w:line="240" w:lineRule="auto"/>
      </w:pPr>
      <w:r w:rsidRPr="00436F5E">
        <w:t xml:space="preserve">Information </w:t>
      </w:r>
      <w:r w:rsidR="00FA6ED2">
        <w:t>provided during this data collection w</w:t>
      </w:r>
      <w:r w:rsidRPr="00436F5E">
        <w:t>ill be kept private to the extent permitted by law. Respondents will be informed of all planned uses of data</w:t>
      </w:r>
      <w:r w:rsidR="00FA6ED2">
        <w:t>;</w:t>
      </w:r>
      <w:r w:rsidRPr="00436F5E">
        <w:t xml:space="preserve"> that their participation is voluntary</w:t>
      </w:r>
      <w:r w:rsidR="00FA6ED2">
        <w:t>;</w:t>
      </w:r>
      <w:r w:rsidRPr="00436F5E">
        <w:t xml:space="preserve">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14:paraId="6E979ED9" w14:textId="06763008" w:rsidR="002560D7" w:rsidRDefault="002560D7" w:rsidP="002560D7">
      <w:pPr>
        <w:spacing w:after="0" w:line="240" w:lineRule="auto"/>
      </w:pPr>
    </w:p>
    <w:p w14:paraId="2490F478" w14:textId="3CF9D7B9" w:rsidR="002560D7" w:rsidRDefault="002560D7" w:rsidP="002560D7">
      <w:pPr>
        <w:spacing w:after="120" w:line="240" w:lineRule="auto"/>
        <w:rPr>
          <w:i/>
        </w:rPr>
      </w:pPr>
      <w:r>
        <w:rPr>
          <w:i/>
        </w:rPr>
        <w:t>Data Security and Monitoring</w:t>
      </w:r>
    </w:p>
    <w:p w14:paraId="10BFEB77" w14:textId="050BCB43" w:rsidR="00865CDF" w:rsidRPr="00436F5E" w:rsidRDefault="00865CDF" w:rsidP="001B5085">
      <w:pPr>
        <w:widowControl w:val="0"/>
      </w:pPr>
      <w:r w:rsidRPr="00436F5E">
        <w:t xml:space="preserve">As specified in the contract, the </w:t>
      </w:r>
      <w:r>
        <w:t>c</w:t>
      </w:r>
      <w:r w:rsidRPr="00436F5E">
        <w:t xml:space="preserve">ontractor </w:t>
      </w:r>
      <w:r>
        <w:t>will</w:t>
      </w:r>
      <w:r w:rsidRPr="00436F5E">
        <w:t xml:space="preserve"> protect respondent</w:t>
      </w:r>
      <w:r>
        <w:t>s’</w:t>
      </w:r>
      <w:r w:rsidRPr="00436F5E">
        <w:t xml:space="preserve"> privacy to the extent permitted by law and comply with all </w:t>
      </w:r>
      <w:r>
        <w:t>f</w:t>
      </w:r>
      <w:r w:rsidRPr="00436F5E">
        <w:t xml:space="preserve">ederal and </w:t>
      </w:r>
      <w:r>
        <w:t>d</w:t>
      </w:r>
      <w:r w:rsidRPr="00436F5E">
        <w:t>epartmental regula</w:t>
      </w:r>
      <w:r>
        <w:t>tions for private information.</w:t>
      </w:r>
      <w:r w:rsidRPr="00387D52">
        <w:rPr>
          <w:color w:val="FF0000"/>
        </w:rPr>
        <w:t xml:space="preserve"> </w:t>
      </w:r>
      <w:r w:rsidRPr="00387D52">
        <w:t xml:space="preserve">The </w:t>
      </w:r>
      <w:r>
        <w:t>c</w:t>
      </w:r>
      <w:r w:rsidRPr="00387D52">
        <w:t>ontractor has developed a Data Safety and Monitoring Plan that assesses all protections of respondents’ personally identifiable information.</w:t>
      </w:r>
      <w:r w:rsidRPr="00436F5E">
        <w:t xml:space="preserve"> The </w:t>
      </w:r>
      <w:r>
        <w:t>c</w:t>
      </w:r>
      <w:r w:rsidRPr="00436F5E">
        <w:t xml:space="preserve">ontractor </w:t>
      </w:r>
      <w:r>
        <w:t>will</w:t>
      </w:r>
      <w:r w:rsidRPr="00436F5E">
        <w:t xml:space="preserve"> ensure that all of its employees, subcontractors (at all tiers), and employees of each subcontractor who perform work under this contract</w:t>
      </w:r>
      <w:r>
        <w:t xml:space="preserve"> or </w:t>
      </w:r>
      <w:r w:rsidRPr="00436F5E">
        <w:t xml:space="preserve">subcontract are trained on data privacy issues and comply with the above requirements. </w:t>
      </w:r>
      <w:r w:rsidRPr="00764B7A">
        <w:t xml:space="preserve">All </w:t>
      </w:r>
      <w:r>
        <w:t>study team</w:t>
      </w:r>
      <w:r w:rsidRPr="00764B7A">
        <w:t xml:space="preserve"> staff </w:t>
      </w:r>
      <w:r>
        <w:t xml:space="preserve">involved in the project </w:t>
      </w:r>
      <w:r w:rsidRPr="00764B7A">
        <w:t>will receive training on (1) limitations of disclosure; (2) safeguarding the physical work environment; and (3) storing, transmitting, and destroying data securely. All Mathemat</w:t>
      </w:r>
      <w:r>
        <w:t>ica staff sign the Mathematica C</w:t>
      </w:r>
      <w:r w:rsidR="000D1B29">
        <w:t>onfidentiality Agreement,</w:t>
      </w:r>
      <w:r w:rsidRPr="00C07674">
        <w:t xml:space="preserve"> complete</w:t>
      </w:r>
      <w:r w:rsidRPr="00764B7A">
        <w:t xml:space="preserve"> online security awareness training when they are hired, and receive annual refresher training thereafter.</w:t>
      </w:r>
    </w:p>
    <w:p w14:paraId="2A92316F" w14:textId="13C6D268" w:rsidR="00865CDF" w:rsidRPr="00436F5E" w:rsidRDefault="00865CDF" w:rsidP="001B5085">
      <w:pPr>
        <w:widowControl w:val="0"/>
      </w:pPr>
      <w:r w:rsidRPr="00436F5E">
        <w:t xml:space="preserve">As specified in the evaluator’s contract, the </w:t>
      </w:r>
      <w:r>
        <w:t>c</w:t>
      </w:r>
      <w:r w:rsidRPr="00436F5E">
        <w:t xml:space="preserve">ontractor </w:t>
      </w:r>
      <w:r>
        <w:t>will</w:t>
      </w:r>
      <w:r w:rsidRPr="00436F5E">
        <w:t xml:space="preserve"> use Federal Information Processing Standard compliant encryption (Security Requirements for Cryptographic Module, as amended) to protect all instances of sensitive information during storage and transmission. The </w:t>
      </w:r>
      <w:r>
        <w:t>c</w:t>
      </w:r>
      <w:r w:rsidRPr="00436F5E">
        <w:t xml:space="preserve">ontractor </w:t>
      </w:r>
      <w:r>
        <w:t>will</w:t>
      </w:r>
      <w:r w:rsidRPr="00436F5E">
        <w:t xml:space="preserve"> securely generate and manage encryption keys to prevent unauthorized decryption of information in accordance with the Federal Processing Standard. </w:t>
      </w:r>
      <w:r>
        <w:t>A</w:t>
      </w:r>
      <w:r w:rsidRPr="00436F5E">
        <w:t xml:space="preserve">ny data stored electronically will be secured in accordance with the most current National Institute of Standards and Technology requirements and other applicable </w:t>
      </w:r>
      <w:r>
        <w:t>f</w:t>
      </w:r>
      <w:r w:rsidRPr="00436F5E">
        <w:t xml:space="preserve">ederal and </w:t>
      </w:r>
      <w:r>
        <w:t>d</w:t>
      </w:r>
      <w:r w:rsidRPr="00436F5E">
        <w:t xml:space="preserve">epartmental regulations. In addition, the </w:t>
      </w:r>
      <w:r>
        <w:t>c</w:t>
      </w:r>
      <w:r w:rsidRPr="00436F5E">
        <w:t xml:space="preserve">ontractor </w:t>
      </w:r>
      <w:r w:rsidR="007B2119">
        <w:t xml:space="preserve">has </w:t>
      </w:r>
      <w:r w:rsidRPr="00436F5E">
        <w:t xml:space="preserve">a plan for minimizing the extent possible the inclusion of sensitive information on paper records and for the protection of any paper records, field notes, or other documents that contain sensitive or personally identifiable information that ensures secure </w:t>
      </w:r>
      <w:r>
        <w:t>storage and limits on access.  </w:t>
      </w:r>
    </w:p>
    <w:p w14:paraId="249BE1A4" w14:textId="77777777" w:rsidR="002560D7" w:rsidRDefault="002560D7" w:rsidP="002560D7">
      <w:pPr>
        <w:spacing w:after="0" w:line="240" w:lineRule="auto"/>
      </w:pPr>
    </w:p>
    <w:p w14:paraId="38C28436" w14:textId="4298E7E3" w:rsidR="00717BDC" w:rsidRDefault="00B23277" w:rsidP="00D32E6D">
      <w:pPr>
        <w:spacing w:after="120" w:line="240" w:lineRule="auto"/>
      </w:pPr>
      <w:r w:rsidRPr="00624DDC">
        <w:rPr>
          <w:b/>
        </w:rPr>
        <w:t>A11</w:t>
      </w:r>
      <w:r>
        <w:t>.</w:t>
      </w:r>
      <w:r>
        <w:tab/>
      </w:r>
      <w:r w:rsidR="002A41C6" w:rsidRPr="002560D7">
        <w:rPr>
          <w:b/>
        </w:rPr>
        <w:t>Sensitive Information</w:t>
      </w:r>
      <w:r w:rsidR="002560D7" w:rsidRPr="001B5085">
        <w:rPr>
          <w:vertAlign w:val="superscript"/>
        </w:rPr>
        <w:t xml:space="preserve"> </w:t>
      </w:r>
      <w:r w:rsidR="002560D7" w:rsidRPr="001B5085">
        <w:rPr>
          <w:vertAlign w:val="superscript"/>
        </w:rPr>
        <w:footnoteReference w:id="4"/>
      </w:r>
    </w:p>
    <w:p w14:paraId="550A2B0F" w14:textId="414C4073" w:rsidR="004D0362" w:rsidRDefault="004D0362" w:rsidP="001B5085">
      <w:pPr>
        <w:shd w:val="clear" w:color="auto" w:fill="FFFFFF"/>
        <w:spacing w:before="280" w:after="280"/>
      </w:pPr>
      <w:r>
        <w:t xml:space="preserve">The goal of the </w:t>
      </w:r>
      <w:r w:rsidRPr="001438A5">
        <w:t xml:space="preserve">IDEAS project </w:t>
      </w:r>
      <w:r>
        <w:t>is to</w:t>
      </w:r>
      <w:r w:rsidRPr="001438A5">
        <w:t xml:space="preserve"> identify age-appropriate strategies, skills, messages, and themes likely to resonate with youth on topics of sexual risk avoidance and teen pregnancy prevention education</w:t>
      </w:r>
      <w:r>
        <w:t>.</w:t>
      </w:r>
      <w:r w:rsidRPr="001438A5">
        <w:t xml:space="preserve"> </w:t>
      </w:r>
      <w:r>
        <w:t xml:space="preserve">Questions pertaining to sexual attitudes and the behaviors of youth and sexual attitudes of their parents can be very sensitive in nature; but the questions are necessary to meet the main study objectives. Table A11 indicates the survey topics and questions deemed sensitive on the Parent and Youth surveys. IRB </w:t>
      </w:r>
      <w:r w:rsidR="00F1315C">
        <w:t>review of the pre</w:t>
      </w:r>
      <w:r w:rsidR="00060311">
        <w:t>-</w:t>
      </w:r>
      <w:r w:rsidR="00F1315C">
        <w:t>test protocol, consent</w:t>
      </w:r>
      <w:r w:rsidR="00F75141">
        <w:t>,</w:t>
      </w:r>
      <w:r w:rsidR="00F1315C">
        <w:t xml:space="preserve"> and assent forms</w:t>
      </w:r>
      <w:r>
        <w:t xml:space="preserve"> is currently in process.</w:t>
      </w:r>
    </w:p>
    <w:p w14:paraId="5A4446D6" w14:textId="276D4276" w:rsidR="00944F02" w:rsidRDefault="004D3366" w:rsidP="001B5085">
      <w:pPr>
        <w:shd w:val="clear" w:color="auto" w:fill="FFFFFF"/>
        <w:spacing w:before="280" w:after="280"/>
      </w:pPr>
      <w:bookmarkStart w:id="1" w:name="_gjdgxs"/>
      <w:bookmarkEnd w:id="1"/>
      <w:r>
        <w:t xml:space="preserve">At the start of the survey, all </w:t>
      </w:r>
      <w:r w:rsidR="004D0362">
        <w:t xml:space="preserve">pre-test participants will be informed </w:t>
      </w:r>
      <w:r w:rsidR="000454E4">
        <w:t xml:space="preserve">of </w:t>
      </w:r>
      <w:r w:rsidR="004D0362">
        <w:t>the sensitive nature of the questions and that they can refuse to answer any questions they feel uncomfortable answering</w:t>
      </w:r>
      <w:r>
        <w:t>.  F</w:t>
      </w:r>
      <w:r w:rsidR="004D0362">
        <w:t xml:space="preserve">or youth younger than 18 years old, </w:t>
      </w:r>
      <w:r>
        <w:t xml:space="preserve">notifications will be provided </w:t>
      </w:r>
      <w:r w:rsidR="004D0362">
        <w:t xml:space="preserve">during the parental </w:t>
      </w:r>
      <w:r>
        <w:t xml:space="preserve">assent </w:t>
      </w:r>
      <w:r w:rsidR="004D0362">
        <w:t xml:space="preserve">process. </w:t>
      </w:r>
      <w:r>
        <w:t>Additionally</w:t>
      </w:r>
      <w:r w:rsidR="004D0362">
        <w:t xml:space="preserve">, participants will be informed that the goal of the pre-test is about their understanding of the questions, not </w:t>
      </w:r>
      <w:r>
        <w:t xml:space="preserve">to capture </w:t>
      </w:r>
      <w:r w:rsidR="004D0362">
        <w:t>their specific answers.</w:t>
      </w:r>
      <w:bookmarkStart w:id="2" w:name="_Toc320884273"/>
      <w:bookmarkStart w:id="3" w:name="_Toc325379699"/>
      <w:bookmarkStart w:id="4" w:name="_Toc326750789"/>
      <w:bookmarkStart w:id="5" w:name="_Toc326753076"/>
      <w:bookmarkStart w:id="6" w:name="_Toc352243222"/>
      <w:bookmarkStart w:id="7" w:name="_Toc353437667"/>
      <w:bookmarkStart w:id="8" w:name="_Toc353957470"/>
      <w:bookmarkStart w:id="9" w:name="_Toc355597306"/>
      <w:bookmarkStart w:id="10" w:name="_Toc355772801"/>
      <w:bookmarkStart w:id="11" w:name="_Toc355783090"/>
      <w:bookmarkStart w:id="12" w:name="_Toc355783353"/>
      <w:r w:rsidR="00F1315C">
        <w:t xml:space="preserve"> As mentioned in Section A10, respondents will be instructed to not record their name or any other identifying information on the hard copy surveys instruments</w:t>
      </w:r>
      <w:r w:rsidR="00C818B1">
        <w:t>,</w:t>
      </w:r>
      <w:r w:rsidR="00F1315C">
        <w:t xml:space="preserve"> which will prevent sensitive information in the survey from being linked to individual respondents.</w:t>
      </w:r>
    </w:p>
    <w:p w14:paraId="259B70BA" w14:textId="77777777" w:rsidR="00944F02" w:rsidRDefault="00944F02">
      <w:r>
        <w:br w:type="page"/>
      </w:r>
    </w:p>
    <w:p w14:paraId="14DE18E2" w14:textId="77777777" w:rsidR="00F1315C" w:rsidRDefault="00F1315C" w:rsidP="001B5085">
      <w:pPr>
        <w:shd w:val="clear" w:color="auto" w:fill="FFFFFF"/>
        <w:spacing w:before="280" w:after="280"/>
      </w:pPr>
    </w:p>
    <w:p w14:paraId="080AABCF" w14:textId="435E6210" w:rsidR="004D0362" w:rsidRPr="00A70D8F" w:rsidRDefault="004D0362" w:rsidP="001B5085">
      <w:pPr>
        <w:shd w:val="clear" w:color="auto" w:fill="FFFFFF"/>
        <w:spacing w:before="280" w:after="280"/>
        <w:rPr>
          <w:b/>
        </w:rPr>
      </w:pPr>
      <w:r w:rsidRPr="00A70D8F">
        <w:rPr>
          <w:b/>
        </w:rPr>
        <w:t>Table A11. Summary of Sensitive Questions to be Included on the Parent and Youth Surveys and Their Justification</w:t>
      </w:r>
      <w:bookmarkEnd w:id="2"/>
      <w:bookmarkEnd w:id="3"/>
      <w:bookmarkEnd w:id="4"/>
      <w:bookmarkEnd w:id="5"/>
      <w:bookmarkEnd w:id="6"/>
      <w:bookmarkEnd w:id="7"/>
      <w:bookmarkEnd w:id="8"/>
      <w:bookmarkEnd w:id="9"/>
      <w:bookmarkEnd w:id="10"/>
      <w:bookmarkEnd w:id="11"/>
      <w:bookmarkEnd w:id="12"/>
    </w:p>
    <w:tbl>
      <w:tblPr>
        <w:tblW w:w="9576" w:type="dxa"/>
        <w:tblBorders>
          <w:top w:val="single" w:sz="12"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3168"/>
        <w:gridCol w:w="6408"/>
      </w:tblGrid>
      <w:tr w:rsidR="004D0362" w14:paraId="37DB7455" w14:textId="77777777" w:rsidTr="001B5085">
        <w:tc>
          <w:tcPr>
            <w:tcW w:w="3168" w:type="dxa"/>
            <w:tcBorders>
              <w:top w:val="single" w:sz="12" w:space="0" w:color="000000"/>
              <w:bottom w:val="single" w:sz="4" w:space="0" w:color="000000"/>
            </w:tcBorders>
            <w:shd w:val="clear" w:color="auto" w:fill="auto"/>
            <w:vAlign w:val="bottom"/>
          </w:tcPr>
          <w:p w14:paraId="1C6DE47E" w14:textId="77777777" w:rsidR="004D0362" w:rsidRPr="001B5085" w:rsidRDefault="004D0362" w:rsidP="001B5085">
            <w:pPr>
              <w:pBdr>
                <w:top w:val="nil"/>
                <w:left w:val="nil"/>
                <w:bottom w:val="nil"/>
                <w:right w:val="nil"/>
                <w:between w:val="nil"/>
              </w:pBdr>
              <w:tabs>
                <w:tab w:val="left" w:pos="432"/>
              </w:tabs>
              <w:spacing w:before="120" w:after="60"/>
              <w:rPr>
                <w:color w:val="000000"/>
              </w:rPr>
            </w:pPr>
            <w:r w:rsidRPr="001B5085">
              <w:rPr>
                <w:color w:val="000000"/>
              </w:rPr>
              <w:t>Topic and Survey Questions</w:t>
            </w:r>
          </w:p>
        </w:tc>
        <w:tc>
          <w:tcPr>
            <w:tcW w:w="6408" w:type="dxa"/>
            <w:tcBorders>
              <w:top w:val="single" w:sz="12" w:space="0" w:color="000000"/>
              <w:bottom w:val="single" w:sz="4" w:space="0" w:color="000000"/>
            </w:tcBorders>
            <w:shd w:val="clear" w:color="auto" w:fill="auto"/>
            <w:vAlign w:val="bottom"/>
          </w:tcPr>
          <w:p w14:paraId="3EE37A66" w14:textId="77777777" w:rsidR="004D0362" w:rsidRPr="001B5085" w:rsidRDefault="004D0362" w:rsidP="001B5085">
            <w:pPr>
              <w:pBdr>
                <w:top w:val="nil"/>
                <w:left w:val="nil"/>
                <w:bottom w:val="nil"/>
                <w:right w:val="nil"/>
                <w:between w:val="nil"/>
              </w:pBdr>
              <w:tabs>
                <w:tab w:val="left" w:pos="432"/>
              </w:tabs>
              <w:spacing w:before="120" w:after="60"/>
              <w:jc w:val="center"/>
              <w:rPr>
                <w:color w:val="000000"/>
              </w:rPr>
            </w:pPr>
            <w:r w:rsidRPr="001B5085">
              <w:rPr>
                <w:color w:val="000000"/>
              </w:rPr>
              <w:t>Justification</w:t>
            </w:r>
          </w:p>
        </w:tc>
      </w:tr>
      <w:tr w:rsidR="004D0362" w14:paraId="1A4D4929" w14:textId="77777777" w:rsidTr="001B5085">
        <w:tc>
          <w:tcPr>
            <w:tcW w:w="3168" w:type="dxa"/>
            <w:tcBorders>
              <w:top w:val="nil"/>
              <w:bottom w:val="nil"/>
            </w:tcBorders>
            <w:shd w:val="clear" w:color="auto" w:fill="auto"/>
          </w:tcPr>
          <w:p w14:paraId="790AB7CB" w14:textId="77777777" w:rsidR="004D0362" w:rsidRPr="00F847EB" w:rsidRDefault="004D0362" w:rsidP="001B5085">
            <w:pPr>
              <w:pBdr>
                <w:top w:val="nil"/>
                <w:left w:val="nil"/>
                <w:bottom w:val="nil"/>
                <w:right w:val="nil"/>
                <w:between w:val="nil"/>
              </w:pBdr>
              <w:rPr>
                <w:b/>
                <w:color w:val="000000"/>
                <w:sz w:val="20"/>
              </w:rPr>
            </w:pPr>
            <w:r w:rsidRPr="00F847EB">
              <w:rPr>
                <w:b/>
                <w:color w:val="000000"/>
                <w:sz w:val="20"/>
              </w:rPr>
              <w:t>Gender identity and sexual attraction</w:t>
            </w:r>
          </w:p>
          <w:p w14:paraId="2B39DB90" w14:textId="4B0183CD" w:rsidR="004D0362" w:rsidRPr="00F847EB" w:rsidRDefault="004D0362" w:rsidP="001B5085">
            <w:pPr>
              <w:pBdr>
                <w:top w:val="nil"/>
                <w:left w:val="nil"/>
                <w:bottom w:val="nil"/>
                <w:right w:val="nil"/>
                <w:between w:val="nil"/>
              </w:pBdr>
              <w:spacing w:after="60"/>
              <w:rPr>
                <w:color w:val="000000"/>
                <w:sz w:val="20"/>
              </w:rPr>
            </w:pPr>
            <w:r w:rsidRPr="00F847EB">
              <w:rPr>
                <w:color w:val="000000"/>
                <w:sz w:val="20"/>
              </w:rPr>
              <w:t>Youth</w:t>
            </w:r>
            <w:r w:rsidR="008D5625">
              <w:rPr>
                <w:color w:val="000000"/>
                <w:sz w:val="20"/>
              </w:rPr>
              <w:t xml:space="preserve"> &amp; Young Adult</w:t>
            </w:r>
            <w:r w:rsidRPr="00F847EB">
              <w:rPr>
                <w:color w:val="000000"/>
                <w:sz w:val="20"/>
              </w:rPr>
              <w:t xml:space="preserve"> Survey Part 1 A5, A6, A7</w:t>
            </w:r>
          </w:p>
        </w:tc>
        <w:tc>
          <w:tcPr>
            <w:tcW w:w="6408" w:type="dxa"/>
            <w:tcBorders>
              <w:top w:val="nil"/>
              <w:bottom w:val="nil"/>
            </w:tcBorders>
            <w:shd w:val="clear" w:color="auto" w:fill="auto"/>
          </w:tcPr>
          <w:p w14:paraId="65A8DDAE" w14:textId="3D2B0D35" w:rsidR="004D0362" w:rsidRPr="00F847EB" w:rsidRDefault="004D0362" w:rsidP="001B5085">
            <w:pPr>
              <w:pBdr>
                <w:top w:val="nil"/>
                <w:left w:val="nil"/>
                <w:bottom w:val="nil"/>
                <w:right w:val="nil"/>
                <w:between w:val="nil"/>
              </w:pBdr>
              <w:spacing w:before="120" w:after="60"/>
              <w:rPr>
                <w:color w:val="000000"/>
                <w:sz w:val="20"/>
              </w:rPr>
            </w:pPr>
            <w:r w:rsidRPr="00F847EB">
              <w:rPr>
                <w:color w:val="000000"/>
                <w:sz w:val="20"/>
              </w:rPr>
              <w:t xml:space="preserve">ACF has a strong interest in improving programming that serves lesbian, gay, bisexual, transgender, and questioning youth and is sensitive and inclusive of all youth. To better understand these subgroups, questions on gender identity and sexual attraction are included in the survey. </w:t>
            </w:r>
          </w:p>
        </w:tc>
      </w:tr>
      <w:tr w:rsidR="004D0362" w14:paraId="44733168" w14:textId="77777777" w:rsidTr="001B5085">
        <w:tc>
          <w:tcPr>
            <w:tcW w:w="3168" w:type="dxa"/>
            <w:tcBorders>
              <w:top w:val="nil"/>
              <w:bottom w:val="nil"/>
            </w:tcBorders>
            <w:shd w:val="clear" w:color="auto" w:fill="auto"/>
          </w:tcPr>
          <w:p w14:paraId="21FC616B" w14:textId="77777777" w:rsidR="004D0362" w:rsidRPr="00F847EB" w:rsidRDefault="004D0362" w:rsidP="001B5085">
            <w:pPr>
              <w:pBdr>
                <w:top w:val="nil"/>
                <w:left w:val="nil"/>
                <w:bottom w:val="nil"/>
                <w:right w:val="nil"/>
                <w:between w:val="nil"/>
              </w:pBdr>
              <w:spacing w:before="120"/>
              <w:rPr>
                <w:b/>
                <w:color w:val="000000"/>
                <w:sz w:val="20"/>
              </w:rPr>
            </w:pPr>
            <w:r w:rsidRPr="00F847EB">
              <w:rPr>
                <w:b/>
                <w:color w:val="000000"/>
                <w:sz w:val="20"/>
              </w:rPr>
              <w:t>Religion</w:t>
            </w:r>
          </w:p>
          <w:p w14:paraId="6A321033" w14:textId="32114B99" w:rsidR="004D0362" w:rsidRPr="00F847EB" w:rsidRDefault="004D0362" w:rsidP="008D5625">
            <w:pPr>
              <w:pBdr>
                <w:top w:val="nil"/>
                <w:left w:val="nil"/>
                <w:bottom w:val="nil"/>
                <w:right w:val="nil"/>
                <w:between w:val="nil"/>
              </w:pBdr>
              <w:rPr>
                <w:color w:val="000000"/>
                <w:sz w:val="20"/>
              </w:rPr>
            </w:pPr>
            <w:r w:rsidRPr="00F847EB">
              <w:rPr>
                <w:color w:val="000000"/>
                <w:sz w:val="20"/>
              </w:rPr>
              <w:t>Youth</w:t>
            </w:r>
            <w:r w:rsidR="008D5625">
              <w:rPr>
                <w:color w:val="000000"/>
                <w:sz w:val="20"/>
              </w:rPr>
              <w:t xml:space="preserve"> &amp; Young Adult</w:t>
            </w:r>
            <w:r w:rsidRPr="00F847EB">
              <w:rPr>
                <w:color w:val="000000"/>
                <w:sz w:val="20"/>
              </w:rPr>
              <w:t xml:space="preserve"> Survey Part 1 A12a, A12b; Parent Survey H20a, H20b</w:t>
            </w:r>
          </w:p>
        </w:tc>
        <w:tc>
          <w:tcPr>
            <w:tcW w:w="6408" w:type="dxa"/>
            <w:tcBorders>
              <w:top w:val="nil"/>
              <w:bottom w:val="nil"/>
            </w:tcBorders>
            <w:shd w:val="clear" w:color="auto" w:fill="auto"/>
          </w:tcPr>
          <w:p w14:paraId="1DA45590" w14:textId="7052AFF3" w:rsidR="004D0362" w:rsidRPr="00F847EB" w:rsidRDefault="004D0362" w:rsidP="004D3366">
            <w:pPr>
              <w:pBdr>
                <w:top w:val="nil"/>
                <w:left w:val="nil"/>
                <w:bottom w:val="nil"/>
                <w:right w:val="nil"/>
                <w:between w:val="nil"/>
              </w:pBdr>
              <w:spacing w:before="120" w:after="60"/>
              <w:rPr>
                <w:color w:val="000000"/>
                <w:sz w:val="20"/>
              </w:rPr>
            </w:pPr>
            <w:r w:rsidRPr="00F847EB">
              <w:rPr>
                <w:color w:val="000000"/>
                <w:sz w:val="20"/>
              </w:rPr>
              <w:t>Research has shown that religion or religiosity has a protective effect on youth sexual behaviors.</w:t>
            </w:r>
            <w:r w:rsidRPr="00F847EB">
              <w:rPr>
                <w:color w:val="000000"/>
                <w:sz w:val="20"/>
                <w:vertAlign w:val="superscript"/>
              </w:rPr>
              <w:footnoteReference w:id="5"/>
            </w:r>
            <w:r w:rsidRPr="00F847EB">
              <w:rPr>
                <w:color w:val="000000"/>
                <w:sz w:val="20"/>
              </w:rPr>
              <w:t xml:space="preserve"> Understanding how </w:t>
            </w:r>
            <w:r w:rsidR="004D3366">
              <w:rPr>
                <w:color w:val="000000"/>
                <w:sz w:val="20"/>
              </w:rPr>
              <w:t>religious belief</w:t>
            </w:r>
            <w:r w:rsidR="004D3366" w:rsidRPr="00F847EB">
              <w:rPr>
                <w:color w:val="000000"/>
                <w:sz w:val="20"/>
              </w:rPr>
              <w:t xml:space="preserve"> </w:t>
            </w:r>
            <w:r w:rsidRPr="00F847EB">
              <w:rPr>
                <w:color w:val="000000"/>
                <w:sz w:val="20"/>
              </w:rPr>
              <w:t xml:space="preserve">might moderate </w:t>
            </w:r>
            <w:r w:rsidR="004D3366">
              <w:rPr>
                <w:color w:val="000000"/>
                <w:sz w:val="20"/>
              </w:rPr>
              <w:t>respondents’</w:t>
            </w:r>
            <w:r w:rsidR="004D3366" w:rsidRPr="00F847EB">
              <w:rPr>
                <w:color w:val="000000"/>
                <w:sz w:val="20"/>
              </w:rPr>
              <w:t xml:space="preserve"> </w:t>
            </w:r>
            <w:r w:rsidRPr="00F847EB">
              <w:rPr>
                <w:color w:val="000000"/>
                <w:sz w:val="20"/>
              </w:rPr>
              <w:t xml:space="preserve">behaviors and attitudes will be important when interpreting survey findings and translating them to actionable steps in improving programming. </w:t>
            </w:r>
          </w:p>
        </w:tc>
      </w:tr>
      <w:tr w:rsidR="004D0362" w14:paraId="57291E41" w14:textId="77777777" w:rsidTr="001B5085">
        <w:tc>
          <w:tcPr>
            <w:tcW w:w="3168" w:type="dxa"/>
            <w:tcBorders>
              <w:top w:val="nil"/>
              <w:bottom w:val="nil"/>
            </w:tcBorders>
            <w:shd w:val="clear" w:color="auto" w:fill="auto"/>
          </w:tcPr>
          <w:p w14:paraId="123B302F" w14:textId="77777777" w:rsidR="004D0362" w:rsidRPr="00F847EB" w:rsidRDefault="004D0362" w:rsidP="001B5085">
            <w:pPr>
              <w:pBdr>
                <w:top w:val="nil"/>
                <w:left w:val="nil"/>
                <w:bottom w:val="nil"/>
                <w:right w:val="nil"/>
                <w:between w:val="nil"/>
              </w:pBdr>
              <w:spacing w:before="120"/>
              <w:rPr>
                <w:b/>
                <w:color w:val="000000"/>
                <w:sz w:val="20"/>
              </w:rPr>
            </w:pPr>
            <w:r w:rsidRPr="00F847EB">
              <w:rPr>
                <w:b/>
                <w:color w:val="000000"/>
                <w:sz w:val="20"/>
              </w:rPr>
              <w:t>Attitudes and beliefs related to sexual activity</w:t>
            </w:r>
          </w:p>
          <w:p w14:paraId="03B446E8" w14:textId="138C5622" w:rsidR="004D0362" w:rsidRPr="00F847EB" w:rsidRDefault="004D0362" w:rsidP="001B5085">
            <w:pPr>
              <w:pBdr>
                <w:top w:val="nil"/>
                <w:left w:val="nil"/>
                <w:bottom w:val="nil"/>
                <w:right w:val="nil"/>
                <w:between w:val="nil"/>
              </w:pBdr>
              <w:spacing w:before="120"/>
              <w:rPr>
                <w:color w:val="000000"/>
                <w:sz w:val="20"/>
              </w:rPr>
            </w:pPr>
            <w:r w:rsidRPr="00F847EB">
              <w:rPr>
                <w:color w:val="000000"/>
                <w:sz w:val="20"/>
              </w:rPr>
              <w:t>Youth</w:t>
            </w:r>
            <w:r w:rsidR="008D5625">
              <w:rPr>
                <w:color w:val="000000"/>
                <w:sz w:val="20"/>
              </w:rPr>
              <w:t xml:space="preserve"> &amp; Young Adult</w:t>
            </w:r>
            <w:r w:rsidRPr="00F847EB">
              <w:rPr>
                <w:color w:val="000000"/>
                <w:sz w:val="20"/>
              </w:rPr>
              <w:t xml:space="preserve"> Survey Part 1 Section D</w:t>
            </w:r>
          </w:p>
          <w:p w14:paraId="3610DEDD" w14:textId="77777777" w:rsidR="004D0362" w:rsidRPr="00F847EB" w:rsidRDefault="004D0362" w:rsidP="001B5085">
            <w:pPr>
              <w:pBdr>
                <w:top w:val="nil"/>
                <w:left w:val="nil"/>
                <w:bottom w:val="nil"/>
                <w:right w:val="nil"/>
                <w:between w:val="nil"/>
              </w:pBdr>
              <w:spacing w:before="120"/>
              <w:rPr>
                <w:color w:val="000000"/>
                <w:sz w:val="20"/>
              </w:rPr>
            </w:pPr>
            <w:r w:rsidRPr="00F847EB">
              <w:rPr>
                <w:color w:val="000000"/>
                <w:sz w:val="20"/>
              </w:rPr>
              <w:t>Parent Survey Section F</w:t>
            </w:r>
          </w:p>
        </w:tc>
        <w:tc>
          <w:tcPr>
            <w:tcW w:w="6408" w:type="dxa"/>
            <w:tcBorders>
              <w:top w:val="nil"/>
              <w:bottom w:val="nil"/>
            </w:tcBorders>
            <w:shd w:val="clear" w:color="auto" w:fill="auto"/>
          </w:tcPr>
          <w:p w14:paraId="4042A10C" w14:textId="1D71BA81" w:rsidR="004D0362" w:rsidRPr="00F847EB" w:rsidRDefault="004D0362" w:rsidP="004D3366">
            <w:pPr>
              <w:pBdr>
                <w:top w:val="nil"/>
                <w:left w:val="nil"/>
                <w:bottom w:val="nil"/>
                <w:right w:val="nil"/>
                <w:between w:val="nil"/>
              </w:pBdr>
              <w:spacing w:before="120" w:after="60"/>
              <w:rPr>
                <w:color w:val="000000"/>
                <w:sz w:val="20"/>
              </w:rPr>
            </w:pPr>
            <w:r w:rsidRPr="00F847EB">
              <w:rPr>
                <w:color w:val="000000"/>
                <w:sz w:val="20"/>
              </w:rPr>
              <w:t xml:space="preserve">To understand what </w:t>
            </w:r>
            <w:r w:rsidR="004D3366">
              <w:rPr>
                <w:color w:val="000000"/>
                <w:sz w:val="20"/>
              </w:rPr>
              <w:t xml:space="preserve">sexual risk avoidance and teen pregnancy prevention messages connect with </w:t>
            </w:r>
            <w:r w:rsidRPr="00F847EB">
              <w:rPr>
                <w:color w:val="000000"/>
                <w:sz w:val="20"/>
              </w:rPr>
              <w:t>youth and their parents, it is necessary to understand their attitudes and beliefs related to sexual activity. Responses to questions in these sections can guide the direction of future programming, ensuring it addresses common attitudes and beliefs among youth and parents.</w:t>
            </w:r>
          </w:p>
        </w:tc>
      </w:tr>
      <w:tr w:rsidR="004D0362" w14:paraId="799D7F22" w14:textId="77777777" w:rsidTr="001B5085">
        <w:tc>
          <w:tcPr>
            <w:tcW w:w="3168" w:type="dxa"/>
            <w:tcBorders>
              <w:top w:val="nil"/>
              <w:bottom w:val="single" w:sz="4" w:space="0" w:color="000000"/>
            </w:tcBorders>
            <w:shd w:val="clear" w:color="auto" w:fill="auto"/>
          </w:tcPr>
          <w:p w14:paraId="5F7A75BC" w14:textId="77777777" w:rsidR="004D0362" w:rsidRPr="00F847EB" w:rsidRDefault="004D0362" w:rsidP="001B5085">
            <w:pPr>
              <w:pBdr>
                <w:top w:val="nil"/>
                <w:left w:val="nil"/>
                <w:bottom w:val="nil"/>
                <w:right w:val="nil"/>
                <w:between w:val="nil"/>
              </w:pBdr>
              <w:spacing w:before="120"/>
              <w:rPr>
                <w:b/>
                <w:color w:val="000000"/>
                <w:sz w:val="20"/>
              </w:rPr>
            </w:pPr>
            <w:r w:rsidRPr="00F847EB">
              <w:rPr>
                <w:b/>
                <w:color w:val="000000"/>
                <w:sz w:val="20"/>
              </w:rPr>
              <w:t>Sexual activity (including intentions), incidence of pregnancy, and contraceptive use</w:t>
            </w:r>
          </w:p>
          <w:p w14:paraId="78038A21" w14:textId="560B00D1" w:rsidR="004D0362" w:rsidRPr="00F847EB" w:rsidRDefault="004D0362" w:rsidP="001B5085">
            <w:pPr>
              <w:pBdr>
                <w:top w:val="nil"/>
                <w:left w:val="nil"/>
                <w:bottom w:val="nil"/>
                <w:right w:val="nil"/>
                <w:between w:val="nil"/>
              </w:pBdr>
              <w:spacing w:after="60"/>
              <w:rPr>
                <w:color w:val="000000"/>
                <w:sz w:val="20"/>
              </w:rPr>
            </w:pPr>
            <w:r w:rsidRPr="00F847EB">
              <w:rPr>
                <w:color w:val="000000"/>
                <w:sz w:val="20"/>
              </w:rPr>
              <w:t xml:space="preserve">Youth </w:t>
            </w:r>
            <w:r w:rsidR="007B2119">
              <w:rPr>
                <w:color w:val="000000"/>
                <w:sz w:val="20"/>
              </w:rPr>
              <w:t xml:space="preserve">&amp; Young Adult </w:t>
            </w:r>
            <w:r w:rsidRPr="00F847EB">
              <w:rPr>
                <w:color w:val="000000"/>
                <w:sz w:val="20"/>
              </w:rPr>
              <w:t>Survey Part 2 Section G</w:t>
            </w:r>
          </w:p>
          <w:p w14:paraId="3AD71637" w14:textId="77777777" w:rsidR="004D0362" w:rsidRPr="00F847EB" w:rsidRDefault="004D0362" w:rsidP="001B5085">
            <w:pPr>
              <w:pBdr>
                <w:top w:val="nil"/>
                <w:left w:val="nil"/>
                <w:bottom w:val="nil"/>
                <w:right w:val="nil"/>
                <w:between w:val="nil"/>
              </w:pBdr>
              <w:spacing w:after="60"/>
              <w:rPr>
                <w:color w:val="000000"/>
                <w:sz w:val="20"/>
              </w:rPr>
            </w:pPr>
            <w:r w:rsidRPr="00F847EB">
              <w:rPr>
                <w:color w:val="000000"/>
                <w:sz w:val="20"/>
              </w:rPr>
              <w:t>Parent Survey G3</w:t>
            </w:r>
          </w:p>
        </w:tc>
        <w:tc>
          <w:tcPr>
            <w:tcW w:w="6408" w:type="dxa"/>
            <w:tcBorders>
              <w:top w:val="nil"/>
              <w:bottom w:val="single" w:sz="4" w:space="0" w:color="000000"/>
            </w:tcBorders>
            <w:shd w:val="clear" w:color="auto" w:fill="auto"/>
          </w:tcPr>
          <w:p w14:paraId="687C0A21" w14:textId="2B2FDA33" w:rsidR="004D0362" w:rsidRPr="00F847EB" w:rsidRDefault="004D0362" w:rsidP="004D3366">
            <w:pPr>
              <w:pBdr>
                <w:top w:val="nil"/>
                <w:left w:val="nil"/>
                <w:bottom w:val="nil"/>
                <w:right w:val="nil"/>
                <w:between w:val="nil"/>
              </w:pBdr>
              <w:spacing w:before="120" w:after="60"/>
              <w:rPr>
                <w:color w:val="000000"/>
                <w:sz w:val="20"/>
              </w:rPr>
            </w:pPr>
            <w:r w:rsidRPr="00F847EB">
              <w:rPr>
                <w:color w:val="000000"/>
                <w:sz w:val="20"/>
              </w:rPr>
              <w:t xml:space="preserve">The surveys </w:t>
            </w:r>
            <w:r w:rsidR="004D3366">
              <w:rPr>
                <w:color w:val="000000"/>
                <w:sz w:val="20"/>
              </w:rPr>
              <w:t>are designed to measure</w:t>
            </w:r>
            <w:r w:rsidRPr="00F847EB">
              <w:rPr>
                <w:color w:val="000000"/>
                <w:sz w:val="20"/>
              </w:rPr>
              <w:t xml:space="preserve"> knowledge, attitudes, behaviors, communication, education, and expectations related to teen sexual behaviors. These questions address the </w:t>
            </w:r>
            <w:r w:rsidR="004D3366" w:rsidRPr="00F847EB">
              <w:rPr>
                <w:color w:val="000000"/>
                <w:sz w:val="20"/>
              </w:rPr>
              <w:t>behavior</w:t>
            </w:r>
            <w:r w:rsidR="004D3366">
              <w:rPr>
                <w:color w:val="000000"/>
                <w:sz w:val="20"/>
              </w:rPr>
              <w:t>al</w:t>
            </w:r>
            <w:r w:rsidR="004D3366" w:rsidRPr="00F847EB">
              <w:rPr>
                <w:color w:val="000000"/>
                <w:sz w:val="20"/>
              </w:rPr>
              <w:t xml:space="preserve"> </w:t>
            </w:r>
            <w:r w:rsidRPr="00F847EB">
              <w:rPr>
                <w:color w:val="000000"/>
                <w:sz w:val="20"/>
              </w:rPr>
              <w:t xml:space="preserve">component and are necessary to provide context to other topical areas of the survey, such as attitudes and expectations. </w:t>
            </w:r>
            <w:r w:rsidR="004D3366">
              <w:rPr>
                <w:color w:val="000000"/>
                <w:sz w:val="20"/>
              </w:rPr>
              <w:t>T</w:t>
            </w:r>
            <w:r w:rsidRPr="00F847EB">
              <w:rPr>
                <w:color w:val="000000"/>
                <w:sz w:val="20"/>
              </w:rPr>
              <w:t xml:space="preserve">he majority of these questions </w:t>
            </w:r>
            <w:r w:rsidR="004D3366">
              <w:rPr>
                <w:color w:val="000000"/>
                <w:sz w:val="20"/>
              </w:rPr>
              <w:t xml:space="preserve">are asked only of </w:t>
            </w:r>
            <w:r w:rsidRPr="00F847EB">
              <w:rPr>
                <w:color w:val="000000"/>
                <w:sz w:val="20"/>
              </w:rPr>
              <w:t xml:space="preserve">youth </w:t>
            </w:r>
            <w:r w:rsidR="004D3366">
              <w:rPr>
                <w:color w:val="000000"/>
                <w:sz w:val="20"/>
              </w:rPr>
              <w:t xml:space="preserve">and young adults </w:t>
            </w:r>
            <w:r w:rsidRPr="00F847EB">
              <w:rPr>
                <w:color w:val="000000"/>
                <w:sz w:val="20"/>
              </w:rPr>
              <w:t xml:space="preserve">who report being sexually active. For </w:t>
            </w:r>
            <w:r w:rsidR="004D3366">
              <w:rPr>
                <w:color w:val="000000"/>
                <w:sz w:val="20"/>
              </w:rPr>
              <w:t>respondents who do not</w:t>
            </w:r>
            <w:r w:rsidRPr="00F847EB">
              <w:rPr>
                <w:color w:val="000000"/>
                <w:sz w:val="20"/>
              </w:rPr>
              <w:t xml:space="preserve"> report sexually </w:t>
            </w:r>
            <w:r w:rsidR="004D3366" w:rsidRPr="00F847EB">
              <w:rPr>
                <w:color w:val="000000"/>
                <w:sz w:val="20"/>
              </w:rPr>
              <w:t>activ</w:t>
            </w:r>
            <w:r w:rsidR="004D3366">
              <w:rPr>
                <w:color w:val="000000"/>
                <w:sz w:val="20"/>
              </w:rPr>
              <w:t>ity</w:t>
            </w:r>
            <w:r w:rsidRPr="00F847EB">
              <w:rPr>
                <w:color w:val="000000"/>
                <w:sz w:val="20"/>
              </w:rPr>
              <w:t xml:space="preserve">, we ask their intentions regarding sexual activity. Intentions </w:t>
            </w:r>
            <w:r w:rsidR="004D3366">
              <w:rPr>
                <w:color w:val="000000"/>
                <w:sz w:val="20"/>
              </w:rPr>
              <w:t>for</w:t>
            </w:r>
            <w:r w:rsidR="004D3366" w:rsidRPr="00F847EB">
              <w:rPr>
                <w:color w:val="000000"/>
                <w:sz w:val="20"/>
              </w:rPr>
              <w:t xml:space="preserve"> </w:t>
            </w:r>
            <w:r w:rsidRPr="00F847EB">
              <w:rPr>
                <w:color w:val="000000"/>
                <w:sz w:val="20"/>
              </w:rPr>
              <w:t>engaging in sex and other risk-taking behaviors are extremely strong predictors of subsequent behavior.</w:t>
            </w:r>
            <w:r w:rsidRPr="00F847EB">
              <w:rPr>
                <w:color w:val="000000"/>
                <w:sz w:val="20"/>
                <w:vertAlign w:val="superscript"/>
              </w:rPr>
              <w:footnoteReference w:id="6"/>
            </w:r>
            <w:r w:rsidRPr="00F847EB">
              <w:rPr>
                <w:color w:val="000000"/>
                <w:sz w:val="20"/>
              </w:rPr>
              <w:t xml:space="preserve"> Intentions are strongly related to behavior and will be an important mediator predicting behavior change.</w:t>
            </w:r>
          </w:p>
        </w:tc>
      </w:tr>
    </w:tbl>
    <w:p w14:paraId="65524C3D" w14:textId="529DE00D" w:rsidR="00D32E6D" w:rsidRDefault="00D32E6D" w:rsidP="00D32E6D">
      <w:pPr>
        <w:spacing w:after="0" w:line="240" w:lineRule="auto"/>
        <w:rPr>
          <w:rFonts w:cstheme="minorHAnsi"/>
        </w:rPr>
      </w:pPr>
    </w:p>
    <w:p w14:paraId="0DA926DF" w14:textId="77777777" w:rsidR="00D32E6D" w:rsidRPr="00D32E6D" w:rsidRDefault="00D32E6D" w:rsidP="00D32E6D">
      <w:pPr>
        <w:spacing w:after="0" w:line="240" w:lineRule="auto"/>
        <w:rPr>
          <w:rFonts w:cstheme="minorHAnsi"/>
        </w:rPr>
      </w:pPr>
    </w:p>
    <w:p w14:paraId="1316A99D" w14:textId="4C48D95C" w:rsidR="00230CAA" w:rsidRPr="001F0446" w:rsidRDefault="00B23277" w:rsidP="001F0446">
      <w:pPr>
        <w:spacing w:after="120" w:line="240" w:lineRule="auto"/>
        <w:rPr>
          <w:b/>
        </w:rPr>
      </w:pPr>
      <w:r w:rsidRPr="00624DDC">
        <w:rPr>
          <w:b/>
        </w:rPr>
        <w:t>A12</w:t>
      </w:r>
      <w:r>
        <w:t>.</w:t>
      </w:r>
      <w:r>
        <w:tab/>
      </w:r>
      <w:r w:rsidR="005D4A40" w:rsidRPr="00D32E6D">
        <w:rPr>
          <w:b/>
        </w:rPr>
        <w:t>Burden</w:t>
      </w:r>
    </w:p>
    <w:p w14:paraId="5972B4E8" w14:textId="19743EC4" w:rsidR="00230CAA" w:rsidRDefault="00230CAA" w:rsidP="001F0446">
      <w:pPr>
        <w:spacing w:after="120" w:line="240" w:lineRule="auto"/>
        <w:rPr>
          <w:i/>
        </w:rPr>
      </w:pPr>
      <w:r>
        <w:rPr>
          <w:i/>
        </w:rPr>
        <w:t>Explanation of Burden Estimates</w:t>
      </w:r>
    </w:p>
    <w:p w14:paraId="5D31B591" w14:textId="416C1FC6" w:rsidR="00F1315C" w:rsidRPr="00F847EB" w:rsidRDefault="00060311" w:rsidP="00F847EB">
      <w:pPr>
        <w:pBdr>
          <w:top w:val="nil"/>
          <w:left w:val="nil"/>
          <w:bottom w:val="nil"/>
          <w:right w:val="nil"/>
          <w:between w:val="nil"/>
        </w:pBdr>
        <w:spacing w:after="240" w:line="240" w:lineRule="auto"/>
        <w:rPr>
          <w:color w:val="000000"/>
        </w:rPr>
      </w:pPr>
      <w:r w:rsidRPr="00F847EB">
        <w:rPr>
          <w:color w:val="000000"/>
        </w:rPr>
        <w:t>Table A</w:t>
      </w:r>
      <w:r w:rsidR="00F1315C" w:rsidRPr="00F847EB">
        <w:rPr>
          <w:color w:val="000000"/>
        </w:rPr>
        <w:t xml:space="preserve">12 summarizes the estimated reporting burden and costs for each instrument being pre-tested. We will conduct pre-testing in up to three phases. Phase 1 will include up to three pre-testing sessions in three different geographic areas. If substantive changes are made to the survey following the first round of pre-testing, we propose conducting phase two by returning to the same three geographic locations to pre-test the revised instruments using the same process and design described above. Based on the outcome of phase two, we propose a final phase three of testing, returning to up to all three sites, if extensive revisions are made to the instruments based on the phase two testing, to pre-test the revised instruments, again using the same process and design as previous phases. </w:t>
      </w:r>
      <w:r w:rsidR="009A06CB">
        <w:rPr>
          <w:rFonts w:ascii="Calibri" w:eastAsia="Calibri" w:hAnsi="Calibri" w:cs="Calibri"/>
          <w:color w:val="000000"/>
        </w:rPr>
        <w:t xml:space="preserve">Different respondents would participate in each phase.  </w:t>
      </w:r>
      <w:r w:rsidR="00F1315C" w:rsidRPr="00F847EB">
        <w:rPr>
          <w:color w:val="000000"/>
        </w:rPr>
        <w:t>In each geographic area, we will pre-test with up to 12</w:t>
      </w:r>
      <w:r w:rsidR="00F847EB">
        <w:rPr>
          <w:color w:val="000000"/>
        </w:rPr>
        <w:t xml:space="preserve"> participants in the following groups</w:t>
      </w:r>
      <w:r w:rsidR="00F1315C" w:rsidRPr="00F847EB">
        <w:rPr>
          <w:color w:val="000000"/>
        </w:rPr>
        <w:t>: parents of a youth ages 14 to 18, youth ages 14 to 18</w:t>
      </w:r>
      <w:r w:rsidR="009A06CB">
        <w:rPr>
          <w:rFonts w:ascii="Calibri" w:eastAsia="Calibri" w:hAnsi="Calibri" w:cs="Calibri"/>
          <w:color w:val="000000"/>
        </w:rPr>
        <w:t xml:space="preserve"> </w:t>
      </w:r>
      <w:r w:rsidR="00F847EB">
        <w:rPr>
          <w:rFonts w:ascii="Calibri" w:eastAsia="Calibri" w:hAnsi="Calibri" w:cs="Calibri"/>
          <w:color w:val="000000"/>
        </w:rPr>
        <w:t>(part 1</w:t>
      </w:r>
      <w:r w:rsidR="0000750F">
        <w:rPr>
          <w:rFonts w:ascii="Calibri" w:eastAsia="Calibri" w:hAnsi="Calibri" w:cs="Calibri"/>
          <w:color w:val="000000"/>
        </w:rPr>
        <w:t xml:space="preserve"> of survey</w:t>
      </w:r>
      <w:r w:rsidR="00F847EB">
        <w:rPr>
          <w:rFonts w:ascii="Calibri" w:eastAsia="Calibri" w:hAnsi="Calibri" w:cs="Calibri"/>
          <w:color w:val="000000"/>
        </w:rPr>
        <w:t>)</w:t>
      </w:r>
      <w:r w:rsidR="00F1315C" w:rsidRPr="00BC687E">
        <w:t>,</w:t>
      </w:r>
      <w:r w:rsidR="00F1315C" w:rsidRPr="00F847EB">
        <w:rPr>
          <w:color w:val="000000"/>
        </w:rPr>
        <w:t xml:space="preserve"> </w:t>
      </w:r>
      <w:r w:rsidR="00F847EB" w:rsidRPr="00F847EB">
        <w:rPr>
          <w:color w:val="000000"/>
        </w:rPr>
        <w:t>youth ages 14 to 18</w:t>
      </w:r>
      <w:r w:rsidR="00F847EB">
        <w:rPr>
          <w:rFonts w:ascii="Calibri" w:eastAsia="Calibri" w:hAnsi="Calibri" w:cs="Calibri"/>
          <w:color w:val="000000"/>
        </w:rPr>
        <w:t xml:space="preserve"> (part 2</w:t>
      </w:r>
      <w:r w:rsidR="0000750F">
        <w:rPr>
          <w:rFonts w:ascii="Calibri" w:eastAsia="Calibri" w:hAnsi="Calibri" w:cs="Calibri"/>
          <w:color w:val="000000"/>
        </w:rPr>
        <w:t xml:space="preserve"> of survey</w:t>
      </w:r>
      <w:r w:rsidR="00F847EB">
        <w:rPr>
          <w:rFonts w:ascii="Calibri" w:eastAsia="Calibri" w:hAnsi="Calibri" w:cs="Calibri"/>
          <w:color w:val="000000"/>
        </w:rPr>
        <w:t>)</w:t>
      </w:r>
      <w:r w:rsidR="0000750F">
        <w:rPr>
          <w:rFonts w:ascii="Calibri" w:eastAsia="Calibri" w:hAnsi="Calibri" w:cs="Calibri"/>
          <w:color w:val="000000"/>
        </w:rPr>
        <w:t xml:space="preserve">, </w:t>
      </w:r>
      <w:r w:rsidR="00F1315C" w:rsidRPr="00F847EB">
        <w:rPr>
          <w:color w:val="000000"/>
        </w:rPr>
        <w:t xml:space="preserve">and young adults ages 19 to 24. Pre-tests with parents and young adults will take up to two hours to complete, and </w:t>
      </w:r>
      <w:r w:rsidR="009A06CB">
        <w:rPr>
          <w:rFonts w:ascii="Calibri" w:eastAsia="Calibri" w:hAnsi="Calibri" w:cs="Calibri"/>
          <w:color w:val="000000"/>
        </w:rPr>
        <w:t xml:space="preserve">each </w:t>
      </w:r>
      <w:r w:rsidR="00F1315C" w:rsidRPr="00F847EB">
        <w:rPr>
          <w:color w:val="000000"/>
        </w:rPr>
        <w:t>pre-test with youth will take an hour and a half. The youth pre-</w:t>
      </w:r>
      <w:r w:rsidR="009A06CB">
        <w:rPr>
          <w:rFonts w:ascii="Calibri" w:eastAsia="Calibri" w:hAnsi="Calibri" w:cs="Calibri"/>
          <w:color w:val="000000"/>
        </w:rPr>
        <w:t>tests are</w:t>
      </w:r>
      <w:r w:rsidR="00F1315C" w:rsidRPr="00F847EB">
        <w:rPr>
          <w:color w:val="000000"/>
        </w:rPr>
        <w:t xml:space="preserve"> expected to take less time because youth sessions will be split between Part 1 and Part 2 of the youth survey to reduce the length of time for this younger age group.</w:t>
      </w:r>
    </w:p>
    <w:p w14:paraId="24B69DBB" w14:textId="77777777" w:rsidR="001F0446" w:rsidRDefault="001F0446" w:rsidP="00230CAA">
      <w:pPr>
        <w:spacing w:after="0" w:line="240" w:lineRule="auto"/>
        <w:rPr>
          <w:i/>
        </w:rPr>
      </w:pPr>
    </w:p>
    <w:p w14:paraId="2DFBEA9F" w14:textId="1258D740" w:rsidR="001F0446" w:rsidRPr="00230CAA" w:rsidRDefault="001F0446" w:rsidP="001F0446">
      <w:pPr>
        <w:spacing w:after="120" w:line="240" w:lineRule="auto"/>
        <w:rPr>
          <w:i/>
        </w:rPr>
      </w:pPr>
      <w:r>
        <w:rPr>
          <w:i/>
        </w:rPr>
        <w:t>Estimated Annualized Cost to Respondents</w:t>
      </w:r>
    </w:p>
    <w:p w14:paraId="4422D486" w14:textId="5836EEE8" w:rsidR="00060311" w:rsidRDefault="00F1315C" w:rsidP="0000750F">
      <w:pPr>
        <w:pBdr>
          <w:top w:val="nil"/>
          <w:left w:val="nil"/>
          <w:bottom w:val="nil"/>
          <w:right w:val="nil"/>
          <w:between w:val="nil"/>
        </w:pBdr>
        <w:spacing w:after="240" w:line="240" w:lineRule="auto"/>
        <w:rPr>
          <w:b/>
        </w:rPr>
      </w:pPr>
      <w:r w:rsidRPr="0000750F">
        <w:rPr>
          <w:color w:val="000000"/>
        </w:rPr>
        <w:t xml:space="preserve">We estimate the average hourly wage for parents and young adults is the average hourly wage of “all occupations” taken from the May 2018 National Occupational Employment and Wage Estimates, U.S. Bureau of Labor Statistics ($24.98). </w:t>
      </w:r>
    </w:p>
    <w:p w14:paraId="5E4D9760" w14:textId="0D5655B6" w:rsidR="00BC687E" w:rsidRDefault="00BC687E" w:rsidP="00BC687E">
      <w:r>
        <w:rPr>
          <w:b/>
        </w:rPr>
        <w:t xml:space="preserve">Table A12. </w:t>
      </w:r>
      <w:r w:rsidRPr="00A35B0D">
        <w:rPr>
          <w:b/>
        </w:rPr>
        <w:t>Total Burden Requested Under this Information Collection</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61"/>
        <w:gridCol w:w="1258"/>
        <w:gridCol w:w="1328"/>
        <w:gridCol w:w="985"/>
        <w:gridCol w:w="802"/>
        <w:gridCol w:w="979"/>
        <w:gridCol w:w="1157"/>
        <w:gridCol w:w="1355"/>
      </w:tblGrid>
      <w:tr w:rsidR="00F34774" w:rsidRPr="00E91B21" w14:paraId="3716FADD" w14:textId="77777777" w:rsidTr="004468AF">
        <w:trPr>
          <w:jc w:val="center"/>
        </w:trPr>
        <w:tc>
          <w:tcPr>
            <w:tcW w:w="1761" w:type="dxa"/>
            <w:shd w:val="clear" w:color="auto" w:fill="BFBFBF"/>
            <w:vAlign w:val="center"/>
          </w:tcPr>
          <w:p w14:paraId="61B51D1B" w14:textId="77777777" w:rsidR="00DE6DB5" w:rsidRPr="0000750F" w:rsidRDefault="00DE6DB5" w:rsidP="00BC687E">
            <w:pPr>
              <w:jc w:val="center"/>
              <w:rPr>
                <w:sz w:val="20"/>
                <w:szCs w:val="20"/>
              </w:rPr>
            </w:pPr>
            <w:r w:rsidRPr="0000750F">
              <w:rPr>
                <w:sz w:val="20"/>
                <w:szCs w:val="20"/>
              </w:rPr>
              <w:t>Instrument</w:t>
            </w:r>
          </w:p>
        </w:tc>
        <w:tc>
          <w:tcPr>
            <w:tcW w:w="1258" w:type="dxa"/>
            <w:shd w:val="clear" w:color="auto" w:fill="BFBFBF"/>
            <w:vAlign w:val="center"/>
          </w:tcPr>
          <w:p w14:paraId="7C2A8FD6" w14:textId="44932AF8" w:rsidR="00DE6DB5" w:rsidRPr="0000750F" w:rsidRDefault="00DE6DB5" w:rsidP="00BC687E">
            <w:pPr>
              <w:jc w:val="center"/>
              <w:rPr>
                <w:sz w:val="20"/>
                <w:szCs w:val="20"/>
              </w:rPr>
            </w:pPr>
            <w:r w:rsidRPr="0000750F">
              <w:rPr>
                <w:bCs/>
                <w:sz w:val="20"/>
                <w:szCs w:val="20"/>
              </w:rPr>
              <w:t>No. of Respondents (total over request period)</w:t>
            </w:r>
          </w:p>
        </w:tc>
        <w:tc>
          <w:tcPr>
            <w:tcW w:w="1328" w:type="dxa"/>
            <w:shd w:val="clear" w:color="auto" w:fill="BFBFBF"/>
            <w:vAlign w:val="center"/>
          </w:tcPr>
          <w:p w14:paraId="468938D9" w14:textId="65D9BD51" w:rsidR="00DE6DB5" w:rsidRPr="0000750F" w:rsidRDefault="00DE6DB5" w:rsidP="00BC687E">
            <w:pPr>
              <w:jc w:val="center"/>
              <w:rPr>
                <w:sz w:val="20"/>
                <w:szCs w:val="20"/>
              </w:rPr>
            </w:pPr>
            <w:r w:rsidRPr="0000750F">
              <w:rPr>
                <w:bCs/>
                <w:sz w:val="20"/>
                <w:szCs w:val="20"/>
              </w:rPr>
              <w:t>No. of Responses per Respondent (total over request period)</w:t>
            </w:r>
          </w:p>
        </w:tc>
        <w:tc>
          <w:tcPr>
            <w:tcW w:w="985" w:type="dxa"/>
            <w:shd w:val="clear" w:color="auto" w:fill="BFBFBF"/>
            <w:vAlign w:val="center"/>
          </w:tcPr>
          <w:p w14:paraId="1956BE8B" w14:textId="7EAEA2C0" w:rsidR="00DE6DB5" w:rsidRPr="0000750F" w:rsidRDefault="00DE6DB5" w:rsidP="00BC687E">
            <w:pPr>
              <w:jc w:val="center"/>
              <w:rPr>
                <w:sz w:val="20"/>
                <w:szCs w:val="20"/>
              </w:rPr>
            </w:pPr>
            <w:r w:rsidRPr="0000750F">
              <w:rPr>
                <w:bCs/>
                <w:sz w:val="20"/>
                <w:szCs w:val="20"/>
              </w:rPr>
              <w:t>Avg. Burden per Response (in hours)</w:t>
            </w:r>
          </w:p>
        </w:tc>
        <w:tc>
          <w:tcPr>
            <w:tcW w:w="802" w:type="dxa"/>
            <w:shd w:val="clear" w:color="auto" w:fill="BFBFBF"/>
            <w:vAlign w:val="center"/>
          </w:tcPr>
          <w:p w14:paraId="7D1F94C5" w14:textId="53F31B9A" w:rsidR="00DE6DB5" w:rsidRPr="0000750F" w:rsidRDefault="00DE6DB5" w:rsidP="00BC687E">
            <w:pPr>
              <w:jc w:val="center"/>
              <w:rPr>
                <w:bCs/>
                <w:sz w:val="20"/>
                <w:szCs w:val="20"/>
              </w:rPr>
            </w:pPr>
            <w:r w:rsidRPr="0000750F">
              <w:rPr>
                <w:sz w:val="20"/>
                <w:szCs w:val="20"/>
              </w:rPr>
              <w:t>Total Burden (in hours)</w:t>
            </w:r>
          </w:p>
        </w:tc>
        <w:tc>
          <w:tcPr>
            <w:tcW w:w="979" w:type="dxa"/>
            <w:shd w:val="clear" w:color="auto" w:fill="BFBFBF"/>
            <w:vAlign w:val="center"/>
          </w:tcPr>
          <w:p w14:paraId="2FD88894" w14:textId="7FFB935D" w:rsidR="00DE6DB5" w:rsidRPr="0000750F" w:rsidRDefault="00DE6DB5" w:rsidP="00BC687E">
            <w:pPr>
              <w:jc w:val="center"/>
              <w:rPr>
                <w:bCs/>
                <w:sz w:val="20"/>
                <w:szCs w:val="20"/>
              </w:rPr>
            </w:pPr>
            <w:r w:rsidRPr="0000750F">
              <w:rPr>
                <w:sz w:val="20"/>
                <w:szCs w:val="20"/>
              </w:rPr>
              <w:t>Annual Burden (in hours)</w:t>
            </w:r>
            <w:r w:rsidR="0000750F">
              <w:rPr>
                <w:rStyle w:val="FootnoteReference"/>
                <w:sz w:val="20"/>
                <w:szCs w:val="20"/>
              </w:rPr>
              <w:footnoteReference w:id="7"/>
            </w:r>
          </w:p>
        </w:tc>
        <w:tc>
          <w:tcPr>
            <w:tcW w:w="1157" w:type="dxa"/>
            <w:shd w:val="clear" w:color="auto" w:fill="BFBFBF"/>
            <w:vAlign w:val="center"/>
          </w:tcPr>
          <w:p w14:paraId="20FC6471" w14:textId="721779FA" w:rsidR="00DE6DB5" w:rsidRPr="0000750F" w:rsidRDefault="00DE6DB5" w:rsidP="00BC687E">
            <w:pPr>
              <w:jc w:val="center"/>
              <w:rPr>
                <w:sz w:val="20"/>
                <w:szCs w:val="20"/>
              </w:rPr>
            </w:pPr>
            <w:r w:rsidRPr="0000750F">
              <w:rPr>
                <w:sz w:val="20"/>
                <w:szCs w:val="20"/>
              </w:rPr>
              <w:t>Average Hourly Wage Rate</w:t>
            </w:r>
          </w:p>
        </w:tc>
        <w:tc>
          <w:tcPr>
            <w:tcW w:w="1355" w:type="dxa"/>
            <w:shd w:val="clear" w:color="auto" w:fill="BFBFBF"/>
            <w:vAlign w:val="center"/>
          </w:tcPr>
          <w:p w14:paraId="0DA61241" w14:textId="253568F4" w:rsidR="00DE6DB5" w:rsidRPr="0000750F" w:rsidRDefault="00DE6DB5" w:rsidP="00BC687E">
            <w:pPr>
              <w:jc w:val="center"/>
              <w:rPr>
                <w:sz w:val="20"/>
                <w:szCs w:val="20"/>
              </w:rPr>
            </w:pPr>
            <w:r w:rsidRPr="0000750F">
              <w:rPr>
                <w:sz w:val="20"/>
                <w:szCs w:val="20"/>
              </w:rPr>
              <w:t>Total Annual Respondent Cost</w:t>
            </w:r>
          </w:p>
        </w:tc>
      </w:tr>
      <w:tr w:rsidR="00F34774" w:rsidRPr="00E91B21" w14:paraId="0816317C" w14:textId="77777777" w:rsidTr="004468AF">
        <w:trPr>
          <w:trHeight w:val="420"/>
          <w:jc w:val="center"/>
        </w:trPr>
        <w:tc>
          <w:tcPr>
            <w:tcW w:w="1761" w:type="dxa"/>
            <w:shd w:val="clear" w:color="auto" w:fill="D9D9D9"/>
            <w:vAlign w:val="center"/>
          </w:tcPr>
          <w:p w14:paraId="07A2D36B" w14:textId="77777777" w:rsidR="00DE6DB5" w:rsidRPr="0000750F" w:rsidRDefault="00DE6DB5" w:rsidP="00FD4DD8">
            <w:pPr>
              <w:tabs>
                <w:tab w:val="center" w:pos="4320"/>
                <w:tab w:val="right" w:pos="8640"/>
              </w:tabs>
              <w:rPr>
                <w:b/>
                <w:sz w:val="20"/>
                <w:szCs w:val="20"/>
              </w:rPr>
            </w:pPr>
            <w:r w:rsidRPr="0000750F">
              <w:rPr>
                <w:b/>
                <w:sz w:val="20"/>
                <w:szCs w:val="20"/>
              </w:rPr>
              <w:t>Pre-test Phase 1</w:t>
            </w:r>
          </w:p>
        </w:tc>
        <w:tc>
          <w:tcPr>
            <w:tcW w:w="1258" w:type="dxa"/>
            <w:shd w:val="clear" w:color="auto" w:fill="D9D9D9"/>
            <w:vAlign w:val="center"/>
          </w:tcPr>
          <w:p w14:paraId="0C956F44" w14:textId="77777777" w:rsidR="00DE6DB5" w:rsidRPr="0000750F" w:rsidRDefault="00DE6DB5" w:rsidP="00FD4DD8">
            <w:pPr>
              <w:tabs>
                <w:tab w:val="center" w:pos="4320"/>
                <w:tab w:val="right" w:pos="8640"/>
              </w:tabs>
              <w:jc w:val="center"/>
              <w:rPr>
                <w:sz w:val="20"/>
                <w:szCs w:val="20"/>
              </w:rPr>
            </w:pPr>
          </w:p>
        </w:tc>
        <w:tc>
          <w:tcPr>
            <w:tcW w:w="1328" w:type="dxa"/>
            <w:shd w:val="clear" w:color="auto" w:fill="D9D9D9"/>
            <w:vAlign w:val="center"/>
          </w:tcPr>
          <w:p w14:paraId="5B9B075E" w14:textId="77777777" w:rsidR="00DE6DB5" w:rsidRPr="0000750F" w:rsidRDefault="00DE6DB5" w:rsidP="00FD4DD8">
            <w:pPr>
              <w:tabs>
                <w:tab w:val="center" w:pos="4320"/>
                <w:tab w:val="right" w:pos="8640"/>
              </w:tabs>
              <w:jc w:val="center"/>
              <w:rPr>
                <w:sz w:val="20"/>
                <w:szCs w:val="20"/>
              </w:rPr>
            </w:pPr>
          </w:p>
        </w:tc>
        <w:tc>
          <w:tcPr>
            <w:tcW w:w="985" w:type="dxa"/>
            <w:shd w:val="clear" w:color="auto" w:fill="D9D9D9"/>
            <w:vAlign w:val="center"/>
          </w:tcPr>
          <w:p w14:paraId="65768494" w14:textId="77777777" w:rsidR="00DE6DB5" w:rsidRPr="0000750F" w:rsidRDefault="00DE6DB5" w:rsidP="00FD4DD8">
            <w:pPr>
              <w:tabs>
                <w:tab w:val="center" w:pos="4320"/>
                <w:tab w:val="right" w:pos="8640"/>
              </w:tabs>
              <w:jc w:val="center"/>
              <w:rPr>
                <w:sz w:val="20"/>
                <w:szCs w:val="20"/>
              </w:rPr>
            </w:pPr>
          </w:p>
        </w:tc>
        <w:tc>
          <w:tcPr>
            <w:tcW w:w="802" w:type="dxa"/>
            <w:shd w:val="clear" w:color="auto" w:fill="D9D9D9"/>
          </w:tcPr>
          <w:p w14:paraId="40D4BA0F" w14:textId="77777777" w:rsidR="00DE6DB5" w:rsidRPr="0000750F" w:rsidRDefault="00DE6DB5" w:rsidP="00FD4DD8">
            <w:pPr>
              <w:tabs>
                <w:tab w:val="center" w:pos="4320"/>
                <w:tab w:val="right" w:pos="8640"/>
              </w:tabs>
              <w:jc w:val="center"/>
              <w:rPr>
                <w:sz w:val="20"/>
                <w:szCs w:val="20"/>
              </w:rPr>
            </w:pPr>
          </w:p>
        </w:tc>
        <w:tc>
          <w:tcPr>
            <w:tcW w:w="979" w:type="dxa"/>
            <w:shd w:val="clear" w:color="auto" w:fill="D9D9D9"/>
            <w:vAlign w:val="center"/>
          </w:tcPr>
          <w:p w14:paraId="0EC8FD08" w14:textId="3F9B3889" w:rsidR="00DE6DB5" w:rsidRPr="0000750F" w:rsidRDefault="00DE6DB5" w:rsidP="00FD4DD8">
            <w:pPr>
              <w:tabs>
                <w:tab w:val="center" w:pos="4320"/>
                <w:tab w:val="right" w:pos="8640"/>
              </w:tabs>
              <w:jc w:val="center"/>
              <w:rPr>
                <w:sz w:val="20"/>
                <w:szCs w:val="20"/>
              </w:rPr>
            </w:pPr>
          </w:p>
        </w:tc>
        <w:tc>
          <w:tcPr>
            <w:tcW w:w="1157" w:type="dxa"/>
            <w:shd w:val="clear" w:color="auto" w:fill="D9D9D9"/>
            <w:vAlign w:val="center"/>
          </w:tcPr>
          <w:p w14:paraId="4F9FD886" w14:textId="77777777" w:rsidR="00DE6DB5" w:rsidRPr="0000750F" w:rsidRDefault="00DE6DB5" w:rsidP="00FD4DD8">
            <w:pPr>
              <w:tabs>
                <w:tab w:val="center" w:pos="4320"/>
                <w:tab w:val="right" w:pos="8640"/>
              </w:tabs>
              <w:jc w:val="center"/>
              <w:rPr>
                <w:sz w:val="20"/>
                <w:szCs w:val="20"/>
              </w:rPr>
            </w:pPr>
          </w:p>
        </w:tc>
        <w:tc>
          <w:tcPr>
            <w:tcW w:w="1355" w:type="dxa"/>
            <w:shd w:val="clear" w:color="auto" w:fill="D9D9D9"/>
            <w:vAlign w:val="center"/>
          </w:tcPr>
          <w:p w14:paraId="4242647F" w14:textId="77777777" w:rsidR="00DE6DB5" w:rsidRPr="0000750F" w:rsidRDefault="00DE6DB5" w:rsidP="00FD4DD8">
            <w:pPr>
              <w:tabs>
                <w:tab w:val="center" w:pos="4320"/>
                <w:tab w:val="right" w:pos="8640"/>
              </w:tabs>
              <w:jc w:val="center"/>
              <w:rPr>
                <w:sz w:val="20"/>
                <w:szCs w:val="20"/>
              </w:rPr>
            </w:pPr>
          </w:p>
        </w:tc>
      </w:tr>
      <w:tr w:rsidR="00DE6DB5" w:rsidRPr="00E91B21" w14:paraId="60BD3338" w14:textId="77777777" w:rsidTr="004468AF">
        <w:tblPrEx>
          <w:tblCellMar>
            <w:left w:w="108" w:type="dxa"/>
            <w:right w:w="108" w:type="dxa"/>
          </w:tblCellMar>
          <w:tblLook w:val="00A0" w:firstRow="1" w:lastRow="0" w:firstColumn="1" w:lastColumn="0" w:noHBand="0" w:noVBand="0"/>
        </w:tblPrEx>
        <w:trPr>
          <w:trHeight w:val="432"/>
          <w:jc w:val="center"/>
        </w:trPr>
        <w:tc>
          <w:tcPr>
            <w:tcW w:w="1761" w:type="dxa"/>
            <w:vAlign w:val="center"/>
          </w:tcPr>
          <w:p w14:paraId="56751140" w14:textId="4E98501B" w:rsidR="00DE6DB5" w:rsidRPr="0000750F" w:rsidRDefault="00DE6DB5" w:rsidP="00FD4DD8">
            <w:pPr>
              <w:tabs>
                <w:tab w:val="center" w:pos="4320"/>
                <w:tab w:val="right" w:pos="8640"/>
              </w:tabs>
              <w:jc w:val="right"/>
              <w:rPr>
                <w:sz w:val="20"/>
                <w:szCs w:val="20"/>
              </w:rPr>
            </w:pPr>
            <w:r w:rsidRPr="0000750F">
              <w:rPr>
                <w:sz w:val="20"/>
                <w:szCs w:val="20"/>
              </w:rPr>
              <w:t xml:space="preserve">Parent </w:t>
            </w:r>
            <w:r w:rsidR="00132AC3">
              <w:rPr>
                <w:sz w:val="20"/>
                <w:szCs w:val="20"/>
              </w:rPr>
              <w:t>Pretest Protocol</w:t>
            </w:r>
            <w:r w:rsidR="00EA7529">
              <w:rPr>
                <w:sz w:val="20"/>
                <w:szCs w:val="20"/>
              </w:rPr>
              <w:t>:</w:t>
            </w:r>
            <w:r w:rsidR="00132AC3">
              <w:rPr>
                <w:sz w:val="20"/>
                <w:szCs w:val="20"/>
              </w:rPr>
              <w:t xml:space="preserve"> </w:t>
            </w:r>
            <w:r w:rsidRPr="0000750F">
              <w:rPr>
                <w:sz w:val="20"/>
                <w:szCs w:val="20"/>
              </w:rPr>
              <w:t>Survey and Debrief</w:t>
            </w:r>
            <w:r w:rsidR="00132AC3">
              <w:rPr>
                <w:sz w:val="20"/>
                <w:szCs w:val="20"/>
              </w:rPr>
              <w:t xml:space="preserve"> Topic Guide</w:t>
            </w:r>
          </w:p>
        </w:tc>
        <w:tc>
          <w:tcPr>
            <w:tcW w:w="1258" w:type="dxa"/>
            <w:vAlign w:val="center"/>
          </w:tcPr>
          <w:p w14:paraId="6423AEB9" w14:textId="77777777" w:rsidR="00DE6DB5" w:rsidRPr="0000750F" w:rsidRDefault="00DE6DB5" w:rsidP="00FD4DD8">
            <w:pPr>
              <w:tabs>
                <w:tab w:val="center" w:pos="4320"/>
                <w:tab w:val="right" w:pos="8640"/>
              </w:tabs>
              <w:jc w:val="center"/>
              <w:rPr>
                <w:sz w:val="20"/>
                <w:szCs w:val="20"/>
              </w:rPr>
            </w:pPr>
            <w:r w:rsidRPr="0000750F">
              <w:rPr>
                <w:sz w:val="20"/>
                <w:szCs w:val="20"/>
              </w:rPr>
              <w:t>36</w:t>
            </w:r>
          </w:p>
        </w:tc>
        <w:tc>
          <w:tcPr>
            <w:tcW w:w="1328" w:type="dxa"/>
            <w:vAlign w:val="center"/>
          </w:tcPr>
          <w:p w14:paraId="48BB7BA9" w14:textId="77777777" w:rsidR="00DE6DB5" w:rsidRPr="0000750F" w:rsidRDefault="00DE6DB5" w:rsidP="00FD4DD8">
            <w:pPr>
              <w:tabs>
                <w:tab w:val="center" w:pos="4320"/>
                <w:tab w:val="right" w:pos="8640"/>
              </w:tabs>
              <w:jc w:val="center"/>
              <w:rPr>
                <w:sz w:val="20"/>
                <w:szCs w:val="20"/>
              </w:rPr>
            </w:pPr>
            <w:r w:rsidRPr="0000750F">
              <w:rPr>
                <w:sz w:val="20"/>
                <w:szCs w:val="20"/>
              </w:rPr>
              <w:t>1</w:t>
            </w:r>
          </w:p>
        </w:tc>
        <w:tc>
          <w:tcPr>
            <w:tcW w:w="985" w:type="dxa"/>
            <w:vAlign w:val="center"/>
          </w:tcPr>
          <w:p w14:paraId="5B83D710" w14:textId="77777777" w:rsidR="00DE6DB5" w:rsidRPr="0000750F" w:rsidRDefault="00DE6DB5" w:rsidP="00FD4DD8">
            <w:pPr>
              <w:tabs>
                <w:tab w:val="center" w:pos="4320"/>
                <w:tab w:val="right" w:pos="8640"/>
              </w:tabs>
              <w:jc w:val="center"/>
              <w:rPr>
                <w:sz w:val="20"/>
                <w:szCs w:val="20"/>
              </w:rPr>
            </w:pPr>
            <w:r w:rsidRPr="0000750F">
              <w:rPr>
                <w:sz w:val="20"/>
                <w:szCs w:val="20"/>
              </w:rPr>
              <w:t>2</w:t>
            </w:r>
          </w:p>
        </w:tc>
        <w:tc>
          <w:tcPr>
            <w:tcW w:w="802" w:type="dxa"/>
            <w:vAlign w:val="center"/>
          </w:tcPr>
          <w:p w14:paraId="66ECEFB3" w14:textId="0D439DBE" w:rsidR="00DE6DB5" w:rsidRPr="0000750F" w:rsidRDefault="00DE6DB5" w:rsidP="00257FE0">
            <w:pPr>
              <w:tabs>
                <w:tab w:val="center" w:pos="4320"/>
                <w:tab w:val="right" w:pos="8640"/>
              </w:tabs>
              <w:jc w:val="center"/>
              <w:rPr>
                <w:sz w:val="20"/>
                <w:szCs w:val="20"/>
              </w:rPr>
            </w:pPr>
            <w:r w:rsidRPr="0000750F">
              <w:rPr>
                <w:sz w:val="20"/>
                <w:szCs w:val="20"/>
              </w:rPr>
              <w:t>72</w:t>
            </w:r>
          </w:p>
        </w:tc>
        <w:tc>
          <w:tcPr>
            <w:tcW w:w="979" w:type="dxa"/>
            <w:vAlign w:val="center"/>
          </w:tcPr>
          <w:p w14:paraId="6BDE6464" w14:textId="3BF2A691" w:rsidR="00DE6DB5" w:rsidRPr="0000750F" w:rsidRDefault="00DE6DB5" w:rsidP="00FD4DD8">
            <w:pPr>
              <w:tabs>
                <w:tab w:val="center" w:pos="4320"/>
                <w:tab w:val="right" w:pos="8640"/>
              </w:tabs>
              <w:jc w:val="center"/>
              <w:rPr>
                <w:sz w:val="20"/>
                <w:szCs w:val="20"/>
              </w:rPr>
            </w:pPr>
            <w:r w:rsidRPr="0000750F">
              <w:rPr>
                <w:sz w:val="20"/>
                <w:szCs w:val="20"/>
              </w:rPr>
              <w:t>24</w:t>
            </w:r>
          </w:p>
        </w:tc>
        <w:tc>
          <w:tcPr>
            <w:tcW w:w="1157" w:type="dxa"/>
            <w:vAlign w:val="center"/>
          </w:tcPr>
          <w:p w14:paraId="4DBE3987" w14:textId="77777777" w:rsidR="00DE6DB5" w:rsidRPr="0000750F" w:rsidRDefault="00DE6DB5" w:rsidP="00FD4DD8">
            <w:pPr>
              <w:tabs>
                <w:tab w:val="center" w:pos="4320"/>
                <w:tab w:val="right" w:pos="8640"/>
              </w:tabs>
              <w:jc w:val="center"/>
              <w:rPr>
                <w:sz w:val="20"/>
                <w:szCs w:val="20"/>
              </w:rPr>
            </w:pPr>
            <w:r w:rsidRPr="0000750F">
              <w:rPr>
                <w:sz w:val="20"/>
                <w:szCs w:val="20"/>
              </w:rPr>
              <w:t>$24.98</w:t>
            </w:r>
            <w:r w:rsidRPr="0000750F">
              <w:rPr>
                <w:rStyle w:val="FootnoteReference"/>
                <w:sz w:val="20"/>
                <w:szCs w:val="20"/>
              </w:rPr>
              <w:footnoteReference w:id="8"/>
            </w:r>
          </w:p>
        </w:tc>
        <w:tc>
          <w:tcPr>
            <w:tcW w:w="1355" w:type="dxa"/>
            <w:vAlign w:val="center"/>
          </w:tcPr>
          <w:p w14:paraId="15B1CAC9" w14:textId="77777777" w:rsidR="00DE6DB5" w:rsidRPr="0000750F" w:rsidRDefault="00DE6DB5" w:rsidP="00FD4DD8">
            <w:pPr>
              <w:tabs>
                <w:tab w:val="center" w:pos="4320"/>
                <w:tab w:val="right" w:pos="8640"/>
              </w:tabs>
              <w:jc w:val="center"/>
              <w:rPr>
                <w:sz w:val="20"/>
                <w:szCs w:val="20"/>
              </w:rPr>
            </w:pPr>
            <w:r w:rsidRPr="0000750F">
              <w:rPr>
                <w:sz w:val="20"/>
                <w:szCs w:val="20"/>
              </w:rPr>
              <w:t>$599.52</w:t>
            </w:r>
          </w:p>
        </w:tc>
      </w:tr>
      <w:tr w:rsidR="00DE6DB5" w:rsidRPr="00E91B21" w14:paraId="1E247DC5" w14:textId="77777777" w:rsidTr="004468AF">
        <w:tblPrEx>
          <w:tblCellMar>
            <w:left w:w="108" w:type="dxa"/>
            <w:right w:w="108" w:type="dxa"/>
          </w:tblCellMar>
          <w:tblLook w:val="00A0" w:firstRow="1" w:lastRow="0" w:firstColumn="1" w:lastColumn="0" w:noHBand="0" w:noVBand="0"/>
        </w:tblPrEx>
        <w:trPr>
          <w:trHeight w:val="432"/>
          <w:jc w:val="center"/>
        </w:trPr>
        <w:tc>
          <w:tcPr>
            <w:tcW w:w="1761" w:type="dxa"/>
            <w:vAlign w:val="center"/>
          </w:tcPr>
          <w:p w14:paraId="5562E002" w14:textId="4445EED4" w:rsidR="00DE6DB5" w:rsidRPr="0000750F" w:rsidRDefault="00DE6DB5" w:rsidP="00FD4DD8">
            <w:pPr>
              <w:tabs>
                <w:tab w:val="center" w:pos="4320"/>
                <w:tab w:val="right" w:pos="8640"/>
              </w:tabs>
              <w:jc w:val="right"/>
              <w:rPr>
                <w:sz w:val="20"/>
                <w:szCs w:val="20"/>
              </w:rPr>
            </w:pPr>
            <w:r w:rsidRPr="0000750F">
              <w:rPr>
                <w:sz w:val="20"/>
                <w:szCs w:val="20"/>
              </w:rPr>
              <w:t>Part 1 Youth</w:t>
            </w:r>
            <w:r w:rsidR="00132AC3">
              <w:rPr>
                <w:sz w:val="20"/>
                <w:szCs w:val="20"/>
              </w:rPr>
              <w:t xml:space="preserve"> Pretest Protocol</w:t>
            </w:r>
            <w:r w:rsidR="00EA7529">
              <w:rPr>
                <w:sz w:val="20"/>
                <w:szCs w:val="20"/>
              </w:rPr>
              <w:t>:</w:t>
            </w:r>
            <w:r w:rsidRPr="0000750F">
              <w:rPr>
                <w:sz w:val="20"/>
                <w:szCs w:val="20"/>
              </w:rPr>
              <w:t xml:space="preserve"> Survey and Debrief</w:t>
            </w:r>
            <w:r w:rsidR="00132AC3">
              <w:rPr>
                <w:sz w:val="20"/>
                <w:szCs w:val="20"/>
              </w:rPr>
              <w:t xml:space="preserve"> Topic Guide</w:t>
            </w:r>
          </w:p>
        </w:tc>
        <w:tc>
          <w:tcPr>
            <w:tcW w:w="1258" w:type="dxa"/>
            <w:vAlign w:val="center"/>
          </w:tcPr>
          <w:p w14:paraId="4D387F72" w14:textId="77777777" w:rsidR="00DE6DB5" w:rsidRPr="0000750F" w:rsidRDefault="00DE6DB5" w:rsidP="00FD4DD8">
            <w:pPr>
              <w:tabs>
                <w:tab w:val="center" w:pos="4320"/>
                <w:tab w:val="right" w:pos="8640"/>
              </w:tabs>
              <w:jc w:val="center"/>
              <w:rPr>
                <w:sz w:val="20"/>
                <w:szCs w:val="20"/>
              </w:rPr>
            </w:pPr>
            <w:r w:rsidRPr="0000750F">
              <w:rPr>
                <w:sz w:val="20"/>
                <w:szCs w:val="20"/>
              </w:rPr>
              <w:t>36</w:t>
            </w:r>
          </w:p>
        </w:tc>
        <w:tc>
          <w:tcPr>
            <w:tcW w:w="1328" w:type="dxa"/>
            <w:vAlign w:val="center"/>
          </w:tcPr>
          <w:p w14:paraId="019CF61D" w14:textId="77777777" w:rsidR="00DE6DB5" w:rsidRPr="0000750F" w:rsidRDefault="00DE6DB5" w:rsidP="00FD4DD8">
            <w:pPr>
              <w:tabs>
                <w:tab w:val="center" w:pos="4320"/>
                <w:tab w:val="right" w:pos="8640"/>
              </w:tabs>
              <w:jc w:val="center"/>
              <w:rPr>
                <w:sz w:val="20"/>
                <w:szCs w:val="20"/>
              </w:rPr>
            </w:pPr>
            <w:r w:rsidRPr="0000750F">
              <w:rPr>
                <w:sz w:val="20"/>
                <w:szCs w:val="20"/>
              </w:rPr>
              <w:t>1</w:t>
            </w:r>
          </w:p>
        </w:tc>
        <w:tc>
          <w:tcPr>
            <w:tcW w:w="985" w:type="dxa"/>
            <w:vAlign w:val="center"/>
          </w:tcPr>
          <w:p w14:paraId="7D9A612A" w14:textId="77777777" w:rsidR="00DE6DB5" w:rsidRPr="0000750F" w:rsidRDefault="00DE6DB5" w:rsidP="00FD4DD8">
            <w:pPr>
              <w:tabs>
                <w:tab w:val="center" w:pos="4320"/>
                <w:tab w:val="right" w:pos="8640"/>
              </w:tabs>
              <w:jc w:val="center"/>
              <w:rPr>
                <w:sz w:val="20"/>
                <w:szCs w:val="20"/>
              </w:rPr>
            </w:pPr>
            <w:r w:rsidRPr="0000750F">
              <w:rPr>
                <w:sz w:val="20"/>
                <w:szCs w:val="20"/>
              </w:rPr>
              <w:t>1.5</w:t>
            </w:r>
          </w:p>
        </w:tc>
        <w:tc>
          <w:tcPr>
            <w:tcW w:w="802" w:type="dxa"/>
            <w:vAlign w:val="center"/>
          </w:tcPr>
          <w:p w14:paraId="6DF2A745" w14:textId="76074B3A" w:rsidR="00DE6DB5" w:rsidRPr="0000750F" w:rsidRDefault="00DE6DB5" w:rsidP="00257FE0">
            <w:pPr>
              <w:tabs>
                <w:tab w:val="center" w:pos="4320"/>
                <w:tab w:val="right" w:pos="8640"/>
              </w:tabs>
              <w:jc w:val="center"/>
              <w:rPr>
                <w:sz w:val="20"/>
                <w:szCs w:val="20"/>
              </w:rPr>
            </w:pPr>
            <w:r w:rsidRPr="0000750F">
              <w:rPr>
                <w:sz w:val="20"/>
                <w:szCs w:val="20"/>
              </w:rPr>
              <w:t>54</w:t>
            </w:r>
          </w:p>
        </w:tc>
        <w:tc>
          <w:tcPr>
            <w:tcW w:w="979" w:type="dxa"/>
            <w:vAlign w:val="center"/>
          </w:tcPr>
          <w:p w14:paraId="268E9606" w14:textId="2AB49CDE" w:rsidR="00DE6DB5" w:rsidRPr="0000750F" w:rsidRDefault="00DE6DB5" w:rsidP="00FD4DD8">
            <w:pPr>
              <w:tabs>
                <w:tab w:val="center" w:pos="4320"/>
                <w:tab w:val="right" w:pos="8640"/>
              </w:tabs>
              <w:jc w:val="center"/>
              <w:rPr>
                <w:sz w:val="20"/>
                <w:szCs w:val="20"/>
              </w:rPr>
            </w:pPr>
            <w:r w:rsidRPr="0000750F">
              <w:rPr>
                <w:sz w:val="20"/>
                <w:szCs w:val="20"/>
              </w:rPr>
              <w:t>18</w:t>
            </w:r>
          </w:p>
        </w:tc>
        <w:tc>
          <w:tcPr>
            <w:tcW w:w="1157" w:type="dxa"/>
            <w:vAlign w:val="center"/>
          </w:tcPr>
          <w:p w14:paraId="471E3CAB" w14:textId="77777777" w:rsidR="00DE6DB5" w:rsidRPr="0000750F" w:rsidRDefault="00DE6DB5" w:rsidP="00FD4DD8">
            <w:pPr>
              <w:tabs>
                <w:tab w:val="center" w:pos="4320"/>
                <w:tab w:val="right" w:pos="8640"/>
              </w:tabs>
              <w:jc w:val="center"/>
              <w:rPr>
                <w:sz w:val="20"/>
                <w:szCs w:val="20"/>
              </w:rPr>
            </w:pPr>
            <w:r w:rsidRPr="0000750F">
              <w:rPr>
                <w:sz w:val="20"/>
                <w:szCs w:val="20"/>
              </w:rPr>
              <w:t>$0</w:t>
            </w:r>
          </w:p>
        </w:tc>
        <w:tc>
          <w:tcPr>
            <w:tcW w:w="1355" w:type="dxa"/>
            <w:vAlign w:val="center"/>
          </w:tcPr>
          <w:p w14:paraId="6E0A59D0" w14:textId="77777777" w:rsidR="00DE6DB5" w:rsidRPr="0000750F" w:rsidRDefault="00DE6DB5" w:rsidP="00FD4DD8">
            <w:pPr>
              <w:tabs>
                <w:tab w:val="center" w:pos="4320"/>
                <w:tab w:val="right" w:pos="8640"/>
              </w:tabs>
              <w:jc w:val="center"/>
              <w:rPr>
                <w:sz w:val="20"/>
                <w:szCs w:val="20"/>
              </w:rPr>
            </w:pPr>
            <w:r w:rsidRPr="0000750F">
              <w:rPr>
                <w:sz w:val="20"/>
                <w:szCs w:val="20"/>
              </w:rPr>
              <w:t>$0</w:t>
            </w:r>
          </w:p>
        </w:tc>
      </w:tr>
      <w:tr w:rsidR="00DE6DB5" w:rsidRPr="00E91B21" w14:paraId="4602E757" w14:textId="77777777" w:rsidTr="004468AF">
        <w:tblPrEx>
          <w:tblCellMar>
            <w:left w:w="108" w:type="dxa"/>
            <w:right w:w="108" w:type="dxa"/>
          </w:tblCellMar>
          <w:tblLook w:val="00A0" w:firstRow="1" w:lastRow="0" w:firstColumn="1" w:lastColumn="0" w:noHBand="0" w:noVBand="0"/>
        </w:tblPrEx>
        <w:trPr>
          <w:trHeight w:val="432"/>
          <w:jc w:val="center"/>
        </w:trPr>
        <w:tc>
          <w:tcPr>
            <w:tcW w:w="1761" w:type="dxa"/>
            <w:vAlign w:val="center"/>
          </w:tcPr>
          <w:p w14:paraId="78F9B61F" w14:textId="49E81EBF" w:rsidR="00DE6DB5" w:rsidRPr="0000750F" w:rsidRDefault="00DE6DB5" w:rsidP="00FD4DD8">
            <w:pPr>
              <w:tabs>
                <w:tab w:val="center" w:pos="4320"/>
                <w:tab w:val="right" w:pos="8640"/>
              </w:tabs>
              <w:jc w:val="right"/>
              <w:rPr>
                <w:sz w:val="20"/>
                <w:szCs w:val="20"/>
              </w:rPr>
            </w:pPr>
            <w:r w:rsidRPr="0000750F">
              <w:rPr>
                <w:sz w:val="20"/>
                <w:szCs w:val="20"/>
              </w:rPr>
              <w:t>Part 2 Youth</w:t>
            </w:r>
            <w:r w:rsidR="00132AC3">
              <w:rPr>
                <w:sz w:val="20"/>
                <w:szCs w:val="20"/>
              </w:rPr>
              <w:t xml:space="preserve"> Pretest Protocol</w:t>
            </w:r>
            <w:r w:rsidR="00EA7529">
              <w:rPr>
                <w:sz w:val="20"/>
                <w:szCs w:val="20"/>
              </w:rPr>
              <w:t>:</w:t>
            </w:r>
            <w:r w:rsidRPr="0000750F">
              <w:rPr>
                <w:sz w:val="20"/>
                <w:szCs w:val="20"/>
              </w:rPr>
              <w:t xml:space="preserve"> Survey and Debrief</w:t>
            </w:r>
            <w:r w:rsidR="00132AC3">
              <w:rPr>
                <w:sz w:val="20"/>
                <w:szCs w:val="20"/>
              </w:rPr>
              <w:t xml:space="preserve"> Topic Guide</w:t>
            </w:r>
          </w:p>
        </w:tc>
        <w:tc>
          <w:tcPr>
            <w:tcW w:w="1258" w:type="dxa"/>
            <w:vAlign w:val="center"/>
          </w:tcPr>
          <w:p w14:paraId="1ECCAF03" w14:textId="77777777" w:rsidR="00DE6DB5" w:rsidRPr="0000750F" w:rsidRDefault="00DE6DB5" w:rsidP="00FD4DD8">
            <w:pPr>
              <w:tabs>
                <w:tab w:val="center" w:pos="4320"/>
                <w:tab w:val="right" w:pos="8640"/>
              </w:tabs>
              <w:jc w:val="center"/>
              <w:rPr>
                <w:sz w:val="20"/>
                <w:szCs w:val="20"/>
              </w:rPr>
            </w:pPr>
            <w:r w:rsidRPr="0000750F">
              <w:rPr>
                <w:sz w:val="20"/>
                <w:szCs w:val="20"/>
              </w:rPr>
              <w:t>36</w:t>
            </w:r>
          </w:p>
        </w:tc>
        <w:tc>
          <w:tcPr>
            <w:tcW w:w="1328" w:type="dxa"/>
            <w:vAlign w:val="center"/>
          </w:tcPr>
          <w:p w14:paraId="40A0B3E6" w14:textId="77777777" w:rsidR="00DE6DB5" w:rsidRPr="0000750F" w:rsidRDefault="00DE6DB5" w:rsidP="00FD4DD8">
            <w:pPr>
              <w:tabs>
                <w:tab w:val="center" w:pos="4320"/>
                <w:tab w:val="right" w:pos="8640"/>
              </w:tabs>
              <w:jc w:val="center"/>
              <w:rPr>
                <w:sz w:val="20"/>
                <w:szCs w:val="20"/>
              </w:rPr>
            </w:pPr>
            <w:r w:rsidRPr="0000750F">
              <w:rPr>
                <w:sz w:val="20"/>
                <w:szCs w:val="20"/>
              </w:rPr>
              <w:t>1</w:t>
            </w:r>
          </w:p>
        </w:tc>
        <w:tc>
          <w:tcPr>
            <w:tcW w:w="985" w:type="dxa"/>
            <w:vAlign w:val="center"/>
          </w:tcPr>
          <w:p w14:paraId="70225159" w14:textId="77777777" w:rsidR="00DE6DB5" w:rsidRPr="0000750F" w:rsidRDefault="00DE6DB5" w:rsidP="00FD4DD8">
            <w:pPr>
              <w:tabs>
                <w:tab w:val="center" w:pos="4320"/>
                <w:tab w:val="right" w:pos="8640"/>
              </w:tabs>
              <w:jc w:val="center"/>
              <w:rPr>
                <w:sz w:val="20"/>
                <w:szCs w:val="20"/>
              </w:rPr>
            </w:pPr>
            <w:r w:rsidRPr="0000750F">
              <w:rPr>
                <w:sz w:val="20"/>
                <w:szCs w:val="20"/>
              </w:rPr>
              <w:t>1.5</w:t>
            </w:r>
          </w:p>
        </w:tc>
        <w:tc>
          <w:tcPr>
            <w:tcW w:w="802" w:type="dxa"/>
            <w:vAlign w:val="center"/>
          </w:tcPr>
          <w:p w14:paraId="77F06967" w14:textId="10DDDBAC" w:rsidR="00DE6DB5" w:rsidRPr="0000750F" w:rsidRDefault="00DE6DB5" w:rsidP="00257FE0">
            <w:pPr>
              <w:tabs>
                <w:tab w:val="center" w:pos="4320"/>
                <w:tab w:val="right" w:pos="8640"/>
              </w:tabs>
              <w:jc w:val="center"/>
              <w:rPr>
                <w:sz w:val="20"/>
                <w:szCs w:val="20"/>
              </w:rPr>
            </w:pPr>
            <w:r w:rsidRPr="0000750F">
              <w:rPr>
                <w:sz w:val="20"/>
                <w:szCs w:val="20"/>
              </w:rPr>
              <w:t>54</w:t>
            </w:r>
          </w:p>
        </w:tc>
        <w:tc>
          <w:tcPr>
            <w:tcW w:w="979" w:type="dxa"/>
            <w:vAlign w:val="center"/>
          </w:tcPr>
          <w:p w14:paraId="6F97B884" w14:textId="1107EBDE" w:rsidR="00DE6DB5" w:rsidRPr="0000750F" w:rsidRDefault="00DE6DB5" w:rsidP="00FD4DD8">
            <w:pPr>
              <w:tabs>
                <w:tab w:val="center" w:pos="4320"/>
                <w:tab w:val="right" w:pos="8640"/>
              </w:tabs>
              <w:jc w:val="center"/>
              <w:rPr>
                <w:sz w:val="20"/>
                <w:szCs w:val="20"/>
              </w:rPr>
            </w:pPr>
            <w:r w:rsidRPr="0000750F">
              <w:rPr>
                <w:sz w:val="20"/>
                <w:szCs w:val="20"/>
              </w:rPr>
              <w:t>18</w:t>
            </w:r>
          </w:p>
        </w:tc>
        <w:tc>
          <w:tcPr>
            <w:tcW w:w="1157" w:type="dxa"/>
            <w:vAlign w:val="center"/>
          </w:tcPr>
          <w:p w14:paraId="2A8EA374" w14:textId="77777777" w:rsidR="00DE6DB5" w:rsidRPr="0000750F" w:rsidRDefault="00DE6DB5" w:rsidP="00FD4DD8">
            <w:pPr>
              <w:tabs>
                <w:tab w:val="center" w:pos="4320"/>
                <w:tab w:val="right" w:pos="8640"/>
              </w:tabs>
              <w:jc w:val="center"/>
              <w:rPr>
                <w:sz w:val="20"/>
                <w:szCs w:val="20"/>
              </w:rPr>
            </w:pPr>
            <w:r w:rsidRPr="0000750F">
              <w:rPr>
                <w:sz w:val="20"/>
                <w:szCs w:val="20"/>
              </w:rPr>
              <w:t>$0</w:t>
            </w:r>
          </w:p>
        </w:tc>
        <w:tc>
          <w:tcPr>
            <w:tcW w:w="1355" w:type="dxa"/>
            <w:vAlign w:val="center"/>
          </w:tcPr>
          <w:p w14:paraId="3D216A97" w14:textId="77777777" w:rsidR="00DE6DB5" w:rsidRPr="0000750F" w:rsidRDefault="00DE6DB5" w:rsidP="00FD4DD8">
            <w:pPr>
              <w:tabs>
                <w:tab w:val="center" w:pos="4320"/>
                <w:tab w:val="right" w:pos="8640"/>
              </w:tabs>
              <w:jc w:val="center"/>
              <w:rPr>
                <w:sz w:val="20"/>
                <w:szCs w:val="20"/>
              </w:rPr>
            </w:pPr>
            <w:r w:rsidRPr="0000750F">
              <w:rPr>
                <w:sz w:val="20"/>
                <w:szCs w:val="20"/>
              </w:rPr>
              <w:t>$0</w:t>
            </w:r>
          </w:p>
        </w:tc>
      </w:tr>
      <w:tr w:rsidR="00DE6DB5" w:rsidRPr="00E91B21" w14:paraId="485272D6" w14:textId="77777777" w:rsidTr="004468AF">
        <w:tblPrEx>
          <w:tblCellMar>
            <w:left w:w="108" w:type="dxa"/>
            <w:right w:w="108" w:type="dxa"/>
          </w:tblCellMar>
          <w:tblLook w:val="00A0" w:firstRow="1" w:lastRow="0" w:firstColumn="1" w:lastColumn="0" w:noHBand="0" w:noVBand="0"/>
        </w:tblPrEx>
        <w:trPr>
          <w:trHeight w:val="432"/>
          <w:jc w:val="center"/>
        </w:trPr>
        <w:tc>
          <w:tcPr>
            <w:tcW w:w="1761" w:type="dxa"/>
            <w:vAlign w:val="center"/>
          </w:tcPr>
          <w:p w14:paraId="7871CF31" w14:textId="3B6B28DF" w:rsidR="00DE6DB5" w:rsidRPr="0000750F" w:rsidRDefault="00DE6DB5" w:rsidP="00FD4DD8">
            <w:pPr>
              <w:tabs>
                <w:tab w:val="center" w:pos="4320"/>
                <w:tab w:val="right" w:pos="8640"/>
              </w:tabs>
              <w:jc w:val="right"/>
              <w:rPr>
                <w:sz w:val="20"/>
                <w:szCs w:val="20"/>
              </w:rPr>
            </w:pPr>
            <w:r w:rsidRPr="0000750F">
              <w:rPr>
                <w:sz w:val="20"/>
                <w:szCs w:val="20"/>
              </w:rPr>
              <w:t>Young Adult Survey</w:t>
            </w:r>
            <w:r w:rsidR="00132AC3">
              <w:rPr>
                <w:sz w:val="20"/>
                <w:szCs w:val="20"/>
              </w:rPr>
              <w:t xml:space="preserve"> Pretest Protocol</w:t>
            </w:r>
            <w:r w:rsidR="00EA7529">
              <w:rPr>
                <w:sz w:val="20"/>
                <w:szCs w:val="20"/>
              </w:rPr>
              <w:t>:</w:t>
            </w:r>
            <w:r w:rsidRPr="0000750F">
              <w:rPr>
                <w:sz w:val="20"/>
                <w:szCs w:val="20"/>
              </w:rPr>
              <w:t xml:space="preserve"> and Debrief</w:t>
            </w:r>
            <w:r w:rsidR="00132AC3">
              <w:rPr>
                <w:sz w:val="20"/>
                <w:szCs w:val="20"/>
              </w:rPr>
              <w:t xml:space="preserve"> Topic Guide</w:t>
            </w:r>
          </w:p>
        </w:tc>
        <w:tc>
          <w:tcPr>
            <w:tcW w:w="1258" w:type="dxa"/>
            <w:vAlign w:val="center"/>
          </w:tcPr>
          <w:p w14:paraId="41267BCB" w14:textId="77777777" w:rsidR="00DE6DB5" w:rsidRPr="0000750F" w:rsidRDefault="00DE6DB5" w:rsidP="00FD4DD8">
            <w:pPr>
              <w:tabs>
                <w:tab w:val="center" w:pos="4320"/>
                <w:tab w:val="right" w:pos="8640"/>
              </w:tabs>
              <w:jc w:val="center"/>
              <w:rPr>
                <w:sz w:val="20"/>
                <w:szCs w:val="20"/>
              </w:rPr>
            </w:pPr>
            <w:r w:rsidRPr="0000750F">
              <w:rPr>
                <w:sz w:val="20"/>
                <w:szCs w:val="20"/>
              </w:rPr>
              <w:t>36</w:t>
            </w:r>
          </w:p>
        </w:tc>
        <w:tc>
          <w:tcPr>
            <w:tcW w:w="1328" w:type="dxa"/>
            <w:vAlign w:val="center"/>
          </w:tcPr>
          <w:p w14:paraId="3AA075DB" w14:textId="77777777" w:rsidR="00DE6DB5" w:rsidRPr="0000750F" w:rsidRDefault="00DE6DB5" w:rsidP="00FD4DD8">
            <w:pPr>
              <w:tabs>
                <w:tab w:val="center" w:pos="4320"/>
                <w:tab w:val="right" w:pos="8640"/>
              </w:tabs>
              <w:jc w:val="center"/>
              <w:rPr>
                <w:sz w:val="20"/>
                <w:szCs w:val="20"/>
              </w:rPr>
            </w:pPr>
            <w:r w:rsidRPr="0000750F">
              <w:rPr>
                <w:sz w:val="20"/>
                <w:szCs w:val="20"/>
              </w:rPr>
              <w:t>1</w:t>
            </w:r>
          </w:p>
        </w:tc>
        <w:tc>
          <w:tcPr>
            <w:tcW w:w="985" w:type="dxa"/>
            <w:vAlign w:val="center"/>
          </w:tcPr>
          <w:p w14:paraId="38D6219C" w14:textId="77777777" w:rsidR="00DE6DB5" w:rsidRPr="0000750F" w:rsidRDefault="00DE6DB5" w:rsidP="00FD4DD8">
            <w:pPr>
              <w:tabs>
                <w:tab w:val="center" w:pos="4320"/>
                <w:tab w:val="right" w:pos="8640"/>
              </w:tabs>
              <w:jc w:val="center"/>
              <w:rPr>
                <w:sz w:val="20"/>
                <w:szCs w:val="20"/>
              </w:rPr>
            </w:pPr>
            <w:r w:rsidRPr="0000750F">
              <w:rPr>
                <w:sz w:val="20"/>
                <w:szCs w:val="20"/>
              </w:rPr>
              <w:t>2</w:t>
            </w:r>
          </w:p>
        </w:tc>
        <w:tc>
          <w:tcPr>
            <w:tcW w:w="802" w:type="dxa"/>
            <w:vAlign w:val="center"/>
          </w:tcPr>
          <w:p w14:paraId="2DD88279" w14:textId="2A4102AB" w:rsidR="00DE6DB5" w:rsidRPr="0000750F" w:rsidRDefault="00DE6DB5" w:rsidP="00257FE0">
            <w:pPr>
              <w:tabs>
                <w:tab w:val="center" w:pos="4320"/>
                <w:tab w:val="right" w:pos="8640"/>
              </w:tabs>
              <w:jc w:val="center"/>
              <w:rPr>
                <w:sz w:val="20"/>
                <w:szCs w:val="20"/>
              </w:rPr>
            </w:pPr>
            <w:r w:rsidRPr="0000750F">
              <w:rPr>
                <w:sz w:val="20"/>
                <w:szCs w:val="20"/>
              </w:rPr>
              <w:t>72</w:t>
            </w:r>
          </w:p>
        </w:tc>
        <w:tc>
          <w:tcPr>
            <w:tcW w:w="979" w:type="dxa"/>
            <w:vAlign w:val="center"/>
          </w:tcPr>
          <w:p w14:paraId="09D4295A" w14:textId="5D0898BD" w:rsidR="00DE6DB5" w:rsidRPr="0000750F" w:rsidRDefault="00DE6DB5" w:rsidP="00FD4DD8">
            <w:pPr>
              <w:tabs>
                <w:tab w:val="center" w:pos="4320"/>
                <w:tab w:val="right" w:pos="8640"/>
              </w:tabs>
              <w:jc w:val="center"/>
              <w:rPr>
                <w:sz w:val="20"/>
                <w:szCs w:val="20"/>
              </w:rPr>
            </w:pPr>
            <w:r w:rsidRPr="0000750F">
              <w:rPr>
                <w:sz w:val="20"/>
                <w:szCs w:val="20"/>
              </w:rPr>
              <w:t>24</w:t>
            </w:r>
          </w:p>
        </w:tc>
        <w:tc>
          <w:tcPr>
            <w:tcW w:w="1157" w:type="dxa"/>
            <w:vAlign w:val="center"/>
          </w:tcPr>
          <w:p w14:paraId="2B4326B5" w14:textId="77777777" w:rsidR="00DE6DB5" w:rsidRPr="0000750F" w:rsidRDefault="00DE6DB5" w:rsidP="00FD4DD8">
            <w:pPr>
              <w:tabs>
                <w:tab w:val="center" w:pos="4320"/>
                <w:tab w:val="right" w:pos="8640"/>
              </w:tabs>
              <w:jc w:val="center"/>
              <w:rPr>
                <w:sz w:val="20"/>
                <w:szCs w:val="20"/>
              </w:rPr>
            </w:pPr>
            <w:r w:rsidRPr="0000750F">
              <w:rPr>
                <w:sz w:val="20"/>
                <w:szCs w:val="20"/>
              </w:rPr>
              <w:t>$24.98</w:t>
            </w:r>
          </w:p>
        </w:tc>
        <w:tc>
          <w:tcPr>
            <w:tcW w:w="1355" w:type="dxa"/>
            <w:vAlign w:val="center"/>
          </w:tcPr>
          <w:p w14:paraId="4A30AC65" w14:textId="77777777" w:rsidR="00DE6DB5" w:rsidRPr="0000750F" w:rsidRDefault="00DE6DB5" w:rsidP="00FD4DD8">
            <w:pPr>
              <w:tabs>
                <w:tab w:val="center" w:pos="4320"/>
                <w:tab w:val="right" w:pos="8640"/>
              </w:tabs>
              <w:jc w:val="center"/>
              <w:rPr>
                <w:sz w:val="20"/>
                <w:szCs w:val="20"/>
              </w:rPr>
            </w:pPr>
            <w:r w:rsidRPr="0000750F">
              <w:rPr>
                <w:sz w:val="20"/>
                <w:szCs w:val="20"/>
              </w:rPr>
              <w:t>$599.52</w:t>
            </w:r>
          </w:p>
        </w:tc>
      </w:tr>
      <w:tr w:rsidR="00BC687E" w:rsidRPr="00E91B21" w14:paraId="584D8E18" w14:textId="77777777" w:rsidTr="004468AF">
        <w:tblPrEx>
          <w:tblCellMar>
            <w:left w:w="108" w:type="dxa"/>
            <w:right w:w="108" w:type="dxa"/>
          </w:tblCellMar>
          <w:tblLook w:val="00A0" w:firstRow="1" w:lastRow="0" w:firstColumn="1" w:lastColumn="0" w:noHBand="0" w:noVBand="0"/>
        </w:tblPrEx>
        <w:trPr>
          <w:trHeight w:val="432"/>
          <w:jc w:val="center"/>
        </w:trPr>
        <w:tc>
          <w:tcPr>
            <w:tcW w:w="5332" w:type="dxa"/>
            <w:gridSpan w:val="4"/>
            <w:vAlign w:val="center"/>
          </w:tcPr>
          <w:p w14:paraId="1E0C54E9" w14:textId="77777777" w:rsidR="00BC687E" w:rsidRPr="0000750F" w:rsidRDefault="00BC687E" w:rsidP="00FD4DD8">
            <w:pPr>
              <w:tabs>
                <w:tab w:val="center" w:pos="4320"/>
                <w:tab w:val="right" w:pos="8640"/>
              </w:tabs>
              <w:jc w:val="right"/>
              <w:rPr>
                <w:sz w:val="20"/>
                <w:szCs w:val="20"/>
              </w:rPr>
            </w:pPr>
            <w:r w:rsidRPr="0000750F">
              <w:rPr>
                <w:b/>
                <w:sz w:val="20"/>
                <w:szCs w:val="20"/>
              </w:rPr>
              <w:t>Estimated Annual Burden Phase 1 Pre-test Total</w:t>
            </w:r>
          </w:p>
        </w:tc>
        <w:tc>
          <w:tcPr>
            <w:tcW w:w="802" w:type="dxa"/>
            <w:vAlign w:val="center"/>
          </w:tcPr>
          <w:p w14:paraId="607369A3" w14:textId="77777777" w:rsidR="00BC687E" w:rsidRPr="0000750F" w:rsidRDefault="00BC687E" w:rsidP="00257FE0">
            <w:pPr>
              <w:tabs>
                <w:tab w:val="center" w:pos="4320"/>
                <w:tab w:val="right" w:pos="8640"/>
              </w:tabs>
              <w:jc w:val="center"/>
              <w:rPr>
                <w:sz w:val="20"/>
                <w:szCs w:val="20"/>
              </w:rPr>
            </w:pPr>
          </w:p>
        </w:tc>
        <w:tc>
          <w:tcPr>
            <w:tcW w:w="979" w:type="dxa"/>
            <w:vAlign w:val="center"/>
          </w:tcPr>
          <w:p w14:paraId="5A2227F7" w14:textId="66122071" w:rsidR="00BC687E" w:rsidRPr="0000750F" w:rsidRDefault="00BC687E" w:rsidP="00FD4DD8">
            <w:pPr>
              <w:tabs>
                <w:tab w:val="center" w:pos="4320"/>
                <w:tab w:val="right" w:pos="8640"/>
              </w:tabs>
              <w:jc w:val="center"/>
              <w:rPr>
                <w:sz w:val="20"/>
                <w:szCs w:val="20"/>
              </w:rPr>
            </w:pPr>
            <w:r w:rsidRPr="0000750F">
              <w:rPr>
                <w:sz w:val="20"/>
                <w:szCs w:val="20"/>
              </w:rPr>
              <w:t>84</w:t>
            </w:r>
          </w:p>
        </w:tc>
        <w:tc>
          <w:tcPr>
            <w:tcW w:w="1157" w:type="dxa"/>
            <w:vAlign w:val="center"/>
          </w:tcPr>
          <w:p w14:paraId="6B6406D8" w14:textId="77777777" w:rsidR="00BC687E" w:rsidRPr="0000750F" w:rsidRDefault="00BC687E" w:rsidP="00FD4DD8">
            <w:pPr>
              <w:tabs>
                <w:tab w:val="center" w:pos="4320"/>
                <w:tab w:val="right" w:pos="8640"/>
              </w:tabs>
              <w:jc w:val="center"/>
              <w:rPr>
                <w:sz w:val="20"/>
                <w:szCs w:val="20"/>
              </w:rPr>
            </w:pPr>
          </w:p>
        </w:tc>
        <w:tc>
          <w:tcPr>
            <w:tcW w:w="1355" w:type="dxa"/>
            <w:vAlign w:val="center"/>
          </w:tcPr>
          <w:p w14:paraId="77677DAF" w14:textId="77777777" w:rsidR="00BC687E" w:rsidRPr="0000750F" w:rsidRDefault="00BC687E" w:rsidP="00FD4DD8">
            <w:pPr>
              <w:tabs>
                <w:tab w:val="center" w:pos="4320"/>
                <w:tab w:val="right" w:pos="8640"/>
              </w:tabs>
              <w:jc w:val="center"/>
              <w:rPr>
                <w:sz w:val="20"/>
                <w:szCs w:val="20"/>
              </w:rPr>
            </w:pPr>
            <w:r w:rsidRPr="0000750F">
              <w:rPr>
                <w:b/>
                <w:sz w:val="20"/>
                <w:szCs w:val="20"/>
              </w:rPr>
              <w:t>$1,199.04</w:t>
            </w:r>
          </w:p>
        </w:tc>
      </w:tr>
      <w:tr w:rsidR="00F34774" w:rsidRPr="00E91B21" w14:paraId="7F44AD55" w14:textId="77777777" w:rsidTr="004468AF">
        <w:trPr>
          <w:trHeight w:val="420"/>
          <w:jc w:val="center"/>
        </w:trPr>
        <w:tc>
          <w:tcPr>
            <w:tcW w:w="1761" w:type="dxa"/>
            <w:shd w:val="clear" w:color="auto" w:fill="D9D9D9"/>
            <w:vAlign w:val="center"/>
          </w:tcPr>
          <w:p w14:paraId="325121BC" w14:textId="77777777" w:rsidR="00DE6DB5" w:rsidRPr="0000750F" w:rsidRDefault="00DE6DB5" w:rsidP="00FD4DD8">
            <w:pPr>
              <w:tabs>
                <w:tab w:val="center" w:pos="4320"/>
                <w:tab w:val="right" w:pos="8640"/>
              </w:tabs>
              <w:rPr>
                <w:b/>
                <w:sz w:val="20"/>
                <w:szCs w:val="20"/>
              </w:rPr>
            </w:pPr>
            <w:r w:rsidRPr="0000750F">
              <w:rPr>
                <w:b/>
                <w:sz w:val="20"/>
                <w:szCs w:val="20"/>
              </w:rPr>
              <w:t>Pre-test Phase 2</w:t>
            </w:r>
          </w:p>
        </w:tc>
        <w:tc>
          <w:tcPr>
            <w:tcW w:w="1258" w:type="dxa"/>
            <w:shd w:val="clear" w:color="auto" w:fill="D9D9D9"/>
            <w:vAlign w:val="center"/>
          </w:tcPr>
          <w:p w14:paraId="6D87FC2A" w14:textId="77777777" w:rsidR="00DE6DB5" w:rsidRPr="0000750F" w:rsidRDefault="00DE6DB5" w:rsidP="00FD4DD8">
            <w:pPr>
              <w:tabs>
                <w:tab w:val="center" w:pos="4320"/>
                <w:tab w:val="right" w:pos="8640"/>
              </w:tabs>
              <w:jc w:val="center"/>
              <w:rPr>
                <w:sz w:val="20"/>
                <w:szCs w:val="20"/>
              </w:rPr>
            </w:pPr>
          </w:p>
        </w:tc>
        <w:tc>
          <w:tcPr>
            <w:tcW w:w="1328" w:type="dxa"/>
            <w:shd w:val="clear" w:color="auto" w:fill="D9D9D9"/>
            <w:vAlign w:val="center"/>
          </w:tcPr>
          <w:p w14:paraId="36786299" w14:textId="77777777" w:rsidR="00DE6DB5" w:rsidRPr="0000750F" w:rsidRDefault="00DE6DB5" w:rsidP="00FD4DD8">
            <w:pPr>
              <w:tabs>
                <w:tab w:val="center" w:pos="4320"/>
                <w:tab w:val="right" w:pos="8640"/>
              </w:tabs>
              <w:jc w:val="center"/>
              <w:rPr>
                <w:sz w:val="20"/>
                <w:szCs w:val="20"/>
              </w:rPr>
            </w:pPr>
          </w:p>
        </w:tc>
        <w:tc>
          <w:tcPr>
            <w:tcW w:w="985" w:type="dxa"/>
            <w:shd w:val="clear" w:color="auto" w:fill="D9D9D9"/>
            <w:vAlign w:val="center"/>
          </w:tcPr>
          <w:p w14:paraId="436B604C" w14:textId="77777777" w:rsidR="00DE6DB5" w:rsidRPr="0000750F" w:rsidRDefault="00DE6DB5" w:rsidP="00FD4DD8">
            <w:pPr>
              <w:tabs>
                <w:tab w:val="center" w:pos="4320"/>
                <w:tab w:val="right" w:pos="8640"/>
              </w:tabs>
              <w:jc w:val="center"/>
              <w:rPr>
                <w:sz w:val="20"/>
                <w:szCs w:val="20"/>
              </w:rPr>
            </w:pPr>
          </w:p>
        </w:tc>
        <w:tc>
          <w:tcPr>
            <w:tcW w:w="802" w:type="dxa"/>
            <w:shd w:val="clear" w:color="auto" w:fill="D9D9D9"/>
            <w:vAlign w:val="center"/>
          </w:tcPr>
          <w:p w14:paraId="49BE5ECC" w14:textId="77777777" w:rsidR="00DE6DB5" w:rsidRPr="0000750F" w:rsidRDefault="00DE6DB5" w:rsidP="00257FE0">
            <w:pPr>
              <w:tabs>
                <w:tab w:val="center" w:pos="4320"/>
                <w:tab w:val="right" w:pos="8640"/>
              </w:tabs>
              <w:jc w:val="center"/>
              <w:rPr>
                <w:sz w:val="20"/>
                <w:szCs w:val="20"/>
              </w:rPr>
            </w:pPr>
          </w:p>
        </w:tc>
        <w:tc>
          <w:tcPr>
            <w:tcW w:w="979" w:type="dxa"/>
            <w:shd w:val="clear" w:color="auto" w:fill="D9D9D9"/>
            <w:vAlign w:val="center"/>
          </w:tcPr>
          <w:p w14:paraId="095A1FDA" w14:textId="46A88335" w:rsidR="00DE6DB5" w:rsidRPr="0000750F" w:rsidRDefault="00DE6DB5" w:rsidP="00FD4DD8">
            <w:pPr>
              <w:tabs>
                <w:tab w:val="center" w:pos="4320"/>
                <w:tab w:val="right" w:pos="8640"/>
              </w:tabs>
              <w:jc w:val="center"/>
              <w:rPr>
                <w:sz w:val="20"/>
                <w:szCs w:val="20"/>
              </w:rPr>
            </w:pPr>
          </w:p>
        </w:tc>
        <w:tc>
          <w:tcPr>
            <w:tcW w:w="1157" w:type="dxa"/>
            <w:shd w:val="clear" w:color="auto" w:fill="D9D9D9"/>
            <w:vAlign w:val="center"/>
          </w:tcPr>
          <w:p w14:paraId="6184924F" w14:textId="77777777" w:rsidR="00DE6DB5" w:rsidRPr="0000750F" w:rsidRDefault="00DE6DB5" w:rsidP="00FD4DD8">
            <w:pPr>
              <w:tabs>
                <w:tab w:val="center" w:pos="4320"/>
                <w:tab w:val="right" w:pos="8640"/>
              </w:tabs>
              <w:jc w:val="center"/>
              <w:rPr>
                <w:sz w:val="20"/>
                <w:szCs w:val="20"/>
              </w:rPr>
            </w:pPr>
          </w:p>
        </w:tc>
        <w:tc>
          <w:tcPr>
            <w:tcW w:w="1355" w:type="dxa"/>
            <w:shd w:val="clear" w:color="auto" w:fill="D9D9D9"/>
            <w:vAlign w:val="center"/>
          </w:tcPr>
          <w:p w14:paraId="35EDCFAB" w14:textId="77777777" w:rsidR="00DE6DB5" w:rsidRPr="0000750F" w:rsidRDefault="00DE6DB5" w:rsidP="00FD4DD8">
            <w:pPr>
              <w:tabs>
                <w:tab w:val="center" w:pos="4320"/>
                <w:tab w:val="right" w:pos="8640"/>
              </w:tabs>
              <w:jc w:val="center"/>
              <w:rPr>
                <w:sz w:val="20"/>
                <w:szCs w:val="20"/>
              </w:rPr>
            </w:pPr>
          </w:p>
        </w:tc>
      </w:tr>
      <w:tr w:rsidR="00DE6DB5" w:rsidRPr="00E91B21" w14:paraId="159209E9" w14:textId="77777777" w:rsidTr="004468AF">
        <w:tblPrEx>
          <w:tblCellMar>
            <w:left w:w="108" w:type="dxa"/>
            <w:right w:w="108" w:type="dxa"/>
          </w:tblCellMar>
          <w:tblLook w:val="00A0" w:firstRow="1" w:lastRow="0" w:firstColumn="1" w:lastColumn="0" w:noHBand="0" w:noVBand="0"/>
        </w:tblPrEx>
        <w:trPr>
          <w:trHeight w:val="432"/>
          <w:jc w:val="center"/>
        </w:trPr>
        <w:tc>
          <w:tcPr>
            <w:tcW w:w="1761" w:type="dxa"/>
            <w:vAlign w:val="center"/>
          </w:tcPr>
          <w:p w14:paraId="08BA8A65" w14:textId="67263563" w:rsidR="00DE6DB5" w:rsidRPr="0000750F" w:rsidRDefault="00DE6DB5" w:rsidP="00257FE0">
            <w:pPr>
              <w:tabs>
                <w:tab w:val="center" w:pos="4320"/>
                <w:tab w:val="right" w:pos="8640"/>
              </w:tabs>
              <w:jc w:val="right"/>
              <w:rPr>
                <w:sz w:val="20"/>
                <w:szCs w:val="20"/>
              </w:rPr>
            </w:pPr>
            <w:r w:rsidRPr="0000750F">
              <w:rPr>
                <w:sz w:val="20"/>
                <w:szCs w:val="20"/>
              </w:rPr>
              <w:t xml:space="preserve">Parent </w:t>
            </w:r>
            <w:r w:rsidR="00132AC3" w:rsidRPr="00132AC3">
              <w:rPr>
                <w:sz w:val="20"/>
                <w:szCs w:val="20"/>
              </w:rPr>
              <w:t>Pretest Protocol</w:t>
            </w:r>
            <w:r w:rsidR="00EA7529">
              <w:rPr>
                <w:sz w:val="20"/>
                <w:szCs w:val="20"/>
              </w:rPr>
              <w:t>:</w:t>
            </w:r>
            <w:r w:rsidR="00132AC3" w:rsidRPr="00132AC3">
              <w:rPr>
                <w:sz w:val="20"/>
                <w:szCs w:val="20"/>
              </w:rPr>
              <w:t xml:space="preserve"> </w:t>
            </w:r>
            <w:r w:rsidRPr="0000750F">
              <w:rPr>
                <w:sz w:val="20"/>
                <w:szCs w:val="20"/>
              </w:rPr>
              <w:t>Survey and Debrief</w:t>
            </w:r>
            <w:r w:rsidR="00132AC3">
              <w:rPr>
                <w:sz w:val="20"/>
                <w:szCs w:val="20"/>
              </w:rPr>
              <w:t xml:space="preserve"> </w:t>
            </w:r>
            <w:r w:rsidR="00132AC3" w:rsidRPr="00132AC3">
              <w:rPr>
                <w:sz w:val="20"/>
                <w:szCs w:val="20"/>
              </w:rPr>
              <w:t>Topic Guide</w:t>
            </w:r>
          </w:p>
        </w:tc>
        <w:tc>
          <w:tcPr>
            <w:tcW w:w="1258" w:type="dxa"/>
            <w:vAlign w:val="center"/>
          </w:tcPr>
          <w:p w14:paraId="775C098C" w14:textId="77777777" w:rsidR="00DE6DB5" w:rsidRPr="0000750F" w:rsidRDefault="00DE6DB5" w:rsidP="00257FE0">
            <w:pPr>
              <w:tabs>
                <w:tab w:val="center" w:pos="4320"/>
                <w:tab w:val="right" w:pos="8640"/>
              </w:tabs>
              <w:jc w:val="center"/>
              <w:rPr>
                <w:sz w:val="20"/>
                <w:szCs w:val="20"/>
              </w:rPr>
            </w:pPr>
            <w:r w:rsidRPr="0000750F">
              <w:rPr>
                <w:sz w:val="20"/>
                <w:szCs w:val="20"/>
              </w:rPr>
              <w:t>36</w:t>
            </w:r>
          </w:p>
        </w:tc>
        <w:tc>
          <w:tcPr>
            <w:tcW w:w="1328" w:type="dxa"/>
            <w:vAlign w:val="center"/>
          </w:tcPr>
          <w:p w14:paraId="62271C6B" w14:textId="77777777" w:rsidR="00DE6DB5" w:rsidRPr="0000750F" w:rsidRDefault="00DE6DB5" w:rsidP="00257FE0">
            <w:pPr>
              <w:tabs>
                <w:tab w:val="center" w:pos="4320"/>
                <w:tab w:val="right" w:pos="8640"/>
              </w:tabs>
              <w:jc w:val="center"/>
              <w:rPr>
                <w:sz w:val="20"/>
                <w:szCs w:val="20"/>
              </w:rPr>
            </w:pPr>
            <w:r w:rsidRPr="0000750F">
              <w:rPr>
                <w:sz w:val="20"/>
                <w:szCs w:val="20"/>
              </w:rPr>
              <w:t>1</w:t>
            </w:r>
          </w:p>
        </w:tc>
        <w:tc>
          <w:tcPr>
            <w:tcW w:w="985" w:type="dxa"/>
            <w:vAlign w:val="center"/>
          </w:tcPr>
          <w:p w14:paraId="117A1B3A" w14:textId="77777777" w:rsidR="00DE6DB5" w:rsidRPr="0000750F" w:rsidRDefault="00DE6DB5" w:rsidP="00257FE0">
            <w:pPr>
              <w:tabs>
                <w:tab w:val="center" w:pos="4320"/>
                <w:tab w:val="right" w:pos="8640"/>
              </w:tabs>
              <w:jc w:val="center"/>
              <w:rPr>
                <w:sz w:val="20"/>
                <w:szCs w:val="20"/>
              </w:rPr>
            </w:pPr>
            <w:r w:rsidRPr="0000750F">
              <w:rPr>
                <w:sz w:val="20"/>
                <w:szCs w:val="20"/>
              </w:rPr>
              <w:t>2</w:t>
            </w:r>
          </w:p>
        </w:tc>
        <w:tc>
          <w:tcPr>
            <w:tcW w:w="802" w:type="dxa"/>
            <w:vAlign w:val="center"/>
          </w:tcPr>
          <w:p w14:paraId="7E891686" w14:textId="0622BA2C" w:rsidR="00DE6DB5" w:rsidRPr="0000750F" w:rsidRDefault="00DE6DB5" w:rsidP="00257FE0">
            <w:pPr>
              <w:tabs>
                <w:tab w:val="center" w:pos="4320"/>
                <w:tab w:val="right" w:pos="8640"/>
              </w:tabs>
              <w:jc w:val="center"/>
              <w:rPr>
                <w:sz w:val="20"/>
                <w:szCs w:val="20"/>
              </w:rPr>
            </w:pPr>
            <w:r w:rsidRPr="0000750F">
              <w:rPr>
                <w:sz w:val="20"/>
                <w:szCs w:val="20"/>
              </w:rPr>
              <w:t>72</w:t>
            </w:r>
          </w:p>
        </w:tc>
        <w:tc>
          <w:tcPr>
            <w:tcW w:w="979" w:type="dxa"/>
            <w:vAlign w:val="center"/>
          </w:tcPr>
          <w:p w14:paraId="14733832" w14:textId="27478A15" w:rsidR="00DE6DB5" w:rsidRPr="0000750F" w:rsidRDefault="00DE6DB5" w:rsidP="00257FE0">
            <w:pPr>
              <w:tabs>
                <w:tab w:val="center" w:pos="4320"/>
                <w:tab w:val="right" w:pos="8640"/>
              </w:tabs>
              <w:jc w:val="center"/>
              <w:rPr>
                <w:sz w:val="20"/>
                <w:szCs w:val="20"/>
              </w:rPr>
            </w:pPr>
            <w:r w:rsidRPr="0000750F">
              <w:rPr>
                <w:sz w:val="20"/>
                <w:szCs w:val="20"/>
              </w:rPr>
              <w:t>24</w:t>
            </w:r>
          </w:p>
        </w:tc>
        <w:tc>
          <w:tcPr>
            <w:tcW w:w="1157" w:type="dxa"/>
            <w:vAlign w:val="center"/>
          </w:tcPr>
          <w:p w14:paraId="233F8B84" w14:textId="77777777" w:rsidR="00DE6DB5" w:rsidRPr="0000750F" w:rsidRDefault="00DE6DB5" w:rsidP="00257FE0">
            <w:pPr>
              <w:tabs>
                <w:tab w:val="center" w:pos="4320"/>
                <w:tab w:val="right" w:pos="8640"/>
              </w:tabs>
              <w:jc w:val="center"/>
              <w:rPr>
                <w:sz w:val="20"/>
                <w:szCs w:val="20"/>
              </w:rPr>
            </w:pPr>
            <w:r w:rsidRPr="0000750F">
              <w:rPr>
                <w:sz w:val="20"/>
                <w:szCs w:val="20"/>
              </w:rPr>
              <w:t>$24.98</w:t>
            </w:r>
          </w:p>
        </w:tc>
        <w:tc>
          <w:tcPr>
            <w:tcW w:w="1355" w:type="dxa"/>
            <w:vAlign w:val="center"/>
          </w:tcPr>
          <w:p w14:paraId="57D80704" w14:textId="77777777" w:rsidR="00DE6DB5" w:rsidRPr="0000750F" w:rsidRDefault="00DE6DB5" w:rsidP="00257FE0">
            <w:pPr>
              <w:tabs>
                <w:tab w:val="center" w:pos="4320"/>
                <w:tab w:val="right" w:pos="8640"/>
              </w:tabs>
              <w:jc w:val="center"/>
              <w:rPr>
                <w:sz w:val="20"/>
                <w:szCs w:val="20"/>
              </w:rPr>
            </w:pPr>
            <w:r w:rsidRPr="0000750F">
              <w:rPr>
                <w:sz w:val="20"/>
                <w:szCs w:val="20"/>
              </w:rPr>
              <w:t>$599.52</w:t>
            </w:r>
          </w:p>
        </w:tc>
      </w:tr>
      <w:tr w:rsidR="00DE6DB5" w:rsidRPr="00E91B21" w14:paraId="047FD3EE" w14:textId="77777777" w:rsidTr="004468AF">
        <w:tblPrEx>
          <w:tblCellMar>
            <w:left w:w="108" w:type="dxa"/>
            <w:right w:w="108" w:type="dxa"/>
          </w:tblCellMar>
          <w:tblLook w:val="00A0" w:firstRow="1" w:lastRow="0" w:firstColumn="1" w:lastColumn="0" w:noHBand="0" w:noVBand="0"/>
        </w:tblPrEx>
        <w:trPr>
          <w:trHeight w:val="432"/>
          <w:jc w:val="center"/>
        </w:trPr>
        <w:tc>
          <w:tcPr>
            <w:tcW w:w="1761" w:type="dxa"/>
            <w:vAlign w:val="center"/>
          </w:tcPr>
          <w:p w14:paraId="1E92E0E0" w14:textId="3FDB16A5" w:rsidR="00DE6DB5" w:rsidRPr="0000750F" w:rsidRDefault="00DE6DB5" w:rsidP="00257FE0">
            <w:pPr>
              <w:tabs>
                <w:tab w:val="center" w:pos="4320"/>
                <w:tab w:val="right" w:pos="8640"/>
              </w:tabs>
              <w:jc w:val="right"/>
              <w:rPr>
                <w:sz w:val="20"/>
                <w:szCs w:val="20"/>
              </w:rPr>
            </w:pPr>
            <w:r w:rsidRPr="0000750F">
              <w:rPr>
                <w:sz w:val="20"/>
                <w:szCs w:val="20"/>
              </w:rPr>
              <w:t>Part 1 Youth</w:t>
            </w:r>
            <w:r w:rsidR="00132AC3" w:rsidRPr="00132AC3">
              <w:rPr>
                <w:sz w:val="20"/>
                <w:szCs w:val="20"/>
              </w:rPr>
              <w:t xml:space="preserve"> Pretest Protocol</w:t>
            </w:r>
            <w:r w:rsidR="00EA7529">
              <w:rPr>
                <w:sz w:val="20"/>
                <w:szCs w:val="20"/>
              </w:rPr>
              <w:t>:</w:t>
            </w:r>
            <w:r w:rsidRPr="0000750F">
              <w:rPr>
                <w:sz w:val="20"/>
                <w:szCs w:val="20"/>
              </w:rPr>
              <w:t xml:space="preserve"> Survey and Debrief</w:t>
            </w:r>
            <w:r w:rsidR="00132AC3">
              <w:rPr>
                <w:sz w:val="20"/>
                <w:szCs w:val="20"/>
              </w:rPr>
              <w:t xml:space="preserve"> </w:t>
            </w:r>
            <w:r w:rsidR="00132AC3" w:rsidRPr="00132AC3">
              <w:rPr>
                <w:sz w:val="20"/>
                <w:szCs w:val="20"/>
              </w:rPr>
              <w:t>Topic Guide</w:t>
            </w:r>
          </w:p>
        </w:tc>
        <w:tc>
          <w:tcPr>
            <w:tcW w:w="1258" w:type="dxa"/>
            <w:vAlign w:val="center"/>
          </w:tcPr>
          <w:p w14:paraId="03C9B1D1" w14:textId="77777777" w:rsidR="00DE6DB5" w:rsidRPr="0000750F" w:rsidRDefault="00DE6DB5" w:rsidP="00257FE0">
            <w:pPr>
              <w:tabs>
                <w:tab w:val="center" w:pos="4320"/>
                <w:tab w:val="right" w:pos="8640"/>
              </w:tabs>
              <w:jc w:val="center"/>
              <w:rPr>
                <w:sz w:val="20"/>
                <w:szCs w:val="20"/>
              </w:rPr>
            </w:pPr>
            <w:r w:rsidRPr="0000750F">
              <w:rPr>
                <w:sz w:val="20"/>
                <w:szCs w:val="20"/>
              </w:rPr>
              <w:t>36</w:t>
            </w:r>
          </w:p>
        </w:tc>
        <w:tc>
          <w:tcPr>
            <w:tcW w:w="1328" w:type="dxa"/>
            <w:vAlign w:val="center"/>
          </w:tcPr>
          <w:p w14:paraId="74177D1F" w14:textId="77777777" w:rsidR="00DE6DB5" w:rsidRPr="0000750F" w:rsidRDefault="00DE6DB5" w:rsidP="00257FE0">
            <w:pPr>
              <w:tabs>
                <w:tab w:val="center" w:pos="4320"/>
                <w:tab w:val="right" w:pos="8640"/>
              </w:tabs>
              <w:jc w:val="center"/>
              <w:rPr>
                <w:sz w:val="20"/>
                <w:szCs w:val="20"/>
              </w:rPr>
            </w:pPr>
            <w:r w:rsidRPr="0000750F">
              <w:rPr>
                <w:sz w:val="20"/>
                <w:szCs w:val="20"/>
              </w:rPr>
              <w:t>1</w:t>
            </w:r>
          </w:p>
        </w:tc>
        <w:tc>
          <w:tcPr>
            <w:tcW w:w="985" w:type="dxa"/>
            <w:vAlign w:val="center"/>
          </w:tcPr>
          <w:p w14:paraId="4427F716" w14:textId="77777777" w:rsidR="00DE6DB5" w:rsidRPr="0000750F" w:rsidRDefault="00DE6DB5" w:rsidP="00257FE0">
            <w:pPr>
              <w:tabs>
                <w:tab w:val="center" w:pos="4320"/>
                <w:tab w:val="right" w:pos="8640"/>
              </w:tabs>
              <w:jc w:val="center"/>
              <w:rPr>
                <w:sz w:val="20"/>
                <w:szCs w:val="20"/>
              </w:rPr>
            </w:pPr>
            <w:r w:rsidRPr="0000750F">
              <w:rPr>
                <w:sz w:val="20"/>
                <w:szCs w:val="20"/>
              </w:rPr>
              <w:t>1.5</w:t>
            </w:r>
          </w:p>
        </w:tc>
        <w:tc>
          <w:tcPr>
            <w:tcW w:w="802" w:type="dxa"/>
            <w:vAlign w:val="center"/>
          </w:tcPr>
          <w:p w14:paraId="5995080E" w14:textId="7D4CDF1B" w:rsidR="00DE6DB5" w:rsidRPr="0000750F" w:rsidRDefault="00DE6DB5" w:rsidP="00257FE0">
            <w:pPr>
              <w:tabs>
                <w:tab w:val="center" w:pos="4320"/>
                <w:tab w:val="right" w:pos="8640"/>
              </w:tabs>
              <w:jc w:val="center"/>
              <w:rPr>
                <w:sz w:val="20"/>
                <w:szCs w:val="20"/>
              </w:rPr>
            </w:pPr>
            <w:r w:rsidRPr="0000750F">
              <w:rPr>
                <w:sz w:val="20"/>
                <w:szCs w:val="20"/>
              </w:rPr>
              <w:t>54</w:t>
            </w:r>
          </w:p>
        </w:tc>
        <w:tc>
          <w:tcPr>
            <w:tcW w:w="979" w:type="dxa"/>
            <w:vAlign w:val="center"/>
          </w:tcPr>
          <w:p w14:paraId="4C3EE554" w14:textId="6C321D25" w:rsidR="00DE6DB5" w:rsidRPr="0000750F" w:rsidRDefault="00DE6DB5" w:rsidP="00257FE0">
            <w:pPr>
              <w:tabs>
                <w:tab w:val="center" w:pos="4320"/>
                <w:tab w:val="right" w:pos="8640"/>
              </w:tabs>
              <w:jc w:val="center"/>
              <w:rPr>
                <w:sz w:val="20"/>
                <w:szCs w:val="20"/>
              </w:rPr>
            </w:pPr>
            <w:r w:rsidRPr="0000750F">
              <w:rPr>
                <w:sz w:val="20"/>
                <w:szCs w:val="20"/>
              </w:rPr>
              <w:t>18</w:t>
            </w:r>
          </w:p>
        </w:tc>
        <w:tc>
          <w:tcPr>
            <w:tcW w:w="1157" w:type="dxa"/>
            <w:vAlign w:val="center"/>
          </w:tcPr>
          <w:p w14:paraId="23F0954B" w14:textId="77777777" w:rsidR="00DE6DB5" w:rsidRPr="0000750F" w:rsidRDefault="00DE6DB5" w:rsidP="00257FE0">
            <w:pPr>
              <w:tabs>
                <w:tab w:val="center" w:pos="4320"/>
                <w:tab w:val="right" w:pos="8640"/>
              </w:tabs>
              <w:jc w:val="center"/>
              <w:rPr>
                <w:sz w:val="20"/>
                <w:szCs w:val="20"/>
              </w:rPr>
            </w:pPr>
            <w:r w:rsidRPr="0000750F">
              <w:rPr>
                <w:sz w:val="20"/>
                <w:szCs w:val="20"/>
              </w:rPr>
              <w:t>$0</w:t>
            </w:r>
          </w:p>
        </w:tc>
        <w:tc>
          <w:tcPr>
            <w:tcW w:w="1355" w:type="dxa"/>
            <w:vAlign w:val="center"/>
          </w:tcPr>
          <w:p w14:paraId="5F9C268D" w14:textId="77777777" w:rsidR="00DE6DB5" w:rsidRPr="0000750F" w:rsidRDefault="00DE6DB5" w:rsidP="00257FE0">
            <w:pPr>
              <w:tabs>
                <w:tab w:val="center" w:pos="4320"/>
                <w:tab w:val="right" w:pos="8640"/>
              </w:tabs>
              <w:jc w:val="center"/>
              <w:rPr>
                <w:sz w:val="20"/>
                <w:szCs w:val="20"/>
              </w:rPr>
            </w:pPr>
            <w:r w:rsidRPr="0000750F">
              <w:rPr>
                <w:sz w:val="20"/>
                <w:szCs w:val="20"/>
              </w:rPr>
              <w:t>$0</w:t>
            </w:r>
          </w:p>
        </w:tc>
      </w:tr>
      <w:tr w:rsidR="00DE6DB5" w:rsidRPr="00E91B21" w14:paraId="577A1554" w14:textId="77777777" w:rsidTr="004468AF">
        <w:tblPrEx>
          <w:tblCellMar>
            <w:left w:w="108" w:type="dxa"/>
            <w:right w:w="108" w:type="dxa"/>
          </w:tblCellMar>
          <w:tblLook w:val="00A0" w:firstRow="1" w:lastRow="0" w:firstColumn="1" w:lastColumn="0" w:noHBand="0" w:noVBand="0"/>
        </w:tblPrEx>
        <w:trPr>
          <w:trHeight w:val="432"/>
          <w:jc w:val="center"/>
        </w:trPr>
        <w:tc>
          <w:tcPr>
            <w:tcW w:w="1761" w:type="dxa"/>
            <w:vAlign w:val="center"/>
          </w:tcPr>
          <w:p w14:paraId="36F209BC" w14:textId="53007F33" w:rsidR="00DE6DB5" w:rsidRPr="0000750F" w:rsidRDefault="00DE6DB5" w:rsidP="00257FE0">
            <w:pPr>
              <w:tabs>
                <w:tab w:val="center" w:pos="4320"/>
                <w:tab w:val="right" w:pos="8640"/>
              </w:tabs>
              <w:jc w:val="right"/>
              <w:rPr>
                <w:sz w:val="20"/>
                <w:szCs w:val="20"/>
              </w:rPr>
            </w:pPr>
            <w:r w:rsidRPr="0000750F">
              <w:rPr>
                <w:sz w:val="20"/>
                <w:szCs w:val="20"/>
              </w:rPr>
              <w:t>Part 2 Youth</w:t>
            </w:r>
            <w:r w:rsidR="00132AC3" w:rsidRPr="00132AC3">
              <w:rPr>
                <w:sz w:val="20"/>
                <w:szCs w:val="20"/>
              </w:rPr>
              <w:t xml:space="preserve"> Pretest Protocol</w:t>
            </w:r>
            <w:r w:rsidR="00EA7529">
              <w:rPr>
                <w:sz w:val="20"/>
                <w:szCs w:val="20"/>
              </w:rPr>
              <w:t>:</w:t>
            </w:r>
            <w:r w:rsidRPr="0000750F">
              <w:rPr>
                <w:sz w:val="20"/>
                <w:szCs w:val="20"/>
              </w:rPr>
              <w:t xml:space="preserve"> Survey and Debrief</w:t>
            </w:r>
            <w:r w:rsidR="00132AC3">
              <w:rPr>
                <w:sz w:val="20"/>
                <w:szCs w:val="20"/>
              </w:rPr>
              <w:t xml:space="preserve"> </w:t>
            </w:r>
            <w:r w:rsidR="00132AC3" w:rsidRPr="00132AC3">
              <w:rPr>
                <w:sz w:val="20"/>
                <w:szCs w:val="20"/>
              </w:rPr>
              <w:t>Topic Guide</w:t>
            </w:r>
          </w:p>
        </w:tc>
        <w:tc>
          <w:tcPr>
            <w:tcW w:w="1258" w:type="dxa"/>
            <w:vAlign w:val="center"/>
          </w:tcPr>
          <w:p w14:paraId="7E6C3494" w14:textId="77777777" w:rsidR="00DE6DB5" w:rsidRPr="0000750F" w:rsidRDefault="00DE6DB5" w:rsidP="00257FE0">
            <w:pPr>
              <w:tabs>
                <w:tab w:val="center" w:pos="4320"/>
                <w:tab w:val="right" w:pos="8640"/>
              </w:tabs>
              <w:jc w:val="center"/>
              <w:rPr>
                <w:sz w:val="20"/>
                <w:szCs w:val="20"/>
              </w:rPr>
            </w:pPr>
            <w:r w:rsidRPr="0000750F">
              <w:rPr>
                <w:sz w:val="20"/>
                <w:szCs w:val="20"/>
              </w:rPr>
              <w:t>36</w:t>
            </w:r>
          </w:p>
        </w:tc>
        <w:tc>
          <w:tcPr>
            <w:tcW w:w="1328" w:type="dxa"/>
            <w:vAlign w:val="center"/>
          </w:tcPr>
          <w:p w14:paraId="21A6E157" w14:textId="77777777" w:rsidR="00DE6DB5" w:rsidRPr="0000750F" w:rsidRDefault="00DE6DB5" w:rsidP="00257FE0">
            <w:pPr>
              <w:tabs>
                <w:tab w:val="center" w:pos="4320"/>
                <w:tab w:val="right" w:pos="8640"/>
              </w:tabs>
              <w:jc w:val="center"/>
              <w:rPr>
                <w:sz w:val="20"/>
                <w:szCs w:val="20"/>
              </w:rPr>
            </w:pPr>
            <w:r w:rsidRPr="0000750F">
              <w:rPr>
                <w:sz w:val="20"/>
                <w:szCs w:val="20"/>
              </w:rPr>
              <w:t>1</w:t>
            </w:r>
          </w:p>
        </w:tc>
        <w:tc>
          <w:tcPr>
            <w:tcW w:w="985" w:type="dxa"/>
            <w:vAlign w:val="center"/>
          </w:tcPr>
          <w:p w14:paraId="1A1F9E20" w14:textId="77777777" w:rsidR="00DE6DB5" w:rsidRPr="0000750F" w:rsidRDefault="00DE6DB5" w:rsidP="00257FE0">
            <w:pPr>
              <w:tabs>
                <w:tab w:val="center" w:pos="4320"/>
                <w:tab w:val="right" w:pos="8640"/>
              </w:tabs>
              <w:jc w:val="center"/>
              <w:rPr>
                <w:sz w:val="20"/>
                <w:szCs w:val="20"/>
              </w:rPr>
            </w:pPr>
            <w:r w:rsidRPr="0000750F">
              <w:rPr>
                <w:sz w:val="20"/>
                <w:szCs w:val="20"/>
              </w:rPr>
              <w:t>1.5</w:t>
            </w:r>
          </w:p>
        </w:tc>
        <w:tc>
          <w:tcPr>
            <w:tcW w:w="802" w:type="dxa"/>
            <w:vAlign w:val="center"/>
          </w:tcPr>
          <w:p w14:paraId="7E07F5A9" w14:textId="091806B3" w:rsidR="00DE6DB5" w:rsidRPr="0000750F" w:rsidRDefault="00DE6DB5" w:rsidP="00257FE0">
            <w:pPr>
              <w:tabs>
                <w:tab w:val="center" w:pos="4320"/>
                <w:tab w:val="right" w:pos="8640"/>
              </w:tabs>
              <w:jc w:val="center"/>
              <w:rPr>
                <w:sz w:val="20"/>
                <w:szCs w:val="20"/>
              </w:rPr>
            </w:pPr>
            <w:r w:rsidRPr="0000750F">
              <w:rPr>
                <w:sz w:val="20"/>
                <w:szCs w:val="20"/>
              </w:rPr>
              <w:t>54</w:t>
            </w:r>
          </w:p>
        </w:tc>
        <w:tc>
          <w:tcPr>
            <w:tcW w:w="979" w:type="dxa"/>
            <w:vAlign w:val="center"/>
          </w:tcPr>
          <w:p w14:paraId="4A01EB18" w14:textId="4562E56A" w:rsidR="00DE6DB5" w:rsidRPr="0000750F" w:rsidRDefault="00DE6DB5" w:rsidP="00257FE0">
            <w:pPr>
              <w:tabs>
                <w:tab w:val="center" w:pos="4320"/>
                <w:tab w:val="right" w:pos="8640"/>
              </w:tabs>
              <w:jc w:val="center"/>
              <w:rPr>
                <w:sz w:val="20"/>
                <w:szCs w:val="20"/>
              </w:rPr>
            </w:pPr>
            <w:r w:rsidRPr="0000750F">
              <w:rPr>
                <w:sz w:val="20"/>
                <w:szCs w:val="20"/>
              </w:rPr>
              <w:t>18</w:t>
            </w:r>
          </w:p>
        </w:tc>
        <w:tc>
          <w:tcPr>
            <w:tcW w:w="1157" w:type="dxa"/>
            <w:vAlign w:val="center"/>
          </w:tcPr>
          <w:p w14:paraId="46A4DDC5" w14:textId="77777777" w:rsidR="00DE6DB5" w:rsidRPr="0000750F" w:rsidRDefault="00DE6DB5" w:rsidP="00257FE0">
            <w:pPr>
              <w:tabs>
                <w:tab w:val="center" w:pos="4320"/>
                <w:tab w:val="right" w:pos="8640"/>
              </w:tabs>
              <w:jc w:val="center"/>
              <w:rPr>
                <w:sz w:val="20"/>
                <w:szCs w:val="20"/>
              </w:rPr>
            </w:pPr>
            <w:r w:rsidRPr="0000750F">
              <w:rPr>
                <w:sz w:val="20"/>
                <w:szCs w:val="20"/>
              </w:rPr>
              <w:t>$0</w:t>
            </w:r>
          </w:p>
        </w:tc>
        <w:tc>
          <w:tcPr>
            <w:tcW w:w="1355" w:type="dxa"/>
            <w:vAlign w:val="center"/>
          </w:tcPr>
          <w:p w14:paraId="3DDCB78B" w14:textId="77777777" w:rsidR="00DE6DB5" w:rsidRPr="0000750F" w:rsidRDefault="00DE6DB5" w:rsidP="00257FE0">
            <w:pPr>
              <w:tabs>
                <w:tab w:val="center" w:pos="4320"/>
                <w:tab w:val="right" w:pos="8640"/>
              </w:tabs>
              <w:jc w:val="center"/>
              <w:rPr>
                <w:sz w:val="20"/>
                <w:szCs w:val="20"/>
              </w:rPr>
            </w:pPr>
            <w:r w:rsidRPr="0000750F">
              <w:rPr>
                <w:sz w:val="20"/>
                <w:szCs w:val="20"/>
              </w:rPr>
              <w:t>$0</w:t>
            </w:r>
          </w:p>
        </w:tc>
      </w:tr>
      <w:tr w:rsidR="00DE6DB5" w:rsidRPr="00E91B21" w14:paraId="27A7B750" w14:textId="77777777" w:rsidTr="004468AF">
        <w:tblPrEx>
          <w:tblCellMar>
            <w:left w:w="108" w:type="dxa"/>
            <w:right w:w="108" w:type="dxa"/>
          </w:tblCellMar>
          <w:tblLook w:val="00A0" w:firstRow="1" w:lastRow="0" w:firstColumn="1" w:lastColumn="0" w:noHBand="0" w:noVBand="0"/>
        </w:tblPrEx>
        <w:trPr>
          <w:trHeight w:val="432"/>
          <w:jc w:val="center"/>
        </w:trPr>
        <w:tc>
          <w:tcPr>
            <w:tcW w:w="1761" w:type="dxa"/>
            <w:vAlign w:val="center"/>
          </w:tcPr>
          <w:p w14:paraId="01911C73" w14:textId="190BB926" w:rsidR="00DE6DB5" w:rsidRPr="0000750F" w:rsidRDefault="00DE6DB5" w:rsidP="00257FE0">
            <w:pPr>
              <w:tabs>
                <w:tab w:val="center" w:pos="4320"/>
                <w:tab w:val="right" w:pos="8640"/>
              </w:tabs>
              <w:jc w:val="right"/>
              <w:rPr>
                <w:sz w:val="20"/>
                <w:szCs w:val="20"/>
              </w:rPr>
            </w:pPr>
            <w:r w:rsidRPr="0000750F">
              <w:rPr>
                <w:sz w:val="20"/>
                <w:szCs w:val="20"/>
              </w:rPr>
              <w:t xml:space="preserve">Young Adult </w:t>
            </w:r>
            <w:r w:rsidR="00132AC3" w:rsidRPr="00132AC3">
              <w:rPr>
                <w:sz w:val="20"/>
                <w:szCs w:val="20"/>
              </w:rPr>
              <w:t>Pretest Protocol</w:t>
            </w:r>
            <w:r w:rsidR="00EA7529">
              <w:rPr>
                <w:sz w:val="20"/>
                <w:szCs w:val="20"/>
              </w:rPr>
              <w:t>:</w:t>
            </w:r>
            <w:r w:rsidR="00132AC3" w:rsidRPr="00132AC3">
              <w:rPr>
                <w:sz w:val="20"/>
                <w:szCs w:val="20"/>
              </w:rPr>
              <w:t xml:space="preserve"> </w:t>
            </w:r>
            <w:r w:rsidRPr="0000750F">
              <w:rPr>
                <w:sz w:val="20"/>
                <w:szCs w:val="20"/>
              </w:rPr>
              <w:t>Survey and Debrief</w:t>
            </w:r>
            <w:r w:rsidR="00132AC3">
              <w:rPr>
                <w:sz w:val="20"/>
                <w:szCs w:val="20"/>
              </w:rPr>
              <w:t xml:space="preserve"> </w:t>
            </w:r>
            <w:r w:rsidR="00132AC3" w:rsidRPr="00132AC3">
              <w:rPr>
                <w:sz w:val="20"/>
                <w:szCs w:val="20"/>
              </w:rPr>
              <w:t>Topic Guide</w:t>
            </w:r>
          </w:p>
        </w:tc>
        <w:tc>
          <w:tcPr>
            <w:tcW w:w="1258" w:type="dxa"/>
            <w:vAlign w:val="center"/>
          </w:tcPr>
          <w:p w14:paraId="36FD0E97" w14:textId="77777777" w:rsidR="00DE6DB5" w:rsidRPr="0000750F" w:rsidRDefault="00DE6DB5" w:rsidP="00257FE0">
            <w:pPr>
              <w:tabs>
                <w:tab w:val="center" w:pos="4320"/>
                <w:tab w:val="right" w:pos="8640"/>
              </w:tabs>
              <w:jc w:val="center"/>
              <w:rPr>
                <w:sz w:val="20"/>
                <w:szCs w:val="20"/>
              </w:rPr>
            </w:pPr>
            <w:r w:rsidRPr="0000750F">
              <w:rPr>
                <w:sz w:val="20"/>
                <w:szCs w:val="20"/>
              </w:rPr>
              <w:t>36</w:t>
            </w:r>
          </w:p>
        </w:tc>
        <w:tc>
          <w:tcPr>
            <w:tcW w:w="1328" w:type="dxa"/>
            <w:vAlign w:val="center"/>
          </w:tcPr>
          <w:p w14:paraId="2DB113DA" w14:textId="77777777" w:rsidR="00DE6DB5" w:rsidRPr="0000750F" w:rsidRDefault="00DE6DB5" w:rsidP="00257FE0">
            <w:pPr>
              <w:tabs>
                <w:tab w:val="center" w:pos="4320"/>
                <w:tab w:val="right" w:pos="8640"/>
              </w:tabs>
              <w:jc w:val="center"/>
              <w:rPr>
                <w:sz w:val="20"/>
                <w:szCs w:val="20"/>
              </w:rPr>
            </w:pPr>
            <w:r w:rsidRPr="0000750F">
              <w:rPr>
                <w:sz w:val="20"/>
                <w:szCs w:val="20"/>
              </w:rPr>
              <w:t>1</w:t>
            </w:r>
          </w:p>
        </w:tc>
        <w:tc>
          <w:tcPr>
            <w:tcW w:w="985" w:type="dxa"/>
            <w:vAlign w:val="center"/>
          </w:tcPr>
          <w:p w14:paraId="7D5365D0" w14:textId="77777777" w:rsidR="00DE6DB5" w:rsidRPr="0000750F" w:rsidRDefault="00DE6DB5" w:rsidP="00257FE0">
            <w:pPr>
              <w:tabs>
                <w:tab w:val="center" w:pos="4320"/>
                <w:tab w:val="right" w:pos="8640"/>
              </w:tabs>
              <w:jc w:val="center"/>
              <w:rPr>
                <w:sz w:val="20"/>
                <w:szCs w:val="20"/>
              </w:rPr>
            </w:pPr>
            <w:r w:rsidRPr="0000750F">
              <w:rPr>
                <w:sz w:val="20"/>
                <w:szCs w:val="20"/>
              </w:rPr>
              <w:t>2</w:t>
            </w:r>
          </w:p>
        </w:tc>
        <w:tc>
          <w:tcPr>
            <w:tcW w:w="802" w:type="dxa"/>
            <w:vAlign w:val="center"/>
          </w:tcPr>
          <w:p w14:paraId="473786B1" w14:textId="79C5A61D" w:rsidR="00DE6DB5" w:rsidRPr="0000750F" w:rsidRDefault="00DE6DB5" w:rsidP="00257FE0">
            <w:pPr>
              <w:tabs>
                <w:tab w:val="center" w:pos="4320"/>
                <w:tab w:val="right" w:pos="8640"/>
              </w:tabs>
              <w:jc w:val="center"/>
              <w:rPr>
                <w:sz w:val="20"/>
                <w:szCs w:val="20"/>
              </w:rPr>
            </w:pPr>
            <w:r w:rsidRPr="0000750F">
              <w:rPr>
                <w:sz w:val="20"/>
                <w:szCs w:val="20"/>
              </w:rPr>
              <w:t>72</w:t>
            </w:r>
          </w:p>
        </w:tc>
        <w:tc>
          <w:tcPr>
            <w:tcW w:w="979" w:type="dxa"/>
            <w:vAlign w:val="center"/>
          </w:tcPr>
          <w:p w14:paraId="0375D1AE" w14:textId="126852A7" w:rsidR="00DE6DB5" w:rsidRPr="0000750F" w:rsidRDefault="00DE6DB5" w:rsidP="00257FE0">
            <w:pPr>
              <w:tabs>
                <w:tab w:val="center" w:pos="4320"/>
                <w:tab w:val="right" w:pos="8640"/>
              </w:tabs>
              <w:jc w:val="center"/>
              <w:rPr>
                <w:sz w:val="20"/>
                <w:szCs w:val="20"/>
              </w:rPr>
            </w:pPr>
            <w:r w:rsidRPr="0000750F">
              <w:rPr>
                <w:sz w:val="20"/>
                <w:szCs w:val="20"/>
              </w:rPr>
              <w:t>24</w:t>
            </w:r>
          </w:p>
        </w:tc>
        <w:tc>
          <w:tcPr>
            <w:tcW w:w="1157" w:type="dxa"/>
            <w:vAlign w:val="center"/>
          </w:tcPr>
          <w:p w14:paraId="59F9B017" w14:textId="77777777" w:rsidR="00DE6DB5" w:rsidRPr="0000750F" w:rsidRDefault="00DE6DB5" w:rsidP="00257FE0">
            <w:pPr>
              <w:tabs>
                <w:tab w:val="center" w:pos="4320"/>
                <w:tab w:val="right" w:pos="8640"/>
              </w:tabs>
              <w:jc w:val="center"/>
              <w:rPr>
                <w:sz w:val="20"/>
                <w:szCs w:val="20"/>
              </w:rPr>
            </w:pPr>
            <w:r w:rsidRPr="0000750F">
              <w:rPr>
                <w:sz w:val="20"/>
                <w:szCs w:val="20"/>
              </w:rPr>
              <w:t>$24.98</w:t>
            </w:r>
          </w:p>
        </w:tc>
        <w:tc>
          <w:tcPr>
            <w:tcW w:w="1355" w:type="dxa"/>
            <w:vAlign w:val="center"/>
          </w:tcPr>
          <w:p w14:paraId="5AE53ED1" w14:textId="77777777" w:rsidR="00DE6DB5" w:rsidRPr="0000750F" w:rsidRDefault="00DE6DB5" w:rsidP="00257FE0">
            <w:pPr>
              <w:tabs>
                <w:tab w:val="center" w:pos="4320"/>
                <w:tab w:val="right" w:pos="8640"/>
              </w:tabs>
              <w:jc w:val="center"/>
              <w:rPr>
                <w:sz w:val="20"/>
                <w:szCs w:val="20"/>
              </w:rPr>
            </w:pPr>
            <w:r w:rsidRPr="0000750F">
              <w:rPr>
                <w:sz w:val="20"/>
                <w:szCs w:val="20"/>
              </w:rPr>
              <w:t>$599.52</w:t>
            </w:r>
          </w:p>
        </w:tc>
      </w:tr>
      <w:tr w:rsidR="00257FE0" w:rsidRPr="00E91B21" w14:paraId="3EEECE89" w14:textId="77777777" w:rsidTr="004468AF">
        <w:tblPrEx>
          <w:tblCellMar>
            <w:left w:w="108" w:type="dxa"/>
            <w:right w:w="108" w:type="dxa"/>
          </w:tblCellMar>
          <w:tblLook w:val="00A0" w:firstRow="1" w:lastRow="0" w:firstColumn="1" w:lastColumn="0" w:noHBand="0" w:noVBand="0"/>
        </w:tblPrEx>
        <w:trPr>
          <w:trHeight w:val="432"/>
          <w:jc w:val="center"/>
        </w:trPr>
        <w:tc>
          <w:tcPr>
            <w:tcW w:w="5332" w:type="dxa"/>
            <w:gridSpan w:val="4"/>
            <w:vAlign w:val="center"/>
          </w:tcPr>
          <w:p w14:paraId="6830344D" w14:textId="77777777" w:rsidR="00257FE0" w:rsidRPr="0000750F" w:rsidRDefault="00257FE0" w:rsidP="00257FE0">
            <w:pPr>
              <w:tabs>
                <w:tab w:val="center" w:pos="4320"/>
                <w:tab w:val="right" w:pos="8640"/>
              </w:tabs>
              <w:jc w:val="right"/>
              <w:rPr>
                <w:sz w:val="20"/>
                <w:szCs w:val="20"/>
              </w:rPr>
            </w:pPr>
            <w:r w:rsidRPr="0000750F">
              <w:rPr>
                <w:b/>
                <w:sz w:val="20"/>
                <w:szCs w:val="20"/>
              </w:rPr>
              <w:t>Estimated Annual Burden Phase 2 Pre-test Total</w:t>
            </w:r>
          </w:p>
        </w:tc>
        <w:tc>
          <w:tcPr>
            <w:tcW w:w="802" w:type="dxa"/>
            <w:vAlign w:val="center"/>
          </w:tcPr>
          <w:p w14:paraId="32EFAF35" w14:textId="77777777" w:rsidR="00257FE0" w:rsidRPr="0000750F" w:rsidRDefault="00257FE0" w:rsidP="00257FE0">
            <w:pPr>
              <w:tabs>
                <w:tab w:val="center" w:pos="4320"/>
                <w:tab w:val="right" w:pos="8640"/>
              </w:tabs>
              <w:jc w:val="center"/>
              <w:rPr>
                <w:sz w:val="20"/>
                <w:szCs w:val="20"/>
              </w:rPr>
            </w:pPr>
          </w:p>
        </w:tc>
        <w:tc>
          <w:tcPr>
            <w:tcW w:w="979" w:type="dxa"/>
            <w:vAlign w:val="center"/>
          </w:tcPr>
          <w:p w14:paraId="1C536FAD" w14:textId="38370CB8" w:rsidR="00257FE0" w:rsidRPr="0000750F" w:rsidRDefault="00257FE0" w:rsidP="00257FE0">
            <w:pPr>
              <w:tabs>
                <w:tab w:val="center" w:pos="4320"/>
                <w:tab w:val="right" w:pos="8640"/>
              </w:tabs>
              <w:jc w:val="center"/>
              <w:rPr>
                <w:sz w:val="20"/>
                <w:szCs w:val="20"/>
              </w:rPr>
            </w:pPr>
            <w:r w:rsidRPr="0000750F">
              <w:rPr>
                <w:sz w:val="20"/>
                <w:szCs w:val="20"/>
              </w:rPr>
              <w:t>84</w:t>
            </w:r>
          </w:p>
        </w:tc>
        <w:tc>
          <w:tcPr>
            <w:tcW w:w="1157" w:type="dxa"/>
            <w:vAlign w:val="center"/>
          </w:tcPr>
          <w:p w14:paraId="47F0036F" w14:textId="77777777" w:rsidR="00257FE0" w:rsidRPr="0000750F" w:rsidRDefault="00257FE0" w:rsidP="00257FE0">
            <w:pPr>
              <w:tabs>
                <w:tab w:val="center" w:pos="4320"/>
                <w:tab w:val="right" w:pos="8640"/>
              </w:tabs>
              <w:jc w:val="center"/>
              <w:rPr>
                <w:sz w:val="20"/>
                <w:szCs w:val="20"/>
              </w:rPr>
            </w:pPr>
          </w:p>
        </w:tc>
        <w:tc>
          <w:tcPr>
            <w:tcW w:w="1355" w:type="dxa"/>
            <w:vAlign w:val="center"/>
          </w:tcPr>
          <w:p w14:paraId="5DC08D05" w14:textId="77777777" w:rsidR="00257FE0" w:rsidRPr="0000750F" w:rsidRDefault="00257FE0" w:rsidP="00257FE0">
            <w:pPr>
              <w:tabs>
                <w:tab w:val="center" w:pos="4320"/>
                <w:tab w:val="right" w:pos="8640"/>
              </w:tabs>
              <w:jc w:val="center"/>
              <w:rPr>
                <w:sz w:val="20"/>
                <w:szCs w:val="20"/>
              </w:rPr>
            </w:pPr>
            <w:r w:rsidRPr="0000750F">
              <w:rPr>
                <w:b/>
                <w:sz w:val="20"/>
                <w:szCs w:val="20"/>
              </w:rPr>
              <w:t>$1,199.04</w:t>
            </w:r>
          </w:p>
        </w:tc>
      </w:tr>
      <w:tr w:rsidR="00F34774" w:rsidRPr="00E91B21" w14:paraId="74CE028E" w14:textId="77777777" w:rsidTr="004468AF">
        <w:trPr>
          <w:trHeight w:val="420"/>
          <w:jc w:val="center"/>
        </w:trPr>
        <w:tc>
          <w:tcPr>
            <w:tcW w:w="1761" w:type="dxa"/>
            <w:shd w:val="clear" w:color="auto" w:fill="D9D9D9"/>
            <w:vAlign w:val="center"/>
          </w:tcPr>
          <w:p w14:paraId="6A762FD0" w14:textId="77777777" w:rsidR="00DE6DB5" w:rsidRPr="0000750F" w:rsidRDefault="00DE6DB5" w:rsidP="00257FE0">
            <w:pPr>
              <w:tabs>
                <w:tab w:val="center" w:pos="4320"/>
                <w:tab w:val="right" w:pos="8640"/>
              </w:tabs>
              <w:rPr>
                <w:b/>
                <w:sz w:val="20"/>
                <w:szCs w:val="20"/>
              </w:rPr>
            </w:pPr>
            <w:r w:rsidRPr="0000750F">
              <w:rPr>
                <w:b/>
                <w:sz w:val="20"/>
                <w:szCs w:val="20"/>
              </w:rPr>
              <w:t>Pre-test Phase 3</w:t>
            </w:r>
          </w:p>
        </w:tc>
        <w:tc>
          <w:tcPr>
            <w:tcW w:w="1258" w:type="dxa"/>
            <w:shd w:val="clear" w:color="auto" w:fill="D9D9D9"/>
            <w:vAlign w:val="center"/>
          </w:tcPr>
          <w:p w14:paraId="53153ACB" w14:textId="77777777" w:rsidR="00DE6DB5" w:rsidRPr="0000750F" w:rsidRDefault="00DE6DB5" w:rsidP="00257FE0">
            <w:pPr>
              <w:tabs>
                <w:tab w:val="center" w:pos="4320"/>
                <w:tab w:val="right" w:pos="8640"/>
              </w:tabs>
              <w:jc w:val="center"/>
              <w:rPr>
                <w:sz w:val="20"/>
                <w:szCs w:val="20"/>
              </w:rPr>
            </w:pPr>
          </w:p>
        </w:tc>
        <w:tc>
          <w:tcPr>
            <w:tcW w:w="1328" w:type="dxa"/>
            <w:shd w:val="clear" w:color="auto" w:fill="D9D9D9"/>
            <w:vAlign w:val="center"/>
          </w:tcPr>
          <w:p w14:paraId="14819C90" w14:textId="77777777" w:rsidR="00DE6DB5" w:rsidRPr="0000750F" w:rsidRDefault="00DE6DB5" w:rsidP="00257FE0">
            <w:pPr>
              <w:tabs>
                <w:tab w:val="center" w:pos="4320"/>
                <w:tab w:val="right" w:pos="8640"/>
              </w:tabs>
              <w:jc w:val="center"/>
              <w:rPr>
                <w:sz w:val="20"/>
                <w:szCs w:val="20"/>
              </w:rPr>
            </w:pPr>
          </w:p>
        </w:tc>
        <w:tc>
          <w:tcPr>
            <w:tcW w:w="985" w:type="dxa"/>
            <w:shd w:val="clear" w:color="auto" w:fill="D9D9D9"/>
            <w:vAlign w:val="center"/>
          </w:tcPr>
          <w:p w14:paraId="4B5FFAAE" w14:textId="77777777" w:rsidR="00DE6DB5" w:rsidRPr="0000750F" w:rsidRDefault="00DE6DB5" w:rsidP="00257FE0">
            <w:pPr>
              <w:tabs>
                <w:tab w:val="center" w:pos="4320"/>
                <w:tab w:val="right" w:pos="8640"/>
              </w:tabs>
              <w:jc w:val="center"/>
              <w:rPr>
                <w:sz w:val="20"/>
                <w:szCs w:val="20"/>
              </w:rPr>
            </w:pPr>
          </w:p>
        </w:tc>
        <w:tc>
          <w:tcPr>
            <w:tcW w:w="802" w:type="dxa"/>
            <w:shd w:val="clear" w:color="auto" w:fill="D9D9D9"/>
            <w:vAlign w:val="center"/>
          </w:tcPr>
          <w:p w14:paraId="0B4EAE74" w14:textId="77777777" w:rsidR="00DE6DB5" w:rsidRPr="0000750F" w:rsidRDefault="00DE6DB5" w:rsidP="00257FE0">
            <w:pPr>
              <w:tabs>
                <w:tab w:val="center" w:pos="4320"/>
                <w:tab w:val="right" w:pos="8640"/>
              </w:tabs>
              <w:jc w:val="center"/>
              <w:rPr>
                <w:sz w:val="20"/>
                <w:szCs w:val="20"/>
              </w:rPr>
            </w:pPr>
          </w:p>
        </w:tc>
        <w:tc>
          <w:tcPr>
            <w:tcW w:w="979" w:type="dxa"/>
            <w:shd w:val="clear" w:color="auto" w:fill="D9D9D9"/>
            <w:vAlign w:val="center"/>
          </w:tcPr>
          <w:p w14:paraId="3C20D228" w14:textId="30215F38" w:rsidR="00DE6DB5" w:rsidRPr="0000750F" w:rsidRDefault="00DE6DB5" w:rsidP="00257FE0">
            <w:pPr>
              <w:tabs>
                <w:tab w:val="center" w:pos="4320"/>
                <w:tab w:val="right" w:pos="8640"/>
              </w:tabs>
              <w:jc w:val="center"/>
              <w:rPr>
                <w:sz w:val="20"/>
                <w:szCs w:val="20"/>
              </w:rPr>
            </w:pPr>
          </w:p>
        </w:tc>
        <w:tc>
          <w:tcPr>
            <w:tcW w:w="1157" w:type="dxa"/>
            <w:shd w:val="clear" w:color="auto" w:fill="D9D9D9"/>
            <w:vAlign w:val="center"/>
          </w:tcPr>
          <w:p w14:paraId="522B266A" w14:textId="77777777" w:rsidR="00DE6DB5" w:rsidRPr="0000750F" w:rsidRDefault="00DE6DB5" w:rsidP="00257FE0">
            <w:pPr>
              <w:tabs>
                <w:tab w:val="center" w:pos="4320"/>
                <w:tab w:val="right" w:pos="8640"/>
              </w:tabs>
              <w:jc w:val="center"/>
              <w:rPr>
                <w:sz w:val="20"/>
                <w:szCs w:val="20"/>
              </w:rPr>
            </w:pPr>
          </w:p>
        </w:tc>
        <w:tc>
          <w:tcPr>
            <w:tcW w:w="1355" w:type="dxa"/>
            <w:shd w:val="clear" w:color="auto" w:fill="D9D9D9"/>
            <w:vAlign w:val="center"/>
          </w:tcPr>
          <w:p w14:paraId="5C6DA133" w14:textId="77777777" w:rsidR="00DE6DB5" w:rsidRPr="0000750F" w:rsidRDefault="00DE6DB5" w:rsidP="00257FE0">
            <w:pPr>
              <w:tabs>
                <w:tab w:val="center" w:pos="4320"/>
                <w:tab w:val="right" w:pos="8640"/>
              </w:tabs>
              <w:jc w:val="center"/>
              <w:rPr>
                <w:sz w:val="20"/>
                <w:szCs w:val="20"/>
              </w:rPr>
            </w:pPr>
          </w:p>
        </w:tc>
      </w:tr>
      <w:tr w:rsidR="00DE6DB5" w:rsidRPr="00E91B21" w14:paraId="4E07E922" w14:textId="77777777" w:rsidTr="004468AF">
        <w:tblPrEx>
          <w:tblCellMar>
            <w:left w:w="108" w:type="dxa"/>
            <w:right w:w="108" w:type="dxa"/>
          </w:tblCellMar>
          <w:tblLook w:val="00A0" w:firstRow="1" w:lastRow="0" w:firstColumn="1" w:lastColumn="0" w:noHBand="0" w:noVBand="0"/>
        </w:tblPrEx>
        <w:trPr>
          <w:trHeight w:val="432"/>
          <w:jc w:val="center"/>
        </w:trPr>
        <w:tc>
          <w:tcPr>
            <w:tcW w:w="1761" w:type="dxa"/>
            <w:vAlign w:val="center"/>
          </w:tcPr>
          <w:p w14:paraId="1E450A68" w14:textId="44E91605" w:rsidR="00DE6DB5" w:rsidRPr="0000750F" w:rsidRDefault="00DE6DB5" w:rsidP="00257FE0">
            <w:pPr>
              <w:tabs>
                <w:tab w:val="center" w:pos="4320"/>
                <w:tab w:val="right" w:pos="8640"/>
              </w:tabs>
              <w:jc w:val="right"/>
              <w:rPr>
                <w:sz w:val="20"/>
                <w:szCs w:val="20"/>
              </w:rPr>
            </w:pPr>
            <w:r w:rsidRPr="0000750F">
              <w:rPr>
                <w:sz w:val="20"/>
                <w:szCs w:val="20"/>
              </w:rPr>
              <w:t xml:space="preserve">Parent </w:t>
            </w:r>
            <w:r w:rsidR="00132AC3" w:rsidRPr="00132AC3">
              <w:rPr>
                <w:sz w:val="20"/>
                <w:szCs w:val="20"/>
              </w:rPr>
              <w:t>Pretest Protocol</w:t>
            </w:r>
            <w:r w:rsidR="00EA7529">
              <w:rPr>
                <w:sz w:val="20"/>
                <w:szCs w:val="20"/>
              </w:rPr>
              <w:t>:</w:t>
            </w:r>
            <w:r w:rsidR="00132AC3" w:rsidRPr="00132AC3">
              <w:rPr>
                <w:sz w:val="20"/>
                <w:szCs w:val="20"/>
              </w:rPr>
              <w:t xml:space="preserve"> </w:t>
            </w:r>
            <w:r w:rsidRPr="0000750F">
              <w:rPr>
                <w:sz w:val="20"/>
                <w:szCs w:val="20"/>
              </w:rPr>
              <w:t>Survey and Debrief</w:t>
            </w:r>
            <w:r w:rsidR="00132AC3">
              <w:rPr>
                <w:sz w:val="20"/>
                <w:szCs w:val="20"/>
              </w:rPr>
              <w:t xml:space="preserve"> </w:t>
            </w:r>
            <w:r w:rsidR="00132AC3" w:rsidRPr="00132AC3">
              <w:rPr>
                <w:sz w:val="20"/>
                <w:szCs w:val="20"/>
              </w:rPr>
              <w:t>Topic Guide</w:t>
            </w:r>
          </w:p>
        </w:tc>
        <w:tc>
          <w:tcPr>
            <w:tcW w:w="1258" w:type="dxa"/>
            <w:vAlign w:val="center"/>
          </w:tcPr>
          <w:p w14:paraId="59AD0555" w14:textId="77777777" w:rsidR="00DE6DB5" w:rsidRPr="0000750F" w:rsidRDefault="00DE6DB5" w:rsidP="00257FE0">
            <w:pPr>
              <w:tabs>
                <w:tab w:val="center" w:pos="4320"/>
                <w:tab w:val="right" w:pos="8640"/>
              </w:tabs>
              <w:jc w:val="center"/>
              <w:rPr>
                <w:sz w:val="20"/>
                <w:szCs w:val="20"/>
              </w:rPr>
            </w:pPr>
            <w:r w:rsidRPr="0000750F">
              <w:rPr>
                <w:sz w:val="20"/>
                <w:szCs w:val="20"/>
              </w:rPr>
              <w:t>36</w:t>
            </w:r>
          </w:p>
        </w:tc>
        <w:tc>
          <w:tcPr>
            <w:tcW w:w="1328" w:type="dxa"/>
            <w:vAlign w:val="center"/>
          </w:tcPr>
          <w:p w14:paraId="203EEFA6" w14:textId="77777777" w:rsidR="00DE6DB5" w:rsidRPr="0000750F" w:rsidRDefault="00DE6DB5" w:rsidP="00257FE0">
            <w:pPr>
              <w:tabs>
                <w:tab w:val="center" w:pos="4320"/>
                <w:tab w:val="right" w:pos="8640"/>
              </w:tabs>
              <w:jc w:val="center"/>
              <w:rPr>
                <w:sz w:val="20"/>
                <w:szCs w:val="20"/>
              </w:rPr>
            </w:pPr>
            <w:r w:rsidRPr="0000750F">
              <w:rPr>
                <w:sz w:val="20"/>
                <w:szCs w:val="20"/>
              </w:rPr>
              <w:t>1</w:t>
            </w:r>
          </w:p>
        </w:tc>
        <w:tc>
          <w:tcPr>
            <w:tcW w:w="985" w:type="dxa"/>
            <w:vAlign w:val="center"/>
          </w:tcPr>
          <w:p w14:paraId="297C6A74" w14:textId="77777777" w:rsidR="00DE6DB5" w:rsidRPr="0000750F" w:rsidRDefault="00DE6DB5" w:rsidP="00257FE0">
            <w:pPr>
              <w:tabs>
                <w:tab w:val="center" w:pos="4320"/>
                <w:tab w:val="right" w:pos="8640"/>
              </w:tabs>
              <w:jc w:val="center"/>
              <w:rPr>
                <w:sz w:val="20"/>
                <w:szCs w:val="20"/>
              </w:rPr>
            </w:pPr>
            <w:r w:rsidRPr="0000750F">
              <w:rPr>
                <w:sz w:val="20"/>
                <w:szCs w:val="20"/>
              </w:rPr>
              <w:t>2</w:t>
            </w:r>
          </w:p>
        </w:tc>
        <w:tc>
          <w:tcPr>
            <w:tcW w:w="802" w:type="dxa"/>
            <w:vAlign w:val="center"/>
          </w:tcPr>
          <w:p w14:paraId="3797851C" w14:textId="74873ECC" w:rsidR="00DE6DB5" w:rsidRPr="0000750F" w:rsidRDefault="00DE6DB5" w:rsidP="00257FE0">
            <w:pPr>
              <w:tabs>
                <w:tab w:val="center" w:pos="4320"/>
                <w:tab w:val="right" w:pos="8640"/>
              </w:tabs>
              <w:jc w:val="center"/>
              <w:rPr>
                <w:sz w:val="20"/>
                <w:szCs w:val="20"/>
              </w:rPr>
            </w:pPr>
            <w:r w:rsidRPr="0000750F">
              <w:rPr>
                <w:sz w:val="20"/>
                <w:szCs w:val="20"/>
              </w:rPr>
              <w:t>72</w:t>
            </w:r>
          </w:p>
        </w:tc>
        <w:tc>
          <w:tcPr>
            <w:tcW w:w="979" w:type="dxa"/>
            <w:vAlign w:val="center"/>
          </w:tcPr>
          <w:p w14:paraId="250CB1FE" w14:textId="64875A13" w:rsidR="00DE6DB5" w:rsidRPr="0000750F" w:rsidRDefault="00DE6DB5" w:rsidP="00257FE0">
            <w:pPr>
              <w:tabs>
                <w:tab w:val="center" w:pos="4320"/>
                <w:tab w:val="right" w:pos="8640"/>
              </w:tabs>
              <w:jc w:val="center"/>
              <w:rPr>
                <w:sz w:val="20"/>
                <w:szCs w:val="20"/>
              </w:rPr>
            </w:pPr>
            <w:r w:rsidRPr="0000750F">
              <w:rPr>
                <w:sz w:val="20"/>
                <w:szCs w:val="20"/>
              </w:rPr>
              <w:t>24</w:t>
            </w:r>
          </w:p>
        </w:tc>
        <w:tc>
          <w:tcPr>
            <w:tcW w:w="1157" w:type="dxa"/>
            <w:vAlign w:val="center"/>
          </w:tcPr>
          <w:p w14:paraId="73152C8B" w14:textId="77777777" w:rsidR="00DE6DB5" w:rsidRPr="0000750F" w:rsidRDefault="00DE6DB5" w:rsidP="00257FE0">
            <w:pPr>
              <w:tabs>
                <w:tab w:val="center" w:pos="4320"/>
                <w:tab w:val="right" w:pos="8640"/>
              </w:tabs>
              <w:jc w:val="center"/>
              <w:rPr>
                <w:sz w:val="20"/>
                <w:szCs w:val="20"/>
              </w:rPr>
            </w:pPr>
            <w:r w:rsidRPr="0000750F">
              <w:rPr>
                <w:sz w:val="20"/>
                <w:szCs w:val="20"/>
              </w:rPr>
              <w:t>$24.98</w:t>
            </w:r>
          </w:p>
        </w:tc>
        <w:tc>
          <w:tcPr>
            <w:tcW w:w="1355" w:type="dxa"/>
            <w:vAlign w:val="center"/>
          </w:tcPr>
          <w:p w14:paraId="0E5AD772" w14:textId="77777777" w:rsidR="00DE6DB5" w:rsidRPr="0000750F" w:rsidRDefault="00DE6DB5" w:rsidP="00257FE0">
            <w:pPr>
              <w:tabs>
                <w:tab w:val="center" w:pos="4320"/>
                <w:tab w:val="right" w:pos="8640"/>
              </w:tabs>
              <w:jc w:val="center"/>
              <w:rPr>
                <w:sz w:val="20"/>
                <w:szCs w:val="20"/>
              </w:rPr>
            </w:pPr>
            <w:r w:rsidRPr="0000750F">
              <w:rPr>
                <w:sz w:val="20"/>
                <w:szCs w:val="20"/>
              </w:rPr>
              <w:t>$599.52</w:t>
            </w:r>
          </w:p>
        </w:tc>
      </w:tr>
      <w:tr w:rsidR="00DE6DB5" w:rsidRPr="00E91B21" w14:paraId="45D19B86" w14:textId="77777777" w:rsidTr="004468AF">
        <w:tblPrEx>
          <w:tblCellMar>
            <w:left w:w="108" w:type="dxa"/>
            <w:right w:w="108" w:type="dxa"/>
          </w:tblCellMar>
          <w:tblLook w:val="00A0" w:firstRow="1" w:lastRow="0" w:firstColumn="1" w:lastColumn="0" w:noHBand="0" w:noVBand="0"/>
        </w:tblPrEx>
        <w:trPr>
          <w:trHeight w:val="432"/>
          <w:jc w:val="center"/>
        </w:trPr>
        <w:tc>
          <w:tcPr>
            <w:tcW w:w="1761" w:type="dxa"/>
            <w:vAlign w:val="center"/>
          </w:tcPr>
          <w:p w14:paraId="2087AA73" w14:textId="3CFEA239" w:rsidR="00DE6DB5" w:rsidRPr="0000750F" w:rsidRDefault="00DE6DB5" w:rsidP="00257FE0">
            <w:pPr>
              <w:tabs>
                <w:tab w:val="center" w:pos="4320"/>
                <w:tab w:val="right" w:pos="8640"/>
              </w:tabs>
              <w:jc w:val="right"/>
              <w:rPr>
                <w:sz w:val="20"/>
                <w:szCs w:val="20"/>
              </w:rPr>
            </w:pPr>
            <w:r w:rsidRPr="0000750F">
              <w:rPr>
                <w:sz w:val="20"/>
                <w:szCs w:val="20"/>
              </w:rPr>
              <w:t>Part 1 Youth</w:t>
            </w:r>
            <w:r w:rsidR="00132AC3" w:rsidRPr="00132AC3">
              <w:rPr>
                <w:sz w:val="20"/>
                <w:szCs w:val="20"/>
              </w:rPr>
              <w:t xml:space="preserve"> Pretest Protocol</w:t>
            </w:r>
            <w:r w:rsidR="00EA7529">
              <w:rPr>
                <w:sz w:val="20"/>
                <w:szCs w:val="20"/>
              </w:rPr>
              <w:t>:</w:t>
            </w:r>
            <w:r w:rsidRPr="0000750F">
              <w:rPr>
                <w:sz w:val="20"/>
                <w:szCs w:val="20"/>
              </w:rPr>
              <w:t xml:space="preserve"> Survey and Debrief</w:t>
            </w:r>
            <w:r w:rsidR="00132AC3">
              <w:rPr>
                <w:sz w:val="20"/>
                <w:szCs w:val="20"/>
              </w:rPr>
              <w:t xml:space="preserve"> </w:t>
            </w:r>
            <w:r w:rsidR="00132AC3" w:rsidRPr="00132AC3">
              <w:rPr>
                <w:sz w:val="20"/>
                <w:szCs w:val="20"/>
              </w:rPr>
              <w:t>Topic Guide</w:t>
            </w:r>
          </w:p>
        </w:tc>
        <w:tc>
          <w:tcPr>
            <w:tcW w:w="1258" w:type="dxa"/>
            <w:vAlign w:val="center"/>
          </w:tcPr>
          <w:p w14:paraId="0FA2C33D" w14:textId="77777777" w:rsidR="00DE6DB5" w:rsidRPr="0000750F" w:rsidRDefault="00DE6DB5" w:rsidP="00257FE0">
            <w:pPr>
              <w:tabs>
                <w:tab w:val="center" w:pos="4320"/>
                <w:tab w:val="right" w:pos="8640"/>
              </w:tabs>
              <w:jc w:val="center"/>
              <w:rPr>
                <w:sz w:val="20"/>
                <w:szCs w:val="20"/>
              </w:rPr>
            </w:pPr>
            <w:r w:rsidRPr="0000750F">
              <w:rPr>
                <w:sz w:val="20"/>
                <w:szCs w:val="20"/>
              </w:rPr>
              <w:t>36</w:t>
            </w:r>
          </w:p>
        </w:tc>
        <w:tc>
          <w:tcPr>
            <w:tcW w:w="1328" w:type="dxa"/>
            <w:vAlign w:val="center"/>
          </w:tcPr>
          <w:p w14:paraId="1FF0FBAC" w14:textId="77777777" w:rsidR="00DE6DB5" w:rsidRPr="0000750F" w:rsidRDefault="00DE6DB5" w:rsidP="00257FE0">
            <w:pPr>
              <w:tabs>
                <w:tab w:val="center" w:pos="4320"/>
                <w:tab w:val="right" w:pos="8640"/>
              </w:tabs>
              <w:jc w:val="center"/>
              <w:rPr>
                <w:sz w:val="20"/>
                <w:szCs w:val="20"/>
              </w:rPr>
            </w:pPr>
            <w:r w:rsidRPr="0000750F">
              <w:rPr>
                <w:sz w:val="20"/>
                <w:szCs w:val="20"/>
              </w:rPr>
              <w:t>1</w:t>
            </w:r>
          </w:p>
        </w:tc>
        <w:tc>
          <w:tcPr>
            <w:tcW w:w="985" w:type="dxa"/>
            <w:vAlign w:val="center"/>
          </w:tcPr>
          <w:p w14:paraId="7AF3AA9B" w14:textId="77777777" w:rsidR="00DE6DB5" w:rsidRPr="0000750F" w:rsidRDefault="00DE6DB5" w:rsidP="00257FE0">
            <w:pPr>
              <w:tabs>
                <w:tab w:val="center" w:pos="4320"/>
                <w:tab w:val="right" w:pos="8640"/>
              </w:tabs>
              <w:jc w:val="center"/>
              <w:rPr>
                <w:sz w:val="20"/>
                <w:szCs w:val="20"/>
              </w:rPr>
            </w:pPr>
            <w:r w:rsidRPr="0000750F">
              <w:rPr>
                <w:sz w:val="20"/>
                <w:szCs w:val="20"/>
              </w:rPr>
              <w:t>1.5</w:t>
            </w:r>
          </w:p>
        </w:tc>
        <w:tc>
          <w:tcPr>
            <w:tcW w:w="802" w:type="dxa"/>
            <w:vAlign w:val="center"/>
          </w:tcPr>
          <w:p w14:paraId="37A79CD2" w14:textId="038109EE" w:rsidR="00DE6DB5" w:rsidRPr="0000750F" w:rsidRDefault="00DE6DB5" w:rsidP="00257FE0">
            <w:pPr>
              <w:tabs>
                <w:tab w:val="center" w:pos="4320"/>
                <w:tab w:val="right" w:pos="8640"/>
              </w:tabs>
              <w:jc w:val="center"/>
              <w:rPr>
                <w:sz w:val="20"/>
                <w:szCs w:val="20"/>
              </w:rPr>
            </w:pPr>
            <w:r w:rsidRPr="0000750F">
              <w:rPr>
                <w:sz w:val="20"/>
                <w:szCs w:val="20"/>
              </w:rPr>
              <w:t>54</w:t>
            </w:r>
          </w:p>
        </w:tc>
        <w:tc>
          <w:tcPr>
            <w:tcW w:w="979" w:type="dxa"/>
            <w:vAlign w:val="center"/>
          </w:tcPr>
          <w:p w14:paraId="70E4F431" w14:textId="4ADA66D3" w:rsidR="00DE6DB5" w:rsidRPr="0000750F" w:rsidRDefault="00DE6DB5" w:rsidP="00257FE0">
            <w:pPr>
              <w:tabs>
                <w:tab w:val="center" w:pos="4320"/>
                <w:tab w:val="right" w:pos="8640"/>
              </w:tabs>
              <w:jc w:val="center"/>
              <w:rPr>
                <w:sz w:val="20"/>
                <w:szCs w:val="20"/>
              </w:rPr>
            </w:pPr>
            <w:r w:rsidRPr="0000750F">
              <w:rPr>
                <w:sz w:val="20"/>
                <w:szCs w:val="20"/>
              </w:rPr>
              <w:t>18</w:t>
            </w:r>
          </w:p>
        </w:tc>
        <w:tc>
          <w:tcPr>
            <w:tcW w:w="1157" w:type="dxa"/>
            <w:vAlign w:val="center"/>
          </w:tcPr>
          <w:p w14:paraId="1A78ED9F" w14:textId="77777777" w:rsidR="00DE6DB5" w:rsidRPr="0000750F" w:rsidRDefault="00DE6DB5" w:rsidP="00257FE0">
            <w:pPr>
              <w:tabs>
                <w:tab w:val="center" w:pos="4320"/>
                <w:tab w:val="right" w:pos="8640"/>
              </w:tabs>
              <w:jc w:val="center"/>
              <w:rPr>
                <w:sz w:val="20"/>
                <w:szCs w:val="20"/>
              </w:rPr>
            </w:pPr>
            <w:r w:rsidRPr="0000750F">
              <w:rPr>
                <w:sz w:val="20"/>
                <w:szCs w:val="20"/>
              </w:rPr>
              <w:t>$0</w:t>
            </w:r>
          </w:p>
        </w:tc>
        <w:tc>
          <w:tcPr>
            <w:tcW w:w="1355" w:type="dxa"/>
            <w:vAlign w:val="center"/>
          </w:tcPr>
          <w:p w14:paraId="2C409CF1" w14:textId="77777777" w:rsidR="00DE6DB5" w:rsidRPr="0000750F" w:rsidRDefault="00DE6DB5" w:rsidP="00257FE0">
            <w:pPr>
              <w:tabs>
                <w:tab w:val="center" w:pos="4320"/>
                <w:tab w:val="right" w:pos="8640"/>
              </w:tabs>
              <w:jc w:val="center"/>
              <w:rPr>
                <w:sz w:val="20"/>
                <w:szCs w:val="20"/>
              </w:rPr>
            </w:pPr>
            <w:r w:rsidRPr="0000750F">
              <w:rPr>
                <w:sz w:val="20"/>
                <w:szCs w:val="20"/>
              </w:rPr>
              <w:t>$0</w:t>
            </w:r>
          </w:p>
        </w:tc>
      </w:tr>
      <w:tr w:rsidR="00DE6DB5" w:rsidRPr="00E91B21" w14:paraId="6AE54D52" w14:textId="77777777" w:rsidTr="004468AF">
        <w:tblPrEx>
          <w:tblCellMar>
            <w:left w:w="108" w:type="dxa"/>
            <w:right w:w="108" w:type="dxa"/>
          </w:tblCellMar>
          <w:tblLook w:val="00A0" w:firstRow="1" w:lastRow="0" w:firstColumn="1" w:lastColumn="0" w:noHBand="0" w:noVBand="0"/>
        </w:tblPrEx>
        <w:trPr>
          <w:trHeight w:val="432"/>
          <w:jc w:val="center"/>
        </w:trPr>
        <w:tc>
          <w:tcPr>
            <w:tcW w:w="1761" w:type="dxa"/>
            <w:vAlign w:val="center"/>
          </w:tcPr>
          <w:p w14:paraId="15483295" w14:textId="0FA22779" w:rsidR="00DE6DB5" w:rsidRPr="0000750F" w:rsidRDefault="00DE6DB5" w:rsidP="00257FE0">
            <w:pPr>
              <w:tabs>
                <w:tab w:val="center" w:pos="4320"/>
                <w:tab w:val="right" w:pos="8640"/>
              </w:tabs>
              <w:jc w:val="right"/>
              <w:rPr>
                <w:sz w:val="20"/>
                <w:szCs w:val="20"/>
              </w:rPr>
            </w:pPr>
            <w:r w:rsidRPr="0000750F">
              <w:rPr>
                <w:sz w:val="20"/>
                <w:szCs w:val="20"/>
              </w:rPr>
              <w:t>Part 2 Youth</w:t>
            </w:r>
            <w:r w:rsidR="00132AC3" w:rsidRPr="00132AC3">
              <w:rPr>
                <w:sz w:val="20"/>
                <w:szCs w:val="20"/>
              </w:rPr>
              <w:t xml:space="preserve"> Pretest Protocol</w:t>
            </w:r>
            <w:r w:rsidR="00EA7529">
              <w:rPr>
                <w:sz w:val="20"/>
                <w:szCs w:val="20"/>
              </w:rPr>
              <w:t>:</w:t>
            </w:r>
            <w:r w:rsidRPr="0000750F">
              <w:rPr>
                <w:sz w:val="20"/>
                <w:szCs w:val="20"/>
              </w:rPr>
              <w:t xml:space="preserve"> Survey and Debrief</w:t>
            </w:r>
            <w:r w:rsidR="00132AC3">
              <w:rPr>
                <w:sz w:val="20"/>
                <w:szCs w:val="20"/>
              </w:rPr>
              <w:t xml:space="preserve"> </w:t>
            </w:r>
            <w:r w:rsidR="00132AC3" w:rsidRPr="00132AC3">
              <w:rPr>
                <w:sz w:val="20"/>
                <w:szCs w:val="20"/>
              </w:rPr>
              <w:t>Topic Guide</w:t>
            </w:r>
          </w:p>
        </w:tc>
        <w:tc>
          <w:tcPr>
            <w:tcW w:w="1258" w:type="dxa"/>
            <w:vAlign w:val="center"/>
          </w:tcPr>
          <w:p w14:paraId="0DC93BE0" w14:textId="77777777" w:rsidR="00DE6DB5" w:rsidRPr="0000750F" w:rsidRDefault="00DE6DB5" w:rsidP="00257FE0">
            <w:pPr>
              <w:tabs>
                <w:tab w:val="center" w:pos="4320"/>
                <w:tab w:val="right" w:pos="8640"/>
              </w:tabs>
              <w:jc w:val="center"/>
              <w:rPr>
                <w:sz w:val="20"/>
                <w:szCs w:val="20"/>
              </w:rPr>
            </w:pPr>
            <w:r w:rsidRPr="0000750F">
              <w:rPr>
                <w:sz w:val="20"/>
                <w:szCs w:val="20"/>
              </w:rPr>
              <w:t>36</w:t>
            </w:r>
          </w:p>
        </w:tc>
        <w:tc>
          <w:tcPr>
            <w:tcW w:w="1328" w:type="dxa"/>
            <w:vAlign w:val="center"/>
          </w:tcPr>
          <w:p w14:paraId="3FBF9998" w14:textId="77777777" w:rsidR="00DE6DB5" w:rsidRPr="0000750F" w:rsidRDefault="00DE6DB5" w:rsidP="00257FE0">
            <w:pPr>
              <w:tabs>
                <w:tab w:val="center" w:pos="4320"/>
                <w:tab w:val="right" w:pos="8640"/>
              </w:tabs>
              <w:jc w:val="center"/>
              <w:rPr>
                <w:sz w:val="20"/>
                <w:szCs w:val="20"/>
              </w:rPr>
            </w:pPr>
            <w:r w:rsidRPr="0000750F">
              <w:rPr>
                <w:sz w:val="20"/>
                <w:szCs w:val="20"/>
              </w:rPr>
              <w:t>1</w:t>
            </w:r>
          </w:p>
        </w:tc>
        <w:tc>
          <w:tcPr>
            <w:tcW w:w="985" w:type="dxa"/>
            <w:vAlign w:val="center"/>
          </w:tcPr>
          <w:p w14:paraId="3474378F" w14:textId="77777777" w:rsidR="00DE6DB5" w:rsidRPr="0000750F" w:rsidRDefault="00DE6DB5" w:rsidP="00257FE0">
            <w:pPr>
              <w:tabs>
                <w:tab w:val="center" w:pos="4320"/>
                <w:tab w:val="right" w:pos="8640"/>
              </w:tabs>
              <w:jc w:val="center"/>
              <w:rPr>
                <w:sz w:val="20"/>
                <w:szCs w:val="20"/>
              </w:rPr>
            </w:pPr>
            <w:r w:rsidRPr="0000750F">
              <w:rPr>
                <w:sz w:val="20"/>
                <w:szCs w:val="20"/>
              </w:rPr>
              <w:t>1.5</w:t>
            </w:r>
          </w:p>
        </w:tc>
        <w:tc>
          <w:tcPr>
            <w:tcW w:w="802" w:type="dxa"/>
            <w:vAlign w:val="center"/>
          </w:tcPr>
          <w:p w14:paraId="62A16F38" w14:textId="08669FA5" w:rsidR="00DE6DB5" w:rsidRPr="0000750F" w:rsidRDefault="00DE6DB5" w:rsidP="00257FE0">
            <w:pPr>
              <w:tabs>
                <w:tab w:val="center" w:pos="4320"/>
                <w:tab w:val="right" w:pos="8640"/>
              </w:tabs>
              <w:jc w:val="center"/>
              <w:rPr>
                <w:sz w:val="20"/>
                <w:szCs w:val="20"/>
              </w:rPr>
            </w:pPr>
            <w:r w:rsidRPr="0000750F">
              <w:rPr>
                <w:sz w:val="20"/>
                <w:szCs w:val="20"/>
              </w:rPr>
              <w:t>54</w:t>
            </w:r>
          </w:p>
        </w:tc>
        <w:tc>
          <w:tcPr>
            <w:tcW w:w="979" w:type="dxa"/>
            <w:vAlign w:val="center"/>
          </w:tcPr>
          <w:p w14:paraId="69842C88" w14:textId="3437FAE8" w:rsidR="00DE6DB5" w:rsidRPr="0000750F" w:rsidRDefault="00DE6DB5" w:rsidP="00257FE0">
            <w:pPr>
              <w:tabs>
                <w:tab w:val="center" w:pos="4320"/>
                <w:tab w:val="right" w:pos="8640"/>
              </w:tabs>
              <w:jc w:val="center"/>
              <w:rPr>
                <w:sz w:val="20"/>
                <w:szCs w:val="20"/>
              </w:rPr>
            </w:pPr>
            <w:r w:rsidRPr="0000750F">
              <w:rPr>
                <w:sz w:val="20"/>
                <w:szCs w:val="20"/>
              </w:rPr>
              <w:t>18</w:t>
            </w:r>
          </w:p>
        </w:tc>
        <w:tc>
          <w:tcPr>
            <w:tcW w:w="1157" w:type="dxa"/>
            <w:vAlign w:val="center"/>
          </w:tcPr>
          <w:p w14:paraId="0EAD5778" w14:textId="77777777" w:rsidR="00DE6DB5" w:rsidRPr="0000750F" w:rsidRDefault="00DE6DB5" w:rsidP="00257FE0">
            <w:pPr>
              <w:tabs>
                <w:tab w:val="center" w:pos="4320"/>
                <w:tab w:val="right" w:pos="8640"/>
              </w:tabs>
              <w:jc w:val="center"/>
              <w:rPr>
                <w:sz w:val="20"/>
                <w:szCs w:val="20"/>
              </w:rPr>
            </w:pPr>
            <w:r w:rsidRPr="0000750F">
              <w:rPr>
                <w:sz w:val="20"/>
                <w:szCs w:val="20"/>
              </w:rPr>
              <w:t>$0</w:t>
            </w:r>
          </w:p>
        </w:tc>
        <w:tc>
          <w:tcPr>
            <w:tcW w:w="1355" w:type="dxa"/>
            <w:vAlign w:val="center"/>
          </w:tcPr>
          <w:p w14:paraId="2B0145F3" w14:textId="77777777" w:rsidR="00DE6DB5" w:rsidRPr="0000750F" w:rsidRDefault="00DE6DB5" w:rsidP="00257FE0">
            <w:pPr>
              <w:tabs>
                <w:tab w:val="center" w:pos="4320"/>
                <w:tab w:val="right" w:pos="8640"/>
              </w:tabs>
              <w:jc w:val="center"/>
              <w:rPr>
                <w:sz w:val="20"/>
                <w:szCs w:val="20"/>
              </w:rPr>
            </w:pPr>
            <w:r w:rsidRPr="0000750F">
              <w:rPr>
                <w:sz w:val="20"/>
                <w:szCs w:val="20"/>
              </w:rPr>
              <w:t>$0</w:t>
            </w:r>
          </w:p>
        </w:tc>
      </w:tr>
      <w:tr w:rsidR="00DE6DB5" w:rsidRPr="00E91B21" w14:paraId="3755BCE2" w14:textId="77777777" w:rsidTr="004468AF">
        <w:tblPrEx>
          <w:tblCellMar>
            <w:left w:w="108" w:type="dxa"/>
            <w:right w:w="108" w:type="dxa"/>
          </w:tblCellMar>
          <w:tblLook w:val="00A0" w:firstRow="1" w:lastRow="0" w:firstColumn="1" w:lastColumn="0" w:noHBand="0" w:noVBand="0"/>
        </w:tblPrEx>
        <w:trPr>
          <w:trHeight w:val="432"/>
          <w:jc w:val="center"/>
        </w:trPr>
        <w:tc>
          <w:tcPr>
            <w:tcW w:w="1761" w:type="dxa"/>
            <w:vAlign w:val="center"/>
          </w:tcPr>
          <w:p w14:paraId="79D43F04" w14:textId="71CA9AE1" w:rsidR="00DE6DB5" w:rsidRPr="0000750F" w:rsidRDefault="00DE6DB5" w:rsidP="00257FE0">
            <w:pPr>
              <w:tabs>
                <w:tab w:val="center" w:pos="4320"/>
                <w:tab w:val="right" w:pos="8640"/>
              </w:tabs>
              <w:jc w:val="right"/>
              <w:rPr>
                <w:sz w:val="20"/>
                <w:szCs w:val="20"/>
              </w:rPr>
            </w:pPr>
            <w:r w:rsidRPr="0000750F">
              <w:rPr>
                <w:sz w:val="20"/>
                <w:szCs w:val="20"/>
              </w:rPr>
              <w:t xml:space="preserve">Young Adult </w:t>
            </w:r>
            <w:r w:rsidR="00132AC3" w:rsidRPr="00132AC3">
              <w:rPr>
                <w:sz w:val="20"/>
                <w:szCs w:val="20"/>
              </w:rPr>
              <w:t>Pretest Protocol</w:t>
            </w:r>
            <w:r w:rsidR="00EA7529">
              <w:rPr>
                <w:sz w:val="20"/>
                <w:szCs w:val="20"/>
              </w:rPr>
              <w:t>:</w:t>
            </w:r>
            <w:r w:rsidR="00132AC3" w:rsidRPr="00132AC3">
              <w:rPr>
                <w:sz w:val="20"/>
                <w:szCs w:val="20"/>
              </w:rPr>
              <w:t xml:space="preserve"> </w:t>
            </w:r>
            <w:r w:rsidRPr="0000750F">
              <w:rPr>
                <w:sz w:val="20"/>
                <w:szCs w:val="20"/>
              </w:rPr>
              <w:t>Survey and Debrief</w:t>
            </w:r>
            <w:r w:rsidR="00132AC3">
              <w:rPr>
                <w:sz w:val="20"/>
                <w:szCs w:val="20"/>
              </w:rPr>
              <w:t xml:space="preserve"> </w:t>
            </w:r>
            <w:r w:rsidR="00132AC3" w:rsidRPr="00132AC3">
              <w:rPr>
                <w:sz w:val="20"/>
                <w:szCs w:val="20"/>
              </w:rPr>
              <w:t>Topic Guide</w:t>
            </w:r>
          </w:p>
        </w:tc>
        <w:tc>
          <w:tcPr>
            <w:tcW w:w="1258" w:type="dxa"/>
            <w:vAlign w:val="center"/>
          </w:tcPr>
          <w:p w14:paraId="5E8282F3" w14:textId="77777777" w:rsidR="00DE6DB5" w:rsidRPr="0000750F" w:rsidRDefault="00DE6DB5" w:rsidP="00257FE0">
            <w:pPr>
              <w:tabs>
                <w:tab w:val="center" w:pos="4320"/>
                <w:tab w:val="right" w:pos="8640"/>
              </w:tabs>
              <w:jc w:val="center"/>
              <w:rPr>
                <w:sz w:val="20"/>
                <w:szCs w:val="20"/>
              </w:rPr>
            </w:pPr>
            <w:r w:rsidRPr="0000750F">
              <w:rPr>
                <w:sz w:val="20"/>
                <w:szCs w:val="20"/>
              </w:rPr>
              <w:t>36</w:t>
            </w:r>
          </w:p>
        </w:tc>
        <w:tc>
          <w:tcPr>
            <w:tcW w:w="1328" w:type="dxa"/>
            <w:vAlign w:val="center"/>
          </w:tcPr>
          <w:p w14:paraId="58C61377" w14:textId="77777777" w:rsidR="00DE6DB5" w:rsidRPr="0000750F" w:rsidRDefault="00DE6DB5" w:rsidP="00257FE0">
            <w:pPr>
              <w:tabs>
                <w:tab w:val="center" w:pos="4320"/>
                <w:tab w:val="right" w:pos="8640"/>
              </w:tabs>
              <w:jc w:val="center"/>
              <w:rPr>
                <w:sz w:val="20"/>
                <w:szCs w:val="20"/>
              </w:rPr>
            </w:pPr>
            <w:r w:rsidRPr="0000750F">
              <w:rPr>
                <w:sz w:val="20"/>
                <w:szCs w:val="20"/>
              </w:rPr>
              <w:t>1</w:t>
            </w:r>
          </w:p>
        </w:tc>
        <w:tc>
          <w:tcPr>
            <w:tcW w:w="985" w:type="dxa"/>
            <w:vAlign w:val="center"/>
          </w:tcPr>
          <w:p w14:paraId="41E5A5CE" w14:textId="77777777" w:rsidR="00DE6DB5" w:rsidRPr="0000750F" w:rsidRDefault="00DE6DB5" w:rsidP="00257FE0">
            <w:pPr>
              <w:tabs>
                <w:tab w:val="center" w:pos="4320"/>
                <w:tab w:val="right" w:pos="8640"/>
              </w:tabs>
              <w:jc w:val="center"/>
              <w:rPr>
                <w:sz w:val="20"/>
                <w:szCs w:val="20"/>
              </w:rPr>
            </w:pPr>
            <w:r w:rsidRPr="0000750F">
              <w:rPr>
                <w:sz w:val="20"/>
                <w:szCs w:val="20"/>
              </w:rPr>
              <w:t>2</w:t>
            </w:r>
          </w:p>
        </w:tc>
        <w:tc>
          <w:tcPr>
            <w:tcW w:w="802" w:type="dxa"/>
            <w:vAlign w:val="center"/>
          </w:tcPr>
          <w:p w14:paraId="0D308187" w14:textId="6407288C" w:rsidR="00DE6DB5" w:rsidRPr="0000750F" w:rsidRDefault="00DE6DB5" w:rsidP="00257FE0">
            <w:pPr>
              <w:tabs>
                <w:tab w:val="center" w:pos="4320"/>
                <w:tab w:val="right" w:pos="8640"/>
              </w:tabs>
              <w:jc w:val="center"/>
              <w:rPr>
                <w:sz w:val="20"/>
                <w:szCs w:val="20"/>
              </w:rPr>
            </w:pPr>
            <w:r w:rsidRPr="0000750F">
              <w:rPr>
                <w:sz w:val="20"/>
                <w:szCs w:val="20"/>
              </w:rPr>
              <w:t>72</w:t>
            </w:r>
          </w:p>
        </w:tc>
        <w:tc>
          <w:tcPr>
            <w:tcW w:w="979" w:type="dxa"/>
            <w:vAlign w:val="center"/>
          </w:tcPr>
          <w:p w14:paraId="2216A70E" w14:textId="6634A87C" w:rsidR="00DE6DB5" w:rsidRPr="0000750F" w:rsidRDefault="00DE6DB5" w:rsidP="00257FE0">
            <w:pPr>
              <w:tabs>
                <w:tab w:val="center" w:pos="4320"/>
                <w:tab w:val="right" w:pos="8640"/>
              </w:tabs>
              <w:jc w:val="center"/>
              <w:rPr>
                <w:sz w:val="20"/>
                <w:szCs w:val="20"/>
              </w:rPr>
            </w:pPr>
            <w:r w:rsidRPr="0000750F">
              <w:rPr>
                <w:sz w:val="20"/>
                <w:szCs w:val="20"/>
              </w:rPr>
              <w:t>24</w:t>
            </w:r>
          </w:p>
        </w:tc>
        <w:tc>
          <w:tcPr>
            <w:tcW w:w="1157" w:type="dxa"/>
            <w:vAlign w:val="center"/>
          </w:tcPr>
          <w:p w14:paraId="5A13880B" w14:textId="77777777" w:rsidR="00DE6DB5" w:rsidRPr="0000750F" w:rsidRDefault="00DE6DB5" w:rsidP="00257FE0">
            <w:pPr>
              <w:tabs>
                <w:tab w:val="center" w:pos="4320"/>
                <w:tab w:val="right" w:pos="8640"/>
              </w:tabs>
              <w:jc w:val="center"/>
              <w:rPr>
                <w:sz w:val="20"/>
                <w:szCs w:val="20"/>
              </w:rPr>
            </w:pPr>
            <w:r w:rsidRPr="0000750F">
              <w:rPr>
                <w:sz w:val="20"/>
                <w:szCs w:val="20"/>
              </w:rPr>
              <w:t>$24.98</w:t>
            </w:r>
          </w:p>
        </w:tc>
        <w:tc>
          <w:tcPr>
            <w:tcW w:w="1355" w:type="dxa"/>
            <w:vAlign w:val="center"/>
          </w:tcPr>
          <w:p w14:paraId="3A570489" w14:textId="77777777" w:rsidR="00DE6DB5" w:rsidRPr="0000750F" w:rsidRDefault="00DE6DB5" w:rsidP="00257FE0">
            <w:pPr>
              <w:tabs>
                <w:tab w:val="center" w:pos="4320"/>
                <w:tab w:val="right" w:pos="8640"/>
              </w:tabs>
              <w:jc w:val="center"/>
              <w:rPr>
                <w:sz w:val="20"/>
                <w:szCs w:val="20"/>
              </w:rPr>
            </w:pPr>
            <w:r w:rsidRPr="0000750F">
              <w:rPr>
                <w:sz w:val="20"/>
                <w:szCs w:val="20"/>
              </w:rPr>
              <w:t>$599.52</w:t>
            </w:r>
          </w:p>
        </w:tc>
      </w:tr>
      <w:tr w:rsidR="00257FE0" w:rsidRPr="00E91B21" w14:paraId="07305111" w14:textId="77777777" w:rsidTr="004468AF">
        <w:tblPrEx>
          <w:tblCellMar>
            <w:left w:w="108" w:type="dxa"/>
            <w:right w:w="108" w:type="dxa"/>
          </w:tblCellMar>
          <w:tblLook w:val="00A0" w:firstRow="1" w:lastRow="0" w:firstColumn="1" w:lastColumn="0" w:noHBand="0" w:noVBand="0"/>
        </w:tblPrEx>
        <w:trPr>
          <w:trHeight w:val="432"/>
          <w:jc w:val="center"/>
        </w:trPr>
        <w:tc>
          <w:tcPr>
            <w:tcW w:w="5332" w:type="dxa"/>
            <w:gridSpan w:val="4"/>
            <w:vAlign w:val="center"/>
          </w:tcPr>
          <w:p w14:paraId="6F3BFE05" w14:textId="77777777" w:rsidR="00257FE0" w:rsidRPr="0000750F" w:rsidRDefault="00257FE0" w:rsidP="00257FE0">
            <w:pPr>
              <w:tabs>
                <w:tab w:val="center" w:pos="4320"/>
                <w:tab w:val="right" w:pos="8640"/>
              </w:tabs>
              <w:jc w:val="right"/>
              <w:rPr>
                <w:sz w:val="20"/>
                <w:szCs w:val="20"/>
              </w:rPr>
            </w:pPr>
            <w:r w:rsidRPr="0000750F">
              <w:rPr>
                <w:b/>
                <w:sz w:val="20"/>
                <w:szCs w:val="20"/>
              </w:rPr>
              <w:t>Estimated Annual Burden Phase 3 Pre-test Total</w:t>
            </w:r>
          </w:p>
        </w:tc>
        <w:tc>
          <w:tcPr>
            <w:tcW w:w="802" w:type="dxa"/>
          </w:tcPr>
          <w:p w14:paraId="46133894" w14:textId="77777777" w:rsidR="00257FE0" w:rsidRPr="0000750F" w:rsidRDefault="00257FE0" w:rsidP="00257FE0">
            <w:pPr>
              <w:tabs>
                <w:tab w:val="center" w:pos="4320"/>
                <w:tab w:val="right" w:pos="8640"/>
              </w:tabs>
              <w:jc w:val="center"/>
              <w:rPr>
                <w:sz w:val="20"/>
                <w:szCs w:val="20"/>
              </w:rPr>
            </w:pPr>
          </w:p>
        </w:tc>
        <w:tc>
          <w:tcPr>
            <w:tcW w:w="979" w:type="dxa"/>
            <w:vAlign w:val="center"/>
          </w:tcPr>
          <w:p w14:paraId="6B8CF070" w14:textId="18E5E1C6" w:rsidR="00257FE0" w:rsidRPr="0000750F" w:rsidRDefault="00257FE0" w:rsidP="00257FE0">
            <w:pPr>
              <w:tabs>
                <w:tab w:val="center" w:pos="4320"/>
                <w:tab w:val="right" w:pos="8640"/>
              </w:tabs>
              <w:jc w:val="center"/>
              <w:rPr>
                <w:sz w:val="20"/>
                <w:szCs w:val="20"/>
              </w:rPr>
            </w:pPr>
            <w:r w:rsidRPr="0000750F">
              <w:rPr>
                <w:sz w:val="20"/>
                <w:szCs w:val="20"/>
              </w:rPr>
              <w:t>84</w:t>
            </w:r>
          </w:p>
        </w:tc>
        <w:tc>
          <w:tcPr>
            <w:tcW w:w="1157" w:type="dxa"/>
            <w:vAlign w:val="center"/>
          </w:tcPr>
          <w:p w14:paraId="18F0E4D0" w14:textId="77777777" w:rsidR="00257FE0" w:rsidRPr="0000750F" w:rsidRDefault="00257FE0" w:rsidP="00257FE0">
            <w:pPr>
              <w:tabs>
                <w:tab w:val="center" w:pos="4320"/>
                <w:tab w:val="right" w:pos="8640"/>
              </w:tabs>
              <w:jc w:val="center"/>
              <w:rPr>
                <w:sz w:val="20"/>
                <w:szCs w:val="20"/>
              </w:rPr>
            </w:pPr>
          </w:p>
        </w:tc>
        <w:tc>
          <w:tcPr>
            <w:tcW w:w="1355" w:type="dxa"/>
            <w:vAlign w:val="center"/>
          </w:tcPr>
          <w:p w14:paraId="6C86B73B" w14:textId="77777777" w:rsidR="00257FE0" w:rsidRPr="0000750F" w:rsidRDefault="00257FE0" w:rsidP="00257FE0">
            <w:pPr>
              <w:tabs>
                <w:tab w:val="center" w:pos="4320"/>
                <w:tab w:val="right" w:pos="8640"/>
              </w:tabs>
              <w:jc w:val="center"/>
              <w:rPr>
                <w:sz w:val="20"/>
                <w:szCs w:val="20"/>
              </w:rPr>
            </w:pPr>
            <w:r w:rsidRPr="0000750F">
              <w:rPr>
                <w:b/>
                <w:sz w:val="20"/>
                <w:szCs w:val="20"/>
              </w:rPr>
              <w:t>$1,199.04</w:t>
            </w:r>
          </w:p>
        </w:tc>
      </w:tr>
      <w:tr w:rsidR="00257FE0" w:rsidRPr="00E91B21" w14:paraId="2C733B7B" w14:textId="77777777" w:rsidTr="004468AF">
        <w:tblPrEx>
          <w:tblCellMar>
            <w:left w:w="108" w:type="dxa"/>
            <w:right w:w="108" w:type="dxa"/>
          </w:tblCellMar>
          <w:tblLook w:val="00A0" w:firstRow="1" w:lastRow="0" w:firstColumn="1" w:lastColumn="0" w:noHBand="0" w:noVBand="0"/>
        </w:tblPrEx>
        <w:trPr>
          <w:jc w:val="center"/>
        </w:trPr>
        <w:tc>
          <w:tcPr>
            <w:tcW w:w="5332" w:type="dxa"/>
            <w:gridSpan w:val="4"/>
            <w:vAlign w:val="center"/>
          </w:tcPr>
          <w:p w14:paraId="63A2ABC0" w14:textId="77777777" w:rsidR="00257FE0" w:rsidRPr="0000750F" w:rsidRDefault="00257FE0" w:rsidP="00257FE0">
            <w:pPr>
              <w:tabs>
                <w:tab w:val="center" w:pos="4320"/>
                <w:tab w:val="right" w:pos="8640"/>
              </w:tabs>
              <w:jc w:val="right"/>
              <w:rPr>
                <w:b/>
                <w:sz w:val="20"/>
                <w:szCs w:val="20"/>
              </w:rPr>
            </w:pPr>
            <w:r w:rsidRPr="0000750F">
              <w:rPr>
                <w:b/>
                <w:sz w:val="20"/>
                <w:szCs w:val="20"/>
              </w:rPr>
              <w:t xml:space="preserve">Estimated Annual Burden Total </w:t>
            </w:r>
          </w:p>
        </w:tc>
        <w:tc>
          <w:tcPr>
            <w:tcW w:w="802" w:type="dxa"/>
          </w:tcPr>
          <w:p w14:paraId="27D2296C" w14:textId="77777777" w:rsidR="00257FE0" w:rsidRPr="0000750F" w:rsidRDefault="00257FE0" w:rsidP="00257FE0">
            <w:pPr>
              <w:tabs>
                <w:tab w:val="center" w:pos="4320"/>
                <w:tab w:val="right" w:pos="8640"/>
              </w:tabs>
              <w:jc w:val="center"/>
              <w:rPr>
                <w:b/>
                <w:sz w:val="20"/>
                <w:szCs w:val="20"/>
              </w:rPr>
            </w:pPr>
          </w:p>
        </w:tc>
        <w:tc>
          <w:tcPr>
            <w:tcW w:w="979" w:type="dxa"/>
          </w:tcPr>
          <w:p w14:paraId="72A3D5E4" w14:textId="6A6E62D3" w:rsidR="00257FE0" w:rsidRPr="0000750F" w:rsidRDefault="00257FE0" w:rsidP="00257FE0">
            <w:pPr>
              <w:tabs>
                <w:tab w:val="center" w:pos="4320"/>
                <w:tab w:val="right" w:pos="8640"/>
              </w:tabs>
              <w:jc w:val="center"/>
              <w:rPr>
                <w:b/>
                <w:sz w:val="20"/>
                <w:szCs w:val="20"/>
              </w:rPr>
            </w:pPr>
            <w:r w:rsidRPr="0000750F">
              <w:rPr>
                <w:b/>
                <w:sz w:val="20"/>
                <w:szCs w:val="20"/>
              </w:rPr>
              <w:t>252</w:t>
            </w:r>
          </w:p>
        </w:tc>
        <w:tc>
          <w:tcPr>
            <w:tcW w:w="1157" w:type="dxa"/>
          </w:tcPr>
          <w:p w14:paraId="1251704F" w14:textId="77777777" w:rsidR="00257FE0" w:rsidRPr="0000750F" w:rsidRDefault="00257FE0" w:rsidP="00257FE0">
            <w:pPr>
              <w:tabs>
                <w:tab w:val="center" w:pos="4320"/>
                <w:tab w:val="right" w:pos="8640"/>
              </w:tabs>
              <w:jc w:val="center"/>
              <w:rPr>
                <w:b/>
                <w:sz w:val="20"/>
                <w:szCs w:val="20"/>
              </w:rPr>
            </w:pPr>
          </w:p>
        </w:tc>
        <w:tc>
          <w:tcPr>
            <w:tcW w:w="1355" w:type="dxa"/>
          </w:tcPr>
          <w:p w14:paraId="594E5081" w14:textId="77777777" w:rsidR="00257FE0" w:rsidRPr="0000750F" w:rsidRDefault="00257FE0" w:rsidP="00257FE0">
            <w:pPr>
              <w:tabs>
                <w:tab w:val="center" w:pos="4320"/>
                <w:tab w:val="right" w:pos="8640"/>
              </w:tabs>
              <w:jc w:val="center"/>
              <w:rPr>
                <w:b/>
                <w:sz w:val="20"/>
                <w:szCs w:val="20"/>
              </w:rPr>
            </w:pPr>
            <w:r w:rsidRPr="0000750F">
              <w:rPr>
                <w:b/>
                <w:sz w:val="20"/>
                <w:szCs w:val="20"/>
              </w:rPr>
              <w:t>$3,597.12</w:t>
            </w:r>
          </w:p>
        </w:tc>
      </w:tr>
    </w:tbl>
    <w:p w14:paraId="6D094BD5" w14:textId="77777777" w:rsidR="001F0446" w:rsidRDefault="001F0446" w:rsidP="00373D2F">
      <w:pPr>
        <w:spacing w:after="0" w:line="240" w:lineRule="auto"/>
      </w:pPr>
    </w:p>
    <w:p w14:paraId="3D55F30E" w14:textId="079CEC34" w:rsidR="00373D2F" w:rsidRDefault="00B23277" w:rsidP="00577243">
      <w:pPr>
        <w:spacing w:after="120" w:line="240" w:lineRule="auto"/>
        <w:rPr>
          <w:rFonts w:cstheme="minorHAnsi"/>
        </w:rPr>
      </w:pPr>
      <w:r w:rsidRPr="00624DDC">
        <w:rPr>
          <w:rFonts w:cstheme="minorHAnsi"/>
          <w:b/>
        </w:rPr>
        <w:t>A13</w:t>
      </w:r>
      <w:r>
        <w:rPr>
          <w:rFonts w:cstheme="minorHAnsi"/>
        </w:rPr>
        <w:t>.</w:t>
      </w:r>
      <w:r>
        <w:rPr>
          <w:rFonts w:cstheme="minorHAnsi"/>
        </w:rPr>
        <w:tab/>
      </w:r>
      <w:r w:rsidR="00083227" w:rsidRPr="001F0446">
        <w:rPr>
          <w:rFonts w:cstheme="minorHAnsi"/>
          <w:b/>
        </w:rPr>
        <w:t>Costs</w:t>
      </w:r>
    </w:p>
    <w:p w14:paraId="262B006D" w14:textId="7A08E066" w:rsidR="00577243" w:rsidRDefault="00257FE0" w:rsidP="0000750F">
      <w:pPr>
        <w:autoSpaceDE w:val="0"/>
        <w:autoSpaceDN w:val="0"/>
        <w:adjustRightInd w:val="0"/>
        <w:spacing w:after="0" w:line="240" w:lineRule="auto"/>
        <w:rPr>
          <w:rFonts w:cstheme="minorHAnsi"/>
        </w:rPr>
      </w:pPr>
      <w:r w:rsidRPr="0044005D">
        <w:t>There are no additional costs to respondents.</w:t>
      </w:r>
    </w:p>
    <w:p w14:paraId="456CA4E3" w14:textId="77777777" w:rsidR="00577243" w:rsidRPr="000D4E9A" w:rsidRDefault="00577243" w:rsidP="0000750F">
      <w:pPr>
        <w:autoSpaceDE w:val="0"/>
        <w:autoSpaceDN w:val="0"/>
        <w:adjustRightInd w:val="0"/>
        <w:spacing w:after="0" w:line="240" w:lineRule="auto"/>
        <w:rPr>
          <w:rFonts w:cstheme="minorHAnsi"/>
        </w:rPr>
      </w:pPr>
    </w:p>
    <w:p w14:paraId="6D7CE77A" w14:textId="01F078C4" w:rsidR="00373D2F" w:rsidRPr="00DF1291" w:rsidRDefault="00B23277" w:rsidP="00577243">
      <w:pPr>
        <w:spacing w:after="120" w:line="240" w:lineRule="auto"/>
        <w:rPr>
          <w:rFonts w:cstheme="minorHAnsi"/>
        </w:rPr>
      </w:pPr>
      <w:r w:rsidRPr="00624DDC">
        <w:rPr>
          <w:rFonts w:cstheme="minorHAnsi"/>
          <w:b/>
        </w:rPr>
        <w:t>A14</w:t>
      </w:r>
      <w:r>
        <w:rPr>
          <w:rFonts w:cstheme="minorHAnsi"/>
        </w:rPr>
        <w:t>.</w:t>
      </w:r>
      <w:r>
        <w:rPr>
          <w:rFonts w:cstheme="minorHAnsi"/>
        </w:rPr>
        <w:tab/>
      </w:r>
      <w:r w:rsidR="00577243" w:rsidRPr="00577243">
        <w:rPr>
          <w:rFonts w:cstheme="minorHAnsi"/>
          <w:b/>
        </w:rPr>
        <w:t>Estimated Annualized Costs to the Federal Government</w:t>
      </w:r>
      <w:r w:rsidR="00577243">
        <w:rPr>
          <w:rFonts w:cstheme="minorHAnsi"/>
        </w:rPr>
        <w:t xml:space="preserve"> </w:t>
      </w:r>
    </w:p>
    <w:p w14:paraId="7ED67F4E" w14:textId="5759333D" w:rsidR="00B13DC4" w:rsidRDefault="009D21DE" w:rsidP="00B13DC4">
      <w:r>
        <w:t>Table A14 provides the estimates of the annualized costs to the Federal government for the work associated with this Information Collection Request.</w:t>
      </w:r>
    </w:p>
    <w:tbl>
      <w:tblPr>
        <w:tblW w:w="0" w:type="auto"/>
        <w:tblCellMar>
          <w:left w:w="0" w:type="dxa"/>
          <w:right w:w="0" w:type="dxa"/>
        </w:tblCellMar>
        <w:tblLook w:val="04A0" w:firstRow="1" w:lastRow="0" w:firstColumn="1" w:lastColumn="0" w:noHBand="0" w:noVBand="1"/>
      </w:tblPr>
      <w:tblGrid>
        <w:gridCol w:w="4878"/>
        <w:gridCol w:w="2250"/>
      </w:tblGrid>
      <w:tr w:rsidR="00B13DC4" w:rsidRPr="00B13297" w14:paraId="799745E2" w14:textId="77777777" w:rsidTr="0000750F">
        <w:tc>
          <w:tcPr>
            <w:tcW w:w="487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4E01E280" w14:textId="77777777" w:rsidR="00B13DC4" w:rsidRPr="0000750F" w:rsidRDefault="00B13DC4" w:rsidP="00FD4DD8">
            <w:pPr>
              <w:rPr>
                <w:b/>
                <w:bCs/>
                <w:sz w:val="20"/>
              </w:rPr>
            </w:pPr>
            <w:r w:rsidRPr="0000750F">
              <w:rPr>
                <w:b/>
                <w:bCs/>
                <w:sz w:val="20"/>
              </w:rPr>
              <w:t>Cost Category</w:t>
            </w:r>
          </w:p>
        </w:tc>
        <w:tc>
          <w:tcPr>
            <w:tcW w:w="225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395B2B42" w14:textId="77777777" w:rsidR="00B13DC4" w:rsidRPr="0000750F" w:rsidRDefault="00B13DC4" w:rsidP="00FD4DD8">
            <w:pPr>
              <w:jc w:val="center"/>
              <w:rPr>
                <w:b/>
                <w:bCs/>
                <w:sz w:val="20"/>
              </w:rPr>
            </w:pPr>
            <w:r w:rsidRPr="0000750F">
              <w:rPr>
                <w:b/>
                <w:bCs/>
                <w:sz w:val="20"/>
              </w:rPr>
              <w:t>Estimated Costs</w:t>
            </w:r>
          </w:p>
        </w:tc>
      </w:tr>
      <w:tr w:rsidR="00CB4358" w:rsidRPr="00B13297" w14:paraId="51B075A3" w14:textId="77777777" w:rsidTr="0000750F">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60F72C" w14:textId="77777777" w:rsidR="00CB4358" w:rsidRPr="0000750F" w:rsidRDefault="00CB4358" w:rsidP="0000750F">
            <w:pPr>
              <w:spacing w:after="0"/>
              <w:rPr>
                <w:sz w:val="20"/>
              </w:rPr>
            </w:pPr>
            <w:r w:rsidRPr="0000750F">
              <w:rPr>
                <w:sz w:val="20"/>
              </w:rPr>
              <w:t>Instrument Development and OMB Clearance</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F7276F" w14:textId="0E262168" w:rsidR="00CB4358" w:rsidRPr="0000750F" w:rsidRDefault="00CB4358" w:rsidP="0000750F">
            <w:pPr>
              <w:spacing w:after="0"/>
              <w:jc w:val="center"/>
              <w:rPr>
                <w:sz w:val="20"/>
              </w:rPr>
            </w:pPr>
            <w:r w:rsidRPr="0000750F">
              <w:rPr>
                <w:sz w:val="20"/>
              </w:rPr>
              <w:t>$</w:t>
            </w:r>
            <w:r w:rsidR="002F24D9" w:rsidRPr="0000750F">
              <w:rPr>
                <w:sz w:val="20"/>
              </w:rPr>
              <w:t>98,980</w:t>
            </w:r>
          </w:p>
        </w:tc>
      </w:tr>
      <w:tr w:rsidR="00CB4358" w:rsidRPr="00B13297" w14:paraId="2CCC3965" w14:textId="77777777" w:rsidTr="0000750F">
        <w:tc>
          <w:tcPr>
            <w:tcW w:w="48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9DBD69" w14:textId="77777777" w:rsidR="00CB4358" w:rsidRPr="0000750F" w:rsidRDefault="00CB4358" w:rsidP="0000750F">
            <w:pPr>
              <w:spacing w:after="0"/>
              <w:rPr>
                <w:rFonts w:ascii="Calibri" w:eastAsia="Calibri" w:hAnsi="Calibri" w:cs="Calibri"/>
                <w:sz w:val="20"/>
              </w:rPr>
            </w:pPr>
            <w:r w:rsidRPr="0000750F">
              <w:rPr>
                <w:sz w:val="20"/>
              </w:rPr>
              <w:t>Field Work</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786520" w14:textId="384D7249" w:rsidR="00CB4358" w:rsidRPr="0000750F" w:rsidRDefault="00CB4358" w:rsidP="0000750F">
            <w:pPr>
              <w:spacing w:after="0"/>
              <w:jc w:val="center"/>
              <w:rPr>
                <w:sz w:val="20"/>
              </w:rPr>
            </w:pPr>
            <w:r w:rsidRPr="0000750F">
              <w:rPr>
                <w:sz w:val="20"/>
              </w:rPr>
              <w:t>$</w:t>
            </w:r>
            <w:r w:rsidR="002F24D9" w:rsidRPr="0000750F">
              <w:rPr>
                <w:sz w:val="20"/>
              </w:rPr>
              <w:t>250,951</w:t>
            </w:r>
          </w:p>
        </w:tc>
      </w:tr>
      <w:tr w:rsidR="00CB4358" w:rsidRPr="00B13297" w14:paraId="32235541" w14:textId="77777777" w:rsidTr="0000750F">
        <w:tc>
          <w:tcPr>
            <w:tcW w:w="487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1C29715" w14:textId="77777777" w:rsidR="00CB4358" w:rsidRPr="0000750F" w:rsidRDefault="00CB4358" w:rsidP="0000750F">
            <w:pPr>
              <w:spacing w:after="0"/>
              <w:rPr>
                <w:rFonts w:ascii="Calibri" w:eastAsia="Calibri" w:hAnsi="Calibri" w:cs="Calibri"/>
                <w:sz w:val="20"/>
              </w:rPr>
            </w:pPr>
            <w:r w:rsidRPr="0000750F">
              <w:rPr>
                <w:sz w:val="20"/>
              </w:rPr>
              <w:t>Publications/Dissemination</w:t>
            </w:r>
          </w:p>
        </w:tc>
        <w:tc>
          <w:tcPr>
            <w:tcW w:w="2250" w:type="dxa"/>
            <w:tcBorders>
              <w:top w:val="nil"/>
              <w:left w:val="nil"/>
              <w:bottom w:val="single" w:sz="4" w:space="0" w:color="auto"/>
              <w:right w:val="single" w:sz="8" w:space="0" w:color="auto"/>
            </w:tcBorders>
            <w:tcMar>
              <w:top w:w="0" w:type="dxa"/>
              <w:left w:w="108" w:type="dxa"/>
              <w:bottom w:w="0" w:type="dxa"/>
              <w:right w:w="108" w:type="dxa"/>
            </w:tcMar>
            <w:vAlign w:val="center"/>
          </w:tcPr>
          <w:p w14:paraId="112ACDBC" w14:textId="68F5C9D9" w:rsidR="00CB4358" w:rsidRPr="0000750F" w:rsidRDefault="00CB4358" w:rsidP="0000750F">
            <w:pPr>
              <w:spacing w:after="0"/>
              <w:jc w:val="center"/>
              <w:rPr>
                <w:sz w:val="20"/>
              </w:rPr>
            </w:pPr>
            <w:r w:rsidRPr="0000750F">
              <w:rPr>
                <w:sz w:val="20"/>
              </w:rPr>
              <w:t>$</w:t>
            </w:r>
            <w:r w:rsidR="002F24D9" w:rsidRPr="0000750F">
              <w:rPr>
                <w:sz w:val="20"/>
              </w:rPr>
              <w:t>49,548</w:t>
            </w:r>
          </w:p>
        </w:tc>
      </w:tr>
      <w:tr w:rsidR="00CB4358" w:rsidRPr="00B13297" w14:paraId="4667EDF0" w14:textId="77777777" w:rsidTr="0000750F">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8A5BAF" w14:textId="74624A89" w:rsidR="00CB4358" w:rsidRPr="0000750F" w:rsidRDefault="00CB4358" w:rsidP="0000750F">
            <w:pPr>
              <w:spacing w:after="0"/>
              <w:jc w:val="right"/>
              <w:rPr>
                <w:rFonts w:ascii="Calibri" w:eastAsia="Calibri" w:hAnsi="Calibri" w:cs="Calibri"/>
                <w:b/>
                <w:bCs/>
                <w:sz w:val="20"/>
              </w:rPr>
            </w:pPr>
            <w:r w:rsidRPr="0000750F">
              <w:rPr>
                <w:b/>
                <w:color w:val="000000"/>
                <w:sz w:val="20"/>
              </w:rPr>
              <w:t>Total costs over the request period</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EBFD7A" w14:textId="67DC3FD0" w:rsidR="00CB4358" w:rsidRPr="0000750F" w:rsidRDefault="00CB4358" w:rsidP="0000750F">
            <w:pPr>
              <w:spacing w:after="0"/>
              <w:jc w:val="center"/>
              <w:rPr>
                <w:b/>
                <w:bCs/>
                <w:sz w:val="20"/>
              </w:rPr>
            </w:pPr>
            <w:r w:rsidRPr="0000750F">
              <w:rPr>
                <w:sz w:val="20"/>
              </w:rPr>
              <w:t>$</w:t>
            </w:r>
            <w:r w:rsidR="002F24D9" w:rsidRPr="0000750F">
              <w:rPr>
                <w:sz w:val="20"/>
              </w:rPr>
              <w:t>399,479</w:t>
            </w:r>
          </w:p>
        </w:tc>
      </w:tr>
      <w:tr w:rsidR="00CB4358" w:rsidRPr="00B13297" w14:paraId="404E900D" w14:textId="77777777" w:rsidTr="0000750F">
        <w:tc>
          <w:tcPr>
            <w:tcW w:w="48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0ED502" w14:textId="79D25F54" w:rsidR="00CB4358" w:rsidRPr="0000750F" w:rsidRDefault="00CB4358" w:rsidP="0000750F">
            <w:pPr>
              <w:spacing w:after="0"/>
              <w:jc w:val="right"/>
              <w:rPr>
                <w:b/>
                <w:bCs/>
                <w:sz w:val="20"/>
              </w:rPr>
            </w:pPr>
            <w:r w:rsidRPr="0000750F">
              <w:rPr>
                <w:b/>
                <w:color w:val="000000"/>
                <w:sz w:val="20"/>
              </w:rPr>
              <w:t>Annual costs</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0E7941" w14:textId="2B3CDE19" w:rsidR="00CB4358" w:rsidRPr="0000750F" w:rsidRDefault="00CB4358" w:rsidP="0000750F">
            <w:pPr>
              <w:spacing w:after="0"/>
              <w:jc w:val="center"/>
              <w:rPr>
                <w:b/>
                <w:bCs/>
                <w:sz w:val="20"/>
              </w:rPr>
            </w:pPr>
            <w:r w:rsidRPr="0000750F">
              <w:rPr>
                <w:sz w:val="20"/>
              </w:rPr>
              <w:t>$</w:t>
            </w:r>
            <w:r w:rsidR="002F24D9" w:rsidRPr="0000750F">
              <w:rPr>
                <w:sz w:val="20"/>
              </w:rPr>
              <w:t>133,160</w:t>
            </w:r>
          </w:p>
        </w:tc>
      </w:tr>
    </w:tbl>
    <w:p w14:paraId="5595FC20" w14:textId="77777777" w:rsidR="00DE6DB5" w:rsidRDefault="00DE6DB5" w:rsidP="00CB4358">
      <w:pPr>
        <w:spacing w:after="120" w:line="240" w:lineRule="auto"/>
        <w:rPr>
          <w:rFonts w:cstheme="minorHAnsi"/>
          <w:b/>
        </w:rPr>
      </w:pPr>
    </w:p>
    <w:p w14:paraId="3C111F63" w14:textId="03C1A042" w:rsidR="0068383E" w:rsidRDefault="00B23277" w:rsidP="00CB4358">
      <w:pPr>
        <w:spacing w:after="120" w:line="240" w:lineRule="auto"/>
        <w:rPr>
          <w:rFonts w:cstheme="minorHAnsi"/>
        </w:rPr>
      </w:pPr>
      <w:r w:rsidRPr="00624DDC">
        <w:rPr>
          <w:rFonts w:cstheme="minorHAnsi"/>
          <w:b/>
        </w:rPr>
        <w:t>A15</w:t>
      </w:r>
      <w:r>
        <w:rPr>
          <w:rFonts w:cstheme="minorHAnsi"/>
        </w:rPr>
        <w:t>.</w:t>
      </w:r>
      <w:r>
        <w:rPr>
          <w:rFonts w:cstheme="minorHAnsi"/>
        </w:rPr>
        <w:tab/>
      </w:r>
      <w:r w:rsidR="007C7B4B" w:rsidRPr="00CB4358">
        <w:rPr>
          <w:rFonts w:cstheme="minorHAnsi"/>
          <w:b/>
        </w:rPr>
        <w:t>Reasons for changes in burden</w:t>
      </w:r>
      <w:r w:rsidR="007C7B4B" w:rsidRPr="00B23277">
        <w:rPr>
          <w:rFonts w:cstheme="minorHAnsi"/>
        </w:rPr>
        <w:t xml:space="preserve"> </w:t>
      </w:r>
    </w:p>
    <w:p w14:paraId="67DF3E79" w14:textId="0FCF6ED7" w:rsidR="0068383E" w:rsidRPr="007E39E0" w:rsidRDefault="007E39E0" w:rsidP="007E39E0">
      <w:r w:rsidRPr="00FD2B4A">
        <w:t>This is for an individual information collection under the umbrella generic clearan</w:t>
      </w:r>
      <w:r>
        <w:t>ce for pre-testing (0970-0355).</w:t>
      </w:r>
    </w:p>
    <w:p w14:paraId="08700A1E" w14:textId="77777777" w:rsidR="00CB4358" w:rsidRPr="00CB4358" w:rsidRDefault="00CB4358" w:rsidP="00CB4358">
      <w:pPr>
        <w:spacing w:after="0" w:line="240" w:lineRule="auto"/>
        <w:rPr>
          <w:rFonts w:cstheme="minorHAnsi"/>
        </w:rPr>
      </w:pPr>
    </w:p>
    <w:p w14:paraId="2D639BA2" w14:textId="295768A8" w:rsidR="007E39E0" w:rsidRPr="007E39E0" w:rsidRDefault="00B23277" w:rsidP="00DE6DB5">
      <w:pPr>
        <w:spacing w:after="120" w:line="240" w:lineRule="auto"/>
        <w:rPr>
          <w:rFonts w:cstheme="minorHAnsi"/>
        </w:rPr>
      </w:pPr>
      <w:r w:rsidRPr="00624DDC">
        <w:rPr>
          <w:rFonts w:cstheme="minorHAnsi"/>
          <w:b/>
        </w:rPr>
        <w:t>A16</w:t>
      </w:r>
      <w:r>
        <w:rPr>
          <w:rFonts w:cstheme="minorHAnsi"/>
        </w:rPr>
        <w:t>.</w:t>
      </w:r>
      <w:r>
        <w:rPr>
          <w:rFonts w:cstheme="minorHAnsi"/>
        </w:rPr>
        <w:tab/>
      </w:r>
      <w:r w:rsidR="00083227" w:rsidRPr="00CB4358">
        <w:rPr>
          <w:rFonts w:cstheme="minorHAnsi"/>
          <w:b/>
        </w:rPr>
        <w:t>Timeline</w:t>
      </w:r>
    </w:p>
    <w:p w14:paraId="615657F0" w14:textId="29240C7A" w:rsidR="007E39E0" w:rsidRPr="007E39E0" w:rsidRDefault="007E39E0" w:rsidP="007E39E0">
      <w:pPr>
        <w:spacing w:after="0" w:line="240" w:lineRule="auto"/>
        <w:rPr>
          <w:rFonts w:cstheme="minorHAnsi"/>
        </w:rPr>
      </w:pPr>
      <w:r w:rsidRPr="007E39E0">
        <w:rPr>
          <w:rFonts w:cstheme="minorHAnsi"/>
        </w:rPr>
        <w:t xml:space="preserve">The pre-testing </w:t>
      </w:r>
      <w:r w:rsidR="0000750F">
        <w:rPr>
          <w:rFonts w:cstheme="minorHAnsi"/>
        </w:rPr>
        <w:t>expected to</w:t>
      </w:r>
      <w:r w:rsidR="0000750F" w:rsidRPr="007E39E0">
        <w:rPr>
          <w:rFonts w:cstheme="minorHAnsi"/>
        </w:rPr>
        <w:t xml:space="preserve"> </w:t>
      </w:r>
      <w:r w:rsidRPr="007E39E0">
        <w:rPr>
          <w:rFonts w:cstheme="minorHAnsi"/>
        </w:rPr>
        <w:t xml:space="preserve">begin in </w:t>
      </w:r>
      <w:r w:rsidR="003D7182" w:rsidRPr="007E39E0">
        <w:rPr>
          <w:rFonts w:cstheme="minorHAnsi"/>
        </w:rPr>
        <w:t>summer</w:t>
      </w:r>
      <w:r w:rsidRPr="007E39E0">
        <w:rPr>
          <w:rFonts w:cstheme="minorHAnsi"/>
        </w:rPr>
        <w:t xml:space="preserve"> 2019 after obtaining OMB approval and continue </w:t>
      </w:r>
      <w:r w:rsidR="009A06CB">
        <w:t xml:space="preserve">for about </w:t>
      </w:r>
      <w:r w:rsidR="003521FC">
        <w:t>3</w:t>
      </w:r>
      <w:r w:rsidR="000A3746">
        <w:t xml:space="preserve"> </w:t>
      </w:r>
      <w:r w:rsidR="009A06CB">
        <w:t>months</w:t>
      </w:r>
      <w:r w:rsidRPr="007E39E0">
        <w:rPr>
          <w:rFonts w:cstheme="minorHAnsi"/>
        </w:rPr>
        <w:t xml:space="preserve">. Pre-test results </w:t>
      </w:r>
      <w:r w:rsidR="0091107C">
        <w:rPr>
          <w:rFonts w:cstheme="minorHAnsi"/>
        </w:rPr>
        <w:t xml:space="preserve">and proposed revisions to the survey </w:t>
      </w:r>
      <w:r w:rsidRPr="007E39E0">
        <w:rPr>
          <w:rFonts w:cstheme="minorHAnsi"/>
        </w:rPr>
        <w:t xml:space="preserve">will be reported to OPRE in an internal memo </w:t>
      </w:r>
      <w:r w:rsidR="00074131">
        <w:rPr>
          <w:rFonts w:cstheme="minorHAnsi"/>
        </w:rPr>
        <w:t xml:space="preserve">about </w:t>
      </w:r>
      <w:r w:rsidR="000A3746">
        <w:rPr>
          <w:rFonts w:cstheme="minorHAnsi"/>
        </w:rPr>
        <w:t xml:space="preserve">1 </w:t>
      </w:r>
      <w:r w:rsidR="00074131">
        <w:rPr>
          <w:rFonts w:cstheme="minorHAnsi"/>
        </w:rPr>
        <w:t>month after data collection is complete</w:t>
      </w:r>
      <w:r w:rsidRPr="007E39E0">
        <w:rPr>
          <w:rFonts w:cstheme="minorHAnsi"/>
        </w:rPr>
        <w:t>.</w:t>
      </w:r>
      <w:r w:rsidR="00FD4DD8">
        <w:rPr>
          <w:rFonts w:cstheme="minorHAnsi"/>
        </w:rPr>
        <w:t xml:space="preserve"> </w:t>
      </w:r>
      <w:r w:rsidR="00933461">
        <w:rPr>
          <w:rFonts w:cstheme="minorHAnsi"/>
        </w:rPr>
        <w:t>The pre</w:t>
      </w:r>
      <w:r w:rsidR="00060311">
        <w:rPr>
          <w:rFonts w:cstheme="minorHAnsi"/>
        </w:rPr>
        <w:t>-</w:t>
      </w:r>
      <w:r w:rsidR="00933461">
        <w:rPr>
          <w:rFonts w:cstheme="minorHAnsi"/>
        </w:rPr>
        <w:t xml:space="preserve">testing procedures will be documented as part of the main study’s methodological report following the national data collection. </w:t>
      </w:r>
    </w:p>
    <w:p w14:paraId="48FD0E51" w14:textId="56C26FFE" w:rsidR="000D4E9A" w:rsidRDefault="000D4E9A" w:rsidP="00CB4358">
      <w:pPr>
        <w:spacing w:after="0" w:line="240" w:lineRule="auto"/>
        <w:rPr>
          <w:rFonts w:cstheme="minorHAnsi"/>
        </w:rPr>
      </w:pPr>
    </w:p>
    <w:p w14:paraId="7C4F5683" w14:textId="77777777" w:rsidR="00CB4358" w:rsidRPr="00CB4358" w:rsidRDefault="00CB4358" w:rsidP="00CB4358">
      <w:pPr>
        <w:spacing w:after="0" w:line="240" w:lineRule="auto"/>
        <w:rPr>
          <w:rFonts w:cstheme="minorHAnsi"/>
        </w:rPr>
      </w:pPr>
    </w:p>
    <w:p w14:paraId="2F1B2639" w14:textId="0320905F" w:rsidR="00C73360" w:rsidRPr="00B23277" w:rsidRDefault="00B23277" w:rsidP="00CB1F9B">
      <w:pPr>
        <w:spacing w:after="120" w:line="240" w:lineRule="auto"/>
        <w:rPr>
          <w:rFonts w:cstheme="minorHAnsi"/>
        </w:rPr>
      </w:pPr>
      <w:r w:rsidRPr="00624DDC">
        <w:rPr>
          <w:rFonts w:cstheme="minorHAnsi"/>
          <w:b/>
        </w:rPr>
        <w:t>A17</w:t>
      </w:r>
      <w:r>
        <w:rPr>
          <w:rFonts w:cstheme="minorHAnsi"/>
        </w:rPr>
        <w:t>.</w:t>
      </w:r>
      <w:r>
        <w:rPr>
          <w:rFonts w:cstheme="minorHAnsi"/>
        </w:rPr>
        <w:tab/>
      </w:r>
      <w:r w:rsidR="00C73360" w:rsidRPr="00CB4358">
        <w:rPr>
          <w:rFonts w:cstheme="minorHAnsi"/>
          <w:b/>
        </w:rPr>
        <w:t>Exceptions</w:t>
      </w:r>
    </w:p>
    <w:p w14:paraId="1E574BF6" w14:textId="62A548F7" w:rsidR="00083227" w:rsidRDefault="00CB1F9B" w:rsidP="00B13297">
      <w:r w:rsidRPr="00CB1F9B">
        <w:t>No exceptions are necessary for this information collection.</w:t>
      </w:r>
    </w:p>
    <w:p w14:paraId="2C672AD5" w14:textId="77777777" w:rsidR="005651C7" w:rsidRDefault="005651C7" w:rsidP="00306028">
      <w:pPr>
        <w:spacing w:after="0" w:line="240" w:lineRule="auto"/>
        <w:rPr>
          <w:b/>
        </w:rPr>
      </w:pPr>
    </w:p>
    <w:p w14:paraId="503603E8" w14:textId="6496993A" w:rsidR="00306028" w:rsidRDefault="00306028" w:rsidP="00306028">
      <w:pPr>
        <w:spacing w:after="0" w:line="240" w:lineRule="auto"/>
        <w:rPr>
          <w:b/>
        </w:rPr>
      </w:pPr>
      <w:r>
        <w:rPr>
          <w:b/>
        </w:rPr>
        <w:t>Attachments</w:t>
      </w:r>
    </w:p>
    <w:p w14:paraId="61D7BC7E" w14:textId="77777777" w:rsidR="005651C7" w:rsidRDefault="005651C7" w:rsidP="00306028">
      <w:pPr>
        <w:spacing w:after="0" w:line="240" w:lineRule="auto"/>
        <w:rPr>
          <w:b/>
        </w:rPr>
      </w:pPr>
    </w:p>
    <w:p w14:paraId="3753BB96" w14:textId="77777777" w:rsidR="00167DF0" w:rsidRPr="00366B11" w:rsidRDefault="00167DF0" w:rsidP="00167DF0">
      <w:r>
        <w:t xml:space="preserve">Attachment A: </w:t>
      </w:r>
      <w:r w:rsidRPr="00366B11">
        <w:t>Sources Used in the Development of the Parent and Youth Surveys</w:t>
      </w:r>
    </w:p>
    <w:p w14:paraId="149E4C8A" w14:textId="37B94DC5" w:rsidR="007E39E0" w:rsidRDefault="00D75E28" w:rsidP="00B13297">
      <w:r>
        <w:t>Attachment B</w:t>
      </w:r>
      <w:r w:rsidR="007E39E0">
        <w:t>: Consent and Assent Forms</w:t>
      </w:r>
    </w:p>
    <w:p w14:paraId="329ABF3F" w14:textId="262E2859" w:rsidR="003521FC" w:rsidRDefault="003521FC" w:rsidP="00D75E28">
      <w:bookmarkStart w:id="13" w:name="_30j0zll"/>
      <w:bookmarkEnd w:id="13"/>
      <w:r>
        <w:t>Instrument 1: Parent Pre-Test Protocol-</w:t>
      </w:r>
      <w:r w:rsidRPr="003521FC">
        <w:t xml:space="preserve"> Survey and Debrief Topic Guide</w:t>
      </w:r>
    </w:p>
    <w:p w14:paraId="4602F129" w14:textId="21ACF6D8" w:rsidR="003521FC" w:rsidRPr="003521FC" w:rsidRDefault="003521FC" w:rsidP="003521FC">
      <w:r w:rsidRPr="003521FC">
        <w:t xml:space="preserve">Instrument </w:t>
      </w:r>
      <w:r>
        <w:t>2</w:t>
      </w:r>
      <w:r w:rsidRPr="003521FC">
        <w:t xml:space="preserve">: </w:t>
      </w:r>
      <w:r w:rsidR="006D4EFA">
        <w:t>Part 1 Youth</w:t>
      </w:r>
      <w:r w:rsidRPr="003521FC">
        <w:t xml:space="preserve"> Pre-Test Protocol- Survey and Debrief Topic Guide</w:t>
      </w:r>
    </w:p>
    <w:p w14:paraId="7B97F53B" w14:textId="57592A65" w:rsidR="003521FC" w:rsidRPr="003521FC" w:rsidRDefault="003521FC" w:rsidP="003521FC">
      <w:r w:rsidRPr="003521FC">
        <w:t xml:space="preserve">Instrument </w:t>
      </w:r>
      <w:r>
        <w:t>3</w:t>
      </w:r>
      <w:r w:rsidRPr="003521FC">
        <w:t xml:space="preserve">: </w:t>
      </w:r>
      <w:r w:rsidR="006D4EFA">
        <w:t>Part 2 Youth</w:t>
      </w:r>
      <w:r w:rsidRPr="003521FC">
        <w:t xml:space="preserve"> Pre-Test Protocol- Survey and Debrief Topic Guide</w:t>
      </w:r>
    </w:p>
    <w:p w14:paraId="6DFDB83A" w14:textId="70EFE231" w:rsidR="003521FC" w:rsidRPr="003521FC" w:rsidRDefault="003521FC" w:rsidP="003521FC">
      <w:r w:rsidRPr="003521FC">
        <w:t xml:space="preserve">Instrument </w:t>
      </w:r>
      <w:r>
        <w:t>4</w:t>
      </w:r>
      <w:r w:rsidRPr="003521FC">
        <w:t xml:space="preserve">: </w:t>
      </w:r>
      <w:r>
        <w:t>Young Adult</w:t>
      </w:r>
      <w:r w:rsidRPr="003521FC">
        <w:t xml:space="preserve"> Pre-Test Protocol- Survey and Debrief Topic Guide</w:t>
      </w:r>
    </w:p>
    <w:p w14:paraId="2A94A315" w14:textId="77777777" w:rsidR="003521FC" w:rsidRDefault="003521FC" w:rsidP="00D75E28"/>
    <w:p w14:paraId="36025CD7" w14:textId="77777777" w:rsidR="003521FC" w:rsidRDefault="003521FC" w:rsidP="00D75E28"/>
    <w:sectPr w:rsidR="003521FC" w:rsidSect="00F34774">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D17F5" w14:textId="77777777" w:rsidR="00B7250C" w:rsidRDefault="00B7250C" w:rsidP="0004063C">
      <w:pPr>
        <w:spacing w:after="0" w:line="240" w:lineRule="auto"/>
      </w:pPr>
      <w:r>
        <w:separator/>
      </w:r>
    </w:p>
  </w:endnote>
  <w:endnote w:type="continuationSeparator" w:id="0">
    <w:p w14:paraId="2E8C958E" w14:textId="77777777" w:rsidR="00B7250C" w:rsidRDefault="00B7250C" w:rsidP="0004063C">
      <w:pPr>
        <w:spacing w:after="0" w:line="240" w:lineRule="auto"/>
      </w:pPr>
      <w:r>
        <w:continuationSeparator/>
      </w:r>
    </w:p>
  </w:endnote>
  <w:endnote w:type="continuationNotice" w:id="1">
    <w:p w14:paraId="08A8A2D3" w14:textId="77777777" w:rsidR="00B7250C" w:rsidRDefault="00B72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DA232" w14:textId="29C5A52D" w:rsidR="00472C7F" w:rsidRDefault="00472C7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rFonts w:ascii="Calibri" w:eastAsia="Calibri" w:hAnsi="Calibri" w:cs="Calibri"/>
        <w:color w:val="000000"/>
      </w:rPr>
      <w:instrText>PAGE</w:instrText>
    </w:r>
    <w:r>
      <w:rPr>
        <w:color w:val="000000"/>
      </w:rPr>
      <w:fldChar w:fldCharType="separate"/>
    </w:r>
    <w:r w:rsidR="00804AB6">
      <w:rPr>
        <w:rFonts w:ascii="Calibri" w:eastAsia="Calibri" w:hAnsi="Calibri" w:cs="Calibri"/>
        <w:noProof/>
        <w:color w:val="000000"/>
      </w:rPr>
      <w:t>1</w:t>
    </w:r>
    <w:r>
      <w:rPr>
        <w:color w:val="000000"/>
      </w:rPr>
      <w:fldChar w:fldCharType="end"/>
    </w:r>
  </w:p>
  <w:p w14:paraId="04723F22" w14:textId="77777777" w:rsidR="00472C7F" w:rsidRPr="008A7AB2" w:rsidRDefault="00472C7F" w:rsidP="008A7AB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02120" w14:textId="77777777" w:rsidR="00B7250C" w:rsidRDefault="00B7250C" w:rsidP="0004063C">
      <w:pPr>
        <w:spacing w:after="0" w:line="240" w:lineRule="auto"/>
      </w:pPr>
      <w:r>
        <w:separator/>
      </w:r>
    </w:p>
  </w:footnote>
  <w:footnote w:type="continuationSeparator" w:id="0">
    <w:p w14:paraId="4C14E486" w14:textId="77777777" w:rsidR="00B7250C" w:rsidRDefault="00B7250C" w:rsidP="0004063C">
      <w:pPr>
        <w:spacing w:after="0" w:line="240" w:lineRule="auto"/>
      </w:pPr>
      <w:r>
        <w:continuationSeparator/>
      </w:r>
    </w:p>
  </w:footnote>
  <w:footnote w:type="continuationNotice" w:id="1">
    <w:p w14:paraId="213CB66D" w14:textId="77777777" w:rsidR="00B7250C" w:rsidRDefault="00B7250C">
      <w:pPr>
        <w:spacing w:after="0" w:line="240" w:lineRule="auto"/>
      </w:pPr>
    </w:p>
  </w:footnote>
  <w:footnote w:id="2">
    <w:p w14:paraId="32DA988E" w14:textId="77777777" w:rsidR="00472C7F" w:rsidRPr="008A7AB2" w:rsidRDefault="00472C7F" w:rsidP="008A7AB2">
      <w:pPr>
        <w:pBdr>
          <w:top w:val="nil"/>
          <w:left w:val="nil"/>
          <w:bottom w:val="nil"/>
          <w:right w:val="nil"/>
          <w:between w:val="nil"/>
        </w:pBdr>
        <w:spacing w:line="240" w:lineRule="auto"/>
        <w:rPr>
          <w:color w:val="000000"/>
          <w:sz w:val="20"/>
        </w:rPr>
      </w:pPr>
      <w:r>
        <w:rPr>
          <w:rStyle w:val="FootnoteReference"/>
        </w:rPr>
        <w:footnoteRef/>
      </w:r>
      <w:r w:rsidRPr="008A7AB2">
        <w:rPr>
          <w:color w:val="000000"/>
          <w:sz w:val="20"/>
        </w:rPr>
        <w:t xml:space="preserve"> Martin, J. A., Hamilton, B. E., Osterman, M. J. K., Driscoll, A. K., &amp; Matthews, T. J. (2017). Births: Final data for 2015. </w:t>
      </w:r>
      <w:r w:rsidRPr="008A7AB2">
        <w:rPr>
          <w:i/>
          <w:color w:val="000000"/>
          <w:sz w:val="20"/>
        </w:rPr>
        <w:t>National Vital Statistics Report, 66</w:t>
      </w:r>
      <w:r w:rsidRPr="008A7AB2">
        <w:rPr>
          <w:color w:val="000000"/>
          <w:sz w:val="20"/>
        </w:rPr>
        <w:t>(1).</w:t>
      </w:r>
    </w:p>
  </w:footnote>
  <w:footnote w:id="3">
    <w:p w14:paraId="071B6139" w14:textId="77777777" w:rsidR="00472C7F" w:rsidRPr="008A7AB2" w:rsidRDefault="00472C7F" w:rsidP="008A7AB2">
      <w:pPr>
        <w:pBdr>
          <w:top w:val="nil"/>
          <w:left w:val="nil"/>
          <w:bottom w:val="nil"/>
          <w:right w:val="nil"/>
          <w:between w:val="nil"/>
        </w:pBdr>
        <w:spacing w:after="0" w:line="240" w:lineRule="auto"/>
        <w:rPr>
          <w:color w:val="000000"/>
          <w:sz w:val="20"/>
        </w:rPr>
      </w:pPr>
      <w:r>
        <w:rPr>
          <w:rStyle w:val="FootnoteReference"/>
        </w:rPr>
        <w:footnoteRef/>
      </w:r>
      <w:r w:rsidRPr="008A7AB2">
        <w:rPr>
          <w:color w:val="000000"/>
          <w:sz w:val="20"/>
        </w:rPr>
        <w:t xml:space="preserve"> Centers for Disease Control and Prevention. (2017). </w:t>
      </w:r>
      <w:r w:rsidRPr="008A7AB2">
        <w:rPr>
          <w:i/>
          <w:color w:val="000000"/>
          <w:sz w:val="20"/>
        </w:rPr>
        <w:t>Sexually transmitted disease surveillance 2016.</w:t>
      </w:r>
      <w:r w:rsidRPr="008A7AB2">
        <w:rPr>
          <w:color w:val="000000"/>
          <w:sz w:val="20"/>
        </w:rPr>
        <w:t xml:space="preserve"> Atlanta, GA: U.S. Department of Health and Human Services.</w:t>
      </w:r>
    </w:p>
  </w:footnote>
  <w:footnote w:id="4">
    <w:p w14:paraId="4F110D3D" w14:textId="4F31D901" w:rsidR="00472C7F" w:rsidRPr="00017E7C" w:rsidRDefault="00472C7F" w:rsidP="008A7AB2">
      <w:pPr>
        <w:pBdr>
          <w:top w:val="nil"/>
          <w:left w:val="nil"/>
          <w:bottom w:val="nil"/>
          <w:right w:val="nil"/>
          <w:between w:val="nil"/>
        </w:pBdr>
        <w:spacing w:after="0" w:line="240" w:lineRule="auto"/>
        <w:rPr>
          <w:color w:val="000000"/>
          <w:sz w:val="20"/>
        </w:rPr>
      </w:pPr>
      <w:r w:rsidRPr="00D82755">
        <w:rPr>
          <w:rStyle w:val="FootnoteReference"/>
        </w:rPr>
        <w:footnoteRef/>
      </w:r>
      <w:r w:rsidRPr="00017E7C">
        <w:rPr>
          <w:color w:val="000000"/>
          <w:sz w:val="20"/>
        </w:rPr>
        <w:t xml:space="preserve"> Examples of sensitive topics include (but </w:t>
      </w:r>
      <w:r w:rsidR="008E5981">
        <w:rPr>
          <w:color w:val="000000"/>
          <w:sz w:val="20"/>
        </w:rPr>
        <w:t xml:space="preserve">are </w:t>
      </w:r>
      <w:r w:rsidRPr="00017E7C">
        <w:rPr>
          <w:color w:val="000000"/>
          <w:sz w:val="20"/>
        </w:rPr>
        <w:t>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5">
    <w:p w14:paraId="233AD926" w14:textId="77777777" w:rsidR="00472C7F" w:rsidRPr="001B5085" w:rsidRDefault="00472C7F" w:rsidP="008A7AB2">
      <w:pPr>
        <w:pBdr>
          <w:top w:val="nil"/>
          <w:left w:val="nil"/>
          <w:bottom w:val="nil"/>
          <w:right w:val="nil"/>
          <w:between w:val="nil"/>
        </w:pBdr>
        <w:spacing w:after="0" w:line="240" w:lineRule="auto"/>
        <w:rPr>
          <w:color w:val="000000"/>
          <w:sz w:val="20"/>
        </w:rPr>
      </w:pPr>
      <w:r>
        <w:rPr>
          <w:rStyle w:val="FootnoteReference"/>
        </w:rPr>
        <w:footnoteRef/>
      </w:r>
      <w:r w:rsidRPr="001B5085">
        <w:rPr>
          <w:color w:val="000000"/>
          <w:sz w:val="20"/>
        </w:rPr>
        <w:t xml:space="preserve"> Vesely, S. K., Wyatt, V. H., Oman, R. F., Aspy, C. B., Kegler, M. C., Rodine, S., Marshall, L., &amp; McLeroy,  K.R. (2004). The potential protective effects of youth assets from adolescent sexual risk behaviors. </w:t>
      </w:r>
      <w:r w:rsidRPr="001B5085">
        <w:rPr>
          <w:i/>
          <w:color w:val="000000"/>
          <w:sz w:val="20"/>
        </w:rPr>
        <w:t>Journal of Adolescent Health, 34</w:t>
      </w:r>
      <w:r w:rsidRPr="001B5085">
        <w:rPr>
          <w:color w:val="000000"/>
          <w:sz w:val="20"/>
        </w:rPr>
        <w:t>(5), 356–365.</w:t>
      </w:r>
    </w:p>
    <w:p w14:paraId="23A93F74" w14:textId="77777777" w:rsidR="00472C7F" w:rsidRPr="001B5085" w:rsidRDefault="00472C7F" w:rsidP="008A7AB2">
      <w:pPr>
        <w:pBdr>
          <w:top w:val="nil"/>
          <w:left w:val="nil"/>
          <w:bottom w:val="nil"/>
          <w:right w:val="nil"/>
          <w:between w:val="nil"/>
        </w:pBdr>
        <w:spacing w:after="0" w:line="240" w:lineRule="auto"/>
        <w:rPr>
          <w:color w:val="000000"/>
          <w:sz w:val="20"/>
        </w:rPr>
      </w:pPr>
      <w:r w:rsidRPr="001B5085">
        <w:rPr>
          <w:color w:val="000000"/>
          <w:sz w:val="20"/>
        </w:rPr>
        <w:t>Sinha, J. W., Cnaan, R. A., &amp; Gelles, R. J. (2007). Adolescent risk behaviors and religion: Findings from a national study. </w:t>
      </w:r>
      <w:r w:rsidRPr="001B5085">
        <w:rPr>
          <w:i/>
          <w:color w:val="000000"/>
          <w:sz w:val="20"/>
        </w:rPr>
        <w:t>Journal of Adolescence, 30</w:t>
      </w:r>
      <w:r w:rsidRPr="001B5085">
        <w:rPr>
          <w:color w:val="000000"/>
          <w:sz w:val="20"/>
        </w:rPr>
        <w:t>(2), 231–249.</w:t>
      </w:r>
    </w:p>
    <w:p w14:paraId="2EF404E8" w14:textId="77777777" w:rsidR="00472C7F" w:rsidRPr="001B5085" w:rsidRDefault="00472C7F" w:rsidP="008A7AB2">
      <w:pPr>
        <w:pBdr>
          <w:top w:val="nil"/>
          <w:left w:val="nil"/>
          <w:bottom w:val="nil"/>
          <w:right w:val="nil"/>
          <w:between w:val="nil"/>
        </w:pBdr>
        <w:spacing w:after="0" w:line="240" w:lineRule="auto"/>
        <w:rPr>
          <w:color w:val="000000"/>
          <w:sz w:val="20"/>
        </w:rPr>
      </w:pPr>
    </w:p>
  </w:footnote>
  <w:footnote w:id="6">
    <w:p w14:paraId="626D01DC" w14:textId="77777777" w:rsidR="00472C7F" w:rsidRPr="00F847EB" w:rsidRDefault="00472C7F" w:rsidP="008A7AB2">
      <w:pPr>
        <w:pBdr>
          <w:top w:val="nil"/>
          <w:left w:val="nil"/>
          <w:bottom w:val="nil"/>
          <w:right w:val="nil"/>
          <w:between w:val="nil"/>
        </w:pBdr>
        <w:spacing w:after="0" w:line="240" w:lineRule="auto"/>
        <w:rPr>
          <w:color w:val="000000"/>
          <w:sz w:val="20"/>
        </w:rPr>
      </w:pPr>
      <w:r>
        <w:rPr>
          <w:rStyle w:val="FootnoteReference"/>
        </w:rPr>
        <w:footnoteRef/>
      </w:r>
      <w:r w:rsidRPr="00F847EB">
        <w:rPr>
          <w:color w:val="000000"/>
          <w:sz w:val="20"/>
        </w:rPr>
        <w:t xml:space="preserve"> Buhi, E. R., &amp; Goodson, P. (2007). Predictors of adolescent sexual behavior and intention: A theory-guided systematic review. </w:t>
      </w:r>
      <w:r w:rsidRPr="00F847EB">
        <w:rPr>
          <w:i/>
          <w:color w:val="000000"/>
          <w:sz w:val="20"/>
        </w:rPr>
        <w:t>Journal of Adolescent Health, 40</w:t>
      </w:r>
      <w:r w:rsidRPr="00F847EB">
        <w:rPr>
          <w:color w:val="000000"/>
          <w:sz w:val="20"/>
        </w:rPr>
        <w:t>(1), 4–21.</w:t>
      </w:r>
    </w:p>
  </w:footnote>
  <w:footnote w:id="7">
    <w:p w14:paraId="715144C7" w14:textId="7384B0EA" w:rsidR="00472C7F" w:rsidRDefault="00472C7F">
      <w:pPr>
        <w:pStyle w:val="FootnoteText"/>
      </w:pPr>
      <w:r>
        <w:rPr>
          <w:rStyle w:val="FootnoteReference"/>
        </w:rPr>
        <w:footnoteRef/>
      </w:r>
      <w:r>
        <w:t xml:space="preserve"> Annualized over the three-year period of the umbrella generic.</w:t>
      </w:r>
    </w:p>
  </w:footnote>
  <w:footnote w:id="8">
    <w:p w14:paraId="4DF49C65" w14:textId="387F819C" w:rsidR="00472C7F" w:rsidRPr="0000750F" w:rsidRDefault="00472C7F" w:rsidP="008A7AB2">
      <w:pPr>
        <w:pBdr>
          <w:top w:val="nil"/>
          <w:left w:val="nil"/>
          <w:bottom w:val="nil"/>
          <w:right w:val="nil"/>
          <w:between w:val="nil"/>
        </w:pBdr>
        <w:spacing w:after="0" w:line="240" w:lineRule="auto"/>
        <w:rPr>
          <w:color w:val="000000"/>
          <w:sz w:val="20"/>
        </w:rPr>
      </w:pPr>
      <w:r>
        <w:rPr>
          <w:rStyle w:val="FootnoteReference"/>
        </w:rPr>
        <w:footnoteRef/>
      </w:r>
      <w:r w:rsidRPr="0000750F">
        <w:rPr>
          <w:color w:val="000000"/>
          <w:sz w:val="20"/>
        </w:rPr>
        <w:t xml:space="preserve"> The average hourly wage for parents and young adults is the “All Occupations” wage from the May 2018 Bureau of Labor Statistics </w:t>
      </w:r>
      <w:hyperlink r:id="rId1" w:anchor="00-0000">
        <w:r>
          <w:rPr>
            <w:rFonts w:ascii="Calibri" w:eastAsia="Calibri" w:hAnsi="Calibri" w:cs="Calibri"/>
            <w:color w:val="0000FF"/>
            <w:sz w:val="20"/>
            <w:szCs w:val="20"/>
            <w:u w:val="single"/>
          </w:rPr>
          <w:t>https://www.bls.gov/oes/current/oes_nat.htm#00-0000</w:t>
        </w:r>
      </w:hyperlink>
      <w:r>
        <w:rPr>
          <w:rFonts w:ascii="Calibri" w:eastAsia="Calibri" w:hAnsi="Calibri" w:cs="Calibri"/>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0524A" w14:textId="77777777" w:rsidR="00472C7F" w:rsidRPr="000D7D44" w:rsidRDefault="00472C7F" w:rsidP="0054255A">
    <w:pPr>
      <w:spacing w:after="0" w:line="240" w:lineRule="auto"/>
      <w:jc w:val="center"/>
      <w:rPr>
        <w:b/>
      </w:rPr>
    </w:pPr>
    <w:r>
      <w:rPr>
        <w:b/>
      </w:rPr>
      <w:t xml:space="preserve">Alternative </w:t>
    </w:r>
    <w:r w:rsidRPr="000D7D44">
      <w:rPr>
        <w:b/>
      </w:rPr>
      <w:t xml:space="preserve">Supporting Statement Instructions for Information Collections Designed for </w:t>
    </w:r>
  </w:p>
  <w:p w14:paraId="5FEB8BF9" w14:textId="2CC18B12" w:rsidR="00472C7F" w:rsidRPr="008A7AB2" w:rsidRDefault="00472C7F" w:rsidP="008A7AB2">
    <w:pPr>
      <w:pBdr>
        <w:top w:val="nil"/>
        <w:left w:val="nil"/>
        <w:bottom w:val="nil"/>
        <w:right w:val="nil"/>
        <w:between w:val="nil"/>
      </w:pBdr>
      <w:tabs>
        <w:tab w:val="center" w:pos="4680"/>
        <w:tab w:val="right" w:pos="9360"/>
      </w:tabs>
      <w:spacing w:after="0" w:line="240" w:lineRule="auto"/>
      <w:jc w:val="center"/>
      <w:rPr>
        <w:color w:val="000000"/>
      </w:rPr>
    </w:pPr>
    <w:r w:rsidRPr="008A7AB2">
      <w:rPr>
        <w:b/>
        <w:color w:val="000000"/>
      </w:rPr>
      <w:t>Research, Public Health Surveillance, and Program Evaluation Purposes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892DF2"/>
    <w:multiLevelType w:val="multilevel"/>
    <w:tmpl w:val="B516A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D0DA4"/>
    <w:multiLevelType w:val="hybridMultilevel"/>
    <w:tmpl w:val="6094A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2">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5">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EB5F90"/>
    <w:multiLevelType w:val="hybridMultilevel"/>
    <w:tmpl w:val="A09AD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A87EA9"/>
    <w:multiLevelType w:val="multilevel"/>
    <w:tmpl w:val="EF704D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5"/>
  </w:num>
  <w:num w:numId="4">
    <w:abstractNumId w:val="31"/>
  </w:num>
  <w:num w:numId="5">
    <w:abstractNumId w:val="21"/>
  </w:num>
  <w:num w:numId="6">
    <w:abstractNumId w:val="41"/>
  </w:num>
  <w:num w:numId="7">
    <w:abstractNumId w:val="4"/>
  </w:num>
  <w:num w:numId="8">
    <w:abstractNumId w:val="12"/>
  </w:num>
  <w:num w:numId="9">
    <w:abstractNumId w:val="20"/>
  </w:num>
  <w:num w:numId="10">
    <w:abstractNumId w:val="39"/>
  </w:num>
  <w:num w:numId="11">
    <w:abstractNumId w:val="44"/>
  </w:num>
  <w:num w:numId="12">
    <w:abstractNumId w:val="35"/>
  </w:num>
  <w:num w:numId="13">
    <w:abstractNumId w:val="30"/>
  </w:num>
  <w:num w:numId="14">
    <w:abstractNumId w:val="37"/>
  </w:num>
  <w:num w:numId="15">
    <w:abstractNumId w:val="23"/>
  </w:num>
  <w:num w:numId="16">
    <w:abstractNumId w:val="29"/>
  </w:num>
  <w:num w:numId="17">
    <w:abstractNumId w:val="19"/>
  </w:num>
  <w:num w:numId="18">
    <w:abstractNumId w:val="9"/>
  </w:num>
  <w:num w:numId="19">
    <w:abstractNumId w:val="8"/>
  </w:num>
  <w:num w:numId="20">
    <w:abstractNumId w:val="28"/>
  </w:num>
  <w:num w:numId="21">
    <w:abstractNumId w:val="0"/>
  </w:num>
  <w:num w:numId="22">
    <w:abstractNumId w:val="1"/>
  </w:num>
  <w:num w:numId="23">
    <w:abstractNumId w:val="24"/>
  </w:num>
  <w:num w:numId="24">
    <w:abstractNumId w:val="2"/>
  </w:num>
  <w:num w:numId="25">
    <w:abstractNumId w:val="14"/>
  </w:num>
  <w:num w:numId="26">
    <w:abstractNumId w:val="42"/>
  </w:num>
  <w:num w:numId="27">
    <w:abstractNumId w:val="36"/>
  </w:num>
  <w:num w:numId="28">
    <w:abstractNumId w:val="16"/>
  </w:num>
  <w:num w:numId="29">
    <w:abstractNumId w:val="15"/>
  </w:num>
  <w:num w:numId="30">
    <w:abstractNumId w:val="3"/>
  </w:num>
  <w:num w:numId="31">
    <w:abstractNumId w:val="11"/>
  </w:num>
  <w:num w:numId="32">
    <w:abstractNumId w:val="25"/>
  </w:num>
  <w:num w:numId="33">
    <w:abstractNumId w:val="32"/>
  </w:num>
  <w:num w:numId="34">
    <w:abstractNumId w:val="13"/>
  </w:num>
  <w:num w:numId="35">
    <w:abstractNumId w:val="22"/>
  </w:num>
  <w:num w:numId="36">
    <w:abstractNumId w:val="17"/>
  </w:num>
  <w:num w:numId="37">
    <w:abstractNumId w:val="33"/>
  </w:num>
  <w:num w:numId="38">
    <w:abstractNumId w:val="26"/>
  </w:num>
  <w:num w:numId="39">
    <w:abstractNumId w:val="7"/>
  </w:num>
  <w:num w:numId="40">
    <w:abstractNumId w:val="40"/>
  </w:num>
  <w:num w:numId="41">
    <w:abstractNumId w:val="34"/>
  </w:num>
  <w:num w:numId="42">
    <w:abstractNumId w:val="38"/>
  </w:num>
  <w:num w:numId="43">
    <w:abstractNumId w:val="43"/>
  </w:num>
  <w:num w:numId="44">
    <w:abstractNumId w:val="10"/>
  </w:num>
  <w:num w:numId="4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89"/>
    <w:rsid w:val="0000750F"/>
    <w:rsid w:val="00011457"/>
    <w:rsid w:val="0001255D"/>
    <w:rsid w:val="00017E7C"/>
    <w:rsid w:val="00026192"/>
    <w:rsid w:val="00027E79"/>
    <w:rsid w:val="0004063C"/>
    <w:rsid w:val="0004247F"/>
    <w:rsid w:val="00042DF1"/>
    <w:rsid w:val="000454E4"/>
    <w:rsid w:val="00060311"/>
    <w:rsid w:val="00060B30"/>
    <w:rsid w:val="00060C59"/>
    <w:rsid w:val="00062AFB"/>
    <w:rsid w:val="000655DD"/>
    <w:rsid w:val="00071F79"/>
    <w:rsid w:val="0007251B"/>
    <w:rsid w:val="000733A5"/>
    <w:rsid w:val="00074131"/>
    <w:rsid w:val="00082C5B"/>
    <w:rsid w:val="00083227"/>
    <w:rsid w:val="00086CBE"/>
    <w:rsid w:val="00090812"/>
    <w:rsid w:val="000921F0"/>
    <w:rsid w:val="000A012A"/>
    <w:rsid w:val="000A249F"/>
    <w:rsid w:val="000A3746"/>
    <w:rsid w:val="000A4789"/>
    <w:rsid w:val="000B137A"/>
    <w:rsid w:val="000C027D"/>
    <w:rsid w:val="000C4F66"/>
    <w:rsid w:val="000D1B29"/>
    <w:rsid w:val="000D4E9A"/>
    <w:rsid w:val="000D7D44"/>
    <w:rsid w:val="000E72A3"/>
    <w:rsid w:val="000F1E4A"/>
    <w:rsid w:val="00100D34"/>
    <w:rsid w:val="00103EFD"/>
    <w:rsid w:val="00107D87"/>
    <w:rsid w:val="001253F4"/>
    <w:rsid w:val="00132AC3"/>
    <w:rsid w:val="001335AA"/>
    <w:rsid w:val="00134EAE"/>
    <w:rsid w:val="001350DE"/>
    <w:rsid w:val="001447F4"/>
    <w:rsid w:val="0015533B"/>
    <w:rsid w:val="00157482"/>
    <w:rsid w:val="001609B9"/>
    <w:rsid w:val="00167DF0"/>
    <w:rsid w:val="001707D8"/>
    <w:rsid w:val="00175694"/>
    <w:rsid w:val="00185E31"/>
    <w:rsid w:val="001A38FD"/>
    <w:rsid w:val="001A7365"/>
    <w:rsid w:val="001B0A76"/>
    <w:rsid w:val="001B5085"/>
    <w:rsid w:val="001B6E1A"/>
    <w:rsid w:val="001C656D"/>
    <w:rsid w:val="001D7761"/>
    <w:rsid w:val="001F0446"/>
    <w:rsid w:val="001F57F5"/>
    <w:rsid w:val="00201D09"/>
    <w:rsid w:val="00202C48"/>
    <w:rsid w:val="0020401C"/>
    <w:rsid w:val="0020629A"/>
    <w:rsid w:val="00206E11"/>
    <w:rsid w:val="00206FE3"/>
    <w:rsid w:val="00207219"/>
    <w:rsid w:val="00207554"/>
    <w:rsid w:val="00211261"/>
    <w:rsid w:val="00220DAD"/>
    <w:rsid w:val="00230CAA"/>
    <w:rsid w:val="0024347F"/>
    <w:rsid w:val="002517BB"/>
    <w:rsid w:val="002560D7"/>
    <w:rsid w:val="00256E24"/>
    <w:rsid w:val="00257FE0"/>
    <w:rsid w:val="00265491"/>
    <w:rsid w:val="00266FF5"/>
    <w:rsid w:val="00276CE2"/>
    <w:rsid w:val="00286A16"/>
    <w:rsid w:val="00287AF1"/>
    <w:rsid w:val="002A41C6"/>
    <w:rsid w:val="002B5DBE"/>
    <w:rsid w:val="002B6E62"/>
    <w:rsid w:val="002B785B"/>
    <w:rsid w:val="002D1F4F"/>
    <w:rsid w:val="002E6CCF"/>
    <w:rsid w:val="002F0DD4"/>
    <w:rsid w:val="002F24D9"/>
    <w:rsid w:val="002F33D0"/>
    <w:rsid w:val="002F4F4F"/>
    <w:rsid w:val="002F7BD5"/>
    <w:rsid w:val="00300722"/>
    <w:rsid w:val="0030316D"/>
    <w:rsid w:val="00306028"/>
    <w:rsid w:val="00322E13"/>
    <w:rsid w:val="003521FC"/>
    <w:rsid w:val="003664F6"/>
    <w:rsid w:val="00366B11"/>
    <w:rsid w:val="00373D2F"/>
    <w:rsid w:val="00384A36"/>
    <w:rsid w:val="00386496"/>
    <w:rsid w:val="003A7774"/>
    <w:rsid w:val="003B11CE"/>
    <w:rsid w:val="003C7358"/>
    <w:rsid w:val="003C780F"/>
    <w:rsid w:val="003D0A32"/>
    <w:rsid w:val="003D7182"/>
    <w:rsid w:val="003E110F"/>
    <w:rsid w:val="003E61F6"/>
    <w:rsid w:val="003F4F4F"/>
    <w:rsid w:val="00401D0C"/>
    <w:rsid w:val="004064D1"/>
    <w:rsid w:val="00407537"/>
    <w:rsid w:val="00414DAB"/>
    <w:rsid w:val="004165BD"/>
    <w:rsid w:val="00417C8B"/>
    <w:rsid w:val="0042220D"/>
    <w:rsid w:val="00431327"/>
    <w:rsid w:val="004328A4"/>
    <w:rsid w:val="00432FE9"/>
    <w:rsid w:val="0043377A"/>
    <w:rsid w:val="004379B6"/>
    <w:rsid w:val="0044428E"/>
    <w:rsid w:val="00446465"/>
    <w:rsid w:val="004468AF"/>
    <w:rsid w:val="00450E13"/>
    <w:rsid w:val="00454CD3"/>
    <w:rsid w:val="004568D0"/>
    <w:rsid w:val="00460D54"/>
    <w:rsid w:val="00461D3E"/>
    <w:rsid w:val="004706CC"/>
    <w:rsid w:val="00470E1D"/>
    <w:rsid w:val="00472C7F"/>
    <w:rsid w:val="004B4839"/>
    <w:rsid w:val="004B75AC"/>
    <w:rsid w:val="004C219D"/>
    <w:rsid w:val="004C3644"/>
    <w:rsid w:val="004D0362"/>
    <w:rsid w:val="004D12DD"/>
    <w:rsid w:val="004D3366"/>
    <w:rsid w:val="004D3428"/>
    <w:rsid w:val="004D3E1B"/>
    <w:rsid w:val="004E5778"/>
    <w:rsid w:val="004E7ED8"/>
    <w:rsid w:val="0050376D"/>
    <w:rsid w:val="00512C25"/>
    <w:rsid w:val="0052240A"/>
    <w:rsid w:val="00526325"/>
    <w:rsid w:val="005302CB"/>
    <w:rsid w:val="0054255A"/>
    <w:rsid w:val="0055434C"/>
    <w:rsid w:val="005651C7"/>
    <w:rsid w:val="00567F00"/>
    <w:rsid w:val="00574847"/>
    <w:rsid w:val="00577243"/>
    <w:rsid w:val="00591283"/>
    <w:rsid w:val="00594223"/>
    <w:rsid w:val="005A61CE"/>
    <w:rsid w:val="005A7E5A"/>
    <w:rsid w:val="005B1285"/>
    <w:rsid w:val="005B1410"/>
    <w:rsid w:val="005B5FCC"/>
    <w:rsid w:val="005C5838"/>
    <w:rsid w:val="005C5F4D"/>
    <w:rsid w:val="005D4A40"/>
    <w:rsid w:val="005E3F36"/>
    <w:rsid w:val="005E493B"/>
    <w:rsid w:val="005F066E"/>
    <w:rsid w:val="005F2951"/>
    <w:rsid w:val="00610826"/>
    <w:rsid w:val="006168EA"/>
    <w:rsid w:val="00621FD3"/>
    <w:rsid w:val="00624DDC"/>
    <w:rsid w:val="006253B6"/>
    <w:rsid w:val="006257ED"/>
    <w:rsid w:val="0062686E"/>
    <w:rsid w:val="00630B30"/>
    <w:rsid w:val="00651AE5"/>
    <w:rsid w:val="00651FF6"/>
    <w:rsid w:val="006524C9"/>
    <w:rsid w:val="00656576"/>
    <w:rsid w:val="0066719C"/>
    <w:rsid w:val="0068303E"/>
    <w:rsid w:val="0068383E"/>
    <w:rsid w:val="00693995"/>
    <w:rsid w:val="00694962"/>
    <w:rsid w:val="006A2B00"/>
    <w:rsid w:val="006A4D02"/>
    <w:rsid w:val="006B1BF9"/>
    <w:rsid w:val="006B2EF4"/>
    <w:rsid w:val="006B31DA"/>
    <w:rsid w:val="006B53F1"/>
    <w:rsid w:val="006B6037"/>
    <w:rsid w:val="006C0E56"/>
    <w:rsid w:val="006D1F8A"/>
    <w:rsid w:val="006D4EFA"/>
    <w:rsid w:val="006E4F82"/>
    <w:rsid w:val="006E7EA2"/>
    <w:rsid w:val="00707938"/>
    <w:rsid w:val="00712B95"/>
    <w:rsid w:val="00717BDC"/>
    <w:rsid w:val="00721395"/>
    <w:rsid w:val="00723A28"/>
    <w:rsid w:val="00734D44"/>
    <w:rsid w:val="00736B62"/>
    <w:rsid w:val="00756B14"/>
    <w:rsid w:val="00764C85"/>
    <w:rsid w:val="00793E3E"/>
    <w:rsid w:val="007A29C5"/>
    <w:rsid w:val="007B2119"/>
    <w:rsid w:val="007C7B4B"/>
    <w:rsid w:val="007D0F6E"/>
    <w:rsid w:val="007D21DA"/>
    <w:rsid w:val="007E39E0"/>
    <w:rsid w:val="007E70E3"/>
    <w:rsid w:val="008037E4"/>
    <w:rsid w:val="00804AB6"/>
    <w:rsid w:val="008052FA"/>
    <w:rsid w:val="00811E14"/>
    <w:rsid w:val="0081375A"/>
    <w:rsid w:val="00823428"/>
    <w:rsid w:val="00834C54"/>
    <w:rsid w:val="008369BA"/>
    <w:rsid w:val="00840D32"/>
    <w:rsid w:val="00843933"/>
    <w:rsid w:val="008502D9"/>
    <w:rsid w:val="00850F4C"/>
    <w:rsid w:val="0085391A"/>
    <w:rsid w:val="00856459"/>
    <w:rsid w:val="00864C1F"/>
    <w:rsid w:val="00865301"/>
    <w:rsid w:val="00865CDF"/>
    <w:rsid w:val="00870FA1"/>
    <w:rsid w:val="00875220"/>
    <w:rsid w:val="00891CD9"/>
    <w:rsid w:val="00895C69"/>
    <w:rsid w:val="008A7AB2"/>
    <w:rsid w:val="008C7CA9"/>
    <w:rsid w:val="008D5625"/>
    <w:rsid w:val="008D5AFB"/>
    <w:rsid w:val="008E0239"/>
    <w:rsid w:val="008E4718"/>
    <w:rsid w:val="008E5981"/>
    <w:rsid w:val="008F2446"/>
    <w:rsid w:val="00901040"/>
    <w:rsid w:val="00902293"/>
    <w:rsid w:val="00906F6A"/>
    <w:rsid w:val="00911008"/>
    <w:rsid w:val="0091107C"/>
    <w:rsid w:val="009156E2"/>
    <w:rsid w:val="00923F25"/>
    <w:rsid w:val="00933461"/>
    <w:rsid w:val="00935C7F"/>
    <w:rsid w:val="00936DEA"/>
    <w:rsid w:val="00940218"/>
    <w:rsid w:val="00942204"/>
    <w:rsid w:val="0094331F"/>
    <w:rsid w:val="00944F02"/>
    <w:rsid w:val="00962C44"/>
    <w:rsid w:val="00963503"/>
    <w:rsid w:val="00965DBD"/>
    <w:rsid w:val="00971944"/>
    <w:rsid w:val="009815C6"/>
    <w:rsid w:val="00992200"/>
    <w:rsid w:val="00996201"/>
    <w:rsid w:val="009976EE"/>
    <w:rsid w:val="009A06CB"/>
    <w:rsid w:val="009A39E1"/>
    <w:rsid w:val="009A3AD8"/>
    <w:rsid w:val="009A6EE8"/>
    <w:rsid w:val="009B05CF"/>
    <w:rsid w:val="009B0F58"/>
    <w:rsid w:val="009C3380"/>
    <w:rsid w:val="009D016F"/>
    <w:rsid w:val="009D21DE"/>
    <w:rsid w:val="009E7E38"/>
    <w:rsid w:val="009F265B"/>
    <w:rsid w:val="009F482C"/>
    <w:rsid w:val="009F68DB"/>
    <w:rsid w:val="00A010AB"/>
    <w:rsid w:val="00A03E3F"/>
    <w:rsid w:val="00A1108E"/>
    <w:rsid w:val="00A272B3"/>
    <w:rsid w:val="00A27CD0"/>
    <w:rsid w:val="00A345F8"/>
    <w:rsid w:val="00A362B6"/>
    <w:rsid w:val="00A43142"/>
    <w:rsid w:val="00A5066A"/>
    <w:rsid w:val="00A55E23"/>
    <w:rsid w:val="00A60B8A"/>
    <w:rsid w:val="00A67DFF"/>
    <w:rsid w:val="00A71475"/>
    <w:rsid w:val="00A714DC"/>
    <w:rsid w:val="00A7179C"/>
    <w:rsid w:val="00A71D77"/>
    <w:rsid w:val="00A761CB"/>
    <w:rsid w:val="00A85701"/>
    <w:rsid w:val="00A96537"/>
    <w:rsid w:val="00AA36B1"/>
    <w:rsid w:val="00AA5A4D"/>
    <w:rsid w:val="00AD0344"/>
    <w:rsid w:val="00AD3261"/>
    <w:rsid w:val="00AD4355"/>
    <w:rsid w:val="00AD7495"/>
    <w:rsid w:val="00AE0A37"/>
    <w:rsid w:val="00AE3F5F"/>
    <w:rsid w:val="00B026D1"/>
    <w:rsid w:val="00B04785"/>
    <w:rsid w:val="00B13297"/>
    <w:rsid w:val="00B13DC4"/>
    <w:rsid w:val="00B17B7C"/>
    <w:rsid w:val="00B23277"/>
    <w:rsid w:val="00B245AD"/>
    <w:rsid w:val="00B320C4"/>
    <w:rsid w:val="00B3656F"/>
    <w:rsid w:val="00B4182B"/>
    <w:rsid w:val="00B4613F"/>
    <w:rsid w:val="00B55E54"/>
    <w:rsid w:val="00B56589"/>
    <w:rsid w:val="00B64D05"/>
    <w:rsid w:val="00B70460"/>
    <w:rsid w:val="00B7250C"/>
    <w:rsid w:val="00B77EF1"/>
    <w:rsid w:val="00B9441B"/>
    <w:rsid w:val="00B96A53"/>
    <w:rsid w:val="00BA1B0D"/>
    <w:rsid w:val="00BA4B14"/>
    <w:rsid w:val="00BB4BF8"/>
    <w:rsid w:val="00BC02C9"/>
    <w:rsid w:val="00BC687E"/>
    <w:rsid w:val="00BD702B"/>
    <w:rsid w:val="00BD7963"/>
    <w:rsid w:val="00BD7B78"/>
    <w:rsid w:val="00BE371B"/>
    <w:rsid w:val="00BE4617"/>
    <w:rsid w:val="00BE773B"/>
    <w:rsid w:val="00BF6339"/>
    <w:rsid w:val="00C05352"/>
    <w:rsid w:val="00C059D0"/>
    <w:rsid w:val="00C13F5D"/>
    <w:rsid w:val="00C22D12"/>
    <w:rsid w:val="00C23B53"/>
    <w:rsid w:val="00C31FDE"/>
    <w:rsid w:val="00C32404"/>
    <w:rsid w:val="00C53AEC"/>
    <w:rsid w:val="00C7152E"/>
    <w:rsid w:val="00C73360"/>
    <w:rsid w:val="00C80541"/>
    <w:rsid w:val="00C80678"/>
    <w:rsid w:val="00C80ABE"/>
    <w:rsid w:val="00C818B1"/>
    <w:rsid w:val="00C86CB2"/>
    <w:rsid w:val="00C91C71"/>
    <w:rsid w:val="00C95126"/>
    <w:rsid w:val="00CA4B67"/>
    <w:rsid w:val="00CA72A5"/>
    <w:rsid w:val="00CB1F9B"/>
    <w:rsid w:val="00CB4358"/>
    <w:rsid w:val="00CB57CE"/>
    <w:rsid w:val="00CC07BF"/>
    <w:rsid w:val="00CC3A0A"/>
    <w:rsid w:val="00CC4651"/>
    <w:rsid w:val="00CC6A54"/>
    <w:rsid w:val="00CE018E"/>
    <w:rsid w:val="00CE69E1"/>
    <w:rsid w:val="00CE71C9"/>
    <w:rsid w:val="00CE7A4A"/>
    <w:rsid w:val="00CF315D"/>
    <w:rsid w:val="00D02CF0"/>
    <w:rsid w:val="00D12B0D"/>
    <w:rsid w:val="00D1343F"/>
    <w:rsid w:val="00D13AA8"/>
    <w:rsid w:val="00D239B5"/>
    <w:rsid w:val="00D30B6F"/>
    <w:rsid w:val="00D32B72"/>
    <w:rsid w:val="00D32E6D"/>
    <w:rsid w:val="00D4033C"/>
    <w:rsid w:val="00D41DF9"/>
    <w:rsid w:val="00D45504"/>
    <w:rsid w:val="00D5346A"/>
    <w:rsid w:val="00D55767"/>
    <w:rsid w:val="00D67138"/>
    <w:rsid w:val="00D71BA0"/>
    <w:rsid w:val="00D74047"/>
    <w:rsid w:val="00D749DF"/>
    <w:rsid w:val="00D75E28"/>
    <w:rsid w:val="00D82755"/>
    <w:rsid w:val="00D82E67"/>
    <w:rsid w:val="00D831AC"/>
    <w:rsid w:val="00D84ED5"/>
    <w:rsid w:val="00D87B09"/>
    <w:rsid w:val="00D97926"/>
    <w:rsid w:val="00D97B01"/>
    <w:rsid w:val="00DA3557"/>
    <w:rsid w:val="00DA4701"/>
    <w:rsid w:val="00DC65F2"/>
    <w:rsid w:val="00DC7876"/>
    <w:rsid w:val="00DC7DD5"/>
    <w:rsid w:val="00DD0F5E"/>
    <w:rsid w:val="00DE3ED7"/>
    <w:rsid w:val="00DE6DB5"/>
    <w:rsid w:val="00DF1291"/>
    <w:rsid w:val="00DF699C"/>
    <w:rsid w:val="00E1392C"/>
    <w:rsid w:val="00E15D88"/>
    <w:rsid w:val="00E20E7D"/>
    <w:rsid w:val="00E22AC6"/>
    <w:rsid w:val="00E24830"/>
    <w:rsid w:val="00E318A6"/>
    <w:rsid w:val="00E33802"/>
    <w:rsid w:val="00E41C62"/>
    <w:rsid w:val="00E41EE9"/>
    <w:rsid w:val="00E44AB6"/>
    <w:rsid w:val="00E461D4"/>
    <w:rsid w:val="00E62285"/>
    <w:rsid w:val="00E62819"/>
    <w:rsid w:val="00E71E25"/>
    <w:rsid w:val="00E873CD"/>
    <w:rsid w:val="00E9045F"/>
    <w:rsid w:val="00EA0D4F"/>
    <w:rsid w:val="00EA405B"/>
    <w:rsid w:val="00EA7529"/>
    <w:rsid w:val="00EB3061"/>
    <w:rsid w:val="00EB4C26"/>
    <w:rsid w:val="00EB6134"/>
    <w:rsid w:val="00EC1A6C"/>
    <w:rsid w:val="00EC282C"/>
    <w:rsid w:val="00EC46E1"/>
    <w:rsid w:val="00ED0EA6"/>
    <w:rsid w:val="00ED7509"/>
    <w:rsid w:val="00EE38AF"/>
    <w:rsid w:val="00EF254B"/>
    <w:rsid w:val="00EF4FF2"/>
    <w:rsid w:val="00EF709D"/>
    <w:rsid w:val="00F071DE"/>
    <w:rsid w:val="00F1315C"/>
    <w:rsid w:val="00F22ED6"/>
    <w:rsid w:val="00F34774"/>
    <w:rsid w:val="00F42246"/>
    <w:rsid w:val="00F661C4"/>
    <w:rsid w:val="00F66DB8"/>
    <w:rsid w:val="00F6715B"/>
    <w:rsid w:val="00F74630"/>
    <w:rsid w:val="00F75141"/>
    <w:rsid w:val="00F847A4"/>
    <w:rsid w:val="00F847EB"/>
    <w:rsid w:val="00F85B38"/>
    <w:rsid w:val="00F87CA1"/>
    <w:rsid w:val="00F9122A"/>
    <w:rsid w:val="00F949D4"/>
    <w:rsid w:val="00FA4F00"/>
    <w:rsid w:val="00FA5F83"/>
    <w:rsid w:val="00FA6D2C"/>
    <w:rsid w:val="00FA6ED2"/>
    <w:rsid w:val="00FB21A7"/>
    <w:rsid w:val="00FB5BF6"/>
    <w:rsid w:val="00FC779A"/>
    <w:rsid w:val="00FD1073"/>
    <w:rsid w:val="00FD246D"/>
    <w:rsid w:val="00FD3A6D"/>
    <w:rsid w:val="00FD4DD8"/>
    <w:rsid w:val="00FE28BA"/>
    <w:rsid w:val="00FF1A8A"/>
    <w:rsid w:val="00FF5C51"/>
    <w:rsid w:val="00FF7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1"/>
  </w:style>
  <w:style w:type="paragraph" w:styleId="Heading1">
    <w:name w:val="heading 1"/>
    <w:basedOn w:val="Normal"/>
    <w:next w:val="Normal"/>
    <w:link w:val="Heading1Char"/>
    <w:qFormat/>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NormalSS">
    <w:name w:val="NormalSS"/>
    <w:basedOn w:val="Normal"/>
    <w:link w:val="NormalSSChar"/>
    <w:qFormat/>
    <w:rsid w:val="00A5066A"/>
    <w:pPr>
      <w:spacing w:after="240" w:line="240" w:lineRule="auto"/>
    </w:pPr>
    <w:rPr>
      <w:rFonts w:ascii="Times New Roman" w:eastAsia="Times New Roman" w:hAnsi="Times New Roman" w:cs="Times New Roman"/>
      <w:sz w:val="24"/>
      <w:szCs w:val="20"/>
    </w:rPr>
  </w:style>
  <w:style w:type="character" w:customStyle="1" w:styleId="NormalSSChar">
    <w:name w:val="NormalSS Char"/>
    <w:link w:val="NormalSS"/>
    <w:rsid w:val="00A5066A"/>
    <w:rPr>
      <w:rFonts w:ascii="Times New Roman" w:eastAsia="Times New Roman" w:hAnsi="Times New Roman" w:cs="Times New Roman"/>
      <w:sz w:val="24"/>
      <w:szCs w:val="20"/>
    </w:rPr>
  </w:style>
  <w:style w:type="paragraph" w:customStyle="1" w:styleId="TableHeaderCenter">
    <w:name w:val="Table Header Center"/>
    <w:basedOn w:val="NormalSS"/>
    <w:qFormat/>
    <w:rsid w:val="004D0362"/>
    <w:pPr>
      <w:tabs>
        <w:tab w:val="left" w:pos="432"/>
      </w:tabs>
      <w:spacing w:before="120" w:after="60"/>
      <w:jc w:val="center"/>
    </w:pPr>
    <w:rPr>
      <w:rFonts w:ascii="Arial" w:hAnsi="Arial"/>
      <w:sz w:val="18"/>
      <w:szCs w:val="24"/>
    </w:rPr>
  </w:style>
  <w:style w:type="paragraph" w:customStyle="1" w:styleId="TableHeaderLeft">
    <w:name w:val="Table Header Left"/>
    <w:basedOn w:val="NormalSS"/>
    <w:qFormat/>
    <w:rsid w:val="004D0362"/>
    <w:pPr>
      <w:tabs>
        <w:tab w:val="left" w:pos="432"/>
      </w:tabs>
      <w:spacing w:before="120" w:after="60"/>
    </w:pPr>
    <w:rPr>
      <w:rFonts w:ascii="Arial" w:hAnsi="Arial"/>
      <w:sz w:val="18"/>
      <w:szCs w:val="24"/>
    </w:rPr>
  </w:style>
  <w:style w:type="paragraph" w:customStyle="1" w:styleId="TableText">
    <w:name w:val="Table Text"/>
    <w:basedOn w:val="NormalSS"/>
    <w:qFormat/>
    <w:rsid w:val="004D0362"/>
    <w:pPr>
      <w:spacing w:after="0"/>
    </w:pPr>
    <w:rPr>
      <w:rFonts w:ascii="Arial" w:hAnsi="Arial"/>
      <w:sz w:val="18"/>
      <w:szCs w:val="24"/>
    </w:rPr>
  </w:style>
  <w:style w:type="character" w:customStyle="1" w:styleId="Heading1Char">
    <w:name w:val="Heading 1 Char"/>
    <w:basedOn w:val="DefaultParagraphFont"/>
    <w:link w:val="Heading1"/>
    <w:rsid w:val="00F34774"/>
    <w:rPr>
      <w:rFonts w:ascii="Calibri" w:eastAsia="Calibri" w:hAnsi="Calibri" w:cs="Calibri"/>
      <w:b/>
      <w:sz w:val="48"/>
      <w:szCs w:val="48"/>
    </w:rPr>
  </w:style>
  <w:style w:type="character" w:customStyle="1" w:styleId="Heading2Char">
    <w:name w:val="Heading 2 Char"/>
    <w:basedOn w:val="DefaultParagraphFont"/>
    <w:link w:val="Heading2"/>
    <w:rsid w:val="00F34774"/>
    <w:rPr>
      <w:rFonts w:ascii="Calibri" w:eastAsia="Calibri" w:hAnsi="Calibri" w:cs="Calibri"/>
      <w:b/>
      <w:sz w:val="36"/>
      <w:szCs w:val="36"/>
    </w:rPr>
  </w:style>
  <w:style w:type="character" w:customStyle="1" w:styleId="Heading3Char">
    <w:name w:val="Heading 3 Char"/>
    <w:basedOn w:val="DefaultParagraphFont"/>
    <w:link w:val="Heading3"/>
    <w:rsid w:val="00F34774"/>
    <w:rPr>
      <w:rFonts w:ascii="Calibri" w:eastAsia="Calibri" w:hAnsi="Calibri" w:cs="Calibri"/>
      <w:b/>
      <w:sz w:val="28"/>
      <w:szCs w:val="28"/>
    </w:rPr>
  </w:style>
  <w:style w:type="character" w:customStyle="1" w:styleId="Heading5Char">
    <w:name w:val="Heading 5 Char"/>
    <w:basedOn w:val="DefaultParagraphFont"/>
    <w:link w:val="Heading5"/>
    <w:rsid w:val="00F34774"/>
    <w:rPr>
      <w:rFonts w:ascii="Calibri" w:eastAsia="Calibri" w:hAnsi="Calibri" w:cs="Calibri"/>
      <w:b/>
    </w:rPr>
  </w:style>
  <w:style w:type="character" w:customStyle="1" w:styleId="Heading6Char">
    <w:name w:val="Heading 6 Char"/>
    <w:basedOn w:val="DefaultParagraphFont"/>
    <w:link w:val="Heading6"/>
    <w:rsid w:val="00F34774"/>
    <w:rPr>
      <w:rFonts w:ascii="Calibri" w:eastAsia="Calibri" w:hAnsi="Calibri" w:cs="Calibri"/>
      <w:b/>
      <w:sz w:val="20"/>
      <w:szCs w:val="20"/>
    </w:rPr>
  </w:style>
  <w:style w:type="paragraph" w:styleId="Title">
    <w:name w:val="Title"/>
    <w:basedOn w:val="Normal"/>
    <w:next w:val="Normal"/>
    <w:link w:val="TitleChar"/>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F34774"/>
    <w:rPr>
      <w:rFonts w:ascii="Calibri" w:eastAsia="Calibri" w:hAnsi="Calibri" w:cs="Calibri"/>
      <w:b/>
      <w:sz w:val="72"/>
      <w:szCs w:val="72"/>
    </w:rPr>
  </w:style>
  <w:style w:type="paragraph" w:styleId="Subtitle">
    <w:name w:val="Subtitle"/>
    <w:basedOn w:val="Normal"/>
    <w:next w:val="Normal"/>
    <w:link w:val="SubtitleChar"/>
    <w:rsid w:val="00F3477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34774"/>
    <w:rPr>
      <w:rFonts w:ascii="Georgia" w:eastAsia="Georgia" w:hAnsi="Georgia" w:cs="Georgia"/>
      <w:i/>
      <w:color w:val="666666"/>
      <w:sz w:val="48"/>
      <w:szCs w:val="48"/>
    </w:rPr>
  </w:style>
  <w:style w:type="paragraph" w:customStyle="1" w:styleId="NormalSS12">
    <w:name w:val="NormalSS 12"/>
    <w:basedOn w:val="Normal"/>
    <w:rsid w:val="0000750F"/>
    <w:pPr>
      <w:tabs>
        <w:tab w:val="left" w:pos="432"/>
      </w:tabs>
      <w:spacing w:after="240" w:line="240" w:lineRule="auto"/>
      <w:ind w:firstLine="432"/>
      <w:jc w:val="both"/>
    </w:pPr>
    <w:rPr>
      <w:rFonts w:ascii="Garamond" w:eastAsia="Calibri" w:hAnsi="Garamond"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71"/>
  </w:style>
  <w:style w:type="paragraph" w:styleId="Heading1">
    <w:name w:val="heading 1"/>
    <w:basedOn w:val="Normal"/>
    <w:next w:val="Normal"/>
    <w:link w:val="Heading1Char"/>
    <w:qFormat/>
    <w:pPr>
      <w:keepNext/>
      <w:keepLines/>
      <w:spacing w:before="480" w:after="120"/>
      <w:outlineLvl w:val="0"/>
    </w:pPr>
    <w:rPr>
      <w:rFonts w:ascii="Calibri" w:eastAsia="Calibri" w:hAnsi="Calibri" w:cs="Calibri"/>
      <w:b/>
      <w:sz w:val="48"/>
      <w:szCs w:val="48"/>
    </w:rPr>
  </w:style>
  <w:style w:type="paragraph" w:styleId="Heading2">
    <w:name w:val="heading 2"/>
    <w:basedOn w:val="Normal"/>
    <w:next w:val="Normal"/>
    <w:link w:val="Heading2Char"/>
    <w:pPr>
      <w:keepNext/>
      <w:keepLines/>
      <w:spacing w:before="360" w:after="80"/>
      <w:outlineLvl w:val="1"/>
    </w:pPr>
    <w:rPr>
      <w:rFonts w:ascii="Calibri" w:eastAsia="Calibri" w:hAnsi="Calibri" w:cs="Calibri"/>
      <w:b/>
      <w:sz w:val="36"/>
      <w:szCs w:val="36"/>
    </w:rPr>
  </w:style>
  <w:style w:type="paragraph" w:styleId="Heading3">
    <w:name w:val="heading 3"/>
    <w:basedOn w:val="Normal"/>
    <w:next w:val="Normal"/>
    <w:link w:val="Heading3Char"/>
    <w:pPr>
      <w:keepNext/>
      <w:keepLines/>
      <w:spacing w:before="280" w:after="80"/>
      <w:outlineLvl w:val="2"/>
    </w:pPr>
    <w:rPr>
      <w:rFonts w:ascii="Calibri" w:eastAsia="Calibri" w:hAnsi="Calibri" w:cs="Calibri"/>
      <w:b/>
      <w:sz w:val="28"/>
      <w:szCs w:val="28"/>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NormalSS">
    <w:name w:val="NormalSS"/>
    <w:basedOn w:val="Normal"/>
    <w:link w:val="NormalSSChar"/>
    <w:qFormat/>
    <w:rsid w:val="00A5066A"/>
    <w:pPr>
      <w:spacing w:after="240" w:line="240" w:lineRule="auto"/>
    </w:pPr>
    <w:rPr>
      <w:rFonts w:ascii="Times New Roman" w:eastAsia="Times New Roman" w:hAnsi="Times New Roman" w:cs="Times New Roman"/>
      <w:sz w:val="24"/>
      <w:szCs w:val="20"/>
    </w:rPr>
  </w:style>
  <w:style w:type="character" w:customStyle="1" w:styleId="NormalSSChar">
    <w:name w:val="NormalSS Char"/>
    <w:link w:val="NormalSS"/>
    <w:rsid w:val="00A5066A"/>
    <w:rPr>
      <w:rFonts w:ascii="Times New Roman" w:eastAsia="Times New Roman" w:hAnsi="Times New Roman" w:cs="Times New Roman"/>
      <w:sz w:val="24"/>
      <w:szCs w:val="20"/>
    </w:rPr>
  </w:style>
  <w:style w:type="paragraph" w:customStyle="1" w:styleId="TableHeaderCenter">
    <w:name w:val="Table Header Center"/>
    <w:basedOn w:val="NormalSS"/>
    <w:qFormat/>
    <w:rsid w:val="004D0362"/>
    <w:pPr>
      <w:tabs>
        <w:tab w:val="left" w:pos="432"/>
      </w:tabs>
      <w:spacing w:before="120" w:after="60"/>
      <w:jc w:val="center"/>
    </w:pPr>
    <w:rPr>
      <w:rFonts w:ascii="Arial" w:hAnsi="Arial"/>
      <w:sz w:val="18"/>
      <w:szCs w:val="24"/>
    </w:rPr>
  </w:style>
  <w:style w:type="paragraph" w:customStyle="1" w:styleId="TableHeaderLeft">
    <w:name w:val="Table Header Left"/>
    <w:basedOn w:val="NormalSS"/>
    <w:qFormat/>
    <w:rsid w:val="004D0362"/>
    <w:pPr>
      <w:tabs>
        <w:tab w:val="left" w:pos="432"/>
      </w:tabs>
      <w:spacing w:before="120" w:after="60"/>
    </w:pPr>
    <w:rPr>
      <w:rFonts w:ascii="Arial" w:hAnsi="Arial"/>
      <w:sz w:val="18"/>
      <w:szCs w:val="24"/>
    </w:rPr>
  </w:style>
  <w:style w:type="paragraph" w:customStyle="1" w:styleId="TableText">
    <w:name w:val="Table Text"/>
    <w:basedOn w:val="NormalSS"/>
    <w:qFormat/>
    <w:rsid w:val="004D0362"/>
    <w:pPr>
      <w:spacing w:after="0"/>
    </w:pPr>
    <w:rPr>
      <w:rFonts w:ascii="Arial" w:hAnsi="Arial"/>
      <w:sz w:val="18"/>
      <w:szCs w:val="24"/>
    </w:rPr>
  </w:style>
  <w:style w:type="character" w:customStyle="1" w:styleId="Heading1Char">
    <w:name w:val="Heading 1 Char"/>
    <w:basedOn w:val="DefaultParagraphFont"/>
    <w:link w:val="Heading1"/>
    <w:rsid w:val="00F34774"/>
    <w:rPr>
      <w:rFonts w:ascii="Calibri" w:eastAsia="Calibri" w:hAnsi="Calibri" w:cs="Calibri"/>
      <w:b/>
      <w:sz w:val="48"/>
      <w:szCs w:val="48"/>
    </w:rPr>
  </w:style>
  <w:style w:type="character" w:customStyle="1" w:styleId="Heading2Char">
    <w:name w:val="Heading 2 Char"/>
    <w:basedOn w:val="DefaultParagraphFont"/>
    <w:link w:val="Heading2"/>
    <w:rsid w:val="00F34774"/>
    <w:rPr>
      <w:rFonts w:ascii="Calibri" w:eastAsia="Calibri" w:hAnsi="Calibri" w:cs="Calibri"/>
      <w:b/>
      <w:sz w:val="36"/>
      <w:szCs w:val="36"/>
    </w:rPr>
  </w:style>
  <w:style w:type="character" w:customStyle="1" w:styleId="Heading3Char">
    <w:name w:val="Heading 3 Char"/>
    <w:basedOn w:val="DefaultParagraphFont"/>
    <w:link w:val="Heading3"/>
    <w:rsid w:val="00F34774"/>
    <w:rPr>
      <w:rFonts w:ascii="Calibri" w:eastAsia="Calibri" w:hAnsi="Calibri" w:cs="Calibri"/>
      <w:b/>
      <w:sz w:val="28"/>
      <w:szCs w:val="28"/>
    </w:rPr>
  </w:style>
  <w:style w:type="character" w:customStyle="1" w:styleId="Heading5Char">
    <w:name w:val="Heading 5 Char"/>
    <w:basedOn w:val="DefaultParagraphFont"/>
    <w:link w:val="Heading5"/>
    <w:rsid w:val="00F34774"/>
    <w:rPr>
      <w:rFonts w:ascii="Calibri" w:eastAsia="Calibri" w:hAnsi="Calibri" w:cs="Calibri"/>
      <w:b/>
    </w:rPr>
  </w:style>
  <w:style w:type="character" w:customStyle="1" w:styleId="Heading6Char">
    <w:name w:val="Heading 6 Char"/>
    <w:basedOn w:val="DefaultParagraphFont"/>
    <w:link w:val="Heading6"/>
    <w:rsid w:val="00F34774"/>
    <w:rPr>
      <w:rFonts w:ascii="Calibri" w:eastAsia="Calibri" w:hAnsi="Calibri" w:cs="Calibri"/>
      <w:b/>
      <w:sz w:val="20"/>
      <w:szCs w:val="20"/>
    </w:rPr>
  </w:style>
  <w:style w:type="paragraph" w:styleId="Title">
    <w:name w:val="Title"/>
    <w:basedOn w:val="Normal"/>
    <w:next w:val="Normal"/>
    <w:link w:val="TitleChar"/>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F34774"/>
    <w:rPr>
      <w:rFonts w:ascii="Calibri" w:eastAsia="Calibri" w:hAnsi="Calibri" w:cs="Calibri"/>
      <w:b/>
      <w:sz w:val="72"/>
      <w:szCs w:val="72"/>
    </w:rPr>
  </w:style>
  <w:style w:type="paragraph" w:styleId="Subtitle">
    <w:name w:val="Subtitle"/>
    <w:basedOn w:val="Normal"/>
    <w:next w:val="Normal"/>
    <w:link w:val="SubtitleChar"/>
    <w:rsid w:val="00F3477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34774"/>
    <w:rPr>
      <w:rFonts w:ascii="Georgia" w:eastAsia="Georgia" w:hAnsi="Georgia" w:cs="Georgia"/>
      <w:i/>
      <w:color w:val="666666"/>
      <w:sz w:val="48"/>
      <w:szCs w:val="48"/>
    </w:rPr>
  </w:style>
  <w:style w:type="paragraph" w:customStyle="1" w:styleId="NormalSS12">
    <w:name w:val="NormalSS 12"/>
    <w:basedOn w:val="Normal"/>
    <w:rsid w:val="0000750F"/>
    <w:pPr>
      <w:tabs>
        <w:tab w:val="left" w:pos="432"/>
      </w:tabs>
      <w:spacing w:after="240" w:line="240" w:lineRule="auto"/>
      <w:ind w:firstLine="432"/>
      <w:jc w:val="both"/>
    </w:pPr>
    <w:rPr>
      <w:rFonts w:ascii="Garamond" w:eastAsia="Calibri"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267859370">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63193003">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F019B-870E-45EA-AFD2-E3BE33E1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4075</Words>
  <Characters>23230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2019-08-07T20:24:00Z</dcterms:created>
  <dcterms:modified xsi:type="dcterms:W3CDTF">2019-08-07T20:24:00Z</dcterms:modified>
</cp:coreProperties>
</file>