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27A" w:rsidRDefault="00A7227A" w:rsidP="00A7227A">
      <w:pPr>
        <w:pStyle w:val="MessageHeader"/>
        <w:ind w:left="0" w:firstLine="0"/>
        <w:jc w:val="center"/>
        <w:rPr>
          <w:rFonts w:ascii="Times New Roman" w:hAnsi="Times New Roman"/>
          <w:b/>
          <w:sz w:val="32"/>
          <w:szCs w:val="32"/>
        </w:rPr>
      </w:pPr>
      <w:bookmarkStart w:id="0" w:name="_GoBack"/>
      <w:bookmarkEnd w:id="0"/>
    </w:p>
    <w:p w:rsidR="00A7227A" w:rsidRDefault="00A7227A" w:rsidP="00A7227A">
      <w:pPr>
        <w:pStyle w:val="MessageHeader"/>
        <w:ind w:left="0" w:firstLine="0"/>
        <w:jc w:val="center"/>
        <w:rPr>
          <w:rFonts w:ascii="Times New Roman" w:hAnsi="Times New Roman"/>
          <w:b/>
          <w:sz w:val="32"/>
          <w:szCs w:val="32"/>
        </w:rPr>
      </w:pPr>
    </w:p>
    <w:p w:rsidR="00A7227A" w:rsidRDefault="00A7227A" w:rsidP="00A7227A">
      <w:pPr>
        <w:pStyle w:val="MessageHeader"/>
        <w:ind w:left="0" w:firstLine="0"/>
        <w:jc w:val="center"/>
        <w:rPr>
          <w:rFonts w:ascii="Times New Roman" w:hAnsi="Times New Roman"/>
          <w:b/>
          <w:sz w:val="32"/>
          <w:szCs w:val="32"/>
        </w:rPr>
      </w:pPr>
    </w:p>
    <w:p w:rsidR="00A7227A" w:rsidRDefault="00677BC7" w:rsidP="00A7227A">
      <w:pPr>
        <w:pStyle w:val="MessageHeader"/>
        <w:ind w:left="0" w:firstLine="0"/>
        <w:jc w:val="center"/>
        <w:rPr>
          <w:rFonts w:ascii="Times New Roman" w:hAnsi="Times New Roman"/>
          <w:sz w:val="32"/>
          <w:szCs w:val="32"/>
        </w:rPr>
      </w:pPr>
      <w:r>
        <w:rPr>
          <w:rFonts w:ascii="Times New Roman" w:hAnsi="Times New Roman"/>
          <w:b/>
          <w:sz w:val="32"/>
          <w:szCs w:val="32"/>
        </w:rPr>
        <w:t>Attachment b</w:t>
      </w:r>
      <w:r w:rsidR="00A7227A" w:rsidRPr="00A7227A">
        <w:rPr>
          <w:rFonts w:ascii="Times New Roman" w:hAnsi="Times New Roman"/>
          <w:b/>
          <w:sz w:val="32"/>
          <w:szCs w:val="32"/>
        </w:rPr>
        <w:t xml:space="preserve">: use of </w:t>
      </w:r>
      <w:r w:rsidR="00A7227A" w:rsidRPr="00A7227A">
        <w:rPr>
          <w:rFonts w:ascii="Times New Roman" w:hAnsi="Times New Roman"/>
          <w:sz w:val="32"/>
          <w:szCs w:val="32"/>
        </w:rPr>
        <w:t xml:space="preserve">pretesting generic CLEARANCE </w:t>
      </w:r>
    </w:p>
    <w:p w:rsidR="00A7227A" w:rsidRPr="00A7227A" w:rsidRDefault="00A7227A" w:rsidP="00A7227A">
      <w:pPr>
        <w:pStyle w:val="MessageHeader"/>
        <w:ind w:left="0" w:firstLine="0"/>
        <w:jc w:val="center"/>
        <w:rPr>
          <w:rFonts w:ascii="Times New Roman" w:hAnsi="Times New Roman"/>
          <w:b/>
          <w:sz w:val="32"/>
          <w:szCs w:val="32"/>
        </w:rPr>
      </w:pPr>
      <w:r w:rsidRPr="00A7227A">
        <w:rPr>
          <w:rFonts w:ascii="Times New Roman" w:hAnsi="Times New Roman"/>
          <w:sz w:val="32"/>
          <w:szCs w:val="32"/>
        </w:rPr>
        <w:t>(0970-0355) From 20</w:t>
      </w:r>
      <w:r w:rsidR="001E74A9">
        <w:rPr>
          <w:rFonts w:ascii="Times New Roman" w:hAnsi="Times New Roman"/>
          <w:sz w:val="32"/>
          <w:szCs w:val="32"/>
        </w:rPr>
        <w:t>1</w:t>
      </w:r>
      <w:r w:rsidR="003A4957">
        <w:rPr>
          <w:rFonts w:ascii="Times New Roman" w:hAnsi="Times New Roman"/>
          <w:sz w:val="32"/>
          <w:szCs w:val="32"/>
        </w:rPr>
        <w:t>5</w:t>
      </w:r>
      <w:r w:rsidR="001E74A9">
        <w:rPr>
          <w:rFonts w:ascii="Times New Roman" w:hAnsi="Times New Roman"/>
          <w:sz w:val="32"/>
          <w:szCs w:val="32"/>
        </w:rPr>
        <w:t>-201</w:t>
      </w:r>
      <w:r w:rsidR="003A4957">
        <w:rPr>
          <w:rFonts w:ascii="Times New Roman" w:hAnsi="Times New Roman"/>
          <w:sz w:val="32"/>
          <w:szCs w:val="32"/>
        </w:rPr>
        <w:t>8</w:t>
      </w:r>
    </w:p>
    <w:p w:rsidR="00A7227A" w:rsidRDefault="00A7227A" w:rsidP="00A7227A">
      <w:pPr>
        <w:pStyle w:val="MessageHeader"/>
        <w:ind w:left="0" w:firstLine="0"/>
        <w:jc w:val="center"/>
        <w:rPr>
          <w:rFonts w:ascii="Times New Roman" w:hAnsi="Times New Roman"/>
          <w:b/>
          <w:sz w:val="32"/>
          <w:szCs w:val="32"/>
        </w:rPr>
      </w:pPr>
    </w:p>
    <w:p w:rsidR="00A7227A" w:rsidRDefault="00A7227A" w:rsidP="00A7227A">
      <w:pPr>
        <w:widowControl w:val="0"/>
        <w:suppressAutoHyphens/>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jc w:val="center"/>
        <w:rPr>
          <w:rFonts w:ascii="Calibri" w:eastAsia="Calibri" w:hAnsi="Calibri" w:cs="Times New Roman"/>
        </w:rPr>
      </w:pPr>
    </w:p>
    <w:p w:rsidR="00A7227A" w:rsidRDefault="00A7227A" w:rsidP="00A7227A">
      <w:pPr>
        <w:rPr>
          <w:rFonts w:ascii="Arial" w:eastAsia="Calibri" w:hAnsi="Arial" w:cs="Arial"/>
        </w:rPr>
      </w:pPr>
    </w:p>
    <w:p w:rsidR="00A7227A" w:rsidRDefault="00A7227A" w:rsidP="00A7227A">
      <w:pPr>
        <w:jc w:val="center"/>
        <w:rPr>
          <w:rFonts w:ascii="Arial" w:eastAsia="Calibri" w:hAnsi="Arial" w:cs="Arial"/>
        </w:rPr>
      </w:pPr>
    </w:p>
    <w:p w:rsidR="00A7227A" w:rsidRDefault="00A7227A" w:rsidP="00A7227A">
      <w:pPr>
        <w:jc w:val="center"/>
        <w:rPr>
          <w:rFonts w:ascii="Arial" w:eastAsia="Calibri" w:hAnsi="Arial" w:cs="Arial"/>
        </w:rPr>
      </w:pPr>
    </w:p>
    <w:p w:rsidR="003A4957" w:rsidRPr="00362F8A" w:rsidRDefault="003A4957" w:rsidP="003A4957">
      <w:pPr>
        <w:jc w:val="center"/>
        <w:rPr>
          <w:rFonts w:ascii="Arial" w:hAnsi="Arial" w:cs="Arial"/>
        </w:rPr>
      </w:pPr>
      <w:r w:rsidRPr="00362F8A">
        <w:rPr>
          <w:rFonts w:ascii="Arial" w:hAnsi="Arial" w:cs="Arial"/>
        </w:rPr>
        <w:t>Office of Planning, Research, and Evaluation</w:t>
      </w:r>
    </w:p>
    <w:p w:rsidR="003A4957" w:rsidRPr="00362F8A" w:rsidRDefault="003A4957" w:rsidP="003A4957">
      <w:pPr>
        <w:jc w:val="center"/>
        <w:rPr>
          <w:rFonts w:ascii="Arial" w:hAnsi="Arial" w:cs="Arial"/>
        </w:rPr>
      </w:pPr>
      <w:r w:rsidRPr="00362F8A">
        <w:rPr>
          <w:rFonts w:ascii="Arial" w:hAnsi="Arial" w:cs="Arial"/>
        </w:rPr>
        <w:t xml:space="preserve">Administration for Children and Families </w:t>
      </w:r>
    </w:p>
    <w:p w:rsidR="003A4957" w:rsidRPr="00362F8A" w:rsidRDefault="003A4957" w:rsidP="003A4957">
      <w:pPr>
        <w:jc w:val="center"/>
        <w:rPr>
          <w:rFonts w:ascii="Arial" w:hAnsi="Arial" w:cs="Arial"/>
        </w:rPr>
      </w:pPr>
      <w:r w:rsidRPr="00362F8A">
        <w:rPr>
          <w:rFonts w:ascii="Arial" w:hAnsi="Arial" w:cs="Arial"/>
        </w:rPr>
        <w:t>U.S. Department of Health and Human Services</w:t>
      </w:r>
    </w:p>
    <w:p w:rsidR="003A4957" w:rsidRPr="00362F8A" w:rsidRDefault="003A4957" w:rsidP="003A4957">
      <w:pPr>
        <w:jc w:val="center"/>
        <w:rPr>
          <w:rFonts w:ascii="Arial" w:hAnsi="Arial" w:cs="Arial"/>
        </w:rPr>
      </w:pPr>
      <w:r w:rsidRPr="00362F8A">
        <w:rPr>
          <w:rFonts w:ascii="Arial" w:hAnsi="Arial" w:cs="Arial"/>
        </w:rPr>
        <w:t>330 C Street, SW, 4</w:t>
      </w:r>
      <w:r w:rsidRPr="00362F8A">
        <w:rPr>
          <w:rFonts w:ascii="Arial" w:hAnsi="Arial" w:cs="Arial"/>
          <w:vertAlign w:val="superscript"/>
        </w:rPr>
        <w:t>th</w:t>
      </w:r>
      <w:r w:rsidRPr="00362F8A">
        <w:rPr>
          <w:rFonts w:ascii="Arial" w:hAnsi="Arial" w:cs="Arial"/>
        </w:rPr>
        <w:t xml:space="preserve"> Floor</w:t>
      </w:r>
    </w:p>
    <w:p w:rsidR="003A4957" w:rsidRPr="002C4F75" w:rsidRDefault="003A4957" w:rsidP="003A4957">
      <w:pPr>
        <w:jc w:val="center"/>
        <w:rPr>
          <w:rFonts w:ascii="Arial" w:hAnsi="Arial" w:cs="Arial"/>
        </w:rPr>
      </w:pPr>
      <w:r w:rsidRPr="00362F8A">
        <w:rPr>
          <w:rFonts w:ascii="Arial" w:hAnsi="Arial" w:cs="Arial"/>
        </w:rPr>
        <w:t>Washington, DC 20201</w:t>
      </w:r>
    </w:p>
    <w:p w:rsidR="003206FE" w:rsidRDefault="003206FE" w:rsidP="004035FC">
      <w:pPr>
        <w:rPr>
          <w:rFonts w:ascii="Times New Roman" w:hAnsi="Times New Roman" w:cs="Times New Roman"/>
        </w:rPr>
      </w:pPr>
    </w:p>
    <w:p w:rsidR="003A4957" w:rsidRDefault="003A4957" w:rsidP="004035FC">
      <w:pPr>
        <w:rPr>
          <w:rFonts w:ascii="Times New Roman" w:hAnsi="Times New Roman" w:cs="Times New Roman"/>
        </w:rPr>
      </w:pPr>
    </w:p>
    <w:p w:rsidR="0092452D" w:rsidRPr="002B72C3" w:rsidRDefault="0092452D" w:rsidP="004035FC">
      <w:pPr>
        <w:rPr>
          <w:rFonts w:cs="Times New Roman"/>
        </w:rPr>
      </w:pPr>
      <w:r w:rsidRPr="002B72C3">
        <w:rPr>
          <w:rFonts w:cs="Times New Roman"/>
        </w:rPr>
        <w:lastRenderedPageBreak/>
        <w:t xml:space="preserve">In </w:t>
      </w:r>
      <w:r w:rsidR="003A4957" w:rsidRPr="002B72C3">
        <w:rPr>
          <w:rFonts w:cs="Times New Roman"/>
        </w:rPr>
        <w:t>March 2015</w:t>
      </w:r>
      <w:r w:rsidRPr="002B72C3">
        <w:rPr>
          <w:rFonts w:cs="Times New Roman"/>
        </w:rPr>
        <w:t xml:space="preserve">, OMB approved ACF’s request </w:t>
      </w:r>
      <w:r w:rsidR="001E74A9" w:rsidRPr="002B72C3">
        <w:rPr>
          <w:rFonts w:cs="Times New Roman"/>
        </w:rPr>
        <w:t>to renew the</w:t>
      </w:r>
      <w:r w:rsidRPr="002B72C3">
        <w:rPr>
          <w:rFonts w:cs="Times New Roman"/>
        </w:rPr>
        <w:t xml:space="preserve"> generic information collection for pre-testing of evaluation surveys</w:t>
      </w:r>
      <w:r w:rsidR="001A0DD1" w:rsidRPr="002B72C3">
        <w:rPr>
          <w:rFonts w:cs="Times New Roman"/>
        </w:rPr>
        <w:t xml:space="preserve"> (0970-0355)</w:t>
      </w:r>
      <w:r w:rsidRPr="002B72C3">
        <w:rPr>
          <w:rFonts w:cs="Times New Roman"/>
        </w:rPr>
        <w:t xml:space="preserve">. This </w:t>
      </w:r>
      <w:r w:rsidR="003F1298" w:rsidRPr="002B72C3">
        <w:rPr>
          <w:rFonts w:cs="Times New Roman"/>
        </w:rPr>
        <w:t xml:space="preserve">report describes </w:t>
      </w:r>
      <w:r w:rsidRPr="002B72C3">
        <w:rPr>
          <w:rFonts w:cs="Times New Roman"/>
        </w:rPr>
        <w:t xml:space="preserve">the </w:t>
      </w:r>
      <w:r w:rsidR="00485C03" w:rsidRPr="002B72C3">
        <w:rPr>
          <w:rFonts w:cs="Times New Roman"/>
        </w:rPr>
        <w:t xml:space="preserve">use of the generic IC </w:t>
      </w:r>
      <w:r w:rsidR="001E74A9" w:rsidRPr="002B72C3">
        <w:rPr>
          <w:rFonts w:cs="Times New Roman"/>
        </w:rPr>
        <w:t>over the three years of approval</w:t>
      </w:r>
      <w:r w:rsidR="00485C03" w:rsidRPr="002B72C3">
        <w:rPr>
          <w:rFonts w:cs="Times New Roman"/>
        </w:rPr>
        <w:t>, including the number of hours used, as well as the nature and results of the activities completed under this generic clearance.</w:t>
      </w:r>
      <w:r w:rsidRPr="002B72C3">
        <w:rPr>
          <w:rFonts w:cs="Times New Roman"/>
        </w:rPr>
        <w:t xml:space="preserve"> </w:t>
      </w:r>
    </w:p>
    <w:p w:rsidR="0092452D" w:rsidRPr="002B72C3" w:rsidRDefault="0092452D">
      <w:pPr>
        <w:rPr>
          <w:rFonts w:cs="Times New Roman"/>
        </w:rPr>
      </w:pPr>
    </w:p>
    <w:p w:rsidR="0092452D" w:rsidRPr="002B72C3" w:rsidRDefault="0092452D">
      <w:pPr>
        <w:rPr>
          <w:rFonts w:cs="Times New Roman"/>
        </w:rPr>
      </w:pPr>
      <w:r w:rsidRPr="002B72C3">
        <w:rPr>
          <w:rFonts w:cs="Times New Roman"/>
        </w:rPr>
        <w:t xml:space="preserve">The </w:t>
      </w:r>
      <w:r w:rsidR="001E74A9" w:rsidRPr="002B72C3">
        <w:rPr>
          <w:rFonts w:cs="Times New Roman"/>
        </w:rPr>
        <w:t>renewal of the</w:t>
      </w:r>
      <w:r w:rsidRPr="002B72C3">
        <w:rPr>
          <w:rFonts w:cs="Times New Roman"/>
        </w:rPr>
        <w:t xml:space="preserve"> generic IC was approved for </w:t>
      </w:r>
      <w:r w:rsidR="008E4B06" w:rsidRPr="002B72C3">
        <w:rPr>
          <w:rFonts w:cs="Times New Roman"/>
        </w:rPr>
        <w:t>three years, during which time ACF requested</w:t>
      </w:r>
      <w:r w:rsidR="00B33750" w:rsidRPr="002B72C3">
        <w:rPr>
          <w:rFonts w:cs="Times New Roman"/>
        </w:rPr>
        <w:t xml:space="preserve"> </w:t>
      </w:r>
      <w:r w:rsidR="003A4957" w:rsidRPr="002B72C3">
        <w:rPr>
          <w:rFonts w:cs="Times New Roman"/>
        </w:rPr>
        <w:t xml:space="preserve">three </w:t>
      </w:r>
      <w:r w:rsidR="004035FC" w:rsidRPr="002B72C3">
        <w:rPr>
          <w:rFonts w:cs="Times New Roman"/>
        </w:rPr>
        <w:t>generic ICs for pretesting</w:t>
      </w:r>
      <w:r w:rsidR="002570BB" w:rsidRPr="002B72C3">
        <w:rPr>
          <w:rFonts w:cs="Times New Roman"/>
        </w:rPr>
        <w:t xml:space="preserve"> and one change request to increase the number of respondents under a previously approved GenIC</w:t>
      </w:r>
      <w:r w:rsidR="008E4B06" w:rsidRPr="002B72C3">
        <w:rPr>
          <w:rFonts w:cs="Times New Roman"/>
        </w:rPr>
        <w:t xml:space="preserve">. </w:t>
      </w:r>
      <w:r w:rsidR="003206FE" w:rsidRPr="002B72C3">
        <w:rPr>
          <w:rFonts w:cs="Times New Roman"/>
        </w:rPr>
        <w:t xml:space="preserve">The use of the pre-testing generic IC has been beneficial to the development of instruments for these research studies. </w:t>
      </w:r>
      <w:r w:rsidR="001A0DD1" w:rsidRPr="002B72C3">
        <w:rPr>
          <w:rFonts w:cs="Times New Roman"/>
        </w:rPr>
        <w:t xml:space="preserve">Over the three years, </w:t>
      </w:r>
      <w:r w:rsidR="00501D59" w:rsidRPr="002B72C3">
        <w:rPr>
          <w:rFonts w:cs="Times New Roman"/>
        </w:rPr>
        <w:t xml:space="preserve">ACF </w:t>
      </w:r>
      <w:r w:rsidR="001A0DD1" w:rsidRPr="002B72C3">
        <w:rPr>
          <w:rFonts w:cs="Times New Roman"/>
        </w:rPr>
        <w:t>collect</w:t>
      </w:r>
      <w:r w:rsidR="009600AA">
        <w:rPr>
          <w:rFonts w:cs="Times New Roman"/>
        </w:rPr>
        <w:t>ed</w:t>
      </w:r>
      <w:r w:rsidR="00501D59" w:rsidRPr="002B72C3">
        <w:rPr>
          <w:rFonts w:cs="Times New Roman"/>
        </w:rPr>
        <w:t xml:space="preserve"> information </w:t>
      </w:r>
      <w:r w:rsidR="001A0DD1" w:rsidRPr="002B72C3">
        <w:rPr>
          <w:rFonts w:cs="Times New Roman"/>
        </w:rPr>
        <w:t>from</w:t>
      </w:r>
      <w:r w:rsidR="00501D59" w:rsidRPr="002B72C3">
        <w:rPr>
          <w:rFonts w:cs="Times New Roman"/>
        </w:rPr>
        <w:t xml:space="preserve"> </w:t>
      </w:r>
      <w:r w:rsidR="009600AA">
        <w:rPr>
          <w:rFonts w:cs="Times New Roman"/>
        </w:rPr>
        <w:t>1,573</w:t>
      </w:r>
      <w:r w:rsidR="001A0DD1" w:rsidRPr="002B72C3">
        <w:rPr>
          <w:rFonts w:cs="Times New Roman"/>
        </w:rPr>
        <w:t xml:space="preserve"> respondents</w:t>
      </w:r>
      <w:r w:rsidR="00501D59" w:rsidRPr="002B72C3">
        <w:rPr>
          <w:rFonts w:cs="Times New Roman"/>
        </w:rPr>
        <w:t>,</w:t>
      </w:r>
      <w:r w:rsidR="009600AA">
        <w:rPr>
          <w:rFonts w:cs="Times New Roman"/>
        </w:rPr>
        <w:t xml:space="preserve"> for a total of 1,178 </w:t>
      </w:r>
      <w:r w:rsidR="001A0DD1" w:rsidRPr="002B72C3">
        <w:rPr>
          <w:rFonts w:cs="Times New Roman"/>
        </w:rPr>
        <w:t>hours of burden.</w:t>
      </w:r>
      <w:r w:rsidR="00417784" w:rsidRPr="002B72C3">
        <w:rPr>
          <w:rFonts w:cs="Times New Roman"/>
        </w:rPr>
        <w:t xml:space="preserve"> During the previous three years of clearance, information was collected from 3,605 respondents</w:t>
      </w:r>
      <w:r w:rsidR="009600AA">
        <w:rPr>
          <w:rFonts w:cs="Times New Roman"/>
        </w:rPr>
        <w:t xml:space="preserve"> </w:t>
      </w:r>
      <w:r w:rsidR="00417784" w:rsidRPr="002B72C3">
        <w:rPr>
          <w:rFonts w:cs="Times New Roman"/>
        </w:rPr>
        <w:t xml:space="preserve">requiring 1,336 hours of burden. The </w:t>
      </w:r>
      <w:r w:rsidR="00501D59" w:rsidRPr="002B72C3">
        <w:rPr>
          <w:rFonts w:cs="Times New Roman"/>
        </w:rPr>
        <w:t xml:space="preserve">continued </w:t>
      </w:r>
      <w:r w:rsidR="00417784" w:rsidRPr="002B72C3">
        <w:rPr>
          <w:rFonts w:cs="Times New Roman"/>
        </w:rPr>
        <w:t>use of the generic from 201</w:t>
      </w:r>
      <w:r w:rsidR="009600AA">
        <w:rPr>
          <w:rFonts w:cs="Times New Roman"/>
        </w:rPr>
        <w:t>5</w:t>
      </w:r>
      <w:r w:rsidR="00417784" w:rsidRPr="002B72C3">
        <w:rPr>
          <w:rFonts w:cs="Times New Roman"/>
        </w:rPr>
        <w:t>-201</w:t>
      </w:r>
      <w:r w:rsidR="009600AA">
        <w:rPr>
          <w:rFonts w:cs="Times New Roman"/>
        </w:rPr>
        <w:t>7</w:t>
      </w:r>
      <w:r w:rsidR="00417784" w:rsidRPr="002B72C3">
        <w:rPr>
          <w:rFonts w:cs="Times New Roman"/>
        </w:rPr>
        <w:t xml:space="preserve"> is indicative of the usefulness of pretesting our surveys and procedures. </w:t>
      </w:r>
    </w:p>
    <w:p w:rsidR="0092452D" w:rsidRPr="002B72C3" w:rsidRDefault="0092452D">
      <w:pPr>
        <w:rPr>
          <w:rFonts w:cs="Times New Roman"/>
        </w:rPr>
      </w:pPr>
    </w:p>
    <w:tbl>
      <w:tblPr>
        <w:tblStyle w:val="TableGrid"/>
        <w:tblW w:w="0" w:type="auto"/>
        <w:tblLook w:val="04A0" w:firstRow="1" w:lastRow="0" w:firstColumn="1" w:lastColumn="0" w:noHBand="0" w:noVBand="1"/>
      </w:tblPr>
      <w:tblGrid>
        <w:gridCol w:w="1278"/>
        <w:gridCol w:w="4388"/>
        <w:gridCol w:w="1800"/>
        <w:gridCol w:w="2070"/>
      </w:tblGrid>
      <w:tr w:rsidR="003206FE" w:rsidRPr="002B72C3" w:rsidTr="003206FE">
        <w:tc>
          <w:tcPr>
            <w:tcW w:w="1210" w:type="dxa"/>
          </w:tcPr>
          <w:p w:rsidR="003206FE" w:rsidRPr="002B72C3" w:rsidRDefault="003206FE">
            <w:pPr>
              <w:rPr>
                <w:rFonts w:cs="Times New Roman"/>
                <w:b/>
              </w:rPr>
            </w:pPr>
            <w:r w:rsidRPr="002B72C3">
              <w:rPr>
                <w:rFonts w:cs="Times New Roman"/>
                <w:b/>
              </w:rPr>
              <w:t>Date</w:t>
            </w:r>
          </w:p>
        </w:tc>
        <w:tc>
          <w:tcPr>
            <w:tcW w:w="4388" w:type="dxa"/>
          </w:tcPr>
          <w:p w:rsidR="003206FE" w:rsidRPr="002B72C3" w:rsidRDefault="003206FE">
            <w:pPr>
              <w:rPr>
                <w:rFonts w:cs="Times New Roman"/>
                <w:b/>
              </w:rPr>
            </w:pPr>
            <w:r w:rsidRPr="002B72C3">
              <w:rPr>
                <w:rFonts w:cs="Times New Roman"/>
                <w:b/>
              </w:rPr>
              <w:t>Project</w:t>
            </w:r>
          </w:p>
        </w:tc>
        <w:tc>
          <w:tcPr>
            <w:tcW w:w="1800" w:type="dxa"/>
          </w:tcPr>
          <w:p w:rsidR="003206FE" w:rsidRPr="002B72C3" w:rsidRDefault="003206FE">
            <w:pPr>
              <w:rPr>
                <w:rFonts w:cs="Times New Roman"/>
                <w:b/>
              </w:rPr>
            </w:pPr>
            <w:r w:rsidRPr="002B72C3">
              <w:rPr>
                <w:rFonts w:cs="Times New Roman"/>
                <w:b/>
              </w:rPr>
              <w:t>Respondents</w:t>
            </w:r>
          </w:p>
        </w:tc>
        <w:tc>
          <w:tcPr>
            <w:tcW w:w="2070" w:type="dxa"/>
          </w:tcPr>
          <w:p w:rsidR="003206FE" w:rsidRPr="002B72C3" w:rsidRDefault="003206FE">
            <w:pPr>
              <w:rPr>
                <w:rFonts w:cs="Times New Roman"/>
                <w:b/>
              </w:rPr>
            </w:pPr>
            <w:r w:rsidRPr="002B72C3">
              <w:rPr>
                <w:rFonts w:cs="Times New Roman"/>
                <w:b/>
              </w:rPr>
              <w:t>Burden Hours</w:t>
            </w:r>
          </w:p>
        </w:tc>
      </w:tr>
      <w:tr w:rsidR="003A4957" w:rsidRPr="002B72C3" w:rsidTr="003206FE">
        <w:tc>
          <w:tcPr>
            <w:tcW w:w="1210" w:type="dxa"/>
          </w:tcPr>
          <w:p w:rsidR="003A4957" w:rsidRPr="002B72C3" w:rsidRDefault="002B72C3">
            <w:pPr>
              <w:rPr>
                <w:rFonts w:cs="Times New Roman"/>
              </w:rPr>
            </w:pPr>
            <w:r w:rsidRPr="002B72C3">
              <w:rPr>
                <w:rFonts w:cs="Times New Roman"/>
              </w:rPr>
              <w:t>3/26/2015</w:t>
            </w:r>
          </w:p>
        </w:tc>
        <w:tc>
          <w:tcPr>
            <w:tcW w:w="4388" w:type="dxa"/>
          </w:tcPr>
          <w:p w:rsidR="003A4957" w:rsidRPr="002B72C3" w:rsidRDefault="003A4957" w:rsidP="001E74A9">
            <w:r w:rsidRPr="002B72C3">
              <w:rPr>
                <w:color w:val="000000"/>
              </w:rPr>
              <w:t>Permanency Innovations Initiative - California Partnership for Permanency (CAPP)</w:t>
            </w:r>
            <w:r w:rsidR="002570BB" w:rsidRPr="002B72C3">
              <w:rPr>
                <w:color w:val="000000"/>
              </w:rPr>
              <w:t xml:space="preserve">  - </w:t>
            </w:r>
            <w:r w:rsidR="002570BB" w:rsidRPr="002B72C3">
              <w:rPr>
                <w:b/>
                <w:color w:val="000000"/>
              </w:rPr>
              <w:t>Change Request</w:t>
            </w:r>
            <w:r w:rsidR="002570BB" w:rsidRPr="002B72C3">
              <w:rPr>
                <w:color w:val="000000"/>
              </w:rPr>
              <w:t xml:space="preserve"> to increase number of respondents</w:t>
            </w:r>
          </w:p>
        </w:tc>
        <w:tc>
          <w:tcPr>
            <w:tcW w:w="1800" w:type="dxa"/>
            <w:vAlign w:val="center"/>
          </w:tcPr>
          <w:p w:rsidR="003A4957" w:rsidRPr="002B72C3" w:rsidRDefault="003A4957" w:rsidP="008E4B06">
            <w:pPr>
              <w:jc w:val="center"/>
              <w:rPr>
                <w:rFonts w:cs="Times New Roman"/>
              </w:rPr>
            </w:pPr>
            <w:r w:rsidRPr="002B72C3">
              <w:rPr>
                <w:rFonts w:cs="Times New Roman"/>
              </w:rPr>
              <w:t>49</w:t>
            </w:r>
          </w:p>
        </w:tc>
        <w:tc>
          <w:tcPr>
            <w:tcW w:w="2070" w:type="dxa"/>
            <w:vAlign w:val="center"/>
          </w:tcPr>
          <w:p w:rsidR="003A4957" w:rsidRPr="002B72C3" w:rsidRDefault="003A4957" w:rsidP="008E4B06">
            <w:pPr>
              <w:jc w:val="center"/>
              <w:rPr>
                <w:rFonts w:cs="Times New Roman"/>
              </w:rPr>
            </w:pPr>
            <w:r w:rsidRPr="002B72C3">
              <w:rPr>
                <w:rFonts w:cs="Times New Roman"/>
              </w:rPr>
              <w:t>22</w:t>
            </w:r>
          </w:p>
        </w:tc>
      </w:tr>
      <w:tr w:rsidR="003206FE" w:rsidRPr="002B72C3" w:rsidTr="003206FE">
        <w:tc>
          <w:tcPr>
            <w:tcW w:w="1210" w:type="dxa"/>
          </w:tcPr>
          <w:p w:rsidR="003206FE" w:rsidRPr="002B72C3" w:rsidRDefault="002570BB">
            <w:pPr>
              <w:rPr>
                <w:rFonts w:cs="Times New Roman"/>
              </w:rPr>
            </w:pPr>
            <w:r w:rsidRPr="002B72C3">
              <w:rPr>
                <w:color w:val="153870"/>
              </w:rPr>
              <w:t>10/2/2015</w:t>
            </w:r>
          </w:p>
        </w:tc>
        <w:tc>
          <w:tcPr>
            <w:tcW w:w="4388" w:type="dxa"/>
          </w:tcPr>
          <w:p w:rsidR="003206FE" w:rsidRPr="002B72C3" w:rsidRDefault="003A4957" w:rsidP="001E74A9">
            <w:r w:rsidRPr="002B72C3">
              <w:rPr>
                <w:color w:val="000000"/>
              </w:rPr>
              <w:t>Assessing Early Childhood Teachers' Use of Child Progress Monitoring to Individualize Teaching Practices</w:t>
            </w:r>
          </w:p>
        </w:tc>
        <w:tc>
          <w:tcPr>
            <w:tcW w:w="1800" w:type="dxa"/>
            <w:vAlign w:val="center"/>
          </w:tcPr>
          <w:p w:rsidR="003206FE" w:rsidRPr="002B72C3" w:rsidRDefault="003A4957" w:rsidP="008E4B06">
            <w:pPr>
              <w:jc w:val="center"/>
              <w:rPr>
                <w:rFonts w:cs="Times New Roman"/>
              </w:rPr>
            </w:pPr>
            <w:r w:rsidRPr="002B72C3">
              <w:rPr>
                <w:rFonts w:cs="Times New Roman"/>
              </w:rPr>
              <w:t>72</w:t>
            </w:r>
          </w:p>
        </w:tc>
        <w:tc>
          <w:tcPr>
            <w:tcW w:w="2070" w:type="dxa"/>
            <w:vAlign w:val="center"/>
          </w:tcPr>
          <w:p w:rsidR="003206FE" w:rsidRPr="002B72C3" w:rsidRDefault="003A4957" w:rsidP="003A4957">
            <w:pPr>
              <w:jc w:val="center"/>
              <w:rPr>
                <w:rFonts w:cs="Times New Roman"/>
              </w:rPr>
            </w:pPr>
            <w:r w:rsidRPr="002B72C3">
              <w:rPr>
                <w:rFonts w:cs="Times New Roman"/>
              </w:rPr>
              <w:t>36</w:t>
            </w:r>
          </w:p>
        </w:tc>
      </w:tr>
      <w:tr w:rsidR="003206FE" w:rsidRPr="002B72C3" w:rsidTr="003206FE">
        <w:tc>
          <w:tcPr>
            <w:tcW w:w="1210" w:type="dxa"/>
          </w:tcPr>
          <w:p w:rsidR="003206FE" w:rsidRPr="002B72C3" w:rsidRDefault="002570BB">
            <w:pPr>
              <w:rPr>
                <w:rFonts w:cs="Times New Roman"/>
              </w:rPr>
            </w:pPr>
            <w:r w:rsidRPr="002B72C3">
              <w:rPr>
                <w:color w:val="153870"/>
              </w:rPr>
              <w:t>10/14/2015</w:t>
            </w:r>
          </w:p>
        </w:tc>
        <w:tc>
          <w:tcPr>
            <w:tcW w:w="4388" w:type="dxa"/>
          </w:tcPr>
          <w:p w:rsidR="003206FE" w:rsidRPr="002B72C3" w:rsidRDefault="003A4957">
            <w:pPr>
              <w:rPr>
                <w:rFonts w:cs="Times New Roman"/>
              </w:rPr>
            </w:pPr>
            <w:r w:rsidRPr="002B72C3">
              <w:rPr>
                <w:color w:val="000000"/>
              </w:rPr>
              <w:t>Assessing the Implementation and Cost of High Quality Early Care and Education: Comparative Multi-Case Study, Phase 1</w:t>
            </w:r>
          </w:p>
        </w:tc>
        <w:tc>
          <w:tcPr>
            <w:tcW w:w="1800" w:type="dxa"/>
            <w:vAlign w:val="center"/>
          </w:tcPr>
          <w:p w:rsidR="003206FE" w:rsidRPr="002B72C3" w:rsidRDefault="003A4957" w:rsidP="008E4B06">
            <w:pPr>
              <w:jc w:val="center"/>
              <w:rPr>
                <w:rFonts w:cs="Times New Roman"/>
              </w:rPr>
            </w:pPr>
            <w:r w:rsidRPr="002B72C3">
              <w:rPr>
                <w:rFonts w:cs="Times New Roman"/>
              </w:rPr>
              <w:t>576</w:t>
            </w:r>
          </w:p>
        </w:tc>
        <w:tc>
          <w:tcPr>
            <w:tcW w:w="2070" w:type="dxa"/>
            <w:vAlign w:val="center"/>
          </w:tcPr>
          <w:p w:rsidR="003206FE" w:rsidRPr="002B72C3" w:rsidRDefault="003A4957" w:rsidP="008E4B06">
            <w:pPr>
              <w:jc w:val="center"/>
              <w:rPr>
                <w:rFonts w:cs="Times New Roman"/>
              </w:rPr>
            </w:pPr>
            <w:r w:rsidRPr="002B72C3">
              <w:rPr>
                <w:rFonts w:cs="Times New Roman"/>
              </w:rPr>
              <w:t>676</w:t>
            </w:r>
          </w:p>
        </w:tc>
      </w:tr>
      <w:tr w:rsidR="003206FE" w:rsidRPr="002B72C3" w:rsidTr="003206FE">
        <w:tc>
          <w:tcPr>
            <w:tcW w:w="1210" w:type="dxa"/>
          </w:tcPr>
          <w:p w:rsidR="003206FE" w:rsidRPr="002B72C3" w:rsidRDefault="002570BB" w:rsidP="001E74A9">
            <w:pPr>
              <w:tabs>
                <w:tab w:val="left" w:pos="693"/>
              </w:tabs>
              <w:rPr>
                <w:rFonts w:cs="Times New Roman"/>
              </w:rPr>
            </w:pPr>
            <w:r w:rsidRPr="002B72C3">
              <w:rPr>
                <w:rFonts w:cs="Times New Roman"/>
              </w:rPr>
              <w:t>11/18/2015</w:t>
            </w:r>
          </w:p>
        </w:tc>
        <w:tc>
          <w:tcPr>
            <w:tcW w:w="4388" w:type="dxa"/>
          </w:tcPr>
          <w:p w:rsidR="003206FE" w:rsidRPr="002B72C3" w:rsidRDefault="003A4957">
            <w:r w:rsidRPr="002B72C3">
              <w:rPr>
                <w:color w:val="000000"/>
              </w:rPr>
              <w:t>Pre-testing of Evaluation Surveys: An Examination of the Intersection of Domestic Human Trafficking with Child Welfare and Runaway and Homeless Youth Programs</w:t>
            </w:r>
          </w:p>
        </w:tc>
        <w:tc>
          <w:tcPr>
            <w:tcW w:w="1800" w:type="dxa"/>
            <w:vAlign w:val="center"/>
          </w:tcPr>
          <w:p w:rsidR="003206FE" w:rsidRPr="002B72C3" w:rsidRDefault="003A4957" w:rsidP="008E4B06">
            <w:pPr>
              <w:jc w:val="center"/>
              <w:rPr>
                <w:rFonts w:cs="Times New Roman"/>
              </w:rPr>
            </w:pPr>
            <w:r w:rsidRPr="002B72C3">
              <w:rPr>
                <w:rFonts w:cs="Times New Roman"/>
              </w:rPr>
              <w:t>600</w:t>
            </w:r>
          </w:p>
        </w:tc>
        <w:tc>
          <w:tcPr>
            <w:tcW w:w="2070" w:type="dxa"/>
            <w:vAlign w:val="center"/>
          </w:tcPr>
          <w:p w:rsidR="003206FE" w:rsidRPr="002B72C3" w:rsidRDefault="003A4957" w:rsidP="008E4B06">
            <w:pPr>
              <w:jc w:val="center"/>
              <w:rPr>
                <w:rFonts w:cs="Times New Roman"/>
              </w:rPr>
            </w:pPr>
            <w:r w:rsidRPr="002B72C3">
              <w:rPr>
                <w:rFonts w:cs="Times New Roman"/>
              </w:rPr>
              <w:t>168</w:t>
            </w:r>
          </w:p>
        </w:tc>
      </w:tr>
      <w:tr w:rsidR="00B379A5" w:rsidRPr="002B72C3" w:rsidTr="003206FE">
        <w:tc>
          <w:tcPr>
            <w:tcW w:w="1210" w:type="dxa"/>
          </w:tcPr>
          <w:p w:rsidR="00B379A5" w:rsidRPr="009600AA" w:rsidRDefault="009600AA" w:rsidP="009600AA">
            <w:r>
              <w:t>9/13/2017</w:t>
            </w:r>
          </w:p>
        </w:tc>
        <w:tc>
          <w:tcPr>
            <w:tcW w:w="4388" w:type="dxa"/>
          </w:tcPr>
          <w:p w:rsidR="00B379A5" w:rsidRPr="009600AA" w:rsidRDefault="009600AA" w:rsidP="009600AA">
            <w:r w:rsidRPr="009600AA">
              <w:t>Pretest of the Annual Survey of Refugees</w:t>
            </w:r>
          </w:p>
        </w:tc>
        <w:tc>
          <w:tcPr>
            <w:tcW w:w="1800" w:type="dxa"/>
            <w:vAlign w:val="center"/>
          </w:tcPr>
          <w:p w:rsidR="00B379A5" w:rsidRPr="009600AA" w:rsidRDefault="009600AA" w:rsidP="009600AA">
            <w:pPr>
              <w:jc w:val="center"/>
            </w:pPr>
            <w:r>
              <w:t>276</w:t>
            </w:r>
          </w:p>
        </w:tc>
        <w:tc>
          <w:tcPr>
            <w:tcW w:w="2070" w:type="dxa"/>
            <w:vAlign w:val="center"/>
          </w:tcPr>
          <w:p w:rsidR="00B379A5" w:rsidRPr="009600AA" w:rsidRDefault="009600AA" w:rsidP="009600AA">
            <w:pPr>
              <w:jc w:val="center"/>
            </w:pPr>
            <w:r>
              <w:t>276</w:t>
            </w:r>
          </w:p>
        </w:tc>
      </w:tr>
      <w:tr w:rsidR="00B33750" w:rsidRPr="002B72C3" w:rsidTr="003206FE">
        <w:tc>
          <w:tcPr>
            <w:tcW w:w="5598" w:type="dxa"/>
            <w:gridSpan w:val="2"/>
            <w:vAlign w:val="center"/>
          </w:tcPr>
          <w:p w:rsidR="00B33750" w:rsidRPr="002B72C3" w:rsidRDefault="00B33750" w:rsidP="00B33750">
            <w:pPr>
              <w:jc w:val="right"/>
              <w:rPr>
                <w:rFonts w:cs="Times New Roman"/>
                <w:b/>
              </w:rPr>
            </w:pPr>
            <w:r w:rsidRPr="002B72C3">
              <w:rPr>
                <w:rFonts w:cs="Times New Roman"/>
                <w:b/>
              </w:rPr>
              <w:t>Total over 3 Years</w:t>
            </w:r>
          </w:p>
        </w:tc>
        <w:tc>
          <w:tcPr>
            <w:tcW w:w="1800" w:type="dxa"/>
            <w:vAlign w:val="center"/>
          </w:tcPr>
          <w:p w:rsidR="00B33750" w:rsidRPr="002B72C3" w:rsidRDefault="003A4957" w:rsidP="009600AA">
            <w:pPr>
              <w:jc w:val="center"/>
              <w:rPr>
                <w:rFonts w:cs="Times New Roman"/>
                <w:b/>
              </w:rPr>
            </w:pPr>
            <w:r w:rsidRPr="002B72C3">
              <w:rPr>
                <w:rFonts w:cs="Times New Roman"/>
                <w:b/>
              </w:rPr>
              <w:t>1</w:t>
            </w:r>
            <w:r w:rsidR="009600AA">
              <w:rPr>
                <w:rFonts w:cs="Times New Roman"/>
                <w:b/>
              </w:rPr>
              <w:t>573</w:t>
            </w:r>
          </w:p>
        </w:tc>
        <w:tc>
          <w:tcPr>
            <w:tcW w:w="2070" w:type="dxa"/>
            <w:vAlign w:val="center"/>
          </w:tcPr>
          <w:p w:rsidR="00B33750" w:rsidRPr="002B72C3" w:rsidRDefault="009600AA" w:rsidP="008E4B06">
            <w:pPr>
              <w:jc w:val="center"/>
              <w:rPr>
                <w:rFonts w:cs="Times New Roman"/>
                <w:b/>
              </w:rPr>
            </w:pPr>
            <w:r>
              <w:rPr>
                <w:rFonts w:cs="Times New Roman"/>
                <w:b/>
              </w:rPr>
              <w:t>1,178</w:t>
            </w:r>
          </w:p>
        </w:tc>
      </w:tr>
    </w:tbl>
    <w:p w:rsidR="0092452D" w:rsidRPr="002B72C3" w:rsidRDefault="0092452D">
      <w:pPr>
        <w:rPr>
          <w:rFonts w:cs="Times New Roman"/>
        </w:rPr>
      </w:pPr>
    </w:p>
    <w:p w:rsidR="00986E51" w:rsidRPr="002B72C3" w:rsidRDefault="00986E51">
      <w:pPr>
        <w:rPr>
          <w:rFonts w:cs="Times New Roman"/>
        </w:rPr>
      </w:pPr>
    </w:p>
    <w:p w:rsidR="00986E51" w:rsidRPr="002B72C3" w:rsidRDefault="00986E51">
      <w:pPr>
        <w:rPr>
          <w:rFonts w:cs="Times New Roman"/>
        </w:rPr>
      </w:pPr>
    </w:p>
    <w:p w:rsidR="001A0DD1" w:rsidRPr="002B72C3" w:rsidRDefault="008C2F6E">
      <w:pPr>
        <w:rPr>
          <w:rFonts w:cs="Times New Roman"/>
          <w:b/>
          <w:u w:val="single"/>
        </w:rPr>
      </w:pPr>
      <w:r w:rsidRPr="002B72C3">
        <w:rPr>
          <w:rFonts w:cs="Times New Roman"/>
          <w:b/>
          <w:u w:val="single"/>
        </w:rPr>
        <w:t>Example uses of the Pre-testing Generic Clearance</w:t>
      </w:r>
    </w:p>
    <w:p w:rsidR="008C2F6E" w:rsidRPr="002B72C3" w:rsidRDefault="008C2F6E" w:rsidP="008C2F6E">
      <w:pPr>
        <w:rPr>
          <w:i/>
        </w:rPr>
      </w:pPr>
    </w:p>
    <w:p w:rsidR="003A4957" w:rsidRPr="002B72C3" w:rsidRDefault="003A4957" w:rsidP="008C2F6E">
      <w:pPr>
        <w:rPr>
          <w:b/>
          <w:i/>
        </w:rPr>
      </w:pPr>
      <w:r w:rsidRPr="002B72C3">
        <w:rPr>
          <w:b/>
          <w:i/>
          <w:color w:val="000000"/>
        </w:rPr>
        <w:t>Assessing the Implementation and Cost of High Quality Early Care and Education: Comparative Multi-Case Study, Phase 1</w:t>
      </w:r>
    </w:p>
    <w:p w:rsidR="003A4957" w:rsidRPr="002B72C3" w:rsidRDefault="00C8068D" w:rsidP="008C2F6E">
      <w:r w:rsidRPr="002B72C3">
        <w:t>The Assessing the Implementation and Cost of High Quality Early Care and Education (ECE-ICHQ) project is creating an instrument that will produce measures of the implementation and costs of the key functions that support quality in center-based Early Care and Education (ECE) serving children from birth to age 5.</w:t>
      </w:r>
      <w:r w:rsidRPr="002B72C3">
        <w:rPr>
          <w:vertAlign w:val="superscript"/>
        </w:rPr>
        <w:footnoteReference w:id="1"/>
      </w:r>
      <w:r w:rsidRPr="002B72C3">
        <w:t xml:space="preserve"> The specific goals of this two-phase comparative multi-case study are (1) to test and refine a </w:t>
      </w:r>
      <w:r w:rsidRPr="002B72C3">
        <w:lastRenderedPageBreak/>
        <w:t>mixed-methods approach to identify the implementation activities and costs of key functions within ECE centers serving children from birth to age 5 and (2) to produce data for creating measures of implementation and costs.</w:t>
      </w:r>
    </w:p>
    <w:p w:rsidR="00204053" w:rsidRDefault="00204053" w:rsidP="008C2F6E"/>
    <w:p w:rsidR="00C8068D" w:rsidRDefault="00C8068D" w:rsidP="008C2F6E">
      <w:pPr>
        <w:rPr>
          <w:rFonts w:cs="ArialMT"/>
        </w:rPr>
      </w:pPr>
      <w:r w:rsidRPr="002B72C3">
        <w:t xml:space="preserve">The ECE-ICHQ study team began work by developing a conceptual framework; conducting a review of the literature (Caronongan et al., 2016); consulting a technical expert panel (TEP); and collecting and summarizing findings from Phase 1 of the study. Phase 1 was completed under the pre-testing generic clearance (0970-0355). This work included thoroughly testing data collection tools and methods, conducting cognitive interviews to obtain feedback from respondents about the tools, and refining and reducing the tools for this next phase. </w:t>
      </w:r>
      <w:r w:rsidR="00094B1F" w:rsidRPr="002B72C3">
        <w:t>Data collection under Phase 1 informed the development of Phase 2, which is currently in the field (0970-0499).</w:t>
      </w:r>
      <w:r w:rsidR="00094B1F" w:rsidRPr="002B72C3">
        <w:rPr>
          <w:rFonts w:cs="ArialMT"/>
        </w:rPr>
        <w:t xml:space="preserve"> </w:t>
      </w:r>
    </w:p>
    <w:p w:rsidR="00204053" w:rsidRDefault="00204053" w:rsidP="008C2F6E">
      <w:pPr>
        <w:rPr>
          <w:rFonts w:cs="ArialMT"/>
        </w:rPr>
      </w:pPr>
    </w:p>
    <w:p w:rsidR="00204053" w:rsidRPr="002B72C3" w:rsidRDefault="00204053" w:rsidP="008C2F6E">
      <w:r>
        <w:t xml:space="preserve">The generic clearance was essential in allowing </w:t>
      </w:r>
      <w:r w:rsidR="00466648">
        <w:t>the team</w:t>
      </w:r>
      <w:r>
        <w:t xml:space="preserve"> to refine </w:t>
      </w:r>
      <w:r w:rsidR="00466648">
        <w:t>the</w:t>
      </w:r>
      <w:r>
        <w:t xml:space="preserve"> data collection tools before going into the field with a larger sample in Phase 2.  Based on findings from Phase 1, we shortened the tools (we identified redundancies and non-essential items that could be deleted), we clarified terms, and we restructured the tools to be more user friendly (we developed questionnaire rubrics instead of interview scripts allowing for easier coding of responses following the interviews).  These changes ultimately reduced burden on participants as well as burden on field staff scoring and reporting responses. Additionally, based on findings from Phase 1, recruitment of centers was modified given our difficulty initially recruiting diverse centers into the study.  </w:t>
      </w:r>
    </w:p>
    <w:p w:rsidR="003A4957" w:rsidRPr="002B72C3" w:rsidRDefault="003A4957" w:rsidP="008C2F6E">
      <w:pPr>
        <w:rPr>
          <w:b/>
          <w:i/>
        </w:rPr>
      </w:pPr>
    </w:p>
    <w:p w:rsidR="008C2F6E" w:rsidRPr="002B72C3" w:rsidRDefault="008C2F6E" w:rsidP="008C2F6E">
      <w:pPr>
        <w:rPr>
          <w:b/>
        </w:rPr>
      </w:pPr>
      <w:r w:rsidRPr="002B72C3">
        <w:rPr>
          <w:b/>
          <w:i/>
        </w:rPr>
        <w:t>Family-Teacher/Provider Relationship Quality measure development (FTPRQ) project</w:t>
      </w:r>
      <w:r w:rsidRPr="002B72C3">
        <w:rPr>
          <w:b/>
        </w:rPr>
        <w:t xml:space="preserve"> </w:t>
      </w:r>
    </w:p>
    <w:p w:rsidR="008C2F6E" w:rsidRPr="002B72C3" w:rsidRDefault="008C2F6E" w:rsidP="008C2F6E">
      <w:r w:rsidRPr="002B72C3">
        <w:t xml:space="preserve">The Family-Teacher/Provider Relationship Quality measure development (FTPRQ) project created a set of new measures to assess the quality of the relationship between families of young children (ages 0-5 years) and the child’s teacher or child care provider. These relationships are an important component of family engagement in early childhood programs, but no appropriate measure existed.  </w:t>
      </w:r>
    </w:p>
    <w:p w:rsidR="008C2F6E" w:rsidRPr="002B72C3" w:rsidRDefault="008C2F6E" w:rsidP="008C2F6E"/>
    <w:p w:rsidR="008C2F6E" w:rsidRPr="002B72C3" w:rsidRDefault="008C2F6E" w:rsidP="008C2F6E">
      <w:r w:rsidRPr="002B72C3">
        <w:t>Both the formative generic clearance (0970-0356) and the pre-testing generic clearance (0970-0355) were integral in developing these measures. Under the formative generic clearance, ACF/OPRE conducted focus groups with families and teachers/providers. These focus groups were essential for ensuring that our measures were based on a realistic conceptual model and that we were using terminology and language that families and teachers/providers would understand. After developing initial drafts of measures, which were based in part on the results of the focus groups as well as an extensive review of the literature and pre-existing related measures, ACF received permission conduct cognitive interviews under the pre-testing generic clearance. Three rounds of cognitive interviews were conducted, which further enabled us to test and refine our measures, so that they were ready for testing in pilot and field tests (conducted under OMB clearance 0970-0420). The thoroughly tested and final measures</w:t>
      </w:r>
      <w:r w:rsidR="00360140" w:rsidRPr="002B72C3">
        <w:t xml:space="preserve"> were released in November 2014 and have been very well-received by the field.</w:t>
      </w:r>
    </w:p>
    <w:p w:rsidR="008C2F6E" w:rsidRPr="002B72C3" w:rsidRDefault="008C2F6E" w:rsidP="008C2F6E"/>
    <w:p w:rsidR="00BB2276" w:rsidRPr="002B72C3" w:rsidRDefault="00BB2276" w:rsidP="008C2F6E"/>
    <w:p w:rsidR="002570BB" w:rsidRPr="002B72C3" w:rsidRDefault="002570BB" w:rsidP="008C2F6E"/>
    <w:p w:rsidR="002570BB" w:rsidRPr="002B72C3" w:rsidRDefault="002570BB" w:rsidP="008C2F6E"/>
    <w:p w:rsidR="002570BB" w:rsidRPr="002B72C3" w:rsidRDefault="002570BB" w:rsidP="002570BB">
      <w:pPr>
        <w:pStyle w:val="References"/>
        <w:rPr>
          <w:rFonts w:asciiTheme="minorHAnsi" w:hAnsiTheme="minorHAnsi"/>
          <w:sz w:val="22"/>
          <w:szCs w:val="22"/>
        </w:rPr>
      </w:pPr>
      <w:r w:rsidRPr="002B72C3">
        <w:rPr>
          <w:rFonts w:asciiTheme="minorHAnsi" w:hAnsiTheme="minorHAnsi"/>
          <w:sz w:val="22"/>
          <w:szCs w:val="22"/>
        </w:rPr>
        <w:t>Caronongan, P., G. Kirby, K. Boller, E. Modlin, J. Lyskawa. “Assessing the Implementation and Cost of High Quality Early Care and Education: A Review of Literature.” OPRE Report 2016-31. Washington, DC: U.S. Department of Health and Human Services, Administration for Children and Families, Office of Planning, Research and Evaluation, 2016.</w:t>
      </w:r>
      <w:r w:rsidRPr="002B72C3">
        <w:rPr>
          <w:rStyle w:val="FootnoteReference"/>
          <w:rFonts w:asciiTheme="minorHAnsi" w:hAnsiTheme="minorHAnsi"/>
          <w:sz w:val="22"/>
          <w:szCs w:val="22"/>
          <w:vertAlign w:val="baseline"/>
        </w:rPr>
        <w:t xml:space="preserve"> </w:t>
      </w:r>
    </w:p>
    <w:p w:rsidR="002570BB" w:rsidRPr="002B72C3" w:rsidRDefault="002570BB" w:rsidP="008C2F6E"/>
    <w:sectPr w:rsidR="002570BB" w:rsidRPr="002B72C3" w:rsidSect="00B243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68D" w:rsidRDefault="00C8068D" w:rsidP="00C8068D">
      <w:pPr>
        <w:spacing w:line="240" w:lineRule="auto"/>
      </w:pPr>
      <w:r>
        <w:separator/>
      </w:r>
    </w:p>
  </w:endnote>
  <w:endnote w:type="continuationSeparator" w:id="0">
    <w:p w:rsidR="00C8068D" w:rsidRDefault="00C8068D" w:rsidP="00C806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68D" w:rsidRDefault="00C8068D" w:rsidP="00C8068D">
      <w:pPr>
        <w:spacing w:line="240" w:lineRule="auto"/>
      </w:pPr>
      <w:r>
        <w:separator/>
      </w:r>
    </w:p>
  </w:footnote>
  <w:footnote w:type="continuationSeparator" w:id="0">
    <w:p w:rsidR="00C8068D" w:rsidRDefault="00C8068D" w:rsidP="00C8068D">
      <w:pPr>
        <w:spacing w:line="240" w:lineRule="auto"/>
      </w:pPr>
      <w:r>
        <w:continuationSeparator/>
      </w:r>
    </w:p>
  </w:footnote>
  <w:footnote w:id="1">
    <w:p w:rsidR="00C8068D" w:rsidRPr="000B1DDB" w:rsidRDefault="00C8068D" w:rsidP="00C8068D">
      <w:pPr>
        <w:pStyle w:val="FootnoteText"/>
        <w:rPr>
          <w:rFonts w:ascii="Times New Roman" w:hAnsi="Times New Roman"/>
        </w:rPr>
      </w:pPr>
      <w:r w:rsidRPr="000B1DDB">
        <w:rPr>
          <w:rStyle w:val="FootnoteReference"/>
          <w:rFonts w:ascii="Times New Roman" w:hAnsi="Times New Roman"/>
        </w:rPr>
        <w:footnoteRef/>
      </w:r>
      <w:r w:rsidRPr="000B1DDB">
        <w:rPr>
          <w:rFonts w:ascii="Times New Roman" w:hAnsi="Times New Roman"/>
        </w:rPr>
        <w:t xml:space="preserve"> The ECE-ICHQ conceptual framework includes six key functions: (1) instruction and caregiving; (2) workforce development; (3) leadership activities, planning, and evaluation; (4) center administration; (5) child and family support; and (6) instructional planning, coordination, and child assessment.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B1043"/>
    <w:multiLevelType w:val="hybridMultilevel"/>
    <w:tmpl w:val="7B1C5C08"/>
    <w:lvl w:ilvl="0" w:tplc="585A0C70">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C03"/>
    <w:rsid w:val="00016502"/>
    <w:rsid w:val="0009480D"/>
    <w:rsid w:val="00094B1F"/>
    <w:rsid w:val="000A2DB4"/>
    <w:rsid w:val="000F1509"/>
    <w:rsid w:val="00143646"/>
    <w:rsid w:val="00152121"/>
    <w:rsid w:val="00166223"/>
    <w:rsid w:val="001841B6"/>
    <w:rsid w:val="001A0DD1"/>
    <w:rsid w:val="001B5A73"/>
    <w:rsid w:val="001D17F9"/>
    <w:rsid w:val="001E74A9"/>
    <w:rsid w:val="00204053"/>
    <w:rsid w:val="002570BB"/>
    <w:rsid w:val="002A0196"/>
    <w:rsid w:val="002A05DC"/>
    <w:rsid w:val="002B72C3"/>
    <w:rsid w:val="003206FE"/>
    <w:rsid w:val="00360140"/>
    <w:rsid w:val="00375D4F"/>
    <w:rsid w:val="003A4957"/>
    <w:rsid w:val="003B6089"/>
    <w:rsid w:val="003C3A19"/>
    <w:rsid w:val="003E2797"/>
    <w:rsid w:val="003F1298"/>
    <w:rsid w:val="004035FC"/>
    <w:rsid w:val="00414135"/>
    <w:rsid w:val="00417784"/>
    <w:rsid w:val="00422FED"/>
    <w:rsid w:val="004321B4"/>
    <w:rsid w:val="004472C8"/>
    <w:rsid w:val="00447D9E"/>
    <w:rsid w:val="00466648"/>
    <w:rsid w:val="00485C03"/>
    <w:rsid w:val="004B539A"/>
    <w:rsid w:val="004C1685"/>
    <w:rsid w:val="004D2F34"/>
    <w:rsid w:val="00501793"/>
    <w:rsid w:val="00501D59"/>
    <w:rsid w:val="00517837"/>
    <w:rsid w:val="00520FD7"/>
    <w:rsid w:val="005902A9"/>
    <w:rsid w:val="00591095"/>
    <w:rsid w:val="005978A3"/>
    <w:rsid w:val="005D057C"/>
    <w:rsid w:val="005E091F"/>
    <w:rsid w:val="006659E4"/>
    <w:rsid w:val="006706A1"/>
    <w:rsid w:val="00677BC7"/>
    <w:rsid w:val="006B1D77"/>
    <w:rsid w:val="006E66B7"/>
    <w:rsid w:val="007673AC"/>
    <w:rsid w:val="007A2024"/>
    <w:rsid w:val="007A6568"/>
    <w:rsid w:val="0082632B"/>
    <w:rsid w:val="00830815"/>
    <w:rsid w:val="00882B62"/>
    <w:rsid w:val="00893E6B"/>
    <w:rsid w:val="008C2F6E"/>
    <w:rsid w:val="008D2FE2"/>
    <w:rsid w:val="008E21E2"/>
    <w:rsid w:val="008E2315"/>
    <w:rsid w:val="008E4B06"/>
    <w:rsid w:val="0092452D"/>
    <w:rsid w:val="00954CFC"/>
    <w:rsid w:val="0095558F"/>
    <w:rsid w:val="009600AA"/>
    <w:rsid w:val="00986E51"/>
    <w:rsid w:val="009974C8"/>
    <w:rsid w:val="009A33E7"/>
    <w:rsid w:val="009D43E4"/>
    <w:rsid w:val="00A430D8"/>
    <w:rsid w:val="00A513B8"/>
    <w:rsid w:val="00A61C78"/>
    <w:rsid w:val="00A7227A"/>
    <w:rsid w:val="00A976E4"/>
    <w:rsid w:val="00AA1F98"/>
    <w:rsid w:val="00AB0E71"/>
    <w:rsid w:val="00AB3782"/>
    <w:rsid w:val="00AD74E0"/>
    <w:rsid w:val="00B243E1"/>
    <w:rsid w:val="00B33750"/>
    <w:rsid w:val="00B379A5"/>
    <w:rsid w:val="00B85298"/>
    <w:rsid w:val="00BB2276"/>
    <w:rsid w:val="00BB25F1"/>
    <w:rsid w:val="00C21A50"/>
    <w:rsid w:val="00C30F86"/>
    <w:rsid w:val="00C35917"/>
    <w:rsid w:val="00C377F9"/>
    <w:rsid w:val="00C40F2F"/>
    <w:rsid w:val="00C42577"/>
    <w:rsid w:val="00C8068D"/>
    <w:rsid w:val="00C95C19"/>
    <w:rsid w:val="00CD4394"/>
    <w:rsid w:val="00D51095"/>
    <w:rsid w:val="00DA41F7"/>
    <w:rsid w:val="00DC7814"/>
    <w:rsid w:val="00E138DF"/>
    <w:rsid w:val="00E3689D"/>
    <w:rsid w:val="00E73310"/>
    <w:rsid w:val="00E73602"/>
    <w:rsid w:val="00ED46FE"/>
    <w:rsid w:val="00F55524"/>
    <w:rsid w:val="00FB2CBE"/>
    <w:rsid w:val="00FC209D"/>
    <w:rsid w:val="00FD075F"/>
    <w:rsid w:val="00FD0D8B"/>
    <w:rsid w:val="00FD3050"/>
    <w:rsid w:val="00FD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485C03"/>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Normal"/>
    <w:link w:val="MessageHeaderChar"/>
    <w:semiHidden/>
    <w:rsid w:val="00485C03"/>
    <w:pPr>
      <w:keepLines/>
      <w:spacing w:after="120"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485C03"/>
    <w:rPr>
      <w:rFonts w:ascii="Garamond" w:eastAsia="Times New Roman" w:hAnsi="Garamond" w:cs="Times New Roman"/>
      <w:caps/>
      <w:sz w:val="18"/>
      <w:szCs w:val="20"/>
    </w:rPr>
  </w:style>
  <w:style w:type="paragraph" w:customStyle="1" w:styleId="MessageHeaderFirst">
    <w:name w:val="Message Header First"/>
    <w:basedOn w:val="MessageHeader"/>
    <w:next w:val="MessageHeader"/>
    <w:rsid w:val="00485C03"/>
    <w:pPr>
      <w:spacing w:before="360"/>
    </w:pPr>
  </w:style>
  <w:style w:type="character" w:customStyle="1" w:styleId="MessageHeaderLabel">
    <w:name w:val="Message Header Label"/>
    <w:rsid w:val="00485C03"/>
    <w:rPr>
      <w:b/>
      <w:sz w:val="18"/>
    </w:rPr>
  </w:style>
  <w:style w:type="paragraph" w:customStyle="1" w:styleId="MessageHeaderLast">
    <w:name w:val="Message Header Last"/>
    <w:basedOn w:val="MessageHeader"/>
    <w:next w:val="BodyText"/>
    <w:rsid w:val="00485C03"/>
    <w:pPr>
      <w:pBdr>
        <w:bottom w:val="single" w:sz="6" w:space="18" w:color="808080"/>
      </w:pBdr>
      <w:spacing w:after="360"/>
    </w:pPr>
  </w:style>
  <w:style w:type="paragraph" w:styleId="BodyText">
    <w:name w:val="Body Text"/>
    <w:basedOn w:val="Normal"/>
    <w:link w:val="BodyTextChar"/>
    <w:uiPriority w:val="99"/>
    <w:semiHidden/>
    <w:unhideWhenUsed/>
    <w:rsid w:val="00485C03"/>
    <w:pPr>
      <w:spacing w:after="120"/>
    </w:pPr>
  </w:style>
  <w:style w:type="character" w:customStyle="1" w:styleId="BodyTextChar">
    <w:name w:val="Body Text Char"/>
    <w:basedOn w:val="DefaultParagraphFont"/>
    <w:link w:val="BodyText"/>
    <w:uiPriority w:val="99"/>
    <w:semiHidden/>
    <w:rsid w:val="00485C03"/>
  </w:style>
  <w:style w:type="table" w:styleId="TableGrid">
    <w:name w:val="Table Grid"/>
    <w:basedOn w:val="TableNormal"/>
    <w:uiPriority w:val="59"/>
    <w:rsid w:val="00924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89D"/>
    <w:pPr>
      <w:spacing w:line="240" w:lineRule="auto"/>
      <w:ind w:left="720"/>
    </w:pPr>
    <w:rPr>
      <w:rFonts w:ascii="Calibri" w:hAnsi="Calibri" w:cs="Times New Roman"/>
    </w:rPr>
  </w:style>
  <w:style w:type="paragraph" w:customStyle="1" w:styleId="NormalSS">
    <w:name w:val="NormalSS"/>
    <w:basedOn w:val="Normal"/>
    <w:rsid w:val="00E3689D"/>
    <w:pPr>
      <w:spacing w:line="240" w:lineRule="auto"/>
      <w:ind w:firstLine="432"/>
      <w:jc w:val="both"/>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B25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5F1"/>
    <w:rPr>
      <w:rFonts w:ascii="Tahoma" w:hAnsi="Tahoma" w:cs="Tahoma"/>
      <w:sz w:val="16"/>
      <w:szCs w:val="16"/>
    </w:rPr>
  </w:style>
  <w:style w:type="character" w:styleId="Hyperlink">
    <w:name w:val="Hyperlink"/>
    <w:basedOn w:val="DefaultParagraphFont"/>
    <w:uiPriority w:val="99"/>
    <w:unhideWhenUsed/>
    <w:rsid w:val="001E74A9"/>
    <w:rPr>
      <w:color w:val="0000FF"/>
      <w:u w:val="single"/>
    </w:rPr>
  </w:style>
  <w:style w:type="character" w:styleId="FootnoteReference">
    <w:name w:val="footnote reference"/>
    <w:basedOn w:val="DefaultParagraphFont"/>
    <w:qFormat/>
    <w:rsid w:val="00C8068D"/>
    <w:rPr>
      <w:rFonts w:ascii="Garamond" w:hAnsi="Garamond"/>
      <w:color w:val="auto"/>
      <w:spacing w:val="0"/>
      <w:position w:val="0"/>
      <w:sz w:val="24"/>
      <w:u w:color="000080"/>
      <w:effect w:val="none"/>
      <w:vertAlign w:val="superscript"/>
    </w:rPr>
  </w:style>
  <w:style w:type="paragraph" w:styleId="FootnoteText">
    <w:name w:val="footnote text"/>
    <w:basedOn w:val="Normal"/>
    <w:link w:val="FootnoteTextChar"/>
    <w:qFormat/>
    <w:rsid w:val="00C8068D"/>
    <w:pPr>
      <w:spacing w:after="120" w:line="240" w:lineRule="auto"/>
    </w:pPr>
    <w:rPr>
      <w:rFonts w:ascii="Garamond" w:eastAsia="Times New Roman" w:hAnsi="Garamond" w:cs="Times New Roman"/>
      <w:sz w:val="20"/>
      <w:szCs w:val="20"/>
    </w:rPr>
  </w:style>
  <w:style w:type="character" w:customStyle="1" w:styleId="FootnoteTextChar">
    <w:name w:val="Footnote Text Char"/>
    <w:basedOn w:val="DefaultParagraphFont"/>
    <w:link w:val="FootnoteText"/>
    <w:rsid w:val="00C8068D"/>
    <w:rPr>
      <w:rFonts w:ascii="Garamond" w:eastAsia="Times New Roman" w:hAnsi="Garamond" w:cs="Times New Roman"/>
      <w:sz w:val="20"/>
      <w:szCs w:val="20"/>
    </w:rPr>
  </w:style>
  <w:style w:type="character" w:styleId="CommentReference">
    <w:name w:val="annotation reference"/>
    <w:basedOn w:val="DefaultParagraphFont"/>
    <w:uiPriority w:val="99"/>
    <w:semiHidden/>
    <w:unhideWhenUsed/>
    <w:rsid w:val="00094B1F"/>
    <w:rPr>
      <w:sz w:val="16"/>
      <w:szCs w:val="16"/>
    </w:rPr>
  </w:style>
  <w:style w:type="paragraph" w:styleId="CommentText">
    <w:name w:val="annotation text"/>
    <w:basedOn w:val="Normal"/>
    <w:link w:val="CommentTextChar"/>
    <w:uiPriority w:val="99"/>
    <w:semiHidden/>
    <w:unhideWhenUsed/>
    <w:rsid w:val="00094B1F"/>
    <w:pPr>
      <w:spacing w:line="240" w:lineRule="auto"/>
    </w:pPr>
    <w:rPr>
      <w:sz w:val="20"/>
      <w:szCs w:val="20"/>
    </w:rPr>
  </w:style>
  <w:style w:type="character" w:customStyle="1" w:styleId="CommentTextChar">
    <w:name w:val="Comment Text Char"/>
    <w:basedOn w:val="DefaultParagraphFont"/>
    <w:link w:val="CommentText"/>
    <w:uiPriority w:val="99"/>
    <w:semiHidden/>
    <w:rsid w:val="00094B1F"/>
    <w:rPr>
      <w:sz w:val="20"/>
      <w:szCs w:val="20"/>
    </w:rPr>
  </w:style>
  <w:style w:type="paragraph" w:styleId="CommentSubject">
    <w:name w:val="annotation subject"/>
    <w:basedOn w:val="CommentText"/>
    <w:next w:val="CommentText"/>
    <w:link w:val="CommentSubjectChar"/>
    <w:uiPriority w:val="99"/>
    <w:semiHidden/>
    <w:unhideWhenUsed/>
    <w:rsid w:val="00094B1F"/>
    <w:rPr>
      <w:b/>
      <w:bCs/>
    </w:rPr>
  </w:style>
  <w:style w:type="character" w:customStyle="1" w:styleId="CommentSubjectChar">
    <w:name w:val="Comment Subject Char"/>
    <w:basedOn w:val="CommentTextChar"/>
    <w:link w:val="CommentSubject"/>
    <w:uiPriority w:val="99"/>
    <w:semiHidden/>
    <w:rsid w:val="00094B1F"/>
    <w:rPr>
      <w:b/>
      <w:bCs/>
      <w:sz w:val="20"/>
      <w:szCs w:val="20"/>
    </w:rPr>
  </w:style>
  <w:style w:type="paragraph" w:customStyle="1" w:styleId="References">
    <w:name w:val="References"/>
    <w:basedOn w:val="Normal"/>
    <w:qFormat/>
    <w:rsid w:val="002570BB"/>
    <w:pPr>
      <w:keepLines/>
      <w:spacing w:after="240" w:line="240" w:lineRule="auto"/>
      <w:ind w:left="432" w:hanging="432"/>
    </w:pPr>
    <w:rPr>
      <w:rFonts w:ascii="Garamond" w:eastAsia="Times New Roman" w:hAnsi="Garamond" w:cs="Times New Roman"/>
      <w:sz w:val="24"/>
      <w:szCs w:val="20"/>
    </w:rPr>
  </w:style>
  <w:style w:type="paragraph" w:customStyle="1" w:styleId="ReportCover-Title">
    <w:name w:val="ReportCover-Title"/>
    <w:basedOn w:val="Normal"/>
    <w:rsid w:val="009600AA"/>
    <w:pPr>
      <w:spacing w:line="420" w:lineRule="exact"/>
    </w:pPr>
    <w:rPr>
      <w:rFonts w:ascii="Franklin Gothic Medium" w:eastAsia="Times New Roman" w:hAnsi="Franklin Gothic Medium" w:cs="Times New Roman"/>
      <w:b/>
      <w:color w:val="003C79"/>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485C03"/>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Normal"/>
    <w:link w:val="MessageHeaderChar"/>
    <w:semiHidden/>
    <w:rsid w:val="00485C03"/>
    <w:pPr>
      <w:keepLines/>
      <w:spacing w:after="120"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485C03"/>
    <w:rPr>
      <w:rFonts w:ascii="Garamond" w:eastAsia="Times New Roman" w:hAnsi="Garamond" w:cs="Times New Roman"/>
      <w:caps/>
      <w:sz w:val="18"/>
      <w:szCs w:val="20"/>
    </w:rPr>
  </w:style>
  <w:style w:type="paragraph" w:customStyle="1" w:styleId="MessageHeaderFirst">
    <w:name w:val="Message Header First"/>
    <w:basedOn w:val="MessageHeader"/>
    <w:next w:val="MessageHeader"/>
    <w:rsid w:val="00485C03"/>
    <w:pPr>
      <w:spacing w:before="360"/>
    </w:pPr>
  </w:style>
  <w:style w:type="character" w:customStyle="1" w:styleId="MessageHeaderLabel">
    <w:name w:val="Message Header Label"/>
    <w:rsid w:val="00485C03"/>
    <w:rPr>
      <w:b/>
      <w:sz w:val="18"/>
    </w:rPr>
  </w:style>
  <w:style w:type="paragraph" w:customStyle="1" w:styleId="MessageHeaderLast">
    <w:name w:val="Message Header Last"/>
    <w:basedOn w:val="MessageHeader"/>
    <w:next w:val="BodyText"/>
    <w:rsid w:val="00485C03"/>
    <w:pPr>
      <w:pBdr>
        <w:bottom w:val="single" w:sz="6" w:space="18" w:color="808080"/>
      </w:pBdr>
      <w:spacing w:after="360"/>
    </w:pPr>
  </w:style>
  <w:style w:type="paragraph" w:styleId="BodyText">
    <w:name w:val="Body Text"/>
    <w:basedOn w:val="Normal"/>
    <w:link w:val="BodyTextChar"/>
    <w:uiPriority w:val="99"/>
    <w:semiHidden/>
    <w:unhideWhenUsed/>
    <w:rsid w:val="00485C03"/>
    <w:pPr>
      <w:spacing w:after="120"/>
    </w:pPr>
  </w:style>
  <w:style w:type="character" w:customStyle="1" w:styleId="BodyTextChar">
    <w:name w:val="Body Text Char"/>
    <w:basedOn w:val="DefaultParagraphFont"/>
    <w:link w:val="BodyText"/>
    <w:uiPriority w:val="99"/>
    <w:semiHidden/>
    <w:rsid w:val="00485C03"/>
  </w:style>
  <w:style w:type="table" w:styleId="TableGrid">
    <w:name w:val="Table Grid"/>
    <w:basedOn w:val="TableNormal"/>
    <w:uiPriority w:val="59"/>
    <w:rsid w:val="00924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89D"/>
    <w:pPr>
      <w:spacing w:line="240" w:lineRule="auto"/>
      <w:ind w:left="720"/>
    </w:pPr>
    <w:rPr>
      <w:rFonts w:ascii="Calibri" w:hAnsi="Calibri" w:cs="Times New Roman"/>
    </w:rPr>
  </w:style>
  <w:style w:type="paragraph" w:customStyle="1" w:styleId="NormalSS">
    <w:name w:val="NormalSS"/>
    <w:basedOn w:val="Normal"/>
    <w:rsid w:val="00E3689D"/>
    <w:pPr>
      <w:spacing w:line="240" w:lineRule="auto"/>
      <w:ind w:firstLine="432"/>
      <w:jc w:val="both"/>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B25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5F1"/>
    <w:rPr>
      <w:rFonts w:ascii="Tahoma" w:hAnsi="Tahoma" w:cs="Tahoma"/>
      <w:sz w:val="16"/>
      <w:szCs w:val="16"/>
    </w:rPr>
  </w:style>
  <w:style w:type="character" w:styleId="Hyperlink">
    <w:name w:val="Hyperlink"/>
    <w:basedOn w:val="DefaultParagraphFont"/>
    <w:uiPriority w:val="99"/>
    <w:unhideWhenUsed/>
    <w:rsid w:val="001E74A9"/>
    <w:rPr>
      <w:color w:val="0000FF"/>
      <w:u w:val="single"/>
    </w:rPr>
  </w:style>
  <w:style w:type="character" w:styleId="FootnoteReference">
    <w:name w:val="footnote reference"/>
    <w:basedOn w:val="DefaultParagraphFont"/>
    <w:qFormat/>
    <w:rsid w:val="00C8068D"/>
    <w:rPr>
      <w:rFonts w:ascii="Garamond" w:hAnsi="Garamond"/>
      <w:color w:val="auto"/>
      <w:spacing w:val="0"/>
      <w:position w:val="0"/>
      <w:sz w:val="24"/>
      <w:u w:color="000080"/>
      <w:effect w:val="none"/>
      <w:vertAlign w:val="superscript"/>
    </w:rPr>
  </w:style>
  <w:style w:type="paragraph" w:styleId="FootnoteText">
    <w:name w:val="footnote text"/>
    <w:basedOn w:val="Normal"/>
    <w:link w:val="FootnoteTextChar"/>
    <w:qFormat/>
    <w:rsid w:val="00C8068D"/>
    <w:pPr>
      <w:spacing w:after="120" w:line="240" w:lineRule="auto"/>
    </w:pPr>
    <w:rPr>
      <w:rFonts w:ascii="Garamond" w:eastAsia="Times New Roman" w:hAnsi="Garamond" w:cs="Times New Roman"/>
      <w:sz w:val="20"/>
      <w:szCs w:val="20"/>
    </w:rPr>
  </w:style>
  <w:style w:type="character" w:customStyle="1" w:styleId="FootnoteTextChar">
    <w:name w:val="Footnote Text Char"/>
    <w:basedOn w:val="DefaultParagraphFont"/>
    <w:link w:val="FootnoteText"/>
    <w:rsid w:val="00C8068D"/>
    <w:rPr>
      <w:rFonts w:ascii="Garamond" w:eastAsia="Times New Roman" w:hAnsi="Garamond" w:cs="Times New Roman"/>
      <w:sz w:val="20"/>
      <w:szCs w:val="20"/>
    </w:rPr>
  </w:style>
  <w:style w:type="character" w:styleId="CommentReference">
    <w:name w:val="annotation reference"/>
    <w:basedOn w:val="DefaultParagraphFont"/>
    <w:uiPriority w:val="99"/>
    <w:semiHidden/>
    <w:unhideWhenUsed/>
    <w:rsid w:val="00094B1F"/>
    <w:rPr>
      <w:sz w:val="16"/>
      <w:szCs w:val="16"/>
    </w:rPr>
  </w:style>
  <w:style w:type="paragraph" w:styleId="CommentText">
    <w:name w:val="annotation text"/>
    <w:basedOn w:val="Normal"/>
    <w:link w:val="CommentTextChar"/>
    <w:uiPriority w:val="99"/>
    <w:semiHidden/>
    <w:unhideWhenUsed/>
    <w:rsid w:val="00094B1F"/>
    <w:pPr>
      <w:spacing w:line="240" w:lineRule="auto"/>
    </w:pPr>
    <w:rPr>
      <w:sz w:val="20"/>
      <w:szCs w:val="20"/>
    </w:rPr>
  </w:style>
  <w:style w:type="character" w:customStyle="1" w:styleId="CommentTextChar">
    <w:name w:val="Comment Text Char"/>
    <w:basedOn w:val="DefaultParagraphFont"/>
    <w:link w:val="CommentText"/>
    <w:uiPriority w:val="99"/>
    <w:semiHidden/>
    <w:rsid w:val="00094B1F"/>
    <w:rPr>
      <w:sz w:val="20"/>
      <w:szCs w:val="20"/>
    </w:rPr>
  </w:style>
  <w:style w:type="paragraph" w:styleId="CommentSubject">
    <w:name w:val="annotation subject"/>
    <w:basedOn w:val="CommentText"/>
    <w:next w:val="CommentText"/>
    <w:link w:val="CommentSubjectChar"/>
    <w:uiPriority w:val="99"/>
    <w:semiHidden/>
    <w:unhideWhenUsed/>
    <w:rsid w:val="00094B1F"/>
    <w:rPr>
      <w:b/>
      <w:bCs/>
    </w:rPr>
  </w:style>
  <w:style w:type="character" w:customStyle="1" w:styleId="CommentSubjectChar">
    <w:name w:val="Comment Subject Char"/>
    <w:basedOn w:val="CommentTextChar"/>
    <w:link w:val="CommentSubject"/>
    <w:uiPriority w:val="99"/>
    <w:semiHidden/>
    <w:rsid w:val="00094B1F"/>
    <w:rPr>
      <w:b/>
      <w:bCs/>
      <w:sz w:val="20"/>
      <w:szCs w:val="20"/>
    </w:rPr>
  </w:style>
  <w:style w:type="paragraph" w:customStyle="1" w:styleId="References">
    <w:name w:val="References"/>
    <w:basedOn w:val="Normal"/>
    <w:qFormat/>
    <w:rsid w:val="002570BB"/>
    <w:pPr>
      <w:keepLines/>
      <w:spacing w:after="240" w:line="240" w:lineRule="auto"/>
      <w:ind w:left="432" w:hanging="432"/>
    </w:pPr>
    <w:rPr>
      <w:rFonts w:ascii="Garamond" w:eastAsia="Times New Roman" w:hAnsi="Garamond" w:cs="Times New Roman"/>
      <w:sz w:val="24"/>
      <w:szCs w:val="20"/>
    </w:rPr>
  </w:style>
  <w:style w:type="paragraph" w:customStyle="1" w:styleId="ReportCover-Title">
    <w:name w:val="ReportCover-Title"/>
    <w:basedOn w:val="Normal"/>
    <w:rsid w:val="009600AA"/>
    <w:pPr>
      <w:spacing w:line="420" w:lineRule="exact"/>
    </w:pPr>
    <w:rPr>
      <w:rFonts w:ascii="Franklin Gothic Medium" w:eastAsia="Times New Roman" w:hAnsi="Franklin Gothic Medium" w:cs="Times New Roman"/>
      <w:b/>
      <w:color w:val="003C7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12774">
      <w:bodyDiv w:val="1"/>
      <w:marLeft w:val="0"/>
      <w:marRight w:val="0"/>
      <w:marTop w:val="0"/>
      <w:marBottom w:val="0"/>
      <w:divBdr>
        <w:top w:val="none" w:sz="0" w:space="0" w:color="auto"/>
        <w:left w:val="none" w:sz="0" w:space="0" w:color="auto"/>
        <w:bottom w:val="none" w:sz="0" w:space="0" w:color="auto"/>
        <w:right w:val="none" w:sz="0" w:space="0" w:color="auto"/>
      </w:divBdr>
    </w:div>
    <w:div w:id="740760528">
      <w:bodyDiv w:val="1"/>
      <w:marLeft w:val="0"/>
      <w:marRight w:val="0"/>
      <w:marTop w:val="0"/>
      <w:marBottom w:val="0"/>
      <w:divBdr>
        <w:top w:val="none" w:sz="0" w:space="0" w:color="auto"/>
        <w:left w:val="none" w:sz="0" w:space="0" w:color="auto"/>
        <w:bottom w:val="none" w:sz="0" w:space="0" w:color="auto"/>
        <w:right w:val="none" w:sz="0" w:space="0" w:color="auto"/>
      </w:divBdr>
    </w:div>
    <w:div w:id="1129208533">
      <w:bodyDiv w:val="1"/>
      <w:marLeft w:val="0"/>
      <w:marRight w:val="0"/>
      <w:marTop w:val="0"/>
      <w:marBottom w:val="0"/>
      <w:divBdr>
        <w:top w:val="none" w:sz="0" w:space="0" w:color="auto"/>
        <w:left w:val="none" w:sz="0" w:space="0" w:color="auto"/>
        <w:bottom w:val="none" w:sz="0" w:space="0" w:color="auto"/>
        <w:right w:val="none" w:sz="0" w:space="0" w:color="auto"/>
      </w:divBdr>
    </w:div>
    <w:div w:id="1321735914">
      <w:bodyDiv w:val="1"/>
      <w:marLeft w:val="0"/>
      <w:marRight w:val="0"/>
      <w:marTop w:val="0"/>
      <w:marBottom w:val="0"/>
      <w:divBdr>
        <w:top w:val="none" w:sz="0" w:space="0" w:color="auto"/>
        <w:left w:val="none" w:sz="0" w:space="0" w:color="auto"/>
        <w:bottom w:val="none" w:sz="0" w:space="0" w:color="auto"/>
        <w:right w:val="none" w:sz="0" w:space="0" w:color="auto"/>
      </w:divBdr>
    </w:div>
    <w:div w:id="1460145687">
      <w:bodyDiv w:val="1"/>
      <w:marLeft w:val="0"/>
      <w:marRight w:val="0"/>
      <w:marTop w:val="0"/>
      <w:marBottom w:val="0"/>
      <w:divBdr>
        <w:top w:val="none" w:sz="0" w:space="0" w:color="auto"/>
        <w:left w:val="none" w:sz="0" w:space="0" w:color="auto"/>
        <w:bottom w:val="none" w:sz="0" w:space="0" w:color="auto"/>
        <w:right w:val="none" w:sz="0" w:space="0" w:color="auto"/>
      </w:divBdr>
    </w:div>
    <w:div w:id="1886143063">
      <w:bodyDiv w:val="1"/>
      <w:marLeft w:val="0"/>
      <w:marRight w:val="0"/>
      <w:marTop w:val="0"/>
      <w:marBottom w:val="0"/>
      <w:divBdr>
        <w:top w:val="none" w:sz="0" w:space="0" w:color="auto"/>
        <w:left w:val="none" w:sz="0" w:space="0" w:color="auto"/>
        <w:bottom w:val="none" w:sz="0" w:space="0" w:color="auto"/>
        <w:right w:val="none" w:sz="0" w:space="0" w:color="auto"/>
      </w:divBdr>
    </w:div>
    <w:div w:id="1948930721">
      <w:bodyDiv w:val="1"/>
      <w:marLeft w:val="0"/>
      <w:marRight w:val="0"/>
      <w:marTop w:val="0"/>
      <w:marBottom w:val="0"/>
      <w:divBdr>
        <w:top w:val="none" w:sz="0" w:space="0" w:color="auto"/>
        <w:left w:val="none" w:sz="0" w:space="0" w:color="auto"/>
        <w:bottom w:val="none" w:sz="0" w:space="0" w:color="auto"/>
        <w:right w:val="none" w:sz="0" w:space="0" w:color="auto"/>
      </w:divBdr>
    </w:div>
    <w:div w:id="194977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0A55A-05E5-46C1-9DEA-78E3C06F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SYSTEM</cp:lastModifiedBy>
  <cp:revision>2</cp:revision>
  <dcterms:created xsi:type="dcterms:W3CDTF">2018-02-09T20:40:00Z</dcterms:created>
  <dcterms:modified xsi:type="dcterms:W3CDTF">2018-02-09T20:40:00Z</dcterms:modified>
</cp:coreProperties>
</file>