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2AB0E" w14:textId="77777777" w:rsidR="00AB3C17" w:rsidRDefault="00AB3C17" w:rsidP="00AB3C17">
      <w:pPr>
        <w:pStyle w:val="ReportCover-Title"/>
        <w:jc w:val="center"/>
        <w:rPr>
          <w:rFonts w:ascii="Arial" w:hAnsi="Arial" w:cs="Arial"/>
          <w:sz w:val="36"/>
          <w:szCs w:val="36"/>
        </w:rPr>
      </w:pPr>
      <w:bookmarkStart w:id="0" w:name="_GoBack"/>
      <w:bookmarkEnd w:id="0"/>
    </w:p>
    <w:p w14:paraId="0A645717" w14:textId="5A38ED41" w:rsidR="00AB3C17" w:rsidRPr="00AB3C17" w:rsidRDefault="00AB3C17" w:rsidP="00AB3C17">
      <w:pPr>
        <w:pStyle w:val="ReportCover-Title"/>
        <w:jc w:val="center"/>
        <w:rPr>
          <w:rFonts w:ascii="Arial" w:hAnsi="Arial" w:cs="Arial"/>
          <w:color w:val="auto"/>
          <w:sz w:val="36"/>
          <w:szCs w:val="36"/>
        </w:rPr>
      </w:pPr>
      <w:r w:rsidRPr="00AB3C17">
        <w:rPr>
          <w:rFonts w:ascii="Arial" w:hAnsi="Arial" w:cs="Arial"/>
          <w:sz w:val="36"/>
          <w:szCs w:val="36"/>
        </w:rPr>
        <w:t>Self-Regulation Training Approaches and Resources to Improve Staff Capacity for Implementing Healthy Marriage Services for Youth (SARHM)</w:t>
      </w:r>
    </w:p>
    <w:p w14:paraId="466DBD9C" w14:textId="77777777" w:rsidR="00AB3C17" w:rsidRPr="002C4F75" w:rsidRDefault="00AB3C17" w:rsidP="00AB3C17">
      <w:pPr>
        <w:pStyle w:val="ReportCover-Title"/>
        <w:rPr>
          <w:rFonts w:ascii="Arial" w:hAnsi="Arial" w:cs="Arial"/>
          <w:color w:val="auto"/>
        </w:rPr>
      </w:pPr>
    </w:p>
    <w:p w14:paraId="7B0FE29C" w14:textId="77777777" w:rsidR="00AB3C17" w:rsidRPr="002C4F75" w:rsidRDefault="00AB3C17" w:rsidP="00AB3C17">
      <w:pPr>
        <w:pStyle w:val="ReportCover-Title"/>
        <w:rPr>
          <w:rFonts w:ascii="Arial" w:hAnsi="Arial" w:cs="Arial"/>
          <w:color w:val="auto"/>
        </w:rPr>
      </w:pPr>
    </w:p>
    <w:p w14:paraId="04DAC9E8" w14:textId="2CCF2307" w:rsidR="00AB3C17" w:rsidRPr="00AB3C17" w:rsidRDefault="00AB3C17" w:rsidP="00AB3C17">
      <w:pPr>
        <w:pStyle w:val="ReportCover-Title"/>
        <w:jc w:val="center"/>
        <w:rPr>
          <w:rFonts w:ascii="Arial" w:hAnsi="Arial" w:cs="Arial"/>
          <w:color w:val="auto"/>
          <w:sz w:val="32"/>
        </w:rPr>
      </w:pPr>
      <w:r w:rsidRPr="00AB3C17">
        <w:rPr>
          <w:rFonts w:ascii="Arial" w:eastAsia="Arial Unicode MS" w:hAnsi="Arial" w:cs="Arial"/>
          <w:noProof/>
          <w:color w:val="auto"/>
          <w:sz w:val="32"/>
        </w:rPr>
        <w:t>Generic Clearence for Pre-testing of Evaluation Data Collection Activities</w:t>
      </w:r>
    </w:p>
    <w:p w14:paraId="52B5EF31" w14:textId="77777777" w:rsidR="00AB3C17" w:rsidRPr="002C4F75" w:rsidRDefault="00AB3C17" w:rsidP="00AB3C17">
      <w:pPr>
        <w:pStyle w:val="ReportCover-Title"/>
        <w:jc w:val="center"/>
        <w:rPr>
          <w:rFonts w:ascii="Arial" w:hAnsi="Arial" w:cs="Arial"/>
          <w:color w:val="auto"/>
          <w:sz w:val="32"/>
          <w:szCs w:val="32"/>
        </w:rPr>
      </w:pPr>
      <w:r w:rsidRPr="008453E1">
        <w:rPr>
          <w:rFonts w:ascii="Arial" w:hAnsi="Arial" w:cs="Arial"/>
          <w:color w:val="auto"/>
          <w:sz w:val="32"/>
          <w:szCs w:val="32"/>
        </w:rPr>
        <w:t>0970 - 0355</w:t>
      </w:r>
    </w:p>
    <w:p w14:paraId="28A60278" w14:textId="77777777" w:rsidR="00AB3C17" w:rsidRPr="002C4F75" w:rsidRDefault="00AB3C17" w:rsidP="00AB3C17">
      <w:pPr>
        <w:rPr>
          <w:rFonts w:ascii="Arial" w:hAnsi="Arial" w:cs="Arial"/>
          <w:szCs w:val="22"/>
        </w:rPr>
      </w:pPr>
    </w:p>
    <w:p w14:paraId="03B97D01" w14:textId="77777777" w:rsidR="00AB3C17" w:rsidRPr="002C4F75" w:rsidRDefault="00AB3C17" w:rsidP="00AB3C17">
      <w:pPr>
        <w:pStyle w:val="ReportCover-Date"/>
        <w:jc w:val="center"/>
        <w:rPr>
          <w:rFonts w:ascii="Arial" w:hAnsi="Arial" w:cs="Arial"/>
          <w:color w:val="auto"/>
        </w:rPr>
      </w:pPr>
    </w:p>
    <w:p w14:paraId="7DFD46CF" w14:textId="77777777" w:rsidR="00AB3C17" w:rsidRPr="002C4F75" w:rsidRDefault="00AB3C17" w:rsidP="00AB3C1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78925CEB" w14:textId="77777777" w:rsidR="00AB3C17" w:rsidRPr="002C4F75" w:rsidRDefault="00AB3C17" w:rsidP="00AB3C1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2203AEF7" w14:textId="711A32A8" w:rsidR="00AB3C17" w:rsidRDefault="00AB3C17" w:rsidP="00AB3C17">
      <w:pPr>
        <w:pStyle w:val="ReportCover-Date"/>
        <w:jc w:val="center"/>
        <w:rPr>
          <w:rFonts w:ascii="Arial" w:hAnsi="Arial" w:cs="Arial"/>
          <w:color w:val="auto"/>
        </w:rPr>
      </w:pPr>
      <w:r>
        <w:rPr>
          <w:rFonts w:ascii="Arial" w:hAnsi="Arial" w:cs="Arial"/>
          <w:color w:val="auto"/>
        </w:rPr>
        <w:t>June 2018</w:t>
      </w:r>
    </w:p>
    <w:p w14:paraId="025BFC7F" w14:textId="77777777" w:rsidR="00AB3C17" w:rsidRPr="002C4F75" w:rsidRDefault="00AB3C17" w:rsidP="00AB3C17">
      <w:pPr>
        <w:pStyle w:val="ReportCover-Date"/>
        <w:jc w:val="center"/>
        <w:rPr>
          <w:rFonts w:ascii="Arial" w:hAnsi="Arial" w:cs="Arial"/>
          <w:color w:val="auto"/>
        </w:rPr>
      </w:pPr>
    </w:p>
    <w:p w14:paraId="1DF2418C" w14:textId="77777777" w:rsidR="00AB3C17" w:rsidRPr="002C4F75" w:rsidRDefault="00AB3C17" w:rsidP="00AB3C17">
      <w:pPr>
        <w:jc w:val="center"/>
        <w:rPr>
          <w:rFonts w:ascii="Arial" w:hAnsi="Arial" w:cs="Arial"/>
        </w:rPr>
      </w:pPr>
    </w:p>
    <w:p w14:paraId="71C94E2F" w14:textId="77777777" w:rsidR="00AB3C17" w:rsidRPr="002C4F75" w:rsidRDefault="00AB3C17" w:rsidP="00AB3C17">
      <w:pPr>
        <w:jc w:val="center"/>
        <w:rPr>
          <w:rFonts w:ascii="Arial" w:hAnsi="Arial" w:cs="Arial"/>
        </w:rPr>
      </w:pPr>
      <w:r w:rsidRPr="002C4F75">
        <w:rPr>
          <w:rFonts w:ascii="Arial" w:hAnsi="Arial" w:cs="Arial"/>
        </w:rPr>
        <w:t>Submitted By:</w:t>
      </w:r>
    </w:p>
    <w:p w14:paraId="52C94600" w14:textId="77777777" w:rsidR="00AB3C17" w:rsidRPr="00362F8A" w:rsidRDefault="00AB3C17" w:rsidP="00AB3C17">
      <w:pPr>
        <w:jc w:val="center"/>
        <w:rPr>
          <w:rFonts w:ascii="Arial" w:hAnsi="Arial" w:cs="Arial"/>
        </w:rPr>
      </w:pPr>
      <w:r w:rsidRPr="00362F8A">
        <w:rPr>
          <w:rFonts w:ascii="Arial" w:hAnsi="Arial" w:cs="Arial"/>
        </w:rPr>
        <w:t>Office of Planning, Research, and Evaluation</w:t>
      </w:r>
    </w:p>
    <w:p w14:paraId="0E8F619E" w14:textId="77777777" w:rsidR="00AB3C17" w:rsidRPr="00362F8A" w:rsidRDefault="00AB3C17" w:rsidP="00AB3C17">
      <w:pPr>
        <w:jc w:val="center"/>
        <w:rPr>
          <w:rFonts w:ascii="Arial" w:hAnsi="Arial" w:cs="Arial"/>
        </w:rPr>
      </w:pPr>
      <w:r w:rsidRPr="00362F8A">
        <w:rPr>
          <w:rFonts w:ascii="Arial" w:hAnsi="Arial" w:cs="Arial"/>
        </w:rPr>
        <w:t xml:space="preserve">Administration for Children and Families </w:t>
      </w:r>
    </w:p>
    <w:p w14:paraId="2DA0A84A" w14:textId="77777777" w:rsidR="00AB3C17" w:rsidRPr="00362F8A" w:rsidRDefault="00AB3C17" w:rsidP="00AB3C17">
      <w:pPr>
        <w:jc w:val="center"/>
        <w:rPr>
          <w:rFonts w:ascii="Arial" w:hAnsi="Arial" w:cs="Arial"/>
        </w:rPr>
      </w:pPr>
      <w:r w:rsidRPr="00362F8A">
        <w:rPr>
          <w:rFonts w:ascii="Arial" w:hAnsi="Arial" w:cs="Arial"/>
        </w:rPr>
        <w:t>U.S. Department of Health and Human Services</w:t>
      </w:r>
    </w:p>
    <w:p w14:paraId="0764FA13" w14:textId="77777777" w:rsidR="00AB3C17" w:rsidRPr="00362F8A" w:rsidRDefault="00AB3C17" w:rsidP="00AB3C17">
      <w:pPr>
        <w:jc w:val="center"/>
        <w:rPr>
          <w:rFonts w:ascii="Arial" w:hAnsi="Arial" w:cs="Arial"/>
        </w:rPr>
      </w:pPr>
      <w:r w:rsidRPr="00362F8A">
        <w:rPr>
          <w:rFonts w:ascii="Arial" w:hAnsi="Arial" w:cs="Arial"/>
        </w:rPr>
        <w:t>330 C Street, SW, 4</w:t>
      </w:r>
      <w:r w:rsidRPr="00362F8A">
        <w:rPr>
          <w:rFonts w:ascii="Arial" w:hAnsi="Arial" w:cs="Arial"/>
          <w:vertAlign w:val="superscript"/>
        </w:rPr>
        <w:t>th</w:t>
      </w:r>
      <w:r w:rsidRPr="00362F8A">
        <w:rPr>
          <w:rFonts w:ascii="Arial" w:hAnsi="Arial" w:cs="Arial"/>
        </w:rPr>
        <w:t xml:space="preserve"> Floor</w:t>
      </w:r>
    </w:p>
    <w:p w14:paraId="47DA608D" w14:textId="77777777" w:rsidR="00AB3C17" w:rsidRPr="002C4F75" w:rsidRDefault="00AB3C17" w:rsidP="00AB3C17">
      <w:pPr>
        <w:jc w:val="center"/>
        <w:rPr>
          <w:rFonts w:ascii="Arial" w:hAnsi="Arial" w:cs="Arial"/>
        </w:rPr>
      </w:pPr>
      <w:r w:rsidRPr="00362F8A">
        <w:rPr>
          <w:rFonts w:ascii="Arial" w:hAnsi="Arial" w:cs="Arial"/>
        </w:rPr>
        <w:t>Washington, DC 20201</w:t>
      </w:r>
    </w:p>
    <w:p w14:paraId="6BB3149E" w14:textId="77777777" w:rsidR="00AB3C17" w:rsidRDefault="00AB3C17">
      <w:pPr>
        <w:spacing w:after="240"/>
        <w:rPr>
          <w:rFonts w:ascii="Arial Black" w:hAnsi="Arial Black"/>
          <w:sz w:val="22"/>
        </w:rPr>
      </w:pPr>
    </w:p>
    <w:p w14:paraId="763DDF51" w14:textId="77777777" w:rsidR="00863059" w:rsidRDefault="00863059" w:rsidP="003179E4">
      <w:pPr>
        <w:pStyle w:val="H3Alpha"/>
      </w:pPr>
    </w:p>
    <w:p w14:paraId="3E79BE5A" w14:textId="2BEAD9D2" w:rsidR="0085028F" w:rsidRDefault="003179E4" w:rsidP="003179E4">
      <w:pPr>
        <w:pStyle w:val="H3Alpha"/>
      </w:pPr>
      <w:r>
        <w:t>A1. Necessity for the data collection</w:t>
      </w:r>
    </w:p>
    <w:p w14:paraId="5F885E08" w14:textId="47BB5A37" w:rsidR="000B6469" w:rsidRDefault="003179E4" w:rsidP="00F36059">
      <w:pPr>
        <w:pStyle w:val="NormalSS"/>
      </w:pPr>
      <w:r>
        <w:t>The Office of Planning, Research</w:t>
      </w:r>
      <w:r w:rsidR="00AB3C17">
        <w:t>,</w:t>
      </w:r>
      <w:r>
        <w:t xml:space="preserve"> and Evaluation (OPRE) within the Administration for Children and Families (ACF) at the U.S. Department of Health and Human Services seeks approval to conduct pre</w:t>
      </w:r>
      <w:r w:rsidR="00355A2F">
        <w:t>-</w:t>
      </w:r>
      <w:r>
        <w:t>tests</w:t>
      </w:r>
      <w:r w:rsidR="00CD32FE">
        <w:t>, interviews,</w:t>
      </w:r>
      <w:r>
        <w:t xml:space="preserve"> and focus groups with staff and program participants at </w:t>
      </w:r>
      <w:r w:rsidR="006F4479">
        <w:t>five</w:t>
      </w:r>
      <w:r>
        <w:t xml:space="preserve"> Healthy Marriage and Relationship Education (HMRE) programs funded by the Office of Family Assistance (OFA) within ACF. This information collection is being carried out as part of the Self-Regulation Training Approaches and Resources to Improve Staff Capacity for Implementing Healthy Marriage Services for Youth (SARHM)</w:t>
      </w:r>
      <w:r w:rsidR="002C5070">
        <w:t xml:space="preserve"> project</w:t>
      </w:r>
      <w:r>
        <w:t xml:space="preserve">. </w:t>
      </w:r>
      <w:r w:rsidR="00B53B74">
        <w:t xml:space="preserve">The project aims to increase the ability of program educators to support adolescent and young adults’ self-regulation skills </w:t>
      </w:r>
      <w:r w:rsidR="003015C9">
        <w:t xml:space="preserve">in the context of HMRE programs. </w:t>
      </w:r>
      <w:r w:rsidR="00AB3C17">
        <w:t xml:space="preserve">This information collection (IC) </w:t>
      </w:r>
      <w:r w:rsidR="003015C9">
        <w:t xml:space="preserve">will involve </w:t>
      </w:r>
      <w:r w:rsidR="00AB3C17">
        <w:t>pre-testing</w:t>
      </w:r>
      <w:r w:rsidR="003015C9">
        <w:t xml:space="preserve"> data collection instruments with five HMRE programs serving youth</w:t>
      </w:r>
      <w:r w:rsidR="00AB3C17" w:rsidRPr="00AB3C17">
        <w:t xml:space="preserve"> </w:t>
      </w:r>
      <w:r w:rsidR="00AB3C17">
        <w:t>to develop and refine them for use in a possible future evaluation of the training approaches and materials developed under SARHM</w:t>
      </w:r>
      <w:r w:rsidR="00EB33C1">
        <w:t>.</w:t>
      </w:r>
      <w:r w:rsidR="003015C9">
        <w:t xml:space="preserve"> </w:t>
      </w:r>
      <w:r w:rsidR="000B6469">
        <w:t>Approval for this data collection is requested under ACF’s generic clearance for pre-testing</w:t>
      </w:r>
      <w:r w:rsidR="00AB3C17">
        <w:t xml:space="preserve"> (0970-0355)</w:t>
      </w:r>
      <w:r w:rsidR="000B6469">
        <w:t>.</w:t>
      </w:r>
    </w:p>
    <w:p w14:paraId="0D8C42DC" w14:textId="77777777" w:rsidR="009D704B" w:rsidRDefault="009D704B" w:rsidP="009D704B">
      <w:pPr>
        <w:pStyle w:val="H3Alpha"/>
      </w:pPr>
      <w:r>
        <w:t>Study background</w:t>
      </w:r>
    </w:p>
    <w:p w14:paraId="58ED9F41" w14:textId="1F592032" w:rsidR="000B6469" w:rsidRDefault="009D704B" w:rsidP="009D704B">
      <w:pPr>
        <w:pStyle w:val="NormalSS"/>
        <w:rPr>
          <w:lang w:val="en"/>
        </w:rPr>
      </w:pPr>
      <w:r>
        <w:rPr>
          <w:lang w:val="en"/>
        </w:rPr>
        <w:t xml:space="preserve">Self-regulation encompasses a critical set of life skills linked to individual success across the lifespan. Although </w:t>
      </w:r>
      <w:r w:rsidRPr="009D704B">
        <w:t>adolescence</w:t>
      </w:r>
      <w:r>
        <w:rPr>
          <w:lang w:val="en"/>
        </w:rPr>
        <w:t xml:space="preserve"> is </w:t>
      </w:r>
      <w:r w:rsidR="00140E2D">
        <w:rPr>
          <w:lang w:val="en"/>
        </w:rPr>
        <w:t xml:space="preserve">a </w:t>
      </w:r>
      <w:r>
        <w:rPr>
          <w:lang w:val="en"/>
        </w:rPr>
        <w:t xml:space="preserve">critical time of self-regulation skill development, most </w:t>
      </w:r>
      <w:r w:rsidR="006344D9">
        <w:rPr>
          <w:lang w:val="en"/>
        </w:rPr>
        <w:t xml:space="preserve">evidence-based </w:t>
      </w:r>
      <w:r>
        <w:rPr>
          <w:lang w:val="en"/>
        </w:rPr>
        <w:t xml:space="preserve">strategies for supporting self-regulation focus on young children. Healthy marriage and relationship education (HMRE) programs for youth—with their focus on goal setting, communication skills, and interpersonal relationships—provide a natural context for supporting adolescent </w:t>
      </w:r>
      <w:r w:rsidR="00940804">
        <w:rPr>
          <w:lang w:val="en"/>
        </w:rPr>
        <w:t xml:space="preserve">and young adult </w:t>
      </w:r>
      <w:r>
        <w:rPr>
          <w:lang w:val="en"/>
        </w:rPr>
        <w:t xml:space="preserve">self-regulation skill development. </w:t>
      </w:r>
    </w:p>
    <w:p w14:paraId="2F035655" w14:textId="65F86FE5" w:rsidR="000B6469" w:rsidRDefault="000B6469" w:rsidP="009D704B">
      <w:pPr>
        <w:pStyle w:val="NormalSS"/>
        <w:rPr>
          <w:lang w:val="en"/>
        </w:rPr>
      </w:pPr>
      <w:r>
        <w:rPr>
          <w:lang w:val="en"/>
        </w:rPr>
        <w:t>The Deficit Reduction Act of 2005 created the HMRE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were awarded in September 2011 (and subsequently extended through September 2015). In October 2015, ACF awarded five-year grants to 46 HMRE grantees, including 31 grantees serving youth.</w:t>
      </w:r>
      <w:r w:rsidR="006769AB">
        <w:rPr>
          <w:lang w:val="en"/>
        </w:rPr>
        <w:t xml:space="preserve"> Youth-serving </w:t>
      </w:r>
      <w:r w:rsidR="00940804">
        <w:rPr>
          <w:lang w:val="en"/>
        </w:rPr>
        <w:t>grantees</w:t>
      </w:r>
      <w:r w:rsidR="006769AB">
        <w:rPr>
          <w:lang w:val="en"/>
        </w:rPr>
        <w:t xml:space="preserve"> focus on teaching skills to promote healthy relationships, including conflict resolution, problem solving, goal-setting, and communication skills, and may also integrate job readiness and financial management skills such as budgeting, resume writing, and interviewing skills.</w:t>
      </w:r>
    </w:p>
    <w:p w14:paraId="23E43F0B" w14:textId="359B444D" w:rsidR="00265E3A" w:rsidRDefault="009D704B" w:rsidP="009D704B">
      <w:pPr>
        <w:pStyle w:val="NormalSS"/>
      </w:pPr>
      <w:r>
        <w:rPr>
          <w:lang w:val="en"/>
        </w:rPr>
        <w:t>OPRE</w:t>
      </w:r>
      <w:r w:rsidR="00F36059">
        <w:rPr>
          <w:lang w:val="en"/>
        </w:rPr>
        <w:t>/ACF</w:t>
      </w:r>
      <w:r w:rsidR="00AF6EA8">
        <w:rPr>
          <w:lang w:val="en"/>
        </w:rPr>
        <w:t xml:space="preserve"> launched</w:t>
      </w:r>
      <w:r>
        <w:rPr>
          <w:lang w:val="en"/>
        </w:rPr>
        <w:t xml:space="preserve"> </w:t>
      </w:r>
      <w:r w:rsidR="00F36059">
        <w:rPr>
          <w:lang w:val="en"/>
        </w:rPr>
        <w:t xml:space="preserve">the </w:t>
      </w:r>
      <w:r>
        <w:rPr>
          <w:lang w:val="en"/>
        </w:rPr>
        <w:t>SARHM</w:t>
      </w:r>
      <w:r w:rsidR="006344D9">
        <w:rPr>
          <w:lang w:val="en"/>
        </w:rPr>
        <w:t xml:space="preserve"> project to develop </w:t>
      </w:r>
      <w:r w:rsidR="006344D9">
        <w:t xml:space="preserve">training approaches and materials to enhance program educators’ ability to support adolescent and young adult self-regulation skill development in the context of HMRE programs. </w:t>
      </w:r>
      <w:r w:rsidR="006769AB">
        <w:t>SARHM’s training for HMRE educators, covered during 8 to 10 hours of classroom training, includ</w:t>
      </w:r>
      <w:r w:rsidR="00C25BFD">
        <w:t>es</w:t>
      </w:r>
      <w:r w:rsidR="006769AB">
        <w:t xml:space="preserve"> two main components: knowledge development and </w:t>
      </w:r>
      <w:r w:rsidR="00940804">
        <w:t xml:space="preserve">strategies to promote youths’ self-regulation </w:t>
      </w:r>
      <w:r w:rsidR="006769AB">
        <w:t xml:space="preserve">skill development. The knowledge development component will focus on </w:t>
      </w:r>
      <w:r w:rsidR="00265E3A">
        <w:t xml:space="preserve">understanding self-regulation, adolescent development, and the role of adults in supporting self-regulation skill development. The training will emphasize the importance of self-regulation as a building block for healthy relationships, successful employment, and academic achievement as well as overall lifetime health and well-being. The strategies component will focus on teaching educators to use evidence-informed </w:t>
      </w:r>
      <w:r w:rsidR="00265E3A">
        <w:lastRenderedPageBreak/>
        <w:t xml:space="preserve">strategies to support youth self-regulation in the context of HMRE programs. The training will </w:t>
      </w:r>
      <w:r w:rsidR="00940804">
        <w:t xml:space="preserve">cover </w:t>
      </w:r>
      <w:r w:rsidR="00265E3A">
        <w:t xml:space="preserve">strategies in three domains: (1) developing warm, responsive </w:t>
      </w:r>
      <w:r w:rsidR="00940804">
        <w:t>relationships</w:t>
      </w:r>
      <w:r w:rsidR="00265E3A">
        <w:t xml:space="preserve"> with youth, (2) structuring the environment to support self-regulation, and (3) teaching and coaching youth on self-regulation skills. </w:t>
      </w:r>
    </w:p>
    <w:p w14:paraId="2E13CCED" w14:textId="06535248" w:rsidR="000B6469" w:rsidRDefault="000B6469" w:rsidP="009D704B">
      <w:pPr>
        <w:pStyle w:val="NormalSS"/>
      </w:pPr>
      <w:r>
        <w:t>SARHM will use an iterative</w:t>
      </w:r>
      <w:r w:rsidR="00571EEB">
        <w:t xml:space="preserve"> process</w:t>
      </w:r>
      <w:r w:rsidR="00E04A17">
        <w:t xml:space="preserve"> </w:t>
      </w:r>
      <w:r>
        <w:t xml:space="preserve">to develop the training approaches and materials </w:t>
      </w:r>
      <w:r w:rsidR="00571EEB">
        <w:t xml:space="preserve">and </w:t>
      </w:r>
      <w:r w:rsidR="002704EF">
        <w:t>pre-test</w:t>
      </w:r>
      <w:r w:rsidR="00571EEB">
        <w:t xml:space="preserve"> them </w:t>
      </w:r>
      <w:r>
        <w:t xml:space="preserve">with HMRE programs serving youth. This data collection effort will pre-test data collection instruments </w:t>
      </w:r>
      <w:r w:rsidR="0009245B">
        <w:t xml:space="preserve">to develop and refine </w:t>
      </w:r>
      <w:r w:rsidR="00571EEB">
        <w:t xml:space="preserve">them </w:t>
      </w:r>
      <w:r>
        <w:t xml:space="preserve">for use in a </w:t>
      </w:r>
      <w:r w:rsidR="00E04A17">
        <w:t xml:space="preserve">possible </w:t>
      </w:r>
      <w:r>
        <w:t>future evaluation of the training approaches and materials developed under SARHM.</w:t>
      </w:r>
      <w:r w:rsidR="00E04A17">
        <w:t xml:space="preserve"> ACF contracted with Public Strategies and Mathematica Policy Research to conduct the SARHM project.</w:t>
      </w:r>
    </w:p>
    <w:p w14:paraId="48A975F7" w14:textId="77777777" w:rsidR="00F36059" w:rsidRDefault="00F36059" w:rsidP="00F36059">
      <w:pPr>
        <w:pStyle w:val="H3Alpha"/>
      </w:pPr>
      <w:r>
        <w:t>Legal or administrative requirements that necessitate the collection</w:t>
      </w:r>
    </w:p>
    <w:p w14:paraId="281F64B7" w14:textId="77777777" w:rsidR="00F36059" w:rsidRDefault="00F36059" w:rsidP="00F36059">
      <w:pPr>
        <w:pStyle w:val="NormalSS"/>
      </w:pPr>
      <w:r>
        <w:t xml:space="preserve">This is a discretionary data collection authorized under </w:t>
      </w:r>
      <w:r w:rsidRPr="00B67F0A">
        <w:t>Sec. 811 (b) Healthy Marriage Promotion and Promoting Responsible Fatherhood Grants of the Claims Resolution Act of 2010, Pub. L. No. 111-</w:t>
      </w:r>
      <w:r w:rsidRPr="00D5339D">
        <w:t>291</w:t>
      </w:r>
      <w:r w:rsidRPr="00B67F0A">
        <w:t>, 124 Stat.</w:t>
      </w:r>
      <w:r>
        <w:t xml:space="preserve"> </w:t>
      </w:r>
      <w:r w:rsidRPr="00B67F0A">
        <w:t>3064 (Dec. 8</w:t>
      </w:r>
      <w:r>
        <w:t>,</w:t>
      </w:r>
      <w:r w:rsidRPr="00B67F0A">
        <w:t xml:space="preserve"> 2010).</w:t>
      </w:r>
      <w:r>
        <w:t xml:space="preserve"> </w:t>
      </w:r>
      <w:r w:rsidRPr="00B67F0A">
        <w:t xml:space="preserve">A copy of the legislative authority is included as </w:t>
      </w:r>
      <w:r>
        <w:t>Attachment A</w:t>
      </w:r>
      <w:r w:rsidRPr="00B67F0A">
        <w:t>.</w:t>
      </w:r>
    </w:p>
    <w:p w14:paraId="57678E1B" w14:textId="77777777" w:rsidR="00F36059" w:rsidRDefault="00D40B90" w:rsidP="00F36059">
      <w:pPr>
        <w:pStyle w:val="H3Alpha"/>
      </w:pPr>
      <w:r>
        <w:t>A</w:t>
      </w:r>
      <w:r w:rsidR="00F36059">
        <w:t xml:space="preserve">2. </w:t>
      </w:r>
      <w:r>
        <w:t>Purpose of survey and data collection procedures</w:t>
      </w:r>
    </w:p>
    <w:p w14:paraId="3AC3828B" w14:textId="77777777" w:rsidR="00D40B90" w:rsidRDefault="00D40B90" w:rsidP="00D40B90">
      <w:pPr>
        <w:pStyle w:val="H3Alpha"/>
      </w:pPr>
      <w:r>
        <w:t>Overview of purpose an</w:t>
      </w:r>
      <w:r w:rsidR="001B1632">
        <w:t>d</w:t>
      </w:r>
      <w:r>
        <w:t xml:space="preserve"> approach</w:t>
      </w:r>
    </w:p>
    <w:p w14:paraId="7973D513" w14:textId="3B1787A3" w:rsidR="00D40B90" w:rsidRDefault="00571EEB" w:rsidP="00D40B90">
      <w:pPr>
        <w:pStyle w:val="NormalSS"/>
      </w:pPr>
      <w:r>
        <w:t>T</w:t>
      </w:r>
      <w:r w:rsidR="00E04A17">
        <w:t xml:space="preserve">he SARHM team will develop and pre-test a series of data collection instruments and procedures for use in a potential future evaluation of training approaches and materials developed as part of the project. </w:t>
      </w:r>
      <w:r w:rsidR="00565BB5">
        <w:t>The purpose of the pre</w:t>
      </w:r>
      <w:r w:rsidR="00EE3695">
        <w:t>-</w:t>
      </w:r>
      <w:r w:rsidR="00565BB5">
        <w:t>tests is to evaluat</w:t>
      </w:r>
      <w:r w:rsidR="0009245B">
        <w:t>e</w:t>
      </w:r>
      <w:r w:rsidR="00565BB5">
        <w:t xml:space="preserve"> and improve the quality of the data collected using the instruments. ACF/OPRE will use the results internally to inform subsequent information collection requests. The </w:t>
      </w:r>
      <w:r w:rsidR="00F518D5">
        <w:t xml:space="preserve">results of these </w:t>
      </w:r>
      <w:r>
        <w:t>pre-tests</w:t>
      </w:r>
      <w:r w:rsidR="00F518D5">
        <w:t xml:space="preserve"> may be use</w:t>
      </w:r>
      <w:r w:rsidR="0009245B">
        <w:t>d</w:t>
      </w:r>
      <w:r w:rsidR="00F518D5">
        <w:t xml:space="preserve"> in reports on instrument development or instrument user guides. The </w:t>
      </w:r>
      <w:r w:rsidR="00565BB5">
        <w:t>data collected will not be present</w:t>
      </w:r>
      <w:r w:rsidR="00F518D5">
        <w:t>ed</w:t>
      </w:r>
      <w:r w:rsidR="00565BB5">
        <w:t xml:space="preserve"> as findings on implementation or effectiveness of the training approaches and materials</w:t>
      </w:r>
      <w:r w:rsidR="00F518D5">
        <w:t>.</w:t>
      </w:r>
    </w:p>
    <w:p w14:paraId="6BC23E26" w14:textId="77777777" w:rsidR="00F518D5" w:rsidRDefault="00F518D5" w:rsidP="00D40B90">
      <w:pPr>
        <w:pStyle w:val="NormalSS"/>
      </w:pPr>
      <w:r>
        <w:t>Pre-tests will be conducted with purposive samples of ACF-funded HMRE program staff and youth participants ages 14-24. All data collection activities conducted under this generic clearance will be voluntary and low burden.</w:t>
      </w:r>
    </w:p>
    <w:p w14:paraId="15D72893" w14:textId="77777777" w:rsidR="00F6081E" w:rsidRDefault="00F6081E" w:rsidP="00F6081E">
      <w:pPr>
        <w:pStyle w:val="H3Alpha"/>
      </w:pPr>
      <w:r>
        <w:t>Study design</w:t>
      </w:r>
    </w:p>
    <w:p w14:paraId="7A3C511C" w14:textId="33910BF4" w:rsidR="00D40B90" w:rsidRDefault="0092153C" w:rsidP="00D40B90">
      <w:pPr>
        <w:pStyle w:val="NormalSS"/>
      </w:pPr>
      <w:r>
        <w:t>ACF</w:t>
      </w:r>
      <w:r w:rsidR="007F4292">
        <w:t xml:space="preserve"> will use three procedures to develop and pre-test a set of data collection instruments under this clearance</w:t>
      </w:r>
      <w:r w:rsidR="004D2926">
        <w:t xml:space="preserve"> (see below for more information about specific instruments included with this request)</w:t>
      </w:r>
      <w:r w:rsidR="007F4292">
        <w:t>:</w:t>
      </w:r>
    </w:p>
    <w:p w14:paraId="7700AAD6" w14:textId="77420DFC" w:rsidR="007F4292" w:rsidRDefault="007F4292" w:rsidP="007F4292">
      <w:pPr>
        <w:pStyle w:val="Bullet"/>
      </w:pPr>
      <w:r w:rsidRPr="007F4292">
        <w:rPr>
          <w:b/>
        </w:rPr>
        <w:t>Exploratory interviews:</w:t>
      </w:r>
      <w:r>
        <w:t xml:space="preserve"> </w:t>
      </w:r>
      <w:r w:rsidR="00D30ADD">
        <w:t>S</w:t>
      </w:r>
      <w:r>
        <w:t xml:space="preserve">emi-structured interviews </w:t>
      </w:r>
      <w:r w:rsidR="00D30ADD">
        <w:t xml:space="preserve">will be conducted </w:t>
      </w:r>
      <w:r>
        <w:t xml:space="preserve">with HMRE program staff about their experiences with the training approaches and materials </w:t>
      </w:r>
      <w:r w:rsidR="002C5070">
        <w:t>at three time points during the</w:t>
      </w:r>
      <w:r>
        <w:t xml:space="preserve"> </w:t>
      </w:r>
      <w:r w:rsidR="00EE3695">
        <w:t>project</w:t>
      </w:r>
      <w:r>
        <w:t>. The first set of interviews will</w:t>
      </w:r>
      <w:r w:rsidR="00355A2F">
        <w:t xml:space="preserve"> be conducted in-</w:t>
      </w:r>
      <w:r>
        <w:t xml:space="preserve">person, and </w:t>
      </w:r>
      <w:r w:rsidR="002C5070">
        <w:t>two subsequent set</w:t>
      </w:r>
      <w:r w:rsidR="007801B7">
        <w:t>s</w:t>
      </w:r>
      <w:r w:rsidR="002C5070">
        <w:t xml:space="preserve"> of </w:t>
      </w:r>
      <w:r>
        <w:t xml:space="preserve">interviews </w:t>
      </w:r>
      <w:r w:rsidR="002C5070">
        <w:t>will be conducted by telephone</w:t>
      </w:r>
      <w:r>
        <w:t xml:space="preserve">. </w:t>
      </w:r>
      <w:r w:rsidR="00D77B11">
        <w:t xml:space="preserve">The </w:t>
      </w:r>
      <w:r>
        <w:t xml:space="preserve">results of these interviews </w:t>
      </w:r>
      <w:r w:rsidR="00D77B11">
        <w:t xml:space="preserve">will be used </w:t>
      </w:r>
      <w:r>
        <w:t xml:space="preserve">to refine semi-structured interview protocols and possibly to develop </w:t>
      </w:r>
      <w:r w:rsidR="00EE3695">
        <w:t>new survey instruments or observation tools</w:t>
      </w:r>
      <w:r>
        <w:t xml:space="preserve"> for use in a subsequent evaluation.</w:t>
      </w:r>
    </w:p>
    <w:p w14:paraId="6FA6C3C2" w14:textId="03422866" w:rsidR="007F4292" w:rsidRDefault="007F4292" w:rsidP="007F4292">
      <w:pPr>
        <w:pStyle w:val="Bullet"/>
      </w:pPr>
      <w:r>
        <w:rPr>
          <w:b/>
        </w:rPr>
        <w:t>Focus groups:</w:t>
      </w:r>
      <w:r w:rsidR="00D30ADD">
        <w:rPr>
          <w:b/>
        </w:rPr>
        <w:t xml:space="preserve"> </w:t>
      </w:r>
      <w:r w:rsidR="00D77B11">
        <w:t xml:space="preserve">Focus groups </w:t>
      </w:r>
      <w:r w:rsidR="00A163DD">
        <w:t xml:space="preserve">with </w:t>
      </w:r>
      <w:r w:rsidR="00D77B11">
        <w:t>youth will be conducted</w:t>
      </w:r>
      <w:r w:rsidR="00B838FC">
        <w:t xml:space="preserve"> </w:t>
      </w:r>
      <w:r w:rsidR="00D77B11">
        <w:t>to explore their experiences in the HMRE programs and satisfaction with the program educators who received training.</w:t>
      </w:r>
      <w:r w:rsidR="009F0FD2">
        <w:t xml:space="preserve"> Youth will also provide feedback on a questionnaire completed prior to the focus group.</w:t>
      </w:r>
      <w:r w:rsidR="00D77B11">
        <w:t xml:space="preserve"> The results will be used to refine the </w:t>
      </w:r>
      <w:r w:rsidR="009F0FD2">
        <w:t xml:space="preserve">questionnaire and </w:t>
      </w:r>
      <w:r w:rsidR="00D77B11">
        <w:t>focus group protocol and possibly to develop a new survey instrument for use in a subsequent evaluation.</w:t>
      </w:r>
    </w:p>
    <w:p w14:paraId="6BB0D898" w14:textId="28B5DF42" w:rsidR="00B838FC" w:rsidRDefault="007F4292" w:rsidP="00B838FC">
      <w:pPr>
        <w:pStyle w:val="BulletLastSS"/>
      </w:pPr>
      <w:r w:rsidRPr="007F4292">
        <w:rPr>
          <w:b/>
        </w:rPr>
        <w:t>Pre</w:t>
      </w:r>
      <w:r w:rsidR="006F619F">
        <w:rPr>
          <w:b/>
        </w:rPr>
        <w:t>-</w:t>
      </w:r>
      <w:r w:rsidRPr="007F4292">
        <w:rPr>
          <w:b/>
        </w:rPr>
        <w:t xml:space="preserve">tests: </w:t>
      </w:r>
      <w:r w:rsidR="00D77B11">
        <w:t xml:space="preserve">Pre-tests of preliminary versions of </w:t>
      </w:r>
      <w:r w:rsidR="00355A2F">
        <w:t xml:space="preserve">an educator </w:t>
      </w:r>
      <w:r w:rsidR="00D77B11">
        <w:t xml:space="preserve">questionnaire, a youth questionnaire, a session assessment form, and a </w:t>
      </w:r>
      <w:r w:rsidR="00355A2F">
        <w:t xml:space="preserve">group </w:t>
      </w:r>
      <w:r w:rsidR="00D77B11">
        <w:t>session observation tool will be conducted</w:t>
      </w:r>
      <w:r w:rsidR="00B838FC">
        <w:t>.</w:t>
      </w:r>
      <w:r w:rsidR="00D77B11">
        <w:t xml:space="preserve"> The results of these pre-tests will be used to </w:t>
      </w:r>
      <w:r w:rsidR="00B838FC">
        <w:t xml:space="preserve">refine questionnaire items and scales to prepare instruments for </w:t>
      </w:r>
      <w:r w:rsidR="00F108D9">
        <w:t xml:space="preserve">use in </w:t>
      </w:r>
      <w:r w:rsidR="00B838FC">
        <w:t xml:space="preserve">a possible subsequent evaluation. </w:t>
      </w:r>
    </w:p>
    <w:p w14:paraId="67ED979A" w14:textId="696B34F0" w:rsidR="00D40B90" w:rsidRDefault="00355A2F" w:rsidP="00100EDF">
      <w:pPr>
        <w:pStyle w:val="NormalSS"/>
      </w:pPr>
      <w:r>
        <w:t>Data</w:t>
      </w:r>
      <w:r w:rsidR="002C294C">
        <w:t xml:space="preserve"> collection instruments will undergo two rounds of pre-testing with five HMRE programs. In the first round, instruments will be pre-tested with staff and participants at two HMRE programs. In the second round, a subset of instruments will be pre-tested with staff at three </w:t>
      </w:r>
      <w:r w:rsidR="00CD32FE">
        <w:t xml:space="preserve">different </w:t>
      </w:r>
      <w:r w:rsidR="002C294C">
        <w:t xml:space="preserve">HMRE programs. </w:t>
      </w:r>
      <w:r w:rsidR="00B838FC">
        <w:t xml:space="preserve">If </w:t>
      </w:r>
      <w:r w:rsidR="002C294C">
        <w:t xml:space="preserve">this </w:t>
      </w:r>
      <w:r w:rsidR="00B838FC">
        <w:t>iterative pre</w:t>
      </w:r>
      <w:r w:rsidR="00E9205D">
        <w:t>-</w:t>
      </w:r>
      <w:r w:rsidR="00B838FC">
        <w:t>testing results in changes to any of the instruments, ACF will upload revised materials to ROCIS as a non</w:t>
      </w:r>
      <w:r w:rsidR="00E9205D">
        <w:t>-</w:t>
      </w:r>
      <w:r w:rsidR="00B838FC">
        <w:t>substantive change between each round of testing and will provide a memo describing</w:t>
      </w:r>
      <w:r w:rsidR="00100EDF">
        <w:t xml:space="preserve"> the rationale for the changes.</w:t>
      </w:r>
    </w:p>
    <w:p w14:paraId="20DDE196" w14:textId="77777777" w:rsidR="00D40B90" w:rsidRDefault="00D40B90" w:rsidP="00D40B90">
      <w:pPr>
        <w:pStyle w:val="H3Alpha"/>
      </w:pPr>
      <w:r>
        <w:t>Universe of data collection efforts</w:t>
      </w:r>
    </w:p>
    <w:p w14:paraId="7B240DE2" w14:textId="204C0AA3" w:rsidR="0009245B" w:rsidRDefault="0009245B" w:rsidP="0009245B">
      <w:pPr>
        <w:pStyle w:val="NormalSS"/>
      </w:pPr>
      <w:r>
        <w:t>Clearance is being requested to pre-test the following instruments as part of SARHM:</w:t>
      </w:r>
    </w:p>
    <w:p w14:paraId="31358180" w14:textId="25131574" w:rsidR="0009245B" w:rsidRPr="00C37803" w:rsidRDefault="0009245B" w:rsidP="00F776EF">
      <w:pPr>
        <w:pStyle w:val="NumberedBullet"/>
        <w:rPr>
          <w:b/>
        </w:rPr>
      </w:pPr>
      <w:r w:rsidRPr="00AC62C0">
        <w:rPr>
          <w:b/>
        </w:rPr>
        <w:t>Educator questionnaire</w:t>
      </w:r>
      <w:r w:rsidR="00AC62C0" w:rsidRPr="00AC62C0">
        <w:rPr>
          <w:b/>
        </w:rPr>
        <w:t xml:space="preserve"> (Instrument 1).</w:t>
      </w:r>
      <w:r w:rsidR="00AC62C0">
        <w:t xml:space="preserve"> The purpose of this questionnaire is to </w:t>
      </w:r>
      <w:r w:rsidR="002A3B6A">
        <w:t xml:space="preserve">assess </w:t>
      </w:r>
      <w:r w:rsidR="00AC62C0">
        <w:t xml:space="preserve">educator knowledge of self-regulation and strategies to support </w:t>
      </w:r>
      <w:r w:rsidR="002A3B6A">
        <w:t>youth self-regulation. Educators will also report on their own use of these skills.</w:t>
      </w:r>
    </w:p>
    <w:p w14:paraId="6CB5E2A4" w14:textId="1C148369" w:rsidR="0009245B" w:rsidRPr="00C37803" w:rsidRDefault="00AC62C0" w:rsidP="00C37803">
      <w:pPr>
        <w:pStyle w:val="NumberedBullet"/>
        <w:rPr>
          <w:b/>
        </w:rPr>
      </w:pPr>
      <w:r w:rsidRPr="00C37803">
        <w:rPr>
          <w:b/>
        </w:rPr>
        <w:t xml:space="preserve">Semi-structured interview </w:t>
      </w:r>
      <w:r w:rsidR="00A55C8E">
        <w:rPr>
          <w:b/>
        </w:rPr>
        <w:t xml:space="preserve">protocol </w:t>
      </w:r>
      <w:r w:rsidRPr="00C37803">
        <w:rPr>
          <w:b/>
        </w:rPr>
        <w:t>(Instrument 2)</w:t>
      </w:r>
      <w:r>
        <w:t>.</w:t>
      </w:r>
      <w:r w:rsidR="00BE4F7A">
        <w:t xml:space="preserve"> The purpose of the semi-structured interviews is to</w:t>
      </w:r>
      <w:r w:rsidR="001F212A">
        <w:t xml:space="preserve"> document manager and educator experience</w:t>
      </w:r>
      <w:r w:rsidR="002C5070">
        <w:t>s</w:t>
      </w:r>
      <w:r w:rsidR="001F212A">
        <w:t xml:space="preserve"> and perspectives about application of the training approaches during program activities</w:t>
      </w:r>
      <w:r w:rsidR="00BE4F7A">
        <w:t>.</w:t>
      </w:r>
      <w:r w:rsidR="001F212A">
        <w:t xml:space="preserve"> </w:t>
      </w:r>
    </w:p>
    <w:p w14:paraId="18C490F0" w14:textId="57A48482" w:rsidR="00AC62C0" w:rsidRDefault="00AC62C0" w:rsidP="0009245B">
      <w:pPr>
        <w:pStyle w:val="NumberedBullet"/>
      </w:pPr>
      <w:r w:rsidRPr="00BE4F7A">
        <w:rPr>
          <w:b/>
        </w:rPr>
        <w:t>Session assessment form (Instrument 3)</w:t>
      </w:r>
      <w:r>
        <w:t xml:space="preserve">. </w:t>
      </w:r>
      <w:r w:rsidR="00BE4F7A">
        <w:t xml:space="preserve">The purpose of these forms, to be completed by educators after group </w:t>
      </w:r>
      <w:r w:rsidR="00E9205D">
        <w:t>workshops</w:t>
      </w:r>
      <w:r w:rsidR="00470981">
        <w:t xml:space="preserve"> and individual </w:t>
      </w:r>
      <w:r w:rsidR="00E9205D">
        <w:t xml:space="preserve">client </w:t>
      </w:r>
      <w:r w:rsidR="00470981">
        <w:t>meetings with youth</w:t>
      </w:r>
      <w:r w:rsidR="00BE4F7A">
        <w:t xml:space="preserve">, is to </w:t>
      </w:r>
      <w:r w:rsidR="003B64E5">
        <w:t xml:space="preserve">collect information about </w:t>
      </w:r>
      <w:r w:rsidR="00C37803">
        <w:t>educator</w:t>
      </w:r>
      <w:r w:rsidR="003B64E5">
        <w:t xml:space="preserve"> </w:t>
      </w:r>
      <w:r w:rsidR="00BE2DEF">
        <w:t xml:space="preserve">self-reported </w:t>
      </w:r>
      <w:r w:rsidR="003B64E5">
        <w:t>use of behaviors taught in the training</w:t>
      </w:r>
      <w:r w:rsidR="00BE2DEF">
        <w:t xml:space="preserve"> to support youth self-regulation</w:t>
      </w:r>
      <w:r w:rsidR="003B64E5">
        <w:t>, including frequency and ease of use</w:t>
      </w:r>
      <w:r w:rsidR="00BE2DEF">
        <w:t xml:space="preserve">. Educators will also be asked </w:t>
      </w:r>
      <w:r w:rsidR="003B64E5">
        <w:t>to identify areas in which they need additional training.</w:t>
      </w:r>
    </w:p>
    <w:p w14:paraId="47F8F545" w14:textId="3303114A" w:rsidR="00AC62C0" w:rsidRDefault="00470981" w:rsidP="0009245B">
      <w:pPr>
        <w:pStyle w:val="NumberedBullet"/>
      </w:pPr>
      <w:r>
        <w:rPr>
          <w:b/>
        </w:rPr>
        <w:t>Group session</w:t>
      </w:r>
      <w:r w:rsidR="00AC62C0" w:rsidRPr="00BE4F7A">
        <w:rPr>
          <w:b/>
        </w:rPr>
        <w:t xml:space="preserve"> observation </w:t>
      </w:r>
      <w:r w:rsidR="000B3657">
        <w:rPr>
          <w:b/>
        </w:rPr>
        <w:t>form</w:t>
      </w:r>
      <w:r w:rsidR="00AC62C0" w:rsidRPr="00BE4F7A">
        <w:rPr>
          <w:b/>
        </w:rPr>
        <w:t xml:space="preserve"> (Instrument 4)</w:t>
      </w:r>
      <w:r w:rsidR="00AC62C0">
        <w:t>.</w:t>
      </w:r>
      <w:r w:rsidR="003B64E5">
        <w:t xml:space="preserve"> The purpose of this observation tool is to collect information from a trained observer about </w:t>
      </w:r>
      <w:r w:rsidR="00BE2DEF">
        <w:t xml:space="preserve">educators’ </w:t>
      </w:r>
      <w:r w:rsidR="003B64E5">
        <w:t xml:space="preserve">use of behaviors taught in </w:t>
      </w:r>
      <w:r w:rsidR="007801B7">
        <w:t xml:space="preserve">the </w:t>
      </w:r>
      <w:r w:rsidR="003B64E5">
        <w:t>training</w:t>
      </w:r>
      <w:r w:rsidR="00BE2DEF">
        <w:t xml:space="preserve"> to support youth self-regulation and</w:t>
      </w:r>
      <w:r w:rsidR="003B64E5">
        <w:t xml:space="preserve"> </w:t>
      </w:r>
      <w:r w:rsidR="00BE2DEF">
        <w:t xml:space="preserve">the level </w:t>
      </w:r>
      <w:r w:rsidR="003B64E5">
        <w:t>of youth engagement during the group session</w:t>
      </w:r>
      <w:r w:rsidR="00BE2DEF">
        <w:t>. The observer will also document</w:t>
      </w:r>
      <w:r w:rsidR="003B64E5">
        <w:t xml:space="preserve"> any disruptions that occur during the session</w:t>
      </w:r>
      <w:r w:rsidR="00BE2DEF">
        <w:t>, including the type and length of the disruption and the educators’ response</w:t>
      </w:r>
      <w:r w:rsidR="003B64E5">
        <w:t>.</w:t>
      </w:r>
    </w:p>
    <w:p w14:paraId="34E626BE" w14:textId="0CEAB2BC" w:rsidR="00AC62C0" w:rsidRDefault="00AC62C0" w:rsidP="0009245B">
      <w:pPr>
        <w:pStyle w:val="NumberedBullet"/>
      </w:pPr>
      <w:r w:rsidRPr="00BE4F7A">
        <w:rPr>
          <w:b/>
        </w:rPr>
        <w:t>Youth questionnaire (Instrument 5)</w:t>
      </w:r>
      <w:r>
        <w:t>.</w:t>
      </w:r>
      <w:r w:rsidR="003B64E5">
        <w:t xml:space="preserve"> </w:t>
      </w:r>
      <w:r w:rsidR="00E8401D">
        <w:t xml:space="preserve">The purpose of this questionnaire is to </w:t>
      </w:r>
      <w:r w:rsidR="00BE2DEF">
        <w:t xml:space="preserve">obtain information about </w:t>
      </w:r>
      <w:r w:rsidR="00E8401D">
        <w:t>youth</w:t>
      </w:r>
      <w:r w:rsidR="00E9205D">
        <w:t xml:space="preserve">s’ </w:t>
      </w:r>
      <w:r w:rsidR="00E8401D">
        <w:t xml:space="preserve">knowledge and use of self-regulation skills and </w:t>
      </w:r>
      <w:r w:rsidR="00E9205D">
        <w:t xml:space="preserve">how educators’ behaviors and the program climate support </w:t>
      </w:r>
      <w:r w:rsidR="00E8401D">
        <w:t>youth self-regulation.</w:t>
      </w:r>
      <w:r w:rsidR="00BE2DEF">
        <w:t xml:space="preserve"> This questionnaire will be administered to youth participating in focus groups </w:t>
      </w:r>
      <w:r w:rsidR="00B4590C">
        <w:t>before the focus group</w:t>
      </w:r>
      <w:r w:rsidR="00E9205D">
        <w:t>s begin</w:t>
      </w:r>
      <w:r w:rsidR="00BE2DEF">
        <w:t>.</w:t>
      </w:r>
    </w:p>
    <w:p w14:paraId="7C691638" w14:textId="0D52416E" w:rsidR="00AC62C0" w:rsidRPr="0009245B" w:rsidRDefault="00AC62C0" w:rsidP="00360D3E">
      <w:pPr>
        <w:pStyle w:val="NumberedBulletLastSS"/>
      </w:pPr>
      <w:r w:rsidRPr="00BE4F7A">
        <w:rPr>
          <w:b/>
        </w:rPr>
        <w:t xml:space="preserve">Youth focus group </w:t>
      </w:r>
      <w:r w:rsidR="007801B7">
        <w:rPr>
          <w:b/>
        </w:rPr>
        <w:t>protocol</w:t>
      </w:r>
      <w:r w:rsidRPr="00BE4F7A">
        <w:rPr>
          <w:b/>
        </w:rPr>
        <w:t xml:space="preserve"> (Instrument 6)</w:t>
      </w:r>
      <w:r>
        <w:t>.</w:t>
      </w:r>
      <w:r w:rsidR="00E8401D">
        <w:t xml:space="preserve"> The purpose of this </w:t>
      </w:r>
      <w:r w:rsidR="007801B7">
        <w:t xml:space="preserve">youth </w:t>
      </w:r>
      <w:r w:rsidR="00E8401D">
        <w:t xml:space="preserve">focus </w:t>
      </w:r>
      <w:r w:rsidR="007801B7">
        <w:t>group protocol</w:t>
      </w:r>
      <w:r w:rsidR="001F212A">
        <w:t xml:space="preserve"> </w:t>
      </w:r>
      <w:r w:rsidR="00E8401D">
        <w:t xml:space="preserve">is to obtain </w:t>
      </w:r>
      <w:r w:rsidR="001F212A">
        <w:t xml:space="preserve">information about </w:t>
      </w:r>
      <w:r w:rsidR="00E8401D">
        <w:t xml:space="preserve">youth perceptions of their </w:t>
      </w:r>
      <w:r w:rsidR="001F212A">
        <w:t xml:space="preserve">own </w:t>
      </w:r>
      <w:r w:rsidR="00E8401D">
        <w:t xml:space="preserve">knowledge and </w:t>
      </w:r>
      <w:r w:rsidR="001F212A">
        <w:t xml:space="preserve">skill gains </w:t>
      </w:r>
      <w:r w:rsidR="00E8401D">
        <w:t>during the program</w:t>
      </w:r>
      <w:r w:rsidR="00BE2DEF">
        <w:t xml:space="preserve">, including healthy relationship and self-regulation skills. The study team will also ask about </w:t>
      </w:r>
      <w:r w:rsidR="00E8401D">
        <w:t>their satisfaction with the relationship education services and the</w:t>
      </w:r>
      <w:r w:rsidR="001F212A">
        <w:t>ir interactions with</w:t>
      </w:r>
      <w:r w:rsidR="00E8401D">
        <w:t xml:space="preserve"> program educators. Questions </w:t>
      </w:r>
      <w:r w:rsidR="00F108D9">
        <w:t>are</w:t>
      </w:r>
      <w:r w:rsidR="00E8401D">
        <w:t xml:space="preserve"> designed to elicit </w:t>
      </w:r>
      <w:r w:rsidR="00B4590C">
        <w:t xml:space="preserve">youth </w:t>
      </w:r>
      <w:r w:rsidR="00E8401D">
        <w:t>feedback about educators’ use of strategies to support youth self-regulation.</w:t>
      </w:r>
    </w:p>
    <w:p w14:paraId="66866252" w14:textId="77777777" w:rsidR="00D40B90" w:rsidRDefault="00D40B90" w:rsidP="00D40B90">
      <w:pPr>
        <w:pStyle w:val="H3Alpha"/>
      </w:pPr>
      <w:r>
        <w:t>A3. Improved information technology to reduce burden</w:t>
      </w:r>
    </w:p>
    <w:p w14:paraId="4C76C6EB" w14:textId="0BC989AB" w:rsidR="00D40B90" w:rsidRDefault="00C22DA6" w:rsidP="00D40B90">
      <w:pPr>
        <w:pStyle w:val="NormalSS"/>
      </w:pPr>
      <w:r>
        <w:t xml:space="preserve">Semi-structured interviews and focus groups </w:t>
      </w:r>
      <w:r w:rsidR="00470981">
        <w:t xml:space="preserve">will be </w:t>
      </w:r>
      <w:r>
        <w:t xml:space="preserve">conducted </w:t>
      </w:r>
      <w:r w:rsidR="00470981">
        <w:t>by</w:t>
      </w:r>
      <w:r>
        <w:t xml:space="preserve"> two study team members</w:t>
      </w:r>
      <w:r w:rsidR="00B4590C">
        <w:t>.</w:t>
      </w:r>
      <w:r>
        <w:t xml:space="preserve"> </w:t>
      </w:r>
      <w:r w:rsidR="00B4590C">
        <w:t xml:space="preserve">One team member will </w:t>
      </w:r>
      <w:r w:rsidR="002D4AA3">
        <w:t>lead the interviews and focus groups by</w:t>
      </w:r>
      <w:r>
        <w:t xml:space="preserve"> asking questions and </w:t>
      </w:r>
      <w:r w:rsidR="00B4590C">
        <w:t xml:space="preserve">the </w:t>
      </w:r>
      <w:r>
        <w:t xml:space="preserve">second </w:t>
      </w:r>
      <w:r w:rsidR="00B4590C">
        <w:t xml:space="preserve">team member will </w:t>
      </w:r>
      <w:r w:rsidR="002D4AA3">
        <w:t xml:space="preserve">take detailed notes on a laptop capturing </w:t>
      </w:r>
      <w:r>
        <w:t>verbatim key quotes and responses</w:t>
      </w:r>
      <w:r w:rsidR="002D4AA3">
        <w:t xml:space="preserve"> when possible.</w:t>
      </w:r>
      <w:r w:rsidR="00EB1E5D">
        <w:t xml:space="preserve"> </w:t>
      </w:r>
      <w:r>
        <w:t>Site visit teams will</w:t>
      </w:r>
      <w:r w:rsidR="00386E5D">
        <w:t xml:space="preserve"> </w:t>
      </w:r>
      <w:r>
        <w:t xml:space="preserve">audio record </w:t>
      </w:r>
      <w:r w:rsidR="002D4AA3">
        <w:t xml:space="preserve">the </w:t>
      </w:r>
      <w:r w:rsidR="001D1707">
        <w:t xml:space="preserve">interviews and </w:t>
      </w:r>
      <w:r w:rsidR="002D4AA3">
        <w:t>focus group</w:t>
      </w:r>
      <w:r w:rsidR="001D1707">
        <w:t>s</w:t>
      </w:r>
      <w:r w:rsidR="002D4AA3">
        <w:t xml:space="preserve"> </w:t>
      </w:r>
      <w:r>
        <w:t>with permission from respondents to later confirm direct quotes or other details from the interviews and focus groups. Semi-structured interviews will be conducted at a time convenient to staff and conducted by phone if needed to accommodate their schedules.</w:t>
      </w:r>
    </w:p>
    <w:p w14:paraId="03BA0B21" w14:textId="287D82EF" w:rsidR="00C22DA6" w:rsidRDefault="00DB5E61" w:rsidP="00D40B90">
      <w:pPr>
        <w:pStyle w:val="NormalSS"/>
      </w:pPr>
      <w:r>
        <w:t>For ease of completion</w:t>
      </w:r>
      <w:r w:rsidR="00FD4C51">
        <w:t xml:space="preserve">, in the first round of pre-testing, the session assessment form </w:t>
      </w:r>
      <w:r w:rsidR="00996E55">
        <w:t xml:space="preserve">and group session observation form </w:t>
      </w:r>
      <w:r w:rsidR="00FD4C51">
        <w:t xml:space="preserve">will be available to staff as </w:t>
      </w:r>
      <w:r w:rsidR="005B7C6B">
        <w:t>online form</w:t>
      </w:r>
      <w:r w:rsidR="00996E55">
        <w:t>s</w:t>
      </w:r>
      <w:r w:rsidR="00FD4C51">
        <w:t xml:space="preserve"> created using Survey Monkey</w:t>
      </w:r>
      <w:r w:rsidR="005B7C6B">
        <w:t xml:space="preserve">. In the second round of pre-testing, the session assessment form, educator questionnaire, and group session observation form will all be available online using Survey Monkey. </w:t>
      </w:r>
      <w:r>
        <w:t>We will provide a link via email that HMRE program staff can use to access and complete the form</w:t>
      </w:r>
      <w:r w:rsidR="00996E55">
        <w:t>s</w:t>
      </w:r>
      <w:r w:rsidR="0025079B">
        <w:t xml:space="preserve"> using a tablet or laptop</w:t>
      </w:r>
      <w:r>
        <w:t xml:space="preserve">. </w:t>
      </w:r>
      <w:r w:rsidR="005B7C6B">
        <w:t xml:space="preserve">Survey Monkey is appropriate for this data collection effort because we are not collecting any personally identifiable information (PII) or sensitive information. </w:t>
      </w:r>
      <w:r w:rsidR="0025079B" w:rsidRPr="0025079B">
        <w:t xml:space="preserve">All online forms </w:t>
      </w:r>
      <w:r w:rsidR="00620483">
        <w:t>will also be available as paper-and-</w:t>
      </w:r>
      <w:r w:rsidR="0025079B" w:rsidRPr="0025079B">
        <w:t xml:space="preserve">pencil forms, in case </w:t>
      </w:r>
      <w:r w:rsidR="0025079B">
        <w:t xml:space="preserve">data entry via a tablet or laptop </w:t>
      </w:r>
      <w:r w:rsidR="0025079B" w:rsidRPr="0025079B">
        <w:t>is not feasible.</w:t>
      </w:r>
      <w:r w:rsidR="0025079B">
        <w:t xml:space="preserve"> </w:t>
      </w:r>
      <w:r w:rsidR="000B3657">
        <w:t>The youth questionna</w:t>
      </w:r>
      <w:r w:rsidR="00620483">
        <w:t>ire will be completed via paper-and-</w:t>
      </w:r>
      <w:r w:rsidR="000B3657">
        <w:t>pencil and collected by a project team member immediately upon completion.</w:t>
      </w:r>
      <w:r w:rsidR="0025079B">
        <w:t xml:space="preserve"> </w:t>
      </w:r>
    </w:p>
    <w:p w14:paraId="134997BB" w14:textId="77777777" w:rsidR="00D40B90" w:rsidRDefault="00D40B90" w:rsidP="00D40B90">
      <w:pPr>
        <w:pStyle w:val="H3Alpha"/>
      </w:pPr>
      <w:r>
        <w:t>A4. Efforts to identify duplication</w:t>
      </w:r>
    </w:p>
    <w:p w14:paraId="094E90E4" w14:textId="7E5C5C61" w:rsidR="00F56AF0" w:rsidRPr="00F56AF0" w:rsidRDefault="00F56AF0" w:rsidP="00F56AF0">
      <w:pPr>
        <w:pStyle w:val="NormalSS"/>
      </w:pPr>
      <w:r>
        <w:t>The SARHM</w:t>
      </w:r>
      <w:r w:rsidRPr="00F56AF0">
        <w:t xml:space="preserve"> team </w:t>
      </w:r>
      <w:r w:rsidR="005A09AF">
        <w:t>is</w:t>
      </w:r>
      <w:r w:rsidRPr="00F56AF0">
        <w:t xml:space="preserve"> not collect</w:t>
      </w:r>
      <w:r w:rsidR="005A09AF">
        <w:t>ing any</w:t>
      </w:r>
      <w:r w:rsidRPr="00F56AF0">
        <w:t xml:space="preserve"> information that is available elsewhere. None of the instruments ask for information that can be reliably obtained through other sources. </w:t>
      </w:r>
    </w:p>
    <w:p w14:paraId="261937E6" w14:textId="77777777" w:rsidR="00D40B90" w:rsidRDefault="00D40B90" w:rsidP="00D40B90">
      <w:pPr>
        <w:pStyle w:val="H3Alpha"/>
      </w:pPr>
      <w:r>
        <w:t>A5. Involvement of small organizations</w:t>
      </w:r>
    </w:p>
    <w:p w14:paraId="30822775" w14:textId="77BFFA1F" w:rsidR="00013805" w:rsidRPr="00026887" w:rsidRDefault="003864B3" w:rsidP="003864B3">
      <w:pPr>
        <w:pStyle w:val="NormalSS"/>
      </w:pPr>
      <w:r>
        <w:t>The HMRE grantees participating in the study are</w:t>
      </w:r>
      <w:r w:rsidR="00013805" w:rsidRPr="00026887">
        <w:t xml:space="preserve"> </w:t>
      </w:r>
      <w:r>
        <w:t xml:space="preserve">community-based </w:t>
      </w:r>
      <w:r w:rsidR="00013805" w:rsidRPr="00026887">
        <w:t xml:space="preserve">organizations. </w:t>
      </w:r>
      <w:r w:rsidR="002C5070">
        <w:t>The SARHM</w:t>
      </w:r>
      <w:r>
        <w:t xml:space="preserve"> </w:t>
      </w:r>
      <w:r w:rsidR="00FC04AA">
        <w:t xml:space="preserve">team </w:t>
      </w:r>
      <w:r>
        <w:t xml:space="preserve">will only request information required for the intended use. We will </w:t>
      </w:r>
      <w:r w:rsidR="00013805" w:rsidRPr="00026887">
        <w:t>minimize</w:t>
      </w:r>
      <w:r>
        <w:t xml:space="preserve"> burden by restricting the length of surveys to the minimum required, conducting interviews on-site or by telephone at times that are convenient to respondents, and convening focus groups at convenient locations and times.  </w:t>
      </w:r>
      <w:r w:rsidR="00013805" w:rsidRPr="00026887">
        <w:t xml:space="preserve"> </w:t>
      </w:r>
    </w:p>
    <w:p w14:paraId="0C307020" w14:textId="77777777" w:rsidR="00D40B90" w:rsidRDefault="00D40B90" w:rsidP="00D40B90">
      <w:pPr>
        <w:pStyle w:val="H3Alpha"/>
      </w:pPr>
      <w:r>
        <w:t>A6. Consequences of less frequent data collection</w:t>
      </w:r>
    </w:p>
    <w:p w14:paraId="394A2D14" w14:textId="6767E28D" w:rsidR="00D40B90" w:rsidRDefault="00B05D62" w:rsidP="00D40B90">
      <w:pPr>
        <w:pStyle w:val="NormalSS"/>
      </w:pPr>
      <w:r>
        <w:t xml:space="preserve">The purpose of this data collection is to </w:t>
      </w:r>
      <w:r w:rsidR="002C5070">
        <w:t>pre-test</w:t>
      </w:r>
      <w:r>
        <w:t xml:space="preserve"> a set of data collection instruments </w:t>
      </w:r>
      <w:r w:rsidR="000044B5">
        <w:t xml:space="preserve">for use in a possible future evaluation of HMRE program staff training approaches and materials. </w:t>
      </w:r>
      <w:r w:rsidR="00AE780B">
        <w:t xml:space="preserve">Iterative </w:t>
      </w:r>
      <w:r w:rsidR="002704EF">
        <w:t xml:space="preserve">pre-testing </w:t>
      </w:r>
      <w:r w:rsidR="00AE780B">
        <w:t xml:space="preserve">with small groups of staff and youth is needed to test and refine each data collection instrument. </w:t>
      </w:r>
      <w:r>
        <w:t>Collecting the data less frequently would prevent</w:t>
      </w:r>
      <w:r w:rsidR="00F56AF0">
        <w:t xml:space="preserve"> the study team from being able to</w:t>
      </w:r>
      <w:r w:rsidR="001D1707">
        <w:t xml:space="preserve"> </w:t>
      </w:r>
      <w:r w:rsidR="00F56AF0">
        <w:t xml:space="preserve">adequately test each instrument with small groups of staff from different </w:t>
      </w:r>
      <w:r w:rsidR="002C5070">
        <w:t>HMRE programs</w:t>
      </w:r>
      <w:r w:rsidR="00F56AF0">
        <w:t xml:space="preserve"> servi</w:t>
      </w:r>
      <w:r w:rsidR="00AE780B">
        <w:t>ng</w:t>
      </w:r>
      <w:r w:rsidR="00F56AF0">
        <w:t xml:space="preserve"> youth</w:t>
      </w:r>
      <w:r w:rsidR="002C5070">
        <w:t xml:space="preserve"> in different program settings</w:t>
      </w:r>
      <w:r w:rsidR="00F56AF0">
        <w:t xml:space="preserve">, and with </w:t>
      </w:r>
      <w:r w:rsidR="00AE780B">
        <w:t>youth with different characteristics.</w:t>
      </w:r>
      <w:r w:rsidR="00F56AF0">
        <w:t xml:space="preserve"> </w:t>
      </w:r>
    </w:p>
    <w:p w14:paraId="6DB02D9B" w14:textId="77777777" w:rsidR="00D40B90" w:rsidRDefault="00D40B90" w:rsidP="00D40B90">
      <w:pPr>
        <w:pStyle w:val="H3Alpha"/>
      </w:pPr>
      <w:r>
        <w:t>A7. Special circumstances</w:t>
      </w:r>
    </w:p>
    <w:p w14:paraId="1AD28F3E" w14:textId="77777777" w:rsidR="00D40B90" w:rsidRPr="003864B3" w:rsidRDefault="003864B3" w:rsidP="003864B3">
      <w:pPr>
        <w:pStyle w:val="NormalSS"/>
      </w:pPr>
      <w:r>
        <w:t xml:space="preserve">There are no special circumstances </w:t>
      </w:r>
      <w:r w:rsidRPr="003864B3">
        <w:t>for</w:t>
      </w:r>
      <w:r>
        <w:t xml:space="preserve"> the proposed data collection.</w:t>
      </w:r>
    </w:p>
    <w:p w14:paraId="1ACE01C9" w14:textId="77777777" w:rsidR="00D40B90" w:rsidRDefault="00D40B90" w:rsidP="00D40B90">
      <w:pPr>
        <w:pStyle w:val="H3Alpha"/>
      </w:pPr>
      <w:r>
        <w:t>A8. Federal register notice and consultation</w:t>
      </w:r>
    </w:p>
    <w:p w14:paraId="6C2741B3" w14:textId="77777777" w:rsidR="00D40B90" w:rsidRDefault="00D40B90" w:rsidP="00D40B90">
      <w:pPr>
        <w:pStyle w:val="H3Alpha"/>
      </w:pPr>
      <w:r>
        <w:t>Federal register notice and comments</w:t>
      </w:r>
    </w:p>
    <w:p w14:paraId="47A2EBBD" w14:textId="3803CCC9" w:rsidR="009F35E7" w:rsidRDefault="00C15C8C" w:rsidP="009F35E7">
      <w:r w:rsidRPr="00026887">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w:t>
      </w:r>
      <w:r w:rsidR="001D1707">
        <w:t>the overarching pre-testing generic</w:t>
      </w:r>
      <w:r w:rsidR="001D1707" w:rsidRPr="00026887">
        <w:t xml:space="preserve"> </w:t>
      </w:r>
      <w:r w:rsidRPr="00026887">
        <w:t>information collection activit</w:t>
      </w:r>
      <w:r w:rsidR="001D1707">
        <w:t>ies</w:t>
      </w:r>
      <w:r w:rsidRPr="00026887">
        <w:t xml:space="preserve">. </w:t>
      </w:r>
      <w:r w:rsidR="009F35E7" w:rsidRPr="001E1086">
        <w:t xml:space="preserve">This notice was published on </w:t>
      </w:r>
      <w:r w:rsidR="009F35E7">
        <w:t>October 20, 2017</w:t>
      </w:r>
      <w:r w:rsidR="009F35E7" w:rsidRPr="002C5585">
        <w:t xml:space="preserve">; Volume </w:t>
      </w:r>
      <w:r w:rsidR="009F35E7">
        <w:t>82</w:t>
      </w:r>
      <w:r w:rsidR="009F35E7" w:rsidRPr="002C5585">
        <w:t xml:space="preserve">, Number </w:t>
      </w:r>
      <w:r w:rsidR="009F35E7">
        <w:t>202,</w:t>
      </w:r>
      <w:r w:rsidR="009F35E7" w:rsidRPr="002C5585">
        <w:t xml:space="preserve"> page </w:t>
      </w:r>
      <w:r w:rsidR="009F35E7">
        <w:t>48820</w:t>
      </w:r>
      <w:r w:rsidR="009F35E7" w:rsidRPr="002C5585">
        <w:t xml:space="preserve">, and provided a sixty-day period for public comment. During the notice and comment period, </w:t>
      </w:r>
      <w:r w:rsidR="009F35E7" w:rsidRPr="008B14C2">
        <w:t>no</w:t>
      </w:r>
      <w:r w:rsidR="009F35E7" w:rsidRPr="002C5585">
        <w:t xml:space="preserve"> </w:t>
      </w:r>
      <w:r w:rsidR="009F35E7">
        <w:t xml:space="preserve">substantive </w:t>
      </w:r>
      <w:r w:rsidR="009F35E7" w:rsidRPr="002C5585">
        <w:t xml:space="preserve">comments were received. </w:t>
      </w:r>
    </w:p>
    <w:p w14:paraId="39106D62" w14:textId="6001E767" w:rsidR="00C15C8C" w:rsidRPr="00026887" w:rsidRDefault="00C15C8C" w:rsidP="00C15C8C">
      <w:pPr>
        <w:pStyle w:val="NormalSS"/>
      </w:pPr>
    </w:p>
    <w:p w14:paraId="46411E18" w14:textId="77777777" w:rsidR="00D40B90" w:rsidRDefault="00D40B90" w:rsidP="00D40B90">
      <w:pPr>
        <w:pStyle w:val="H3Alpha"/>
      </w:pPr>
      <w:r>
        <w:t>Consultation with experts outside the study</w:t>
      </w:r>
    </w:p>
    <w:p w14:paraId="4B2C6239" w14:textId="4DFDA0F3" w:rsidR="00D40B90" w:rsidRDefault="00C15C8C" w:rsidP="00D40B90">
      <w:pPr>
        <w:pStyle w:val="NormalSS"/>
      </w:pPr>
      <w:r>
        <w:t xml:space="preserve">The SARHM </w:t>
      </w:r>
      <w:r w:rsidR="00F108D9">
        <w:t>project</w:t>
      </w:r>
      <w:r>
        <w:t xml:space="preserve"> team consulted with external experts to complement the knowledge and experience of the </w:t>
      </w:r>
      <w:r w:rsidR="00F108D9">
        <w:t>project</w:t>
      </w:r>
      <w:r>
        <w:t xml:space="preserve"> team (Table A.1). Collectively, these experts have specialized knowledge in HMRE programming for youth, staff training approaches, self-regulation interventions for youth, measurement of self- and co-regulation, and study design and data collection methods relevant to this work.</w:t>
      </w:r>
    </w:p>
    <w:p w14:paraId="00C106F1" w14:textId="77777777" w:rsidR="00C15C8C" w:rsidRDefault="00C15C8C" w:rsidP="00C15C8C">
      <w:pPr>
        <w:pStyle w:val="MarkforTableTitle"/>
      </w:pPr>
      <w:r>
        <w:t>Table A.1 SARHM expert group</w:t>
      </w:r>
    </w:p>
    <w:tbl>
      <w:tblPr>
        <w:tblStyle w:val="MPRBaseTable"/>
        <w:tblW w:w="0" w:type="auto"/>
        <w:tblLook w:val="04A0" w:firstRow="1" w:lastRow="0" w:firstColumn="1" w:lastColumn="0" w:noHBand="0" w:noVBand="1"/>
      </w:tblPr>
      <w:tblGrid>
        <w:gridCol w:w="2970"/>
        <w:gridCol w:w="6380"/>
      </w:tblGrid>
      <w:tr w:rsidR="006433BD" w14:paraId="6F96B68B" w14:textId="77777777" w:rsidTr="006433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0834040D" w14:textId="77777777" w:rsidR="006433BD" w:rsidRPr="006433BD" w:rsidRDefault="006433BD" w:rsidP="006433BD">
            <w:pPr>
              <w:pStyle w:val="TableText"/>
              <w:rPr>
                <w:sz w:val="20"/>
                <w:szCs w:val="20"/>
              </w:rPr>
            </w:pPr>
            <w:r w:rsidRPr="006433BD">
              <w:rPr>
                <w:sz w:val="20"/>
                <w:szCs w:val="20"/>
              </w:rPr>
              <w:t>Name</w:t>
            </w:r>
          </w:p>
        </w:tc>
        <w:tc>
          <w:tcPr>
            <w:tcW w:w="6380" w:type="dxa"/>
          </w:tcPr>
          <w:p w14:paraId="4E8C188D" w14:textId="77777777" w:rsidR="006433BD" w:rsidRPr="006433BD" w:rsidRDefault="006433BD" w:rsidP="00F108D9">
            <w:pPr>
              <w:pStyle w:val="TableText"/>
              <w:jc w:val="left"/>
              <w:cnfStyle w:val="100000000000" w:firstRow="1" w:lastRow="0" w:firstColumn="0" w:lastColumn="0" w:oddVBand="0" w:evenVBand="0" w:oddHBand="0" w:evenHBand="0" w:firstRowFirstColumn="0" w:firstRowLastColumn="0" w:lastRowFirstColumn="0" w:lastRowLastColumn="0"/>
              <w:rPr>
                <w:sz w:val="20"/>
                <w:szCs w:val="20"/>
              </w:rPr>
            </w:pPr>
            <w:r w:rsidRPr="006433BD">
              <w:rPr>
                <w:sz w:val="20"/>
                <w:szCs w:val="20"/>
              </w:rPr>
              <w:t>Affiliation</w:t>
            </w:r>
          </w:p>
        </w:tc>
      </w:tr>
      <w:tr w:rsidR="006433BD" w14:paraId="38725723"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3E5E870" w14:textId="77777777" w:rsidR="006433BD" w:rsidRPr="006433BD" w:rsidRDefault="006433BD" w:rsidP="006433BD">
            <w:pPr>
              <w:pStyle w:val="TableText"/>
              <w:rPr>
                <w:sz w:val="20"/>
                <w:szCs w:val="20"/>
              </w:rPr>
            </w:pPr>
            <w:r>
              <w:rPr>
                <w:sz w:val="20"/>
                <w:szCs w:val="20"/>
              </w:rPr>
              <w:t>Joseph Allen</w:t>
            </w:r>
          </w:p>
        </w:tc>
        <w:tc>
          <w:tcPr>
            <w:tcW w:w="6380" w:type="dxa"/>
          </w:tcPr>
          <w:p w14:paraId="2612C092" w14:textId="77777777" w:rsidR="006433BD" w:rsidRPr="006433BD" w:rsidRDefault="006433BD"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University of Virginia</w:t>
            </w:r>
          </w:p>
        </w:tc>
      </w:tr>
      <w:tr w:rsidR="006433BD" w14:paraId="0EAAF947"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1585B91A" w14:textId="77777777" w:rsidR="006433BD" w:rsidRPr="006433BD" w:rsidRDefault="006433BD" w:rsidP="006433BD">
            <w:pPr>
              <w:pStyle w:val="TableText"/>
              <w:rPr>
                <w:sz w:val="20"/>
                <w:szCs w:val="20"/>
              </w:rPr>
            </w:pPr>
            <w:r>
              <w:rPr>
                <w:sz w:val="20"/>
                <w:szCs w:val="20"/>
              </w:rPr>
              <w:t>Marc Brackett</w:t>
            </w:r>
          </w:p>
        </w:tc>
        <w:tc>
          <w:tcPr>
            <w:tcW w:w="6380" w:type="dxa"/>
          </w:tcPr>
          <w:p w14:paraId="461AD6B0" w14:textId="77777777" w:rsidR="006433BD" w:rsidRPr="006433BD" w:rsidRDefault="006433BD"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Yale University</w:t>
            </w:r>
          </w:p>
        </w:tc>
      </w:tr>
      <w:tr w:rsidR="006433BD" w14:paraId="0012CE8C"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029DC61" w14:textId="77777777" w:rsidR="006433BD" w:rsidRPr="006433BD" w:rsidRDefault="0092733F" w:rsidP="006433BD">
            <w:pPr>
              <w:pStyle w:val="TableText"/>
              <w:rPr>
                <w:sz w:val="20"/>
                <w:szCs w:val="20"/>
              </w:rPr>
            </w:pPr>
            <w:r>
              <w:rPr>
                <w:sz w:val="20"/>
                <w:szCs w:val="20"/>
              </w:rPr>
              <w:t>Joshua Brown</w:t>
            </w:r>
          </w:p>
        </w:tc>
        <w:tc>
          <w:tcPr>
            <w:tcW w:w="6380" w:type="dxa"/>
          </w:tcPr>
          <w:p w14:paraId="70F848EE" w14:textId="77777777" w:rsidR="006433BD" w:rsidRPr="006433BD" w:rsidRDefault="0092733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Fordham University</w:t>
            </w:r>
          </w:p>
        </w:tc>
      </w:tr>
      <w:tr w:rsidR="006433BD" w14:paraId="6FD8FB8D"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C8A7C8A" w14:textId="77777777" w:rsidR="006433BD" w:rsidRPr="006433BD" w:rsidRDefault="0092733F" w:rsidP="006433BD">
            <w:pPr>
              <w:pStyle w:val="TableText"/>
              <w:rPr>
                <w:sz w:val="20"/>
                <w:szCs w:val="20"/>
              </w:rPr>
            </w:pPr>
            <w:r>
              <w:rPr>
                <w:sz w:val="20"/>
                <w:szCs w:val="20"/>
              </w:rPr>
              <w:t>Ronald B. Cox</w:t>
            </w:r>
          </w:p>
        </w:tc>
        <w:tc>
          <w:tcPr>
            <w:tcW w:w="6380" w:type="dxa"/>
          </w:tcPr>
          <w:p w14:paraId="17D8B65E" w14:textId="77777777" w:rsidR="006433BD" w:rsidRPr="006433BD" w:rsidRDefault="0092733F"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Oklahoma State University</w:t>
            </w:r>
          </w:p>
        </w:tc>
      </w:tr>
      <w:tr w:rsidR="006433BD" w14:paraId="508A17BC"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2375465" w14:textId="77777777" w:rsidR="006433BD" w:rsidRPr="006433BD" w:rsidRDefault="0092733F" w:rsidP="006433BD">
            <w:pPr>
              <w:pStyle w:val="TableText"/>
              <w:rPr>
                <w:sz w:val="20"/>
                <w:szCs w:val="20"/>
              </w:rPr>
            </w:pPr>
            <w:r>
              <w:rPr>
                <w:sz w:val="20"/>
                <w:szCs w:val="20"/>
              </w:rPr>
              <w:t>Carolyn Rich Curtis</w:t>
            </w:r>
          </w:p>
        </w:tc>
        <w:tc>
          <w:tcPr>
            <w:tcW w:w="6380" w:type="dxa"/>
          </w:tcPr>
          <w:p w14:paraId="4FAD906A" w14:textId="77777777" w:rsidR="006433BD" w:rsidRPr="006433BD" w:rsidRDefault="0092733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Relationship Skills Center</w:t>
            </w:r>
          </w:p>
        </w:tc>
      </w:tr>
      <w:tr w:rsidR="0092733F" w14:paraId="112FA029"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CBD7058" w14:textId="77777777" w:rsidR="0092733F" w:rsidRPr="006433BD" w:rsidRDefault="0092733F" w:rsidP="006433BD">
            <w:pPr>
              <w:pStyle w:val="TableText"/>
              <w:rPr>
                <w:sz w:val="20"/>
                <w:szCs w:val="20"/>
              </w:rPr>
            </w:pPr>
            <w:r>
              <w:rPr>
                <w:sz w:val="20"/>
                <w:szCs w:val="20"/>
              </w:rPr>
              <w:t xml:space="preserve">Abigail Gewirtz </w:t>
            </w:r>
          </w:p>
        </w:tc>
        <w:tc>
          <w:tcPr>
            <w:tcW w:w="6380" w:type="dxa"/>
          </w:tcPr>
          <w:p w14:paraId="6A8BD322" w14:textId="77777777" w:rsidR="0092733F" w:rsidRPr="006433BD" w:rsidRDefault="0092733F"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University of Minnesota</w:t>
            </w:r>
          </w:p>
        </w:tc>
      </w:tr>
      <w:tr w:rsidR="00BE29DF" w14:paraId="1DE5A491"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B201271" w14:textId="77777777" w:rsidR="00BE29DF" w:rsidRDefault="00BE29DF" w:rsidP="006433BD">
            <w:pPr>
              <w:pStyle w:val="TableText"/>
              <w:rPr>
                <w:sz w:val="20"/>
                <w:szCs w:val="20"/>
              </w:rPr>
            </w:pPr>
            <w:r>
              <w:rPr>
                <w:sz w:val="20"/>
                <w:szCs w:val="20"/>
              </w:rPr>
              <w:t>Mark Greenberg</w:t>
            </w:r>
          </w:p>
        </w:tc>
        <w:tc>
          <w:tcPr>
            <w:tcW w:w="6380" w:type="dxa"/>
          </w:tcPr>
          <w:p w14:paraId="4870792E" w14:textId="77777777" w:rsidR="00BE29DF" w:rsidRDefault="00BE29D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Pennsylvania State University</w:t>
            </w:r>
          </w:p>
        </w:tc>
      </w:tr>
      <w:tr w:rsidR="0092733F" w14:paraId="65883CCC"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DE713C3" w14:textId="77777777" w:rsidR="0092733F" w:rsidRPr="006433BD" w:rsidRDefault="0092733F" w:rsidP="006433BD">
            <w:pPr>
              <w:pStyle w:val="TableText"/>
              <w:rPr>
                <w:sz w:val="20"/>
                <w:szCs w:val="20"/>
              </w:rPr>
            </w:pPr>
            <w:r>
              <w:rPr>
                <w:sz w:val="20"/>
                <w:szCs w:val="20"/>
              </w:rPr>
              <w:t>James Mazza</w:t>
            </w:r>
          </w:p>
        </w:tc>
        <w:tc>
          <w:tcPr>
            <w:tcW w:w="6380" w:type="dxa"/>
          </w:tcPr>
          <w:p w14:paraId="74EDE572" w14:textId="77777777" w:rsidR="0092733F" w:rsidRPr="006433BD" w:rsidRDefault="0092733F"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University of Washington</w:t>
            </w:r>
          </w:p>
        </w:tc>
      </w:tr>
      <w:tr w:rsidR="0092733F" w14:paraId="352F0220"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6915E03" w14:textId="77777777" w:rsidR="0092733F" w:rsidRPr="006433BD" w:rsidRDefault="0092733F" w:rsidP="006433BD">
            <w:pPr>
              <w:pStyle w:val="TableText"/>
              <w:rPr>
                <w:sz w:val="20"/>
                <w:szCs w:val="20"/>
              </w:rPr>
            </w:pPr>
            <w:r>
              <w:rPr>
                <w:sz w:val="20"/>
                <w:szCs w:val="20"/>
              </w:rPr>
              <w:t>Velma McBride Murray</w:t>
            </w:r>
          </w:p>
        </w:tc>
        <w:tc>
          <w:tcPr>
            <w:tcW w:w="6380" w:type="dxa"/>
          </w:tcPr>
          <w:p w14:paraId="01D07541" w14:textId="77777777" w:rsidR="0092733F" w:rsidRPr="006433BD" w:rsidRDefault="0092733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Vanderbilt University</w:t>
            </w:r>
          </w:p>
        </w:tc>
      </w:tr>
      <w:tr w:rsidR="006433BD" w14:paraId="6F6C71BC"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771525A" w14:textId="77777777" w:rsidR="006433BD" w:rsidRPr="006433BD" w:rsidRDefault="00BE29DF" w:rsidP="006433BD">
            <w:pPr>
              <w:pStyle w:val="TableText"/>
              <w:rPr>
                <w:sz w:val="20"/>
                <w:szCs w:val="20"/>
              </w:rPr>
            </w:pPr>
            <w:r>
              <w:rPr>
                <w:sz w:val="20"/>
                <w:szCs w:val="20"/>
              </w:rPr>
              <w:t>David Osher</w:t>
            </w:r>
          </w:p>
        </w:tc>
        <w:tc>
          <w:tcPr>
            <w:tcW w:w="6380" w:type="dxa"/>
          </w:tcPr>
          <w:p w14:paraId="0171378B" w14:textId="77777777" w:rsidR="006433BD" w:rsidRPr="006433BD" w:rsidRDefault="00BE29DF"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American Institutes of Research</w:t>
            </w:r>
          </w:p>
        </w:tc>
      </w:tr>
      <w:tr w:rsidR="006433BD" w14:paraId="7403EFE8"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E5439E0" w14:textId="77777777" w:rsidR="006433BD" w:rsidRPr="006433BD" w:rsidRDefault="00BE29DF" w:rsidP="006433BD">
            <w:pPr>
              <w:pStyle w:val="TableText"/>
              <w:rPr>
                <w:sz w:val="20"/>
                <w:szCs w:val="20"/>
              </w:rPr>
            </w:pPr>
            <w:r>
              <w:rPr>
                <w:sz w:val="20"/>
                <w:szCs w:val="20"/>
              </w:rPr>
              <w:t>Kay Reed</w:t>
            </w:r>
          </w:p>
        </w:tc>
        <w:tc>
          <w:tcPr>
            <w:tcW w:w="6380" w:type="dxa"/>
          </w:tcPr>
          <w:p w14:paraId="703D2010" w14:textId="77777777" w:rsidR="006433BD" w:rsidRPr="006433BD" w:rsidRDefault="00BE29D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Dibble Institute</w:t>
            </w:r>
          </w:p>
        </w:tc>
      </w:tr>
      <w:tr w:rsidR="00BE29DF" w14:paraId="1752EDBC" w14:textId="77777777" w:rsidTr="006433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6179F46" w14:textId="77777777" w:rsidR="00BE29DF" w:rsidRDefault="00BE29DF" w:rsidP="006433BD">
            <w:pPr>
              <w:pStyle w:val="TableText"/>
              <w:rPr>
                <w:sz w:val="20"/>
                <w:szCs w:val="20"/>
              </w:rPr>
            </w:pPr>
            <w:r>
              <w:rPr>
                <w:sz w:val="20"/>
                <w:szCs w:val="20"/>
              </w:rPr>
              <w:t>Galena Rhodes</w:t>
            </w:r>
          </w:p>
        </w:tc>
        <w:tc>
          <w:tcPr>
            <w:tcW w:w="6380" w:type="dxa"/>
          </w:tcPr>
          <w:p w14:paraId="63463458" w14:textId="77777777" w:rsidR="00BE29DF" w:rsidRDefault="00BE29DF" w:rsidP="006433B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University of Denver</w:t>
            </w:r>
          </w:p>
        </w:tc>
      </w:tr>
      <w:tr w:rsidR="00BE29DF" w14:paraId="46E64871" w14:textId="77777777" w:rsidTr="00643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3771000" w14:textId="77777777" w:rsidR="00BE29DF" w:rsidRDefault="00BE29DF" w:rsidP="006433BD">
            <w:pPr>
              <w:pStyle w:val="TableText"/>
              <w:rPr>
                <w:sz w:val="20"/>
                <w:szCs w:val="20"/>
              </w:rPr>
            </w:pPr>
            <w:r>
              <w:rPr>
                <w:sz w:val="20"/>
                <w:szCs w:val="20"/>
              </w:rPr>
              <w:t>Emilie Smith</w:t>
            </w:r>
          </w:p>
        </w:tc>
        <w:tc>
          <w:tcPr>
            <w:tcW w:w="6380" w:type="dxa"/>
          </w:tcPr>
          <w:p w14:paraId="69ADAD82" w14:textId="77777777" w:rsidR="00BE29DF" w:rsidRDefault="00BE29DF" w:rsidP="006433BD">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University of Georgia</w:t>
            </w:r>
          </w:p>
        </w:tc>
      </w:tr>
    </w:tbl>
    <w:p w14:paraId="0B75E654" w14:textId="77777777" w:rsidR="00C15C8C" w:rsidRPr="00C15C8C" w:rsidRDefault="00C15C8C" w:rsidP="00C15C8C">
      <w:pPr>
        <w:pStyle w:val="NormalSS"/>
      </w:pPr>
    </w:p>
    <w:p w14:paraId="4511DEBC" w14:textId="77777777" w:rsidR="00D40B90" w:rsidRDefault="00D40B90" w:rsidP="00D40B90">
      <w:pPr>
        <w:pStyle w:val="H3Alpha"/>
      </w:pPr>
      <w:r>
        <w:t>A9. Incentives for respondents</w:t>
      </w:r>
    </w:p>
    <w:p w14:paraId="1E17CBC8" w14:textId="16B94953" w:rsidR="00843C19" w:rsidRDefault="00702F7F" w:rsidP="00F156A1">
      <w:pPr>
        <w:pStyle w:val="NormalSS"/>
      </w:pPr>
      <w:r>
        <w:t xml:space="preserve">The study team proposes to provide youth focus group participants with $25 </w:t>
      </w:r>
      <w:r w:rsidR="00940804">
        <w:t xml:space="preserve">gift cards as an incentive to their participation </w:t>
      </w:r>
      <w:r w:rsidR="00ED1D8C">
        <w:t>in the focus groups and completion of the questionnaire</w:t>
      </w:r>
      <w:r w:rsidR="0061685A">
        <w:t>.</w:t>
      </w:r>
      <w:r w:rsidR="00930809">
        <w:t xml:space="preserve"> The focus group is expected to take about 1 hour and 15 minutes and the questionnaire is expected to take about 15 minutes, for a total of 1.5 hours.</w:t>
      </w:r>
      <w:r w:rsidR="005A09AF">
        <w:t xml:space="preserve"> </w:t>
      </w:r>
      <w:r w:rsidR="00EB6BCB">
        <w:t xml:space="preserve">These gift cards are important for this data collection because the youth participating in pre-testing are </w:t>
      </w:r>
      <w:r w:rsidR="001E087F">
        <w:t>underrepresented and high</w:t>
      </w:r>
      <w:r w:rsidR="00EB6BCB">
        <w:t xml:space="preserve">-risk youth living in high poverty neighborhoods and young adults aging out of foster care, some of whom are teenage parents. These youth are overwhelmingly disconnected, highly mobile, and hard to engage. </w:t>
      </w:r>
      <w:r w:rsidR="0089096C">
        <w:t>We make this proposal to cover incidental expenses</w:t>
      </w:r>
      <w:r w:rsidR="00C40C7D">
        <w:t>,</w:t>
      </w:r>
      <w:r w:rsidR="0089096C">
        <w:t xml:space="preserve"> such as transportation and child care</w:t>
      </w:r>
      <w:r w:rsidR="00C40C7D">
        <w:t>,</w:t>
      </w:r>
      <w:r w:rsidR="0089096C">
        <w:t xml:space="preserve"> and to increase the likelihood of participation. </w:t>
      </w:r>
      <w:r w:rsidR="00843C19">
        <w:t xml:space="preserve">Although we will aim to recruit approximately 11 youth to obtain 8 focus group participants, accounting for no shows, incentives will still be needed to cover </w:t>
      </w:r>
      <w:r w:rsidR="00E10794">
        <w:t xml:space="preserve">youths’ </w:t>
      </w:r>
      <w:r w:rsidR="00843C19">
        <w:t>incidental expenses, especially for parenting teens who may need child care. Moreover, if we only recruit youth who are able and willing to participate without an incentive, we will likely recruit youth who face fewer barriers to participation and who have higher level of interest in the HMRE program content. For this pilot, we aim to recruit a cross-section of youth with a range of needs and levels of interest in the HMRE programming.</w:t>
      </w:r>
    </w:p>
    <w:p w14:paraId="2CC5BBD9" w14:textId="0FF48880" w:rsidR="00BB36CC" w:rsidRDefault="0089096C" w:rsidP="00F156A1">
      <w:pPr>
        <w:pStyle w:val="NormalSS"/>
      </w:pPr>
      <w:r>
        <w:t>Research has shown that incentives are effective at increasing response rates for populations similar to the underrepresented and high-risk youth and young adult populations targeted for participation in this data collection</w:t>
      </w:r>
      <w:r w:rsidR="00EB34EB">
        <w:t>.</w:t>
      </w:r>
      <w:r>
        <w:t xml:space="preserve"> </w:t>
      </w:r>
      <w:r w:rsidR="00BB36CC">
        <w:t xml:space="preserve">For example, </w:t>
      </w:r>
      <w:r w:rsidR="008F475A">
        <w:t>Hinojosa et al. (201</w:t>
      </w:r>
      <w:r w:rsidR="00A00907">
        <w:t>4</w:t>
      </w:r>
      <w:r w:rsidR="008F475A">
        <w:t>) found that recruiting low-income, racially and ethnically diverse adolescen</w:t>
      </w:r>
      <w:r w:rsidR="001E1781">
        <w:t>ts</w:t>
      </w:r>
      <w:r w:rsidR="008F475A">
        <w:t xml:space="preserve"> for focus groups is challenging due to barriers such as mistrust, constraints on time, and transportation. </w:t>
      </w:r>
      <w:r w:rsidR="002F0D34">
        <w:t>The study found that to recruit a sample high-risk youth evenly distributed by race and gender cost $264</w:t>
      </w:r>
      <w:r w:rsidR="006B55D0">
        <w:t xml:space="preserve"> per youth</w:t>
      </w:r>
      <w:r w:rsidR="002F0D34">
        <w:t xml:space="preserve">, including a $25 gift card incentive to reduce barriers such as transportation and encourage participation. </w:t>
      </w:r>
    </w:p>
    <w:p w14:paraId="56874044" w14:textId="1DB94C45" w:rsidR="00930809" w:rsidRDefault="00930809" w:rsidP="00F156A1">
      <w:pPr>
        <w:pStyle w:val="NormalSS"/>
      </w:pPr>
      <w:r>
        <w:t>No incentives will be provided to any other groups of respondents included in this data collection.</w:t>
      </w:r>
    </w:p>
    <w:p w14:paraId="1E90E377" w14:textId="77777777" w:rsidR="00D40B90" w:rsidRDefault="00D40B90" w:rsidP="00D40B90">
      <w:pPr>
        <w:pStyle w:val="H3Alpha"/>
      </w:pPr>
      <w:r>
        <w:t>A10. Privacy of respondents</w:t>
      </w:r>
    </w:p>
    <w:p w14:paraId="377315D0" w14:textId="570A4FC1" w:rsidR="00D40B90" w:rsidRDefault="00F95F41" w:rsidP="00764B7A">
      <w:pPr>
        <w:pStyle w:val="NormalSS"/>
      </w:pPr>
      <w:r w:rsidRPr="00764B7A">
        <w:t xml:space="preserve">Information collected will be kept private to the extent permitted by law. </w:t>
      </w:r>
      <w:r w:rsidR="002D4AD4">
        <w:t xml:space="preserve">Only staff from Mathematica will handle data collected under this clearance. Public Strategies staff will not be involved in data collection or analysis. </w:t>
      </w:r>
      <w:r w:rsidRPr="00764B7A">
        <w:t xml:space="preserve">All </w:t>
      </w:r>
      <w:r w:rsidR="002D4AD4">
        <w:t>Mathematica</w:t>
      </w:r>
      <w:r w:rsidRPr="00764B7A">
        <w:t xml:space="preserve"> staff </w:t>
      </w:r>
      <w:r w:rsidR="002D4AD4">
        <w:t xml:space="preserve">involved in the project </w:t>
      </w:r>
      <w:r w:rsidRPr="00764B7A">
        <w:t>will receive training on (1) limitations of disclosure; (2) safeguarding the physical work environment; and (3) storing, transmitting, and destroying data securely. All Mathemat</w:t>
      </w:r>
      <w:r w:rsidR="0025079B">
        <w:t>ica staff sign the Mathematica C</w:t>
      </w:r>
      <w:r w:rsidRPr="00764B7A">
        <w:t>onfidentiality Agreement (</w:t>
      </w:r>
      <w:r w:rsidRPr="00F156A1">
        <w:t xml:space="preserve">see Attachment </w:t>
      </w:r>
      <w:r w:rsidR="00360D3E">
        <w:t>B</w:t>
      </w:r>
      <w:r w:rsidRPr="00764B7A">
        <w:t xml:space="preserve">), complete online security awareness training when they are hired, and receive annual refresher training thereafter. </w:t>
      </w:r>
      <w:r w:rsidR="002D4AD4" w:rsidRPr="008C540A">
        <w:t xml:space="preserve">Training addresses security policies and procedures found in the </w:t>
      </w:r>
      <w:r w:rsidR="002D4AD4" w:rsidRPr="008C540A">
        <w:rPr>
          <w:i/>
          <w:iCs/>
        </w:rPr>
        <w:t>Mathematica Corporate Security Manual</w:t>
      </w:r>
      <w:r w:rsidR="002D4AD4" w:rsidRPr="008C540A">
        <w:t>.</w:t>
      </w:r>
    </w:p>
    <w:p w14:paraId="55188E46" w14:textId="10633397" w:rsidR="002D4AD4" w:rsidRPr="00764B7A" w:rsidRDefault="00DB5E61" w:rsidP="00764B7A">
      <w:pPr>
        <w:pStyle w:val="NormalSS"/>
      </w:pPr>
      <w:r>
        <w:t>Th</w:t>
      </w:r>
      <w:r w:rsidR="000B3657">
        <w:t>e instruments to be</w:t>
      </w:r>
      <w:r>
        <w:t xml:space="preserve"> pre-test</w:t>
      </w:r>
      <w:r w:rsidR="000B3657">
        <w:t>ed</w:t>
      </w:r>
      <w:r>
        <w:t xml:space="preserve"> will not collect any </w:t>
      </w:r>
      <w:r w:rsidR="002D4AD4">
        <w:t xml:space="preserve">PII. </w:t>
      </w:r>
      <w:r w:rsidR="008D75B2">
        <w:t xml:space="preserve">To further protect the privacy of the participants, included at the beginning of each questionnaire is a reminder for respondents to not include any personal information such as names and contact information in their responses. </w:t>
      </w:r>
      <w:r w:rsidR="002D4AD4" w:rsidRPr="009C7192">
        <w:t xml:space="preserve">A study identification number will be used to identify each </w:t>
      </w:r>
      <w:r w:rsidR="000B3657">
        <w:t xml:space="preserve">HMRE program staff </w:t>
      </w:r>
      <w:r w:rsidR="002D4AD4" w:rsidRPr="009C7192">
        <w:t>member</w:t>
      </w:r>
      <w:r w:rsidR="000B3657">
        <w:t xml:space="preserve"> participating in the study</w:t>
      </w:r>
      <w:r w:rsidR="002D4AD4" w:rsidRPr="009C7192">
        <w:t xml:space="preserve">. </w:t>
      </w:r>
      <w:r w:rsidR="000B3657">
        <w:t xml:space="preserve">Staff will provide this identification number when they complete the educator questionnaire, the session assessment form, and the group session observation form. </w:t>
      </w:r>
      <w:r w:rsidR="002D4AD4" w:rsidRPr="009C7192">
        <w:t xml:space="preserve">All analysis files will contain only the </w:t>
      </w:r>
      <w:r w:rsidR="008D75B2">
        <w:t xml:space="preserve">study </w:t>
      </w:r>
      <w:r w:rsidR="002D4AD4" w:rsidRPr="009C7192">
        <w:t>identification numbers and no identifying information.</w:t>
      </w:r>
      <w:r w:rsidR="00FC382B">
        <w:t xml:space="preserve"> </w:t>
      </w:r>
    </w:p>
    <w:p w14:paraId="2A16F8BC" w14:textId="77777777" w:rsidR="00D40B90" w:rsidRDefault="00D40B90" w:rsidP="00D40B90">
      <w:pPr>
        <w:pStyle w:val="H3Alpha"/>
      </w:pPr>
      <w:r>
        <w:t>A11. Sensitive questions</w:t>
      </w:r>
    </w:p>
    <w:p w14:paraId="4E510DF3" w14:textId="277F16FC" w:rsidR="00D40B90" w:rsidRDefault="00D40B90" w:rsidP="00D40B90">
      <w:pPr>
        <w:pStyle w:val="NormalSS"/>
      </w:pPr>
      <w:r>
        <w:t>There are no sensitive questions in this data collection.</w:t>
      </w:r>
    </w:p>
    <w:p w14:paraId="16911253" w14:textId="77777777" w:rsidR="00D40B90" w:rsidRDefault="00D40B90" w:rsidP="00D40B90">
      <w:pPr>
        <w:pStyle w:val="H3Alpha"/>
      </w:pPr>
      <w:r>
        <w:t>A12. Estimation of information collection burden</w:t>
      </w:r>
    </w:p>
    <w:p w14:paraId="5678B4F8" w14:textId="3E745CC6" w:rsidR="00D40B90" w:rsidRDefault="0025079B" w:rsidP="00D40B90">
      <w:pPr>
        <w:pStyle w:val="NormalSS"/>
      </w:pPr>
      <w:r>
        <w:t>Table A.</w:t>
      </w:r>
      <w:r w:rsidR="00572876">
        <w:t xml:space="preserve">2 </w:t>
      </w:r>
      <w:r w:rsidR="000B4BAA">
        <w:t>summarizes the estimated</w:t>
      </w:r>
      <w:r w:rsidR="000B4BAA" w:rsidRPr="000F23D6">
        <w:t xml:space="preserve"> reporting burden </w:t>
      </w:r>
      <w:r w:rsidR="000B4BAA">
        <w:t xml:space="preserve">and costs </w:t>
      </w:r>
      <w:r w:rsidR="000B4BAA" w:rsidRPr="000F23D6">
        <w:t xml:space="preserve">for </w:t>
      </w:r>
      <w:r w:rsidR="000B4BAA">
        <w:t xml:space="preserve">each of the instruments </w:t>
      </w:r>
      <w:r w:rsidR="0075010D">
        <w:t>to be pre-tested</w:t>
      </w:r>
      <w:r w:rsidR="000B4BAA">
        <w:t xml:space="preserve"> </w:t>
      </w:r>
      <w:r w:rsidR="0075010D">
        <w:t>under</w:t>
      </w:r>
      <w:r w:rsidR="000B4BAA">
        <w:t xml:space="preserve"> this information collection request. Figures are estimated as follows:</w:t>
      </w:r>
    </w:p>
    <w:p w14:paraId="445EEA6A" w14:textId="6CF9D541" w:rsidR="004357D6" w:rsidRPr="004357D6" w:rsidRDefault="0025079B" w:rsidP="00D40B90">
      <w:pPr>
        <w:pStyle w:val="NormalSS"/>
        <w:rPr>
          <w:b/>
        </w:rPr>
      </w:pPr>
      <w:r>
        <w:rPr>
          <w:b/>
        </w:rPr>
        <w:t>Pre-T</w:t>
      </w:r>
      <w:r w:rsidR="004357D6">
        <w:rPr>
          <w:b/>
        </w:rPr>
        <w:t>est</w:t>
      </w:r>
      <w:r>
        <w:rPr>
          <w:b/>
        </w:rPr>
        <w:t xml:space="preserve"> Round 1</w:t>
      </w:r>
    </w:p>
    <w:p w14:paraId="6FC37E7C" w14:textId="5EDF874E" w:rsidR="00F23A99" w:rsidRPr="004357D6" w:rsidRDefault="00F23A99" w:rsidP="004357D6">
      <w:pPr>
        <w:pStyle w:val="NumberedBullet"/>
        <w:numPr>
          <w:ilvl w:val="0"/>
          <w:numId w:val="35"/>
        </w:numPr>
        <w:rPr>
          <w:b/>
        </w:rPr>
      </w:pPr>
      <w:r w:rsidRPr="00362F7A">
        <w:rPr>
          <w:b/>
        </w:rPr>
        <w:t>Educator questionnaire.</w:t>
      </w:r>
      <w:r>
        <w:t xml:space="preserve"> </w:t>
      </w:r>
      <w:r w:rsidR="008C2A14">
        <w:t xml:space="preserve">We expect to administer this questionnaire with 20 HMRE program educators (10 educators per site * </w:t>
      </w:r>
      <w:r w:rsidR="00F617B4">
        <w:t>2</w:t>
      </w:r>
      <w:r w:rsidR="008C2A14">
        <w:t xml:space="preserve"> sites) for up to </w:t>
      </w:r>
      <w:r w:rsidR="008C2A14" w:rsidRPr="00423384">
        <w:t>20</w:t>
      </w:r>
      <w:r w:rsidR="008C2A14">
        <w:t xml:space="preserve"> minutes at </w:t>
      </w:r>
      <w:r w:rsidR="00E37EF6">
        <w:t>two time points</w:t>
      </w:r>
      <w:r w:rsidR="00C84357">
        <w:t>:</w:t>
      </w:r>
      <w:r w:rsidR="00E37EF6">
        <w:t xml:space="preserve"> before they receive the training and at a mid-point in the </w:t>
      </w:r>
      <w:r w:rsidR="004357D6">
        <w:t>pre-testing</w:t>
      </w:r>
      <w:r w:rsidR="00E37EF6">
        <w:t xml:space="preserve"> period</w:t>
      </w:r>
      <w:r w:rsidR="008C2A14">
        <w:t>. Total burden for the educator questionnaire is 13 hours.</w:t>
      </w:r>
    </w:p>
    <w:p w14:paraId="39D84692" w14:textId="3D3A6157" w:rsidR="00F23A99" w:rsidRDefault="00F23A99" w:rsidP="00F23A99">
      <w:pPr>
        <w:pStyle w:val="NumberedBullet"/>
      </w:pPr>
      <w:r w:rsidRPr="00BE4F7A">
        <w:rPr>
          <w:b/>
        </w:rPr>
        <w:t>Semi-structured inte</w:t>
      </w:r>
      <w:r w:rsidR="002704EF">
        <w:rPr>
          <w:b/>
        </w:rPr>
        <w:t>rview</w:t>
      </w:r>
      <w:r w:rsidR="00A55C8E">
        <w:rPr>
          <w:b/>
        </w:rPr>
        <w:t xml:space="preserve"> protocol</w:t>
      </w:r>
      <w:r>
        <w:t xml:space="preserve">. </w:t>
      </w:r>
      <w:r w:rsidR="005E7306">
        <w:t xml:space="preserve">We expect to conduct semi-structured interviews with 28 HMRE program educators and managers (14 staff per site * </w:t>
      </w:r>
      <w:r w:rsidR="00F617B4">
        <w:t>2</w:t>
      </w:r>
      <w:r w:rsidR="005E7306">
        <w:t xml:space="preserve"> sites) for up to 20 minutes at </w:t>
      </w:r>
      <w:r w:rsidR="00470981">
        <w:t>three point</w:t>
      </w:r>
      <w:r w:rsidR="00E37EF6">
        <w:t>s</w:t>
      </w:r>
      <w:r w:rsidR="00470981">
        <w:t xml:space="preserve"> in time during the </w:t>
      </w:r>
      <w:r w:rsidR="00343994">
        <w:t>pre-testing period</w:t>
      </w:r>
      <w:r w:rsidR="005E7306">
        <w:t>. Total burden for the semi-structured interviews is 2</w:t>
      </w:r>
      <w:r w:rsidR="00C9638A">
        <w:t>8</w:t>
      </w:r>
      <w:r w:rsidR="005E7306">
        <w:t xml:space="preserve"> hours.</w:t>
      </w:r>
    </w:p>
    <w:p w14:paraId="39181BB1" w14:textId="6CA2BF77" w:rsidR="00F23A99" w:rsidRDefault="00F23A99" w:rsidP="00F23A99">
      <w:pPr>
        <w:pStyle w:val="NumberedBullet"/>
      </w:pPr>
      <w:r w:rsidRPr="00BE4F7A">
        <w:rPr>
          <w:b/>
        </w:rPr>
        <w:t xml:space="preserve">Session assessment </w:t>
      </w:r>
      <w:r w:rsidR="002704EF">
        <w:rPr>
          <w:b/>
        </w:rPr>
        <w:t>form</w:t>
      </w:r>
      <w:r>
        <w:t xml:space="preserve">. </w:t>
      </w:r>
      <w:r w:rsidR="00CF34C6">
        <w:t xml:space="preserve">We expect 20 HMRE program educators (10 educators per site * 2 sites) to each complete </w:t>
      </w:r>
      <w:r w:rsidR="00E37EF6">
        <w:t>36</w:t>
      </w:r>
      <w:r w:rsidR="00CF34C6">
        <w:t xml:space="preserve"> session assessment forms</w:t>
      </w:r>
      <w:r w:rsidR="00C9638A">
        <w:t>. Each form will take 10 minutes to complete. Total burden for the session assessment form is 120 hours.</w:t>
      </w:r>
    </w:p>
    <w:p w14:paraId="6CEB282B" w14:textId="3C78CD3B" w:rsidR="00F23A99" w:rsidRDefault="005E3DA7" w:rsidP="00F23A99">
      <w:pPr>
        <w:pStyle w:val="NumberedBullet"/>
      </w:pPr>
      <w:r>
        <w:rPr>
          <w:b/>
        </w:rPr>
        <w:t>Group session</w:t>
      </w:r>
      <w:r w:rsidR="00F23A99" w:rsidRPr="00BE4F7A">
        <w:rPr>
          <w:b/>
        </w:rPr>
        <w:t xml:space="preserve"> observation </w:t>
      </w:r>
      <w:r w:rsidR="000B3657">
        <w:rPr>
          <w:b/>
        </w:rPr>
        <w:t>form</w:t>
      </w:r>
      <w:r w:rsidR="00F23A99">
        <w:t xml:space="preserve">. </w:t>
      </w:r>
      <w:r w:rsidR="008437E4">
        <w:t xml:space="preserve">We expect </w:t>
      </w:r>
      <w:r w:rsidR="00895EC4">
        <w:t>1</w:t>
      </w:r>
      <w:r w:rsidR="00E37EF6">
        <w:t xml:space="preserve"> </w:t>
      </w:r>
      <w:r w:rsidR="008437E4">
        <w:t>HMRE program supervisor</w:t>
      </w:r>
      <w:r w:rsidR="0025079B">
        <w:t xml:space="preserve"> </w:t>
      </w:r>
      <w:r w:rsidR="00F617B4">
        <w:t>in each of the HMRE programs</w:t>
      </w:r>
      <w:r w:rsidR="008437E4">
        <w:t xml:space="preserve"> to </w:t>
      </w:r>
      <w:r w:rsidR="00895EC4">
        <w:t>conduct 3</w:t>
      </w:r>
      <w:r w:rsidR="008437E4">
        <w:t xml:space="preserve"> observations of </w:t>
      </w:r>
      <w:r w:rsidR="00E37EF6">
        <w:t xml:space="preserve">each of the 10 program educators </w:t>
      </w:r>
      <w:r w:rsidR="00895EC4">
        <w:t>(</w:t>
      </w:r>
      <w:r w:rsidR="001E1961">
        <w:t>1</w:t>
      </w:r>
      <w:r w:rsidR="00F617B4">
        <w:t xml:space="preserve"> supervisor * 10 </w:t>
      </w:r>
      <w:r w:rsidR="00E37EF6">
        <w:t>educators</w:t>
      </w:r>
      <w:r w:rsidR="00F617B4">
        <w:t xml:space="preserve"> * </w:t>
      </w:r>
      <w:r w:rsidR="00895EC4">
        <w:t>3</w:t>
      </w:r>
      <w:r w:rsidR="00E37EF6">
        <w:t xml:space="preserve"> observations * </w:t>
      </w:r>
      <w:r w:rsidR="00F617B4">
        <w:t>2 sites)</w:t>
      </w:r>
      <w:r w:rsidR="008437E4">
        <w:t xml:space="preserve">. </w:t>
      </w:r>
      <w:r>
        <w:t>Each observation will take 1 hour to complete. Total burden for the group session observation measure is 60 hours.</w:t>
      </w:r>
    </w:p>
    <w:p w14:paraId="1470F5C8" w14:textId="44B330A8" w:rsidR="00F23A99" w:rsidRDefault="00F23A99" w:rsidP="00F23A99">
      <w:pPr>
        <w:pStyle w:val="NumberedBullet"/>
      </w:pPr>
      <w:r w:rsidRPr="00BE4F7A">
        <w:rPr>
          <w:b/>
        </w:rPr>
        <w:t>Yo</w:t>
      </w:r>
      <w:r w:rsidR="002704EF">
        <w:rPr>
          <w:b/>
        </w:rPr>
        <w:t>uth questionnaire</w:t>
      </w:r>
      <w:r>
        <w:t xml:space="preserve">. </w:t>
      </w:r>
      <w:r w:rsidR="00C9638A">
        <w:t xml:space="preserve">We </w:t>
      </w:r>
      <w:r w:rsidR="00C9638A" w:rsidRPr="00C966B2">
        <w:t xml:space="preserve">expect </w:t>
      </w:r>
      <w:r w:rsidR="002B05C4" w:rsidRPr="00C966B2">
        <w:t xml:space="preserve">to </w:t>
      </w:r>
      <w:r w:rsidR="00C9638A" w:rsidRPr="00C966B2">
        <w:t xml:space="preserve">administer this questionnaire with </w:t>
      </w:r>
      <w:r w:rsidR="008437E4" w:rsidRPr="00C966B2">
        <w:t xml:space="preserve">up to </w:t>
      </w:r>
      <w:r w:rsidR="00C9638A" w:rsidRPr="00C966B2">
        <w:t xml:space="preserve">32 youth program participants </w:t>
      </w:r>
      <w:r w:rsidR="008437E4" w:rsidRPr="00C966B2">
        <w:t>(2 focus groups * 8 participants</w:t>
      </w:r>
      <w:r w:rsidR="008437E4">
        <w:t xml:space="preserve"> * 2 HMRE programs). We expect each questionnaire to take </w:t>
      </w:r>
      <w:r w:rsidR="00C84357">
        <w:t>15 minute</w:t>
      </w:r>
      <w:r w:rsidR="008437E4">
        <w:t>s to complete. Total burden for the youth questionnaire is 8 hours.</w:t>
      </w:r>
    </w:p>
    <w:p w14:paraId="4C91AC62" w14:textId="295E7E84" w:rsidR="00F23A99" w:rsidRDefault="00F23A99" w:rsidP="00360D3E">
      <w:pPr>
        <w:pStyle w:val="NumberedBulletLastSS"/>
      </w:pPr>
      <w:r w:rsidRPr="00BE4F7A">
        <w:rPr>
          <w:b/>
        </w:rPr>
        <w:t>Youth focus group</w:t>
      </w:r>
      <w:r w:rsidR="00A55C8E">
        <w:rPr>
          <w:b/>
        </w:rPr>
        <w:t xml:space="preserve"> protocol</w:t>
      </w:r>
      <w:r>
        <w:t xml:space="preserve">. </w:t>
      </w:r>
      <w:r w:rsidR="008437E4">
        <w:t>We expect to conduct focus groups with up to 32 youth program participants (2 focus groups * 8 participants * 2 HMRE programs). We expect each focus group to last up to 75 minutes. Total burden for the youth focus groups is 40 hours.</w:t>
      </w:r>
    </w:p>
    <w:p w14:paraId="413A4298" w14:textId="18FA6B31" w:rsidR="004357D6" w:rsidRPr="004357D6" w:rsidRDefault="0025079B" w:rsidP="004357D6">
      <w:pPr>
        <w:pStyle w:val="NormalSS"/>
        <w:rPr>
          <w:b/>
        </w:rPr>
      </w:pPr>
      <w:r>
        <w:rPr>
          <w:b/>
        </w:rPr>
        <w:t>Pre-Test Round 2</w:t>
      </w:r>
    </w:p>
    <w:p w14:paraId="73198567" w14:textId="182E03E9" w:rsidR="004357D6" w:rsidRPr="009400D4" w:rsidRDefault="004357D6" w:rsidP="004357D6">
      <w:pPr>
        <w:pStyle w:val="NumberedBullet"/>
        <w:numPr>
          <w:ilvl w:val="0"/>
          <w:numId w:val="36"/>
        </w:numPr>
        <w:rPr>
          <w:b/>
        </w:rPr>
      </w:pPr>
      <w:r w:rsidRPr="004357D6">
        <w:rPr>
          <w:b/>
        </w:rPr>
        <w:t>Educa</w:t>
      </w:r>
      <w:r w:rsidR="002704EF">
        <w:rPr>
          <w:b/>
        </w:rPr>
        <w:t>tor questionnaire</w:t>
      </w:r>
      <w:r w:rsidRPr="004357D6">
        <w:rPr>
          <w:b/>
        </w:rPr>
        <w:t>.</w:t>
      </w:r>
      <w:r>
        <w:t xml:space="preserve"> We expect to administer th</w:t>
      </w:r>
      <w:r w:rsidR="00EB64FF">
        <w:t>is questionnaire with 3</w:t>
      </w:r>
      <w:r>
        <w:t xml:space="preserve">0 HMRE program educators (10 </w:t>
      </w:r>
      <w:r w:rsidRPr="009400D4">
        <w:t xml:space="preserve">educators per site * </w:t>
      </w:r>
      <w:r w:rsidR="00EB64FF" w:rsidRPr="009400D4">
        <w:t>3</w:t>
      </w:r>
      <w:r w:rsidRPr="009400D4">
        <w:t xml:space="preserve"> sites) for up to 20 minutes at </w:t>
      </w:r>
      <w:r w:rsidR="00EB64FF" w:rsidRPr="009400D4">
        <w:t>one time point during the field testing period</w:t>
      </w:r>
      <w:r w:rsidRPr="009400D4">
        <w:t xml:space="preserve">. Total burden for the educator questionnaire is </w:t>
      </w:r>
      <w:r w:rsidR="009400D4" w:rsidRPr="009400D4">
        <w:t>10</w:t>
      </w:r>
      <w:r w:rsidRPr="009400D4">
        <w:t xml:space="preserve"> hours.</w:t>
      </w:r>
    </w:p>
    <w:p w14:paraId="5EA4A577" w14:textId="3BDF6077" w:rsidR="00EB64FF" w:rsidRPr="009400D4" w:rsidRDefault="00EB64FF" w:rsidP="004357D6">
      <w:pPr>
        <w:pStyle w:val="NumberedBullet"/>
        <w:numPr>
          <w:ilvl w:val="0"/>
          <w:numId w:val="36"/>
        </w:numPr>
        <w:rPr>
          <w:b/>
        </w:rPr>
      </w:pPr>
      <w:r w:rsidRPr="009400D4">
        <w:rPr>
          <w:b/>
        </w:rPr>
        <w:t>Sessio</w:t>
      </w:r>
      <w:r w:rsidR="002704EF">
        <w:rPr>
          <w:b/>
        </w:rPr>
        <w:t>n assessment form</w:t>
      </w:r>
      <w:r w:rsidRPr="009400D4">
        <w:rPr>
          <w:b/>
        </w:rPr>
        <w:t xml:space="preserve">. </w:t>
      </w:r>
      <w:r w:rsidRPr="009400D4">
        <w:t xml:space="preserve">We expect </w:t>
      </w:r>
      <w:r w:rsidR="00C966B2" w:rsidRPr="009400D4">
        <w:t>30 HMRE program educators (10 educators per site * 3 sites) to each complete 12 session assessment forms. Each form will take 10 minutes to complete. Total burden for the session assess</w:t>
      </w:r>
      <w:r w:rsidR="009400D4" w:rsidRPr="009400D4">
        <w:t>ment form is 58 hours</w:t>
      </w:r>
      <w:r w:rsidR="00C966B2" w:rsidRPr="009400D4">
        <w:t>.</w:t>
      </w:r>
    </w:p>
    <w:p w14:paraId="3C02DF93" w14:textId="048CB6E3" w:rsidR="004357D6" w:rsidRPr="0009245B" w:rsidRDefault="00C966B2" w:rsidP="00360D3E">
      <w:pPr>
        <w:pStyle w:val="NumberedBulletLastSS"/>
      </w:pPr>
      <w:r w:rsidRPr="009400D4">
        <w:rPr>
          <w:b/>
        </w:rPr>
        <w:t>Group session</w:t>
      </w:r>
      <w:r w:rsidR="002704EF">
        <w:rPr>
          <w:b/>
        </w:rPr>
        <w:t xml:space="preserve"> observation form</w:t>
      </w:r>
      <w:r w:rsidRPr="009400D4">
        <w:rPr>
          <w:b/>
        </w:rPr>
        <w:t xml:space="preserve">. </w:t>
      </w:r>
      <w:r w:rsidR="00895EC4">
        <w:t>We expect 1 HMRE program supervisor</w:t>
      </w:r>
      <w:r w:rsidRPr="009400D4">
        <w:t xml:space="preserve"> in each of the HMRE programs to conduct </w:t>
      </w:r>
      <w:r w:rsidR="00895EC4">
        <w:t>3</w:t>
      </w:r>
      <w:r w:rsidRPr="009400D4">
        <w:t xml:space="preserve"> observation</w:t>
      </w:r>
      <w:r w:rsidR="00FE2377">
        <w:t>s</w:t>
      </w:r>
      <w:r w:rsidRPr="009400D4">
        <w:t xml:space="preserve"> of eac</w:t>
      </w:r>
      <w:r w:rsidR="00895EC4">
        <w:t>h of the 10 program educators (1 supervisors * 10 educators * 3</w:t>
      </w:r>
      <w:r w:rsidRPr="009400D4">
        <w:t xml:space="preserve"> observation</w:t>
      </w:r>
      <w:r w:rsidR="00FE2377">
        <w:t>s</w:t>
      </w:r>
      <w:r w:rsidRPr="009400D4">
        <w:t xml:space="preserve"> * 3 sites). Each observation will take 1 hour to complete. Total burden for the group session observation measure is</w:t>
      </w:r>
      <w:r w:rsidR="00FE2377">
        <w:t xml:space="preserve"> 90</w:t>
      </w:r>
      <w:r w:rsidR="009400D4" w:rsidRPr="009400D4">
        <w:t xml:space="preserve"> hours</w:t>
      </w:r>
      <w:r w:rsidRPr="009400D4">
        <w:t>.</w:t>
      </w:r>
    </w:p>
    <w:p w14:paraId="0B8F0452" w14:textId="77777777" w:rsidR="00D40B90" w:rsidRDefault="00D40B90" w:rsidP="00D40B90">
      <w:pPr>
        <w:pStyle w:val="H3Alpha"/>
      </w:pPr>
      <w:r>
        <w:t>Total annual cost</w:t>
      </w:r>
    </w:p>
    <w:p w14:paraId="4E530B3C" w14:textId="2550CFE0" w:rsidR="00F23A99" w:rsidRDefault="00F23A99" w:rsidP="00F23A99">
      <w:pPr>
        <w:pStyle w:val="NormalSS"/>
      </w:pPr>
      <w:r w:rsidRPr="00F23A99">
        <w:t xml:space="preserve">We estimate the average hourly wage for staff at the </w:t>
      </w:r>
      <w:r w:rsidR="00253C99">
        <w:t>HMRE programs</w:t>
      </w:r>
      <w:r w:rsidRPr="00F23A99">
        <w:t xml:space="preserve"> is the average hourly wage of “social and service managers” </w:t>
      </w:r>
      <w:r w:rsidRPr="00722A34">
        <w:t xml:space="preserve">taken from the U.S. Bureau of Labor Statistics, National Compensation Survey, 2010 ($27.86). We estimated the average hourly wage of </w:t>
      </w:r>
      <w:r w:rsidR="003D6D03">
        <w:t>youth</w:t>
      </w:r>
      <w:r w:rsidRPr="00722A34">
        <w:t xml:space="preserve"> based on the current federal minimum wage ($7.25).</w:t>
      </w:r>
    </w:p>
    <w:p w14:paraId="08B5DA3C" w14:textId="77777777" w:rsidR="00FC382B" w:rsidRPr="00B85519" w:rsidRDefault="00FC382B" w:rsidP="00FC382B">
      <w:pPr>
        <w:keepNext/>
        <w:spacing w:after="60"/>
        <w:rPr>
          <w:rFonts w:ascii="Arial Black" w:hAnsi="Arial Black"/>
          <w:sz w:val="22"/>
          <w:szCs w:val="20"/>
        </w:rPr>
      </w:pPr>
      <w:r>
        <w:rPr>
          <w:rFonts w:ascii="Arial Black" w:hAnsi="Arial Black"/>
          <w:sz w:val="22"/>
          <w:szCs w:val="20"/>
        </w:rPr>
        <w:t>Table A.2</w:t>
      </w:r>
      <w:r w:rsidRPr="00B85519">
        <w:rPr>
          <w:rFonts w:ascii="Arial Black" w:hAnsi="Arial Black"/>
          <w:sz w:val="22"/>
          <w:szCs w:val="20"/>
        </w:rPr>
        <w:t xml:space="preserve"> Total burden requested under this information collection</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92"/>
        <w:gridCol w:w="1345"/>
        <w:gridCol w:w="1187"/>
        <w:gridCol w:w="1035"/>
        <w:gridCol w:w="24"/>
        <w:gridCol w:w="742"/>
        <w:gridCol w:w="1014"/>
        <w:gridCol w:w="47"/>
        <w:gridCol w:w="1518"/>
      </w:tblGrid>
      <w:tr w:rsidR="00F156A1" w:rsidRPr="00B85519" w14:paraId="46E9D3B5" w14:textId="77777777" w:rsidTr="00863059">
        <w:trPr>
          <w:jc w:val="center"/>
        </w:trPr>
        <w:tc>
          <w:tcPr>
            <w:tcW w:w="1285" w:type="pct"/>
            <w:tcBorders>
              <w:top w:val="nil"/>
              <w:left w:val="single" w:sz="4" w:space="0" w:color="auto"/>
              <w:bottom w:val="single" w:sz="4" w:space="0" w:color="000000"/>
              <w:right w:val="nil"/>
            </w:tcBorders>
            <w:shd w:val="clear" w:color="auto" w:fill="6C6F70"/>
            <w:vAlign w:val="bottom"/>
          </w:tcPr>
          <w:p w14:paraId="4381E42C" w14:textId="77777777" w:rsidR="00F156A1" w:rsidRPr="00B77A62" w:rsidRDefault="00F156A1" w:rsidP="00F53D10">
            <w:pPr>
              <w:spacing w:before="120" w:after="60"/>
              <w:rPr>
                <w:rFonts w:ascii="Arial" w:hAnsi="Arial"/>
                <w:b/>
                <w:color w:val="FFFFFF" w:themeColor="background1"/>
                <w:sz w:val="18"/>
                <w:szCs w:val="18"/>
              </w:rPr>
            </w:pPr>
            <w:r w:rsidRPr="00B77A62">
              <w:rPr>
                <w:rFonts w:ascii="Arial" w:hAnsi="Arial"/>
                <w:b/>
                <w:color w:val="FFFFFF" w:themeColor="background1"/>
                <w:sz w:val="18"/>
                <w:szCs w:val="18"/>
              </w:rPr>
              <w:t>Instrument</w:t>
            </w:r>
          </w:p>
        </w:tc>
        <w:tc>
          <w:tcPr>
            <w:tcW w:w="723" w:type="pct"/>
            <w:tcBorders>
              <w:top w:val="nil"/>
              <w:left w:val="nil"/>
              <w:bottom w:val="single" w:sz="4" w:space="0" w:color="000000"/>
              <w:right w:val="nil"/>
            </w:tcBorders>
            <w:shd w:val="clear" w:color="auto" w:fill="6C6F70"/>
            <w:vAlign w:val="center"/>
          </w:tcPr>
          <w:p w14:paraId="691B448C" w14:textId="7CA67506"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 xml:space="preserve">Total </w:t>
            </w:r>
            <w:r w:rsidR="00D879C8">
              <w:rPr>
                <w:rFonts w:ascii="Arial" w:hAnsi="Arial"/>
                <w:b/>
                <w:color w:val="FFFFFF" w:themeColor="background1"/>
                <w:sz w:val="16"/>
                <w:szCs w:val="16"/>
              </w:rPr>
              <w:t xml:space="preserve">annual </w:t>
            </w:r>
            <w:r w:rsidRPr="00B77A62">
              <w:rPr>
                <w:rFonts w:ascii="Arial" w:hAnsi="Arial"/>
                <w:b/>
                <w:color w:val="FFFFFF" w:themeColor="background1"/>
                <w:sz w:val="16"/>
                <w:szCs w:val="16"/>
              </w:rPr>
              <w:t>number of respondents</w:t>
            </w:r>
          </w:p>
        </w:tc>
        <w:tc>
          <w:tcPr>
            <w:tcW w:w="638" w:type="pct"/>
            <w:tcBorders>
              <w:top w:val="nil"/>
              <w:left w:val="nil"/>
              <w:bottom w:val="single" w:sz="4" w:space="0" w:color="000000"/>
              <w:right w:val="nil"/>
            </w:tcBorders>
            <w:shd w:val="clear" w:color="auto" w:fill="6C6F70"/>
            <w:vAlign w:val="center"/>
          </w:tcPr>
          <w:p w14:paraId="6B1A1D46"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Number of responses per respondent</w:t>
            </w:r>
          </w:p>
        </w:tc>
        <w:tc>
          <w:tcPr>
            <w:tcW w:w="556" w:type="pct"/>
            <w:tcBorders>
              <w:top w:val="nil"/>
              <w:left w:val="nil"/>
              <w:bottom w:val="single" w:sz="4" w:space="0" w:color="000000"/>
              <w:right w:val="nil"/>
            </w:tcBorders>
            <w:shd w:val="clear" w:color="auto" w:fill="6C6F70"/>
            <w:vAlign w:val="center"/>
          </w:tcPr>
          <w:p w14:paraId="63E1E7AF"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Average burden hours per response</w:t>
            </w:r>
          </w:p>
        </w:tc>
        <w:tc>
          <w:tcPr>
            <w:tcW w:w="412" w:type="pct"/>
            <w:gridSpan w:val="2"/>
            <w:tcBorders>
              <w:top w:val="nil"/>
              <w:left w:val="nil"/>
              <w:bottom w:val="single" w:sz="4" w:space="0" w:color="000000"/>
              <w:right w:val="nil"/>
            </w:tcBorders>
            <w:shd w:val="clear" w:color="auto" w:fill="6C6F70"/>
            <w:vAlign w:val="center"/>
          </w:tcPr>
          <w:p w14:paraId="6C821C15" w14:textId="77777777" w:rsidR="00F156A1" w:rsidRPr="00B77A62" w:rsidRDefault="00F156A1" w:rsidP="00F224A7">
            <w:pPr>
              <w:spacing w:before="120" w:after="60"/>
              <w:jc w:val="center"/>
              <w:rPr>
                <w:rFonts w:ascii="Arial" w:hAnsi="Arial"/>
                <w:b/>
                <w:bCs/>
                <w:color w:val="FFFFFF" w:themeColor="background1"/>
                <w:sz w:val="16"/>
                <w:szCs w:val="16"/>
              </w:rPr>
            </w:pPr>
            <w:r w:rsidRPr="00B77A62">
              <w:rPr>
                <w:rFonts w:ascii="Arial" w:hAnsi="Arial"/>
                <w:b/>
                <w:bCs/>
                <w:color w:val="FFFFFF" w:themeColor="background1"/>
                <w:sz w:val="16"/>
                <w:szCs w:val="16"/>
              </w:rPr>
              <w:t>Annual burden hours</w:t>
            </w:r>
          </w:p>
        </w:tc>
        <w:tc>
          <w:tcPr>
            <w:tcW w:w="570" w:type="pct"/>
            <w:gridSpan w:val="2"/>
            <w:tcBorders>
              <w:top w:val="nil"/>
              <w:left w:val="nil"/>
              <w:bottom w:val="single" w:sz="4" w:space="0" w:color="000000"/>
              <w:right w:val="nil"/>
            </w:tcBorders>
            <w:shd w:val="clear" w:color="auto" w:fill="6C6F70"/>
            <w:vAlign w:val="center"/>
          </w:tcPr>
          <w:p w14:paraId="567C46F7"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bCs/>
                <w:color w:val="FFFFFF" w:themeColor="background1"/>
                <w:sz w:val="16"/>
                <w:szCs w:val="16"/>
              </w:rPr>
              <w:t>Average hourly wage</w:t>
            </w:r>
          </w:p>
        </w:tc>
        <w:tc>
          <w:tcPr>
            <w:tcW w:w="816" w:type="pct"/>
            <w:tcBorders>
              <w:top w:val="nil"/>
              <w:left w:val="nil"/>
              <w:bottom w:val="single" w:sz="4" w:space="0" w:color="000000"/>
              <w:right w:val="single" w:sz="4" w:space="0" w:color="auto"/>
            </w:tcBorders>
            <w:shd w:val="clear" w:color="auto" w:fill="6C6F70"/>
            <w:vAlign w:val="center"/>
          </w:tcPr>
          <w:p w14:paraId="78BB5CF3"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bCs/>
                <w:color w:val="FFFFFF" w:themeColor="background1"/>
                <w:sz w:val="16"/>
                <w:szCs w:val="16"/>
              </w:rPr>
              <w:t>Total annual cost</w:t>
            </w:r>
          </w:p>
        </w:tc>
      </w:tr>
      <w:tr w:rsidR="00863059" w:rsidRPr="00B85519" w14:paraId="07FE8EE7" w14:textId="77777777" w:rsidTr="00863059">
        <w:trPr>
          <w:trHeight w:hRule="exact" w:val="640"/>
          <w:jc w:val="center"/>
        </w:trPr>
        <w:tc>
          <w:tcPr>
            <w:tcW w:w="5000" w:type="pct"/>
            <w:gridSpan w:val="9"/>
            <w:tcBorders>
              <w:left w:val="single" w:sz="4" w:space="0" w:color="auto"/>
            </w:tcBorders>
            <w:shd w:val="clear" w:color="auto" w:fill="D9D9D9" w:themeFill="background1" w:themeFillShade="D9"/>
            <w:vAlign w:val="center"/>
          </w:tcPr>
          <w:p w14:paraId="0D86D0A2" w14:textId="327DB0C1" w:rsidR="00863059" w:rsidRPr="00863059" w:rsidRDefault="00863059" w:rsidP="00863059">
            <w:pPr>
              <w:jc w:val="center"/>
              <w:rPr>
                <w:rFonts w:ascii="Arial" w:hAnsi="Arial"/>
                <w:b/>
                <w:sz w:val="18"/>
                <w:szCs w:val="20"/>
              </w:rPr>
            </w:pPr>
            <w:r w:rsidRPr="00863059">
              <w:rPr>
                <w:rFonts w:ascii="Arial" w:hAnsi="Arial"/>
                <w:b/>
                <w:sz w:val="18"/>
                <w:szCs w:val="20"/>
              </w:rPr>
              <w:t>Pre-Test 1</w:t>
            </w:r>
          </w:p>
        </w:tc>
      </w:tr>
      <w:tr w:rsidR="00F156A1" w:rsidRPr="00B85519" w14:paraId="32978814" w14:textId="77777777" w:rsidTr="00863059">
        <w:trPr>
          <w:trHeight w:hRule="exact" w:val="640"/>
          <w:jc w:val="center"/>
        </w:trPr>
        <w:tc>
          <w:tcPr>
            <w:tcW w:w="1285" w:type="pct"/>
            <w:tcBorders>
              <w:left w:val="single" w:sz="4" w:space="0" w:color="auto"/>
            </w:tcBorders>
            <w:vAlign w:val="bottom"/>
          </w:tcPr>
          <w:p w14:paraId="40C165DE" w14:textId="77777777" w:rsidR="00F156A1" w:rsidRPr="00B85519" w:rsidRDefault="00F156A1" w:rsidP="00863059">
            <w:pPr>
              <w:ind w:left="270" w:hanging="270"/>
              <w:rPr>
                <w:rFonts w:ascii="Arial" w:hAnsi="Arial"/>
                <w:sz w:val="18"/>
                <w:szCs w:val="20"/>
              </w:rPr>
            </w:pPr>
            <w:r w:rsidRPr="00B85519">
              <w:rPr>
                <w:rFonts w:ascii="Arial" w:hAnsi="Arial"/>
                <w:sz w:val="18"/>
                <w:szCs w:val="20"/>
              </w:rPr>
              <w:t>1.</w:t>
            </w:r>
            <w:r w:rsidRPr="00B85519">
              <w:rPr>
                <w:rFonts w:ascii="Arial" w:hAnsi="Arial"/>
                <w:sz w:val="18"/>
                <w:szCs w:val="20"/>
              </w:rPr>
              <w:tab/>
            </w:r>
            <w:r w:rsidRPr="00F224A7">
              <w:rPr>
                <w:rFonts w:ascii="Arial" w:hAnsi="Arial"/>
                <w:sz w:val="18"/>
                <w:szCs w:val="18"/>
              </w:rPr>
              <w:t>Educator questionnaire</w:t>
            </w:r>
          </w:p>
        </w:tc>
        <w:tc>
          <w:tcPr>
            <w:tcW w:w="723" w:type="pct"/>
            <w:vAlign w:val="bottom"/>
          </w:tcPr>
          <w:p w14:paraId="566DDC13" w14:textId="77777777" w:rsidR="00F156A1" w:rsidRPr="00B85519" w:rsidRDefault="00F156A1" w:rsidP="00F53D10">
            <w:pPr>
              <w:ind w:right="288"/>
              <w:jc w:val="right"/>
              <w:rPr>
                <w:rFonts w:ascii="Arial" w:hAnsi="Arial"/>
                <w:sz w:val="18"/>
                <w:szCs w:val="20"/>
              </w:rPr>
            </w:pPr>
            <w:r>
              <w:rPr>
                <w:rFonts w:ascii="Arial" w:hAnsi="Arial"/>
                <w:sz w:val="18"/>
                <w:szCs w:val="20"/>
              </w:rPr>
              <w:t>20</w:t>
            </w:r>
          </w:p>
        </w:tc>
        <w:tc>
          <w:tcPr>
            <w:tcW w:w="638" w:type="pct"/>
            <w:vAlign w:val="bottom"/>
          </w:tcPr>
          <w:p w14:paraId="5A87931B" w14:textId="77777777" w:rsidR="00F156A1" w:rsidRPr="00B85519" w:rsidRDefault="00F156A1" w:rsidP="00F53D10">
            <w:pPr>
              <w:ind w:right="432"/>
              <w:jc w:val="right"/>
              <w:rPr>
                <w:rFonts w:ascii="Arial" w:hAnsi="Arial"/>
                <w:sz w:val="18"/>
                <w:szCs w:val="20"/>
              </w:rPr>
            </w:pPr>
            <w:r>
              <w:rPr>
                <w:rFonts w:ascii="Arial" w:hAnsi="Arial"/>
                <w:sz w:val="18"/>
                <w:szCs w:val="20"/>
              </w:rPr>
              <w:t>2</w:t>
            </w:r>
          </w:p>
        </w:tc>
        <w:tc>
          <w:tcPr>
            <w:tcW w:w="569" w:type="pct"/>
            <w:gridSpan w:val="2"/>
            <w:vAlign w:val="bottom"/>
          </w:tcPr>
          <w:p w14:paraId="1E2354BE" w14:textId="77777777" w:rsidR="00F156A1" w:rsidRPr="00B85519" w:rsidRDefault="00F156A1" w:rsidP="00F53D10">
            <w:pPr>
              <w:ind w:right="360"/>
              <w:jc w:val="right"/>
              <w:rPr>
                <w:rFonts w:ascii="Arial" w:hAnsi="Arial"/>
                <w:sz w:val="18"/>
                <w:szCs w:val="20"/>
              </w:rPr>
            </w:pPr>
            <w:r>
              <w:rPr>
                <w:rFonts w:ascii="Arial" w:hAnsi="Arial"/>
                <w:sz w:val="18"/>
                <w:szCs w:val="20"/>
              </w:rPr>
              <w:t>.33</w:t>
            </w:r>
          </w:p>
        </w:tc>
        <w:tc>
          <w:tcPr>
            <w:tcW w:w="399" w:type="pct"/>
            <w:vAlign w:val="bottom"/>
          </w:tcPr>
          <w:p w14:paraId="4C76C002" w14:textId="5322CA90" w:rsidR="00F156A1" w:rsidRPr="00B85519" w:rsidRDefault="00F156A1" w:rsidP="00BD23C5">
            <w:pPr>
              <w:ind w:right="72"/>
              <w:jc w:val="right"/>
              <w:rPr>
                <w:rFonts w:ascii="Arial" w:hAnsi="Arial"/>
                <w:sz w:val="18"/>
                <w:szCs w:val="20"/>
              </w:rPr>
            </w:pPr>
            <w:r>
              <w:rPr>
                <w:rFonts w:ascii="Arial" w:hAnsi="Arial"/>
                <w:sz w:val="18"/>
                <w:szCs w:val="20"/>
              </w:rPr>
              <w:t>13</w:t>
            </w:r>
          </w:p>
        </w:tc>
        <w:tc>
          <w:tcPr>
            <w:tcW w:w="570" w:type="pct"/>
            <w:gridSpan w:val="2"/>
            <w:vAlign w:val="bottom"/>
          </w:tcPr>
          <w:p w14:paraId="02B0F568" w14:textId="77777777" w:rsidR="00F156A1" w:rsidRPr="00B85519" w:rsidRDefault="00F156A1" w:rsidP="00F53D10">
            <w:pPr>
              <w:ind w:right="72"/>
              <w:jc w:val="right"/>
              <w:rPr>
                <w:rFonts w:ascii="Arial" w:hAnsi="Arial"/>
                <w:sz w:val="18"/>
                <w:szCs w:val="20"/>
              </w:rPr>
            </w:pPr>
            <w:r w:rsidRPr="00B85519">
              <w:rPr>
                <w:rFonts w:ascii="Arial" w:hAnsi="Arial"/>
                <w:sz w:val="18"/>
                <w:szCs w:val="20"/>
              </w:rPr>
              <w:t>$27.86</w:t>
            </w:r>
          </w:p>
        </w:tc>
        <w:tc>
          <w:tcPr>
            <w:tcW w:w="816" w:type="pct"/>
            <w:vAlign w:val="bottom"/>
          </w:tcPr>
          <w:p w14:paraId="59C340BD" w14:textId="78C1D5B1" w:rsidR="00F156A1" w:rsidRPr="00B85519" w:rsidRDefault="00F156A1" w:rsidP="00BD23C5">
            <w:pPr>
              <w:jc w:val="right"/>
              <w:rPr>
                <w:rFonts w:ascii="Arial" w:hAnsi="Arial"/>
                <w:sz w:val="18"/>
                <w:szCs w:val="20"/>
              </w:rPr>
            </w:pPr>
            <w:r w:rsidRPr="00B85519">
              <w:rPr>
                <w:rFonts w:ascii="Arial" w:hAnsi="Arial"/>
                <w:sz w:val="18"/>
                <w:szCs w:val="20"/>
              </w:rPr>
              <w:t>$</w:t>
            </w:r>
            <w:r>
              <w:rPr>
                <w:rFonts w:ascii="Arial" w:hAnsi="Arial"/>
                <w:sz w:val="18"/>
                <w:szCs w:val="20"/>
              </w:rPr>
              <w:t>362.18</w:t>
            </w:r>
          </w:p>
        </w:tc>
      </w:tr>
      <w:tr w:rsidR="00F156A1" w:rsidRPr="00B85519" w14:paraId="1F28334B" w14:textId="77777777" w:rsidTr="00863059">
        <w:trPr>
          <w:trHeight w:val="20"/>
          <w:jc w:val="center"/>
        </w:trPr>
        <w:tc>
          <w:tcPr>
            <w:tcW w:w="1285" w:type="pct"/>
            <w:vAlign w:val="center"/>
          </w:tcPr>
          <w:p w14:paraId="7A4C2394" w14:textId="4CDAD81F" w:rsidR="00F156A1" w:rsidRPr="00B85519" w:rsidRDefault="00F156A1" w:rsidP="00343B26">
            <w:pPr>
              <w:ind w:left="270" w:hanging="270"/>
              <w:rPr>
                <w:rFonts w:ascii="Arial" w:hAnsi="Arial"/>
                <w:sz w:val="18"/>
                <w:szCs w:val="20"/>
              </w:rPr>
            </w:pPr>
            <w:r w:rsidRPr="00B85519">
              <w:rPr>
                <w:rFonts w:ascii="Arial" w:hAnsi="Arial"/>
                <w:sz w:val="18"/>
                <w:szCs w:val="20"/>
              </w:rPr>
              <w:t>2.</w:t>
            </w:r>
            <w:r w:rsidRPr="00B85519">
              <w:rPr>
                <w:rFonts w:ascii="Arial" w:hAnsi="Arial"/>
                <w:sz w:val="18"/>
                <w:szCs w:val="20"/>
              </w:rPr>
              <w:tab/>
            </w:r>
            <w:r>
              <w:rPr>
                <w:rFonts w:ascii="Arial" w:hAnsi="Arial"/>
                <w:sz w:val="18"/>
                <w:szCs w:val="20"/>
              </w:rPr>
              <w:t>Semi-structured interview protocol</w:t>
            </w:r>
          </w:p>
        </w:tc>
        <w:tc>
          <w:tcPr>
            <w:tcW w:w="723" w:type="pct"/>
            <w:vAlign w:val="bottom"/>
          </w:tcPr>
          <w:p w14:paraId="55FDED6F" w14:textId="77777777" w:rsidR="00F156A1" w:rsidRPr="00B85519" w:rsidRDefault="00F156A1" w:rsidP="00F53D10">
            <w:pPr>
              <w:ind w:right="288"/>
              <w:jc w:val="right"/>
              <w:rPr>
                <w:rFonts w:ascii="Arial" w:hAnsi="Arial"/>
                <w:sz w:val="18"/>
                <w:szCs w:val="20"/>
              </w:rPr>
            </w:pPr>
            <w:r>
              <w:rPr>
                <w:rFonts w:ascii="Arial" w:hAnsi="Arial"/>
                <w:sz w:val="18"/>
                <w:szCs w:val="20"/>
              </w:rPr>
              <w:t>28</w:t>
            </w:r>
          </w:p>
        </w:tc>
        <w:tc>
          <w:tcPr>
            <w:tcW w:w="638" w:type="pct"/>
            <w:vAlign w:val="bottom"/>
          </w:tcPr>
          <w:p w14:paraId="2C1BDB5C" w14:textId="77777777" w:rsidR="00F156A1" w:rsidRPr="00B85519" w:rsidRDefault="00F156A1" w:rsidP="00F53D10">
            <w:pPr>
              <w:ind w:right="432"/>
              <w:jc w:val="right"/>
              <w:rPr>
                <w:rFonts w:ascii="Arial" w:hAnsi="Arial"/>
                <w:sz w:val="18"/>
                <w:szCs w:val="20"/>
              </w:rPr>
            </w:pPr>
            <w:r>
              <w:rPr>
                <w:rFonts w:ascii="Arial" w:hAnsi="Arial"/>
                <w:sz w:val="18"/>
                <w:szCs w:val="20"/>
              </w:rPr>
              <w:t>3</w:t>
            </w:r>
          </w:p>
        </w:tc>
        <w:tc>
          <w:tcPr>
            <w:tcW w:w="569" w:type="pct"/>
            <w:gridSpan w:val="2"/>
            <w:vAlign w:val="bottom"/>
          </w:tcPr>
          <w:p w14:paraId="43BB15DD" w14:textId="77777777" w:rsidR="00F156A1" w:rsidRPr="00B85519" w:rsidRDefault="00F156A1" w:rsidP="00F53D10">
            <w:pPr>
              <w:ind w:right="360"/>
              <w:jc w:val="right"/>
              <w:rPr>
                <w:rFonts w:ascii="Arial" w:hAnsi="Arial"/>
                <w:sz w:val="18"/>
                <w:szCs w:val="20"/>
              </w:rPr>
            </w:pPr>
            <w:r>
              <w:rPr>
                <w:rFonts w:ascii="Arial" w:hAnsi="Arial"/>
                <w:sz w:val="18"/>
                <w:szCs w:val="20"/>
              </w:rPr>
              <w:t>.33</w:t>
            </w:r>
          </w:p>
        </w:tc>
        <w:tc>
          <w:tcPr>
            <w:tcW w:w="399" w:type="pct"/>
            <w:vAlign w:val="bottom"/>
          </w:tcPr>
          <w:p w14:paraId="7B429706" w14:textId="77777777" w:rsidR="00F156A1" w:rsidRPr="00B85519" w:rsidRDefault="00F156A1" w:rsidP="00F53D10">
            <w:pPr>
              <w:ind w:right="72"/>
              <w:jc w:val="right"/>
              <w:rPr>
                <w:rFonts w:ascii="Arial" w:hAnsi="Arial"/>
                <w:sz w:val="18"/>
                <w:szCs w:val="20"/>
              </w:rPr>
            </w:pPr>
            <w:r>
              <w:rPr>
                <w:rFonts w:ascii="Arial" w:hAnsi="Arial"/>
                <w:sz w:val="18"/>
                <w:szCs w:val="20"/>
              </w:rPr>
              <w:t>28</w:t>
            </w:r>
          </w:p>
        </w:tc>
        <w:tc>
          <w:tcPr>
            <w:tcW w:w="570" w:type="pct"/>
            <w:gridSpan w:val="2"/>
            <w:vAlign w:val="bottom"/>
          </w:tcPr>
          <w:p w14:paraId="44A8B5EB" w14:textId="77777777" w:rsidR="00F156A1" w:rsidRPr="00B85519" w:rsidRDefault="00F156A1" w:rsidP="00F53D10">
            <w:pPr>
              <w:ind w:right="72"/>
              <w:jc w:val="right"/>
              <w:rPr>
                <w:rFonts w:ascii="Arial" w:hAnsi="Arial"/>
                <w:sz w:val="18"/>
                <w:szCs w:val="20"/>
              </w:rPr>
            </w:pPr>
            <w:r w:rsidRPr="00B85519">
              <w:rPr>
                <w:rFonts w:ascii="Arial" w:hAnsi="Arial"/>
                <w:sz w:val="18"/>
                <w:szCs w:val="20"/>
              </w:rPr>
              <w:t>$</w:t>
            </w:r>
            <w:r>
              <w:rPr>
                <w:rFonts w:ascii="Arial" w:hAnsi="Arial"/>
                <w:sz w:val="18"/>
                <w:szCs w:val="20"/>
              </w:rPr>
              <w:t>2</w:t>
            </w:r>
            <w:r w:rsidRPr="00B85519">
              <w:rPr>
                <w:rFonts w:ascii="Arial" w:hAnsi="Arial"/>
                <w:sz w:val="18"/>
                <w:szCs w:val="20"/>
              </w:rPr>
              <w:t>7.</w:t>
            </w:r>
            <w:r>
              <w:rPr>
                <w:rFonts w:ascii="Arial" w:hAnsi="Arial"/>
                <w:sz w:val="18"/>
                <w:szCs w:val="20"/>
              </w:rPr>
              <w:t>86</w:t>
            </w:r>
          </w:p>
        </w:tc>
        <w:tc>
          <w:tcPr>
            <w:tcW w:w="816" w:type="pct"/>
            <w:vAlign w:val="bottom"/>
          </w:tcPr>
          <w:p w14:paraId="1757D237" w14:textId="642F0ECB" w:rsidR="00F156A1" w:rsidRPr="00B85519" w:rsidRDefault="00F156A1" w:rsidP="00F53D10">
            <w:pPr>
              <w:jc w:val="right"/>
              <w:rPr>
                <w:rFonts w:ascii="Arial" w:hAnsi="Arial"/>
                <w:sz w:val="18"/>
                <w:szCs w:val="20"/>
              </w:rPr>
            </w:pPr>
            <w:r w:rsidRPr="00B85519">
              <w:rPr>
                <w:rFonts w:ascii="Arial" w:hAnsi="Arial"/>
                <w:sz w:val="18"/>
                <w:szCs w:val="20"/>
              </w:rPr>
              <w:t>$</w:t>
            </w:r>
            <w:r>
              <w:rPr>
                <w:rFonts w:ascii="Arial" w:hAnsi="Arial"/>
                <w:sz w:val="18"/>
                <w:szCs w:val="20"/>
              </w:rPr>
              <w:t>780.08</w:t>
            </w:r>
          </w:p>
        </w:tc>
      </w:tr>
      <w:tr w:rsidR="00F156A1" w:rsidRPr="00B85519" w14:paraId="24FB5D0C" w14:textId="77777777" w:rsidTr="00863059">
        <w:trPr>
          <w:trHeight w:val="20"/>
          <w:jc w:val="center"/>
        </w:trPr>
        <w:tc>
          <w:tcPr>
            <w:tcW w:w="1285" w:type="pct"/>
            <w:vAlign w:val="center"/>
          </w:tcPr>
          <w:p w14:paraId="64447745" w14:textId="77777777" w:rsidR="00F156A1" w:rsidRPr="00B85519" w:rsidRDefault="00F156A1" w:rsidP="00F53D10">
            <w:pPr>
              <w:ind w:left="270" w:hanging="270"/>
              <w:rPr>
                <w:rFonts w:ascii="Arial" w:hAnsi="Arial"/>
                <w:sz w:val="18"/>
                <w:szCs w:val="20"/>
              </w:rPr>
            </w:pPr>
            <w:r>
              <w:rPr>
                <w:rFonts w:ascii="Arial" w:hAnsi="Arial"/>
                <w:sz w:val="18"/>
                <w:szCs w:val="20"/>
              </w:rPr>
              <w:t>3.  Session assessment form</w:t>
            </w:r>
          </w:p>
        </w:tc>
        <w:tc>
          <w:tcPr>
            <w:tcW w:w="723" w:type="pct"/>
            <w:vAlign w:val="bottom"/>
          </w:tcPr>
          <w:p w14:paraId="31A086A8" w14:textId="77777777" w:rsidR="00F156A1" w:rsidRPr="00B85519" w:rsidRDefault="00F156A1" w:rsidP="00F53D10">
            <w:pPr>
              <w:ind w:right="288"/>
              <w:jc w:val="right"/>
              <w:rPr>
                <w:rFonts w:ascii="Arial" w:hAnsi="Arial"/>
                <w:sz w:val="18"/>
                <w:szCs w:val="20"/>
              </w:rPr>
            </w:pPr>
            <w:r>
              <w:rPr>
                <w:rFonts w:ascii="Arial" w:hAnsi="Arial"/>
                <w:sz w:val="18"/>
                <w:szCs w:val="20"/>
              </w:rPr>
              <w:t>20</w:t>
            </w:r>
          </w:p>
        </w:tc>
        <w:tc>
          <w:tcPr>
            <w:tcW w:w="638" w:type="pct"/>
            <w:vAlign w:val="bottom"/>
          </w:tcPr>
          <w:p w14:paraId="0C406FAC" w14:textId="77777777" w:rsidR="00F156A1" w:rsidRPr="00B85519" w:rsidRDefault="00F156A1" w:rsidP="00F53D10">
            <w:pPr>
              <w:ind w:right="432"/>
              <w:jc w:val="right"/>
              <w:rPr>
                <w:rFonts w:ascii="Arial" w:hAnsi="Arial"/>
                <w:sz w:val="18"/>
                <w:szCs w:val="20"/>
              </w:rPr>
            </w:pPr>
            <w:r>
              <w:rPr>
                <w:rFonts w:ascii="Arial" w:hAnsi="Arial"/>
                <w:sz w:val="18"/>
                <w:szCs w:val="20"/>
              </w:rPr>
              <w:t>36</w:t>
            </w:r>
          </w:p>
        </w:tc>
        <w:tc>
          <w:tcPr>
            <w:tcW w:w="569" w:type="pct"/>
            <w:gridSpan w:val="2"/>
            <w:vAlign w:val="bottom"/>
          </w:tcPr>
          <w:p w14:paraId="1F08D594" w14:textId="7F65BA3B" w:rsidR="00F156A1" w:rsidRPr="00B85519" w:rsidRDefault="00F156A1" w:rsidP="00F53D10">
            <w:pPr>
              <w:ind w:right="360"/>
              <w:jc w:val="right"/>
              <w:rPr>
                <w:rFonts w:ascii="Arial" w:hAnsi="Arial"/>
                <w:sz w:val="18"/>
                <w:szCs w:val="20"/>
              </w:rPr>
            </w:pPr>
            <w:r>
              <w:rPr>
                <w:rFonts w:ascii="Arial" w:hAnsi="Arial"/>
                <w:sz w:val="18"/>
                <w:szCs w:val="20"/>
              </w:rPr>
              <w:t>.16</w:t>
            </w:r>
            <w:r w:rsidR="00D879C8">
              <w:rPr>
                <w:rFonts w:ascii="Arial" w:hAnsi="Arial"/>
                <w:sz w:val="18"/>
                <w:szCs w:val="20"/>
              </w:rPr>
              <w:t>7</w:t>
            </w:r>
          </w:p>
        </w:tc>
        <w:tc>
          <w:tcPr>
            <w:tcW w:w="399" w:type="pct"/>
            <w:vAlign w:val="bottom"/>
          </w:tcPr>
          <w:p w14:paraId="30F65C2B" w14:textId="77777777" w:rsidR="00F156A1" w:rsidRPr="00B85519" w:rsidRDefault="00F156A1" w:rsidP="00F53D10">
            <w:pPr>
              <w:ind w:right="72"/>
              <w:jc w:val="right"/>
              <w:rPr>
                <w:rFonts w:ascii="Arial" w:hAnsi="Arial"/>
                <w:sz w:val="18"/>
                <w:szCs w:val="20"/>
              </w:rPr>
            </w:pPr>
            <w:r>
              <w:rPr>
                <w:rFonts w:ascii="Arial" w:hAnsi="Arial"/>
                <w:sz w:val="18"/>
                <w:szCs w:val="20"/>
              </w:rPr>
              <w:t>120</w:t>
            </w:r>
          </w:p>
        </w:tc>
        <w:tc>
          <w:tcPr>
            <w:tcW w:w="570" w:type="pct"/>
            <w:gridSpan w:val="2"/>
            <w:vAlign w:val="bottom"/>
          </w:tcPr>
          <w:p w14:paraId="763AA972" w14:textId="77777777" w:rsidR="00F156A1" w:rsidRPr="00B85519" w:rsidRDefault="00F156A1" w:rsidP="00F53D10">
            <w:pPr>
              <w:ind w:right="72"/>
              <w:jc w:val="right"/>
              <w:rPr>
                <w:rFonts w:ascii="Arial" w:hAnsi="Arial"/>
                <w:sz w:val="18"/>
                <w:szCs w:val="20"/>
              </w:rPr>
            </w:pPr>
            <w:r>
              <w:rPr>
                <w:rFonts w:ascii="Arial" w:hAnsi="Arial"/>
                <w:sz w:val="18"/>
                <w:szCs w:val="20"/>
              </w:rPr>
              <w:t>$27.86</w:t>
            </w:r>
          </w:p>
        </w:tc>
        <w:tc>
          <w:tcPr>
            <w:tcW w:w="816" w:type="pct"/>
            <w:vAlign w:val="bottom"/>
          </w:tcPr>
          <w:p w14:paraId="438373B9" w14:textId="7C577EB9" w:rsidR="00F156A1" w:rsidRPr="00B85519" w:rsidRDefault="00F156A1" w:rsidP="00F53D10">
            <w:pPr>
              <w:jc w:val="right"/>
              <w:rPr>
                <w:rFonts w:ascii="Arial" w:hAnsi="Arial"/>
                <w:sz w:val="18"/>
                <w:szCs w:val="20"/>
              </w:rPr>
            </w:pPr>
            <w:r>
              <w:rPr>
                <w:rFonts w:ascii="Arial" w:hAnsi="Arial"/>
                <w:sz w:val="18"/>
                <w:szCs w:val="20"/>
              </w:rPr>
              <w:t>$3,343.20</w:t>
            </w:r>
          </w:p>
        </w:tc>
      </w:tr>
      <w:tr w:rsidR="00F156A1" w:rsidRPr="00B85519" w14:paraId="495A8601" w14:textId="77777777" w:rsidTr="00863059">
        <w:trPr>
          <w:trHeight w:val="20"/>
          <w:jc w:val="center"/>
        </w:trPr>
        <w:tc>
          <w:tcPr>
            <w:tcW w:w="1285" w:type="pct"/>
            <w:vAlign w:val="center"/>
          </w:tcPr>
          <w:p w14:paraId="5A2D4ADB" w14:textId="77777777" w:rsidR="00F156A1" w:rsidRPr="00B85519" w:rsidRDefault="00F156A1" w:rsidP="00F53D10">
            <w:pPr>
              <w:ind w:left="270" w:hanging="270"/>
              <w:rPr>
                <w:rFonts w:ascii="Arial" w:hAnsi="Arial"/>
                <w:sz w:val="18"/>
                <w:szCs w:val="20"/>
              </w:rPr>
            </w:pPr>
            <w:r>
              <w:rPr>
                <w:rFonts w:ascii="Arial" w:hAnsi="Arial"/>
                <w:sz w:val="18"/>
                <w:szCs w:val="20"/>
              </w:rPr>
              <w:t>4</w:t>
            </w:r>
            <w:r w:rsidRPr="00B85519">
              <w:rPr>
                <w:rFonts w:ascii="Arial" w:hAnsi="Arial"/>
                <w:sz w:val="18"/>
                <w:szCs w:val="20"/>
              </w:rPr>
              <w:t>.</w:t>
            </w:r>
            <w:r w:rsidRPr="00B85519">
              <w:rPr>
                <w:rFonts w:ascii="Arial" w:hAnsi="Arial"/>
                <w:sz w:val="18"/>
                <w:szCs w:val="20"/>
              </w:rPr>
              <w:tab/>
            </w:r>
            <w:r>
              <w:rPr>
                <w:rFonts w:ascii="Arial" w:hAnsi="Arial"/>
                <w:sz w:val="18"/>
                <w:szCs w:val="20"/>
              </w:rPr>
              <w:t>Group session observation form</w:t>
            </w:r>
          </w:p>
        </w:tc>
        <w:tc>
          <w:tcPr>
            <w:tcW w:w="723" w:type="pct"/>
            <w:vAlign w:val="bottom"/>
          </w:tcPr>
          <w:p w14:paraId="169DA7ED" w14:textId="77777777" w:rsidR="00F156A1" w:rsidRPr="00B85519" w:rsidRDefault="00F156A1" w:rsidP="00F53D10">
            <w:pPr>
              <w:ind w:right="288"/>
              <w:jc w:val="right"/>
              <w:rPr>
                <w:rFonts w:ascii="Arial" w:hAnsi="Arial"/>
                <w:sz w:val="18"/>
                <w:szCs w:val="20"/>
              </w:rPr>
            </w:pPr>
            <w:r>
              <w:rPr>
                <w:rFonts w:ascii="Arial" w:hAnsi="Arial"/>
                <w:sz w:val="18"/>
                <w:szCs w:val="20"/>
              </w:rPr>
              <w:t>2</w:t>
            </w:r>
          </w:p>
        </w:tc>
        <w:tc>
          <w:tcPr>
            <w:tcW w:w="638" w:type="pct"/>
            <w:vAlign w:val="bottom"/>
          </w:tcPr>
          <w:p w14:paraId="4051965F" w14:textId="77777777" w:rsidR="00F156A1" w:rsidRPr="00B85519" w:rsidRDefault="00F156A1" w:rsidP="00F53D10">
            <w:pPr>
              <w:ind w:right="432"/>
              <w:jc w:val="right"/>
              <w:rPr>
                <w:rFonts w:ascii="Arial" w:hAnsi="Arial"/>
                <w:sz w:val="18"/>
                <w:szCs w:val="20"/>
              </w:rPr>
            </w:pPr>
            <w:r>
              <w:rPr>
                <w:rFonts w:ascii="Arial" w:hAnsi="Arial"/>
                <w:sz w:val="18"/>
                <w:szCs w:val="20"/>
              </w:rPr>
              <w:t>30</w:t>
            </w:r>
          </w:p>
        </w:tc>
        <w:tc>
          <w:tcPr>
            <w:tcW w:w="569" w:type="pct"/>
            <w:gridSpan w:val="2"/>
            <w:vAlign w:val="bottom"/>
          </w:tcPr>
          <w:p w14:paraId="15029999" w14:textId="77777777" w:rsidR="00F156A1" w:rsidRPr="00B85519" w:rsidRDefault="00F156A1" w:rsidP="00F53D10">
            <w:pPr>
              <w:ind w:right="360"/>
              <w:jc w:val="right"/>
              <w:rPr>
                <w:rFonts w:ascii="Arial" w:hAnsi="Arial"/>
                <w:sz w:val="18"/>
                <w:szCs w:val="20"/>
              </w:rPr>
            </w:pPr>
            <w:r w:rsidRPr="00B85519">
              <w:rPr>
                <w:rFonts w:ascii="Arial" w:hAnsi="Arial"/>
                <w:sz w:val="18"/>
                <w:szCs w:val="20"/>
              </w:rPr>
              <w:t>1</w:t>
            </w:r>
          </w:p>
        </w:tc>
        <w:tc>
          <w:tcPr>
            <w:tcW w:w="399" w:type="pct"/>
            <w:vAlign w:val="bottom"/>
          </w:tcPr>
          <w:p w14:paraId="1FCB4951" w14:textId="77777777" w:rsidR="00F156A1" w:rsidRPr="00B85519" w:rsidRDefault="00F156A1" w:rsidP="00F53D10">
            <w:pPr>
              <w:ind w:right="72"/>
              <w:jc w:val="right"/>
              <w:rPr>
                <w:rFonts w:ascii="Arial" w:hAnsi="Arial"/>
                <w:sz w:val="18"/>
                <w:szCs w:val="20"/>
              </w:rPr>
            </w:pPr>
            <w:r>
              <w:rPr>
                <w:rFonts w:ascii="Arial" w:hAnsi="Arial"/>
                <w:sz w:val="18"/>
                <w:szCs w:val="20"/>
              </w:rPr>
              <w:t>60</w:t>
            </w:r>
          </w:p>
        </w:tc>
        <w:tc>
          <w:tcPr>
            <w:tcW w:w="570" w:type="pct"/>
            <w:gridSpan w:val="2"/>
            <w:vAlign w:val="bottom"/>
          </w:tcPr>
          <w:p w14:paraId="54C86DE2" w14:textId="77777777" w:rsidR="00F156A1" w:rsidRPr="00B85519" w:rsidRDefault="00F156A1" w:rsidP="00F53D10">
            <w:pPr>
              <w:ind w:right="72"/>
              <w:jc w:val="right"/>
              <w:rPr>
                <w:rFonts w:ascii="Arial" w:hAnsi="Arial"/>
                <w:sz w:val="18"/>
                <w:szCs w:val="20"/>
              </w:rPr>
            </w:pPr>
            <w:r w:rsidRPr="00B85519">
              <w:rPr>
                <w:rFonts w:ascii="Arial" w:hAnsi="Arial"/>
                <w:sz w:val="18"/>
                <w:szCs w:val="20"/>
              </w:rPr>
              <w:t>$</w:t>
            </w:r>
            <w:r>
              <w:rPr>
                <w:rFonts w:ascii="Arial" w:hAnsi="Arial"/>
                <w:sz w:val="18"/>
                <w:szCs w:val="20"/>
              </w:rPr>
              <w:t>2</w:t>
            </w:r>
            <w:r w:rsidRPr="00B85519">
              <w:rPr>
                <w:rFonts w:ascii="Arial" w:hAnsi="Arial"/>
                <w:sz w:val="18"/>
                <w:szCs w:val="20"/>
              </w:rPr>
              <w:t>7.</w:t>
            </w:r>
            <w:r>
              <w:rPr>
                <w:rFonts w:ascii="Arial" w:hAnsi="Arial"/>
                <w:sz w:val="18"/>
                <w:szCs w:val="20"/>
              </w:rPr>
              <w:t>86</w:t>
            </w:r>
          </w:p>
        </w:tc>
        <w:tc>
          <w:tcPr>
            <w:tcW w:w="816" w:type="pct"/>
            <w:vAlign w:val="bottom"/>
          </w:tcPr>
          <w:p w14:paraId="282C5F8E" w14:textId="5C2D30D8" w:rsidR="00F156A1" w:rsidRPr="00B85519" w:rsidRDefault="00F156A1" w:rsidP="00BD23C5">
            <w:pPr>
              <w:jc w:val="right"/>
              <w:rPr>
                <w:rFonts w:ascii="Arial" w:hAnsi="Arial"/>
                <w:sz w:val="18"/>
                <w:szCs w:val="20"/>
              </w:rPr>
            </w:pPr>
            <w:r w:rsidRPr="00B85519">
              <w:rPr>
                <w:rFonts w:ascii="Arial" w:hAnsi="Arial"/>
                <w:sz w:val="18"/>
                <w:szCs w:val="20"/>
              </w:rPr>
              <w:t>$</w:t>
            </w:r>
            <w:r>
              <w:rPr>
                <w:rFonts w:ascii="Arial" w:hAnsi="Arial"/>
                <w:sz w:val="18"/>
                <w:szCs w:val="20"/>
              </w:rPr>
              <w:t>1,671.60</w:t>
            </w:r>
          </w:p>
        </w:tc>
      </w:tr>
      <w:tr w:rsidR="00F156A1" w:rsidRPr="00B85519" w14:paraId="2F807488" w14:textId="77777777" w:rsidTr="00863059">
        <w:trPr>
          <w:trHeight w:val="288"/>
          <w:jc w:val="center"/>
        </w:trPr>
        <w:tc>
          <w:tcPr>
            <w:tcW w:w="1285" w:type="pct"/>
            <w:vAlign w:val="center"/>
          </w:tcPr>
          <w:p w14:paraId="30D3AFC7" w14:textId="77777777" w:rsidR="00F156A1" w:rsidRPr="00B85519" w:rsidRDefault="00F156A1" w:rsidP="00F53D10">
            <w:pPr>
              <w:ind w:left="270" w:hanging="270"/>
              <w:rPr>
                <w:rFonts w:ascii="Arial" w:hAnsi="Arial"/>
                <w:sz w:val="18"/>
                <w:szCs w:val="20"/>
              </w:rPr>
            </w:pPr>
            <w:r>
              <w:rPr>
                <w:rFonts w:ascii="Arial" w:hAnsi="Arial"/>
                <w:sz w:val="18"/>
                <w:szCs w:val="20"/>
              </w:rPr>
              <w:t>5</w:t>
            </w:r>
            <w:r w:rsidRPr="00B85519">
              <w:rPr>
                <w:rFonts w:ascii="Arial" w:hAnsi="Arial"/>
                <w:sz w:val="18"/>
                <w:szCs w:val="20"/>
              </w:rPr>
              <w:t>.</w:t>
            </w:r>
            <w:r w:rsidRPr="00B85519">
              <w:rPr>
                <w:rFonts w:ascii="Arial" w:hAnsi="Arial"/>
                <w:sz w:val="18"/>
                <w:szCs w:val="20"/>
              </w:rPr>
              <w:tab/>
            </w:r>
            <w:r>
              <w:rPr>
                <w:rFonts w:ascii="Arial" w:hAnsi="Arial"/>
                <w:sz w:val="18"/>
                <w:szCs w:val="20"/>
              </w:rPr>
              <w:t>Youth questionnaire</w:t>
            </w:r>
          </w:p>
        </w:tc>
        <w:tc>
          <w:tcPr>
            <w:tcW w:w="723" w:type="pct"/>
            <w:vAlign w:val="bottom"/>
          </w:tcPr>
          <w:p w14:paraId="440B2FD9" w14:textId="77777777" w:rsidR="00F156A1" w:rsidRPr="00B85519" w:rsidRDefault="00F156A1" w:rsidP="00F53D10">
            <w:pPr>
              <w:ind w:right="288"/>
              <w:jc w:val="right"/>
              <w:rPr>
                <w:rFonts w:ascii="Arial" w:hAnsi="Arial"/>
                <w:sz w:val="18"/>
                <w:szCs w:val="20"/>
              </w:rPr>
            </w:pPr>
            <w:r>
              <w:rPr>
                <w:rFonts w:ascii="Arial" w:hAnsi="Arial"/>
                <w:sz w:val="18"/>
                <w:szCs w:val="20"/>
              </w:rPr>
              <w:t>32</w:t>
            </w:r>
          </w:p>
        </w:tc>
        <w:tc>
          <w:tcPr>
            <w:tcW w:w="638" w:type="pct"/>
            <w:vAlign w:val="bottom"/>
          </w:tcPr>
          <w:p w14:paraId="73EE1DF9" w14:textId="77777777" w:rsidR="00F156A1" w:rsidRPr="00B85519" w:rsidRDefault="00F156A1" w:rsidP="00F53D10">
            <w:pPr>
              <w:ind w:right="432"/>
              <w:jc w:val="right"/>
              <w:rPr>
                <w:rFonts w:ascii="Arial" w:hAnsi="Arial"/>
                <w:sz w:val="18"/>
                <w:szCs w:val="20"/>
              </w:rPr>
            </w:pPr>
            <w:r>
              <w:rPr>
                <w:rFonts w:ascii="Arial" w:hAnsi="Arial"/>
                <w:sz w:val="18"/>
                <w:szCs w:val="20"/>
              </w:rPr>
              <w:t>1</w:t>
            </w:r>
          </w:p>
        </w:tc>
        <w:tc>
          <w:tcPr>
            <w:tcW w:w="569" w:type="pct"/>
            <w:gridSpan w:val="2"/>
            <w:vAlign w:val="bottom"/>
          </w:tcPr>
          <w:p w14:paraId="1100C821" w14:textId="77777777" w:rsidR="00F156A1" w:rsidRPr="00B85519" w:rsidRDefault="00F156A1" w:rsidP="00F53D10">
            <w:pPr>
              <w:ind w:right="360"/>
              <w:jc w:val="right"/>
              <w:rPr>
                <w:rFonts w:ascii="Arial" w:hAnsi="Arial"/>
                <w:sz w:val="18"/>
                <w:szCs w:val="20"/>
              </w:rPr>
            </w:pPr>
            <w:r w:rsidRPr="00B85519">
              <w:rPr>
                <w:rFonts w:ascii="Arial" w:hAnsi="Arial"/>
                <w:sz w:val="18"/>
                <w:szCs w:val="20"/>
              </w:rPr>
              <w:t>.</w:t>
            </w:r>
            <w:r>
              <w:rPr>
                <w:rFonts w:ascii="Arial" w:hAnsi="Arial"/>
                <w:sz w:val="18"/>
                <w:szCs w:val="20"/>
              </w:rPr>
              <w:t>2</w:t>
            </w:r>
            <w:r w:rsidRPr="00B85519">
              <w:rPr>
                <w:rFonts w:ascii="Arial" w:hAnsi="Arial"/>
                <w:sz w:val="18"/>
                <w:szCs w:val="20"/>
              </w:rPr>
              <w:t>5</w:t>
            </w:r>
          </w:p>
        </w:tc>
        <w:tc>
          <w:tcPr>
            <w:tcW w:w="399" w:type="pct"/>
            <w:vAlign w:val="bottom"/>
          </w:tcPr>
          <w:p w14:paraId="660A5867" w14:textId="77777777" w:rsidR="00F156A1" w:rsidRPr="00B85519" w:rsidRDefault="00F156A1" w:rsidP="00F53D10">
            <w:pPr>
              <w:ind w:right="72"/>
              <w:jc w:val="right"/>
              <w:rPr>
                <w:rFonts w:ascii="Arial" w:hAnsi="Arial"/>
                <w:sz w:val="18"/>
                <w:szCs w:val="20"/>
              </w:rPr>
            </w:pPr>
            <w:r>
              <w:rPr>
                <w:rFonts w:ascii="Arial" w:hAnsi="Arial"/>
                <w:sz w:val="18"/>
                <w:szCs w:val="20"/>
              </w:rPr>
              <w:t>8</w:t>
            </w:r>
          </w:p>
        </w:tc>
        <w:tc>
          <w:tcPr>
            <w:tcW w:w="570" w:type="pct"/>
            <w:gridSpan w:val="2"/>
            <w:vAlign w:val="bottom"/>
          </w:tcPr>
          <w:p w14:paraId="35EE4D06" w14:textId="77777777" w:rsidR="00F156A1" w:rsidRPr="00B85519" w:rsidRDefault="00F156A1" w:rsidP="00F53D10">
            <w:pPr>
              <w:ind w:right="72"/>
              <w:jc w:val="right"/>
              <w:rPr>
                <w:rFonts w:ascii="Arial" w:hAnsi="Arial"/>
                <w:sz w:val="18"/>
                <w:szCs w:val="20"/>
              </w:rPr>
            </w:pPr>
            <w:r>
              <w:rPr>
                <w:rFonts w:ascii="Arial" w:hAnsi="Arial"/>
                <w:sz w:val="18"/>
                <w:szCs w:val="20"/>
              </w:rPr>
              <w:t>$7.25</w:t>
            </w:r>
          </w:p>
        </w:tc>
        <w:tc>
          <w:tcPr>
            <w:tcW w:w="816" w:type="pct"/>
            <w:vAlign w:val="bottom"/>
          </w:tcPr>
          <w:p w14:paraId="120D9E59" w14:textId="61388F8A" w:rsidR="00F156A1" w:rsidRPr="00B85519" w:rsidRDefault="00F156A1" w:rsidP="00F53D10">
            <w:pPr>
              <w:jc w:val="right"/>
              <w:rPr>
                <w:rFonts w:ascii="Arial" w:hAnsi="Arial"/>
                <w:sz w:val="18"/>
                <w:szCs w:val="20"/>
              </w:rPr>
            </w:pPr>
            <w:r w:rsidRPr="00B85519">
              <w:rPr>
                <w:rFonts w:ascii="Arial" w:hAnsi="Arial"/>
                <w:sz w:val="18"/>
                <w:szCs w:val="20"/>
              </w:rPr>
              <w:t>$</w:t>
            </w:r>
            <w:r>
              <w:rPr>
                <w:rFonts w:ascii="Arial" w:hAnsi="Arial"/>
                <w:sz w:val="18"/>
                <w:szCs w:val="20"/>
              </w:rPr>
              <w:t>58.00</w:t>
            </w:r>
          </w:p>
        </w:tc>
      </w:tr>
      <w:tr w:rsidR="00F156A1" w:rsidRPr="00B85519" w14:paraId="31BC2A37" w14:textId="77777777" w:rsidTr="00863059">
        <w:trPr>
          <w:trHeight w:val="20"/>
          <w:jc w:val="center"/>
        </w:trPr>
        <w:tc>
          <w:tcPr>
            <w:tcW w:w="1285" w:type="pct"/>
            <w:vAlign w:val="center"/>
          </w:tcPr>
          <w:p w14:paraId="6E0341B9" w14:textId="02A1E858" w:rsidR="00F156A1" w:rsidRPr="00B85519" w:rsidRDefault="00F156A1" w:rsidP="00343B26">
            <w:pPr>
              <w:ind w:left="270" w:hanging="270"/>
              <w:rPr>
                <w:rFonts w:ascii="Arial" w:hAnsi="Arial"/>
                <w:sz w:val="18"/>
                <w:szCs w:val="20"/>
              </w:rPr>
            </w:pPr>
            <w:r>
              <w:rPr>
                <w:rFonts w:ascii="Arial" w:hAnsi="Arial"/>
                <w:sz w:val="18"/>
                <w:szCs w:val="20"/>
              </w:rPr>
              <w:t>6</w:t>
            </w:r>
            <w:r w:rsidRPr="00B85519">
              <w:rPr>
                <w:rFonts w:ascii="Arial" w:hAnsi="Arial"/>
                <w:sz w:val="18"/>
                <w:szCs w:val="20"/>
              </w:rPr>
              <w:t>.</w:t>
            </w:r>
            <w:r w:rsidRPr="00B85519">
              <w:rPr>
                <w:rFonts w:ascii="Arial" w:hAnsi="Arial"/>
                <w:sz w:val="18"/>
                <w:szCs w:val="20"/>
              </w:rPr>
              <w:tab/>
            </w:r>
            <w:r>
              <w:rPr>
                <w:rFonts w:ascii="Arial" w:hAnsi="Arial"/>
                <w:sz w:val="18"/>
                <w:szCs w:val="20"/>
              </w:rPr>
              <w:t>Youth focus group protocol</w:t>
            </w:r>
          </w:p>
        </w:tc>
        <w:tc>
          <w:tcPr>
            <w:tcW w:w="723" w:type="pct"/>
            <w:vAlign w:val="bottom"/>
          </w:tcPr>
          <w:p w14:paraId="0DFD3884" w14:textId="77777777" w:rsidR="00F156A1" w:rsidRPr="00B85519" w:rsidRDefault="00F156A1" w:rsidP="00F53D10">
            <w:pPr>
              <w:ind w:right="288"/>
              <w:jc w:val="right"/>
              <w:rPr>
                <w:rFonts w:ascii="Arial" w:hAnsi="Arial"/>
                <w:sz w:val="18"/>
                <w:szCs w:val="20"/>
              </w:rPr>
            </w:pPr>
            <w:r>
              <w:rPr>
                <w:rFonts w:ascii="Arial" w:hAnsi="Arial"/>
                <w:sz w:val="18"/>
                <w:szCs w:val="20"/>
              </w:rPr>
              <w:t>32</w:t>
            </w:r>
          </w:p>
        </w:tc>
        <w:tc>
          <w:tcPr>
            <w:tcW w:w="638" w:type="pct"/>
            <w:vAlign w:val="bottom"/>
          </w:tcPr>
          <w:p w14:paraId="083BF2C0" w14:textId="77777777" w:rsidR="00F156A1" w:rsidRPr="00B85519" w:rsidRDefault="00F156A1" w:rsidP="00F53D10">
            <w:pPr>
              <w:ind w:right="432"/>
              <w:jc w:val="right"/>
              <w:rPr>
                <w:rFonts w:ascii="Arial" w:hAnsi="Arial"/>
                <w:sz w:val="18"/>
                <w:szCs w:val="20"/>
              </w:rPr>
            </w:pPr>
            <w:r>
              <w:rPr>
                <w:rFonts w:ascii="Arial" w:hAnsi="Arial"/>
                <w:sz w:val="18"/>
                <w:szCs w:val="20"/>
              </w:rPr>
              <w:t>1</w:t>
            </w:r>
          </w:p>
        </w:tc>
        <w:tc>
          <w:tcPr>
            <w:tcW w:w="569" w:type="pct"/>
            <w:gridSpan w:val="2"/>
            <w:vAlign w:val="bottom"/>
          </w:tcPr>
          <w:p w14:paraId="7EDC6D30" w14:textId="77777777" w:rsidR="00F156A1" w:rsidRPr="00B85519" w:rsidRDefault="00F156A1" w:rsidP="00F53D10">
            <w:pPr>
              <w:ind w:right="360"/>
              <w:jc w:val="right"/>
              <w:rPr>
                <w:rFonts w:ascii="Arial" w:hAnsi="Arial"/>
                <w:sz w:val="18"/>
                <w:szCs w:val="20"/>
              </w:rPr>
            </w:pPr>
            <w:r>
              <w:rPr>
                <w:rFonts w:ascii="Arial" w:hAnsi="Arial"/>
                <w:sz w:val="18"/>
                <w:szCs w:val="20"/>
              </w:rPr>
              <w:t>1.25</w:t>
            </w:r>
          </w:p>
        </w:tc>
        <w:tc>
          <w:tcPr>
            <w:tcW w:w="399" w:type="pct"/>
            <w:vAlign w:val="bottom"/>
          </w:tcPr>
          <w:p w14:paraId="6955D6EB" w14:textId="77777777" w:rsidR="00F156A1" w:rsidRPr="00B85519" w:rsidRDefault="00F156A1" w:rsidP="00F53D10">
            <w:pPr>
              <w:ind w:right="72"/>
              <w:jc w:val="right"/>
              <w:rPr>
                <w:rFonts w:ascii="Arial" w:hAnsi="Arial"/>
                <w:sz w:val="18"/>
                <w:szCs w:val="20"/>
              </w:rPr>
            </w:pPr>
            <w:r>
              <w:rPr>
                <w:rFonts w:ascii="Arial" w:hAnsi="Arial"/>
                <w:sz w:val="18"/>
                <w:szCs w:val="20"/>
              </w:rPr>
              <w:t>40</w:t>
            </w:r>
          </w:p>
        </w:tc>
        <w:tc>
          <w:tcPr>
            <w:tcW w:w="570" w:type="pct"/>
            <w:gridSpan w:val="2"/>
            <w:vAlign w:val="bottom"/>
          </w:tcPr>
          <w:p w14:paraId="1D22D61B" w14:textId="77777777" w:rsidR="00F156A1" w:rsidRPr="00B85519" w:rsidRDefault="00F156A1" w:rsidP="00F53D10">
            <w:pPr>
              <w:ind w:right="72"/>
              <w:jc w:val="right"/>
              <w:rPr>
                <w:rFonts w:ascii="Arial" w:hAnsi="Arial"/>
                <w:sz w:val="18"/>
                <w:szCs w:val="20"/>
              </w:rPr>
            </w:pPr>
            <w:r w:rsidRPr="00B85519">
              <w:rPr>
                <w:rFonts w:ascii="Arial" w:hAnsi="Arial"/>
                <w:sz w:val="18"/>
                <w:szCs w:val="20"/>
              </w:rPr>
              <w:t>$</w:t>
            </w:r>
            <w:r>
              <w:rPr>
                <w:rFonts w:ascii="Arial" w:hAnsi="Arial"/>
                <w:sz w:val="18"/>
                <w:szCs w:val="20"/>
              </w:rPr>
              <w:t>7.25</w:t>
            </w:r>
          </w:p>
        </w:tc>
        <w:tc>
          <w:tcPr>
            <w:tcW w:w="816" w:type="pct"/>
            <w:vAlign w:val="bottom"/>
          </w:tcPr>
          <w:p w14:paraId="5C7C9064" w14:textId="51E7908D" w:rsidR="00F156A1" w:rsidRPr="00B85519" w:rsidRDefault="00F156A1" w:rsidP="00F53D10">
            <w:pPr>
              <w:jc w:val="right"/>
              <w:rPr>
                <w:rFonts w:ascii="Arial" w:hAnsi="Arial"/>
                <w:sz w:val="18"/>
                <w:szCs w:val="20"/>
              </w:rPr>
            </w:pPr>
            <w:r w:rsidRPr="00B85519">
              <w:rPr>
                <w:rFonts w:ascii="Arial" w:hAnsi="Arial"/>
                <w:sz w:val="18"/>
                <w:szCs w:val="20"/>
              </w:rPr>
              <w:t>$</w:t>
            </w:r>
            <w:r>
              <w:rPr>
                <w:rFonts w:ascii="Arial" w:hAnsi="Arial"/>
                <w:sz w:val="18"/>
                <w:szCs w:val="20"/>
              </w:rPr>
              <w:t>290.00</w:t>
            </w:r>
          </w:p>
        </w:tc>
      </w:tr>
      <w:tr w:rsidR="00863059" w:rsidRPr="00B85519" w14:paraId="770B1BC5" w14:textId="77777777" w:rsidTr="00863059">
        <w:trPr>
          <w:trHeight w:val="368"/>
          <w:jc w:val="center"/>
        </w:trPr>
        <w:tc>
          <w:tcPr>
            <w:tcW w:w="5000" w:type="pct"/>
            <w:gridSpan w:val="9"/>
            <w:shd w:val="clear" w:color="auto" w:fill="D9D9D9" w:themeFill="background1" w:themeFillShade="D9"/>
            <w:vAlign w:val="center"/>
          </w:tcPr>
          <w:p w14:paraId="18685ED7" w14:textId="7ADE02D3" w:rsidR="00863059" w:rsidRPr="00863059" w:rsidRDefault="00863059" w:rsidP="00863059">
            <w:pPr>
              <w:jc w:val="center"/>
              <w:rPr>
                <w:rFonts w:ascii="Arial" w:hAnsi="Arial"/>
                <w:b/>
                <w:sz w:val="18"/>
                <w:szCs w:val="20"/>
              </w:rPr>
            </w:pPr>
            <w:r>
              <w:rPr>
                <w:rFonts w:ascii="Arial" w:hAnsi="Arial"/>
                <w:b/>
                <w:sz w:val="18"/>
                <w:szCs w:val="20"/>
              </w:rPr>
              <w:t>Pre-Test 2</w:t>
            </w:r>
          </w:p>
        </w:tc>
      </w:tr>
      <w:tr w:rsidR="00F156A1" w:rsidRPr="00B85519" w14:paraId="44CC4675" w14:textId="77777777" w:rsidTr="00863059">
        <w:trPr>
          <w:trHeight w:val="368"/>
          <w:jc w:val="center"/>
        </w:trPr>
        <w:tc>
          <w:tcPr>
            <w:tcW w:w="1285" w:type="pct"/>
            <w:vAlign w:val="center"/>
          </w:tcPr>
          <w:p w14:paraId="371832BB" w14:textId="77777777" w:rsidR="00F156A1" w:rsidRDefault="00F156A1" w:rsidP="00F53D10">
            <w:pPr>
              <w:ind w:left="270" w:hanging="270"/>
              <w:rPr>
                <w:rFonts w:ascii="Arial" w:hAnsi="Arial"/>
                <w:sz w:val="18"/>
                <w:szCs w:val="20"/>
              </w:rPr>
            </w:pPr>
            <w:r>
              <w:rPr>
                <w:rFonts w:ascii="Arial" w:hAnsi="Arial"/>
                <w:sz w:val="18"/>
                <w:szCs w:val="20"/>
              </w:rPr>
              <w:t>1. Educator questionnaire</w:t>
            </w:r>
          </w:p>
        </w:tc>
        <w:tc>
          <w:tcPr>
            <w:tcW w:w="723" w:type="pct"/>
            <w:vAlign w:val="bottom"/>
          </w:tcPr>
          <w:p w14:paraId="365EFBD6" w14:textId="77777777" w:rsidR="00F156A1" w:rsidRDefault="00F156A1" w:rsidP="00F53D10">
            <w:pPr>
              <w:ind w:right="288"/>
              <w:jc w:val="right"/>
              <w:rPr>
                <w:rFonts w:ascii="Arial" w:hAnsi="Arial"/>
                <w:sz w:val="18"/>
                <w:szCs w:val="20"/>
              </w:rPr>
            </w:pPr>
            <w:r>
              <w:rPr>
                <w:rFonts w:ascii="Arial" w:hAnsi="Arial"/>
                <w:sz w:val="18"/>
                <w:szCs w:val="20"/>
              </w:rPr>
              <w:t>30</w:t>
            </w:r>
          </w:p>
        </w:tc>
        <w:tc>
          <w:tcPr>
            <w:tcW w:w="638" w:type="pct"/>
            <w:vAlign w:val="bottom"/>
          </w:tcPr>
          <w:p w14:paraId="166AD6D5" w14:textId="77777777" w:rsidR="00F156A1" w:rsidRDefault="00F156A1" w:rsidP="00F53D10">
            <w:pPr>
              <w:ind w:right="432"/>
              <w:jc w:val="right"/>
              <w:rPr>
                <w:rFonts w:ascii="Arial" w:hAnsi="Arial"/>
                <w:sz w:val="18"/>
                <w:szCs w:val="20"/>
              </w:rPr>
            </w:pPr>
            <w:r>
              <w:rPr>
                <w:rFonts w:ascii="Arial" w:hAnsi="Arial"/>
                <w:sz w:val="18"/>
                <w:szCs w:val="20"/>
              </w:rPr>
              <w:t>1</w:t>
            </w:r>
          </w:p>
        </w:tc>
        <w:tc>
          <w:tcPr>
            <w:tcW w:w="569" w:type="pct"/>
            <w:gridSpan w:val="2"/>
            <w:vAlign w:val="bottom"/>
          </w:tcPr>
          <w:p w14:paraId="1BC05896" w14:textId="77777777" w:rsidR="00F156A1" w:rsidRDefault="00F156A1" w:rsidP="00F53D10">
            <w:pPr>
              <w:ind w:right="360"/>
              <w:jc w:val="right"/>
              <w:rPr>
                <w:rFonts w:ascii="Arial" w:hAnsi="Arial"/>
                <w:sz w:val="18"/>
                <w:szCs w:val="20"/>
              </w:rPr>
            </w:pPr>
            <w:r w:rsidRPr="000E255B">
              <w:rPr>
                <w:rFonts w:ascii="Arial" w:hAnsi="Arial"/>
                <w:sz w:val="18"/>
                <w:szCs w:val="20"/>
              </w:rPr>
              <w:t>.</w:t>
            </w:r>
            <w:r>
              <w:rPr>
                <w:rFonts w:ascii="Arial" w:hAnsi="Arial"/>
                <w:sz w:val="18"/>
                <w:szCs w:val="20"/>
              </w:rPr>
              <w:t>33</w:t>
            </w:r>
          </w:p>
        </w:tc>
        <w:tc>
          <w:tcPr>
            <w:tcW w:w="399" w:type="pct"/>
            <w:vAlign w:val="bottom"/>
          </w:tcPr>
          <w:p w14:paraId="3D13369A" w14:textId="77777777" w:rsidR="00F156A1" w:rsidRDefault="00F156A1" w:rsidP="00F53D10">
            <w:pPr>
              <w:ind w:right="72"/>
              <w:jc w:val="right"/>
              <w:rPr>
                <w:rFonts w:ascii="Arial" w:hAnsi="Arial"/>
                <w:sz w:val="18"/>
                <w:szCs w:val="20"/>
              </w:rPr>
            </w:pPr>
            <w:r>
              <w:rPr>
                <w:rFonts w:ascii="Arial" w:hAnsi="Arial"/>
                <w:sz w:val="18"/>
                <w:szCs w:val="20"/>
              </w:rPr>
              <w:t>10</w:t>
            </w:r>
          </w:p>
        </w:tc>
        <w:tc>
          <w:tcPr>
            <w:tcW w:w="570" w:type="pct"/>
            <w:gridSpan w:val="2"/>
            <w:vAlign w:val="bottom"/>
          </w:tcPr>
          <w:p w14:paraId="2522900F" w14:textId="77777777" w:rsidR="00F156A1" w:rsidRPr="00B85519" w:rsidRDefault="00F156A1" w:rsidP="00F53D10">
            <w:pPr>
              <w:ind w:right="72"/>
              <w:jc w:val="right"/>
              <w:rPr>
                <w:rFonts w:ascii="Arial" w:hAnsi="Arial"/>
                <w:sz w:val="18"/>
                <w:szCs w:val="20"/>
              </w:rPr>
            </w:pPr>
            <w:r w:rsidRPr="002A76EB">
              <w:rPr>
                <w:rFonts w:ascii="Arial" w:hAnsi="Arial"/>
                <w:sz w:val="18"/>
                <w:szCs w:val="20"/>
              </w:rPr>
              <w:t>$27.86</w:t>
            </w:r>
          </w:p>
        </w:tc>
        <w:tc>
          <w:tcPr>
            <w:tcW w:w="816" w:type="pct"/>
            <w:vAlign w:val="bottom"/>
          </w:tcPr>
          <w:p w14:paraId="39FD4852" w14:textId="0C455232" w:rsidR="00F156A1" w:rsidRPr="00B85519" w:rsidRDefault="00F156A1" w:rsidP="00BD23C5">
            <w:pPr>
              <w:jc w:val="right"/>
              <w:rPr>
                <w:rFonts w:ascii="Arial" w:hAnsi="Arial"/>
                <w:sz w:val="18"/>
                <w:szCs w:val="20"/>
              </w:rPr>
            </w:pPr>
            <w:r>
              <w:rPr>
                <w:rFonts w:ascii="Arial" w:hAnsi="Arial"/>
                <w:sz w:val="18"/>
                <w:szCs w:val="20"/>
              </w:rPr>
              <w:t>$278.60</w:t>
            </w:r>
          </w:p>
        </w:tc>
      </w:tr>
      <w:tr w:rsidR="00F156A1" w:rsidRPr="00B85519" w14:paraId="6DF92572" w14:textId="77777777" w:rsidTr="00863059">
        <w:trPr>
          <w:trHeight w:val="368"/>
          <w:jc w:val="center"/>
        </w:trPr>
        <w:tc>
          <w:tcPr>
            <w:tcW w:w="1285" w:type="pct"/>
            <w:vAlign w:val="center"/>
          </w:tcPr>
          <w:p w14:paraId="6BB7DA15" w14:textId="77777777" w:rsidR="00F156A1" w:rsidRDefault="00F156A1" w:rsidP="00F53D10">
            <w:pPr>
              <w:ind w:left="270" w:hanging="270"/>
              <w:rPr>
                <w:rFonts w:ascii="Arial" w:hAnsi="Arial"/>
                <w:sz w:val="18"/>
                <w:szCs w:val="20"/>
              </w:rPr>
            </w:pPr>
            <w:r>
              <w:rPr>
                <w:rFonts w:ascii="Arial" w:hAnsi="Arial"/>
                <w:sz w:val="18"/>
                <w:szCs w:val="20"/>
              </w:rPr>
              <w:t>2. Session assessment form</w:t>
            </w:r>
          </w:p>
        </w:tc>
        <w:tc>
          <w:tcPr>
            <w:tcW w:w="723" w:type="pct"/>
            <w:vAlign w:val="bottom"/>
          </w:tcPr>
          <w:p w14:paraId="073640D5" w14:textId="77777777" w:rsidR="00F156A1" w:rsidRDefault="00F156A1" w:rsidP="00F53D10">
            <w:pPr>
              <w:ind w:right="288"/>
              <w:jc w:val="right"/>
              <w:rPr>
                <w:rFonts w:ascii="Arial" w:hAnsi="Arial"/>
                <w:sz w:val="18"/>
                <w:szCs w:val="20"/>
              </w:rPr>
            </w:pPr>
            <w:r>
              <w:rPr>
                <w:rFonts w:ascii="Arial" w:hAnsi="Arial"/>
                <w:sz w:val="18"/>
                <w:szCs w:val="20"/>
              </w:rPr>
              <w:t>30</w:t>
            </w:r>
          </w:p>
        </w:tc>
        <w:tc>
          <w:tcPr>
            <w:tcW w:w="638" w:type="pct"/>
            <w:vAlign w:val="bottom"/>
          </w:tcPr>
          <w:p w14:paraId="5AE62C82" w14:textId="77777777" w:rsidR="00F156A1" w:rsidRDefault="00F156A1" w:rsidP="00F53D10">
            <w:pPr>
              <w:ind w:right="432"/>
              <w:jc w:val="right"/>
              <w:rPr>
                <w:rFonts w:ascii="Arial" w:hAnsi="Arial"/>
                <w:sz w:val="18"/>
                <w:szCs w:val="20"/>
              </w:rPr>
            </w:pPr>
            <w:r>
              <w:rPr>
                <w:rFonts w:ascii="Arial" w:hAnsi="Arial"/>
                <w:sz w:val="18"/>
                <w:szCs w:val="20"/>
              </w:rPr>
              <w:t>12</w:t>
            </w:r>
          </w:p>
        </w:tc>
        <w:tc>
          <w:tcPr>
            <w:tcW w:w="569" w:type="pct"/>
            <w:gridSpan w:val="2"/>
            <w:vAlign w:val="bottom"/>
          </w:tcPr>
          <w:p w14:paraId="4B46704F" w14:textId="77777777" w:rsidR="00F156A1" w:rsidRPr="000E255B" w:rsidRDefault="00F156A1" w:rsidP="00F53D10">
            <w:pPr>
              <w:ind w:right="360"/>
              <w:jc w:val="right"/>
              <w:rPr>
                <w:rFonts w:ascii="Arial" w:hAnsi="Arial"/>
                <w:sz w:val="18"/>
                <w:szCs w:val="20"/>
              </w:rPr>
            </w:pPr>
            <w:r>
              <w:rPr>
                <w:rFonts w:ascii="Arial" w:hAnsi="Arial"/>
                <w:sz w:val="18"/>
                <w:szCs w:val="20"/>
              </w:rPr>
              <w:t>.16</w:t>
            </w:r>
          </w:p>
        </w:tc>
        <w:tc>
          <w:tcPr>
            <w:tcW w:w="399" w:type="pct"/>
            <w:vAlign w:val="bottom"/>
          </w:tcPr>
          <w:p w14:paraId="684F74EB" w14:textId="77777777" w:rsidR="00F156A1" w:rsidRDefault="00F156A1" w:rsidP="00F53D10">
            <w:pPr>
              <w:ind w:right="72"/>
              <w:jc w:val="right"/>
              <w:rPr>
                <w:rFonts w:ascii="Arial" w:hAnsi="Arial"/>
                <w:sz w:val="18"/>
                <w:szCs w:val="20"/>
              </w:rPr>
            </w:pPr>
            <w:r>
              <w:rPr>
                <w:rFonts w:ascii="Arial" w:hAnsi="Arial"/>
                <w:sz w:val="18"/>
                <w:szCs w:val="20"/>
              </w:rPr>
              <w:t>58</w:t>
            </w:r>
          </w:p>
        </w:tc>
        <w:tc>
          <w:tcPr>
            <w:tcW w:w="570" w:type="pct"/>
            <w:gridSpan w:val="2"/>
            <w:vAlign w:val="bottom"/>
          </w:tcPr>
          <w:p w14:paraId="4B453CA1" w14:textId="77777777" w:rsidR="00F156A1" w:rsidRPr="002A76EB" w:rsidRDefault="00F156A1" w:rsidP="00F53D10">
            <w:pPr>
              <w:ind w:right="72"/>
              <w:jc w:val="right"/>
              <w:rPr>
                <w:rFonts w:ascii="Arial" w:hAnsi="Arial"/>
                <w:sz w:val="18"/>
                <w:szCs w:val="20"/>
              </w:rPr>
            </w:pPr>
            <w:r w:rsidRPr="002A76EB">
              <w:rPr>
                <w:rFonts w:ascii="Arial" w:hAnsi="Arial"/>
                <w:sz w:val="18"/>
                <w:szCs w:val="20"/>
              </w:rPr>
              <w:t>$27.86</w:t>
            </w:r>
          </w:p>
        </w:tc>
        <w:tc>
          <w:tcPr>
            <w:tcW w:w="816" w:type="pct"/>
            <w:vAlign w:val="bottom"/>
          </w:tcPr>
          <w:p w14:paraId="3A33BD7D" w14:textId="721CAD31" w:rsidR="00F156A1" w:rsidRDefault="00F156A1" w:rsidP="00BD23C5">
            <w:pPr>
              <w:jc w:val="right"/>
              <w:rPr>
                <w:rFonts w:ascii="Arial" w:hAnsi="Arial"/>
                <w:sz w:val="18"/>
                <w:szCs w:val="20"/>
              </w:rPr>
            </w:pPr>
            <w:r>
              <w:rPr>
                <w:rFonts w:ascii="Arial" w:hAnsi="Arial"/>
                <w:sz w:val="18"/>
                <w:szCs w:val="20"/>
              </w:rPr>
              <w:t>$1,615.88</w:t>
            </w:r>
          </w:p>
        </w:tc>
      </w:tr>
      <w:tr w:rsidR="00F156A1" w:rsidRPr="00B85519" w14:paraId="2CED63DA" w14:textId="77777777" w:rsidTr="00863059">
        <w:trPr>
          <w:trHeight w:val="368"/>
          <w:jc w:val="center"/>
        </w:trPr>
        <w:tc>
          <w:tcPr>
            <w:tcW w:w="1285" w:type="pct"/>
            <w:vAlign w:val="center"/>
          </w:tcPr>
          <w:p w14:paraId="0A1E79BB" w14:textId="77777777" w:rsidR="00F156A1" w:rsidRDefault="00F156A1" w:rsidP="00F53D10">
            <w:pPr>
              <w:ind w:left="270" w:hanging="270"/>
              <w:rPr>
                <w:rFonts w:ascii="Arial" w:hAnsi="Arial"/>
                <w:sz w:val="18"/>
                <w:szCs w:val="20"/>
              </w:rPr>
            </w:pPr>
            <w:r>
              <w:rPr>
                <w:rFonts w:ascii="Arial" w:hAnsi="Arial"/>
                <w:sz w:val="18"/>
                <w:szCs w:val="20"/>
              </w:rPr>
              <w:t>3. Group session observation form</w:t>
            </w:r>
          </w:p>
        </w:tc>
        <w:tc>
          <w:tcPr>
            <w:tcW w:w="723" w:type="pct"/>
            <w:vAlign w:val="bottom"/>
          </w:tcPr>
          <w:p w14:paraId="4E30C364" w14:textId="77777777" w:rsidR="00F156A1" w:rsidRPr="009F6C23" w:rsidRDefault="00F156A1" w:rsidP="00F53D10">
            <w:pPr>
              <w:ind w:right="288"/>
              <w:jc w:val="right"/>
              <w:rPr>
                <w:rFonts w:ascii="Arial" w:hAnsi="Arial"/>
                <w:color w:val="FF0000"/>
                <w:sz w:val="18"/>
                <w:szCs w:val="20"/>
              </w:rPr>
            </w:pPr>
            <w:r>
              <w:rPr>
                <w:rFonts w:ascii="Arial" w:hAnsi="Arial"/>
                <w:sz w:val="18"/>
                <w:szCs w:val="20"/>
              </w:rPr>
              <w:t>3</w:t>
            </w:r>
          </w:p>
        </w:tc>
        <w:tc>
          <w:tcPr>
            <w:tcW w:w="638" w:type="pct"/>
            <w:vAlign w:val="bottom"/>
          </w:tcPr>
          <w:p w14:paraId="2D65646D" w14:textId="77777777" w:rsidR="00F156A1" w:rsidRPr="009F6C23" w:rsidRDefault="00F156A1" w:rsidP="00F53D10">
            <w:pPr>
              <w:ind w:right="432"/>
              <w:jc w:val="right"/>
              <w:rPr>
                <w:rFonts w:ascii="Arial" w:hAnsi="Arial"/>
                <w:sz w:val="18"/>
                <w:szCs w:val="20"/>
              </w:rPr>
            </w:pPr>
            <w:r>
              <w:rPr>
                <w:rFonts w:ascii="Arial" w:hAnsi="Arial"/>
                <w:sz w:val="18"/>
                <w:szCs w:val="20"/>
              </w:rPr>
              <w:t>30</w:t>
            </w:r>
          </w:p>
        </w:tc>
        <w:tc>
          <w:tcPr>
            <w:tcW w:w="569" w:type="pct"/>
            <w:gridSpan w:val="2"/>
            <w:vAlign w:val="bottom"/>
          </w:tcPr>
          <w:p w14:paraId="25CA80BE" w14:textId="77777777" w:rsidR="00F156A1" w:rsidRPr="009F6C23" w:rsidRDefault="00F156A1" w:rsidP="00F53D10">
            <w:pPr>
              <w:ind w:right="360"/>
              <w:jc w:val="right"/>
              <w:rPr>
                <w:rFonts w:ascii="Arial" w:hAnsi="Arial"/>
                <w:sz w:val="18"/>
                <w:szCs w:val="20"/>
              </w:rPr>
            </w:pPr>
            <w:r w:rsidRPr="009F6C23">
              <w:rPr>
                <w:rFonts w:ascii="Arial" w:hAnsi="Arial"/>
                <w:sz w:val="18"/>
                <w:szCs w:val="20"/>
              </w:rPr>
              <w:t>1</w:t>
            </w:r>
          </w:p>
        </w:tc>
        <w:tc>
          <w:tcPr>
            <w:tcW w:w="399" w:type="pct"/>
            <w:vAlign w:val="bottom"/>
          </w:tcPr>
          <w:p w14:paraId="64B9B603" w14:textId="77777777" w:rsidR="00F156A1" w:rsidRPr="009F6C23" w:rsidRDefault="00F156A1" w:rsidP="00F53D10">
            <w:pPr>
              <w:ind w:right="72"/>
              <w:jc w:val="right"/>
              <w:rPr>
                <w:rFonts w:ascii="Arial" w:hAnsi="Arial"/>
                <w:sz w:val="18"/>
                <w:szCs w:val="20"/>
              </w:rPr>
            </w:pPr>
            <w:r w:rsidRPr="009F6C23">
              <w:rPr>
                <w:rFonts w:ascii="Arial" w:hAnsi="Arial"/>
                <w:sz w:val="18"/>
                <w:szCs w:val="20"/>
              </w:rPr>
              <w:t>90</w:t>
            </w:r>
          </w:p>
        </w:tc>
        <w:tc>
          <w:tcPr>
            <w:tcW w:w="570" w:type="pct"/>
            <w:gridSpan w:val="2"/>
            <w:vAlign w:val="bottom"/>
          </w:tcPr>
          <w:p w14:paraId="43888BBF" w14:textId="77777777" w:rsidR="00F156A1" w:rsidRPr="009F6C23" w:rsidRDefault="00F156A1" w:rsidP="00F53D10">
            <w:pPr>
              <w:ind w:right="72"/>
              <w:jc w:val="right"/>
              <w:rPr>
                <w:rFonts w:ascii="Arial" w:hAnsi="Arial"/>
                <w:sz w:val="18"/>
                <w:szCs w:val="20"/>
              </w:rPr>
            </w:pPr>
            <w:r w:rsidRPr="009F6C23">
              <w:rPr>
                <w:rFonts w:ascii="Arial" w:hAnsi="Arial"/>
                <w:sz w:val="18"/>
                <w:szCs w:val="20"/>
              </w:rPr>
              <w:t>$27.86</w:t>
            </w:r>
          </w:p>
        </w:tc>
        <w:tc>
          <w:tcPr>
            <w:tcW w:w="816" w:type="pct"/>
            <w:vAlign w:val="bottom"/>
          </w:tcPr>
          <w:p w14:paraId="6866057C" w14:textId="74ADAD3E" w:rsidR="00F156A1" w:rsidRDefault="00F156A1" w:rsidP="00F53D10">
            <w:pPr>
              <w:jc w:val="right"/>
              <w:rPr>
                <w:rFonts w:ascii="Arial" w:hAnsi="Arial"/>
                <w:sz w:val="18"/>
                <w:szCs w:val="20"/>
              </w:rPr>
            </w:pPr>
            <w:r w:rsidRPr="00B85519">
              <w:rPr>
                <w:rFonts w:ascii="Arial" w:hAnsi="Arial"/>
                <w:sz w:val="18"/>
                <w:szCs w:val="20"/>
              </w:rPr>
              <w:t>$</w:t>
            </w:r>
            <w:r>
              <w:rPr>
                <w:rFonts w:ascii="Arial" w:hAnsi="Arial"/>
                <w:sz w:val="18"/>
                <w:szCs w:val="20"/>
              </w:rPr>
              <w:t>2,507.40</w:t>
            </w:r>
          </w:p>
        </w:tc>
      </w:tr>
      <w:tr w:rsidR="00F156A1" w:rsidRPr="00B85519" w14:paraId="6C869A8D" w14:textId="77777777" w:rsidTr="00863059">
        <w:trPr>
          <w:trHeight w:val="368"/>
          <w:jc w:val="center"/>
        </w:trPr>
        <w:tc>
          <w:tcPr>
            <w:tcW w:w="3613" w:type="pct"/>
            <w:gridSpan w:val="6"/>
            <w:vAlign w:val="bottom"/>
          </w:tcPr>
          <w:p w14:paraId="0708EE4C" w14:textId="4B22E31D" w:rsidR="00F156A1" w:rsidRPr="009F6C23" w:rsidRDefault="00F156A1" w:rsidP="00BD23C5">
            <w:pPr>
              <w:ind w:right="72"/>
              <w:jc w:val="right"/>
              <w:rPr>
                <w:rFonts w:ascii="Arial" w:hAnsi="Arial"/>
                <w:sz w:val="18"/>
                <w:szCs w:val="20"/>
              </w:rPr>
            </w:pPr>
            <w:r>
              <w:rPr>
                <w:rFonts w:ascii="Arial" w:hAnsi="Arial"/>
                <w:sz w:val="18"/>
                <w:szCs w:val="20"/>
              </w:rPr>
              <w:t>397</w:t>
            </w:r>
          </w:p>
        </w:tc>
        <w:tc>
          <w:tcPr>
            <w:tcW w:w="545" w:type="pct"/>
            <w:vAlign w:val="bottom"/>
          </w:tcPr>
          <w:p w14:paraId="7CAA9CAB" w14:textId="77777777" w:rsidR="00F156A1" w:rsidRPr="009F6C23" w:rsidRDefault="00F156A1" w:rsidP="00B77A62">
            <w:pPr>
              <w:ind w:right="72"/>
              <w:jc w:val="right"/>
              <w:rPr>
                <w:rFonts w:ascii="Arial" w:hAnsi="Arial"/>
                <w:sz w:val="18"/>
                <w:szCs w:val="20"/>
              </w:rPr>
            </w:pPr>
          </w:p>
        </w:tc>
        <w:tc>
          <w:tcPr>
            <w:tcW w:w="842" w:type="pct"/>
            <w:gridSpan w:val="2"/>
            <w:vAlign w:val="bottom"/>
          </w:tcPr>
          <w:p w14:paraId="38493BC4" w14:textId="146FACE6" w:rsidR="00F156A1" w:rsidRPr="00B85519" w:rsidRDefault="00F156A1" w:rsidP="00392E52">
            <w:pPr>
              <w:jc w:val="right"/>
              <w:rPr>
                <w:rFonts w:ascii="Arial" w:hAnsi="Arial"/>
                <w:sz w:val="18"/>
                <w:szCs w:val="20"/>
              </w:rPr>
            </w:pPr>
            <w:r w:rsidRPr="009400D4">
              <w:rPr>
                <w:rFonts w:ascii="Arial" w:hAnsi="Arial"/>
                <w:b/>
                <w:sz w:val="18"/>
                <w:szCs w:val="20"/>
              </w:rPr>
              <w:t>$</w:t>
            </w:r>
            <w:r>
              <w:rPr>
                <w:rFonts w:ascii="Arial" w:hAnsi="Arial"/>
                <w:b/>
                <w:sz w:val="18"/>
                <w:szCs w:val="20"/>
              </w:rPr>
              <w:t>10,906.94</w:t>
            </w:r>
          </w:p>
        </w:tc>
      </w:tr>
    </w:tbl>
    <w:p w14:paraId="4A01B331" w14:textId="77777777" w:rsidR="00FC382B" w:rsidRPr="00B85519" w:rsidRDefault="00FC382B" w:rsidP="00FC382B">
      <w:pPr>
        <w:keepNext/>
        <w:tabs>
          <w:tab w:val="left" w:pos="432"/>
        </w:tabs>
        <w:spacing w:after="120"/>
        <w:ind w:left="432" w:hanging="432"/>
        <w:outlineLvl w:val="2"/>
        <w:rPr>
          <w:rFonts w:ascii="Arial Black" w:hAnsi="Arial Black"/>
          <w:sz w:val="22"/>
          <w:szCs w:val="20"/>
        </w:rPr>
      </w:pPr>
    </w:p>
    <w:p w14:paraId="62E2EBC4" w14:textId="77777777" w:rsidR="00D40B90" w:rsidRDefault="00D40B90" w:rsidP="00D40B90">
      <w:pPr>
        <w:pStyle w:val="H3Alpha"/>
      </w:pPr>
      <w:r>
        <w:t>A13. Cost burden to respondents or record keepers</w:t>
      </w:r>
    </w:p>
    <w:p w14:paraId="367B986B" w14:textId="46A9DD67" w:rsidR="00D40B90" w:rsidRDefault="00343B26" w:rsidP="00D40B90">
      <w:pPr>
        <w:pStyle w:val="NormalSS"/>
      </w:pPr>
      <w:r>
        <w:t>There are no additional costs to respondents.</w:t>
      </w:r>
    </w:p>
    <w:p w14:paraId="3E930F06" w14:textId="77777777" w:rsidR="00D40B90" w:rsidRDefault="00D40B90" w:rsidP="00D40B90">
      <w:pPr>
        <w:pStyle w:val="H3Alpha"/>
      </w:pPr>
      <w:r>
        <w:t>A14. Estimate of cost to the federal government.</w:t>
      </w:r>
    </w:p>
    <w:p w14:paraId="72B8CC3A" w14:textId="575A2C15" w:rsidR="00B85519" w:rsidRPr="00A55C8E" w:rsidRDefault="009F6C23" w:rsidP="00A55C8E">
      <w:pPr>
        <w:pStyle w:val="NormalSS"/>
      </w:pPr>
      <w:r>
        <w:t xml:space="preserve">The cost </w:t>
      </w:r>
      <w:r w:rsidR="00805475">
        <w:t xml:space="preserve">for data collection under this current request will be </w:t>
      </w:r>
      <w:r>
        <w:t xml:space="preserve">$616,988. </w:t>
      </w:r>
    </w:p>
    <w:p w14:paraId="367FC123" w14:textId="77777777" w:rsidR="00D40B90" w:rsidRDefault="00D40B90" w:rsidP="00D40B90">
      <w:pPr>
        <w:pStyle w:val="H3Alpha"/>
      </w:pPr>
      <w:r>
        <w:t>A15. Change in burden</w:t>
      </w:r>
    </w:p>
    <w:p w14:paraId="5E211D20" w14:textId="0E9BBE33" w:rsidR="00D40B90" w:rsidRDefault="000A4009" w:rsidP="00D40B90">
      <w:pPr>
        <w:pStyle w:val="NormalSS"/>
      </w:pPr>
      <w:r>
        <w:t xml:space="preserve">This is an information collection request under generic clearance </w:t>
      </w:r>
      <w:r w:rsidR="00C84357">
        <w:t>0970-0355</w:t>
      </w:r>
      <w:r>
        <w:t>.</w:t>
      </w:r>
    </w:p>
    <w:p w14:paraId="3767446B" w14:textId="77777777" w:rsidR="000A4009" w:rsidRDefault="000A4009" w:rsidP="000A4009">
      <w:pPr>
        <w:pStyle w:val="H3Alpha"/>
      </w:pPr>
      <w:r>
        <w:t>A16. Plan and time schedule for information collection, tabulation and publications</w:t>
      </w:r>
    </w:p>
    <w:p w14:paraId="375E288B" w14:textId="32462387" w:rsidR="008238B9" w:rsidRPr="008238B9" w:rsidRDefault="008238B9" w:rsidP="008238B9">
      <w:pPr>
        <w:pStyle w:val="H3Alpha"/>
      </w:pPr>
      <w:r>
        <w:t>Analysis plan</w:t>
      </w:r>
    </w:p>
    <w:p w14:paraId="647B433C" w14:textId="07DC5205" w:rsidR="00D373FE" w:rsidRDefault="00865D5B" w:rsidP="00D373FE">
      <w:pPr>
        <w:pStyle w:val="NormalSS"/>
      </w:pPr>
      <w:r>
        <w:t>The purpose of this clearance request is for pre-testing a set of data collection instruments and procedures to evaluate and improve the</w:t>
      </w:r>
      <w:r w:rsidR="00343994">
        <w:t>ir</w:t>
      </w:r>
      <w:r>
        <w:t xml:space="preserve"> quality for use in a potential future evaluation of training approaches and materials developed as part of the project. </w:t>
      </w:r>
      <w:r w:rsidR="00C84357">
        <w:t>Results from the e</w:t>
      </w:r>
      <w:r w:rsidR="0075010D">
        <w:t>xploratory interviews and focus groups may be used to develop new survey instruments for use in a possible subsequent rigorous evaluation.</w:t>
      </w:r>
    </w:p>
    <w:p w14:paraId="66AAFFA6" w14:textId="6D8CFDE9" w:rsidR="00A07B53" w:rsidRDefault="00A07B53" w:rsidP="00D373FE">
      <w:pPr>
        <w:pStyle w:val="NormalSS"/>
      </w:pPr>
      <w:r>
        <w:t xml:space="preserve">The project team will use standard qualitative procedures to analyze and summarize information from semi-structured interviews and focus groups. Analysis will involve coding, triangulation, and theme identification. The project team will summarize quantitative data from the education self-assessment questionnaire, the session assessment form, the group session observation measure, and the youth questionnaire using basic descriptive methods. The results will be used to assess the suitability of the data collection instruments and procedures for studying the implementation and effectiveness of the training materials. </w:t>
      </w:r>
    </w:p>
    <w:p w14:paraId="5A0C4E8F" w14:textId="51B211B5" w:rsidR="008238B9" w:rsidRDefault="008238B9" w:rsidP="00D373FE">
      <w:pPr>
        <w:pStyle w:val="NormalSS"/>
      </w:pPr>
      <w:r>
        <w:t xml:space="preserve">The information collected under this clearance will not be the primary subject of any published ACF reports; however information may be made public through methodological appendices or footnotes, reports on instrument development, or instrument user guides. When necessary, results will be labeled as exploratory in nature. </w:t>
      </w:r>
    </w:p>
    <w:p w14:paraId="1F76AC0C" w14:textId="3E32E1D7" w:rsidR="00865D5B" w:rsidRDefault="008238B9" w:rsidP="008238B9">
      <w:pPr>
        <w:pStyle w:val="H3Alpha"/>
      </w:pPr>
      <w:r>
        <w:t>Time schedule and publications</w:t>
      </w:r>
    </w:p>
    <w:p w14:paraId="6E8AA2C3" w14:textId="66C93CD3" w:rsidR="00762FBD" w:rsidRPr="008238B9" w:rsidRDefault="008238B9" w:rsidP="008238B9">
      <w:pPr>
        <w:pStyle w:val="NormalSS"/>
      </w:pPr>
      <w:r>
        <w:t>The pre-testing will begin in July 2018, after obtaining OMB approval</w:t>
      </w:r>
      <w:r w:rsidR="00343994">
        <w:t xml:space="preserve">, and continue </w:t>
      </w:r>
      <w:r>
        <w:t xml:space="preserve">through May 2019. </w:t>
      </w:r>
      <w:r w:rsidR="00762FBD">
        <w:t xml:space="preserve">Pre-test results will be reported </w:t>
      </w:r>
      <w:r w:rsidR="00FD5EEC">
        <w:t xml:space="preserve">in </w:t>
      </w:r>
      <w:r w:rsidR="0075010D">
        <w:t xml:space="preserve">internal memos to OPRE during the </w:t>
      </w:r>
      <w:r w:rsidR="00825794">
        <w:t>study</w:t>
      </w:r>
      <w:r w:rsidR="0075010D">
        <w:t xml:space="preserve"> period and in a</w:t>
      </w:r>
      <w:r w:rsidR="00FD5EEC">
        <w:t xml:space="preserve"> report to OPRE in August 2019. </w:t>
      </w:r>
    </w:p>
    <w:p w14:paraId="0FB89703" w14:textId="77777777" w:rsidR="000A4009" w:rsidRDefault="000A4009" w:rsidP="000A4009">
      <w:pPr>
        <w:pStyle w:val="H3Alpha"/>
      </w:pPr>
      <w:r>
        <w:t>A17. Reasons not to display OMB expiration data</w:t>
      </w:r>
    </w:p>
    <w:p w14:paraId="37861546" w14:textId="77777777" w:rsidR="00702F7F" w:rsidRPr="00702F7F" w:rsidRDefault="00702F7F" w:rsidP="00702F7F">
      <w:pPr>
        <w:pStyle w:val="NormalSS"/>
      </w:pPr>
      <w:r w:rsidRPr="00702F7F">
        <w:t>All instruments will display the expiration date for OMB approval.</w:t>
      </w:r>
    </w:p>
    <w:p w14:paraId="2DEAE756" w14:textId="77777777" w:rsidR="000A4009" w:rsidRDefault="000A4009" w:rsidP="000A4009">
      <w:pPr>
        <w:pStyle w:val="H3Alpha"/>
      </w:pPr>
      <w:r>
        <w:t>A18. Exceptions to certification for Paperwork Reduction Act submissions</w:t>
      </w:r>
    </w:p>
    <w:p w14:paraId="27B99DF8" w14:textId="77777777" w:rsidR="000A4009" w:rsidRDefault="000A4009" w:rsidP="000A4009">
      <w:pPr>
        <w:pStyle w:val="NormalSS"/>
      </w:pPr>
      <w:r>
        <w:t>No exceptions are necessary for this information collection.</w:t>
      </w:r>
    </w:p>
    <w:p w14:paraId="16EDF0C3" w14:textId="77777777" w:rsidR="001B1632" w:rsidRPr="000A4009" w:rsidRDefault="001B1632" w:rsidP="001B1632">
      <w:pPr>
        <w:pStyle w:val="H3Alpha"/>
      </w:pPr>
      <w:r>
        <w:t>References</w:t>
      </w:r>
    </w:p>
    <w:p w14:paraId="75C71C39" w14:textId="13603B21" w:rsidR="002F0D34" w:rsidRPr="002F0FBC" w:rsidRDefault="002F0D34" w:rsidP="002F0FBC">
      <w:pPr>
        <w:pStyle w:val="References"/>
        <w:rPr>
          <w:color w:val="000000"/>
          <w:kern w:val="36"/>
        </w:rPr>
      </w:pPr>
      <w:r w:rsidRPr="002F0D34">
        <w:t xml:space="preserve">Hinojosa, </w:t>
      </w:r>
      <w:hyperlink r:id="rId9" w:history="1">
        <w:r w:rsidRPr="002F0FBC">
          <w:rPr>
            <w:rStyle w:val="Hyperlink"/>
            <w:color w:val="642A8F"/>
            <w:shd w:val="clear" w:color="auto" w:fill="FFFFFF"/>
          </w:rPr>
          <w:t>Melanie Sberna,</w:t>
        </w:r>
      </w:hyperlink>
      <w:r w:rsidRPr="002F0FBC">
        <w:rPr>
          <w:color w:val="000000"/>
          <w:shd w:val="clear" w:color="auto" w:fill="FFFFFF"/>
        </w:rPr>
        <w:t> </w:t>
      </w:r>
      <w:hyperlink r:id="rId10" w:history="1">
        <w:r w:rsidRPr="002F0FBC">
          <w:rPr>
            <w:rStyle w:val="Hyperlink"/>
            <w:color w:val="642A8F"/>
            <w:shd w:val="clear" w:color="auto" w:fill="FFFFFF"/>
          </w:rPr>
          <w:t>Hajar Kadivar</w:t>
        </w:r>
      </w:hyperlink>
      <w:r w:rsidRPr="002F0FBC">
        <w:rPr>
          <w:color w:val="000000"/>
          <w:shd w:val="clear" w:color="auto" w:fill="FFFFFF"/>
        </w:rPr>
        <w:t xml:space="preserve">, </w:t>
      </w:r>
      <w:hyperlink r:id="rId11" w:history="1">
        <w:r w:rsidRPr="002F0FBC">
          <w:rPr>
            <w:rStyle w:val="Hyperlink"/>
            <w:color w:val="642A8F"/>
            <w:shd w:val="clear" w:color="auto" w:fill="FFFFFF"/>
          </w:rPr>
          <w:t>Daniel Fernandez-Baca</w:t>
        </w:r>
      </w:hyperlink>
      <w:r w:rsidRPr="002F0FBC">
        <w:rPr>
          <w:color w:val="000000"/>
          <w:shd w:val="clear" w:color="auto" w:fill="FFFFFF"/>
        </w:rPr>
        <w:t xml:space="preserve">, </w:t>
      </w:r>
      <w:hyperlink r:id="rId12" w:history="1">
        <w:r w:rsidRPr="002F0FBC">
          <w:rPr>
            <w:rStyle w:val="Hyperlink"/>
            <w:color w:val="642A8F"/>
            <w:shd w:val="clear" w:color="auto" w:fill="FFFFFF"/>
          </w:rPr>
          <w:t>TaJuana Chisholm</w:t>
        </w:r>
      </w:hyperlink>
      <w:r w:rsidRPr="002F0FBC">
        <w:rPr>
          <w:color w:val="000000"/>
          <w:shd w:val="clear" w:color="auto" w:fill="FFFFFF"/>
        </w:rPr>
        <w:t xml:space="preserve">, </w:t>
      </w:r>
      <w:hyperlink r:id="rId13" w:history="1">
        <w:r w:rsidRPr="002F0FBC">
          <w:rPr>
            <w:rStyle w:val="Hyperlink"/>
            <w:color w:val="642A8F"/>
            <w:shd w:val="clear" w:color="auto" w:fill="FFFFFF"/>
          </w:rPr>
          <w:t>Lindsay A. Thompson</w:t>
        </w:r>
      </w:hyperlink>
      <w:r w:rsidRPr="002F0FBC">
        <w:rPr>
          <w:color w:val="000000"/>
          <w:shd w:val="clear" w:color="auto" w:fill="FFFFFF"/>
        </w:rPr>
        <w:t xml:space="preserve">, </w:t>
      </w:r>
      <w:hyperlink r:id="rId14" w:history="1">
        <w:r w:rsidRPr="002F0FBC">
          <w:rPr>
            <w:rStyle w:val="Hyperlink"/>
            <w:color w:val="642A8F"/>
            <w:shd w:val="clear" w:color="auto" w:fill="FFFFFF"/>
          </w:rPr>
          <w:t>Jevetta Stanford</w:t>
        </w:r>
      </w:hyperlink>
      <w:r w:rsidRPr="002F0FBC">
        <w:rPr>
          <w:color w:val="000000"/>
          <w:shd w:val="clear" w:color="auto" w:fill="FFFFFF"/>
        </w:rPr>
        <w:t>, and </w:t>
      </w:r>
      <w:hyperlink r:id="rId15" w:history="1">
        <w:r w:rsidRPr="002F0FBC">
          <w:rPr>
            <w:rStyle w:val="Hyperlink"/>
            <w:color w:val="642A8F"/>
            <w:shd w:val="clear" w:color="auto" w:fill="FFFFFF"/>
          </w:rPr>
          <w:t>Elizabeth Shenkman</w:t>
        </w:r>
      </w:hyperlink>
      <w:r w:rsidRPr="002F0D34">
        <w:t>. “</w:t>
      </w:r>
      <w:r w:rsidRPr="002F0FBC">
        <w:rPr>
          <w:color w:val="000000"/>
          <w:kern w:val="36"/>
        </w:rPr>
        <w:t>Recruiting Low Income and Racially/Ethnically Diverse Adolescents for Focus Groups</w:t>
      </w:r>
      <w:r>
        <w:rPr>
          <w:color w:val="000000"/>
          <w:kern w:val="36"/>
        </w:rPr>
        <w:t xml:space="preserve">.” </w:t>
      </w:r>
      <w:r w:rsidR="00A00907" w:rsidRPr="002F0FBC">
        <w:rPr>
          <w:i/>
          <w:color w:val="000000"/>
          <w:kern w:val="36"/>
        </w:rPr>
        <w:t xml:space="preserve">Journal of </w:t>
      </w:r>
      <w:r w:rsidRPr="002F0FBC">
        <w:rPr>
          <w:i/>
          <w:color w:val="000000"/>
          <w:kern w:val="36"/>
        </w:rPr>
        <w:t>Maternal</w:t>
      </w:r>
      <w:r w:rsidR="00A00907" w:rsidRPr="002F0FBC">
        <w:rPr>
          <w:i/>
          <w:color w:val="000000"/>
          <w:kern w:val="36"/>
        </w:rPr>
        <w:t xml:space="preserve"> and Child Health</w:t>
      </w:r>
      <w:r w:rsidR="00A00907">
        <w:rPr>
          <w:i/>
          <w:color w:val="000000"/>
          <w:kern w:val="36"/>
        </w:rPr>
        <w:t>,</w:t>
      </w:r>
      <w:r w:rsidR="00A00907">
        <w:rPr>
          <w:color w:val="000000"/>
          <w:kern w:val="36"/>
        </w:rPr>
        <w:t xml:space="preserve"> Volume 18, 2014, pp. 1912-1918.</w:t>
      </w:r>
    </w:p>
    <w:p w14:paraId="5611121D" w14:textId="54907D02" w:rsidR="001E087F" w:rsidRPr="001E087F" w:rsidRDefault="001E087F" w:rsidP="002F0D34">
      <w:pPr>
        <w:keepLines/>
        <w:spacing w:after="240"/>
        <w:ind w:left="432" w:hanging="432"/>
      </w:pPr>
    </w:p>
    <w:sectPr w:rsidR="001E087F" w:rsidRPr="001E087F" w:rsidSect="000E4C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FADB5" w14:textId="77777777" w:rsidR="007613A1" w:rsidRDefault="007613A1" w:rsidP="002E3E35">
      <w:r>
        <w:separator/>
      </w:r>
    </w:p>
  </w:endnote>
  <w:endnote w:type="continuationSeparator" w:id="0">
    <w:p w14:paraId="2078AF0D" w14:textId="77777777" w:rsidR="007613A1" w:rsidRDefault="007613A1"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2B6C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23A67C1" w14:textId="77777777" w:rsidR="00294B21" w:rsidRDefault="00294B21" w:rsidP="00455D47">
    <w:pPr>
      <w:pStyle w:val="Footer"/>
      <w:pBdr>
        <w:top w:val="single" w:sz="2" w:space="1" w:color="auto"/>
        <w:bottom w:val="none" w:sz="0" w:space="0" w:color="auto"/>
      </w:pBdr>
      <w:spacing w:line="192" w:lineRule="auto"/>
      <w:rPr>
        <w:rStyle w:val="PageNumber"/>
      </w:rPr>
    </w:pPr>
  </w:p>
  <w:p w14:paraId="15AB15D5" w14:textId="079BC0AE"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74966">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102B0" w14:textId="77777777" w:rsidR="007613A1" w:rsidRDefault="007613A1" w:rsidP="00203E3B">
      <w:r>
        <w:separator/>
      </w:r>
    </w:p>
  </w:footnote>
  <w:footnote w:type="continuationSeparator" w:id="0">
    <w:p w14:paraId="5F5D1EC0" w14:textId="77777777" w:rsidR="007613A1" w:rsidRDefault="007613A1" w:rsidP="00203E3B">
      <w:r>
        <w:separator/>
      </w:r>
    </w:p>
    <w:p w14:paraId="127195DA" w14:textId="77777777" w:rsidR="007613A1" w:rsidRPr="00157CA2" w:rsidRDefault="007613A1"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DD58" w14:textId="36F40719" w:rsidR="00294B21" w:rsidRPr="00C44B5B" w:rsidRDefault="002C5070" w:rsidP="002E3E35">
    <w:pPr>
      <w:pStyle w:val="Header"/>
      <w:rPr>
        <w:rFonts w:cs="Arial"/>
        <w:i/>
        <w:szCs w:val="14"/>
      </w:rPr>
    </w:pPr>
    <w:r>
      <w:t xml:space="preserve">OMB </w:t>
    </w:r>
    <w:r w:rsidR="003179E4">
      <w:t>supporting statement part A</w:t>
    </w:r>
    <w:r>
      <w:t xml:space="preserve"> for SARHM</w:t>
    </w:r>
    <w:r w:rsidR="00124DA8">
      <w:t xml:space="preserve"> (D</w:t>
    </w:r>
    <w:r w:rsidR="00A9191E">
      <w:t>ra</w:t>
    </w:r>
    <w:r w:rsidR="00124DA8">
      <w:t>FT)</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52DA4"/>
    <w:multiLevelType w:val="hybridMultilevel"/>
    <w:tmpl w:val="7928851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5C8AB316"/>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 w:numId="35">
    <w:abstractNumId w:val="13"/>
    <w:lvlOverride w:ilvl="0">
      <w:startOverride w:val="1"/>
    </w:lvlOverride>
  </w:num>
  <w:num w:numId="36">
    <w:abstractNumId w:val="13"/>
    <w:lvlOverride w:ilvl="0">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E4"/>
    <w:rsid w:val="00002C23"/>
    <w:rsid w:val="000030B1"/>
    <w:rsid w:val="000044B5"/>
    <w:rsid w:val="00010CEE"/>
    <w:rsid w:val="00013805"/>
    <w:rsid w:val="0001587F"/>
    <w:rsid w:val="00016D34"/>
    <w:rsid w:val="000171A2"/>
    <w:rsid w:val="000212FC"/>
    <w:rsid w:val="00022A0A"/>
    <w:rsid w:val="0002322B"/>
    <w:rsid w:val="0002754E"/>
    <w:rsid w:val="0003265D"/>
    <w:rsid w:val="00032E4E"/>
    <w:rsid w:val="00034667"/>
    <w:rsid w:val="00036E7F"/>
    <w:rsid w:val="00040B2C"/>
    <w:rsid w:val="000423BE"/>
    <w:rsid w:val="00042419"/>
    <w:rsid w:val="0004264D"/>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245B"/>
    <w:rsid w:val="00095543"/>
    <w:rsid w:val="000972E1"/>
    <w:rsid w:val="000A1979"/>
    <w:rsid w:val="000A2181"/>
    <w:rsid w:val="000A2330"/>
    <w:rsid w:val="000A4009"/>
    <w:rsid w:val="000A5A8D"/>
    <w:rsid w:val="000A6591"/>
    <w:rsid w:val="000A7604"/>
    <w:rsid w:val="000A7FB4"/>
    <w:rsid w:val="000B3657"/>
    <w:rsid w:val="000B4BAA"/>
    <w:rsid w:val="000B521D"/>
    <w:rsid w:val="000B555A"/>
    <w:rsid w:val="000B6469"/>
    <w:rsid w:val="000B764C"/>
    <w:rsid w:val="000C2E3B"/>
    <w:rsid w:val="000C413E"/>
    <w:rsid w:val="000C7D4D"/>
    <w:rsid w:val="000D5B34"/>
    <w:rsid w:val="000D6D88"/>
    <w:rsid w:val="000D751A"/>
    <w:rsid w:val="000E0221"/>
    <w:rsid w:val="000E0694"/>
    <w:rsid w:val="000E1C2B"/>
    <w:rsid w:val="000E2169"/>
    <w:rsid w:val="000E255B"/>
    <w:rsid w:val="000E4C3F"/>
    <w:rsid w:val="000F677B"/>
    <w:rsid w:val="001004A7"/>
    <w:rsid w:val="00100EDF"/>
    <w:rsid w:val="001119F8"/>
    <w:rsid w:val="00112A5E"/>
    <w:rsid w:val="00113CC8"/>
    <w:rsid w:val="0011615A"/>
    <w:rsid w:val="00122C2C"/>
    <w:rsid w:val="00124DA8"/>
    <w:rsid w:val="00130C03"/>
    <w:rsid w:val="001311F7"/>
    <w:rsid w:val="0013184F"/>
    <w:rsid w:val="00131D22"/>
    <w:rsid w:val="00131F00"/>
    <w:rsid w:val="0013346F"/>
    <w:rsid w:val="001342C4"/>
    <w:rsid w:val="00135D30"/>
    <w:rsid w:val="00135EB7"/>
    <w:rsid w:val="0013709C"/>
    <w:rsid w:val="00140E2D"/>
    <w:rsid w:val="00145358"/>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298A"/>
    <w:rsid w:val="001A3781"/>
    <w:rsid w:val="001B107D"/>
    <w:rsid w:val="001B1632"/>
    <w:rsid w:val="001B4842"/>
    <w:rsid w:val="001C5EB8"/>
    <w:rsid w:val="001C7FBE"/>
    <w:rsid w:val="001D1707"/>
    <w:rsid w:val="001D3544"/>
    <w:rsid w:val="001D39AA"/>
    <w:rsid w:val="001D39EC"/>
    <w:rsid w:val="001D418D"/>
    <w:rsid w:val="001D661F"/>
    <w:rsid w:val="001D7B65"/>
    <w:rsid w:val="001E087F"/>
    <w:rsid w:val="001E1781"/>
    <w:rsid w:val="001E1961"/>
    <w:rsid w:val="001E6A60"/>
    <w:rsid w:val="001E6E5A"/>
    <w:rsid w:val="001F212A"/>
    <w:rsid w:val="001F32FE"/>
    <w:rsid w:val="00201E7E"/>
    <w:rsid w:val="00203E08"/>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079B"/>
    <w:rsid w:val="00253C99"/>
    <w:rsid w:val="00254C89"/>
    <w:rsid w:val="00254E2D"/>
    <w:rsid w:val="00256D04"/>
    <w:rsid w:val="0026025C"/>
    <w:rsid w:val="00262228"/>
    <w:rsid w:val="00265E3A"/>
    <w:rsid w:val="0026713B"/>
    <w:rsid w:val="002704EF"/>
    <w:rsid w:val="00271C83"/>
    <w:rsid w:val="0027245E"/>
    <w:rsid w:val="00272B66"/>
    <w:rsid w:val="002733A4"/>
    <w:rsid w:val="002733B8"/>
    <w:rsid w:val="002817A6"/>
    <w:rsid w:val="00283304"/>
    <w:rsid w:val="0028360E"/>
    <w:rsid w:val="002869EF"/>
    <w:rsid w:val="0029011D"/>
    <w:rsid w:val="0029042C"/>
    <w:rsid w:val="00292A7F"/>
    <w:rsid w:val="00294B21"/>
    <w:rsid w:val="00297266"/>
    <w:rsid w:val="002A00E4"/>
    <w:rsid w:val="002A2808"/>
    <w:rsid w:val="002A3B6A"/>
    <w:rsid w:val="002A3D5D"/>
    <w:rsid w:val="002A4F27"/>
    <w:rsid w:val="002A64F9"/>
    <w:rsid w:val="002A6552"/>
    <w:rsid w:val="002A71BB"/>
    <w:rsid w:val="002A76EB"/>
    <w:rsid w:val="002B05C4"/>
    <w:rsid w:val="002B0E82"/>
    <w:rsid w:val="002B25CD"/>
    <w:rsid w:val="002B4579"/>
    <w:rsid w:val="002B71CD"/>
    <w:rsid w:val="002B72E0"/>
    <w:rsid w:val="002B76AB"/>
    <w:rsid w:val="002B7C37"/>
    <w:rsid w:val="002C1507"/>
    <w:rsid w:val="002C294C"/>
    <w:rsid w:val="002C3CA5"/>
    <w:rsid w:val="002C40A9"/>
    <w:rsid w:val="002C5070"/>
    <w:rsid w:val="002C598D"/>
    <w:rsid w:val="002C71CA"/>
    <w:rsid w:val="002D262A"/>
    <w:rsid w:val="002D4AA3"/>
    <w:rsid w:val="002D4AD4"/>
    <w:rsid w:val="002D6763"/>
    <w:rsid w:val="002D7B94"/>
    <w:rsid w:val="002E06F1"/>
    <w:rsid w:val="002E226E"/>
    <w:rsid w:val="002E3E35"/>
    <w:rsid w:val="002F0D34"/>
    <w:rsid w:val="002F0FBC"/>
    <w:rsid w:val="002F297B"/>
    <w:rsid w:val="002F6E35"/>
    <w:rsid w:val="003015C9"/>
    <w:rsid w:val="0030242C"/>
    <w:rsid w:val="00302890"/>
    <w:rsid w:val="003042BF"/>
    <w:rsid w:val="00306F1E"/>
    <w:rsid w:val="00310CBE"/>
    <w:rsid w:val="00315DEC"/>
    <w:rsid w:val="0031740A"/>
    <w:rsid w:val="003179E4"/>
    <w:rsid w:val="00317FDB"/>
    <w:rsid w:val="003250D8"/>
    <w:rsid w:val="00325FF2"/>
    <w:rsid w:val="00326958"/>
    <w:rsid w:val="0033012A"/>
    <w:rsid w:val="003308C3"/>
    <w:rsid w:val="00331ADC"/>
    <w:rsid w:val="00332992"/>
    <w:rsid w:val="00341682"/>
    <w:rsid w:val="003426BF"/>
    <w:rsid w:val="00343994"/>
    <w:rsid w:val="00343B26"/>
    <w:rsid w:val="00345556"/>
    <w:rsid w:val="00346E5F"/>
    <w:rsid w:val="0035526C"/>
    <w:rsid w:val="00355A2F"/>
    <w:rsid w:val="00357B5C"/>
    <w:rsid w:val="00360D3E"/>
    <w:rsid w:val="00362F7A"/>
    <w:rsid w:val="00363410"/>
    <w:rsid w:val="00363A19"/>
    <w:rsid w:val="003656C4"/>
    <w:rsid w:val="00366F93"/>
    <w:rsid w:val="00370490"/>
    <w:rsid w:val="00370BC5"/>
    <w:rsid w:val="00370D5B"/>
    <w:rsid w:val="003743AD"/>
    <w:rsid w:val="00384A00"/>
    <w:rsid w:val="00384E5E"/>
    <w:rsid w:val="003864B3"/>
    <w:rsid w:val="00386E5D"/>
    <w:rsid w:val="00387C3D"/>
    <w:rsid w:val="003921CA"/>
    <w:rsid w:val="00392614"/>
    <w:rsid w:val="00392E52"/>
    <w:rsid w:val="00394544"/>
    <w:rsid w:val="00394DAA"/>
    <w:rsid w:val="003969F2"/>
    <w:rsid w:val="00396FD7"/>
    <w:rsid w:val="003A0C7A"/>
    <w:rsid w:val="003A16DA"/>
    <w:rsid w:val="003A3ADA"/>
    <w:rsid w:val="003A501E"/>
    <w:rsid w:val="003A63C1"/>
    <w:rsid w:val="003B64E5"/>
    <w:rsid w:val="003C3464"/>
    <w:rsid w:val="003C38EC"/>
    <w:rsid w:val="003C3D79"/>
    <w:rsid w:val="003D6D03"/>
    <w:rsid w:val="003E1520"/>
    <w:rsid w:val="003E1D1E"/>
    <w:rsid w:val="003E21DB"/>
    <w:rsid w:val="003E3505"/>
    <w:rsid w:val="003E418E"/>
    <w:rsid w:val="003E7345"/>
    <w:rsid w:val="003E7979"/>
    <w:rsid w:val="003F4ADD"/>
    <w:rsid w:val="003F676E"/>
    <w:rsid w:val="003F7027"/>
    <w:rsid w:val="003F7D6D"/>
    <w:rsid w:val="00406760"/>
    <w:rsid w:val="00413779"/>
    <w:rsid w:val="00423384"/>
    <w:rsid w:val="004250E2"/>
    <w:rsid w:val="00430A83"/>
    <w:rsid w:val="00431084"/>
    <w:rsid w:val="00435539"/>
    <w:rsid w:val="004357D6"/>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0981"/>
    <w:rsid w:val="00480779"/>
    <w:rsid w:val="004867C2"/>
    <w:rsid w:val="0049195D"/>
    <w:rsid w:val="00491AB9"/>
    <w:rsid w:val="004934BE"/>
    <w:rsid w:val="00495DE3"/>
    <w:rsid w:val="004A4935"/>
    <w:rsid w:val="004B47D3"/>
    <w:rsid w:val="004C498B"/>
    <w:rsid w:val="004C67B1"/>
    <w:rsid w:val="004D1EAA"/>
    <w:rsid w:val="004D2926"/>
    <w:rsid w:val="004D2C35"/>
    <w:rsid w:val="004D6B97"/>
    <w:rsid w:val="004D75B0"/>
    <w:rsid w:val="004E049B"/>
    <w:rsid w:val="004E69F7"/>
    <w:rsid w:val="004E7409"/>
    <w:rsid w:val="004E74D1"/>
    <w:rsid w:val="004F2BAC"/>
    <w:rsid w:val="004F36C4"/>
    <w:rsid w:val="00500104"/>
    <w:rsid w:val="0050038C"/>
    <w:rsid w:val="005055E1"/>
    <w:rsid w:val="00505804"/>
    <w:rsid w:val="00506F79"/>
    <w:rsid w:val="00511D22"/>
    <w:rsid w:val="005257EC"/>
    <w:rsid w:val="00526576"/>
    <w:rsid w:val="00526D08"/>
    <w:rsid w:val="005308C0"/>
    <w:rsid w:val="005350FE"/>
    <w:rsid w:val="00535221"/>
    <w:rsid w:val="0053540D"/>
    <w:rsid w:val="00537E01"/>
    <w:rsid w:val="005400FC"/>
    <w:rsid w:val="00540352"/>
    <w:rsid w:val="005403E8"/>
    <w:rsid w:val="00551D48"/>
    <w:rsid w:val="005547CA"/>
    <w:rsid w:val="00555F68"/>
    <w:rsid w:val="005576F8"/>
    <w:rsid w:val="00560D9D"/>
    <w:rsid w:val="00561604"/>
    <w:rsid w:val="00565BB5"/>
    <w:rsid w:val="00571EEB"/>
    <w:rsid w:val="005720EB"/>
    <w:rsid w:val="00572876"/>
    <w:rsid w:val="00580A6C"/>
    <w:rsid w:val="005837E2"/>
    <w:rsid w:val="00585F60"/>
    <w:rsid w:val="005860D2"/>
    <w:rsid w:val="005903AC"/>
    <w:rsid w:val="005975FE"/>
    <w:rsid w:val="005A09AF"/>
    <w:rsid w:val="005A151B"/>
    <w:rsid w:val="005A7F69"/>
    <w:rsid w:val="005B3BFB"/>
    <w:rsid w:val="005B7C6B"/>
    <w:rsid w:val="005C2E96"/>
    <w:rsid w:val="005C40D5"/>
    <w:rsid w:val="005C40E0"/>
    <w:rsid w:val="005D1DEB"/>
    <w:rsid w:val="005D51C5"/>
    <w:rsid w:val="005D5D21"/>
    <w:rsid w:val="005E0F1B"/>
    <w:rsid w:val="005E2B24"/>
    <w:rsid w:val="005E3DA7"/>
    <w:rsid w:val="005E454D"/>
    <w:rsid w:val="005E5081"/>
    <w:rsid w:val="005E6E51"/>
    <w:rsid w:val="005E7306"/>
    <w:rsid w:val="005F28ED"/>
    <w:rsid w:val="005F5DC1"/>
    <w:rsid w:val="005F6F8C"/>
    <w:rsid w:val="005F7ADD"/>
    <w:rsid w:val="005F7FEA"/>
    <w:rsid w:val="006075CC"/>
    <w:rsid w:val="00615050"/>
    <w:rsid w:val="0061685A"/>
    <w:rsid w:val="00616DE6"/>
    <w:rsid w:val="00620483"/>
    <w:rsid w:val="00622372"/>
    <w:rsid w:val="00623E13"/>
    <w:rsid w:val="0062545D"/>
    <w:rsid w:val="00633E77"/>
    <w:rsid w:val="006344D9"/>
    <w:rsid w:val="0063644E"/>
    <w:rsid w:val="00636D6D"/>
    <w:rsid w:val="006371A1"/>
    <w:rsid w:val="00637246"/>
    <w:rsid w:val="006404FF"/>
    <w:rsid w:val="006433BD"/>
    <w:rsid w:val="00646354"/>
    <w:rsid w:val="0066062F"/>
    <w:rsid w:val="0066273C"/>
    <w:rsid w:val="00671099"/>
    <w:rsid w:val="0067358F"/>
    <w:rsid w:val="0067395C"/>
    <w:rsid w:val="006769AB"/>
    <w:rsid w:val="00676A56"/>
    <w:rsid w:val="0068215C"/>
    <w:rsid w:val="0068230E"/>
    <w:rsid w:val="0069799C"/>
    <w:rsid w:val="00697E5B"/>
    <w:rsid w:val="006A465C"/>
    <w:rsid w:val="006A4FFC"/>
    <w:rsid w:val="006A6D7D"/>
    <w:rsid w:val="006A73F8"/>
    <w:rsid w:val="006B1180"/>
    <w:rsid w:val="006B2425"/>
    <w:rsid w:val="006B2483"/>
    <w:rsid w:val="006B4E3F"/>
    <w:rsid w:val="006B55D0"/>
    <w:rsid w:val="006B6CA7"/>
    <w:rsid w:val="006B6D4A"/>
    <w:rsid w:val="006C2620"/>
    <w:rsid w:val="006C3304"/>
    <w:rsid w:val="006C6E44"/>
    <w:rsid w:val="006C7956"/>
    <w:rsid w:val="006D03BB"/>
    <w:rsid w:val="006D21FF"/>
    <w:rsid w:val="006D680C"/>
    <w:rsid w:val="006E3BD4"/>
    <w:rsid w:val="006E4164"/>
    <w:rsid w:val="006E496E"/>
    <w:rsid w:val="006E5B0A"/>
    <w:rsid w:val="006F18EF"/>
    <w:rsid w:val="006F265F"/>
    <w:rsid w:val="006F3FEB"/>
    <w:rsid w:val="006F4479"/>
    <w:rsid w:val="006F4AFC"/>
    <w:rsid w:val="006F619F"/>
    <w:rsid w:val="006F730C"/>
    <w:rsid w:val="006F73F3"/>
    <w:rsid w:val="00700DDD"/>
    <w:rsid w:val="00702EB1"/>
    <w:rsid w:val="00702F11"/>
    <w:rsid w:val="00702F7F"/>
    <w:rsid w:val="007031B1"/>
    <w:rsid w:val="007043FD"/>
    <w:rsid w:val="00707736"/>
    <w:rsid w:val="00711B96"/>
    <w:rsid w:val="00716DB7"/>
    <w:rsid w:val="007222A0"/>
    <w:rsid w:val="00722A34"/>
    <w:rsid w:val="00735339"/>
    <w:rsid w:val="00735EFD"/>
    <w:rsid w:val="00736913"/>
    <w:rsid w:val="0075010D"/>
    <w:rsid w:val="0075488B"/>
    <w:rsid w:val="00756044"/>
    <w:rsid w:val="00756E06"/>
    <w:rsid w:val="007613A1"/>
    <w:rsid w:val="007614D4"/>
    <w:rsid w:val="00761C9D"/>
    <w:rsid w:val="00761DA6"/>
    <w:rsid w:val="00762FBD"/>
    <w:rsid w:val="00764A19"/>
    <w:rsid w:val="00764B7A"/>
    <w:rsid w:val="007700B1"/>
    <w:rsid w:val="00771F8D"/>
    <w:rsid w:val="007801B7"/>
    <w:rsid w:val="00780B38"/>
    <w:rsid w:val="00781F52"/>
    <w:rsid w:val="007825D9"/>
    <w:rsid w:val="00787CE7"/>
    <w:rsid w:val="007963EB"/>
    <w:rsid w:val="007A1493"/>
    <w:rsid w:val="007A2D95"/>
    <w:rsid w:val="007A2E39"/>
    <w:rsid w:val="007A4FD7"/>
    <w:rsid w:val="007B1192"/>
    <w:rsid w:val="007B1305"/>
    <w:rsid w:val="007B1E87"/>
    <w:rsid w:val="007B5A8C"/>
    <w:rsid w:val="007C6B92"/>
    <w:rsid w:val="007C7719"/>
    <w:rsid w:val="007D2AD5"/>
    <w:rsid w:val="007D65F6"/>
    <w:rsid w:val="007D6AE7"/>
    <w:rsid w:val="007D6CFB"/>
    <w:rsid w:val="007E1607"/>
    <w:rsid w:val="007E2BAD"/>
    <w:rsid w:val="007E574B"/>
    <w:rsid w:val="007E5750"/>
    <w:rsid w:val="007E6923"/>
    <w:rsid w:val="007F4292"/>
    <w:rsid w:val="007F5741"/>
    <w:rsid w:val="0080264C"/>
    <w:rsid w:val="00802EE1"/>
    <w:rsid w:val="00803CBB"/>
    <w:rsid w:val="00805475"/>
    <w:rsid w:val="008059AC"/>
    <w:rsid w:val="008065F4"/>
    <w:rsid w:val="00811638"/>
    <w:rsid w:val="00814AE7"/>
    <w:rsid w:val="00815382"/>
    <w:rsid w:val="00821341"/>
    <w:rsid w:val="008238B9"/>
    <w:rsid w:val="00825794"/>
    <w:rsid w:val="00830296"/>
    <w:rsid w:val="008321D0"/>
    <w:rsid w:val="00832DB5"/>
    <w:rsid w:val="00833B51"/>
    <w:rsid w:val="008370C2"/>
    <w:rsid w:val="008403EE"/>
    <w:rsid w:val="008405D8"/>
    <w:rsid w:val="00841251"/>
    <w:rsid w:val="00841793"/>
    <w:rsid w:val="008437E4"/>
    <w:rsid w:val="00843C19"/>
    <w:rsid w:val="008453D2"/>
    <w:rsid w:val="0085028F"/>
    <w:rsid w:val="00850F24"/>
    <w:rsid w:val="00852D7A"/>
    <w:rsid w:val="008540D9"/>
    <w:rsid w:val="00854CC7"/>
    <w:rsid w:val="00854FD1"/>
    <w:rsid w:val="008607A0"/>
    <w:rsid w:val="00863059"/>
    <w:rsid w:val="00865AD4"/>
    <w:rsid w:val="00865D5B"/>
    <w:rsid w:val="00865E7D"/>
    <w:rsid w:val="00872A9C"/>
    <w:rsid w:val="0087342E"/>
    <w:rsid w:val="00877B02"/>
    <w:rsid w:val="008813AB"/>
    <w:rsid w:val="0088174A"/>
    <w:rsid w:val="00882E5C"/>
    <w:rsid w:val="008877A4"/>
    <w:rsid w:val="0089096C"/>
    <w:rsid w:val="00895EC4"/>
    <w:rsid w:val="0089611E"/>
    <w:rsid w:val="00897391"/>
    <w:rsid w:val="008A1353"/>
    <w:rsid w:val="008A180A"/>
    <w:rsid w:val="008A705A"/>
    <w:rsid w:val="008B07B5"/>
    <w:rsid w:val="008B09D6"/>
    <w:rsid w:val="008B2BAC"/>
    <w:rsid w:val="008B4482"/>
    <w:rsid w:val="008B4E7B"/>
    <w:rsid w:val="008B5ADA"/>
    <w:rsid w:val="008C0044"/>
    <w:rsid w:val="008C16FA"/>
    <w:rsid w:val="008C2A14"/>
    <w:rsid w:val="008C39E1"/>
    <w:rsid w:val="008C42DA"/>
    <w:rsid w:val="008C5D23"/>
    <w:rsid w:val="008C792F"/>
    <w:rsid w:val="008D19C5"/>
    <w:rsid w:val="008D680C"/>
    <w:rsid w:val="008D6AB9"/>
    <w:rsid w:val="008D75B2"/>
    <w:rsid w:val="008E0151"/>
    <w:rsid w:val="008E2336"/>
    <w:rsid w:val="008E725C"/>
    <w:rsid w:val="008F2984"/>
    <w:rsid w:val="008F475A"/>
    <w:rsid w:val="008F59F7"/>
    <w:rsid w:val="008F752E"/>
    <w:rsid w:val="008F79C7"/>
    <w:rsid w:val="008F7DA8"/>
    <w:rsid w:val="00900ECE"/>
    <w:rsid w:val="00901CA4"/>
    <w:rsid w:val="009059B9"/>
    <w:rsid w:val="00910B00"/>
    <w:rsid w:val="0091313F"/>
    <w:rsid w:val="00914549"/>
    <w:rsid w:val="009147A0"/>
    <w:rsid w:val="009157C5"/>
    <w:rsid w:val="00916365"/>
    <w:rsid w:val="0091711A"/>
    <w:rsid w:val="00917F77"/>
    <w:rsid w:val="0092153C"/>
    <w:rsid w:val="0092292E"/>
    <w:rsid w:val="009250ED"/>
    <w:rsid w:val="009259C2"/>
    <w:rsid w:val="0092733F"/>
    <w:rsid w:val="00930809"/>
    <w:rsid w:val="00931483"/>
    <w:rsid w:val="009315B2"/>
    <w:rsid w:val="0093204A"/>
    <w:rsid w:val="00932372"/>
    <w:rsid w:val="00932E4E"/>
    <w:rsid w:val="00935598"/>
    <w:rsid w:val="009375BF"/>
    <w:rsid w:val="009400D4"/>
    <w:rsid w:val="00940804"/>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96E55"/>
    <w:rsid w:val="009A3AE1"/>
    <w:rsid w:val="009A5344"/>
    <w:rsid w:val="009A5B76"/>
    <w:rsid w:val="009B11C3"/>
    <w:rsid w:val="009B69E2"/>
    <w:rsid w:val="009B6CDF"/>
    <w:rsid w:val="009B6D8C"/>
    <w:rsid w:val="009B76DA"/>
    <w:rsid w:val="009C13E5"/>
    <w:rsid w:val="009C17F5"/>
    <w:rsid w:val="009C4062"/>
    <w:rsid w:val="009C40AE"/>
    <w:rsid w:val="009C46A3"/>
    <w:rsid w:val="009C73FF"/>
    <w:rsid w:val="009D523A"/>
    <w:rsid w:val="009D58E7"/>
    <w:rsid w:val="009D704B"/>
    <w:rsid w:val="009E2852"/>
    <w:rsid w:val="009E69BF"/>
    <w:rsid w:val="009E6C29"/>
    <w:rsid w:val="009E715C"/>
    <w:rsid w:val="009E756D"/>
    <w:rsid w:val="009E7C89"/>
    <w:rsid w:val="009F0FD2"/>
    <w:rsid w:val="009F11EC"/>
    <w:rsid w:val="009F33C2"/>
    <w:rsid w:val="009F35E7"/>
    <w:rsid w:val="009F45A2"/>
    <w:rsid w:val="009F6C23"/>
    <w:rsid w:val="00A00907"/>
    <w:rsid w:val="00A01047"/>
    <w:rsid w:val="00A064A6"/>
    <w:rsid w:val="00A07B53"/>
    <w:rsid w:val="00A126CB"/>
    <w:rsid w:val="00A13E5E"/>
    <w:rsid w:val="00A163DD"/>
    <w:rsid w:val="00A219A4"/>
    <w:rsid w:val="00A23043"/>
    <w:rsid w:val="00A25844"/>
    <w:rsid w:val="00A26E0C"/>
    <w:rsid w:val="00A270F8"/>
    <w:rsid w:val="00A30C7E"/>
    <w:rsid w:val="00A311C2"/>
    <w:rsid w:val="00A343A5"/>
    <w:rsid w:val="00A3715B"/>
    <w:rsid w:val="00A40FBE"/>
    <w:rsid w:val="00A469D3"/>
    <w:rsid w:val="00A55C8E"/>
    <w:rsid w:val="00A60379"/>
    <w:rsid w:val="00A606CF"/>
    <w:rsid w:val="00A624FA"/>
    <w:rsid w:val="00A63FAB"/>
    <w:rsid w:val="00A66515"/>
    <w:rsid w:val="00A66A4E"/>
    <w:rsid w:val="00A70EF5"/>
    <w:rsid w:val="00A74AFC"/>
    <w:rsid w:val="00A81E86"/>
    <w:rsid w:val="00A8684E"/>
    <w:rsid w:val="00A900BC"/>
    <w:rsid w:val="00A9191E"/>
    <w:rsid w:val="00A92089"/>
    <w:rsid w:val="00A960CD"/>
    <w:rsid w:val="00A96CD2"/>
    <w:rsid w:val="00AA1231"/>
    <w:rsid w:val="00AA174B"/>
    <w:rsid w:val="00AA795E"/>
    <w:rsid w:val="00AB3C17"/>
    <w:rsid w:val="00AB496C"/>
    <w:rsid w:val="00AB7AB9"/>
    <w:rsid w:val="00AB7DAD"/>
    <w:rsid w:val="00AC603E"/>
    <w:rsid w:val="00AC62C0"/>
    <w:rsid w:val="00AD2206"/>
    <w:rsid w:val="00AD22A2"/>
    <w:rsid w:val="00AD24F3"/>
    <w:rsid w:val="00AD2E6C"/>
    <w:rsid w:val="00AE3DBB"/>
    <w:rsid w:val="00AE4581"/>
    <w:rsid w:val="00AE780B"/>
    <w:rsid w:val="00AF0545"/>
    <w:rsid w:val="00AF6EA8"/>
    <w:rsid w:val="00B000BE"/>
    <w:rsid w:val="00B01117"/>
    <w:rsid w:val="00B01CB5"/>
    <w:rsid w:val="00B023D9"/>
    <w:rsid w:val="00B02C9E"/>
    <w:rsid w:val="00B04DDB"/>
    <w:rsid w:val="00B05D62"/>
    <w:rsid w:val="00B07E0D"/>
    <w:rsid w:val="00B11994"/>
    <w:rsid w:val="00B11C13"/>
    <w:rsid w:val="00B11F80"/>
    <w:rsid w:val="00B176FD"/>
    <w:rsid w:val="00B30F06"/>
    <w:rsid w:val="00B331F4"/>
    <w:rsid w:val="00B33BD4"/>
    <w:rsid w:val="00B42423"/>
    <w:rsid w:val="00B42A14"/>
    <w:rsid w:val="00B45465"/>
    <w:rsid w:val="00B4590C"/>
    <w:rsid w:val="00B45B86"/>
    <w:rsid w:val="00B50402"/>
    <w:rsid w:val="00B518EB"/>
    <w:rsid w:val="00B53B74"/>
    <w:rsid w:val="00B57DCF"/>
    <w:rsid w:val="00B6037C"/>
    <w:rsid w:val="00B72C2C"/>
    <w:rsid w:val="00B73D4C"/>
    <w:rsid w:val="00B77A62"/>
    <w:rsid w:val="00B80400"/>
    <w:rsid w:val="00B80611"/>
    <w:rsid w:val="00B838FC"/>
    <w:rsid w:val="00B83B64"/>
    <w:rsid w:val="00B85519"/>
    <w:rsid w:val="00B86797"/>
    <w:rsid w:val="00B86E7E"/>
    <w:rsid w:val="00B9069A"/>
    <w:rsid w:val="00B90E1D"/>
    <w:rsid w:val="00B949A7"/>
    <w:rsid w:val="00B96DFD"/>
    <w:rsid w:val="00B973C9"/>
    <w:rsid w:val="00BA0343"/>
    <w:rsid w:val="00BA36B1"/>
    <w:rsid w:val="00BA79D9"/>
    <w:rsid w:val="00BB000E"/>
    <w:rsid w:val="00BB076D"/>
    <w:rsid w:val="00BB36CC"/>
    <w:rsid w:val="00BB4F8E"/>
    <w:rsid w:val="00BB5573"/>
    <w:rsid w:val="00BB5649"/>
    <w:rsid w:val="00BB74AC"/>
    <w:rsid w:val="00BC2562"/>
    <w:rsid w:val="00BC3468"/>
    <w:rsid w:val="00BD23C5"/>
    <w:rsid w:val="00BE18A5"/>
    <w:rsid w:val="00BE1C00"/>
    <w:rsid w:val="00BE266D"/>
    <w:rsid w:val="00BE29DF"/>
    <w:rsid w:val="00BE2DEF"/>
    <w:rsid w:val="00BE33C8"/>
    <w:rsid w:val="00BE404B"/>
    <w:rsid w:val="00BE4F7A"/>
    <w:rsid w:val="00BE6894"/>
    <w:rsid w:val="00BF1CE7"/>
    <w:rsid w:val="00BF39D4"/>
    <w:rsid w:val="00BF3F82"/>
    <w:rsid w:val="00BF5B09"/>
    <w:rsid w:val="00BF7326"/>
    <w:rsid w:val="00C00AA8"/>
    <w:rsid w:val="00C01B00"/>
    <w:rsid w:val="00C03960"/>
    <w:rsid w:val="00C04AC5"/>
    <w:rsid w:val="00C138B9"/>
    <w:rsid w:val="00C14871"/>
    <w:rsid w:val="00C15C8C"/>
    <w:rsid w:val="00C22C89"/>
    <w:rsid w:val="00C22DA6"/>
    <w:rsid w:val="00C247F2"/>
    <w:rsid w:val="00C25BFD"/>
    <w:rsid w:val="00C2798C"/>
    <w:rsid w:val="00C37803"/>
    <w:rsid w:val="00C40C7D"/>
    <w:rsid w:val="00C4142C"/>
    <w:rsid w:val="00C44D41"/>
    <w:rsid w:val="00C45A45"/>
    <w:rsid w:val="00C45D90"/>
    <w:rsid w:val="00C46DC5"/>
    <w:rsid w:val="00C47A9D"/>
    <w:rsid w:val="00C50508"/>
    <w:rsid w:val="00C51094"/>
    <w:rsid w:val="00C536C6"/>
    <w:rsid w:val="00C5662D"/>
    <w:rsid w:val="00C622A4"/>
    <w:rsid w:val="00C62485"/>
    <w:rsid w:val="00C6450B"/>
    <w:rsid w:val="00C7089C"/>
    <w:rsid w:val="00C72D22"/>
    <w:rsid w:val="00C7488A"/>
    <w:rsid w:val="00C749D7"/>
    <w:rsid w:val="00C81C15"/>
    <w:rsid w:val="00C81CE4"/>
    <w:rsid w:val="00C83353"/>
    <w:rsid w:val="00C84357"/>
    <w:rsid w:val="00C90FA2"/>
    <w:rsid w:val="00C94B60"/>
    <w:rsid w:val="00C95148"/>
    <w:rsid w:val="00C9638A"/>
    <w:rsid w:val="00C966B2"/>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32FE"/>
    <w:rsid w:val="00CD6A23"/>
    <w:rsid w:val="00CE347E"/>
    <w:rsid w:val="00CE55BF"/>
    <w:rsid w:val="00CE614C"/>
    <w:rsid w:val="00CF34C6"/>
    <w:rsid w:val="00CF429F"/>
    <w:rsid w:val="00CF6E72"/>
    <w:rsid w:val="00CF773F"/>
    <w:rsid w:val="00CF7C68"/>
    <w:rsid w:val="00D04B5A"/>
    <w:rsid w:val="00D05BD4"/>
    <w:rsid w:val="00D13A18"/>
    <w:rsid w:val="00D154AE"/>
    <w:rsid w:val="00D15E8A"/>
    <w:rsid w:val="00D170E4"/>
    <w:rsid w:val="00D17BAD"/>
    <w:rsid w:val="00D206F1"/>
    <w:rsid w:val="00D3011C"/>
    <w:rsid w:val="00D30ADD"/>
    <w:rsid w:val="00D3206B"/>
    <w:rsid w:val="00D32D01"/>
    <w:rsid w:val="00D3411D"/>
    <w:rsid w:val="00D36A2A"/>
    <w:rsid w:val="00D3716A"/>
    <w:rsid w:val="00D373FE"/>
    <w:rsid w:val="00D40B90"/>
    <w:rsid w:val="00D426AD"/>
    <w:rsid w:val="00D44594"/>
    <w:rsid w:val="00D44A26"/>
    <w:rsid w:val="00D4569C"/>
    <w:rsid w:val="00D46CC5"/>
    <w:rsid w:val="00D50DC3"/>
    <w:rsid w:val="00D541E7"/>
    <w:rsid w:val="00D678A0"/>
    <w:rsid w:val="00D71B98"/>
    <w:rsid w:val="00D77B11"/>
    <w:rsid w:val="00D849EE"/>
    <w:rsid w:val="00D854D7"/>
    <w:rsid w:val="00D864BC"/>
    <w:rsid w:val="00D8659F"/>
    <w:rsid w:val="00D879C8"/>
    <w:rsid w:val="00D9439C"/>
    <w:rsid w:val="00DA37FA"/>
    <w:rsid w:val="00DA4E74"/>
    <w:rsid w:val="00DA700D"/>
    <w:rsid w:val="00DA7153"/>
    <w:rsid w:val="00DB0CFD"/>
    <w:rsid w:val="00DB2324"/>
    <w:rsid w:val="00DB5E61"/>
    <w:rsid w:val="00DC02C5"/>
    <w:rsid w:val="00DC0518"/>
    <w:rsid w:val="00DC1F96"/>
    <w:rsid w:val="00DC2044"/>
    <w:rsid w:val="00DC57DB"/>
    <w:rsid w:val="00DD2ADB"/>
    <w:rsid w:val="00DE061D"/>
    <w:rsid w:val="00DE222B"/>
    <w:rsid w:val="00DE4BDB"/>
    <w:rsid w:val="00DE4FC5"/>
    <w:rsid w:val="00DF3111"/>
    <w:rsid w:val="00DF4330"/>
    <w:rsid w:val="00DF4F75"/>
    <w:rsid w:val="00DF52DD"/>
    <w:rsid w:val="00DF683E"/>
    <w:rsid w:val="00DF7006"/>
    <w:rsid w:val="00E03DB4"/>
    <w:rsid w:val="00E04A17"/>
    <w:rsid w:val="00E10794"/>
    <w:rsid w:val="00E141D5"/>
    <w:rsid w:val="00E15AD4"/>
    <w:rsid w:val="00E16443"/>
    <w:rsid w:val="00E202FA"/>
    <w:rsid w:val="00E218CA"/>
    <w:rsid w:val="00E23370"/>
    <w:rsid w:val="00E2458E"/>
    <w:rsid w:val="00E253D5"/>
    <w:rsid w:val="00E25645"/>
    <w:rsid w:val="00E37EF6"/>
    <w:rsid w:val="00E4054A"/>
    <w:rsid w:val="00E4096D"/>
    <w:rsid w:val="00E41FF2"/>
    <w:rsid w:val="00E42570"/>
    <w:rsid w:val="00E43647"/>
    <w:rsid w:val="00E43C17"/>
    <w:rsid w:val="00E4482D"/>
    <w:rsid w:val="00E463A9"/>
    <w:rsid w:val="00E50C9B"/>
    <w:rsid w:val="00E55240"/>
    <w:rsid w:val="00E56206"/>
    <w:rsid w:val="00E57389"/>
    <w:rsid w:val="00E57A14"/>
    <w:rsid w:val="00E6337E"/>
    <w:rsid w:val="00E64671"/>
    <w:rsid w:val="00E655FB"/>
    <w:rsid w:val="00E67AF9"/>
    <w:rsid w:val="00E71EDC"/>
    <w:rsid w:val="00E742E4"/>
    <w:rsid w:val="00E7470D"/>
    <w:rsid w:val="00E74966"/>
    <w:rsid w:val="00E77099"/>
    <w:rsid w:val="00E77EEF"/>
    <w:rsid w:val="00E81DAA"/>
    <w:rsid w:val="00E8401D"/>
    <w:rsid w:val="00E85F06"/>
    <w:rsid w:val="00E86107"/>
    <w:rsid w:val="00E877DB"/>
    <w:rsid w:val="00E906FE"/>
    <w:rsid w:val="00E9205D"/>
    <w:rsid w:val="00E938F4"/>
    <w:rsid w:val="00E97688"/>
    <w:rsid w:val="00EA2F43"/>
    <w:rsid w:val="00EA7592"/>
    <w:rsid w:val="00EB175C"/>
    <w:rsid w:val="00EB1E5D"/>
    <w:rsid w:val="00EB33C1"/>
    <w:rsid w:val="00EB34EB"/>
    <w:rsid w:val="00EB64FF"/>
    <w:rsid w:val="00EB6BCB"/>
    <w:rsid w:val="00EB7A57"/>
    <w:rsid w:val="00EB7B14"/>
    <w:rsid w:val="00EC1999"/>
    <w:rsid w:val="00EC4A25"/>
    <w:rsid w:val="00ED1D8C"/>
    <w:rsid w:val="00ED3766"/>
    <w:rsid w:val="00EE11F8"/>
    <w:rsid w:val="00EE3695"/>
    <w:rsid w:val="00EE3C1D"/>
    <w:rsid w:val="00EF14AC"/>
    <w:rsid w:val="00EF2082"/>
    <w:rsid w:val="00EF59B9"/>
    <w:rsid w:val="00EF6B9D"/>
    <w:rsid w:val="00F04524"/>
    <w:rsid w:val="00F0490D"/>
    <w:rsid w:val="00F07599"/>
    <w:rsid w:val="00F1029B"/>
    <w:rsid w:val="00F108D9"/>
    <w:rsid w:val="00F12333"/>
    <w:rsid w:val="00F14FDC"/>
    <w:rsid w:val="00F156A1"/>
    <w:rsid w:val="00F1798A"/>
    <w:rsid w:val="00F220AC"/>
    <w:rsid w:val="00F224A7"/>
    <w:rsid w:val="00F22A77"/>
    <w:rsid w:val="00F2315C"/>
    <w:rsid w:val="00F23A99"/>
    <w:rsid w:val="00F25498"/>
    <w:rsid w:val="00F318F6"/>
    <w:rsid w:val="00F326A0"/>
    <w:rsid w:val="00F36059"/>
    <w:rsid w:val="00F43593"/>
    <w:rsid w:val="00F44272"/>
    <w:rsid w:val="00F4551E"/>
    <w:rsid w:val="00F518D5"/>
    <w:rsid w:val="00F553C3"/>
    <w:rsid w:val="00F567E2"/>
    <w:rsid w:val="00F56AF0"/>
    <w:rsid w:val="00F6063A"/>
    <w:rsid w:val="00F60738"/>
    <w:rsid w:val="00F6081E"/>
    <w:rsid w:val="00F61242"/>
    <w:rsid w:val="00F617B4"/>
    <w:rsid w:val="00F6274E"/>
    <w:rsid w:val="00F70118"/>
    <w:rsid w:val="00F711CC"/>
    <w:rsid w:val="00F756FE"/>
    <w:rsid w:val="00F770B2"/>
    <w:rsid w:val="00F776EF"/>
    <w:rsid w:val="00F80A85"/>
    <w:rsid w:val="00F81295"/>
    <w:rsid w:val="00F81C42"/>
    <w:rsid w:val="00F85145"/>
    <w:rsid w:val="00F85583"/>
    <w:rsid w:val="00F878AA"/>
    <w:rsid w:val="00F92064"/>
    <w:rsid w:val="00F9218C"/>
    <w:rsid w:val="00F93765"/>
    <w:rsid w:val="00F93A13"/>
    <w:rsid w:val="00F957AF"/>
    <w:rsid w:val="00F95F41"/>
    <w:rsid w:val="00FA03B3"/>
    <w:rsid w:val="00FA5669"/>
    <w:rsid w:val="00FA73B7"/>
    <w:rsid w:val="00FA73CD"/>
    <w:rsid w:val="00FB0194"/>
    <w:rsid w:val="00FB0524"/>
    <w:rsid w:val="00FC04AA"/>
    <w:rsid w:val="00FC382B"/>
    <w:rsid w:val="00FC50A5"/>
    <w:rsid w:val="00FC6324"/>
    <w:rsid w:val="00FC7F31"/>
    <w:rsid w:val="00FD327B"/>
    <w:rsid w:val="00FD407D"/>
    <w:rsid w:val="00FD4C51"/>
    <w:rsid w:val="00FD5EEC"/>
    <w:rsid w:val="00FD70FD"/>
    <w:rsid w:val="00FE098D"/>
    <w:rsid w:val="00FE1900"/>
    <w:rsid w:val="00FE2377"/>
    <w:rsid w:val="00FE3270"/>
    <w:rsid w:val="00FE5251"/>
    <w:rsid w:val="00FE5257"/>
    <w:rsid w:val="00FE70C6"/>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8D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E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s>
      <w:spacing w:after="120"/>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F36059"/>
    <w:rPr>
      <w:rFonts w:eastAsia="Times New Roman" w:cs="Times New Roman"/>
      <w:szCs w:val="20"/>
    </w:rPr>
  </w:style>
  <w:style w:type="character" w:styleId="CommentReference">
    <w:name w:val="annotation reference"/>
    <w:basedOn w:val="DefaultParagraphFont"/>
    <w:uiPriority w:val="99"/>
    <w:semiHidden/>
    <w:unhideWhenUsed/>
    <w:rsid w:val="000B4BAA"/>
    <w:rPr>
      <w:sz w:val="16"/>
      <w:szCs w:val="16"/>
    </w:rPr>
  </w:style>
  <w:style w:type="paragraph" w:styleId="CommentText">
    <w:name w:val="annotation text"/>
    <w:basedOn w:val="Normal"/>
    <w:link w:val="CommentTextChar"/>
    <w:uiPriority w:val="99"/>
    <w:unhideWhenUsed/>
    <w:rsid w:val="000B4BAA"/>
    <w:rPr>
      <w:sz w:val="20"/>
      <w:szCs w:val="20"/>
    </w:rPr>
  </w:style>
  <w:style w:type="character" w:customStyle="1" w:styleId="CommentTextChar">
    <w:name w:val="Comment Text Char"/>
    <w:basedOn w:val="DefaultParagraphFont"/>
    <w:link w:val="CommentText"/>
    <w:uiPriority w:val="99"/>
    <w:rsid w:val="000B4B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BAA"/>
    <w:rPr>
      <w:b/>
      <w:bCs/>
    </w:rPr>
  </w:style>
  <w:style w:type="character" w:customStyle="1" w:styleId="CommentSubjectChar">
    <w:name w:val="Comment Subject Char"/>
    <w:basedOn w:val="CommentTextChar"/>
    <w:link w:val="CommentSubject"/>
    <w:uiPriority w:val="99"/>
    <w:semiHidden/>
    <w:rsid w:val="000B4BAA"/>
    <w:rPr>
      <w:rFonts w:eastAsia="Times New Roman" w:cs="Times New Roman"/>
      <w:b/>
      <w:bCs/>
      <w:sz w:val="20"/>
      <w:szCs w:val="20"/>
    </w:rPr>
  </w:style>
  <w:style w:type="paragraph" w:customStyle="1" w:styleId="ReportCover-Title">
    <w:name w:val="ReportCover-Title"/>
    <w:basedOn w:val="Normal"/>
    <w:rsid w:val="00AB3C1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B3C17"/>
    <w:pPr>
      <w:spacing w:after="840" w:line="260" w:lineRule="exact"/>
    </w:pPr>
    <w:rPr>
      <w:rFonts w:ascii="Franklin Gothic Medium" w:hAnsi="Franklin Gothic Medium"/>
      <w:b/>
      <w:color w:val="003C79"/>
      <w:szCs w:val="20"/>
    </w:rPr>
  </w:style>
  <w:style w:type="character" w:styleId="Hyperlink">
    <w:name w:val="Hyperlink"/>
    <w:basedOn w:val="DefaultParagraphFont"/>
    <w:uiPriority w:val="99"/>
    <w:semiHidden/>
    <w:unhideWhenUsed/>
    <w:rsid w:val="002F0D34"/>
    <w:rPr>
      <w:color w:val="0000FF"/>
      <w:u w:val="single"/>
    </w:rPr>
  </w:style>
  <w:style w:type="character" w:customStyle="1" w:styleId="fm-role">
    <w:name w:val="fm-role"/>
    <w:basedOn w:val="DefaultParagraphFont"/>
    <w:rsid w:val="002F0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E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s>
      <w:spacing w:after="120"/>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F36059"/>
    <w:rPr>
      <w:rFonts w:eastAsia="Times New Roman" w:cs="Times New Roman"/>
      <w:szCs w:val="20"/>
    </w:rPr>
  </w:style>
  <w:style w:type="character" w:styleId="CommentReference">
    <w:name w:val="annotation reference"/>
    <w:basedOn w:val="DefaultParagraphFont"/>
    <w:uiPriority w:val="99"/>
    <w:semiHidden/>
    <w:unhideWhenUsed/>
    <w:rsid w:val="000B4BAA"/>
    <w:rPr>
      <w:sz w:val="16"/>
      <w:szCs w:val="16"/>
    </w:rPr>
  </w:style>
  <w:style w:type="paragraph" w:styleId="CommentText">
    <w:name w:val="annotation text"/>
    <w:basedOn w:val="Normal"/>
    <w:link w:val="CommentTextChar"/>
    <w:uiPriority w:val="99"/>
    <w:unhideWhenUsed/>
    <w:rsid w:val="000B4BAA"/>
    <w:rPr>
      <w:sz w:val="20"/>
      <w:szCs w:val="20"/>
    </w:rPr>
  </w:style>
  <w:style w:type="character" w:customStyle="1" w:styleId="CommentTextChar">
    <w:name w:val="Comment Text Char"/>
    <w:basedOn w:val="DefaultParagraphFont"/>
    <w:link w:val="CommentText"/>
    <w:uiPriority w:val="99"/>
    <w:rsid w:val="000B4B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BAA"/>
    <w:rPr>
      <w:b/>
      <w:bCs/>
    </w:rPr>
  </w:style>
  <w:style w:type="character" w:customStyle="1" w:styleId="CommentSubjectChar">
    <w:name w:val="Comment Subject Char"/>
    <w:basedOn w:val="CommentTextChar"/>
    <w:link w:val="CommentSubject"/>
    <w:uiPriority w:val="99"/>
    <w:semiHidden/>
    <w:rsid w:val="000B4BAA"/>
    <w:rPr>
      <w:rFonts w:eastAsia="Times New Roman" w:cs="Times New Roman"/>
      <w:b/>
      <w:bCs/>
      <w:sz w:val="20"/>
      <w:szCs w:val="20"/>
    </w:rPr>
  </w:style>
  <w:style w:type="paragraph" w:customStyle="1" w:styleId="ReportCover-Title">
    <w:name w:val="ReportCover-Title"/>
    <w:basedOn w:val="Normal"/>
    <w:rsid w:val="00AB3C1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B3C17"/>
    <w:pPr>
      <w:spacing w:after="840" w:line="260" w:lineRule="exact"/>
    </w:pPr>
    <w:rPr>
      <w:rFonts w:ascii="Franklin Gothic Medium" w:hAnsi="Franklin Gothic Medium"/>
      <w:b/>
      <w:color w:val="003C79"/>
      <w:szCs w:val="20"/>
    </w:rPr>
  </w:style>
  <w:style w:type="character" w:styleId="Hyperlink">
    <w:name w:val="Hyperlink"/>
    <w:basedOn w:val="DefaultParagraphFont"/>
    <w:uiPriority w:val="99"/>
    <w:semiHidden/>
    <w:unhideWhenUsed/>
    <w:rsid w:val="002F0D34"/>
    <w:rPr>
      <w:color w:val="0000FF"/>
      <w:u w:val="single"/>
    </w:rPr>
  </w:style>
  <w:style w:type="character" w:customStyle="1" w:styleId="fm-role">
    <w:name w:val="fm-role"/>
    <w:basedOn w:val="DefaultParagraphFont"/>
    <w:rsid w:val="002F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8973">
      <w:bodyDiv w:val="1"/>
      <w:marLeft w:val="0"/>
      <w:marRight w:val="0"/>
      <w:marTop w:val="0"/>
      <w:marBottom w:val="0"/>
      <w:divBdr>
        <w:top w:val="none" w:sz="0" w:space="0" w:color="auto"/>
        <w:left w:val="none" w:sz="0" w:space="0" w:color="auto"/>
        <w:bottom w:val="none" w:sz="0" w:space="0" w:color="auto"/>
        <w:right w:val="none" w:sz="0" w:space="0" w:color="auto"/>
      </w:divBdr>
    </w:div>
    <w:div w:id="18622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Thompson%20LA%5BAuthor%5D&amp;cauthor=true&amp;cauthor_uid=2446935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ubmed/?term=Chisholm%20T%5BAuthor%5D&amp;cauthor=true&amp;cauthor_uid=244693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Fernandez-Baca%20D%5BAuthor%5D&amp;cauthor=true&amp;cauthor_uid=24469359" TargetMode="External"/><Relationship Id="rId5" Type="http://schemas.openxmlformats.org/officeDocument/2006/relationships/settings" Target="settings.xml"/><Relationship Id="rId15" Type="http://schemas.openxmlformats.org/officeDocument/2006/relationships/hyperlink" Target="https://www.ncbi.nlm.nih.gov/pubmed/?term=Shenkman%20E%5BAuthor%5D&amp;cauthor=true&amp;cauthor_uid=24469359" TargetMode="External"/><Relationship Id="rId10" Type="http://schemas.openxmlformats.org/officeDocument/2006/relationships/hyperlink" Target="https://www.ncbi.nlm.nih.gov/pubmed/?term=Kadivar%20H%5BAuthor%5D&amp;cauthor=true&amp;cauthor_uid=2446935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cbi.nlm.nih.gov/pubmed/?term=Hinojosa%20MS%5BAuthor%5D&amp;cauthor=true&amp;cauthor_uid=24469359" TargetMode="External"/><Relationship Id="rId14" Type="http://schemas.openxmlformats.org/officeDocument/2006/relationships/hyperlink" Target="https://www.ncbi.nlm.nih.gov/pubmed/?term=Stanford%20J%5BAuthor%5D&amp;cauthor=true&amp;cauthor_uid=244693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FED2-B3CB-4BF9-8D0F-D42132C8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Paulsell</dc:creator>
  <cp:lastModifiedBy>SYSTEM</cp:lastModifiedBy>
  <cp:revision>2</cp:revision>
  <cp:lastPrinted>2018-06-07T19:59:00Z</cp:lastPrinted>
  <dcterms:created xsi:type="dcterms:W3CDTF">2018-07-16T13:34:00Z</dcterms:created>
  <dcterms:modified xsi:type="dcterms:W3CDTF">2018-07-16T13:34:00Z</dcterms:modified>
</cp:coreProperties>
</file>