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73BB1" w14:textId="00B77D22" w:rsidR="00857F02" w:rsidRPr="00394EE5" w:rsidRDefault="00857F02" w:rsidP="003E0C87">
      <w:pPr>
        <w:rPr>
          <w:b/>
          <w:sz w:val="24"/>
          <w:szCs w:val="24"/>
        </w:rPr>
      </w:pPr>
      <w:bookmarkStart w:id="0" w:name="_GoBack"/>
      <w:bookmarkEnd w:id="0"/>
      <w:r w:rsidRPr="00394EE5">
        <w:rPr>
          <w:b/>
          <w:sz w:val="24"/>
          <w:szCs w:val="24"/>
        </w:rPr>
        <w:t>SUPPORTING STAT</w:t>
      </w:r>
      <w:r w:rsidR="002F1454">
        <w:rPr>
          <w:b/>
          <w:sz w:val="24"/>
          <w:szCs w:val="24"/>
        </w:rPr>
        <w:t>E</w:t>
      </w:r>
      <w:r w:rsidRPr="00394EE5">
        <w:rPr>
          <w:b/>
          <w:sz w:val="24"/>
          <w:szCs w:val="24"/>
        </w:rPr>
        <w:t>MENT</w:t>
      </w:r>
    </w:p>
    <w:p w14:paraId="5679F534" w14:textId="77777777" w:rsidR="002D4812" w:rsidRPr="003E0C87" w:rsidRDefault="003E0C87" w:rsidP="002D4812">
      <w:pPr>
        <w:shd w:val="solid" w:color="FFFFFF"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3E0C87">
        <w:rPr>
          <w:b/>
          <w:sz w:val="24"/>
          <w:szCs w:val="24"/>
        </w:rPr>
        <w:t>Census of State and Local Law Enforcement Agencies, 2018</w:t>
      </w:r>
    </w:p>
    <w:p w14:paraId="1FC0A821" w14:textId="77777777" w:rsidR="008541A7" w:rsidRDefault="008541A7" w:rsidP="003E0C87">
      <w:pPr>
        <w:shd w:val="solid" w:color="FFFFFF" w:fill="FFFFFF"/>
        <w:tabs>
          <w:tab w:val="left" w:pos="360"/>
          <w:tab w:val="left" w:pos="840"/>
        </w:tabs>
        <w:rPr>
          <w:sz w:val="24"/>
          <w:szCs w:val="24"/>
        </w:rPr>
      </w:pPr>
    </w:p>
    <w:p w14:paraId="1488E47A" w14:textId="62B1D111" w:rsidR="009B7840" w:rsidRDefault="009B7840" w:rsidP="003E0C87">
      <w:pPr>
        <w:shd w:val="solid" w:color="FFFFFF" w:fill="FFFFFF"/>
        <w:tabs>
          <w:tab w:val="left" w:pos="360"/>
          <w:tab w:val="left" w:pos="840"/>
        </w:tabs>
        <w:rPr>
          <w:b/>
          <w:sz w:val="24"/>
          <w:szCs w:val="24"/>
        </w:rPr>
      </w:pPr>
      <w:r w:rsidRPr="009B7840">
        <w:rPr>
          <w:b/>
          <w:sz w:val="24"/>
          <w:szCs w:val="24"/>
        </w:rPr>
        <w:t>Overview</w:t>
      </w:r>
    </w:p>
    <w:p w14:paraId="5AAE7495" w14:textId="77777777" w:rsidR="009B7840" w:rsidRPr="009B7840" w:rsidRDefault="009B7840" w:rsidP="003E0C87">
      <w:pPr>
        <w:shd w:val="solid" w:color="FFFFFF" w:fill="FFFFFF"/>
        <w:tabs>
          <w:tab w:val="left" w:pos="360"/>
          <w:tab w:val="left" w:pos="840"/>
        </w:tabs>
        <w:rPr>
          <w:b/>
          <w:sz w:val="24"/>
          <w:szCs w:val="24"/>
        </w:rPr>
      </w:pPr>
    </w:p>
    <w:p w14:paraId="3CFEC478" w14:textId="4784B339" w:rsidR="003E0C87" w:rsidRDefault="003E0C87" w:rsidP="003E0C87">
      <w:pPr>
        <w:pStyle w:val="NoSpacing"/>
        <w:rPr>
          <w:rFonts w:ascii="Times New Roman" w:hAnsi="Times New Roman" w:cs="Times New Roman"/>
          <w:sz w:val="24"/>
          <w:szCs w:val="24"/>
        </w:rPr>
      </w:pPr>
      <w:r w:rsidRPr="00BF1857">
        <w:rPr>
          <w:rFonts w:ascii="Times New Roman" w:hAnsi="Times New Roman" w:cs="Times New Roman"/>
          <w:sz w:val="24"/>
          <w:szCs w:val="24"/>
        </w:rPr>
        <w:t>The Bureau of Justice Statistics (BJS) requests clearance to conduct the 201</w:t>
      </w:r>
      <w:r>
        <w:rPr>
          <w:rFonts w:ascii="Times New Roman" w:hAnsi="Times New Roman" w:cs="Times New Roman"/>
          <w:sz w:val="24"/>
          <w:szCs w:val="24"/>
        </w:rPr>
        <w:t>8</w:t>
      </w:r>
      <w:r w:rsidRPr="00BF1857">
        <w:rPr>
          <w:rFonts w:ascii="Times New Roman" w:hAnsi="Times New Roman" w:cs="Times New Roman"/>
          <w:sz w:val="24"/>
          <w:szCs w:val="24"/>
        </w:rPr>
        <w:t xml:space="preserve"> Census of </w:t>
      </w:r>
      <w:r>
        <w:rPr>
          <w:rFonts w:ascii="Times New Roman" w:hAnsi="Times New Roman" w:cs="Times New Roman"/>
          <w:sz w:val="24"/>
          <w:szCs w:val="24"/>
        </w:rPr>
        <w:t xml:space="preserve">State </w:t>
      </w:r>
      <w:r w:rsidRPr="00BF1857">
        <w:rPr>
          <w:rFonts w:ascii="Times New Roman" w:hAnsi="Times New Roman" w:cs="Times New Roman"/>
          <w:sz w:val="24"/>
          <w:szCs w:val="24"/>
        </w:rPr>
        <w:t>and Local Law Enforcement Agencies (</w:t>
      </w:r>
      <w:r>
        <w:rPr>
          <w:rFonts w:ascii="Times New Roman" w:hAnsi="Times New Roman" w:cs="Times New Roman"/>
          <w:sz w:val="24"/>
          <w:szCs w:val="24"/>
        </w:rPr>
        <w:t>CSLLEA</w:t>
      </w:r>
      <w:r w:rsidRPr="00BF1857">
        <w:rPr>
          <w:rFonts w:ascii="Times New Roman" w:hAnsi="Times New Roman" w:cs="Times New Roman"/>
          <w:sz w:val="24"/>
          <w:szCs w:val="24"/>
        </w:rPr>
        <w:t xml:space="preserve">). </w:t>
      </w:r>
      <w:r>
        <w:rPr>
          <w:rFonts w:ascii="Times New Roman" w:hAnsi="Times New Roman" w:cs="Times New Roman"/>
          <w:sz w:val="24"/>
          <w:szCs w:val="24"/>
        </w:rPr>
        <w:t>Historically, t</w:t>
      </w:r>
      <w:r w:rsidRPr="00BF1857">
        <w:rPr>
          <w:rFonts w:ascii="Times New Roman" w:hAnsi="Times New Roman" w:cs="Times New Roman"/>
          <w:sz w:val="24"/>
          <w:szCs w:val="24"/>
        </w:rPr>
        <w:t xml:space="preserve">he </w:t>
      </w:r>
      <w:r>
        <w:rPr>
          <w:rFonts w:ascii="Times New Roman" w:hAnsi="Times New Roman" w:cs="Times New Roman"/>
          <w:sz w:val="24"/>
          <w:szCs w:val="24"/>
        </w:rPr>
        <w:t xml:space="preserve">CSLLEA </w:t>
      </w:r>
      <w:r w:rsidRPr="00BF1857">
        <w:rPr>
          <w:rFonts w:ascii="Times New Roman" w:hAnsi="Times New Roman" w:cs="Times New Roman"/>
          <w:sz w:val="24"/>
          <w:szCs w:val="24"/>
        </w:rPr>
        <w:t xml:space="preserve">generates an enumeration of all publically funded </w:t>
      </w:r>
      <w:r>
        <w:rPr>
          <w:rFonts w:ascii="Times New Roman" w:hAnsi="Times New Roman" w:cs="Times New Roman"/>
          <w:sz w:val="24"/>
          <w:szCs w:val="24"/>
        </w:rPr>
        <w:t>state</w:t>
      </w:r>
      <w:r w:rsidR="00B03A5D">
        <w:rPr>
          <w:rFonts w:ascii="Times New Roman" w:hAnsi="Times New Roman" w:cs="Times New Roman"/>
          <w:sz w:val="24"/>
          <w:szCs w:val="24"/>
        </w:rPr>
        <w:t>, county</w:t>
      </w:r>
      <w:r w:rsidR="00DF4D22">
        <w:rPr>
          <w:rFonts w:ascii="Times New Roman" w:hAnsi="Times New Roman" w:cs="Times New Roman"/>
          <w:sz w:val="24"/>
          <w:szCs w:val="24"/>
        </w:rPr>
        <w:t>,</w:t>
      </w:r>
      <w:r w:rsidR="00B03A5D">
        <w:rPr>
          <w:rFonts w:ascii="Times New Roman" w:hAnsi="Times New Roman" w:cs="Times New Roman"/>
          <w:sz w:val="24"/>
          <w:szCs w:val="24"/>
        </w:rPr>
        <w:t xml:space="preserve"> </w:t>
      </w:r>
      <w:r>
        <w:rPr>
          <w:rFonts w:ascii="Times New Roman" w:hAnsi="Times New Roman" w:cs="Times New Roman"/>
          <w:sz w:val="24"/>
          <w:szCs w:val="24"/>
        </w:rPr>
        <w:t>local</w:t>
      </w:r>
      <w:r w:rsidR="00DF4D22">
        <w:rPr>
          <w:rFonts w:ascii="Times New Roman" w:hAnsi="Times New Roman" w:cs="Times New Roman"/>
          <w:sz w:val="24"/>
          <w:szCs w:val="24"/>
        </w:rPr>
        <w:t xml:space="preserve"> and tribal</w:t>
      </w:r>
      <w:r>
        <w:rPr>
          <w:rFonts w:ascii="Times New Roman" w:hAnsi="Times New Roman" w:cs="Times New Roman"/>
          <w:sz w:val="24"/>
          <w:szCs w:val="24"/>
        </w:rPr>
        <w:t xml:space="preserve"> </w:t>
      </w:r>
      <w:r w:rsidRPr="00BF1857">
        <w:rPr>
          <w:rFonts w:ascii="Times New Roman" w:hAnsi="Times New Roman" w:cs="Times New Roman"/>
          <w:sz w:val="24"/>
          <w:szCs w:val="24"/>
        </w:rPr>
        <w:t xml:space="preserve">law enforcement agencies operating in the United States and provides complete personnel counts for the approximately </w:t>
      </w:r>
      <w:r>
        <w:rPr>
          <w:rFonts w:ascii="Times New Roman" w:hAnsi="Times New Roman" w:cs="Times New Roman"/>
          <w:sz w:val="24"/>
          <w:szCs w:val="24"/>
        </w:rPr>
        <w:t>20</w:t>
      </w:r>
      <w:r w:rsidRPr="00BF1857">
        <w:rPr>
          <w:rFonts w:ascii="Times New Roman" w:hAnsi="Times New Roman" w:cs="Times New Roman"/>
          <w:sz w:val="24"/>
          <w:szCs w:val="24"/>
        </w:rPr>
        <w:t xml:space="preserve">,000 law enforcement agencies operating nationally. For the purposes of the </w:t>
      </w:r>
      <w:r>
        <w:rPr>
          <w:rFonts w:ascii="Times New Roman" w:hAnsi="Times New Roman" w:cs="Times New Roman"/>
          <w:sz w:val="24"/>
          <w:szCs w:val="24"/>
        </w:rPr>
        <w:t>CSLLEA</w:t>
      </w:r>
      <w:r w:rsidRPr="00BF1857">
        <w:rPr>
          <w:rFonts w:ascii="Times New Roman" w:hAnsi="Times New Roman" w:cs="Times New Roman"/>
          <w:sz w:val="24"/>
          <w:szCs w:val="24"/>
        </w:rPr>
        <w:t>, a “law enforcement agency” is a publically-funded government entity responsible for enforcing laws, maintaining public order, and promoting public safety. To be within scope of the C</w:t>
      </w:r>
      <w:r>
        <w:rPr>
          <w:rFonts w:ascii="Times New Roman" w:hAnsi="Times New Roman" w:cs="Times New Roman"/>
          <w:sz w:val="24"/>
          <w:szCs w:val="24"/>
        </w:rPr>
        <w:t>SLLEA</w:t>
      </w:r>
      <w:r w:rsidRPr="00BF1857">
        <w:rPr>
          <w:rFonts w:ascii="Times New Roman" w:hAnsi="Times New Roman" w:cs="Times New Roman"/>
          <w:sz w:val="24"/>
          <w:szCs w:val="24"/>
        </w:rPr>
        <w:t>, a law enforcement agency must employ the equivalent of at l</w:t>
      </w:r>
      <w:r>
        <w:rPr>
          <w:rFonts w:ascii="Times New Roman" w:hAnsi="Times New Roman" w:cs="Times New Roman"/>
          <w:sz w:val="24"/>
          <w:szCs w:val="24"/>
        </w:rPr>
        <w:t>east one full-time sworn officer with general arrest powers</w:t>
      </w:r>
      <w:r w:rsidRPr="00BF1857">
        <w:rPr>
          <w:rFonts w:ascii="Times New Roman" w:hAnsi="Times New Roman" w:cs="Times New Roman"/>
          <w:sz w:val="24"/>
          <w:szCs w:val="24"/>
        </w:rPr>
        <w:t>.</w:t>
      </w:r>
      <w:r w:rsidR="002F1454">
        <w:rPr>
          <w:rStyle w:val="FootnoteReference"/>
          <w:rFonts w:ascii="Times New Roman" w:hAnsi="Times New Roman" w:cs="Times New Roman"/>
          <w:sz w:val="24"/>
          <w:szCs w:val="24"/>
        </w:rPr>
        <w:footnoteReference w:id="2"/>
      </w:r>
      <w:r w:rsidRPr="00BF1857">
        <w:rPr>
          <w:rFonts w:ascii="Times New Roman" w:hAnsi="Times New Roman" w:cs="Times New Roman"/>
          <w:sz w:val="24"/>
          <w:szCs w:val="24"/>
        </w:rPr>
        <w:t xml:space="preserve"> BJS has conducted the </w:t>
      </w:r>
      <w:r>
        <w:rPr>
          <w:rFonts w:ascii="Times New Roman" w:hAnsi="Times New Roman" w:cs="Times New Roman"/>
          <w:sz w:val="24"/>
          <w:szCs w:val="24"/>
        </w:rPr>
        <w:t xml:space="preserve">CSLLEA </w:t>
      </w:r>
      <w:r w:rsidR="00847B4B">
        <w:rPr>
          <w:rFonts w:ascii="Times New Roman" w:hAnsi="Times New Roman" w:cs="Times New Roman"/>
          <w:sz w:val="24"/>
          <w:szCs w:val="24"/>
        </w:rPr>
        <w:t>periodically</w:t>
      </w:r>
      <w:r w:rsidR="00847B4B" w:rsidRPr="00BF1857">
        <w:rPr>
          <w:rFonts w:ascii="Times New Roman" w:hAnsi="Times New Roman" w:cs="Times New Roman"/>
          <w:sz w:val="24"/>
          <w:szCs w:val="24"/>
        </w:rPr>
        <w:t xml:space="preserve"> </w:t>
      </w:r>
      <w:r w:rsidRPr="00BF1857">
        <w:rPr>
          <w:rFonts w:ascii="Times New Roman" w:hAnsi="Times New Roman" w:cs="Times New Roman"/>
          <w:sz w:val="24"/>
          <w:szCs w:val="24"/>
        </w:rPr>
        <w:t>since 19</w:t>
      </w:r>
      <w:r w:rsidR="00847B4B">
        <w:rPr>
          <w:rFonts w:ascii="Times New Roman" w:hAnsi="Times New Roman" w:cs="Times New Roman"/>
          <w:sz w:val="24"/>
          <w:szCs w:val="24"/>
        </w:rPr>
        <w:t>86</w:t>
      </w:r>
      <w:r w:rsidRPr="00BF1857">
        <w:rPr>
          <w:rFonts w:ascii="Times New Roman" w:hAnsi="Times New Roman" w:cs="Times New Roman"/>
          <w:sz w:val="24"/>
          <w:szCs w:val="24"/>
        </w:rPr>
        <w:t>, making the 201</w:t>
      </w:r>
      <w:r>
        <w:rPr>
          <w:rFonts w:ascii="Times New Roman" w:hAnsi="Times New Roman" w:cs="Times New Roman"/>
          <w:sz w:val="24"/>
          <w:szCs w:val="24"/>
        </w:rPr>
        <w:t>8</w:t>
      </w:r>
      <w:r w:rsidRPr="00BF1857">
        <w:rPr>
          <w:rFonts w:ascii="Times New Roman" w:hAnsi="Times New Roman" w:cs="Times New Roman"/>
          <w:sz w:val="24"/>
          <w:szCs w:val="24"/>
        </w:rPr>
        <w:t xml:space="preserve"> administration the </w:t>
      </w:r>
      <w:r>
        <w:rPr>
          <w:rFonts w:ascii="Times New Roman" w:hAnsi="Times New Roman" w:cs="Times New Roman"/>
          <w:sz w:val="24"/>
          <w:szCs w:val="24"/>
        </w:rPr>
        <w:t>seventh</w:t>
      </w:r>
      <w:r w:rsidRPr="00BF1857">
        <w:rPr>
          <w:rFonts w:ascii="Times New Roman" w:hAnsi="Times New Roman" w:cs="Times New Roman"/>
          <w:sz w:val="24"/>
          <w:szCs w:val="24"/>
        </w:rPr>
        <w:t xml:space="preserve"> wave of data in the statistical series. </w:t>
      </w:r>
    </w:p>
    <w:p w14:paraId="14C3F834" w14:textId="77777777" w:rsidR="003E0C87" w:rsidRDefault="003E0C87" w:rsidP="003E0C87">
      <w:pPr>
        <w:pStyle w:val="NoSpacing"/>
        <w:rPr>
          <w:rFonts w:ascii="Times New Roman" w:hAnsi="Times New Roman" w:cs="Times New Roman"/>
          <w:sz w:val="24"/>
          <w:szCs w:val="24"/>
        </w:rPr>
      </w:pPr>
    </w:p>
    <w:p w14:paraId="3D1596BE" w14:textId="493165CA" w:rsidR="003E0C87" w:rsidRDefault="003E0C87" w:rsidP="003E0C87">
      <w:pPr>
        <w:pStyle w:val="Default"/>
      </w:pPr>
      <w:r w:rsidRPr="003E0C87">
        <w:t xml:space="preserve">The CSLLEA collects information from local police departments, sheriffs’ offices, </w:t>
      </w:r>
      <w:r w:rsidR="00B03A5D">
        <w:t xml:space="preserve">primary </w:t>
      </w:r>
      <w:r w:rsidRPr="003E0C87">
        <w:t>state law enforcement agencies, and special jurisdiction agencies. Local police departments include municipal, county, and regional police that are granted authority from the local governing body that created it. Sheriffs’ offices are generally empowered to enforce laws at the county level</w:t>
      </w:r>
      <w:r>
        <w:t xml:space="preserve">, while </w:t>
      </w:r>
      <w:r w:rsidR="00B03A5D">
        <w:t xml:space="preserve">primary </w:t>
      </w:r>
      <w:r>
        <w:t xml:space="preserve">state agencies provide </w:t>
      </w:r>
      <w:r w:rsidR="00B03A5D">
        <w:t xml:space="preserve">general law enforcement </w:t>
      </w:r>
      <w:r>
        <w:t>services state-wide</w:t>
      </w:r>
      <w:r w:rsidR="00B03A5D">
        <w:t xml:space="preserve"> with a focus on highway and rural area enforcement</w:t>
      </w:r>
      <w:r w:rsidRPr="003E0C87">
        <w:t xml:space="preserve">. Special jurisdiction agencies provide </w:t>
      </w:r>
      <w:r w:rsidR="004816F9">
        <w:t>law enforcement</w:t>
      </w:r>
      <w:r w:rsidRPr="003E0C87">
        <w:t xml:space="preserve"> services in areas within </w:t>
      </w:r>
      <w:r w:rsidR="00D64AFA">
        <w:t>a specific</w:t>
      </w:r>
      <w:r w:rsidR="00D64AFA" w:rsidRPr="003E0C87">
        <w:t xml:space="preserve"> </w:t>
      </w:r>
      <w:r w:rsidRPr="003E0C87">
        <w:t xml:space="preserve">jurisdiction; they are usually full-service departments that have been granted law enforcement authority in </w:t>
      </w:r>
      <w:r w:rsidR="00B03A5D">
        <w:t xml:space="preserve">tribal lands, </w:t>
      </w:r>
      <w:r w:rsidRPr="003E0C87">
        <w:t xml:space="preserve">parks, transportation assets (e.g., airports, subways), housing authorities, schools, hospitals, </w:t>
      </w:r>
      <w:r w:rsidR="00AC51C5">
        <w:t>or</w:t>
      </w:r>
      <w:r w:rsidR="00AC51C5" w:rsidRPr="003E0C87">
        <w:t xml:space="preserve"> </w:t>
      </w:r>
      <w:r w:rsidRPr="003E0C87">
        <w:t>government buildings.</w:t>
      </w:r>
      <w:r>
        <w:t xml:space="preserve"> </w:t>
      </w:r>
    </w:p>
    <w:p w14:paraId="7C4147F6" w14:textId="77777777" w:rsidR="004816F9" w:rsidRDefault="004816F9" w:rsidP="003E0C87">
      <w:pPr>
        <w:pStyle w:val="Default"/>
      </w:pPr>
    </w:p>
    <w:p w14:paraId="7A639B27" w14:textId="172B2343" w:rsidR="00AC51C5" w:rsidRDefault="004816F9" w:rsidP="003E0C87">
      <w:pPr>
        <w:pStyle w:val="Default"/>
      </w:pPr>
      <w:r>
        <w:t xml:space="preserve">The CSLLEA serves as the core of the law enforcement collections at BJS. </w:t>
      </w:r>
      <w:r w:rsidR="00A46769">
        <w:t xml:space="preserve">The primary purpose of the CSLLEA is </w:t>
      </w:r>
      <w:r w:rsidR="00AC51C5">
        <w:t xml:space="preserve">to provide personnel counts and the functions of </w:t>
      </w:r>
      <w:r w:rsidR="00D64AFA">
        <w:t>all</w:t>
      </w:r>
      <w:r w:rsidR="00AC51C5">
        <w:t xml:space="preserve"> law enforcement agenc</w:t>
      </w:r>
      <w:r w:rsidR="00D64AFA">
        <w:t>ies</w:t>
      </w:r>
      <w:r w:rsidR="00AC51C5">
        <w:t xml:space="preserve"> in the U.S. </w:t>
      </w:r>
      <w:r w:rsidR="00D64AFA">
        <w:t>and receives</w:t>
      </w:r>
      <w:r w:rsidR="00AC51C5">
        <w:t xml:space="preserve"> high response rate</w:t>
      </w:r>
      <w:r w:rsidR="00D64AFA">
        <w:t>s</w:t>
      </w:r>
      <w:r w:rsidR="00AC51C5">
        <w:t xml:space="preserve"> (98-99%). The CSLLEA is the only national data collection that provides personnel counts by full-time or pa</w:t>
      </w:r>
      <w:r w:rsidR="004D5959">
        <w:t>rt-time status, sworn status, and</w:t>
      </w:r>
      <w:r w:rsidR="00AC51C5">
        <w:t xml:space="preserve"> primary job function. These data are frequently requested by practitioners, researchers and other stakeholders to compare similar law enforcement agencies and are also used in conjunction with other datasets such as the Federal Bureau of Investigation’s (FBI) Uniform Crime Reporting (UCR) Program and the Census Bureau’s American Community Survey.</w:t>
      </w:r>
    </w:p>
    <w:p w14:paraId="058743BD" w14:textId="77777777" w:rsidR="00AC51C5" w:rsidRDefault="00AC51C5" w:rsidP="003E0C87">
      <w:pPr>
        <w:pStyle w:val="Default"/>
      </w:pPr>
    </w:p>
    <w:p w14:paraId="647277F3" w14:textId="6CF46C59" w:rsidR="0089399A" w:rsidRDefault="00AC51C5" w:rsidP="003E0C87">
      <w:pPr>
        <w:pStyle w:val="Default"/>
      </w:pPr>
      <w:r>
        <w:t>In addition to providing these key data</w:t>
      </w:r>
      <w:r w:rsidR="009C07F2">
        <w:t>, BJS also will use the CSLLEA</w:t>
      </w:r>
      <w:r>
        <w:t xml:space="preserve"> </w:t>
      </w:r>
      <w:r w:rsidR="00A46769">
        <w:t xml:space="preserve">as a frame for </w:t>
      </w:r>
      <w:r w:rsidR="009C07F2">
        <w:t xml:space="preserve">its </w:t>
      </w:r>
      <w:r w:rsidR="00A46769">
        <w:t>law enforcement surveys</w:t>
      </w:r>
      <w:r w:rsidR="00C54D8A">
        <w:t xml:space="preserve">, </w:t>
      </w:r>
      <w:r w:rsidR="00C54D8A" w:rsidRPr="00C54D8A">
        <w:t xml:space="preserve">including </w:t>
      </w:r>
      <w:r w:rsidR="00C54D8A">
        <w:t xml:space="preserve">the </w:t>
      </w:r>
      <w:r w:rsidR="00C54D8A" w:rsidRPr="00C54D8A">
        <w:t>Law Enforcement Management and Administrative Statistics (LEMAS</w:t>
      </w:r>
      <w:r w:rsidR="00C54D8A">
        <w:t>) core (</w:t>
      </w:r>
      <w:r w:rsidR="00C54D8A" w:rsidRPr="00C54D8A">
        <w:t>OMB 1121-0240</w:t>
      </w:r>
      <w:r w:rsidR="00C54D8A">
        <w:t>)</w:t>
      </w:r>
      <w:r w:rsidR="009C07F2">
        <w:t xml:space="preserve"> and supplements,</w:t>
      </w:r>
      <w:r w:rsidR="00C54D8A">
        <w:t xml:space="preserve"> </w:t>
      </w:r>
      <w:r w:rsidR="00C54D8A" w:rsidRPr="00C54D8A">
        <w:t xml:space="preserve">and </w:t>
      </w:r>
      <w:r w:rsidR="009C07F2">
        <w:t xml:space="preserve">the </w:t>
      </w:r>
      <w:r w:rsidR="00C54D8A" w:rsidRPr="00C54D8A">
        <w:t>Survey of Law Enforcement Personnel in</w:t>
      </w:r>
      <w:r w:rsidR="00C54D8A">
        <w:t xml:space="preserve"> Schools (SLEPS; OMB 1121-0339)</w:t>
      </w:r>
      <w:r w:rsidR="00A46769">
        <w:t xml:space="preserve">. The data captured on the </w:t>
      </w:r>
      <w:r w:rsidR="00C54D8A">
        <w:t xml:space="preserve">CSLLEA </w:t>
      </w:r>
      <w:r w:rsidR="00A46769">
        <w:t xml:space="preserve">instrument serve to inform </w:t>
      </w:r>
      <w:r w:rsidR="009C07F2">
        <w:t xml:space="preserve">which </w:t>
      </w:r>
      <w:r w:rsidR="00A46769">
        <w:t xml:space="preserve">agencies may or may not be included in other surveys. For example, </w:t>
      </w:r>
      <w:r w:rsidR="0089399A">
        <w:t>only general purpose agencies are on the frame for LEMAS</w:t>
      </w:r>
      <w:r w:rsidR="009C07F2">
        <w:t xml:space="preserve"> surveys</w:t>
      </w:r>
      <w:r w:rsidR="0089399A">
        <w:t xml:space="preserve">. Additionally, </w:t>
      </w:r>
      <w:r w:rsidR="009C07F2">
        <w:t xml:space="preserve">data from the CSLLEA will allow BJS to </w:t>
      </w:r>
      <w:r w:rsidR="00A46769">
        <w:t xml:space="preserve">identify law enforcement agencies </w:t>
      </w:r>
      <w:r w:rsidR="009C07F2">
        <w:t xml:space="preserve">that </w:t>
      </w:r>
      <w:r w:rsidR="00A46769">
        <w:t xml:space="preserve">serve school districts </w:t>
      </w:r>
      <w:r w:rsidR="009C07F2">
        <w:t xml:space="preserve">and </w:t>
      </w:r>
      <w:r w:rsidR="00A46769">
        <w:t>those that have personnel that provide school safety</w:t>
      </w:r>
      <w:r w:rsidR="009C07F2">
        <w:t>,</w:t>
      </w:r>
      <w:r w:rsidR="00A46769">
        <w:t xml:space="preserve"> the two agency requirements for </w:t>
      </w:r>
      <w:r w:rsidR="00AE19AE">
        <w:t>SLEPS</w:t>
      </w:r>
      <w:r w:rsidR="00A46769">
        <w:t xml:space="preserve">. </w:t>
      </w:r>
      <w:r w:rsidR="009C07F2">
        <w:lastRenderedPageBreak/>
        <w:t xml:space="preserve">Using CSLLEA as a frame for these and other surveys means BJS does not have to burden agencies </w:t>
      </w:r>
      <w:r w:rsidR="00D64AFA">
        <w:t>later to determine if they are in scope</w:t>
      </w:r>
      <w:r w:rsidR="009C07F2">
        <w:t>.</w:t>
      </w:r>
    </w:p>
    <w:p w14:paraId="7A30155C" w14:textId="77777777" w:rsidR="0089399A" w:rsidRDefault="0089399A" w:rsidP="003E0C87">
      <w:pPr>
        <w:pStyle w:val="Default"/>
      </w:pPr>
    </w:p>
    <w:p w14:paraId="694D1421" w14:textId="6EFEC9C0" w:rsidR="00CE3DC3" w:rsidRPr="00CE3DC3" w:rsidRDefault="00CE3DC3" w:rsidP="00CE3DC3">
      <w:pPr>
        <w:pStyle w:val="NoSpacing"/>
        <w:rPr>
          <w:rFonts w:ascii="Times New Roman" w:hAnsi="Times New Roman" w:cs="Times New Roman"/>
          <w:sz w:val="24"/>
          <w:szCs w:val="24"/>
        </w:rPr>
      </w:pPr>
      <w:r w:rsidRPr="00CE3DC3">
        <w:rPr>
          <w:rFonts w:ascii="Times New Roman" w:hAnsi="Times New Roman" w:cs="Times New Roman"/>
          <w:sz w:val="24"/>
          <w:szCs w:val="24"/>
        </w:rPr>
        <w:t xml:space="preserve">The 2018 CSLLEA collection involves two phases. In the first phase, BJS will cognitively test the revised instrument with 48 agencies based on agency type (i.e., local and county police, sheriff’s office, or special purpose) and size (i.e., 100 or more full-time equivalent sworn officers or less than 100 full-time equivalent sworn officers). A maximum of 8 agencies of each type and size will be asked to participate in testing. BJS has </w:t>
      </w:r>
      <w:r w:rsidR="00E66913">
        <w:rPr>
          <w:rFonts w:ascii="Times New Roman" w:hAnsi="Times New Roman" w:cs="Times New Roman"/>
          <w:sz w:val="24"/>
          <w:szCs w:val="24"/>
        </w:rPr>
        <w:t>modified</w:t>
      </w:r>
      <w:r w:rsidR="00E66913" w:rsidRPr="00CE3DC3">
        <w:rPr>
          <w:rFonts w:ascii="Times New Roman" w:hAnsi="Times New Roman" w:cs="Times New Roman"/>
          <w:sz w:val="24"/>
          <w:szCs w:val="24"/>
        </w:rPr>
        <w:t xml:space="preserve"> </w:t>
      </w:r>
      <w:r w:rsidR="00AE19AE">
        <w:rPr>
          <w:rFonts w:ascii="Times New Roman" w:hAnsi="Times New Roman" w:cs="Times New Roman"/>
          <w:sz w:val="24"/>
          <w:szCs w:val="24"/>
        </w:rPr>
        <w:t>questions</w:t>
      </w:r>
      <w:r w:rsidRPr="00CE3DC3">
        <w:rPr>
          <w:rFonts w:ascii="Times New Roman" w:hAnsi="Times New Roman" w:cs="Times New Roman"/>
          <w:sz w:val="24"/>
          <w:szCs w:val="24"/>
        </w:rPr>
        <w:t xml:space="preserve"> </w:t>
      </w:r>
      <w:r w:rsidR="00E66913">
        <w:rPr>
          <w:rFonts w:ascii="Times New Roman" w:hAnsi="Times New Roman" w:cs="Times New Roman"/>
          <w:sz w:val="24"/>
          <w:szCs w:val="24"/>
        </w:rPr>
        <w:t>pertaining to</w:t>
      </w:r>
      <w:r w:rsidR="00E66913" w:rsidRPr="00CE3DC3">
        <w:rPr>
          <w:rFonts w:ascii="Times New Roman" w:hAnsi="Times New Roman" w:cs="Times New Roman"/>
          <w:sz w:val="24"/>
          <w:szCs w:val="24"/>
        </w:rPr>
        <w:t xml:space="preserve"> </w:t>
      </w:r>
      <w:r w:rsidRPr="00CE3DC3">
        <w:rPr>
          <w:rFonts w:ascii="Times New Roman" w:hAnsi="Times New Roman" w:cs="Times New Roman"/>
          <w:sz w:val="24"/>
          <w:szCs w:val="24"/>
        </w:rPr>
        <w:t>limited sworn officers</w:t>
      </w:r>
      <w:r w:rsidR="009C07F2">
        <w:rPr>
          <w:rFonts w:ascii="Times New Roman" w:hAnsi="Times New Roman" w:cs="Times New Roman"/>
          <w:sz w:val="24"/>
          <w:szCs w:val="24"/>
        </w:rPr>
        <w:t xml:space="preserve"> </w:t>
      </w:r>
      <w:r w:rsidR="00E66913">
        <w:rPr>
          <w:rFonts w:ascii="Times New Roman" w:hAnsi="Times New Roman" w:cs="Times New Roman"/>
          <w:sz w:val="24"/>
          <w:szCs w:val="24"/>
        </w:rPr>
        <w:t>o</w:t>
      </w:r>
      <w:r w:rsidR="009C07F2">
        <w:rPr>
          <w:rFonts w:ascii="Times New Roman" w:hAnsi="Times New Roman" w:cs="Times New Roman"/>
          <w:sz w:val="24"/>
          <w:szCs w:val="24"/>
        </w:rPr>
        <w:t xml:space="preserve">n the 2018 CSLLEA to better measure the work of some law enforcement agencies and will use the cognitive interviews to determine the ability of respondents to differentiate </w:t>
      </w:r>
      <w:r w:rsidR="00E66913">
        <w:rPr>
          <w:rFonts w:ascii="Times New Roman" w:hAnsi="Times New Roman" w:cs="Times New Roman"/>
          <w:sz w:val="24"/>
          <w:szCs w:val="24"/>
        </w:rPr>
        <w:t xml:space="preserve">between </w:t>
      </w:r>
      <w:r w:rsidR="009C07F2">
        <w:rPr>
          <w:rFonts w:ascii="Times New Roman" w:hAnsi="Times New Roman" w:cs="Times New Roman"/>
          <w:sz w:val="24"/>
          <w:szCs w:val="24"/>
        </w:rPr>
        <w:t>fully sworn and limited sworn personnel</w:t>
      </w:r>
      <w:r w:rsidRPr="00CE3DC3">
        <w:rPr>
          <w:rFonts w:ascii="Times New Roman" w:hAnsi="Times New Roman" w:cs="Times New Roman"/>
          <w:sz w:val="24"/>
          <w:szCs w:val="24"/>
        </w:rPr>
        <w:t>.</w:t>
      </w:r>
    </w:p>
    <w:p w14:paraId="4D0A2C73" w14:textId="77777777" w:rsidR="00CE3DC3" w:rsidRDefault="00CE3DC3" w:rsidP="00CE3DC3">
      <w:pPr>
        <w:pStyle w:val="NoSpacing"/>
        <w:rPr>
          <w:rFonts w:ascii="Times New Roman" w:hAnsi="Times New Roman" w:cs="Times New Roman"/>
          <w:sz w:val="24"/>
          <w:szCs w:val="24"/>
        </w:rPr>
      </w:pPr>
    </w:p>
    <w:p w14:paraId="1A5826AD" w14:textId="603E5027" w:rsidR="003E0C87" w:rsidRDefault="00CE3DC3" w:rsidP="00CE3DC3">
      <w:pPr>
        <w:pStyle w:val="NoSpacing"/>
        <w:rPr>
          <w:rFonts w:ascii="Times New Roman" w:hAnsi="Times New Roman" w:cs="Times New Roman"/>
          <w:sz w:val="24"/>
          <w:szCs w:val="24"/>
        </w:rPr>
      </w:pPr>
      <w:r w:rsidRPr="00CE3DC3">
        <w:rPr>
          <w:rFonts w:ascii="Times New Roman" w:hAnsi="Times New Roman" w:cs="Times New Roman"/>
          <w:sz w:val="24"/>
          <w:szCs w:val="24"/>
        </w:rPr>
        <w:t xml:space="preserve">Pending </w:t>
      </w:r>
      <w:r w:rsidR="00E66913">
        <w:rPr>
          <w:rFonts w:ascii="Times New Roman" w:hAnsi="Times New Roman" w:cs="Times New Roman"/>
          <w:sz w:val="24"/>
          <w:szCs w:val="24"/>
        </w:rPr>
        <w:t>minimal modifications to the instrument in</w:t>
      </w:r>
      <w:r w:rsidR="00E66913" w:rsidRPr="00CE3DC3">
        <w:rPr>
          <w:rFonts w:ascii="Times New Roman" w:hAnsi="Times New Roman" w:cs="Times New Roman"/>
          <w:sz w:val="24"/>
          <w:szCs w:val="24"/>
        </w:rPr>
        <w:t xml:space="preserve"> </w:t>
      </w:r>
      <w:r w:rsidRPr="00CE3DC3">
        <w:rPr>
          <w:rFonts w:ascii="Times New Roman" w:hAnsi="Times New Roman" w:cs="Times New Roman"/>
          <w:sz w:val="24"/>
          <w:szCs w:val="24"/>
        </w:rPr>
        <w:t xml:space="preserve">the first phase, in the second phase, BJS will conduct the main data collection. The 2018 CSLLEA is designed to collect general information on state, county and local law enforcement agencies. The </w:t>
      </w:r>
      <w:r w:rsidR="00B03A5D">
        <w:rPr>
          <w:rFonts w:ascii="Times New Roman" w:hAnsi="Times New Roman" w:cs="Times New Roman"/>
          <w:sz w:val="24"/>
          <w:szCs w:val="24"/>
        </w:rPr>
        <w:t xml:space="preserve">7-item </w:t>
      </w:r>
      <w:r w:rsidRPr="00CE3DC3">
        <w:rPr>
          <w:rFonts w:ascii="Times New Roman" w:hAnsi="Times New Roman" w:cs="Times New Roman"/>
          <w:sz w:val="24"/>
          <w:szCs w:val="24"/>
        </w:rPr>
        <w:t>survey asks about the level of gove</w:t>
      </w:r>
      <w:r w:rsidR="00B03A5D">
        <w:rPr>
          <w:rFonts w:ascii="Times New Roman" w:hAnsi="Times New Roman" w:cs="Times New Roman"/>
          <w:sz w:val="24"/>
          <w:szCs w:val="24"/>
        </w:rPr>
        <w:t>rnment that operates the agency, total operating budget,</w:t>
      </w:r>
      <w:r w:rsidRPr="00CE3DC3">
        <w:rPr>
          <w:rFonts w:ascii="Times New Roman" w:hAnsi="Times New Roman" w:cs="Times New Roman"/>
          <w:sz w:val="24"/>
          <w:szCs w:val="24"/>
        </w:rPr>
        <w:t xml:space="preserve"> personnel counts</w:t>
      </w:r>
      <w:r w:rsidR="00B03A5D">
        <w:rPr>
          <w:rFonts w:ascii="Times New Roman" w:hAnsi="Times New Roman" w:cs="Times New Roman"/>
          <w:sz w:val="24"/>
          <w:szCs w:val="24"/>
        </w:rPr>
        <w:t xml:space="preserve"> </w:t>
      </w:r>
      <w:r w:rsidRPr="00CE3DC3">
        <w:rPr>
          <w:rFonts w:ascii="Times New Roman" w:hAnsi="Times New Roman" w:cs="Times New Roman"/>
          <w:sz w:val="24"/>
          <w:szCs w:val="24"/>
        </w:rPr>
        <w:t>and the functions the agency performs on a regular or primary basis.</w:t>
      </w:r>
    </w:p>
    <w:p w14:paraId="42D067BB" w14:textId="77777777" w:rsidR="003E0C87" w:rsidRPr="00394EE5" w:rsidRDefault="003E0C87" w:rsidP="003E0C87">
      <w:pPr>
        <w:shd w:val="solid" w:color="FFFFFF" w:fill="FFFFFF"/>
        <w:tabs>
          <w:tab w:val="left" w:pos="360"/>
          <w:tab w:val="left" w:pos="840"/>
        </w:tabs>
        <w:rPr>
          <w:sz w:val="24"/>
          <w:szCs w:val="24"/>
        </w:rPr>
      </w:pPr>
    </w:p>
    <w:p w14:paraId="7D77BCFC" w14:textId="77777777" w:rsidR="00B03A5D" w:rsidRPr="00BF1857" w:rsidRDefault="00B03A5D" w:rsidP="00B03A5D">
      <w:pPr>
        <w:pStyle w:val="NoSpacing"/>
        <w:rPr>
          <w:rFonts w:ascii="Times New Roman" w:hAnsi="Times New Roman" w:cs="Times New Roman"/>
          <w:b/>
          <w:sz w:val="24"/>
          <w:szCs w:val="24"/>
        </w:rPr>
      </w:pPr>
      <w:r w:rsidRPr="00BF1857">
        <w:rPr>
          <w:rFonts w:ascii="Times New Roman" w:hAnsi="Times New Roman" w:cs="Times New Roman"/>
          <w:b/>
          <w:sz w:val="24"/>
          <w:szCs w:val="24"/>
        </w:rPr>
        <w:t>A.  Justification</w:t>
      </w:r>
    </w:p>
    <w:p w14:paraId="759A0C13" w14:textId="77777777" w:rsidR="00B03A5D" w:rsidRPr="00BF1857" w:rsidRDefault="00B03A5D" w:rsidP="00B03A5D">
      <w:pPr>
        <w:pStyle w:val="NoSpacing"/>
        <w:rPr>
          <w:rFonts w:ascii="Times New Roman" w:hAnsi="Times New Roman" w:cs="Times New Roman"/>
          <w:b/>
          <w:sz w:val="24"/>
          <w:szCs w:val="24"/>
        </w:rPr>
      </w:pPr>
    </w:p>
    <w:p w14:paraId="31CE30E9" w14:textId="77777777" w:rsidR="00B03A5D" w:rsidRPr="00BF1857" w:rsidRDefault="00B03A5D" w:rsidP="00B03A5D">
      <w:pPr>
        <w:pStyle w:val="NoSpacing"/>
        <w:rPr>
          <w:rFonts w:ascii="Times New Roman" w:hAnsi="Times New Roman" w:cs="Times New Roman"/>
          <w:b/>
          <w:sz w:val="24"/>
          <w:szCs w:val="24"/>
        </w:rPr>
      </w:pPr>
      <w:r w:rsidRPr="00BF1857">
        <w:rPr>
          <w:rFonts w:ascii="Times New Roman" w:hAnsi="Times New Roman" w:cs="Times New Roman"/>
          <w:b/>
          <w:sz w:val="24"/>
          <w:szCs w:val="24"/>
        </w:rPr>
        <w:t>1. Necessity of Information Collection</w:t>
      </w:r>
    </w:p>
    <w:p w14:paraId="4E3725CC" w14:textId="77777777" w:rsidR="002D4812" w:rsidRDefault="002D4812" w:rsidP="00B03A5D">
      <w:pPr>
        <w:shd w:val="solid" w:color="FFFFFF" w:fill="FFFFFF"/>
        <w:tabs>
          <w:tab w:val="left" w:pos="360"/>
        </w:tabs>
        <w:rPr>
          <w:sz w:val="24"/>
          <w:szCs w:val="24"/>
        </w:rPr>
      </w:pPr>
    </w:p>
    <w:p w14:paraId="34B1E411" w14:textId="51F9BC1C" w:rsidR="00AD4DB9" w:rsidRPr="00AD4DB9" w:rsidRDefault="00AD4DB9" w:rsidP="00AD4DB9">
      <w:pPr>
        <w:numPr>
          <w:ilvl w:val="12"/>
          <w:numId w:val="0"/>
        </w:numPr>
        <w:shd w:val="solid" w:color="FFFFFF" w:fill="FFFFFF"/>
        <w:tabs>
          <w:tab w:val="left" w:pos="360"/>
          <w:tab w:val="left" w:pos="840"/>
        </w:tabs>
        <w:rPr>
          <w:sz w:val="24"/>
          <w:szCs w:val="24"/>
        </w:rPr>
      </w:pPr>
      <w:r w:rsidRPr="00AD4DB9">
        <w:rPr>
          <w:sz w:val="24"/>
          <w:szCs w:val="24"/>
        </w:rPr>
        <w:t>Under Title 34, United States Code, Section 10132</w:t>
      </w:r>
      <w:r w:rsidR="00F8669E">
        <w:rPr>
          <w:sz w:val="24"/>
          <w:szCs w:val="24"/>
        </w:rPr>
        <w:t xml:space="preserve">, </w:t>
      </w:r>
      <w:r w:rsidRPr="00AD4DB9">
        <w:rPr>
          <w:sz w:val="24"/>
          <w:szCs w:val="24"/>
        </w:rPr>
        <w:t xml:space="preserve">the Bureau of Justice Statistics (BJS) is directed to collect and analyze statistical information concerning the operation of the criminal justice system at the federal, state, </w:t>
      </w:r>
      <w:r w:rsidR="00AC51C5">
        <w:rPr>
          <w:sz w:val="24"/>
          <w:szCs w:val="24"/>
        </w:rPr>
        <w:t xml:space="preserve">tribal, </w:t>
      </w:r>
      <w:r w:rsidRPr="00AD4DB9">
        <w:rPr>
          <w:sz w:val="24"/>
          <w:szCs w:val="24"/>
        </w:rPr>
        <w:t>and local levels. It disseminates high quality information and statistics to inform policy makers, researchers, criminal justice practitioners, and the general public. The Criminal Justice Statistics Program encompasses a wide range of criminal justice topics, including victimization, law enforcement, prosecution, courts and sentencing, and corrections. Law enforcement agencies are the primary point of entry into the criminal justice system and play a crucial gate keeping function in receiving reports of offenses, investigating crimes, making arrests, and detaining suspects. Subsequently, these agencies are a major provider of statistical data on crime.</w:t>
      </w:r>
    </w:p>
    <w:p w14:paraId="27873BAA" w14:textId="77777777" w:rsidR="00AD4DB9" w:rsidRPr="00AD4DB9" w:rsidRDefault="00AD4DB9" w:rsidP="00AD4DB9">
      <w:pPr>
        <w:numPr>
          <w:ilvl w:val="12"/>
          <w:numId w:val="0"/>
        </w:numPr>
        <w:shd w:val="solid" w:color="FFFFFF" w:fill="FFFFFF"/>
        <w:tabs>
          <w:tab w:val="left" w:pos="360"/>
          <w:tab w:val="left" w:pos="840"/>
        </w:tabs>
        <w:rPr>
          <w:sz w:val="24"/>
          <w:szCs w:val="24"/>
        </w:rPr>
      </w:pPr>
    </w:p>
    <w:p w14:paraId="0A08BA49" w14:textId="4A514BC9" w:rsidR="00AD4DB9" w:rsidRPr="00AD4DB9" w:rsidRDefault="00AD4DB9" w:rsidP="00AD4DB9">
      <w:pPr>
        <w:numPr>
          <w:ilvl w:val="12"/>
          <w:numId w:val="0"/>
        </w:numPr>
        <w:shd w:val="solid" w:color="FFFFFF" w:fill="FFFFFF"/>
        <w:tabs>
          <w:tab w:val="left" w:pos="360"/>
          <w:tab w:val="left" w:pos="840"/>
        </w:tabs>
        <w:rPr>
          <w:sz w:val="24"/>
          <w:szCs w:val="24"/>
        </w:rPr>
      </w:pPr>
      <w:r w:rsidRPr="00AD4DB9">
        <w:rPr>
          <w:sz w:val="24"/>
          <w:szCs w:val="24"/>
        </w:rPr>
        <w:t xml:space="preserve">The size, purposes, efficiency, fairness, and impact of law enforcement in the </w:t>
      </w:r>
      <w:r w:rsidR="00AE19AE">
        <w:rPr>
          <w:sz w:val="24"/>
          <w:szCs w:val="24"/>
        </w:rPr>
        <w:t>U.S.</w:t>
      </w:r>
      <w:r w:rsidRPr="00AD4DB9">
        <w:rPr>
          <w:sz w:val="24"/>
          <w:szCs w:val="24"/>
        </w:rPr>
        <w:t xml:space="preserve"> are ongoing national policy issues. Law enforcement agencies in the </w:t>
      </w:r>
      <w:r w:rsidR="00AE19AE">
        <w:rPr>
          <w:sz w:val="24"/>
          <w:szCs w:val="24"/>
        </w:rPr>
        <w:t>U.S.</w:t>
      </w:r>
      <w:r w:rsidR="00F8669E">
        <w:rPr>
          <w:sz w:val="24"/>
          <w:szCs w:val="24"/>
        </w:rPr>
        <w:t xml:space="preserve"> </w:t>
      </w:r>
      <w:r w:rsidRPr="00AD4DB9">
        <w:rPr>
          <w:sz w:val="24"/>
          <w:szCs w:val="24"/>
        </w:rPr>
        <w:t>are numerous, diverse, and highly fragmented with substantial differences in size, role, and activities. Data collected during the 2008 C</w:t>
      </w:r>
      <w:r w:rsidR="00C04E22">
        <w:rPr>
          <w:sz w:val="24"/>
          <w:szCs w:val="24"/>
        </w:rPr>
        <w:t>ensus of State and Local Law Enforcement Agencies (CSLLEA)</w:t>
      </w:r>
      <w:r w:rsidRPr="00AD4DB9">
        <w:rPr>
          <w:sz w:val="24"/>
          <w:szCs w:val="24"/>
        </w:rPr>
        <w:t xml:space="preserve"> administration indicate there were 17,985 agencies operated by general purpose agencies (i.e., any public agency with sworn officers whose patrol and enforcement responsibilities are primarily delimited by the boundaries of a municipal, county, or state government) and special purpose agencies (e.g., campus law enforcement, transportation, natural resources, etc.)</w:t>
      </w:r>
      <w:r>
        <w:rPr>
          <w:sz w:val="24"/>
          <w:szCs w:val="24"/>
        </w:rPr>
        <w:t>. These law enforcement agencies employed</w:t>
      </w:r>
      <w:r w:rsidRPr="00AD4DB9">
        <w:rPr>
          <w:sz w:val="24"/>
          <w:szCs w:val="24"/>
        </w:rPr>
        <w:t xml:space="preserve"> more than 1.1 million full-time personnel</w:t>
      </w:r>
      <w:r>
        <w:rPr>
          <w:sz w:val="24"/>
          <w:szCs w:val="24"/>
        </w:rPr>
        <w:t xml:space="preserve"> in 2008, including 765,000 sworn officers</w:t>
      </w:r>
      <w:r w:rsidRPr="00AD4DB9">
        <w:rPr>
          <w:sz w:val="24"/>
          <w:szCs w:val="24"/>
        </w:rPr>
        <w:t>. About half (49%) of these agencies employ</w:t>
      </w:r>
      <w:r w:rsidR="00D64AFA">
        <w:rPr>
          <w:sz w:val="24"/>
          <w:szCs w:val="24"/>
        </w:rPr>
        <w:t>ed</w:t>
      </w:r>
      <w:r w:rsidRPr="00AD4DB9">
        <w:rPr>
          <w:sz w:val="24"/>
          <w:szCs w:val="24"/>
        </w:rPr>
        <w:t xml:space="preserve"> fewer than 10 full-time sworn personnel, while the largest 7% of state and local law enforcement agencies employed nearly two-thirds (64%) of all sworn personnel. Agencies serve a variety of functions from patrol and response, criminal investigation, traffic and vehicle-related functions, detention-related functions, court-</w:t>
      </w:r>
      <w:r w:rsidRPr="00AD4DB9">
        <w:rPr>
          <w:sz w:val="24"/>
          <w:szCs w:val="24"/>
        </w:rPr>
        <w:lastRenderedPageBreak/>
        <w:t xml:space="preserve">related functions, special public safety functions (e.g., animal control), task force participation, and specialized functions (e.g., search and rescue). </w:t>
      </w:r>
    </w:p>
    <w:p w14:paraId="0BDF279D" w14:textId="77777777" w:rsidR="00AD4DB9" w:rsidRPr="00AD4DB9" w:rsidRDefault="00AD4DB9" w:rsidP="00AD4DB9">
      <w:pPr>
        <w:numPr>
          <w:ilvl w:val="12"/>
          <w:numId w:val="0"/>
        </w:numPr>
        <w:shd w:val="solid" w:color="FFFFFF" w:fill="FFFFFF"/>
        <w:tabs>
          <w:tab w:val="left" w:pos="360"/>
          <w:tab w:val="left" w:pos="840"/>
        </w:tabs>
        <w:rPr>
          <w:sz w:val="24"/>
          <w:szCs w:val="24"/>
        </w:rPr>
      </w:pPr>
    </w:p>
    <w:p w14:paraId="0AFF6225" w14:textId="105EABC8" w:rsidR="00AD4DB9" w:rsidRDefault="00C04E22" w:rsidP="00AD4DB9">
      <w:pPr>
        <w:numPr>
          <w:ilvl w:val="12"/>
          <w:numId w:val="0"/>
        </w:numPr>
        <w:shd w:val="solid" w:color="FFFFFF" w:fill="FFFFFF"/>
        <w:tabs>
          <w:tab w:val="left" w:pos="360"/>
          <w:tab w:val="left" w:pos="840"/>
        </w:tabs>
        <w:rPr>
          <w:sz w:val="24"/>
          <w:szCs w:val="24"/>
        </w:rPr>
      </w:pPr>
      <w:r>
        <w:rPr>
          <w:sz w:val="24"/>
          <w:szCs w:val="24"/>
        </w:rPr>
        <w:t>C</w:t>
      </w:r>
      <w:r w:rsidR="00AD4DB9" w:rsidRPr="00AD4DB9">
        <w:rPr>
          <w:sz w:val="24"/>
          <w:szCs w:val="24"/>
        </w:rPr>
        <w:t>ollecting data on issues related to law enforcement personnel and functions are of critical concern to BJS – since its mission to collect, analyze, publish, and disseminate information on the operation of justice systems at all levels of government. Developing and maintaining an accurate picture of the nation’s law enforcement workforce is paramount to understanding the current state of policing in the United States.  BJS has conducted establishment surveys of law enforcement</w:t>
      </w:r>
      <w:r w:rsidR="00C54D8A">
        <w:rPr>
          <w:sz w:val="24"/>
          <w:szCs w:val="24"/>
        </w:rPr>
        <w:t xml:space="preserve"> agencies regularly since 1987, with the</w:t>
      </w:r>
      <w:r w:rsidR="00AD4DB9" w:rsidRPr="00AD4DB9">
        <w:rPr>
          <w:sz w:val="24"/>
          <w:szCs w:val="24"/>
        </w:rPr>
        <w:t xml:space="preserve"> core of BJS’ law enforcement statistics program </w:t>
      </w:r>
      <w:r w:rsidR="00C54D8A">
        <w:rPr>
          <w:sz w:val="24"/>
          <w:szCs w:val="24"/>
        </w:rPr>
        <w:t>being</w:t>
      </w:r>
      <w:r w:rsidR="00AD4DB9" w:rsidRPr="00AD4DB9">
        <w:rPr>
          <w:sz w:val="24"/>
          <w:szCs w:val="24"/>
        </w:rPr>
        <w:t xml:space="preserve"> the </w:t>
      </w:r>
      <w:r>
        <w:rPr>
          <w:sz w:val="24"/>
          <w:szCs w:val="24"/>
        </w:rPr>
        <w:t>CSLLEA</w:t>
      </w:r>
      <w:r w:rsidR="00AD4DB9" w:rsidRPr="00AD4DB9">
        <w:rPr>
          <w:sz w:val="24"/>
          <w:szCs w:val="24"/>
        </w:rPr>
        <w:t xml:space="preserve">. </w:t>
      </w:r>
    </w:p>
    <w:p w14:paraId="05EA9CAA" w14:textId="77777777" w:rsidR="009B7840" w:rsidRPr="00AD4DB9" w:rsidRDefault="009B7840" w:rsidP="00AD4DB9">
      <w:pPr>
        <w:numPr>
          <w:ilvl w:val="12"/>
          <w:numId w:val="0"/>
        </w:numPr>
        <w:shd w:val="solid" w:color="FFFFFF" w:fill="FFFFFF"/>
        <w:tabs>
          <w:tab w:val="left" w:pos="360"/>
          <w:tab w:val="left" w:pos="840"/>
        </w:tabs>
        <w:rPr>
          <w:sz w:val="24"/>
          <w:szCs w:val="24"/>
        </w:rPr>
      </w:pPr>
    </w:p>
    <w:p w14:paraId="6FA95AA6" w14:textId="65CF5F01" w:rsidR="00AD4DB9" w:rsidRPr="00AD4DB9" w:rsidRDefault="00AD4DB9" w:rsidP="00AD4DB9">
      <w:pPr>
        <w:numPr>
          <w:ilvl w:val="12"/>
          <w:numId w:val="0"/>
        </w:numPr>
        <w:shd w:val="solid" w:color="FFFFFF" w:fill="FFFFFF"/>
        <w:tabs>
          <w:tab w:val="left" w:pos="360"/>
          <w:tab w:val="left" w:pos="840"/>
        </w:tabs>
        <w:rPr>
          <w:sz w:val="24"/>
          <w:szCs w:val="24"/>
        </w:rPr>
      </w:pPr>
      <w:r w:rsidRPr="00AD4DB9">
        <w:rPr>
          <w:sz w:val="24"/>
          <w:szCs w:val="24"/>
        </w:rPr>
        <w:t xml:space="preserve">The proposed </w:t>
      </w:r>
      <w:r w:rsidR="00C04E22">
        <w:rPr>
          <w:sz w:val="24"/>
          <w:szCs w:val="24"/>
        </w:rPr>
        <w:t>2018 CSLLEA</w:t>
      </w:r>
      <w:r w:rsidRPr="00AD4DB9">
        <w:rPr>
          <w:sz w:val="24"/>
          <w:szCs w:val="24"/>
        </w:rPr>
        <w:t xml:space="preserve"> is the only systematic, national-level data collection providing a complete enumeration of the Nation’s </w:t>
      </w:r>
      <w:r w:rsidR="00C04E22">
        <w:rPr>
          <w:sz w:val="24"/>
          <w:szCs w:val="24"/>
        </w:rPr>
        <w:t>state</w:t>
      </w:r>
      <w:r w:rsidRPr="00AD4DB9">
        <w:rPr>
          <w:sz w:val="24"/>
          <w:szCs w:val="24"/>
        </w:rPr>
        <w:t xml:space="preserve"> and local publically-funded law enforcement agencies and counts of their personnel. In addition, the C</w:t>
      </w:r>
      <w:r w:rsidR="00C04E22">
        <w:rPr>
          <w:sz w:val="24"/>
          <w:szCs w:val="24"/>
        </w:rPr>
        <w:t>SLLEA</w:t>
      </w:r>
      <w:r w:rsidRPr="00AD4DB9">
        <w:rPr>
          <w:sz w:val="24"/>
          <w:szCs w:val="24"/>
        </w:rPr>
        <w:t xml:space="preserve"> provides the basis for distinguishing among various types of law enforcement agencies by asking respondents to indicate the types of functions performed by the agency (e.g., law enforcement, investigative, jail management, court security, and process serving). Unlike other sources of law enforcement information, </w:t>
      </w:r>
      <w:r w:rsidR="00D64AFA">
        <w:rPr>
          <w:sz w:val="24"/>
          <w:szCs w:val="24"/>
        </w:rPr>
        <w:t xml:space="preserve">such as the Federal Bureau of Investigation’s (FBI) Police Employee Data or U.S. Census Bureau’s Equal Employment Opportunity (EEO) collection (see section 4), </w:t>
      </w:r>
      <w:r w:rsidR="00C04E22">
        <w:rPr>
          <w:sz w:val="24"/>
          <w:szCs w:val="24"/>
        </w:rPr>
        <w:t>the CSLLEA</w:t>
      </w:r>
      <w:r w:rsidRPr="00AD4DB9">
        <w:rPr>
          <w:sz w:val="24"/>
          <w:szCs w:val="24"/>
        </w:rPr>
        <w:t xml:space="preserve"> provides additional data to supplement basic personnel counts, including breakdown of agency functions, and how sworn personnel are allocated to functions such as duties related to law enforcement, jail operations, and courts.</w:t>
      </w:r>
    </w:p>
    <w:p w14:paraId="4F077609" w14:textId="77777777" w:rsidR="00AD4DB9" w:rsidRPr="00AD4DB9" w:rsidRDefault="00AD4DB9" w:rsidP="00AD4DB9">
      <w:pPr>
        <w:numPr>
          <w:ilvl w:val="12"/>
          <w:numId w:val="0"/>
        </w:numPr>
        <w:shd w:val="solid" w:color="FFFFFF" w:fill="FFFFFF"/>
        <w:tabs>
          <w:tab w:val="left" w:pos="360"/>
          <w:tab w:val="left" w:pos="840"/>
        </w:tabs>
        <w:rPr>
          <w:sz w:val="24"/>
          <w:szCs w:val="24"/>
        </w:rPr>
      </w:pPr>
    </w:p>
    <w:p w14:paraId="6C481F0B" w14:textId="6F15DD0B" w:rsidR="00AD4DB9" w:rsidRDefault="00AD4DB9" w:rsidP="00AD4DB9">
      <w:pPr>
        <w:numPr>
          <w:ilvl w:val="12"/>
          <w:numId w:val="0"/>
        </w:numPr>
        <w:shd w:val="solid" w:color="FFFFFF" w:fill="FFFFFF"/>
        <w:tabs>
          <w:tab w:val="left" w:pos="360"/>
          <w:tab w:val="left" w:pos="840"/>
        </w:tabs>
        <w:rPr>
          <w:sz w:val="24"/>
          <w:szCs w:val="24"/>
        </w:rPr>
      </w:pPr>
      <w:r w:rsidRPr="00AD4DB9">
        <w:rPr>
          <w:sz w:val="24"/>
          <w:szCs w:val="24"/>
        </w:rPr>
        <w:t>Information collected through the C</w:t>
      </w:r>
      <w:r w:rsidR="00C04E22">
        <w:rPr>
          <w:sz w:val="24"/>
          <w:szCs w:val="24"/>
        </w:rPr>
        <w:t>SLLEA</w:t>
      </w:r>
      <w:r w:rsidRPr="00AD4DB9">
        <w:rPr>
          <w:sz w:val="24"/>
          <w:szCs w:val="24"/>
        </w:rPr>
        <w:t xml:space="preserve"> can provide local area estimates of personnel counts and functions; statistics that are essential for better understanding the landscape of American policing.  These important statistics can be used to examine the correlates of crime and estimate the effect of </w:t>
      </w:r>
      <w:r w:rsidR="00C04E22">
        <w:rPr>
          <w:sz w:val="24"/>
          <w:szCs w:val="24"/>
        </w:rPr>
        <w:t xml:space="preserve">law enforcement </w:t>
      </w:r>
      <w:r w:rsidRPr="00AD4DB9">
        <w:rPr>
          <w:sz w:val="24"/>
          <w:szCs w:val="24"/>
        </w:rPr>
        <w:t xml:space="preserve">practices on crime rates.  Agency-level data are needed to better understand </w:t>
      </w:r>
      <w:r w:rsidR="00C04E22">
        <w:rPr>
          <w:sz w:val="24"/>
          <w:szCs w:val="24"/>
        </w:rPr>
        <w:t>law enforcement</w:t>
      </w:r>
      <w:r w:rsidRPr="00AD4DB9">
        <w:rPr>
          <w:sz w:val="24"/>
          <w:szCs w:val="24"/>
        </w:rPr>
        <w:t xml:space="preserve"> performance in terms of crime and victimization rates.  In addition, an understanding of the number and functions of law enforcement personnel will assist in planning for public welfare response to national emergencies.  During a disaster, law enforcement officers play a critical role in operations such as search and rescue, evacuations, door-to-door checks, and maintaining overall public safety.  Information about the number of law enforcement personnel employed by agency and the functions these officers perform will aid in evaluating needs for national emergency preparedness.  No other national data collection can provide comprehensive data on the </w:t>
      </w:r>
      <w:r w:rsidR="00E0393C">
        <w:rPr>
          <w:sz w:val="24"/>
          <w:szCs w:val="24"/>
        </w:rPr>
        <w:t xml:space="preserve">services performed by </w:t>
      </w:r>
      <w:r w:rsidRPr="00AD4DB9">
        <w:rPr>
          <w:sz w:val="24"/>
          <w:szCs w:val="24"/>
        </w:rPr>
        <w:t>law enforcement agencies.</w:t>
      </w:r>
    </w:p>
    <w:p w14:paraId="5753EFF9" w14:textId="77777777" w:rsidR="00AB66CB" w:rsidRDefault="00AB66CB" w:rsidP="00AD4DB9">
      <w:pPr>
        <w:numPr>
          <w:ilvl w:val="12"/>
          <w:numId w:val="0"/>
        </w:numPr>
        <w:shd w:val="solid" w:color="FFFFFF" w:fill="FFFFFF"/>
        <w:tabs>
          <w:tab w:val="left" w:pos="360"/>
          <w:tab w:val="left" w:pos="840"/>
        </w:tabs>
        <w:rPr>
          <w:sz w:val="24"/>
          <w:szCs w:val="24"/>
        </w:rPr>
      </w:pPr>
    </w:p>
    <w:p w14:paraId="47B3609C" w14:textId="09C53087" w:rsidR="00AB66CB" w:rsidRPr="00AD4DB9" w:rsidRDefault="00AB66CB" w:rsidP="00AB66CB">
      <w:pPr>
        <w:numPr>
          <w:ilvl w:val="12"/>
          <w:numId w:val="0"/>
        </w:numPr>
        <w:shd w:val="solid" w:color="FFFFFF" w:fill="FFFFFF"/>
        <w:tabs>
          <w:tab w:val="left" w:pos="360"/>
          <w:tab w:val="left" w:pos="840"/>
        </w:tabs>
        <w:rPr>
          <w:sz w:val="24"/>
          <w:szCs w:val="24"/>
        </w:rPr>
      </w:pPr>
      <w:r w:rsidRPr="00AD4DB9">
        <w:rPr>
          <w:sz w:val="24"/>
          <w:szCs w:val="24"/>
        </w:rPr>
        <w:t>Accurate counts of law enforcement personnel, as well as the type of agencies employing personnel</w:t>
      </w:r>
      <w:r w:rsidR="003F4C04">
        <w:rPr>
          <w:sz w:val="24"/>
          <w:szCs w:val="24"/>
        </w:rPr>
        <w:t>,</w:t>
      </w:r>
      <w:r w:rsidRPr="00AD4DB9">
        <w:rPr>
          <w:sz w:val="24"/>
          <w:szCs w:val="24"/>
        </w:rPr>
        <w:t xml:space="preserve"> are necessary for implementing the majority of BJS’</w:t>
      </w:r>
      <w:r w:rsidR="003F4C04">
        <w:rPr>
          <w:sz w:val="24"/>
          <w:szCs w:val="24"/>
        </w:rPr>
        <w:t>s</w:t>
      </w:r>
      <w:r w:rsidRPr="00AD4DB9">
        <w:rPr>
          <w:sz w:val="24"/>
          <w:szCs w:val="24"/>
        </w:rPr>
        <w:t xml:space="preserve"> law enforcement statistics program. Without these statistics</w:t>
      </w:r>
      <w:r w:rsidR="003F4C04">
        <w:rPr>
          <w:sz w:val="24"/>
          <w:szCs w:val="24"/>
        </w:rPr>
        <w:t>,</w:t>
      </w:r>
      <w:r w:rsidRPr="00AD4DB9">
        <w:rPr>
          <w:sz w:val="24"/>
          <w:szCs w:val="24"/>
        </w:rPr>
        <w:t xml:space="preserve"> BJS could not produce national estimates on the organization and administration of police and sheriffs’ departments, including agency responsibilities, operating expenditures, job functions of sworn and civilian employees, demographic characteristics of sworn personnel, officer salaries, education and training requirements, equipment use, and polices. </w:t>
      </w:r>
    </w:p>
    <w:p w14:paraId="478E1783" w14:textId="77777777" w:rsidR="00AB66CB" w:rsidRDefault="00AB66CB" w:rsidP="00AD4DB9">
      <w:pPr>
        <w:numPr>
          <w:ilvl w:val="12"/>
          <w:numId w:val="0"/>
        </w:numPr>
        <w:shd w:val="solid" w:color="FFFFFF" w:fill="FFFFFF"/>
        <w:tabs>
          <w:tab w:val="left" w:pos="360"/>
          <w:tab w:val="left" w:pos="840"/>
        </w:tabs>
        <w:rPr>
          <w:sz w:val="24"/>
          <w:szCs w:val="24"/>
        </w:rPr>
      </w:pPr>
    </w:p>
    <w:p w14:paraId="3128EA70" w14:textId="34F5A808" w:rsidR="00AB66CB" w:rsidRDefault="009B7840" w:rsidP="00AD4DB9">
      <w:pPr>
        <w:numPr>
          <w:ilvl w:val="12"/>
          <w:numId w:val="0"/>
        </w:numPr>
        <w:shd w:val="solid" w:color="FFFFFF" w:fill="FFFFFF"/>
        <w:tabs>
          <w:tab w:val="left" w:pos="360"/>
          <w:tab w:val="left" w:pos="840"/>
        </w:tabs>
        <w:rPr>
          <w:sz w:val="24"/>
          <w:szCs w:val="24"/>
        </w:rPr>
      </w:pPr>
      <w:r>
        <w:rPr>
          <w:sz w:val="24"/>
          <w:szCs w:val="24"/>
        </w:rPr>
        <w:t>The last administration of the CSLLEA was in 2014 (OMB approval obtained on 5/15/2014; 1121-0346)</w:t>
      </w:r>
      <w:r w:rsidR="003A540C">
        <w:rPr>
          <w:sz w:val="24"/>
          <w:szCs w:val="24"/>
        </w:rPr>
        <w:t xml:space="preserve">. The 2014 CSLLEA was </w:t>
      </w:r>
      <w:r w:rsidR="00D64AFA">
        <w:rPr>
          <w:sz w:val="24"/>
          <w:szCs w:val="24"/>
        </w:rPr>
        <w:t xml:space="preserve">not publically released </w:t>
      </w:r>
      <w:r w:rsidR="00BF75D8">
        <w:rPr>
          <w:sz w:val="24"/>
          <w:szCs w:val="24"/>
        </w:rPr>
        <w:t>due to data collection issues and lower than expected response rate</w:t>
      </w:r>
      <w:r w:rsidR="00AB66CB">
        <w:rPr>
          <w:sz w:val="24"/>
          <w:szCs w:val="24"/>
        </w:rPr>
        <w:t xml:space="preserve"> due to survey length</w:t>
      </w:r>
      <w:r w:rsidR="00BF75D8" w:rsidRPr="00BF75D8">
        <w:rPr>
          <w:sz w:val="24"/>
          <w:szCs w:val="24"/>
        </w:rPr>
        <w:t xml:space="preserve">. </w:t>
      </w:r>
      <w:r w:rsidR="00AB66CB">
        <w:rPr>
          <w:sz w:val="24"/>
          <w:szCs w:val="24"/>
        </w:rPr>
        <w:t>In regards to data collection issues, t</w:t>
      </w:r>
      <w:r w:rsidR="00BF75D8" w:rsidRPr="00BF75D8">
        <w:rPr>
          <w:sz w:val="24"/>
          <w:szCs w:val="24"/>
        </w:rPr>
        <w:t xml:space="preserve">he sampling frame development was poor, with agencies classified incorrectly, and duplicate and out-of-scope agencies were both over- and under-identified. Furthermore, there was a mail merge error that scrambled the agency IDs within certain states </w:t>
      </w:r>
      <w:r w:rsidR="00D64AFA">
        <w:rPr>
          <w:sz w:val="24"/>
          <w:szCs w:val="24"/>
        </w:rPr>
        <w:t>that</w:t>
      </w:r>
      <w:r w:rsidR="00D64AFA" w:rsidRPr="00BF75D8">
        <w:rPr>
          <w:sz w:val="24"/>
          <w:szCs w:val="24"/>
        </w:rPr>
        <w:t xml:space="preserve"> </w:t>
      </w:r>
      <w:r w:rsidR="00BF75D8" w:rsidRPr="00BF75D8">
        <w:rPr>
          <w:sz w:val="24"/>
          <w:szCs w:val="24"/>
        </w:rPr>
        <w:t xml:space="preserve">the data collection agent was unable to remedy. </w:t>
      </w:r>
      <w:r w:rsidR="00AB66CB">
        <w:rPr>
          <w:sz w:val="24"/>
          <w:szCs w:val="24"/>
        </w:rPr>
        <w:t>T</w:t>
      </w:r>
      <w:r w:rsidR="00BF75D8" w:rsidRPr="00BF75D8">
        <w:rPr>
          <w:sz w:val="24"/>
          <w:szCs w:val="24"/>
        </w:rPr>
        <w:t xml:space="preserve">he 2014 CSLLEA </w:t>
      </w:r>
      <w:r w:rsidR="00AB66CB">
        <w:rPr>
          <w:sz w:val="24"/>
          <w:szCs w:val="24"/>
        </w:rPr>
        <w:t xml:space="preserve">instrument was expanded to 21-items from 6-items in the 2008 administration. While part of the expansion was due to </w:t>
      </w:r>
      <w:r w:rsidR="00D64AFA">
        <w:rPr>
          <w:sz w:val="24"/>
          <w:szCs w:val="24"/>
        </w:rPr>
        <w:t>disaggregating</w:t>
      </w:r>
      <w:r w:rsidR="00AB66CB">
        <w:rPr>
          <w:sz w:val="24"/>
          <w:szCs w:val="24"/>
        </w:rPr>
        <w:t xml:space="preserve"> the one function question into 5 separate items, the 2014 instrument included 10 new items. As such the 2014 CSLLEA </w:t>
      </w:r>
      <w:r w:rsidR="00BF75D8" w:rsidRPr="00BF75D8">
        <w:rPr>
          <w:sz w:val="24"/>
          <w:szCs w:val="24"/>
        </w:rPr>
        <w:t xml:space="preserve">only </w:t>
      </w:r>
      <w:r w:rsidR="003A540C" w:rsidRPr="00BF75D8">
        <w:rPr>
          <w:sz w:val="24"/>
          <w:szCs w:val="24"/>
        </w:rPr>
        <w:t>achiev</w:t>
      </w:r>
      <w:r w:rsidR="00BF75D8" w:rsidRPr="00BF75D8">
        <w:rPr>
          <w:sz w:val="24"/>
          <w:szCs w:val="24"/>
        </w:rPr>
        <w:t>ed</w:t>
      </w:r>
      <w:r w:rsidR="003A540C" w:rsidRPr="003A540C">
        <w:rPr>
          <w:sz w:val="24"/>
          <w:szCs w:val="24"/>
        </w:rPr>
        <w:t xml:space="preserve"> an estimated 84% unit response rate with an average 80% item response rate among valid responses</w:t>
      </w:r>
      <w:r w:rsidRPr="003A540C">
        <w:rPr>
          <w:sz w:val="24"/>
          <w:szCs w:val="24"/>
        </w:rPr>
        <w:t>.</w:t>
      </w:r>
      <w:r w:rsidR="00AB66CB">
        <w:rPr>
          <w:sz w:val="24"/>
          <w:szCs w:val="24"/>
        </w:rPr>
        <w:t xml:space="preserve"> </w:t>
      </w:r>
      <w:r w:rsidR="00203C4F">
        <w:rPr>
          <w:sz w:val="24"/>
          <w:szCs w:val="24"/>
        </w:rPr>
        <w:t xml:space="preserve">BJS determined the issues severely compromised the data quality and has not released the 2014 data. </w:t>
      </w:r>
    </w:p>
    <w:p w14:paraId="3AB6900C" w14:textId="77777777" w:rsidR="00AB66CB" w:rsidRDefault="00AB66CB" w:rsidP="00AD4DB9">
      <w:pPr>
        <w:numPr>
          <w:ilvl w:val="12"/>
          <w:numId w:val="0"/>
        </w:numPr>
        <w:shd w:val="solid" w:color="FFFFFF" w:fill="FFFFFF"/>
        <w:tabs>
          <w:tab w:val="left" w:pos="360"/>
          <w:tab w:val="left" w:pos="840"/>
        </w:tabs>
        <w:rPr>
          <w:sz w:val="24"/>
          <w:szCs w:val="24"/>
        </w:rPr>
      </w:pPr>
    </w:p>
    <w:p w14:paraId="7E189785" w14:textId="4BF257B8" w:rsidR="00AD4DB9" w:rsidRPr="00AD4DB9" w:rsidRDefault="006C358F" w:rsidP="00AD4DB9">
      <w:pPr>
        <w:numPr>
          <w:ilvl w:val="12"/>
          <w:numId w:val="0"/>
        </w:numPr>
        <w:shd w:val="solid" w:color="FFFFFF" w:fill="FFFFFF"/>
        <w:tabs>
          <w:tab w:val="left" w:pos="360"/>
          <w:tab w:val="left" w:pos="840"/>
        </w:tabs>
        <w:rPr>
          <w:sz w:val="24"/>
          <w:szCs w:val="24"/>
        </w:rPr>
      </w:pPr>
      <w:r>
        <w:rPr>
          <w:sz w:val="24"/>
          <w:szCs w:val="24"/>
        </w:rPr>
        <w:t xml:space="preserve">To remedy the data collection issues and prevent them from affecting this administration of the CSLLEA, </w:t>
      </w:r>
      <w:r w:rsidR="00AB66CB">
        <w:rPr>
          <w:sz w:val="24"/>
          <w:szCs w:val="24"/>
        </w:rPr>
        <w:t xml:space="preserve">BJS has taken </w:t>
      </w:r>
      <w:r>
        <w:rPr>
          <w:sz w:val="24"/>
          <w:szCs w:val="24"/>
        </w:rPr>
        <w:t xml:space="preserve">several </w:t>
      </w:r>
      <w:r w:rsidR="00AB66CB">
        <w:rPr>
          <w:sz w:val="24"/>
          <w:szCs w:val="24"/>
        </w:rPr>
        <w:t xml:space="preserve">steps. A new data collection agent, RTI International, has been selected to administer the 2018 CSLLEA and has already successfully administered the 2016 LEMAS Body-Worn Camera Supplement </w:t>
      </w:r>
      <w:r w:rsidR="00B221A4">
        <w:rPr>
          <w:sz w:val="24"/>
          <w:szCs w:val="24"/>
        </w:rPr>
        <w:t>(BWCS</w:t>
      </w:r>
      <w:r w:rsidR="00B71456">
        <w:rPr>
          <w:sz w:val="24"/>
          <w:szCs w:val="24"/>
        </w:rPr>
        <w:t>; OMB 1121-0354</w:t>
      </w:r>
      <w:r w:rsidR="00B221A4">
        <w:rPr>
          <w:sz w:val="24"/>
          <w:szCs w:val="24"/>
        </w:rPr>
        <w:t xml:space="preserve">) </w:t>
      </w:r>
      <w:r w:rsidR="00AB66CB">
        <w:rPr>
          <w:sz w:val="24"/>
          <w:szCs w:val="24"/>
        </w:rPr>
        <w:t xml:space="preserve">and 2016 LEMAS core. RTI also began work with BJS in 2015 on the Law Enforcement Agency Roster (LEAR) once it became apparent that the 2014 CSLLEA would not be useful as a frame. </w:t>
      </w:r>
      <w:r w:rsidR="00B221A4" w:rsidRPr="00B221A4">
        <w:rPr>
          <w:sz w:val="24"/>
          <w:szCs w:val="24"/>
        </w:rPr>
        <w:t>Using the 2008 and 2014 CSLLEA universe as the base, the LEAR integrated multiple datasets in an effort to compile a complete list of active general purpose law enforcement agencies.</w:t>
      </w:r>
      <w:r w:rsidR="00203C4F">
        <w:rPr>
          <w:rStyle w:val="FootnoteReference"/>
          <w:sz w:val="24"/>
          <w:szCs w:val="24"/>
        </w:rPr>
        <w:footnoteReference w:id="3"/>
      </w:r>
      <w:r w:rsidR="00B221A4" w:rsidRPr="00B221A4">
        <w:rPr>
          <w:sz w:val="24"/>
          <w:szCs w:val="24"/>
        </w:rPr>
        <w:t xml:space="preserve"> The goal of the LEAR was to serve as the universe list </w:t>
      </w:r>
      <w:r w:rsidR="008700D8">
        <w:rPr>
          <w:sz w:val="24"/>
          <w:szCs w:val="24"/>
        </w:rPr>
        <w:t>from</w:t>
      </w:r>
      <w:r w:rsidR="008700D8" w:rsidRPr="00B221A4">
        <w:rPr>
          <w:sz w:val="24"/>
          <w:szCs w:val="24"/>
        </w:rPr>
        <w:t xml:space="preserve"> </w:t>
      </w:r>
      <w:r w:rsidR="00B221A4" w:rsidRPr="00B221A4">
        <w:rPr>
          <w:sz w:val="24"/>
          <w:szCs w:val="24"/>
        </w:rPr>
        <w:t xml:space="preserve">which the </w:t>
      </w:r>
      <w:r w:rsidR="00B221A4">
        <w:rPr>
          <w:sz w:val="24"/>
          <w:szCs w:val="24"/>
        </w:rPr>
        <w:t xml:space="preserve">2016 LEMAS core and 2016 BWCS samples </w:t>
      </w:r>
      <w:r w:rsidR="00B221A4" w:rsidRPr="00B221A4">
        <w:rPr>
          <w:sz w:val="24"/>
          <w:szCs w:val="24"/>
        </w:rPr>
        <w:t xml:space="preserve">could be pulled. </w:t>
      </w:r>
      <w:r w:rsidR="00B221A4">
        <w:rPr>
          <w:sz w:val="24"/>
          <w:szCs w:val="24"/>
        </w:rPr>
        <w:t xml:space="preserve">The LEAR served this purpose and work has continued to integrate special purpose agencies into the frame for the 2018 CSLLEA administration. </w:t>
      </w:r>
      <w:r w:rsidR="00F8669E">
        <w:rPr>
          <w:sz w:val="24"/>
          <w:szCs w:val="24"/>
        </w:rPr>
        <w:t>As such t</w:t>
      </w:r>
      <w:r w:rsidR="00B221A4">
        <w:rPr>
          <w:sz w:val="24"/>
          <w:szCs w:val="24"/>
        </w:rPr>
        <w:t>he original LEAR has evolved into the Agency Records Management System (ARMS)</w:t>
      </w:r>
      <w:r w:rsidR="00F8669E">
        <w:rPr>
          <w:sz w:val="24"/>
          <w:szCs w:val="24"/>
        </w:rPr>
        <w:t xml:space="preserve">. The ARMS </w:t>
      </w:r>
      <w:r w:rsidR="00B221A4" w:rsidRPr="00B221A4">
        <w:rPr>
          <w:sz w:val="24"/>
          <w:szCs w:val="24"/>
        </w:rPr>
        <w:t>improve</w:t>
      </w:r>
      <w:r w:rsidR="00F8669E">
        <w:rPr>
          <w:sz w:val="24"/>
          <w:szCs w:val="24"/>
        </w:rPr>
        <w:t>s</w:t>
      </w:r>
      <w:r w:rsidR="00B221A4" w:rsidRPr="00B221A4">
        <w:rPr>
          <w:sz w:val="24"/>
          <w:szCs w:val="24"/>
        </w:rPr>
        <w:t xml:space="preserve"> the accuracy of agency contact information </w:t>
      </w:r>
      <w:r w:rsidR="00F8669E">
        <w:rPr>
          <w:sz w:val="24"/>
          <w:szCs w:val="24"/>
        </w:rPr>
        <w:t>by incorporating</w:t>
      </w:r>
      <w:r w:rsidR="00B221A4" w:rsidRPr="00B221A4">
        <w:rPr>
          <w:sz w:val="24"/>
          <w:szCs w:val="24"/>
        </w:rPr>
        <w:t xml:space="preserve"> enhanced review features</w:t>
      </w:r>
      <w:r w:rsidR="00F8669E">
        <w:rPr>
          <w:sz w:val="24"/>
          <w:szCs w:val="24"/>
        </w:rPr>
        <w:t>, faster loading of updated point of contact information from survey administrations and better integration with the LECS website to allow agencies to update their contact information</w:t>
      </w:r>
      <w:r w:rsidR="00B221A4" w:rsidRPr="00B221A4">
        <w:rPr>
          <w:sz w:val="24"/>
          <w:szCs w:val="24"/>
        </w:rPr>
        <w:t xml:space="preserve">. The goal of the ARMS is to increase the speed, accuracy, and ease of keeping agency contact information up to date while reducing burden on staff. </w:t>
      </w:r>
      <w:r w:rsidR="00F8669E">
        <w:rPr>
          <w:sz w:val="24"/>
          <w:szCs w:val="24"/>
        </w:rPr>
        <w:t xml:space="preserve">Additionally, the ARMS will allow BJS to continuously maintain a frame for the CSLLEA and other BJS law enforcement collections rather than having to create a new frame for each administration. </w:t>
      </w:r>
      <w:r w:rsidR="00B221A4">
        <w:rPr>
          <w:sz w:val="24"/>
          <w:szCs w:val="24"/>
        </w:rPr>
        <w:t xml:space="preserve">One of the issues with the lag time between CSLLEA administrations is </w:t>
      </w:r>
      <w:r w:rsidR="007F2B98">
        <w:rPr>
          <w:sz w:val="24"/>
          <w:szCs w:val="24"/>
        </w:rPr>
        <w:t xml:space="preserve">the </w:t>
      </w:r>
      <w:r w:rsidR="00B221A4">
        <w:rPr>
          <w:sz w:val="24"/>
          <w:szCs w:val="24"/>
        </w:rPr>
        <w:t xml:space="preserve">lack of </w:t>
      </w:r>
      <w:r w:rsidR="007F2B98">
        <w:rPr>
          <w:sz w:val="24"/>
          <w:szCs w:val="24"/>
        </w:rPr>
        <w:t xml:space="preserve">a </w:t>
      </w:r>
      <w:r w:rsidR="00B221A4">
        <w:rPr>
          <w:sz w:val="24"/>
          <w:szCs w:val="24"/>
        </w:rPr>
        <w:t xml:space="preserve">current point of contact information </w:t>
      </w:r>
      <w:r w:rsidR="007F2B98">
        <w:rPr>
          <w:sz w:val="24"/>
          <w:szCs w:val="24"/>
        </w:rPr>
        <w:t xml:space="preserve">for </w:t>
      </w:r>
      <w:r w:rsidR="008700D8">
        <w:rPr>
          <w:sz w:val="24"/>
          <w:szCs w:val="24"/>
        </w:rPr>
        <w:t xml:space="preserve">each </w:t>
      </w:r>
      <w:r w:rsidR="00B221A4">
        <w:rPr>
          <w:sz w:val="24"/>
          <w:szCs w:val="24"/>
        </w:rPr>
        <w:t xml:space="preserve">agency, which reduces effective outreach. The ARMS allows BJS to </w:t>
      </w:r>
      <w:r w:rsidR="00F8669E">
        <w:rPr>
          <w:sz w:val="24"/>
          <w:szCs w:val="24"/>
        </w:rPr>
        <w:t xml:space="preserve">continuously </w:t>
      </w:r>
      <w:r w:rsidR="00B221A4">
        <w:rPr>
          <w:sz w:val="24"/>
          <w:szCs w:val="24"/>
        </w:rPr>
        <w:t xml:space="preserve">update contact information </w:t>
      </w:r>
      <w:r w:rsidR="00F8669E">
        <w:rPr>
          <w:sz w:val="24"/>
          <w:szCs w:val="24"/>
        </w:rPr>
        <w:t xml:space="preserve">for </w:t>
      </w:r>
      <w:r w:rsidR="00B221A4">
        <w:rPr>
          <w:sz w:val="24"/>
          <w:szCs w:val="24"/>
        </w:rPr>
        <w:t xml:space="preserve">each data administration. This will ultimately reduce follow-up time and data collection errors when merging in agency information with survey data. </w:t>
      </w:r>
      <w:r w:rsidR="00203C4F">
        <w:rPr>
          <w:sz w:val="24"/>
          <w:szCs w:val="24"/>
        </w:rPr>
        <w:t xml:space="preserve">The current ARMS work has involved verifying agency operating status and current point of contact information for special purpose agencies through online web searches. Once clearance is obtained for the 2018 CSLLEA, RTI will conduct direct agency outreach if information cannot be obtained online. </w:t>
      </w:r>
    </w:p>
    <w:p w14:paraId="1079B6DD" w14:textId="77777777" w:rsidR="00AD4DB9" w:rsidRPr="00AD4DB9" w:rsidRDefault="00AD4DB9" w:rsidP="00AD4DB9">
      <w:pPr>
        <w:numPr>
          <w:ilvl w:val="12"/>
          <w:numId w:val="0"/>
        </w:numPr>
        <w:shd w:val="solid" w:color="FFFFFF" w:fill="FFFFFF"/>
        <w:tabs>
          <w:tab w:val="left" w:pos="360"/>
          <w:tab w:val="left" w:pos="840"/>
        </w:tabs>
        <w:rPr>
          <w:sz w:val="24"/>
          <w:szCs w:val="24"/>
        </w:rPr>
      </w:pPr>
    </w:p>
    <w:p w14:paraId="5FFEB844" w14:textId="24FB62FB" w:rsidR="00AD4DB9" w:rsidRDefault="006C358F" w:rsidP="00AD4DB9">
      <w:pPr>
        <w:numPr>
          <w:ilvl w:val="12"/>
          <w:numId w:val="0"/>
        </w:numPr>
        <w:shd w:val="solid" w:color="FFFFFF" w:fill="FFFFFF"/>
        <w:tabs>
          <w:tab w:val="left" w:pos="360"/>
          <w:tab w:val="left" w:pos="840"/>
        </w:tabs>
        <w:rPr>
          <w:sz w:val="24"/>
          <w:szCs w:val="24"/>
        </w:rPr>
      </w:pPr>
      <w:r>
        <w:rPr>
          <w:sz w:val="24"/>
          <w:szCs w:val="24"/>
        </w:rPr>
        <w:t>To address issues related to the questionnaire length,</w:t>
      </w:r>
      <w:r w:rsidR="00B221A4">
        <w:rPr>
          <w:sz w:val="24"/>
          <w:szCs w:val="24"/>
        </w:rPr>
        <w:t xml:space="preserve"> BJS has reduced the number of items on the 2018 CSLLEA to better match the 2008 administration. The 2018 CSLLEA contains 7</w:t>
      </w:r>
      <w:r>
        <w:rPr>
          <w:sz w:val="24"/>
          <w:szCs w:val="24"/>
        </w:rPr>
        <w:t xml:space="preserve"> </w:t>
      </w:r>
      <w:r w:rsidR="00B221A4">
        <w:rPr>
          <w:sz w:val="24"/>
          <w:szCs w:val="24"/>
        </w:rPr>
        <w:t xml:space="preserve">items, </w:t>
      </w:r>
      <w:r w:rsidR="00203C4F">
        <w:rPr>
          <w:sz w:val="24"/>
          <w:szCs w:val="24"/>
        </w:rPr>
        <w:t xml:space="preserve">including aggregating the </w:t>
      </w:r>
      <w:r w:rsidR="00B221A4">
        <w:rPr>
          <w:sz w:val="24"/>
          <w:szCs w:val="24"/>
        </w:rPr>
        <w:t>function</w:t>
      </w:r>
      <w:r w:rsidR="00203C4F">
        <w:rPr>
          <w:sz w:val="24"/>
          <w:szCs w:val="24"/>
        </w:rPr>
        <w:t>s</w:t>
      </w:r>
      <w:r w:rsidR="00B221A4">
        <w:rPr>
          <w:sz w:val="24"/>
          <w:szCs w:val="24"/>
        </w:rPr>
        <w:t xml:space="preserve"> from </w:t>
      </w:r>
      <w:r w:rsidR="00203C4F">
        <w:rPr>
          <w:sz w:val="24"/>
          <w:szCs w:val="24"/>
        </w:rPr>
        <w:t xml:space="preserve">five items </w:t>
      </w:r>
      <w:r w:rsidR="00B221A4">
        <w:rPr>
          <w:sz w:val="24"/>
          <w:szCs w:val="24"/>
        </w:rPr>
        <w:t xml:space="preserve">to one item. </w:t>
      </w:r>
      <w:r w:rsidR="00860CB8">
        <w:rPr>
          <w:sz w:val="24"/>
          <w:szCs w:val="24"/>
        </w:rPr>
        <w:t xml:space="preserve">Even with the addition of a limited sworn category on the personnel items, </w:t>
      </w:r>
      <w:r>
        <w:rPr>
          <w:sz w:val="24"/>
          <w:szCs w:val="24"/>
        </w:rPr>
        <w:t xml:space="preserve">BJS </w:t>
      </w:r>
      <w:r w:rsidR="00860CB8">
        <w:rPr>
          <w:sz w:val="24"/>
          <w:szCs w:val="24"/>
        </w:rPr>
        <w:t>anticipate</w:t>
      </w:r>
      <w:r>
        <w:rPr>
          <w:sz w:val="24"/>
          <w:szCs w:val="24"/>
        </w:rPr>
        <w:t>s</w:t>
      </w:r>
      <w:r w:rsidR="00860CB8">
        <w:rPr>
          <w:sz w:val="24"/>
          <w:szCs w:val="24"/>
        </w:rPr>
        <w:t xml:space="preserve"> a reduction in burden as the additional category will only help clarify these items for agencies with both types of sworn personnel. Since BJS will also be testing the instrument as part of this clearance package, we will be able to assess if these assumptions are true. If they do not add clarity, </w:t>
      </w:r>
      <w:r>
        <w:rPr>
          <w:sz w:val="24"/>
          <w:szCs w:val="24"/>
        </w:rPr>
        <w:t>the limited sworn</w:t>
      </w:r>
      <w:r w:rsidR="00860CB8">
        <w:rPr>
          <w:sz w:val="24"/>
          <w:szCs w:val="24"/>
        </w:rPr>
        <w:t xml:space="preserve"> category will be dropped and the items will mirror what was administered previously without issues. </w:t>
      </w:r>
    </w:p>
    <w:p w14:paraId="0740FAC3" w14:textId="77777777" w:rsidR="00740DA0" w:rsidRDefault="00740DA0" w:rsidP="00AD4DB9">
      <w:pPr>
        <w:numPr>
          <w:ilvl w:val="12"/>
          <w:numId w:val="0"/>
        </w:numPr>
        <w:shd w:val="solid" w:color="FFFFFF" w:fill="FFFFFF"/>
        <w:tabs>
          <w:tab w:val="left" w:pos="360"/>
          <w:tab w:val="left" w:pos="840"/>
        </w:tabs>
        <w:rPr>
          <w:sz w:val="24"/>
          <w:szCs w:val="24"/>
        </w:rPr>
      </w:pPr>
    </w:p>
    <w:p w14:paraId="04EC815A" w14:textId="205610C3" w:rsidR="00DA1C57" w:rsidRDefault="00DA1C57" w:rsidP="00DA1C57">
      <w:pPr>
        <w:numPr>
          <w:ilvl w:val="12"/>
          <w:numId w:val="0"/>
        </w:numPr>
        <w:shd w:val="solid" w:color="FFFFFF" w:fill="FFFFFF"/>
        <w:tabs>
          <w:tab w:val="left" w:pos="360"/>
          <w:tab w:val="left" w:pos="840"/>
        </w:tabs>
        <w:rPr>
          <w:sz w:val="24"/>
          <w:szCs w:val="24"/>
        </w:rPr>
      </w:pPr>
      <w:r w:rsidRPr="00DA1C57">
        <w:rPr>
          <w:sz w:val="24"/>
          <w:szCs w:val="24"/>
        </w:rPr>
        <w:t xml:space="preserve">The first page of the </w:t>
      </w:r>
      <w:r w:rsidR="00F2628C">
        <w:rPr>
          <w:sz w:val="24"/>
          <w:szCs w:val="24"/>
        </w:rPr>
        <w:t>2018 CSLLEA</w:t>
      </w:r>
      <w:r w:rsidRPr="00DA1C57">
        <w:rPr>
          <w:sz w:val="24"/>
          <w:szCs w:val="24"/>
        </w:rPr>
        <w:t xml:space="preserve"> captures basic descriptive information abo</w:t>
      </w:r>
      <w:r w:rsidR="00F2628C">
        <w:rPr>
          <w:sz w:val="24"/>
          <w:szCs w:val="24"/>
        </w:rPr>
        <w:t>ut the name, address and Agency Record Identifier (ORI),</w:t>
      </w:r>
      <w:r w:rsidRPr="00DA1C57">
        <w:rPr>
          <w:sz w:val="24"/>
          <w:szCs w:val="24"/>
        </w:rPr>
        <w:t xml:space="preserve"> </w:t>
      </w:r>
      <w:r w:rsidR="00F2628C">
        <w:rPr>
          <w:sz w:val="24"/>
          <w:szCs w:val="24"/>
        </w:rPr>
        <w:t>which can link the</w:t>
      </w:r>
      <w:r w:rsidRPr="00DA1C57">
        <w:rPr>
          <w:sz w:val="24"/>
          <w:szCs w:val="24"/>
        </w:rPr>
        <w:t xml:space="preserve"> responses to past and future law enforcement organizational surveys. Information about the person completing the survey is also captured. This info</w:t>
      </w:r>
      <w:r w:rsidR="00F2628C">
        <w:rPr>
          <w:sz w:val="24"/>
          <w:szCs w:val="24"/>
        </w:rPr>
        <w:t>rmation directly addresses a</w:t>
      </w:r>
      <w:r w:rsidR="00F2628C" w:rsidRPr="00AD4DB9">
        <w:rPr>
          <w:sz w:val="24"/>
          <w:szCs w:val="24"/>
        </w:rPr>
        <w:t xml:space="preserve"> </w:t>
      </w:r>
      <w:r w:rsidR="00F2628C">
        <w:rPr>
          <w:sz w:val="24"/>
          <w:szCs w:val="24"/>
        </w:rPr>
        <w:t xml:space="preserve">2009 </w:t>
      </w:r>
      <w:r w:rsidR="00F2628C" w:rsidRPr="00AD4DB9">
        <w:rPr>
          <w:sz w:val="24"/>
          <w:szCs w:val="24"/>
        </w:rPr>
        <w:t>review of BJS programs by the National Research Council (NRC)</w:t>
      </w:r>
      <w:r w:rsidR="00F2628C">
        <w:rPr>
          <w:sz w:val="24"/>
          <w:szCs w:val="24"/>
        </w:rPr>
        <w:t>, which</w:t>
      </w:r>
      <w:r w:rsidR="00F2628C" w:rsidRPr="00AD4DB9">
        <w:rPr>
          <w:sz w:val="24"/>
          <w:szCs w:val="24"/>
        </w:rPr>
        <w:t xml:space="preserve"> recommended that BJS law enforcement surveys should “collect more information about law enforcement agency behavior and performance and enhance the use of agency identifiers to encourage the linkage of agency-specific organizational characteristics with agency specific-crime statistics and with the demographic characteristics of the juri</w:t>
      </w:r>
      <w:r w:rsidR="00F2628C">
        <w:rPr>
          <w:sz w:val="24"/>
          <w:szCs w:val="24"/>
        </w:rPr>
        <w:t>sdictions served by each agency</w:t>
      </w:r>
      <w:r w:rsidR="00F2628C" w:rsidRPr="00AD4DB9">
        <w:rPr>
          <w:sz w:val="24"/>
          <w:szCs w:val="24"/>
        </w:rPr>
        <w:t>”</w:t>
      </w:r>
      <w:r w:rsidR="00F2628C">
        <w:rPr>
          <w:sz w:val="24"/>
          <w:szCs w:val="24"/>
        </w:rPr>
        <w:t>.</w:t>
      </w:r>
      <w:r w:rsidR="00F2628C" w:rsidRPr="00AD4DB9">
        <w:rPr>
          <w:sz w:val="24"/>
          <w:szCs w:val="24"/>
        </w:rPr>
        <w:t xml:space="preserve"> </w:t>
      </w:r>
      <w:r w:rsidR="00F2628C">
        <w:rPr>
          <w:sz w:val="24"/>
          <w:szCs w:val="24"/>
        </w:rPr>
        <w:t xml:space="preserve">In addition to capturing this on the survey, the ARMS contains multiple identifiers such as ORI (used by the FBI UCR) and FIPS codes used by the Census Bureau. The ARMS ID will be used on the CSLLEA instrument and the ORI reported by agencies will be verified against what we have obtained previously. These unique IDs will already be associated with each agency within the CSLLEA to allow for easy linkage to other datasets, including the LEMAS and past CSLLEA waves. </w:t>
      </w:r>
    </w:p>
    <w:p w14:paraId="1FFFA773" w14:textId="77777777" w:rsidR="00F2628C" w:rsidRDefault="00F2628C" w:rsidP="00DA1C57">
      <w:pPr>
        <w:numPr>
          <w:ilvl w:val="12"/>
          <w:numId w:val="0"/>
        </w:numPr>
        <w:shd w:val="solid" w:color="FFFFFF" w:fill="FFFFFF"/>
        <w:tabs>
          <w:tab w:val="left" w:pos="360"/>
          <w:tab w:val="left" w:pos="840"/>
        </w:tabs>
        <w:rPr>
          <w:sz w:val="24"/>
          <w:szCs w:val="24"/>
        </w:rPr>
      </w:pPr>
    </w:p>
    <w:p w14:paraId="6467C147" w14:textId="20CDDEA3" w:rsidR="00740DA0" w:rsidRDefault="00740DA0" w:rsidP="00740DA0">
      <w:pPr>
        <w:numPr>
          <w:ilvl w:val="12"/>
          <w:numId w:val="0"/>
        </w:numPr>
        <w:shd w:val="solid" w:color="FFFFFF" w:fill="FFFFFF"/>
        <w:tabs>
          <w:tab w:val="left" w:pos="360"/>
          <w:tab w:val="left" w:pos="840"/>
        </w:tabs>
        <w:rPr>
          <w:sz w:val="24"/>
          <w:szCs w:val="24"/>
        </w:rPr>
      </w:pPr>
      <w:r w:rsidRPr="00AD4DB9">
        <w:rPr>
          <w:sz w:val="24"/>
          <w:szCs w:val="24"/>
        </w:rPr>
        <w:t>The proposed CSLLEA instrument (CJ-38</w:t>
      </w:r>
      <w:r w:rsidR="00F8669E">
        <w:rPr>
          <w:sz w:val="24"/>
          <w:szCs w:val="24"/>
        </w:rPr>
        <w:t xml:space="preserve">; </w:t>
      </w:r>
      <w:r w:rsidR="00F8669E" w:rsidRPr="00FC5938">
        <w:rPr>
          <w:sz w:val="24"/>
          <w:szCs w:val="24"/>
        </w:rPr>
        <w:t>Attachment 1</w:t>
      </w:r>
      <w:r w:rsidRPr="00FC5938">
        <w:rPr>
          <w:sz w:val="24"/>
          <w:szCs w:val="24"/>
        </w:rPr>
        <w:t>) includes</w:t>
      </w:r>
      <w:r>
        <w:rPr>
          <w:sz w:val="24"/>
          <w:szCs w:val="24"/>
        </w:rPr>
        <w:t xml:space="preserve"> 7-items that fall into </w:t>
      </w:r>
      <w:r w:rsidR="00F8669E">
        <w:rPr>
          <w:sz w:val="24"/>
          <w:szCs w:val="24"/>
        </w:rPr>
        <w:t>four</w:t>
      </w:r>
      <w:r>
        <w:rPr>
          <w:sz w:val="24"/>
          <w:szCs w:val="24"/>
        </w:rPr>
        <w:t xml:space="preserve"> categories</w:t>
      </w:r>
      <w:r w:rsidRPr="00AD4DB9">
        <w:rPr>
          <w:sz w:val="24"/>
          <w:szCs w:val="24"/>
        </w:rPr>
        <w:t>:</w:t>
      </w:r>
    </w:p>
    <w:p w14:paraId="7B6EA98A" w14:textId="77777777" w:rsidR="00740DA0" w:rsidRPr="00AD4DB9" w:rsidRDefault="00740DA0" w:rsidP="00740DA0">
      <w:pPr>
        <w:numPr>
          <w:ilvl w:val="12"/>
          <w:numId w:val="0"/>
        </w:numPr>
        <w:shd w:val="solid" w:color="FFFFFF" w:fill="FFFFFF"/>
        <w:tabs>
          <w:tab w:val="left" w:pos="360"/>
          <w:tab w:val="left" w:pos="840"/>
        </w:tabs>
        <w:rPr>
          <w:sz w:val="24"/>
          <w:szCs w:val="24"/>
        </w:rPr>
      </w:pPr>
    </w:p>
    <w:p w14:paraId="5F6B10C9" w14:textId="77777777" w:rsidR="00740DA0" w:rsidRDefault="00740DA0" w:rsidP="00740DA0">
      <w:pPr>
        <w:pStyle w:val="ListParagraph"/>
        <w:numPr>
          <w:ilvl w:val="0"/>
          <w:numId w:val="28"/>
        </w:numPr>
        <w:shd w:val="solid" w:color="FFFFFF" w:fill="FFFFFF"/>
        <w:tabs>
          <w:tab w:val="left" w:pos="360"/>
          <w:tab w:val="left" w:pos="840"/>
        </w:tabs>
        <w:rPr>
          <w:sz w:val="24"/>
          <w:szCs w:val="24"/>
        </w:rPr>
      </w:pPr>
      <w:r>
        <w:rPr>
          <w:sz w:val="24"/>
          <w:szCs w:val="24"/>
        </w:rPr>
        <w:t>Agency Geographic Jurisdiction (Q1-2)</w:t>
      </w:r>
    </w:p>
    <w:p w14:paraId="296FE063" w14:textId="77777777" w:rsidR="00740DA0" w:rsidRDefault="00740DA0" w:rsidP="00740DA0">
      <w:pPr>
        <w:pStyle w:val="ListParagraph"/>
        <w:shd w:val="solid" w:color="FFFFFF" w:fill="FFFFFF"/>
        <w:tabs>
          <w:tab w:val="left" w:pos="360"/>
          <w:tab w:val="left" w:pos="840"/>
        </w:tabs>
        <w:rPr>
          <w:sz w:val="24"/>
          <w:szCs w:val="24"/>
        </w:rPr>
      </w:pPr>
    </w:p>
    <w:p w14:paraId="440008FC" w14:textId="77777777" w:rsidR="00740DA0" w:rsidRDefault="00740DA0" w:rsidP="00740DA0">
      <w:pPr>
        <w:pStyle w:val="ListParagraph"/>
        <w:shd w:val="solid" w:color="FFFFFF" w:fill="FFFFFF"/>
        <w:tabs>
          <w:tab w:val="left" w:pos="360"/>
          <w:tab w:val="left" w:pos="840"/>
        </w:tabs>
        <w:rPr>
          <w:sz w:val="24"/>
          <w:szCs w:val="24"/>
        </w:rPr>
      </w:pPr>
      <w:r>
        <w:rPr>
          <w:sz w:val="24"/>
          <w:szCs w:val="24"/>
        </w:rPr>
        <w:t xml:space="preserve">Previous administrations of the CSLLEA (1986, 1992, 2000, and 2014) included an item that described the type of government or geographic jurisdiction covered by the agency (Q1). The item allows BJS to classify agency type, which is used for stratification to sample for other collections. It also allowed BJS to examine the functions of law enforcement agencies across different types. New to the 2014 CSLLEA is an additional item asking if the agency serves as the primary law enforcement agency within that jurisdiction. Due to increasing coordination among law enforcement agencies, this will help us identify who takes the lead in enforcement versus who serves in a supplemental capacity. For certain survey collections, such as the LEMAS core, one of the respondent requirements is for the agency to have primary law enforcement function so including this item will allow BJS to better identify eligible agencies for the sampling frame. </w:t>
      </w:r>
    </w:p>
    <w:p w14:paraId="50658F47" w14:textId="77777777" w:rsidR="00740DA0" w:rsidRDefault="00740DA0" w:rsidP="00740DA0">
      <w:pPr>
        <w:pStyle w:val="ListParagraph"/>
        <w:shd w:val="solid" w:color="FFFFFF" w:fill="FFFFFF"/>
        <w:tabs>
          <w:tab w:val="left" w:pos="360"/>
          <w:tab w:val="left" w:pos="840"/>
        </w:tabs>
        <w:rPr>
          <w:sz w:val="24"/>
          <w:szCs w:val="24"/>
        </w:rPr>
      </w:pPr>
    </w:p>
    <w:p w14:paraId="63366790" w14:textId="77777777" w:rsidR="00740DA0" w:rsidRDefault="00740DA0" w:rsidP="00740DA0">
      <w:pPr>
        <w:pStyle w:val="ListParagraph"/>
        <w:numPr>
          <w:ilvl w:val="0"/>
          <w:numId w:val="28"/>
        </w:numPr>
        <w:shd w:val="solid" w:color="FFFFFF" w:fill="FFFFFF"/>
        <w:tabs>
          <w:tab w:val="left" w:pos="360"/>
          <w:tab w:val="left" w:pos="840"/>
        </w:tabs>
        <w:rPr>
          <w:sz w:val="24"/>
          <w:szCs w:val="24"/>
        </w:rPr>
      </w:pPr>
      <w:r>
        <w:rPr>
          <w:sz w:val="24"/>
          <w:szCs w:val="24"/>
        </w:rPr>
        <w:t>Operating Budget (Q3)</w:t>
      </w:r>
    </w:p>
    <w:p w14:paraId="392FF82C" w14:textId="080984AF" w:rsidR="00740DA0" w:rsidRPr="004D4BE7" w:rsidRDefault="00740DA0" w:rsidP="00740DA0">
      <w:pPr>
        <w:pStyle w:val="ListParagraph"/>
        <w:shd w:val="solid" w:color="FFFFFF" w:fill="FFFFFF"/>
        <w:tabs>
          <w:tab w:val="left" w:pos="360"/>
          <w:tab w:val="left" w:pos="840"/>
        </w:tabs>
        <w:rPr>
          <w:sz w:val="24"/>
          <w:szCs w:val="24"/>
        </w:rPr>
      </w:pPr>
      <w:r w:rsidRPr="004D4BE7">
        <w:rPr>
          <w:sz w:val="24"/>
          <w:szCs w:val="24"/>
        </w:rPr>
        <w:t xml:space="preserve">We collect </w:t>
      </w:r>
      <w:r>
        <w:rPr>
          <w:sz w:val="24"/>
          <w:szCs w:val="24"/>
        </w:rPr>
        <w:t>the</w:t>
      </w:r>
      <w:r w:rsidRPr="004D4BE7">
        <w:rPr>
          <w:sz w:val="24"/>
          <w:szCs w:val="24"/>
        </w:rPr>
        <w:t xml:space="preserve"> total operating </w:t>
      </w:r>
      <w:r>
        <w:rPr>
          <w:sz w:val="24"/>
          <w:szCs w:val="24"/>
        </w:rPr>
        <w:t>budget from each law enforcement agency</w:t>
      </w:r>
      <w:r w:rsidRPr="004D4BE7">
        <w:rPr>
          <w:sz w:val="24"/>
          <w:szCs w:val="24"/>
        </w:rPr>
        <w:t xml:space="preserve">. </w:t>
      </w:r>
      <w:r>
        <w:rPr>
          <w:sz w:val="24"/>
          <w:szCs w:val="24"/>
        </w:rPr>
        <w:t>This information is often used in conjunction with personnel size (authorized vs actual) in order to assess budget constraints.</w:t>
      </w:r>
      <w:r w:rsidR="00255EEB">
        <w:rPr>
          <w:sz w:val="24"/>
          <w:szCs w:val="24"/>
        </w:rPr>
        <w:t xml:space="preserve"> Budget is also used to determine optimal staffing sizes. </w:t>
      </w:r>
    </w:p>
    <w:p w14:paraId="0050894E" w14:textId="77777777" w:rsidR="00740DA0" w:rsidRDefault="00740DA0" w:rsidP="00740DA0">
      <w:pPr>
        <w:pStyle w:val="ListParagraph"/>
        <w:shd w:val="solid" w:color="FFFFFF" w:fill="FFFFFF"/>
        <w:tabs>
          <w:tab w:val="left" w:pos="360"/>
          <w:tab w:val="left" w:pos="840"/>
        </w:tabs>
        <w:rPr>
          <w:sz w:val="24"/>
          <w:szCs w:val="24"/>
        </w:rPr>
      </w:pPr>
    </w:p>
    <w:p w14:paraId="2CB0163B" w14:textId="77777777" w:rsidR="00740DA0" w:rsidRDefault="00740DA0" w:rsidP="00740DA0">
      <w:pPr>
        <w:pStyle w:val="ListParagraph"/>
        <w:numPr>
          <w:ilvl w:val="0"/>
          <w:numId w:val="28"/>
        </w:numPr>
        <w:shd w:val="solid" w:color="FFFFFF" w:fill="FFFFFF"/>
        <w:tabs>
          <w:tab w:val="left" w:pos="360"/>
          <w:tab w:val="left" w:pos="840"/>
        </w:tabs>
        <w:rPr>
          <w:sz w:val="24"/>
          <w:szCs w:val="24"/>
        </w:rPr>
      </w:pPr>
      <w:r>
        <w:rPr>
          <w:sz w:val="24"/>
          <w:szCs w:val="24"/>
        </w:rPr>
        <w:t>Functions (Q4)</w:t>
      </w:r>
    </w:p>
    <w:p w14:paraId="7A51A54E" w14:textId="77777777" w:rsidR="00740DA0" w:rsidRDefault="00740DA0" w:rsidP="00740DA0">
      <w:pPr>
        <w:pStyle w:val="ListParagraph"/>
        <w:shd w:val="solid" w:color="FFFFFF" w:fill="FFFFFF"/>
        <w:tabs>
          <w:tab w:val="left" w:pos="360"/>
          <w:tab w:val="left" w:pos="840"/>
        </w:tabs>
        <w:rPr>
          <w:sz w:val="24"/>
          <w:szCs w:val="24"/>
        </w:rPr>
      </w:pPr>
    </w:p>
    <w:p w14:paraId="293FA1B1" w14:textId="007ADDDC" w:rsidR="00740DA0" w:rsidRDefault="00740DA0" w:rsidP="00740DA0">
      <w:pPr>
        <w:shd w:val="solid" w:color="FFFFFF" w:fill="FFFFFF"/>
        <w:tabs>
          <w:tab w:val="left" w:pos="360"/>
          <w:tab w:val="left" w:pos="840"/>
        </w:tabs>
        <w:ind w:left="720"/>
        <w:rPr>
          <w:sz w:val="24"/>
          <w:szCs w:val="24"/>
        </w:rPr>
      </w:pPr>
      <w:r w:rsidRPr="00AD4DB9">
        <w:rPr>
          <w:sz w:val="24"/>
          <w:szCs w:val="24"/>
        </w:rPr>
        <w:t>T</w:t>
      </w:r>
      <w:r>
        <w:rPr>
          <w:sz w:val="24"/>
          <w:szCs w:val="24"/>
        </w:rPr>
        <w:t>he proposed 2018</w:t>
      </w:r>
      <w:r w:rsidRPr="00AD4DB9">
        <w:rPr>
          <w:sz w:val="24"/>
          <w:szCs w:val="24"/>
        </w:rPr>
        <w:t xml:space="preserve"> CSLLEA instrument will indicate the type of functions performed including patrol and response, criminal investigation, </w:t>
      </w:r>
      <w:r>
        <w:rPr>
          <w:sz w:val="24"/>
          <w:szCs w:val="24"/>
        </w:rPr>
        <w:t xml:space="preserve">traffic, </w:t>
      </w:r>
      <w:r w:rsidRPr="00AD4DB9">
        <w:rPr>
          <w:sz w:val="24"/>
          <w:szCs w:val="24"/>
        </w:rPr>
        <w:t>detention-related, court-related services</w:t>
      </w:r>
      <w:r>
        <w:rPr>
          <w:sz w:val="24"/>
          <w:szCs w:val="24"/>
        </w:rPr>
        <w:t>, forensic services, task force participation and specialized functions</w:t>
      </w:r>
      <w:r w:rsidRPr="00AD4DB9">
        <w:rPr>
          <w:sz w:val="24"/>
          <w:szCs w:val="24"/>
        </w:rPr>
        <w:t xml:space="preserve">. Detailed sub-functions in each of these sections will provide a descriptive overview of the various services and roles law enforcement agencies provide to the community and general criminal justice system. </w:t>
      </w:r>
    </w:p>
    <w:p w14:paraId="092ABCA0" w14:textId="77777777" w:rsidR="00740DA0" w:rsidRPr="002476E1" w:rsidRDefault="00740DA0" w:rsidP="00740DA0">
      <w:pPr>
        <w:shd w:val="solid" w:color="FFFFFF" w:fill="FFFFFF"/>
        <w:tabs>
          <w:tab w:val="left" w:pos="360"/>
          <w:tab w:val="left" w:pos="840"/>
        </w:tabs>
        <w:rPr>
          <w:sz w:val="24"/>
          <w:szCs w:val="24"/>
        </w:rPr>
      </w:pPr>
    </w:p>
    <w:p w14:paraId="4792F7E1" w14:textId="77777777" w:rsidR="00740DA0" w:rsidRDefault="00740DA0" w:rsidP="00740DA0">
      <w:pPr>
        <w:pStyle w:val="ListParagraph"/>
        <w:numPr>
          <w:ilvl w:val="0"/>
          <w:numId w:val="28"/>
        </w:numPr>
        <w:shd w:val="solid" w:color="FFFFFF" w:fill="FFFFFF"/>
        <w:tabs>
          <w:tab w:val="left" w:pos="360"/>
          <w:tab w:val="left" w:pos="840"/>
        </w:tabs>
        <w:rPr>
          <w:sz w:val="24"/>
          <w:szCs w:val="24"/>
        </w:rPr>
      </w:pPr>
      <w:r>
        <w:rPr>
          <w:sz w:val="24"/>
          <w:szCs w:val="24"/>
        </w:rPr>
        <w:t>Personnel (Q5-7)</w:t>
      </w:r>
    </w:p>
    <w:p w14:paraId="6C3C3D97" w14:textId="77777777" w:rsidR="00740DA0" w:rsidRDefault="00740DA0" w:rsidP="00740DA0">
      <w:pPr>
        <w:pStyle w:val="ListParagraph"/>
        <w:shd w:val="solid" w:color="FFFFFF" w:fill="FFFFFF"/>
        <w:tabs>
          <w:tab w:val="left" w:pos="360"/>
          <w:tab w:val="left" w:pos="840"/>
        </w:tabs>
        <w:rPr>
          <w:sz w:val="24"/>
          <w:szCs w:val="24"/>
        </w:rPr>
      </w:pPr>
    </w:p>
    <w:p w14:paraId="5E13B54D" w14:textId="54B6A3B0" w:rsidR="00740DA0" w:rsidRDefault="00740DA0" w:rsidP="00740DA0">
      <w:pPr>
        <w:numPr>
          <w:ilvl w:val="12"/>
          <w:numId w:val="0"/>
        </w:numPr>
        <w:shd w:val="solid" w:color="FFFFFF" w:fill="FFFFFF"/>
        <w:tabs>
          <w:tab w:val="left" w:pos="360"/>
          <w:tab w:val="left" w:pos="840"/>
        </w:tabs>
        <w:ind w:left="720"/>
        <w:rPr>
          <w:sz w:val="24"/>
          <w:szCs w:val="24"/>
        </w:rPr>
      </w:pPr>
      <w:r>
        <w:rPr>
          <w:sz w:val="24"/>
          <w:szCs w:val="24"/>
        </w:rPr>
        <w:t>The proposed 2018</w:t>
      </w:r>
      <w:r w:rsidRPr="00AD4DB9">
        <w:rPr>
          <w:sz w:val="24"/>
          <w:szCs w:val="24"/>
        </w:rPr>
        <w:t xml:space="preserve"> CSLLEA instrument will indicate the number of authorized full-time sworn positions and collect detailed information on the number of full-time and part-time, </w:t>
      </w:r>
      <w:r>
        <w:rPr>
          <w:sz w:val="24"/>
          <w:szCs w:val="24"/>
        </w:rPr>
        <w:t xml:space="preserve">fully </w:t>
      </w:r>
      <w:r w:rsidRPr="00AD4DB9">
        <w:rPr>
          <w:sz w:val="24"/>
          <w:szCs w:val="24"/>
        </w:rPr>
        <w:t>sworn</w:t>
      </w:r>
      <w:r>
        <w:rPr>
          <w:sz w:val="24"/>
          <w:szCs w:val="24"/>
        </w:rPr>
        <w:t>, limited sworn</w:t>
      </w:r>
      <w:r w:rsidRPr="00AD4DB9">
        <w:rPr>
          <w:sz w:val="24"/>
          <w:szCs w:val="24"/>
        </w:rPr>
        <w:t xml:space="preserve"> and non-sworn paid personnel in </w:t>
      </w:r>
      <w:r>
        <w:rPr>
          <w:sz w:val="24"/>
          <w:szCs w:val="24"/>
        </w:rPr>
        <w:t>law enforcement</w:t>
      </w:r>
      <w:r w:rsidRPr="00AD4DB9">
        <w:rPr>
          <w:sz w:val="24"/>
          <w:szCs w:val="24"/>
        </w:rPr>
        <w:t xml:space="preserve"> agencies. These counts provide a general description of agency size and are used to identify changes in the number and type of personnel employed nationally. </w:t>
      </w:r>
      <w:r>
        <w:rPr>
          <w:sz w:val="24"/>
          <w:szCs w:val="24"/>
        </w:rPr>
        <w:t xml:space="preserve">Of special interest are differences between sworn officers with general arrest powers and those with limited arrest powers. While BJS has measured the counts of general versus limited in LEMAS administrations and has found </w:t>
      </w:r>
      <w:r w:rsidR="00140F7A">
        <w:rPr>
          <w:sz w:val="24"/>
          <w:szCs w:val="24"/>
        </w:rPr>
        <w:t>evidence that this is a useful distinction for</w:t>
      </w:r>
      <w:r>
        <w:rPr>
          <w:sz w:val="24"/>
          <w:szCs w:val="24"/>
        </w:rPr>
        <w:t xml:space="preserve"> sheriffs’ offices, little is known about the use of limited sworn personnel in special purpose agencies. Through cognitive testing we will be able to determine how often limited sworn </w:t>
      </w:r>
      <w:r w:rsidR="00E66913">
        <w:rPr>
          <w:sz w:val="24"/>
          <w:szCs w:val="24"/>
        </w:rPr>
        <w:t xml:space="preserve">officers </w:t>
      </w:r>
      <w:r>
        <w:rPr>
          <w:sz w:val="24"/>
          <w:szCs w:val="24"/>
        </w:rPr>
        <w:t xml:space="preserve">are employed by agency types and also obtain further clarity on proper terminology (e.g., fully </w:t>
      </w:r>
      <w:r w:rsidR="00E66913">
        <w:rPr>
          <w:sz w:val="24"/>
          <w:szCs w:val="24"/>
        </w:rPr>
        <w:t xml:space="preserve">sworn </w:t>
      </w:r>
      <w:r>
        <w:rPr>
          <w:sz w:val="24"/>
          <w:szCs w:val="24"/>
        </w:rPr>
        <w:t>versus limited</w:t>
      </w:r>
      <w:r w:rsidR="00E66913">
        <w:rPr>
          <w:sz w:val="24"/>
          <w:szCs w:val="24"/>
        </w:rPr>
        <w:t xml:space="preserve"> sworn</w:t>
      </w:r>
      <w:r>
        <w:rPr>
          <w:sz w:val="24"/>
          <w:szCs w:val="24"/>
        </w:rPr>
        <w:t xml:space="preserve">) on these items.  </w:t>
      </w:r>
    </w:p>
    <w:p w14:paraId="351F3718" w14:textId="77777777" w:rsidR="00740DA0" w:rsidRDefault="00740DA0" w:rsidP="00740DA0">
      <w:pPr>
        <w:numPr>
          <w:ilvl w:val="12"/>
          <w:numId w:val="0"/>
        </w:numPr>
        <w:shd w:val="solid" w:color="FFFFFF" w:fill="FFFFFF"/>
        <w:tabs>
          <w:tab w:val="left" w:pos="360"/>
          <w:tab w:val="left" w:pos="840"/>
        </w:tabs>
        <w:ind w:left="720"/>
        <w:rPr>
          <w:sz w:val="24"/>
          <w:szCs w:val="24"/>
        </w:rPr>
      </w:pPr>
    </w:p>
    <w:p w14:paraId="099171AF" w14:textId="220CF4BF" w:rsidR="00740DA0" w:rsidRPr="00AD4DB9" w:rsidRDefault="00740DA0" w:rsidP="00740DA0">
      <w:pPr>
        <w:numPr>
          <w:ilvl w:val="12"/>
          <w:numId w:val="0"/>
        </w:numPr>
        <w:shd w:val="solid" w:color="FFFFFF" w:fill="FFFFFF"/>
        <w:tabs>
          <w:tab w:val="left" w:pos="360"/>
          <w:tab w:val="left" w:pos="840"/>
        </w:tabs>
        <w:ind w:left="720"/>
        <w:rPr>
          <w:sz w:val="24"/>
          <w:szCs w:val="24"/>
        </w:rPr>
      </w:pPr>
      <w:r w:rsidRPr="00AD4DB9">
        <w:rPr>
          <w:sz w:val="24"/>
          <w:szCs w:val="24"/>
        </w:rPr>
        <w:t xml:space="preserve">In addition to providing a national enumeration of full-time sworn personnel employed by law enforcement agencies, the instrument will collect data on the sex of officers. </w:t>
      </w:r>
      <w:r>
        <w:rPr>
          <w:sz w:val="24"/>
          <w:szCs w:val="24"/>
        </w:rPr>
        <w:t xml:space="preserve">About 12% of sworn officers in general purpose agencies are female. We do not know the extent of female representation in special purpose agencies. There has been increased attention on the number of women in law enforcement and the CSLLEA will be able to provide this information for every law enforcement agency in the US. </w:t>
      </w:r>
    </w:p>
    <w:p w14:paraId="2BC2F182" w14:textId="77777777" w:rsidR="00740DA0" w:rsidRDefault="00740DA0" w:rsidP="00740DA0">
      <w:pPr>
        <w:numPr>
          <w:ilvl w:val="12"/>
          <w:numId w:val="0"/>
        </w:numPr>
        <w:shd w:val="solid" w:color="FFFFFF" w:fill="FFFFFF"/>
        <w:tabs>
          <w:tab w:val="left" w:pos="360"/>
          <w:tab w:val="left" w:pos="840"/>
        </w:tabs>
        <w:rPr>
          <w:sz w:val="24"/>
          <w:szCs w:val="24"/>
        </w:rPr>
      </w:pPr>
    </w:p>
    <w:p w14:paraId="2DC79FF3" w14:textId="317CF602" w:rsidR="00F2628C" w:rsidRPr="00AD4DB9" w:rsidRDefault="00F2628C" w:rsidP="00740DA0">
      <w:pPr>
        <w:numPr>
          <w:ilvl w:val="12"/>
          <w:numId w:val="0"/>
        </w:numPr>
        <w:shd w:val="solid" w:color="FFFFFF" w:fill="FFFFFF"/>
        <w:tabs>
          <w:tab w:val="left" w:pos="360"/>
          <w:tab w:val="left" w:pos="840"/>
        </w:tabs>
        <w:rPr>
          <w:sz w:val="24"/>
          <w:szCs w:val="24"/>
        </w:rPr>
      </w:pPr>
      <w:r>
        <w:rPr>
          <w:sz w:val="24"/>
          <w:szCs w:val="24"/>
        </w:rPr>
        <w:t>Cognitive testing of the 2018 CSLLEA will be conducted in spring 2018 immediately after receiving OMB approval. Pending successful completion of cognitive testing</w:t>
      </w:r>
      <w:r w:rsidR="00E66913">
        <w:rPr>
          <w:sz w:val="24"/>
          <w:szCs w:val="24"/>
        </w:rPr>
        <w:t xml:space="preserve"> (i.e., instrument requires minimal modifications that will not increase respondent burden)</w:t>
      </w:r>
      <w:r>
        <w:rPr>
          <w:sz w:val="24"/>
          <w:szCs w:val="24"/>
        </w:rPr>
        <w:t xml:space="preserve">, the 2018 CSLLEA full data collection will begin August 2018 and commence May 2019. During this 9-month data collection, the instrument will be administered to approximately 20,000 law enforcement agencies in the US. </w:t>
      </w:r>
    </w:p>
    <w:p w14:paraId="73591F63" w14:textId="77777777" w:rsidR="00860CB8" w:rsidRPr="00AD4DB9" w:rsidRDefault="00860CB8" w:rsidP="00AD4DB9">
      <w:pPr>
        <w:numPr>
          <w:ilvl w:val="12"/>
          <w:numId w:val="0"/>
        </w:numPr>
        <w:shd w:val="solid" w:color="FFFFFF" w:fill="FFFFFF"/>
        <w:tabs>
          <w:tab w:val="left" w:pos="360"/>
          <w:tab w:val="left" w:pos="840"/>
        </w:tabs>
        <w:rPr>
          <w:sz w:val="24"/>
          <w:szCs w:val="24"/>
        </w:rPr>
      </w:pPr>
    </w:p>
    <w:p w14:paraId="49EFE47D" w14:textId="77777777" w:rsidR="00AD4DB9" w:rsidRPr="00C04E22" w:rsidRDefault="00AD4DB9" w:rsidP="00AD4DB9">
      <w:pPr>
        <w:numPr>
          <w:ilvl w:val="12"/>
          <w:numId w:val="0"/>
        </w:numPr>
        <w:shd w:val="solid" w:color="FFFFFF" w:fill="FFFFFF"/>
        <w:tabs>
          <w:tab w:val="left" w:pos="360"/>
          <w:tab w:val="left" w:pos="840"/>
        </w:tabs>
        <w:rPr>
          <w:b/>
          <w:sz w:val="24"/>
          <w:szCs w:val="24"/>
        </w:rPr>
      </w:pPr>
      <w:r w:rsidRPr="00C04E22">
        <w:rPr>
          <w:b/>
          <w:sz w:val="24"/>
          <w:szCs w:val="24"/>
        </w:rPr>
        <w:t>2. Needs and Uses</w:t>
      </w:r>
    </w:p>
    <w:p w14:paraId="131D7CCF" w14:textId="77777777" w:rsidR="00AD4DB9" w:rsidRDefault="00AD4DB9" w:rsidP="00AD4DB9">
      <w:pPr>
        <w:numPr>
          <w:ilvl w:val="12"/>
          <w:numId w:val="0"/>
        </w:numPr>
        <w:shd w:val="solid" w:color="FFFFFF" w:fill="FFFFFF"/>
        <w:tabs>
          <w:tab w:val="left" w:pos="360"/>
          <w:tab w:val="left" w:pos="840"/>
        </w:tabs>
        <w:rPr>
          <w:sz w:val="24"/>
          <w:szCs w:val="24"/>
        </w:rPr>
      </w:pPr>
    </w:p>
    <w:p w14:paraId="6B519126" w14:textId="34A51472" w:rsidR="00BE37DB" w:rsidRPr="00BE37DB" w:rsidRDefault="00BE37DB" w:rsidP="00BE37DB">
      <w:pPr>
        <w:rPr>
          <w:sz w:val="24"/>
          <w:szCs w:val="24"/>
        </w:rPr>
      </w:pPr>
      <w:r w:rsidRPr="00BE37DB">
        <w:rPr>
          <w:sz w:val="24"/>
          <w:szCs w:val="24"/>
        </w:rPr>
        <w:t xml:space="preserve">BJS employs various methods to capture data to better understand the criminal justice system. For example, </w:t>
      </w:r>
      <w:r w:rsidR="00140F7A">
        <w:rPr>
          <w:sz w:val="24"/>
          <w:szCs w:val="24"/>
        </w:rPr>
        <w:t>BJS</w:t>
      </w:r>
      <w:r w:rsidR="00140F7A" w:rsidRPr="00BE37DB">
        <w:rPr>
          <w:sz w:val="24"/>
          <w:szCs w:val="24"/>
        </w:rPr>
        <w:t xml:space="preserve"> </w:t>
      </w:r>
      <w:r w:rsidRPr="00BE37DB">
        <w:rPr>
          <w:sz w:val="24"/>
          <w:szCs w:val="24"/>
        </w:rPr>
        <w:t>capture</w:t>
      </w:r>
      <w:r w:rsidR="00140F7A">
        <w:rPr>
          <w:sz w:val="24"/>
          <w:szCs w:val="24"/>
        </w:rPr>
        <w:t>s</w:t>
      </w:r>
      <w:r w:rsidRPr="00BE37DB">
        <w:rPr>
          <w:sz w:val="24"/>
          <w:szCs w:val="24"/>
        </w:rPr>
        <w:t xml:space="preserve"> data on crime from resident </w:t>
      </w:r>
      <w:r w:rsidR="00203C4F">
        <w:rPr>
          <w:sz w:val="24"/>
          <w:szCs w:val="24"/>
        </w:rPr>
        <w:t xml:space="preserve">and inmate </w:t>
      </w:r>
      <w:r w:rsidRPr="00BE37DB">
        <w:rPr>
          <w:sz w:val="24"/>
          <w:szCs w:val="24"/>
        </w:rPr>
        <w:t xml:space="preserve">surveys and </w:t>
      </w:r>
      <w:r w:rsidR="00140F7A">
        <w:rPr>
          <w:sz w:val="24"/>
          <w:szCs w:val="24"/>
        </w:rPr>
        <w:t>collects</w:t>
      </w:r>
      <w:r w:rsidRPr="00BE37DB">
        <w:rPr>
          <w:sz w:val="24"/>
          <w:szCs w:val="24"/>
        </w:rPr>
        <w:t xml:space="preserve"> administrative data</w:t>
      </w:r>
      <w:r w:rsidR="00140F7A">
        <w:rPr>
          <w:sz w:val="24"/>
          <w:szCs w:val="24"/>
        </w:rPr>
        <w:t xml:space="preserve"> to supplement survey data where available</w:t>
      </w:r>
      <w:r w:rsidRPr="00BE37DB">
        <w:rPr>
          <w:sz w:val="24"/>
          <w:szCs w:val="24"/>
        </w:rPr>
        <w:t xml:space="preserve">. Data collections on agency characteristics are primarily conducted through establishment surveys, and this is the primary data collection vehicle for the law enforcement core collections. The </w:t>
      </w:r>
      <w:r>
        <w:rPr>
          <w:sz w:val="24"/>
          <w:szCs w:val="24"/>
        </w:rPr>
        <w:t>CSLLEA</w:t>
      </w:r>
      <w:r w:rsidRPr="00BE37DB">
        <w:rPr>
          <w:sz w:val="24"/>
          <w:szCs w:val="24"/>
        </w:rPr>
        <w:t xml:space="preserve"> is the only systematic establishment survey that produces </w:t>
      </w:r>
      <w:r>
        <w:rPr>
          <w:sz w:val="24"/>
          <w:szCs w:val="24"/>
        </w:rPr>
        <w:t>local-level</w:t>
      </w:r>
      <w:r w:rsidRPr="00BE37DB">
        <w:rPr>
          <w:sz w:val="24"/>
          <w:szCs w:val="24"/>
        </w:rPr>
        <w:t xml:space="preserve"> estimates of personnel</w:t>
      </w:r>
      <w:r>
        <w:rPr>
          <w:sz w:val="24"/>
          <w:szCs w:val="24"/>
        </w:rPr>
        <w:t xml:space="preserve"> and functions of almost every law enforcement agency in the U</w:t>
      </w:r>
      <w:r w:rsidR="00140F7A">
        <w:rPr>
          <w:sz w:val="24"/>
          <w:szCs w:val="24"/>
        </w:rPr>
        <w:t>.</w:t>
      </w:r>
      <w:r>
        <w:rPr>
          <w:sz w:val="24"/>
          <w:szCs w:val="24"/>
        </w:rPr>
        <w:t>S</w:t>
      </w:r>
      <w:r w:rsidRPr="00BE37DB">
        <w:rPr>
          <w:sz w:val="24"/>
          <w:szCs w:val="24"/>
        </w:rPr>
        <w:t xml:space="preserve">. </w:t>
      </w:r>
    </w:p>
    <w:p w14:paraId="40DFF89E" w14:textId="77777777" w:rsidR="00BE37DB" w:rsidRPr="00AD4DB9" w:rsidRDefault="00BE37DB" w:rsidP="00AD4DB9">
      <w:pPr>
        <w:numPr>
          <w:ilvl w:val="12"/>
          <w:numId w:val="0"/>
        </w:numPr>
        <w:shd w:val="solid" w:color="FFFFFF" w:fill="FFFFFF"/>
        <w:tabs>
          <w:tab w:val="left" w:pos="360"/>
          <w:tab w:val="left" w:pos="840"/>
        </w:tabs>
        <w:rPr>
          <w:sz w:val="24"/>
          <w:szCs w:val="24"/>
        </w:rPr>
      </w:pPr>
    </w:p>
    <w:p w14:paraId="6D49CC2A" w14:textId="77777777" w:rsidR="00AD4DB9" w:rsidRPr="00C04E22" w:rsidRDefault="00AD4DB9" w:rsidP="00AD4DB9">
      <w:pPr>
        <w:numPr>
          <w:ilvl w:val="12"/>
          <w:numId w:val="0"/>
        </w:numPr>
        <w:shd w:val="solid" w:color="FFFFFF" w:fill="FFFFFF"/>
        <w:tabs>
          <w:tab w:val="left" w:pos="360"/>
          <w:tab w:val="left" w:pos="840"/>
        </w:tabs>
        <w:rPr>
          <w:i/>
          <w:sz w:val="24"/>
          <w:szCs w:val="24"/>
        </w:rPr>
      </w:pPr>
      <w:r w:rsidRPr="00C04E22">
        <w:rPr>
          <w:i/>
          <w:sz w:val="24"/>
          <w:szCs w:val="24"/>
        </w:rPr>
        <w:t>BJS Needs and Uses</w:t>
      </w:r>
    </w:p>
    <w:p w14:paraId="432A6596" w14:textId="02FCE172" w:rsidR="00AD4DB9" w:rsidRPr="00AD4DB9" w:rsidRDefault="00AD4DB9" w:rsidP="00AD4DB9">
      <w:pPr>
        <w:numPr>
          <w:ilvl w:val="12"/>
          <w:numId w:val="0"/>
        </w:numPr>
        <w:shd w:val="solid" w:color="FFFFFF" w:fill="FFFFFF"/>
        <w:tabs>
          <w:tab w:val="left" w:pos="360"/>
          <w:tab w:val="left" w:pos="840"/>
        </w:tabs>
        <w:rPr>
          <w:sz w:val="24"/>
          <w:szCs w:val="24"/>
        </w:rPr>
      </w:pPr>
      <w:r w:rsidRPr="00AD4DB9">
        <w:rPr>
          <w:sz w:val="24"/>
          <w:szCs w:val="24"/>
        </w:rPr>
        <w:t xml:space="preserve">BJS has conducted establishment surveys of law enforcement agencies regularly since 1987.  The core of BJS’ law enforcement statistics program is the </w:t>
      </w:r>
      <w:r w:rsidR="00F60E75">
        <w:rPr>
          <w:sz w:val="24"/>
          <w:szCs w:val="24"/>
        </w:rPr>
        <w:t>CSLLEA</w:t>
      </w:r>
      <w:r w:rsidR="0079098C">
        <w:rPr>
          <w:sz w:val="24"/>
          <w:szCs w:val="24"/>
        </w:rPr>
        <w:t>.</w:t>
      </w:r>
      <w:r w:rsidRPr="00AD4DB9">
        <w:rPr>
          <w:sz w:val="24"/>
          <w:szCs w:val="24"/>
        </w:rPr>
        <w:t xml:space="preserve"> The primary goals of the </w:t>
      </w:r>
      <w:r w:rsidR="0079098C">
        <w:rPr>
          <w:sz w:val="24"/>
          <w:szCs w:val="24"/>
        </w:rPr>
        <w:t>CSLLEA</w:t>
      </w:r>
      <w:r w:rsidRPr="00AD4DB9">
        <w:rPr>
          <w:sz w:val="24"/>
          <w:szCs w:val="24"/>
        </w:rPr>
        <w:t xml:space="preserve"> are to (1) develop a national roster of active publically-funded law enforcement agencies that employ the equivalent of one full-time sworn personnel</w:t>
      </w:r>
      <w:r w:rsidR="0079098C">
        <w:rPr>
          <w:sz w:val="24"/>
          <w:szCs w:val="24"/>
        </w:rPr>
        <w:t xml:space="preserve"> with general arrest powers</w:t>
      </w:r>
      <w:r w:rsidRPr="00AD4DB9">
        <w:rPr>
          <w:sz w:val="24"/>
          <w:szCs w:val="24"/>
        </w:rPr>
        <w:t>, and (2) generate accurate and reliable national statistics describing the characteristics and functions of these agencies.</w:t>
      </w:r>
    </w:p>
    <w:p w14:paraId="4C880EEC" w14:textId="77777777" w:rsidR="00AD4DB9" w:rsidRPr="00AD4DB9" w:rsidRDefault="00AD4DB9" w:rsidP="00AD4DB9">
      <w:pPr>
        <w:numPr>
          <w:ilvl w:val="12"/>
          <w:numId w:val="0"/>
        </w:numPr>
        <w:shd w:val="solid" w:color="FFFFFF" w:fill="FFFFFF"/>
        <w:tabs>
          <w:tab w:val="left" w:pos="360"/>
          <w:tab w:val="left" w:pos="840"/>
        </w:tabs>
        <w:rPr>
          <w:sz w:val="24"/>
          <w:szCs w:val="24"/>
        </w:rPr>
      </w:pPr>
    </w:p>
    <w:p w14:paraId="1AB14F00" w14:textId="1E2102E6" w:rsidR="00AD4DB9" w:rsidRPr="00AD4DB9" w:rsidRDefault="00AD4DB9" w:rsidP="00AD4DB9">
      <w:pPr>
        <w:numPr>
          <w:ilvl w:val="12"/>
          <w:numId w:val="0"/>
        </w:numPr>
        <w:shd w:val="solid" w:color="FFFFFF" w:fill="FFFFFF"/>
        <w:tabs>
          <w:tab w:val="left" w:pos="360"/>
          <w:tab w:val="left" w:pos="840"/>
        </w:tabs>
        <w:rPr>
          <w:sz w:val="24"/>
          <w:szCs w:val="24"/>
        </w:rPr>
      </w:pPr>
      <w:r w:rsidRPr="00AD4DB9">
        <w:rPr>
          <w:sz w:val="24"/>
          <w:szCs w:val="24"/>
        </w:rPr>
        <w:t xml:space="preserve">The primary use of the national law enforcement roster is to ensure an accurate universe of agencies for all BJS law enforcement programs, including the Law Enforcement Management and Administrative Statistics (LEMAS) </w:t>
      </w:r>
      <w:r w:rsidR="00E0393C">
        <w:rPr>
          <w:sz w:val="24"/>
          <w:szCs w:val="24"/>
        </w:rPr>
        <w:t xml:space="preserve">core and supplement </w:t>
      </w:r>
      <w:r w:rsidRPr="00AD4DB9">
        <w:rPr>
          <w:sz w:val="24"/>
          <w:szCs w:val="24"/>
        </w:rPr>
        <w:t>survey</w:t>
      </w:r>
      <w:r w:rsidR="00711865">
        <w:rPr>
          <w:sz w:val="24"/>
          <w:szCs w:val="24"/>
        </w:rPr>
        <w:t>s</w:t>
      </w:r>
      <w:r w:rsidR="00A22B02">
        <w:rPr>
          <w:sz w:val="24"/>
          <w:szCs w:val="24"/>
        </w:rPr>
        <w:t xml:space="preserve">, </w:t>
      </w:r>
      <w:r w:rsidRPr="00AD4DB9">
        <w:rPr>
          <w:sz w:val="24"/>
          <w:szCs w:val="24"/>
        </w:rPr>
        <w:t xml:space="preserve">Census of </w:t>
      </w:r>
      <w:r w:rsidR="00A22B02">
        <w:rPr>
          <w:sz w:val="24"/>
          <w:szCs w:val="24"/>
        </w:rPr>
        <w:t>Publicly Funded Forensic Crime Laboratories (CPFFCL</w:t>
      </w:r>
      <w:r w:rsidR="00A91308">
        <w:rPr>
          <w:sz w:val="24"/>
          <w:szCs w:val="24"/>
        </w:rPr>
        <w:t>)</w:t>
      </w:r>
      <w:r w:rsidR="00711865">
        <w:rPr>
          <w:sz w:val="24"/>
          <w:szCs w:val="24"/>
        </w:rPr>
        <w:t>, Survey of Law Enforcement Personnel in Schools (SLEPS) and S</w:t>
      </w:r>
      <w:r w:rsidR="00711865" w:rsidRPr="00AD4DB9">
        <w:rPr>
          <w:sz w:val="24"/>
          <w:szCs w:val="24"/>
        </w:rPr>
        <w:t>urvey of Campus Law Enforcement Agencies (</w:t>
      </w:r>
      <w:r w:rsidR="00711865">
        <w:rPr>
          <w:sz w:val="24"/>
          <w:szCs w:val="24"/>
        </w:rPr>
        <w:t>S</w:t>
      </w:r>
      <w:r w:rsidR="00711865" w:rsidRPr="00AD4DB9">
        <w:rPr>
          <w:sz w:val="24"/>
          <w:szCs w:val="24"/>
        </w:rPr>
        <w:t>CLEA)</w:t>
      </w:r>
      <w:r w:rsidRPr="00AD4DB9">
        <w:rPr>
          <w:sz w:val="24"/>
          <w:szCs w:val="24"/>
        </w:rPr>
        <w:t>. In addition, th</w:t>
      </w:r>
      <w:r w:rsidR="00A3286B">
        <w:rPr>
          <w:sz w:val="24"/>
          <w:szCs w:val="24"/>
        </w:rPr>
        <w:t>e roster generated from the 2018 CSLLEA</w:t>
      </w:r>
      <w:r w:rsidRPr="00AD4DB9">
        <w:rPr>
          <w:sz w:val="24"/>
          <w:szCs w:val="24"/>
        </w:rPr>
        <w:t xml:space="preserve"> will be used to update information in BJS’s Law Enforcement Agency Identifiers Crosswalk (</w:t>
      </w:r>
      <w:r w:rsidR="00A3286B">
        <w:rPr>
          <w:sz w:val="24"/>
          <w:szCs w:val="24"/>
        </w:rPr>
        <w:t>LEAIC</w:t>
      </w:r>
      <w:r w:rsidRPr="00AD4DB9">
        <w:rPr>
          <w:sz w:val="24"/>
          <w:szCs w:val="24"/>
        </w:rPr>
        <w:t xml:space="preserve">). The </w:t>
      </w:r>
      <w:r w:rsidR="00A3286B">
        <w:rPr>
          <w:sz w:val="24"/>
          <w:szCs w:val="24"/>
        </w:rPr>
        <w:t>LEAIC</w:t>
      </w:r>
      <w:r w:rsidRPr="00AD4DB9">
        <w:rPr>
          <w:sz w:val="24"/>
          <w:szCs w:val="24"/>
        </w:rPr>
        <w:t xml:space="preserve"> is designed to link other data resources</w:t>
      </w:r>
      <w:r w:rsidR="00A3286B">
        <w:rPr>
          <w:sz w:val="24"/>
          <w:szCs w:val="24"/>
        </w:rPr>
        <w:t>, such as crime counts from the FB</w:t>
      </w:r>
      <w:r w:rsidR="00F60E75">
        <w:rPr>
          <w:sz w:val="24"/>
          <w:szCs w:val="24"/>
        </w:rPr>
        <w:t>I’s UCR</w:t>
      </w:r>
      <w:r w:rsidR="00A3286B">
        <w:rPr>
          <w:sz w:val="24"/>
          <w:szCs w:val="24"/>
        </w:rPr>
        <w:t xml:space="preserve"> program or U.S. Census data,</w:t>
      </w:r>
      <w:r w:rsidRPr="00AD4DB9">
        <w:rPr>
          <w:sz w:val="24"/>
          <w:szCs w:val="24"/>
        </w:rPr>
        <w:t xml:space="preserve"> </w:t>
      </w:r>
      <w:r w:rsidR="00A3286B">
        <w:rPr>
          <w:sz w:val="24"/>
          <w:szCs w:val="24"/>
        </w:rPr>
        <w:t>to each</w:t>
      </w:r>
      <w:r w:rsidRPr="00AD4DB9">
        <w:rPr>
          <w:sz w:val="24"/>
          <w:szCs w:val="24"/>
        </w:rPr>
        <w:t xml:space="preserve"> law enforcement agency</w:t>
      </w:r>
      <w:r w:rsidR="00A3286B">
        <w:rPr>
          <w:sz w:val="24"/>
          <w:szCs w:val="24"/>
        </w:rPr>
        <w:t xml:space="preserve"> in the US</w:t>
      </w:r>
      <w:r w:rsidRPr="00AD4DB9">
        <w:rPr>
          <w:sz w:val="24"/>
          <w:szCs w:val="24"/>
        </w:rPr>
        <w:t>.</w:t>
      </w:r>
    </w:p>
    <w:p w14:paraId="1F306F9F" w14:textId="77777777" w:rsidR="00AD4DB9" w:rsidRPr="00AD4DB9" w:rsidRDefault="00AD4DB9" w:rsidP="00AD4DB9">
      <w:pPr>
        <w:numPr>
          <w:ilvl w:val="12"/>
          <w:numId w:val="0"/>
        </w:numPr>
        <w:shd w:val="solid" w:color="FFFFFF" w:fill="FFFFFF"/>
        <w:tabs>
          <w:tab w:val="left" w:pos="360"/>
          <w:tab w:val="left" w:pos="840"/>
        </w:tabs>
        <w:rPr>
          <w:sz w:val="24"/>
          <w:szCs w:val="24"/>
        </w:rPr>
      </w:pPr>
    </w:p>
    <w:p w14:paraId="4099933B" w14:textId="77777777" w:rsidR="00D26AA1" w:rsidRDefault="00AD4DB9" w:rsidP="00AD4DB9">
      <w:pPr>
        <w:numPr>
          <w:ilvl w:val="12"/>
          <w:numId w:val="0"/>
        </w:numPr>
        <w:shd w:val="solid" w:color="FFFFFF" w:fill="FFFFFF"/>
        <w:tabs>
          <w:tab w:val="left" w:pos="360"/>
          <w:tab w:val="left" w:pos="840"/>
        </w:tabs>
        <w:rPr>
          <w:sz w:val="24"/>
          <w:szCs w:val="24"/>
        </w:rPr>
      </w:pPr>
      <w:r w:rsidRPr="00AD4DB9">
        <w:rPr>
          <w:sz w:val="24"/>
          <w:szCs w:val="24"/>
        </w:rPr>
        <w:t>Since 1987, BJ</w:t>
      </w:r>
      <w:r w:rsidR="00A3286B">
        <w:rPr>
          <w:sz w:val="24"/>
          <w:szCs w:val="24"/>
        </w:rPr>
        <w:t>S has successfully implemented 10</w:t>
      </w:r>
      <w:r w:rsidRPr="00AD4DB9">
        <w:rPr>
          <w:sz w:val="24"/>
          <w:szCs w:val="24"/>
        </w:rPr>
        <w:t xml:space="preserve"> waves of the LEMAS (OMB 1121-0240) </w:t>
      </w:r>
      <w:r w:rsidR="00A3286B">
        <w:rPr>
          <w:sz w:val="24"/>
          <w:szCs w:val="24"/>
        </w:rPr>
        <w:t xml:space="preserve">core </w:t>
      </w:r>
      <w:r w:rsidRPr="00AD4DB9">
        <w:rPr>
          <w:sz w:val="24"/>
          <w:szCs w:val="24"/>
        </w:rPr>
        <w:t xml:space="preserve">survey. </w:t>
      </w:r>
      <w:r w:rsidR="00A3286B">
        <w:rPr>
          <w:sz w:val="24"/>
          <w:szCs w:val="24"/>
        </w:rPr>
        <w:t xml:space="preserve"> The LEMAS core samples roughly 3,5</w:t>
      </w:r>
      <w:r w:rsidRPr="00AD4DB9">
        <w:rPr>
          <w:sz w:val="24"/>
          <w:szCs w:val="24"/>
        </w:rPr>
        <w:t>00 state and local agencies and provides national estimates about the characteristics of the 1</w:t>
      </w:r>
      <w:r w:rsidR="00A3286B">
        <w:rPr>
          <w:sz w:val="24"/>
          <w:szCs w:val="24"/>
        </w:rPr>
        <w:t>5</w:t>
      </w:r>
      <w:r w:rsidRPr="00AD4DB9">
        <w:rPr>
          <w:sz w:val="24"/>
          <w:szCs w:val="24"/>
        </w:rPr>
        <w:t xml:space="preserve">,500 state and local general purpose law enforcement agencies; the functions they perform; the resources available to them; the number, type, and working conditions of their employees; the automation of agency functions and their information systems; the extent to which weapons are authorized and used; the formal policies that guide and restrict the behavior of sworn personnel; and the organizational responses utilized by these agencies to address contemporary </w:t>
      </w:r>
      <w:r w:rsidR="00A3286B">
        <w:rPr>
          <w:sz w:val="24"/>
          <w:szCs w:val="24"/>
        </w:rPr>
        <w:t>law enforcement challenges. Agency type and number of full-time sworn officers</w:t>
      </w:r>
      <w:r w:rsidRPr="00AD4DB9">
        <w:rPr>
          <w:sz w:val="24"/>
          <w:szCs w:val="24"/>
        </w:rPr>
        <w:t xml:space="preserve"> collected through the </w:t>
      </w:r>
      <w:r w:rsidR="00A3286B">
        <w:rPr>
          <w:sz w:val="24"/>
          <w:szCs w:val="24"/>
        </w:rPr>
        <w:t>CSLLEA</w:t>
      </w:r>
      <w:r w:rsidRPr="00AD4DB9">
        <w:rPr>
          <w:sz w:val="24"/>
          <w:szCs w:val="24"/>
        </w:rPr>
        <w:t xml:space="preserve"> are needed to draw a </w:t>
      </w:r>
      <w:r w:rsidR="00A3286B">
        <w:rPr>
          <w:sz w:val="24"/>
          <w:szCs w:val="24"/>
        </w:rPr>
        <w:t>representative</w:t>
      </w:r>
      <w:r w:rsidRPr="00AD4DB9">
        <w:rPr>
          <w:sz w:val="24"/>
          <w:szCs w:val="24"/>
        </w:rPr>
        <w:t xml:space="preserve"> sample of agencies for the LEMAS </w:t>
      </w:r>
      <w:r w:rsidR="00A3286B">
        <w:rPr>
          <w:sz w:val="24"/>
          <w:szCs w:val="24"/>
        </w:rPr>
        <w:t xml:space="preserve">core </w:t>
      </w:r>
      <w:r w:rsidRPr="00AD4DB9">
        <w:rPr>
          <w:sz w:val="24"/>
          <w:szCs w:val="24"/>
        </w:rPr>
        <w:t xml:space="preserve">survey.  </w:t>
      </w:r>
    </w:p>
    <w:p w14:paraId="70DB8CCA" w14:textId="77777777" w:rsidR="00D26AA1" w:rsidRDefault="00D26AA1" w:rsidP="00AD4DB9">
      <w:pPr>
        <w:numPr>
          <w:ilvl w:val="12"/>
          <w:numId w:val="0"/>
        </w:numPr>
        <w:shd w:val="solid" w:color="FFFFFF" w:fill="FFFFFF"/>
        <w:tabs>
          <w:tab w:val="left" w:pos="360"/>
          <w:tab w:val="left" w:pos="840"/>
        </w:tabs>
        <w:rPr>
          <w:sz w:val="24"/>
          <w:szCs w:val="24"/>
        </w:rPr>
      </w:pPr>
    </w:p>
    <w:p w14:paraId="31B516A6" w14:textId="7378FDD4" w:rsidR="00D26AA1" w:rsidRPr="00255EEB" w:rsidRDefault="00711865" w:rsidP="00AD4DB9">
      <w:pPr>
        <w:numPr>
          <w:ilvl w:val="12"/>
          <w:numId w:val="0"/>
        </w:numPr>
        <w:shd w:val="solid" w:color="FFFFFF" w:fill="FFFFFF"/>
        <w:tabs>
          <w:tab w:val="left" w:pos="360"/>
          <w:tab w:val="left" w:pos="840"/>
        </w:tabs>
        <w:rPr>
          <w:sz w:val="24"/>
          <w:szCs w:val="24"/>
        </w:rPr>
      </w:pPr>
      <w:r>
        <w:rPr>
          <w:sz w:val="24"/>
          <w:szCs w:val="24"/>
        </w:rPr>
        <w:t xml:space="preserve">Similarly to LEMAS, both the CPFFCL and SLEPS collections rely on the CSLLEA for frame development. </w:t>
      </w:r>
      <w:r w:rsidR="00255EEB" w:rsidRPr="00711865">
        <w:rPr>
          <w:sz w:val="24"/>
          <w:szCs w:val="24"/>
        </w:rPr>
        <w:t xml:space="preserve">The </w:t>
      </w:r>
      <w:r w:rsidR="00D26AA1" w:rsidRPr="00711865">
        <w:rPr>
          <w:sz w:val="24"/>
          <w:szCs w:val="24"/>
        </w:rPr>
        <w:t>CPFFCL</w:t>
      </w:r>
      <w:r w:rsidR="00255EEB" w:rsidRPr="00255EEB">
        <w:rPr>
          <w:sz w:val="24"/>
          <w:szCs w:val="24"/>
        </w:rPr>
        <w:t xml:space="preserve"> is a </w:t>
      </w:r>
      <w:r>
        <w:rPr>
          <w:sz w:val="24"/>
          <w:szCs w:val="24"/>
        </w:rPr>
        <w:t>survey administered to</w:t>
      </w:r>
      <w:r w:rsidR="00255EEB" w:rsidRPr="00255EEB">
        <w:rPr>
          <w:sz w:val="24"/>
          <w:szCs w:val="24"/>
        </w:rPr>
        <w:t xml:space="preserve"> approximately 500 publically-funded forensic crime laboratories in the US</w:t>
      </w:r>
      <w:r w:rsidR="00255EEB">
        <w:rPr>
          <w:sz w:val="24"/>
          <w:szCs w:val="24"/>
        </w:rPr>
        <w:t>, a majority of which are connected to a law enforcement agency</w:t>
      </w:r>
      <w:r w:rsidR="00255EEB" w:rsidRPr="00255EEB">
        <w:rPr>
          <w:sz w:val="24"/>
          <w:szCs w:val="24"/>
        </w:rPr>
        <w:t xml:space="preserve">. </w:t>
      </w:r>
      <w:r>
        <w:rPr>
          <w:sz w:val="24"/>
          <w:szCs w:val="24"/>
        </w:rPr>
        <w:t xml:space="preserve">BJS has conducted the CPFFCL periodically since 2002. </w:t>
      </w:r>
      <w:r w:rsidR="00255EEB">
        <w:rPr>
          <w:sz w:val="24"/>
          <w:szCs w:val="24"/>
        </w:rPr>
        <w:t>The CSLLEA provides necessary information for developing the CPFFCL frame by identifying which law enforcement agencies ru</w:t>
      </w:r>
      <w:r>
        <w:rPr>
          <w:sz w:val="24"/>
          <w:szCs w:val="24"/>
        </w:rPr>
        <w:t xml:space="preserve">n a forensic crime laboratory. The SLEPS is a new collection </w:t>
      </w:r>
      <w:r w:rsidRPr="00711865">
        <w:rPr>
          <w:sz w:val="24"/>
          <w:szCs w:val="24"/>
        </w:rPr>
        <w:t>through which BJS will gather national-level data on the extent of law enforcement involvement in the nation’s schools and the typical roles and responsibilities of officers working in schools</w:t>
      </w:r>
      <w:r>
        <w:rPr>
          <w:sz w:val="24"/>
          <w:szCs w:val="24"/>
        </w:rPr>
        <w:t xml:space="preserve">. Since there are no other national collections that capture the number of school resource officers employed by every law enforcement agency, the CSLLEA is essential for building the SLEPS frame. </w:t>
      </w:r>
      <w:r w:rsidR="00F60E75">
        <w:rPr>
          <w:sz w:val="24"/>
          <w:szCs w:val="24"/>
        </w:rPr>
        <w:t xml:space="preserve">The </w:t>
      </w:r>
      <w:r>
        <w:rPr>
          <w:sz w:val="24"/>
          <w:szCs w:val="24"/>
        </w:rPr>
        <w:t>SLEPS was originally awarded in 2015 and the 2014 CSLLEA was to be the frame. Since the 201</w:t>
      </w:r>
      <w:r w:rsidR="00F60E75">
        <w:rPr>
          <w:sz w:val="24"/>
          <w:szCs w:val="24"/>
        </w:rPr>
        <w:t xml:space="preserve">4 CSLLEA could not be used as the frame and there were no other viable alternatives, the SLEPS has been postponed until after the 2018 CSLLEA is completed. </w:t>
      </w:r>
      <w:r>
        <w:rPr>
          <w:sz w:val="24"/>
          <w:szCs w:val="24"/>
        </w:rPr>
        <w:t xml:space="preserve"> </w:t>
      </w:r>
    </w:p>
    <w:p w14:paraId="73118B52" w14:textId="77777777" w:rsidR="00AD4DB9" w:rsidRPr="00AD4DB9" w:rsidRDefault="00AD4DB9" w:rsidP="00AD4DB9">
      <w:pPr>
        <w:numPr>
          <w:ilvl w:val="12"/>
          <w:numId w:val="0"/>
        </w:numPr>
        <w:shd w:val="solid" w:color="FFFFFF" w:fill="FFFFFF"/>
        <w:tabs>
          <w:tab w:val="left" w:pos="360"/>
          <w:tab w:val="left" w:pos="840"/>
        </w:tabs>
        <w:rPr>
          <w:sz w:val="24"/>
          <w:szCs w:val="24"/>
        </w:rPr>
      </w:pPr>
    </w:p>
    <w:p w14:paraId="031AC4B9" w14:textId="5F6EAFB8" w:rsidR="00AD4DB9" w:rsidRDefault="00AD4DB9" w:rsidP="00AD4DB9">
      <w:pPr>
        <w:numPr>
          <w:ilvl w:val="12"/>
          <w:numId w:val="0"/>
        </w:numPr>
        <w:shd w:val="solid" w:color="FFFFFF" w:fill="FFFFFF"/>
        <w:tabs>
          <w:tab w:val="left" w:pos="360"/>
          <w:tab w:val="left" w:pos="840"/>
        </w:tabs>
        <w:rPr>
          <w:sz w:val="24"/>
          <w:szCs w:val="24"/>
        </w:rPr>
      </w:pPr>
      <w:r w:rsidRPr="00AD4DB9">
        <w:rPr>
          <w:sz w:val="24"/>
          <w:szCs w:val="24"/>
        </w:rPr>
        <w:t>In addition to the general purpose agencies captured in the LEMAS survey, the C</w:t>
      </w:r>
      <w:r w:rsidR="00A22B02">
        <w:rPr>
          <w:sz w:val="24"/>
          <w:szCs w:val="24"/>
        </w:rPr>
        <w:t>SLLEA frame</w:t>
      </w:r>
      <w:r w:rsidRPr="00AD4DB9">
        <w:rPr>
          <w:sz w:val="24"/>
          <w:szCs w:val="24"/>
        </w:rPr>
        <w:t xml:space="preserve"> provides a means for identifying a variety of special purpose agencies. Special jurisdiction law enforcement agencies are responsible for providing police services in areas within another jurisdiction. These types of agencies are usually full-service departments granted law enforcement authority in parks, transportation assets (e.g., airports, subways), housing authorities, schools, hospitals, </w:t>
      </w:r>
      <w:r w:rsidR="00845BB5">
        <w:rPr>
          <w:sz w:val="24"/>
          <w:szCs w:val="24"/>
        </w:rPr>
        <w:t>or</w:t>
      </w:r>
      <w:r w:rsidR="00845BB5" w:rsidRPr="00AD4DB9">
        <w:rPr>
          <w:sz w:val="24"/>
          <w:szCs w:val="24"/>
        </w:rPr>
        <w:t xml:space="preserve"> </w:t>
      </w:r>
      <w:r w:rsidRPr="00AD4DB9">
        <w:rPr>
          <w:sz w:val="24"/>
          <w:szCs w:val="24"/>
        </w:rPr>
        <w:t xml:space="preserve">government buildings. The single largest type of special purpose law enforcement agencies are campus police, which BJS surveyed in 1995, 2005, and 2012. The 2012 </w:t>
      </w:r>
      <w:r w:rsidR="00A22B02">
        <w:rPr>
          <w:sz w:val="24"/>
          <w:szCs w:val="24"/>
        </w:rPr>
        <w:t>SCLEA</w:t>
      </w:r>
      <w:r w:rsidRPr="00AD4DB9">
        <w:rPr>
          <w:sz w:val="24"/>
          <w:szCs w:val="24"/>
        </w:rPr>
        <w:t xml:space="preserve"> (OMB 1121-0334) </w:t>
      </w:r>
      <w:r w:rsidR="00845BB5">
        <w:rPr>
          <w:sz w:val="24"/>
          <w:szCs w:val="24"/>
        </w:rPr>
        <w:t xml:space="preserve">was </w:t>
      </w:r>
      <w:r w:rsidR="00A22B02">
        <w:rPr>
          <w:sz w:val="24"/>
          <w:szCs w:val="24"/>
        </w:rPr>
        <w:t>administered to a sample of campus law enforcement agencies</w:t>
      </w:r>
      <w:r w:rsidRPr="00AD4DB9">
        <w:rPr>
          <w:sz w:val="24"/>
          <w:szCs w:val="24"/>
        </w:rPr>
        <w:t xml:space="preserve"> operated </w:t>
      </w:r>
      <w:r w:rsidR="00A22B02">
        <w:rPr>
          <w:sz w:val="24"/>
          <w:szCs w:val="24"/>
        </w:rPr>
        <w:t>publically</w:t>
      </w:r>
      <w:r w:rsidRPr="00AD4DB9">
        <w:rPr>
          <w:sz w:val="24"/>
          <w:szCs w:val="24"/>
        </w:rPr>
        <w:t xml:space="preserve">. </w:t>
      </w:r>
      <w:r w:rsidR="00A22B02">
        <w:rPr>
          <w:sz w:val="24"/>
          <w:szCs w:val="24"/>
        </w:rPr>
        <w:t xml:space="preserve">BJS plans to administer the next SCLEA in 2020 and will use the 2018 CSLLEA for frame development. </w:t>
      </w:r>
    </w:p>
    <w:p w14:paraId="257BB9FD" w14:textId="77777777" w:rsidR="00B66D9B" w:rsidRPr="00AD4DB9" w:rsidRDefault="00B66D9B" w:rsidP="00AD4DB9">
      <w:pPr>
        <w:numPr>
          <w:ilvl w:val="12"/>
          <w:numId w:val="0"/>
        </w:numPr>
        <w:shd w:val="solid" w:color="FFFFFF" w:fill="FFFFFF"/>
        <w:tabs>
          <w:tab w:val="left" w:pos="360"/>
          <w:tab w:val="left" w:pos="840"/>
        </w:tabs>
        <w:rPr>
          <w:sz w:val="24"/>
          <w:szCs w:val="24"/>
        </w:rPr>
      </w:pPr>
    </w:p>
    <w:p w14:paraId="34F9B178" w14:textId="34581078" w:rsidR="00AD4DB9" w:rsidRDefault="00AD4DB9" w:rsidP="00AD4DB9">
      <w:pPr>
        <w:numPr>
          <w:ilvl w:val="12"/>
          <w:numId w:val="0"/>
        </w:numPr>
        <w:shd w:val="solid" w:color="FFFFFF" w:fill="FFFFFF"/>
        <w:tabs>
          <w:tab w:val="left" w:pos="360"/>
          <w:tab w:val="left" w:pos="840"/>
        </w:tabs>
        <w:rPr>
          <w:sz w:val="24"/>
          <w:szCs w:val="24"/>
        </w:rPr>
      </w:pPr>
      <w:r w:rsidRPr="00AD4DB9">
        <w:rPr>
          <w:sz w:val="24"/>
          <w:szCs w:val="24"/>
        </w:rPr>
        <w:t>The universe generated from the C</w:t>
      </w:r>
      <w:r w:rsidR="00F60E75">
        <w:rPr>
          <w:sz w:val="24"/>
          <w:szCs w:val="24"/>
        </w:rPr>
        <w:t>SLLEA</w:t>
      </w:r>
      <w:r w:rsidRPr="00AD4DB9">
        <w:rPr>
          <w:sz w:val="24"/>
          <w:szCs w:val="24"/>
        </w:rPr>
        <w:t xml:space="preserve"> will also be used to update information in </w:t>
      </w:r>
      <w:r w:rsidR="00D26AA1">
        <w:rPr>
          <w:sz w:val="24"/>
          <w:szCs w:val="24"/>
        </w:rPr>
        <w:t>LEAIC</w:t>
      </w:r>
      <w:r w:rsidRPr="00AD4DB9">
        <w:rPr>
          <w:sz w:val="24"/>
          <w:szCs w:val="24"/>
        </w:rPr>
        <w:t xml:space="preserve">. The </w:t>
      </w:r>
      <w:r w:rsidR="00D26AA1">
        <w:rPr>
          <w:sz w:val="24"/>
          <w:szCs w:val="24"/>
        </w:rPr>
        <w:t>LEAIC</w:t>
      </w:r>
      <w:r w:rsidRPr="00AD4DB9">
        <w:rPr>
          <w:sz w:val="24"/>
          <w:szCs w:val="24"/>
        </w:rPr>
        <w:t xml:space="preserve"> is designed to link other data resources to BJS law enforcement data and used to associate local governments to law enforcement agenc</w:t>
      </w:r>
      <w:r w:rsidR="00D26AA1">
        <w:rPr>
          <w:sz w:val="24"/>
          <w:szCs w:val="24"/>
        </w:rPr>
        <w:t>ies in order to allocate the Bureau of Justice Assistance’s Justice Assistance Grants (JAG)</w:t>
      </w:r>
      <w:r w:rsidRPr="00AD4DB9">
        <w:rPr>
          <w:sz w:val="24"/>
          <w:szCs w:val="24"/>
        </w:rPr>
        <w:t xml:space="preserve"> funding. In addition, the universe of state, local, and special purpose law enforcement agencies is used by other DOJ offices to generate sampling frames for data collections, such as OJJDP’s National Youth Gang survey</w:t>
      </w:r>
      <w:r w:rsidR="00D26AA1">
        <w:rPr>
          <w:sz w:val="24"/>
          <w:szCs w:val="24"/>
        </w:rPr>
        <w:t xml:space="preserve">. </w:t>
      </w:r>
    </w:p>
    <w:p w14:paraId="290F7DE4" w14:textId="77777777" w:rsidR="00D26AA1" w:rsidRPr="00AD4DB9" w:rsidRDefault="00D26AA1" w:rsidP="00AD4DB9">
      <w:pPr>
        <w:numPr>
          <w:ilvl w:val="12"/>
          <w:numId w:val="0"/>
        </w:numPr>
        <w:shd w:val="solid" w:color="FFFFFF" w:fill="FFFFFF"/>
        <w:tabs>
          <w:tab w:val="left" w:pos="360"/>
          <w:tab w:val="left" w:pos="840"/>
        </w:tabs>
        <w:rPr>
          <w:sz w:val="24"/>
          <w:szCs w:val="24"/>
        </w:rPr>
      </w:pPr>
    </w:p>
    <w:p w14:paraId="6A1A0E47" w14:textId="4C78E484" w:rsidR="00AD4DB9" w:rsidRDefault="00AD4DB9" w:rsidP="00AD4DB9">
      <w:pPr>
        <w:numPr>
          <w:ilvl w:val="12"/>
          <w:numId w:val="0"/>
        </w:numPr>
        <w:shd w:val="solid" w:color="FFFFFF" w:fill="FFFFFF"/>
        <w:tabs>
          <w:tab w:val="left" w:pos="360"/>
          <w:tab w:val="left" w:pos="840"/>
        </w:tabs>
        <w:rPr>
          <w:sz w:val="24"/>
          <w:szCs w:val="24"/>
        </w:rPr>
      </w:pPr>
      <w:r w:rsidRPr="00AD4DB9">
        <w:rPr>
          <w:sz w:val="24"/>
          <w:szCs w:val="24"/>
        </w:rPr>
        <w:t>In addition to providing a universe of agencies to ensure an accurate sampling frame, the C</w:t>
      </w:r>
      <w:r w:rsidR="00D26AA1">
        <w:rPr>
          <w:sz w:val="24"/>
          <w:szCs w:val="24"/>
        </w:rPr>
        <w:t>SLLEA</w:t>
      </w:r>
      <w:r w:rsidRPr="00AD4DB9">
        <w:rPr>
          <w:sz w:val="24"/>
          <w:szCs w:val="24"/>
        </w:rPr>
        <w:t xml:space="preserve"> is itself a valuable source of descriptive information on the characteristics and trends in law enforcement employment in the </w:t>
      </w:r>
      <w:r w:rsidR="00F60E75">
        <w:rPr>
          <w:sz w:val="24"/>
          <w:szCs w:val="24"/>
        </w:rPr>
        <w:t>U</w:t>
      </w:r>
      <w:r w:rsidR="009D3BC1">
        <w:rPr>
          <w:sz w:val="24"/>
          <w:szCs w:val="24"/>
        </w:rPr>
        <w:t>.</w:t>
      </w:r>
      <w:r w:rsidR="00F60E75">
        <w:rPr>
          <w:sz w:val="24"/>
          <w:szCs w:val="24"/>
        </w:rPr>
        <w:t>S</w:t>
      </w:r>
      <w:r w:rsidR="00D26AA1">
        <w:rPr>
          <w:sz w:val="24"/>
          <w:szCs w:val="24"/>
        </w:rPr>
        <w:t>. The administration of the 2018</w:t>
      </w:r>
      <w:r w:rsidRPr="00AD4DB9">
        <w:rPr>
          <w:sz w:val="24"/>
          <w:szCs w:val="24"/>
        </w:rPr>
        <w:t xml:space="preserve"> C</w:t>
      </w:r>
      <w:r w:rsidR="00D26AA1">
        <w:rPr>
          <w:sz w:val="24"/>
          <w:szCs w:val="24"/>
        </w:rPr>
        <w:t>SLLEA</w:t>
      </w:r>
      <w:r w:rsidRPr="00AD4DB9">
        <w:rPr>
          <w:sz w:val="24"/>
          <w:szCs w:val="24"/>
        </w:rPr>
        <w:t xml:space="preserve"> will produce national statistics about the number of publically funded law enforcement agencies, the number of sworn and non-sworn personnel, and the range of functions performed by those age</w:t>
      </w:r>
      <w:r w:rsidR="00D26AA1">
        <w:rPr>
          <w:sz w:val="24"/>
          <w:szCs w:val="24"/>
        </w:rPr>
        <w:t>ncies during reference year 2018 (2017 for cognitive testing)</w:t>
      </w:r>
      <w:r w:rsidRPr="00AD4DB9">
        <w:rPr>
          <w:sz w:val="24"/>
          <w:szCs w:val="24"/>
        </w:rPr>
        <w:t xml:space="preserve">. These data will be used to produce multi-year trends regarding characteristics of state, local, and special purpose law enforcement agencies.  </w:t>
      </w:r>
    </w:p>
    <w:p w14:paraId="2459BDC7" w14:textId="77777777" w:rsidR="00D26AA1" w:rsidRPr="00AD4DB9" w:rsidRDefault="00D26AA1" w:rsidP="00AD4DB9">
      <w:pPr>
        <w:numPr>
          <w:ilvl w:val="12"/>
          <w:numId w:val="0"/>
        </w:numPr>
        <w:shd w:val="solid" w:color="FFFFFF" w:fill="FFFFFF"/>
        <w:tabs>
          <w:tab w:val="left" w:pos="360"/>
          <w:tab w:val="left" w:pos="840"/>
        </w:tabs>
        <w:rPr>
          <w:sz w:val="24"/>
          <w:szCs w:val="24"/>
        </w:rPr>
      </w:pPr>
    </w:p>
    <w:p w14:paraId="04A2A7CB" w14:textId="050DF61A" w:rsidR="00AD4DB9" w:rsidRDefault="00AD4DB9" w:rsidP="00AD4DB9">
      <w:pPr>
        <w:numPr>
          <w:ilvl w:val="12"/>
          <w:numId w:val="0"/>
        </w:numPr>
        <w:shd w:val="solid" w:color="FFFFFF" w:fill="FFFFFF"/>
        <w:tabs>
          <w:tab w:val="left" w:pos="360"/>
          <w:tab w:val="left" w:pos="840"/>
        </w:tabs>
        <w:rPr>
          <w:sz w:val="24"/>
          <w:szCs w:val="24"/>
        </w:rPr>
      </w:pPr>
      <w:r w:rsidRPr="00AD4DB9">
        <w:rPr>
          <w:sz w:val="24"/>
          <w:szCs w:val="24"/>
        </w:rPr>
        <w:t>Without the C</w:t>
      </w:r>
      <w:r w:rsidR="00D26AA1">
        <w:rPr>
          <w:sz w:val="24"/>
          <w:szCs w:val="24"/>
        </w:rPr>
        <w:t>SLLEA</w:t>
      </w:r>
      <w:r w:rsidRPr="00AD4DB9">
        <w:rPr>
          <w:sz w:val="24"/>
          <w:szCs w:val="24"/>
        </w:rPr>
        <w:t xml:space="preserve"> data, BJS will be unable to describe the functions performed by </w:t>
      </w:r>
      <w:r w:rsidR="00D26AA1">
        <w:rPr>
          <w:sz w:val="24"/>
          <w:szCs w:val="24"/>
        </w:rPr>
        <w:t xml:space="preserve">law enforcement </w:t>
      </w:r>
      <w:r w:rsidRPr="00AD4DB9">
        <w:rPr>
          <w:sz w:val="24"/>
          <w:szCs w:val="24"/>
        </w:rPr>
        <w:t>agencies to the nation.  For example, the C</w:t>
      </w:r>
      <w:r w:rsidR="00D26AA1">
        <w:rPr>
          <w:sz w:val="24"/>
          <w:szCs w:val="24"/>
        </w:rPr>
        <w:t>SLLEA</w:t>
      </w:r>
      <w:r w:rsidRPr="00AD4DB9">
        <w:rPr>
          <w:sz w:val="24"/>
          <w:szCs w:val="24"/>
        </w:rPr>
        <w:t xml:space="preserve"> provides concrete measures of the extent to which publically funded law enforcement agencies are capable of providing specialized services, such as </w:t>
      </w:r>
      <w:r w:rsidR="00D26AA1">
        <w:rPr>
          <w:sz w:val="24"/>
          <w:szCs w:val="24"/>
        </w:rPr>
        <w:t>crime analysis</w:t>
      </w:r>
      <w:r w:rsidR="00186E63">
        <w:rPr>
          <w:sz w:val="24"/>
          <w:szCs w:val="24"/>
        </w:rPr>
        <w:t xml:space="preserve">, </w:t>
      </w:r>
      <w:r w:rsidR="00D26AA1">
        <w:rPr>
          <w:sz w:val="24"/>
          <w:szCs w:val="24"/>
        </w:rPr>
        <w:t>bomb/</w:t>
      </w:r>
      <w:r w:rsidRPr="00AD4DB9">
        <w:rPr>
          <w:sz w:val="24"/>
          <w:szCs w:val="24"/>
        </w:rPr>
        <w:t xml:space="preserve">explosives disposal, underwater recovery, and </w:t>
      </w:r>
      <w:r w:rsidR="00D26AA1">
        <w:rPr>
          <w:sz w:val="24"/>
          <w:szCs w:val="24"/>
        </w:rPr>
        <w:t>direct victim assistance or programs</w:t>
      </w:r>
      <w:r w:rsidRPr="00AD4DB9">
        <w:rPr>
          <w:sz w:val="24"/>
          <w:szCs w:val="24"/>
        </w:rPr>
        <w:t>. In addition, the C</w:t>
      </w:r>
      <w:r w:rsidR="00D26AA1">
        <w:rPr>
          <w:sz w:val="24"/>
          <w:szCs w:val="24"/>
        </w:rPr>
        <w:t>SLLEA</w:t>
      </w:r>
      <w:r w:rsidRPr="00AD4DB9">
        <w:rPr>
          <w:sz w:val="24"/>
          <w:szCs w:val="24"/>
        </w:rPr>
        <w:t xml:space="preserve"> provides a measurement of the number of full-time sworn personnel assigned to </w:t>
      </w:r>
      <w:r w:rsidR="00D26AA1">
        <w:rPr>
          <w:sz w:val="24"/>
          <w:szCs w:val="24"/>
        </w:rPr>
        <w:t>patrol, investigations, school safety, jails or courts</w:t>
      </w:r>
      <w:r w:rsidRPr="00AD4DB9">
        <w:rPr>
          <w:sz w:val="24"/>
          <w:szCs w:val="24"/>
        </w:rPr>
        <w:t>. The C</w:t>
      </w:r>
      <w:r w:rsidR="00186E63">
        <w:rPr>
          <w:sz w:val="24"/>
          <w:szCs w:val="24"/>
        </w:rPr>
        <w:t>SLLEA</w:t>
      </w:r>
      <w:r w:rsidRPr="00AD4DB9">
        <w:rPr>
          <w:sz w:val="24"/>
          <w:szCs w:val="24"/>
        </w:rPr>
        <w:t xml:space="preserve"> is also able to capture changing patterns of law enforcement personnel and functions that are then used to develop more detail collections or investigations through other vehicles.</w:t>
      </w:r>
      <w:r w:rsidR="00186E63">
        <w:rPr>
          <w:sz w:val="24"/>
          <w:szCs w:val="24"/>
        </w:rPr>
        <w:t xml:space="preserve"> For example, the National Institute of Justice has expressed interest to BJS in administering a survey on the capabilities of law enforcement agencies to handle digital forensic evidence. The CSLLEA will identify those agencies that process digital forensic evidence, which can serve as the basis of a frame for a LEMAS supplement on digital forensic evidence. </w:t>
      </w:r>
    </w:p>
    <w:p w14:paraId="169AF6F4" w14:textId="77777777" w:rsidR="00B66D9B" w:rsidRDefault="00B66D9B" w:rsidP="00AD4DB9">
      <w:pPr>
        <w:numPr>
          <w:ilvl w:val="12"/>
          <w:numId w:val="0"/>
        </w:numPr>
        <w:shd w:val="solid" w:color="FFFFFF" w:fill="FFFFFF"/>
        <w:tabs>
          <w:tab w:val="left" w:pos="360"/>
          <w:tab w:val="left" w:pos="840"/>
        </w:tabs>
        <w:rPr>
          <w:sz w:val="24"/>
          <w:szCs w:val="24"/>
        </w:rPr>
      </w:pPr>
    </w:p>
    <w:p w14:paraId="10636728" w14:textId="3B52DFB1" w:rsidR="00740DA0" w:rsidRPr="00740DA0" w:rsidRDefault="00740DA0" w:rsidP="00740DA0">
      <w:pPr>
        <w:rPr>
          <w:sz w:val="24"/>
          <w:szCs w:val="24"/>
        </w:rPr>
      </w:pPr>
      <w:r w:rsidRPr="00740DA0">
        <w:rPr>
          <w:sz w:val="24"/>
          <w:szCs w:val="24"/>
        </w:rPr>
        <w:t xml:space="preserve">The list below details the type of information that will be available through the </w:t>
      </w:r>
      <w:r>
        <w:rPr>
          <w:sz w:val="24"/>
          <w:szCs w:val="24"/>
        </w:rPr>
        <w:t>2018 CSLLEA</w:t>
      </w:r>
      <w:r w:rsidRPr="00740DA0">
        <w:rPr>
          <w:sz w:val="24"/>
          <w:szCs w:val="24"/>
        </w:rPr>
        <w:t xml:space="preserve"> data:</w:t>
      </w:r>
    </w:p>
    <w:p w14:paraId="2B679E67" w14:textId="19F58E07" w:rsidR="00740DA0" w:rsidRDefault="00740DA0" w:rsidP="00740DA0">
      <w:pPr>
        <w:pStyle w:val="ListParagraph"/>
        <w:numPr>
          <w:ilvl w:val="0"/>
          <w:numId w:val="29"/>
        </w:numPr>
        <w:rPr>
          <w:sz w:val="24"/>
          <w:szCs w:val="24"/>
        </w:rPr>
      </w:pPr>
      <w:r>
        <w:rPr>
          <w:sz w:val="24"/>
          <w:szCs w:val="24"/>
        </w:rPr>
        <w:t>Number/percentages of law enforcement agencies by government entity</w:t>
      </w:r>
    </w:p>
    <w:p w14:paraId="4134999A" w14:textId="11440505" w:rsidR="00740DA0" w:rsidRDefault="00740DA0" w:rsidP="00740DA0">
      <w:pPr>
        <w:pStyle w:val="ListParagraph"/>
        <w:numPr>
          <w:ilvl w:val="0"/>
          <w:numId w:val="29"/>
        </w:numPr>
        <w:rPr>
          <w:sz w:val="24"/>
          <w:szCs w:val="24"/>
        </w:rPr>
      </w:pPr>
      <w:r>
        <w:rPr>
          <w:sz w:val="24"/>
          <w:szCs w:val="24"/>
        </w:rPr>
        <w:t>Rates/percent of law enforcement agencies that are primarily responsible for law enforcement</w:t>
      </w:r>
    </w:p>
    <w:p w14:paraId="63A890B1" w14:textId="1976E96A" w:rsidR="00740DA0" w:rsidRPr="00740DA0" w:rsidRDefault="00740DA0" w:rsidP="00740DA0">
      <w:pPr>
        <w:pStyle w:val="ListParagraph"/>
        <w:numPr>
          <w:ilvl w:val="0"/>
          <w:numId w:val="29"/>
        </w:numPr>
        <w:rPr>
          <w:sz w:val="24"/>
          <w:szCs w:val="24"/>
        </w:rPr>
      </w:pPr>
      <w:r w:rsidRPr="00740DA0">
        <w:rPr>
          <w:sz w:val="24"/>
          <w:szCs w:val="24"/>
        </w:rPr>
        <w:t xml:space="preserve">Average total operating budget </w:t>
      </w:r>
    </w:p>
    <w:p w14:paraId="04DB45BF" w14:textId="36A06D9B" w:rsidR="00740DA0" w:rsidRDefault="00740DA0" w:rsidP="00740DA0">
      <w:pPr>
        <w:pStyle w:val="ListParagraph"/>
        <w:numPr>
          <w:ilvl w:val="0"/>
          <w:numId w:val="29"/>
        </w:numPr>
        <w:autoSpaceDE/>
        <w:autoSpaceDN/>
        <w:adjustRightInd/>
        <w:rPr>
          <w:sz w:val="24"/>
          <w:szCs w:val="24"/>
        </w:rPr>
      </w:pPr>
      <w:r>
        <w:rPr>
          <w:sz w:val="24"/>
          <w:szCs w:val="24"/>
        </w:rPr>
        <w:t xml:space="preserve">Rates/percentages of agencies </w:t>
      </w:r>
      <w:r w:rsidR="00845BB5">
        <w:rPr>
          <w:sz w:val="24"/>
          <w:szCs w:val="24"/>
        </w:rPr>
        <w:t xml:space="preserve">that </w:t>
      </w:r>
      <w:r>
        <w:rPr>
          <w:sz w:val="24"/>
          <w:szCs w:val="24"/>
        </w:rPr>
        <w:t>regularly engage in the functions of patrol and response, criminal investigation, traffic and vehicle-related</w:t>
      </w:r>
      <w:r w:rsidR="009D3BC1">
        <w:rPr>
          <w:sz w:val="24"/>
          <w:szCs w:val="24"/>
        </w:rPr>
        <w:t xml:space="preserve"> functions</w:t>
      </w:r>
      <w:r>
        <w:rPr>
          <w:sz w:val="24"/>
          <w:szCs w:val="24"/>
        </w:rPr>
        <w:t>, detention, court, forensic services, special safety, task force, and specialized</w:t>
      </w:r>
      <w:r w:rsidR="009251F4">
        <w:rPr>
          <w:sz w:val="24"/>
          <w:szCs w:val="24"/>
        </w:rPr>
        <w:t xml:space="preserve"> tasks</w:t>
      </w:r>
      <w:r>
        <w:rPr>
          <w:sz w:val="24"/>
          <w:szCs w:val="24"/>
        </w:rPr>
        <w:t xml:space="preserve"> </w:t>
      </w:r>
    </w:p>
    <w:p w14:paraId="5BB0E7D2" w14:textId="77777777" w:rsidR="00740DA0" w:rsidRDefault="00740DA0" w:rsidP="00740DA0">
      <w:pPr>
        <w:pStyle w:val="ListParagraph"/>
        <w:numPr>
          <w:ilvl w:val="0"/>
          <w:numId w:val="29"/>
        </w:numPr>
        <w:autoSpaceDE/>
        <w:autoSpaceDN/>
        <w:adjustRightInd/>
        <w:rPr>
          <w:sz w:val="24"/>
          <w:szCs w:val="24"/>
        </w:rPr>
      </w:pPr>
      <w:r w:rsidRPr="00740DA0">
        <w:rPr>
          <w:sz w:val="24"/>
          <w:szCs w:val="24"/>
        </w:rPr>
        <w:t xml:space="preserve">Number of full-time and part-time </w:t>
      </w:r>
      <w:r>
        <w:rPr>
          <w:sz w:val="24"/>
          <w:szCs w:val="24"/>
        </w:rPr>
        <w:t xml:space="preserve">fully </w:t>
      </w:r>
      <w:r w:rsidRPr="00740DA0">
        <w:rPr>
          <w:sz w:val="24"/>
          <w:szCs w:val="24"/>
        </w:rPr>
        <w:t>sworn officers</w:t>
      </w:r>
      <w:r>
        <w:rPr>
          <w:sz w:val="24"/>
          <w:szCs w:val="24"/>
        </w:rPr>
        <w:t>, limited sworn officers</w:t>
      </w:r>
      <w:r w:rsidRPr="00740DA0">
        <w:rPr>
          <w:sz w:val="24"/>
          <w:szCs w:val="24"/>
        </w:rPr>
        <w:t xml:space="preserve"> and non-sworn employees</w:t>
      </w:r>
    </w:p>
    <w:p w14:paraId="2CBA4020" w14:textId="77777777" w:rsidR="00740DA0" w:rsidRPr="00740DA0" w:rsidRDefault="00740DA0" w:rsidP="00740DA0">
      <w:pPr>
        <w:pStyle w:val="ListParagraph"/>
        <w:numPr>
          <w:ilvl w:val="0"/>
          <w:numId w:val="29"/>
        </w:numPr>
        <w:autoSpaceDE/>
        <w:autoSpaceDN/>
        <w:adjustRightInd/>
        <w:rPr>
          <w:sz w:val="24"/>
          <w:szCs w:val="24"/>
        </w:rPr>
      </w:pPr>
      <w:r w:rsidRPr="00740DA0">
        <w:rPr>
          <w:sz w:val="24"/>
          <w:szCs w:val="24"/>
        </w:rPr>
        <w:t>Sex</w:t>
      </w:r>
      <w:r>
        <w:rPr>
          <w:sz w:val="24"/>
          <w:szCs w:val="24"/>
        </w:rPr>
        <w:t xml:space="preserve"> of full-time sworn personnel with general arrest powers and with limited arrest powers</w:t>
      </w:r>
    </w:p>
    <w:p w14:paraId="7BED5A5F" w14:textId="335DA326" w:rsidR="00740DA0" w:rsidRPr="00740DA0" w:rsidRDefault="00740DA0" w:rsidP="00740DA0">
      <w:pPr>
        <w:pStyle w:val="ListParagraph"/>
        <w:numPr>
          <w:ilvl w:val="0"/>
          <w:numId w:val="29"/>
        </w:numPr>
        <w:autoSpaceDE/>
        <w:autoSpaceDN/>
        <w:adjustRightInd/>
        <w:rPr>
          <w:sz w:val="24"/>
          <w:szCs w:val="24"/>
        </w:rPr>
      </w:pPr>
      <w:r w:rsidRPr="00740DA0">
        <w:rPr>
          <w:sz w:val="24"/>
          <w:szCs w:val="24"/>
        </w:rPr>
        <w:t xml:space="preserve">Number/percentages of officers </w:t>
      </w:r>
      <w:r>
        <w:rPr>
          <w:sz w:val="24"/>
          <w:szCs w:val="24"/>
        </w:rPr>
        <w:t>whose primary assignment is to</w:t>
      </w:r>
      <w:r w:rsidRPr="00740DA0">
        <w:rPr>
          <w:sz w:val="24"/>
          <w:szCs w:val="24"/>
        </w:rPr>
        <w:t xml:space="preserve"> patrol, </w:t>
      </w:r>
      <w:r>
        <w:rPr>
          <w:sz w:val="24"/>
          <w:szCs w:val="24"/>
        </w:rPr>
        <w:t>investigations</w:t>
      </w:r>
      <w:r w:rsidRPr="00740DA0">
        <w:rPr>
          <w:sz w:val="24"/>
          <w:szCs w:val="24"/>
        </w:rPr>
        <w:t xml:space="preserve">, </w:t>
      </w:r>
      <w:r>
        <w:rPr>
          <w:sz w:val="24"/>
          <w:szCs w:val="24"/>
        </w:rPr>
        <w:t>school safety, jail duties or court duties</w:t>
      </w:r>
      <w:r w:rsidR="00845BB5">
        <w:rPr>
          <w:sz w:val="24"/>
          <w:szCs w:val="24"/>
        </w:rPr>
        <w:t>.</w:t>
      </w:r>
    </w:p>
    <w:p w14:paraId="3EBA6938" w14:textId="77777777" w:rsidR="00740DA0" w:rsidRPr="00740DA0" w:rsidRDefault="00740DA0" w:rsidP="00AD4DB9">
      <w:pPr>
        <w:numPr>
          <w:ilvl w:val="12"/>
          <w:numId w:val="0"/>
        </w:numPr>
        <w:shd w:val="solid" w:color="FFFFFF" w:fill="FFFFFF"/>
        <w:tabs>
          <w:tab w:val="left" w:pos="360"/>
          <w:tab w:val="left" w:pos="840"/>
        </w:tabs>
        <w:rPr>
          <w:sz w:val="24"/>
          <w:szCs w:val="24"/>
        </w:rPr>
      </w:pPr>
    </w:p>
    <w:p w14:paraId="6F0BBCBB" w14:textId="608CB235" w:rsidR="00AD4DB9" w:rsidRPr="00AD4DB9" w:rsidRDefault="00AD4DB9" w:rsidP="00AD4DB9">
      <w:pPr>
        <w:numPr>
          <w:ilvl w:val="12"/>
          <w:numId w:val="0"/>
        </w:numPr>
        <w:shd w:val="solid" w:color="FFFFFF" w:fill="FFFFFF"/>
        <w:tabs>
          <w:tab w:val="left" w:pos="360"/>
          <w:tab w:val="left" w:pos="840"/>
        </w:tabs>
        <w:rPr>
          <w:sz w:val="24"/>
          <w:szCs w:val="24"/>
        </w:rPr>
      </w:pPr>
      <w:r w:rsidRPr="00AD4DB9">
        <w:rPr>
          <w:sz w:val="24"/>
          <w:szCs w:val="24"/>
        </w:rPr>
        <w:t>BJS will use the data gathered throug</w:t>
      </w:r>
      <w:r w:rsidR="00186E63">
        <w:rPr>
          <w:sz w:val="24"/>
          <w:szCs w:val="24"/>
        </w:rPr>
        <w:t>h the administration of the 2018</w:t>
      </w:r>
      <w:r w:rsidRPr="00AD4DB9">
        <w:rPr>
          <w:sz w:val="24"/>
          <w:szCs w:val="24"/>
        </w:rPr>
        <w:t xml:space="preserve"> C</w:t>
      </w:r>
      <w:r w:rsidR="00186E63">
        <w:rPr>
          <w:sz w:val="24"/>
          <w:szCs w:val="24"/>
        </w:rPr>
        <w:t>SLLEA</w:t>
      </w:r>
      <w:r w:rsidRPr="00AD4DB9">
        <w:rPr>
          <w:sz w:val="24"/>
          <w:szCs w:val="24"/>
        </w:rPr>
        <w:t xml:space="preserve"> to disseminate information about law enforcement to the public. Past reports using the </w:t>
      </w:r>
      <w:r w:rsidR="00186E63">
        <w:rPr>
          <w:sz w:val="24"/>
          <w:szCs w:val="24"/>
        </w:rPr>
        <w:t xml:space="preserve">CSLLEA </w:t>
      </w:r>
      <w:r w:rsidRPr="00AD4DB9">
        <w:rPr>
          <w:sz w:val="24"/>
          <w:szCs w:val="24"/>
        </w:rPr>
        <w:t>(http://www.bjs.gov/index.cfm?ty=dcdetail&amp;iid=249):</w:t>
      </w:r>
    </w:p>
    <w:p w14:paraId="305455A9" w14:textId="77777777" w:rsidR="00AD4DB9" w:rsidRDefault="00AD4DB9" w:rsidP="00AD4DB9">
      <w:pPr>
        <w:numPr>
          <w:ilvl w:val="12"/>
          <w:numId w:val="0"/>
        </w:numPr>
        <w:shd w:val="solid" w:color="FFFFFF" w:fill="FFFFFF"/>
        <w:tabs>
          <w:tab w:val="left" w:pos="360"/>
          <w:tab w:val="left" w:pos="840"/>
        </w:tabs>
        <w:rPr>
          <w:sz w:val="24"/>
          <w:szCs w:val="24"/>
        </w:rPr>
      </w:pPr>
    </w:p>
    <w:p w14:paraId="610224F4" w14:textId="77EC490F" w:rsidR="00EC1661" w:rsidRPr="00AD4DB9" w:rsidRDefault="00EC1661" w:rsidP="00AD4DB9">
      <w:pPr>
        <w:numPr>
          <w:ilvl w:val="12"/>
          <w:numId w:val="0"/>
        </w:numPr>
        <w:shd w:val="solid" w:color="FFFFFF" w:fill="FFFFFF"/>
        <w:tabs>
          <w:tab w:val="left" w:pos="360"/>
          <w:tab w:val="left" w:pos="840"/>
        </w:tabs>
        <w:rPr>
          <w:sz w:val="24"/>
          <w:szCs w:val="24"/>
        </w:rPr>
      </w:pPr>
      <w:r>
        <w:rPr>
          <w:sz w:val="24"/>
          <w:szCs w:val="24"/>
        </w:rPr>
        <w:tab/>
        <w:t>National Sources of Law Enforcement Employee Data</w:t>
      </w:r>
    </w:p>
    <w:p w14:paraId="60EDFE11" w14:textId="0A7C6382" w:rsidR="00EC1661" w:rsidRDefault="00EC1661" w:rsidP="00186E63">
      <w:pPr>
        <w:numPr>
          <w:ilvl w:val="12"/>
          <w:numId w:val="0"/>
        </w:numPr>
        <w:shd w:val="solid" w:color="FFFFFF" w:fill="FFFFFF"/>
        <w:tabs>
          <w:tab w:val="left" w:pos="360"/>
          <w:tab w:val="left" w:pos="840"/>
        </w:tabs>
        <w:ind w:left="360"/>
        <w:rPr>
          <w:sz w:val="24"/>
          <w:szCs w:val="24"/>
        </w:rPr>
      </w:pPr>
      <w:r>
        <w:rPr>
          <w:sz w:val="24"/>
          <w:szCs w:val="24"/>
        </w:rPr>
        <w:t>Tribal Crime Data Collection Activities, 2012</w:t>
      </w:r>
    </w:p>
    <w:p w14:paraId="4B0D7616" w14:textId="5E78191C" w:rsidR="00EC1661" w:rsidRDefault="00EC1661" w:rsidP="00186E63">
      <w:pPr>
        <w:numPr>
          <w:ilvl w:val="12"/>
          <w:numId w:val="0"/>
        </w:numPr>
        <w:shd w:val="solid" w:color="FFFFFF" w:fill="FFFFFF"/>
        <w:tabs>
          <w:tab w:val="left" w:pos="360"/>
          <w:tab w:val="left" w:pos="840"/>
        </w:tabs>
        <w:ind w:left="360"/>
        <w:rPr>
          <w:sz w:val="24"/>
          <w:szCs w:val="24"/>
        </w:rPr>
      </w:pPr>
      <w:r>
        <w:rPr>
          <w:sz w:val="24"/>
          <w:szCs w:val="24"/>
        </w:rPr>
        <w:t>Compendium of Tribal Crime Data, 2011</w:t>
      </w:r>
    </w:p>
    <w:p w14:paraId="2E66F476" w14:textId="77777777" w:rsidR="00AD4DB9" w:rsidRPr="00AD4DB9" w:rsidRDefault="00AD4DB9" w:rsidP="00186E63">
      <w:pPr>
        <w:numPr>
          <w:ilvl w:val="12"/>
          <w:numId w:val="0"/>
        </w:numPr>
        <w:shd w:val="solid" w:color="FFFFFF" w:fill="FFFFFF"/>
        <w:tabs>
          <w:tab w:val="left" w:pos="360"/>
          <w:tab w:val="left" w:pos="840"/>
        </w:tabs>
        <w:ind w:left="360"/>
        <w:rPr>
          <w:sz w:val="24"/>
          <w:szCs w:val="24"/>
        </w:rPr>
      </w:pPr>
      <w:r w:rsidRPr="00AD4DB9">
        <w:rPr>
          <w:sz w:val="24"/>
          <w:szCs w:val="24"/>
        </w:rPr>
        <w:t xml:space="preserve">Hiring and Retention of State and Local Law Enforcement Officers, 2008 </w:t>
      </w:r>
    </w:p>
    <w:p w14:paraId="3EBD11F5" w14:textId="77777777" w:rsidR="00AD4DB9" w:rsidRDefault="00AD4DB9" w:rsidP="00186E63">
      <w:pPr>
        <w:numPr>
          <w:ilvl w:val="12"/>
          <w:numId w:val="0"/>
        </w:numPr>
        <w:shd w:val="solid" w:color="FFFFFF" w:fill="FFFFFF"/>
        <w:tabs>
          <w:tab w:val="left" w:pos="360"/>
          <w:tab w:val="left" w:pos="840"/>
        </w:tabs>
        <w:ind w:left="360"/>
        <w:rPr>
          <w:sz w:val="24"/>
          <w:szCs w:val="24"/>
        </w:rPr>
      </w:pPr>
      <w:r w:rsidRPr="00AD4DB9">
        <w:rPr>
          <w:sz w:val="24"/>
          <w:szCs w:val="24"/>
        </w:rPr>
        <w:t>Census of State and Local Law Enforcement Agencies, 2008</w:t>
      </w:r>
    </w:p>
    <w:p w14:paraId="3EBBB059" w14:textId="41690F63" w:rsidR="00EC1661" w:rsidRPr="00AD4DB9" w:rsidRDefault="00EC1661" w:rsidP="00186E63">
      <w:pPr>
        <w:numPr>
          <w:ilvl w:val="12"/>
          <w:numId w:val="0"/>
        </w:numPr>
        <w:shd w:val="solid" w:color="FFFFFF" w:fill="FFFFFF"/>
        <w:tabs>
          <w:tab w:val="left" w:pos="360"/>
          <w:tab w:val="left" w:pos="840"/>
        </w:tabs>
        <w:ind w:left="360"/>
        <w:rPr>
          <w:sz w:val="24"/>
          <w:szCs w:val="24"/>
        </w:rPr>
      </w:pPr>
      <w:r>
        <w:rPr>
          <w:sz w:val="24"/>
          <w:szCs w:val="24"/>
        </w:rPr>
        <w:t>Tribal Law Enforcement, 2008</w:t>
      </w:r>
    </w:p>
    <w:p w14:paraId="7666BB98" w14:textId="77777777" w:rsidR="00AD4DB9" w:rsidRPr="00AD4DB9" w:rsidRDefault="00AD4DB9" w:rsidP="00186E63">
      <w:pPr>
        <w:numPr>
          <w:ilvl w:val="12"/>
          <w:numId w:val="0"/>
        </w:numPr>
        <w:shd w:val="solid" w:color="FFFFFF" w:fill="FFFFFF"/>
        <w:tabs>
          <w:tab w:val="left" w:pos="360"/>
          <w:tab w:val="left" w:pos="840"/>
        </w:tabs>
        <w:ind w:left="360"/>
        <w:rPr>
          <w:sz w:val="24"/>
          <w:szCs w:val="24"/>
        </w:rPr>
      </w:pPr>
      <w:r w:rsidRPr="00AD4DB9">
        <w:rPr>
          <w:sz w:val="24"/>
          <w:szCs w:val="24"/>
        </w:rPr>
        <w:t>Census of State and Local Law Enforcement Agencies, 2004</w:t>
      </w:r>
    </w:p>
    <w:p w14:paraId="5E379D05" w14:textId="77777777" w:rsidR="00AD4DB9" w:rsidRPr="00AD4DB9" w:rsidRDefault="00AD4DB9" w:rsidP="00186E63">
      <w:pPr>
        <w:numPr>
          <w:ilvl w:val="12"/>
          <w:numId w:val="0"/>
        </w:numPr>
        <w:shd w:val="solid" w:color="FFFFFF" w:fill="FFFFFF"/>
        <w:tabs>
          <w:tab w:val="left" w:pos="360"/>
          <w:tab w:val="left" w:pos="840"/>
        </w:tabs>
        <w:ind w:left="360"/>
        <w:rPr>
          <w:sz w:val="24"/>
          <w:szCs w:val="24"/>
        </w:rPr>
      </w:pPr>
      <w:r w:rsidRPr="00AD4DB9">
        <w:rPr>
          <w:sz w:val="24"/>
          <w:szCs w:val="24"/>
        </w:rPr>
        <w:t>Census of State and Local Law Enforcement Agencies, 2000</w:t>
      </w:r>
    </w:p>
    <w:p w14:paraId="168FAAC0" w14:textId="77777777" w:rsidR="00AD4DB9" w:rsidRPr="00AD4DB9" w:rsidRDefault="00AD4DB9" w:rsidP="00186E63">
      <w:pPr>
        <w:numPr>
          <w:ilvl w:val="12"/>
          <w:numId w:val="0"/>
        </w:numPr>
        <w:shd w:val="solid" w:color="FFFFFF" w:fill="FFFFFF"/>
        <w:tabs>
          <w:tab w:val="left" w:pos="360"/>
          <w:tab w:val="left" w:pos="840"/>
        </w:tabs>
        <w:ind w:left="360"/>
        <w:rPr>
          <w:sz w:val="24"/>
          <w:szCs w:val="24"/>
        </w:rPr>
      </w:pPr>
      <w:r w:rsidRPr="00AD4DB9">
        <w:rPr>
          <w:sz w:val="24"/>
          <w:szCs w:val="24"/>
        </w:rPr>
        <w:t>Census of State and Local Law Enforcement Agencies, 1996</w:t>
      </w:r>
    </w:p>
    <w:p w14:paraId="20964ABD" w14:textId="77777777" w:rsidR="00AD4DB9" w:rsidRPr="00AD4DB9" w:rsidRDefault="00AD4DB9" w:rsidP="00186E63">
      <w:pPr>
        <w:numPr>
          <w:ilvl w:val="12"/>
          <w:numId w:val="0"/>
        </w:numPr>
        <w:shd w:val="solid" w:color="FFFFFF" w:fill="FFFFFF"/>
        <w:tabs>
          <w:tab w:val="left" w:pos="360"/>
          <w:tab w:val="left" w:pos="840"/>
        </w:tabs>
        <w:ind w:left="360"/>
        <w:rPr>
          <w:sz w:val="24"/>
          <w:szCs w:val="24"/>
        </w:rPr>
      </w:pPr>
      <w:r w:rsidRPr="00AD4DB9">
        <w:rPr>
          <w:sz w:val="24"/>
          <w:szCs w:val="24"/>
        </w:rPr>
        <w:t>Census of State and Local Law Enforcement Agencies, 1992</w:t>
      </w:r>
    </w:p>
    <w:p w14:paraId="40BDF6F9" w14:textId="77777777" w:rsidR="00AD4DB9" w:rsidRPr="00AD4DB9" w:rsidRDefault="00AD4DB9" w:rsidP="00AD4DB9">
      <w:pPr>
        <w:numPr>
          <w:ilvl w:val="12"/>
          <w:numId w:val="0"/>
        </w:numPr>
        <w:shd w:val="solid" w:color="FFFFFF" w:fill="FFFFFF"/>
        <w:tabs>
          <w:tab w:val="left" w:pos="360"/>
          <w:tab w:val="left" w:pos="840"/>
        </w:tabs>
        <w:rPr>
          <w:sz w:val="24"/>
          <w:szCs w:val="24"/>
        </w:rPr>
      </w:pPr>
    </w:p>
    <w:p w14:paraId="184C0CB6" w14:textId="10A2927D" w:rsidR="00AD4DB9" w:rsidRPr="00B66D9B" w:rsidRDefault="00AD4DB9" w:rsidP="00AD4DB9">
      <w:pPr>
        <w:numPr>
          <w:ilvl w:val="12"/>
          <w:numId w:val="0"/>
        </w:numPr>
        <w:shd w:val="solid" w:color="FFFFFF" w:fill="FFFFFF"/>
        <w:tabs>
          <w:tab w:val="left" w:pos="360"/>
          <w:tab w:val="left" w:pos="840"/>
        </w:tabs>
        <w:rPr>
          <w:i/>
          <w:sz w:val="24"/>
          <w:szCs w:val="24"/>
        </w:rPr>
      </w:pPr>
      <w:r w:rsidRPr="00657270">
        <w:rPr>
          <w:i/>
          <w:sz w:val="24"/>
          <w:szCs w:val="24"/>
        </w:rPr>
        <w:t>Uses of the C</w:t>
      </w:r>
      <w:r w:rsidR="00B66D9B" w:rsidRPr="00657270">
        <w:rPr>
          <w:i/>
          <w:sz w:val="24"/>
          <w:szCs w:val="24"/>
        </w:rPr>
        <w:t>SLLEA</w:t>
      </w:r>
      <w:r w:rsidRPr="00657270">
        <w:rPr>
          <w:i/>
          <w:sz w:val="24"/>
          <w:szCs w:val="24"/>
        </w:rPr>
        <w:t xml:space="preserve"> by Others</w:t>
      </w:r>
    </w:p>
    <w:p w14:paraId="38905F2F" w14:textId="5024CA75" w:rsidR="00AD4DB9" w:rsidRPr="00AD4DB9" w:rsidRDefault="00AD4DB9" w:rsidP="00AD4DB9">
      <w:pPr>
        <w:numPr>
          <w:ilvl w:val="12"/>
          <w:numId w:val="0"/>
        </w:numPr>
        <w:shd w:val="solid" w:color="FFFFFF" w:fill="FFFFFF"/>
        <w:tabs>
          <w:tab w:val="left" w:pos="360"/>
          <w:tab w:val="left" w:pos="840"/>
        </w:tabs>
        <w:rPr>
          <w:sz w:val="24"/>
          <w:szCs w:val="24"/>
        </w:rPr>
      </w:pPr>
      <w:r w:rsidRPr="00AD4DB9">
        <w:rPr>
          <w:sz w:val="24"/>
          <w:szCs w:val="24"/>
        </w:rPr>
        <w:t>The information generated from the C</w:t>
      </w:r>
      <w:r w:rsidR="00F60E75">
        <w:rPr>
          <w:sz w:val="24"/>
          <w:szCs w:val="24"/>
        </w:rPr>
        <w:t>SLLEA</w:t>
      </w:r>
      <w:r w:rsidRPr="00AD4DB9">
        <w:rPr>
          <w:sz w:val="24"/>
          <w:szCs w:val="24"/>
        </w:rPr>
        <w:t xml:space="preserve"> is widely used and cited by the law enforcement professional and research communities. The statistics generated by the C</w:t>
      </w:r>
      <w:r w:rsidR="00F60E75">
        <w:rPr>
          <w:sz w:val="24"/>
          <w:szCs w:val="24"/>
        </w:rPr>
        <w:t>SLLEA</w:t>
      </w:r>
      <w:r w:rsidRPr="00AD4DB9">
        <w:rPr>
          <w:sz w:val="24"/>
          <w:szCs w:val="24"/>
        </w:rPr>
        <w:t xml:space="preserve"> are requested and used by police chiefs, sheriffs, legislators, planners, researchers, and others to identify personnel and budgetary needs, trends, and priorities in law enforcement. The C</w:t>
      </w:r>
      <w:r w:rsidR="00F60E75">
        <w:rPr>
          <w:sz w:val="24"/>
          <w:szCs w:val="24"/>
        </w:rPr>
        <w:t>SLLEA</w:t>
      </w:r>
      <w:r w:rsidRPr="00AD4DB9">
        <w:rPr>
          <w:sz w:val="24"/>
          <w:szCs w:val="24"/>
        </w:rPr>
        <w:t xml:space="preserve"> has been used</w:t>
      </w:r>
      <w:r w:rsidR="00F60E75">
        <w:rPr>
          <w:sz w:val="24"/>
          <w:szCs w:val="24"/>
        </w:rPr>
        <w:t xml:space="preserve"> to track employment trends in s</w:t>
      </w:r>
      <w:r w:rsidRPr="00AD4DB9">
        <w:rPr>
          <w:sz w:val="24"/>
          <w:szCs w:val="24"/>
        </w:rPr>
        <w:t>tate and local law enforcement in the U.S. since 1992, and will continue to inform policy making, planning, and budgeting at all levels of government.</w:t>
      </w:r>
    </w:p>
    <w:p w14:paraId="26A16F20" w14:textId="77777777" w:rsidR="007743FE" w:rsidRDefault="007743FE" w:rsidP="00AD4DB9">
      <w:pPr>
        <w:numPr>
          <w:ilvl w:val="12"/>
          <w:numId w:val="0"/>
        </w:numPr>
        <w:shd w:val="solid" w:color="FFFFFF" w:fill="FFFFFF"/>
        <w:tabs>
          <w:tab w:val="left" w:pos="360"/>
          <w:tab w:val="left" w:pos="840"/>
        </w:tabs>
        <w:rPr>
          <w:sz w:val="24"/>
          <w:szCs w:val="24"/>
        </w:rPr>
      </w:pPr>
    </w:p>
    <w:p w14:paraId="079C6788" w14:textId="79B6DAEC" w:rsidR="002079EF" w:rsidRDefault="00EC1661" w:rsidP="00AD4DB9">
      <w:pPr>
        <w:numPr>
          <w:ilvl w:val="12"/>
          <w:numId w:val="0"/>
        </w:numPr>
        <w:shd w:val="solid" w:color="FFFFFF" w:fill="FFFFFF"/>
        <w:tabs>
          <w:tab w:val="left" w:pos="360"/>
          <w:tab w:val="left" w:pos="840"/>
        </w:tabs>
        <w:rPr>
          <w:sz w:val="24"/>
          <w:szCs w:val="24"/>
        </w:rPr>
      </w:pPr>
      <w:r>
        <w:rPr>
          <w:sz w:val="24"/>
          <w:szCs w:val="24"/>
        </w:rPr>
        <w:t>According to the National Archive of Criminal Justice Data at the Unive</w:t>
      </w:r>
      <w:r w:rsidR="008C6C21">
        <w:rPr>
          <w:sz w:val="24"/>
          <w:szCs w:val="24"/>
        </w:rPr>
        <w:t>rsity of Michigan (NACJD), the CSLLEA data have been used in 34 academic publications.</w:t>
      </w:r>
      <w:r w:rsidR="00B956EC">
        <w:rPr>
          <w:rStyle w:val="FootnoteReference"/>
          <w:sz w:val="24"/>
          <w:szCs w:val="24"/>
        </w:rPr>
        <w:footnoteReference w:id="4"/>
      </w:r>
      <w:r>
        <w:rPr>
          <w:sz w:val="24"/>
          <w:szCs w:val="24"/>
        </w:rPr>
        <w:t xml:space="preserve"> </w:t>
      </w:r>
      <w:r w:rsidR="00B956EC">
        <w:rPr>
          <w:sz w:val="24"/>
          <w:szCs w:val="24"/>
        </w:rPr>
        <w:t xml:space="preserve">A </w:t>
      </w:r>
      <w:r w:rsidR="002079EF">
        <w:rPr>
          <w:sz w:val="24"/>
          <w:szCs w:val="24"/>
        </w:rPr>
        <w:t xml:space="preserve">majority </w:t>
      </w:r>
      <w:r w:rsidR="00B956EC">
        <w:rPr>
          <w:sz w:val="24"/>
          <w:szCs w:val="24"/>
        </w:rPr>
        <w:t>of these publications have focused on the number of police departments in the U</w:t>
      </w:r>
      <w:r w:rsidR="009D3BC1">
        <w:rPr>
          <w:sz w:val="24"/>
          <w:szCs w:val="24"/>
        </w:rPr>
        <w:t>.</w:t>
      </w:r>
      <w:r w:rsidR="00B956EC">
        <w:rPr>
          <w:sz w:val="24"/>
          <w:szCs w:val="24"/>
        </w:rPr>
        <w:t>S</w:t>
      </w:r>
      <w:r w:rsidR="009D3BC1">
        <w:rPr>
          <w:sz w:val="24"/>
          <w:szCs w:val="24"/>
        </w:rPr>
        <w:t>.</w:t>
      </w:r>
      <w:r w:rsidR="00B956EC">
        <w:rPr>
          <w:sz w:val="24"/>
          <w:szCs w:val="24"/>
        </w:rPr>
        <w:t xml:space="preserve"> and their size. For example, research in this area has examined the relationship between police agency size and crime clearance rates. The CSLLEA has also been used to characterize law enforcement agencies by the functions they perform, such as forensic services and serving tribal lands. </w:t>
      </w:r>
    </w:p>
    <w:p w14:paraId="2AB7EAA1" w14:textId="77777777" w:rsidR="002079EF" w:rsidRDefault="002079EF" w:rsidP="00AD4DB9">
      <w:pPr>
        <w:numPr>
          <w:ilvl w:val="12"/>
          <w:numId w:val="0"/>
        </w:numPr>
        <w:shd w:val="solid" w:color="FFFFFF" w:fill="FFFFFF"/>
        <w:tabs>
          <w:tab w:val="left" w:pos="360"/>
          <w:tab w:val="left" w:pos="840"/>
        </w:tabs>
        <w:rPr>
          <w:sz w:val="24"/>
          <w:szCs w:val="24"/>
        </w:rPr>
      </w:pPr>
    </w:p>
    <w:p w14:paraId="0F090F8D" w14:textId="443F32CE" w:rsidR="00B956EC" w:rsidRDefault="00B956EC" w:rsidP="00AD4DB9">
      <w:pPr>
        <w:numPr>
          <w:ilvl w:val="12"/>
          <w:numId w:val="0"/>
        </w:numPr>
        <w:shd w:val="solid" w:color="FFFFFF" w:fill="FFFFFF"/>
        <w:tabs>
          <w:tab w:val="left" w:pos="360"/>
          <w:tab w:val="left" w:pos="840"/>
        </w:tabs>
        <w:rPr>
          <w:sz w:val="24"/>
          <w:szCs w:val="24"/>
        </w:rPr>
      </w:pPr>
      <w:r>
        <w:rPr>
          <w:sz w:val="24"/>
          <w:szCs w:val="24"/>
        </w:rPr>
        <w:t>In addition to academic publications, BJS receives a number of information requests that can be fulfilled by the CSLLEA data.</w:t>
      </w:r>
      <w:r w:rsidR="00AD4DB9" w:rsidRPr="00AD4DB9">
        <w:rPr>
          <w:sz w:val="24"/>
          <w:szCs w:val="24"/>
        </w:rPr>
        <w:t xml:space="preserve"> Uses of information include policy decisions, budget hearings, research and planning, market research, benchmark comparisons, grant applications, and journalistic purposes. BJS tracks the types of information requested that can be provided through its law enforcement data collections, as well as those requests that </w:t>
      </w:r>
      <w:r w:rsidR="002079EF">
        <w:rPr>
          <w:sz w:val="24"/>
          <w:szCs w:val="24"/>
        </w:rPr>
        <w:t>the</w:t>
      </w:r>
      <w:r w:rsidR="002079EF" w:rsidRPr="00AD4DB9">
        <w:rPr>
          <w:sz w:val="24"/>
          <w:szCs w:val="24"/>
        </w:rPr>
        <w:t xml:space="preserve"> </w:t>
      </w:r>
      <w:r w:rsidR="00AD4DB9" w:rsidRPr="00AD4DB9">
        <w:rPr>
          <w:sz w:val="24"/>
          <w:szCs w:val="24"/>
        </w:rPr>
        <w:t xml:space="preserve">data </w:t>
      </w:r>
      <w:r w:rsidR="002079EF" w:rsidRPr="00AD4DB9">
        <w:rPr>
          <w:sz w:val="24"/>
          <w:szCs w:val="24"/>
        </w:rPr>
        <w:t>can</w:t>
      </w:r>
      <w:r w:rsidR="002079EF">
        <w:rPr>
          <w:sz w:val="24"/>
          <w:szCs w:val="24"/>
        </w:rPr>
        <w:t xml:space="preserve">not </w:t>
      </w:r>
      <w:r w:rsidR="00AD4DB9" w:rsidRPr="00AD4DB9">
        <w:rPr>
          <w:sz w:val="24"/>
          <w:szCs w:val="24"/>
        </w:rPr>
        <w:t xml:space="preserve">fulfill. </w:t>
      </w:r>
      <w:r w:rsidR="002079EF">
        <w:rPr>
          <w:sz w:val="24"/>
          <w:szCs w:val="24"/>
        </w:rPr>
        <w:t xml:space="preserve">Since 2014, BJS responded to approximately 100 requests in which the CSLLEA data was referenced. A number of these inquiries asked about the status of the 2014 CSLLEA and if we had data newer than 2008 available. </w:t>
      </w:r>
      <w:r w:rsidR="00AD4DB9" w:rsidRPr="00AD4DB9">
        <w:rPr>
          <w:sz w:val="24"/>
          <w:szCs w:val="24"/>
        </w:rPr>
        <w:t xml:space="preserve">Examples of entities that have </w:t>
      </w:r>
      <w:r w:rsidR="00E87F2D">
        <w:rPr>
          <w:sz w:val="24"/>
          <w:szCs w:val="24"/>
        </w:rPr>
        <w:t xml:space="preserve">request data that could be fulfilled by the </w:t>
      </w:r>
      <w:r w:rsidR="00AD4DB9" w:rsidRPr="00AD4DB9">
        <w:rPr>
          <w:sz w:val="24"/>
          <w:szCs w:val="24"/>
        </w:rPr>
        <w:t>C</w:t>
      </w:r>
      <w:r w:rsidR="007743FE">
        <w:rPr>
          <w:sz w:val="24"/>
          <w:szCs w:val="24"/>
        </w:rPr>
        <w:t>SLLEA</w:t>
      </w:r>
      <w:r w:rsidR="00AD4DB9" w:rsidRPr="00AD4DB9">
        <w:rPr>
          <w:sz w:val="24"/>
          <w:szCs w:val="24"/>
        </w:rPr>
        <w:t xml:space="preserve"> in the past </w:t>
      </w:r>
      <w:r w:rsidR="002079EF">
        <w:rPr>
          <w:sz w:val="24"/>
          <w:szCs w:val="24"/>
        </w:rPr>
        <w:t xml:space="preserve">year </w:t>
      </w:r>
      <w:r w:rsidR="00AD4DB9" w:rsidRPr="00AD4DB9">
        <w:rPr>
          <w:sz w:val="24"/>
          <w:szCs w:val="24"/>
        </w:rPr>
        <w:t>include:</w:t>
      </w:r>
    </w:p>
    <w:p w14:paraId="5A337372" w14:textId="77777777" w:rsidR="002079EF" w:rsidRDefault="002079EF" w:rsidP="00AD4DB9">
      <w:pPr>
        <w:numPr>
          <w:ilvl w:val="12"/>
          <w:numId w:val="0"/>
        </w:numPr>
        <w:shd w:val="solid" w:color="FFFFFF" w:fill="FFFFFF"/>
        <w:tabs>
          <w:tab w:val="left" w:pos="360"/>
          <w:tab w:val="left" w:pos="840"/>
        </w:tabs>
        <w:rPr>
          <w:sz w:val="24"/>
          <w:szCs w:val="24"/>
        </w:rPr>
      </w:pPr>
    </w:p>
    <w:p w14:paraId="02E0C82A" w14:textId="2E582565" w:rsidR="002079EF" w:rsidRDefault="002079EF" w:rsidP="00657270">
      <w:pPr>
        <w:numPr>
          <w:ilvl w:val="12"/>
          <w:numId w:val="0"/>
        </w:numPr>
        <w:shd w:val="solid" w:color="FFFFFF" w:fill="FFFFFF"/>
        <w:tabs>
          <w:tab w:val="left" w:pos="360"/>
          <w:tab w:val="left" w:pos="840"/>
        </w:tabs>
        <w:ind w:left="360"/>
        <w:rPr>
          <w:sz w:val="24"/>
          <w:szCs w:val="24"/>
        </w:rPr>
      </w:pPr>
      <w:r>
        <w:rPr>
          <w:sz w:val="24"/>
          <w:szCs w:val="24"/>
        </w:rPr>
        <w:t xml:space="preserve">BuzzFeed News: Sought data to calculate the number of sworn officers on patrol duty for every local/state law enforcement agency in the U.S. </w:t>
      </w:r>
    </w:p>
    <w:p w14:paraId="069F696A" w14:textId="77777777" w:rsidR="002079EF" w:rsidRDefault="002079EF" w:rsidP="00657270">
      <w:pPr>
        <w:numPr>
          <w:ilvl w:val="12"/>
          <w:numId w:val="0"/>
        </w:numPr>
        <w:shd w:val="solid" w:color="FFFFFF" w:fill="FFFFFF"/>
        <w:tabs>
          <w:tab w:val="left" w:pos="360"/>
          <w:tab w:val="left" w:pos="840"/>
        </w:tabs>
        <w:ind w:left="360"/>
        <w:rPr>
          <w:sz w:val="24"/>
          <w:szCs w:val="24"/>
        </w:rPr>
      </w:pPr>
    </w:p>
    <w:p w14:paraId="2C9BB331" w14:textId="1F49BCC0" w:rsidR="002079EF" w:rsidRDefault="00D8495E" w:rsidP="00657270">
      <w:pPr>
        <w:numPr>
          <w:ilvl w:val="12"/>
          <w:numId w:val="0"/>
        </w:numPr>
        <w:shd w:val="solid" w:color="FFFFFF" w:fill="FFFFFF"/>
        <w:tabs>
          <w:tab w:val="left" w:pos="360"/>
          <w:tab w:val="left" w:pos="840"/>
        </w:tabs>
        <w:ind w:left="360"/>
        <w:rPr>
          <w:sz w:val="24"/>
          <w:szCs w:val="24"/>
        </w:rPr>
      </w:pPr>
      <w:r>
        <w:rPr>
          <w:sz w:val="24"/>
          <w:szCs w:val="24"/>
        </w:rPr>
        <w:t>Vice News: Asked for a list of the 50 largest law enforcement agencies in the U.S.</w:t>
      </w:r>
    </w:p>
    <w:p w14:paraId="19C114DA" w14:textId="77777777" w:rsidR="00D8495E" w:rsidRDefault="00D8495E" w:rsidP="00657270">
      <w:pPr>
        <w:numPr>
          <w:ilvl w:val="12"/>
          <w:numId w:val="0"/>
        </w:numPr>
        <w:shd w:val="solid" w:color="FFFFFF" w:fill="FFFFFF"/>
        <w:tabs>
          <w:tab w:val="left" w:pos="360"/>
          <w:tab w:val="left" w:pos="840"/>
        </w:tabs>
        <w:ind w:left="360"/>
        <w:rPr>
          <w:sz w:val="24"/>
          <w:szCs w:val="24"/>
        </w:rPr>
      </w:pPr>
    </w:p>
    <w:p w14:paraId="6ADAC526" w14:textId="1A0CF567" w:rsidR="00D8495E" w:rsidRDefault="00D8495E" w:rsidP="00657270">
      <w:pPr>
        <w:numPr>
          <w:ilvl w:val="12"/>
          <w:numId w:val="0"/>
        </w:numPr>
        <w:shd w:val="solid" w:color="FFFFFF" w:fill="FFFFFF"/>
        <w:tabs>
          <w:tab w:val="left" w:pos="360"/>
          <w:tab w:val="left" w:pos="840"/>
        </w:tabs>
        <w:ind w:left="360"/>
        <w:rPr>
          <w:sz w:val="24"/>
          <w:szCs w:val="24"/>
        </w:rPr>
      </w:pPr>
      <w:r>
        <w:rPr>
          <w:sz w:val="24"/>
          <w:szCs w:val="24"/>
        </w:rPr>
        <w:t xml:space="preserve">CBS Evening News: Sought information on the total number of police officers in the U.S. </w:t>
      </w:r>
    </w:p>
    <w:p w14:paraId="26ECE40B" w14:textId="77777777" w:rsidR="00C32D1B" w:rsidRDefault="00C32D1B" w:rsidP="00657270">
      <w:pPr>
        <w:numPr>
          <w:ilvl w:val="12"/>
          <w:numId w:val="0"/>
        </w:numPr>
        <w:shd w:val="solid" w:color="FFFFFF" w:fill="FFFFFF"/>
        <w:tabs>
          <w:tab w:val="left" w:pos="360"/>
          <w:tab w:val="left" w:pos="840"/>
        </w:tabs>
        <w:ind w:left="360"/>
        <w:rPr>
          <w:sz w:val="24"/>
          <w:szCs w:val="24"/>
        </w:rPr>
      </w:pPr>
    </w:p>
    <w:p w14:paraId="10913399" w14:textId="1F730E84" w:rsidR="00D8495E" w:rsidRDefault="00D8495E" w:rsidP="00657270">
      <w:pPr>
        <w:numPr>
          <w:ilvl w:val="12"/>
          <w:numId w:val="0"/>
        </w:numPr>
        <w:shd w:val="solid" w:color="FFFFFF" w:fill="FFFFFF"/>
        <w:tabs>
          <w:tab w:val="left" w:pos="360"/>
          <w:tab w:val="left" w:pos="840"/>
        </w:tabs>
        <w:ind w:left="360"/>
        <w:rPr>
          <w:sz w:val="24"/>
          <w:szCs w:val="24"/>
        </w:rPr>
      </w:pPr>
      <w:r>
        <w:rPr>
          <w:sz w:val="24"/>
          <w:szCs w:val="24"/>
        </w:rPr>
        <w:t xml:space="preserve">Leverage Assessments: Asked to obtain a dataset with each agency in the U.S. and their sworn officer count. </w:t>
      </w:r>
    </w:p>
    <w:p w14:paraId="456DC6DE" w14:textId="77777777" w:rsidR="00D8495E" w:rsidRDefault="00D8495E" w:rsidP="00657270">
      <w:pPr>
        <w:numPr>
          <w:ilvl w:val="12"/>
          <w:numId w:val="0"/>
        </w:numPr>
        <w:shd w:val="solid" w:color="FFFFFF" w:fill="FFFFFF"/>
        <w:tabs>
          <w:tab w:val="left" w:pos="360"/>
          <w:tab w:val="left" w:pos="840"/>
        </w:tabs>
        <w:ind w:left="360"/>
        <w:rPr>
          <w:sz w:val="24"/>
          <w:szCs w:val="24"/>
        </w:rPr>
      </w:pPr>
    </w:p>
    <w:p w14:paraId="1C009C98" w14:textId="1EF850E7" w:rsidR="00D8495E" w:rsidRDefault="00D8495E" w:rsidP="00657270">
      <w:pPr>
        <w:numPr>
          <w:ilvl w:val="12"/>
          <w:numId w:val="0"/>
        </w:numPr>
        <w:shd w:val="solid" w:color="FFFFFF" w:fill="FFFFFF"/>
        <w:tabs>
          <w:tab w:val="left" w:pos="360"/>
          <w:tab w:val="left" w:pos="840"/>
        </w:tabs>
        <w:ind w:left="360"/>
        <w:rPr>
          <w:sz w:val="24"/>
          <w:szCs w:val="24"/>
        </w:rPr>
      </w:pPr>
      <w:r>
        <w:rPr>
          <w:sz w:val="24"/>
          <w:szCs w:val="24"/>
        </w:rPr>
        <w:t xml:space="preserve">360Armor, Inc.: Asked to obtain a list of all law enforcement agencies in the U.S. </w:t>
      </w:r>
    </w:p>
    <w:p w14:paraId="37447301" w14:textId="77777777" w:rsidR="00D8495E" w:rsidRDefault="00D8495E" w:rsidP="00657270">
      <w:pPr>
        <w:numPr>
          <w:ilvl w:val="12"/>
          <w:numId w:val="0"/>
        </w:numPr>
        <w:shd w:val="solid" w:color="FFFFFF" w:fill="FFFFFF"/>
        <w:tabs>
          <w:tab w:val="left" w:pos="360"/>
          <w:tab w:val="left" w:pos="840"/>
        </w:tabs>
        <w:ind w:left="360"/>
        <w:rPr>
          <w:sz w:val="24"/>
          <w:szCs w:val="24"/>
        </w:rPr>
      </w:pPr>
    </w:p>
    <w:p w14:paraId="57FCB2F8" w14:textId="0CB5B687" w:rsidR="00D8495E" w:rsidRDefault="00D8495E" w:rsidP="00657270">
      <w:pPr>
        <w:numPr>
          <w:ilvl w:val="12"/>
          <w:numId w:val="0"/>
        </w:numPr>
        <w:shd w:val="solid" w:color="FFFFFF" w:fill="FFFFFF"/>
        <w:tabs>
          <w:tab w:val="left" w:pos="360"/>
          <w:tab w:val="left" w:pos="840"/>
        </w:tabs>
        <w:ind w:left="360"/>
        <w:rPr>
          <w:sz w:val="24"/>
          <w:szCs w:val="24"/>
        </w:rPr>
      </w:pPr>
      <w:r>
        <w:rPr>
          <w:sz w:val="24"/>
          <w:szCs w:val="24"/>
        </w:rPr>
        <w:t xml:space="preserve">NBC Nightly News: Sought information on the percent of female officers nationwide. </w:t>
      </w:r>
    </w:p>
    <w:p w14:paraId="3227FF68" w14:textId="77777777" w:rsidR="00D8495E" w:rsidRDefault="00D8495E" w:rsidP="00657270">
      <w:pPr>
        <w:numPr>
          <w:ilvl w:val="12"/>
          <w:numId w:val="0"/>
        </w:numPr>
        <w:shd w:val="solid" w:color="FFFFFF" w:fill="FFFFFF"/>
        <w:tabs>
          <w:tab w:val="left" w:pos="360"/>
          <w:tab w:val="left" w:pos="840"/>
        </w:tabs>
        <w:ind w:left="360"/>
        <w:rPr>
          <w:sz w:val="24"/>
          <w:szCs w:val="24"/>
        </w:rPr>
      </w:pPr>
    </w:p>
    <w:p w14:paraId="437E129F" w14:textId="43E4FF3E" w:rsidR="00D8495E" w:rsidRDefault="00D8495E" w:rsidP="00657270">
      <w:pPr>
        <w:numPr>
          <w:ilvl w:val="12"/>
          <w:numId w:val="0"/>
        </w:numPr>
        <w:shd w:val="solid" w:color="FFFFFF" w:fill="FFFFFF"/>
        <w:tabs>
          <w:tab w:val="left" w:pos="360"/>
          <w:tab w:val="left" w:pos="840"/>
        </w:tabs>
        <w:ind w:left="360"/>
        <w:rPr>
          <w:sz w:val="24"/>
          <w:szCs w:val="24"/>
        </w:rPr>
      </w:pPr>
      <w:r>
        <w:rPr>
          <w:sz w:val="24"/>
          <w:szCs w:val="24"/>
        </w:rPr>
        <w:t xml:space="preserve">Pennsylvania State Police: </w:t>
      </w:r>
      <w:r w:rsidR="00A72F1B">
        <w:rPr>
          <w:sz w:val="24"/>
          <w:szCs w:val="24"/>
        </w:rPr>
        <w:t xml:space="preserve">Asked for a list of law enforcement agencies ranked by size. </w:t>
      </w:r>
    </w:p>
    <w:p w14:paraId="67318EB6" w14:textId="77777777" w:rsidR="00D8495E" w:rsidRDefault="00D8495E" w:rsidP="00657270">
      <w:pPr>
        <w:numPr>
          <w:ilvl w:val="12"/>
          <w:numId w:val="0"/>
        </w:numPr>
        <w:shd w:val="solid" w:color="FFFFFF" w:fill="FFFFFF"/>
        <w:tabs>
          <w:tab w:val="left" w:pos="360"/>
          <w:tab w:val="left" w:pos="840"/>
        </w:tabs>
        <w:ind w:left="360"/>
        <w:rPr>
          <w:sz w:val="24"/>
          <w:szCs w:val="24"/>
        </w:rPr>
      </w:pPr>
    </w:p>
    <w:p w14:paraId="733CD0B4" w14:textId="32D2C33E" w:rsidR="00D8495E" w:rsidRDefault="00D8495E" w:rsidP="00657270">
      <w:pPr>
        <w:numPr>
          <w:ilvl w:val="12"/>
          <w:numId w:val="0"/>
        </w:numPr>
        <w:shd w:val="solid" w:color="FFFFFF" w:fill="FFFFFF"/>
        <w:tabs>
          <w:tab w:val="left" w:pos="360"/>
          <w:tab w:val="left" w:pos="840"/>
        </w:tabs>
        <w:ind w:left="360"/>
        <w:rPr>
          <w:sz w:val="24"/>
          <w:szCs w:val="24"/>
        </w:rPr>
      </w:pPr>
      <w:r>
        <w:rPr>
          <w:sz w:val="24"/>
          <w:szCs w:val="24"/>
        </w:rPr>
        <w:t xml:space="preserve">Chesterfield Police Department: Asked for a list of law enforcement agencies within Virginia and the number of sworn law enforcement officers. </w:t>
      </w:r>
    </w:p>
    <w:p w14:paraId="5A98E316" w14:textId="77777777" w:rsidR="00D8495E" w:rsidRDefault="00D8495E" w:rsidP="00657270">
      <w:pPr>
        <w:numPr>
          <w:ilvl w:val="12"/>
          <w:numId w:val="0"/>
        </w:numPr>
        <w:shd w:val="solid" w:color="FFFFFF" w:fill="FFFFFF"/>
        <w:tabs>
          <w:tab w:val="left" w:pos="360"/>
          <w:tab w:val="left" w:pos="840"/>
        </w:tabs>
        <w:ind w:left="360"/>
        <w:rPr>
          <w:sz w:val="24"/>
          <w:szCs w:val="24"/>
        </w:rPr>
      </w:pPr>
    </w:p>
    <w:p w14:paraId="364C9A5C" w14:textId="7FFE0DD6" w:rsidR="00D8495E" w:rsidRDefault="00D8495E" w:rsidP="00657270">
      <w:pPr>
        <w:numPr>
          <w:ilvl w:val="12"/>
          <w:numId w:val="0"/>
        </w:numPr>
        <w:shd w:val="solid" w:color="FFFFFF" w:fill="FFFFFF"/>
        <w:tabs>
          <w:tab w:val="left" w:pos="360"/>
          <w:tab w:val="left" w:pos="840"/>
        </w:tabs>
        <w:ind w:left="360"/>
        <w:rPr>
          <w:sz w:val="24"/>
          <w:szCs w:val="24"/>
        </w:rPr>
      </w:pPr>
      <w:r>
        <w:rPr>
          <w:sz w:val="24"/>
          <w:szCs w:val="24"/>
        </w:rPr>
        <w:t>DataNerds.com: Sought a list of law enforcement agencies in the U.S. along with their jurisdictional level (i.e., local, county, state, etc.).</w:t>
      </w:r>
    </w:p>
    <w:p w14:paraId="3E0FD228" w14:textId="77777777" w:rsidR="00D8495E" w:rsidRDefault="00D8495E" w:rsidP="00657270">
      <w:pPr>
        <w:numPr>
          <w:ilvl w:val="12"/>
          <w:numId w:val="0"/>
        </w:numPr>
        <w:shd w:val="solid" w:color="FFFFFF" w:fill="FFFFFF"/>
        <w:tabs>
          <w:tab w:val="left" w:pos="360"/>
          <w:tab w:val="left" w:pos="840"/>
        </w:tabs>
        <w:ind w:left="360"/>
        <w:rPr>
          <w:sz w:val="24"/>
          <w:szCs w:val="24"/>
        </w:rPr>
      </w:pPr>
    </w:p>
    <w:p w14:paraId="5065CB9E" w14:textId="5743BCFB" w:rsidR="00D8495E" w:rsidRDefault="00D8495E" w:rsidP="00657270">
      <w:pPr>
        <w:numPr>
          <w:ilvl w:val="12"/>
          <w:numId w:val="0"/>
        </w:numPr>
        <w:shd w:val="solid" w:color="FFFFFF" w:fill="FFFFFF"/>
        <w:tabs>
          <w:tab w:val="left" w:pos="360"/>
          <w:tab w:val="left" w:pos="840"/>
        </w:tabs>
        <w:ind w:left="360"/>
        <w:rPr>
          <w:sz w:val="24"/>
          <w:szCs w:val="24"/>
        </w:rPr>
      </w:pPr>
      <w:r>
        <w:rPr>
          <w:sz w:val="24"/>
          <w:szCs w:val="24"/>
        </w:rPr>
        <w:t xml:space="preserve">Quicket Solutions: Sought a database containing the number of sworn officers by state, county and city in U.S. </w:t>
      </w:r>
    </w:p>
    <w:p w14:paraId="5CB5DBBF" w14:textId="77777777" w:rsidR="00D8495E" w:rsidRDefault="00D8495E" w:rsidP="00657270">
      <w:pPr>
        <w:numPr>
          <w:ilvl w:val="12"/>
          <w:numId w:val="0"/>
        </w:numPr>
        <w:shd w:val="solid" w:color="FFFFFF" w:fill="FFFFFF"/>
        <w:tabs>
          <w:tab w:val="left" w:pos="360"/>
          <w:tab w:val="left" w:pos="840"/>
        </w:tabs>
        <w:ind w:left="360"/>
        <w:rPr>
          <w:sz w:val="24"/>
          <w:szCs w:val="24"/>
        </w:rPr>
      </w:pPr>
    </w:p>
    <w:p w14:paraId="4320D3BA" w14:textId="1510372F" w:rsidR="00A72F1B" w:rsidRDefault="00A72F1B" w:rsidP="00657270">
      <w:pPr>
        <w:numPr>
          <w:ilvl w:val="12"/>
          <w:numId w:val="0"/>
        </w:numPr>
        <w:shd w:val="solid" w:color="FFFFFF" w:fill="FFFFFF"/>
        <w:tabs>
          <w:tab w:val="left" w:pos="360"/>
          <w:tab w:val="left" w:pos="840"/>
        </w:tabs>
        <w:ind w:left="360"/>
        <w:rPr>
          <w:sz w:val="24"/>
          <w:szCs w:val="24"/>
        </w:rPr>
      </w:pPr>
      <w:r>
        <w:rPr>
          <w:sz w:val="24"/>
          <w:szCs w:val="24"/>
        </w:rPr>
        <w:t xml:space="preserve">Pegasus Program: Asked for a list of sheriffs’ offices and their sworn officer size. </w:t>
      </w:r>
    </w:p>
    <w:p w14:paraId="2A21BD86" w14:textId="77777777" w:rsidR="00A72F1B" w:rsidRDefault="00A72F1B" w:rsidP="00657270">
      <w:pPr>
        <w:numPr>
          <w:ilvl w:val="12"/>
          <w:numId w:val="0"/>
        </w:numPr>
        <w:shd w:val="solid" w:color="FFFFFF" w:fill="FFFFFF"/>
        <w:tabs>
          <w:tab w:val="left" w:pos="360"/>
          <w:tab w:val="left" w:pos="840"/>
        </w:tabs>
        <w:ind w:left="360"/>
        <w:rPr>
          <w:sz w:val="24"/>
          <w:szCs w:val="24"/>
        </w:rPr>
      </w:pPr>
    </w:p>
    <w:p w14:paraId="6B70810A" w14:textId="74061F9B" w:rsidR="00A72F1B" w:rsidRDefault="00A72F1B" w:rsidP="00657270">
      <w:pPr>
        <w:numPr>
          <w:ilvl w:val="12"/>
          <w:numId w:val="0"/>
        </w:numPr>
        <w:shd w:val="solid" w:color="FFFFFF" w:fill="FFFFFF"/>
        <w:tabs>
          <w:tab w:val="left" w:pos="360"/>
          <w:tab w:val="left" w:pos="840"/>
        </w:tabs>
        <w:ind w:left="360"/>
        <w:rPr>
          <w:sz w:val="24"/>
          <w:szCs w:val="24"/>
        </w:rPr>
      </w:pPr>
      <w:r>
        <w:rPr>
          <w:sz w:val="24"/>
          <w:szCs w:val="24"/>
        </w:rPr>
        <w:t xml:space="preserve">Tuscaloosa Police Department: Sought a list of law enforcement agencies with 237-327 (287 +/- 250) sworn officers grouped by state. </w:t>
      </w:r>
    </w:p>
    <w:p w14:paraId="29F764A3" w14:textId="77777777" w:rsidR="00A72F1B" w:rsidRDefault="00A72F1B" w:rsidP="00657270">
      <w:pPr>
        <w:numPr>
          <w:ilvl w:val="12"/>
          <w:numId w:val="0"/>
        </w:numPr>
        <w:shd w:val="solid" w:color="FFFFFF" w:fill="FFFFFF"/>
        <w:tabs>
          <w:tab w:val="left" w:pos="360"/>
          <w:tab w:val="left" w:pos="840"/>
        </w:tabs>
        <w:ind w:left="360"/>
        <w:rPr>
          <w:sz w:val="24"/>
          <w:szCs w:val="24"/>
        </w:rPr>
      </w:pPr>
    </w:p>
    <w:p w14:paraId="1B767D59" w14:textId="56B7E3DB" w:rsidR="00A72F1B" w:rsidRDefault="00A72F1B" w:rsidP="00657270">
      <w:pPr>
        <w:numPr>
          <w:ilvl w:val="12"/>
          <w:numId w:val="0"/>
        </w:numPr>
        <w:shd w:val="solid" w:color="FFFFFF" w:fill="FFFFFF"/>
        <w:tabs>
          <w:tab w:val="left" w:pos="360"/>
          <w:tab w:val="left" w:pos="840"/>
        </w:tabs>
        <w:ind w:left="360"/>
        <w:rPr>
          <w:sz w:val="24"/>
          <w:szCs w:val="24"/>
        </w:rPr>
      </w:pPr>
      <w:r>
        <w:rPr>
          <w:sz w:val="24"/>
          <w:szCs w:val="24"/>
        </w:rPr>
        <w:t xml:space="preserve">Genetec: Asked for a list of law enforcement agencies in the U.S. </w:t>
      </w:r>
    </w:p>
    <w:p w14:paraId="67AD1D9A" w14:textId="77777777" w:rsidR="00A72F1B" w:rsidRDefault="00A72F1B" w:rsidP="00657270">
      <w:pPr>
        <w:numPr>
          <w:ilvl w:val="12"/>
          <w:numId w:val="0"/>
        </w:numPr>
        <w:shd w:val="solid" w:color="FFFFFF" w:fill="FFFFFF"/>
        <w:tabs>
          <w:tab w:val="left" w:pos="360"/>
          <w:tab w:val="left" w:pos="840"/>
        </w:tabs>
        <w:ind w:left="360"/>
        <w:rPr>
          <w:sz w:val="24"/>
          <w:szCs w:val="24"/>
        </w:rPr>
      </w:pPr>
    </w:p>
    <w:p w14:paraId="77557D00" w14:textId="25A963F6" w:rsidR="00A72F1B" w:rsidRDefault="00A72F1B" w:rsidP="00657270">
      <w:pPr>
        <w:numPr>
          <w:ilvl w:val="12"/>
          <w:numId w:val="0"/>
        </w:numPr>
        <w:shd w:val="solid" w:color="FFFFFF" w:fill="FFFFFF"/>
        <w:tabs>
          <w:tab w:val="left" w:pos="360"/>
          <w:tab w:val="left" w:pos="840"/>
        </w:tabs>
        <w:ind w:left="360"/>
        <w:rPr>
          <w:sz w:val="24"/>
          <w:szCs w:val="24"/>
        </w:rPr>
      </w:pPr>
      <w:r>
        <w:rPr>
          <w:sz w:val="24"/>
          <w:szCs w:val="24"/>
        </w:rPr>
        <w:t xml:space="preserve">The Marshall Project: Sought a list of 1-officer law enforcement agencies in the U.S. </w:t>
      </w:r>
    </w:p>
    <w:p w14:paraId="6E6C8AB0" w14:textId="77777777" w:rsidR="00A72F1B" w:rsidRDefault="00A72F1B" w:rsidP="00657270">
      <w:pPr>
        <w:numPr>
          <w:ilvl w:val="12"/>
          <w:numId w:val="0"/>
        </w:numPr>
        <w:shd w:val="solid" w:color="FFFFFF" w:fill="FFFFFF"/>
        <w:tabs>
          <w:tab w:val="left" w:pos="360"/>
          <w:tab w:val="left" w:pos="840"/>
        </w:tabs>
        <w:ind w:left="360"/>
        <w:rPr>
          <w:sz w:val="24"/>
          <w:szCs w:val="24"/>
        </w:rPr>
      </w:pPr>
    </w:p>
    <w:p w14:paraId="5511763A" w14:textId="19F16551" w:rsidR="00A72F1B" w:rsidRDefault="00A72F1B" w:rsidP="00657270">
      <w:pPr>
        <w:numPr>
          <w:ilvl w:val="12"/>
          <w:numId w:val="0"/>
        </w:numPr>
        <w:shd w:val="solid" w:color="FFFFFF" w:fill="FFFFFF"/>
        <w:tabs>
          <w:tab w:val="left" w:pos="360"/>
          <w:tab w:val="left" w:pos="840"/>
        </w:tabs>
        <w:ind w:left="360"/>
        <w:rPr>
          <w:sz w:val="24"/>
          <w:szCs w:val="24"/>
        </w:rPr>
      </w:pPr>
      <w:r>
        <w:rPr>
          <w:sz w:val="24"/>
          <w:szCs w:val="24"/>
        </w:rPr>
        <w:t xml:space="preserve">ABC7 Chicago: Asked for a list of law enforcement agencies in Illinois. </w:t>
      </w:r>
    </w:p>
    <w:p w14:paraId="0339B511" w14:textId="77777777" w:rsidR="00E87F2D" w:rsidRDefault="00E87F2D" w:rsidP="00657270">
      <w:pPr>
        <w:numPr>
          <w:ilvl w:val="12"/>
          <w:numId w:val="0"/>
        </w:numPr>
        <w:shd w:val="solid" w:color="FFFFFF" w:fill="FFFFFF"/>
        <w:tabs>
          <w:tab w:val="left" w:pos="360"/>
          <w:tab w:val="left" w:pos="840"/>
        </w:tabs>
        <w:ind w:left="360"/>
        <w:rPr>
          <w:sz w:val="24"/>
          <w:szCs w:val="24"/>
        </w:rPr>
      </w:pPr>
    </w:p>
    <w:p w14:paraId="5F7B898A" w14:textId="77777777" w:rsidR="00E87F2D" w:rsidRDefault="00E87F2D" w:rsidP="00657270">
      <w:pPr>
        <w:numPr>
          <w:ilvl w:val="12"/>
          <w:numId w:val="0"/>
        </w:numPr>
        <w:shd w:val="solid" w:color="FFFFFF" w:fill="FFFFFF"/>
        <w:tabs>
          <w:tab w:val="left" w:pos="360"/>
          <w:tab w:val="left" w:pos="840"/>
        </w:tabs>
        <w:ind w:left="360"/>
        <w:rPr>
          <w:sz w:val="24"/>
          <w:szCs w:val="24"/>
        </w:rPr>
      </w:pPr>
      <w:r>
        <w:rPr>
          <w:sz w:val="24"/>
          <w:szCs w:val="24"/>
        </w:rPr>
        <w:t xml:space="preserve">POLICE Magazine, PoliceOne and Ph.D. candidate: Sought information on the availability of the 2014 CSLLEA data. </w:t>
      </w:r>
    </w:p>
    <w:p w14:paraId="2BCDE67E" w14:textId="77777777" w:rsidR="00A72F1B" w:rsidRDefault="00A72F1B" w:rsidP="00AD4DB9">
      <w:pPr>
        <w:numPr>
          <w:ilvl w:val="12"/>
          <w:numId w:val="0"/>
        </w:numPr>
        <w:shd w:val="solid" w:color="FFFFFF" w:fill="FFFFFF"/>
        <w:tabs>
          <w:tab w:val="left" w:pos="360"/>
          <w:tab w:val="left" w:pos="840"/>
        </w:tabs>
        <w:rPr>
          <w:sz w:val="24"/>
          <w:szCs w:val="24"/>
        </w:rPr>
      </w:pPr>
    </w:p>
    <w:p w14:paraId="21E9A09B" w14:textId="77777777" w:rsidR="00C32D1B" w:rsidRPr="00C32D1B" w:rsidRDefault="00C32D1B" w:rsidP="00C32D1B">
      <w:pPr>
        <w:pStyle w:val="Default"/>
        <w:rPr>
          <w:i/>
        </w:rPr>
      </w:pPr>
      <w:r w:rsidRPr="00C32D1B">
        <w:rPr>
          <w:i/>
        </w:rPr>
        <w:t xml:space="preserve">Anticipated Products </w:t>
      </w:r>
    </w:p>
    <w:p w14:paraId="1AC30DB6" w14:textId="03A706CF" w:rsidR="00C32D1B" w:rsidRDefault="00C32D1B" w:rsidP="00C32D1B">
      <w:pPr>
        <w:pStyle w:val="Default"/>
      </w:pPr>
      <w:r>
        <w:t xml:space="preserve">BJS anticipates producing two primary reports from the 2018 CSLLEA. Detailed information on the reports to be produced is discussed under </w:t>
      </w:r>
      <w:r w:rsidR="007F2B98">
        <w:t xml:space="preserve">Section </w:t>
      </w:r>
      <w:r>
        <w:t>16</w:t>
      </w:r>
      <w:r w:rsidR="007F2B98">
        <w:t>,</w:t>
      </w:r>
      <w:r>
        <w:t xml:space="preserve"> Project Schedule. </w:t>
      </w:r>
    </w:p>
    <w:p w14:paraId="47F1C9D2" w14:textId="77777777" w:rsidR="00C32D1B" w:rsidRDefault="00C32D1B" w:rsidP="00C32D1B">
      <w:pPr>
        <w:pStyle w:val="Default"/>
      </w:pPr>
    </w:p>
    <w:p w14:paraId="47DA7297" w14:textId="113B1A26" w:rsidR="00B66D9B" w:rsidRPr="00AD4DB9" w:rsidRDefault="00C32D1B" w:rsidP="00C32D1B">
      <w:pPr>
        <w:pStyle w:val="Default"/>
      </w:pPr>
      <w:r>
        <w:t xml:space="preserve">At the time of the initial publication from the 2018 CSLLEA, BJS will release fully-documented data files for public use through </w:t>
      </w:r>
      <w:r w:rsidR="00EC1661">
        <w:t>the NACJD</w:t>
      </w:r>
      <w:r>
        <w:t>.</w:t>
      </w:r>
    </w:p>
    <w:p w14:paraId="226AF901" w14:textId="77777777" w:rsidR="00B66D9B" w:rsidRPr="00394EE5" w:rsidRDefault="00B66D9B" w:rsidP="00AD4DB9">
      <w:pPr>
        <w:numPr>
          <w:ilvl w:val="12"/>
          <w:numId w:val="0"/>
        </w:numPr>
        <w:shd w:val="solid" w:color="FFFFFF" w:fill="FFFFFF"/>
        <w:tabs>
          <w:tab w:val="left" w:pos="360"/>
          <w:tab w:val="left" w:pos="840"/>
        </w:tabs>
        <w:rPr>
          <w:sz w:val="24"/>
          <w:szCs w:val="24"/>
        </w:rPr>
      </w:pPr>
    </w:p>
    <w:p w14:paraId="0C18057E" w14:textId="77777777" w:rsidR="002D4812" w:rsidRPr="00394EE5" w:rsidRDefault="002D4812" w:rsidP="002D4812">
      <w:pPr>
        <w:spacing w:line="2" w:lineRule="exact"/>
        <w:rPr>
          <w:i/>
          <w:sz w:val="24"/>
          <w:szCs w:val="24"/>
        </w:rPr>
      </w:pPr>
    </w:p>
    <w:p w14:paraId="10977683" w14:textId="77777777" w:rsidR="002D4812" w:rsidRPr="00B66D9B" w:rsidRDefault="00073410" w:rsidP="003D40AA">
      <w:pPr>
        <w:pStyle w:val="Level1"/>
        <w:numPr>
          <w:ilvl w:val="0"/>
          <w:numId w:val="6"/>
        </w:numPr>
        <w:shd w:val="solid" w:color="FFFFFF" w:fill="FFFFFF"/>
        <w:tabs>
          <w:tab w:val="clear" w:pos="840"/>
          <w:tab w:val="num" w:pos="720"/>
          <w:tab w:val="left" w:pos="1440"/>
        </w:tabs>
        <w:ind w:left="0" w:firstLine="0"/>
        <w:rPr>
          <w:b/>
        </w:rPr>
      </w:pPr>
      <w:r w:rsidRPr="00B66D9B">
        <w:rPr>
          <w:b/>
        </w:rPr>
        <w:t>U</w:t>
      </w:r>
      <w:r w:rsidR="002D4812" w:rsidRPr="00B66D9B">
        <w:rPr>
          <w:b/>
        </w:rPr>
        <w:t>se of Information Technology</w:t>
      </w:r>
    </w:p>
    <w:p w14:paraId="1DAA3ADC" w14:textId="77777777" w:rsidR="003357A0" w:rsidRDefault="003357A0" w:rsidP="003357A0">
      <w:pPr>
        <w:pStyle w:val="Level1"/>
        <w:shd w:val="solid" w:color="FFFFFF" w:fill="FFFFFF"/>
        <w:tabs>
          <w:tab w:val="left" w:pos="1440"/>
        </w:tabs>
        <w:ind w:left="0"/>
      </w:pPr>
    </w:p>
    <w:p w14:paraId="26A0D766" w14:textId="77777777" w:rsidR="00F207E1" w:rsidRDefault="00F207E1" w:rsidP="003357A0">
      <w:pPr>
        <w:keepNext/>
        <w:keepLines/>
        <w:rPr>
          <w:sz w:val="24"/>
          <w:szCs w:val="24"/>
        </w:rPr>
      </w:pPr>
      <w:r>
        <w:rPr>
          <w:sz w:val="24"/>
          <w:szCs w:val="24"/>
        </w:rPr>
        <w:t xml:space="preserve">The 2018 CSLLEA </w:t>
      </w:r>
      <w:r w:rsidRPr="00920F1D">
        <w:rPr>
          <w:sz w:val="24"/>
          <w:szCs w:val="24"/>
        </w:rPr>
        <w:t>uses a multi-mode design in which respondents are directed to a web survey through mailed and emailed instructions. The web survey is hosted by BJS’s data collection agent, RTI International</w:t>
      </w:r>
      <w:r w:rsidR="00220D2F">
        <w:rPr>
          <w:sz w:val="24"/>
          <w:szCs w:val="24"/>
        </w:rPr>
        <w:t xml:space="preserve"> (RTI)</w:t>
      </w:r>
      <w:r w:rsidRPr="00920F1D">
        <w:rPr>
          <w:sz w:val="24"/>
          <w:szCs w:val="24"/>
        </w:rPr>
        <w:t>.</w:t>
      </w:r>
      <w:r w:rsidRPr="00920F1D">
        <w:rPr>
          <w:sz w:val="24"/>
          <w:szCs w:val="24"/>
          <w:vertAlign w:val="superscript"/>
        </w:rPr>
        <w:footnoteReference w:id="5"/>
      </w:r>
      <w:r w:rsidRPr="00920F1D">
        <w:rPr>
          <w:sz w:val="24"/>
          <w:szCs w:val="24"/>
        </w:rPr>
        <w:t xml:space="preserve"> </w:t>
      </w:r>
    </w:p>
    <w:p w14:paraId="037436DB" w14:textId="77777777" w:rsidR="00F207E1" w:rsidRDefault="00F207E1" w:rsidP="003357A0">
      <w:pPr>
        <w:keepNext/>
        <w:keepLines/>
        <w:rPr>
          <w:sz w:val="24"/>
          <w:szCs w:val="24"/>
        </w:rPr>
      </w:pPr>
    </w:p>
    <w:p w14:paraId="1C691806" w14:textId="028A9C67" w:rsidR="00240A64" w:rsidRDefault="003357A0" w:rsidP="00240A64">
      <w:pPr>
        <w:rPr>
          <w:sz w:val="24"/>
          <w:szCs w:val="24"/>
        </w:rPr>
      </w:pPr>
      <w:r w:rsidRPr="00920F1D">
        <w:rPr>
          <w:sz w:val="24"/>
          <w:szCs w:val="24"/>
        </w:rPr>
        <w:t>The instrument has been designed</w:t>
      </w:r>
      <w:r w:rsidR="00F16367">
        <w:rPr>
          <w:sz w:val="24"/>
          <w:szCs w:val="24"/>
        </w:rPr>
        <w:t xml:space="preserve"> using commercially available survey software</w:t>
      </w:r>
      <w:r w:rsidRPr="00920F1D">
        <w:rPr>
          <w:sz w:val="24"/>
          <w:szCs w:val="24"/>
        </w:rPr>
        <w:t xml:space="preserve"> that will allow RTI to send an email to respondents explaining the </w:t>
      </w:r>
      <w:r w:rsidR="00920F1D" w:rsidRPr="00920F1D">
        <w:rPr>
          <w:sz w:val="24"/>
          <w:szCs w:val="24"/>
        </w:rPr>
        <w:t xml:space="preserve">CSLLEA </w:t>
      </w:r>
      <w:r w:rsidR="0060088B">
        <w:rPr>
          <w:sz w:val="24"/>
          <w:szCs w:val="24"/>
        </w:rPr>
        <w:t>survey</w:t>
      </w:r>
      <w:r w:rsidRPr="00920F1D">
        <w:rPr>
          <w:sz w:val="24"/>
          <w:szCs w:val="24"/>
        </w:rPr>
        <w:t xml:space="preserve"> and containing a hyperlink to the questionnaire. </w:t>
      </w:r>
      <w:r w:rsidR="00F207E1">
        <w:rPr>
          <w:sz w:val="24"/>
          <w:szCs w:val="24"/>
        </w:rPr>
        <w:t xml:space="preserve">Respondents will access the survey website using </w:t>
      </w:r>
      <w:r w:rsidR="0060088B">
        <w:rPr>
          <w:sz w:val="24"/>
          <w:szCs w:val="24"/>
        </w:rPr>
        <w:t xml:space="preserve">a </w:t>
      </w:r>
      <w:r w:rsidR="00F207E1">
        <w:rPr>
          <w:sz w:val="24"/>
          <w:szCs w:val="24"/>
        </w:rPr>
        <w:t>unique</w:t>
      </w:r>
      <w:r w:rsidR="0060088B">
        <w:rPr>
          <w:sz w:val="24"/>
          <w:szCs w:val="24"/>
        </w:rPr>
        <w:t xml:space="preserve"> Personal Identification Number (PIN) and password</w:t>
      </w:r>
      <w:r w:rsidR="00F207E1">
        <w:rPr>
          <w:sz w:val="24"/>
          <w:szCs w:val="24"/>
        </w:rPr>
        <w:t xml:space="preserve"> provided by </w:t>
      </w:r>
      <w:r w:rsidR="00F207E1" w:rsidRPr="00FC5938">
        <w:rPr>
          <w:sz w:val="24"/>
          <w:szCs w:val="24"/>
        </w:rPr>
        <w:t>RTI.</w:t>
      </w:r>
      <w:r w:rsidR="00240A64" w:rsidRPr="00FC5938">
        <w:rPr>
          <w:sz w:val="24"/>
          <w:szCs w:val="24"/>
        </w:rPr>
        <w:t xml:space="preserve">  </w:t>
      </w:r>
      <w:r w:rsidR="00240A64" w:rsidRPr="00657270">
        <w:rPr>
          <w:sz w:val="24"/>
          <w:szCs w:val="24"/>
        </w:rPr>
        <w:t xml:space="preserve">Attachment </w:t>
      </w:r>
      <w:r w:rsidR="00E87F2D" w:rsidRPr="00FC5938">
        <w:rPr>
          <w:sz w:val="24"/>
          <w:szCs w:val="24"/>
        </w:rPr>
        <w:t xml:space="preserve">2 </w:t>
      </w:r>
      <w:r w:rsidR="00240A64" w:rsidRPr="00FC5938">
        <w:rPr>
          <w:sz w:val="24"/>
          <w:szCs w:val="24"/>
        </w:rPr>
        <w:t>shows</w:t>
      </w:r>
      <w:r w:rsidR="00240A64" w:rsidRPr="00920F1D">
        <w:rPr>
          <w:sz w:val="24"/>
          <w:szCs w:val="24"/>
        </w:rPr>
        <w:t xml:space="preserve"> screen-shots from the 2018 CSLLEA questionnaire and the page </w:t>
      </w:r>
      <w:r w:rsidR="009462E1">
        <w:rPr>
          <w:sz w:val="24"/>
          <w:szCs w:val="24"/>
        </w:rPr>
        <w:t>layouts</w:t>
      </w:r>
      <w:r w:rsidR="009462E1" w:rsidRPr="00920F1D">
        <w:rPr>
          <w:sz w:val="24"/>
          <w:szCs w:val="24"/>
        </w:rPr>
        <w:t xml:space="preserve"> </w:t>
      </w:r>
      <w:r w:rsidR="00240A64" w:rsidRPr="00920F1D">
        <w:rPr>
          <w:sz w:val="24"/>
          <w:szCs w:val="24"/>
        </w:rPr>
        <w:t>that web respondents will encounter as they complete the survey.</w:t>
      </w:r>
    </w:p>
    <w:p w14:paraId="06CB54F5" w14:textId="77777777" w:rsidR="00240A64" w:rsidRDefault="00240A64" w:rsidP="00240A64">
      <w:pPr>
        <w:rPr>
          <w:sz w:val="24"/>
          <w:szCs w:val="24"/>
        </w:rPr>
      </w:pPr>
    </w:p>
    <w:p w14:paraId="4186E603" w14:textId="572FD85E" w:rsidR="00F207E1" w:rsidRDefault="00240A64" w:rsidP="00240A64">
      <w:pPr>
        <w:rPr>
          <w:sz w:val="24"/>
          <w:szCs w:val="24"/>
        </w:rPr>
      </w:pPr>
      <w:r>
        <w:rPr>
          <w:sz w:val="24"/>
          <w:szCs w:val="24"/>
        </w:rPr>
        <w:t>The web survey application will incorporate consistency checks to validate data entries and machine edits that check for inconsistent</w:t>
      </w:r>
      <w:r w:rsidR="000E14EC">
        <w:rPr>
          <w:sz w:val="24"/>
          <w:szCs w:val="24"/>
        </w:rPr>
        <w:t>,</w:t>
      </w:r>
      <w:r>
        <w:rPr>
          <w:sz w:val="24"/>
          <w:szCs w:val="24"/>
        </w:rPr>
        <w:t xml:space="preserve"> out-of-range</w:t>
      </w:r>
      <w:r w:rsidR="000E14EC">
        <w:rPr>
          <w:sz w:val="24"/>
          <w:szCs w:val="24"/>
        </w:rPr>
        <w:t>,</w:t>
      </w:r>
      <w:r>
        <w:rPr>
          <w:sz w:val="24"/>
          <w:szCs w:val="24"/>
        </w:rPr>
        <w:t xml:space="preserve"> </w:t>
      </w:r>
      <w:r w:rsidR="000E14EC">
        <w:rPr>
          <w:sz w:val="24"/>
          <w:szCs w:val="24"/>
        </w:rPr>
        <w:t xml:space="preserve">or </w:t>
      </w:r>
      <w:r>
        <w:rPr>
          <w:sz w:val="24"/>
          <w:szCs w:val="24"/>
        </w:rPr>
        <w:t>missing responses. These automated processes will help ensure data quality and minimize respondent burden resulting from follow-up contact to resolve data discrepancies or other issues.  Respondents will be able to start the survey, break-off, and later resume from the point in the survey where they last entered data.  T</w:t>
      </w:r>
      <w:r w:rsidR="003357A0" w:rsidRPr="00920F1D">
        <w:rPr>
          <w:sz w:val="24"/>
          <w:szCs w:val="24"/>
        </w:rPr>
        <w:t xml:space="preserve">he </w:t>
      </w:r>
      <w:r>
        <w:rPr>
          <w:sz w:val="24"/>
          <w:szCs w:val="24"/>
        </w:rPr>
        <w:t xml:space="preserve">survey </w:t>
      </w:r>
      <w:r w:rsidR="003357A0" w:rsidRPr="00920F1D">
        <w:rPr>
          <w:sz w:val="24"/>
          <w:szCs w:val="24"/>
        </w:rPr>
        <w:t xml:space="preserve">software </w:t>
      </w:r>
      <w:r>
        <w:rPr>
          <w:sz w:val="24"/>
          <w:szCs w:val="24"/>
        </w:rPr>
        <w:t>will allow</w:t>
      </w:r>
      <w:r w:rsidR="003357A0" w:rsidRPr="00920F1D">
        <w:rPr>
          <w:sz w:val="24"/>
          <w:szCs w:val="24"/>
        </w:rPr>
        <w:t xml:space="preserve"> for real-time online tracking of respondents thereby allowing BJS to </w:t>
      </w:r>
      <w:r>
        <w:rPr>
          <w:sz w:val="24"/>
          <w:szCs w:val="24"/>
        </w:rPr>
        <w:t>monitor</w:t>
      </w:r>
      <w:r w:rsidR="003357A0" w:rsidRPr="00920F1D">
        <w:rPr>
          <w:sz w:val="24"/>
          <w:szCs w:val="24"/>
        </w:rPr>
        <w:t xml:space="preserve"> the completion of each agency’s responses. </w:t>
      </w:r>
      <w:r>
        <w:rPr>
          <w:sz w:val="24"/>
          <w:szCs w:val="24"/>
        </w:rPr>
        <w:t xml:space="preserve">In addition, </w:t>
      </w:r>
      <w:r w:rsidR="000E14EC">
        <w:rPr>
          <w:sz w:val="24"/>
          <w:szCs w:val="24"/>
        </w:rPr>
        <w:t xml:space="preserve">the web system </w:t>
      </w:r>
      <w:r>
        <w:rPr>
          <w:sz w:val="24"/>
          <w:szCs w:val="24"/>
        </w:rPr>
        <w:t xml:space="preserve">supports the </w:t>
      </w:r>
      <w:r w:rsidR="00F207E1" w:rsidRPr="00920F1D">
        <w:rPr>
          <w:sz w:val="24"/>
          <w:szCs w:val="24"/>
        </w:rPr>
        <w:t xml:space="preserve">export </w:t>
      </w:r>
      <w:r>
        <w:rPr>
          <w:sz w:val="24"/>
          <w:szCs w:val="24"/>
        </w:rPr>
        <w:t xml:space="preserve">of </w:t>
      </w:r>
      <w:r w:rsidR="00F207E1" w:rsidRPr="00920F1D">
        <w:rPr>
          <w:sz w:val="24"/>
          <w:szCs w:val="24"/>
        </w:rPr>
        <w:t xml:space="preserve">survey data and paradata in various formats specified by BJS. </w:t>
      </w:r>
    </w:p>
    <w:p w14:paraId="6F32E4F7" w14:textId="77777777" w:rsidR="009F0E7C" w:rsidRDefault="009F0E7C" w:rsidP="00F16367">
      <w:pPr>
        <w:rPr>
          <w:sz w:val="24"/>
          <w:szCs w:val="24"/>
        </w:rPr>
      </w:pPr>
    </w:p>
    <w:p w14:paraId="0E86DCCE" w14:textId="5AAA6AE6" w:rsidR="003357A0" w:rsidRPr="00920F1D" w:rsidRDefault="003357A0" w:rsidP="003357A0">
      <w:pPr>
        <w:rPr>
          <w:sz w:val="24"/>
          <w:szCs w:val="24"/>
        </w:rPr>
      </w:pPr>
      <w:r w:rsidRPr="00920F1D">
        <w:rPr>
          <w:sz w:val="24"/>
          <w:szCs w:val="24"/>
        </w:rPr>
        <w:t xml:space="preserve">Agencies may have </w:t>
      </w:r>
      <w:r w:rsidR="00920F1D" w:rsidRPr="00920F1D">
        <w:rPr>
          <w:sz w:val="24"/>
          <w:szCs w:val="24"/>
        </w:rPr>
        <w:t xml:space="preserve">various </w:t>
      </w:r>
      <w:r w:rsidRPr="00920F1D">
        <w:rPr>
          <w:sz w:val="24"/>
          <w:szCs w:val="24"/>
        </w:rPr>
        <w:t xml:space="preserve">reasons why they do not respond via the internet, for example some might not have reliable internet access and others might find it difficult to complete online because of the need to involve multiple people in preparing the response. Agencies that require paper access will have multiple methods of receiving paper versions of the instrument. Hard copies will be sent via mail during routine non-response follow-up. </w:t>
      </w:r>
      <w:r w:rsidR="00920F1D" w:rsidRPr="00920F1D">
        <w:rPr>
          <w:sz w:val="24"/>
          <w:szCs w:val="24"/>
        </w:rPr>
        <w:t>A</w:t>
      </w:r>
      <w:r w:rsidRPr="00920F1D">
        <w:rPr>
          <w:sz w:val="24"/>
          <w:szCs w:val="24"/>
        </w:rPr>
        <w:t xml:space="preserve">gencies will be able to download a PDF version of the survey from the survey site that can be printed or e-mailed to agency staff.  Respondents can then </w:t>
      </w:r>
      <w:r w:rsidR="00920F1D" w:rsidRPr="00920F1D">
        <w:rPr>
          <w:sz w:val="24"/>
          <w:szCs w:val="24"/>
        </w:rPr>
        <w:t xml:space="preserve">gather data </w:t>
      </w:r>
      <w:r w:rsidRPr="00920F1D">
        <w:rPr>
          <w:sz w:val="24"/>
          <w:szCs w:val="24"/>
        </w:rPr>
        <w:t xml:space="preserve">in hard copy and </w:t>
      </w:r>
      <w:r w:rsidR="00845BB5">
        <w:rPr>
          <w:sz w:val="24"/>
          <w:szCs w:val="24"/>
        </w:rPr>
        <w:t>enter</w:t>
      </w:r>
      <w:r w:rsidR="00845BB5" w:rsidRPr="00920F1D">
        <w:rPr>
          <w:sz w:val="24"/>
          <w:szCs w:val="24"/>
        </w:rPr>
        <w:t xml:space="preserve"> </w:t>
      </w:r>
      <w:r w:rsidRPr="00920F1D">
        <w:rPr>
          <w:sz w:val="24"/>
          <w:szCs w:val="24"/>
        </w:rPr>
        <w:t xml:space="preserve">it </w:t>
      </w:r>
      <w:r w:rsidR="00845BB5">
        <w:rPr>
          <w:sz w:val="24"/>
          <w:szCs w:val="24"/>
        </w:rPr>
        <w:t>in</w:t>
      </w:r>
      <w:r w:rsidRPr="00920F1D">
        <w:rPr>
          <w:sz w:val="24"/>
          <w:szCs w:val="24"/>
        </w:rPr>
        <w:t xml:space="preserve">to the online survey instrument </w:t>
      </w:r>
      <w:r w:rsidR="00920F1D" w:rsidRPr="00920F1D">
        <w:rPr>
          <w:sz w:val="24"/>
          <w:szCs w:val="24"/>
        </w:rPr>
        <w:t xml:space="preserve">or </w:t>
      </w:r>
      <w:r w:rsidRPr="00920F1D">
        <w:rPr>
          <w:sz w:val="24"/>
          <w:szCs w:val="24"/>
        </w:rPr>
        <w:t xml:space="preserve">scan and return the completed </w:t>
      </w:r>
      <w:r w:rsidR="00920F1D" w:rsidRPr="00920F1D">
        <w:rPr>
          <w:sz w:val="24"/>
          <w:szCs w:val="24"/>
        </w:rPr>
        <w:t xml:space="preserve">survey </w:t>
      </w:r>
      <w:r w:rsidRPr="00920F1D">
        <w:rPr>
          <w:sz w:val="24"/>
          <w:szCs w:val="24"/>
        </w:rPr>
        <w:t xml:space="preserve">form via mail or e-mail. </w:t>
      </w:r>
    </w:p>
    <w:p w14:paraId="66D19516" w14:textId="77777777" w:rsidR="003357A0" w:rsidRDefault="003357A0" w:rsidP="003357A0">
      <w:pPr>
        <w:rPr>
          <w:sz w:val="24"/>
          <w:szCs w:val="24"/>
        </w:rPr>
      </w:pPr>
    </w:p>
    <w:p w14:paraId="11516D6C" w14:textId="758C0609" w:rsidR="00440161" w:rsidRPr="00440161" w:rsidRDefault="00440161" w:rsidP="00440161">
      <w:pPr>
        <w:rPr>
          <w:sz w:val="24"/>
          <w:szCs w:val="24"/>
        </w:rPr>
      </w:pPr>
      <w:r>
        <w:rPr>
          <w:sz w:val="24"/>
          <w:szCs w:val="24"/>
        </w:rPr>
        <w:t xml:space="preserve">To process completed hard copy surveys, RTI will use a </w:t>
      </w:r>
      <w:r w:rsidRPr="00440161">
        <w:rPr>
          <w:sz w:val="24"/>
          <w:szCs w:val="24"/>
        </w:rPr>
        <w:t xml:space="preserve">software package </w:t>
      </w:r>
      <w:r>
        <w:rPr>
          <w:sz w:val="24"/>
          <w:szCs w:val="24"/>
        </w:rPr>
        <w:t xml:space="preserve">that employs </w:t>
      </w:r>
      <w:r w:rsidRPr="00440161">
        <w:rPr>
          <w:sz w:val="24"/>
          <w:szCs w:val="24"/>
        </w:rPr>
        <w:t>Optical Character Recognition (OCR)</w:t>
      </w:r>
      <w:r>
        <w:rPr>
          <w:sz w:val="24"/>
          <w:szCs w:val="24"/>
        </w:rPr>
        <w:t xml:space="preserve"> to </w:t>
      </w:r>
      <w:r w:rsidRPr="00440161">
        <w:rPr>
          <w:sz w:val="24"/>
          <w:szCs w:val="24"/>
        </w:rPr>
        <w:t>electronic</w:t>
      </w:r>
      <w:r>
        <w:rPr>
          <w:sz w:val="24"/>
          <w:szCs w:val="24"/>
        </w:rPr>
        <w:t>ally</w:t>
      </w:r>
      <w:r w:rsidRPr="00440161">
        <w:rPr>
          <w:sz w:val="24"/>
          <w:szCs w:val="24"/>
        </w:rPr>
        <w:t xml:space="preserve"> </w:t>
      </w:r>
      <w:r>
        <w:rPr>
          <w:sz w:val="24"/>
          <w:szCs w:val="24"/>
        </w:rPr>
        <w:t xml:space="preserve">convert </w:t>
      </w:r>
      <w:r w:rsidRPr="00440161">
        <w:rPr>
          <w:sz w:val="24"/>
          <w:szCs w:val="24"/>
        </w:rPr>
        <w:t xml:space="preserve">scanned images of handwritten, typewritten or printed text into machine-encoded text. </w:t>
      </w:r>
      <w:r w:rsidR="002C1D92">
        <w:rPr>
          <w:sz w:val="24"/>
          <w:szCs w:val="24"/>
        </w:rPr>
        <w:t xml:space="preserve">Data captured via OCR will be manually reviewed to ensure accuracy. </w:t>
      </w:r>
      <w:r>
        <w:rPr>
          <w:sz w:val="24"/>
          <w:szCs w:val="24"/>
        </w:rPr>
        <w:t>Use of this technology will minimize paper-handling</w:t>
      </w:r>
      <w:r w:rsidR="00845BB5">
        <w:rPr>
          <w:sz w:val="24"/>
          <w:szCs w:val="24"/>
        </w:rPr>
        <w:t xml:space="preserve">, </w:t>
      </w:r>
      <w:r>
        <w:rPr>
          <w:sz w:val="24"/>
          <w:szCs w:val="24"/>
        </w:rPr>
        <w:t>reduce</w:t>
      </w:r>
      <w:r w:rsidRPr="00440161">
        <w:rPr>
          <w:sz w:val="24"/>
          <w:szCs w:val="24"/>
        </w:rPr>
        <w:t xml:space="preserve"> processing time</w:t>
      </w:r>
      <w:r w:rsidR="00845BB5">
        <w:rPr>
          <w:sz w:val="24"/>
          <w:szCs w:val="24"/>
        </w:rPr>
        <w:t>,</w:t>
      </w:r>
      <w:r w:rsidR="00B971B2">
        <w:rPr>
          <w:sz w:val="24"/>
          <w:szCs w:val="24"/>
        </w:rPr>
        <w:t xml:space="preserve"> </w:t>
      </w:r>
      <w:r>
        <w:rPr>
          <w:sz w:val="24"/>
          <w:szCs w:val="24"/>
        </w:rPr>
        <w:t>i</w:t>
      </w:r>
      <w:r w:rsidRPr="00440161">
        <w:rPr>
          <w:sz w:val="24"/>
          <w:szCs w:val="24"/>
        </w:rPr>
        <w:t>ncrease reliability</w:t>
      </w:r>
      <w:r w:rsidR="002C1D92">
        <w:rPr>
          <w:sz w:val="24"/>
          <w:szCs w:val="24"/>
        </w:rPr>
        <w:t>, and enhance retention of written survey responses</w:t>
      </w:r>
      <w:r w:rsidR="00B971B2">
        <w:rPr>
          <w:sz w:val="24"/>
          <w:szCs w:val="24"/>
        </w:rPr>
        <w:t>.</w:t>
      </w:r>
    </w:p>
    <w:p w14:paraId="7BDF8872" w14:textId="77777777" w:rsidR="00440161" w:rsidRPr="00920F1D" w:rsidRDefault="00440161" w:rsidP="003357A0">
      <w:pPr>
        <w:rPr>
          <w:sz w:val="24"/>
          <w:szCs w:val="24"/>
        </w:rPr>
      </w:pPr>
    </w:p>
    <w:p w14:paraId="498270CE" w14:textId="0015BD50" w:rsidR="003357A0" w:rsidRPr="00920F1D" w:rsidRDefault="009D3BC1" w:rsidP="003357A0">
      <w:pPr>
        <w:rPr>
          <w:sz w:val="24"/>
          <w:szCs w:val="24"/>
        </w:rPr>
      </w:pPr>
      <w:r>
        <w:rPr>
          <w:sz w:val="24"/>
          <w:szCs w:val="24"/>
        </w:rPr>
        <w:t>Upon completion of the project, t</w:t>
      </w:r>
      <w:r w:rsidR="003357A0" w:rsidRPr="00920F1D">
        <w:rPr>
          <w:sz w:val="24"/>
          <w:szCs w:val="24"/>
        </w:rPr>
        <w:t xml:space="preserve">he </w:t>
      </w:r>
      <w:r>
        <w:rPr>
          <w:sz w:val="24"/>
          <w:szCs w:val="24"/>
        </w:rPr>
        <w:t xml:space="preserve">final </w:t>
      </w:r>
      <w:r w:rsidR="003357A0" w:rsidRPr="00920F1D">
        <w:rPr>
          <w:sz w:val="24"/>
          <w:szCs w:val="24"/>
        </w:rPr>
        <w:t xml:space="preserve">dataset and supporting documentation will be made available </w:t>
      </w:r>
      <w:r>
        <w:rPr>
          <w:sz w:val="24"/>
          <w:szCs w:val="24"/>
        </w:rPr>
        <w:t xml:space="preserve">to the public without restriction </w:t>
      </w:r>
      <w:r w:rsidR="002C1D92">
        <w:rPr>
          <w:sz w:val="24"/>
          <w:szCs w:val="24"/>
        </w:rPr>
        <w:t>in an online archive</w:t>
      </w:r>
      <w:r>
        <w:rPr>
          <w:sz w:val="24"/>
          <w:szCs w:val="24"/>
        </w:rPr>
        <w:t xml:space="preserve"> </w:t>
      </w:r>
      <w:r w:rsidR="002C1D92">
        <w:rPr>
          <w:sz w:val="24"/>
          <w:szCs w:val="24"/>
        </w:rPr>
        <w:t>in</w:t>
      </w:r>
      <w:r>
        <w:rPr>
          <w:sz w:val="24"/>
          <w:szCs w:val="24"/>
        </w:rPr>
        <w:t xml:space="preserve"> multiple statistical platform formats</w:t>
      </w:r>
      <w:r w:rsidR="003357A0" w:rsidRPr="00920F1D">
        <w:rPr>
          <w:sz w:val="24"/>
          <w:szCs w:val="24"/>
        </w:rPr>
        <w:t xml:space="preserve">. Access to these data permits analysts to identify the specific responses of individual agencies and to conduct statistical analyses about law </w:t>
      </w:r>
      <w:r w:rsidR="00920F1D" w:rsidRPr="00920F1D">
        <w:rPr>
          <w:sz w:val="24"/>
          <w:szCs w:val="24"/>
        </w:rPr>
        <w:t xml:space="preserve">enforcement </w:t>
      </w:r>
      <w:r w:rsidR="003357A0" w:rsidRPr="00920F1D">
        <w:rPr>
          <w:sz w:val="24"/>
          <w:szCs w:val="24"/>
        </w:rPr>
        <w:t>agencies. These data will have agency- and jurisdiction-specific identifiers that will permit public use in combination with other data files with similar identifiers.</w:t>
      </w:r>
    </w:p>
    <w:p w14:paraId="2C2E5E30" w14:textId="77777777" w:rsidR="003357A0" w:rsidRPr="00920F1D" w:rsidRDefault="003357A0" w:rsidP="003357A0">
      <w:pPr>
        <w:rPr>
          <w:sz w:val="24"/>
          <w:szCs w:val="24"/>
        </w:rPr>
      </w:pPr>
    </w:p>
    <w:p w14:paraId="09E018A1" w14:textId="77777777" w:rsidR="003357A0" w:rsidRPr="00920F1D" w:rsidRDefault="003357A0" w:rsidP="003357A0">
      <w:pPr>
        <w:rPr>
          <w:sz w:val="24"/>
          <w:szCs w:val="24"/>
        </w:rPr>
      </w:pPr>
      <w:r w:rsidRPr="00920F1D">
        <w:rPr>
          <w:sz w:val="24"/>
          <w:szCs w:val="24"/>
        </w:rPr>
        <w:t xml:space="preserve">The BJS-produced findings from the </w:t>
      </w:r>
      <w:r w:rsidR="00920F1D" w:rsidRPr="00920F1D">
        <w:rPr>
          <w:sz w:val="24"/>
          <w:szCs w:val="24"/>
        </w:rPr>
        <w:t xml:space="preserve">2018 CSLLEA </w:t>
      </w:r>
      <w:r w:rsidRPr="00920F1D">
        <w:rPr>
          <w:sz w:val="24"/>
          <w:szCs w:val="24"/>
        </w:rPr>
        <w:t xml:space="preserve">will be provided to the public in electronic format. These reports will be available on the BJS website as PDF files. BJS may also produce a web-based, data analysis tool for the </w:t>
      </w:r>
      <w:r w:rsidR="00920F1D" w:rsidRPr="00920F1D">
        <w:rPr>
          <w:sz w:val="24"/>
          <w:szCs w:val="24"/>
        </w:rPr>
        <w:t xml:space="preserve">2018 CSLLEA </w:t>
      </w:r>
      <w:r w:rsidRPr="00920F1D">
        <w:rPr>
          <w:sz w:val="24"/>
          <w:szCs w:val="24"/>
        </w:rPr>
        <w:t>to increase the ease with which the public can access information about specific agencies or types of agencies.</w:t>
      </w:r>
    </w:p>
    <w:p w14:paraId="751D8D03" w14:textId="77777777" w:rsidR="003357A0" w:rsidRPr="00920F1D" w:rsidRDefault="003357A0" w:rsidP="003357A0">
      <w:pPr>
        <w:rPr>
          <w:sz w:val="24"/>
          <w:szCs w:val="24"/>
        </w:rPr>
      </w:pPr>
    </w:p>
    <w:p w14:paraId="09B79298" w14:textId="284DFFCE" w:rsidR="002D4812" w:rsidRDefault="002D4812" w:rsidP="003D40AA">
      <w:pPr>
        <w:numPr>
          <w:ilvl w:val="0"/>
          <w:numId w:val="6"/>
        </w:numPr>
        <w:shd w:val="solid" w:color="FFFFFF" w:fill="FFFFFF"/>
        <w:tabs>
          <w:tab w:val="clear" w:pos="840"/>
          <w:tab w:val="left" w:pos="720"/>
          <w:tab w:val="left" w:pos="1440"/>
        </w:tabs>
        <w:ind w:left="0" w:firstLine="0"/>
        <w:rPr>
          <w:b/>
          <w:sz w:val="24"/>
          <w:szCs w:val="24"/>
        </w:rPr>
      </w:pPr>
      <w:r w:rsidRPr="000E6548">
        <w:rPr>
          <w:b/>
          <w:sz w:val="24"/>
          <w:szCs w:val="24"/>
        </w:rPr>
        <w:t>Efforts to Identify Duplication</w:t>
      </w:r>
    </w:p>
    <w:p w14:paraId="535B572E" w14:textId="77777777" w:rsidR="000E6548" w:rsidRPr="000E6548" w:rsidRDefault="000E6548" w:rsidP="000E6548">
      <w:pPr>
        <w:shd w:val="solid" w:color="FFFFFF" w:fill="FFFFFF"/>
        <w:tabs>
          <w:tab w:val="left" w:pos="720"/>
          <w:tab w:val="left" w:pos="1440"/>
        </w:tabs>
        <w:rPr>
          <w:b/>
          <w:sz w:val="24"/>
          <w:szCs w:val="24"/>
        </w:rPr>
      </w:pPr>
    </w:p>
    <w:p w14:paraId="051BF576" w14:textId="66B60A63" w:rsidR="00C1612A" w:rsidRDefault="00C1612A" w:rsidP="000E6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Two of the personnel questions on the CSLLEA are also included on the LEMAS. Item 5 is considered an essential item for both collections—it serves as the measure of agency size on the CSLLEA for sampling purposes and for reporting out results on both collections. The number of full-time sworn equivalent is calculated from this item and allows BJS to pull a stratified sample from the CSLLEA for our various law enforcement surveys. For the LEMAS, we use FTE on our report tables. Due </w:t>
      </w:r>
      <w:r w:rsidR="00C4130D">
        <w:rPr>
          <w:sz w:val="24"/>
          <w:szCs w:val="24"/>
        </w:rPr>
        <w:t>to fluctuations</w:t>
      </w:r>
      <w:r>
        <w:rPr>
          <w:sz w:val="24"/>
          <w:szCs w:val="24"/>
        </w:rPr>
        <w:t xml:space="preserve"> in staffing size year to year, </w:t>
      </w:r>
      <w:r w:rsidR="00C4130D">
        <w:rPr>
          <w:sz w:val="24"/>
          <w:szCs w:val="24"/>
        </w:rPr>
        <w:t xml:space="preserve">our estimates rely on having an up-to-date FTE count. The other item that overlaps on the CSLLEA and LEMAS, is Item 6, which is being added to the CSLLEA for the first time in 2018. The LEMAS can only provide gender estimates for general purpose agencies. With the addition of sex on the CSLLEA, we can determine the proportion of female officers in special purpose agencies. No other data collection exists that can provide this statistic. </w:t>
      </w:r>
    </w:p>
    <w:p w14:paraId="69F70A75" w14:textId="77777777" w:rsidR="00C1612A" w:rsidRDefault="00C1612A" w:rsidP="000E6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873F501" w14:textId="5D5CD6AF" w:rsidR="000E6548" w:rsidRPr="000E6548" w:rsidRDefault="000E6548" w:rsidP="000E6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E6548">
        <w:rPr>
          <w:sz w:val="24"/>
          <w:szCs w:val="24"/>
        </w:rPr>
        <w:t xml:space="preserve">Based on our knowledge of the federal statistical system, in general, and law enforcement surveys in particular, BJS has determined that the </w:t>
      </w:r>
      <w:r>
        <w:rPr>
          <w:sz w:val="24"/>
          <w:szCs w:val="24"/>
        </w:rPr>
        <w:t>2018 CSLLEA</w:t>
      </w:r>
      <w:r w:rsidRPr="000E6548">
        <w:rPr>
          <w:sz w:val="24"/>
          <w:szCs w:val="24"/>
        </w:rPr>
        <w:t xml:space="preserve"> includes measures of the number of law enforcement personnel that are also included in </w:t>
      </w:r>
      <w:r>
        <w:rPr>
          <w:sz w:val="24"/>
          <w:szCs w:val="24"/>
        </w:rPr>
        <w:t>two</w:t>
      </w:r>
      <w:r w:rsidRPr="000E6548">
        <w:rPr>
          <w:sz w:val="24"/>
          <w:szCs w:val="24"/>
        </w:rPr>
        <w:t xml:space="preserve"> ongoing surveys by other Federal agencies</w:t>
      </w:r>
      <w:r w:rsidR="00C1612A">
        <w:rPr>
          <w:sz w:val="24"/>
          <w:szCs w:val="24"/>
        </w:rPr>
        <w:t>:</w:t>
      </w:r>
    </w:p>
    <w:p w14:paraId="438B0CAB" w14:textId="77777777" w:rsidR="000E6548" w:rsidRPr="000E6548" w:rsidRDefault="000E6548" w:rsidP="000E6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871C5C7" w14:textId="2255ADBE" w:rsidR="000E6548" w:rsidRDefault="000E6548" w:rsidP="000E6548">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0E6548">
        <w:rPr>
          <w:sz w:val="24"/>
          <w:szCs w:val="24"/>
        </w:rPr>
        <w:t xml:space="preserve">The </w:t>
      </w:r>
      <w:r w:rsidR="00DC4A29">
        <w:rPr>
          <w:sz w:val="24"/>
          <w:szCs w:val="24"/>
        </w:rPr>
        <w:t>FBI</w:t>
      </w:r>
      <w:r w:rsidRPr="000E6548">
        <w:rPr>
          <w:sz w:val="24"/>
          <w:szCs w:val="24"/>
        </w:rPr>
        <w:t xml:space="preserve"> annually collects information from LEAs about the number and sex of sworn and nonsworn personnel as part of the “Number of Full-Time Law Enforcement Employees” (OMB No. 1110-0004)</w:t>
      </w:r>
      <w:r w:rsidR="009D3BC1">
        <w:rPr>
          <w:sz w:val="24"/>
          <w:szCs w:val="24"/>
        </w:rPr>
        <w:t xml:space="preserve"> through the Police Employee Data</w:t>
      </w:r>
      <w:r w:rsidR="002C1D92">
        <w:rPr>
          <w:sz w:val="24"/>
          <w:szCs w:val="24"/>
        </w:rPr>
        <w:t xml:space="preserve"> collection</w:t>
      </w:r>
      <w:r w:rsidRPr="000E6548">
        <w:rPr>
          <w:sz w:val="24"/>
          <w:szCs w:val="24"/>
        </w:rPr>
        <w:t xml:space="preserve">. </w:t>
      </w:r>
    </w:p>
    <w:p w14:paraId="48F6110D" w14:textId="77777777" w:rsidR="009D3BC1" w:rsidRPr="000E6548" w:rsidRDefault="009D3BC1" w:rsidP="00DF4D2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080"/>
        <w:rPr>
          <w:sz w:val="24"/>
          <w:szCs w:val="24"/>
        </w:rPr>
      </w:pPr>
    </w:p>
    <w:p w14:paraId="10F6D5C7" w14:textId="4BF729D7" w:rsidR="000E6548" w:rsidRDefault="003204C2" w:rsidP="00DF4D22">
      <w:pPr>
        <w:pStyle w:val="ListParagraph"/>
        <w:numPr>
          <w:ilvl w:val="0"/>
          <w:numId w:val="30"/>
        </w:numPr>
        <w:shd w:val="solid" w:color="FFFFFF" w:fill="FFFFFF"/>
        <w:tabs>
          <w:tab w:val="left" w:pos="720"/>
          <w:tab w:val="left" w:pos="1440"/>
        </w:tabs>
        <w:rPr>
          <w:sz w:val="24"/>
          <w:szCs w:val="24"/>
        </w:rPr>
      </w:pPr>
      <w:r w:rsidRPr="00DF4D22">
        <w:rPr>
          <w:sz w:val="24"/>
          <w:szCs w:val="24"/>
        </w:rPr>
        <w:t xml:space="preserve">The U.S. Census Bureau tabulates and publishes Equal Employment Opportunity (EEO) information on the sex, race and ethnicity of sworn and non-sworn employees of state and local governments who work in a protective service. This information is available for geographies that represent worksite and residence. This information has been based on </w:t>
      </w:r>
      <w:r w:rsidR="002C1D92">
        <w:rPr>
          <w:sz w:val="24"/>
          <w:szCs w:val="24"/>
        </w:rPr>
        <w:t xml:space="preserve">the </w:t>
      </w:r>
      <w:r w:rsidRPr="00DF4D22">
        <w:rPr>
          <w:sz w:val="24"/>
          <w:szCs w:val="24"/>
        </w:rPr>
        <w:t>decennial census and more recently on the American Community Survey (OMB No. 0607-0810 &amp; 0607-0936).</w:t>
      </w:r>
    </w:p>
    <w:p w14:paraId="4C7D9B74" w14:textId="77777777" w:rsidR="009D3BC1" w:rsidRDefault="009D3BC1" w:rsidP="001E01B4">
      <w:pPr>
        <w:shd w:val="solid" w:color="FFFFFF" w:fill="FFFFFF"/>
        <w:tabs>
          <w:tab w:val="left" w:pos="720"/>
          <w:tab w:val="left" w:pos="1440"/>
        </w:tabs>
        <w:rPr>
          <w:sz w:val="24"/>
          <w:szCs w:val="24"/>
        </w:rPr>
      </w:pPr>
    </w:p>
    <w:p w14:paraId="22F90BB2" w14:textId="658578F1" w:rsidR="009D3BC1" w:rsidRPr="00DF4D22" w:rsidRDefault="009D3BC1" w:rsidP="001E01B4">
      <w:pPr>
        <w:shd w:val="solid" w:color="FFFFFF" w:fill="FFFFFF"/>
        <w:tabs>
          <w:tab w:val="left" w:pos="720"/>
          <w:tab w:val="left" w:pos="1440"/>
        </w:tabs>
        <w:rPr>
          <w:i/>
          <w:sz w:val="24"/>
          <w:szCs w:val="24"/>
        </w:rPr>
      </w:pPr>
      <w:r w:rsidRPr="00DF4D22">
        <w:rPr>
          <w:i/>
          <w:sz w:val="24"/>
          <w:szCs w:val="24"/>
        </w:rPr>
        <w:t>CSLLEA vs. FBI Police Employee Data</w:t>
      </w:r>
    </w:p>
    <w:p w14:paraId="640CF272" w14:textId="77777777" w:rsidR="002C1D92" w:rsidRDefault="002C1D92" w:rsidP="000E6548">
      <w:pPr>
        <w:shd w:val="solid" w:color="FFFFFF" w:fill="FFFFFF"/>
        <w:tabs>
          <w:tab w:val="left" w:pos="720"/>
          <w:tab w:val="left" w:pos="1440"/>
        </w:tabs>
        <w:rPr>
          <w:sz w:val="24"/>
          <w:szCs w:val="24"/>
        </w:rPr>
      </w:pPr>
    </w:p>
    <w:p w14:paraId="2BCA395C" w14:textId="4DA4EFAF" w:rsidR="000E6548" w:rsidRPr="000E6548" w:rsidRDefault="000E6548" w:rsidP="000E6548">
      <w:pPr>
        <w:shd w:val="solid" w:color="FFFFFF" w:fill="FFFFFF"/>
        <w:tabs>
          <w:tab w:val="left" w:pos="720"/>
          <w:tab w:val="left" w:pos="1440"/>
        </w:tabs>
        <w:rPr>
          <w:sz w:val="24"/>
          <w:szCs w:val="24"/>
        </w:rPr>
      </w:pPr>
      <w:r w:rsidRPr="000E6548">
        <w:rPr>
          <w:sz w:val="24"/>
          <w:szCs w:val="24"/>
        </w:rPr>
        <w:t xml:space="preserve">BJS identified four variables—the number of male </w:t>
      </w:r>
      <w:r>
        <w:rPr>
          <w:sz w:val="24"/>
          <w:szCs w:val="24"/>
        </w:rPr>
        <w:t xml:space="preserve">(fully) </w:t>
      </w:r>
      <w:r w:rsidRPr="000E6548">
        <w:rPr>
          <w:sz w:val="24"/>
          <w:szCs w:val="24"/>
        </w:rPr>
        <w:t xml:space="preserve">sworn, male nonsworn, female </w:t>
      </w:r>
      <w:r>
        <w:rPr>
          <w:sz w:val="24"/>
          <w:szCs w:val="24"/>
        </w:rPr>
        <w:t xml:space="preserve">(fully) </w:t>
      </w:r>
      <w:r w:rsidRPr="000E6548">
        <w:rPr>
          <w:sz w:val="24"/>
          <w:szCs w:val="24"/>
        </w:rPr>
        <w:t xml:space="preserve">sworn, and female nonsworn personnel—that are collected and reported by the FBI survey and by BJS in the CSLLEA and LEMAS surveys. The items about personnel in the FBI survey are collected in conjunction with annual data collections of hundreds of items about reported offenses and about assaults on law enforcement officers. The FBI uses these data to report on offense, arrest, and assault rates per sworn personnel. </w:t>
      </w:r>
    </w:p>
    <w:p w14:paraId="08073F50" w14:textId="77777777" w:rsidR="000E6548" w:rsidRPr="000E6548" w:rsidRDefault="000E6548" w:rsidP="000E6548">
      <w:pPr>
        <w:shd w:val="solid" w:color="FFFFFF" w:fill="FFFFFF"/>
        <w:tabs>
          <w:tab w:val="left" w:pos="720"/>
          <w:tab w:val="left" w:pos="1440"/>
        </w:tabs>
        <w:rPr>
          <w:sz w:val="24"/>
          <w:szCs w:val="24"/>
        </w:rPr>
      </w:pPr>
    </w:p>
    <w:p w14:paraId="19149F14" w14:textId="4B8BECEE" w:rsidR="000E6548" w:rsidRDefault="000E6548" w:rsidP="000E6548">
      <w:pPr>
        <w:shd w:val="solid" w:color="FFFFFF" w:fill="FFFFFF"/>
        <w:tabs>
          <w:tab w:val="left" w:pos="720"/>
          <w:tab w:val="left" w:pos="1440"/>
        </w:tabs>
        <w:rPr>
          <w:sz w:val="24"/>
          <w:szCs w:val="24"/>
        </w:rPr>
      </w:pPr>
      <w:r w:rsidRPr="000E6548">
        <w:rPr>
          <w:sz w:val="24"/>
          <w:szCs w:val="24"/>
        </w:rPr>
        <w:t>In the five years (1992, 1996, 2000, 2004 and 2008) for which both the FBI survey and the BJS CSLLEA were conducted, the FBI collected data from 3,600 to 5,200 fewer agencies (24.9%) and reported about 100,000 fewer total personnel (10.0%). These differences are due in part to the different criteria for inclusion of agencies and personnel in the two surveys. The FBI survey is limited to personnel paid “with law enforcement funds” while the BJS surveys include all personnel regardless of what funds pay their salaries. In addition, the BJS survey captures all agencies that employ the equivalent (i.e., two part-time staff) of at least one full-time sworn personnel; while the FBI requires at least one full-time sworn staff member. Lastly, the FBI survey is limited to agencies that report to the FBI’s UCR program during a particular year</w:t>
      </w:r>
      <w:r w:rsidR="003204C2">
        <w:rPr>
          <w:sz w:val="24"/>
          <w:szCs w:val="24"/>
        </w:rPr>
        <w:t xml:space="preserve"> (Reaves, 2011).</w:t>
      </w:r>
      <w:r w:rsidRPr="000E6548">
        <w:rPr>
          <w:sz w:val="24"/>
          <w:szCs w:val="24"/>
        </w:rPr>
        <w:t xml:space="preserve"> </w:t>
      </w:r>
    </w:p>
    <w:p w14:paraId="70B95360" w14:textId="77777777" w:rsidR="00C4130D" w:rsidRPr="000E6548" w:rsidRDefault="00C4130D" w:rsidP="000E6548">
      <w:pPr>
        <w:shd w:val="solid" w:color="FFFFFF" w:fill="FFFFFF"/>
        <w:tabs>
          <w:tab w:val="left" w:pos="720"/>
          <w:tab w:val="left" w:pos="1440"/>
        </w:tabs>
        <w:rPr>
          <w:sz w:val="24"/>
          <w:szCs w:val="24"/>
        </w:rPr>
      </w:pPr>
    </w:p>
    <w:p w14:paraId="543AF963" w14:textId="520D56ED" w:rsidR="000E6548" w:rsidRPr="000E6548" w:rsidRDefault="000E6548" w:rsidP="000E6548">
      <w:pPr>
        <w:shd w:val="solid" w:color="FFFFFF" w:fill="FFFFFF"/>
        <w:tabs>
          <w:tab w:val="left" w:pos="720"/>
          <w:tab w:val="left" w:pos="1440"/>
        </w:tabs>
        <w:rPr>
          <w:sz w:val="24"/>
          <w:szCs w:val="24"/>
        </w:rPr>
      </w:pPr>
      <w:r w:rsidRPr="000E6548">
        <w:rPr>
          <w:sz w:val="24"/>
          <w:szCs w:val="24"/>
        </w:rPr>
        <w:t xml:space="preserve">Personnel items included in the </w:t>
      </w:r>
      <w:r>
        <w:rPr>
          <w:sz w:val="24"/>
          <w:szCs w:val="24"/>
        </w:rPr>
        <w:t>CSLLEA</w:t>
      </w:r>
      <w:r w:rsidRPr="000E6548">
        <w:rPr>
          <w:sz w:val="24"/>
          <w:szCs w:val="24"/>
        </w:rPr>
        <w:t xml:space="preserve"> are used to provide the basis for computing the percentages of sworn personnel by law enforcement function. </w:t>
      </w:r>
      <w:r>
        <w:rPr>
          <w:sz w:val="24"/>
          <w:szCs w:val="24"/>
        </w:rPr>
        <w:t>The CSLLEA</w:t>
      </w:r>
      <w:r w:rsidRPr="000E6548">
        <w:rPr>
          <w:sz w:val="24"/>
          <w:szCs w:val="24"/>
        </w:rPr>
        <w:t xml:space="preserve"> also collects information about </w:t>
      </w:r>
      <w:r w:rsidR="00C1612A">
        <w:rPr>
          <w:sz w:val="24"/>
          <w:szCs w:val="24"/>
        </w:rPr>
        <w:t xml:space="preserve">limited sworn personnel and </w:t>
      </w:r>
      <w:r w:rsidRPr="000E6548">
        <w:rPr>
          <w:sz w:val="24"/>
          <w:szCs w:val="24"/>
        </w:rPr>
        <w:t>part-time employees of</w:t>
      </w:r>
      <w:r>
        <w:rPr>
          <w:sz w:val="24"/>
          <w:szCs w:val="24"/>
        </w:rPr>
        <w:t xml:space="preserve"> law enforcement agencies</w:t>
      </w:r>
      <w:r w:rsidR="00C1612A">
        <w:rPr>
          <w:sz w:val="24"/>
          <w:szCs w:val="24"/>
        </w:rPr>
        <w:t>, whereas the FBI does not</w:t>
      </w:r>
      <w:r w:rsidRPr="000E6548">
        <w:rPr>
          <w:sz w:val="24"/>
          <w:szCs w:val="24"/>
        </w:rPr>
        <w:t xml:space="preserve">. </w:t>
      </w:r>
    </w:p>
    <w:p w14:paraId="757E2C85" w14:textId="77777777" w:rsidR="000E6548" w:rsidRPr="000E6548" w:rsidRDefault="000E6548" w:rsidP="000E6548">
      <w:pPr>
        <w:shd w:val="solid" w:color="FFFFFF" w:fill="FFFFFF"/>
        <w:tabs>
          <w:tab w:val="left" w:pos="720"/>
          <w:tab w:val="left" w:pos="1440"/>
        </w:tabs>
        <w:rPr>
          <w:sz w:val="24"/>
          <w:szCs w:val="24"/>
        </w:rPr>
      </w:pPr>
    </w:p>
    <w:p w14:paraId="047ED731" w14:textId="77777777" w:rsidR="000E6548" w:rsidRPr="000E6548" w:rsidRDefault="000E6548" w:rsidP="000E6548">
      <w:pPr>
        <w:shd w:val="solid" w:color="FFFFFF" w:fill="FFFFFF"/>
        <w:tabs>
          <w:tab w:val="left" w:pos="720"/>
          <w:tab w:val="left" w:pos="1440"/>
        </w:tabs>
        <w:rPr>
          <w:sz w:val="24"/>
          <w:szCs w:val="24"/>
        </w:rPr>
      </w:pPr>
      <w:r w:rsidRPr="000E6548">
        <w:rPr>
          <w:sz w:val="24"/>
          <w:szCs w:val="24"/>
        </w:rPr>
        <w:t xml:space="preserve">To summarize, BJS and FBI data collections differ on several key measures: </w:t>
      </w:r>
    </w:p>
    <w:p w14:paraId="1112236F" w14:textId="77777777" w:rsidR="000E6548" w:rsidRPr="000E6548" w:rsidRDefault="000E6548" w:rsidP="000E6548">
      <w:pPr>
        <w:shd w:val="solid" w:color="FFFFFF" w:fill="FFFFFF"/>
        <w:tabs>
          <w:tab w:val="left" w:pos="720"/>
          <w:tab w:val="left" w:pos="1440"/>
        </w:tabs>
        <w:rPr>
          <w:sz w:val="24"/>
          <w:szCs w:val="24"/>
        </w:rPr>
      </w:pPr>
    </w:p>
    <w:p w14:paraId="7FE60860" w14:textId="77777777" w:rsidR="000E6548" w:rsidRPr="000E6548" w:rsidRDefault="000E6548" w:rsidP="00DC4A29">
      <w:pPr>
        <w:shd w:val="solid" w:color="FFFFFF" w:fill="FFFFFF"/>
        <w:tabs>
          <w:tab w:val="left" w:pos="720"/>
          <w:tab w:val="left" w:pos="1440"/>
        </w:tabs>
        <w:ind w:left="720" w:hanging="720"/>
        <w:rPr>
          <w:sz w:val="24"/>
          <w:szCs w:val="24"/>
        </w:rPr>
      </w:pPr>
      <w:r w:rsidRPr="000E6548">
        <w:rPr>
          <w:sz w:val="24"/>
          <w:szCs w:val="24"/>
        </w:rPr>
        <w:t>•</w:t>
      </w:r>
      <w:r w:rsidRPr="000E6548">
        <w:rPr>
          <w:sz w:val="24"/>
          <w:szCs w:val="24"/>
        </w:rPr>
        <w:tab/>
        <w:t>Definition of law enforcement officer that varies depending upon how the officer is funded at the agency</w:t>
      </w:r>
    </w:p>
    <w:p w14:paraId="36DC4DC7" w14:textId="77777777" w:rsidR="000E6548" w:rsidRPr="000E6548" w:rsidRDefault="000E6548" w:rsidP="000E6548">
      <w:pPr>
        <w:shd w:val="solid" w:color="FFFFFF" w:fill="FFFFFF"/>
        <w:tabs>
          <w:tab w:val="left" w:pos="720"/>
          <w:tab w:val="left" w:pos="1440"/>
        </w:tabs>
        <w:rPr>
          <w:sz w:val="24"/>
          <w:szCs w:val="24"/>
        </w:rPr>
      </w:pPr>
      <w:r w:rsidRPr="000E6548">
        <w:rPr>
          <w:sz w:val="24"/>
          <w:szCs w:val="24"/>
        </w:rPr>
        <w:t>•</w:t>
      </w:r>
      <w:r w:rsidRPr="000E6548">
        <w:rPr>
          <w:sz w:val="24"/>
          <w:szCs w:val="24"/>
        </w:rPr>
        <w:tab/>
        <w:t xml:space="preserve">Scope of agencies considered for inclusion in data collection efforts </w:t>
      </w:r>
    </w:p>
    <w:p w14:paraId="3CA08B5B" w14:textId="77777777" w:rsidR="000E6548" w:rsidRPr="000E6548" w:rsidRDefault="000E6548" w:rsidP="000E6548">
      <w:pPr>
        <w:shd w:val="solid" w:color="FFFFFF" w:fill="FFFFFF"/>
        <w:tabs>
          <w:tab w:val="left" w:pos="720"/>
          <w:tab w:val="left" w:pos="1440"/>
        </w:tabs>
        <w:rPr>
          <w:sz w:val="24"/>
          <w:szCs w:val="24"/>
        </w:rPr>
      </w:pPr>
      <w:r w:rsidRPr="000E6548">
        <w:rPr>
          <w:sz w:val="24"/>
          <w:szCs w:val="24"/>
        </w:rPr>
        <w:t>•</w:t>
      </w:r>
      <w:r w:rsidRPr="000E6548">
        <w:rPr>
          <w:sz w:val="24"/>
          <w:szCs w:val="24"/>
        </w:rPr>
        <w:tab/>
        <w:t>Data collection goals</w:t>
      </w:r>
    </w:p>
    <w:p w14:paraId="760F0782" w14:textId="77777777" w:rsidR="000E6548" w:rsidRPr="000E6548" w:rsidRDefault="000E6548" w:rsidP="000E6548">
      <w:pPr>
        <w:shd w:val="solid" w:color="FFFFFF" w:fill="FFFFFF"/>
        <w:tabs>
          <w:tab w:val="left" w:pos="720"/>
          <w:tab w:val="left" w:pos="1440"/>
        </w:tabs>
        <w:rPr>
          <w:sz w:val="24"/>
          <w:szCs w:val="24"/>
        </w:rPr>
      </w:pPr>
      <w:r w:rsidRPr="000E6548">
        <w:rPr>
          <w:sz w:val="24"/>
          <w:szCs w:val="24"/>
        </w:rPr>
        <w:t>•</w:t>
      </w:r>
      <w:r w:rsidRPr="000E6548">
        <w:rPr>
          <w:sz w:val="24"/>
          <w:szCs w:val="24"/>
        </w:rPr>
        <w:tab/>
        <w:t>BJS includes additional demographic variables for sworn personnel</w:t>
      </w:r>
    </w:p>
    <w:p w14:paraId="39A0042F" w14:textId="77777777" w:rsidR="000E6548" w:rsidRPr="000E6548" w:rsidRDefault="000E6548" w:rsidP="000E6548">
      <w:pPr>
        <w:shd w:val="solid" w:color="FFFFFF" w:fill="FFFFFF"/>
        <w:tabs>
          <w:tab w:val="left" w:pos="720"/>
          <w:tab w:val="left" w:pos="1440"/>
        </w:tabs>
        <w:rPr>
          <w:sz w:val="24"/>
          <w:szCs w:val="24"/>
        </w:rPr>
      </w:pPr>
    </w:p>
    <w:p w14:paraId="4ACD3F96" w14:textId="77777777" w:rsidR="000E6548" w:rsidRPr="000E6548" w:rsidRDefault="000E6548" w:rsidP="000E6548">
      <w:pPr>
        <w:shd w:val="solid" w:color="FFFFFF" w:fill="FFFFFF"/>
        <w:tabs>
          <w:tab w:val="left" w:pos="720"/>
          <w:tab w:val="left" w:pos="1440"/>
        </w:tabs>
        <w:rPr>
          <w:sz w:val="24"/>
          <w:szCs w:val="24"/>
        </w:rPr>
      </w:pPr>
      <w:r w:rsidRPr="000E6548">
        <w:rPr>
          <w:sz w:val="24"/>
          <w:szCs w:val="24"/>
        </w:rPr>
        <w:t xml:space="preserve">These design elements lead to differences in the estimated number of total sworn officers, which persist over time across various waves of data collection. The number of duplicate data collection items in the BJS and FBI data collection is small, and the information collected is necessary to meet the goals of each survey. </w:t>
      </w:r>
    </w:p>
    <w:p w14:paraId="3F0D4664" w14:textId="77777777" w:rsidR="000E6548" w:rsidRPr="00DF4D22" w:rsidRDefault="000E6548" w:rsidP="000E6548">
      <w:pPr>
        <w:shd w:val="solid" w:color="FFFFFF" w:fill="FFFFFF"/>
        <w:tabs>
          <w:tab w:val="left" w:pos="720"/>
          <w:tab w:val="left" w:pos="1440"/>
        </w:tabs>
        <w:rPr>
          <w:i/>
          <w:sz w:val="24"/>
          <w:szCs w:val="24"/>
        </w:rPr>
      </w:pPr>
    </w:p>
    <w:p w14:paraId="19293911" w14:textId="5D7EF15A" w:rsidR="00C1612A" w:rsidRPr="00DF4D22" w:rsidRDefault="00C1612A" w:rsidP="000E6548">
      <w:pPr>
        <w:shd w:val="solid" w:color="FFFFFF" w:fill="FFFFFF"/>
        <w:tabs>
          <w:tab w:val="left" w:pos="720"/>
          <w:tab w:val="left" w:pos="1440"/>
        </w:tabs>
        <w:rPr>
          <w:i/>
          <w:sz w:val="24"/>
          <w:szCs w:val="24"/>
        </w:rPr>
      </w:pPr>
      <w:r w:rsidRPr="00DF4D22">
        <w:rPr>
          <w:i/>
          <w:sz w:val="24"/>
          <w:szCs w:val="24"/>
        </w:rPr>
        <w:t>CSLLEA vs. EEO</w:t>
      </w:r>
    </w:p>
    <w:p w14:paraId="56D7F6AC" w14:textId="2BE2DA00" w:rsidR="000E6548" w:rsidRPr="000E6548" w:rsidRDefault="000E6548" w:rsidP="000E6548">
      <w:pPr>
        <w:shd w:val="solid" w:color="FFFFFF" w:fill="FFFFFF"/>
        <w:tabs>
          <w:tab w:val="left" w:pos="720"/>
          <w:tab w:val="left" w:pos="1440"/>
        </w:tabs>
        <w:rPr>
          <w:sz w:val="24"/>
          <w:szCs w:val="24"/>
        </w:rPr>
      </w:pPr>
      <w:r w:rsidRPr="000E6548">
        <w:rPr>
          <w:sz w:val="24"/>
          <w:szCs w:val="24"/>
        </w:rPr>
        <w:t xml:space="preserve">The </w:t>
      </w:r>
      <w:r w:rsidR="003204C2">
        <w:rPr>
          <w:sz w:val="24"/>
          <w:szCs w:val="24"/>
        </w:rPr>
        <w:t>EEO</w:t>
      </w:r>
      <w:r w:rsidR="003204C2" w:rsidRPr="000E6548">
        <w:rPr>
          <w:sz w:val="24"/>
          <w:szCs w:val="24"/>
        </w:rPr>
        <w:t xml:space="preserve"> </w:t>
      </w:r>
      <w:r w:rsidRPr="000E6548">
        <w:rPr>
          <w:sz w:val="24"/>
          <w:szCs w:val="24"/>
        </w:rPr>
        <w:t>tabulations provide national estimates on the number of sworn and non</w:t>
      </w:r>
      <w:r w:rsidR="00DC4A29">
        <w:rPr>
          <w:sz w:val="24"/>
          <w:szCs w:val="24"/>
        </w:rPr>
        <w:t>-</w:t>
      </w:r>
      <w:r w:rsidRPr="000E6548">
        <w:rPr>
          <w:sz w:val="24"/>
          <w:szCs w:val="24"/>
        </w:rPr>
        <w:t xml:space="preserve">sworn personnel involved in protective services for state and local governments. </w:t>
      </w:r>
      <w:r w:rsidR="00DC4A29">
        <w:rPr>
          <w:sz w:val="24"/>
          <w:szCs w:val="24"/>
        </w:rPr>
        <w:t xml:space="preserve">With the </w:t>
      </w:r>
      <w:r w:rsidR="003204C2">
        <w:rPr>
          <w:sz w:val="24"/>
          <w:szCs w:val="24"/>
        </w:rPr>
        <w:t>EEO</w:t>
      </w:r>
      <w:r w:rsidR="003204C2" w:rsidRPr="000E6548">
        <w:rPr>
          <w:sz w:val="24"/>
          <w:szCs w:val="24"/>
        </w:rPr>
        <w:t xml:space="preserve"> </w:t>
      </w:r>
      <w:r w:rsidRPr="000E6548">
        <w:rPr>
          <w:sz w:val="24"/>
          <w:szCs w:val="24"/>
        </w:rPr>
        <w:t xml:space="preserve">tabulations it is </w:t>
      </w:r>
      <w:r w:rsidR="00C4130D">
        <w:rPr>
          <w:sz w:val="24"/>
          <w:szCs w:val="24"/>
        </w:rPr>
        <w:t xml:space="preserve">not </w:t>
      </w:r>
      <w:r w:rsidR="00C4130D" w:rsidRPr="000E6548">
        <w:rPr>
          <w:sz w:val="24"/>
          <w:szCs w:val="24"/>
        </w:rPr>
        <w:t xml:space="preserve">possible </w:t>
      </w:r>
      <w:r w:rsidRPr="000E6548">
        <w:rPr>
          <w:sz w:val="24"/>
          <w:szCs w:val="24"/>
        </w:rPr>
        <w:t xml:space="preserve">to </w:t>
      </w:r>
      <w:r w:rsidR="00C4130D">
        <w:rPr>
          <w:sz w:val="24"/>
          <w:szCs w:val="24"/>
        </w:rPr>
        <w:t>disaggregate</w:t>
      </w:r>
      <w:r w:rsidRPr="000E6548">
        <w:rPr>
          <w:sz w:val="24"/>
          <w:szCs w:val="24"/>
        </w:rPr>
        <w:t xml:space="preserve"> the law enforcement related job codes that may be subsumed under the “protective service” heading. This dataset also provides geographic rather than agency staffing estimates. Estimates are provided for location of employment or residence rather than the law enforcement agency. </w:t>
      </w:r>
      <w:r w:rsidR="00DC4A29">
        <w:rPr>
          <w:sz w:val="24"/>
          <w:szCs w:val="24"/>
        </w:rPr>
        <w:t>CSLLEA</w:t>
      </w:r>
      <w:r w:rsidRPr="000E6548">
        <w:rPr>
          <w:sz w:val="24"/>
          <w:szCs w:val="24"/>
        </w:rPr>
        <w:t xml:space="preserve"> data reflect place of work rather than location of work or place of residence. </w:t>
      </w:r>
      <w:r w:rsidR="00C4130D">
        <w:rPr>
          <w:sz w:val="24"/>
          <w:szCs w:val="24"/>
        </w:rPr>
        <w:t xml:space="preserve">The </w:t>
      </w:r>
      <w:r w:rsidR="003204C2">
        <w:rPr>
          <w:sz w:val="24"/>
          <w:szCs w:val="24"/>
        </w:rPr>
        <w:t>EEO</w:t>
      </w:r>
      <w:r w:rsidR="003204C2" w:rsidRPr="000E6548">
        <w:rPr>
          <w:sz w:val="24"/>
          <w:szCs w:val="24"/>
        </w:rPr>
        <w:t xml:space="preserve"> </w:t>
      </w:r>
      <w:r w:rsidRPr="000E6548">
        <w:rPr>
          <w:sz w:val="24"/>
          <w:szCs w:val="24"/>
        </w:rPr>
        <w:t xml:space="preserve">data are </w:t>
      </w:r>
      <w:r w:rsidR="00C4130D">
        <w:rPr>
          <w:sz w:val="24"/>
          <w:szCs w:val="24"/>
        </w:rPr>
        <w:t>not granular enough</w:t>
      </w:r>
      <w:r w:rsidR="00C4130D" w:rsidRPr="000E6548">
        <w:rPr>
          <w:sz w:val="24"/>
          <w:szCs w:val="24"/>
        </w:rPr>
        <w:t xml:space="preserve"> </w:t>
      </w:r>
      <w:r w:rsidRPr="000E6548">
        <w:rPr>
          <w:sz w:val="24"/>
          <w:szCs w:val="24"/>
        </w:rPr>
        <w:t>to disaggregate the number of sworn officers working i</w:t>
      </w:r>
      <w:r w:rsidR="00DC4A29">
        <w:rPr>
          <w:sz w:val="24"/>
          <w:szCs w:val="24"/>
        </w:rPr>
        <w:t>n local law enforcement versus s</w:t>
      </w:r>
      <w:r w:rsidRPr="000E6548">
        <w:rPr>
          <w:sz w:val="24"/>
          <w:szCs w:val="24"/>
        </w:rPr>
        <w:t>heriff’s offices</w:t>
      </w:r>
      <w:r w:rsidR="00DC4A29">
        <w:rPr>
          <w:sz w:val="24"/>
          <w:szCs w:val="24"/>
        </w:rPr>
        <w:t xml:space="preserve"> and </w:t>
      </w:r>
      <w:r w:rsidR="00681AFB">
        <w:rPr>
          <w:sz w:val="24"/>
          <w:szCs w:val="24"/>
        </w:rPr>
        <w:t xml:space="preserve">they </w:t>
      </w:r>
      <w:r w:rsidR="00DC4A29">
        <w:rPr>
          <w:sz w:val="24"/>
          <w:szCs w:val="24"/>
        </w:rPr>
        <w:t xml:space="preserve">also do not provide </w:t>
      </w:r>
      <w:r w:rsidR="00681AFB">
        <w:rPr>
          <w:sz w:val="24"/>
          <w:szCs w:val="24"/>
        </w:rPr>
        <w:t xml:space="preserve">a </w:t>
      </w:r>
      <w:r w:rsidR="00DC4A29">
        <w:rPr>
          <w:sz w:val="24"/>
          <w:szCs w:val="24"/>
        </w:rPr>
        <w:t>breakout by gender</w:t>
      </w:r>
      <w:r w:rsidRPr="000E6548">
        <w:rPr>
          <w:sz w:val="24"/>
          <w:szCs w:val="24"/>
        </w:rPr>
        <w:t xml:space="preserve">. </w:t>
      </w:r>
    </w:p>
    <w:p w14:paraId="361EFF00" w14:textId="77777777" w:rsidR="000E6548" w:rsidRPr="000E6548" w:rsidRDefault="000E6548" w:rsidP="000E6548">
      <w:pPr>
        <w:shd w:val="solid" w:color="FFFFFF" w:fill="FFFFFF"/>
        <w:tabs>
          <w:tab w:val="left" w:pos="720"/>
          <w:tab w:val="left" w:pos="1440"/>
        </w:tabs>
        <w:rPr>
          <w:sz w:val="24"/>
          <w:szCs w:val="24"/>
        </w:rPr>
      </w:pPr>
    </w:p>
    <w:p w14:paraId="50E52898" w14:textId="7411734B" w:rsidR="000E6548" w:rsidRDefault="000E6548" w:rsidP="000E6548">
      <w:pPr>
        <w:shd w:val="solid" w:color="FFFFFF" w:fill="FFFFFF"/>
        <w:tabs>
          <w:tab w:val="left" w:pos="720"/>
          <w:tab w:val="left" w:pos="1440"/>
        </w:tabs>
        <w:rPr>
          <w:sz w:val="24"/>
          <w:szCs w:val="24"/>
        </w:rPr>
      </w:pPr>
      <w:r w:rsidRPr="000E6548">
        <w:rPr>
          <w:sz w:val="24"/>
          <w:szCs w:val="24"/>
        </w:rPr>
        <w:t xml:space="preserve">BJS </w:t>
      </w:r>
      <w:r w:rsidR="00681AFB">
        <w:rPr>
          <w:sz w:val="24"/>
          <w:szCs w:val="24"/>
        </w:rPr>
        <w:t>provides</w:t>
      </w:r>
      <w:r w:rsidRPr="000E6548">
        <w:rPr>
          <w:sz w:val="24"/>
          <w:szCs w:val="24"/>
        </w:rPr>
        <w:t xml:space="preserve"> national estimates of the number of </w:t>
      </w:r>
      <w:r w:rsidR="00DC4A29">
        <w:rPr>
          <w:sz w:val="24"/>
          <w:szCs w:val="24"/>
        </w:rPr>
        <w:t xml:space="preserve">law enforcement agencies </w:t>
      </w:r>
      <w:r w:rsidRPr="000E6548">
        <w:rPr>
          <w:sz w:val="24"/>
          <w:szCs w:val="24"/>
        </w:rPr>
        <w:t xml:space="preserve">and </w:t>
      </w:r>
      <w:r w:rsidR="00681AFB">
        <w:rPr>
          <w:sz w:val="24"/>
          <w:szCs w:val="24"/>
        </w:rPr>
        <w:t xml:space="preserve">the </w:t>
      </w:r>
      <w:r w:rsidRPr="000E6548">
        <w:rPr>
          <w:sz w:val="24"/>
          <w:szCs w:val="24"/>
        </w:rPr>
        <w:t>number</w:t>
      </w:r>
      <w:r w:rsidR="00681AFB">
        <w:rPr>
          <w:sz w:val="24"/>
          <w:szCs w:val="24"/>
        </w:rPr>
        <w:t>s</w:t>
      </w:r>
      <w:r w:rsidRPr="000E6548">
        <w:rPr>
          <w:sz w:val="24"/>
          <w:szCs w:val="24"/>
        </w:rPr>
        <w:t xml:space="preserve"> of</w:t>
      </w:r>
      <w:r w:rsidR="00DC4A29">
        <w:rPr>
          <w:sz w:val="24"/>
          <w:szCs w:val="24"/>
        </w:rPr>
        <w:t xml:space="preserve"> fully </w:t>
      </w:r>
      <w:r w:rsidRPr="000E6548">
        <w:rPr>
          <w:sz w:val="24"/>
          <w:szCs w:val="24"/>
        </w:rPr>
        <w:t>sworn</w:t>
      </w:r>
      <w:r w:rsidR="00DC4A29">
        <w:rPr>
          <w:sz w:val="24"/>
          <w:szCs w:val="24"/>
        </w:rPr>
        <w:t>, limited sworn</w:t>
      </w:r>
      <w:r w:rsidRPr="000E6548">
        <w:rPr>
          <w:sz w:val="24"/>
          <w:szCs w:val="24"/>
        </w:rPr>
        <w:t xml:space="preserve"> and non</w:t>
      </w:r>
      <w:r w:rsidR="00DC4A29">
        <w:rPr>
          <w:sz w:val="24"/>
          <w:szCs w:val="24"/>
        </w:rPr>
        <w:t>-</w:t>
      </w:r>
      <w:r w:rsidRPr="000E6548">
        <w:rPr>
          <w:sz w:val="24"/>
          <w:szCs w:val="24"/>
        </w:rPr>
        <w:t xml:space="preserve">sworn personnel. </w:t>
      </w:r>
      <w:r w:rsidR="00681AFB">
        <w:rPr>
          <w:sz w:val="24"/>
          <w:szCs w:val="24"/>
        </w:rPr>
        <w:t xml:space="preserve">The </w:t>
      </w:r>
      <w:r w:rsidR="00DC4A29">
        <w:rPr>
          <w:sz w:val="24"/>
          <w:szCs w:val="24"/>
        </w:rPr>
        <w:t>CSLLEA</w:t>
      </w:r>
      <w:r w:rsidRPr="000E6548">
        <w:rPr>
          <w:sz w:val="24"/>
          <w:szCs w:val="24"/>
        </w:rPr>
        <w:t xml:space="preserve"> is the only data source that provides </w:t>
      </w:r>
      <w:r w:rsidR="00DC4A29">
        <w:rPr>
          <w:sz w:val="24"/>
          <w:szCs w:val="24"/>
        </w:rPr>
        <w:t>gender</w:t>
      </w:r>
      <w:r w:rsidRPr="000E6548">
        <w:rPr>
          <w:sz w:val="24"/>
          <w:szCs w:val="24"/>
        </w:rPr>
        <w:t xml:space="preserve"> of </w:t>
      </w:r>
      <w:r w:rsidR="00DC4A29">
        <w:rPr>
          <w:sz w:val="24"/>
          <w:szCs w:val="24"/>
        </w:rPr>
        <w:t xml:space="preserve">fully and limited </w:t>
      </w:r>
      <w:r w:rsidRPr="000E6548">
        <w:rPr>
          <w:sz w:val="24"/>
          <w:szCs w:val="24"/>
        </w:rPr>
        <w:t xml:space="preserve">sworn </w:t>
      </w:r>
      <w:r w:rsidR="00DC4A29">
        <w:rPr>
          <w:sz w:val="24"/>
          <w:szCs w:val="24"/>
        </w:rPr>
        <w:t xml:space="preserve">officers </w:t>
      </w:r>
      <w:r w:rsidRPr="000E6548">
        <w:rPr>
          <w:sz w:val="24"/>
          <w:szCs w:val="24"/>
        </w:rPr>
        <w:t>based on the employing agency rather than residen</w:t>
      </w:r>
      <w:r w:rsidR="00681AFB">
        <w:rPr>
          <w:sz w:val="24"/>
          <w:szCs w:val="24"/>
        </w:rPr>
        <w:t>ce for general and special purpose agencies</w:t>
      </w:r>
      <w:r w:rsidRPr="000E6548">
        <w:rPr>
          <w:sz w:val="24"/>
          <w:szCs w:val="24"/>
        </w:rPr>
        <w:t xml:space="preserve">. This allows for national estimates at all jurisdiction levels: local, county, and state. </w:t>
      </w:r>
    </w:p>
    <w:p w14:paraId="627F9746" w14:textId="77777777" w:rsidR="00747865" w:rsidRPr="00394EE5" w:rsidRDefault="00747865" w:rsidP="00AE1D31">
      <w:pPr>
        <w:numPr>
          <w:ilvl w:val="12"/>
          <w:numId w:val="0"/>
        </w:numPr>
        <w:shd w:val="solid" w:color="FFFFFF" w:fill="FFFFFF"/>
        <w:tabs>
          <w:tab w:val="left" w:pos="360"/>
          <w:tab w:val="left" w:pos="840"/>
          <w:tab w:val="left" w:pos="1440"/>
        </w:tabs>
        <w:rPr>
          <w:sz w:val="24"/>
          <w:szCs w:val="24"/>
        </w:rPr>
      </w:pPr>
    </w:p>
    <w:p w14:paraId="53DB5243" w14:textId="77777777" w:rsidR="00FB2D7A" w:rsidRPr="00320E4A" w:rsidRDefault="00F64EFB" w:rsidP="003D40AA">
      <w:pPr>
        <w:numPr>
          <w:ilvl w:val="0"/>
          <w:numId w:val="6"/>
        </w:numPr>
        <w:shd w:val="solid" w:color="FFFFFF" w:fill="FFFFFF"/>
        <w:tabs>
          <w:tab w:val="clear" w:pos="840"/>
          <w:tab w:val="left" w:pos="720"/>
          <w:tab w:val="left" w:pos="1440"/>
        </w:tabs>
        <w:ind w:left="0" w:firstLine="0"/>
        <w:rPr>
          <w:b/>
          <w:sz w:val="24"/>
          <w:szCs w:val="24"/>
        </w:rPr>
      </w:pPr>
      <w:r w:rsidRPr="00320E4A">
        <w:rPr>
          <w:b/>
          <w:sz w:val="24"/>
          <w:szCs w:val="24"/>
        </w:rPr>
        <w:t>Efforts to Minimize Burden</w:t>
      </w:r>
      <w:r w:rsidR="00AE1D31" w:rsidRPr="00320E4A">
        <w:rPr>
          <w:b/>
          <w:sz w:val="24"/>
          <w:szCs w:val="24"/>
        </w:rPr>
        <w:t xml:space="preserve"> </w:t>
      </w:r>
    </w:p>
    <w:p w14:paraId="1FEFBB85" w14:textId="77777777" w:rsidR="00FB2D7A" w:rsidRDefault="00FB2D7A" w:rsidP="00FB2D7A">
      <w:pPr>
        <w:pStyle w:val="ListParagraph"/>
        <w:rPr>
          <w:sz w:val="24"/>
          <w:szCs w:val="24"/>
        </w:rPr>
      </w:pPr>
    </w:p>
    <w:p w14:paraId="4AF9955D" w14:textId="77777777" w:rsidR="00D20087" w:rsidRDefault="00FB2D7A" w:rsidP="00FB2D7A">
      <w:pPr>
        <w:shd w:val="solid" w:color="FFFFFF" w:fill="FFFFFF"/>
        <w:tabs>
          <w:tab w:val="left" w:pos="720"/>
          <w:tab w:val="left" w:pos="1440"/>
        </w:tabs>
        <w:rPr>
          <w:sz w:val="24"/>
          <w:szCs w:val="24"/>
        </w:rPr>
      </w:pPr>
      <w:r w:rsidRPr="00FB2D7A">
        <w:rPr>
          <w:sz w:val="24"/>
          <w:szCs w:val="24"/>
        </w:rPr>
        <w:t xml:space="preserve">Efforts to minimize burden </w:t>
      </w:r>
      <w:r>
        <w:rPr>
          <w:sz w:val="24"/>
          <w:szCs w:val="24"/>
        </w:rPr>
        <w:t xml:space="preserve">have </w:t>
      </w:r>
      <w:r w:rsidRPr="00FB2D7A">
        <w:rPr>
          <w:sz w:val="24"/>
          <w:szCs w:val="24"/>
        </w:rPr>
        <w:t xml:space="preserve">focused on </w:t>
      </w:r>
      <w:r w:rsidR="00D20087">
        <w:rPr>
          <w:sz w:val="24"/>
          <w:szCs w:val="24"/>
        </w:rPr>
        <w:t xml:space="preserve">three </w:t>
      </w:r>
      <w:r w:rsidRPr="00FB2D7A">
        <w:rPr>
          <w:sz w:val="24"/>
          <w:szCs w:val="24"/>
        </w:rPr>
        <w:t xml:space="preserve">areas: </w:t>
      </w:r>
      <w:r w:rsidR="00D20087">
        <w:rPr>
          <w:sz w:val="24"/>
          <w:szCs w:val="24"/>
        </w:rPr>
        <w:t xml:space="preserve">extensive frame cleaning, </w:t>
      </w:r>
      <w:r w:rsidRPr="00FB2D7A">
        <w:rPr>
          <w:sz w:val="24"/>
          <w:szCs w:val="24"/>
        </w:rPr>
        <w:t>instrument design and support services.</w:t>
      </w:r>
      <w:r w:rsidRPr="00394EE5">
        <w:rPr>
          <w:sz w:val="24"/>
          <w:szCs w:val="24"/>
        </w:rPr>
        <w:t xml:space="preserve"> </w:t>
      </w:r>
    </w:p>
    <w:p w14:paraId="63E3E587" w14:textId="77777777" w:rsidR="00D20087" w:rsidRDefault="00D20087" w:rsidP="00FB2D7A">
      <w:pPr>
        <w:shd w:val="solid" w:color="FFFFFF" w:fill="FFFFFF"/>
        <w:tabs>
          <w:tab w:val="left" w:pos="720"/>
          <w:tab w:val="left" w:pos="1440"/>
        </w:tabs>
        <w:rPr>
          <w:sz w:val="24"/>
          <w:szCs w:val="24"/>
        </w:rPr>
      </w:pPr>
    </w:p>
    <w:p w14:paraId="38E95697" w14:textId="5C80EE6B" w:rsidR="00D20087" w:rsidRDefault="00D20087" w:rsidP="00FB2D7A">
      <w:pPr>
        <w:shd w:val="solid" w:color="FFFFFF" w:fill="FFFFFF"/>
        <w:tabs>
          <w:tab w:val="left" w:pos="720"/>
          <w:tab w:val="left" w:pos="1440"/>
        </w:tabs>
        <w:rPr>
          <w:sz w:val="24"/>
          <w:szCs w:val="24"/>
        </w:rPr>
      </w:pPr>
      <w:r>
        <w:rPr>
          <w:sz w:val="24"/>
          <w:szCs w:val="24"/>
        </w:rPr>
        <w:t xml:space="preserve">RTI has conducted extensive frame cleaning efforts to ensure that only agencies within the scope of the CSLLEA are included in the frame. This effort has </w:t>
      </w:r>
      <w:r w:rsidR="009461A0">
        <w:rPr>
          <w:sz w:val="24"/>
          <w:szCs w:val="24"/>
        </w:rPr>
        <w:t xml:space="preserve">involved </w:t>
      </w:r>
      <w:r>
        <w:rPr>
          <w:sz w:val="24"/>
          <w:szCs w:val="24"/>
        </w:rPr>
        <w:t>reviewing publically accessible data, including agency and city websites, budgets, and meeting minutes of city councils, to determine</w:t>
      </w:r>
      <w:r w:rsidR="00681AFB">
        <w:rPr>
          <w:sz w:val="24"/>
          <w:szCs w:val="24"/>
        </w:rPr>
        <w:t xml:space="preserve"> which</w:t>
      </w:r>
      <w:r>
        <w:rPr>
          <w:sz w:val="24"/>
          <w:szCs w:val="24"/>
        </w:rPr>
        <w:t xml:space="preserve"> agencies are in-service, publically funded, and have at least one full-time equivalent sworn officers. This work minimizes burden on out-of-scope agencies and other government agencies</w:t>
      </w:r>
      <w:r w:rsidR="009461A0">
        <w:rPr>
          <w:sz w:val="24"/>
          <w:szCs w:val="24"/>
        </w:rPr>
        <w:t xml:space="preserve"> that would </w:t>
      </w:r>
      <w:r w:rsidR="00681AFB">
        <w:rPr>
          <w:sz w:val="24"/>
          <w:szCs w:val="24"/>
        </w:rPr>
        <w:t xml:space="preserve">need to </w:t>
      </w:r>
      <w:r w:rsidR="009461A0">
        <w:rPr>
          <w:sz w:val="24"/>
          <w:szCs w:val="24"/>
        </w:rPr>
        <w:t xml:space="preserve">respond </w:t>
      </w:r>
      <w:r w:rsidR="005A0A55">
        <w:rPr>
          <w:sz w:val="24"/>
          <w:szCs w:val="24"/>
        </w:rPr>
        <w:t>for</w:t>
      </w:r>
      <w:r w:rsidR="009461A0">
        <w:rPr>
          <w:sz w:val="24"/>
          <w:szCs w:val="24"/>
        </w:rPr>
        <w:t xml:space="preserve"> agencies </w:t>
      </w:r>
      <w:r w:rsidR="00681AFB">
        <w:rPr>
          <w:sz w:val="24"/>
          <w:szCs w:val="24"/>
        </w:rPr>
        <w:t xml:space="preserve">that </w:t>
      </w:r>
      <w:r w:rsidR="009461A0">
        <w:rPr>
          <w:sz w:val="24"/>
          <w:szCs w:val="24"/>
        </w:rPr>
        <w:t>are closed or out of service</w:t>
      </w:r>
      <w:r>
        <w:rPr>
          <w:sz w:val="24"/>
          <w:szCs w:val="24"/>
        </w:rPr>
        <w:t xml:space="preserve">. </w:t>
      </w:r>
    </w:p>
    <w:p w14:paraId="6AABC3EE" w14:textId="77777777" w:rsidR="00D20087" w:rsidRDefault="00D20087" w:rsidP="00FB2D7A">
      <w:pPr>
        <w:shd w:val="solid" w:color="FFFFFF" w:fill="FFFFFF"/>
        <w:tabs>
          <w:tab w:val="left" w:pos="720"/>
          <w:tab w:val="left" w:pos="1440"/>
        </w:tabs>
        <w:rPr>
          <w:sz w:val="24"/>
          <w:szCs w:val="24"/>
        </w:rPr>
      </w:pPr>
    </w:p>
    <w:p w14:paraId="5A8882F0" w14:textId="68B9491F" w:rsidR="00E16AAA" w:rsidRDefault="00E16AAA" w:rsidP="00FB2D7A">
      <w:pPr>
        <w:shd w:val="solid" w:color="FFFFFF" w:fill="FFFFFF"/>
        <w:tabs>
          <w:tab w:val="left" w:pos="720"/>
          <w:tab w:val="left" w:pos="1440"/>
        </w:tabs>
        <w:rPr>
          <w:sz w:val="24"/>
          <w:szCs w:val="24"/>
        </w:rPr>
      </w:pPr>
      <w:r>
        <w:rPr>
          <w:sz w:val="24"/>
          <w:szCs w:val="24"/>
        </w:rPr>
        <w:t xml:space="preserve">BJS has </w:t>
      </w:r>
      <w:r w:rsidR="0060088B">
        <w:rPr>
          <w:sz w:val="24"/>
          <w:szCs w:val="24"/>
        </w:rPr>
        <w:t>reviewed each CSLLEA</w:t>
      </w:r>
      <w:r>
        <w:rPr>
          <w:sz w:val="24"/>
          <w:szCs w:val="24"/>
        </w:rPr>
        <w:t xml:space="preserve"> </w:t>
      </w:r>
      <w:r w:rsidR="0060088B">
        <w:rPr>
          <w:sz w:val="24"/>
          <w:szCs w:val="24"/>
        </w:rPr>
        <w:t xml:space="preserve">instrument and the historical use of these items </w:t>
      </w:r>
      <w:r>
        <w:rPr>
          <w:sz w:val="24"/>
          <w:szCs w:val="24"/>
        </w:rPr>
        <w:t>to ensure that the survey content addresses only those issues needed to achieve the core goals described in Section 2.  Furthermore, as described in Part B, Section 4, BJS is requesting clearance to conduct a series of cognitive interviews to ascertain whether respondents can provide the requested data (e.g., do the agencies track the necessary information) and to determine the most appropriate question strategies (e.g., instructions, terminology, question wording) to maximize comprehension and standardized interpretation across agencies.</w:t>
      </w:r>
    </w:p>
    <w:p w14:paraId="4214063B" w14:textId="77777777" w:rsidR="00E16AAA" w:rsidRDefault="00E16AAA" w:rsidP="00FB2D7A">
      <w:pPr>
        <w:shd w:val="solid" w:color="FFFFFF" w:fill="FFFFFF"/>
        <w:tabs>
          <w:tab w:val="left" w:pos="720"/>
          <w:tab w:val="left" w:pos="1440"/>
        </w:tabs>
        <w:rPr>
          <w:sz w:val="24"/>
          <w:szCs w:val="24"/>
        </w:rPr>
      </w:pPr>
    </w:p>
    <w:p w14:paraId="153FE57F" w14:textId="04E82F4E" w:rsidR="00FB2D7A" w:rsidRDefault="0060088B" w:rsidP="00FB2D7A">
      <w:pPr>
        <w:shd w:val="solid" w:color="FFFFFF" w:fill="FFFFFF"/>
        <w:tabs>
          <w:tab w:val="left" w:pos="720"/>
          <w:tab w:val="left" w:pos="1440"/>
        </w:tabs>
        <w:rPr>
          <w:sz w:val="24"/>
          <w:szCs w:val="24"/>
        </w:rPr>
      </w:pPr>
      <w:r>
        <w:rPr>
          <w:sz w:val="24"/>
          <w:szCs w:val="24"/>
        </w:rPr>
        <w:t>Additionally, t</w:t>
      </w:r>
      <w:r w:rsidR="00FB2D7A">
        <w:rPr>
          <w:sz w:val="24"/>
          <w:szCs w:val="24"/>
        </w:rPr>
        <w:t xml:space="preserve">he 2018 CSLLEA survey has </w:t>
      </w:r>
      <w:r>
        <w:rPr>
          <w:sz w:val="24"/>
          <w:szCs w:val="24"/>
        </w:rPr>
        <w:t xml:space="preserve">cut </w:t>
      </w:r>
      <w:r w:rsidR="00CF0AA7">
        <w:rPr>
          <w:sz w:val="24"/>
          <w:szCs w:val="24"/>
        </w:rPr>
        <w:t xml:space="preserve">a significant number of </w:t>
      </w:r>
      <w:r>
        <w:rPr>
          <w:sz w:val="24"/>
          <w:szCs w:val="24"/>
        </w:rPr>
        <w:t xml:space="preserve">items </w:t>
      </w:r>
      <w:r w:rsidR="00681AFB">
        <w:rPr>
          <w:sz w:val="24"/>
          <w:szCs w:val="24"/>
        </w:rPr>
        <w:t xml:space="preserve">from </w:t>
      </w:r>
      <w:r>
        <w:rPr>
          <w:sz w:val="24"/>
          <w:szCs w:val="24"/>
        </w:rPr>
        <w:t>the 2014 CSLLEA administration (7</w:t>
      </w:r>
      <w:r w:rsidR="008805E9">
        <w:rPr>
          <w:sz w:val="24"/>
          <w:szCs w:val="24"/>
        </w:rPr>
        <w:t xml:space="preserve"> </w:t>
      </w:r>
      <w:r>
        <w:rPr>
          <w:sz w:val="24"/>
          <w:szCs w:val="24"/>
        </w:rPr>
        <w:t>items vs. 21</w:t>
      </w:r>
      <w:r w:rsidR="008805E9">
        <w:rPr>
          <w:sz w:val="24"/>
          <w:szCs w:val="24"/>
        </w:rPr>
        <w:t xml:space="preserve"> </w:t>
      </w:r>
      <w:r>
        <w:rPr>
          <w:sz w:val="24"/>
          <w:szCs w:val="24"/>
        </w:rPr>
        <w:t xml:space="preserve">items). Almost 50% of law enforcement agencies in the U.S. have fewer than 10 personnel. Lack of time is a typical refusal reason given when an agency does not participate and this is more prominent in the smaller departments. The 2014 CSLLEA had a 1-hour burden and we estimate the 2018 CSLLEA to have a 30-minute burden since it more closely aligns with the 2008 instruments, which achieved 99% response rate. </w:t>
      </w:r>
      <w:r w:rsidR="00FB2D7A">
        <w:rPr>
          <w:sz w:val="24"/>
          <w:szCs w:val="24"/>
        </w:rPr>
        <w:t xml:space="preserve"> </w:t>
      </w:r>
    </w:p>
    <w:p w14:paraId="4F53E75E" w14:textId="77777777" w:rsidR="00FB2D7A" w:rsidRPr="00FB2D7A" w:rsidRDefault="00FB2D7A" w:rsidP="00FB2D7A">
      <w:pPr>
        <w:rPr>
          <w:sz w:val="24"/>
          <w:szCs w:val="24"/>
        </w:rPr>
      </w:pPr>
    </w:p>
    <w:p w14:paraId="60DFDDC2" w14:textId="3B1A09EE" w:rsidR="00FB2D7A" w:rsidRDefault="00FB2D7A" w:rsidP="00FB2D7A">
      <w:pPr>
        <w:rPr>
          <w:sz w:val="24"/>
          <w:szCs w:val="24"/>
        </w:rPr>
      </w:pPr>
      <w:r w:rsidRPr="00FB2D7A">
        <w:rPr>
          <w:sz w:val="24"/>
          <w:szCs w:val="24"/>
        </w:rPr>
        <w:t xml:space="preserve">We expect that </w:t>
      </w:r>
      <w:r w:rsidR="009D54BD">
        <w:rPr>
          <w:sz w:val="24"/>
          <w:szCs w:val="24"/>
        </w:rPr>
        <w:t>most</w:t>
      </w:r>
      <w:r w:rsidRPr="00FB2D7A">
        <w:rPr>
          <w:sz w:val="24"/>
          <w:szCs w:val="24"/>
        </w:rPr>
        <w:t xml:space="preserve"> respondents will make use of the online </w:t>
      </w:r>
      <w:r w:rsidR="00681AFB">
        <w:rPr>
          <w:sz w:val="24"/>
          <w:szCs w:val="24"/>
        </w:rPr>
        <w:t>version</w:t>
      </w:r>
      <w:r w:rsidR="00681AFB" w:rsidRPr="00FB2D7A">
        <w:rPr>
          <w:sz w:val="24"/>
          <w:szCs w:val="24"/>
        </w:rPr>
        <w:t xml:space="preserve"> </w:t>
      </w:r>
      <w:r w:rsidRPr="00FB2D7A">
        <w:rPr>
          <w:sz w:val="24"/>
          <w:szCs w:val="24"/>
        </w:rPr>
        <w:t xml:space="preserve">to complete the survey. </w:t>
      </w:r>
      <w:r w:rsidR="009D54BD">
        <w:rPr>
          <w:sz w:val="24"/>
          <w:szCs w:val="24"/>
        </w:rPr>
        <w:t xml:space="preserve">Several </w:t>
      </w:r>
      <w:r w:rsidRPr="00FB2D7A">
        <w:rPr>
          <w:sz w:val="24"/>
          <w:szCs w:val="24"/>
        </w:rPr>
        <w:t xml:space="preserve">web-based system functions will be in place to ease the burden of survey completion. RTI will utilize an intelligent log-in program for data collection, which will store agency information and responses, allowing for multi-session, non-sequential completion of the survey instrument. Since agencies, particularly the larger ones, </w:t>
      </w:r>
      <w:r w:rsidR="00681AFB">
        <w:rPr>
          <w:sz w:val="24"/>
          <w:szCs w:val="24"/>
        </w:rPr>
        <w:t>may need to send the survey to multiple people within the organization or use different databases to find data</w:t>
      </w:r>
      <w:r w:rsidRPr="00FB2D7A">
        <w:rPr>
          <w:sz w:val="24"/>
          <w:szCs w:val="24"/>
        </w:rPr>
        <w:t xml:space="preserve">, this will reduce the burden on them by facilitating data entry from different </w:t>
      </w:r>
      <w:r w:rsidR="001E01B4">
        <w:rPr>
          <w:sz w:val="24"/>
          <w:szCs w:val="24"/>
        </w:rPr>
        <w:t>people</w:t>
      </w:r>
      <w:r w:rsidRPr="00FB2D7A">
        <w:rPr>
          <w:sz w:val="24"/>
          <w:szCs w:val="24"/>
        </w:rPr>
        <w:t xml:space="preserve">. It will also reduce the burden by allowing them to </w:t>
      </w:r>
      <w:r w:rsidR="001E01B4">
        <w:rPr>
          <w:sz w:val="24"/>
          <w:szCs w:val="24"/>
        </w:rPr>
        <w:t>pause data</w:t>
      </w:r>
      <w:r w:rsidRPr="00FB2D7A">
        <w:rPr>
          <w:sz w:val="24"/>
          <w:szCs w:val="24"/>
        </w:rPr>
        <w:t xml:space="preserve"> entry pending confirmation of information from others in the agency. </w:t>
      </w:r>
    </w:p>
    <w:p w14:paraId="074B48CD" w14:textId="77777777" w:rsidR="009D54BD" w:rsidRPr="00FB2D7A" w:rsidRDefault="009D54BD" w:rsidP="00FB2D7A">
      <w:pPr>
        <w:rPr>
          <w:sz w:val="24"/>
          <w:szCs w:val="24"/>
        </w:rPr>
      </w:pPr>
    </w:p>
    <w:p w14:paraId="6E349478" w14:textId="328E43BB" w:rsidR="00FB2D7A" w:rsidRPr="00FB2D7A" w:rsidRDefault="001E01B4" w:rsidP="00FB2D7A">
      <w:pPr>
        <w:rPr>
          <w:sz w:val="24"/>
          <w:szCs w:val="24"/>
        </w:rPr>
      </w:pPr>
      <w:r>
        <w:rPr>
          <w:sz w:val="24"/>
          <w:szCs w:val="24"/>
        </w:rPr>
        <w:t>A</w:t>
      </w:r>
      <w:r w:rsidR="00FB2D7A" w:rsidRPr="00FB2D7A">
        <w:rPr>
          <w:sz w:val="24"/>
          <w:szCs w:val="24"/>
        </w:rPr>
        <w:t xml:space="preserve"> help desk will be staffed during normal business hours (east coast time) and will be available to respondents through a toll-free number. Respondents </w:t>
      </w:r>
      <w:r>
        <w:rPr>
          <w:sz w:val="24"/>
          <w:szCs w:val="24"/>
        </w:rPr>
        <w:t>may</w:t>
      </w:r>
      <w:r w:rsidRPr="00FB2D7A">
        <w:rPr>
          <w:sz w:val="24"/>
          <w:szCs w:val="24"/>
        </w:rPr>
        <w:t xml:space="preserve"> </w:t>
      </w:r>
      <w:r w:rsidR="00FB2D7A" w:rsidRPr="00FB2D7A">
        <w:rPr>
          <w:sz w:val="24"/>
          <w:szCs w:val="24"/>
        </w:rPr>
        <w:t>also receive a hard copy questionnaire, along with directions, by mail</w:t>
      </w:r>
      <w:r w:rsidR="009D54BD">
        <w:rPr>
          <w:sz w:val="24"/>
          <w:szCs w:val="24"/>
        </w:rPr>
        <w:t xml:space="preserve"> upon request</w:t>
      </w:r>
      <w:r w:rsidR="00FB2D7A" w:rsidRPr="00FB2D7A">
        <w:rPr>
          <w:sz w:val="24"/>
          <w:szCs w:val="24"/>
        </w:rPr>
        <w:t>. Additionally, respondents will be able to access a PDF version of the survey online, which can be printed. Once complete</w:t>
      </w:r>
      <w:r>
        <w:rPr>
          <w:sz w:val="24"/>
          <w:szCs w:val="24"/>
        </w:rPr>
        <w:t>d</w:t>
      </w:r>
      <w:r w:rsidR="00FB2D7A" w:rsidRPr="00FB2D7A">
        <w:rPr>
          <w:sz w:val="24"/>
          <w:szCs w:val="24"/>
        </w:rPr>
        <w:t xml:space="preserve">, this paper version of the survey can be used to enter data </w:t>
      </w:r>
      <w:r>
        <w:rPr>
          <w:sz w:val="24"/>
          <w:szCs w:val="24"/>
        </w:rPr>
        <w:t>into</w:t>
      </w:r>
      <w:r w:rsidRPr="00FB2D7A">
        <w:rPr>
          <w:sz w:val="24"/>
          <w:szCs w:val="24"/>
        </w:rPr>
        <w:t xml:space="preserve"> </w:t>
      </w:r>
      <w:r w:rsidR="00FB2D7A" w:rsidRPr="00FB2D7A">
        <w:rPr>
          <w:sz w:val="24"/>
          <w:szCs w:val="24"/>
        </w:rPr>
        <w:t xml:space="preserve">the web-based survey instrument or can be returned via email, fax, or mail. </w:t>
      </w:r>
    </w:p>
    <w:p w14:paraId="7230C20B" w14:textId="77777777" w:rsidR="00FB2D7A" w:rsidRPr="00FB2D7A" w:rsidRDefault="00FB2D7A" w:rsidP="00FB2D7A">
      <w:pPr>
        <w:rPr>
          <w:sz w:val="24"/>
          <w:szCs w:val="24"/>
        </w:rPr>
      </w:pPr>
    </w:p>
    <w:p w14:paraId="539102FA" w14:textId="2C9739B4" w:rsidR="00C11E4C" w:rsidRPr="00C11E4C" w:rsidRDefault="00C11E4C" w:rsidP="00C11E4C">
      <w:pPr>
        <w:rPr>
          <w:sz w:val="24"/>
          <w:szCs w:val="24"/>
        </w:rPr>
      </w:pPr>
      <w:r>
        <w:rPr>
          <w:sz w:val="24"/>
          <w:szCs w:val="24"/>
        </w:rPr>
        <w:t xml:space="preserve">Since some respondents will complete the CSLLEA using hard copy forms, the questionnaire has undergone a </w:t>
      </w:r>
      <w:r w:rsidRPr="00C11E4C">
        <w:rPr>
          <w:sz w:val="24"/>
          <w:szCs w:val="24"/>
        </w:rPr>
        <w:t xml:space="preserve">structured, standardized instrument </w:t>
      </w:r>
      <w:r>
        <w:rPr>
          <w:sz w:val="24"/>
          <w:szCs w:val="24"/>
        </w:rPr>
        <w:t>appraisal to evaluate</w:t>
      </w:r>
      <w:r w:rsidRPr="00C11E4C">
        <w:rPr>
          <w:sz w:val="24"/>
          <w:szCs w:val="24"/>
        </w:rPr>
        <w:t xml:space="preserve"> </w:t>
      </w:r>
      <w:r>
        <w:rPr>
          <w:sz w:val="24"/>
          <w:szCs w:val="24"/>
        </w:rPr>
        <w:t xml:space="preserve">the </w:t>
      </w:r>
      <w:r w:rsidRPr="00C11E4C">
        <w:rPr>
          <w:sz w:val="24"/>
          <w:szCs w:val="24"/>
        </w:rPr>
        <w:t xml:space="preserve">questions </w:t>
      </w:r>
      <w:r>
        <w:rPr>
          <w:sz w:val="24"/>
          <w:szCs w:val="24"/>
        </w:rPr>
        <w:t xml:space="preserve">and form layout relative </w:t>
      </w:r>
      <w:r w:rsidRPr="00C11E4C">
        <w:rPr>
          <w:sz w:val="24"/>
          <w:szCs w:val="24"/>
        </w:rPr>
        <w:t>to the tasks require</w:t>
      </w:r>
      <w:r w:rsidR="001E01B4">
        <w:rPr>
          <w:sz w:val="24"/>
          <w:szCs w:val="24"/>
        </w:rPr>
        <w:t>d</w:t>
      </w:r>
      <w:r w:rsidRPr="00C11E4C">
        <w:rPr>
          <w:sz w:val="24"/>
          <w:szCs w:val="24"/>
        </w:rPr>
        <w:t xml:space="preserve"> of respondents, specifically how respondents understand and r</w:t>
      </w:r>
      <w:r>
        <w:rPr>
          <w:sz w:val="24"/>
          <w:szCs w:val="24"/>
        </w:rPr>
        <w:t>espond to survey questions. One component of the review is to assess burden imposed by confusing terminology, unclear instructions, and difficulty accessing definitions and other information needed to answer questions.  Results from t</w:t>
      </w:r>
      <w:r w:rsidRPr="00C11E4C">
        <w:rPr>
          <w:sz w:val="24"/>
          <w:szCs w:val="24"/>
        </w:rPr>
        <w:t xml:space="preserve">his </w:t>
      </w:r>
      <w:r>
        <w:rPr>
          <w:sz w:val="24"/>
          <w:szCs w:val="24"/>
        </w:rPr>
        <w:t xml:space="preserve">appraisal have helped refine the current hard copy questionnaire </w:t>
      </w:r>
      <w:r w:rsidR="00CF4F90">
        <w:rPr>
          <w:sz w:val="24"/>
          <w:szCs w:val="24"/>
        </w:rPr>
        <w:t>and the cognitive interview protocol</w:t>
      </w:r>
      <w:r>
        <w:rPr>
          <w:sz w:val="24"/>
          <w:szCs w:val="24"/>
        </w:rPr>
        <w:t>.</w:t>
      </w:r>
    </w:p>
    <w:p w14:paraId="7D2C08B5" w14:textId="77777777" w:rsidR="00954E2E" w:rsidRPr="00394EE5" w:rsidRDefault="00954E2E" w:rsidP="00AE1D31">
      <w:pPr>
        <w:tabs>
          <w:tab w:val="left" w:pos="720"/>
          <w:tab w:val="left" w:pos="1440"/>
        </w:tabs>
        <w:rPr>
          <w:color w:val="000000"/>
          <w:sz w:val="24"/>
        </w:rPr>
      </w:pPr>
    </w:p>
    <w:p w14:paraId="1D570A6E" w14:textId="1BE73666" w:rsidR="002D4812" w:rsidRDefault="002D4812" w:rsidP="0074577E">
      <w:pPr>
        <w:pStyle w:val="ListParagraph"/>
        <w:numPr>
          <w:ilvl w:val="0"/>
          <w:numId w:val="6"/>
        </w:numPr>
        <w:shd w:val="solid" w:color="FFFFFF" w:fill="FFFFFF"/>
        <w:tabs>
          <w:tab w:val="clear" w:pos="840"/>
          <w:tab w:val="left" w:pos="720"/>
          <w:tab w:val="left" w:pos="1440"/>
        </w:tabs>
        <w:ind w:left="360" w:hanging="360"/>
        <w:rPr>
          <w:sz w:val="24"/>
          <w:szCs w:val="24"/>
        </w:rPr>
      </w:pPr>
      <w:r w:rsidRPr="0074577E">
        <w:rPr>
          <w:b/>
          <w:sz w:val="24"/>
          <w:szCs w:val="24"/>
        </w:rPr>
        <w:t>Consequences of Less Frequent Collection</w:t>
      </w:r>
      <w:r w:rsidR="0074577E">
        <w:rPr>
          <w:sz w:val="24"/>
          <w:szCs w:val="24"/>
        </w:rPr>
        <w:t xml:space="preserve"> </w:t>
      </w:r>
    </w:p>
    <w:p w14:paraId="312963D2" w14:textId="77777777" w:rsidR="0074577E" w:rsidRPr="0074577E" w:rsidRDefault="0074577E" w:rsidP="0074577E">
      <w:pPr>
        <w:pStyle w:val="ListParagraph"/>
        <w:shd w:val="solid" w:color="FFFFFF" w:fill="FFFFFF"/>
        <w:tabs>
          <w:tab w:val="left" w:pos="720"/>
          <w:tab w:val="left" w:pos="1440"/>
        </w:tabs>
        <w:ind w:left="360"/>
        <w:rPr>
          <w:sz w:val="24"/>
          <w:szCs w:val="24"/>
        </w:rPr>
      </w:pPr>
    </w:p>
    <w:p w14:paraId="2FBD9E66" w14:textId="4DCB4C69" w:rsidR="0074577E" w:rsidRDefault="0074577E" w:rsidP="0074577E">
      <w:pPr>
        <w:rPr>
          <w:sz w:val="24"/>
          <w:szCs w:val="24"/>
        </w:rPr>
      </w:pPr>
      <w:r w:rsidRPr="0074577E">
        <w:rPr>
          <w:sz w:val="24"/>
          <w:szCs w:val="24"/>
        </w:rPr>
        <w:t xml:space="preserve">Based in part on recommendations from the </w:t>
      </w:r>
      <w:r w:rsidR="008805E9">
        <w:rPr>
          <w:sz w:val="24"/>
          <w:szCs w:val="24"/>
        </w:rPr>
        <w:t>National Research Council (</w:t>
      </w:r>
      <w:r w:rsidRPr="0074577E">
        <w:rPr>
          <w:sz w:val="24"/>
          <w:szCs w:val="24"/>
        </w:rPr>
        <w:t>NRC</w:t>
      </w:r>
      <w:r w:rsidR="008805E9">
        <w:rPr>
          <w:sz w:val="24"/>
          <w:szCs w:val="24"/>
        </w:rPr>
        <w:t>)</w:t>
      </w:r>
      <w:r w:rsidRPr="0074577E">
        <w:rPr>
          <w:sz w:val="24"/>
          <w:szCs w:val="24"/>
        </w:rPr>
        <w:t xml:space="preserve">, BJS has determined that it is necessary to establish a more regular schedule of future surveys of </w:t>
      </w:r>
      <w:r>
        <w:rPr>
          <w:sz w:val="24"/>
          <w:szCs w:val="24"/>
        </w:rPr>
        <w:t>law enforcement agencies</w:t>
      </w:r>
      <w:r w:rsidRPr="0074577E">
        <w:rPr>
          <w:sz w:val="24"/>
          <w:szCs w:val="24"/>
        </w:rPr>
        <w:t xml:space="preserve">. To this end, a significant portion of BJS’s law enforcement data collection efforts have been combined into the Law Enforcement Core Statistics (LECS), which is comprised of the CSLLEA, LEMAS core, </w:t>
      </w:r>
      <w:r>
        <w:rPr>
          <w:sz w:val="24"/>
          <w:szCs w:val="24"/>
        </w:rPr>
        <w:t xml:space="preserve">and </w:t>
      </w:r>
      <w:r w:rsidRPr="0074577E">
        <w:rPr>
          <w:sz w:val="24"/>
          <w:szCs w:val="24"/>
        </w:rPr>
        <w:t>LEMAS topical supplements</w:t>
      </w:r>
      <w:r>
        <w:rPr>
          <w:sz w:val="24"/>
          <w:szCs w:val="24"/>
        </w:rPr>
        <w:t xml:space="preserve">. </w:t>
      </w:r>
      <w:r w:rsidRPr="0074577E">
        <w:rPr>
          <w:sz w:val="24"/>
          <w:szCs w:val="24"/>
        </w:rPr>
        <w:t xml:space="preserve">These data collection efforts will now share a common alternating schedule that will serve to reduce burden and increase the timeliness of data collection. </w:t>
      </w:r>
      <w:r w:rsidR="001E01B4">
        <w:rPr>
          <w:sz w:val="24"/>
          <w:szCs w:val="24"/>
        </w:rPr>
        <w:t>O</w:t>
      </w:r>
      <w:r>
        <w:rPr>
          <w:sz w:val="24"/>
          <w:szCs w:val="24"/>
        </w:rPr>
        <w:t xml:space="preserve">ther BJS law enforcement surveys that use the CSLLEA frame have been incorporated into the schedule in order to </w:t>
      </w:r>
      <w:r w:rsidR="00320E4A">
        <w:rPr>
          <w:sz w:val="24"/>
          <w:szCs w:val="24"/>
        </w:rPr>
        <w:t xml:space="preserve">minimize burden on law enforcement agencies that are invited to participate in </w:t>
      </w:r>
      <w:r w:rsidR="001E01B4">
        <w:rPr>
          <w:sz w:val="24"/>
          <w:szCs w:val="24"/>
        </w:rPr>
        <w:t>those surveys</w:t>
      </w:r>
      <w:r w:rsidR="00320E4A">
        <w:rPr>
          <w:sz w:val="24"/>
          <w:szCs w:val="24"/>
        </w:rPr>
        <w:t xml:space="preserve">. </w:t>
      </w:r>
      <w:r w:rsidRPr="00E87F2D">
        <w:rPr>
          <w:sz w:val="24"/>
          <w:szCs w:val="24"/>
        </w:rPr>
        <w:t xml:space="preserve">Table </w:t>
      </w:r>
      <w:r w:rsidR="00E87F2D" w:rsidRPr="00657270">
        <w:rPr>
          <w:sz w:val="24"/>
          <w:szCs w:val="24"/>
        </w:rPr>
        <w:t>1</w:t>
      </w:r>
      <w:r w:rsidRPr="00E87F2D">
        <w:rPr>
          <w:sz w:val="24"/>
          <w:szCs w:val="24"/>
        </w:rPr>
        <w:t xml:space="preserve"> shows</w:t>
      </w:r>
      <w:r w:rsidRPr="0074577E">
        <w:rPr>
          <w:sz w:val="24"/>
          <w:szCs w:val="24"/>
        </w:rPr>
        <w:t xml:space="preserve"> the data col</w:t>
      </w:r>
      <w:r w:rsidR="00320E4A">
        <w:rPr>
          <w:sz w:val="24"/>
          <w:szCs w:val="24"/>
        </w:rPr>
        <w:t xml:space="preserve">lection schedule for these </w:t>
      </w:r>
      <w:r w:rsidRPr="0074577E">
        <w:rPr>
          <w:sz w:val="24"/>
          <w:szCs w:val="24"/>
        </w:rPr>
        <w:t xml:space="preserve">projects. </w:t>
      </w:r>
    </w:p>
    <w:p w14:paraId="046E50EC" w14:textId="77777777" w:rsidR="0074577E" w:rsidRDefault="0074577E" w:rsidP="0074577E">
      <w:pPr>
        <w:ind w:left="360"/>
        <w:rPr>
          <w:sz w:val="24"/>
          <w:szCs w:val="24"/>
        </w:rPr>
      </w:pPr>
    </w:p>
    <w:p w14:paraId="37E67B80" w14:textId="2F29B077" w:rsidR="0074577E" w:rsidRPr="00657270" w:rsidRDefault="0074577E" w:rsidP="00745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657270">
        <w:rPr>
          <w:b/>
          <w:sz w:val="24"/>
          <w:szCs w:val="24"/>
        </w:rPr>
        <w:t xml:space="preserve">Table </w:t>
      </w:r>
      <w:r w:rsidR="00E87F2D" w:rsidRPr="00657270">
        <w:rPr>
          <w:b/>
          <w:sz w:val="24"/>
          <w:szCs w:val="24"/>
        </w:rPr>
        <w:t>1</w:t>
      </w:r>
      <w:r w:rsidRPr="00657270">
        <w:rPr>
          <w:b/>
          <w:sz w:val="24"/>
          <w:szCs w:val="24"/>
        </w:rPr>
        <w:t>. Data collection schedule for the Law Enforcement Statistics Unit, 2018-2024</w:t>
      </w:r>
    </w:p>
    <w:tbl>
      <w:tblPr>
        <w:tblStyle w:val="TableGrid"/>
        <w:tblW w:w="0" w:type="auto"/>
        <w:tblLook w:val="04A0" w:firstRow="1" w:lastRow="0" w:firstColumn="1" w:lastColumn="0" w:noHBand="0" w:noVBand="1"/>
      </w:tblPr>
      <w:tblGrid>
        <w:gridCol w:w="6462"/>
        <w:gridCol w:w="2888"/>
      </w:tblGrid>
      <w:tr w:rsidR="0074577E" w:rsidRPr="00DD0A37" w14:paraId="39152D45" w14:textId="77777777" w:rsidTr="00255EEB">
        <w:tc>
          <w:tcPr>
            <w:tcW w:w="6462" w:type="dxa"/>
            <w:tcBorders>
              <w:top w:val="single" w:sz="4" w:space="0" w:color="auto"/>
              <w:left w:val="nil"/>
              <w:bottom w:val="single" w:sz="4" w:space="0" w:color="auto"/>
              <w:right w:val="nil"/>
            </w:tcBorders>
          </w:tcPr>
          <w:p w14:paraId="201CA835" w14:textId="77777777" w:rsidR="0074577E" w:rsidRPr="00657270" w:rsidRDefault="0074577E" w:rsidP="00657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57270">
              <w:rPr>
                <w:sz w:val="24"/>
                <w:szCs w:val="24"/>
              </w:rPr>
              <w:t>Collection</w:t>
            </w:r>
          </w:p>
        </w:tc>
        <w:tc>
          <w:tcPr>
            <w:tcW w:w="2888" w:type="dxa"/>
            <w:tcBorders>
              <w:top w:val="single" w:sz="4" w:space="0" w:color="auto"/>
              <w:left w:val="nil"/>
              <w:bottom w:val="single" w:sz="4" w:space="0" w:color="auto"/>
              <w:right w:val="nil"/>
            </w:tcBorders>
          </w:tcPr>
          <w:p w14:paraId="066DB068" w14:textId="77777777" w:rsidR="0074577E" w:rsidRPr="00657270" w:rsidRDefault="0074577E" w:rsidP="00255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657270">
              <w:rPr>
                <w:sz w:val="24"/>
                <w:szCs w:val="24"/>
              </w:rPr>
              <w:t>Start of Data Collection</w:t>
            </w:r>
          </w:p>
        </w:tc>
      </w:tr>
      <w:tr w:rsidR="0074577E" w:rsidRPr="00DD0A37" w14:paraId="37FE13FE" w14:textId="77777777" w:rsidTr="00255EEB">
        <w:tc>
          <w:tcPr>
            <w:tcW w:w="6462" w:type="dxa"/>
            <w:tcBorders>
              <w:top w:val="nil"/>
              <w:left w:val="nil"/>
              <w:bottom w:val="nil"/>
              <w:right w:val="nil"/>
            </w:tcBorders>
          </w:tcPr>
          <w:p w14:paraId="521FE2BD" w14:textId="4B719C50" w:rsidR="0074577E" w:rsidRPr="00657270" w:rsidRDefault="0074577E" w:rsidP="00745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57270">
              <w:rPr>
                <w:sz w:val="24"/>
                <w:szCs w:val="24"/>
              </w:rPr>
              <w:t xml:space="preserve">2018 CSLLEA </w:t>
            </w:r>
          </w:p>
        </w:tc>
        <w:tc>
          <w:tcPr>
            <w:tcW w:w="2888" w:type="dxa"/>
            <w:tcBorders>
              <w:top w:val="nil"/>
              <w:left w:val="nil"/>
              <w:bottom w:val="nil"/>
              <w:right w:val="nil"/>
            </w:tcBorders>
          </w:tcPr>
          <w:p w14:paraId="2C4A4321" w14:textId="77777777" w:rsidR="0074577E" w:rsidRPr="00657270" w:rsidRDefault="0074577E" w:rsidP="00255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657270">
              <w:rPr>
                <w:sz w:val="24"/>
                <w:szCs w:val="24"/>
              </w:rPr>
              <w:t>August 2018</w:t>
            </w:r>
          </w:p>
        </w:tc>
      </w:tr>
      <w:tr w:rsidR="0074577E" w:rsidRPr="00DD0A37" w14:paraId="2596B15A" w14:textId="77777777" w:rsidTr="00255EEB">
        <w:tc>
          <w:tcPr>
            <w:tcW w:w="6462" w:type="dxa"/>
            <w:tcBorders>
              <w:top w:val="nil"/>
              <w:left w:val="nil"/>
              <w:bottom w:val="nil"/>
              <w:right w:val="nil"/>
            </w:tcBorders>
          </w:tcPr>
          <w:p w14:paraId="65E4C598" w14:textId="47FDF221" w:rsidR="0074577E" w:rsidRPr="00657270" w:rsidRDefault="0074577E" w:rsidP="00745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57270">
              <w:rPr>
                <w:sz w:val="24"/>
                <w:szCs w:val="24"/>
              </w:rPr>
              <w:t>SLEPS</w:t>
            </w:r>
          </w:p>
        </w:tc>
        <w:tc>
          <w:tcPr>
            <w:tcW w:w="2888" w:type="dxa"/>
            <w:tcBorders>
              <w:top w:val="nil"/>
              <w:left w:val="nil"/>
              <w:bottom w:val="nil"/>
              <w:right w:val="nil"/>
            </w:tcBorders>
          </w:tcPr>
          <w:p w14:paraId="147D4A43" w14:textId="743EBBAB" w:rsidR="0074577E" w:rsidRPr="00657270" w:rsidRDefault="0074577E" w:rsidP="00255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657270">
              <w:rPr>
                <w:sz w:val="24"/>
                <w:szCs w:val="24"/>
              </w:rPr>
              <w:t>June 2019</w:t>
            </w:r>
          </w:p>
        </w:tc>
      </w:tr>
      <w:tr w:rsidR="0074577E" w:rsidRPr="00DD0A37" w14:paraId="110F8199" w14:textId="77777777" w:rsidTr="00255EEB">
        <w:tc>
          <w:tcPr>
            <w:tcW w:w="6462" w:type="dxa"/>
            <w:tcBorders>
              <w:top w:val="nil"/>
              <w:left w:val="nil"/>
              <w:bottom w:val="nil"/>
              <w:right w:val="nil"/>
            </w:tcBorders>
          </w:tcPr>
          <w:p w14:paraId="2951CA4C" w14:textId="0B3F4265" w:rsidR="0074577E" w:rsidRPr="00657270" w:rsidRDefault="0074577E" w:rsidP="00745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57270">
              <w:rPr>
                <w:sz w:val="24"/>
                <w:szCs w:val="24"/>
              </w:rPr>
              <w:t xml:space="preserve">2020 LEMAS </w:t>
            </w:r>
            <w:r w:rsidR="00D11542">
              <w:rPr>
                <w:sz w:val="24"/>
                <w:szCs w:val="24"/>
              </w:rPr>
              <w:t>C</w:t>
            </w:r>
            <w:r w:rsidRPr="00657270">
              <w:rPr>
                <w:sz w:val="24"/>
                <w:szCs w:val="24"/>
              </w:rPr>
              <w:t>ore</w:t>
            </w:r>
          </w:p>
        </w:tc>
        <w:tc>
          <w:tcPr>
            <w:tcW w:w="2888" w:type="dxa"/>
            <w:tcBorders>
              <w:top w:val="nil"/>
              <w:left w:val="nil"/>
              <w:bottom w:val="nil"/>
              <w:right w:val="nil"/>
            </w:tcBorders>
          </w:tcPr>
          <w:p w14:paraId="41CA82FA" w14:textId="5EA7C9B7" w:rsidR="0074577E" w:rsidRPr="00657270" w:rsidRDefault="0074577E" w:rsidP="00255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657270">
              <w:rPr>
                <w:sz w:val="24"/>
                <w:szCs w:val="24"/>
              </w:rPr>
              <w:t>August 2020</w:t>
            </w:r>
          </w:p>
        </w:tc>
      </w:tr>
      <w:tr w:rsidR="0074577E" w:rsidRPr="00DD0A37" w14:paraId="7608105D" w14:textId="77777777" w:rsidTr="00255EEB">
        <w:tc>
          <w:tcPr>
            <w:tcW w:w="6462" w:type="dxa"/>
            <w:tcBorders>
              <w:top w:val="nil"/>
              <w:left w:val="nil"/>
              <w:bottom w:val="nil"/>
              <w:right w:val="nil"/>
            </w:tcBorders>
          </w:tcPr>
          <w:p w14:paraId="1AEB76B8" w14:textId="660149EB" w:rsidR="0074577E" w:rsidRPr="00657270" w:rsidRDefault="0074577E" w:rsidP="00745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57270">
              <w:rPr>
                <w:sz w:val="24"/>
                <w:szCs w:val="24"/>
              </w:rPr>
              <w:t>2020 SCLEA</w:t>
            </w:r>
          </w:p>
        </w:tc>
        <w:tc>
          <w:tcPr>
            <w:tcW w:w="2888" w:type="dxa"/>
            <w:tcBorders>
              <w:top w:val="nil"/>
              <w:left w:val="nil"/>
              <w:bottom w:val="nil"/>
              <w:right w:val="nil"/>
            </w:tcBorders>
          </w:tcPr>
          <w:p w14:paraId="563623CB" w14:textId="77777777" w:rsidR="0074577E" w:rsidRPr="00657270" w:rsidRDefault="0074577E" w:rsidP="00255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657270">
              <w:rPr>
                <w:sz w:val="24"/>
                <w:szCs w:val="24"/>
              </w:rPr>
              <w:t>August 2020</w:t>
            </w:r>
          </w:p>
        </w:tc>
      </w:tr>
      <w:tr w:rsidR="0074577E" w:rsidRPr="00DD0A37" w14:paraId="0004CFCE" w14:textId="77777777" w:rsidTr="00255EEB">
        <w:tc>
          <w:tcPr>
            <w:tcW w:w="6462" w:type="dxa"/>
            <w:tcBorders>
              <w:top w:val="nil"/>
              <w:left w:val="nil"/>
              <w:bottom w:val="nil"/>
              <w:right w:val="nil"/>
            </w:tcBorders>
          </w:tcPr>
          <w:p w14:paraId="2E68B606" w14:textId="6D639FAB" w:rsidR="0074577E" w:rsidRPr="00657270" w:rsidRDefault="0074577E" w:rsidP="00745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57270">
              <w:rPr>
                <w:sz w:val="24"/>
                <w:szCs w:val="24"/>
              </w:rPr>
              <w:t>202</w:t>
            </w:r>
            <w:r w:rsidR="008805E9" w:rsidRPr="00657270">
              <w:rPr>
                <w:sz w:val="24"/>
                <w:szCs w:val="24"/>
              </w:rPr>
              <w:t>0</w:t>
            </w:r>
            <w:r w:rsidRPr="00657270">
              <w:rPr>
                <w:sz w:val="24"/>
                <w:szCs w:val="24"/>
              </w:rPr>
              <w:t xml:space="preserve"> CPFFCL </w:t>
            </w:r>
          </w:p>
        </w:tc>
        <w:tc>
          <w:tcPr>
            <w:tcW w:w="2888" w:type="dxa"/>
            <w:tcBorders>
              <w:top w:val="nil"/>
              <w:left w:val="nil"/>
              <w:bottom w:val="nil"/>
              <w:right w:val="nil"/>
            </w:tcBorders>
          </w:tcPr>
          <w:p w14:paraId="021BCFF0" w14:textId="427C4947" w:rsidR="0074577E" w:rsidRPr="00657270" w:rsidRDefault="0074577E" w:rsidP="00255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657270">
              <w:rPr>
                <w:sz w:val="24"/>
                <w:szCs w:val="24"/>
              </w:rPr>
              <w:t>August 202</w:t>
            </w:r>
            <w:r w:rsidR="008805E9" w:rsidRPr="00657270">
              <w:rPr>
                <w:sz w:val="24"/>
                <w:szCs w:val="24"/>
              </w:rPr>
              <w:t>0</w:t>
            </w:r>
          </w:p>
        </w:tc>
      </w:tr>
      <w:tr w:rsidR="008805E9" w:rsidRPr="00DD0A37" w14:paraId="04BBD1AB" w14:textId="77777777" w:rsidTr="00255EEB">
        <w:tc>
          <w:tcPr>
            <w:tcW w:w="6462" w:type="dxa"/>
            <w:tcBorders>
              <w:top w:val="nil"/>
              <w:left w:val="nil"/>
              <w:bottom w:val="nil"/>
              <w:right w:val="nil"/>
            </w:tcBorders>
          </w:tcPr>
          <w:p w14:paraId="071297EA" w14:textId="346740E6" w:rsidR="008805E9" w:rsidRPr="00657270" w:rsidRDefault="008805E9" w:rsidP="00745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57270">
              <w:rPr>
                <w:sz w:val="24"/>
                <w:szCs w:val="24"/>
              </w:rPr>
              <w:t>2021 LEMAS Supplement (topic TBD)</w:t>
            </w:r>
          </w:p>
        </w:tc>
        <w:tc>
          <w:tcPr>
            <w:tcW w:w="2888" w:type="dxa"/>
            <w:tcBorders>
              <w:top w:val="nil"/>
              <w:left w:val="nil"/>
              <w:bottom w:val="nil"/>
              <w:right w:val="nil"/>
            </w:tcBorders>
          </w:tcPr>
          <w:p w14:paraId="6F5AAD6B" w14:textId="78317EBC" w:rsidR="008805E9" w:rsidRPr="00657270" w:rsidRDefault="008805E9" w:rsidP="00255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657270">
              <w:rPr>
                <w:sz w:val="24"/>
                <w:szCs w:val="24"/>
              </w:rPr>
              <w:t>August 2021</w:t>
            </w:r>
          </w:p>
        </w:tc>
      </w:tr>
      <w:tr w:rsidR="0074577E" w:rsidRPr="00DD0A37" w14:paraId="6FDCAB8E" w14:textId="77777777" w:rsidTr="00255EEB">
        <w:tc>
          <w:tcPr>
            <w:tcW w:w="6462" w:type="dxa"/>
            <w:tcBorders>
              <w:top w:val="nil"/>
              <w:left w:val="nil"/>
              <w:bottom w:val="nil"/>
              <w:right w:val="nil"/>
            </w:tcBorders>
          </w:tcPr>
          <w:p w14:paraId="53A4CC5B" w14:textId="3D35AB47" w:rsidR="0074577E" w:rsidRPr="00657270" w:rsidRDefault="0074577E" w:rsidP="00745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57270">
              <w:rPr>
                <w:sz w:val="24"/>
                <w:szCs w:val="24"/>
              </w:rPr>
              <w:t xml:space="preserve">2022 CSLLEA </w:t>
            </w:r>
          </w:p>
        </w:tc>
        <w:tc>
          <w:tcPr>
            <w:tcW w:w="2888" w:type="dxa"/>
            <w:tcBorders>
              <w:top w:val="nil"/>
              <w:left w:val="nil"/>
              <w:bottom w:val="nil"/>
              <w:right w:val="nil"/>
            </w:tcBorders>
          </w:tcPr>
          <w:p w14:paraId="7440AA92" w14:textId="77777777" w:rsidR="0074577E" w:rsidRPr="00657270" w:rsidRDefault="0074577E" w:rsidP="00255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657270">
              <w:rPr>
                <w:sz w:val="24"/>
                <w:szCs w:val="24"/>
              </w:rPr>
              <w:t>August 2022</w:t>
            </w:r>
          </w:p>
        </w:tc>
      </w:tr>
      <w:tr w:rsidR="0074577E" w:rsidRPr="00DD0A37" w14:paraId="23C5560C" w14:textId="77777777" w:rsidTr="0074577E">
        <w:tc>
          <w:tcPr>
            <w:tcW w:w="6462" w:type="dxa"/>
            <w:tcBorders>
              <w:top w:val="nil"/>
              <w:left w:val="nil"/>
              <w:bottom w:val="nil"/>
              <w:right w:val="nil"/>
            </w:tcBorders>
          </w:tcPr>
          <w:p w14:paraId="7FAE64FD" w14:textId="77777777" w:rsidR="0074577E" w:rsidRPr="00657270" w:rsidRDefault="0074577E" w:rsidP="00255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57270">
              <w:rPr>
                <w:sz w:val="24"/>
                <w:szCs w:val="24"/>
              </w:rPr>
              <w:t>2023 LEMAS Supplement (TBD)</w:t>
            </w:r>
          </w:p>
        </w:tc>
        <w:tc>
          <w:tcPr>
            <w:tcW w:w="2888" w:type="dxa"/>
            <w:tcBorders>
              <w:top w:val="nil"/>
              <w:left w:val="nil"/>
              <w:bottom w:val="nil"/>
              <w:right w:val="nil"/>
            </w:tcBorders>
          </w:tcPr>
          <w:p w14:paraId="6065283B" w14:textId="77777777" w:rsidR="0074577E" w:rsidRPr="00657270" w:rsidRDefault="0074577E" w:rsidP="00255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657270">
              <w:rPr>
                <w:sz w:val="24"/>
                <w:szCs w:val="24"/>
              </w:rPr>
              <w:t>August 2023</w:t>
            </w:r>
          </w:p>
        </w:tc>
      </w:tr>
      <w:tr w:rsidR="0074577E" w:rsidRPr="00DD0A37" w14:paraId="6F6C5BFB" w14:textId="77777777" w:rsidTr="00255EEB">
        <w:tc>
          <w:tcPr>
            <w:tcW w:w="6462" w:type="dxa"/>
            <w:tcBorders>
              <w:top w:val="nil"/>
              <w:left w:val="nil"/>
              <w:bottom w:val="single" w:sz="4" w:space="0" w:color="auto"/>
              <w:right w:val="nil"/>
            </w:tcBorders>
          </w:tcPr>
          <w:p w14:paraId="5986546D" w14:textId="2B11AA37" w:rsidR="0074577E" w:rsidRPr="00657270" w:rsidRDefault="0074577E" w:rsidP="00255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57270">
              <w:rPr>
                <w:sz w:val="24"/>
                <w:szCs w:val="24"/>
              </w:rPr>
              <w:t>2024 LEMAS core</w:t>
            </w:r>
          </w:p>
        </w:tc>
        <w:tc>
          <w:tcPr>
            <w:tcW w:w="2888" w:type="dxa"/>
            <w:tcBorders>
              <w:top w:val="nil"/>
              <w:left w:val="nil"/>
              <w:bottom w:val="single" w:sz="4" w:space="0" w:color="auto"/>
              <w:right w:val="nil"/>
            </w:tcBorders>
          </w:tcPr>
          <w:p w14:paraId="1161C918" w14:textId="5FBBC789" w:rsidR="0074577E" w:rsidRPr="00657270" w:rsidRDefault="0074577E" w:rsidP="00255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657270">
              <w:rPr>
                <w:sz w:val="24"/>
                <w:szCs w:val="24"/>
              </w:rPr>
              <w:t>August 2024</w:t>
            </w:r>
          </w:p>
        </w:tc>
      </w:tr>
    </w:tbl>
    <w:p w14:paraId="172314ED" w14:textId="77777777" w:rsidR="0074577E" w:rsidRPr="0074577E" w:rsidRDefault="0074577E" w:rsidP="0074577E">
      <w:pPr>
        <w:ind w:left="360"/>
        <w:rPr>
          <w:sz w:val="24"/>
          <w:szCs w:val="24"/>
        </w:rPr>
      </w:pPr>
    </w:p>
    <w:p w14:paraId="776D3A02" w14:textId="4272B1EE" w:rsidR="0074577E" w:rsidRPr="0074577E" w:rsidRDefault="0074577E" w:rsidP="00745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4577E">
        <w:rPr>
          <w:sz w:val="24"/>
          <w:szCs w:val="24"/>
        </w:rPr>
        <w:t xml:space="preserve">Conducting multiple surveys in a single year may lead to lower response rates and result in less precise and biased estimates for key survey items. Under the LECS model and </w:t>
      </w:r>
      <w:r w:rsidR="00133823">
        <w:rPr>
          <w:sz w:val="24"/>
          <w:szCs w:val="24"/>
        </w:rPr>
        <w:t>taking into consideration other key BJS collections</w:t>
      </w:r>
      <w:r w:rsidRPr="0074577E">
        <w:rPr>
          <w:sz w:val="24"/>
          <w:szCs w:val="24"/>
        </w:rPr>
        <w:t xml:space="preserve">, only one </w:t>
      </w:r>
      <w:r w:rsidR="00133823">
        <w:rPr>
          <w:sz w:val="24"/>
          <w:szCs w:val="24"/>
        </w:rPr>
        <w:t xml:space="preserve">survey administration using the same </w:t>
      </w:r>
      <w:r w:rsidR="00E01BBA">
        <w:rPr>
          <w:sz w:val="24"/>
          <w:szCs w:val="24"/>
        </w:rPr>
        <w:t xml:space="preserve">sample </w:t>
      </w:r>
      <w:r w:rsidRPr="0074577E">
        <w:rPr>
          <w:sz w:val="24"/>
          <w:szCs w:val="24"/>
        </w:rPr>
        <w:t>will be administered per year</w:t>
      </w:r>
      <w:r w:rsidR="00133823">
        <w:rPr>
          <w:sz w:val="24"/>
          <w:szCs w:val="24"/>
        </w:rPr>
        <w:t xml:space="preserve">. </w:t>
      </w:r>
      <w:r w:rsidR="001E01B4">
        <w:rPr>
          <w:sz w:val="24"/>
          <w:szCs w:val="24"/>
        </w:rPr>
        <w:t>F</w:t>
      </w:r>
      <w:r w:rsidR="00D11542">
        <w:rPr>
          <w:sz w:val="24"/>
          <w:szCs w:val="24"/>
        </w:rPr>
        <w:t>or example, the 2020 LEMAS C</w:t>
      </w:r>
      <w:r w:rsidR="001E01B4">
        <w:rPr>
          <w:sz w:val="24"/>
          <w:szCs w:val="24"/>
        </w:rPr>
        <w:t xml:space="preserve">ore and 2020 SCLEA use different sampling frames, therefore, the same law enforcement agencies will not be </w:t>
      </w:r>
      <w:r w:rsidR="00DF4D22">
        <w:rPr>
          <w:sz w:val="24"/>
          <w:szCs w:val="24"/>
        </w:rPr>
        <w:t xml:space="preserve">in </w:t>
      </w:r>
      <w:r w:rsidR="001E01B4">
        <w:rPr>
          <w:sz w:val="24"/>
          <w:szCs w:val="24"/>
        </w:rPr>
        <w:t xml:space="preserve">these collections. While there are large agencies in the 2020 LEMAS </w:t>
      </w:r>
      <w:r w:rsidR="00D11542">
        <w:rPr>
          <w:sz w:val="24"/>
          <w:szCs w:val="24"/>
        </w:rPr>
        <w:t>C</w:t>
      </w:r>
      <w:r w:rsidR="001E01B4">
        <w:rPr>
          <w:sz w:val="24"/>
          <w:szCs w:val="24"/>
        </w:rPr>
        <w:t xml:space="preserve">ore that have crime labs </w:t>
      </w:r>
      <w:r w:rsidR="00DF4D22">
        <w:rPr>
          <w:sz w:val="24"/>
          <w:szCs w:val="24"/>
        </w:rPr>
        <w:t>that</w:t>
      </w:r>
      <w:r w:rsidR="001E01B4">
        <w:rPr>
          <w:sz w:val="24"/>
          <w:szCs w:val="24"/>
        </w:rPr>
        <w:t xml:space="preserve"> will be in the 2020 CPFFCL, the point of contact for the two surveys do not overlap. The CPFFCL survey is sent to lab administrators while the LEMAS </w:t>
      </w:r>
      <w:r w:rsidR="00D11542">
        <w:rPr>
          <w:sz w:val="24"/>
          <w:szCs w:val="24"/>
        </w:rPr>
        <w:t>C</w:t>
      </w:r>
      <w:r w:rsidR="001E01B4">
        <w:rPr>
          <w:sz w:val="24"/>
          <w:szCs w:val="24"/>
        </w:rPr>
        <w:t xml:space="preserve">ore survey is sent to the chief executive. The personnel filling in the surveys will not overlap. </w:t>
      </w:r>
      <w:r w:rsidR="00133823">
        <w:rPr>
          <w:sz w:val="24"/>
          <w:szCs w:val="24"/>
        </w:rPr>
        <w:t xml:space="preserve">The goal is </w:t>
      </w:r>
      <w:r w:rsidRPr="0074577E">
        <w:rPr>
          <w:sz w:val="24"/>
          <w:szCs w:val="24"/>
        </w:rPr>
        <w:t xml:space="preserve">to reduce burden on agencies that will be selected with certainty for each collection. Furthermore, the proposed data collection schedule will allow for reliable indicators of officer staffing, and changes in staffing, every two years. </w:t>
      </w:r>
    </w:p>
    <w:p w14:paraId="2F37EF69" w14:textId="77777777" w:rsidR="002D4812" w:rsidRPr="0074577E" w:rsidRDefault="002D4812" w:rsidP="00F542AF">
      <w:pPr>
        <w:tabs>
          <w:tab w:val="left" w:pos="720"/>
          <w:tab w:val="left" w:pos="1440"/>
        </w:tabs>
        <w:ind w:left="720"/>
        <w:rPr>
          <w:color w:val="000000"/>
          <w:sz w:val="24"/>
          <w:szCs w:val="24"/>
        </w:rPr>
      </w:pPr>
    </w:p>
    <w:p w14:paraId="0FE853A2" w14:textId="77777777" w:rsidR="00712E81" w:rsidRPr="0074577E" w:rsidRDefault="002D4812" w:rsidP="00EC49C2">
      <w:pPr>
        <w:numPr>
          <w:ilvl w:val="0"/>
          <w:numId w:val="7"/>
        </w:numPr>
        <w:shd w:val="solid" w:color="FFFFFF" w:fill="FFFFFF"/>
        <w:tabs>
          <w:tab w:val="left" w:pos="720"/>
        </w:tabs>
        <w:ind w:left="0" w:firstLine="0"/>
        <w:rPr>
          <w:b/>
          <w:sz w:val="24"/>
          <w:szCs w:val="24"/>
        </w:rPr>
      </w:pPr>
      <w:r w:rsidRPr="0074577E">
        <w:rPr>
          <w:b/>
          <w:sz w:val="24"/>
          <w:szCs w:val="24"/>
        </w:rPr>
        <w:t>Special Circumstances</w:t>
      </w:r>
      <w:r w:rsidR="00F06C4C" w:rsidRPr="0074577E">
        <w:rPr>
          <w:b/>
          <w:sz w:val="24"/>
          <w:szCs w:val="24"/>
        </w:rPr>
        <w:t xml:space="preserve"> Influencing Collection</w:t>
      </w:r>
    </w:p>
    <w:p w14:paraId="5EDD2213" w14:textId="77777777" w:rsidR="00F830A8" w:rsidRDefault="00F830A8" w:rsidP="00F830A8">
      <w:pPr>
        <w:shd w:val="solid" w:color="FFFFFF" w:fill="FFFFFF"/>
        <w:tabs>
          <w:tab w:val="left" w:pos="720"/>
        </w:tabs>
        <w:rPr>
          <w:sz w:val="24"/>
          <w:szCs w:val="24"/>
        </w:rPr>
      </w:pPr>
    </w:p>
    <w:p w14:paraId="647123E4" w14:textId="77777777" w:rsidR="00F830A8" w:rsidRPr="00394EE5" w:rsidRDefault="00F830A8" w:rsidP="00F830A8">
      <w:pPr>
        <w:shd w:val="solid" w:color="FFFFFF" w:fill="FFFFFF"/>
        <w:tabs>
          <w:tab w:val="left" w:pos="720"/>
        </w:tabs>
        <w:rPr>
          <w:sz w:val="24"/>
          <w:szCs w:val="24"/>
        </w:rPr>
      </w:pPr>
      <w:r>
        <w:rPr>
          <w:sz w:val="24"/>
          <w:szCs w:val="24"/>
        </w:rPr>
        <w:t>No special circumstances have been identified for this project.</w:t>
      </w:r>
    </w:p>
    <w:p w14:paraId="637ADEBB" w14:textId="77777777" w:rsidR="00EB4FEC" w:rsidRPr="00394EE5" w:rsidRDefault="00EB4FEC" w:rsidP="00EC49C2">
      <w:pPr>
        <w:tabs>
          <w:tab w:val="left" w:pos="720"/>
          <w:tab w:val="left" w:pos="1440"/>
        </w:tabs>
        <w:ind w:left="720"/>
        <w:rPr>
          <w:sz w:val="24"/>
          <w:szCs w:val="24"/>
        </w:rPr>
      </w:pPr>
    </w:p>
    <w:p w14:paraId="7BBFA444" w14:textId="3C7AD9EF" w:rsidR="002D4812" w:rsidRPr="00133823" w:rsidRDefault="009F2B9E" w:rsidP="00EC49C2">
      <w:pPr>
        <w:numPr>
          <w:ilvl w:val="0"/>
          <w:numId w:val="7"/>
        </w:numPr>
        <w:shd w:val="solid" w:color="FFFFFF" w:fill="FFFFFF"/>
        <w:tabs>
          <w:tab w:val="left" w:pos="720"/>
        </w:tabs>
        <w:ind w:left="0" w:firstLine="0"/>
        <w:rPr>
          <w:b/>
          <w:sz w:val="24"/>
          <w:szCs w:val="24"/>
        </w:rPr>
      </w:pPr>
      <w:r>
        <w:rPr>
          <w:b/>
          <w:sz w:val="24"/>
          <w:szCs w:val="24"/>
        </w:rPr>
        <w:t>Adherence to 5 CFR 1320.6</w:t>
      </w:r>
      <w:r w:rsidR="00184D23" w:rsidRPr="00133823">
        <w:rPr>
          <w:b/>
          <w:sz w:val="24"/>
          <w:szCs w:val="24"/>
        </w:rPr>
        <w:t xml:space="preserve"> and Outside </w:t>
      </w:r>
      <w:r w:rsidR="002D4812" w:rsidRPr="00133823">
        <w:rPr>
          <w:b/>
          <w:sz w:val="24"/>
          <w:szCs w:val="24"/>
        </w:rPr>
        <w:t>Consultation</w:t>
      </w:r>
      <w:r w:rsidR="00AE1D31" w:rsidRPr="00133823">
        <w:rPr>
          <w:b/>
          <w:sz w:val="24"/>
          <w:szCs w:val="24"/>
        </w:rPr>
        <w:t xml:space="preserve"> </w:t>
      </w:r>
    </w:p>
    <w:p w14:paraId="020DB9F8" w14:textId="77777777" w:rsidR="006530A7" w:rsidRDefault="006530A7" w:rsidP="006530A7">
      <w:pPr>
        <w:shd w:val="solid" w:color="FFFFFF" w:fill="FFFFFF"/>
        <w:tabs>
          <w:tab w:val="left" w:pos="360"/>
          <w:tab w:val="left" w:pos="840"/>
          <w:tab w:val="left" w:pos="1341"/>
          <w:tab w:val="left" w:pos="2794"/>
        </w:tabs>
        <w:rPr>
          <w:sz w:val="24"/>
          <w:szCs w:val="24"/>
        </w:rPr>
      </w:pPr>
    </w:p>
    <w:p w14:paraId="5FC1E709" w14:textId="33EFE16E" w:rsidR="00133823" w:rsidRPr="00133823" w:rsidRDefault="00133823" w:rsidP="001338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33823">
        <w:rPr>
          <w:sz w:val="24"/>
          <w:szCs w:val="24"/>
        </w:rPr>
        <w:t xml:space="preserve">The research under this clearance is consistent with the guidelines in 5 CFR 1320.6. The 60-day notice for public commentary was published in the Federal Register, Volume </w:t>
      </w:r>
      <w:r>
        <w:rPr>
          <w:sz w:val="24"/>
          <w:szCs w:val="24"/>
        </w:rPr>
        <w:t>82</w:t>
      </w:r>
      <w:r w:rsidRPr="00133823">
        <w:rPr>
          <w:sz w:val="24"/>
          <w:szCs w:val="24"/>
        </w:rPr>
        <w:t xml:space="preserve">, Number </w:t>
      </w:r>
      <w:r>
        <w:rPr>
          <w:sz w:val="24"/>
          <w:szCs w:val="24"/>
        </w:rPr>
        <w:t>220</w:t>
      </w:r>
      <w:r w:rsidRPr="00133823">
        <w:rPr>
          <w:sz w:val="24"/>
          <w:szCs w:val="24"/>
        </w:rPr>
        <w:t xml:space="preserve">, pages </w:t>
      </w:r>
      <w:r>
        <w:rPr>
          <w:sz w:val="24"/>
          <w:szCs w:val="24"/>
        </w:rPr>
        <w:t xml:space="preserve">53527-53528 </w:t>
      </w:r>
      <w:r w:rsidRPr="00133823">
        <w:rPr>
          <w:sz w:val="24"/>
          <w:szCs w:val="24"/>
        </w:rPr>
        <w:t xml:space="preserve">on </w:t>
      </w:r>
      <w:r>
        <w:rPr>
          <w:sz w:val="24"/>
          <w:szCs w:val="24"/>
        </w:rPr>
        <w:t xml:space="preserve">Thursday, November 16, </w:t>
      </w:r>
      <w:r w:rsidRPr="00FC5938">
        <w:rPr>
          <w:sz w:val="24"/>
          <w:szCs w:val="24"/>
        </w:rPr>
        <w:t>2017 (</w:t>
      </w:r>
      <w:r w:rsidRPr="00657270">
        <w:rPr>
          <w:sz w:val="24"/>
          <w:szCs w:val="24"/>
        </w:rPr>
        <w:t xml:space="preserve">Attachment </w:t>
      </w:r>
      <w:r w:rsidR="001E3991" w:rsidRPr="00657270">
        <w:rPr>
          <w:sz w:val="24"/>
          <w:szCs w:val="24"/>
        </w:rPr>
        <w:t>3</w:t>
      </w:r>
      <w:r w:rsidRPr="00FC5938">
        <w:rPr>
          <w:sz w:val="24"/>
          <w:szCs w:val="24"/>
        </w:rPr>
        <w:t>).</w:t>
      </w:r>
      <w:r w:rsidRPr="00133823">
        <w:rPr>
          <w:sz w:val="24"/>
          <w:szCs w:val="24"/>
        </w:rPr>
        <w:t xml:space="preserve"> The 30-day notice for public commentary was published in the Federal Register</w:t>
      </w:r>
      <w:r w:rsidRPr="00C06983">
        <w:rPr>
          <w:sz w:val="24"/>
          <w:szCs w:val="24"/>
        </w:rPr>
        <w:t xml:space="preserve">, Volume </w:t>
      </w:r>
      <w:r w:rsidR="00C06983" w:rsidRPr="00C06983">
        <w:rPr>
          <w:sz w:val="24"/>
          <w:szCs w:val="24"/>
        </w:rPr>
        <w:t>83</w:t>
      </w:r>
      <w:r w:rsidRPr="00C06983">
        <w:rPr>
          <w:sz w:val="24"/>
          <w:szCs w:val="24"/>
        </w:rPr>
        <w:t xml:space="preserve">, Number </w:t>
      </w:r>
      <w:r w:rsidR="00B21C65">
        <w:rPr>
          <w:sz w:val="24"/>
          <w:szCs w:val="24"/>
        </w:rPr>
        <w:t>33</w:t>
      </w:r>
      <w:r w:rsidRPr="00C06983">
        <w:rPr>
          <w:sz w:val="24"/>
          <w:szCs w:val="24"/>
        </w:rPr>
        <w:t xml:space="preserve">, pages </w:t>
      </w:r>
      <w:r w:rsidR="00B21C65">
        <w:rPr>
          <w:sz w:val="24"/>
          <w:szCs w:val="24"/>
        </w:rPr>
        <w:t>7079</w:t>
      </w:r>
      <w:r w:rsidRPr="00C06983">
        <w:rPr>
          <w:sz w:val="24"/>
          <w:szCs w:val="24"/>
        </w:rPr>
        <w:t>-</w:t>
      </w:r>
      <w:r w:rsidR="00B21C65">
        <w:rPr>
          <w:sz w:val="24"/>
          <w:szCs w:val="24"/>
        </w:rPr>
        <w:t>7080</w:t>
      </w:r>
      <w:r w:rsidRPr="00C06983">
        <w:rPr>
          <w:sz w:val="24"/>
          <w:szCs w:val="24"/>
        </w:rPr>
        <w:t xml:space="preserve">, on </w:t>
      </w:r>
      <w:r w:rsidR="00C06983" w:rsidRPr="00C06983">
        <w:rPr>
          <w:sz w:val="24"/>
          <w:szCs w:val="24"/>
        </w:rPr>
        <w:t>Friday</w:t>
      </w:r>
      <w:r w:rsidRPr="00C06983">
        <w:rPr>
          <w:sz w:val="24"/>
          <w:szCs w:val="24"/>
        </w:rPr>
        <w:t xml:space="preserve">, </w:t>
      </w:r>
      <w:r w:rsidR="00B21C65">
        <w:rPr>
          <w:sz w:val="24"/>
          <w:szCs w:val="24"/>
        </w:rPr>
        <w:t>February 16</w:t>
      </w:r>
      <w:r w:rsidRPr="00C06983">
        <w:rPr>
          <w:sz w:val="24"/>
          <w:szCs w:val="24"/>
        </w:rPr>
        <w:t xml:space="preserve">, 2018 (Attachment </w:t>
      </w:r>
      <w:r w:rsidR="001E3991" w:rsidRPr="00C06983">
        <w:rPr>
          <w:sz w:val="24"/>
          <w:szCs w:val="24"/>
        </w:rPr>
        <w:t>4</w:t>
      </w:r>
      <w:r w:rsidRPr="00C06983">
        <w:rPr>
          <w:sz w:val="24"/>
          <w:szCs w:val="24"/>
        </w:rPr>
        <w:t>). In response</w:t>
      </w:r>
      <w:r w:rsidRPr="00133823">
        <w:rPr>
          <w:sz w:val="24"/>
          <w:szCs w:val="24"/>
        </w:rPr>
        <w:t xml:space="preserve"> to the 60-day notice, we received </w:t>
      </w:r>
      <w:r w:rsidR="00DF4D22">
        <w:rPr>
          <w:sz w:val="24"/>
          <w:szCs w:val="24"/>
        </w:rPr>
        <w:t xml:space="preserve">three </w:t>
      </w:r>
      <w:r>
        <w:rPr>
          <w:sz w:val="24"/>
          <w:szCs w:val="24"/>
        </w:rPr>
        <w:t xml:space="preserve">requests for </w:t>
      </w:r>
      <w:r w:rsidR="00C06983">
        <w:rPr>
          <w:sz w:val="24"/>
          <w:szCs w:val="24"/>
        </w:rPr>
        <w:t>a copy</w:t>
      </w:r>
      <w:r>
        <w:rPr>
          <w:sz w:val="24"/>
          <w:szCs w:val="24"/>
        </w:rPr>
        <w:t xml:space="preserve"> of the instrument </w:t>
      </w:r>
      <w:r w:rsidR="00DF4D22">
        <w:rPr>
          <w:sz w:val="24"/>
          <w:szCs w:val="24"/>
        </w:rPr>
        <w:t>and on</w:t>
      </w:r>
      <w:r w:rsidR="00C06983">
        <w:rPr>
          <w:sz w:val="24"/>
          <w:szCs w:val="24"/>
        </w:rPr>
        <w:t>e</w:t>
      </w:r>
      <w:r w:rsidR="00DF4D22">
        <w:rPr>
          <w:sz w:val="24"/>
          <w:szCs w:val="24"/>
        </w:rPr>
        <w:t xml:space="preserve"> communication containing general comments on the importance of the collection</w:t>
      </w:r>
      <w:r w:rsidRPr="00C06983">
        <w:rPr>
          <w:sz w:val="24"/>
          <w:szCs w:val="24"/>
        </w:rPr>
        <w:t xml:space="preserve">. </w:t>
      </w:r>
    </w:p>
    <w:p w14:paraId="16308DF0" w14:textId="77777777" w:rsidR="00133823" w:rsidRPr="00394EE5" w:rsidRDefault="00133823" w:rsidP="006530A7">
      <w:pPr>
        <w:shd w:val="solid" w:color="FFFFFF" w:fill="FFFFFF"/>
        <w:tabs>
          <w:tab w:val="left" w:pos="360"/>
          <w:tab w:val="left" w:pos="840"/>
          <w:tab w:val="left" w:pos="1341"/>
          <w:tab w:val="left" w:pos="2794"/>
        </w:tabs>
        <w:rPr>
          <w:sz w:val="24"/>
          <w:szCs w:val="24"/>
        </w:rPr>
      </w:pPr>
    </w:p>
    <w:p w14:paraId="63A41CE8" w14:textId="77777777" w:rsidR="002D4812" w:rsidRPr="00394EE5" w:rsidRDefault="002D4812" w:rsidP="00D52593">
      <w:pPr>
        <w:spacing w:line="2" w:lineRule="exact"/>
        <w:ind w:firstLine="360"/>
        <w:rPr>
          <w:i/>
          <w:sz w:val="24"/>
          <w:szCs w:val="24"/>
        </w:rPr>
      </w:pPr>
    </w:p>
    <w:p w14:paraId="29F5EADE" w14:textId="77777777" w:rsidR="002D4812" w:rsidRPr="00B66D9B" w:rsidRDefault="002D4812" w:rsidP="00EC49C2">
      <w:pPr>
        <w:numPr>
          <w:ilvl w:val="0"/>
          <w:numId w:val="7"/>
        </w:numPr>
        <w:shd w:val="solid" w:color="FFFFFF" w:fill="FFFFFF"/>
        <w:tabs>
          <w:tab w:val="left" w:pos="720"/>
        </w:tabs>
        <w:ind w:left="0" w:firstLine="0"/>
        <w:rPr>
          <w:b/>
          <w:sz w:val="24"/>
          <w:szCs w:val="24"/>
        </w:rPr>
      </w:pPr>
      <w:r w:rsidRPr="00B66D9B">
        <w:rPr>
          <w:b/>
          <w:sz w:val="24"/>
          <w:szCs w:val="24"/>
        </w:rPr>
        <w:t>Paying Respondents</w:t>
      </w:r>
    </w:p>
    <w:p w14:paraId="5A40176B" w14:textId="77777777" w:rsidR="002D4812" w:rsidRDefault="002D4812" w:rsidP="002D4812">
      <w:pPr>
        <w:numPr>
          <w:ilvl w:val="12"/>
          <w:numId w:val="0"/>
        </w:numPr>
        <w:shd w:val="solid" w:color="FFFFFF" w:fill="FFFFFF"/>
        <w:tabs>
          <w:tab w:val="left" w:pos="360"/>
          <w:tab w:val="left" w:pos="840"/>
          <w:tab w:val="left" w:pos="1341"/>
          <w:tab w:val="left" w:pos="2794"/>
        </w:tabs>
        <w:rPr>
          <w:sz w:val="24"/>
          <w:szCs w:val="24"/>
        </w:rPr>
      </w:pPr>
    </w:p>
    <w:p w14:paraId="67CF5CBA" w14:textId="77777777" w:rsidR="00F830A8" w:rsidRPr="00F830A8" w:rsidRDefault="00F830A8" w:rsidP="00F830A8">
      <w:pPr>
        <w:rPr>
          <w:sz w:val="24"/>
          <w:szCs w:val="24"/>
        </w:rPr>
      </w:pPr>
      <w:r w:rsidRPr="00F830A8">
        <w:rPr>
          <w:sz w:val="24"/>
          <w:szCs w:val="24"/>
        </w:rPr>
        <w:t>Neither BJS nor RTI will provide any payment or gift of any type to respondents. Respondents will participate on a voluntary basis.</w:t>
      </w:r>
    </w:p>
    <w:p w14:paraId="04CD7901" w14:textId="77777777" w:rsidR="00657270" w:rsidRDefault="00657270" w:rsidP="00F830A8">
      <w:pPr>
        <w:rPr>
          <w:sz w:val="24"/>
          <w:szCs w:val="24"/>
        </w:rPr>
      </w:pPr>
    </w:p>
    <w:p w14:paraId="46C49D82" w14:textId="77777777" w:rsidR="002D4812" w:rsidRPr="00B66D9B" w:rsidRDefault="002D4812" w:rsidP="00EC49C2">
      <w:pPr>
        <w:numPr>
          <w:ilvl w:val="0"/>
          <w:numId w:val="7"/>
        </w:numPr>
        <w:shd w:val="solid" w:color="FFFFFF" w:fill="FFFFFF"/>
        <w:tabs>
          <w:tab w:val="left" w:pos="720"/>
        </w:tabs>
        <w:ind w:left="0" w:firstLine="0"/>
        <w:rPr>
          <w:b/>
          <w:sz w:val="24"/>
          <w:szCs w:val="24"/>
        </w:rPr>
      </w:pPr>
      <w:r w:rsidRPr="00B66D9B">
        <w:rPr>
          <w:b/>
          <w:sz w:val="24"/>
          <w:szCs w:val="24"/>
        </w:rPr>
        <w:t>Assurance of Confidentiality</w:t>
      </w:r>
    </w:p>
    <w:p w14:paraId="7FDB5419" w14:textId="77777777" w:rsidR="00B27D7D" w:rsidRDefault="00B27D7D" w:rsidP="00B27D7D">
      <w:pPr>
        <w:shd w:val="solid" w:color="FFFFFF" w:fill="FFFFFF"/>
        <w:tabs>
          <w:tab w:val="left" w:pos="720"/>
        </w:tabs>
        <w:rPr>
          <w:sz w:val="24"/>
          <w:szCs w:val="24"/>
        </w:rPr>
      </w:pPr>
    </w:p>
    <w:p w14:paraId="1C36350D" w14:textId="145587D1" w:rsidR="00B27D7D" w:rsidRPr="00B27D7D" w:rsidRDefault="00B27D7D" w:rsidP="00B27D7D">
      <w:pPr>
        <w:rPr>
          <w:sz w:val="24"/>
          <w:szCs w:val="24"/>
        </w:rPr>
      </w:pPr>
      <w:r w:rsidRPr="00B27D7D">
        <w:rPr>
          <w:sz w:val="24"/>
          <w:szCs w:val="24"/>
        </w:rPr>
        <w:t xml:space="preserve">According to </w:t>
      </w:r>
      <w:r w:rsidR="00B66D9B">
        <w:rPr>
          <w:sz w:val="24"/>
          <w:szCs w:val="24"/>
        </w:rPr>
        <w:t>34</w:t>
      </w:r>
      <w:r w:rsidRPr="00B27D7D">
        <w:rPr>
          <w:sz w:val="24"/>
          <w:szCs w:val="24"/>
        </w:rPr>
        <w:t xml:space="preserve"> U.S.C. </w:t>
      </w:r>
      <w:r w:rsidR="00B66D9B">
        <w:rPr>
          <w:sz w:val="24"/>
          <w:szCs w:val="24"/>
        </w:rPr>
        <w:t>10134</w:t>
      </w:r>
      <w:r w:rsidRPr="00B27D7D">
        <w:rPr>
          <w:sz w:val="24"/>
          <w:szCs w:val="24"/>
        </w:rPr>
        <w:t xml:space="preserve">, the information gathered in this data collection shall be used only for statistical or research purposes, and shall be gathered in a manner that precludes their use for law enforcement or any purpose relating to a particular individual other than statistical or research purposes. The data collected through the </w:t>
      </w:r>
      <w:r>
        <w:rPr>
          <w:sz w:val="24"/>
          <w:szCs w:val="24"/>
        </w:rPr>
        <w:t xml:space="preserve">CSLLEA </w:t>
      </w:r>
      <w:r w:rsidRPr="00B27D7D">
        <w:rPr>
          <w:sz w:val="24"/>
          <w:szCs w:val="24"/>
        </w:rPr>
        <w:t xml:space="preserve">represent institutional characteristics of publicly-administered </w:t>
      </w:r>
      <w:r>
        <w:rPr>
          <w:sz w:val="24"/>
          <w:szCs w:val="24"/>
        </w:rPr>
        <w:t>law enforcement agencies</w:t>
      </w:r>
      <w:r w:rsidRPr="00B27D7D">
        <w:rPr>
          <w:sz w:val="24"/>
          <w:szCs w:val="24"/>
        </w:rPr>
        <w:t xml:space="preserve">. Information </w:t>
      </w:r>
      <w:r w:rsidR="00E01BBA">
        <w:rPr>
          <w:sz w:val="24"/>
          <w:szCs w:val="24"/>
        </w:rPr>
        <w:t>collected from</w:t>
      </w:r>
      <w:r w:rsidR="00E01BBA" w:rsidRPr="00B27D7D">
        <w:rPr>
          <w:sz w:val="24"/>
          <w:szCs w:val="24"/>
        </w:rPr>
        <w:t xml:space="preserve"> </w:t>
      </w:r>
      <w:r w:rsidRPr="00B27D7D">
        <w:rPr>
          <w:sz w:val="24"/>
          <w:szCs w:val="24"/>
        </w:rPr>
        <w:t xml:space="preserve">these organizations is </w:t>
      </w:r>
      <w:r w:rsidR="00E01BBA">
        <w:rPr>
          <w:sz w:val="24"/>
          <w:szCs w:val="24"/>
        </w:rPr>
        <w:t>considered within the public</w:t>
      </w:r>
      <w:r w:rsidRPr="00B27D7D">
        <w:rPr>
          <w:sz w:val="24"/>
          <w:szCs w:val="24"/>
        </w:rPr>
        <w:t xml:space="preserve"> domain. The fact that participation in this survey is voluntary and that information about individual agency responses will be available to the public is included on the first page of the survey instrument. However, BJS will not release the names, phone numbers or email of the actual persons responsible for completing the</w:t>
      </w:r>
      <w:r>
        <w:rPr>
          <w:sz w:val="24"/>
          <w:szCs w:val="24"/>
        </w:rPr>
        <w:t xml:space="preserve"> 2018 CSLLEA</w:t>
      </w:r>
      <w:r w:rsidRPr="00B27D7D">
        <w:rPr>
          <w:sz w:val="24"/>
          <w:szCs w:val="24"/>
        </w:rPr>
        <w:t xml:space="preserve">. </w:t>
      </w:r>
    </w:p>
    <w:p w14:paraId="669DF1D6" w14:textId="77777777" w:rsidR="00B27D7D" w:rsidRPr="00394EE5" w:rsidRDefault="00B27D7D" w:rsidP="00B27D7D">
      <w:pPr>
        <w:rPr>
          <w:sz w:val="24"/>
          <w:szCs w:val="24"/>
        </w:rPr>
      </w:pPr>
    </w:p>
    <w:p w14:paraId="54538ED6" w14:textId="77777777" w:rsidR="002D4812" w:rsidRPr="00B66D9B" w:rsidRDefault="002D4812" w:rsidP="00EC49C2">
      <w:pPr>
        <w:numPr>
          <w:ilvl w:val="0"/>
          <w:numId w:val="7"/>
        </w:numPr>
        <w:shd w:val="solid" w:color="FFFFFF" w:fill="FFFFFF"/>
        <w:tabs>
          <w:tab w:val="left" w:pos="720"/>
        </w:tabs>
        <w:ind w:left="0" w:firstLine="0"/>
        <w:rPr>
          <w:b/>
          <w:sz w:val="24"/>
          <w:szCs w:val="24"/>
        </w:rPr>
      </w:pPr>
      <w:r w:rsidRPr="00B66D9B">
        <w:rPr>
          <w:b/>
          <w:sz w:val="24"/>
          <w:szCs w:val="24"/>
        </w:rPr>
        <w:t>Justification for Sensitive Questions</w:t>
      </w:r>
    </w:p>
    <w:p w14:paraId="249B7765" w14:textId="77777777" w:rsidR="00B27D7D" w:rsidRDefault="00B27D7D" w:rsidP="00B27D7D">
      <w:pPr>
        <w:shd w:val="solid" w:color="FFFFFF" w:fill="FFFFFF"/>
        <w:tabs>
          <w:tab w:val="left" w:pos="720"/>
        </w:tabs>
        <w:rPr>
          <w:sz w:val="24"/>
          <w:szCs w:val="24"/>
        </w:rPr>
      </w:pPr>
    </w:p>
    <w:p w14:paraId="7B401463" w14:textId="77777777" w:rsidR="00B27D7D" w:rsidRPr="00B27D7D" w:rsidRDefault="00B27D7D" w:rsidP="00B27D7D">
      <w:pPr>
        <w:rPr>
          <w:sz w:val="24"/>
          <w:szCs w:val="24"/>
        </w:rPr>
      </w:pPr>
      <w:r>
        <w:rPr>
          <w:sz w:val="24"/>
          <w:szCs w:val="24"/>
        </w:rPr>
        <w:t>N</w:t>
      </w:r>
      <w:r w:rsidRPr="00B27D7D">
        <w:rPr>
          <w:sz w:val="24"/>
          <w:szCs w:val="24"/>
        </w:rPr>
        <w:t xml:space="preserve">o questions of a sensitive nature </w:t>
      </w:r>
      <w:r>
        <w:rPr>
          <w:sz w:val="24"/>
          <w:szCs w:val="24"/>
        </w:rPr>
        <w:t xml:space="preserve">are </w:t>
      </w:r>
      <w:r w:rsidRPr="00B27D7D">
        <w:rPr>
          <w:sz w:val="24"/>
          <w:szCs w:val="24"/>
        </w:rPr>
        <w:t xml:space="preserve">proposed </w:t>
      </w:r>
      <w:r>
        <w:rPr>
          <w:sz w:val="24"/>
          <w:szCs w:val="24"/>
        </w:rPr>
        <w:t xml:space="preserve">for the </w:t>
      </w:r>
      <w:r w:rsidRPr="00B27D7D">
        <w:rPr>
          <w:sz w:val="24"/>
          <w:szCs w:val="24"/>
        </w:rPr>
        <w:t>201</w:t>
      </w:r>
      <w:r>
        <w:rPr>
          <w:sz w:val="24"/>
          <w:szCs w:val="24"/>
        </w:rPr>
        <w:t>8 CSLLEA</w:t>
      </w:r>
      <w:r w:rsidRPr="00B27D7D">
        <w:rPr>
          <w:sz w:val="24"/>
          <w:szCs w:val="24"/>
        </w:rPr>
        <w:t xml:space="preserve">. </w:t>
      </w:r>
    </w:p>
    <w:p w14:paraId="645B0ABB" w14:textId="77777777" w:rsidR="0004451D" w:rsidRPr="00394EE5" w:rsidRDefault="0004451D" w:rsidP="00314EE1">
      <w:pPr>
        <w:widowControl w:val="0"/>
        <w:tabs>
          <w:tab w:val="left" w:pos="900"/>
        </w:tabs>
        <w:rPr>
          <w:sz w:val="24"/>
          <w:szCs w:val="24"/>
        </w:rPr>
      </w:pPr>
    </w:p>
    <w:p w14:paraId="13B79003" w14:textId="77777777" w:rsidR="002D4812" w:rsidRPr="00B66D9B" w:rsidRDefault="002D4812" w:rsidP="00EC49C2">
      <w:pPr>
        <w:numPr>
          <w:ilvl w:val="0"/>
          <w:numId w:val="7"/>
        </w:numPr>
        <w:shd w:val="solid" w:color="FFFFFF" w:fill="FFFFFF"/>
        <w:tabs>
          <w:tab w:val="left" w:pos="720"/>
        </w:tabs>
        <w:ind w:left="0" w:firstLine="0"/>
        <w:rPr>
          <w:b/>
          <w:sz w:val="24"/>
          <w:szCs w:val="24"/>
        </w:rPr>
      </w:pPr>
      <w:r w:rsidRPr="00B66D9B">
        <w:rPr>
          <w:b/>
          <w:sz w:val="24"/>
          <w:szCs w:val="24"/>
        </w:rPr>
        <w:t>Estimate of Hour Burden</w:t>
      </w:r>
    </w:p>
    <w:p w14:paraId="041C8209" w14:textId="77777777" w:rsidR="002D4812" w:rsidRDefault="002D4812" w:rsidP="00CB4164">
      <w:pPr>
        <w:numPr>
          <w:ilvl w:val="12"/>
          <w:numId w:val="0"/>
        </w:numPr>
        <w:shd w:val="solid" w:color="FFFFFF" w:fill="FFFFFF"/>
        <w:tabs>
          <w:tab w:val="left" w:pos="360"/>
          <w:tab w:val="left" w:pos="810"/>
          <w:tab w:val="left" w:pos="900"/>
          <w:tab w:val="left" w:pos="2880"/>
        </w:tabs>
        <w:rPr>
          <w:sz w:val="24"/>
          <w:szCs w:val="24"/>
        </w:rPr>
      </w:pPr>
    </w:p>
    <w:p w14:paraId="54B5368F" w14:textId="456E2853" w:rsidR="00CB4164" w:rsidRDefault="00CB4164" w:rsidP="00CB4164">
      <w:pPr>
        <w:rPr>
          <w:sz w:val="24"/>
          <w:szCs w:val="24"/>
        </w:rPr>
      </w:pPr>
      <w:r w:rsidRPr="00CB4164">
        <w:rPr>
          <w:sz w:val="24"/>
          <w:szCs w:val="24"/>
        </w:rPr>
        <w:t xml:space="preserve">BJS has estimated the respondent burden for the proposed </w:t>
      </w:r>
      <w:r>
        <w:rPr>
          <w:sz w:val="24"/>
          <w:szCs w:val="24"/>
        </w:rPr>
        <w:t xml:space="preserve">CSLLEA Cognitive Interview Task at </w:t>
      </w:r>
      <w:r w:rsidR="008805E9">
        <w:rPr>
          <w:sz w:val="24"/>
          <w:szCs w:val="24"/>
        </w:rPr>
        <w:t xml:space="preserve">72 </w:t>
      </w:r>
      <w:r>
        <w:rPr>
          <w:sz w:val="24"/>
          <w:szCs w:val="24"/>
        </w:rPr>
        <w:t xml:space="preserve">hours and for the proposed </w:t>
      </w:r>
      <w:r w:rsidRPr="00CB4164">
        <w:rPr>
          <w:sz w:val="24"/>
          <w:szCs w:val="24"/>
        </w:rPr>
        <w:t>201</w:t>
      </w:r>
      <w:r>
        <w:rPr>
          <w:sz w:val="24"/>
          <w:szCs w:val="24"/>
        </w:rPr>
        <w:t>8</w:t>
      </w:r>
      <w:r w:rsidRPr="00CB4164">
        <w:rPr>
          <w:sz w:val="24"/>
          <w:szCs w:val="24"/>
        </w:rPr>
        <w:t xml:space="preserve"> </w:t>
      </w:r>
      <w:r>
        <w:rPr>
          <w:sz w:val="24"/>
          <w:szCs w:val="24"/>
        </w:rPr>
        <w:t xml:space="preserve">CSLLEA </w:t>
      </w:r>
      <w:r w:rsidRPr="00CB4164">
        <w:rPr>
          <w:sz w:val="24"/>
          <w:szCs w:val="24"/>
        </w:rPr>
        <w:t xml:space="preserve">at </w:t>
      </w:r>
      <w:r w:rsidR="00133823">
        <w:rPr>
          <w:sz w:val="24"/>
          <w:szCs w:val="24"/>
        </w:rPr>
        <w:t>15,072</w:t>
      </w:r>
      <w:r w:rsidR="00615E31">
        <w:rPr>
          <w:sz w:val="24"/>
          <w:szCs w:val="24"/>
        </w:rPr>
        <w:t xml:space="preserve"> </w:t>
      </w:r>
      <w:r w:rsidRPr="00CB4164">
        <w:rPr>
          <w:sz w:val="24"/>
          <w:szCs w:val="24"/>
        </w:rPr>
        <w:t xml:space="preserve">hours (Table </w:t>
      </w:r>
      <w:r w:rsidR="00E87F2D">
        <w:rPr>
          <w:sz w:val="24"/>
          <w:szCs w:val="24"/>
        </w:rPr>
        <w:t>2</w:t>
      </w:r>
      <w:r w:rsidRPr="00CB4164">
        <w:rPr>
          <w:sz w:val="24"/>
          <w:szCs w:val="24"/>
        </w:rPr>
        <w:t>). Th</w:t>
      </w:r>
      <w:r>
        <w:rPr>
          <w:sz w:val="24"/>
          <w:szCs w:val="24"/>
        </w:rPr>
        <w:t>e estimate for the cognitive interviews is based on a 30-minute burden for the completion of the draft CSLLEA</w:t>
      </w:r>
      <w:r w:rsidR="00133823">
        <w:rPr>
          <w:sz w:val="24"/>
          <w:szCs w:val="24"/>
        </w:rPr>
        <w:t xml:space="preserve"> hard copy questionnaire and a 6</w:t>
      </w:r>
      <w:r>
        <w:rPr>
          <w:sz w:val="24"/>
          <w:szCs w:val="24"/>
        </w:rPr>
        <w:t>0-minute burden for participating in the cognitive interview.</w:t>
      </w:r>
      <w:r>
        <w:rPr>
          <w:rStyle w:val="FootnoteReference"/>
          <w:sz w:val="24"/>
          <w:szCs w:val="24"/>
        </w:rPr>
        <w:footnoteReference w:id="6"/>
      </w:r>
      <w:r>
        <w:rPr>
          <w:sz w:val="24"/>
          <w:szCs w:val="24"/>
        </w:rPr>
        <w:t xml:space="preserve">  Forty-eight respondents will be cognitively interviewed; the total burden for this effort is therefore estimated at </w:t>
      </w:r>
      <w:r w:rsidR="00133823">
        <w:rPr>
          <w:sz w:val="24"/>
          <w:szCs w:val="24"/>
        </w:rPr>
        <w:t>72</w:t>
      </w:r>
      <w:r>
        <w:rPr>
          <w:sz w:val="24"/>
          <w:szCs w:val="24"/>
        </w:rPr>
        <w:t xml:space="preserve"> hours.</w:t>
      </w:r>
    </w:p>
    <w:p w14:paraId="46FAFAFE" w14:textId="77777777" w:rsidR="00CB4164" w:rsidRDefault="00CB4164" w:rsidP="00CB4164">
      <w:pPr>
        <w:rPr>
          <w:sz w:val="24"/>
          <w:szCs w:val="24"/>
        </w:rPr>
      </w:pPr>
    </w:p>
    <w:p w14:paraId="257BC375" w14:textId="77F65140" w:rsidR="00615E31" w:rsidRDefault="00615E31" w:rsidP="00615E31">
      <w:pPr>
        <w:rPr>
          <w:sz w:val="24"/>
          <w:szCs w:val="24"/>
        </w:rPr>
      </w:pPr>
      <w:r w:rsidRPr="00D46653">
        <w:rPr>
          <w:sz w:val="24"/>
          <w:szCs w:val="24"/>
        </w:rPr>
        <w:t xml:space="preserve">The burden hours </w:t>
      </w:r>
      <w:r>
        <w:rPr>
          <w:sz w:val="24"/>
          <w:szCs w:val="24"/>
        </w:rPr>
        <w:t xml:space="preserve">for </w:t>
      </w:r>
      <w:r w:rsidR="002B77A3">
        <w:rPr>
          <w:sz w:val="24"/>
          <w:szCs w:val="24"/>
        </w:rPr>
        <w:t>full study implementation</w:t>
      </w:r>
      <w:r>
        <w:rPr>
          <w:sz w:val="24"/>
          <w:szCs w:val="24"/>
        </w:rPr>
        <w:t xml:space="preserve"> </w:t>
      </w:r>
      <w:r w:rsidRPr="00D46653">
        <w:rPr>
          <w:sz w:val="24"/>
          <w:szCs w:val="24"/>
        </w:rPr>
        <w:t>include</w:t>
      </w:r>
      <w:r w:rsidR="002B77A3">
        <w:rPr>
          <w:sz w:val="24"/>
          <w:szCs w:val="24"/>
        </w:rPr>
        <w:t>s</w:t>
      </w:r>
      <w:r w:rsidRPr="00D46653">
        <w:rPr>
          <w:sz w:val="24"/>
          <w:szCs w:val="24"/>
        </w:rPr>
        <w:t xml:space="preserve"> the average time required per respondent to complete </w:t>
      </w:r>
      <w:r w:rsidR="00E16B01">
        <w:rPr>
          <w:sz w:val="24"/>
          <w:szCs w:val="24"/>
        </w:rPr>
        <w:t>the</w:t>
      </w:r>
      <w:r w:rsidRPr="00D46653">
        <w:rPr>
          <w:sz w:val="24"/>
          <w:szCs w:val="24"/>
        </w:rPr>
        <w:t xml:space="preserve"> survey form</w:t>
      </w:r>
      <w:r w:rsidR="00E16B01">
        <w:rPr>
          <w:sz w:val="24"/>
          <w:szCs w:val="24"/>
        </w:rPr>
        <w:t xml:space="preserve">. Also included is the </w:t>
      </w:r>
      <w:r w:rsidRPr="00D46653">
        <w:rPr>
          <w:sz w:val="24"/>
          <w:szCs w:val="24"/>
        </w:rPr>
        <w:t xml:space="preserve">average time devoted to </w:t>
      </w:r>
      <w:r w:rsidR="00E16B01">
        <w:rPr>
          <w:sz w:val="24"/>
          <w:szCs w:val="24"/>
        </w:rPr>
        <w:t xml:space="preserve">contacting agencies beyond the survey collection either through verifying contact information during frame cleaning (if not available online) and/or direct </w:t>
      </w:r>
      <w:r w:rsidRPr="00D46653">
        <w:rPr>
          <w:sz w:val="24"/>
          <w:szCs w:val="24"/>
        </w:rPr>
        <w:t xml:space="preserve">follow-up contact </w:t>
      </w:r>
      <w:r w:rsidR="00E16B01">
        <w:rPr>
          <w:sz w:val="24"/>
          <w:szCs w:val="24"/>
        </w:rPr>
        <w:t xml:space="preserve">after survey completion </w:t>
      </w:r>
      <w:r w:rsidRPr="00D46653">
        <w:rPr>
          <w:sz w:val="24"/>
          <w:szCs w:val="24"/>
        </w:rPr>
        <w:t xml:space="preserve">to </w:t>
      </w:r>
      <w:r w:rsidRPr="00615E31">
        <w:rPr>
          <w:sz w:val="24"/>
          <w:szCs w:val="24"/>
        </w:rPr>
        <w:t>resolve discrepancies</w:t>
      </w:r>
      <w:r w:rsidR="00E16B01">
        <w:rPr>
          <w:sz w:val="24"/>
          <w:szCs w:val="24"/>
        </w:rPr>
        <w:t xml:space="preserve"> or missing data</w:t>
      </w:r>
      <w:r w:rsidRPr="00615E31">
        <w:rPr>
          <w:sz w:val="24"/>
          <w:szCs w:val="24"/>
        </w:rPr>
        <w:t xml:space="preserve">. The </w:t>
      </w:r>
      <w:r>
        <w:rPr>
          <w:sz w:val="24"/>
          <w:szCs w:val="24"/>
        </w:rPr>
        <w:t xml:space="preserve">estimated </w:t>
      </w:r>
      <w:r w:rsidRPr="00615E31">
        <w:rPr>
          <w:sz w:val="24"/>
          <w:szCs w:val="24"/>
        </w:rPr>
        <w:t xml:space="preserve">burden hours for </w:t>
      </w:r>
      <w:r>
        <w:rPr>
          <w:sz w:val="24"/>
          <w:szCs w:val="24"/>
        </w:rPr>
        <w:t xml:space="preserve">the 2018 CSLLEA </w:t>
      </w:r>
      <w:r w:rsidR="002B77A3">
        <w:rPr>
          <w:sz w:val="24"/>
          <w:szCs w:val="24"/>
        </w:rPr>
        <w:t xml:space="preserve">is </w:t>
      </w:r>
      <w:r w:rsidR="00133823">
        <w:rPr>
          <w:sz w:val="24"/>
          <w:szCs w:val="24"/>
        </w:rPr>
        <w:t>15,072</w:t>
      </w:r>
      <w:r w:rsidR="00387329">
        <w:rPr>
          <w:sz w:val="24"/>
          <w:szCs w:val="24"/>
        </w:rPr>
        <w:t>.</w:t>
      </w:r>
    </w:p>
    <w:p w14:paraId="18062989" w14:textId="77777777" w:rsidR="00387329" w:rsidRDefault="00387329" w:rsidP="00615E31">
      <w:pPr>
        <w:rPr>
          <w:sz w:val="24"/>
          <w:szCs w:val="24"/>
        </w:rPr>
      </w:pPr>
    </w:p>
    <w:p w14:paraId="3F7431EE" w14:textId="2E0DE0FA" w:rsidR="00387329" w:rsidRPr="00133823" w:rsidRDefault="00133823" w:rsidP="00615E31">
      <w:pPr>
        <w:rPr>
          <w:b/>
          <w:sz w:val="24"/>
          <w:szCs w:val="24"/>
        </w:rPr>
      </w:pPr>
      <w:r w:rsidRPr="00133823">
        <w:rPr>
          <w:b/>
          <w:sz w:val="24"/>
          <w:szCs w:val="24"/>
        </w:rPr>
        <w:t xml:space="preserve">Table </w:t>
      </w:r>
      <w:r w:rsidR="00E87F2D">
        <w:rPr>
          <w:b/>
          <w:sz w:val="24"/>
          <w:szCs w:val="24"/>
        </w:rPr>
        <w:t>2</w:t>
      </w:r>
      <w:r w:rsidR="00387329" w:rsidRPr="00133823">
        <w:rPr>
          <w:b/>
          <w:sz w:val="24"/>
          <w:szCs w:val="24"/>
        </w:rPr>
        <w:t>. Estimated Burden Hours for the CSLLEA</w:t>
      </w:r>
    </w:p>
    <w:tbl>
      <w:tblPr>
        <w:tblW w:w="9462" w:type="dxa"/>
        <w:tblLayout w:type="fixed"/>
        <w:tblLook w:val="04A0" w:firstRow="1" w:lastRow="0" w:firstColumn="1" w:lastColumn="0" w:noHBand="0" w:noVBand="1"/>
      </w:tblPr>
      <w:tblGrid>
        <w:gridCol w:w="1980"/>
        <w:gridCol w:w="1530"/>
        <w:gridCol w:w="1620"/>
        <w:gridCol w:w="1620"/>
        <w:gridCol w:w="1260"/>
        <w:gridCol w:w="1452"/>
      </w:tblGrid>
      <w:tr w:rsidR="00EC3476" w:rsidRPr="00EC3476" w14:paraId="4D5DAD6D" w14:textId="77777777" w:rsidTr="00DF4D22">
        <w:trPr>
          <w:trHeight w:val="575"/>
        </w:trPr>
        <w:tc>
          <w:tcPr>
            <w:tcW w:w="1980" w:type="dxa"/>
            <w:tcBorders>
              <w:top w:val="single" w:sz="4" w:space="0" w:color="auto"/>
              <w:left w:val="nil"/>
              <w:bottom w:val="single" w:sz="4" w:space="0" w:color="auto"/>
              <w:right w:val="nil"/>
            </w:tcBorders>
            <w:shd w:val="clear" w:color="auto" w:fill="auto"/>
            <w:noWrap/>
            <w:vAlign w:val="bottom"/>
            <w:hideMark/>
          </w:tcPr>
          <w:p w14:paraId="67AC4409" w14:textId="77777777" w:rsidR="00EC3476" w:rsidRPr="00EC3476" w:rsidRDefault="00EC3476" w:rsidP="00EC3476">
            <w:pPr>
              <w:autoSpaceDE/>
              <w:autoSpaceDN/>
              <w:adjustRightInd/>
              <w:rPr>
                <w:b/>
                <w:bCs/>
                <w:color w:val="000000"/>
                <w:sz w:val="22"/>
                <w:szCs w:val="22"/>
              </w:rPr>
            </w:pPr>
            <w:r w:rsidRPr="00EC3476">
              <w:rPr>
                <w:b/>
                <w:bCs/>
                <w:color w:val="000000"/>
                <w:sz w:val="22"/>
                <w:szCs w:val="22"/>
              </w:rPr>
              <w:t>Collection</w:t>
            </w:r>
          </w:p>
        </w:tc>
        <w:tc>
          <w:tcPr>
            <w:tcW w:w="1530" w:type="dxa"/>
            <w:tcBorders>
              <w:top w:val="single" w:sz="4" w:space="0" w:color="auto"/>
              <w:left w:val="nil"/>
              <w:bottom w:val="single" w:sz="4" w:space="0" w:color="auto"/>
              <w:right w:val="nil"/>
            </w:tcBorders>
            <w:shd w:val="clear" w:color="auto" w:fill="auto"/>
            <w:vAlign w:val="bottom"/>
            <w:hideMark/>
          </w:tcPr>
          <w:p w14:paraId="56BAFF89" w14:textId="77777777" w:rsidR="00EC3476" w:rsidRPr="00EC3476" w:rsidRDefault="00EC3476" w:rsidP="00EC3476">
            <w:pPr>
              <w:autoSpaceDE/>
              <w:autoSpaceDN/>
              <w:adjustRightInd/>
              <w:jc w:val="right"/>
              <w:rPr>
                <w:b/>
                <w:bCs/>
                <w:color w:val="000000"/>
                <w:sz w:val="22"/>
                <w:szCs w:val="22"/>
              </w:rPr>
            </w:pPr>
            <w:r w:rsidRPr="00EC3476">
              <w:rPr>
                <w:b/>
                <w:bCs/>
                <w:color w:val="000000"/>
                <w:sz w:val="22"/>
                <w:szCs w:val="22"/>
              </w:rPr>
              <w:t>Sample size</w:t>
            </w:r>
          </w:p>
        </w:tc>
        <w:tc>
          <w:tcPr>
            <w:tcW w:w="1620" w:type="dxa"/>
            <w:tcBorders>
              <w:top w:val="single" w:sz="4" w:space="0" w:color="auto"/>
              <w:left w:val="nil"/>
              <w:bottom w:val="single" w:sz="4" w:space="0" w:color="auto"/>
              <w:right w:val="nil"/>
            </w:tcBorders>
            <w:shd w:val="clear" w:color="auto" w:fill="auto"/>
            <w:vAlign w:val="bottom"/>
            <w:hideMark/>
          </w:tcPr>
          <w:p w14:paraId="2D76F4EE" w14:textId="5A6A06DF" w:rsidR="00133823" w:rsidRDefault="00133823" w:rsidP="00EC3476">
            <w:pPr>
              <w:autoSpaceDE/>
              <w:autoSpaceDN/>
              <w:adjustRightInd/>
              <w:jc w:val="right"/>
              <w:rPr>
                <w:b/>
                <w:bCs/>
                <w:color w:val="000000"/>
                <w:sz w:val="22"/>
                <w:szCs w:val="22"/>
              </w:rPr>
            </w:pPr>
            <w:r>
              <w:rPr>
                <w:b/>
                <w:bCs/>
                <w:color w:val="000000"/>
                <w:sz w:val="22"/>
                <w:szCs w:val="22"/>
              </w:rPr>
              <w:t xml:space="preserve">Average </w:t>
            </w:r>
            <w:r w:rsidR="00EC3476" w:rsidRPr="00EC3476">
              <w:rPr>
                <w:b/>
                <w:bCs/>
                <w:color w:val="000000"/>
                <w:sz w:val="22"/>
                <w:szCs w:val="22"/>
              </w:rPr>
              <w:t xml:space="preserve">time </w:t>
            </w:r>
          </w:p>
          <w:p w14:paraId="5EEA04AF" w14:textId="479F1E56" w:rsidR="00EC3476" w:rsidRPr="00EC3476" w:rsidRDefault="00EC3476" w:rsidP="00EC3476">
            <w:pPr>
              <w:autoSpaceDE/>
              <w:autoSpaceDN/>
              <w:adjustRightInd/>
              <w:jc w:val="right"/>
              <w:rPr>
                <w:b/>
                <w:bCs/>
                <w:color w:val="000000"/>
                <w:sz w:val="22"/>
                <w:szCs w:val="22"/>
              </w:rPr>
            </w:pPr>
            <w:r w:rsidRPr="00EC3476">
              <w:rPr>
                <w:b/>
                <w:bCs/>
                <w:color w:val="000000"/>
                <w:sz w:val="22"/>
                <w:szCs w:val="22"/>
              </w:rPr>
              <w:t>to complete form</w:t>
            </w:r>
          </w:p>
        </w:tc>
        <w:tc>
          <w:tcPr>
            <w:tcW w:w="1620" w:type="dxa"/>
            <w:tcBorders>
              <w:top w:val="single" w:sz="4" w:space="0" w:color="auto"/>
              <w:left w:val="nil"/>
              <w:bottom w:val="single" w:sz="4" w:space="0" w:color="auto"/>
              <w:right w:val="nil"/>
            </w:tcBorders>
            <w:shd w:val="clear" w:color="auto" w:fill="auto"/>
            <w:vAlign w:val="bottom"/>
            <w:hideMark/>
          </w:tcPr>
          <w:p w14:paraId="30968223" w14:textId="2B64EE28" w:rsidR="00133823" w:rsidRDefault="00133823" w:rsidP="00EC3476">
            <w:pPr>
              <w:autoSpaceDE/>
              <w:autoSpaceDN/>
              <w:adjustRightInd/>
              <w:jc w:val="right"/>
              <w:rPr>
                <w:b/>
                <w:bCs/>
                <w:color w:val="000000"/>
                <w:sz w:val="22"/>
                <w:szCs w:val="22"/>
              </w:rPr>
            </w:pPr>
            <w:r>
              <w:rPr>
                <w:b/>
                <w:bCs/>
                <w:color w:val="000000"/>
                <w:sz w:val="22"/>
                <w:szCs w:val="22"/>
              </w:rPr>
              <w:t xml:space="preserve">Average </w:t>
            </w:r>
            <w:r w:rsidR="00EC3476" w:rsidRPr="00EC3476">
              <w:rPr>
                <w:b/>
                <w:bCs/>
                <w:color w:val="000000"/>
                <w:sz w:val="22"/>
                <w:szCs w:val="22"/>
              </w:rPr>
              <w:t xml:space="preserve">time </w:t>
            </w:r>
          </w:p>
          <w:p w14:paraId="52C28637" w14:textId="052E00CE" w:rsidR="00EC3476" w:rsidRPr="00EC3476" w:rsidRDefault="00E16B01" w:rsidP="00133823">
            <w:pPr>
              <w:autoSpaceDE/>
              <w:autoSpaceDN/>
              <w:adjustRightInd/>
              <w:jc w:val="right"/>
              <w:rPr>
                <w:b/>
                <w:bCs/>
                <w:color w:val="000000"/>
                <w:sz w:val="22"/>
                <w:szCs w:val="22"/>
              </w:rPr>
            </w:pPr>
            <w:r>
              <w:rPr>
                <w:b/>
                <w:bCs/>
                <w:color w:val="000000"/>
                <w:sz w:val="22"/>
                <w:szCs w:val="22"/>
              </w:rPr>
              <w:t>pre- and post-survey</w:t>
            </w:r>
          </w:p>
        </w:tc>
        <w:tc>
          <w:tcPr>
            <w:tcW w:w="1260" w:type="dxa"/>
            <w:tcBorders>
              <w:top w:val="single" w:sz="4" w:space="0" w:color="auto"/>
              <w:left w:val="nil"/>
              <w:bottom w:val="single" w:sz="4" w:space="0" w:color="auto"/>
              <w:right w:val="nil"/>
            </w:tcBorders>
            <w:shd w:val="clear" w:color="auto" w:fill="auto"/>
            <w:vAlign w:val="bottom"/>
            <w:hideMark/>
          </w:tcPr>
          <w:p w14:paraId="0BA3C141" w14:textId="6D3BD340" w:rsidR="00EC3476" w:rsidRPr="00EC3476" w:rsidRDefault="00EC3476" w:rsidP="00EC3476">
            <w:pPr>
              <w:autoSpaceDE/>
              <w:autoSpaceDN/>
              <w:adjustRightInd/>
              <w:jc w:val="right"/>
              <w:rPr>
                <w:b/>
                <w:bCs/>
                <w:color w:val="000000"/>
                <w:sz w:val="22"/>
                <w:szCs w:val="22"/>
              </w:rPr>
            </w:pPr>
            <w:r w:rsidRPr="00EC3476">
              <w:rPr>
                <w:b/>
                <w:bCs/>
                <w:color w:val="000000"/>
                <w:sz w:val="22"/>
                <w:szCs w:val="22"/>
              </w:rPr>
              <w:t>Tota</w:t>
            </w:r>
            <w:r w:rsidR="00133823">
              <w:rPr>
                <w:b/>
                <w:bCs/>
                <w:color w:val="000000"/>
                <w:sz w:val="22"/>
                <w:szCs w:val="22"/>
              </w:rPr>
              <w:t>l</w:t>
            </w:r>
            <w:r w:rsidR="00133823">
              <w:rPr>
                <w:b/>
                <w:bCs/>
                <w:color w:val="000000"/>
                <w:sz w:val="22"/>
                <w:szCs w:val="22"/>
              </w:rPr>
              <w:br/>
              <w:t xml:space="preserve">average </w:t>
            </w:r>
            <w:r w:rsidRPr="00EC3476">
              <w:rPr>
                <w:b/>
                <w:bCs/>
                <w:color w:val="000000"/>
                <w:sz w:val="22"/>
                <w:szCs w:val="22"/>
              </w:rPr>
              <w:t>time</w:t>
            </w:r>
          </w:p>
        </w:tc>
        <w:tc>
          <w:tcPr>
            <w:tcW w:w="1452" w:type="dxa"/>
            <w:tcBorders>
              <w:top w:val="single" w:sz="4" w:space="0" w:color="auto"/>
              <w:left w:val="nil"/>
              <w:bottom w:val="single" w:sz="4" w:space="0" w:color="auto"/>
              <w:right w:val="nil"/>
            </w:tcBorders>
            <w:shd w:val="clear" w:color="auto" w:fill="auto"/>
            <w:vAlign w:val="bottom"/>
            <w:hideMark/>
          </w:tcPr>
          <w:p w14:paraId="243982DA" w14:textId="77777777" w:rsidR="00EC3476" w:rsidRPr="00EC3476" w:rsidRDefault="00EC3476" w:rsidP="00EC3476">
            <w:pPr>
              <w:autoSpaceDE/>
              <w:autoSpaceDN/>
              <w:adjustRightInd/>
              <w:jc w:val="right"/>
              <w:rPr>
                <w:b/>
                <w:bCs/>
                <w:color w:val="000000"/>
                <w:sz w:val="22"/>
                <w:szCs w:val="22"/>
              </w:rPr>
            </w:pPr>
            <w:r w:rsidRPr="00EC3476">
              <w:rPr>
                <w:b/>
                <w:bCs/>
                <w:color w:val="000000"/>
                <w:sz w:val="22"/>
                <w:szCs w:val="22"/>
              </w:rPr>
              <w:t>Reporting hours</w:t>
            </w:r>
          </w:p>
        </w:tc>
      </w:tr>
      <w:tr w:rsidR="00EC3476" w:rsidRPr="00EC3476" w14:paraId="2EB0E338" w14:textId="77777777" w:rsidTr="00DF4D22">
        <w:trPr>
          <w:trHeight w:val="300"/>
        </w:trPr>
        <w:tc>
          <w:tcPr>
            <w:tcW w:w="1980" w:type="dxa"/>
            <w:tcBorders>
              <w:top w:val="nil"/>
              <w:left w:val="nil"/>
              <w:bottom w:val="nil"/>
              <w:right w:val="nil"/>
            </w:tcBorders>
            <w:shd w:val="clear" w:color="auto" w:fill="auto"/>
            <w:noWrap/>
            <w:vAlign w:val="bottom"/>
            <w:hideMark/>
          </w:tcPr>
          <w:p w14:paraId="1DD30C56" w14:textId="77777777" w:rsidR="00EC3476" w:rsidRPr="00EC3476" w:rsidRDefault="00EC3476" w:rsidP="00EC3476">
            <w:pPr>
              <w:autoSpaceDE/>
              <w:autoSpaceDN/>
              <w:adjustRightInd/>
              <w:rPr>
                <w:color w:val="000000"/>
                <w:sz w:val="22"/>
                <w:szCs w:val="22"/>
              </w:rPr>
            </w:pPr>
            <w:r w:rsidRPr="00EC3476">
              <w:rPr>
                <w:color w:val="000000"/>
                <w:sz w:val="22"/>
                <w:szCs w:val="22"/>
              </w:rPr>
              <w:t>Cognitive interview</w:t>
            </w:r>
          </w:p>
        </w:tc>
        <w:tc>
          <w:tcPr>
            <w:tcW w:w="1530" w:type="dxa"/>
            <w:tcBorders>
              <w:top w:val="nil"/>
              <w:left w:val="nil"/>
              <w:bottom w:val="nil"/>
              <w:right w:val="nil"/>
            </w:tcBorders>
            <w:shd w:val="clear" w:color="auto" w:fill="auto"/>
            <w:noWrap/>
            <w:vAlign w:val="bottom"/>
            <w:hideMark/>
          </w:tcPr>
          <w:p w14:paraId="448CFBA2" w14:textId="77777777" w:rsidR="00EC3476" w:rsidRPr="00EC3476" w:rsidRDefault="00EC3476" w:rsidP="00EC3476">
            <w:pPr>
              <w:autoSpaceDE/>
              <w:autoSpaceDN/>
              <w:adjustRightInd/>
              <w:jc w:val="right"/>
              <w:rPr>
                <w:color w:val="000000"/>
                <w:sz w:val="22"/>
                <w:szCs w:val="22"/>
              </w:rPr>
            </w:pPr>
            <w:r w:rsidRPr="00EC3476">
              <w:rPr>
                <w:color w:val="000000"/>
                <w:sz w:val="22"/>
                <w:szCs w:val="22"/>
              </w:rPr>
              <w:t xml:space="preserve"> 48 </w:t>
            </w:r>
          </w:p>
        </w:tc>
        <w:tc>
          <w:tcPr>
            <w:tcW w:w="1620" w:type="dxa"/>
            <w:tcBorders>
              <w:top w:val="nil"/>
              <w:left w:val="nil"/>
              <w:bottom w:val="nil"/>
              <w:right w:val="nil"/>
            </w:tcBorders>
            <w:shd w:val="clear" w:color="auto" w:fill="auto"/>
            <w:noWrap/>
            <w:vAlign w:val="bottom"/>
            <w:hideMark/>
          </w:tcPr>
          <w:p w14:paraId="6F9E5F20" w14:textId="77777777" w:rsidR="00EC3476" w:rsidRPr="00EC3476" w:rsidRDefault="00EC3476" w:rsidP="00EC3476">
            <w:pPr>
              <w:autoSpaceDE/>
              <w:autoSpaceDN/>
              <w:adjustRightInd/>
              <w:jc w:val="right"/>
              <w:rPr>
                <w:color w:val="000000"/>
                <w:sz w:val="22"/>
                <w:szCs w:val="22"/>
              </w:rPr>
            </w:pPr>
            <w:r w:rsidRPr="00EC3476">
              <w:rPr>
                <w:color w:val="000000"/>
                <w:sz w:val="22"/>
                <w:szCs w:val="22"/>
              </w:rPr>
              <w:t xml:space="preserve"> 0.50 </w:t>
            </w:r>
          </w:p>
        </w:tc>
        <w:tc>
          <w:tcPr>
            <w:tcW w:w="1620" w:type="dxa"/>
            <w:tcBorders>
              <w:top w:val="nil"/>
              <w:left w:val="nil"/>
              <w:bottom w:val="nil"/>
              <w:right w:val="nil"/>
            </w:tcBorders>
            <w:shd w:val="clear" w:color="auto" w:fill="auto"/>
            <w:noWrap/>
            <w:vAlign w:val="bottom"/>
            <w:hideMark/>
          </w:tcPr>
          <w:p w14:paraId="29B43055" w14:textId="7A5E5DAB" w:rsidR="00EC3476" w:rsidRPr="00EC3476" w:rsidRDefault="00133823" w:rsidP="00EC3476">
            <w:pPr>
              <w:autoSpaceDE/>
              <w:autoSpaceDN/>
              <w:adjustRightInd/>
              <w:jc w:val="right"/>
              <w:rPr>
                <w:color w:val="000000"/>
                <w:sz w:val="22"/>
                <w:szCs w:val="22"/>
              </w:rPr>
            </w:pPr>
            <w:r>
              <w:rPr>
                <w:color w:val="000000"/>
                <w:sz w:val="22"/>
                <w:szCs w:val="22"/>
              </w:rPr>
              <w:t>1.00</w:t>
            </w:r>
            <w:r w:rsidR="00EC3476" w:rsidRPr="00EC3476">
              <w:rPr>
                <w:color w:val="000000"/>
                <w:sz w:val="22"/>
                <w:szCs w:val="22"/>
              </w:rPr>
              <w:t xml:space="preserve"> </w:t>
            </w:r>
          </w:p>
        </w:tc>
        <w:tc>
          <w:tcPr>
            <w:tcW w:w="1260" w:type="dxa"/>
            <w:tcBorders>
              <w:top w:val="nil"/>
              <w:left w:val="nil"/>
              <w:bottom w:val="nil"/>
              <w:right w:val="nil"/>
            </w:tcBorders>
            <w:shd w:val="clear" w:color="auto" w:fill="auto"/>
            <w:noWrap/>
            <w:vAlign w:val="bottom"/>
            <w:hideMark/>
          </w:tcPr>
          <w:p w14:paraId="00AF0154" w14:textId="70F4DA49" w:rsidR="00EC3476" w:rsidRPr="00EC3476" w:rsidRDefault="00EC3476" w:rsidP="00133823">
            <w:pPr>
              <w:autoSpaceDE/>
              <w:autoSpaceDN/>
              <w:adjustRightInd/>
              <w:jc w:val="right"/>
              <w:rPr>
                <w:color w:val="000000"/>
                <w:sz w:val="22"/>
                <w:szCs w:val="22"/>
              </w:rPr>
            </w:pPr>
            <w:r w:rsidRPr="00EC3476">
              <w:rPr>
                <w:color w:val="000000"/>
                <w:sz w:val="22"/>
                <w:szCs w:val="22"/>
              </w:rPr>
              <w:t xml:space="preserve"> 1.</w:t>
            </w:r>
            <w:r w:rsidR="00133823">
              <w:rPr>
                <w:color w:val="000000"/>
                <w:sz w:val="22"/>
                <w:szCs w:val="22"/>
              </w:rPr>
              <w:t>50</w:t>
            </w:r>
            <w:r w:rsidRPr="00EC3476">
              <w:rPr>
                <w:color w:val="000000"/>
                <w:sz w:val="22"/>
                <w:szCs w:val="22"/>
              </w:rPr>
              <w:t xml:space="preserve"> </w:t>
            </w:r>
          </w:p>
        </w:tc>
        <w:tc>
          <w:tcPr>
            <w:tcW w:w="1452" w:type="dxa"/>
            <w:tcBorders>
              <w:top w:val="nil"/>
              <w:left w:val="nil"/>
              <w:bottom w:val="nil"/>
              <w:right w:val="nil"/>
            </w:tcBorders>
            <w:shd w:val="clear" w:color="auto" w:fill="auto"/>
            <w:noWrap/>
            <w:vAlign w:val="bottom"/>
            <w:hideMark/>
          </w:tcPr>
          <w:p w14:paraId="54D29BD3" w14:textId="0FB5ADE8" w:rsidR="00EC3476" w:rsidRPr="00EC3476" w:rsidRDefault="00EC3476" w:rsidP="00133823">
            <w:pPr>
              <w:autoSpaceDE/>
              <w:autoSpaceDN/>
              <w:adjustRightInd/>
              <w:jc w:val="right"/>
              <w:rPr>
                <w:color w:val="000000"/>
                <w:sz w:val="22"/>
                <w:szCs w:val="22"/>
              </w:rPr>
            </w:pPr>
            <w:r w:rsidRPr="00EC3476">
              <w:rPr>
                <w:color w:val="000000"/>
                <w:sz w:val="22"/>
                <w:szCs w:val="22"/>
              </w:rPr>
              <w:t xml:space="preserve"> </w:t>
            </w:r>
            <w:r w:rsidR="00133823">
              <w:rPr>
                <w:color w:val="000000"/>
                <w:sz w:val="22"/>
                <w:szCs w:val="22"/>
              </w:rPr>
              <w:t>72</w:t>
            </w:r>
            <w:r w:rsidRPr="00EC3476">
              <w:rPr>
                <w:color w:val="000000"/>
                <w:sz w:val="22"/>
                <w:szCs w:val="22"/>
              </w:rPr>
              <w:t xml:space="preserve"> </w:t>
            </w:r>
          </w:p>
        </w:tc>
      </w:tr>
      <w:tr w:rsidR="00EC3476" w:rsidRPr="00EC3476" w14:paraId="350F31EC" w14:textId="77777777" w:rsidTr="00DF4D22">
        <w:trPr>
          <w:trHeight w:val="300"/>
        </w:trPr>
        <w:tc>
          <w:tcPr>
            <w:tcW w:w="1980" w:type="dxa"/>
            <w:tcBorders>
              <w:top w:val="nil"/>
              <w:left w:val="nil"/>
              <w:bottom w:val="nil"/>
              <w:right w:val="nil"/>
            </w:tcBorders>
            <w:shd w:val="clear" w:color="auto" w:fill="auto"/>
            <w:noWrap/>
            <w:vAlign w:val="bottom"/>
            <w:hideMark/>
          </w:tcPr>
          <w:p w14:paraId="53099A0F" w14:textId="77777777" w:rsidR="00EC3476" w:rsidRPr="00EC3476" w:rsidRDefault="00EC3476" w:rsidP="00EC3476">
            <w:pPr>
              <w:autoSpaceDE/>
              <w:autoSpaceDN/>
              <w:adjustRightInd/>
              <w:rPr>
                <w:color w:val="000000"/>
                <w:sz w:val="22"/>
                <w:szCs w:val="22"/>
              </w:rPr>
            </w:pPr>
            <w:r w:rsidRPr="00EC3476">
              <w:rPr>
                <w:color w:val="000000"/>
                <w:sz w:val="22"/>
                <w:szCs w:val="22"/>
              </w:rPr>
              <w:t>2018 CSLLEA</w:t>
            </w:r>
          </w:p>
        </w:tc>
        <w:tc>
          <w:tcPr>
            <w:tcW w:w="1530" w:type="dxa"/>
            <w:tcBorders>
              <w:top w:val="nil"/>
              <w:left w:val="nil"/>
              <w:bottom w:val="nil"/>
              <w:right w:val="nil"/>
            </w:tcBorders>
            <w:shd w:val="clear" w:color="auto" w:fill="auto"/>
            <w:noWrap/>
            <w:vAlign w:val="bottom"/>
            <w:hideMark/>
          </w:tcPr>
          <w:p w14:paraId="32680C90" w14:textId="0F19E38B" w:rsidR="00EC3476" w:rsidRPr="00EC3476" w:rsidRDefault="00EC3476" w:rsidP="00EC3476">
            <w:pPr>
              <w:autoSpaceDE/>
              <w:autoSpaceDN/>
              <w:adjustRightInd/>
              <w:jc w:val="right"/>
              <w:rPr>
                <w:color w:val="000000"/>
                <w:sz w:val="22"/>
                <w:szCs w:val="22"/>
              </w:rPr>
            </w:pPr>
            <w:r w:rsidRPr="00EC3476">
              <w:rPr>
                <w:color w:val="000000"/>
                <w:sz w:val="22"/>
                <w:szCs w:val="22"/>
              </w:rPr>
              <w:t xml:space="preserve"> 2</w:t>
            </w:r>
            <w:r w:rsidR="00133823">
              <w:rPr>
                <w:color w:val="000000"/>
                <w:sz w:val="22"/>
                <w:szCs w:val="22"/>
              </w:rPr>
              <w:t>0</w:t>
            </w:r>
            <w:r w:rsidRPr="00EC3476">
              <w:rPr>
                <w:color w:val="000000"/>
                <w:sz w:val="22"/>
                <w:szCs w:val="22"/>
              </w:rPr>
              <w:t xml:space="preserve">,000 </w:t>
            </w:r>
          </w:p>
        </w:tc>
        <w:tc>
          <w:tcPr>
            <w:tcW w:w="1620" w:type="dxa"/>
            <w:tcBorders>
              <w:top w:val="nil"/>
              <w:left w:val="nil"/>
              <w:bottom w:val="nil"/>
              <w:right w:val="nil"/>
            </w:tcBorders>
            <w:shd w:val="clear" w:color="auto" w:fill="auto"/>
            <w:noWrap/>
            <w:vAlign w:val="bottom"/>
            <w:hideMark/>
          </w:tcPr>
          <w:p w14:paraId="5CB6C55B" w14:textId="77777777" w:rsidR="00EC3476" w:rsidRPr="00EC3476" w:rsidRDefault="00EC3476" w:rsidP="00EC3476">
            <w:pPr>
              <w:autoSpaceDE/>
              <w:autoSpaceDN/>
              <w:adjustRightInd/>
              <w:jc w:val="right"/>
              <w:rPr>
                <w:color w:val="000000"/>
                <w:sz w:val="22"/>
                <w:szCs w:val="22"/>
              </w:rPr>
            </w:pPr>
            <w:r w:rsidRPr="00EC3476">
              <w:rPr>
                <w:color w:val="000000"/>
                <w:sz w:val="22"/>
                <w:szCs w:val="22"/>
              </w:rPr>
              <w:t xml:space="preserve"> 0.50 </w:t>
            </w:r>
          </w:p>
        </w:tc>
        <w:tc>
          <w:tcPr>
            <w:tcW w:w="1620" w:type="dxa"/>
            <w:tcBorders>
              <w:top w:val="nil"/>
              <w:left w:val="nil"/>
              <w:bottom w:val="nil"/>
              <w:right w:val="nil"/>
            </w:tcBorders>
            <w:shd w:val="clear" w:color="auto" w:fill="auto"/>
            <w:noWrap/>
            <w:vAlign w:val="bottom"/>
            <w:hideMark/>
          </w:tcPr>
          <w:p w14:paraId="6ABE141D" w14:textId="77777777" w:rsidR="00EC3476" w:rsidRPr="00EC3476" w:rsidRDefault="00EC3476" w:rsidP="00EC3476">
            <w:pPr>
              <w:autoSpaceDE/>
              <w:autoSpaceDN/>
              <w:adjustRightInd/>
              <w:jc w:val="right"/>
              <w:rPr>
                <w:color w:val="000000"/>
                <w:sz w:val="22"/>
                <w:szCs w:val="22"/>
              </w:rPr>
            </w:pPr>
            <w:r w:rsidRPr="00EC3476">
              <w:rPr>
                <w:color w:val="000000"/>
                <w:sz w:val="22"/>
                <w:szCs w:val="22"/>
              </w:rPr>
              <w:t xml:space="preserve"> 0.25 </w:t>
            </w:r>
          </w:p>
        </w:tc>
        <w:tc>
          <w:tcPr>
            <w:tcW w:w="1260" w:type="dxa"/>
            <w:tcBorders>
              <w:top w:val="nil"/>
              <w:left w:val="nil"/>
              <w:bottom w:val="nil"/>
              <w:right w:val="nil"/>
            </w:tcBorders>
            <w:shd w:val="clear" w:color="auto" w:fill="auto"/>
            <w:noWrap/>
            <w:vAlign w:val="bottom"/>
            <w:hideMark/>
          </w:tcPr>
          <w:p w14:paraId="1916977F" w14:textId="77777777" w:rsidR="00EC3476" w:rsidRPr="00EC3476" w:rsidRDefault="00EC3476" w:rsidP="00EC3476">
            <w:pPr>
              <w:autoSpaceDE/>
              <w:autoSpaceDN/>
              <w:adjustRightInd/>
              <w:jc w:val="right"/>
              <w:rPr>
                <w:color w:val="000000"/>
                <w:sz w:val="22"/>
                <w:szCs w:val="22"/>
              </w:rPr>
            </w:pPr>
            <w:r w:rsidRPr="00EC3476">
              <w:rPr>
                <w:color w:val="000000"/>
                <w:sz w:val="22"/>
                <w:szCs w:val="22"/>
              </w:rPr>
              <w:t xml:space="preserve"> 0.75 </w:t>
            </w:r>
          </w:p>
        </w:tc>
        <w:tc>
          <w:tcPr>
            <w:tcW w:w="1452" w:type="dxa"/>
            <w:tcBorders>
              <w:top w:val="nil"/>
              <w:left w:val="nil"/>
              <w:bottom w:val="nil"/>
              <w:right w:val="nil"/>
            </w:tcBorders>
            <w:shd w:val="clear" w:color="auto" w:fill="auto"/>
            <w:noWrap/>
            <w:vAlign w:val="bottom"/>
            <w:hideMark/>
          </w:tcPr>
          <w:p w14:paraId="12BE9963" w14:textId="6AE3F69C" w:rsidR="00EC3476" w:rsidRPr="00EC3476" w:rsidRDefault="00133823" w:rsidP="00EC3476">
            <w:pPr>
              <w:autoSpaceDE/>
              <w:autoSpaceDN/>
              <w:adjustRightInd/>
              <w:jc w:val="right"/>
              <w:rPr>
                <w:color w:val="000000"/>
                <w:sz w:val="22"/>
                <w:szCs w:val="22"/>
              </w:rPr>
            </w:pPr>
            <w:r>
              <w:rPr>
                <w:color w:val="000000"/>
                <w:sz w:val="22"/>
                <w:szCs w:val="22"/>
              </w:rPr>
              <w:t xml:space="preserve"> 15,0</w:t>
            </w:r>
            <w:r w:rsidR="00EC3476" w:rsidRPr="00EC3476">
              <w:rPr>
                <w:color w:val="000000"/>
                <w:sz w:val="22"/>
                <w:szCs w:val="22"/>
              </w:rPr>
              <w:t xml:space="preserve">00 </w:t>
            </w:r>
          </w:p>
        </w:tc>
      </w:tr>
      <w:tr w:rsidR="00EC3476" w:rsidRPr="00EC3476" w14:paraId="5A449593" w14:textId="77777777" w:rsidTr="00DF4D22">
        <w:trPr>
          <w:trHeight w:val="300"/>
        </w:trPr>
        <w:tc>
          <w:tcPr>
            <w:tcW w:w="1980" w:type="dxa"/>
            <w:tcBorders>
              <w:top w:val="nil"/>
              <w:left w:val="nil"/>
              <w:bottom w:val="single" w:sz="4" w:space="0" w:color="auto"/>
              <w:right w:val="nil"/>
            </w:tcBorders>
            <w:shd w:val="clear" w:color="auto" w:fill="auto"/>
            <w:noWrap/>
            <w:vAlign w:val="bottom"/>
            <w:hideMark/>
          </w:tcPr>
          <w:p w14:paraId="22FB051A" w14:textId="77777777" w:rsidR="00EC3476" w:rsidRPr="00EC3476" w:rsidRDefault="00EC3476" w:rsidP="00EC3476">
            <w:pPr>
              <w:autoSpaceDE/>
              <w:autoSpaceDN/>
              <w:adjustRightInd/>
              <w:rPr>
                <w:color w:val="000000"/>
                <w:sz w:val="22"/>
                <w:szCs w:val="22"/>
              </w:rPr>
            </w:pPr>
            <w:r w:rsidRPr="00EC3476">
              <w:rPr>
                <w:color w:val="000000"/>
                <w:sz w:val="22"/>
                <w:szCs w:val="22"/>
              </w:rPr>
              <w:t>Total</w:t>
            </w:r>
          </w:p>
        </w:tc>
        <w:tc>
          <w:tcPr>
            <w:tcW w:w="1530" w:type="dxa"/>
            <w:tcBorders>
              <w:top w:val="nil"/>
              <w:left w:val="nil"/>
              <w:bottom w:val="single" w:sz="4" w:space="0" w:color="auto"/>
              <w:right w:val="nil"/>
            </w:tcBorders>
            <w:shd w:val="clear" w:color="auto" w:fill="auto"/>
            <w:noWrap/>
            <w:vAlign w:val="bottom"/>
          </w:tcPr>
          <w:p w14:paraId="12FF6C2C" w14:textId="065CF86D" w:rsidR="00EC3476" w:rsidRPr="00EC3476" w:rsidRDefault="00EC3476" w:rsidP="00EC3476">
            <w:pPr>
              <w:autoSpaceDE/>
              <w:autoSpaceDN/>
              <w:adjustRightInd/>
              <w:jc w:val="right"/>
              <w:rPr>
                <w:color w:val="000000"/>
                <w:sz w:val="22"/>
                <w:szCs w:val="22"/>
              </w:rPr>
            </w:pPr>
          </w:p>
        </w:tc>
        <w:tc>
          <w:tcPr>
            <w:tcW w:w="1620" w:type="dxa"/>
            <w:tcBorders>
              <w:top w:val="nil"/>
              <w:left w:val="nil"/>
              <w:bottom w:val="single" w:sz="4" w:space="0" w:color="auto"/>
              <w:right w:val="nil"/>
            </w:tcBorders>
            <w:shd w:val="clear" w:color="auto" w:fill="auto"/>
            <w:noWrap/>
            <w:vAlign w:val="bottom"/>
          </w:tcPr>
          <w:p w14:paraId="6BE59086" w14:textId="71BD4DC2" w:rsidR="00EC3476" w:rsidRPr="00EC3476" w:rsidRDefault="00EC3476" w:rsidP="00EC3476">
            <w:pPr>
              <w:autoSpaceDE/>
              <w:autoSpaceDN/>
              <w:adjustRightInd/>
              <w:rPr>
                <w:color w:val="000000"/>
                <w:sz w:val="22"/>
                <w:szCs w:val="22"/>
              </w:rPr>
            </w:pPr>
          </w:p>
        </w:tc>
        <w:tc>
          <w:tcPr>
            <w:tcW w:w="1620" w:type="dxa"/>
            <w:tcBorders>
              <w:top w:val="nil"/>
              <w:left w:val="nil"/>
              <w:bottom w:val="single" w:sz="4" w:space="0" w:color="auto"/>
              <w:right w:val="nil"/>
            </w:tcBorders>
            <w:shd w:val="clear" w:color="auto" w:fill="auto"/>
            <w:noWrap/>
            <w:vAlign w:val="bottom"/>
            <w:hideMark/>
          </w:tcPr>
          <w:p w14:paraId="60E65BE4" w14:textId="77777777" w:rsidR="00EC3476" w:rsidRPr="00EC3476" w:rsidRDefault="00EC3476" w:rsidP="00EC3476">
            <w:pPr>
              <w:autoSpaceDE/>
              <w:autoSpaceDN/>
              <w:adjustRightInd/>
              <w:rPr>
                <w:color w:val="000000"/>
                <w:sz w:val="22"/>
                <w:szCs w:val="22"/>
              </w:rPr>
            </w:pPr>
            <w:r w:rsidRPr="00EC3476">
              <w:rPr>
                <w:color w:val="000000"/>
                <w:sz w:val="22"/>
                <w:szCs w:val="22"/>
              </w:rPr>
              <w:t> </w:t>
            </w:r>
          </w:p>
        </w:tc>
        <w:tc>
          <w:tcPr>
            <w:tcW w:w="1260" w:type="dxa"/>
            <w:tcBorders>
              <w:top w:val="nil"/>
              <w:left w:val="nil"/>
              <w:bottom w:val="single" w:sz="4" w:space="0" w:color="auto"/>
              <w:right w:val="nil"/>
            </w:tcBorders>
            <w:shd w:val="clear" w:color="auto" w:fill="auto"/>
            <w:noWrap/>
            <w:vAlign w:val="bottom"/>
            <w:hideMark/>
          </w:tcPr>
          <w:p w14:paraId="0060135F" w14:textId="77777777" w:rsidR="00EC3476" w:rsidRPr="00EC3476" w:rsidRDefault="00EC3476" w:rsidP="00EC3476">
            <w:pPr>
              <w:autoSpaceDE/>
              <w:autoSpaceDN/>
              <w:adjustRightInd/>
              <w:rPr>
                <w:color w:val="000000"/>
                <w:sz w:val="22"/>
                <w:szCs w:val="22"/>
              </w:rPr>
            </w:pPr>
            <w:r w:rsidRPr="00EC3476">
              <w:rPr>
                <w:color w:val="000000"/>
                <w:sz w:val="22"/>
                <w:szCs w:val="22"/>
              </w:rPr>
              <w:t> </w:t>
            </w:r>
          </w:p>
        </w:tc>
        <w:tc>
          <w:tcPr>
            <w:tcW w:w="1452" w:type="dxa"/>
            <w:tcBorders>
              <w:top w:val="nil"/>
              <w:left w:val="nil"/>
              <w:bottom w:val="single" w:sz="4" w:space="0" w:color="auto"/>
              <w:right w:val="nil"/>
            </w:tcBorders>
            <w:shd w:val="clear" w:color="auto" w:fill="auto"/>
            <w:noWrap/>
            <w:vAlign w:val="bottom"/>
            <w:hideMark/>
          </w:tcPr>
          <w:p w14:paraId="00D3D950" w14:textId="7C78B5AA" w:rsidR="00EC3476" w:rsidRPr="00EC3476" w:rsidRDefault="00EC3476" w:rsidP="00133823">
            <w:pPr>
              <w:autoSpaceDE/>
              <w:autoSpaceDN/>
              <w:adjustRightInd/>
              <w:jc w:val="right"/>
              <w:rPr>
                <w:color w:val="000000"/>
                <w:sz w:val="22"/>
                <w:szCs w:val="22"/>
              </w:rPr>
            </w:pPr>
            <w:r w:rsidRPr="00EC3476">
              <w:rPr>
                <w:color w:val="000000"/>
                <w:sz w:val="22"/>
                <w:szCs w:val="22"/>
              </w:rPr>
              <w:t xml:space="preserve"> </w:t>
            </w:r>
            <w:r w:rsidR="00133823">
              <w:rPr>
                <w:color w:val="000000"/>
                <w:sz w:val="22"/>
                <w:szCs w:val="22"/>
              </w:rPr>
              <w:t>15,072</w:t>
            </w:r>
            <w:r w:rsidRPr="00EC3476">
              <w:rPr>
                <w:color w:val="000000"/>
                <w:sz w:val="22"/>
                <w:szCs w:val="22"/>
              </w:rPr>
              <w:t xml:space="preserve"> </w:t>
            </w:r>
          </w:p>
        </w:tc>
      </w:tr>
    </w:tbl>
    <w:p w14:paraId="0E3BF800" w14:textId="0F2149BD" w:rsidR="002D4812" w:rsidRPr="0012609F" w:rsidRDefault="002D4812" w:rsidP="0012609F">
      <w:pPr>
        <w:shd w:val="solid" w:color="FFFFFF" w:fill="FFFFFF"/>
        <w:tabs>
          <w:tab w:val="left" w:pos="720"/>
        </w:tabs>
        <w:ind w:left="720"/>
        <w:rPr>
          <w:b/>
          <w:bCs/>
          <w:sz w:val="24"/>
          <w:szCs w:val="24"/>
        </w:rPr>
      </w:pPr>
    </w:p>
    <w:p w14:paraId="1108E798" w14:textId="0B169A46" w:rsidR="0012609F" w:rsidRPr="00B66D9B" w:rsidRDefault="0012609F" w:rsidP="00AE1D31">
      <w:pPr>
        <w:numPr>
          <w:ilvl w:val="0"/>
          <w:numId w:val="7"/>
        </w:numPr>
        <w:shd w:val="solid" w:color="FFFFFF" w:fill="FFFFFF"/>
        <w:tabs>
          <w:tab w:val="left" w:pos="720"/>
        </w:tabs>
        <w:ind w:left="720" w:hanging="720"/>
        <w:rPr>
          <w:b/>
          <w:bCs/>
          <w:sz w:val="24"/>
          <w:szCs w:val="24"/>
        </w:rPr>
      </w:pPr>
      <w:r w:rsidRPr="00B66D9B">
        <w:rPr>
          <w:b/>
          <w:sz w:val="24"/>
          <w:szCs w:val="24"/>
        </w:rPr>
        <w:t>Estimate of Respondent Cost</w:t>
      </w:r>
    </w:p>
    <w:p w14:paraId="2DA5D2D2" w14:textId="77777777" w:rsidR="002B6C03" w:rsidRDefault="002B6C03" w:rsidP="00AE1D31">
      <w:pPr>
        <w:numPr>
          <w:ilvl w:val="12"/>
          <w:numId w:val="0"/>
        </w:numPr>
        <w:shd w:val="solid" w:color="FFFFFF" w:fill="FFFFFF"/>
        <w:tabs>
          <w:tab w:val="left" w:pos="360"/>
          <w:tab w:val="left" w:pos="840"/>
          <w:tab w:val="left" w:pos="1200"/>
          <w:tab w:val="left" w:pos="1341"/>
          <w:tab w:val="left" w:pos="2794"/>
        </w:tabs>
        <w:rPr>
          <w:b/>
          <w:sz w:val="24"/>
          <w:szCs w:val="24"/>
        </w:rPr>
      </w:pPr>
    </w:p>
    <w:p w14:paraId="4D958C51" w14:textId="50E1831A" w:rsidR="005870CB" w:rsidRDefault="005870CB" w:rsidP="005870CB">
      <w:pPr>
        <w:pStyle w:val="Default"/>
      </w:pPr>
      <w:r>
        <w:t xml:space="preserve">For the cognitive interviews, BJS anticipates that one or more persons per surveyed agency will spend time </w:t>
      </w:r>
      <w:r w:rsidRPr="00DB124B">
        <w:t>reviewing instructions, searching existing data sources, gathering and maintaining the data needed, and completing and reviewing the collection of information.</w:t>
      </w:r>
      <w:r>
        <w:t xml:space="preserve">  However, only one person per agenc</w:t>
      </w:r>
      <w:r w:rsidR="008805E9">
        <w:t>y</w:t>
      </w:r>
      <w:r>
        <w:t xml:space="preserve"> is expected to participate in the cognitive interview. Whether the response is provided by one or by more than one person, the weighted average for the total burden for each agency is estimated to be 1 hour.  Assuming a pay rate approximately equivalent to the </w:t>
      </w:r>
      <w:r w:rsidR="00AC5487" w:rsidRPr="00AC5487">
        <w:t>GS</w:t>
      </w:r>
      <w:r w:rsidRPr="00AC5487">
        <w:t>-12 / 01 level ($72,</w:t>
      </w:r>
      <w:r w:rsidR="00AC5487" w:rsidRPr="00AC5487">
        <w:t>168</w:t>
      </w:r>
      <w:r w:rsidRPr="00AC5487">
        <w:t xml:space="preserve"> per year)</w:t>
      </w:r>
      <w:r w:rsidRPr="003B22CF">
        <w:t>, the estimated agency cost of employee time would be approximately $34.</w:t>
      </w:r>
      <w:r w:rsidR="00AC5487">
        <w:t>58</w:t>
      </w:r>
      <w:r w:rsidRPr="003B22CF">
        <w:t xml:space="preserve"> </w:t>
      </w:r>
      <w:r>
        <w:t>per</w:t>
      </w:r>
      <w:r w:rsidRPr="003B22CF">
        <w:t xml:space="preserve"> hour. </w:t>
      </w:r>
      <w:r>
        <w:t>Forty-eight agencies will be asked to participate in this activity</w:t>
      </w:r>
      <w:r w:rsidR="00AC5487">
        <w:t xml:space="preserve"> for 72 hours</w:t>
      </w:r>
      <w:r>
        <w:t>, therefore the total cost is estimated at $</w:t>
      </w:r>
      <w:r w:rsidR="00AC5487">
        <w:t>2,490</w:t>
      </w:r>
      <w:r>
        <w:t>.</w:t>
      </w:r>
    </w:p>
    <w:p w14:paraId="7D34EAF2" w14:textId="77777777" w:rsidR="005870CB" w:rsidRPr="003B22CF" w:rsidRDefault="005870CB" w:rsidP="005870CB">
      <w:pPr>
        <w:pStyle w:val="Default"/>
      </w:pPr>
    </w:p>
    <w:p w14:paraId="722638DA" w14:textId="34F88F37" w:rsidR="005870CB" w:rsidRPr="003A12BA" w:rsidRDefault="005870CB" w:rsidP="005870CB">
      <w:pPr>
        <w:pStyle w:val="Default"/>
      </w:pPr>
      <w:r w:rsidRPr="002A019F">
        <w:t xml:space="preserve">Approximately </w:t>
      </w:r>
      <w:r w:rsidR="00AC5487">
        <w:t>20</w:t>
      </w:r>
      <w:r>
        <w:t>,000</w:t>
      </w:r>
      <w:r w:rsidRPr="002A019F">
        <w:t xml:space="preserve"> agencies</w:t>
      </w:r>
      <w:r w:rsidRPr="003B22CF">
        <w:t xml:space="preserve"> will be </w:t>
      </w:r>
      <w:r>
        <w:t xml:space="preserve">asked </w:t>
      </w:r>
      <w:r w:rsidRPr="003B22CF">
        <w:t>to participate in the</w:t>
      </w:r>
      <w:r>
        <w:t xml:space="preserve"> 2018 CSLLEA</w:t>
      </w:r>
      <w:r w:rsidRPr="003B22CF">
        <w:t xml:space="preserve">.  Based on the estimated time burden per response and employee pay rate, the total respondent employee time cost burden is </w:t>
      </w:r>
      <w:r w:rsidRPr="009502B6">
        <w:t>estimated at $</w:t>
      </w:r>
      <w:r w:rsidR="00AC5487">
        <w:t>518,700</w:t>
      </w:r>
      <w:r w:rsidRPr="009502B6">
        <w:t>.</w:t>
      </w:r>
      <w:r>
        <w:t xml:space="preserve"> </w:t>
      </w:r>
    </w:p>
    <w:p w14:paraId="3F5FF59C" w14:textId="77777777" w:rsidR="005870CB" w:rsidRDefault="005870CB" w:rsidP="00587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5F5E4999" w14:textId="766F52FC" w:rsidR="005870CB" w:rsidRDefault="005870CB" w:rsidP="00624F30">
      <w:pPr>
        <w:pStyle w:val="Default"/>
      </w:pPr>
      <w:r>
        <w:t xml:space="preserve">There are no anticipated costs to respondents beyond the employee time expended during completion of the survey instrument and addressed in above. </w:t>
      </w:r>
      <w:r w:rsidR="00624F30">
        <w:t>Therefore</w:t>
      </w:r>
      <w:r w:rsidR="008E2748">
        <w:t>,</w:t>
      </w:r>
      <w:r w:rsidR="00624F30">
        <w:t xml:space="preserve"> the total cost burden to respondents associated with this clearance request is $</w:t>
      </w:r>
      <w:r w:rsidR="00AC5487">
        <w:t>521,190</w:t>
      </w:r>
      <w:r w:rsidR="00624F30">
        <w:t>.</w:t>
      </w:r>
    </w:p>
    <w:p w14:paraId="3F3A49F3" w14:textId="77777777" w:rsidR="005870CB" w:rsidRPr="00394EE5" w:rsidRDefault="005870CB" w:rsidP="00AE1D31">
      <w:pPr>
        <w:numPr>
          <w:ilvl w:val="12"/>
          <w:numId w:val="0"/>
        </w:numPr>
        <w:shd w:val="solid" w:color="FFFFFF" w:fill="FFFFFF"/>
        <w:tabs>
          <w:tab w:val="left" w:pos="360"/>
          <w:tab w:val="left" w:pos="840"/>
          <w:tab w:val="left" w:pos="1200"/>
          <w:tab w:val="left" w:pos="1341"/>
          <w:tab w:val="left" w:pos="2794"/>
        </w:tabs>
        <w:rPr>
          <w:b/>
          <w:sz w:val="24"/>
          <w:szCs w:val="24"/>
        </w:rPr>
      </w:pPr>
    </w:p>
    <w:p w14:paraId="3A33C12D" w14:textId="124D0711" w:rsidR="002D4812" w:rsidRPr="00B66D9B" w:rsidRDefault="002D4812" w:rsidP="00AE1D31">
      <w:pPr>
        <w:numPr>
          <w:ilvl w:val="0"/>
          <w:numId w:val="7"/>
        </w:numPr>
        <w:shd w:val="solid" w:color="FFFFFF" w:fill="FFFFFF"/>
        <w:tabs>
          <w:tab w:val="left" w:pos="720"/>
        </w:tabs>
        <w:ind w:left="720" w:hanging="720"/>
        <w:rPr>
          <w:b/>
          <w:bCs/>
          <w:sz w:val="24"/>
          <w:szCs w:val="24"/>
        </w:rPr>
      </w:pPr>
      <w:r w:rsidRPr="00B66D9B">
        <w:rPr>
          <w:b/>
          <w:sz w:val="24"/>
          <w:szCs w:val="24"/>
        </w:rPr>
        <w:t>Cost to the Federal Government</w:t>
      </w:r>
      <w:r w:rsidR="00AE1D31" w:rsidRPr="00B66D9B">
        <w:rPr>
          <w:b/>
          <w:sz w:val="24"/>
          <w:szCs w:val="24"/>
        </w:rPr>
        <w:t xml:space="preserve"> </w:t>
      </w:r>
    </w:p>
    <w:p w14:paraId="6E86A347" w14:textId="77777777" w:rsidR="00B02718" w:rsidRDefault="00B02718" w:rsidP="00B02718">
      <w:pPr>
        <w:shd w:val="solid" w:color="FFFFFF" w:fill="FFFFFF"/>
        <w:tabs>
          <w:tab w:val="left" w:pos="720"/>
        </w:tabs>
        <w:rPr>
          <w:sz w:val="24"/>
          <w:szCs w:val="24"/>
        </w:rPr>
      </w:pPr>
    </w:p>
    <w:p w14:paraId="3E32C305" w14:textId="18796E1E" w:rsidR="00B02718" w:rsidRDefault="00B02718" w:rsidP="00B02718">
      <w:pPr>
        <w:shd w:val="solid" w:color="FFFFFF" w:fill="FFFFFF"/>
        <w:tabs>
          <w:tab w:val="left" w:pos="720"/>
        </w:tabs>
        <w:rPr>
          <w:bCs/>
          <w:sz w:val="24"/>
          <w:szCs w:val="24"/>
        </w:rPr>
      </w:pPr>
      <w:r w:rsidRPr="00B02718">
        <w:rPr>
          <w:bCs/>
          <w:sz w:val="24"/>
          <w:szCs w:val="24"/>
        </w:rPr>
        <w:t xml:space="preserve">The </w:t>
      </w:r>
      <w:r>
        <w:rPr>
          <w:bCs/>
          <w:sz w:val="24"/>
          <w:szCs w:val="24"/>
        </w:rPr>
        <w:t xml:space="preserve">2018 CSLLEA </w:t>
      </w:r>
      <w:r w:rsidRPr="00B02718">
        <w:rPr>
          <w:bCs/>
          <w:sz w:val="24"/>
          <w:szCs w:val="24"/>
        </w:rPr>
        <w:t>is being developed and conducted under a multi-year cooperative agreement under the LECS program. Table</w:t>
      </w:r>
      <w:r w:rsidR="006D325C">
        <w:rPr>
          <w:bCs/>
          <w:sz w:val="24"/>
          <w:szCs w:val="24"/>
        </w:rPr>
        <w:t xml:space="preserve"> </w:t>
      </w:r>
      <w:r w:rsidR="00E87F2D">
        <w:rPr>
          <w:bCs/>
          <w:sz w:val="24"/>
          <w:szCs w:val="24"/>
        </w:rPr>
        <w:t>3</w:t>
      </w:r>
      <w:r w:rsidR="00E87F2D" w:rsidRPr="00B02718">
        <w:rPr>
          <w:bCs/>
          <w:sz w:val="24"/>
          <w:szCs w:val="24"/>
        </w:rPr>
        <w:t xml:space="preserve"> </w:t>
      </w:r>
      <w:r w:rsidRPr="00B02718">
        <w:rPr>
          <w:bCs/>
          <w:sz w:val="24"/>
          <w:szCs w:val="24"/>
        </w:rPr>
        <w:t>reflects the cost to administer the 201</w:t>
      </w:r>
      <w:r>
        <w:rPr>
          <w:bCs/>
          <w:sz w:val="24"/>
          <w:szCs w:val="24"/>
        </w:rPr>
        <w:t>8 CSLLEA</w:t>
      </w:r>
      <w:r w:rsidRPr="00B02718">
        <w:rPr>
          <w:bCs/>
          <w:sz w:val="24"/>
          <w:szCs w:val="24"/>
        </w:rPr>
        <w:t xml:space="preserve">. </w:t>
      </w:r>
    </w:p>
    <w:p w14:paraId="3C7063C5" w14:textId="77777777" w:rsidR="00B02718" w:rsidRDefault="00B02718" w:rsidP="00B02718">
      <w:pPr>
        <w:shd w:val="solid" w:color="FFFFFF" w:fill="FFFFFF"/>
        <w:tabs>
          <w:tab w:val="left" w:pos="720"/>
        </w:tabs>
        <w:rPr>
          <w:bCs/>
          <w:sz w:val="24"/>
          <w:szCs w:val="24"/>
        </w:rPr>
      </w:pPr>
    </w:p>
    <w:p w14:paraId="3EB044F3" w14:textId="058232DE" w:rsidR="00B02718" w:rsidRPr="00657270" w:rsidRDefault="00B02718" w:rsidP="00B02718">
      <w:pPr>
        <w:rPr>
          <w:b/>
          <w:sz w:val="24"/>
          <w:szCs w:val="24"/>
        </w:rPr>
      </w:pPr>
      <w:r w:rsidRPr="00657270">
        <w:rPr>
          <w:b/>
          <w:sz w:val="24"/>
          <w:szCs w:val="24"/>
        </w:rPr>
        <w:t xml:space="preserve">Table </w:t>
      </w:r>
      <w:r w:rsidR="00E87F2D" w:rsidRPr="00657270">
        <w:rPr>
          <w:b/>
          <w:sz w:val="24"/>
          <w:szCs w:val="24"/>
        </w:rPr>
        <w:t>3</w:t>
      </w:r>
      <w:r w:rsidRPr="00657270">
        <w:rPr>
          <w:b/>
          <w:sz w:val="24"/>
          <w:szCs w:val="24"/>
        </w:rPr>
        <w:t>. Estimated costs for the 2018 CSLLEA</w:t>
      </w:r>
    </w:p>
    <w:tbl>
      <w:tblPr>
        <w:tblW w:w="7020" w:type="dxa"/>
        <w:tblLook w:val="04A0" w:firstRow="1" w:lastRow="0" w:firstColumn="1" w:lastColumn="0" w:noHBand="0" w:noVBand="1"/>
      </w:tblPr>
      <w:tblGrid>
        <w:gridCol w:w="5740"/>
        <w:gridCol w:w="1280"/>
      </w:tblGrid>
      <w:tr w:rsidR="00EC3476" w:rsidRPr="00E87F2D" w14:paraId="6A632C62" w14:textId="77777777" w:rsidTr="00E72695">
        <w:trPr>
          <w:trHeight w:val="300"/>
        </w:trPr>
        <w:tc>
          <w:tcPr>
            <w:tcW w:w="5740" w:type="dxa"/>
            <w:tcBorders>
              <w:top w:val="single" w:sz="4" w:space="0" w:color="auto"/>
              <w:left w:val="nil"/>
              <w:bottom w:val="single" w:sz="4" w:space="0" w:color="auto"/>
              <w:right w:val="nil"/>
            </w:tcBorders>
            <w:shd w:val="clear" w:color="auto" w:fill="auto"/>
            <w:noWrap/>
            <w:vAlign w:val="bottom"/>
            <w:hideMark/>
          </w:tcPr>
          <w:p w14:paraId="0B51E397" w14:textId="77777777" w:rsidR="00EC3476" w:rsidRPr="00657270" w:rsidRDefault="00EC3476" w:rsidP="00EC3476">
            <w:pPr>
              <w:autoSpaceDE/>
              <w:autoSpaceDN/>
              <w:adjustRightInd/>
              <w:jc w:val="center"/>
              <w:rPr>
                <w:b/>
                <w:bCs/>
                <w:color w:val="000000"/>
                <w:sz w:val="24"/>
                <w:szCs w:val="24"/>
              </w:rPr>
            </w:pPr>
            <w:r w:rsidRPr="00657270">
              <w:rPr>
                <w:b/>
                <w:bCs/>
                <w:color w:val="000000"/>
                <w:sz w:val="24"/>
                <w:szCs w:val="24"/>
              </w:rPr>
              <w:t>Category</w:t>
            </w:r>
          </w:p>
        </w:tc>
        <w:tc>
          <w:tcPr>
            <w:tcW w:w="1280" w:type="dxa"/>
            <w:tcBorders>
              <w:top w:val="single" w:sz="4" w:space="0" w:color="auto"/>
              <w:left w:val="nil"/>
              <w:bottom w:val="single" w:sz="4" w:space="0" w:color="auto"/>
              <w:right w:val="nil"/>
            </w:tcBorders>
            <w:shd w:val="clear" w:color="auto" w:fill="auto"/>
            <w:noWrap/>
            <w:vAlign w:val="bottom"/>
            <w:hideMark/>
          </w:tcPr>
          <w:p w14:paraId="5F94CC01" w14:textId="77777777" w:rsidR="00EC3476" w:rsidRPr="00657270" w:rsidRDefault="00EC3476" w:rsidP="00EC3476">
            <w:pPr>
              <w:autoSpaceDE/>
              <w:autoSpaceDN/>
              <w:adjustRightInd/>
              <w:jc w:val="center"/>
              <w:rPr>
                <w:b/>
                <w:bCs/>
                <w:color w:val="000000"/>
                <w:sz w:val="24"/>
                <w:szCs w:val="24"/>
              </w:rPr>
            </w:pPr>
            <w:r w:rsidRPr="00657270">
              <w:rPr>
                <w:b/>
                <w:bCs/>
                <w:color w:val="000000"/>
                <w:sz w:val="24"/>
                <w:szCs w:val="24"/>
              </w:rPr>
              <w:t>Cost</w:t>
            </w:r>
          </w:p>
        </w:tc>
      </w:tr>
      <w:tr w:rsidR="00EC3476" w:rsidRPr="00EC3476" w14:paraId="4F65147D" w14:textId="77777777" w:rsidTr="00E72695">
        <w:trPr>
          <w:trHeight w:val="300"/>
        </w:trPr>
        <w:tc>
          <w:tcPr>
            <w:tcW w:w="5740" w:type="dxa"/>
            <w:tcBorders>
              <w:top w:val="nil"/>
              <w:left w:val="nil"/>
              <w:bottom w:val="nil"/>
              <w:right w:val="nil"/>
            </w:tcBorders>
            <w:shd w:val="clear" w:color="auto" w:fill="auto"/>
            <w:noWrap/>
            <w:vAlign w:val="bottom"/>
            <w:hideMark/>
          </w:tcPr>
          <w:p w14:paraId="79AAACA0" w14:textId="77777777" w:rsidR="00EC3476" w:rsidRPr="00EC3476" w:rsidRDefault="00EC3476" w:rsidP="00EC3476">
            <w:pPr>
              <w:autoSpaceDE/>
              <w:autoSpaceDN/>
              <w:adjustRightInd/>
              <w:rPr>
                <w:color w:val="000000"/>
                <w:sz w:val="22"/>
                <w:szCs w:val="22"/>
              </w:rPr>
            </w:pPr>
            <w:r w:rsidRPr="00EC3476">
              <w:rPr>
                <w:color w:val="000000"/>
                <w:sz w:val="22"/>
                <w:szCs w:val="22"/>
              </w:rPr>
              <w:t>BJS costs</w:t>
            </w:r>
          </w:p>
        </w:tc>
        <w:tc>
          <w:tcPr>
            <w:tcW w:w="1280" w:type="dxa"/>
            <w:tcBorders>
              <w:top w:val="nil"/>
              <w:left w:val="nil"/>
              <w:bottom w:val="nil"/>
              <w:right w:val="nil"/>
            </w:tcBorders>
            <w:shd w:val="clear" w:color="auto" w:fill="auto"/>
            <w:noWrap/>
            <w:vAlign w:val="bottom"/>
            <w:hideMark/>
          </w:tcPr>
          <w:p w14:paraId="23AD6E16" w14:textId="77777777" w:rsidR="00EC3476" w:rsidRPr="00EC3476" w:rsidRDefault="00EC3476" w:rsidP="00EC3476">
            <w:pPr>
              <w:autoSpaceDE/>
              <w:autoSpaceDN/>
              <w:adjustRightInd/>
              <w:rPr>
                <w:color w:val="000000"/>
                <w:sz w:val="22"/>
                <w:szCs w:val="22"/>
              </w:rPr>
            </w:pPr>
          </w:p>
        </w:tc>
      </w:tr>
      <w:tr w:rsidR="00EC3476" w:rsidRPr="00EC3476" w14:paraId="0A3D7AF8" w14:textId="77777777" w:rsidTr="00E72695">
        <w:trPr>
          <w:trHeight w:val="80"/>
        </w:trPr>
        <w:tc>
          <w:tcPr>
            <w:tcW w:w="5740" w:type="dxa"/>
            <w:tcBorders>
              <w:top w:val="nil"/>
              <w:left w:val="nil"/>
              <w:bottom w:val="nil"/>
              <w:right w:val="nil"/>
            </w:tcBorders>
            <w:shd w:val="clear" w:color="auto" w:fill="auto"/>
            <w:noWrap/>
            <w:vAlign w:val="bottom"/>
            <w:hideMark/>
          </w:tcPr>
          <w:p w14:paraId="73CFD8B9" w14:textId="77777777" w:rsidR="00EC3476" w:rsidRPr="00EC3476" w:rsidRDefault="00EC3476" w:rsidP="00EC3476">
            <w:pPr>
              <w:autoSpaceDE/>
              <w:autoSpaceDN/>
              <w:adjustRightInd/>
              <w:ind w:firstLineChars="200" w:firstLine="440"/>
              <w:rPr>
                <w:color w:val="000000"/>
                <w:sz w:val="22"/>
                <w:szCs w:val="22"/>
              </w:rPr>
            </w:pPr>
            <w:r w:rsidRPr="00EC3476">
              <w:rPr>
                <w:color w:val="000000"/>
                <w:sz w:val="22"/>
                <w:szCs w:val="22"/>
              </w:rPr>
              <w:t>Staff salaries</w:t>
            </w:r>
          </w:p>
        </w:tc>
        <w:tc>
          <w:tcPr>
            <w:tcW w:w="1280" w:type="dxa"/>
            <w:tcBorders>
              <w:top w:val="nil"/>
              <w:left w:val="nil"/>
              <w:bottom w:val="nil"/>
              <w:right w:val="nil"/>
            </w:tcBorders>
            <w:shd w:val="clear" w:color="auto" w:fill="auto"/>
            <w:noWrap/>
            <w:vAlign w:val="bottom"/>
            <w:hideMark/>
          </w:tcPr>
          <w:p w14:paraId="07BA1ED5" w14:textId="77777777" w:rsidR="00EC3476" w:rsidRPr="00EC3476" w:rsidRDefault="00EC3476" w:rsidP="00EC3476">
            <w:pPr>
              <w:autoSpaceDE/>
              <w:autoSpaceDN/>
              <w:adjustRightInd/>
              <w:ind w:firstLineChars="200" w:firstLine="440"/>
              <w:rPr>
                <w:color w:val="000000"/>
                <w:sz w:val="22"/>
                <w:szCs w:val="22"/>
              </w:rPr>
            </w:pPr>
          </w:p>
        </w:tc>
      </w:tr>
      <w:tr w:rsidR="00EC3476" w:rsidRPr="00EC3476" w14:paraId="2A539130" w14:textId="77777777" w:rsidTr="00E72695">
        <w:trPr>
          <w:trHeight w:val="300"/>
        </w:trPr>
        <w:tc>
          <w:tcPr>
            <w:tcW w:w="5740" w:type="dxa"/>
            <w:tcBorders>
              <w:top w:val="nil"/>
              <w:left w:val="nil"/>
              <w:bottom w:val="nil"/>
              <w:right w:val="nil"/>
            </w:tcBorders>
            <w:shd w:val="clear" w:color="auto" w:fill="auto"/>
            <w:noWrap/>
            <w:vAlign w:val="bottom"/>
            <w:hideMark/>
          </w:tcPr>
          <w:p w14:paraId="73A3284C" w14:textId="714C208F" w:rsidR="00EC3476" w:rsidRPr="00EC3476" w:rsidRDefault="00AC5487" w:rsidP="00EC3476">
            <w:pPr>
              <w:autoSpaceDE/>
              <w:autoSpaceDN/>
              <w:adjustRightInd/>
              <w:ind w:firstLineChars="400" w:firstLine="880"/>
              <w:rPr>
                <w:color w:val="000000"/>
                <w:sz w:val="22"/>
                <w:szCs w:val="22"/>
              </w:rPr>
            </w:pPr>
            <w:r>
              <w:rPr>
                <w:color w:val="000000"/>
                <w:sz w:val="22"/>
                <w:szCs w:val="22"/>
              </w:rPr>
              <w:t>GS-13</w:t>
            </w:r>
            <w:r w:rsidR="00EC3476" w:rsidRPr="00EC3476">
              <w:rPr>
                <w:color w:val="000000"/>
                <w:sz w:val="22"/>
                <w:szCs w:val="22"/>
              </w:rPr>
              <w:t xml:space="preserve"> Statistician (25%)</w:t>
            </w:r>
          </w:p>
        </w:tc>
        <w:tc>
          <w:tcPr>
            <w:tcW w:w="1280" w:type="dxa"/>
            <w:tcBorders>
              <w:top w:val="nil"/>
              <w:left w:val="nil"/>
              <w:bottom w:val="nil"/>
              <w:right w:val="nil"/>
            </w:tcBorders>
            <w:shd w:val="clear" w:color="auto" w:fill="auto"/>
            <w:noWrap/>
            <w:vAlign w:val="bottom"/>
            <w:hideMark/>
          </w:tcPr>
          <w:p w14:paraId="554DF241" w14:textId="4DAFC40E" w:rsidR="00EC3476" w:rsidRPr="00EC3476" w:rsidRDefault="00AC5487" w:rsidP="006D325C">
            <w:pPr>
              <w:autoSpaceDE/>
              <w:autoSpaceDN/>
              <w:adjustRightInd/>
              <w:ind w:firstLineChars="82" w:firstLine="180"/>
              <w:jc w:val="right"/>
              <w:rPr>
                <w:color w:val="000000"/>
                <w:sz w:val="22"/>
                <w:szCs w:val="22"/>
              </w:rPr>
            </w:pPr>
            <w:r>
              <w:rPr>
                <w:color w:val="000000"/>
                <w:sz w:val="22"/>
                <w:szCs w:val="22"/>
              </w:rPr>
              <w:t>$25,000</w:t>
            </w:r>
          </w:p>
        </w:tc>
      </w:tr>
      <w:tr w:rsidR="00EC3476" w:rsidRPr="00EC3476" w14:paraId="3E272D72" w14:textId="77777777" w:rsidTr="00E72695">
        <w:trPr>
          <w:trHeight w:val="300"/>
        </w:trPr>
        <w:tc>
          <w:tcPr>
            <w:tcW w:w="5740" w:type="dxa"/>
            <w:tcBorders>
              <w:top w:val="nil"/>
              <w:left w:val="nil"/>
              <w:bottom w:val="nil"/>
              <w:right w:val="nil"/>
            </w:tcBorders>
            <w:shd w:val="clear" w:color="auto" w:fill="auto"/>
            <w:noWrap/>
            <w:vAlign w:val="bottom"/>
            <w:hideMark/>
          </w:tcPr>
          <w:p w14:paraId="62F5B5A7" w14:textId="77777777" w:rsidR="00EC3476" w:rsidRPr="00EC3476" w:rsidRDefault="00EC3476" w:rsidP="00EC3476">
            <w:pPr>
              <w:autoSpaceDE/>
              <w:autoSpaceDN/>
              <w:adjustRightInd/>
              <w:ind w:firstLineChars="400" w:firstLine="880"/>
              <w:rPr>
                <w:color w:val="000000"/>
                <w:sz w:val="22"/>
                <w:szCs w:val="22"/>
              </w:rPr>
            </w:pPr>
            <w:r w:rsidRPr="00EC3476">
              <w:rPr>
                <w:color w:val="000000"/>
                <w:sz w:val="22"/>
                <w:szCs w:val="22"/>
              </w:rPr>
              <w:t>GS-15 Supervisory Statistician (3%)</w:t>
            </w:r>
          </w:p>
        </w:tc>
        <w:tc>
          <w:tcPr>
            <w:tcW w:w="1280" w:type="dxa"/>
            <w:tcBorders>
              <w:top w:val="nil"/>
              <w:left w:val="nil"/>
              <w:bottom w:val="nil"/>
              <w:right w:val="nil"/>
            </w:tcBorders>
            <w:shd w:val="clear" w:color="auto" w:fill="auto"/>
            <w:noWrap/>
            <w:vAlign w:val="bottom"/>
            <w:hideMark/>
          </w:tcPr>
          <w:p w14:paraId="0746B1FF" w14:textId="52BED2C7" w:rsidR="00EC3476" w:rsidRPr="00EC3476" w:rsidRDefault="00AC5487" w:rsidP="006D325C">
            <w:pPr>
              <w:autoSpaceDE/>
              <w:autoSpaceDN/>
              <w:adjustRightInd/>
              <w:ind w:firstLineChars="82" w:firstLine="180"/>
              <w:jc w:val="right"/>
              <w:rPr>
                <w:color w:val="000000"/>
                <w:sz w:val="22"/>
                <w:szCs w:val="22"/>
              </w:rPr>
            </w:pPr>
            <w:r>
              <w:rPr>
                <w:color w:val="000000"/>
                <w:sz w:val="22"/>
                <w:szCs w:val="22"/>
              </w:rPr>
              <w:t>$</w:t>
            </w:r>
            <w:r w:rsidR="00657270">
              <w:rPr>
                <w:color w:val="000000"/>
                <w:sz w:val="22"/>
                <w:szCs w:val="22"/>
              </w:rPr>
              <w:t>4</w:t>
            </w:r>
            <w:r>
              <w:rPr>
                <w:color w:val="000000"/>
                <w:sz w:val="22"/>
                <w:szCs w:val="22"/>
              </w:rPr>
              <w:t>,000</w:t>
            </w:r>
          </w:p>
        </w:tc>
      </w:tr>
      <w:tr w:rsidR="00EC3476" w:rsidRPr="00EC3476" w14:paraId="4F728D03" w14:textId="77777777" w:rsidTr="00E72695">
        <w:trPr>
          <w:trHeight w:val="300"/>
        </w:trPr>
        <w:tc>
          <w:tcPr>
            <w:tcW w:w="5740" w:type="dxa"/>
            <w:tcBorders>
              <w:top w:val="nil"/>
              <w:left w:val="nil"/>
              <w:bottom w:val="nil"/>
              <w:right w:val="nil"/>
            </w:tcBorders>
            <w:shd w:val="clear" w:color="auto" w:fill="auto"/>
            <w:noWrap/>
            <w:vAlign w:val="bottom"/>
            <w:hideMark/>
          </w:tcPr>
          <w:p w14:paraId="000755E5" w14:textId="77777777" w:rsidR="00EC3476" w:rsidRPr="00EC3476" w:rsidRDefault="00EC3476" w:rsidP="00EC3476">
            <w:pPr>
              <w:autoSpaceDE/>
              <w:autoSpaceDN/>
              <w:adjustRightInd/>
              <w:ind w:firstLineChars="400" w:firstLine="880"/>
              <w:rPr>
                <w:color w:val="000000"/>
                <w:sz w:val="22"/>
                <w:szCs w:val="22"/>
              </w:rPr>
            </w:pPr>
            <w:r w:rsidRPr="00EC3476">
              <w:rPr>
                <w:color w:val="000000"/>
                <w:sz w:val="22"/>
                <w:szCs w:val="22"/>
              </w:rPr>
              <w:t>GS-13 Editor (10%)</w:t>
            </w:r>
          </w:p>
        </w:tc>
        <w:tc>
          <w:tcPr>
            <w:tcW w:w="1280" w:type="dxa"/>
            <w:tcBorders>
              <w:top w:val="nil"/>
              <w:left w:val="nil"/>
              <w:bottom w:val="nil"/>
              <w:right w:val="nil"/>
            </w:tcBorders>
            <w:shd w:val="clear" w:color="auto" w:fill="auto"/>
            <w:noWrap/>
            <w:vAlign w:val="bottom"/>
            <w:hideMark/>
          </w:tcPr>
          <w:p w14:paraId="3476DFC0" w14:textId="1C283617" w:rsidR="00EC3476" w:rsidRPr="00EC3476" w:rsidRDefault="00AC5487" w:rsidP="006D325C">
            <w:pPr>
              <w:autoSpaceDE/>
              <w:autoSpaceDN/>
              <w:adjustRightInd/>
              <w:ind w:firstLineChars="82" w:firstLine="180"/>
              <w:jc w:val="right"/>
              <w:rPr>
                <w:color w:val="000000"/>
                <w:sz w:val="22"/>
                <w:szCs w:val="22"/>
              </w:rPr>
            </w:pPr>
            <w:r>
              <w:rPr>
                <w:color w:val="000000"/>
                <w:sz w:val="22"/>
                <w:szCs w:val="22"/>
              </w:rPr>
              <w:t>$10,000</w:t>
            </w:r>
          </w:p>
        </w:tc>
      </w:tr>
      <w:tr w:rsidR="00EC3476" w:rsidRPr="00EC3476" w14:paraId="391A6E54" w14:textId="77777777" w:rsidTr="00E72695">
        <w:trPr>
          <w:trHeight w:val="300"/>
        </w:trPr>
        <w:tc>
          <w:tcPr>
            <w:tcW w:w="5740" w:type="dxa"/>
            <w:tcBorders>
              <w:top w:val="nil"/>
              <w:left w:val="nil"/>
              <w:bottom w:val="nil"/>
              <w:right w:val="nil"/>
            </w:tcBorders>
            <w:shd w:val="clear" w:color="auto" w:fill="auto"/>
            <w:noWrap/>
            <w:vAlign w:val="bottom"/>
            <w:hideMark/>
          </w:tcPr>
          <w:p w14:paraId="78987F68" w14:textId="77777777" w:rsidR="00EC3476" w:rsidRPr="00EC3476" w:rsidRDefault="00EC3476" w:rsidP="00EC3476">
            <w:pPr>
              <w:autoSpaceDE/>
              <w:autoSpaceDN/>
              <w:adjustRightInd/>
              <w:ind w:firstLineChars="400" w:firstLine="880"/>
              <w:rPr>
                <w:color w:val="000000"/>
                <w:sz w:val="22"/>
                <w:szCs w:val="22"/>
              </w:rPr>
            </w:pPr>
            <w:r w:rsidRPr="00EC3476">
              <w:rPr>
                <w:color w:val="000000"/>
                <w:sz w:val="22"/>
                <w:szCs w:val="22"/>
              </w:rPr>
              <w:t>Other Editorial Staff</w:t>
            </w:r>
          </w:p>
        </w:tc>
        <w:tc>
          <w:tcPr>
            <w:tcW w:w="1280" w:type="dxa"/>
            <w:tcBorders>
              <w:top w:val="nil"/>
              <w:left w:val="nil"/>
              <w:bottom w:val="nil"/>
              <w:right w:val="nil"/>
            </w:tcBorders>
            <w:shd w:val="clear" w:color="auto" w:fill="auto"/>
            <w:noWrap/>
            <w:vAlign w:val="bottom"/>
            <w:hideMark/>
          </w:tcPr>
          <w:p w14:paraId="0D5CB863" w14:textId="6B0133A9" w:rsidR="00EC3476" w:rsidRPr="00EC3476" w:rsidRDefault="00AC5487" w:rsidP="006D325C">
            <w:pPr>
              <w:autoSpaceDE/>
              <w:autoSpaceDN/>
              <w:adjustRightInd/>
              <w:ind w:firstLineChars="82" w:firstLine="180"/>
              <w:jc w:val="right"/>
              <w:rPr>
                <w:color w:val="000000"/>
                <w:sz w:val="22"/>
                <w:szCs w:val="22"/>
              </w:rPr>
            </w:pPr>
            <w:r>
              <w:rPr>
                <w:color w:val="000000"/>
                <w:sz w:val="22"/>
                <w:szCs w:val="22"/>
              </w:rPr>
              <w:t>$5,000</w:t>
            </w:r>
          </w:p>
        </w:tc>
      </w:tr>
      <w:tr w:rsidR="00EC3476" w:rsidRPr="00EC3476" w14:paraId="633A4DAE" w14:textId="77777777" w:rsidTr="00E72695">
        <w:trPr>
          <w:trHeight w:val="300"/>
        </w:trPr>
        <w:tc>
          <w:tcPr>
            <w:tcW w:w="5740" w:type="dxa"/>
            <w:tcBorders>
              <w:top w:val="nil"/>
              <w:left w:val="nil"/>
              <w:bottom w:val="nil"/>
              <w:right w:val="nil"/>
            </w:tcBorders>
            <w:shd w:val="clear" w:color="auto" w:fill="auto"/>
            <w:noWrap/>
            <w:vAlign w:val="bottom"/>
            <w:hideMark/>
          </w:tcPr>
          <w:p w14:paraId="4607677B" w14:textId="77777777" w:rsidR="00EC3476" w:rsidRPr="00EC3476" w:rsidRDefault="00EC3476" w:rsidP="00EC3476">
            <w:pPr>
              <w:autoSpaceDE/>
              <w:autoSpaceDN/>
              <w:adjustRightInd/>
              <w:ind w:firstLineChars="400" w:firstLine="880"/>
              <w:rPr>
                <w:color w:val="000000"/>
                <w:sz w:val="22"/>
                <w:szCs w:val="22"/>
              </w:rPr>
            </w:pPr>
            <w:r w:rsidRPr="00EC3476">
              <w:rPr>
                <w:color w:val="000000"/>
                <w:sz w:val="22"/>
                <w:szCs w:val="22"/>
              </w:rPr>
              <w:t>Front-Office Staff (GS-15 &amp; Directors)</w:t>
            </w:r>
          </w:p>
        </w:tc>
        <w:tc>
          <w:tcPr>
            <w:tcW w:w="1280" w:type="dxa"/>
            <w:tcBorders>
              <w:top w:val="nil"/>
              <w:left w:val="nil"/>
              <w:bottom w:val="nil"/>
              <w:right w:val="nil"/>
            </w:tcBorders>
            <w:shd w:val="clear" w:color="auto" w:fill="auto"/>
            <w:noWrap/>
            <w:vAlign w:val="bottom"/>
            <w:hideMark/>
          </w:tcPr>
          <w:p w14:paraId="2519A0CB" w14:textId="2827CDC9" w:rsidR="00EC3476" w:rsidRPr="00EC3476" w:rsidRDefault="00AC5487" w:rsidP="006D325C">
            <w:pPr>
              <w:autoSpaceDE/>
              <w:autoSpaceDN/>
              <w:adjustRightInd/>
              <w:ind w:firstLineChars="82" w:firstLine="180"/>
              <w:jc w:val="right"/>
              <w:rPr>
                <w:color w:val="000000"/>
                <w:sz w:val="22"/>
                <w:szCs w:val="22"/>
              </w:rPr>
            </w:pPr>
            <w:r>
              <w:rPr>
                <w:color w:val="000000"/>
                <w:sz w:val="22"/>
                <w:szCs w:val="22"/>
              </w:rPr>
              <w:t>$2,000</w:t>
            </w:r>
          </w:p>
        </w:tc>
      </w:tr>
      <w:tr w:rsidR="00EC3476" w:rsidRPr="00EC3476" w14:paraId="0C3876DA" w14:textId="77777777" w:rsidTr="00E72695">
        <w:trPr>
          <w:trHeight w:val="300"/>
        </w:trPr>
        <w:tc>
          <w:tcPr>
            <w:tcW w:w="5740" w:type="dxa"/>
            <w:tcBorders>
              <w:top w:val="nil"/>
              <w:left w:val="nil"/>
              <w:bottom w:val="nil"/>
              <w:right w:val="nil"/>
            </w:tcBorders>
            <w:shd w:val="clear" w:color="auto" w:fill="auto"/>
            <w:noWrap/>
            <w:vAlign w:val="bottom"/>
            <w:hideMark/>
          </w:tcPr>
          <w:p w14:paraId="4EC3066B" w14:textId="77777777" w:rsidR="00EC3476" w:rsidRPr="00EC3476" w:rsidRDefault="00EC3476" w:rsidP="00EC3476">
            <w:pPr>
              <w:autoSpaceDE/>
              <w:autoSpaceDN/>
              <w:adjustRightInd/>
              <w:ind w:firstLineChars="400" w:firstLine="880"/>
              <w:rPr>
                <w:color w:val="000000"/>
                <w:sz w:val="22"/>
                <w:szCs w:val="22"/>
              </w:rPr>
            </w:pPr>
            <w:r w:rsidRPr="00EC3476">
              <w:rPr>
                <w:color w:val="000000"/>
                <w:sz w:val="22"/>
                <w:szCs w:val="22"/>
              </w:rPr>
              <w:t>Subtotal salaries</w:t>
            </w:r>
          </w:p>
        </w:tc>
        <w:tc>
          <w:tcPr>
            <w:tcW w:w="1280" w:type="dxa"/>
            <w:tcBorders>
              <w:top w:val="nil"/>
              <w:left w:val="nil"/>
              <w:bottom w:val="nil"/>
              <w:right w:val="nil"/>
            </w:tcBorders>
            <w:shd w:val="clear" w:color="auto" w:fill="auto"/>
            <w:noWrap/>
            <w:vAlign w:val="bottom"/>
            <w:hideMark/>
          </w:tcPr>
          <w:p w14:paraId="2ADA1A87" w14:textId="5687018E" w:rsidR="00EC3476" w:rsidRPr="00EC3476" w:rsidRDefault="00657270" w:rsidP="006D325C">
            <w:pPr>
              <w:autoSpaceDE/>
              <w:autoSpaceDN/>
              <w:adjustRightInd/>
              <w:jc w:val="right"/>
              <w:rPr>
                <w:color w:val="000000"/>
                <w:sz w:val="22"/>
                <w:szCs w:val="22"/>
              </w:rPr>
            </w:pPr>
            <w:r>
              <w:rPr>
                <w:color w:val="000000"/>
                <w:sz w:val="22"/>
                <w:szCs w:val="22"/>
              </w:rPr>
              <w:t>$46</w:t>
            </w:r>
            <w:r w:rsidR="00AC5487">
              <w:rPr>
                <w:color w:val="000000"/>
                <w:sz w:val="22"/>
                <w:szCs w:val="22"/>
              </w:rPr>
              <w:t>,000</w:t>
            </w:r>
          </w:p>
        </w:tc>
      </w:tr>
      <w:tr w:rsidR="00EC3476" w:rsidRPr="00EC3476" w14:paraId="3F2362B3" w14:textId="77777777" w:rsidTr="00E72695">
        <w:trPr>
          <w:trHeight w:val="300"/>
        </w:trPr>
        <w:tc>
          <w:tcPr>
            <w:tcW w:w="5740" w:type="dxa"/>
            <w:tcBorders>
              <w:top w:val="nil"/>
              <w:left w:val="nil"/>
              <w:bottom w:val="nil"/>
              <w:right w:val="nil"/>
            </w:tcBorders>
            <w:shd w:val="clear" w:color="auto" w:fill="auto"/>
            <w:noWrap/>
            <w:vAlign w:val="bottom"/>
            <w:hideMark/>
          </w:tcPr>
          <w:p w14:paraId="6D343972" w14:textId="77777777" w:rsidR="00EC3476" w:rsidRPr="00EC3476" w:rsidRDefault="00EC3476" w:rsidP="00EC3476">
            <w:pPr>
              <w:autoSpaceDE/>
              <w:autoSpaceDN/>
              <w:adjustRightInd/>
              <w:ind w:firstLineChars="200" w:firstLine="440"/>
              <w:rPr>
                <w:color w:val="000000"/>
                <w:sz w:val="22"/>
                <w:szCs w:val="22"/>
              </w:rPr>
            </w:pPr>
            <w:r w:rsidRPr="00EC3476">
              <w:rPr>
                <w:color w:val="000000"/>
                <w:sz w:val="22"/>
                <w:szCs w:val="22"/>
              </w:rPr>
              <w:t>Fringe benefits (28% of salaries)</w:t>
            </w:r>
          </w:p>
        </w:tc>
        <w:tc>
          <w:tcPr>
            <w:tcW w:w="1280" w:type="dxa"/>
            <w:tcBorders>
              <w:top w:val="nil"/>
              <w:left w:val="nil"/>
              <w:bottom w:val="nil"/>
              <w:right w:val="nil"/>
            </w:tcBorders>
            <w:shd w:val="clear" w:color="auto" w:fill="auto"/>
            <w:noWrap/>
            <w:vAlign w:val="bottom"/>
            <w:hideMark/>
          </w:tcPr>
          <w:p w14:paraId="078CC9B9" w14:textId="589DDBCD" w:rsidR="00EC3476" w:rsidRPr="00EC3476" w:rsidRDefault="00AC5487" w:rsidP="00657270">
            <w:pPr>
              <w:autoSpaceDE/>
              <w:autoSpaceDN/>
              <w:adjustRightInd/>
              <w:jc w:val="right"/>
              <w:rPr>
                <w:color w:val="000000"/>
                <w:sz w:val="22"/>
                <w:szCs w:val="22"/>
              </w:rPr>
            </w:pPr>
            <w:r>
              <w:rPr>
                <w:color w:val="000000"/>
                <w:sz w:val="22"/>
                <w:szCs w:val="22"/>
              </w:rPr>
              <w:t>$</w:t>
            </w:r>
            <w:r w:rsidR="00657270">
              <w:rPr>
                <w:color w:val="000000"/>
                <w:sz w:val="22"/>
                <w:szCs w:val="22"/>
              </w:rPr>
              <w:t>12,880</w:t>
            </w:r>
          </w:p>
        </w:tc>
      </w:tr>
      <w:tr w:rsidR="00EC3476" w:rsidRPr="00EC3476" w14:paraId="164D8378" w14:textId="77777777" w:rsidTr="00E72695">
        <w:trPr>
          <w:trHeight w:val="300"/>
        </w:trPr>
        <w:tc>
          <w:tcPr>
            <w:tcW w:w="5740" w:type="dxa"/>
            <w:tcBorders>
              <w:top w:val="nil"/>
              <w:left w:val="nil"/>
              <w:bottom w:val="nil"/>
              <w:right w:val="nil"/>
            </w:tcBorders>
            <w:shd w:val="clear" w:color="auto" w:fill="auto"/>
            <w:noWrap/>
            <w:vAlign w:val="bottom"/>
            <w:hideMark/>
          </w:tcPr>
          <w:p w14:paraId="4B8E321C" w14:textId="77777777" w:rsidR="00EC3476" w:rsidRPr="00EC3476" w:rsidRDefault="00EC3476" w:rsidP="00EC3476">
            <w:pPr>
              <w:autoSpaceDE/>
              <w:autoSpaceDN/>
              <w:adjustRightInd/>
              <w:ind w:firstLineChars="200" w:firstLine="440"/>
              <w:rPr>
                <w:i/>
                <w:iCs/>
                <w:color w:val="000000"/>
                <w:sz w:val="22"/>
                <w:szCs w:val="22"/>
              </w:rPr>
            </w:pPr>
            <w:r w:rsidRPr="00EC3476">
              <w:rPr>
                <w:i/>
                <w:iCs/>
                <w:color w:val="000000"/>
                <w:sz w:val="22"/>
                <w:szCs w:val="22"/>
              </w:rPr>
              <w:t>Subtotal: Salary &amp; fringe</w:t>
            </w:r>
          </w:p>
        </w:tc>
        <w:tc>
          <w:tcPr>
            <w:tcW w:w="1280" w:type="dxa"/>
            <w:tcBorders>
              <w:top w:val="nil"/>
              <w:left w:val="nil"/>
              <w:bottom w:val="nil"/>
              <w:right w:val="nil"/>
            </w:tcBorders>
            <w:shd w:val="clear" w:color="auto" w:fill="auto"/>
            <w:noWrap/>
            <w:vAlign w:val="bottom"/>
            <w:hideMark/>
          </w:tcPr>
          <w:p w14:paraId="29254825" w14:textId="7A6399FE" w:rsidR="00EC3476" w:rsidRPr="00EC3476" w:rsidRDefault="00AC5487" w:rsidP="00657270">
            <w:pPr>
              <w:autoSpaceDE/>
              <w:autoSpaceDN/>
              <w:adjustRightInd/>
              <w:jc w:val="right"/>
              <w:rPr>
                <w:color w:val="000000"/>
                <w:sz w:val="22"/>
                <w:szCs w:val="22"/>
              </w:rPr>
            </w:pPr>
            <w:r>
              <w:rPr>
                <w:color w:val="000000"/>
                <w:sz w:val="22"/>
                <w:szCs w:val="22"/>
              </w:rPr>
              <w:t>$</w:t>
            </w:r>
            <w:r w:rsidR="00657270">
              <w:rPr>
                <w:color w:val="000000"/>
                <w:sz w:val="22"/>
                <w:szCs w:val="22"/>
              </w:rPr>
              <w:t>58,880</w:t>
            </w:r>
          </w:p>
        </w:tc>
      </w:tr>
      <w:tr w:rsidR="00EC3476" w:rsidRPr="00EC3476" w14:paraId="7E5C3371" w14:textId="77777777" w:rsidTr="00E72695">
        <w:trPr>
          <w:trHeight w:val="300"/>
        </w:trPr>
        <w:tc>
          <w:tcPr>
            <w:tcW w:w="5740" w:type="dxa"/>
            <w:tcBorders>
              <w:top w:val="nil"/>
              <w:left w:val="nil"/>
              <w:bottom w:val="nil"/>
              <w:right w:val="nil"/>
            </w:tcBorders>
            <w:shd w:val="clear" w:color="auto" w:fill="auto"/>
            <w:noWrap/>
            <w:vAlign w:val="bottom"/>
            <w:hideMark/>
          </w:tcPr>
          <w:p w14:paraId="36B945C5" w14:textId="77777777" w:rsidR="00EC3476" w:rsidRPr="00EC3476" w:rsidRDefault="00EC3476" w:rsidP="00EC3476">
            <w:pPr>
              <w:autoSpaceDE/>
              <w:autoSpaceDN/>
              <w:adjustRightInd/>
              <w:ind w:firstLineChars="200" w:firstLine="440"/>
              <w:rPr>
                <w:color w:val="000000"/>
                <w:sz w:val="22"/>
                <w:szCs w:val="22"/>
              </w:rPr>
            </w:pPr>
            <w:r w:rsidRPr="00EC3476">
              <w:rPr>
                <w:color w:val="000000"/>
                <w:sz w:val="22"/>
                <w:szCs w:val="22"/>
              </w:rPr>
              <w:t>Other administrative costs of salary &amp; fringe (15%)</w:t>
            </w:r>
          </w:p>
        </w:tc>
        <w:tc>
          <w:tcPr>
            <w:tcW w:w="1280" w:type="dxa"/>
            <w:tcBorders>
              <w:top w:val="nil"/>
              <w:left w:val="nil"/>
              <w:bottom w:val="nil"/>
              <w:right w:val="nil"/>
            </w:tcBorders>
            <w:shd w:val="clear" w:color="auto" w:fill="auto"/>
            <w:noWrap/>
            <w:vAlign w:val="bottom"/>
            <w:hideMark/>
          </w:tcPr>
          <w:p w14:paraId="7CB672BA" w14:textId="69985447" w:rsidR="00EC3476" w:rsidRPr="00EC3476" w:rsidRDefault="006D325C" w:rsidP="00657270">
            <w:pPr>
              <w:autoSpaceDE/>
              <w:autoSpaceDN/>
              <w:adjustRightInd/>
              <w:jc w:val="right"/>
              <w:rPr>
                <w:color w:val="000000"/>
                <w:sz w:val="22"/>
                <w:szCs w:val="22"/>
              </w:rPr>
            </w:pPr>
            <w:r>
              <w:rPr>
                <w:color w:val="000000"/>
                <w:sz w:val="22"/>
                <w:szCs w:val="22"/>
              </w:rPr>
              <w:t>$</w:t>
            </w:r>
            <w:r w:rsidR="00657270">
              <w:rPr>
                <w:color w:val="000000"/>
                <w:sz w:val="22"/>
                <w:szCs w:val="22"/>
              </w:rPr>
              <w:t>8,832</w:t>
            </w:r>
          </w:p>
        </w:tc>
      </w:tr>
      <w:tr w:rsidR="00EC3476" w:rsidRPr="00EC3476" w14:paraId="154349CF" w14:textId="77777777" w:rsidTr="00E72695">
        <w:trPr>
          <w:trHeight w:val="300"/>
        </w:trPr>
        <w:tc>
          <w:tcPr>
            <w:tcW w:w="5740" w:type="dxa"/>
            <w:tcBorders>
              <w:top w:val="nil"/>
              <w:left w:val="nil"/>
              <w:bottom w:val="nil"/>
              <w:right w:val="nil"/>
            </w:tcBorders>
            <w:shd w:val="clear" w:color="auto" w:fill="auto"/>
            <w:noWrap/>
            <w:vAlign w:val="bottom"/>
            <w:hideMark/>
          </w:tcPr>
          <w:p w14:paraId="322E6937" w14:textId="77777777" w:rsidR="00EC3476" w:rsidRPr="00EC3476" w:rsidRDefault="00EC3476" w:rsidP="00EC3476">
            <w:pPr>
              <w:autoSpaceDE/>
              <w:autoSpaceDN/>
              <w:adjustRightInd/>
              <w:ind w:firstLineChars="200" w:firstLine="442"/>
              <w:rPr>
                <w:b/>
                <w:bCs/>
                <w:color w:val="000000"/>
                <w:sz w:val="22"/>
                <w:szCs w:val="22"/>
              </w:rPr>
            </w:pPr>
            <w:r w:rsidRPr="00EC3476">
              <w:rPr>
                <w:b/>
                <w:bCs/>
                <w:color w:val="000000"/>
                <w:sz w:val="22"/>
                <w:szCs w:val="22"/>
              </w:rPr>
              <w:t>Subtotal: BJS costs</w:t>
            </w:r>
          </w:p>
        </w:tc>
        <w:tc>
          <w:tcPr>
            <w:tcW w:w="1280" w:type="dxa"/>
            <w:tcBorders>
              <w:top w:val="nil"/>
              <w:left w:val="nil"/>
              <w:bottom w:val="nil"/>
              <w:right w:val="nil"/>
            </w:tcBorders>
            <w:shd w:val="clear" w:color="auto" w:fill="auto"/>
            <w:noWrap/>
            <w:vAlign w:val="bottom"/>
            <w:hideMark/>
          </w:tcPr>
          <w:p w14:paraId="398743DD" w14:textId="7C5DADCD" w:rsidR="00EC3476" w:rsidRPr="00EC3476" w:rsidRDefault="006D325C" w:rsidP="00657270">
            <w:pPr>
              <w:autoSpaceDE/>
              <w:autoSpaceDN/>
              <w:adjustRightInd/>
              <w:jc w:val="right"/>
              <w:rPr>
                <w:b/>
                <w:bCs/>
                <w:color w:val="000000"/>
                <w:sz w:val="22"/>
                <w:szCs w:val="22"/>
              </w:rPr>
            </w:pPr>
            <w:r>
              <w:rPr>
                <w:b/>
                <w:bCs/>
                <w:color w:val="000000"/>
                <w:sz w:val="22"/>
                <w:szCs w:val="22"/>
              </w:rPr>
              <w:t>$</w:t>
            </w:r>
            <w:r w:rsidR="00657270">
              <w:rPr>
                <w:b/>
                <w:bCs/>
                <w:color w:val="000000"/>
                <w:sz w:val="22"/>
                <w:szCs w:val="22"/>
              </w:rPr>
              <w:t>67,712</w:t>
            </w:r>
          </w:p>
        </w:tc>
      </w:tr>
      <w:tr w:rsidR="00EC3476" w:rsidRPr="00EC3476" w14:paraId="238488D5" w14:textId="77777777" w:rsidTr="00E72695">
        <w:trPr>
          <w:trHeight w:val="300"/>
        </w:trPr>
        <w:tc>
          <w:tcPr>
            <w:tcW w:w="5740" w:type="dxa"/>
            <w:tcBorders>
              <w:top w:val="nil"/>
              <w:left w:val="nil"/>
              <w:bottom w:val="nil"/>
              <w:right w:val="nil"/>
            </w:tcBorders>
            <w:shd w:val="clear" w:color="auto" w:fill="auto"/>
            <w:noWrap/>
            <w:vAlign w:val="bottom"/>
            <w:hideMark/>
          </w:tcPr>
          <w:p w14:paraId="5173397A" w14:textId="77777777" w:rsidR="00EC3476" w:rsidRPr="00EC3476" w:rsidRDefault="00EC3476" w:rsidP="00EC3476">
            <w:pPr>
              <w:autoSpaceDE/>
              <w:autoSpaceDN/>
              <w:adjustRightInd/>
              <w:jc w:val="center"/>
              <w:rPr>
                <w:b/>
                <w:bCs/>
                <w:color w:val="000000"/>
                <w:sz w:val="22"/>
                <w:szCs w:val="22"/>
              </w:rPr>
            </w:pPr>
          </w:p>
        </w:tc>
        <w:tc>
          <w:tcPr>
            <w:tcW w:w="1280" w:type="dxa"/>
            <w:tcBorders>
              <w:top w:val="nil"/>
              <w:left w:val="nil"/>
              <w:bottom w:val="nil"/>
              <w:right w:val="nil"/>
            </w:tcBorders>
            <w:shd w:val="clear" w:color="auto" w:fill="auto"/>
            <w:noWrap/>
            <w:vAlign w:val="bottom"/>
            <w:hideMark/>
          </w:tcPr>
          <w:p w14:paraId="4C70EEC3" w14:textId="77777777" w:rsidR="00EC3476" w:rsidRPr="00EC3476" w:rsidRDefault="00EC3476" w:rsidP="00EC3476">
            <w:pPr>
              <w:autoSpaceDE/>
              <w:autoSpaceDN/>
              <w:adjustRightInd/>
            </w:pPr>
          </w:p>
        </w:tc>
      </w:tr>
      <w:tr w:rsidR="00EC3476" w:rsidRPr="00EC3476" w14:paraId="688E7767" w14:textId="77777777" w:rsidTr="00E72695">
        <w:trPr>
          <w:trHeight w:val="300"/>
        </w:trPr>
        <w:tc>
          <w:tcPr>
            <w:tcW w:w="5740" w:type="dxa"/>
            <w:tcBorders>
              <w:top w:val="nil"/>
              <w:left w:val="nil"/>
              <w:bottom w:val="nil"/>
              <w:right w:val="nil"/>
            </w:tcBorders>
            <w:shd w:val="clear" w:color="auto" w:fill="auto"/>
            <w:noWrap/>
            <w:vAlign w:val="bottom"/>
            <w:hideMark/>
          </w:tcPr>
          <w:p w14:paraId="2E820CA0" w14:textId="77777777" w:rsidR="00EC3476" w:rsidRPr="00EC3476" w:rsidRDefault="00EC3476" w:rsidP="00EC3476">
            <w:pPr>
              <w:autoSpaceDE/>
              <w:autoSpaceDN/>
              <w:adjustRightInd/>
              <w:rPr>
                <w:color w:val="000000"/>
                <w:sz w:val="22"/>
                <w:szCs w:val="22"/>
              </w:rPr>
            </w:pPr>
            <w:r w:rsidRPr="00EC3476">
              <w:rPr>
                <w:color w:val="000000"/>
                <w:sz w:val="22"/>
                <w:szCs w:val="22"/>
              </w:rPr>
              <w:t>Data Collection Agent (RTI)</w:t>
            </w:r>
          </w:p>
        </w:tc>
        <w:tc>
          <w:tcPr>
            <w:tcW w:w="1280" w:type="dxa"/>
            <w:tcBorders>
              <w:top w:val="nil"/>
              <w:left w:val="nil"/>
              <w:bottom w:val="nil"/>
              <w:right w:val="nil"/>
            </w:tcBorders>
            <w:shd w:val="clear" w:color="auto" w:fill="auto"/>
            <w:noWrap/>
            <w:vAlign w:val="bottom"/>
            <w:hideMark/>
          </w:tcPr>
          <w:p w14:paraId="4E2B2746" w14:textId="77777777" w:rsidR="00EC3476" w:rsidRPr="00EC3476" w:rsidRDefault="00EC3476" w:rsidP="00EC3476">
            <w:pPr>
              <w:autoSpaceDE/>
              <w:autoSpaceDN/>
              <w:adjustRightInd/>
              <w:rPr>
                <w:color w:val="000000"/>
                <w:sz w:val="22"/>
                <w:szCs w:val="22"/>
              </w:rPr>
            </w:pPr>
          </w:p>
        </w:tc>
      </w:tr>
      <w:tr w:rsidR="00EC3476" w:rsidRPr="00EC3476" w14:paraId="7361418B" w14:textId="77777777" w:rsidTr="00E72695">
        <w:trPr>
          <w:trHeight w:val="300"/>
        </w:trPr>
        <w:tc>
          <w:tcPr>
            <w:tcW w:w="5740" w:type="dxa"/>
            <w:tcBorders>
              <w:top w:val="nil"/>
              <w:left w:val="nil"/>
              <w:bottom w:val="nil"/>
              <w:right w:val="nil"/>
            </w:tcBorders>
            <w:shd w:val="clear" w:color="auto" w:fill="auto"/>
            <w:noWrap/>
            <w:vAlign w:val="bottom"/>
            <w:hideMark/>
          </w:tcPr>
          <w:p w14:paraId="3C87957E" w14:textId="77777777" w:rsidR="00EC3476" w:rsidRPr="00EC3476" w:rsidRDefault="00EC3476" w:rsidP="00EC3476">
            <w:pPr>
              <w:autoSpaceDE/>
              <w:autoSpaceDN/>
              <w:adjustRightInd/>
              <w:ind w:firstLineChars="200" w:firstLine="440"/>
              <w:rPr>
                <w:color w:val="000000"/>
                <w:sz w:val="22"/>
                <w:szCs w:val="22"/>
              </w:rPr>
            </w:pPr>
            <w:r w:rsidRPr="00EC3476">
              <w:rPr>
                <w:color w:val="000000"/>
                <w:sz w:val="22"/>
                <w:szCs w:val="22"/>
              </w:rPr>
              <w:t>Personnel (including fringe)</w:t>
            </w:r>
          </w:p>
        </w:tc>
        <w:tc>
          <w:tcPr>
            <w:tcW w:w="1280" w:type="dxa"/>
            <w:tcBorders>
              <w:top w:val="nil"/>
              <w:left w:val="nil"/>
              <w:bottom w:val="nil"/>
              <w:right w:val="nil"/>
            </w:tcBorders>
            <w:shd w:val="clear" w:color="auto" w:fill="auto"/>
            <w:noWrap/>
            <w:vAlign w:val="bottom"/>
            <w:hideMark/>
          </w:tcPr>
          <w:p w14:paraId="387ECBE7" w14:textId="77875752" w:rsidR="00EC3476" w:rsidRPr="00EC3476" w:rsidRDefault="00EC3476" w:rsidP="006D325C">
            <w:pPr>
              <w:autoSpaceDE/>
              <w:autoSpaceDN/>
              <w:adjustRightInd/>
              <w:jc w:val="right"/>
              <w:rPr>
                <w:color w:val="000000"/>
                <w:sz w:val="22"/>
                <w:szCs w:val="22"/>
              </w:rPr>
            </w:pPr>
            <w:r w:rsidRPr="00EC3476">
              <w:rPr>
                <w:color w:val="000000"/>
                <w:sz w:val="22"/>
                <w:szCs w:val="22"/>
              </w:rPr>
              <w:t xml:space="preserve"> </w:t>
            </w:r>
            <w:r w:rsidR="006D325C">
              <w:rPr>
                <w:color w:val="000000"/>
                <w:sz w:val="22"/>
                <w:szCs w:val="22"/>
              </w:rPr>
              <w:t>$</w:t>
            </w:r>
            <w:r w:rsidRPr="00EC3476">
              <w:rPr>
                <w:color w:val="000000"/>
                <w:sz w:val="22"/>
                <w:szCs w:val="22"/>
              </w:rPr>
              <w:t xml:space="preserve">295,352 </w:t>
            </w:r>
          </w:p>
        </w:tc>
      </w:tr>
      <w:tr w:rsidR="00EC3476" w:rsidRPr="00EC3476" w14:paraId="1EB3BA68" w14:textId="77777777" w:rsidTr="00E72695">
        <w:trPr>
          <w:trHeight w:val="300"/>
        </w:trPr>
        <w:tc>
          <w:tcPr>
            <w:tcW w:w="5740" w:type="dxa"/>
            <w:tcBorders>
              <w:top w:val="nil"/>
              <w:left w:val="nil"/>
              <w:bottom w:val="nil"/>
              <w:right w:val="nil"/>
            </w:tcBorders>
            <w:shd w:val="clear" w:color="auto" w:fill="auto"/>
            <w:noWrap/>
            <w:vAlign w:val="bottom"/>
            <w:hideMark/>
          </w:tcPr>
          <w:p w14:paraId="751C6F86" w14:textId="77777777" w:rsidR="00EC3476" w:rsidRPr="00EC3476" w:rsidRDefault="00EC3476" w:rsidP="00EC3476">
            <w:pPr>
              <w:autoSpaceDE/>
              <w:autoSpaceDN/>
              <w:adjustRightInd/>
              <w:ind w:firstLineChars="200" w:firstLine="440"/>
              <w:rPr>
                <w:color w:val="000000"/>
                <w:sz w:val="22"/>
                <w:szCs w:val="22"/>
              </w:rPr>
            </w:pPr>
            <w:r w:rsidRPr="00EC3476">
              <w:rPr>
                <w:color w:val="000000"/>
                <w:sz w:val="22"/>
                <w:szCs w:val="22"/>
              </w:rPr>
              <w:t>Travel</w:t>
            </w:r>
          </w:p>
        </w:tc>
        <w:tc>
          <w:tcPr>
            <w:tcW w:w="1280" w:type="dxa"/>
            <w:tcBorders>
              <w:top w:val="nil"/>
              <w:left w:val="nil"/>
              <w:bottom w:val="nil"/>
              <w:right w:val="nil"/>
            </w:tcBorders>
            <w:shd w:val="clear" w:color="auto" w:fill="auto"/>
            <w:noWrap/>
            <w:vAlign w:val="bottom"/>
            <w:hideMark/>
          </w:tcPr>
          <w:p w14:paraId="5EEF5599" w14:textId="78102805" w:rsidR="00EC3476" w:rsidRPr="00EC3476" w:rsidRDefault="006D325C" w:rsidP="006D325C">
            <w:pPr>
              <w:autoSpaceDE/>
              <w:autoSpaceDN/>
              <w:adjustRightInd/>
              <w:ind w:firstLineChars="200" w:firstLine="440"/>
              <w:jc w:val="right"/>
              <w:rPr>
                <w:color w:val="000000"/>
                <w:sz w:val="22"/>
                <w:szCs w:val="22"/>
              </w:rPr>
            </w:pPr>
            <w:r>
              <w:rPr>
                <w:color w:val="000000"/>
                <w:sz w:val="22"/>
                <w:szCs w:val="22"/>
              </w:rPr>
              <w:t>$0</w:t>
            </w:r>
          </w:p>
        </w:tc>
      </w:tr>
      <w:tr w:rsidR="00EC3476" w:rsidRPr="00EC3476" w14:paraId="43D31673" w14:textId="77777777" w:rsidTr="00E72695">
        <w:trPr>
          <w:trHeight w:val="300"/>
        </w:trPr>
        <w:tc>
          <w:tcPr>
            <w:tcW w:w="5740" w:type="dxa"/>
            <w:tcBorders>
              <w:top w:val="nil"/>
              <w:left w:val="nil"/>
              <w:bottom w:val="nil"/>
              <w:right w:val="nil"/>
            </w:tcBorders>
            <w:shd w:val="clear" w:color="auto" w:fill="auto"/>
            <w:noWrap/>
            <w:vAlign w:val="bottom"/>
            <w:hideMark/>
          </w:tcPr>
          <w:p w14:paraId="7002E9DE" w14:textId="77777777" w:rsidR="00EC3476" w:rsidRPr="00EC3476" w:rsidRDefault="00EC3476" w:rsidP="00EC3476">
            <w:pPr>
              <w:autoSpaceDE/>
              <w:autoSpaceDN/>
              <w:adjustRightInd/>
              <w:ind w:firstLineChars="200" w:firstLine="440"/>
              <w:rPr>
                <w:color w:val="000000"/>
                <w:sz w:val="22"/>
                <w:szCs w:val="22"/>
              </w:rPr>
            </w:pPr>
            <w:r w:rsidRPr="00EC3476">
              <w:rPr>
                <w:color w:val="000000"/>
                <w:sz w:val="22"/>
                <w:szCs w:val="22"/>
              </w:rPr>
              <w:t>Supplies</w:t>
            </w:r>
          </w:p>
        </w:tc>
        <w:tc>
          <w:tcPr>
            <w:tcW w:w="1280" w:type="dxa"/>
            <w:tcBorders>
              <w:top w:val="nil"/>
              <w:left w:val="nil"/>
              <w:bottom w:val="nil"/>
              <w:right w:val="nil"/>
            </w:tcBorders>
            <w:shd w:val="clear" w:color="auto" w:fill="auto"/>
            <w:noWrap/>
            <w:vAlign w:val="bottom"/>
            <w:hideMark/>
          </w:tcPr>
          <w:p w14:paraId="3AD2CB6E" w14:textId="1EDC3BA8" w:rsidR="00EC3476" w:rsidRPr="00EC3476" w:rsidRDefault="006D325C" w:rsidP="006D325C">
            <w:pPr>
              <w:autoSpaceDE/>
              <w:autoSpaceDN/>
              <w:adjustRightInd/>
              <w:ind w:firstLineChars="200" w:firstLine="440"/>
              <w:jc w:val="right"/>
              <w:rPr>
                <w:color w:val="000000"/>
                <w:sz w:val="22"/>
                <w:szCs w:val="22"/>
              </w:rPr>
            </w:pPr>
            <w:r>
              <w:rPr>
                <w:color w:val="000000"/>
                <w:sz w:val="22"/>
                <w:szCs w:val="22"/>
              </w:rPr>
              <w:t>$0</w:t>
            </w:r>
          </w:p>
        </w:tc>
      </w:tr>
      <w:tr w:rsidR="00EC3476" w:rsidRPr="00EC3476" w14:paraId="1B12B011" w14:textId="77777777" w:rsidTr="00E72695">
        <w:trPr>
          <w:trHeight w:val="300"/>
        </w:trPr>
        <w:tc>
          <w:tcPr>
            <w:tcW w:w="5740" w:type="dxa"/>
            <w:tcBorders>
              <w:top w:val="nil"/>
              <w:left w:val="nil"/>
              <w:bottom w:val="nil"/>
              <w:right w:val="nil"/>
            </w:tcBorders>
            <w:shd w:val="clear" w:color="auto" w:fill="auto"/>
            <w:noWrap/>
            <w:vAlign w:val="bottom"/>
            <w:hideMark/>
          </w:tcPr>
          <w:p w14:paraId="14110B4D" w14:textId="77777777" w:rsidR="00EC3476" w:rsidRPr="00EC3476" w:rsidRDefault="00EC3476" w:rsidP="00EC3476">
            <w:pPr>
              <w:autoSpaceDE/>
              <w:autoSpaceDN/>
              <w:adjustRightInd/>
              <w:ind w:firstLineChars="200" w:firstLine="440"/>
              <w:rPr>
                <w:color w:val="000000"/>
                <w:sz w:val="22"/>
                <w:szCs w:val="22"/>
              </w:rPr>
            </w:pPr>
            <w:r w:rsidRPr="00EC3476">
              <w:rPr>
                <w:color w:val="000000"/>
                <w:sz w:val="22"/>
                <w:szCs w:val="22"/>
              </w:rPr>
              <w:t>Consultants/Contracts</w:t>
            </w:r>
          </w:p>
        </w:tc>
        <w:tc>
          <w:tcPr>
            <w:tcW w:w="1280" w:type="dxa"/>
            <w:tcBorders>
              <w:top w:val="nil"/>
              <w:left w:val="nil"/>
              <w:bottom w:val="nil"/>
              <w:right w:val="nil"/>
            </w:tcBorders>
            <w:shd w:val="clear" w:color="auto" w:fill="auto"/>
            <w:noWrap/>
            <w:vAlign w:val="bottom"/>
            <w:hideMark/>
          </w:tcPr>
          <w:p w14:paraId="6CEB546C" w14:textId="6032A767" w:rsidR="00EC3476" w:rsidRPr="00EC3476" w:rsidRDefault="006D325C" w:rsidP="006D325C">
            <w:pPr>
              <w:autoSpaceDE/>
              <w:autoSpaceDN/>
              <w:adjustRightInd/>
              <w:jc w:val="right"/>
              <w:rPr>
                <w:color w:val="000000"/>
                <w:sz w:val="22"/>
                <w:szCs w:val="22"/>
              </w:rPr>
            </w:pPr>
            <w:r>
              <w:rPr>
                <w:color w:val="000000"/>
                <w:sz w:val="22"/>
                <w:szCs w:val="22"/>
              </w:rPr>
              <w:t>$</w:t>
            </w:r>
            <w:r w:rsidR="00EC3476" w:rsidRPr="00EC3476">
              <w:rPr>
                <w:color w:val="000000"/>
                <w:sz w:val="22"/>
                <w:szCs w:val="22"/>
              </w:rPr>
              <w:t xml:space="preserve">291,257 </w:t>
            </w:r>
          </w:p>
        </w:tc>
      </w:tr>
      <w:tr w:rsidR="00EC3476" w:rsidRPr="00EC3476" w14:paraId="672CF771" w14:textId="77777777" w:rsidTr="00E72695">
        <w:trPr>
          <w:trHeight w:val="300"/>
        </w:trPr>
        <w:tc>
          <w:tcPr>
            <w:tcW w:w="5740" w:type="dxa"/>
            <w:tcBorders>
              <w:top w:val="nil"/>
              <w:left w:val="nil"/>
              <w:bottom w:val="nil"/>
              <w:right w:val="nil"/>
            </w:tcBorders>
            <w:shd w:val="clear" w:color="auto" w:fill="auto"/>
            <w:noWrap/>
            <w:vAlign w:val="bottom"/>
            <w:hideMark/>
          </w:tcPr>
          <w:p w14:paraId="36F94754" w14:textId="77777777" w:rsidR="00EC3476" w:rsidRPr="00EC3476" w:rsidRDefault="00EC3476" w:rsidP="00EC3476">
            <w:pPr>
              <w:autoSpaceDE/>
              <w:autoSpaceDN/>
              <w:adjustRightInd/>
              <w:ind w:firstLineChars="200" w:firstLine="440"/>
              <w:rPr>
                <w:color w:val="000000"/>
                <w:sz w:val="22"/>
                <w:szCs w:val="22"/>
              </w:rPr>
            </w:pPr>
            <w:r w:rsidRPr="00EC3476">
              <w:rPr>
                <w:color w:val="000000"/>
                <w:sz w:val="22"/>
                <w:szCs w:val="22"/>
              </w:rPr>
              <w:t>Other</w:t>
            </w:r>
          </w:p>
        </w:tc>
        <w:tc>
          <w:tcPr>
            <w:tcW w:w="1280" w:type="dxa"/>
            <w:tcBorders>
              <w:top w:val="nil"/>
              <w:left w:val="nil"/>
              <w:bottom w:val="nil"/>
              <w:right w:val="nil"/>
            </w:tcBorders>
            <w:shd w:val="clear" w:color="auto" w:fill="auto"/>
            <w:noWrap/>
            <w:vAlign w:val="bottom"/>
            <w:hideMark/>
          </w:tcPr>
          <w:p w14:paraId="1432427A" w14:textId="19018BE3" w:rsidR="00EC3476" w:rsidRPr="00EC3476" w:rsidRDefault="00EC3476" w:rsidP="006D325C">
            <w:pPr>
              <w:autoSpaceDE/>
              <w:autoSpaceDN/>
              <w:adjustRightInd/>
              <w:jc w:val="right"/>
              <w:rPr>
                <w:color w:val="000000"/>
                <w:sz w:val="22"/>
                <w:szCs w:val="22"/>
              </w:rPr>
            </w:pPr>
            <w:r w:rsidRPr="00EC3476">
              <w:rPr>
                <w:color w:val="000000"/>
                <w:sz w:val="22"/>
                <w:szCs w:val="22"/>
              </w:rPr>
              <w:t xml:space="preserve"> </w:t>
            </w:r>
            <w:r w:rsidR="006D325C">
              <w:rPr>
                <w:color w:val="000000"/>
                <w:sz w:val="22"/>
                <w:szCs w:val="22"/>
              </w:rPr>
              <w:t>$</w:t>
            </w:r>
            <w:r w:rsidRPr="00EC3476">
              <w:rPr>
                <w:color w:val="000000"/>
                <w:sz w:val="22"/>
                <w:szCs w:val="22"/>
              </w:rPr>
              <w:t xml:space="preserve">141,667 </w:t>
            </w:r>
          </w:p>
        </w:tc>
      </w:tr>
      <w:tr w:rsidR="00EC3476" w:rsidRPr="00EC3476" w14:paraId="69C84D0B" w14:textId="77777777" w:rsidTr="00E72695">
        <w:trPr>
          <w:trHeight w:val="300"/>
        </w:trPr>
        <w:tc>
          <w:tcPr>
            <w:tcW w:w="5740" w:type="dxa"/>
            <w:tcBorders>
              <w:top w:val="nil"/>
              <w:left w:val="nil"/>
              <w:bottom w:val="nil"/>
              <w:right w:val="nil"/>
            </w:tcBorders>
            <w:shd w:val="clear" w:color="auto" w:fill="auto"/>
            <w:noWrap/>
            <w:vAlign w:val="bottom"/>
            <w:hideMark/>
          </w:tcPr>
          <w:p w14:paraId="431DA1F0" w14:textId="77777777" w:rsidR="00EC3476" w:rsidRPr="00EC3476" w:rsidRDefault="00EC3476" w:rsidP="00EC3476">
            <w:pPr>
              <w:autoSpaceDE/>
              <w:autoSpaceDN/>
              <w:adjustRightInd/>
              <w:ind w:firstLineChars="200" w:firstLine="440"/>
              <w:rPr>
                <w:color w:val="000000"/>
                <w:sz w:val="22"/>
                <w:szCs w:val="22"/>
              </w:rPr>
            </w:pPr>
            <w:r w:rsidRPr="00EC3476">
              <w:rPr>
                <w:color w:val="000000"/>
                <w:sz w:val="22"/>
                <w:szCs w:val="22"/>
              </w:rPr>
              <w:t>Total indirect</w:t>
            </w:r>
          </w:p>
        </w:tc>
        <w:tc>
          <w:tcPr>
            <w:tcW w:w="1280" w:type="dxa"/>
            <w:tcBorders>
              <w:top w:val="nil"/>
              <w:left w:val="nil"/>
              <w:bottom w:val="nil"/>
              <w:right w:val="nil"/>
            </w:tcBorders>
            <w:shd w:val="clear" w:color="auto" w:fill="auto"/>
            <w:noWrap/>
            <w:vAlign w:val="bottom"/>
            <w:hideMark/>
          </w:tcPr>
          <w:p w14:paraId="62DA3FA3" w14:textId="6B603F55" w:rsidR="00EC3476" w:rsidRPr="00EC3476" w:rsidRDefault="00EC3476" w:rsidP="006D325C">
            <w:pPr>
              <w:autoSpaceDE/>
              <w:autoSpaceDN/>
              <w:adjustRightInd/>
              <w:jc w:val="right"/>
              <w:rPr>
                <w:color w:val="000000"/>
                <w:sz w:val="22"/>
                <w:szCs w:val="22"/>
              </w:rPr>
            </w:pPr>
            <w:r w:rsidRPr="00EC3476">
              <w:rPr>
                <w:color w:val="000000"/>
                <w:sz w:val="22"/>
                <w:szCs w:val="22"/>
              </w:rPr>
              <w:t xml:space="preserve"> </w:t>
            </w:r>
            <w:r w:rsidR="006D325C">
              <w:rPr>
                <w:color w:val="000000"/>
                <w:sz w:val="22"/>
                <w:szCs w:val="22"/>
              </w:rPr>
              <w:t>$</w:t>
            </w:r>
            <w:r w:rsidRPr="00EC3476">
              <w:rPr>
                <w:color w:val="000000"/>
                <w:sz w:val="22"/>
                <w:szCs w:val="22"/>
              </w:rPr>
              <w:t xml:space="preserve">270,274 </w:t>
            </w:r>
          </w:p>
        </w:tc>
      </w:tr>
      <w:tr w:rsidR="00EC3476" w:rsidRPr="00EC3476" w14:paraId="1DB14C91" w14:textId="77777777" w:rsidTr="00E72695">
        <w:trPr>
          <w:trHeight w:val="300"/>
        </w:trPr>
        <w:tc>
          <w:tcPr>
            <w:tcW w:w="5740" w:type="dxa"/>
            <w:tcBorders>
              <w:top w:val="nil"/>
              <w:left w:val="nil"/>
              <w:bottom w:val="nil"/>
              <w:right w:val="nil"/>
            </w:tcBorders>
            <w:shd w:val="clear" w:color="auto" w:fill="auto"/>
            <w:noWrap/>
            <w:vAlign w:val="bottom"/>
            <w:hideMark/>
          </w:tcPr>
          <w:p w14:paraId="4440905D" w14:textId="77777777" w:rsidR="00EC3476" w:rsidRPr="00EC3476" w:rsidRDefault="00EC3476" w:rsidP="00EC3476">
            <w:pPr>
              <w:autoSpaceDE/>
              <w:autoSpaceDN/>
              <w:adjustRightInd/>
              <w:ind w:firstLineChars="200" w:firstLine="442"/>
              <w:rPr>
                <w:b/>
                <w:bCs/>
                <w:color w:val="000000"/>
                <w:sz w:val="22"/>
                <w:szCs w:val="22"/>
              </w:rPr>
            </w:pPr>
            <w:r w:rsidRPr="00EC3476">
              <w:rPr>
                <w:b/>
                <w:bCs/>
                <w:color w:val="000000"/>
                <w:sz w:val="22"/>
                <w:szCs w:val="22"/>
              </w:rPr>
              <w:t>Subtotal: Data Collection Agent Costs</w:t>
            </w:r>
          </w:p>
        </w:tc>
        <w:tc>
          <w:tcPr>
            <w:tcW w:w="1280" w:type="dxa"/>
            <w:tcBorders>
              <w:top w:val="nil"/>
              <w:left w:val="nil"/>
              <w:bottom w:val="nil"/>
              <w:right w:val="nil"/>
            </w:tcBorders>
            <w:shd w:val="clear" w:color="auto" w:fill="auto"/>
            <w:noWrap/>
            <w:vAlign w:val="bottom"/>
            <w:hideMark/>
          </w:tcPr>
          <w:p w14:paraId="7BEF12CD" w14:textId="666A7EBC" w:rsidR="00EC3476" w:rsidRPr="00EC3476" w:rsidRDefault="00EC3476" w:rsidP="006D325C">
            <w:pPr>
              <w:autoSpaceDE/>
              <w:autoSpaceDN/>
              <w:adjustRightInd/>
              <w:jc w:val="right"/>
              <w:rPr>
                <w:b/>
                <w:bCs/>
                <w:color w:val="000000"/>
                <w:sz w:val="22"/>
                <w:szCs w:val="22"/>
              </w:rPr>
            </w:pPr>
            <w:r w:rsidRPr="00EC3476">
              <w:rPr>
                <w:b/>
                <w:bCs/>
                <w:color w:val="000000"/>
                <w:sz w:val="22"/>
                <w:szCs w:val="22"/>
              </w:rPr>
              <w:t xml:space="preserve"> </w:t>
            </w:r>
            <w:r w:rsidR="006D325C">
              <w:rPr>
                <w:b/>
                <w:bCs/>
                <w:color w:val="000000"/>
                <w:sz w:val="22"/>
                <w:szCs w:val="22"/>
              </w:rPr>
              <w:t>$</w:t>
            </w:r>
            <w:r w:rsidRPr="00EC3476">
              <w:rPr>
                <w:b/>
                <w:bCs/>
                <w:color w:val="000000"/>
                <w:sz w:val="22"/>
                <w:szCs w:val="22"/>
              </w:rPr>
              <w:t xml:space="preserve">998,550 </w:t>
            </w:r>
          </w:p>
        </w:tc>
      </w:tr>
      <w:tr w:rsidR="00EC3476" w:rsidRPr="00EC3476" w14:paraId="18F175A3" w14:textId="77777777" w:rsidTr="00E72695">
        <w:trPr>
          <w:trHeight w:val="300"/>
        </w:trPr>
        <w:tc>
          <w:tcPr>
            <w:tcW w:w="5740" w:type="dxa"/>
            <w:tcBorders>
              <w:top w:val="single" w:sz="4" w:space="0" w:color="auto"/>
              <w:left w:val="nil"/>
              <w:bottom w:val="single" w:sz="4" w:space="0" w:color="auto"/>
              <w:right w:val="nil"/>
            </w:tcBorders>
            <w:shd w:val="clear" w:color="auto" w:fill="auto"/>
            <w:noWrap/>
            <w:vAlign w:val="bottom"/>
            <w:hideMark/>
          </w:tcPr>
          <w:p w14:paraId="35D32786" w14:textId="77777777" w:rsidR="00EC3476" w:rsidRPr="00EC3476" w:rsidRDefault="00EC3476" w:rsidP="00EC3476">
            <w:pPr>
              <w:autoSpaceDE/>
              <w:autoSpaceDN/>
              <w:adjustRightInd/>
              <w:rPr>
                <w:b/>
                <w:bCs/>
                <w:color w:val="000000"/>
                <w:sz w:val="22"/>
                <w:szCs w:val="22"/>
              </w:rPr>
            </w:pPr>
            <w:r w:rsidRPr="00EC3476">
              <w:rPr>
                <w:b/>
                <w:bCs/>
                <w:color w:val="000000"/>
                <w:sz w:val="22"/>
                <w:szCs w:val="22"/>
              </w:rPr>
              <w:t>TOTAL COSTS</w:t>
            </w:r>
          </w:p>
        </w:tc>
        <w:tc>
          <w:tcPr>
            <w:tcW w:w="1280" w:type="dxa"/>
            <w:tcBorders>
              <w:top w:val="single" w:sz="4" w:space="0" w:color="auto"/>
              <w:left w:val="nil"/>
              <w:bottom w:val="single" w:sz="4" w:space="0" w:color="auto"/>
              <w:right w:val="nil"/>
            </w:tcBorders>
            <w:shd w:val="clear" w:color="auto" w:fill="auto"/>
            <w:noWrap/>
            <w:vAlign w:val="bottom"/>
            <w:hideMark/>
          </w:tcPr>
          <w:p w14:paraId="00A01926" w14:textId="7443ED02" w:rsidR="00EC3476" w:rsidRPr="00EC3476" w:rsidRDefault="00EC3476" w:rsidP="00657270">
            <w:pPr>
              <w:autoSpaceDE/>
              <w:autoSpaceDN/>
              <w:adjustRightInd/>
              <w:jc w:val="center"/>
              <w:rPr>
                <w:b/>
                <w:bCs/>
                <w:color w:val="000000"/>
                <w:sz w:val="22"/>
                <w:szCs w:val="22"/>
              </w:rPr>
            </w:pPr>
            <w:r w:rsidRPr="00EC3476">
              <w:rPr>
                <w:b/>
                <w:bCs/>
                <w:color w:val="000000"/>
                <w:sz w:val="22"/>
                <w:szCs w:val="22"/>
              </w:rPr>
              <w:t xml:space="preserve"> </w:t>
            </w:r>
            <w:r w:rsidR="006D325C">
              <w:rPr>
                <w:b/>
                <w:bCs/>
                <w:color w:val="000000"/>
                <w:sz w:val="22"/>
                <w:szCs w:val="22"/>
              </w:rPr>
              <w:t>$1,</w:t>
            </w:r>
            <w:r w:rsidR="00657270">
              <w:rPr>
                <w:b/>
                <w:bCs/>
                <w:color w:val="000000"/>
                <w:sz w:val="22"/>
                <w:szCs w:val="22"/>
              </w:rPr>
              <w:t>066,262</w:t>
            </w:r>
            <w:r w:rsidRPr="00EC3476">
              <w:rPr>
                <w:b/>
                <w:bCs/>
                <w:color w:val="000000"/>
                <w:sz w:val="22"/>
                <w:szCs w:val="22"/>
              </w:rPr>
              <w:t xml:space="preserve"> </w:t>
            </w:r>
          </w:p>
        </w:tc>
      </w:tr>
      <w:tr w:rsidR="00E72695" w:rsidRPr="00EC3476" w14:paraId="6CE3D320" w14:textId="77777777" w:rsidTr="00E72695">
        <w:trPr>
          <w:trHeight w:val="300"/>
        </w:trPr>
        <w:tc>
          <w:tcPr>
            <w:tcW w:w="5740" w:type="dxa"/>
            <w:tcBorders>
              <w:top w:val="single" w:sz="4" w:space="0" w:color="auto"/>
              <w:left w:val="nil"/>
              <w:right w:val="nil"/>
            </w:tcBorders>
            <w:shd w:val="clear" w:color="auto" w:fill="auto"/>
            <w:noWrap/>
            <w:vAlign w:val="bottom"/>
          </w:tcPr>
          <w:p w14:paraId="5C6B1887" w14:textId="77777777" w:rsidR="00E72695" w:rsidRPr="00EC3476" w:rsidRDefault="00E72695" w:rsidP="00EC3476">
            <w:pPr>
              <w:autoSpaceDE/>
              <w:autoSpaceDN/>
              <w:adjustRightInd/>
              <w:rPr>
                <w:b/>
                <w:bCs/>
                <w:color w:val="000000"/>
                <w:sz w:val="22"/>
                <w:szCs w:val="22"/>
              </w:rPr>
            </w:pPr>
          </w:p>
        </w:tc>
        <w:tc>
          <w:tcPr>
            <w:tcW w:w="1280" w:type="dxa"/>
            <w:tcBorders>
              <w:top w:val="single" w:sz="4" w:space="0" w:color="auto"/>
              <w:left w:val="nil"/>
              <w:right w:val="nil"/>
            </w:tcBorders>
            <w:shd w:val="clear" w:color="auto" w:fill="auto"/>
            <w:noWrap/>
            <w:vAlign w:val="bottom"/>
          </w:tcPr>
          <w:p w14:paraId="1398EDB4" w14:textId="77777777" w:rsidR="00E72695" w:rsidRPr="00EC3476" w:rsidRDefault="00E72695" w:rsidP="00657270">
            <w:pPr>
              <w:autoSpaceDE/>
              <w:autoSpaceDN/>
              <w:adjustRightInd/>
              <w:jc w:val="center"/>
              <w:rPr>
                <w:b/>
                <w:bCs/>
                <w:color w:val="000000"/>
                <w:sz w:val="22"/>
                <w:szCs w:val="22"/>
              </w:rPr>
            </w:pPr>
          </w:p>
        </w:tc>
      </w:tr>
    </w:tbl>
    <w:p w14:paraId="215F1DB0" w14:textId="77777777" w:rsidR="002D4812" w:rsidRPr="00394EE5" w:rsidRDefault="002D4812" w:rsidP="002D4812">
      <w:pPr>
        <w:spacing w:line="2" w:lineRule="exact"/>
        <w:rPr>
          <w:sz w:val="24"/>
          <w:szCs w:val="24"/>
        </w:rPr>
      </w:pPr>
    </w:p>
    <w:p w14:paraId="56F087D2" w14:textId="77777777" w:rsidR="002D4812" w:rsidRPr="00B66D9B" w:rsidRDefault="002D4812" w:rsidP="00EC3476">
      <w:pPr>
        <w:keepNext/>
        <w:keepLines/>
        <w:numPr>
          <w:ilvl w:val="0"/>
          <w:numId w:val="7"/>
        </w:numPr>
        <w:shd w:val="solid" w:color="FFFFFF" w:fill="FFFFFF"/>
        <w:tabs>
          <w:tab w:val="left" w:pos="720"/>
        </w:tabs>
        <w:ind w:left="0" w:firstLine="0"/>
        <w:rPr>
          <w:b/>
          <w:sz w:val="24"/>
          <w:szCs w:val="24"/>
        </w:rPr>
      </w:pPr>
      <w:r w:rsidRPr="00B66D9B">
        <w:rPr>
          <w:b/>
          <w:sz w:val="24"/>
          <w:szCs w:val="24"/>
        </w:rPr>
        <w:t>Reason for Change in Burden</w:t>
      </w:r>
    </w:p>
    <w:p w14:paraId="649764D8" w14:textId="77777777" w:rsidR="008D37CE" w:rsidRDefault="008D37CE" w:rsidP="00AE1D31">
      <w:pPr>
        <w:rPr>
          <w:color w:val="000000"/>
          <w:sz w:val="24"/>
          <w:szCs w:val="24"/>
        </w:rPr>
      </w:pPr>
    </w:p>
    <w:p w14:paraId="1F049F58" w14:textId="27CF85E2" w:rsidR="000E70CB" w:rsidRDefault="002B77A3" w:rsidP="001C7FAB">
      <w:pPr>
        <w:pStyle w:val="Default"/>
      </w:pPr>
      <w:r>
        <w:t>The CSLLEA was last conducted in 2014</w:t>
      </w:r>
      <w:r w:rsidR="006D325C">
        <w:t xml:space="preserve"> with a total estimated burden of 18,075 hours</w:t>
      </w:r>
      <w:r>
        <w:t xml:space="preserve">. </w:t>
      </w:r>
      <w:r w:rsidR="001C7FAB">
        <w:t>The total estimated time burden</w:t>
      </w:r>
      <w:r>
        <w:t xml:space="preserve"> of the 2018 CSLLEA</w:t>
      </w:r>
      <w:r w:rsidR="001C7FAB">
        <w:t xml:space="preserve"> has </w:t>
      </w:r>
      <w:r w:rsidR="000E70CB">
        <w:t>de</w:t>
      </w:r>
      <w:r w:rsidR="001C7FAB">
        <w:t xml:space="preserve">creased by </w:t>
      </w:r>
      <w:r w:rsidR="006D325C">
        <w:t>3,003</w:t>
      </w:r>
      <w:r w:rsidR="001C7FAB">
        <w:t xml:space="preserve"> hours from the estimated burden for the</w:t>
      </w:r>
      <w:r w:rsidR="000E70CB">
        <w:t xml:space="preserve"> </w:t>
      </w:r>
      <w:r w:rsidR="001C7FAB">
        <w:t>20</w:t>
      </w:r>
      <w:r w:rsidR="000E70CB">
        <w:t>14</w:t>
      </w:r>
      <w:r w:rsidR="001C7FAB">
        <w:t xml:space="preserve"> C</w:t>
      </w:r>
      <w:r w:rsidR="000E70CB">
        <w:t>SLLEA</w:t>
      </w:r>
      <w:r w:rsidR="001C7FAB">
        <w:t xml:space="preserve">. The </w:t>
      </w:r>
      <w:r w:rsidR="00E01BBA">
        <w:t>reduction</w:t>
      </w:r>
      <w:r w:rsidR="001C7FAB">
        <w:t xml:space="preserve"> in burden is due</w:t>
      </w:r>
      <w:r w:rsidR="000E70CB">
        <w:t xml:space="preserve"> to four specific changes to the collection and one change in the components included in the calculation.</w:t>
      </w:r>
    </w:p>
    <w:p w14:paraId="0F61A387" w14:textId="77777777" w:rsidR="000E70CB" w:rsidRDefault="000E70CB" w:rsidP="001C7FAB">
      <w:pPr>
        <w:pStyle w:val="Default"/>
      </w:pPr>
    </w:p>
    <w:p w14:paraId="2FCB1A22" w14:textId="77777777" w:rsidR="000E70CB" w:rsidRDefault="000E70CB" w:rsidP="000E70CB">
      <w:pPr>
        <w:pStyle w:val="Default"/>
        <w:numPr>
          <w:ilvl w:val="0"/>
          <w:numId w:val="23"/>
        </w:numPr>
      </w:pPr>
      <w:r>
        <w:t>The 2014 estimate included 75 hours for federal law enforcement agencies to complete a 1 hour survey.  There will be no</w:t>
      </w:r>
      <w:r w:rsidR="00743682">
        <w:t xml:space="preserve"> data collected from</w:t>
      </w:r>
      <w:r>
        <w:t xml:space="preserve"> federal</w:t>
      </w:r>
      <w:r w:rsidR="00743682">
        <w:t xml:space="preserve"> agencies</w:t>
      </w:r>
      <w:r>
        <w:t xml:space="preserve"> in the 2018 CSLLEA.</w:t>
      </w:r>
    </w:p>
    <w:p w14:paraId="41FFD4AC" w14:textId="77777777" w:rsidR="00E01BBA" w:rsidRDefault="00E01BBA" w:rsidP="00DF4D22">
      <w:pPr>
        <w:pStyle w:val="Default"/>
        <w:ind w:left="720"/>
      </w:pPr>
    </w:p>
    <w:p w14:paraId="1DB644A6" w14:textId="0B50C980" w:rsidR="000E70CB" w:rsidRDefault="000E70CB" w:rsidP="000E70CB">
      <w:pPr>
        <w:pStyle w:val="Default"/>
        <w:numPr>
          <w:ilvl w:val="0"/>
          <w:numId w:val="23"/>
        </w:numPr>
      </w:pPr>
      <w:r>
        <w:t xml:space="preserve">The </w:t>
      </w:r>
      <w:r w:rsidR="00511282">
        <w:t>2018 CSL</w:t>
      </w:r>
      <w:r>
        <w:t xml:space="preserve">LEA estimated burden includes </w:t>
      </w:r>
      <w:r w:rsidR="006D325C">
        <w:t>72</w:t>
      </w:r>
      <w:r>
        <w:t xml:space="preserve"> hours for cognitive interviewing of the draft survey instrument.  There was no burden </w:t>
      </w:r>
      <w:r w:rsidR="00A31C75">
        <w:t xml:space="preserve">included for equivalent activities in the </w:t>
      </w:r>
      <w:r>
        <w:t>2014 CSLLEA.</w:t>
      </w:r>
    </w:p>
    <w:p w14:paraId="0E8E96FD" w14:textId="77777777" w:rsidR="00E01BBA" w:rsidRDefault="00E01BBA" w:rsidP="00DF4D22">
      <w:pPr>
        <w:pStyle w:val="Default"/>
      </w:pPr>
    </w:p>
    <w:p w14:paraId="2DC44061" w14:textId="77777777" w:rsidR="000E70CB" w:rsidRDefault="000E70CB" w:rsidP="000E70CB">
      <w:pPr>
        <w:pStyle w:val="Default"/>
        <w:numPr>
          <w:ilvl w:val="0"/>
          <w:numId w:val="23"/>
        </w:numPr>
      </w:pPr>
      <w:r>
        <w:t>The estimated time burden per respondent for the 2018 CSLLEA has been reduced by the elimination of several questions that had been asked on the 2014 CSLLEA.  For initial survey administration, the reduction is 30 minutes per case.</w:t>
      </w:r>
    </w:p>
    <w:p w14:paraId="1F1C3882" w14:textId="77777777" w:rsidR="00E01BBA" w:rsidRDefault="00E01BBA" w:rsidP="00DF4D22">
      <w:pPr>
        <w:pStyle w:val="Default"/>
      </w:pPr>
    </w:p>
    <w:p w14:paraId="20BE76BA" w14:textId="691D82A1" w:rsidR="003155D7" w:rsidRDefault="003155D7" w:rsidP="000E70CB">
      <w:pPr>
        <w:pStyle w:val="Default"/>
        <w:numPr>
          <w:ilvl w:val="0"/>
          <w:numId w:val="23"/>
        </w:numPr>
      </w:pPr>
      <w:r>
        <w:t>The population estimates for the 2014 and 2018 censuses are different: 18,000 and 20,000, respectively.</w:t>
      </w:r>
    </w:p>
    <w:p w14:paraId="46F01BC7" w14:textId="77777777" w:rsidR="00E01BBA" w:rsidRDefault="00E01BBA" w:rsidP="00DF4D22">
      <w:pPr>
        <w:pStyle w:val="Default"/>
      </w:pPr>
    </w:p>
    <w:p w14:paraId="5CE69331" w14:textId="77777777" w:rsidR="000E70CB" w:rsidRDefault="00E24812" w:rsidP="000E70CB">
      <w:pPr>
        <w:pStyle w:val="Default"/>
        <w:numPr>
          <w:ilvl w:val="0"/>
          <w:numId w:val="23"/>
        </w:numPr>
      </w:pPr>
      <w:r>
        <w:t>To calculate the 2018 CSLLEA burden, 15 minutes per case was included for follow-up with respondents to clarify data discrepancies and obtain missing data.  No burden for this contact had been included in the 2014 estimate.</w:t>
      </w:r>
    </w:p>
    <w:p w14:paraId="14A9A35C" w14:textId="77777777" w:rsidR="000E70CB" w:rsidRDefault="000E70CB" w:rsidP="001C7FAB">
      <w:pPr>
        <w:pStyle w:val="Default"/>
      </w:pPr>
    </w:p>
    <w:p w14:paraId="4AECAAC2" w14:textId="5B778D2C" w:rsidR="0027061F" w:rsidRPr="00B66D9B" w:rsidRDefault="002D4812" w:rsidP="00AE1D31">
      <w:pPr>
        <w:numPr>
          <w:ilvl w:val="0"/>
          <w:numId w:val="7"/>
        </w:numPr>
        <w:shd w:val="solid" w:color="FFFFFF" w:fill="FFFFFF"/>
        <w:tabs>
          <w:tab w:val="left" w:pos="720"/>
        </w:tabs>
        <w:ind w:left="720" w:hanging="720"/>
        <w:rPr>
          <w:b/>
          <w:sz w:val="24"/>
          <w:szCs w:val="24"/>
        </w:rPr>
      </w:pPr>
      <w:r w:rsidRPr="00B66D9B">
        <w:rPr>
          <w:b/>
          <w:sz w:val="24"/>
          <w:szCs w:val="24"/>
        </w:rPr>
        <w:t>Project Schedule</w:t>
      </w:r>
      <w:r w:rsidR="00A51213" w:rsidRPr="00B66D9B">
        <w:rPr>
          <w:b/>
          <w:sz w:val="24"/>
          <w:szCs w:val="24"/>
        </w:rPr>
        <w:t xml:space="preserve"> and Publication/Analysis Plans</w:t>
      </w:r>
      <w:r w:rsidR="00AE1D31" w:rsidRPr="00B66D9B">
        <w:rPr>
          <w:b/>
          <w:sz w:val="24"/>
          <w:szCs w:val="24"/>
        </w:rPr>
        <w:t xml:space="preserve"> </w:t>
      </w:r>
    </w:p>
    <w:p w14:paraId="745FA000" w14:textId="77777777" w:rsidR="00E644C7" w:rsidRDefault="00E644C7" w:rsidP="00E644C7">
      <w:pPr>
        <w:shd w:val="solid" w:color="FFFFFF" w:fill="FFFFFF"/>
        <w:tabs>
          <w:tab w:val="left" w:pos="720"/>
        </w:tabs>
        <w:rPr>
          <w:sz w:val="24"/>
          <w:szCs w:val="24"/>
        </w:rPr>
      </w:pPr>
    </w:p>
    <w:p w14:paraId="58437772" w14:textId="016287E6" w:rsidR="00FC5938" w:rsidRDefault="00FC5938" w:rsidP="00E644C7">
      <w:pPr>
        <w:pStyle w:val="Default"/>
      </w:pPr>
      <w:r>
        <w:t xml:space="preserve">The cognitive interviewing for the 2018 CSLLEA is scheduled to begin immediately upon receipt of OMB approval, approximately the end of March 2018. Cognitive interviewing will last approximately 3 months. RTI will submit a report of the results to BJS in July 2018. At </w:t>
      </w:r>
      <w:r w:rsidR="00E01BBA">
        <w:t xml:space="preserve">that </w:t>
      </w:r>
      <w:r>
        <w:t xml:space="preserve">time, BJS will make any necessary modifications to the instrument and advise OMB of the cognitive interviewing results in order to launch the full data collection in August 2018. </w:t>
      </w:r>
      <w:r w:rsidR="00E66913">
        <w:t xml:space="preserve">It should be noted that any changes to the instrument will not increase respondent burden and will likely reduce the overall burden if items are removed. </w:t>
      </w:r>
    </w:p>
    <w:p w14:paraId="548B3D95" w14:textId="77777777" w:rsidR="00FC5938" w:rsidRDefault="00FC5938" w:rsidP="00E644C7">
      <w:pPr>
        <w:pStyle w:val="Default"/>
      </w:pPr>
    </w:p>
    <w:p w14:paraId="138A23CD" w14:textId="36F20353" w:rsidR="00E644C7" w:rsidRDefault="00E644C7" w:rsidP="00E644C7">
      <w:pPr>
        <w:pStyle w:val="Default"/>
      </w:pPr>
      <w:r>
        <w:t>The data collection for 201</w:t>
      </w:r>
      <w:r w:rsidR="00B86E57">
        <w:t>8</w:t>
      </w:r>
      <w:r>
        <w:t xml:space="preserve"> </w:t>
      </w:r>
      <w:r w:rsidR="00B86E57">
        <w:t xml:space="preserve">CSLLEA </w:t>
      </w:r>
      <w:r>
        <w:t>is scheduled to begin in August 201</w:t>
      </w:r>
      <w:r w:rsidR="00B86E57">
        <w:t>8</w:t>
      </w:r>
      <w:r w:rsidRPr="00ED7CC6">
        <w:t>.</w:t>
      </w:r>
      <w:r>
        <w:t xml:space="preserve"> </w:t>
      </w:r>
      <w:r w:rsidRPr="00ED7CC6">
        <w:t>The data collection period is 9 months.</w:t>
      </w:r>
      <w:r>
        <w:t xml:space="preserve"> The </w:t>
      </w:r>
      <w:r w:rsidR="00E01BBA">
        <w:t xml:space="preserve">survey </w:t>
      </w:r>
      <w:r>
        <w:t xml:space="preserve">design calls for the initiation of data analyses including the assessment of nonresponse biases when the response rate hits 50%. </w:t>
      </w:r>
      <w:r w:rsidR="00E01BBA">
        <w:t>This</w:t>
      </w:r>
      <w:r>
        <w:t xml:space="preserve"> program anticipates a final response rate in excess of 9</w:t>
      </w:r>
      <w:r w:rsidR="00B86E57">
        <w:t>5</w:t>
      </w:r>
      <w:r>
        <w:t>%</w:t>
      </w:r>
      <w:r w:rsidR="00E01BBA">
        <w:t>.</w:t>
      </w:r>
      <w:r>
        <w:t xml:space="preserve"> </w:t>
      </w:r>
      <w:r w:rsidR="00E01BBA">
        <w:t xml:space="preserve">However, </w:t>
      </w:r>
      <w:r>
        <w:t xml:space="preserve">BJS </w:t>
      </w:r>
      <w:r w:rsidR="00E01BBA">
        <w:t>would</w:t>
      </w:r>
      <w:r>
        <w:t xml:space="preserve"> report national estimates based on response rates greater than 80%, if necessary</w:t>
      </w:r>
      <w:r w:rsidR="00DF4D22">
        <w:t>,</w:t>
      </w:r>
      <w:r>
        <w:t xml:space="preserve"> </w:t>
      </w:r>
      <w:r w:rsidR="00DF4D22">
        <w:t xml:space="preserve">to </w:t>
      </w:r>
      <w:r w:rsidR="00E01BBA">
        <w:t>be able to</w:t>
      </w:r>
      <w:r>
        <w:t xml:space="preserve"> release published findings by</w:t>
      </w:r>
      <w:r w:rsidR="00B86E57">
        <w:t xml:space="preserve"> </w:t>
      </w:r>
      <w:r w:rsidR="00320E4A">
        <w:t>early 2020</w:t>
      </w:r>
      <w:r w:rsidRPr="004001DD">
        <w:t>.</w:t>
      </w:r>
      <w:r>
        <w:t xml:space="preserve"> Table </w:t>
      </w:r>
      <w:r w:rsidR="00E87F2D">
        <w:t xml:space="preserve">4 </w:t>
      </w:r>
      <w:r>
        <w:t>contains the project schedule</w:t>
      </w:r>
      <w:r w:rsidR="00FC5938">
        <w:t xml:space="preserve"> for the full data collection</w:t>
      </w:r>
      <w:r>
        <w:t xml:space="preserve">. </w:t>
      </w:r>
    </w:p>
    <w:p w14:paraId="358C366E" w14:textId="77777777" w:rsidR="00EF1BA5" w:rsidRDefault="00EF1BA5" w:rsidP="00E644C7">
      <w:pPr>
        <w:pStyle w:val="Default"/>
      </w:pPr>
    </w:p>
    <w:p w14:paraId="5F10F453" w14:textId="220D9E44" w:rsidR="00EF1BA5" w:rsidRPr="00657270" w:rsidRDefault="00EF1BA5" w:rsidP="00EC3476">
      <w:pPr>
        <w:pStyle w:val="Default"/>
        <w:keepNext/>
        <w:keepLines/>
        <w:rPr>
          <w:b/>
        </w:rPr>
      </w:pPr>
      <w:r w:rsidRPr="00657270">
        <w:rPr>
          <w:b/>
        </w:rPr>
        <w:t xml:space="preserve">Table </w:t>
      </w:r>
      <w:r w:rsidR="00E87F2D" w:rsidRPr="00657270">
        <w:rPr>
          <w:b/>
        </w:rPr>
        <w:t>4</w:t>
      </w:r>
      <w:r w:rsidRPr="00657270">
        <w:rPr>
          <w:b/>
        </w:rPr>
        <w:t>. Project Schedule</w:t>
      </w:r>
    </w:p>
    <w:tbl>
      <w:tblPr>
        <w:tblW w:w="9810" w:type="dxa"/>
        <w:tblLayout w:type="fixed"/>
        <w:tblLook w:val="04A0" w:firstRow="1" w:lastRow="0" w:firstColumn="1" w:lastColumn="0" w:noHBand="0" w:noVBand="1"/>
      </w:tblPr>
      <w:tblGrid>
        <w:gridCol w:w="4320"/>
        <w:gridCol w:w="1830"/>
        <w:gridCol w:w="1830"/>
        <w:gridCol w:w="1830"/>
      </w:tblGrid>
      <w:tr w:rsidR="00E30744" w:rsidRPr="00EC3476" w14:paraId="103A0A23" w14:textId="77777777" w:rsidTr="00E30744">
        <w:trPr>
          <w:trHeight w:val="300"/>
        </w:trPr>
        <w:tc>
          <w:tcPr>
            <w:tcW w:w="4320" w:type="dxa"/>
            <w:tcBorders>
              <w:top w:val="single" w:sz="4" w:space="0" w:color="auto"/>
              <w:left w:val="nil"/>
              <w:bottom w:val="single" w:sz="4" w:space="0" w:color="auto"/>
              <w:right w:val="nil"/>
            </w:tcBorders>
            <w:shd w:val="clear" w:color="auto" w:fill="auto"/>
            <w:noWrap/>
            <w:vAlign w:val="bottom"/>
            <w:hideMark/>
          </w:tcPr>
          <w:p w14:paraId="2879F03E" w14:textId="77777777" w:rsidR="00EC3476" w:rsidRPr="00EC3476" w:rsidRDefault="00EC3476" w:rsidP="00EC3476">
            <w:pPr>
              <w:keepNext/>
              <w:keepLines/>
              <w:autoSpaceDE/>
              <w:autoSpaceDN/>
              <w:adjustRightInd/>
              <w:rPr>
                <w:b/>
                <w:bCs/>
                <w:color w:val="000000"/>
                <w:sz w:val="22"/>
                <w:szCs w:val="22"/>
              </w:rPr>
            </w:pPr>
            <w:r w:rsidRPr="00EC3476">
              <w:rPr>
                <w:b/>
                <w:bCs/>
                <w:color w:val="000000"/>
                <w:sz w:val="22"/>
                <w:szCs w:val="22"/>
              </w:rPr>
              <w:t>Stage</w:t>
            </w:r>
          </w:p>
        </w:tc>
        <w:tc>
          <w:tcPr>
            <w:tcW w:w="1830" w:type="dxa"/>
            <w:tcBorders>
              <w:top w:val="single" w:sz="4" w:space="0" w:color="auto"/>
              <w:left w:val="nil"/>
              <w:bottom w:val="single" w:sz="4" w:space="0" w:color="auto"/>
              <w:right w:val="nil"/>
            </w:tcBorders>
            <w:shd w:val="clear" w:color="auto" w:fill="auto"/>
            <w:noWrap/>
            <w:vAlign w:val="bottom"/>
            <w:hideMark/>
          </w:tcPr>
          <w:p w14:paraId="69023710" w14:textId="77777777" w:rsidR="00EC3476" w:rsidRPr="00EC3476" w:rsidRDefault="00EC3476" w:rsidP="00EC3476">
            <w:pPr>
              <w:keepNext/>
              <w:keepLines/>
              <w:autoSpaceDE/>
              <w:autoSpaceDN/>
              <w:adjustRightInd/>
              <w:jc w:val="center"/>
              <w:rPr>
                <w:b/>
                <w:bCs/>
                <w:color w:val="000000"/>
                <w:sz w:val="22"/>
                <w:szCs w:val="22"/>
              </w:rPr>
            </w:pPr>
            <w:r w:rsidRPr="00EC3476">
              <w:rPr>
                <w:b/>
                <w:bCs/>
                <w:color w:val="000000"/>
                <w:sz w:val="22"/>
                <w:szCs w:val="22"/>
              </w:rPr>
              <w:t>Type of contact</w:t>
            </w:r>
          </w:p>
        </w:tc>
        <w:tc>
          <w:tcPr>
            <w:tcW w:w="1830" w:type="dxa"/>
            <w:tcBorders>
              <w:top w:val="single" w:sz="4" w:space="0" w:color="auto"/>
              <w:left w:val="nil"/>
              <w:bottom w:val="single" w:sz="4" w:space="0" w:color="auto"/>
              <w:right w:val="nil"/>
            </w:tcBorders>
            <w:shd w:val="clear" w:color="auto" w:fill="auto"/>
            <w:noWrap/>
            <w:vAlign w:val="bottom"/>
            <w:hideMark/>
          </w:tcPr>
          <w:p w14:paraId="15075807" w14:textId="77777777" w:rsidR="00EC3476" w:rsidRPr="00EC3476" w:rsidRDefault="00EC3476" w:rsidP="00EC3476">
            <w:pPr>
              <w:keepNext/>
              <w:keepLines/>
              <w:autoSpaceDE/>
              <w:autoSpaceDN/>
              <w:adjustRightInd/>
              <w:jc w:val="center"/>
              <w:rPr>
                <w:b/>
                <w:bCs/>
                <w:color w:val="000000"/>
                <w:sz w:val="22"/>
                <w:szCs w:val="22"/>
              </w:rPr>
            </w:pPr>
            <w:r w:rsidRPr="00EC3476">
              <w:rPr>
                <w:b/>
                <w:bCs/>
                <w:color w:val="000000"/>
                <w:sz w:val="22"/>
                <w:szCs w:val="22"/>
              </w:rPr>
              <w:t>Date</w:t>
            </w:r>
          </w:p>
        </w:tc>
        <w:tc>
          <w:tcPr>
            <w:tcW w:w="1830" w:type="dxa"/>
            <w:tcBorders>
              <w:top w:val="single" w:sz="4" w:space="0" w:color="auto"/>
              <w:left w:val="nil"/>
              <w:bottom w:val="single" w:sz="4" w:space="0" w:color="auto"/>
              <w:right w:val="nil"/>
            </w:tcBorders>
            <w:shd w:val="clear" w:color="auto" w:fill="auto"/>
            <w:vAlign w:val="bottom"/>
            <w:hideMark/>
          </w:tcPr>
          <w:p w14:paraId="55C8B7A5" w14:textId="77777777" w:rsidR="00EC3476" w:rsidRPr="00FC5938" w:rsidRDefault="00EC3476" w:rsidP="00EC3476">
            <w:pPr>
              <w:keepNext/>
              <w:keepLines/>
              <w:autoSpaceDE/>
              <w:autoSpaceDN/>
              <w:adjustRightInd/>
              <w:jc w:val="center"/>
              <w:rPr>
                <w:b/>
                <w:bCs/>
                <w:color w:val="000000"/>
                <w:sz w:val="22"/>
                <w:szCs w:val="22"/>
              </w:rPr>
            </w:pPr>
            <w:r w:rsidRPr="00FC5938">
              <w:rPr>
                <w:b/>
                <w:bCs/>
                <w:color w:val="000000"/>
                <w:sz w:val="22"/>
                <w:szCs w:val="22"/>
              </w:rPr>
              <w:t>Attachment number</w:t>
            </w:r>
          </w:p>
        </w:tc>
      </w:tr>
      <w:tr w:rsidR="00E30744" w:rsidRPr="00EC3476" w14:paraId="51224FF6" w14:textId="77777777" w:rsidTr="00E30744">
        <w:trPr>
          <w:trHeight w:val="300"/>
        </w:trPr>
        <w:tc>
          <w:tcPr>
            <w:tcW w:w="4320" w:type="dxa"/>
            <w:tcBorders>
              <w:top w:val="nil"/>
              <w:left w:val="nil"/>
              <w:bottom w:val="nil"/>
              <w:right w:val="nil"/>
            </w:tcBorders>
            <w:shd w:val="clear" w:color="auto" w:fill="auto"/>
            <w:vAlign w:val="bottom"/>
            <w:hideMark/>
          </w:tcPr>
          <w:p w14:paraId="1DA3A859" w14:textId="77777777" w:rsidR="00EC3476" w:rsidRPr="00EC3476" w:rsidRDefault="00EC3476" w:rsidP="00EC3476">
            <w:pPr>
              <w:keepNext/>
              <w:keepLines/>
              <w:autoSpaceDE/>
              <w:autoSpaceDN/>
              <w:adjustRightInd/>
              <w:rPr>
                <w:color w:val="000000"/>
                <w:sz w:val="22"/>
                <w:szCs w:val="22"/>
              </w:rPr>
            </w:pPr>
            <w:r w:rsidRPr="00EC3476">
              <w:rPr>
                <w:color w:val="000000"/>
                <w:sz w:val="22"/>
                <w:szCs w:val="22"/>
              </w:rPr>
              <w:t>CSLLEA informational website</w:t>
            </w:r>
          </w:p>
        </w:tc>
        <w:tc>
          <w:tcPr>
            <w:tcW w:w="1830" w:type="dxa"/>
            <w:tcBorders>
              <w:top w:val="nil"/>
              <w:left w:val="nil"/>
              <w:bottom w:val="nil"/>
              <w:right w:val="nil"/>
            </w:tcBorders>
            <w:shd w:val="clear" w:color="auto" w:fill="auto"/>
            <w:noWrap/>
            <w:vAlign w:val="bottom"/>
            <w:hideMark/>
          </w:tcPr>
          <w:p w14:paraId="2A7E2AB0" w14:textId="7F7D5411" w:rsidR="00EC3476" w:rsidRPr="00EC3476" w:rsidRDefault="00E87F2D" w:rsidP="00EC3476">
            <w:pPr>
              <w:keepNext/>
              <w:keepLines/>
              <w:autoSpaceDE/>
              <w:autoSpaceDN/>
              <w:adjustRightInd/>
              <w:jc w:val="center"/>
              <w:rPr>
                <w:color w:val="000000"/>
                <w:sz w:val="22"/>
                <w:szCs w:val="22"/>
              </w:rPr>
            </w:pPr>
            <w:r>
              <w:rPr>
                <w:color w:val="000000"/>
                <w:sz w:val="22"/>
                <w:szCs w:val="22"/>
              </w:rPr>
              <w:t>All</w:t>
            </w:r>
          </w:p>
        </w:tc>
        <w:tc>
          <w:tcPr>
            <w:tcW w:w="1830" w:type="dxa"/>
            <w:tcBorders>
              <w:top w:val="nil"/>
              <w:left w:val="nil"/>
              <w:bottom w:val="nil"/>
              <w:right w:val="nil"/>
            </w:tcBorders>
            <w:shd w:val="clear" w:color="auto" w:fill="auto"/>
            <w:noWrap/>
            <w:vAlign w:val="bottom"/>
            <w:hideMark/>
          </w:tcPr>
          <w:p w14:paraId="453858EF" w14:textId="77777777" w:rsidR="00EC3476" w:rsidRPr="00EC3476" w:rsidRDefault="00EC3476" w:rsidP="00EC3476">
            <w:pPr>
              <w:keepNext/>
              <w:keepLines/>
              <w:autoSpaceDE/>
              <w:autoSpaceDN/>
              <w:adjustRightInd/>
              <w:jc w:val="center"/>
              <w:rPr>
                <w:color w:val="000000"/>
                <w:sz w:val="22"/>
                <w:szCs w:val="22"/>
              </w:rPr>
            </w:pPr>
            <w:r w:rsidRPr="00EC3476">
              <w:rPr>
                <w:color w:val="000000"/>
                <w:sz w:val="22"/>
                <w:szCs w:val="22"/>
              </w:rPr>
              <w:t>Day 1</w:t>
            </w:r>
          </w:p>
        </w:tc>
        <w:tc>
          <w:tcPr>
            <w:tcW w:w="1830" w:type="dxa"/>
            <w:tcBorders>
              <w:top w:val="nil"/>
              <w:left w:val="nil"/>
              <w:bottom w:val="nil"/>
              <w:right w:val="nil"/>
            </w:tcBorders>
            <w:shd w:val="clear" w:color="auto" w:fill="auto"/>
            <w:noWrap/>
            <w:vAlign w:val="bottom"/>
            <w:hideMark/>
          </w:tcPr>
          <w:p w14:paraId="1DB8AF1B" w14:textId="060F0751" w:rsidR="00EC3476" w:rsidRPr="00FC5938" w:rsidRDefault="00E87F2D" w:rsidP="00EC3476">
            <w:pPr>
              <w:keepNext/>
              <w:keepLines/>
              <w:autoSpaceDE/>
              <w:autoSpaceDN/>
              <w:adjustRightInd/>
              <w:jc w:val="center"/>
              <w:rPr>
                <w:color w:val="000000"/>
                <w:sz w:val="22"/>
                <w:szCs w:val="22"/>
              </w:rPr>
            </w:pPr>
            <w:r w:rsidRPr="00657270">
              <w:rPr>
                <w:color w:val="000000"/>
                <w:sz w:val="22"/>
                <w:szCs w:val="22"/>
              </w:rPr>
              <w:t>--</w:t>
            </w:r>
          </w:p>
        </w:tc>
      </w:tr>
      <w:tr w:rsidR="00E30744" w:rsidRPr="00EC3476" w14:paraId="60CBA47C" w14:textId="77777777" w:rsidTr="00E30744">
        <w:trPr>
          <w:trHeight w:val="600"/>
        </w:trPr>
        <w:tc>
          <w:tcPr>
            <w:tcW w:w="4320" w:type="dxa"/>
            <w:tcBorders>
              <w:top w:val="nil"/>
              <w:left w:val="nil"/>
              <w:bottom w:val="nil"/>
              <w:right w:val="nil"/>
            </w:tcBorders>
            <w:shd w:val="clear" w:color="auto" w:fill="auto"/>
            <w:vAlign w:val="bottom"/>
            <w:hideMark/>
          </w:tcPr>
          <w:p w14:paraId="2C627034" w14:textId="09985AB6" w:rsidR="00EC3476" w:rsidRPr="00EC3476" w:rsidRDefault="00EC3476" w:rsidP="00EC3476">
            <w:pPr>
              <w:keepNext/>
              <w:keepLines/>
              <w:autoSpaceDE/>
              <w:autoSpaceDN/>
              <w:adjustRightInd/>
              <w:rPr>
                <w:color w:val="000000"/>
                <w:sz w:val="22"/>
                <w:szCs w:val="22"/>
              </w:rPr>
            </w:pPr>
            <w:r w:rsidRPr="00EC3476">
              <w:rPr>
                <w:color w:val="000000"/>
                <w:sz w:val="22"/>
                <w:szCs w:val="22"/>
              </w:rPr>
              <w:t>Survey invitation letter (with URL and login instructions)</w:t>
            </w:r>
            <w:r w:rsidR="00FC5938">
              <w:rPr>
                <w:color w:val="000000"/>
                <w:sz w:val="22"/>
                <w:szCs w:val="22"/>
              </w:rPr>
              <w:t xml:space="preserve">, </w:t>
            </w:r>
            <w:r w:rsidRPr="00EC3476">
              <w:rPr>
                <w:color w:val="000000"/>
                <w:sz w:val="22"/>
                <w:szCs w:val="22"/>
              </w:rPr>
              <w:t>CSLLEA flyer</w:t>
            </w:r>
            <w:r w:rsidR="00FC5938">
              <w:rPr>
                <w:color w:val="000000"/>
                <w:sz w:val="22"/>
                <w:szCs w:val="22"/>
              </w:rPr>
              <w:t>, letter of support, POC form</w:t>
            </w:r>
          </w:p>
        </w:tc>
        <w:tc>
          <w:tcPr>
            <w:tcW w:w="1830" w:type="dxa"/>
            <w:tcBorders>
              <w:top w:val="nil"/>
              <w:left w:val="nil"/>
              <w:bottom w:val="nil"/>
              <w:right w:val="nil"/>
            </w:tcBorders>
            <w:shd w:val="clear" w:color="auto" w:fill="auto"/>
            <w:noWrap/>
            <w:vAlign w:val="bottom"/>
            <w:hideMark/>
          </w:tcPr>
          <w:p w14:paraId="57773A94" w14:textId="77777777" w:rsidR="00EC3476" w:rsidRPr="00EC3476" w:rsidRDefault="00EC3476" w:rsidP="00EC3476">
            <w:pPr>
              <w:keepNext/>
              <w:keepLines/>
              <w:autoSpaceDE/>
              <w:autoSpaceDN/>
              <w:adjustRightInd/>
              <w:jc w:val="center"/>
              <w:rPr>
                <w:color w:val="000000"/>
                <w:sz w:val="22"/>
                <w:szCs w:val="22"/>
              </w:rPr>
            </w:pPr>
            <w:r w:rsidRPr="00EC3476">
              <w:rPr>
                <w:color w:val="000000"/>
                <w:sz w:val="22"/>
                <w:szCs w:val="22"/>
              </w:rPr>
              <w:t>All</w:t>
            </w:r>
          </w:p>
        </w:tc>
        <w:tc>
          <w:tcPr>
            <w:tcW w:w="1830" w:type="dxa"/>
            <w:tcBorders>
              <w:top w:val="nil"/>
              <w:left w:val="nil"/>
              <w:bottom w:val="nil"/>
              <w:right w:val="nil"/>
            </w:tcBorders>
            <w:shd w:val="clear" w:color="auto" w:fill="auto"/>
            <w:noWrap/>
            <w:vAlign w:val="bottom"/>
            <w:hideMark/>
          </w:tcPr>
          <w:p w14:paraId="140F28BE" w14:textId="77777777" w:rsidR="00EC3476" w:rsidRPr="00EC3476" w:rsidRDefault="00EC3476" w:rsidP="00EC3476">
            <w:pPr>
              <w:keepNext/>
              <w:keepLines/>
              <w:autoSpaceDE/>
              <w:autoSpaceDN/>
              <w:adjustRightInd/>
              <w:jc w:val="center"/>
              <w:rPr>
                <w:color w:val="000000"/>
                <w:sz w:val="22"/>
                <w:szCs w:val="22"/>
              </w:rPr>
            </w:pPr>
            <w:r w:rsidRPr="00EC3476">
              <w:rPr>
                <w:color w:val="000000"/>
                <w:sz w:val="22"/>
                <w:szCs w:val="22"/>
              </w:rPr>
              <w:t>Day 7</w:t>
            </w:r>
          </w:p>
        </w:tc>
        <w:tc>
          <w:tcPr>
            <w:tcW w:w="1830" w:type="dxa"/>
            <w:tcBorders>
              <w:top w:val="nil"/>
              <w:left w:val="nil"/>
              <w:bottom w:val="nil"/>
              <w:right w:val="nil"/>
            </w:tcBorders>
            <w:shd w:val="clear" w:color="auto" w:fill="auto"/>
            <w:noWrap/>
            <w:vAlign w:val="bottom"/>
            <w:hideMark/>
          </w:tcPr>
          <w:p w14:paraId="249AC6DC" w14:textId="34DCB902" w:rsidR="00EC3476" w:rsidRPr="00FC5938" w:rsidRDefault="00FC5938" w:rsidP="00EC3476">
            <w:pPr>
              <w:keepNext/>
              <w:keepLines/>
              <w:autoSpaceDE/>
              <w:autoSpaceDN/>
              <w:adjustRightInd/>
              <w:jc w:val="center"/>
              <w:rPr>
                <w:color w:val="000000"/>
                <w:sz w:val="22"/>
                <w:szCs w:val="22"/>
              </w:rPr>
            </w:pPr>
            <w:r w:rsidRPr="00657270">
              <w:rPr>
                <w:color w:val="000000"/>
                <w:sz w:val="22"/>
                <w:szCs w:val="22"/>
              </w:rPr>
              <w:t>5-8</w:t>
            </w:r>
          </w:p>
        </w:tc>
      </w:tr>
      <w:tr w:rsidR="00E30744" w:rsidRPr="00EC3476" w14:paraId="7138F87A" w14:textId="77777777" w:rsidTr="00E30744">
        <w:trPr>
          <w:trHeight w:val="600"/>
        </w:trPr>
        <w:tc>
          <w:tcPr>
            <w:tcW w:w="4320" w:type="dxa"/>
            <w:tcBorders>
              <w:top w:val="nil"/>
              <w:left w:val="nil"/>
              <w:bottom w:val="nil"/>
              <w:right w:val="nil"/>
            </w:tcBorders>
            <w:shd w:val="clear" w:color="auto" w:fill="auto"/>
            <w:vAlign w:val="bottom"/>
            <w:hideMark/>
          </w:tcPr>
          <w:p w14:paraId="7F721C95" w14:textId="12B240BF" w:rsidR="00EC3476" w:rsidRPr="00EC3476" w:rsidRDefault="00EC3476">
            <w:pPr>
              <w:keepNext/>
              <w:keepLines/>
              <w:autoSpaceDE/>
              <w:autoSpaceDN/>
              <w:adjustRightInd/>
              <w:rPr>
                <w:color w:val="000000"/>
                <w:sz w:val="22"/>
                <w:szCs w:val="22"/>
              </w:rPr>
            </w:pPr>
            <w:r w:rsidRPr="00EC3476">
              <w:rPr>
                <w:color w:val="000000"/>
                <w:sz w:val="22"/>
                <w:szCs w:val="22"/>
              </w:rPr>
              <w:t>Email invitation (with URL and login instructions)</w:t>
            </w:r>
          </w:p>
        </w:tc>
        <w:tc>
          <w:tcPr>
            <w:tcW w:w="1830" w:type="dxa"/>
            <w:tcBorders>
              <w:top w:val="nil"/>
              <w:left w:val="nil"/>
              <w:bottom w:val="nil"/>
              <w:right w:val="nil"/>
            </w:tcBorders>
            <w:shd w:val="clear" w:color="auto" w:fill="auto"/>
            <w:noWrap/>
            <w:vAlign w:val="bottom"/>
            <w:hideMark/>
          </w:tcPr>
          <w:p w14:paraId="57BF83C7" w14:textId="77777777" w:rsidR="00EC3476" w:rsidRPr="00EC3476" w:rsidRDefault="00EC3476" w:rsidP="00EC3476">
            <w:pPr>
              <w:keepNext/>
              <w:keepLines/>
              <w:autoSpaceDE/>
              <w:autoSpaceDN/>
              <w:adjustRightInd/>
              <w:jc w:val="center"/>
              <w:rPr>
                <w:color w:val="000000"/>
                <w:sz w:val="22"/>
                <w:szCs w:val="22"/>
              </w:rPr>
            </w:pPr>
            <w:r w:rsidRPr="00EC3476">
              <w:rPr>
                <w:color w:val="000000"/>
                <w:sz w:val="22"/>
                <w:szCs w:val="22"/>
              </w:rPr>
              <w:t>All</w:t>
            </w:r>
          </w:p>
        </w:tc>
        <w:tc>
          <w:tcPr>
            <w:tcW w:w="1830" w:type="dxa"/>
            <w:tcBorders>
              <w:top w:val="nil"/>
              <w:left w:val="nil"/>
              <w:bottom w:val="nil"/>
              <w:right w:val="nil"/>
            </w:tcBorders>
            <w:shd w:val="clear" w:color="auto" w:fill="auto"/>
            <w:noWrap/>
            <w:vAlign w:val="bottom"/>
            <w:hideMark/>
          </w:tcPr>
          <w:p w14:paraId="692F48AD" w14:textId="77777777" w:rsidR="00EC3476" w:rsidRPr="00EC3476" w:rsidRDefault="00EC3476" w:rsidP="00EC3476">
            <w:pPr>
              <w:keepNext/>
              <w:keepLines/>
              <w:autoSpaceDE/>
              <w:autoSpaceDN/>
              <w:adjustRightInd/>
              <w:jc w:val="center"/>
              <w:rPr>
                <w:color w:val="000000"/>
                <w:sz w:val="22"/>
                <w:szCs w:val="22"/>
              </w:rPr>
            </w:pPr>
            <w:r w:rsidRPr="00EC3476">
              <w:rPr>
                <w:color w:val="000000"/>
                <w:sz w:val="22"/>
                <w:szCs w:val="22"/>
              </w:rPr>
              <w:t>Day 14</w:t>
            </w:r>
          </w:p>
        </w:tc>
        <w:tc>
          <w:tcPr>
            <w:tcW w:w="1830" w:type="dxa"/>
            <w:tcBorders>
              <w:top w:val="nil"/>
              <w:left w:val="nil"/>
              <w:bottom w:val="nil"/>
              <w:right w:val="nil"/>
            </w:tcBorders>
            <w:shd w:val="clear" w:color="auto" w:fill="auto"/>
            <w:noWrap/>
            <w:vAlign w:val="bottom"/>
            <w:hideMark/>
          </w:tcPr>
          <w:p w14:paraId="5603F774" w14:textId="5B6A89A5" w:rsidR="00EC3476" w:rsidRPr="00FC5938" w:rsidRDefault="00FC5938" w:rsidP="00EC3476">
            <w:pPr>
              <w:keepNext/>
              <w:keepLines/>
              <w:autoSpaceDE/>
              <w:autoSpaceDN/>
              <w:adjustRightInd/>
              <w:jc w:val="center"/>
              <w:rPr>
                <w:color w:val="000000"/>
                <w:sz w:val="22"/>
                <w:szCs w:val="22"/>
              </w:rPr>
            </w:pPr>
            <w:r w:rsidRPr="00657270">
              <w:rPr>
                <w:color w:val="000000"/>
                <w:sz w:val="22"/>
                <w:szCs w:val="22"/>
              </w:rPr>
              <w:t>9</w:t>
            </w:r>
          </w:p>
        </w:tc>
      </w:tr>
      <w:tr w:rsidR="00E30744" w:rsidRPr="00EC3476" w14:paraId="4CA8C9E9" w14:textId="77777777" w:rsidTr="00E30744">
        <w:trPr>
          <w:trHeight w:val="300"/>
        </w:trPr>
        <w:tc>
          <w:tcPr>
            <w:tcW w:w="4320" w:type="dxa"/>
            <w:tcBorders>
              <w:top w:val="nil"/>
              <w:left w:val="nil"/>
              <w:bottom w:val="nil"/>
              <w:right w:val="nil"/>
            </w:tcBorders>
            <w:shd w:val="clear" w:color="auto" w:fill="auto"/>
            <w:vAlign w:val="bottom"/>
            <w:hideMark/>
          </w:tcPr>
          <w:p w14:paraId="31A14A45" w14:textId="77777777" w:rsidR="00EC3476" w:rsidRPr="00EC3476" w:rsidRDefault="00EC3476" w:rsidP="00EC3476">
            <w:pPr>
              <w:keepNext/>
              <w:keepLines/>
              <w:autoSpaceDE/>
              <w:autoSpaceDN/>
              <w:adjustRightInd/>
              <w:rPr>
                <w:color w:val="000000"/>
                <w:sz w:val="22"/>
                <w:szCs w:val="22"/>
              </w:rPr>
            </w:pPr>
            <w:r w:rsidRPr="00EC3476">
              <w:rPr>
                <w:color w:val="000000"/>
                <w:sz w:val="22"/>
                <w:szCs w:val="22"/>
              </w:rPr>
              <w:t>Completion thank-you</w:t>
            </w:r>
          </w:p>
        </w:tc>
        <w:tc>
          <w:tcPr>
            <w:tcW w:w="1830" w:type="dxa"/>
            <w:tcBorders>
              <w:top w:val="nil"/>
              <w:left w:val="nil"/>
              <w:bottom w:val="nil"/>
              <w:right w:val="nil"/>
            </w:tcBorders>
            <w:shd w:val="clear" w:color="auto" w:fill="auto"/>
            <w:noWrap/>
            <w:vAlign w:val="bottom"/>
            <w:hideMark/>
          </w:tcPr>
          <w:p w14:paraId="13AB0CEA" w14:textId="77777777" w:rsidR="00EC3476" w:rsidRPr="00EC3476" w:rsidRDefault="00EC3476" w:rsidP="00EC3476">
            <w:pPr>
              <w:keepNext/>
              <w:keepLines/>
              <w:autoSpaceDE/>
              <w:autoSpaceDN/>
              <w:adjustRightInd/>
              <w:jc w:val="center"/>
              <w:rPr>
                <w:color w:val="000000"/>
                <w:sz w:val="22"/>
                <w:szCs w:val="22"/>
              </w:rPr>
            </w:pPr>
            <w:r w:rsidRPr="00EC3476">
              <w:rPr>
                <w:color w:val="000000"/>
                <w:sz w:val="22"/>
                <w:szCs w:val="22"/>
              </w:rPr>
              <w:t>All</w:t>
            </w:r>
          </w:p>
        </w:tc>
        <w:tc>
          <w:tcPr>
            <w:tcW w:w="1830" w:type="dxa"/>
            <w:tcBorders>
              <w:top w:val="nil"/>
              <w:left w:val="nil"/>
              <w:bottom w:val="nil"/>
              <w:right w:val="nil"/>
            </w:tcBorders>
            <w:shd w:val="clear" w:color="auto" w:fill="auto"/>
            <w:noWrap/>
            <w:vAlign w:val="bottom"/>
            <w:hideMark/>
          </w:tcPr>
          <w:p w14:paraId="241B2A4D" w14:textId="212F69DE" w:rsidR="00EC3476" w:rsidRPr="00EC3476" w:rsidRDefault="00E87F2D" w:rsidP="00EC3476">
            <w:pPr>
              <w:keepNext/>
              <w:keepLines/>
              <w:autoSpaceDE/>
              <w:autoSpaceDN/>
              <w:adjustRightInd/>
              <w:jc w:val="center"/>
              <w:rPr>
                <w:color w:val="000000"/>
                <w:sz w:val="22"/>
                <w:szCs w:val="22"/>
              </w:rPr>
            </w:pPr>
            <w:r>
              <w:rPr>
                <w:color w:val="000000"/>
                <w:sz w:val="22"/>
                <w:szCs w:val="22"/>
              </w:rPr>
              <w:t>Variable</w:t>
            </w:r>
          </w:p>
        </w:tc>
        <w:tc>
          <w:tcPr>
            <w:tcW w:w="1830" w:type="dxa"/>
            <w:tcBorders>
              <w:top w:val="nil"/>
              <w:left w:val="nil"/>
              <w:bottom w:val="nil"/>
              <w:right w:val="nil"/>
            </w:tcBorders>
            <w:shd w:val="clear" w:color="auto" w:fill="auto"/>
            <w:noWrap/>
            <w:vAlign w:val="bottom"/>
            <w:hideMark/>
          </w:tcPr>
          <w:p w14:paraId="413295C7" w14:textId="32FD24D8" w:rsidR="00EC3476" w:rsidRPr="00FC5938" w:rsidRDefault="00EC3476" w:rsidP="00EC3476">
            <w:pPr>
              <w:keepNext/>
              <w:keepLines/>
              <w:autoSpaceDE/>
              <w:autoSpaceDN/>
              <w:adjustRightInd/>
              <w:jc w:val="center"/>
              <w:rPr>
                <w:color w:val="000000"/>
                <w:sz w:val="22"/>
                <w:szCs w:val="22"/>
              </w:rPr>
            </w:pPr>
            <w:r w:rsidRPr="00FC5938">
              <w:rPr>
                <w:color w:val="000000"/>
                <w:sz w:val="22"/>
                <w:szCs w:val="22"/>
              </w:rPr>
              <w:t>1</w:t>
            </w:r>
            <w:r w:rsidR="00FC5938" w:rsidRPr="00657270">
              <w:rPr>
                <w:color w:val="000000"/>
                <w:sz w:val="22"/>
                <w:szCs w:val="22"/>
              </w:rPr>
              <w:t>6</w:t>
            </w:r>
          </w:p>
        </w:tc>
      </w:tr>
      <w:tr w:rsidR="00E30744" w:rsidRPr="00EC3476" w14:paraId="35A810CD" w14:textId="77777777" w:rsidTr="00E30744">
        <w:trPr>
          <w:trHeight w:val="300"/>
        </w:trPr>
        <w:tc>
          <w:tcPr>
            <w:tcW w:w="4320" w:type="dxa"/>
            <w:tcBorders>
              <w:top w:val="nil"/>
              <w:left w:val="nil"/>
              <w:bottom w:val="nil"/>
              <w:right w:val="nil"/>
            </w:tcBorders>
            <w:shd w:val="clear" w:color="auto" w:fill="auto"/>
            <w:vAlign w:val="bottom"/>
            <w:hideMark/>
          </w:tcPr>
          <w:p w14:paraId="0256C897" w14:textId="77777777" w:rsidR="00EC3476" w:rsidRPr="00EC3476" w:rsidRDefault="00EC3476" w:rsidP="00EC3476">
            <w:pPr>
              <w:keepNext/>
              <w:keepLines/>
              <w:autoSpaceDE/>
              <w:autoSpaceDN/>
              <w:adjustRightInd/>
              <w:rPr>
                <w:color w:val="000000"/>
                <w:sz w:val="22"/>
                <w:szCs w:val="22"/>
              </w:rPr>
            </w:pPr>
            <w:r w:rsidRPr="00EC3476">
              <w:rPr>
                <w:color w:val="000000"/>
                <w:sz w:val="22"/>
                <w:szCs w:val="22"/>
              </w:rPr>
              <w:t>First reminder email</w:t>
            </w:r>
          </w:p>
        </w:tc>
        <w:tc>
          <w:tcPr>
            <w:tcW w:w="1830" w:type="dxa"/>
            <w:tcBorders>
              <w:top w:val="nil"/>
              <w:left w:val="nil"/>
              <w:bottom w:val="nil"/>
              <w:right w:val="nil"/>
            </w:tcBorders>
            <w:shd w:val="clear" w:color="auto" w:fill="auto"/>
            <w:noWrap/>
            <w:vAlign w:val="bottom"/>
            <w:hideMark/>
          </w:tcPr>
          <w:p w14:paraId="5659ED45" w14:textId="77777777" w:rsidR="00EC3476" w:rsidRPr="00EC3476" w:rsidRDefault="00EC3476" w:rsidP="00EC3476">
            <w:pPr>
              <w:keepNext/>
              <w:keepLines/>
              <w:autoSpaceDE/>
              <w:autoSpaceDN/>
              <w:adjustRightInd/>
              <w:jc w:val="center"/>
              <w:rPr>
                <w:color w:val="000000"/>
                <w:sz w:val="22"/>
                <w:szCs w:val="22"/>
              </w:rPr>
            </w:pPr>
            <w:r w:rsidRPr="00EC3476">
              <w:rPr>
                <w:color w:val="000000"/>
                <w:sz w:val="22"/>
                <w:szCs w:val="22"/>
              </w:rPr>
              <w:t>Non-respondents</w:t>
            </w:r>
          </w:p>
        </w:tc>
        <w:tc>
          <w:tcPr>
            <w:tcW w:w="1830" w:type="dxa"/>
            <w:tcBorders>
              <w:top w:val="nil"/>
              <w:left w:val="nil"/>
              <w:bottom w:val="nil"/>
              <w:right w:val="nil"/>
            </w:tcBorders>
            <w:shd w:val="clear" w:color="auto" w:fill="auto"/>
            <w:noWrap/>
            <w:vAlign w:val="bottom"/>
            <w:hideMark/>
          </w:tcPr>
          <w:p w14:paraId="52F0548C" w14:textId="77777777" w:rsidR="00EC3476" w:rsidRPr="00EC3476" w:rsidRDefault="00EC3476" w:rsidP="00EC3476">
            <w:pPr>
              <w:keepNext/>
              <w:keepLines/>
              <w:autoSpaceDE/>
              <w:autoSpaceDN/>
              <w:adjustRightInd/>
              <w:jc w:val="center"/>
              <w:rPr>
                <w:color w:val="000000"/>
                <w:sz w:val="22"/>
                <w:szCs w:val="22"/>
              </w:rPr>
            </w:pPr>
            <w:r w:rsidRPr="00EC3476">
              <w:rPr>
                <w:color w:val="000000"/>
                <w:sz w:val="22"/>
                <w:szCs w:val="22"/>
              </w:rPr>
              <w:t>Day 44</w:t>
            </w:r>
          </w:p>
        </w:tc>
        <w:tc>
          <w:tcPr>
            <w:tcW w:w="1830" w:type="dxa"/>
            <w:tcBorders>
              <w:top w:val="nil"/>
              <w:left w:val="nil"/>
              <w:bottom w:val="nil"/>
              <w:right w:val="nil"/>
            </w:tcBorders>
            <w:shd w:val="clear" w:color="auto" w:fill="auto"/>
            <w:noWrap/>
            <w:vAlign w:val="bottom"/>
            <w:hideMark/>
          </w:tcPr>
          <w:p w14:paraId="68E85F97" w14:textId="347B38FA" w:rsidR="00EC3476" w:rsidRPr="00FC5938" w:rsidRDefault="00FC5938" w:rsidP="00EC3476">
            <w:pPr>
              <w:keepNext/>
              <w:keepLines/>
              <w:autoSpaceDE/>
              <w:autoSpaceDN/>
              <w:adjustRightInd/>
              <w:jc w:val="center"/>
              <w:rPr>
                <w:color w:val="000000"/>
                <w:sz w:val="22"/>
                <w:szCs w:val="22"/>
              </w:rPr>
            </w:pPr>
            <w:r w:rsidRPr="00657270">
              <w:rPr>
                <w:color w:val="000000"/>
                <w:sz w:val="22"/>
                <w:szCs w:val="22"/>
              </w:rPr>
              <w:t>10</w:t>
            </w:r>
          </w:p>
        </w:tc>
      </w:tr>
      <w:tr w:rsidR="00E30744" w:rsidRPr="00EC3476" w14:paraId="27092FF0" w14:textId="77777777" w:rsidTr="00E30744">
        <w:trPr>
          <w:trHeight w:val="300"/>
        </w:trPr>
        <w:tc>
          <w:tcPr>
            <w:tcW w:w="4320" w:type="dxa"/>
            <w:tcBorders>
              <w:top w:val="nil"/>
              <w:left w:val="nil"/>
              <w:bottom w:val="nil"/>
              <w:right w:val="nil"/>
            </w:tcBorders>
            <w:shd w:val="clear" w:color="auto" w:fill="auto"/>
            <w:vAlign w:val="bottom"/>
            <w:hideMark/>
          </w:tcPr>
          <w:p w14:paraId="0B99665D" w14:textId="77777777" w:rsidR="00EC3476" w:rsidRPr="00EC3476" w:rsidRDefault="00EC3476" w:rsidP="00EC3476">
            <w:pPr>
              <w:keepNext/>
              <w:keepLines/>
              <w:autoSpaceDE/>
              <w:autoSpaceDN/>
              <w:adjustRightInd/>
              <w:rPr>
                <w:color w:val="000000"/>
                <w:sz w:val="22"/>
                <w:szCs w:val="22"/>
              </w:rPr>
            </w:pPr>
            <w:r w:rsidRPr="00EC3476">
              <w:rPr>
                <w:color w:val="000000"/>
                <w:sz w:val="22"/>
                <w:szCs w:val="22"/>
              </w:rPr>
              <w:t>Second reminder letter</w:t>
            </w:r>
          </w:p>
        </w:tc>
        <w:tc>
          <w:tcPr>
            <w:tcW w:w="1830" w:type="dxa"/>
            <w:tcBorders>
              <w:top w:val="nil"/>
              <w:left w:val="nil"/>
              <w:bottom w:val="nil"/>
              <w:right w:val="nil"/>
            </w:tcBorders>
            <w:shd w:val="clear" w:color="auto" w:fill="auto"/>
            <w:noWrap/>
            <w:vAlign w:val="bottom"/>
            <w:hideMark/>
          </w:tcPr>
          <w:p w14:paraId="16F8A1C1" w14:textId="77777777" w:rsidR="00EC3476" w:rsidRPr="00EC3476" w:rsidRDefault="00EC3476" w:rsidP="00EC3476">
            <w:pPr>
              <w:keepNext/>
              <w:keepLines/>
              <w:autoSpaceDE/>
              <w:autoSpaceDN/>
              <w:adjustRightInd/>
              <w:jc w:val="center"/>
              <w:rPr>
                <w:color w:val="000000"/>
                <w:sz w:val="22"/>
                <w:szCs w:val="22"/>
              </w:rPr>
            </w:pPr>
            <w:r w:rsidRPr="00EC3476">
              <w:rPr>
                <w:color w:val="000000"/>
                <w:sz w:val="22"/>
                <w:szCs w:val="22"/>
              </w:rPr>
              <w:t>Non-respondents</w:t>
            </w:r>
          </w:p>
        </w:tc>
        <w:tc>
          <w:tcPr>
            <w:tcW w:w="1830" w:type="dxa"/>
            <w:tcBorders>
              <w:top w:val="nil"/>
              <w:left w:val="nil"/>
              <w:bottom w:val="nil"/>
              <w:right w:val="nil"/>
            </w:tcBorders>
            <w:shd w:val="clear" w:color="auto" w:fill="auto"/>
            <w:noWrap/>
            <w:vAlign w:val="bottom"/>
            <w:hideMark/>
          </w:tcPr>
          <w:p w14:paraId="5B6223C8" w14:textId="77777777" w:rsidR="00EC3476" w:rsidRPr="00EC3476" w:rsidRDefault="00EC3476" w:rsidP="00EC3476">
            <w:pPr>
              <w:keepNext/>
              <w:keepLines/>
              <w:autoSpaceDE/>
              <w:autoSpaceDN/>
              <w:adjustRightInd/>
              <w:jc w:val="center"/>
              <w:rPr>
                <w:color w:val="000000"/>
                <w:sz w:val="22"/>
                <w:szCs w:val="22"/>
              </w:rPr>
            </w:pPr>
            <w:r w:rsidRPr="00EC3476">
              <w:rPr>
                <w:color w:val="000000"/>
                <w:sz w:val="22"/>
                <w:szCs w:val="22"/>
              </w:rPr>
              <w:t>Day 65</w:t>
            </w:r>
          </w:p>
        </w:tc>
        <w:tc>
          <w:tcPr>
            <w:tcW w:w="1830" w:type="dxa"/>
            <w:tcBorders>
              <w:top w:val="nil"/>
              <w:left w:val="nil"/>
              <w:bottom w:val="nil"/>
              <w:right w:val="nil"/>
            </w:tcBorders>
            <w:shd w:val="clear" w:color="auto" w:fill="auto"/>
            <w:noWrap/>
            <w:vAlign w:val="bottom"/>
            <w:hideMark/>
          </w:tcPr>
          <w:p w14:paraId="5F03921C" w14:textId="7645A5BC" w:rsidR="00EC3476" w:rsidRPr="00FC5938" w:rsidRDefault="00FC5938" w:rsidP="00EC3476">
            <w:pPr>
              <w:keepNext/>
              <w:keepLines/>
              <w:autoSpaceDE/>
              <w:autoSpaceDN/>
              <w:adjustRightInd/>
              <w:jc w:val="center"/>
              <w:rPr>
                <w:color w:val="000000"/>
                <w:sz w:val="22"/>
                <w:szCs w:val="22"/>
              </w:rPr>
            </w:pPr>
            <w:r w:rsidRPr="00657270">
              <w:rPr>
                <w:color w:val="000000"/>
                <w:sz w:val="22"/>
                <w:szCs w:val="22"/>
              </w:rPr>
              <w:t>11</w:t>
            </w:r>
          </w:p>
        </w:tc>
      </w:tr>
      <w:tr w:rsidR="00E30744" w:rsidRPr="00EC3476" w14:paraId="402FF77C" w14:textId="77777777" w:rsidTr="00E30744">
        <w:trPr>
          <w:trHeight w:val="300"/>
        </w:trPr>
        <w:tc>
          <w:tcPr>
            <w:tcW w:w="4320" w:type="dxa"/>
            <w:tcBorders>
              <w:top w:val="nil"/>
              <w:left w:val="nil"/>
              <w:bottom w:val="nil"/>
              <w:right w:val="nil"/>
            </w:tcBorders>
            <w:shd w:val="clear" w:color="auto" w:fill="auto"/>
            <w:vAlign w:val="bottom"/>
            <w:hideMark/>
          </w:tcPr>
          <w:p w14:paraId="2680D604" w14:textId="77777777" w:rsidR="00EC3476" w:rsidRPr="00EC3476" w:rsidRDefault="00EC3476" w:rsidP="00EC3476">
            <w:pPr>
              <w:keepNext/>
              <w:keepLines/>
              <w:autoSpaceDE/>
              <w:autoSpaceDN/>
              <w:adjustRightInd/>
              <w:rPr>
                <w:color w:val="000000"/>
                <w:sz w:val="22"/>
                <w:szCs w:val="22"/>
              </w:rPr>
            </w:pPr>
            <w:r w:rsidRPr="00EC3476">
              <w:rPr>
                <w:color w:val="000000"/>
                <w:sz w:val="22"/>
                <w:szCs w:val="22"/>
              </w:rPr>
              <w:t>Third reminder email</w:t>
            </w:r>
          </w:p>
        </w:tc>
        <w:tc>
          <w:tcPr>
            <w:tcW w:w="1830" w:type="dxa"/>
            <w:tcBorders>
              <w:top w:val="nil"/>
              <w:left w:val="nil"/>
              <w:bottom w:val="nil"/>
              <w:right w:val="nil"/>
            </w:tcBorders>
            <w:shd w:val="clear" w:color="auto" w:fill="auto"/>
            <w:noWrap/>
            <w:vAlign w:val="bottom"/>
            <w:hideMark/>
          </w:tcPr>
          <w:p w14:paraId="379F2A66" w14:textId="77777777" w:rsidR="00EC3476" w:rsidRPr="00EC3476" w:rsidRDefault="00EC3476" w:rsidP="00EC3476">
            <w:pPr>
              <w:keepNext/>
              <w:keepLines/>
              <w:autoSpaceDE/>
              <w:autoSpaceDN/>
              <w:adjustRightInd/>
              <w:jc w:val="center"/>
              <w:rPr>
                <w:color w:val="000000"/>
                <w:sz w:val="22"/>
                <w:szCs w:val="22"/>
              </w:rPr>
            </w:pPr>
            <w:r w:rsidRPr="00EC3476">
              <w:rPr>
                <w:color w:val="000000"/>
                <w:sz w:val="22"/>
                <w:szCs w:val="22"/>
              </w:rPr>
              <w:t>Non-respondents</w:t>
            </w:r>
          </w:p>
        </w:tc>
        <w:tc>
          <w:tcPr>
            <w:tcW w:w="1830" w:type="dxa"/>
            <w:tcBorders>
              <w:top w:val="nil"/>
              <w:left w:val="nil"/>
              <w:bottom w:val="nil"/>
              <w:right w:val="nil"/>
            </w:tcBorders>
            <w:shd w:val="clear" w:color="auto" w:fill="auto"/>
            <w:noWrap/>
            <w:vAlign w:val="bottom"/>
            <w:hideMark/>
          </w:tcPr>
          <w:p w14:paraId="702A67D0" w14:textId="77777777" w:rsidR="00EC3476" w:rsidRPr="00EC3476" w:rsidRDefault="00EC3476" w:rsidP="00EC3476">
            <w:pPr>
              <w:keepNext/>
              <w:keepLines/>
              <w:autoSpaceDE/>
              <w:autoSpaceDN/>
              <w:adjustRightInd/>
              <w:jc w:val="center"/>
              <w:rPr>
                <w:color w:val="000000"/>
                <w:sz w:val="22"/>
                <w:szCs w:val="22"/>
              </w:rPr>
            </w:pPr>
            <w:r w:rsidRPr="00EC3476">
              <w:rPr>
                <w:color w:val="000000"/>
                <w:sz w:val="22"/>
                <w:szCs w:val="22"/>
              </w:rPr>
              <w:t>Day 86</w:t>
            </w:r>
          </w:p>
        </w:tc>
        <w:tc>
          <w:tcPr>
            <w:tcW w:w="1830" w:type="dxa"/>
            <w:tcBorders>
              <w:top w:val="nil"/>
              <w:left w:val="nil"/>
              <w:bottom w:val="nil"/>
              <w:right w:val="nil"/>
            </w:tcBorders>
            <w:shd w:val="clear" w:color="auto" w:fill="auto"/>
            <w:noWrap/>
            <w:vAlign w:val="bottom"/>
            <w:hideMark/>
          </w:tcPr>
          <w:p w14:paraId="25DD91D2" w14:textId="68F4121C" w:rsidR="00EC3476" w:rsidRPr="00FC5938" w:rsidRDefault="00EC3476" w:rsidP="00EC3476">
            <w:pPr>
              <w:keepNext/>
              <w:keepLines/>
              <w:autoSpaceDE/>
              <w:autoSpaceDN/>
              <w:adjustRightInd/>
              <w:jc w:val="center"/>
              <w:rPr>
                <w:color w:val="000000"/>
                <w:sz w:val="22"/>
                <w:szCs w:val="22"/>
              </w:rPr>
            </w:pPr>
            <w:r w:rsidRPr="00FC5938">
              <w:rPr>
                <w:color w:val="000000"/>
                <w:sz w:val="22"/>
                <w:szCs w:val="22"/>
              </w:rPr>
              <w:t>1</w:t>
            </w:r>
            <w:r w:rsidR="00FC5938" w:rsidRPr="00657270">
              <w:rPr>
                <w:color w:val="000000"/>
                <w:sz w:val="22"/>
                <w:szCs w:val="22"/>
              </w:rPr>
              <w:t>2</w:t>
            </w:r>
          </w:p>
        </w:tc>
      </w:tr>
      <w:tr w:rsidR="00E30744" w:rsidRPr="00EC3476" w14:paraId="79D6BA18" w14:textId="77777777" w:rsidTr="00E30744">
        <w:trPr>
          <w:trHeight w:val="300"/>
        </w:trPr>
        <w:tc>
          <w:tcPr>
            <w:tcW w:w="4320" w:type="dxa"/>
            <w:tcBorders>
              <w:top w:val="nil"/>
              <w:left w:val="nil"/>
              <w:bottom w:val="nil"/>
              <w:right w:val="nil"/>
            </w:tcBorders>
            <w:shd w:val="clear" w:color="auto" w:fill="auto"/>
            <w:vAlign w:val="bottom"/>
            <w:hideMark/>
          </w:tcPr>
          <w:p w14:paraId="0B3633DB" w14:textId="77777777" w:rsidR="00EC3476" w:rsidRPr="00EC3476" w:rsidRDefault="00EC3476" w:rsidP="00EC3476">
            <w:pPr>
              <w:keepNext/>
              <w:keepLines/>
              <w:autoSpaceDE/>
              <w:autoSpaceDN/>
              <w:adjustRightInd/>
              <w:rPr>
                <w:color w:val="000000"/>
                <w:sz w:val="22"/>
                <w:szCs w:val="22"/>
              </w:rPr>
            </w:pPr>
            <w:r w:rsidRPr="00EC3476">
              <w:rPr>
                <w:color w:val="000000"/>
                <w:sz w:val="22"/>
                <w:szCs w:val="22"/>
              </w:rPr>
              <w:t>Telephone non-response contact</w:t>
            </w:r>
          </w:p>
        </w:tc>
        <w:tc>
          <w:tcPr>
            <w:tcW w:w="1830" w:type="dxa"/>
            <w:tcBorders>
              <w:top w:val="nil"/>
              <w:left w:val="nil"/>
              <w:bottom w:val="nil"/>
              <w:right w:val="nil"/>
            </w:tcBorders>
            <w:shd w:val="clear" w:color="auto" w:fill="auto"/>
            <w:noWrap/>
            <w:vAlign w:val="bottom"/>
            <w:hideMark/>
          </w:tcPr>
          <w:p w14:paraId="397009F0" w14:textId="77777777" w:rsidR="00EC3476" w:rsidRPr="00EC3476" w:rsidRDefault="00EC3476" w:rsidP="00EC3476">
            <w:pPr>
              <w:keepNext/>
              <w:keepLines/>
              <w:autoSpaceDE/>
              <w:autoSpaceDN/>
              <w:adjustRightInd/>
              <w:jc w:val="center"/>
              <w:rPr>
                <w:color w:val="000000"/>
                <w:sz w:val="22"/>
                <w:szCs w:val="22"/>
              </w:rPr>
            </w:pPr>
            <w:r w:rsidRPr="00EC3476">
              <w:rPr>
                <w:color w:val="000000"/>
                <w:sz w:val="22"/>
                <w:szCs w:val="22"/>
              </w:rPr>
              <w:t>Non-respondents</w:t>
            </w:r>
          </w:p>
        </w:tc>
        <w:tc>
          <w:tcPr>
            <w:tcW w:w="1830" w:type="dxa"/>
            <w:tcBorders>
              <w:top w:val="nil"/>
              <w:left w:val="nil"/>
              <w:bottom w:val="nil"/>
              <w:right w:val="nil"/>
            </w:tcBorders>
            <w:shd w:val="clear" w:color="auto" w:fill="auto"/>
            <w:noWrap/>
            <w:vAlign w:val="bottom"/>
            <w:hideMark/>
          </w:tcPr>
          <w:p w14:paraId="1A3A0A91" w14:textId="77777777" w:rsidR="00EC3476" w:rsidRPr="00EC3476" w:rsidRDefault="00EC3476" w:rsidP="00EC3476">
            <w:pPr>
              <w:keepNext/>
              <w:keepLines/>
              <w:autoSpaceDE/>
              <w:autoSpaceDN/>
              <w:adjustRightInd/>
              <w:jc w:val="center"/>
              <w:rPr>
                <w:color w:val="000000"/>
                <w:sz w:val="22"/>
                <w:szCs w:val="22"/>
              </w:rPr>
            </w:pPr>
            <w:r w:rsidRPr="00EC3476">
              <w:rPr>
                <w:color w:val="000000"/>
                <w:sz w:val="22"/>
                <w:szCs w:val="22"/>
              </w:rPr>
              <w:t>Day 117</w:t>
            </w:r>
          </w:p>
        </w:tc>
        <w:tc>
          <w:tcPr>
            <w:tcW w:w="1830" w:type="dxa"/>
            <w:tcBorders>
              <w:top w:val="nil"/>
              <w:left w:val="nil"/>
              <w:bottom w:val="nil"/>
              <w:right w:val="nil"/>
            </w:tcBorders>
            <w:shd w:val="clear" w:color="auto" w:fill="auto"/>
            <w:noWrap/>
            <w:vAlign w:val="bottom"/>
            <w:hideMark/>
          </w:tcPr>
          <w:p w14:paraId="3FB41001" w14:textId="76679CE7" w:rsidR="00EC3476" w:rsidRPr="00FC5938" w:rsidRDefault="00FC5938" w:rsidP="00EC3476">
            <w:pPr>
              <w:keepNext/>
              <w:keepLines/>
              <w:autoSpaceDE/>
              <w:autoSpaceDN/>
              <w:adjustRightInd/>
              <w:jc w:val="center"/>
              <w:rPr>
                <w:color w:val="000000"/>
                <w:sz w:val="22"/>
                <w:szCs w:val="22"/>
              </w:rPr>
            </w:pPr>
            <w:r w:rsidRPr="00657270">
              <w:rPr>
                <w:color w:val="000000"/>
                <w:sz w:val="22"/>
                <w:szCs w:val="22"/>
              </w:rPr>
              <w:t>13</w:t>
            </w:r>
          </w:p>
        </w:tc>
      </w:tr>
      <w:tr w:rsidR="00E30744" w:rsidRPr="00EC3476" w14:paraId="36EE1BF3" w14:textId="77777777" w:rsidTr="00E30744">
        <w:trPr>
          <w:trHeight w:val="300"/>
        </w:trPr>
        <w:tc>
          <w:tcPr>
            <w:tcW w:w="4320" w:type="dxa"/>
            <w:tcBorders>
              <w:top w:val="nil"/>
              <w:left w:val="nil"/>
              <w:bottom w:val="nil"/>
              <w:right w:val="nil"/>
            </w:tcBorders>
            <w:shd w:val="clear" w:color="auto" w:fill="auto"/>
            <w:vAlign w:val="bottom"/>
            <w:hideMark/>
          </w:tcPr>
          <w:p w14:paraId="3DAE32B7" w14:textId="77777777" w:rsidR="00EC3476" w:rsidRPr="00EC3476" w:rsidRDefault="00EC3476" w:rsidP="00EC3476">
            <w:pPr>
              <w:keepNext/>
              <w:keepLines/>
              <w:autoSpaceDE/>
              <w:autoSpaceDN/>
              <w:adjustRightInd/>
              <w:rPr>
                <w:color w:val="000000"/>
                <w:sz w:val="22"/>
                <w:szCs w:val="22"/>
              </w:rPr>
            </w:pPr>
            <w:r w:rsidRPr="00EC3476">
              <w:rPr>
                <w:color w:val="000000"/>
                <w:sz w:val="22"/>
                <w:szCs w:val="22"/>
              </w:rPr>
              <w:t>Fourth reminder email</w:t>
            </w:r>
          </w:p>
        </w:tc>
        <w:tc>
          <w:tcPr>
            <w:tcW w:w="1830" w:type="dxa"/>
            <w:tcBorders>
              <w:top w:val="nil"/>
              <w:left w:val="nil"/>
              <w:bottom w:val="nil"/>
              <w:right w:val="nil"/>
            </w:tcBorders>
            <w:shd w:val="clear" w:color="auto" w:fill="auto"/>
            <w:noWrap/>
            <w:vAlign w:val="bottom"/>
            <w:hideMark/>
          </w:tcPr>
          <w:p w14:paraId="5EDC6408" w14:textId="77777777" w:rsidR="00EC3476" w:rsidRPr="00EC3476" w:rsidRDefault="00EC3476" w:rsidP="00EC3476">
            <w:pPr>
              <w:keepNext/>
              <w:keepLines/>
              <w:autoSpaceDE/>
              <w:autoSpaceDN/>
              <w:adjustRightInd/>
              <w:jc w:val="center"/>
              <w:rPr>
                <w:color w:val="000000"/>
                <w:sz w:val="22"/>
                <w:szCs w:val="22"/>
              </w:rPr>
            </w:pPr>
            <w:r w:rsidRPr="00EC3476">
              <w:rPr>
                <w:color w:val="000000"/>
                <w:sz w:val="22"/>
                <w:szCs w:val="22"/>
              </w:rPr>
              <w:t>Non-respondents</w:t>
            </w:r>
          </w:p>
        </w:tc>
        <w:tc>
          <w:tcPr>
            <w:tcW w:w="1830" w:type="dxa"/>
            <w:tcBorders>
              <w:top w:val="nil"/>
              <w:left w:val="nil"/>
              <w:bottom w:val="nil"/>
              <w:right w:val="nil"/>
            </w:tcBorders>
            <w:shd w:val="clear" w:color="auto" w:fill="auto"/>
            <w:noWrap/>
            <w:vAlign w:val="bottom"/>
            <w:hideMark/>
          </w:tcPr>
          <w:p w14:paraId="47F660AC" w14:textId="77777777" w:rsidR="00EC3476" w:rsidRPr="00EC3476" w:rsidRDefault="00EC3476" w:rsidP="00EC3476">
            <w:pPr>
              <w:keepNext/>
              <w:keepLines/>
              <w:autoSpaceDE/>
              <w:autoSpaceDN/>
              <w:adjustRightInd/>
              <w:jc w:val="center"/>
              <w:rPr>
                <w:color w:val="000000"/>
                <w:sz w:val="22"/>
                <w:szCs w:val="22"/>
              </w:rPr>
            </w:pPr>
            <w:r w:rsidRPr="00EC3476">
              <w:rPr>
                <w:color w:val="000000"/>
                <w:sz w:val="22"/>
                <w:szCs w:val="22"/>
              </w:rPr>
              <w:t>Day 138</w:t>
            </w:r>
          </w:p>
        </w:tc>
        <w:tc>
          <w:tcPr>
            <w:tcW w:w="1830" w:type="dxa"/>
            <w:tcBorders>
              <w:top w:val="nil"/>
              <w:left w:val="nil"/>
              <w:bottom w:val="nil"/>
              <w:right w:val="nil"/>
            </w:tcBorders>
            <w:shd w:val="clear" w:color="auto" w:fill="auto"/>
            <w:noWrap/>
            <w:vAlign w:val="bottom"/>
            <w:hideMark/>
          </w:tcPr>
          <w:p w14:paraId="51E77130" w14:textId="7FFB36DC" w:rsidR="00EC3476" w:rsidRPr="00FC5938" w:rsidRDefault="00EC3476" w:rsidP="00EC3476">
            <w:pPr>
              <w:keepNext/>
              <w:keepLines/>
              <w:autoSpaceDE/>
              <w:autoSpaceDN/>
              <w:adjustRightInd/>
              <w:jc w:val="center"/>
              <w:rPr>
                <w:color w:val="000000"/>
                <w:sz w:val="22"/>
                <w:szCs w:val="22"/>
              </w:rPr>
            </w:pPr>
            <w:r w:rsidRPr="00FC5938">
              <w:rPr>
                <w:color w:val="000000"/>
                <w:sz w:val="22"/>
                <w:szCs w:val="22"/>
              </w:rPr>
              <w:t>1</w:t>
            </w:r>
            <w:r w:rsidR="00FC5938" w:rsidRPr="00657270">
              <w:rPr>
                <w:color w:val="000000"/>
                <w:sz w:val="22"/>
                <w:szCs w:val="22"/>
              </w:rPr>
              <w:t>4</w:t>
            </w:r>
          </w:p>
        </w:tc>
      </w:tr>
      <w:tr w:rsidR="00E30744" w:rsidRPr="00EC3476" w14:paraId="74716126" w14:textId="77777777" w:rsidTr="00E30744">
        <w:trPr>
          <w:trHeight w:val="300"/>
        </w:trPr>
        <w:tc>
          <w:tcPr>
            <w:tcW w:w="4320" w:type="dxa"/>
            <w:tcBorders>
              <w:top w:val="nil"/>
              <w:left w:val="nil"/>
              <w:bottom w:val="nil"/>
              <w:right w:val="nil"/>
            </w:tcBorders>
            <w:shd w:val="clear" w:color="auto" w:fill="auto"/>
            <w:vAlign w:val="bottom"/>
            <w:hideMark/>
          </w:tcPr>
          <w:p w14:paraId="67B30720" w14:textId="77777777" w:rsidR="00EC3476" w:rsidRPr="00EC3476" w:rsidRDefault="00EC3476" w:rsidP="00EC3476">
            <w:pPr>
              <w:keepNext/>
              <w:keepLines/>
              <w:autoSpaceDE/>
              <w:autoSpaceDN/>
              <w:adjustRightInd/>
              <w:rPr>
                <w:color w:val="000000"/>
                <w:sz w:val="22"/>
                <w:szCs w:val="22"/>
              </w:rPr>
            </w:pPr>
            <w:r w:rsidRPr="00EC3476">
              <w:rPr>
                <w:color w:val="000000"/>
                <w:sz w:val="22"/>
                <w:szCs w:val="22"/>
              </w:rPr>
              <w:t>End-of-study reminder</w:t>
            </w:r>
          </w:p>
        </w:tc>
        <w:tc>
          <w:tcPr>
            <w:tcW w:w="1830" w:type="dxa"/>
            <w:tcBorders>
              <w:top w:val="nil"/>
              <w:left w:val="nil"/>
              <w:bottom w:val="nil"/>
              <w:right w:val="nil"/>
            </w:tcBorders>
            <w:shd w:val="clear" w:color="auto" w:fill="auto"/>
            <w:noWrap/>
            <w:vAlign w:val="bottom"/>
            <w:hideMark/>
          </w:tcPr>
          <w:p w14:paraId="5A254C43" w14:textId="77777777" w:rsidR="00EC3476" w:rsidRPr="00EC3476" w:rsidRDefault="00EC3476" w:rsidP="00EC3476">
            <w:pPr>
              <w:keepNext/>
              <w:keepLines/>
              <w:autoSpaceDE/>
              <w:autoSpaceDN/>
              <w:adjustRightInd/>
              <w:jc w:val="center"/>
              <w:rPr>
                <w:color w:val="000000"/>
                <w:sz w:val="22"/>
                <w:szCs w:val="22"/>
              </w:rPr>
            </w:pPr>
            <w:r w:rsidRPr="00EC3476">
              <w:rPr>
                <w:color w:val="000000"/>
                <w:sz w:val="22"/>
                <w:szCs w:val="22"/>
              </w:rPr>
              <w:t>Non-respondents</w:t>
            </w:r>
          </w:p>
        </w:tc>
        <w:tc>
          <w:tcPr>
            <w:tcW w:w="1830" w:type="dxa"/>
            <w:tcBorders>
              <w:top w:val="nil"/>
              <w:left w:val="nil"/>
              <w:bottom w:val="nil"/>
              <w:right w:val="nil"/>
            </w:tcBorders>
            <w:shd w:val="clear" w:color="auto" w:fill="auto"/>
            <w:noWrap/>
            <w:vAlign w:val="bottom"/>
            <w:hideMark/>
          </w:tcPr>
          <w:p w14:paraId="63EB86EC" w14:textId="77777777" w:rsidR="00EC3476" w:rsidRPr="00EC3476" w:rsidRDefault="00EC3476" w:rsidP="00EC3476">
            <w:pPr>
              <w:keepNext/>
              <w:keepLines/>
              <w:autoSpaceDE/>
              <w:autoSpaceDN/>
              <w:adjustRightInd/>
              <w:jc w:val="center"/>
              <w:rPr>
                <w:color w:val="000000"/>
                <w:sz w:val="22"/>
                <w:szCs w:val="22"/>
              </w:rPr>
            </w:pPr>
            <w:r w:rsidRPr="00EC3476">
              <w:rPr>
                <w:color w:val="000000"/>
                <w:sz w:val="22"/>
                <w:szCs w:val="22"/>
              </w:rPr>
              <w:t>Day 187</w:t>
            </w:r>
          </w:p>
        </w:tc>
        <w:tc>
          <w:tcPr>
            <w:tcW w:w="1830" w:type="dxa"/>
            <w:tcBorders>
              <w:top w:val="nil"/>
              <w:left w:val="nil"/>
              <w:bottom w:val="nil"/>
              <w:right w:val="nil"/>
            </w:tcBorders>
            <w:shd w:val="clear" w:color="auto" w:fill="auto"/>
            <w:noWrap/>
            <w:vAlign w:val="bottom"/>
            <w:hideMark/>
          </w:tcPr>
          <w:p w14:paraId="5DA3EABE" w14:textId="63749A51" w:rsidR="00EC3476" w:rsidRPr="00FC5938" w:rsidRDefault="00EC3476" w:rsidP="00EC3476">
            <w:pPr>
              <w:keepNext/>
              <w:keepLines/>
              <w:autoSpaceDE/>
              <w:autoSpaceDN/>
              <w:adjustRightInd/>
              <w:jc w:val="center"/>
              <w:rPr>
                <w:color w:val="000000"/>
                <w:sz w:val="22"/>
                <w:szCs w:val="22"/>
              </w:rPr>
            </w:pPr>
            <w:r w:rsidRPr="00FC5938">
              <w:rPr>
                <w:color w:val="000000"/>
                <w:sz w:val="22"/>
                <w:szCs w:val="22"/>
              </w:rPr>
              <w:t>1</w:t>
            </w:r>
            <w:r w:rsidR="00FC5938" w:rsidRPr="00657270">
              <w:rPr>
                <w:color w:val="000000"/>
                <w:sz w:val="22"/>
                <w:szCs w:val="22"/>
              </w:rPr>
              <w:t>5</w:t>
            </w:r>
          </w:p>
        </w:tc>
      </w:tr>
      <w:tr w:rsidR="00E30744" w:rsidRPr="00EC3476" w14:paraId="17EB4EAB" w14:textId="77777777" w:rsidTr="00E30744">
        <w:trPr>
          <w:trHeight w:val="300"/>
        </w:trPr>
        <w:tc>
          <w:tcPr>
            <w:tcW w:w="4320" w:type="dxa"/>
            <w:tcBorders>
              <w:top w:val="nil"/>
              <w:left w:val="nil"/>
              <w:bottom w:val="nil"/>
              <w:right w:val="nil"/>
            </w:tcBorders>
            <w:shd w:val="clear" w:color="auto" w:fill="auto"/>
            <w:vAlign w:val="bottom"/>
            <w:hideMark/>
          </w:tcPr>
          <w:p w14:paraId="3CA8DEC0" w14:textId="77777777" w:rsidR="00EC3476" w:rsidRPr="00EC3476" w:rsidRDefault="00EC3476" w:rsidP="00EC3476">
            <w:pPr>
              <w:keepNext/>
              <w:keepLines/>
              <w:autoSpaceDE/>
              <w:autoSpaceDN/>
              <w:adjustRightInd/>
              <w:rPr>
                <w:color w:val="000000"/>
                <w:sz w:val="22"/>
                <w:szCs w:val="22"/>
              </w:rPr>
            </w:pPr>
            <w:r w:rsidRPr="00EC3476">
              <w:rPr>
                <w:color w:val="000000"/>
                <w:sz w:val="22"/>
                <w:szCs w:val="22"/>
              </w:rPr>
              <w:t>Close data collection</w:t>
            </w:r>
          </w:p>
        </w:tc>
        <w:tc>
          <w:tcPr>
            <w:tcW w:w="1830" w:type="dxa"/>
            <w:tcBorders>
              <w:top w:val="nil"/>
              <w:left w:val="nil"/>
              <w:bottom w:val="nil"/>
              <w:right w:val="nil"/>
            </w:tcBorders>
            <w:shd w:val="clear" w:color="auto" w:fill="auto"/>
            <w:noWrap/>
            <w:vAlign w:val="bottom"/>
            <w:hideMark/>
          </w:tcPr>
          <w:p w14:paraId="35762D9D" w14:textId="77777777" w:rsidR="00EC3476" w:rsidRPr="00EC3476" w:rsidRDefault="00EC3476" w:rsidP="00EC3476">
            <w:pPr>
              <w:keepNext/>
              <w:keepLines/>
              <w:autoSpaceDE/>
              <w:autoSpaceDN/>
              <w:adjustRightInd/>
              <w:jc w:val="center"/>
              <w:rPr>
                <w:color w:val="000000"/>
                <w:sz w:val="22"/>
                <w:szCs w:val="22"/>
              </w:rPr>
            </w:pPr>
            <w:r w:rsidRPr="00EC3476">
              <w:rPr>
                <w:color w:val="000000"/>
                <w:sz w:val="22"/>
                <w:szCs w:val="22"/>
              </w:rPr>
              <w:t>Non-respondents</w:t>
            </w:r>
          </w:p>
        </w:tc>
        <w:tc>
          <w:tcPr>
            <w:tcW w:w="1830" w:type="dxa"/>
            <w:tcBorders>
              <w:top w:val="nil"/>
              <w:left w:val="nil"/>
              <w:bottom w:val="nil"/>
              <w:right w:val="nil"/>
            </w:tcBorders>
            <w:shd w:val="clear" w:color="auto" w:fill="auto"/>
            <w:noWrap/>
            <w:vAlign w:val="bottom"/>
            <w:hideMark/>
          </w:tcPr>
          <w:p w14:paraId="11C0ACEA" w14:textId="77777777" w:rsidR="00EC3476" w:rsidRPr="00EC3476" w:rsidRDefault="00EC3476" w:rsidP="00EC3476">
            <w:pPr>
              <w:keepNext/>
              <w:keepLines/>
              <w:autoSpaceDE/>
              <w:autoSpaceDN/>
              <w:adjustRightInd/>
              <w:jc w:val="center"/>
              <w:rPr>
                <w:color w:val="000000"/>
                <w:sz w:val="22"/>
                <w:szCs w:val="22"/>
              </w:rPr>
            </w:pPr>
            <w:r w:rsidRPr="00EC3476">
              <w:rPr>
                <w:color w:val="000000"/>
                <w:sz w:val="22"/>
                <w:szCs w:val="22"/>
              </w:rPr>
              <w:t>Day 285</w:t>
            </w:r>
          </w:p>
        </w:tc>
        <w:tc>
          <w:tcPr>
            <w:tcW w:w="1830" w:type="dxa"/>
            <w:tcBorders>
              <w:top w:val="nil"/>
              <w:left w:val="nil"/>
              <w:bottom w:val="nil"/>
              <w:right w:val="nil"/>
            </w:tcBorders>
            <w:shd w:val="clear" w:color="auto" w:fill="auto"/>
            <w:noWrap/>
            <w:vAlign w:val="bottom"/>
            <w:hideMark/>
          </w:tcPr>
          <w:p w14:paraId="27B64E6C" w14:textId="0B511422" w:rsidR="00EC3476" w:rsidRPr="00FC5938" w:rsidRDefault="00FC5938" w:rsidP="00EC3476">
            <w:pPr>
              <w:keepNext/>
              <w:keepLines/>
              <w:autoSpaceDE/>
              <w:autoSpaceDN/>
              <w:adjustRightInd/>
              <w:jc w:val="center"/>
              <w:rPr>
                <w:color w:val="000000"/>
                <w:sz w:val="22"/>
                <w:szCs w:val="22"/>
              </w:rPr>
            </w:pPr>
            <w:r w:rsidRPr="00657270">
              <w:rPr>
                <w:color w:val="000000"/>
                <w:sz w:val="22"/>
                <w:szCs w:val="22"/>
              </w:rPr>
              <w:t>--</w:t>
            </w:r>
          </w:p>
        </w:tc>
      </w:tr>
      <w:tr w:rsidR="00FC5938" w:rsidRPr="00EC3476" w14:paraId="5E83B115" w14:textId="77777777" w:rsidTr="00657270">
        <w:trPr>
          <w:trHeight w:val="300"/>
        </w:trPr>
        <w:tc>
          <w:tcPr>
            <w:tcW w:w="4320" w:type="dxa"/>
            <w:tcBorders>
              <w:top w:val="nil"/>
              <w:left w:val="nil"/>
              <w:bottom w:val="nil"/>
              <w:right w:val="nil"/>
            </w:tcBorders>
            <w:shd w:val="clear" w:color="auto" w:fill="auto"/>
            <w:vAlign w:val="bottom"/>
            <w:hideMark/>
          </w:tcPr>
          <w:p w14:paraId="3935A9E6" w14:textId="77777777" w:rsidR="00FC5938" w:rsidRPr="00EC3476" w:rsidRDefault="00FC5938" w:rsidP="00FC5938">
            <w:pPr>
              <w:keepNext/>
              <w:keepLines/>
              <w:autoSpaceDE/>
              <w:autoSpaceDN/>
              <w:adjustRightInd/>
              <w:rPr>
                <w:color w:val="000000"/>
                <w:sz w:val="22"/>
                <w:szCs w:val="22"/>
              </w:rPr>
            </w:pPr>
            <w:r w:rsidRPr="00EC3476">
              <w:rPr>
                <w:color w:val="000000"/>
                <w:sz w:val="22"/>
                <w:szCs w:val="22"/>
              </w:rPr>
              <w:t>Analysis</w:t>
            </w:r>
          </w:p>
        </w:tc>
        <w:tc>
          <w:tcPr>
            <w:tcW w:w="1830" w:type="dxa"/>
            <w:tcBorders>
              <w:top w:val="nil"/>
              <w:left w:val="nil"/>
              <w:bottom w:val="nil"/>
              <w:right w:val="nil"/>
            </w:tcBorders>
            <w:shd w:val="clear" w:color="auto" w:fill="auto"/>
            <w:noWrap/>
            <w:vAlign w:val="bottom"/>
            <w:hideMark/>
          </w:tcPr>
          <w:p w14:paraId="5AC3A3BC" w14:textId="77777777" w:rsidR="00FC5938" w:rsidRPr="00EC3476" w:rsidRDefault="00FC5938" w:rsidP="00FC5938">
            <w:pPr>
              <w:keepNext/>
              <w:keepLines/>
              <w:autoSpaceDE/>
              <w:autoSpaceDN/>
              <w:adjustRightInd/>
              <w:jc w:val="center"/>
              <w:rPr>
                <w:color w:val="000000"/>
                <w:sz w:val="22"/>
                <w:szCs w:val="22"/>
              </w:rPr>
            </w:pPr>
            <w:r w:rsidRPr="00EC3476">
              <w:rPr>
                <w:color w:val="000000"/>
                <w:sz w:val="22"/>
                <w:szCs w:val="22"/>
              </w:rPr>
              <w:t>N/A</w:t>
            </w:r>
          </w:p>
        </w:tc>
        <w:tc>
          <w:tcPr>
            <w:tcW w:w="1830" w:type="dxa"/>
            <w:tcBorders>
              <w:top w:val="nil"/>
              <w:left w:val="nil"/>
              <w:bottom w:val="nil"/>
              <w:right w:val="nil"/>
            </w:tcBorders>
            <w:shd w:val="clear" w:color="auto" w:fill="auto"/>
            <w:noWrap/>
            <w:vAlign w:val="bottom"/>
            <w:hideMark/>
          </w:tcPr>
          <w:p w14:paraId="1E6D5291" w14:textId="62FD20CC" w:rsidR="00FC5938" w:rsidRPr="00320E4A" w:rsidRDefault="00FC5938" w:rsidP="00FC5938">
            <w:pPr>
              <w:keepNext/>
              <w:keepLines/>
              <w:autoSpaceDE/>
              <w:autoSpaceDN/>
              <w:adjustRightInd/>
              <w:jc w:val="center"/>
              <w:rPr>
                <w:color w:val="000000"/>
                <w:sz w:val="22"/>
                <w:szCs w:val="22"/>
              </w:rPr>
            </w:pPr>
            <w:r w:rsidRPr="00320E4A">
              <w:rPr>
                <w:color w:val="000000"/>
                <w:sz w:val="22"/>
                <w:szCs w:val="22"/>
              </w:rPr>
              <w:t>Months 9-12</w:t>
            </w:r>
          </w:p>
        </w:tc>
        <w:tc>
          <w:tcPr>
            <w:tcW w:w="1830" w:type="dxa"/>
            <w:tcBorders>
              <w:top w:val="nil"/>
              <w:left w:val="nil"/>
              <w:bottom w:val="nil"/>
              <w:right w:val="nil"/>
            </w:tcBorders>
            <w:shd w:val="clear" w:color="auto" w:fill="auto"/>
            <w:noWrap/>
            <w:hideMark/>
          </w:tcPr>
          <w:p w14:paraId="63055466" w14:textId="407E15BF" w:rsidR="00FC5938" w:rsidRPr="00FC5938" w:rsidRDefault="00FC5938">
            <w:pPr>
              <w:keepNext/>
              <w:keepLines/>
              <w:autoSpaceDE/>
              <w:autoSpaceDN/>
              <w:adjustRightInd/>
              <w:jc w:val="center"/>
              <w:rPr>
                <w:color w:val="000000"/>
                <w:sz w:val="22"/>
                <w:szCs w:val="22"/>
              </w:rPr>
            </w:pPr>
            <w:r w:rsidRPr="00657270">
              <w:rPr>
                <w:color w:val="000000"/>
                <w:sz w:val="22"/>
                <w:szCs w:val="22"/>
              </w:rPr>
              <w:t>--</w:t>
            </w:r>
          </w:p>
        </w:tc>
      </w:tr>
      <w:tr w:rsidR="00FC5938" w:rsidRPr="00EC3476" w14:paraId="050D982E" w14:textId="77777777" w:rsidTr="00657270">
        <w:trPr>
          <w:trHeight w:val="320"/>
        </w:trPr>
        <w:tc>
          <w:tcPr>
            <w:tcW w:w="4320" w:type="dxa"/>
            <w:tcBorders>
              <w:top w:val="nil"/>
              <w:left w:val="nil"/>
              <w:bottom w:val="single" w:sz="8" w:space="0" w:color="auto"/>
              <w:right w:val="nil"/>
            </w:tcBorders>
            <w:shd w:val="clear" w:color="auto" w:fill="auto"/>
            <w:vAlign w:val="bottom"/>
            <w:hideMark/>
          </w:tcPr>
          <w:p w14:paraId="7D2D5F46" w14:textId="77777777" w:rsidR="00FC5938" w:rsidRPr="00EC3476" w:rsidRDefault="00FC5938" w:rsidP="00FC5938">
            <w:pPr>
              <w:keepNext/>
              <w:keepLines/>
              <w:autoSpaceDE/>
              <w:autoSpaceDN/>
              <w:adjustRightInd/>
              <w:rPr>
                <w:color w:val="000000"/>
                <w:sz w:val="22"/>
                <w:szCs w:val="22"/>
              </w:rPr>
            </w:pPr>
            <w:r w:rsidRPr="00EC3476">
              <w:rPr>
                <w:color w:val="000000"/>
                <w:sz w:val="22"/>
                <w:szCs w:val="22"/>
              </w:rPr>
              <w:t>Reports</w:t>
            </w:r>
          </w:p>
        </w:tc>
        <w:tc>
          <w:tcPr>
            <w:tcW w:w="1830" w:type="dxa"/>
            <w:tcBorders>
              <w:top w:val="nil"/>
              <w:left w:val="nil"/>
              <w:bottom w:val="single" w:sz="8" w:space="0" w:color="auto"/>
              <w:right w:val="nil"/>
            </w:tcBorders>
            <w:shd w:val="clear" w:color="auto" w:fill="auto"/>
            <w:noWrap/>
            <w:vAlign w:val="bottom"/>
            <w:hideMark/>
          </w:tcPr>
          <w:p w14:paraId="50ACE8CE" w14:textId="77777777" w:rsidR="00FC5938" w:rsidRPr="00EC3476" w:rsidRDefault="00FC5938" w:rsidP="00FC5938">
            <w:pPr>
              <w:keepNext/>
              <w:keepLines/>
              <w:autoSpaceDE/>
              <w:autoSpaceDN/>
              <w:adjustRightInd/>
              <w:jc w:val="center"/>
              <w:rPr>
                <w:color w:val="000000"/>
                <w:sz w:val="22"/>
                <w:szCs w:val="22"/>
              </w:rPr>
            </w:pPr>
            <w:r w:rsidRPr="00EC3476">
              <w:rPr>
                <w:color w:val="000000"/>
                <w:sz w:val="22"/>
                <w:szCs w:val="22"/>
              </w:rPr>
              <w:t>N/A</w:t>
            </w:r>
          </w:p>
        </w:tc>
        <w:tc>
          <w:tcPr>
            <w:tcW w:w="1830" w:type="dxa"/>
            <w:tcBorders>
              <w:top w:val="nil"/>
              <w:left w:val="nil"/>
              <w:bottom w:val="single" w:sz="8" w:space="0" w:color="auto"/>
              <w:right w:val="nil"/>
            </w:tcBorders>
            <w:shd w:val="clear" w:color="auto" w:fill="auto"/>
            <w:noWrap/>
            <w:vAlign w:val="bottom"/>
            <w:hideMark/>
          </w:tcPr>
          <w:p w14:paraId="146C01BA" w14:textId="2701ABC6" w:rsidR="00FC5938" w:rsidRPr="00320E4A" w:rsidRDefault="00FC5938" w:rsidP="00FC5938">
            <w:pPr>
              <w:keepNext/>
              <w:keepLines/>
              <w:autoSpaceDE/>
              <w:autoSpaceDN/>
              <w:adjustRightInd/>
              <w:jc w:val="center"/>
              <w:rPr>
                <w:color w:val="000000"/>
                <w:sz w:val="22"/>
                <w:szCs w:val="22"/>
              </w:rPr>
            </w:pPr>
            <w:r w:rsidRPr="00320E4A">
              <w:rPr>
                <w:color w:val="000000"/>
                <w:sz w:val="22"/>
                <w:szCs w:val="22"/>
              </w:rPr>
              <w:t>Months 12-15</w:t>
            </w:r>
          </w:p>
        </w:tc>
        <w:tc>
          <w:tcPr>
            <w:tcW w:w="1830" w:type="dxa"/>
            <w:tcBorders>
              <w:top w:val="nil"/>
              <w:left w:val="nil"/>
              <w:bottom w:val="single" w:sz="8" w:space="0" w:color="auto"/>
              <w:right w:val="nil"/>
            </w:tcBorders>
            <w:shd w:val="clear" w:color="auto" w:fill="auto"/>
            <w:noWrap/>
            <w:hideMark/>
          </w:tcPr>
          <w:p w14:paraId="0E8AFCB6" w14:textId="40151F79" w:rsidR="00FC5938" w:rsidRPr="00FC5938" w:rsidRDefault="00FC5938" w:rsidP="00FC5938">
            <w:pPr>
              <w:keepNext/>
              <w:keepLines/>
              <w:autoSpaceDE/>
              <w:autoSpaceDN/>
              <w:adjustRightInd/>
              <w:jc w:val="center"/>
              <w:rPr>
                <w:color w:val="000000"/>
                <w:sz w:val="22"/>
                <w:szCs w:val="22"/>
              </w:rPr>
            </w:pPr>
            <w:r w:rsidRPr="00657270">
              <w:rPr>
                <w:color w:val="000000"/>
                <w:sz w:val="22"/>
                <w:szCs w:val="22"/>
              </w:rPr>
              <w:t>--</w:t>
            </w:r>
          </w:p>
        </w:tc>
      </w:tr>
    </w:tbl>
    <w:p w14:paraId="7593C9D1" w14:textId="77777777" w:rsidR="00E644C7" w:rsidRDefault="00E644C7" w:rsidP="00E644C7">
      <w:pPr>
        <w:pStyle w:val="Default"/>
      </w:pPr>
    </w:p>
    <w:p w14:paraId="41B23E1A" w14:textId="77777777" w:rsidR="00A1078D" w:rsidRPr="00B66D9B" w:rsidRDefault="00A1078D" w:rsidP="00EC49C2">
      <w:pPr>
        <w:numPr>
          <w:ilvl w:val="0"/>
          <w:numId w:val="7"/>
        </w:numPr>
        <w:shd w:val="solid" w:color="FFFFFF" w:fill="FFFFFF"/>
        <w:tabs>
          <w:tab w:val="left" w:pos="720"/>
        </w:tabs>
        <w:ind w:left="0" w:firstLine="0"/>
        <w:rPr>
          <w:b/>
          <w:sz w:val="24"/>
          <w:szCs w:val="24"/>
        </w:rPr>
      </w:pPr>
      <w:r w:rsidRPr="00B66D9B">
        <w:rPr>
          <w:b/>
          <w:sz w:val="24"/>
          <w:szCs w:val="24"/>
        </w:rPr>
        <w:t>Expiration Date Approval</w:t>
      </w:r>
    </w:p>
    <w:p w14:paraId="6E0549ED" w14:textId="77777777" w:rsidR="004534F6" w:rsidRDefault="004534F6" w:rsidP="004534F6">
      <w:pPr>
        <w:pStyle w:val="ListParagraph"/>
        <w:rPr>
          <w:sz w:val="24"/>
          <w:szCs w:val="24"/>
        </w:rPr>
      </w:pPr>
    </w:p>
    <w:p w14:paraId="5BF20B2C" w14:textId="77777777" w:rsidR="004534F6" w:rsidRPr="004534F6" w:rsidRDefault="004534F6" w:rsidP="004534F6">
      <w:pPr>
        <w:shd w:val="solid" w:color="FFFFFF" w:fill="FFFFFF"/>
        <w:tabs>
          <w:tab w:val="left" w:pos="720"/>
        </w:tabs>
        <w:rPr>
          <w:bCs/>
          <w:sz w:val="24"/>
          <w:szCs w:val="24"/>
        </w:rPr>
      </w:pPr>
      <w:r w:rsidRPr="004534F6">
        <w:rPr>
          <w:bCs/>
          <w:sz w:val="24"/>
          <w:szCs w:val="24"/>
        </w:rPr>
        <w:t>The expiration date will be shown on the survey form.</w:t>
      </w:r>
    </w:p>
    <w:p w14:paraId="6E0F0A98" w14:textId="77777777" w:rsidR="00A1078D" w:rsidRPr="00B66D9B" w:rsidRDefault="00A1078D" w:rsidP="00EC49C2">
      <w:pPr>
        <w:numPr>
          <w:ilvl w:val="0"/>
          <w:numId w:val="7"/>
        </w:numPr>
        <w:shd w:val="solid" w:color="FFFFFF" w:fill="FFFFFF"/>
        <w:tabs>
          <w:tab w:val="left" w:pos="720"/>
        </w:tabs>
        <w:ind w:left="0" w:firstLine="0"/>
        <w:rPr>
          <w:b/>
          <w:sz w:val="24"/>
          <w:szCs w:val="24"/>
        </w:rPr>
      </w:pPr>
      <w:r w:rsidRPr="00B66D9B">
        <w:rPr>
          <w:b/>
          <w:sz w:val="24"/>
          <w:szCs w:val="24"/>
        </w:rPr>
        <w:t>Exceptions to the Certification Statement</w:t>
      </w:r>
    </w:p>
    <w:p w14:paraId="52166753" w14:textId="77777777" w:rsidR="007864ED" w:rsidRPr="00394EE5" w:rsidRDefault="007864ED" w:rsidP="007864ED">
      <w:pPr>
        <w:widowControl w:val="0"/>
        <w:ind w:left="360"/>
        <w:rPr>
          <w:sz w:val="24"/>
          <w:szCs w:val="24"/>
        </w:rPr>
      </w:pPr>
    </w:p>
    <w:p w14:paraId="5C45CB32" w14:textId="143374AE" w:rsidR="00CE12E9" w:rsidRDefault="004534F6" w:rsidP="00F1328F">
      <w:pPr>
        <w:shd w:val="solid" w:color="FFFFFF" w:fill="FFFFFF"/>
        <w:tabs>
          <w:tab w:val="left" w:pos="720"/>
        </w:tabs>
        <w:rPr>
          <w:bCs/>
          <w:sz w:val="24"/>
          <w:szCs w:val="24"/>
        </w:rPr>
      </w:pPr>
      <w:r w:rsidRPr="004534F6">
        <w:rPr>
          <w:bCs/>
          <w:sz w:val="24"/>
          <w:szCs w:val="24"/>
        </w:rPr>
        <w:t xml:space="preserve">BJS is not requesting an exception to the certification of this information collection. </w:t>
      </w:r>
    </w:p>
    <w:p w14:paraId="41144EAD" w14:textId="77777777" w:rsidR="00F86E6B" w:rsidRDefault="00F86E6B" w:rsidP="00F1328F">
      <w:pPr>
        <w:shd w:val="solid" w:color="FFFFFF" w:fill="FFFFFF"/>
        <w:tabs>
          <w:tab w:val="left" w:pos="720"/>
        </w:tabs>
        <w:rPr>
          <w:b/>
          <w:bCs/>
          <w:sz w:val="24"/>
          <w:szCs w:val="24"/>
        </w:rPr>
      </w:pPr>
    </w:p>
    <w:sectPr w:rsidR="00F86E6B" w:rsidSect="003E0C8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9A031" w14:textId="77777777" w:rsidR="009D3BC1" w:rsidRDefault="009D3BC1">
      <w:r>
        <w:separator/>
      </w:r>
    </w:p>
  </w:endnote>
  <w:endnote w:type="continuationSeparator" w:id="0">
    <w:p w14:paraId="17152005" w14:textId="77777777" w:rsidR="009D3BC1" w:rsidRDefault="009D3BC1">
      <w:r>
        <w:continuationSeparator/>
      </w:r>
    </w:p>
  </w:endnote>
  <w:endnote w:type="continuationNotice" w:id="1">
    <w:p w14:paraId="055D0045" w14:textId="77777777" w:rsidR="009D3BC1" w:rsidRDefault="009D3B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FFCED" w14:textId="77777777" w:rsidR="009D3BC1" w:rsidRDefault="009D3BC1">
    <w:pPr>
      <w:tabs>
        <w:tab w:val="center" w:pos="4680"/>
        <w:tab w:val="right" w:pos="9360"/>
      </w:tabs>
      <w:jc w:val="center"/>
      <w:rPr>
        <w:sz w:val="24"/>
        <w:szCs w:val="24"/>
      </w:rPr>
    </w:pPr>
    <w:r>
      <w:rPr>
        <w:sz w:val="24"/>
        <w:szCs w:val="24"/>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4254A" w14:textId="77777777" w:rsidR="009D3BC1" w:rsidRDefault="009D3BC1">
      <w:r>
        <w:separator/>
      </w:r>
    </w:p>
  </w:footnote>
  <w:footnote w:type="continuationSeparator" w:id="0">
    <w:p w14:paraId="053E72EF" w14:textId="77777777" w:rsidR="009D3BC1" w:rsidRDefault="009D3BC1">
      <w:r>
        <w:continuationSeparator/>
      </w:r>
    </w:p>
  </w:footnote>
  <w:footnote w:type="continuationNotice" w:id="1">
    <w:p w14:paraId="73206D0F" w14:textId="77777777" w:rsidR="009D3BC1" w:rsidRDefault="009D3BC1"/>
  </w:footnote>
  <w:footnote w:id="2">
    <w:p w14:paraId="612AA326" w14:textId="67BC61E4" w:rsidR="009D3BC1" w:rsidRDefault="009D3BC1">
      <w:pPr>
        <w:pStyle w:val="FootnoteText"/>
      </w:pPr>
      <w:r>
        <w:rPr>
          <w:rStyle w:val="FootnoteReference"/>
        </w:rPr>
        <w:footnoteRef/>
      </w:r>
      <w:r>
        <w:t xml:space="preserve"> </w:t>
      </w:r>
      <w:r w:rsidR="007F2B98">
        <w:t>A s</w:t>
      </w:r>
      <w:r>
        <w:t>worn officer with general arrest powers</w:t>
      </w:r>
      <w:r w:rsidR="007F2B98">
        <w:t xml:space="preserve"> is a p</w:t>
      </w:r>
      <w:r>
        <w:t xml:space="preserve">erson formally authorized to make arrests for all crimes without geographic jurisdiction limitation while acting with the scope of explicit legal authority. </w:t>
      </w:r>
    </w:p>
  </w:footnote>
  <w:footnote w:id="3">
    <w:p w14:paraId="16DB8D99" w14:textId="16AF7654" w:rsidR="009D3BC1" w:rsidRDefault="009D3BC1">
      <w:pPr>
        <w:pStyle w:val="FootnoteText"/>
      </w:pPr>
      <w:r>
        <w:rPr>
          <w:rStyle w:val="FootnoteReference"/>
        </w:rPr>
        <w:footnoteRef/>
      </w:r>
      <w:r>
        <w:t xml:space="preserve"> The LEAR development work was done under the 2014 CSLLEA clearance (OMB 1121-0346). The 2014 CSLLEA cover page was used to verify agency and point of contact information when agencies needed to be contacted directly. Most agency information was obtained through online searches. </w:t>
      </w:r>
    </w:p>
  </w:footnote>
  <w:footnote w:id="4">
    <w:p w14:paraId="50FE9BE6" w14:textId="05652BB1" w:rsidR="009D3BC1" w:rsidRPr="00320E4A" w:rsidRDefault="009D3BC1" w:rsidP="00320E4A">
      <w:pPr>
        <w:shd w:val="clear" w:color="auto" w:fill="FFFFFF"/>
        <w:rPr>
          <w:color w:val="000000"/>
        </w:rPr>
      </w:pPr>
      <w:r>
        <w:rPr>
          <w:rStyle w:val="FootnoteReference"/>
        </w:rPr>
        <w:footnoteRef/>
      </w:r>
      <w:r>
        <w:t xml:space="preserve"> See </w:t>
      </w:r>
      <w:r w:rsidRPr="00320E4A">
        <w:t xml:space="preserve"> </w:t>
      </w:r>
      <w:hyperlink r:id="rId1" w:history="1">
        <w:r w:rsidRPr="00320E4A">
          <w:rPr>
            <w:rStyle w:val="Hyperlink"/>
          </w:rPr>
          <w:t>http://www.icpsr.umich.edu/icpsrweb/NACJD/biblio/series/00169/resources?collection=DATA&amp;archive=ICPSR&amp;sortBy=1</w:t>
        </w:r>
      </w:hyperlink>
    </w:p>
    <w:p w14:paraId="2C0DE692" w14:textId="4D776400" w:rsidR="009D3BC1" w:rsidRDefault="009D3BC1">
      <w:pPr>
        <w:pStyle w:val="FootnoteText"/>
      </w:pPr>
    </w:p>
  </w:footnote>
  <w:footnote w:id="5">
    <w:p w14:paraId="08235EC5" w14:textId="41045B11" w:rsidR="009D3BC1" w:rsidRPr="00231398" w:rsidRDefault="009D3BC1" w:rsidP="00F207E1">
      <w:pPr>
        <w:pStyle w:val="FootnoteText"/>
      </w:pPr>
      <w:r w:rsidRPr="00231398">
        <w:rPr>
          <w:rStyle w:val="FootnoteReference"/>
        </w:rPr>
        <w:footnoteRef/>
      </w:r>
      <w:r w:rsidRPr="00231398">
        <w:t xml:space="preserve"> </w:t>
      </w:r>
      <w:r>
        <w:t>BJS’s</w:t>
      </w:r>
      <w:r w:rsidRPr="00231398">
        <w:t xml:space="preserve"> cooperative agreement with RTI for the </w:t>
      </w:r>
      <w:r>
        <w:t xml:space="preserve">2018 CSLLEA </w:t>
      </w:r>
      <w:r w:rsidRPr="00231398">
        <w:t>was the result of a competition (</w:t>
      </w:r>
      <w:r>
        <w:t>FY2015 Law Enforcement Core Statistics Program,</w:t>
      </w:r>
      <w:r w:rsidRPr="00231398">
        <w:t xml:space="preserve"> Solicitation, BJS-2015-4</w:t>
      </w:r>
      <w:r>
        <w:t>248</w:t>
      </w:r>
      <w:r w:rsidRPr="00231398">
        <w:t xml:space="preserve">; see </w:t>
      </w:r>
      <w:hyperlink r:id="rId2" w:history="1">
        <w:r w:rsidR="002C1D92" w:rsidRPr="00B12FE3">
          <w:rPr>
            <w:rStyle w:val="Hyperlink"/>
          </w:rPr>
          <w:t>https://www.bjs.gov/content/pub/pdf/lecs15sol.pdf</w:t>
        </w:r>
      </w:hyperlink>
      <w:r w:rsidRPr="00231398">
        <w:t>).</w:t>
      </w:r>
    </w:p>
  </w:footnote>
  <w:footnote w:id="6">
    <w:p w14:paraId="4FF76243" w14:textId="54FFB4F3" w:rsidR="009D3BC1" w:rsidRDefault="009D3BC1">
      <w:pPr>
        <w:pStyle w:val="FootnoteText"/>
      </w:pPr>
      <w:r>
        <w:rPr>
          <w:rStyle w:val="FootnoteReference"/>
        </w:rPr>
        <w:footnoteRef/>
      </w:r>
      <w:r>
        <w:t xml:space="preserve"> </w:t>
      </w:r>
      <w:r w:rsidRPr="00CB4164">
        <w:t>Th</w:t>
      </w:r>
      <w:r>
        <w:t>e</w:t>
      </w:r>
      <w:r w:rsidRPr="00CB4164">
        <w:t xml:space="preserve"> burden estimate </w:t>
      </w:r>
      <w:r>
        <w:t xml:space="preserve">for </w:t>
      </w:r>
      <w:r w:rsidRPr="00CB4164">
        <w:t>the 2008 CSLLEA (OMB Number 1121-0240)</w:t>
      </w:r>
      <w:r>
        <w:t>, which was comparable in length and content to the current 2018 CSLLEA, was also 30 minutes.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A23D8" w14:textId="77777777" w:rsidR="009D3BC1" w:rsidRDefault="009D3B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A5C"/>
    <w:multiLevelType w:val="hybridMultilevel"/>
    <w:tmpl w:val="2F10C622"/>
    <w:lvl w:ilvl="0" w:tplc="0409000F">
      <w:start w:val="5"/>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F00198B"/>
    <w:multiLevelType w:val="hybridMultilevel"/>
    <w:tmpl w:val="192CF7AC"/>
    <w:lvl w:ilvl="0" w:tplc="1F988566">
      <w:start w:val="3"/>
      <w:numFmt w:val="decimal"/>
      <w:lvlText w:val="%1."/>
      <w:lvlJc w:val="left"/>
      <w:pPr>
        <w:tabs>
          <w:tab w:val="num" w:pos="840"/>
        </w:tabs>
        <w:ind w:left="840" w:hanging="480"/>
      </w:pPr>
      <w:rPr>
        <w:rFonts w:hint="default"/>
        <w:b/>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110257"/>
    <w:multiLevelType w:val="hybridMultilevel"/>
    <w:tmpl w:val="E9E4543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153304C5"/>
    <w:multiLevelType w:val="hybridMultilevel"/>
    <w:tmpl w:val="0DC6B7F4"/>
    <w:lvl w:ilvl="0" w:tplc="58B241DC">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294894"/>
    <w:multiLevelType w:val="hybridMultilevel"/>
    <w:tmpl w:val="8B665784"/>
    <w:lvl w:ilvl="0" w:tplc="0409000F">
      <w:start w:val="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9EA5F4B"/>
    <w:multiLevelType w:val="hybridMultilevel"/>
    <w:tmpl w:val="0A5A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054162"/>
    <w:multiLevelType w:val="hybridMultilevel"/>
    <w:tmpl w:val="294CCC8E"/>
    <w:lvl w:ilvl="0" w:tplc="D4705CDE">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5A0C6E"/>
    <w:multiLevelType w:val="hybridMultilevel"/>
    <w:tmpl w:val="3CE6CD48"/>
    <w:lvl w:ilvl="0" w:tplc="C164BD9C">
      <w:start w:val="7"/>
      <w:numFmt w:val="decimal"/>
      <w:lvlText w:val="%1."/>
      <w:lvlJc w:val="left"/>
      <w:pPr>
        <w:tabs>
          <w:tab w:val="num" w:pos="7320"/>
        </w:tabs>
        <w:ind w:left="7320" w:hanging="48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1F15367"/>
    <w:multiLevelType w:val="multilevel"/>
    <w:tmpl w:val="A28A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546D4B"/>
    <w:multiLevelType w:val="hybridMultilevel"/>
    <w:tmpl w:val="877C2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457E36"/>
    <w:multiLevelType w:val="hybridMultilevel"/>
    <w:tmpl w:val="5DE447DA"/>
    <w:lvl w:ilvl="0" w:tplc="E21A92C8">
      <w:start w:val="1"/>
      <w:numFmt w:val="bullet"/>
      <w:lvlText w:val=""/>
      <w:lvlJc w:val="left"/>
      <w:pPr>
        <w:ind w:left="1800" w:hanging="360"/>
      </w:pPr>
      <w:rPr>
        <w:rFonts w:ascii="Symbol" w:hAnsi="Symbol" w:hint="default"/>
        <w:i/>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1">
    <w:nsid w:val="3E8B12EE"/>
    <w:multiLevelType w:val="hybridMultilevel"/>
    <w:tmpl w:val="C012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E16FAC"/>
    <w:multiLevelType w:val="hybridMultilevel"/>
    <w:tmpl w:val="7ADCD0A6"/>
    <w:lvl w:ilvl="0" w:tplc="561C015C">
      <w:start w:val="2"/>
      <w:numFmt w:val="decimal"/>
      <w:lvlText w:val="%1."/>
      <w:lvlJc w:val="left"/>
      <w:pPr>
        <w:tabs>
          <w:tab w:val="num" w:pos="1920"/>
        </w:tabs>
        <w:ind w:left="1920" w:hanging="420"/>
      </w:pPr>
      <w:rPr>
        <w:rFonts w:hint="default"/>
        <w:u w:val="none"/>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13">
    <w:nsid w:val="48BF0AE9"/>
    <w:multiLevelType w:val="hybridMultilevel"/>
    <w:tmpl w:val="E2545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171CDE"/>
    <w:multiLevelType w:val="hybridMultilevel"/>
    <w:tmpl w:val="4DEA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415C2B"/>
    <w:multiLevelType w:val="hybridMultilevel"/>
    <w:tmpl w:val="12A000E6"/>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0656FA6"/>
    <w:multiLevelType w:val="hybridMultilevel"/>
    <w:tmpl w:val="91DAD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8C66078"/>
    <w:multiLevelType w:val="hybridMultilevel"/>
    <w:tmpl w:val="4572A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602AE7"/>
    <w:multiLevelType w:val="multilevel"/>
    <w:tmpl w:val="571E80FE"/>
    <w:lvl w:ilvl="0">
      <w:start w:val="15"/>
      <w:numFmt w:val="decimal"/>
      <w:lvlText w:val="%1."/>
      <w:legacy w:legacy="1" w:legacySpace="0" w:legacyIndent="0"/>
      <w:lvlJc w:val="left"/>
      <w:pPr>
        <w:ind w:left="0" w:firstLine="0"/>
      </w:pPr>
    </w:lvl>
    <w:lvl w:ilvl="1">
      <w:start w:val="9"/>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9">
    <w:nsid w:val="60FD118B"/>
    <w:multiLevelType w:val="hybridMultilevel"/>
    <w:tmpl w:val="72EEB62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nsid w:val="61AF3270"/>
    <w:multiLevelType w:val="multilevel"/>
    <w:tmpl w:val="F9CCB434"/>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1">
    <w:nsid w:val="641676A5"/>
    <w:multiLevelType w:val="multilevel"/>
    <w:tmpl w:val="F9CCB434"/>
    <w:lvl w:ilvl="0">
      <w:start w:val="2"/>
      <w:numFmt w:val="decimal"/>
      <w:lvlText w:val="%1."/>
      <w:legacy w:legacy="1" w:legacySpace="0" w:legacyIndent="0"/>
      <w:lvlJc w:val="left"/>
      <w:pPr>
        <w:ind w:left="1440" w:firstLine="0"/>
      </w:pPr>
    </w:lvl>
    <w:lvl w:ilvl="1">
      <w:start w:val="1"/>
      <w:numFmt w:val="decimal"/>
      <w:lvlText w:val="%2."/>
      <w:legacy w:legacy="1" w:legacySpace="0" w:legacyIndent="0"/>
      <w:lvlJc w:val="left"/>
      <w:pPr>
        <w:ind w:left="1440" w:firstLine="0"/>
      </w:pPr>
    </w:lvl>
    <w:lvl w:ilvl="2">
      <w:start w:val="1"/>
      <w:numFmt w:val="decimal"/>
      <w:lvlText w:val="%3."/>
      <w:legacy w:legacy="1" w:legacySpace="0" w:legacyIndent="0"/>
      <w:lvlJc w:val="left"/>
      <w:pPr>
        <w:ind w:left="1440" w:firstLine="0"/>
      </w:pPr>
    </w:lvl>
    <w:lvl w:ilvl="3">
      <w:start w:val="1"/>
      <w:numFmt w:val="decimal"/>
      <w:lvlText w:val="%4."/>
      <w:legacy w:legacy="1" w:legacySpace="0" w:legacyIndent="0"/>
      <w:lvlJc w:val="left"/>
      <w:pPr>
        <w:ind w:left="1440" w:firstLine="0"/>
      </w:pPr>
    </w:lvl>
    <w:lvl w:ilvl="4">
      <w:start w:val="1"/>
      <w:numFmt w:val="decimal"/>
      <w:lvlText w:val="%5."/>
      <w:legacy w:legacy="1" w:legacySpace="0" w:legacyIndent="0"/>
      <w:lvlJc w:val="left"/>
      <w:pPr>
        <w:ind w:left="1440" w:firstLine="0"/>
      </w:pPr>
    </w:lvl>
    <w:lvl w:ilvl="5">
      <w:start w:val="1"/>
      <w:numFmt w:val="decimal"/>
      <w:lvlText w:val="%6."/>
      <w:legacy w:legacy="1" w:legacySpace="0" w:legacyIndent="0"/>
      <w:lvlJc w:val="left"/>
      <w:pPr>
        <w:ind w:left="1440" w:firstLine="0"/>
      </w:pPr>
    </w:lvl>
    <w:lvl w:ilvl="6">
      <w:start w:val="1"/>
      <w:numFmt w:val="decimal"/>
      <w:lvlText w:val="%7."/>
      <w:legacy w:legacy="1" w:legacySpace="0" w:legacyIndent="0"/>
      <w:lvlJc w:val="left"/>
      <w:pPr>
        <w:ind w:left="1440" w:firstLine="0"/>
      </w:pPr>
    </w:lvl>
    <w:lvl w:ilvl="7">
      <w:start w:val="1"/>
      <w:numFmt w:val="decimal"/>
      <w:lvlText w:val="%8."/>
      <w:legacy w:legacy="1" w:legacySpace="0" w:legacyIndent="0"/>
      <w:lvlJc w:val="left"/>
      <w:pPr>
        <w:ind w:left="1440" w:firstLine="0"/>
      </w:pPr>
    </w:lvl>
    <w:lvl w:ilvl="8">
      <w:start w:val="1"/>
      <w:numFmt w:val="lowerRoman"/>
      <w:lvlText w:val="%9)"/>
      <w:legacy w:legacy="1" w:legacySpace="0" w:legacyIndent="0"/>
      <w:lvlJc w:val="left"/>
      <w:pPr>
        <w:ind w:left="1440" w:firstLine="0"/>
      </w:pPr>
    </w:lvl>
  </w:abstractNum>
  <w:abstractNum w:abstractNumId="22">
    <w:nsid w:val="68C06133"/>
    <w:multiLevelType w:val="hybridMultilevel"/>
    <w:tmpl w:val="742C48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5" w:hanging="360"/>
      </w:pPr>
      <w:rPr>
        <w:rFonts w:ascii="Courier New" w:hAnsi="Courier New" w:cs="Courier New" w:hint="default"/>
      </w:rPr>
    </w:lvl>
    <w:lvl w:ilvl="2" w:tplc="04090005">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3">
    <w:nsid w:val="6F3B6F40"/>
    <w:multiLevelType w:val="hybridMultilevel"/>
    <w:tmpl w:val="7FE84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857AE1"/>
    <w:multiLevelType w:val="hybridMultilevel"/>
    <w:tmpl w:val="BED8FE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09F41E5"/>
    <w:multiLevelType w:val="hybridMultilevel"/>
    <w:tmpl w:val="7F6A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290653"/>
    <w:multiLevelType w:val="hybridMultilevel"/>
    <w:tmpl w:val="8932B6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78B33A9E"/>
    <w:multiLevelType w:val="multilevel"/>
    <w:tmpl w:val="E7B0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523021"/>
    <w:multiLevelType w:val="hybridMultilevel"/>
    <w:tmpl w:val="21B4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18"/>
  </w:num>
  <w:num w:numId="4">
    <w:abstractNumId w:val="24"/>
  </w:num>
  <w:num w:numId="5">
    <w:abstractNumId w:val="12"/>
  </w:num>
  <w:num w:numId="6">
    <w:abstractNumId w:val="1"/>
  </w:num>
  <w:num w:numId="7">
    <w:abstractNumId w:val="7"/>
  </w:num>
  <w:num w:numId="8">
    <w:abstractNumId w:val="4"/>
  </w:num>
  <w:num w:numId="9">
    <w:abstractNumId w:val="3"/>
  </w:num>
  <w:num w:numId="10">
    <w:abstractNumId w:val="15"/>
  </w:num>
  <w:num w:numId="11">
    <w:abstractNumId w:val="0"/>
  </w:num>
  <w:num w:numId="12">
    <w:abstractNumId w:val="14"/>
  </w:num>
  <w:num w:numId="13">
    <w:abstractNumId w:val="23"/>
  </w:num>
  <w:num w:numId="14">
    <w:abstractNumId w:val="19"/>
  </w:num>
  <w:num w:numId="15">
    <w:abstractNumId w:val="2"/>
  </w:num>
  <w:num w:numId="16">
    <w:abstractNumId w:val="22"/>
  </w:num>
  <w:num w:numId="17">
    <w:abstractNumId w:val="25"/>
  </w:num>
  <w:num w:numId="18">
    <w:abstractNumId w:val="28"/>
  </w:num>
  <w:num w:numId="19">
    <w:abstractNumId w:val="10"/>
  </w:num>
  <w:num w:numId="20">
    <w:abstractNumId w:val="16"/>
  </w:num>
  <w:num w:numId="21">
    <w:abstractNumId w:val="8"/>
  </w:num>
  <w:num w:numId="22">
    <w:abstractNumId w:val="27"/>
  </w:num>
  <w:num w:numId="23">
    <w:abstractNumId w:val="17"/>
  </w:num>
  <w:num w:numId="24">
    <w:abstractNumId w:val="5"/>
  </w:num>
  <w:num w:numId="25">
    <w:abstractNumId w:val="6"/>
  </w:num>
  <w:num w:numId="26">
    <w:abstractNumId w:val="9"/>
  </w:num>
  <w:num w:numId="27">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1"/>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812"/>
    <w:rsid w:val="000008A5"/>
    <w:rsid w:val="00000AE8"/>
    <w:rsid w:val="000030FB"/>
    <w:rsid w:val="0000325C"/>
    <w:rsid w:val="0000485D"/>
    <w:rsid w:val="0000543D"/>
    <w:rsid w:val="00005DB5"/>
    <w:rsid w:val="00006128"/>
    <w:rsid w:val="00006AEB"/>
    <w:rsid w:val="00006BAD"/>
    <w:rsid w:val="000077FE"/>
    <w:rsid w:val="000100D6"/>
    <w:rsid w:val="0001160A"/>
    <w:rsid w:val="0001174A"/>
    <w:rsid w:val="00011B08"/>
    <w:rsid w:val="00012AAC"/>
    <w:rsid w:val="000133BC"/>
    <w:rsid w:val="00013D2A"/>
    <w:rsid w:val="00015018"/>
    <w:rsid w:val="00015344"/>
    <w:rsid w:val="00015407"/>
    <w:rsid w:val="0001551C"/>
    <w:rsid w:val="00015E16"/>
    <w:rsid w:val="00016A1F"/>
    <w:rsid w:val="00017398"/>
    <w:rsid w:val="00017669"/>
    <w:rsid w:val="00020512"/>
    <w:rsid w:val="0002196B"/>
    <w:rsid w:val="00022FA4"/>
    <w:rsid w:val="00023FC7"/>
    <w:rsid w:val="000248D2"/>
    <w:rsid w:val="0002613A"/>
    <w:rsid w:val="00026BC6"/>
    <w:rsid w:val="00031BB6"/>
    <w:rsid w:val="000320A0"/>
    <w:rsid w:val="00032693"/>
    <w:rsid w:val="0003343A"/>
    <w:rsid w:val="00033C50"/>
    <w:rsid w:val="00034186"/>
    <w:rsid w:val="00035484"/>
    <w:rsid w:val="00035568"/>
    <w:rsid w:val="0003593D"/>
    <w:rsid w:val="00035A23"/>
    <w:rsid w:val="00036215"/>
    <w:rsid w:val="00036398"/>
    <w:rsid w:val="00036BE8"/>
    <w:rsid w:val="0003793D"/>
    <w:rsid w:val="0004072B"/>
    <w:rsid w:val="000430A0"/>
    <w:rsid w:val="00043871"/>
    <w:rsid w:val="00043B91"/>
    <w:rsid w:val="00043CFE"/>
    <w:rsid w:val="0004451D"/>
    <w:rsid w:val="00044ADF"/>
    <w:rsid w:val="00045739"/>
    <w:rsid w:val="00045948"/>
    <w:rsid w:val="00045CC7"/>
    <w:rsid w:val="00046254"/>
    <w:rsid w:val="00047222"/>
    <w:rsid w:val="000473E6"/>
    <w:rsid w:val="00050373"/>
    <w:rsid w:val="00052ECC"/>
    <w:rsid w:val="000530BD"/>
    <w:rsid w:val="00054424"/>
    <w:rsid w:val="0005735B"/>
    <w:rsid w:val="00057F74"/>
    <w:rsid w:val="0006035D"/>
    <w:rsid w:val="00060B17"/>
    <w:rsid w:val="00060B9B"/>
    <w:rsid w:val="00060C5E"/>
    <w:rsid w:val="0006214C"/>
    <w:rsid w:val="00063409"/>
    <w:rsid w:val="000638BA"/>
    <w:rsid w:val="00064A2A"/>
    <w:rsid w:val="00064C2F"/>
    <w:rsid w:val="00066B44"/>
    <w:rsid w:val="00066DFB"/>
    <w:rsid w:val="00067224"/>
    <w:rsid w:val="00067AE4"/>
    <w:rsid w:val="00067BC5"/>
    <w:rsid w:val="000703BA"/>
    <w:rsid w:val="000710E6"/>
    <w:rsid w:val="00073410"/>
    <w:rsid w:val="00075A1F"/>
    <w:rsid w:val="00076625"/>
    <w:rsid w:val="00077EEF"/>
    <w:rsid w:val="00083306"/>
    <w:rsid w:val="000840E4"/>
    <w:rsid w:val="00084185"/>
    <w:rsid w:val="000841C8"/>
    <w:rsid w:val="000842B4"/>
    <w:rsid w:val="000856B6"/>
    <w:rsid w:val="0008624B"/>
    <w:rsid w:val="00086632"/>
    <w:rsid w:val="00087126"/>
    <w:rsid w:val="000871FE"/>
    <w:rsid w:val="000902A6"/>
    <w:rsid w:val="0009033E"/>
    <w:rsid w:val="0009125B"/>
    <w:rsid w:val="000917BA"/>
    <w:rsid w:val="0009181B"/>
    <w:rsid w:val="00091D3D"/>
    <w:rsid w:val="000923A6"/>
    <w:rsid w:val="00092C27"/>
    <w:rsid w:val="00093202"/>
    <w:rsid w:val="00093840"/>
    <w:rsid w:val="000942F7"/>
    <w:rsid w:val="00094E17"/>
    <w:rsid w:val="00094E1E"/>
    <w:rsid w:val="00096AE4"/>
    <w:rsid w:val="00096FC6"/>
    <w:rsid w:val="00097B35"/>
    <w:rsid w:val="000A044E"/>
    <w:rsid w:val="000A08DF"/>
    <w:rsid w:val="000A0E5A"/>
    <w:rsid w:val="000A171C"/>
    <w:rsid w:val="000A1E60"/>
    <w:rsid w:val="000A3607"/>
    <w:rsid w:val="000A46C2"/>
    <w:rsid w:val="000A4EE8"/>
    <w:rsid w:val="000A5067"/>
    <w:rsid w:val="000A55C3"/>
    <w:rsid w:val="000A73A3"/>
    <w:rsid w:val="000B1A99"/>
    <w:rsid w:val="000B2C5F"/>
    <w:rsid w:val="000B3E06"/>
    <w:rsid w:val="000B4D79"/>
    <w:rsid w:val="000B4D7E"/>
    <w:rsid w:val="000B6FAE"/>
    <w:rsid w:val="000B7427"/>
    <w:rsid w:val="000B7614"/>
    <w:rsid w:val="000B7B66"/>
    <w:rsid w:val="000B7F07"/>
    <w:rsid w:val="000C0043"/>
    <w:rsid w:val="000C0A1D"/>
    <w:rsid w:val="000C0C75"/>
    <w:rsid w:val="000C0D0B"/>
    <w:rsid w:val="000C1FA2"/>
    <w:rsid w:val="000C20A7"/>
    <w:rsid w:val="000C3EE8"/>
    <w:rsid w:val="000C434C"/>
    <w:rsid w:val="000C4A69"/>
    <w:rsid w:val="000C514A"/>
    <w:rsid w:val="000C596D"/>
    <w:rsid w:val="000C5E33"/>
    <w:rsid w:val="000C5F04"/>
    <w:rsid w:val="000C6513"/>
    <w:rsid w:val="000C7726"/>
    <w:rsid w:val="000C7875"/>
    <w:rsid w:val="000D1351"/>
    <w:rsid w:val="000D2971"/>
    <w:rsid w:val="000D2BF2"/>
    <w:rsid w:val="000D3213"/>
    <w:rsid w:val="000D4371"/>
    <w:rsid w:val="000D4CBB"/>
    <w:rsid w:val="000D6CE6"/>
    <w:rsid w:val="000D73D6"/>
    <w:rsid w:val="000D7A8D"/>
    <w:rsid w:val="000D7E60"/>
    <w:rsid w:val="000E0120"/>
    <w:rsid w:val="000E14EC"/>
    <w:rsid w:val="000E2C3C"/>
    <w:rsid w:val="000E2E75"/>
    <w:rsid w:val="000E439C"/>
    <w:rsid w:val="000E49DD"/>
    <w:rsid w:val="000E5A87"/>
    <w:rsid w:val="000E6548"/>
    <w:rsid w:val="000E70CB"/>
    <w:rsid w:val="000F057E"/>
    <w:rsid w:val="000F1299"/>
    <w:rsid w:val="000F14A7"/>
    <w:rsid w:val="000F154B"/>
    <w:rsid w:val="000F1CB3"/>
    <w:rsid w:val="000F1D31"/>
    <w:rsid w:val="000F1F1B"/>
    <w:rsid w:val="000F2091"/>
    <w:rsid w:val="000F21AF"/>
    <w:rsid w:val="000F2825"/>
    <w:rsid w:val="000F2BCB"/>
    <w:rsid w:val="000F2BD6"/>
    <w:rsid w:val="000F3231"/>
    <w:rsid w:val="000F3C09"/>
    <w:rsid w:val="000F4657"/>
    <w:rsid w:val="000F5387"/>
    <w:rsid w:val="000F579A"/>
    <w:rsid w:val="000F6017"/>
    <w:rsid w:val="000F671A"/>
    <w:rsid w:val="000F68F7"/>
    <w:rsid w:val="000F6AF6"/>
    <w:rsid w:val="000F6C17"/>
    <w:rsid w:val="000F72CB"/>
    <w:rsid w:val="000F782A"/>
    <w:rsid w:val="000F7D3A"/>
    <w:rsid w:val="00103C4C"/>
    <w:rsid w:val="00103E4B"/>
    <w:rsid w:val="00104F50"/>
    <w:rsid w:val="001061A6"/>
    <w:rsid w:val="0010620E"/>
    <w:rsid w:val="001064D4"/>
    <w:rsid w:val="00106B42"/>
    <w:rsid w:val="00107B74"/>
    <w:rsid w:val="00107BBC"/>
    <w:rsid w:val="00107DD3"/>
    <w:rsid w:val="0011072F"/>
    <w:rsid w:val="001127B5"/>
    <w:rsid w:val="00112D08"/>
    <w:rsid w:val="00113D3F"/>
    <w:rsid w:val="00113F17"/>
    <w:rsid w:val="00114F30"/>
    <w:rsid w:val="001160CB"/>
    <w:rsid w:val="00117DA1"/>
    <w:rsid w:val="0012007F"/>
    <w:rsid w:val="0012025D"/>
    <w:rsid w:val="00120AFB"/>
    <w:rsid w:val="00121E20"/>
    <w:rsid w:val="0012262B"/>
    <w:rsid w:val="00122B95"/>
    <w:rsid w:val="00123FC7"/>
    <w:rsid w:val="0012402C"/>
    <w:rsid w:val="0012433D"/>
    <w:rsid w:val="0012442F"/>
    <w:rsid w:val="00125078"/>
    <w:rsid w:val="00125688"/>
    <w:rsid w:val="0012609F"/>
    <w:rsid w:val="001272D7"/>
    <w:rsid w:val="0013139A"/>
    <w:rsid w:val="00131767"/>
    <w:rsid w:val="00131810"/>
    <w:rsid w:val="00131B4F"/>
    <w:rsid w:val="00132558"/>
    <w:rsid w:val="00133061"/>
    <w:rsid w:val="00133823"/>
    <w:rsid w:val="0013383E"/>
    <w:rsid w:val="001351C2"/>
    <w:rsid w:val="0013526F"/>
    <w:rsid w:val="001356BB"/>
    <w:rsid w:val="00135B6D"/>
    <w:rsid w:val="00136371"/>
    <w:rsid w:val="00136594"/>
    <w:rsid w:val="00136EF3"/>
    <w:rsid w:val="0013721C"/>
    <w:rsid w:val="00137AEF"/>
    <w:rsid w:val="001406D6"/>
    <w:rsid w:val="00140F7A"/>
    <w:rsid w:val="00142504"/>
    <w:rsid w:val="001435F8"/>
    <w:rsid w:val="00145538"/>
    <w:rsid w:val="00146155"/>
    <w:rsid w:val="00147681"/>
    <w:rsid w:val="001509A2"/>
    <w:rsid w:val="001509CC"/>
    <w:rsid w:val="00150FA4"/>
    <w:rsid w:val="001510D6"/>
    <w:rsid w:val="001513D4"/>
    <w:rsid w:val="001515AD"/>
    <w:rsid w:val="00152514"/>
    <w:rsid w:val="001536D6"/>
    <w:rsid w:val="00153AAD"/>
    <w:rsid w:val="00153D8A"/>
    <w:rsid w:val="00153F61"/>
    <w:rsid w:val="00154182"/>
    <w:rsid w:val="00155049"/>
    <w:rsid w:val="001557AA"/>
    <w:rsid w:val="00155D97"/>
    <w:rsid w:val="00155DE7"/>
    <w:rsid w:val="0015732A"/>
    <w:rsid w:val="00157442"/>
    <w:rsid w:val="001600B5"/>
    <w:rsid w:val="00160D8C"/>
    <w:rsid w:val="001624F6"/>
    <w:rsid w:val="00162AF5"/>
    <w:rsid w:val="0016483E"/>
    <w:rsid w:val="0016496C"/>
    <w:rsid w:val="00166CB3"/>
    <w:rsid w:val="00166E0C"/>
    <w:rsid w:val="00166FE3"/>
    <w:rsid w:val="001675F6"/>
    <w:rsid w:val="00170CFD"/>
    <w:rsid w:val="00171ADF"/>
    <w:rsid w:val="00172701"/>
    <w:rsid w:val="00172C53"/>
    <w:rsid w:val="00173826"/>
    <w:rsid w:val="00173D2B"/>
    <w:rsid w:val="00173D61"/>
    <w:rsid w:val="00173FFF"/>
    <w:rsid w:val="00175FB1"/>
    <w:rsid w:val="001760C8"/>
    <w:rsid w:val="0017631B"/>
    <w:rsid w:val="00176A41"/>
    <w:rsid w:val="00177809"/>
    <w:rsid w:val="00177A28"/>
    <w:rsid w:val="00180145"/>
    <w:rsid w:val="00180505"/>
    <w:rsid w:val="001807DE"/>
    <w:rsid w:val="00180F57"/>
    <w:rsid w:val="00181C0D"/>
    <w:rsid w:val="00182795"/>
    <w:rsid w:val="00182890"/>
    <w:rsid w:val="001829FD"/>
    <w:rsid w:val="00183DCA"/>
    <w:rsid w:val="00183FE4"/>
    <w:rsid w:val="00184C7D"/>
    <w:rsid w:val="00184D23"/>
    <w:rsid w:val="00185280"/>
    <w:rsid w:val="0018538C"/>
    <w:rsid w:val="001857E0"/>
    <w:rsid w:val="00185F39"/>
    <w:rsid w:val="00185F8E"/>
    <w:rsid w:val="00186BE8"/>
    <w:rsid w:val="00186C56"/>
    <w:rsid w:val="00186E63"/>
    <w:rsid w:val="00187102"/>
    <w:rsid w:val="00190E1B"/>
    <w:rsid w:val="00192978"/>
    <w:rsid w:val="0019313D"/>
    <w:rsid w:val="0019786E"/>
    <w:rsid w:val="001A0D87"/>
    <w:rsid w:val="001A15D4"/>
    <w:rsid w:val="001A278B"/>
    <w:rsid w:val="001A2D4C"/>
    <w:rsid w:val="001A3F3C"/>
    <w:rsid w:val="001A449E"/>
    <w:rsid w:val="001A4CA5"/>
    <w:rsid w:val="001A51EC"/>
    <w:rsid w:val="001A5C0D"/>
    <w:rsid w:val="001A6A37"/>
    <w:rsid w:val="001A6D1F"/>
    <w:rsid w:val="001A6E64"/>
    <w:rsid w:val="001A78BF"/>
    <w:rsid w:val="001A7BCD"/>
    <w:rsid w:val="001B0E17"/>
    <w:rsid w:val="001B20B8"/>
    <w:rsid w:val="001B2EDF"/>
    <w:rsid w:val="001B3274"/>
    <w:rsid w:val="001B3CD9"/>
    <w:rsid w:val="001B4098"/>
    <w:rsid w:val="001B4BB8"/>
    <w:rsid w:val="001B6C6E"/>
    <w:rsid w:val="001C02AA"/>
    <w:rsid w:val="001C155C"/>
    <w:rsid w:val="001C2D36"/>
    <w:rsid w:val="001C347B"/>
    <w:rsid w:val="001C383E"/>
    <w:rsid w:val="001C56C2"/>
    <w:rsid w:val="001C6B95"/>
    <w:rsid w:val="001C6FC0"/>
    <w:rsid w:val="001C7FAB"/>
    <w:rsid w:val="001C7FF8"/>
    <w:rsid w:val="001D0252"/>
    <w:rsid w:val="001D1D8A"/>
    <w:rsid w:val="001D2CCA"/>
    <w:rsid w:val="001D3CAC"/>
    <w:rsid w:val="001D4F95"/>
    <w:rsid w:val="001D6481"/>
    <w:rsid w:val="001D64FA"/>
    <w:rsid w:val="001D6C00"/>
    <w:rsid w:val="001D7064"/>
    <w:rsid w:val="001E01B4"/>
    <w:rsid w:val="001E06FE"/>
    <w:rsid w:val="001E1192"/>
    <w:rsid w:val="001E1768"/>
    <w:rsid w:val="001E2759"/>
    <w:rsid w:val="001E2C07"/>
    <w:rsid w:val="001E2CA1"/>
    <w:rsid w:val="001E2EC0"/>
    <w:rsid w:val="001E3991"/>
    <w:rsid w:val="001E476D"/>
    <w:rsid w:val="001F03D5"/>
    <w:rsid w:val="001F085D"/>
    <w:rsid w:val="001F0898"/>
    <w:rsid w:val="001F0F7D"/>
    <w:rsid w:val="001F14BF"/>
    <w:rsid w:val="001F1F93"/>
    <w:rsid w:val="001F269C"/>
    <w:rsid w:val="001F286B"/>
    <w:rsid w:val="001F2C10"/>
    <w:rsid w:val="001F3377"/>
    <w:rsid w:val="001F33F4"/>
    <w:rsid w:val="001F36A2"/>
    <w:rsid w:val="001F380A"/>
    <w:rsid w:val="001F388C"/>
    <w:rsid w:val="001F3E1A"/>
    <w:rsid w:val="001F4AB6"/>
    <w:rsid w:val="001F4C4D"/>
    <w:rsid w:val="001F603A"/>
    <w:rsid w:val="002001A7"/>
    <w:rsid w:val="00200E5C"/>
    <w:rsid w:val="002013BE"/>
    <w:rsid w:val="00201862"/>
    <w:rsid w:val="00201C6F"/>
    <w:rsid w:val="002024C5"/>
    <w:rsid w:val="0020364A"/>
    <w:rsid w:val="00203C4F"/>
    <w:rsid w:val="00204BD8"/>
    <w:rsid w:val="00204F40"/>
    <w:rsid w:val="00205B4D"/>
    <w:rsid w:val="00206B74"/>
    <w:rsid w:val="00207315"/>
    <w:rsid w:val="002079EF"/>
    <w:rsid w:val="00207BF8"/>
    <w:rsid w:val="0021041A"/>
    <w:rsid w:val="00211F6E"/>
    <w:rsid w:val="0021226C"/>
    <w:rsid w:val="00212B20"/>
    <w:rsid w:val="00212EE3"/>
    <w:rsid w:val="002130FF"/>
    <w:rsid w:val="002138C9"/>
    <w:rsid w:val="00214859"/>
    <w:rsid w:val="002152A5"/>
    <w:rsid w:val="00217EB5"/>
    <w:rsid w:val="00220D2F"/>
    <w:rsid w:val="002217BC"/>
    <w:rsid w:val="00221A79"/>
    <w:rsid w:val="00221F1B"/>
    <w:rsid w:val="00222B6D"/>
    <w:rsid w:val="00222D72"/>
    <w:rsid w:val="00223B09"/>
    <w:rsid w:val="0022450A"/>
    <w:rsid w:val="00225FB9"/>
    <w:rsid w:val="002264C8"/>
    <w:rsid w:val="002267EE"/>
    <w:rsid w:val="00226C16"/>
    <w:rsid w:val="00226EAF"/>
    <w:rsid w:val="00230C6A"/>
    <w:rsid w:val="0023122D"/>
    <w:rsid w:val="002318A6"/>
    <w:rsid w:val="00232E1D"/>
    <w:rsid w:val="00233613"/>
    <w:rsid w:val="00233BFC"/>
    <w:rsid w:val="002340EE"/>
    <w:rsid w:val="00234E22"/>
    <w:rsid w:val="002350A9"/>
    <w:rsid w:val="00235A5E"/>
    <w:rsid w:val="00236EB5"/>
    <w:rsid w:val="00237962"/>
    <w:rsid w:val="00240562"/>
    <w:rsid w:val="002406B7"/>
    <w:rsid w:val="00240A64"/>
    <w:rsid w:val="00240D18"/>
    <w:rsid w:val="00242293"/>
    <w:rsid w:val="002424E5"/>
    <w:rsid w:val="0024264F"/>
    <w:rsid w:val="00243BA3"/>
    <w:rsid w:val="00244FB8"/>
    <w:rsid w:val="00245957"/>
    <w:rsid w:val="00245CE4"/>
    <w:rsid w:val="00246C60"/>
    <w:rsid w:val="00246EC8"/>
    <w:rsid w:val="0024757C"/>
    <w:rsid w:val="002476E1"/>
    <w:rsid w:val="0025141F"/>
    <w:rsid w:val="00252CD3"/>
    <w:rsid w:val="00255EEB"/>
    <w:rsid w:val="002564C6"/>
    <w:rsid w:val="002568A5"/>
    <w:rsid w:val="0025786E"/>
    <w:rsid w:val="00260607"/>
    <w:rsid w:val="00260E26"/>
    <w:rsid w:val="00263310"/>
    <w:rsid w:val="00263956"/>
    <w:rsid w:val="002639BB"/>
    <w:rsid w:val="002656E0"/>
    <w:rsid w:val="00267B9D"/>
    <w:rsid w:val="002700A2"/>
    <w:rsid w:val="0027061F"/>
    <w:rsid w:val="00270A77"/>
    <w:rsid w:val="0027152F"/>
    <w:rsid w:val="00271E11"/>
    <w:rsid w:val="002723DE"/>
    <w:rsid w:val="0027251C"/>
    <w:rsid w:val="00272B9F"/>
    <w:rsid w:val="00273BF9"/>
    <w:rsid w:val="00273F18"/>
    <w:rsid w:val="00274A94"/>
    <w:rsid w:val="002754D7"/>
    <w:rsid w:val="00275A00"/>
    <w:rsid w:val="00275D99"/>
    <w:rsid w:val="002768D8"/>
    <w:rsid w:val="00276A63"/>
    <w:rsid w:val="00277F0D"/>
    <w:rsid w:val="002812EE"/>
    <w:rsid w:val="002816E2"/>
    <w:rsid w:val="00282F66"/>
    <w:rsid w:val="0028341B"/>
    <w:rsid w:val="002835DE"/>
    <w:rsid w:val="00283900"/>
    <w:rsid w:val="0028450B"/>
    <w:rsid w:val="00284CE4"/>
    <w:rsid w:val="0028507D"/>
    <w:rsid w:val="002853B6"/>
    <w:rsid w:val="00285641"/>
    <w:rsid w:val="00286CD9"/>
    <w:rsid w:val="00287245"/>
    <w:rsid w:val="00290EE6"/>
    <w:rsid w:val="002919DD"/>
    <w:rsid w:val="00292664"/>
    <w:rsid w:val="00293E51"/>
    <w:rsid w:val="002945CF"/>
    <w:rsid w:val="0029512C"/>
    <w:rsid w:val="00295E70"/>
    <w:rsid w:val="002A0343"/>
    <w:rsid w:val="002A10A6"/>
    <w:rsid w:val="002A1EE3"/>
    <w:rsid w:val="002A220B"/>
    <w:rsid w:val="002A2D45"/>
    <w:rsid w:val="002A37E2"/>
    <w:rsid w:val="002A394C"/>
    <w:rsid w:val="002A4259"/>
    <w:rsid w:val="002A448E"/>
    <w:rsid w:val="002A5004"/>
    <w:rsid w:val="002A517D"/>
    <w:rsid w:val="002A5483"/>
    <w:rsid w:val="002A5A31"/>
    <w:rsid w:val="002A5A63"/>
    <w:rsid w:val="002A7632"/>
    <w:rsid w:val="002B2524"/>
    <w:rsid w:val="002B25B7"/>
    <w:rsid w:val="002B27C7"/>
    <w:rsid w:val="002B3A3E"/>
    <w:rsid w:val="002B3EF4"/>
    <w:rsid w:val="002B49E5"/>
    <w:rsid w:val="002B6C03"/>
    <w:rsid w:val="002B6FF3"/>
    <w:rsid w:val="002B767B"/>
    <w:rsid w:val="002B77A3"/>
    <w:rsid w:val="002B77EB"/>
    <w:rsid w:val="002C03E7"/>
    <w:rsid w:val="002C1D92"/>
    <w:rsid w:val="002C3C43"/>
    <w:rsid w:val="002C52B6"/>
    <w:rsid w:val="002C692C"/>
    <w:rsid w:val="002C6F61"/>
    <w:rsid w:val="002C7BEE"/>
    <w:rsid w:val="002D0364"/>
    <w:rsid w:val="002D135B"/>
    <w:rsid w:val="002D3C0E"/>
    <w:rsid w:val="002D3D36"/>
    <w:rsid w:val="002D4812"/>
    <w:rsid w:val="002D4B79"/>
    <w:rsid w:val="002D4EE7"/>
    <w:rsid w:val="002D61A5"/>
    <w:rsid w:val="002D7DC2"/>
    <w:rsid w:val="002E00CE"/>
    <w:rsid w:val="002E179A"/>
    <w:rsid w:val="002E211E"/>
    <w:rsid w:val="002E39A4"/>
    <w:rsid w:val="002E3F82"/>
    <w:rsid w:val="002E3F8F"/>
    <w:rsid w:val="002E4A01"/>
    <w:rsid w:val="002E4C8D"/>
    <w:rsid w:val="002E55B1"/>
    <w:rsid w:val="002E5677"/>
    <w:rsid w:val="002E7F64"/>
    <w:rsid w:val="002F100D"/>
    <w:rsid w:val="002F1454"/>
    <w:rsid w:val="002F16A9"/>
    <w:rsid w:val="002F1AE7"/>
    <w:rsid w:val="002F2814"/>
    <w:rsid w:val="002F3520"/>
    <w:rsid w:val="002F3889"/>
    <w:rsid w:val="002F47F1"/>
    <w:rsid w:val="002F5547"/>
    <w:rsid w:val="002F5B06"/>
    <w:rsid w:val="002F615B"/>
    <w:rsid w:val="002F64D6"/>
    <w:rsid w:val="002F6BEE"/>
    <w:rsid w:val="002F7039"/>
    <w:rsid w:val="00300219"/>
    <w:rsid w:val="00300E49"/>
    <w:rsid w:val="00301820"/>
    <w:rsid w:val="0030213A"/>
    <w:rsid w:val="00304AD4"/>
    <w:rsid w:val="003055D6"/>
    <w:rsid w:val="0030565B"/>
    <w:rsid w:val="00305BA3"/>
    <w:rsid w:val="00305DC5"/>
    <w:rsid w:val="003067E3"/>
    <w:rsid w:val="00307F71"/>
    <w:rsid w:val="00310F9D"/>
    <w:rsid w:val="00311721"/>
    <w:rsid w:val="003117DC"/>
    <w:rsid w:val="00312168"/>
    <w:rsid w:val="003127A3"/>
    <w:rsid w:val="0031370C"/>
    <w:rsid w:val="0031372D"/>
    <w:rsid w:val="00313D0E"/>
    <w:rsid w:val="0031405B"/>
    <w:rsid w:val="003143E1"/>
    <w:rsid w:val="00314EE1"/>
    <w:rsid w:val="003155D7"/>
    <w:rsid w:val="00316B3D"/>
    <w:rsid w:val="003174E9"/>
    <w:rsid w:val="00317664"/>
    <w:rsid w:val="003204C2"/>
    <w:rsid w:val="00320E34"/>
    <w:rsid w:val="00320E4A"/>
    <w:rsid w:val="00321910"/>
    <w:rsid w:val="00322EEC"/>
    <w:rsid w:val="00324A23"/>
    <w:rsid w:val="00324F40"/>
    <w:rsid w:val="0032582D"/>
    <w:rsid w:val="003269CC"/>
    <w:rsid w:val="00327A91"/>
    <w:rsid w:val="00330AAA"/>
    <w:rsid w:val="00331310"/>
    <w:rsid w:val="0033196D"/>
    <w:rsid w:val="00332324"/>
    <w:rsid w:val="00332FF4"/>
    <w:rsid w:val="003330FC"/>
    <w:rsid w:val="00333C4C"/>
    <w:rsid w:val="003353D3"/>
    <w:rsid w:val="003357A0"/>
    <w:rsid w:val="00336A77"/>
    <w:rsid w:val="00336BF1"/>
    <w:rsid w:val="00337199"/>
    <w:rsid w:val="003372DF"/>
    <w:rsid w:val="00337AE5"/>
    <w:rsid w:val="00341586"/>
    <w:rsid w:val="00342904"/>
    <w:rsid w:val="003429B2"/>
    <w:rsid w:val="00343914"/>
    <w:rsid w:val="00343C13"/>
    <w:rsid w:val="0034407E"/>
    <w:rsid w:val="003445E0"/>
    <w:rsid w:val="00344EB6"/>
    <w:rsid w:val="00345477"/>
    <w:rsid w:val="00345574"/>
    <w:rsid w:val="00345600"/>
    <w:rsid w:val="00345D99"/>
    <w:rsid w:val="00346E8D"/>
    <w:rsid w:val="003470A2"/>
    <w:rsid w:val="00347A5C"/>
    <w:rsid w:val="003500F3"/>
    <w:rsid w:val="00350F90"/>
    <w:rsid w:val="003516F5"/>
    <w:rsid w:val="00351721"/>
    <w:rsid w:val="003524E3"/>
    <w:rsid w:val="00352E16"/>
    <w:rsid w:val="0035513D"/>
    <w:rsid w:val="00355BFD"/>
    <w:rsid w:val="0035720D"/>
    <w:rsid w:val="00357785"/>
    <w:rsid w:val="00360D5A"/>
    <w:rsid w:val="00361C69"/>
    <w:rsid w:val="003626A7"/>
    <w:rsid w:val="003643B5"/>
    <w:rsid w:val="00366059"/>
    <w:rsid w:val="0036630F"/>
    <w:rsid w:val="00367612"/>
    <w:rsid w:val="003700FA"/>
    <w:rsid w:val="00371A47"/>
    <w:rsid w:val="00371B23"/>
    <w:rsid w:val="003732A2"/>
    <w:rsid w:val="003741ED"/>
    <w:rsid w:val="003765D2"/>
    <w:rsid w:val="003805D4"/>
    <w:rsid w:val="00380845"/>
    <w:rsid w:val="003809AE"/>
    <w:rsid w:val="00382177"/>
    <w:rsid w:val="003841CA"/>
    <w:rsid w:val="00384240"/>
    <w:rsid w:val="0038449A"/>
    <w:rsid w:val="00384ECA"/>
    <w:rsid w:val="003868AB"/>
    <w:rsid w:val="00386D76"/>
    <w:rsid w:val="00387064"/>
    <w:rsid w:val="00387329"/>
    <w:rsid w:val="00391A47"/>
    <w:rsid w:val="00392807"/>
    <w:rsid w:val="0039298A"/>
    <w:rsid w:val="00394EE5"/>
    <w:rsid w:val="0039567F"/>
    <w:rsid w:val="003958DA"/>
    <w:rsid w:val="00395B52"/>
    <w:rsid w:val="00395B5B"/>
    <w:rsid w:val="00395E04"/>
    <w:rsid w:val="00396007"/>
    <w:rsid w:val="0039662C"/>
    <w:rsid w:val="003A0B6E"/>
    <w:rsid w:val="003A0D2E"/>
    <w:rsid w:val="003A1993"/>
    <w:rsid w:val="003A3696"/>
    <w:rsid w:val="003A4027"/>
    <w:rsid w:val="003A438B"/>
    <w:rsid w:val="003A540C"/>
    <w:rsid w:val="003A543C"/>
    <w:rsid w:val="003A58E4"/>
    <w:rsid w:val="003A5A90"/>
    <w:rsid w:val="003A5D0A"/>
    <w:rsid w:val="003A72B1"/>
    <w:rsid w:val="003A7A62"/>
    <w:rsid w:val="003B2022"/>
    <w:rsid w:val="003B30C2"/>
    <w:rsid w:val="003B385C"/>
    <w:rsid w:val="003B3889"/>
    <w:rsid w:val="003B4A4C"/>
    <w:rsid w:val="003B4F1B"/>
    <w:rsid w:val="003B562F"/>
    <w:rsid w:val="003B5C6B"/>
    <w:rsid w:val="003B62D1"/>
    <w:rsid w:val="003B6DA9"/>
    <w:rsid w:val="003B7FC0"/>
    <w:rsid w:val="003C0E51"/>
    <w:rsid w:val="003C1021"/>
    <w:rsid w:val="003C19CD"/>
    <w:rsid w:val="003C1EC2"/>
    <w:rsid w:val="003C2A22"/>
    <w:rsid w:val="003C2B59"/>
    <w:rsid w:val="003C4196"/>
    <w:rsid w:val="003C45B1"/>
    <w:rsid w:val="003C4846"/>
    <w:rsid w:val="003C6548"/>
    <w:rsid w:val="003C6E58"/>
    <w:rsid w:val="003D06B7"/>
    <w:rsid w:val="003D138B"/>
    <w:rsid w:val="003D1CB0"/>
    <w:rsid w:val="003D2244"/>
    <w:rsid w:val="003D25E3"/>
    <w:rsid w:val="003D264C"/>
    <w:rsid w:val="003D2D11"/>
    <w:rsid w:val="003D3138"/>
    <w:rsid w:val="003D36CF"/>
    <w:rsid w:val="003D3885"/>
    <w:rsid w:val="003D40AA"/>
    <w:rsid w:val="003D6616"/>
    <w:rsid w:val="003D6A8C"/>
    <w:rsid w:val="003D6EC1"/>
    <w:rsid w:val="003E04DB"/>
    <w:rsid w:val="003E0C87"/>
    <w:rsid w:val="003E16DA"/>
    <w:rsid w:val="003E17DA"/>
    <w:rsid w:val="003E1D49"/>
    <w:rsid w:val="003E2839"/>
    <w:rsid w:val="003E2E80"/>
    <w:rsid w:val="003E3C2F"/>
    <w:rsid w:val="003E4BE2"/>
    <w:rsid w:val="003E52AD"/>
    <w:rsid w:val="003E5BE3"/>
    <w:rsid w:val="003E5F26"/>
    <w:rsid w:val="003E62B7"/>
    <w:rsid w:val="003E7117"/>
    <w:rsid w:val="003E7D77"/>
    <w:rsid w:val="003E7E7C"/>
    <w:rsid w:val="003F0408"/>
    <w:rsid w:val="003F170A"/>
    <w:rsid w:val="003F3768"/>
    <w:rsid w:val="003F3CE7"/>
    <w:rsid w:val="003F3EBB"/>
    <w:rsid w:val="003F4C04"/>
    <w:rsid w:val="003F5408"/>
    <w:rsid w:val="003F6C62"/>
    <w:rsid w:val="0040018A"/>
    <w:rsid w:val="00400A72"/>
    <w:rsid w:val="00401BE7"/>
    <w:rsid w:val="00401F95"/>
    <w:rsid w:val="00403BC4"/>
    <w:rsid w:val="00405B20"/>
    <w:rsid w:val="00405F4C"/>
    <w:rsid w:val="004076A7"/>
    <w:rsid w:val="00411E34"/>
    <w:rsid w:val="0041279D"/>
    <w:rsid w:val="00412839"/>
    <w:rsid w:val="00413B69"/>
    <w:rsid w:val="004146F1"/>
    <w:rsid w:val="00414984"/>
    <w:rsid w:val="00416357"/>
    <w:rsid w:val="004165E8"/>
    <w:rsid w:val="00416772"/>
    <w:rsid w:val="00416FD5"/>
    <w:rsid w:val="004178B1"/>
    <w:rsid w:val="00420FBF"/>
    <w:rsid w:val="00421797"/>
    <w:rsid w:val="00421C49"/>
    <w:rsid w:val="00422187"/>
    <w:rsid w:val="0042226C"/>
    <w:rsid w:val="004225A3"/>
    <w:rsid w:val="004233BB"/>
    <w:rsid w:val="00423B58"/>
    <w:rsid w:val="00423E3B"/>
    <w:rsid w:val="00423EBE"/>
    <w:rsid w:val="00425416"/>
    <w:rsid w:val="004256B2"/>
    <w:rsid w:val="0042639D"/>
    <w:rsid w:val="0042724B"/>
    <w:rsid w:val="00427E4C"/>
    <w:rsid w:val="00430A30"/>
    <w:rsid w:val="00431C19"/>
    <w:rsid w:val="004335F0"/>
    <w:rsid w:val="00433A63"/>
    <w:rsid w:val="00433A8B"/>
    <w:rsid w:val="00434C2F"/>
    <w:rsid w:val="00435108"/>
    <w:rsid w:val="00435726"/>
    <w:rsid w:val="00435737"/>
    <w:rsid w:val="00436124"/>
    <w:rsid w:val="004367F6"/>
    <w:rsid w:val="00440161"/>
    <w:rsid w:val="00440F9C"/>
    <w:rsid w:val="004411D9"/>
    <w:rsid w:val="004420B2"/>
    <w:rsid w:val="0044262E"/>
    <w:rsid w:val="00443103"/>
    <w:rsid w:val="00443A50"/>
    <w:rsid w:val="00443DE4"/>
    <w:rsid w:val="00444CAB"/>
    <w:rsid w:val="004459DC"/>
    <w:rsid w:val="00447BD2"/>
    <w:rsid w:val="00447D2B"/>
    <w:rsid w:val="00450F5C"/>
    <w:rsid w:val="0045127B"/>
    <w:rsid w:val="004519FF"/>
    <w:rsid w:val="00452068"/>
    <w:rsid w:val="00453050"/>
    <w:rsid w:val="00453222"/>
    <w:rsid w:val="004534F6"/>
    <w:rsid w:val="00454687"/>
    <w:rsid w:val="00455785"/>
    <w:rsid w:val="0045599B"/>
    <w:rsid w:val="00456963"/>
    <w:rsid w:val="00457552"/>
    <w:rsid w:val="004602CB"/>
    <w:rsid w:val="00460732"/>
    <w:rsid w:val="00461456"/>
    <w:rsid w:val="00461B67"/>
    <w:rsid w:val="00462145"/>
    <w:rsid w:val="00462546"/>
    <w:rsid w:val="00462B7D"/>
    <w:rsid w:val="00462CAC"/>
    <w:rsid w:val="0046315E"/>
    <w:rsid w:val="00465356"/>
    <w:rsid w:val="004669D7"/>
    <w:rsid w:val="00467154"/>
    <w:rsid w:val="00470DB3"/>
    <w:rsid w:val="00472E58"/>
    <w:rsid w:val="00473E97"/>
    <w:rsid w:val="00474847"/>
    <w:rsid w:val="004748B4"/>
    <w:rsid w:val="0047531E"/>
    <w:rsid w:val="00475AD5"/>
    <w:rsid w:val="0047680C"/>
    <w:rsid w:val="00477C1A"/>
    <w:rsid w:val="00480C87"/>
    <w:rsid w:val="004815B6"/>
    <w:rsid w:val="004815D4"/>
    <w:rsid w:val="004816F9"/>
    <w:rsid w:val="0048274B"/>
    <w:rsid w:val="00483500"/>
    <w:rsid w:val="004846FF"/>
    <w:rsid w:val="00485E6D"/>
    <w:rsid w:val="004861E4"/>
    <w:rsid w:val="004864E9"/>
    <w:rsid w:val="00490773"/>
    <w:rsid w:val="00490C03"/>
    <w:rsid w:val="00490F49"/>
    <w:rsid w:val="00491660"/>
    <w:rsid w:val="00492B01"/>
    <w:rsid w:val="004931CA"/>
    <w:rsid w:val="00493787"/>
    <w:rsid w:val="004940A4"/>
    <w:rsid w:val="0049441B"/>
    <w:rsid w:val="004947AB"/>
    <w:rsid w:val="00494960"/>
    <w:rsid w:val="00494DD3"/>
    <w:rsid w:val="00496204"/>
    <w:rsid w:val="00497AF3"/>
    <w:rsid w:val="004A02C9"/>
    <w:rsid w:val="004A034B"/>
    <w:rsid w:val="004A12FF"/>
    <w:rsid w:val="004A1569"/>
    <w:rsid w:val="004A1A23"/>
    <w:rsid w:val="004A1D40"/>
    <w:rsid w:val="004A30FF"/>
    <w:rsid w:val="004A32ED"/>
    <w:rsid w:val="004A39B0"/>
    <w:rsid w:val="004A3F71"/>
    <w:rsid w:val="004A42E7"/>
    <w:rsid w:val="004A449A"/>
    <w:rsid w:val="004A480D"/>
    <w:rsid w:val="004A4B12"/>
    <w:rsid w:val="004A65C2"/>
    <w:rsid w:val="004A6978"/>
    <w:rsid w:val="004A7142"/>
    <w:rsid w:val="004A7DB5"/>
    <w:rsid w:val="004B099F"/>
    <w:rsid w:val="004B0B26"/>
    <w:rsid w:val="004B2513"/>
    <w:rsid w:val="004B2A64"/>
    <w:rsid w:val="004B322A"/>
    <w:rsid w:val="004B3663"/>
    <w:rsid w:val="004B3EE1"/>
    <w:rsid w:val="004B43CC"/>
    <w:rsid w:val="004B514B"/>
    <w:rsid w:val="004B51E9"/>
    <w:rsid w:val="004B566D"/>
    <w:rsid w:val="004B5D46"/>
    <w:rsid w:val="004B6717"/>
    <w:rsid w:val="004C0E25"/>
    <w:rsid w:val="004C23D2"/>
    <w:rsid w:val="004C66C2"/>
    <w:rsid w:val="004C70D9"/>
    <w:rsid w:val="004D0BC4"/>
    <w:rsid w:val="004D194C"/>
    <w:rsid w:val="004D233E"/>
    <w:rsid w:val="004D2423"/>
    <w:rsid w:val="004D2FFC"/>
    <w:rsid w:val="004D3A62"/>
    <w:rsid w:val="004D4AD7"/>
    <w:rsid w:val="004D4BE7"/>
    <w:rsid w:val="004D510F"/>
    <w:rsid w:val="004D5959"/>
    <w:rsid w:val="004D653A"/>
    <w:rsid w:val="004D67DB"/>
    <w:rsid w:val="004D6B2B"/>
    <w:rsid w:val="004D714F"/>
    <w:rsid w:val="004D7673"/>
    <w:rsid w:val="004D7866"/>
    <w:rsid w:val="004D79AB"/>
    <w:rsid w:val="004D7DF7"/>
    <w:rsid w:val="004E1C9D"/>
    <w:rsid w:val="004E2A0C"/>
    <w:rsid w:val="004E3C38"/>
    <w:rsid w:val="004E49E6"/>
    <w:rsid w:val="004E4C03"/>
    <w:rsid w:val="004E5283"/>
    <w:rsid w:val="004E5879"/>
    <w:rsid w:val="004E68E1"/>
    <w:rsid w:val="004E6DC0"/>
    <w:rsid w:val="004E768B"/>
    <w:rsid w:val="004F0A1A"/>
    <w:rsid w:val="004F10C4"/>
    <w:rsid w:val="004F235C"/>
    <w:rsid w:val="004F3546"/>
    <w:rsid w:val="004F4660"/>
    <w:rsid w:val="004F4696"/>
    <w:rsid w:val="004F4AAB"/>
    <w:rsid w:val="004F56AF"/>
    <w:rsid w:val="004F56C2"/>
    <w:rsid w:val="004F5AD5"/>
    <w:rsid w:val="004F5DD1"/>
    <w:rsid w:val="004F77AF"/>
    <w:rsid w:val="004F7C95"/>
    <w:rsid w:val="0050016F"/>
    <w:rsid w:val="0050126E"/>
    <w:rsid w:val="005047B9"/>
    <w:rsid w:val="005051F0"/>
    <w:rsid w:val="0050531A"/>
    <w:rsid w:val="0050556A"/>
    <w:rsid w:val="00505BA7"/>
    <w:rsid w:val="00505CCB"/>
    <w:rsid w:val="00505DAD"/>
    <w:rsid w:val="00507153"/>
    <w:rsid w:val="0050736D"/>
    <w:rsid w:val="0051061C"/>
    <w:rsid w:val="005110BF"/>
    <w:rsid w:val="00511282"/>
    <w:rsid w:val="005121A1"/>
    <w:rsid w:val="00513F22"/>
    <w:rsid w:val="00514DBC"/>
    <w:rsid w:val="005151BD"/>
    <w:rsid w:val="0051550B"/>
    <w:rsid w:val="0051559A"/>
    <w:rsid w:val="00515959"/>
    <w:rsid w:val="00520437"/>
    <w:rsid w:val="005219FD"/>
    <w:rsid w:val="0052460C"/>
    <w:rsid w:val="005250DB"/>
    <w:rsid w:val="00526932"/>
    <w:rsid w:val="00527307"/>
    <w:rsid w:val="00533A53"/>
    <w:rsid w:val="005340B8"/>
    <w:rsid w:val="005345B9"/>
    <w:rsid w:val="005345F6"/>
    <w:rsid w:val="00534A9C"/>
    <w:rsid w:val="00534FA1"/>
    <w:rsid w:val="00535195"/>
    <w:rsid w:val="00535642"/>
    <w:rsid w:val="00535C69"/>
    <w:rsid w:val="005361CD"/>
    <w:rsid w:val="00537471"/>
    <w:rsid w:val="00537522"/>
    <w:rsid w:val="005400FF"/>
    <w:rsid w:val="0054080F"/>
    <w:rsid w:val="00540E70"/>
    <w:rsid w:val="005422AB"/>
    <w:rsid w:val="005426BD"/>
    <w:rsid w:val="0054284A"/>
    <w:rsid w:val="00543D12"/>
    <w:rsid w:val="0054406E"/>
    <w:rsid w:val="00544322"/>
    <w:rsid w:val="005449FD"/>
    <w:rsid w:val="005456F3"/>
    <w:rsid w:val="005457EA"/>
    <w:rsid w:val="00545C1B"/>
    <w:rsid w:val="005462AF"/>
    <w:rsid w:val="00546548"/>
    <w:rsid w:val="0054733E"/>
    <w:rsid w:val="00550C29"/>
    <w:rsid w:val="00550C4B"/>
    <w:rsid w:val="00551087"/>
    <w:rsid w:val="00551372"/>
    <w:rsid w:val="005521AE"/>
    <w:rsid w:val="00553615"/>
    <w:rsid w:val="005543C3"/>
    <w:rsid w:val="0055567B"/>
    <w:rsid w:val="00555F17"/>
    <w:rsid w:val="00561CEE"/>
    <w:rsid w:val="00562164"/>
    <w:rsid w:val="00562D8C"/>
    <w:rsid w:val="005643BE"/>
    <w:rsid w:val="00566649"/>
    <w:rsid w:val="00566BDB"/>
    <w:rsid w:val="005674E1"/>
    <w:rsid w:val="0056765C"/>
    <w:rsid w:val="00567DCE"/>
    <w:rsid w:val="00570F3B"/>
    <w:rsid w:val="005710F6"/>
    <w:rsid w:val="00571656"/>
    <w:rsid w:val="00571F16"/>
    <w:rsid w:val="00573BBE"/>
    <w:rsid w:val="0057469B"/>
    <w:rsid w:val="00574AB4"/>
    <w:rsid w:val="00575A7D"/>
    <w:rsid w:val="00575E06"/>
    <w:rsid w:val="00576030"/>
    <w:rsid w:val="00576142"/>
    <w:rsid w:val="005767AB"/>
    <w:rsid w:val="005809DC"/>
    <w:rsid w:val="0058339A"/>
    <w:rsid w:val="00583562"/>
    <w:rsid w:val="00583CF3"/>
    <w:rsid w:val="00583F1E"/>
    <w:rsid w:val="005852A8"/>
    <w:rsid w:val="005853F9"/>
    <w:rsid w:val="005867F1"/>
    <w:rsid w:val="005870CB"/>
    <w:rsid w:val="00587278"/>
    <w:rsid w:val="00590CDA"/>
    <w:rsid w:val="0059117A"/>
    <w:rsid w:val="00591784"/>
    <w:rsid w:val="0059241E"/>
    <w:rsid w:val="005927AB"/>
    <w:rsid w:val="0059307D"/>
    <w:rsid w:val="00593483"/>
    <w:rsid w:val="00594B72"/>
    <w:rsid w:val="00594DFA"/>
    <w:rsid w:val="0059630E"/>
    <w:rsid w:val="00596D81"/>
    <w:rsid w:val="005973E7"/>
    <w:rsid w:val="0059790D"/>
    <w:rsid w:val="00597B2A"/>
    <w:rsid w:val="005A008B"/>
    <w:rsid w:val="005A00A0"/>
    <w:rsid w:val="005A04CF"/>
    <w:rsid w:val="005A072A"/>
    <w:rsid w:val="005A0A55"/>
    <w:rsid w:val="005A22F7"/>
    <w:rsid w:val="005A28CC"/>
    <w:rsid w:val="005A3125"/>
    <w:rsid w:val="005A3336"/>
    <w:rsid w:val="005A3AED"/>
    <w:rsid w:val="005A487F"/>
    <w:rsid w:val="005A4B91"/>
    <w:rsid w:val="005A5214"/>
    <w:rsid w:val="005A63E6"/>
    <w:rsid w:val="005B02F6"/>
    <w:rsid w:val="005B0D09"/>
    <w:rsid w:val="005B16DF"/>
    <w:rsid w:val="005B19B2"/>
    <w:rsid w:val="005B1E38"/>
    <w:rsid w:val="005B2497"/>
    <w:rsid w:val="005B2996"/>
    <w:rsid w:val="005B2D04"/>
    <w:rsid w:val="005B3877"/>
    <w:rsid w:val="005B4A8B"/>
    <w:rsid w:val="005B4BA9"/>
    <w:rsid w:val="005B58DE"/>
    <w:rsid w:val="005B5D4E"/>
    <w:rsid w:val="005B69E5"/>
    <w:rsid w:val="005B7393"/>
    <w:rsid w:val="005B7C1C"/>
    <w:rsid w:val="005B7DF0"/>
    <w:rsid w:val="005C099C"/>
    <w:rsid w:val="005C09C8"/>
    <w:rsid w:val="005C09F8"/>
    <w:rsid w:val="005C4480"/>
    <w:rsid w:val="005C773C"/>
    <w:rsid w:val="005D15DA"/>
    <w:rsid w:val="005D213C"/>
    <w:rsid w:val="005D2481"/>
    <w:rsid w:val="005D27D9"/>
    <w:rsid w:val="005D27DD"/>
    <w:rsid w:val="005D36F5"/>
    <w:rsid w:val="005D41AE"/>
    <w:rsid w:val="005D41FF"/>
    <w:rsid w:val="005D5D58"/>
    <w:rsid w:val="005D6347"/>
    <w:rsid w:val="005D71AE"/>
    <w:rsid w:val="005D76C4"/>
    <w:rsid w:val="005E0096"/>
    <w:rsid w:val="005E0181"/>
    <w:rsid w:val="005E026C"/>
    <w:rsid w:val="005E03D8"/>
    <w:rsid w:val="005E26FD"/>
    <w:rsid w:val="005E3936"/>
    <w:rsid w:val="005E4BB2"/>
    <w:rsid w:val="005E5E0F"/>
    <w:rsid w:val="005E6CB7"/>
    <w:rsid w:val="005E7262"/>
    <w:rsid w:val="005E7AF7"/>
    <w:rsid w:val="005F0123"/>
    <w:rsid w:val="005F11EE"/>
    <w:rsid w:val="005F138E"/>
    <w:rsid w:val="005F153C"/>
    <w:rsid w:val="005F1973"/>
    <w:rsid w:val="005F1FF9"/>
    <w:rsid w:val="005F2000"/>
    <w:rsid w:val="005F28B9"/>
    <w:rsid w:val="005F299B"/>
    <w:rsid w:val="005F2B94"/>
    <w:rsid w:val="005F33F3"/>
    <w:rsid w:val="005F43EC"/>
    <w:rsid w:val="005F5A76"/>
    <w:rsid w:val="005F5CB5"/>
    <w:rsid w:val="005F6657"/>
    <w:rsid w:val="005F7C86"/>
    <w:rsid w:val="0060088B"/>
    <w:rsid w:val="00600F1D"/>
    <w:rsid w:val="00602B44"/>
    <w:rsid w:val="00603168"/>
    <w:rsid w:val="0060318D"/>
    <w:rsid w:val="00603B89"/>
    <w:rsid w:val="00604A43"/>
    <w:rsid w:val="006055DF"/>
    <w:rsid w:val="00605CB8"/>
    <w:rsid w:val="00605CF1"/>
    <w:rsid w:val="006073D8"/>
    <w:rsid w:val="00607D30"/>
    <w:rsid w:val="00611D72"/>
    <w:rsid w:val="00612010"/>
    <w:rsid w:val="006125AE"/>
    <w:rsid w:val="006126C6"/>
    <w:rsid w:val="00612920"/>
    <w:rsid w:val="00612A4D"/>
    <w:rsid w:val="006135A2"/>
    <w:rsid w:val="00613CDF"/>
    <w:rsid w:val="00613F86"/>
    <w:rsid w:val="006148CC"/>
    <w:rsid w:val="00614E2E"/>
    <w:rsid w:val="00615D57"/>
    <w:rsid w:val="00615E31"/>
    <w:rsid w:val="006163BD"/>
    <w:rsid w:val="006165F6"/>
    <w:rsid w:val="00616A0F"/>
    <w:rsid w:val="00620878"/>
    <w:rsid w:val="006208DA"/>
    <w:rsid w:val="00624B9D"/>
    <w:rsid w:val="00624F30"/>
    <w:rsid w:val="00626D7B"/>
    <w:rsid w:val="00627C80"/>
    <w:rsid w:val="0063116E"/>
    <w:rsid w:val="00631934"/>
    <w:rsid w:val="0063201A"/>
    <w:rsid w:val="00633983"/>
    <w:rsid w:val="00634666"/>
    <w:rsid w:val="00634EB8"/>
    <w:rsid w:val="0063671E"/>
    <w:rsid w:val="00636B22"/>
    <w:rsid w:val="006401D4"/>
    <w:rsid w:val="00640B4C"/>
    <w:rsid w:val="00642865"/>
    <w:rsid w:val="006429D9"/>
    <w:rsid w:val="00644183"/>
    <w:rsid w:val="00645D3D"/>
    <w:rsid w:val="0064610E"/>
    <w:rsid w:val="006461FD"/>
    <w:rsid w:val="0064666B"/>
    <w:rsid w:val="00647087"/>
    <w:rsid w:val="006473CA"/>
    <w:rsid w:val="006474E9"/>
    <w:rsid w:val="00647B1D"/>
    <w:rsid w:val="00650179"/>
    <w:rsid w:val="00650D36"/>
    <w:rsid w:val="006529C3"/>
    <w:rsid w:val="00652EF2"/>
    <w:rsid w:val="006530A7"/>
    <w:rsid w:val="00653FF9"/>
    <w:rsid w:val="006542DD"/>
    <w:rsid w:val="006554B7"/>
    <w:rsid w:val="0065698C"/>
    <w:rsid w:val="00657270"/>
    <w:rsid w:val="00657745"/>
    <w:rsid w:val="00661C33"/>
    <w:rsid w:val="00662465"/>
    <w:rsid w:val="006627ED"/>
    <w:rsid w:val="00662839"/>
    <w:rsid w:val="00662A40"/>
    <w:rsid w:val="0066338D"/>
    <w:rsid w:val="00663F30"/>
    <w:rsid w:val="00664601"/>
    <w:rsid w:val="00664B0A"/>
    <w:rsid w:val="00665079"/>
    <w:rsid w:val="00666936"/>
    <w:rsid w:val="00666EA5"/>
    <w:rsid w:val="006675A6"/>
    <w:rsid w:val="00667784"/>
    <w:rsid w:val="0066780B"/>
    <w:rsid w:val="00673770"/>
    <w:rsid w:val="00673B81"/>
    <w:rsid w:val="00673C5C"/>
    <w:rsid w:val="0067410C"/>
    <w:rsid w:val="0067453C"/>
    <w:rsid w:val="00674661"/>
    <w:rsid w:val="006751CB"/>
    <w:rsid w:val="0067568D"/>
    <w:rsid w:val="00676228"/>
    <w:rsid w:val="0067626C"/>
    <w:rsid w:val="0067632C"/>
    <w:rsid w:val="006777BD"/>
    <w:rsid w:val="006808A9"/>
    <w:rsid w:val="00680C30"/>
    <w:rsid w:val="00681020"/>
    <w:rsid w:val="00681AD0"/>
    <w:rsid w:val="00681AFB"/>
    <w:rsid w:val="00682573"/>
    <w:rsid w:val="00682756"/>
    <w:rsid w:val="0068303A"/>
    <w:rsid w:val="00683BBD"/>
    <w:rsid w:val="00683F90"/>
    <w:rsid w:val="0068525D"/>
    <w:rsid w:val="00685BB7"/>
    <w:rsid w:val="0068666B"/>
    <w:rsid w:val="006876A2"/>
    <w:rsid w:val="00687D53"/>
    <w:rsid w:val="00690621"/>
    <w:rsid w:val="006908A5"/>
    <w:rsid w:val="006917C8"/>
    <w:rsid w:val="006918F4"/>
    <w:rsid w:val="00693198"/>
    <w:rsid w:val="00693DD7"/>
    <w:rsid w:val="00693E68"/>
    <w:rsid w:val="00696C85"/>
    <w:rsid w:val="00696F70"/>
    <w:rsid w:val="006A03FA"/>
    <w:rsid w:val="006A12F7"/>
    <w:rsid w:val="006A1964"/>
    <w:rsid w:val="006A2057"/>
    <w:rsid w:val="006A23B8"/>
    <w:rsid w:val="006A2700"/>
    <w:rsid w:val="006A31F8"/>
    <w:rsid w:val="006A39FF"/>
    <w:rsid w:val="006A40F2"/>
    <w:rsid w:val="006A41F9"/>
    <w:rsid w:val="006A499A"/>
    <w:rsid w:val="006A6111"/>
    <w:rsid w:val="006A6FF1"/>
    <w:rsid w:val="006A7242"/>
    <w:rsid w:val="006A73F1"/>
    <w:rsid w:val="006A7A63"/>
    <w:rsid w:val="006B0169"/>
    <w:rsid w:val="006B1306"/>
    <w:rsid w:val="006B1542"/>
    <w:rsid w:val="006B1A0D"/>
    <w:rsid w:val="006B34E9"/>
    <w:rsid w:val="006B3598"/>
    <w:rsid w:val="006B3E45"/>
    <w:rsid w:val="006B4915"/>
    <w:rsid w:val="006B5797"/>
    <w:rsid w:val="006B6255"/>
    <w:rsid w:val="006B75C2"/>
    <w:rsid w:val="006B7CE3"/>
    <w:rsid w:val="006C0E31"/>
    <w:rsid w:val="006C10F6"/>
    <w:rsid w:val="006C2571"/>
    <w:rsid w:val="006C324A"/>
    <w:rsid w:val="006C358F"/>
    <w:rsid w:val="006C52F8"/>
    <w:rsid w:val="006C5B6B"/>
    <w:rsid w:val="006C5FC5"/>
    <w:rsid w:val="006C6788"/>
    <w:rsid w:val="006C72E2"/>
    <w:rsid w:val="006D18F2"/>
    <w:rsid w:val="006D23D7"/>
    <w:rsid w:val="006D325C"/>
    <w:rsid w:val="006D4E23"/>
    <w:rsid w:val="006D52B3"/>
    <w:rsid w:val="006D5D56"/>
    <w:rsid w:val="006D6B23"/>
    <w:rsid w:val="006D7B56"/>
    <w:rsid w:val="006E01D8"/>
    <w:rsid w:val="006E2EFA"/>
    <w:rsid w:val="006E375E"/>
    <w:rsid w:val="006E44D7"/>
    <w:rsid w:val="006E538D"/>
    <w:rsid w:val="006F02D6"/>
    <w:rsid w:val="006F04F1"/>
    <w:rsid w:val="006F0B8A"/>
    <w:rsid w:val="006F142D"/>
    <w:rsid w:val="006F14B9"/>
    <w:rsid w:val="006F1E28"/>
    <w:rsid w:val="006F2112"/>
    <w:rsid w:val="006F2504"/>
    <w:rsid w:val="006F26EE"/>
    <w:rsid w:val="006F280D"/>
    <w:rsid w:val="006F29D0"/>
    <w:rsid w:val="006F3954"/>
    <w:rsid w:val="006F39DD"/>
    <w:rsid w:val="006F4086"/>
    <w:rsid w:val="006F577C"/>
    <w:rsid w:val="006F75B8"/>
    <w:rsid w:val="006F7992"/>
    <w:rsid w:val="006F7DFA"/>
    <w:rsid w:val="00700802"/>
    <w:rsid w:val="00700E0B"/>
    <w:rsid w:val="007014E7"/>
    <w:rsid w:val="00701744"/>
    <w:rsid w:val="007026FC"/>
    <w:rsid w:val="00702F53"/>
    <w:rsid w:val="0070418F"/>
    <w:rsid w:val="00704FB4"/>
    <w:rsid w:val="00705A96"/>
    <w:rsid w:val="00707FB9"/>
    <w:rsid w:val="007116DC"/>
    <w:rsid w:val="00711865"/>
    <w:rsid w:val="00712116"/>
    <w:rsid w:val="0071246A"/>
    <w:rsid w:val="00712E81"/>
    <w:rsid w:val="00712F25"/>
    <w:rsid w:val="0071364D"/>
    <w:rsid w:val="007150ED"/>
    <w:rsid w:val="0071552E"/>
    <w:rsid w:val="00720B19"/>
    <w:rsid w:val="00720BED"/>
    <w:rsid w:val="0072154F"/>
    <w:rsid w:val="00721A5C"/>
    <w:rsid w:val="007238FC"/>
    <w:rsid w:val="00725379"/>
    <w:rsid w:val="0072647E"/>
    <w:rsid w:val="0072673C"/>
    <w:rsid w:val="00726F87"/>
    <w:rsid w:val="007308B3"/>
    <w:rsid w:val="007311D5"/>
    <w:rsid w:val="0073139B"/>
    <w:rsid w:val="007314DC"/>
    <w:rsid w:val="00731F59"/>
    <w:rsid w:val="0073237D"/>
    <w:rsid w:val="00733FDC"/>
    <w:rsid w:val="00734B41"/>
    <w:rsid w:val="00735E11"/>
    <w:rsid w:val="00735F3E"/>
    <w:rsid w:val="00736121"/>
    <w:rsid w:val="007369CB"/>
    <w:rsid w:val="00737DB3"/>
    <w:rsid w:val="0074032A"/>
    <w:rsid w:val="007406E3"/>
    <w:rsid w:val="007407C1"/>
    <w:rsid w:val="00740BE4"/>
    <w:rsid w:val="00740DA0"/>
    <w:rsid w:val="0074100E"/>
    <w:rsid w:val="007421A0"/>
    <w:rsid w:val="007421C6"/>
    <w:rsid w:val="007432B8"/>
    <w:rsid w:val="007434D2"/>
    <w:rsid w:val="00743682"/>
    <w:rsid w:val="00743E01"/>
    <w:rsid w:val="0074491C"/>
    <w:rsid w:val="0074577E"/>
    <w:rsid w:val="00746333"/>
    <w:rsid w:val="00746CE4"/>
    <w:rsid w:val="00746EFD"/>
    <w:rsid w:val="007471A9"/>
    <w:rsid w:val="00747865"/>
    <w:rsid w:val="007512FF"/>
    <w:rsid w:val="00751332"/>
    <w:rsid w:val="0075247C"/>
    <w:rsid w:val="00752775"/>
    <w:rsid w:val="007533D2"/>
    <w:rsid w:val="007556E5"/>
    <w:rsid w:val="0075570C"/>
    <w:rsid w:val="00755C0E"/>
    <w:rsid w:val="00756E90"/>
    <w:rsid w:val="0075716B"/>
    <w:rsid w:val="00757469"/>
    <w:rsid w:val="007602EF"/>
    <w:rsid w:val="007604AA"/>
    <w:rsid w:val="00760B57"/>
    <w:rsid w:val="0076158C"/>
    <w:rsid w:val="007616B0"/>
    <w:rsid w:val="007626E8"/>
    <w:rsid w:val="00762B58"/>
    <w:rsid w:val="007639BE"/>
    <w:rsid w:val="00764D3A"/>
    <w:rsid w:val="00765510"/>
    <w:rsid w:val="00765777"/>
    <w:rsid w:val="00766DDB"/>
    <w:rsid w:val="00767CF5"/>
    <w:rsid w:val="007702F1"/>
    <w:rsid w:val="00771C5D"/>
    <w:rsid w:val="00771DA1"/>
    <w:rsid w:val="00773485"/>
    <w:rsid w:val="00773A1F"/>
    <w:rsid w:val="00773DDF"/>
    <w:rsid w:val="0077421B"/>
    <w:rsid w:val="007743FE"/>
    <w:rsid w:val="00774666"/>
    <w:rsid w:val="0077516A"/>
    <w:rsid w:val="00776B72"/>
    <w:rsid w:val="00777BD3"/>
    <w:rsid w:val="00780A91"/>
    <w:rsid w:val="00781485"/>
    <w:rsid w:val="00781879"/>
    <w:rsid w:val="00784E03"/>
    <w:rsid w:val="007864ED"/>
    <w:rsid w:val="00786A17"/>
    <w:rsid w:val="00786EB6"/>
    <w:rsid w:val="0078743D"/>
    <w:rsid w:val="00787932"/>
    <w:rsid w:val="0079035E"/>
    <w:rsid w:val="0079098C"/>
    <w:rsid w:val="0079153D"/>
    <w:rsid w:val="0079374B"/>
    <w:rsid w:val="007938D7"/>
    <w:rsid w:val="00794806"/>
    <w:rsid w:val="00794E75"/>
    <w:rsid w:val="00797A10"/>
    <w:rsid w:val="007A19F2"/>
    <w:rsid w:val="007A2FE8"/>
    <w:rsid w:val="007A32DE"/>
    <w:rsid w:val="007A36A0"/>
    <w:rsid w:val="007A36B9"/>
    <w:rsid w:val="007A4513"/>
    <w:rsid w:val="007A480D"/>
    <w:rsid w:val="007A4D7D"/>
    <w:rsid w:val="007A5B10"/>
    <w:rsid w:val="007A66E6"/>
    <w:rsid w:val="007A7205"/>
    <w:rsid w:val="007A72DF"/>
    <w:rsid w:val="007B0843"/>
    <w:rsid w:val="007B0CE0"/>
    <w:rsid w:val="007B164D"/>
    <w:rsid w:val="007B29E9"/>
    <w:rsid w:val="007B324D"/>
    <w:rsid w:val="007B3D35"/>
    <w:rsid w:val="007B50C2"/>
    <w:rsid w:val="007B55D7"/>
    <w:rsid w:val="007B6449"/>
    <w:rsid w:val="007B6A7C"/>
    <w:rsid w:val="007B6FA1"/>
    <w:rsid w:val="007B6FB0"/>
    <w:rsid w:val="007B771C"/>
    <w:rsid w:val="007C14FA"/>
    <w:rsid w:val="007C1D2E"/>
    <w:rsid w:val="007C6B03"/>
    <w:rsid w:val="007C6C10"/>
    <w:rsid w:val="007C72CB"/>
    <w:rsid w:val="007C7C43"/>
    <w:rsid w:val="007D0028"/>
    <w:rsid w:val="007D198E"/>
    <w:rsid w:val="007D1BDE"/>
    <w:rsid w:val="007D22C1"/>
    <w:rsid w:val="007D2BEA"/>
    <w:rsid w:val="007D377F"/>
    <w:rsid w:val="007D3A9B"/>
    <w:rsid w:val="007D3FB6"/>
    <w:rsid w:val="007D56CA"/>
    <w:rsid w:val="007D5731"/>
    <w:rsid w:val="007D5921"/>
    <w:rsid w:val="007D63A6"/>
    <w:rsid w:val="007D675F"/>
    <w:rsid w:val="007E0744"/>
    <w:rsid w:val="007E0923"/>
    <w:rsid w:val="007E0986"/>
    <w:rsid w:val="007E1C5F"/>
    <w:rsid w:val="007E243C"/>
    <w:rsid w:val="007E3C34"/>
    <w:rsid w:val="007E3DDD"/>
    <w:rsid w:val="007E40B3"/>
    <w:rsid w:val="007E593E"/>
    <w:rsid w:val="007E596A"/>
    <w:rsid w:val="007E5E8B"/>
    <w:rsid w:val="007E63D5"/>
    <w:rsid w:val="007E68F8"/>
    <w:rsid w:val="007E73DF"/>
    <w:rsid w:val="007F11AC"/>
    <w:rsid w:val="007F2AA5"/>
    <w:rsid w:val="007F2B98"/>
    <w:rsid w:val="007F30CE"/>
    <w:rsid w:val="007F51E2"/>
    <w:rsid w:val="007F6679"/>
    <w:rsid w:val="007F6D23"/>
    <w:rsid w:val="007F7E18"/>
    <w:rsid w:val="00801089"/>
    <w:rsid w:val="00802393"/>
    <w:rsid w:val="00802735"/>
    <w:rsid w:val="00804266"/>
    <w:rsid w:val="00805BD5"/>
    <w:rsid w:val="008060B0"/>
    <w:rsid w:val="00807A08"/>
    <w:rsid w:val="00807B6D"/>
    <w:rsid w:val="00810382"/>
    <w:rsid w:val="0081325E"/>
    <w:rsid w:val="0081374D"/>
    <w:rsid w:val="00813F85"/>
    <w:rsid w:val="00814510"/>
    <w:rsid w:val="0081658B"/>
    <w:rsid w:val="00816743"/>
    <w:rsid w:val="00816BD2"/>
    <w:rsid w:val="00817407"/>
    <w:rsid w:val="00820918"/>
    <w:rsid w:val="00822078"/>
    <w:rsid w:val="00822605"/>
    <w:rsid w:val="008228E3"/>
    <w:rsid w:val="00822EF1"/>
    <w:rsid w:val="00823245"/>
    <w:rsid w:val="00823A22"/>
    <w:rsid w:val="00824736"/>
    <w:rsid w:val="00824A05"/>
    <w:rsid w:val="00825421"/>
    <w:rsid w:val="008276E5"/>
    <w:rsid w:val="00827C2C"/>
    <w:rsid w:val="00827D46"/>
    <w:rsid w:val="00830DA1"/>
    <w:rsid w:val="00830EDC"/>
    <w:rsid w:val="00831CDD"/>
    <w:rsid w:val="00832F82"/>
    <w:rsid w:val="0083352B"/>
    <w:rsid w:val="00833978"/>
    <w:rsid w:val="00833DAA"/>
    <w:rsid w:val="00833F1E"/>
    <w:rsid w:val="008348CA"/>
    <w:rsid w:val="00834EBC"/>
    <w:rsid w:val="008350D4"/>
    <w:rsid w:val="0083530F"/>
    <w:rsid w:val="00835895"/>
    <w:rsid w:val="00836282"/>
    <w:rsid w:val="00837FC4"/>
    <w:rsid w:val="0084025D"/>
    <w:rsid w:val="00840A33"/>
    <w:rsid w:val="00840B99"/>
    <w:rsid w:val="00840EE1"/>
    <w:rsid w:val="008418A7"/>
    <w:rsid w:val="00841BBA"/>
    <w:rsid w:val="00841F3A"/>
    <w:rsid w:val="00843613"/>
    <w:rsid w:val="00843B30"/>
    <w:rsid w:val="00844C35"/>
    <w:rsid w:val="00844C77"/>
    <w:rsid w:val="0084557E"/>
    <w:rsid w:val="0084583B"/>
    <w:rsid w:val="00845BB5"/>
    <w:rsid w:val="00846915"/>
    <w:rsid w:val="008469E1"/>
    <w:rsid w:val="008475B2"/>
    <w:rsid w:val="00847B4B"/>
    <w:rsid w:val="008502A5"/>
    <w:rsid w:val="00850375"/>
    <w:rsid w:val="0085080B"/>
    <w:rsid w:val="008514AC"/>
    <w:rsid w:val="00851ECC"/>
    <w:rsid w:val="00852A1E"/>
    <w:rsid w:val="00852B18"/>
    <w:rsid w:val="00853231"/>
    <w:rsid w:val="008534F3"/>
    <w:rsid w:val="00853993"/>
    <w:rsid w:val="00853AB8"/>
    <w:rsid w:val="008541A7"/>
    <w:rsid w:val="00855263"/>
    <w:rsid w:val="0085638C"/>
    <w:rsid w:val="008567D3"/>
    <w:rsid w:val="00856952"/>
    <w:rsid w:val="008572D2"/>
    <w:rsid w:val="00857F02"/>
    <w:rsid w:val="0086041C"/>
    <w:rsid w:val="00860763"/>
    <w:rsid w:val="00860CB8"/>
    <w:rsid w:val="008635B0"/>
    <w:rsid w:val="00863D71"/>
    <w:rsid w:val="00864741"/>
    <w:rsid w:val="00864A67"/>
    <w:rsid w:val="00864C3A"/>
    <w:rsid w:val="008650B8"/>
    <w:rsid w:val="00870030"/>
    <w:rsid w:val="008700D8"/>
    <w:rsid w:val="00870F48"/>
    <w:rsid w:val="008714B6"/>
    <w:rsid w:val="008714CA"/>
    <w:rsid w:val="00871D87"/>
    <w:rsid w:val="00872403"/>
    <w:rsid w:val="00873D40"/>
    <w:rsid w:val="0087475A"/>
    <w:rsid w:val="008761A8"/>
    <w:rsid w:val="0087667A"/>
    <w:rsid w:val="0087773A"/>
    <w:rsid w:val="00877FCA"/>
    <w:rsid w:val="00880133"/>
    <w:rsid w:val="008805E9"/>
    <w:rsid w:val="00880B67"/>
    <w:rsid w:val="00880C12"/>
    <w:rsid w:val="008814A0"/>
    <w:rsid w:val="00881B82"/>
    <w:rsid w:val="00881CD6"/>
    <w:rsid w:val="008821F4"/>
    <w:rsid w:val="0088287F"/>
    <w:rsid w:val="00882A04"/>
    <w:rsid w:val="00882AC1"/>
    <w:rsid w:val="0088312D"/>
    <w:rsid w:val="00884A43"/>
    <w:rsid w:val="00884A5B"/>
    <w:rsid w:val="00885AB7"/>
    <w:rsid w:val="008869BC"/>
    <w:rsid w:val="00886A85"/>
    <w:rsid w:val="00887894"/>
    <w:rsid w:val="00887B81"/>
    <w:rsid w:val="00890276"/>
    <w:rsid w:val="00890A53"/>
    <w:rsid w:val="00891563"/>
    <w:rsid w:val="00891BED"/>
    <w:rsid w:val="00892019"/>
    <w:rsid w:val="00893761"/>
    <w:rsid w:val="008937F5"/>
    <w:rsid w:val="0089399A"/>
    <w:rsid w:val="00894500"/>
    <w:rsid w:val="008946B6"/>
    <w:rsid w:val="00895F6F"/>
    <w:rsid w:val="0089747C"/>
    <w:rsid w:val="008A0562"/>
    <w:rsid w:val="008A0CFD"/>
    <w:rsid w:val="008A0EB8"/>
    <w:rsid w:val="008A368C"/>
    <w:rsid w:val="008A3695"/>
    <w:rsid w:val="008A38D6"/>
    <w:rsid w:val="008A4284"/>
    <w:rsid w:val="008A5B0C"/>
    <w:rsid w:val="008A5B31"/>
    <w:rsid w:val="008A6E4A"/>
    <w:rsid w:val="008A767D"/>
    <w:rsid w:val="008A7F36"/>
    <w:rsid w:val="008B06C2"/>
    <w:rsid w:val="008B1725"/>
    <w:rsid w:val="008B2358"/>
    <w:rsid w:val="008B2769"/>
    <w:rsid w:val="008B307F"/>
    <w:rsid w:val="008B3169"/>
    <w:rsid w:val="008B469B"/>
    <w:rsid w:val="008B58D5"/>
    <w:rsid w:val="008B683C"/>
    <w:rsid w:val="008C02D3"/>
    <w:rsid w:val="008C0D05"/>
    <w:rsid w:val="008C0D37"/>
    <w:rsid w:val="008C271A"/>
    <w:rsid w:val="008C2D9A"/>
    <w:rsid w:val="008C3A3E"/>
    <w:rsid w:val="008C3FDD"/>
    <w:rsid w:val="008C4127"/>
    <w:rsid w:val="008C48BB"/>
    <w:rsid w:val="008C4DF1"/>
    <w:rsid w:val="008C5274"/>
    <w:rsid w:val="008C62FB"/>
    <w:rsid w:val="008C6520"/>
    <w:rsid w:val="008C6B3E"/>
    <w:rsid w:val="008C6C21"/>
    <w:rsid w:val="008C6E85"/>
    <w:rsid w:val="008C70D9"/>
    <w:rsid w:val="008C797E"/>
    <w:rsid w:val="008D0C83"/>
    <w:rsid w:val="008D144B"/>
    <w:rsid w:val="008D16FA"/>
    <w:rsid w:val="008D25D7"/>
    <w:rsid w:val="008D2C53"/>
    <w:rsid w:val="008D3346"/>
    <w:rsid w:val="008D37CE"/>
    <w:rsid w:val="008D6301"/>
    <w:rsid w:val="008D6A24"/>
    <w:rsid w:val="008D7414"/>
    <w:rsid w:val="008D7E5E"/>
    <w:rsid w:val="008E00F9"/>
    <w:rsid w:val="008E01EC"/>
    <w:rsid w:val="008E0771"/>
    <w:rsid w:val="008E093F"/>
    <w:rsid w:val="008E181A"/>
    <w:rsid w:val="008E20E5"/>
    <w:rsid w:val="008E25A4"/>
    <w:rsid w:val="008E2748"/>
    <w:rsid w:val="008E32C4"/>
    <w:rsid w:val="008E3533"/>
    <w:rsid w:val="008E46D7"/>
    <w:rsid w:val="008E5248"/>
    <w:rsid w:val="008F180A"/>
    <w:rsid w:val="008F298A"/>
    <w:rsid w:val="008F5056"/>
    <w:rsid w:val="008F5268"/>
    <w:rsid w:val="008F586F"/>
    <w:rsid w:val="008F5B63"/>
    <w:rsid w:val="008F5BC3"/>
    <w:rsid w:val="008F64DA"/>
    <w:rsid w:val="008F7C5C"/>
    <w:rsid w:val="008F7FA7"/>
    <w:rsid w:val="00900771"/>
    <w:rsid w:val="00901D2B"/>
    <w:rsid w:val="00901F29"/>
    <w:rsid w:val="009024CB"/>
    <w:rsid w:val="009028A1"/>
    <w:rsid w:val="009030AD"/>
    <w:rsid w:val="00903917"/>
    <w:rsid w:val="009047F6"/>
    <w:rsid w:val="009054F5"/>
    <w:rsid w:val="00906D08"/>
    <w:rsid w:val="00907410"/>
    <w:rsid w:val="009075F8"/>
    <w:rsid w:val="0090794C"/>
    <w:rsid w:val="009100E7"/>
    <w:rsid w:val="00910A25"/>
    <w:rsid w:val="00911271"/>
    <w:rsid w:val="009118A3"/>
    <w:rsid w:val="0091219A"/>
    <w:rsid w:val="009131D1"/>
    <w:rsid w:val="00914A4A"/>
    <w:rsid w:val="0091592E"/>
    <w:rsid w:val="00916B83"/>
    <w:rsid w:val="00917C43"/>
    <w:rsid w:val="00917CFE"/>
    <w:rsid w:val="00920F1D"/>
    <w:rsid w:val="00921C6F"/>
    <w:rsid w:val="009251F4"/>
    <w:rsid w:val="0092551D"/>
    <w:rsid w:val="0092669B"/>
    <w:rsid w:val="00927D23"/>
    <w:rsid w:val="0093043F"/>
    <w:rsid w:val="0093073D"/>
    <w:rsid w:val="009315DF"/>
    <w:rsid w:val="00931F6E"/>
    <w:rsid w:val="009326B2"/>
    <w:rsid w:val="00932774"/>
    <w:rsid w:val="00932FD8"/>
    <w:rsid w:val="009331C5"/>
    <w:rsid w:val="00933628"/>
    <w:rsid w:val="009336A5"/>
    <w:rsid w:val="009344BA"/>
    <w:rsid w:val="009355CE"/>
    <w:rsid w:val="0093586C"/>
    <w:rsid w:val="00935D90"/>
    <w:rsid w:val="009362A0"/>
    <w:rsid w:val="0093657A"/>
    <w:rsid w:val="00936A2C"/>
    <w:rsid w:val="009377D6"/>
    <w:rsid w:val="00937CC7"/>
    <w:rsid w:val="00940FA3"/>
    <w:rsid w:val="00941E17"/>
    <w:rsid w:val="00942405"/>
    <w:rsid w:val="00942552"/>
    <w:rsid w:val="0094284B"/>
    <w:rsid w:val="00943C6F"/>
    <w:rsid w:val="009440E1"/>
    <w:rsid w:val="0094492D"/>
    <w:rsid w:val="00945FE4"/>
    <w:rsid w:val="009461A0"/>
    <w:rsid w:val="009462E1"/>
    <w:rsid w:val="0094654F"/>
    <w:rsid w:val="00946B02"/>
    <w:rsid w:val="00953CFC"/>
    <w:rsid w:val="00953F2F"/>
    <w:rsid w:val="00954E2E"/>
    <w:rsid w:val="00956725"/>
    <w:rsid w:val="0095761E"/>
    <w:rsid w:val="00960532"/>
    <w:rsid w:val="009606C1"/>
    <w:rsid w:val="00960BCF"/>
    <w:rsid w:val="00960BE0"/>
    <w:rsid w:val="00960C6D"/>
    <w:rsid w:val="009619F0"/>
    <w:rsid w:val="00961C6A"/>
    <w:rsid w:val="00961DD5"/>
    <w:rsid w:val="009643E4"/>
    <w:rsid w:val="009658D4"/>
    <w:rsid w:val="009660AA"/>
    <w:rsid w:val="009670C4"/>
    <w:rsid w:val="00967DE6"/>
    <w:rsid w:val="00967EFB"/>
    <w:rsid w:val="0097070C"/>
    <w:rsid w:val="00970B09"/>
    <w:rsid w:val="00971E04"/>
    <w:rsid w:val="0097268C"/>
    <w:rsid w:val="00972834"/>
    <w:rsid w:val="00973E2D"/>
    <w:rsid w:val="00974B7E"/>
    <w:rsid w:val="00975E07"/>
    <w:rsid w:val="00977455"/>
    <w:rsid w:val="00981B9E"/>
    <w:rsid w:val="00982CAE"/>
    <w:rsid w:val="00982FC2"/>
    <w:rsid w:val="009832BF"/>
    <w:rsid w:val="0098674A"/>
    <w:rsid w:val="00990614"/>
    <w:rsid w:val="00990E03"/>
    <w:rsid w:val="00991538"/>
    <w:rsid w:val="00994247"/>
    <w:rsid w:val="00994316"/>
    <w:rsid w:val="00994368"/>
    <w:rsid w:val="009953CE"/>
    <w:rsid w:val="0099568A"/>
    <w:rsid w:val="0099613A"/>
    <w:rsid w:val="00996E74"/>
    <w:rsid w:val="00997BFC"/>
    <w:rsid w:val="009A0056"/>
    <w:rsid w:val="009A0931"/>
    <w:rsid w:val="009A2C39"/>
    <w:rsid w:val="009A2E77"/>
    <w:rsid w:val="009A3B94"/>
    <w:rsid w:val="009A3EA2"/>
    <w:rsid w:val="009A4436"/>
    <w:rsid w:val="009A4532"/>
    <w:rsid w:val="009A483F"/>
    <w:rsid w:val="009A60F7"/>
    <w:rsid w:val="009A622B"/>
    <w:rsid w:val="009A72EA"/>
    <w:rsid w:val="009B1682"/>
    <w:rsid w:val="009B1CC5"/>
    <w:rsid w:val="009B3AE7"/>
    <w:rsid w:val="009B491C"/>
    <w:rsid w:val="009B56CB"/>
    <w:rsid w:val="009B585D"/>
    <w:rsid w:val="009B6485"/>
    <w:rsid w:val="009B66B8"/>
    <w:rsid w:val="009B66C2"/>
    <w:rsid w:val="009B693E"/>
    <w:rsid w:val="009B695C"/>
    <w:rsid w:val="009B721F"/>
    <w:rsid w:val="009B7840"/>
    <w:rsid w:val="009B7F67"/>
    <w:rsid w:val="009C07F2"/>
    <w:rsid w:val="009C0FAA"/>
    <w:rsid w:val="009C3A7B"/>
    <w:rsid w:val="009C4447"/>
    <w:rsid w:val="009C4EEE"/>
    <w:rsid w:val="009C5216"/>
    <w:rsid w:val="009C5E99"/>
    <w:rsid w:val="009C6760"/>
    <w:rsid w:val="009C7740"/>
    <w:rsid w:val="009C7FF3"/>
    <w:rsid w:val="009D14B7"/>
    <w:rsid w:val="009D1B39"/>
    <w:rsid w:val="009D2C4E"/>
    <w:rsid w:val="009D2DAA"/>
    <w:rsid w:val="009D389E"/>
    <w:rsid w:val="009D3BC1"/>
    <w:rsid w:val="009D41A5"/>
    <w:rsid w:val="009D44BA"/>
    <w:rsid w:val="009D4589"/>
    <w:rsid w:val="009D4DA4"/>
    <w:rsid w:val="009D54BD"/>
    <w:rsid w:val="009D6146"/>
    <w:rsid w:val="009D64FF"/>
    <w:rsid w:val="009D668E"/>
    <w:rsid w:val="009D66C6"/>
    <w:rsid w:val="009E3419"/>
    <w:rsid w:val="009E5EFD"/>
    <w:rsid w:val="009E6EB9"/>
    <w:rsid w:val="009E77BC"/>
    <w:rsid w:val="009F0E46"/>
    <w:rsid w:val="009F0E7C"/>
    <w:rsid w:val="009F2093"/>
    <w:rsid w:val="009F20BA"/>
    <w:rsid w:val="009F2B9E"/>
    <w:rsid w:val="009F4474"/>
    <w:rsid w:val="009F46BD"/>
    <w:rsid w:val="009F52F5"/>
    <w:rsid w:val="009F5DF3"/>
    <w:rsid w:val="009F6643"/>
    <w:rsid w:val="009F6F6E"/>
    <w:rsid w:val="009F7A3B"/>
    <w:rsid w:val="00A00BCC"/>
    <w:rsid w:val="00A013A1"/>
    <w:rsid w:val="00A01582"/>
    <w:rsid w:val="00A03AF0"/>
    <w:rsid w:val="00A03F19"/>
    <w:rsid w:val="00A04513"/>
    <w:rsid w:val="00A05635"/>
    <w:rsid w:val="00A06C4F"/>
    <w:rsid w:val="00A1078D"/>
    <w:rsid w:val="00A1129E"/>
    <w:rsid w:val="00A11314"/>
    <w:rsid w:val="00A136FC"/>
    <w:rsid w:val="00A139F8"/>
    <w:rsid w:val="00A15499"/>
    <w:rsid w:val="00A156EC"/>
    <w:rsid w:val="00A15F8B"/>
    <w:rsid w:val="00A1733A"/>
    <w:rsid w:val="00A17FE2"/>
    <w:rsid w:val="00A201FC"/>
    <w:rsid w:val="00A21E56"/>
    <w:rsid w:val="00A22486"/>
    <w:rsid w:val="00A22966"/>
    <w:rsid w:val="00A22B02"/>
    <w:rsid w:val="00A22B4F"/>
    <w:rsid w:val="00A23A8B"/>
    <w:rsid w:val="00A23F4A"/>
    <w:rsid w:val="00A276C6"/>
    <w:rsid w:val="00A27A05"/>
    <w:rsid w:val="00A27CAE"/>
    <w:rsid w:val="00A31C75"/>
    <w:rsid w:val="00A31D70"/>
    <w:rsid w:val="00A3286B"/>
    <w:rsid w:val="00A330FA"/>
    <w:rsid w:val="00A3311E"/>
    <w:rsid w:val="00A33345"/>
    <w:rsid w:val="00A341D3"/>
    <w:rsid w:val="00A351FD"/>
    <w:rsid w:val="00A35A7C"/>
    <w:rsid w:val="00A35DD0"/>
    <w:rsid w:val="00A37603"/>
    <w:rsid w:val="00A40463"/>
    <w:rsid w:val="00A40501"/>
    <w:rsid w:val="00A40D93"/>
    <w:rsid w:val="00A42D10"/>
    <w:rsid w:val="00A42DA9"/>
    <w:rsid w:val="00A43168"/>
    <w:rsid w:val="00A43C7A"/>
    <w:rsid w:val="00A44462"/>
    <w:rsid w:val="00A45C16"/>
    <w:rsid w:val="00A45F82"/>
    <w:rsid w:val="00A46769"/>
    <w:rsid w:val="00A46C92"/>
    <w:rsid w:val="00A46F1F"/>
    <w:rsid w:val="00A47109"/>
    <w:rsid w:val="00A474FF"/>
    <w:rsid w:val="00A504DA"/>
    <w:rsid w:val="00A51213"/>
    <w:rsid w:val="00A51F79"/>
    <w:rsid w:val="00A52449"/>
    <w:rsid w:val="00A52C2C"/>
    <w:rsid w:val="00A53D29"/>
    <w:rsid w:val="00A54484"/>
    <w:rsid w:val="00A54563"/>
    <w:rsid w:val="00A54A6A"/>
    <w:rsid w:val="00A54B8F"/>
    <w:rsid w:val="00A55505"/>
    <w:rsid w:val="00A568C5"/>
    <w:rsid w:val="00A57650"/>
    <w:rsid w:val="00A57B42"/>
    <w:rsid w:val="00A57EF6"/>
    <w:rsid w:val="00A60530"/>
    <w:rsid w:val="00A60CBB"/>
    <w:rsid w:val="00A6103C"/>
    <w:rsid w:val="00A6151D"/>
    <w:rsid w:val="00A623BD"/>
    <w:rsid w:val="00A626E6"/>
    <w:rsid w:val="00A62E59"/>
    <w:rsid w:val="00A6335C"/>
    <w:rsid w:val="00A6374F"/>
    <w:rsid w:val="00A650C8"/>
    <w:rsid w:val="00A650D5"/>
    <w:rsid w:val="00A65C32"/>
    <w:rsid w:val="00A65D49"/>
    <w:rsid w:val="00A65EFF"/>
    <w:rsid w:val="00A662CF"/>
    <w:rsid w:val="00A66352"/>
    <w:rsid w:val="00A669B3"/>
    <w:rsid w:val="00A66D8E"/>
    <w:rsid w:val="00A7054F"/>
    <w:rsid w:val="00A70604"/>
    <w:rsid w:val="00A70BA3"/>
    <w:rsid w:val="00A7110B"/>
    <w:rsid w:val="00A72F1B"/>
    <w:rsid w:val="00A731CE"/>
    <w:rsid w:val="00A74BA1"/>
    <w:rsid w:val="00A759C3"/>
    <w:rsid w:val="00A7643F"/>
    <w:rsid w:val="00A76CD1"/>
    <w:rsid w:val="00A77544"/>
    <w:rsid w:val="00A7773F"/>
    <w:rsid w:val="00A8010E"/>
    <w:rsid w:val="00A80E60"/>
    <w:rsid w:val="00A82724"/>
    <w:rsid w:val="00A82F7C"/>
    <w:rsid w:val="00A83E4C"/>
    <w:rsid w:val="00A83EBE"/>
    <w:rsid w:val="00A83F9A"/>
    <w:rsid w:val="00A84409"/>
    <w:rsid w:val="00A84A09"/>
    <w:rsid w:val="00A84A24"/>
    <w:rsid w:val="00A85CE8"/>
    <w:rsid w:val="00A8727A"/>
    <w:rsid w:val="00A9010F"/>
    <w:rsid w:val="00A90C63"/>
    <w:rsid w:val="00A90FD6"/>
    <w:rsid w:val="00A91308"/>
    <w:rsid w:val="00A916AF"/>
    <w:rsid w:val="00A9281E"/>
    <w:rsid w:val="00A929CE"/>
    <w:rsid w:val="00A94A7B"/>
    <w:rsid w:val="00A967D0"/>
    <w:rsid w:val="00A974F0"/>
    <w:rsid w:val="00AA0EFC"/>
    <w:rsid w:val="00AA0FF6"/>
    <w:rsid w:val="00AA148E"/>
    <w:rsid w:val="00AA3293"/>
    <w:rsid w:val="00AA45A6"/>
    <w:rsid w:val="00AA464E"/>
    <w:rsid w:val="00AA4A0E"/>
    <w:rsid w:val="00AA4B47"/>
    <w:rsid w:val="00AA7C41"/>
    <w:rsid w:val="00AB023A"/>
    <w:rsid w:val="00AB1304"/>
    <w:rsid w:val="00AB17C0"/>
    <w:rsid w:val="00AB3920"/>
    <w:rsid w:val="00AB45F4"/>
    <w:rsid w:val="00AB48C1"/>
    <w:rsid w:val="00AB4AC8"/>
    <w:rsid w:val="00AB5316"/>
    <w:rsid w:val="00AB66CB"/>
    <w:rsid w:val="00AB6FAA"/>
    <w:rsid w:val="00AB7B8E"/>
    <w:rsid w:val="00AC1C22"/>
    <w:rsid w:val="00AC2844"/>
    <w:rsid w:val="00AC2910"/>
    <w:rsid w:val="00AC3C73"/>
    <w:rsid w:val="00AC4999"/>
    <w:rsid w:val="00AC51C5"/>
    <w:rsid w:val="00AC5487"/>
    <w:rsid w:val="00AC6289"/>
    <w:rsid w:val="00AC6C24"/>
    <w:rsid w:val="00AC723E"/>
    <w:rsid w:val="00AD1EE1"/>
    <w:rsid w:val="00AD238C"/>
    <w:rsid w:val="00AD2568"/>
    <w:rsid w:val="00AD47A5"/>
    <w:rsid w:val="00AD47AD"/>
    <w:rsid w:val="00AD4DB9"/>
    <w:rsid w:val="00AD75BC"/>
    <w:rsid w:val="00AE1743"/>
    <w:rsid w:val="00AE1936"/>
    <w:rsid w:val="00AE19AE"/>
    <w:rsid w:val="00AE1D31"/>
    <w:rsid w:val="00AE213C"/>
    <w:rsid w:val="00AE27D2"/>
    <w:rsid w:val="00AE2C12"/>
    <w:rsid w:val="00AE2CDD"/>
    <w:rsid w:val="00AE3942"/>
    <w:rsid w:val="00AE4664"/>
    <w:rsid w:val="00AE4672"/>
    <w:rsid w:val="00AE6513"/>
    <w:rsid w:val="00AE65C4"/>
    <w:rsid w:val="00AE78D7"/>
    <w:rsid w:val="00AF114B"/>
    <w:rsid w:val="00AF206B"/>
    <w:rsid w:val="00AF5D45"/>
    <w:rsid w:val="00AF6C57"/>
    <w:rsid w:val="00AF6DE2"/>
    <w:rsid w:val="00AF71FA"/>
    <w:rsid w:val="00AF736C"/>
    <w:rsid w:val="00AF769F"/>
    <w:rsid w:val="00AF7E37"/>
    <w:rsid w:val="00B00D01"/>
    <w:rsid w:val="00B019DB"/>
    <w:rsid w:val="00B01C58"/>
    <w:rsid w:val="00B02718"/>
    <w:rsid w:val="00B029A6"/>
    <w:rsid w:val="00B0385D"/>
    <w:rsid w:val="00B03A5D"/>
    <w:rsid w:val="00B045CD"/>
    <w:rsid w:val="00B04B31"/>
    <w:rsid w:val="00B05BBA"/>
    <w:rsid w:val="00B1021F"/>
    <w:rsid w:val="00B11354"/>
    <w:rsid w:val="00B1149E"/>
    <w:rsid w:val="00B1229B"/>
    <w:rsid w:val="00B1246A"/>
    <w:rsid w:val="00B12788"/>
    <w:rsid w:val="00B135CD"/>
    <w:rsid w:val="00B13688"/>
    <w:rsid w:val="00B1390B"/>
    <w:rsid w:val="00B13ED5"/>
    <w:rsid w:val="00B1412F"/>
    <w:rsid w:val="00B14D39"/>
    <w:rsid w:val="00B14EBA"/>
    <w:rsid w:val="00B15540"/>
    <w:rsid w:val="00B15B9E"/>
    <w:rsid w:val="00B15FBC"/>
    <w:rsid w:val="00B17831"/>
    <w:rsid w:val="00B2010E"/>
    <w:rsid w:val="00B21308"/>
    <w:rsid w:val="00B214EF"/>
    <w:rsid w:val="00B217DB"/>
    <w:rsid w:val="00B219FB"/>
    <w:rsid w:val="00B21C65"/>
    <w:rsid w:val="00B21FB2"/>
    <w:rsid w:val="00B221A4"/>
    <w:rsid w:val="00B22528"/>
    <w:rsid w:val="00B23BBC"/>
    <w:rsid w:val="00B23E65"/>
    <w:rsid w:val="00B26C33"/>
    <w:rsid w:val="00B26FC0"/>
    <w:rsid w:val="00B27039"/>
    <w:rsid w:val="00B27D37"/>
    <w:rsid w:val="00B27D7D"/>
    <w:rsid w:val="00B27E01"/>
    <w:rsid w:val="00B322DF"/>
    <w:rsid w:val="00B3323F"/>
    <w:rsid w:val="00B337E5"/>
    <w:rsid w:val="00B33F82"/>
    <w:rsid w:val="00B35351"/>
    <w:rsid w:val="00B364AD"/>
    <w:rsid w:val="00B36F48"/>
    <w:rsid w:val="00B37A65"/>
    <w:rsid w:val="00B401AB"/>
    <w:rsid w:val="00B412EE"/>
    <w:rsid w:val="00B42626"/>
    <w:rsid w:val="00B42725"/>
    <w:rsid w:val="00B428EC"/>
    <w:rsid w:val="00B42C4D"/>
    <w:rsid w:val="00B432F6"/>
    <w:rsid w:val="00B434B9"/>
    <w:rsid w:val="00B44E4D"/>
    <w:rsid w:val="00B45626"/>
    <w:rsid w:val="00B462E9"/>
    <w:rsid w:val="00B46ACA"/>
    <w:rsid w:val="00B473E3"/>
    <w:rsid w:val="00B47FBE"/>
    <w:rsid w:val="00B51335"/>
    <w:rsid w:val="00B513E0"/>
    <w:rsid w:val="00B53ECD"/>
    <w:rsid w:val="00B54390"/>
    <w:rsid w:val="00B54E6F"/>
    <w:rsid w:val="00B55F76"/>
    <w:rsid w:val="00B56257"/>
    <w:rsid w:val="00B600ED"/>
    <w:rsid w:val="00B60BFB"/>
    <w:rsid w:val="00B61C75"/>
    <w:rsid w:val="00B62A34"/>
    <w:rsid w:val="00B62D6B"/>
    <w:rsid w:val="00B63735"/>
    <w:rsid w:val="00B63DED"/>
    <w:rsid w:val="00B64081"/>
    <w:rsid w:val="00B65213"/>
    <w:rsid w:val="00B652AE"/>
    <w:rsid w:val="00B652F9"/>
    <w:rsid w:val="00B65CB7"/>
    <w:rsid w:val="00B66243"/>
    <w:rsid w:val="00B66557"/>
    <w:rsid w:val="00B66D9B"/>
    <w:rsid w:val="00B70434"/>
    <w:rsid w:val="00B70E53"/>
    <w:rsid w:val="00B712FC"/>
    <w:rsid w:val="00B71456"/>
    <w:rsid w:val="00B7165D"/>
    <w:rsid w:val="00B71A56"/>
    <w:rsid w:val="00B72188"/>
    <w:rsid w:val="00B723BA"/>
    <w:rsid w:val="00B72B02"/>
    <w:rsid w:val="00B7380A"/>
    <w:rsid w:val="00B7477C"/>
    <w:rsid w:val="00B752CC"/>
    <w:rsid w:val="00B75B6E"/>
    <w:rsid w:val="00B7659B"/>
    <w:rsid w:val="00B7668D"/>
    <w:rsid w:val="00B769D9"/>
    <w:rsid w:val="00B8094D"/>
    <w:rsid w:val="00B81D94"/>
    <w:rsid w:val="00B843F1"/>
    <w:rsid w:val="00B847E4"/>
    <w:rsid w:val="00B86E57"/>
    <w:rsid w:val="00B8767A"/>
    <w:rsid w:val="00B87DB7"/>
    <w:rsid w:val="00B90863"/>
    <w:rsid w:val="00B910A4"/>
    <w:rsid w:val="00B91A64"/>
    <w:rsid w:val="00B92605"/>
    <w:rsid w:val="00B93BF4"/>
    <w:rsid w:val="00B940B8"/>
    <w:rsid w:val="00B94DA4"/>
    <w:rsid w:val="00B956EC"/>
    <w:rsid w:val="00B95A87"/>
    <w:rsid w:val="00B9669F"/>
    <w:rsid w:val="00B96C16"/>
    <w:rsid w:val="00B971B2"/>
    <w:rsid w:val="00B97D61"/>
    <w:rsid w:val="00BA0295"/>
    <w:rsid w:val="00BA080B"/>
    <w:rsid w:val="00BA33DC"/>
    <w:rsid w:val="00BA341A"/>
    <w:rsid w:val="00BA38FA"/>
    <w:rsid w:val="00BA58C5"/>
    <w:rsid w:val="00BA5B67"/>
    <w:rsid w:val="00BA77EC"/>
    <w:rsid w:val="00BA79B1"/>
    <w:rsid w:val="00BA7F94"/>
    <w:rsid w:val="00BB0052"/>
    <w:rsid w:val="00BB18BD"/>
    <w:rsid w:val="00BB2467"/>
    <w:rsid w:val="00BB7793"/>
    <w:rsid w:val="00BB77B2"/>
    <w:rsid w:val="00BC0CF2"/>
    <w:rsid w:val="00BC1829"/>
    <w:rsid w:val="00BC1B68"/>
    <w:rsid w:val="00BC2257"/>
    <w:rsid w:val="00BC249D"/>
    <w:rsid w:val="00BC26A2"/>
    <w:rsid w:val="00BC2B99"/>
    <w:rsid w:val="00BC43DA"/>
    <w:rsid w:val="00BC46C1"/>
    <w:rsid w:val="00BC542E"/>
    <w:rsid w:val="00BC76F3"/>
    <w:rsid w:val="00BC7E35"/>
    <w:rsid w:val="00BD0541"/>
    <w:rsid w:val="00BD0BDC"/>
    <w:rsid w:val="00BD1FCF"/>
    <w:rsid w:val="00BD201C"/>
    <w:rsid w:val="00BD288F"/>
    <w:rsid w:val="00BD3A4B"/>
    <w:rsid w:val="00BD3B33"/>
    <w:rsid w:val="00BD42A7"/>
    <w:rsid w:val="00BD5853"/>
    <w:rsid w:val="00BD5999"/>
    <w:rsid w:val="00BD7846"/>
    <w:rsid w:val="00BE07F8"/>
    <w:rsid w:val="00BE11A0"/>
    <w:rsid w:val="00BE20A8"/>
    <w:rsid w:val="00BE2469"/>
    <w:rsid w:val="00BE2DE0"/>
    <w:rsid w:val="00BE301D"/>
    <w:rsid w:val="00BE3707"/>
    <w:rsid w:val="00BE37DB"/>
    <w:rsid w:val="00BE40A1"/>
    <w:rsid w:val="00BE422B"/>
    <w:rsid w:val="00BE488C"/>
    <w:rsid w:val="00BE5E47"/>
    <w:rsid w:val="00BE7203"/>
    <w:rsid w:val="00BE7C9C"/>
    <w:rsid w:val="00BF0951"/>
    <w:rsid w:val="00BF0FD3"/>
    <w:rsid w:val="00BF1889"/>
    <w:rsid w:val="00BF2698"/>
    <w:rsid w:val="00BF36A4"/>
    <w:rsid w:val="00BF4065"/>
    <w:rsid w:val="00BF4255"/>
    <w:rsid w:val="00BF4446"/>
    <w:rsid w:val="00BF4CAA"/>
    <w:rsid w:val="00BF598D"/>
    <w:rsid w:val="00BF6129"/>
    <w:rsid w:val="00BF65DB"/>
    <w:rsid w:val="00BF75D8"/>
    <w:rsid w:val="00C00C9F"/>
    <w:rsid w:val="00C00D29"/>
    <w:rsid w:val="00C013FF"/>
    <w:rsid w:val="00C0142D"/>
    <w:rsid w:val="00C015BF"/>
    <w:rsid w:val="00C02C79"/>
    <w:rsid w:val="00C04634"/>
    <w:rsid w:val="00C04D5F"/>
    <w:rsid w:val="00C04E22"/>
    <w:rsid w:val="00C0579E"/>
    <w:rsid w:val="00C05C33"/>
    <w:rsid w:val="00C06246"/>
    <w:rsid w:val="00C06983"/>
    <w:rsid w:val="00C07425"/>
    <w:rsid w:val="00C075C7"/>
    <w:rsid w:val="00C10456"/>
    <w:rsid w:val="00C11E4C"/>
    <w:rsid w:val="00C1288D"/>
    <w:rsid w:val="00C12BCB"/>
    <w:rsid w:val="00C12D80"/>
    <w:rsid w:val="00C14AF0"/>
    <w:rsid w:val="00C1523A"/>
    <w:rsid w:val="00C1566F"/>
    <w:rsid w:val="00C1612A"/>
    <w:rsid w:val="00C16740"/>
    <w:rsid w:val="00C17D65"/>
    <w:rsid w:val="00C20BB9"/>
    <w:rsid w:val="00C21E3E"/>
    <w:rsid w:val="00C2610A"/>
    <w:rsid w:val="00C26AF4"/>
    <w:rsid w:val="00C31C2C"/>
    <w:rsid w:val="00C3222D"/>
    <w:rsid w:val="00C32D1B"/>
    <w:rsid w:val="00C32D26"/>
    <w:rsid w:val="00C34BE8"/>
    <w:rsid w:val="00C34CA7"/>
    <w:rsid w:val="00C3550A"/>
    <w:rsid w:val="00C3568A"/>
    <w:rsid w:val="00C35A6D"/>
    <w:rsid w:val="00C35B83"/>
    <w:rsid w:val="00C37307"/>
    <w:rsid w:val="00C3788A"/>
    <w:rsid w:val="00C37982"/>
    <w:rsid w:val="00C37CC9"/>
    <w:rsid w:val="00C40612"/>
    <w:rsid w:val="00C40B3F"/>
    <w:rsid w:val="00C4130D"/>
    <w:rsid w:val="00C414D9"/>
    <w:rsid w:val="00C435B7"/>
    <w:rsid w:val="00C44EED"/>
    <w:rsid w:val="00C46CED"/>
    <w:rsid w:val="00C47043"/>
    <w:rsid w:val="00C477F9"/>
    <w:rsid w:val="00C47C4F"/>
    <w:rsid w:val="00C47D98"/>
    <w:rsid w:val="00C5005F"/>
    <w:rsid w:val="00C506BE"/>
    <w:rsid w:val="00C509F0"/>
    <w:rsid w:val="00C51C0C"/>
    <w:rsid w:val="00C51DBC"/>
    <w:rsid w:val="00C52B00"/>
    <w:rsid w:val="00C53324"/>
    <w:rsid w:val="00C54D8A"/>
    <w:rsid w:val="00C56304"/>
    <w:rsid w:val="00C572B8"/>
    <w:rsid w:val="00C573C1"/>
    <w:rsid w:val="00C57B60"/>
    <w:rsid w:val="00C61A24"/>
    <w:rsid w:val="00C6333F"/>
    <w:rsid w:val="00C64E6B"/>
    <w:rsid w:val="00C651B3"/>
    <w:rsid w:val="00C651F6"/>
    <w:rsid w:val="00C655F8"/>
    <w:rsid w:val="00C65781"/>
    <w:rsid w:val="00C65C4A"/>
    <w:rsid w:val="00C65CB6"/>
    <w:rsid w:val="00C6602C"/>
    <w:rsid w:val="00C6733D"/>
    <w:rsid w:val="00C70EA0"/>
    <w:rsid w:val="00C71973"/>
    <w:rsid w:val="00C72527"/>
    <w:rsid w:val="00C72877"/>
    <w:rsid w:val="00C728DF"/>
    <w:rsid w:val="00C72A5D"/>
    <w:rsid w:val="00C7496B"/>
    <w:rsid w:val="00C757B5"/>
    <w:rsid w:val="00C81AFC"/>
    <w:rsid w:val="00C81E15"/>
    <w:rsid w:val="00C830AE"/>
    <w:rsid w:val="00C90124"/>
    <w:rsid w:val="00C906F2"/>
    <w:rsid w:val="00C90832"/>
    <w:rsid w:val="00C91426"/>
    <w:rsid w:val="00C916AD"/>
    <w:rsid w:val="00C917BB"/>
    <w:rsid w:val="00C92025"/>
    <w:rsid w:val="00C9372D"/>
    <w:rsid w:val="00C9397A"/>
    <w:rsid w:val="00C949D7"/>
    <w:rsid w:val="00C95B1C"/>
    <w:rsid w:val="00C97873"/>
    <w:rsid w:val="00C97C3F"/>
    <w:rsid w:val="00CA01F6"/>
    <w:rsid w:val="00CA062C"/>
    <w:rsid w:val="00CA1582"/>
    <w:rsid w:val="00CA1A6B"/>
    <w:rsid w:val="00CA1F84"/>
    <w:rsid w:val="00CA2ACE"/>
    <w:rsid w:val="00CA2B51"/>
    <w:rsid w:val="00CA3D4C"/>
    <w:rsid w:val="00CA3DC9"/>
    <w:rsid w:val="00CA4A94"/>
    <w:rsid w:val="00CA5271"/>
    <w:rsid w:val="00CA625F"/>
    <w:rsid w:val="00CA6699"/>
    <w:rsid w:val="00CA6A32"/>
    <w:rsid w:val="00CA784A"/>
    <w:rsid w:val="00CB0395"/>
    <w:rsid w:val="00CB1152"/>
    <w:rsid w:val="00CB1310"/>
    <w:rsid w:val="00CB21EB"/>
    <w:rsid w:val="00CB2E91"/>
    <w:rsid w:val="00CB2EE6"/>
    <w:rsid w:val="00CB3D4B"/>
    <w:rsid w:val="00CB4164"/>
    <w:rsid w:val="00CB4BA0"/>
    <w:rsid w:val="00CB4EB6"/>
    <w:rsid w:val="00CB541C"/>
    <w:rsid w:val="00CB543A"/>
    <w:rsid w:val="00CB54AA"/>
    <w:rsid w:val="00CB5BFC"/>
    <w:rsid w:val="00CB7877"/>
    <w:rsid w:val="00CC0A39"/>
    <w:rsid w:val="00CC20A6"/>
    <w:rsid w:val="00CC2CC9"/>
    <w:rsid w:val="00CC3230"/>
    <w:rsid w:val="00CC3B55"/>
    <w:rsid w:val="00CC43EE"/>
    <w:rsid w:val="00CC4943"/>
    <w:rsid w:val="00CC4CDD"/>
    <w:rsid w:val="00CC5793"/>
    <w:rsid w:val="00CC5E02"/>
    <w:rsid w:val="00CC6AB8"/>
    <w:rsid w:val="00CC7F7B"/>
    <w:rsid w:val="00CD036E"/>
    <w:rsid w:val="00CD0B00"/>
    <w:rsid w:val="00CD1E84"/>
    <w:rsid w:val="00CD229A"/>
    <w:rsid w:val="00CD251F"/>
    <w:rsid w:val="00CD3969"/>
    <w:rsid w:val="00CD4FB6"/>
    <w:rsid w:val="00CE12E9"/>
    <w:rsid w:val="00CE1537"/>
    <w:rsid w:val="00CE218C"/>
    <w:rsid w:val="00CE261F"/>
    <w:rsid w:val="00CE268F"/>
    <w:rsid w:val="00CE315B"/>
    <w:rsid w:val="00CE3DC3"/>
    <w:rsid w:val="00CE3FC2"/>
    <w:rsid w:val="00CE4888"/>
    <w:rsid w:val="00CE4BDB"/>
    <w:rsid w:val="00CE635E"/>
    <w:rsid w:val="00CF0211"/>
    <w:rsid w:val="00CF02BC"/>
    <w:rsid w:val="00CF0AA7"/>
    <w:rsid w:val="00CF1C23"/>
    <w:rsid w:val="00CF21F2"/>
    <w:rsid w:val="00CF35AE"/>
    <w:rsid w:val="00CF460F"/>
    <w:rsid w:val="00CF4F90"/>
    <w:rsid w:val="00CF5A4F"/>
    <w:rsid w:val="00CF65CB"/>
    <w:rsid w:val="00CF6F0C"/>
    <w:rsid w:val="00D000A0"/>
    <w:rsid w:val="00D02F8B"/>
    <w:rsid w:val="00D04360"/>
    <w:rsid w:val="00D04830"/>
    <w:rsid w:val="00D059D5"/>
    <w:rsid w:val="00D05ADF"/>
    <w:rsid w:val="00D061A7"/>
    <w:rsid w:val="00D06609"/>
    <w:rsid w:val="00D066E4"/>
    <w:rsid w:val="00D06F91"/>
    <w:rsid w:val="00D071F9"/>
    <w:rsid w:val="00D07458"/>
    <w:rsid w:val="00D07C9A"/>
    <w:rsid w:val="00D11542"/>
    <w:rsid w:val="00D12C60"/>
    <w:rsid w:val="00D13442"/>
    <w:rsid w:val="00D150A4"/>
    <w:rsid w:val="00D15258"/>
    <w:rsid w:val="00D15BBF"/>
    <w:rsid w:val="00D160C1"/>
    <w:rsid w:val="00D20087"/>
    <w:rsid w:val="00D20720"/>
    <w:rsid w:val="00D21C01"/>
    <w:rsid w:val="00D2342D"/>
    <w:rsid w:val="00D23D90"/>
    <w:rsid w:val="00D24D27"/>
    <w:rsid w:val="00D25687"/>
    <w:rsid w:val="00D266DA"/>
    <w:rsid w:val="00D26840"/>
    <w:rsid w:val="00D26AA1"/>
    <w:rsid w:val="00D30F88"/>
    <w:rsid w:val="00D32FFE"/>
    <w:rsid w:val="00D33F45"/>
    <w:rsid w:val="00D348B1"/>
    <w:rsid w:val="00D34925"/>
    <w:rsid w:val="00D35514"/>
    <w:rsid w:val="00D35AD9"/>
    <w:rsid w:val="00D35E63"/>
    <w:rsid w:val="00D36F0D"/>
    <w:rsid w:val="00D37EA4"/>
    <w:rsid w:val="00D37F13"/>
    <w:rsid w:val="00D4021E"/>
    <w:rsid w:val="00D40962"/>
    <w:rsid w:val="00D40ED3"/>
    <w:rsid w:val="00D411F6"/>
    <w:rsid w:val="00D42CA0"/>
    <w:rsid w:val="00D434AC"/>
    <w:rsid w:val="00D4375C"/>
    <w:rsid w:val="00D43F89"/>
    <w:rsid w:val="00D4504F"/>
    <w:rsid w:val="00D4580F"/>
    <w:rsid w:val="00D47647"/>
    <w:rsid w:val="00D477DD"/>
    <w:rsid w:val="00D47F22"/>
    <w:rsid w:val="00D50748"/>
    <w:rsid w:val="00D50F88"/>
    <w:rsid w:val="00D5131B"/>
    <w:rsid w:val="00D51679"/>
    <w:rsid w:val="00D52593"/>
    <w:rsid w:val="00D53665"/>
    <w:rsid w:val="00D55705"/>
    <w:rsid w:val="00D55A0C"/>
    <w:rsid w:val="00D562CA"/>
    <w:rsid w:val="00D5675A"/>
    <w:rsid w:val="00D57754"/>
    <w:rsid w:val="00D6057E"/>
    <w:rsid w:val="00D607F0"/>
    <w:rsid w:val="00D6110E"/>
    <w:rsid w:val="00D61B16"/>
    <w:rsid w:val="00D61DDA"/>
    <w:rsid w:val="00D62E39"/>
    <w:rsid w:val="00D632E6"/>
    <w:rsid w:val="00D64244"/>
    <w:rsid w:val="00D64AFA"/>
    <w:rsid w:val="00D65752"/>
    <w:rsid w:val="00D65FAE"/>
    <w:rsid w:val="00D66E7E"/>
    <w:rsid w:val="00D6741E"/>
    <w:rsid w:val="00D6745B"/>
    <w:rsid w:val="00D679E2"/>
    <w:rsid w:val="00D70619"/>
    <w:rsid w:val="00D715BA"/>
    <w:rsid w:val="00D737CD"/>
    <w:rsid w:val="00D73F1C"/>
    <w:rsid w:val="00D74AA3"/>
    <w:rsid w:val="00D75D21"/>
    <w:rsid w:val="00D76489"/>
    <w:rsid w:val="00D77808"/>
    <w:rsid w:val="00D809F6"/>
    <w:rsid w:val="00D81007"/>
    <w:rsid w:val="00D82440"/>
    <w:rsid w:val="00D8250D"/>
    <w:rsid w:val="00D8303F"/>
    <w:rsid w:val="00D84769"/>
    <w:rsid w:val="00D8495E"/>
    <w:rsid w:val="00D86A15"/>
    <w:rsid w:val="00D86BC2"/>
    <w:rsid w:val="00D86E4C"/>
    <w:rsid w:val="00D8749F"/>
    <w:rsid w:val="00D900D8"/>
    <w:rsid w:val="00D9076E"/>
    <w:rsid w:val="00D90CB2"/>
    <w:rsid w:val="00D91E9B"/>
    <w:rsid w:val="00D922D5"/>
    <w:rsid w:val="00D9265C"/>
    <w:rsid w:val="00D92ABD"/>
    <w:rsid w:val="00D937D7"/>
    <w:rsid w:val="00D94DA5"/>
    <w:rsid w:val="00D952BB"/>
    <w:rsid w:val="00D95520"/>
    <w:rsid w:val="00D957BC"/>
    <w:rsid w:val="00D96C23"/>
    <w:rsid w:val="00D96D3E"/>
    <w:rsid w:val="00DA01E1"/>
    <w:rsid w:val="00DA0719"/>
    <w:rsid w:val="00DA0B6B"/>
    <w:rsid w:val="00DA1820"/>
    <w:rsid w:val="00DA1C57"/>
    <w:rsid w:val="00DA51F5"/>
    <w:rsid w:val="00DA5474"/>
    <w:rsid w:val="00DA7A6B"/>
    <w:rsid w:val="00DA7E83"/>
    <w:rsid w:val="00DB12DC"/>
    <w:rsid w:val="00DB2FCE"/>
    <w:rsid w:val="00DB4104"/>
    <w:rsid w:val="00DB5889"/>
    <w:rsid w:val="00DB756A"/>
    <w:rsid w:val="00DB7A14"/>
    <w:rsid w:val="00DC0ACF"/>
    <w:rsid w:val="00DC0E77"/>
    <w:rsid w:val="00DC1070"/>
    <w:rsid w:val="00DC2DFA"/>
    <w:rsid w:val="00DC2F2A"/>
    <w:rsid w:val="00DC309C"/>
    <w:rsid w:val="00DC4A29"/>
    <w:rsid w:val="00DC4DA5"/>
    <w:rsid w:val="00DC6347"/>
    <w:rsid w:val="00DC7026"/>
    <w:rsid w:val="00DC71A7"/>
    <w:rsid w:val="00DC7596"/>
    <w:rsid w:val="00DC7A4B"/>
    <w:rsid w:val="00DC7B2C"/>
    <w:rsid w:val="00DD025E"/>
    <w:rsid w:val="00DD043C"/>
    <w:rsid w:val="00DD167E"/>
    <w:rsid w:val="00DD2347"/>
    <w:rsid w:val="00DD2BE8"/>
    <w:rsid w:val="00DD2CB9"/>
    <w:rsid w:val="00DD308F"/>
    <w:rsid w:val="00DD331A"/>
    <w:rsid w:val="00DD34DE"/>
    <w:rsid w:val="00DD3BE1"/>
    <w:rsid w:val="00DD5050"/>
    <w:rsid w:val="00DD601C"/>
    <w:rsid w:val="00DD6878"/>
    <w:rsid w:val="00DD770E"/>
    <w:rsid w:val="00DD7F1A"/>
    <w:rsid w:val="00DE2064"/>
    <w:rsid w:val="00DE2186"/>
    <w:rsid w:val="00DE225A"/>
    <w:rsid w:val="00DE3E1E"/>
    <w:rsid w:val="00DE48CE"/>
    <w:rsid w:val="00DE5AD4"/>
    <w:rsid w:val="00DE5D8E"/>
    <w:rsid w:val="00DE7132"/>
    <w:rsid w:val="00DF01FD"/>
    <w:rsid w:val="00DF0835"/>
    <w:rsid w:val="00DF1271"/>
    <w:rsid w:val="00DF1DF6"/>
    <w:rsid w:val="00DF2197"/>
    <w:rsid w:val="00DF2C49"/>
    <w:rsid w:val="00DF37EF"/>
    <w:rsid w:val="00DF3F26"/>
    <w:rsid w:val="00DF4D22"/>
    <w:rsid w:val="00DF58A8"/>
    <w:rsid w:val="00DF5CE7"/>
    <w:rsid w:val="00DF6204"/>
    <w:rsid w:val="00DF6469"/>
    <w:rsid w:val="00DF661E"/>
    <w:rsid w:val="00DF7000"/>
    <w:rsid w:val="00E000FC"/>
    <w:rsid w:val="00E01B24"/>
    <w:rsid w:val="00E01BBA"/>
    <w:rsid w:val="00E02336"/>
    <w:rsid w:val="00E03007"/>
    <w:rsid w:val="00E0314F"/>
    <w:rsid w:val="00E0324D"/>
    <w:rsid w:val="00E0393C"/>
    <w:rsid w:val="00E03F5F"/>
    <w:rsid w:val="00E0400D"/>
    <w:rsid w:val="00E04565"/>
    <w:rsid w:val="00E04D0E"/>
    <w:rsid w:val="00E06E81"/>
    <w:rsid w:val="00E078E6"/>
    <w:rsid w:val="00E10912"/>
    <w:rsid w:val="00E109B1"/>
    <w:rsid w:val="00E10DDB"/>
    <w:rsid w:val="00E12C14"/>
    <w:rsid w:val="00E133E1"/>
    <w:rsid w:val="00E15481"/>
    <w:rsid w:val="00E15536"/>
    <w:rsid w:val="00E159E0"/>
    <w:rsid w:val="00E1631E"/>
    <w:rsid w:val="00E16AAA"/>
    <w:rsid w:val="00E16B01"/>
    <w:rsid w:val="00E16E05"/>
    <w:rsid w:val="00E17394"/>
    <w:rsid w:val="00E2027D"/>
    <w:rsid w:val="00E216A9"/>
    <w:rsid w:val="00E21F72"/>
    <w:rsid w:val="00E22939"/>
    <w:rsid w:val="00E22A42"/>
    <w:rsid w:val="00E23C83"/>
    <w:rsid w:val="00E24640"/>
    <w:rsid w:val="00E24812"/>
    <w:rsid w:val="00E24E63"/>
    <w:rsid w:val="00E25193"/>
    <w:rsid w:val="00E25F7D"/>
    <w:rsid w:val="00E26CC6"/>
    <w:rsid w:val="00E27623"/>
    <w:rsid w:val="00E30744"/>
    <w:rsid w:val="00E31207"/>
    <w:rsid w:val="00E3157B"/>
    <w:rsid w:val="00E330E3"/>
    <w:rsid w:val="00E3594A"/>
    <w:rsid w:val="00E36D65"/>
    <w:rsid w:val="00E36E0D"/>
    <w:rsid w:val="00E36E2C"/>
    <w:rsid w:val="00E376AD"/>
    <w:rsid w:val="00E37FAC"/>
    <w:rsid w:val="00E42827"/>
    <w:rsid w:val="00E42ED4"/>
    <w:rsid w:val="00E42FEB"/>
    <w:rsid w:val="00E43A34"/>
    <w:rsid w:val="00E44E09"/>
    <w:rsid w:val="00E45056"/>
    <w:rsid w:val="00E453AC"/>
    <w:rsid w:val="00E46304"/>
    <w:rsid w:val="00E46A56"/>
    <w:rsid w:val="00E476EC"/>
    <w:rsid w:val="00E5131A"/>
    <w:rsid w:val="00E51C72"/>
    <w:rsid w:val="00E51E32"/>
    <w:rsid w:val="00E524C8"/>
    <w:rsid w:val="00E53477"/>
    <w:rsid w:val="00E53E21"/>
    <w:rsid w:val="00E54291"/>
    <w:rsid w:val="00E5481D"/>
    <w:rsid w:val="00E569FA"/>
    <w:rsid w:val="00E5766F"/>
    <w:rsid w:val="00E601DF"/>
    <w:rsid w:val="00E6050D"/>
    <w:rsid w:val="00E60FCF"/>
    <w:rsid w:val="00E610A1"/>
    <w:rsid w:val="00E61560"/>
    <w:rsid w:val="00E61A60"/>
    <w:rsid w:val="00E644C7"/>
    <w:rsid w:val="00E64800"/>
    <w:rsid w:val="00E6512A"/>
    <w:rsid w:val="00E6624E"/>
    <w:rsid w:val="00E66913"/>
    <w:rsid w:val="00E66BAC"/>
    <w:rsid w:val="00E67935"/>
    <w:rsid w:val="00E67B5B"/>
    <w:rsid w:val="00E70767"/>
    <w:rsid w:val="00E71528"/>
    <w:rsid w:val="00E71E3F"/>
    <w:rsid w:val="00E72695"/>
    <w:rsid w:val="00E72D26"/>
    <w:rsid w:val="00E73A22"/>
    <w:rsid w:val="00E74288"/>
    <w:rsid w:val="00E745E1"/>
    <w:rsid w:val="00E747CB"/>
    <w:rsid w:val="00E74CC7"/>
    <w:rsid w:val="00E77041"/>
    <w:rsid w:val="00E771AE"/>
    <w:rsid w:val="00E771F7"/>
    <w:rsid w:val="00E77500"/>
    <w:rsid w:val="00E77C49"/>
    <w:rsid w:val="00E77D9E"/>
    <w:rsid w:val="00E77DCF"/>
    <w:rsid w:val="00E77E71"/>
    <w:rsid w:val="00E77ED3"/>
    <w:rsid w:val="00E77EEA"/>
    <w:rsid w:val="00E81816"/>
    <w:rsid w:val="00E82511"/>
    <w:rsid w:val="00E8304F"/>
    <w:rsid w:val="00E83135"/>
    <w:rsid w:val="00E8397A"/>
    <w:rsid w:val="00E83B10"/>
    <w:rsid w:val="00E84C3A"/>
    <w:rsid w:val="00E85727"/>
    <w:rsid w:val="00E85736"/>
    <w:rsid w:val="00E8784A"/>
    <w:rsid w:val="00E87BB4"/>
    <w:rsid w:val="00E87F2D"/>
    <w:rsid w:val="00E9043A"/>
    <w:rsid w:val="00E90487"/>
    <w:rsid w:val="00E90B41"/>
    <w:rsid w:val="00E9179E"/>
    <w:rsid w:val="00E929DB"/>
    <w:rsid w:val="00E93536"/>
    <w:rsid w:val="00E94816"/>
    <w:rsid w:val="00E94CA7"/>
    <w:rsid w:val="00E95AE9"/>
    <w:rsid w:val="00E95CF7"/>
    <w:rsid w:val="00E97862"/>
    <w:rsid w:val="00E97943"/>
    <w:rsid w:val="00EA002D"/>
    <w:rsid w:val="00EA160E"/>
    <w:rsid w:val="00EA3486"/>
    <w:rsid w:val="00EA6996"/>
    <w:rsid w:val="00EA6C90"/>
    <w:rsid w:val="00EA745B"/>
    <w:rsid w:val="00EB1955"/>
    <w:rsid w:val="00EB3124"/>
    <w:rsid w:val="00EB3A46"/>
    <w:rsid w:val="00EB4FEC"/>
    <w:rsid w:val="00EB5FF6"/>
    <w:rsid w:val="00EB62DF"/>
    <w:rsid w:val="00EB682B"/>
    <w:rsid w:val="00EB730A"/>
    <w:rsid w:val="00EC00ED"/>
    <w:rsid w:val="00EC01D2"/>
    <w:rsid w:val="00EC110C"/>
    <w:rsid w:val="00EC1661"/>
    <w:rsid w:val="00EC1A3E"/>
    <w:rsid w:val="00EC1EE4"/>
    <w:rsid w:val="00EC20A4"/>
    <w:rsid w:val="00EC2465"/>
    <w:rsid w:val="00EC28C1"/>
    <w:rsid w:val="00EC3476"/>
    <w:rsid w:val="00EC453A"/>
    <w:rsid w:val="00EC49C2"/>
    <w:rsid w:val="00EC5AD6"/>
    <w:rsid w:val="00EC5B0F"/>
    <w:rsid w:val="00EC625F"/>
    <w:rsid w:val="00EC7EF7"/>
    <w:rsid w:val="00ED0631"/>
    <w:rsid w:val="00ED0AF4"/>
    <w:rsid w:val="00ED1554"/>
    <w:rsid w:val="00ED17FA"/>
    <w:rsid w:val="00ED28A9"/>
    <w:rsid w:val="00ED294C"/>
    <w:rsid w:val="00ED2ED7"/>
    <w:rsid w:val="00ED3E1E"/>
    <w:rsid w:val="00ED6997"/>
    <w:rsid w:val="00ED7BDF"/>
    <w:rsid w:val="00EE0FF7"/>
    <w:rsid w:val="00EE17C8"/>
    <w:rsid w:val="00EE1C85"/>
    <w:rsid w:val="00EE30D0"/>
    <w:rsid w:val="00EE40FD"/>
    <w:rsid w:val="00EE417A"/>
    <w:rsid w:val="00EE42E7"/>
    <w:rsid w:val="00EE48C3"/>
    <w:rsid w:val="00EE52E4"/>
    <w:rsid w:val="00EE54D3"/>
    <w:rsid w:val="00EE62D1"/>
    <w:rsid w:val="00EE6703"/>
    <w:rsid w:val="00EE6A7B"/>
    <w:rsid w:val="00EE79B1"/>
    <w:rsid w:val="00EE7D15"/>
    <w:rsid w:val="00EF1965"/>
    <w:rsid w:val="00EF1BA5"/>
    <w:rsid w:val="00EF1DF0"/>
    <w:rsid w:val="00EF20DA"/>
    <w:rsid w:val="00EF2539"/>
    <w:rsid w:val="00EF4381"/>
    <w:rsid w:val="00EF4739"/>
    <w:rsid w:val="00EF4C15"/>
    <w:rsid w:val="00EF5172"/>
    <w:rsid w:val="00EF531E"/>
    <w:rsid w:val="00EF546D"/>
    <w:rsid w:val="00EF6022"/>
    <w:rsid w:val="00EF793B"/>
    <w:rsid w:val="00EF7C22"/>
    <w:rsid w:val="00F00B92"/>
    <w:rsid w:val="00F02714"/>
    <w:rsid w:val="00F03682"/>
    <w:rsid w:val="00F0368A"/>
    <w:rsid w:val="00F040A4"/>
    <w:rsid w:val="00F040F4"/>
    <w:rsid w:val="00F04D80"/>
    <w:rsid w:val="00F05BCD"/>
    <w:rsid w:val="00F065BF"/>
    <w:rsid w:val="00F06C4C"/>
    <w:rsid w:val="00F079E9"/>
    <w:rsid w:val="00F07B49"/>
    <w:rsid w:val="00F07B66"/>
    <w:rsid w:val="00F07E5C"/>
    <w:rsid w:val="00F10118"/>
    <w:rsid w:val="00F10AC7"/>
    <w:rsid w:val="00F10FCA"/>
    <w:rsid w:val="00F11F1A"/>
    <w:rsid w:val="00F1226C"/>
    <w:rsid w:val="00F123AA"/>
    <w:rsid w:val="00F12956"/>
    <w:rsid w:val="00F1328F"/>
    <w:rsid w:val="00F1387A"/>
    <w:rsid w:val="00F14148"/>
    <w:rsid w:val="00F14639"/>
    <w:rsid w:val="00F147B0"/>
    <w:rsid w:val="00F14E5D"/>
    <w:rsid w:val="00F155F3"/>
    <w:rsid w:val="00F16367"/>
    <w:rsid w:val="00F1656D"/>
    <w:rsid w:val="00F17A36"/>
    <w:rsid w:val="00F207E1"/>
    <w:rsid w:val="00F20C75"/>
    <w:rsid w:val="00F21C24"/>
    <w:rsid w:val="00F22592"/>
    <w:rsid w:val="00F227AD"/>
    <w:rsid w:val="00F22A66"/>
    <w:rsid w:val="00F2335F"/>
    <w:rsid w:val="00F23D53"/>
    <w:rsid w:val="00F256D8"/>
    <w:rsid w:val="00F2628C"/>
    <w:rsid w:val="00F26DD9"/>
    <w:rsid w:val="00F27E65"/>
    <w:rsid w:val="00F301BA"/>
    <w:rsid w:val="00F30B2F"/>
    <w:rsid w:val="00F32199"/>
    <w:rsid w:val="00F3233A"/>
    <w:rsid w:val="00F32CFC"/>
    <w:rsid w:val="00F33240"/>
    <w:rsid w:val="00F35B2C"/>
    <w:rsid w:val="00F35BC0"/>
    <w:rsid w:val="00F362BC"/>
    <w:rsid w:val="00F37196"/>
    <w:rsid w:val="00F37325"/>
    <w:rsid w:val="00F37AD7"/>
    <w:rsid w:val="00F404E4"/>
    <w:rsid w:val="00F41274"/>
    <w:rsid w:val="00F4169F"/>
    <w:rsid w:val="00F43581"/>
    <w:rsid w:val="00F439BB"/>
    <w:rsid w:val="00F44413"/>
    <w:rsid w:val="00F44694"/>
    <w:rsid w:val="00F46683"/>
    <w:rsid w:val="00F4761E"/>
    <w:rsid w:val="00F52867"/>
    <w:rsid w:val="00F528AF"/>
    <w:rsid w:val="00F52B75"/>
    <w:rsid w:val="00F5352D"/>
    <w:rsid w:val="00F53F7A"/>
    <w:rsid w:val="00F541DA"/>
    <w:rsid w:val="00F542AF"/>
    <w:rsid w:val="00F547E9"/>
    <w:rsid w:val="00F562F9"/>
    <w:rsid w:val="00F570D4"/>
    <w:rsid w:val="00F57747"/>
    <w:rsid w:val="00F577FB"/>
    <w:rsid w:val="00F604F5"/>
    <w:rsid w:val="00F60E75"/>
    <w:rsid w:val="00F616B5"/>
    <w:rsid w:val="00F61AC2"/>
    <w:rsid w:val="00F62343"/>
    <w:rsid w:val="00F62835"/>
    <w:rsid w:val="00F62CC8"/>
    <w:rsid w:val="00F63EAA"/>
    <w:rsid w:val="00F64591"/>
    <w:rsid w:val="00F64DF4"/>
    <w:rsid w:val="00F64EFB"/>
    <w:rsid w:val="00F661A7"/>
    <w:rsid w:val="00F6657F"/>
    <w:rsid w:val="00F674A8"/>
    <w:rsid w:val="00F70084"/>
    <w:rsid w:val="00F708F1"/>
    <w:rsid w:val="00F70A07"/>
    <w:rsid w:val="00F70C79"/>
    <w:rsid w:val="00F72317"/>
    <w:rsid w:val="00F72AF4"/>
    <w:rsid w:val="00F73C52"/>
    <w:rsid w:val="00F74C8E"/>
    <w:rsid w:val="00F756AB"/>
    <w:rsid w:val="00F76B78"/>
    <w:rsid w:val="00F801DA"/>
    <w:rsid w:val="00F8112B"/>
    <w:rsid w:val="00F825A8"/>
    <w:rsid w:val="00F830A8"/>
    <w:rsid w:val="00F83940"/>
    <w:rsid w:val="00F8401A"/>
    <w:rsid w:val="00F846DA"/>
    <w:rsid w:val="00F84748"/>
    <w:rsid w:val="00F84ACC"/>
    <w:rsid w:val="00F85AB5"/>
    <w:rsid w:val="00F8622A"/>
    <w:rsid w:val="00F8669E"/>
    <w:rsid w:val="00F86E6B"/>
    <w:rsid w:val="00F87711"/>
    <w:rsid w:val="00F87955"/>
    <w:rsid w:val="00F91C8A"/>
    <w:rsid w:val="00F91F06"/>
    <w:rsid w:val="00F929AF"/>
    <w:rsid w:val="00F9465F"/>
    <w:rsid w:val="00F95E2D"/>
    <w:rsid w:val="00F95F58"/>
    <w:rsid w:val="00F95FC5"/>
    <w:rsid w:val="00F96346"/>
    <w:rsid w:val="00F96615"/>
    <w:rsid w:val="00F966B1"/>
    <w:rsid w:val="00FA0E81"/>
    <w:rsid w:val="00FA105F"/>
    <w:rsid w:val="00FA14F4"/>
    <w:rsid w:val="00FA1760"/>
    <w:rsid w:val="00FA1DCA"/>
    <w:rsid w:val="00FA2733"/>
    <w:rsid w:val="00FA2993"/>
    <w:rsid w:val="00FA3890"/>
    <w:rsid w:val="00FA431A"/>
    <w:rsid w:val="00FA4D44"/>
    <w:rsid w:val="00FA68B8"/>
    <w:rsid w:val="00FA7424"/>
    <w:rsid w:val="00FA7A20"/>
    <w:rsid w:val="00FA7B0E"/>
    <w:rsid w:val="00FB08C3"/>
    <w:rsid w:val="00FB0ACB"/>
    <w:rsid w:val="00FB1680"/>
    <w:rsid w:val="00FB1F91"/>
    <w:rsid w:val="00FB2295"/>
    <w:rsid w:val="00FB2A8E"/>
    <w:rsid w:val="00FB2D7A"/>
    <w:rsid w:val="00FB35E6"/>
    <w:rsid w:val="00FB41E2"/>
    <w:rsid w:val="00FB4C47"/>
    <w:rsid w:val="00FB4F6B"/>
    <w:rsid w:val="00FB5ED6"/>
    <w:rsid w:val="00FB6143"/>
    <w:rsid w:val="00FB634B"/>
    <w:rsid w:val="00FB6532"/>
    <w:rsid w:val="00FB6D43"/>
    <w:rsid w:val="00FB7278"/>
    <w:rsid w:val="00FC04D7"/>
    <w:rsid w:val="00FC058C"/>
    <w:rsid w:val="00FC0C16"/>
    <w:rsid w:val="00FC3F86"/>
    <w:rsid w:val="00FC4B20"/>
    <w:rsid w:val="00FC4DAD"/>
    <w:rsid w:val="00FC5938"/>
    <w:rsid w:val="00FC659C"/>
    <w:rsid w:val="00FC6872"/>
    <w:rsid w:val="00FC726B"/>
    <w:rsid w:val="00FC734A"/>
    <w:rsid w:val="00FC7707"/>
    <w:rsid w:val="00FC7792"/>
    <w:rsid w:val="00FD0E38"/>
    <w:rsid w:val="00FD2125"/>
    <w:rsid w:val="00FD2174"/>
    <w:rsid w:val="00FD2209"/>
    <w:rsid w:val="00FD2E41"/>
    <w:rsid w:val="00FD3258"/>
    <w:rsid w:val="00FD36C2"/>
    <w:rsid w:val="00FD4323"/>
    <w:rsid w:val="00FD4A84"/>
    <w:rsid w:val="00FD5AB3"/>
    <w:rsid w:val="00FD67B9"/>
    <w:rsid w:val="00FD6819"/>
    <w:rsid w:val="00FD7FAC"/>
    <w:rsid w:val="00FE21CA"/>
    <w:rsid w:val="00FE24B7"/>
    <w:rsid w:val="00FE332A"/>
    <w:rsid w:val="00FE4DD7"/>
    <w:rsid w:val="00FE5535"/>
    <w:rsid w:val="00FE5EB3"/>
    <w:rsid w:val="00FF00B0"/>
    <w:rsid w:val="00FF00FA"/>
    <w:rsid w:val="00FF112C"/>
    <w:rsid w:val="00FF31D5"/>
    <w:rsid w:val="00FF394D"/>
    <w:rsid w:val="00FF442A"/>
    <w:rsid w:val="00FF5803"/>
    <w:rsid w:val="00FF67AC"/>
    <w:rsid w:val="00FF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position-horizontal-relative:page;mso-position-vertical-relative:page" o:allowincell="f" fill="f" fillcolor="white" stroke="f">
      <v:fill color="white" on="f"/>
      <v:stroke on="f"/>
      <v:textbox inset="0,0,0,0"/>
    </o:shapedefaults>
    <o:shapelayout v:ext="edit">
      <o:idmap v:ext="edit" data="1"/>
    </o:shapelayout>
  </w:shapeDefaults>
  <w:decimalSymbol w:val="."/>
  <w:listSeparator w:val=","/>
  <w14:docId w14:val="269C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687"/>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2D4812"/>
    <w:pPr>
      <w:autoSpaceDE w:val="0"/>
      <w:autoSpaceDN w:val="0"/>
      <w:adjustRightInd w:val="0"/>
      <w:ind w:left="720"/>
    </w:pPr>
    <w:rPr>
      <w:sz w:val="24"/>
      <w:szCs w:val="24"/>
    </w:rPr>
  </w:style>
  <w:style w:type="paragraph" w:customStyle="1" w:styleId="TableText">
    <w:name w:val="Table Text"/>
    <w:rsid w:val="002D4812"/>
    <w:pPr>
      <w:autoSpaceDE w:val="0"/>
      <w:autoSpaceDN w:val="0"/>
      <w:adjustRightInd w:val="0"/>
    </w:pPr>
  </w:style>
  <w:style w:type="character" w:customStyle="1" w:styleId="SYSHYPERTEXT">
    <w:name w:val="SYS_HYPERTEXT"/>
    <w:rsid w:val="002D4812"/>
    <w:rPr>
      <w:color w:val="0000FF"/>
      <w:u w:val="single"/>
    </w:rPr>
  </w:style>
  <w:style w:type="paragraph" w:styleId="Header">
    <w:name w:val="header"/>
    <w:basedOn w:val="Normal"/>
    <w:rsid w:val="008946B6"/>
    <w:pPr>
      <w:tabs>
        <w:tab w:val="center" w:pos="4320"/>
        <w:tab w:val="right" w:pos="8640"/>
      </w:tabs>
    </w:pPr>
  </w:style>
  <w:style w:type="paragraph" w:styleId="Footer">
    <w:name w:val="footer"/>
    <w:basedOn w:val="Normal"/>
    <w:rsid w:val="008946B6"/>
    <w:pPr>
      <w:tabs>
        <w:tab w:val="center" w:pos="4320"/>
        <w:tab w:val="right" w:pos="8640"/>
      </w:tabs>
    </w:pPr>
  </w:style>
  <w:style w:type="character" w:styleId="Hyperlink">
    <w:name w:val="Hyperlink"/>
    <w:basedOn w:val="DefaultParagraphFont"/>
    <w:rsid w:val="00CC4CDD"/>
    <w:rPr>
      <w:color w:val="0000FF"/>
      <w:u w:val="single"/>
    </w:rPr>
  </w:style>
  <w:style w:type="paragraph" w:styleId="BalloonText">
    <w:name w:val="Balloon Text"/>
    <w:basedOn w:val="Normal"/>
    <w:semiHidden/>
    <w:rsid w:val="00F04D80"/>
    <w:rPr>
      <w:rFonts w:ascii="Tahoma" w:hAnsi="Tahoma" w:cs="Tahoma"/>
      <w:sz w:val="16"/>
      <w:szCs w:val="16"/>
    </w:rPr>
  </w:style>
  <w:style w:type="table" w:styleId="TableGrid">
    <w:name w:val="Table Grid"/>
    <w:basedOn w:val="TableNormal"/>
    <w:uiPriority w:val="59"/>
    <w:rsid w:val="0004451D"/>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04451D"/>
    <w:pPr>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rsid w:val="002B6FF3"/>
  </w:style>
  <w:style w:type="character" w:customStyle="1" w:styleId="FootnoteTextChar">
    <w:name w:val="Footnote Text Char"/>
    <w:basedOn w:val="DefaultParagraphFont"/>
    <w:link w:val="FootnoteText"/>
    <w:uiPriority w:val="99"/>
    <w:rsid w:val="002B6FF3"/>
  </w:style>
  <w:style w:type="character" w:styleId="FootnoteReference">
    <w:name w:val="footnote reference"/>
    <w:basedOn w:val="DefaultParagraphFont"/>
    <w:uiPriority w:val="99"/>
    <w:rsid w:val="002B6FF3"/>
    <w:rPr>
      <w:vertAlign w:val="superscript"/>
    </w:rPr>
  </w:style>
  <w:style w:type="paragraph" w:styleId="EndnoteText">
    <w:name w:val="endnote text"/>
    <w:basedOn w:val="Normal"/>
    <w:link w:val="EndnoteTextChar"/>
    <w:rsid w:val="002B6FF3"/>
  </w:style>
  <w:style w:type="character" w:customStyle="1" w:styleId="EndnoteTextChar">
    <w:name w:val="Endnote Text Char"/>
    <w:basedOn w:val="DefaultParagraphFont"/>
    <w:link w:val="EndnoteText"/>
    <w:rsid w:val="002B6FF3"/>
  </w:style>
  <w:style w:type="character" w:styleId="EndnoteReference">
    <w:name w:val="endnote reference"/>
    <w:basedOn w:val="DefaultParagraphFont"/>
    <w:rsid w:val="002B6FF3"/>
    <w:rPr>
      <w:vertAlign w:val="superscript"/>
    </w:rPr>
  </w:style>
  <w:style w:type="paragraph" w:customStyle="1" w:styleId="Default">
    <w:name w:val="Default"/>
    <w:rsid w:val="00181C0D"/>
    <w:pPr>
      <w:autoSpaceDE w:val="0"/>
      <w:autoSpaceDN w:val="0"/>
      <w:adjustRightInd w:val="0"/>
    </w:pPr>
    <w:rPr>
      <w:color w:val="000000"/>
      <w:sz w:val="24"/>
      <w:szCs w:val="24"/>
    </w:rPr>
  </w:style>
  <w:style w:type="paragraph" w:styleId="ListParagraph">
    <w:name w:val="List Paragraph"/>
    <w:basedOn w:val="Normal"/>
    <w:uiPriority w:val="34"/>
    <w:qFormat/>
    <w:rsid w:val="008541A7"/>
    <w:pPr>
      <w:ind w:left="720"/>
      <w:contextualSpacing/>
    </w:pPr>
  </w:style>
  <w:style w:type="character" w:customStyle="1" w:styleId="text">
    <w:name w:val="text"/>
    <w:basedOn w:val="DefaultParagraphFont"/>
    <w:rsid w:val="00440F9C"/>
  </w:style>
  <w:style w:type="character" w:styleId="CommentReference">
    <w:name w:val="annotation reference"/>
    <w:basedOn w:val="DefaultParagraphFont"/>
    <w:rsid w:val="00117DA1"/>
    <w:rPr>
      <w:sz w:val="16"/>
      <w:szCs w:val="16"/>
    </w:rPr>
  </w:style>
  <w:style w:type="paragraph" w:styleId="CommentText">
    <w:name w:val="annotation text"/>
    <w:basedOn w:val="Normal"/>
    <w:link w:val="CommentTextChar"/>
    <w:rsid w:val="00117DA1"/>
  </w:style>
  <w:style w:type="character" w:customStyle="1" w:styleId="CommentTextChar">
    <w:name w:val="Comment Text Char"/>
    <w:basedOn w:val="DefaultParagraphFont"/>
    <w:link w:val="CommentText"/>
    <w:rsid w:val="00117DA1"/>
  </w:style>
  <w:style w:type="paragraph" w:styleId="CommentSubject">
    <w:name w:val="annotation subject"/>
    <w:basedOn w:val="CommentText"/>
    <w:next w:val="CommentText"/>
    <w:link w:val="CommentSubjectChar"/>
    <w:rsid w:val="00117DA1"/>
    <w:rPr>
      <w:b/>
      <w:bCs/>
    </w:rPr>
  </w:style>
  <w:style w:type="character" w:customStyle="1" w:styleId="CommentSubjectChar">
    <w:name w:val="Comment Subject Char"/>
    <w:basedOn w:val="CommentTextChar"/>
    <w:link w:val="CommentSubject"/>
    <w:rsid w:val="00117DA1"/>
    <w:rPr>
      <w:b/>
      <w:bCs/>
    </w:rPr>
  </w:style>
  <w:style w:type="paragraph" w:styleId="Revision">
    <w:name w:val="Revision"/>
    <w:hidden/>
    <w:uiPriority w:val="99"/>
    <w:semiHidden/>
    <w:rsid w:val="00117DA1"/>
  </w:style>
  <w:style w:type="character" w:styleId="FollowedHyperlink">
    <w:name w:val="FollowedHyperlink"/>
    <w:basedOn w:val="DefaultParagraphFont"/>
    <w:rsid w:val="00117DA1"/>
    <w:rPr>
      <w:color w:val="800080" w:themeColor="followedHyperlink"/>
      <w:u w:val="single"/>
    </w:rPr>
  </w:style>
  <w:style w:type="paragraph" w:customStyle="1" w:styleId="SL-FlLftSgl">
    <w:name w:val="SL-Fl Lft Sgl"/>
    <w:basedOn w:val="Normal"/>
    <w:rsid w:val="00117DA1"/>
    <w:pPr>
      <w:autoSpaceDE/>
      <w:autoSpaceDN/>
      <w:adjustRightInd/>
      <w:spacing w:line="240" w:lineRule="atLeast"/>
    </w:pPr>
    <w:rPr>
      <w:rFonts w:ascii="Garamond" w:hAnsi="Garamond"/>
      <w:sz w:val="24"/>
    </w:rPr>
  </w:style>
  <w:style w:type="paragraph" w:customStyle="1" w:styleId="ColorfulList-Accent11">
    <w:name w:val="Colorful List - Accent 11"/>
    <w:basedOn w:val="Normal"/>
    <w:uiPriority w:val="34"/>
    <w:qFormat/>
    <w:rsid w:val="00394EE5"/>
    <w:pPr>
      <w:ind w:left="720"/>
    </w:pPr>
  </w:style>
  <w:style w:type="paragraph" w:styleId="NormalWeb">
    <w:name w:val="Normal (Web)"/>
    <w:basedOn w:val="Normal"/>
    <w:uiPriority w:val="99"/>
    <w:semiHidden/>
    <w:unhideWhenUsed/>
    <w:rsid w:val="00440161"/>
    <w:pPr>
      <w:autoSpaceDE/>
      <w:autoSpaceDN/>
      <w:adjustRightInd/>
      <w:spacing w:after="225" w:line="315" w:lineRule="atLeast"/>
    </w:pPr>
    <w:rPr>
      <w:sz w:val="24"/>
      <w:szCs w:val="24"/>
    </w:rPr>
  </w:style>
  <w:style w:type="paragraph" w:styleId="NoSpacing">
    <w:name w:val="No Spacing"/>
    <w:uiPriority w:val="1"/>
    <w:qFormat/>
    <w:rsid w:val="003E0C87"/>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687"/>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2D4812"/>
    <w:pPr>
      <w:autoSpaceDE w:val="0"/>
      <w:autoSpaceDN w:val="0"/>
      <w:adjustRightInd w:val="0"/>
      <w:ind w:left="720"/>
    </w:pPr>
    <w:rPr>
      <w:sz w:val="24"/>
      <w:szCs w:val="24"/>
    </w:rPr>
  </w:style>
  <w:style w:type="paragraph" w:customStyle="1" w:styleId="TableText">
    <w:name w:val="Table Text"/>
    <w:rsid w:val="002D4812"/>
    <w:pPr>
      <w:autoSpaceDE w:val="0"/>
      <w:autoSpaceDN w:val="0"/>
      <w:adjustRightInd w:val="0"/>
    </w:pPr>
  </w:style>
  <w:style w:type="character" w:customStyle="1" w:styleId="SYSHYPERTEXT">
    <w:name w:val="SYS_HYPERTEXT"/>
    <w:rsid w:val="002D4812"/>
    <w:rPr>
      <w:color w:val="0000FF"/>
      <w:u w:val="single"/>
    </w:rPr>
  </w:style>
  <w:style w:type="paragraph" w:styleId="Header">
    <w:name w:val="header"/>
    <w:basedOn w:val="Normal"/>
    <w:rsid w:val="008946B6"/>
    <w:pPr>
      <w:tabs>
        <w:tab w:val="center" w:pos="4320"/>
        <w:tab w:val="right" w:pos="8640"/>
      </w:tabs>
    </w:pPr>
  </w:style>
  <w:style w:type="paragraph" w:styleId="Footer">
    <w:name w:val="footer"/>
    <w:basedOn w:val="Normal"/>
    <w:rsid w:val="008946B6"/>
    <w:pPr>
      <w:tabs>
        <w:tab w:val="center" w:pos="4320"/>
        <w:tab w:val="right" w:pos="8640"/>
      </w:tabs>
    </w:pPr>
  </w:style>
  <w:style w:type="character" w:styleId="Hyperlink">
    <w:name w:val="Hyperlink"/>
    <w:basedOn w:val="DefaultParagraphFont"/>
    <w:rsid w:val="00CC4CDD"/>
    <w:rPr>
      <w:color w:val="0000FF"/>
      <w:u w:val="single"/>
    </w:rPr>
  </w:style>
  <w:style w:type="paragraph" w:styleId="BalloonText">
    <w:name w:val="Balloon Text"/>
    <w:basedOn w:val="Normal"/>
    <w:semiHidden/>
    <w:rsid w:val="00F04D80"/>
    <w:rPr>
      <w:rFonts w:ascii="Tahoma" w:hAnsi="Tahoma" w:cs="Tahoma"/>
      <w:sz w:val="16"/>
      <w:szCs w:val="16"/>
    </w:rPr>
  </w:style>
  <w:style w:type="table" w:styleId="TableGrid">
    <w:name w:val="Table Grid"/>
    <w:basedOn w:val="TableNormal"/>
    <w:uiPriority w:val="59"/>
    <w:rsid w:val="0004451D"/>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04451D"/>
    <w:pPr>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rsid w:val="002B6FF3"/>
  </w:style>
  <w:style w:type="character" w:customStyle="1" w:styleId="FootnoteTextChar">
    <w:name w:val="Footnote Text Char"/>
    <w:basedOn w:val="DefaultParagraphFont"/>
    <w:link w:val="FootnoteText"/>
    <w:uiPriority w:val="99"/>
    <w:rsid w:val="002B6FF3"/>
  </w:style>
  <w:style w:type="character" w:styleId="FootnoteReference">
    <w:name w:val="footnote reference"/>
    <w:basedOn w:val="DefaultParagraphFont"/>
    <w:uiPriority w:val="99"/>
    <w:rsid w:val="002B6FF3"/>
    <w:rPr>
      <w:vertAlign w:val="superscript"/>
    </w:rPr>
  </w:style>
  <w:style w:type="paragraph" w:styleId="EndnoteText">
    <w:name w:val="endnote text"/>
    <w:basedOn w:val="Normal"/>
    <w:link w:val="EndnoteTextChar"/>
    <w:rsid w:val="002B6FF3"/>
  </w:style>
  <w:style w:type="character" w:customStyle="1" w:styleId="EndnoteTextChar">
    <w:name w:val="Endnote Text Char"/>
    <w:basedOn w:val="DefaultParagraphFont"/>
    <w:link w:val="EndnoteText"/>
    <w:rsid w:val="002B6FF3"/>
  </w:style>
  <w:style w:type="character" w:styleId="EndnoteReference">
    <w:name w:val="endnote reference"/>
    <w:basedOn w:val="DefaultParagraphFont"/>
    <w:rsid w:val="002B6FF3"/>
    <w:rPr>
      <w:vertAlign w:val="superscript"/>
    </w:rPr>
  </w:style>
  <w:style w:type="paragraph" w:customStyle="1" w:styleId="Default">
    <w:name w:val="Default"/>
    <w:rsid w:val="00181C0D"/>
    <w:pPr>
      <w:autoSpaceDE w:val="0"/>
      <w:autoSpaceDN w:val="0"/>
      <w:adjustRightInd w:val="0"/>
    </w:pPr>
    <w:rPr>
      <w:color w:val="000000"/>
      <w:sz w:val="24"/>
      <w:szCs w:val="24"/>
    </w:rPr>
  </w:style>
  <w:style w:type="paragraph" w:styleId="ListParagraph">
    <w:name w:val="List Paragraph"/>
    <w:basedOn w:val="Normal"/>
    <w:uiPriority w:val="34"/>
    <w:qFormat/>
    <w:rsid w:val="008541A7"/>
    <w:pPr>
      <w:ind w:left="720"/>
      <w:contextualSpacing/>
    </w:pPr>
  </w:style>
  <w:style w:type="character" w:customStyle="1" w:styleId="text">
    <w:name w:val="text"/>
    <w:basedOn w:val="DefaultParagraphFont"/>
    <w:rsid w:val="00440F9C"/>
  </w:style>
  <w:style w:type="character" w:styleId="CommentReference">
    <w:name w:val="annotation reference"/>
    <w:basedOn w:val="DefaultParagraphFont"/>
    <w:rsid w:val="00117DA1"/>
    <w:rPr>
      <w:sz w:val="16"/>
      <w:szCs w:val="16"/>
    </w:rPr>
  </w:style>
  <w:style w:type="paragraph" w:styleId="CommentText">
    <w:name w:val="annotation text"/>
    <w:basedOn w:val="Normal"/>
    <w:link w:val="CommentTextChar"/>
    <w:rsid w:val="00117DA1"/>
  </w:style>
  <w:style w:type="character" w:customStyle="1" w:styleId="CommentTextChar">
    <w:name w:val="Comment Text Char"/>
    <w:basedOn w:val="DefaultParagraphFont"/>
    <w:link w:val="CommentText"/>
    <w:rsid w:val="00117DA1"/>
  </w:style>
  <w:style w:type="paragraph" w:styleId="CommentSubject">
    <w:name w:val="annotation subject"/>
    <w:basedOn w:val="CommentText"/>
    <w:next w:val="CommentText"/>
    <w:link w:val="CommentSubjectChar"/>
    <w:rsid w:val="00117DA1"/>
    <w:rPr>
      <w:b/>
      <w:bCs/>
    </w:rPr>
  </w:style>
  <w:style w:type="character" w:customStyle="1" w:styleId="CommentSubjectChar">
    <w:name w:val="Comment Subject Char"/>
    <w:basedOn w:val="CommentTextChar"/>
    <w:link w:val="CommentSubject"/>
    <w:rsid w:val="00117DA1"/>
    <w:rPr>
      <w:b/>
      <w:bCs/>
    </w:rPr>
  </w:style>
  <w:style w:type="paragraph" w:styleId="Revision">
    <w:name w:val="Revision"/>
    <w:hidden/>
    <w:uiPriority w:val="99"/>
    <w:semiHidden/>
    <w:rsid w:val="00117DA1"/>
  </w:style>
  <w:style w:type="character" w:styleId="FollowedHyperlink">
    <w:name w:val="FollowedHyperlink"/>
    <w:basedOn w:val="DefaultParagraphFont"/>
    <w:rsid w:val="00117DA1"/>
    <w:rPr>
      <w:color w:val="800080" w:themeColor="followedHyperlink"/>
      <w:u w:val="single"/>
    </w:rPr>
  </w:style>
  <w:style w:type="paragraph" w:customStyle="1" w:styleId="SL-FlLftSgl">
    <w:name w:val="SL-Fl Lft Sgl"/>
    <w:basedOn w:val="Normal"/>
    <w:rsid w:val="00117DA1"/>
    <w:pPr>
      <w:autoSpaceDE/>
      <w:autoSpaceDN/>
      <w:adjustRightInd/>
      <w:spacing w:line="240" w:lineRule="atLeast"/>
    </w:pPr>
    <w:rPr>
      <w:rFonts w:ascii="Garamond" w:hAnsi="Garamond"/>
      <w:sz w:val="24"/>
    </w:rPr>
  </w:style>
  <w:style w:type="paragraph" w:customStyle="1" w:styleId="ColorfulList-Accent11">
    <w:name w:val="Colorful List - Accent 11"/>
    <w:basedOn w:val="Normal"/>
    <w:uiPriority w:val="34"/>
    <w:qFormat/>
    <w:rsid w:val="00394EE5"/>
    <w:pPr>
      <w:ind w:left="720"/>
    </w:pPr>
  </w:style>
  <w:style w:type="paragraph" w:styleId="NormalWeb">
    <w:name w:val="Normal (Web)"/>
    <w:basedOn w:val="Normal"/>
    <w:uiPriority w:val="99"/>
    <w:semiHidden/>
    <w:unhideWhenUsed/>
    <w:rsid w:val="00440161"/>
    <w:pPr>
      <w:autoSpaceDE/>
      <w:autoSpaceDN/>
      <w:adjustRightInd/>
      <w:spacing w:after="225" w:line="315" w:lineRule="atLeast"/>
    </w:pPr>
    <w:rPr>
      <w:sz w:val="24"/>
      <w:szCs w:val="24"/>
    </w:rPr>
  </w:style>
  <w:style w:type="paragraph" w:styleId="NoSpacing">
    <w:name w:val="No Spacing"/>
    <w:uiPriority w:val="1"/>
    <w:qFormat/>
    <w:rsid w:val="003E0C8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41174">
      <w:bodyDiv w:val="1"/>
      <w:marLeft w:val="0"/>
      <w:marRight w:val="0"/>
      <w:marTop w:val="0"/>
      <w:marBottom w:val="0"/>
      <w:divBdr>
        <w:top w:val="none" w:sz="0" w:space="0" w:color="auto"/>
        <w:left w:val="none" w:sz="0" w:space="0" w:color="auto"/>
        <w:bottom w:val="none" w:sz="0" w:space="0" w:color="auto"/>
        <w:right w:val="none" w:sz="0" w:space="0" w:color="auto"/>
      </w:divBdr>
    </w:div>
    <w:div w:id="160700122">
      <w:bodyDiv w:val="1"/>
      <w:marLeft w:val="0"/>
      <w:marRight w:val="0"/>
      <w:marTop w:val="0"/>
      <w:marBottom w:val="0"/>
      <w:divBdr>
        <w:top w:val="none" w:sz="0" w:space="0" w:color="auto"/>
        <w:left w:val="none" w:sz="0" w:space="0" w:color="auto"/>
        <w:bottom w:val="none" w:sz="0" w:space="0" w:color="auto"/>
        <w:right w:val="none" w:sz="0" w:space="0" w:color="auto"/>
      </w:divBdr>
    </w:div>
    <w:div w:id="301544474">
      <w:bodyDiv w:val="1"/>
      <w:marLeft w:val="0"/>
      <w:marRight w:val="0"/>
      <w:marTop w:val="0"/>
      <w:marBottom w:val="0"/>
      <w:divBdr>
        <w:top w:val="none" w:sz="0" w:space="0" w:color="auto"/>
        <w:left w:val="none" w:sz="0" w:space="0" w:color="auto"/>
        <w:bottom w:val="none" w:sz="0" w:space="0" w:color="auto"/>
        <w:right w:val="none" w:sz="0" w:space="0" w:color="auto"/>
      </w:divBdr>
    </w:div>
    <w:div w:id="302658585">
      <w:bodyDiv w:val="1"/>
      <w:marLeft w:val="0"/>
      <w:marRight w:val="0"/>
      <w:marTop w:val="0"/>
      <w:marBottom w:val="0"/>
      <w:divBdr>
        <w:top w:val="none" w:sz="0" w:space="0" w:color="auto"/>
        <w:left w:val="none" w:sz="0" w:space="0" w:color="auto"/>
        <w:bottom w:val="none" w:sz="0" w:space="0" w:color="auto"/>
        <w:right w:val="none" w:sz="0" w:space="0" w:color="auto"/>
      </w:divBdr>
    </w:div>
    <w:div w:id="353312469">
      <w:bodyDiv w:val="1"/>
      <w:marLeft w:val="0"/>
      <w:marRight w:val="0"/>
      <w:marTop w:val="0"/>
      <w:marBottom w:val="0"/>
      <w:divBdr>
        <w:top w:val="none" w:sz="0" w:space="0" w:color="auto"/>
        <w:left w:val="none" w:sz="0" w:space="0" w:color="auto"/>
        <w:bottom w:val="none" w:sz="0" w:space="0" w:color="auto"/>
        <w:right w:val="none" w:sz="0" w:space="0" w:color="auto"/>
      </w:divBdr>
    </w:div>
    <w:div w:id="414085128">
      <w:bodyDiv w:val="1"/>
      <w:marLeft w:val="0"/>
      <w:marRight w:val="0"/>
      <w:marTop w:val="0"/>
      <w:marBottom w:val="0"/>
      <w:divBdr>
        <w:top w:val="none" w:sz="0" w:space="0" w:color="auto"/>
        <w:left w:val="none" w:sz="0" w:space="0" w:color="auto"/>
        <w:bottom w:val="none" w:sz="0" w:space="0" w:color="auto"/>
        <w:right w:val="none" w:sz="0" w:space="0" w:color="auto"/>
      </w:divBdr>
    </w:div>
    <w:div w:id="511141137">
      <w:bodyDiv w:val="1"/>
      <w:marLeft w:val="0"/>
      <w:marRight w:val="0"/>
      <w:marTop w:val="0"/>
      <w:marBottom w:val="0"/>
      <w:divBdr>
        <w:top w:val="none" w:sz="0" w:space="0" w:color="auto"/>
        <w:left w:val="none" w:sz="0" w:space="0" w:color="auto"/>
        <w:bottom w:val="none" w:sz="0" w:space="0" w:color="auto"/>
        <w:right w:val="none" w:sz="0" w:space="0" w:color="auto"/>
      </w:divBdr>
    </w:div>
    <w:div w:id="682824888">
      <w:bodyDiv w:val="1"/>
      <w:marLeft w:val="0"/>
      <w:marRight w:val="0"/>
      <w:marTop w:val="0"/>
      <w:marBottom w:val="0"/>
      <w:divBdr>
        <w:top w:val="none" w:sz="0" w:space="0" w:color="auto"/>
        <w:left w:val="none" w:sz="0" w:space="0" w:color="auto"/>
        <w:bottom w:val="none" w:sz="0" w:space="0" w:color="auto"/>
        <w:right w:val="none" w:sz="0" w:space="0" w:color="auto"/>
      </w:divBdr>
    </w:div>
    <w:div w:id="771897644">
      <w:bodyDiv w:val="1"/>
      <w:marLeft w:val="0"/>
      <w:marRight w:val="0"/>
      <w:marTop w:val="0"/>
      <w:marBottom w:val="0"/>
      <w:divBdr>
        <w:top w:val="none" w:sz="0" w:space="0" w:color="auto"/>
        <w:left w:val="none" w:sz="0" w:space="0" w:color="auto"/>
        <w:bottom w:val="none" w:sz="0" w:space="0" w:color="auto"/>
        <w:right w:val="none" w:sz="0" w:space="0" w:color="auto"/>
      </w:divBdr>
    </w:div>
    <w:div w:id="783505019">
      <w:bodyDiv w:val="1"/>
      <w:marLeft w:val="0"/>
      <w:marRight w:val="0"/>
      <w:marTop w:val="0"/>
      <w:marBottom w:val="0"/>
      <w:divBdr>
        <w:top w:val="none" w:sz="0" w:space="0" w:color="auto"/>
        <w:left w:val="none" w:sz="0" w:space="0" w:color="auto"/>
        <w:bottom w:val="none" w:sz="0" w:space="0" w:color="auto"/>
        <w:right w:val="none" w:sz="0" w:space="0" w:color="auto"/>
      </w:divBdr>
    </w:div>
    <w:div w:id="909195367">
      <w:bodyDiv w:val="1"/>
      <w:marLeft w:val="0"/>
      <w:marRight w:val="0"/>
      <w:marTop w:val="0"/>
      <w:marBottom w:val="0"/>
      <w:divBdr>
        <w:top w:val="none" w:sz="0" w:space="0" w:color="auto"/>
        <w:left w:val="none" w:sz="0" w:space="0" w:color="auto"/>
        <w:bottom w:val="none" w:sz="0" w:space="0" w:color="auto"/>
        <w:right w:val="none" w:sz="0" w:space="0" w:color="auto"/>
      </w:divBdr>
    </w:div>
    <w:div w:id="943077070">
      <w:bodyDiv w:val="1"/>
      <w:marLeft w:val="0"/>
      <w:marRight w:val="0"/>
      <w:marTop w:val="0"/>
      <w:marBottom w:val="0"/>
      <w:divBdr>
        <w:top w:val="none" w:sz="0" w:space="0" w:color="auto"/>
        <w:left w:val="none" w:sz="0" w:space="0" w:color="auto"/>
        <w:bottom w:val="none" w:sz="0" w:space="0" w:color="auto"/>
        <w:right w:val="none" w:sz="0" w:space="0" w:color="auto"/>
      </w:divBdr>
    </w:div>
    <w:div w:id="959186181">
      <w:bodyDiv w:val="1"/>
      <w:marLeft w:val="0"/>
      <w:marRight w:val="0"/>
      <w:marTop w:val="0"/>
      <w:marBottom w:val="0"/>
      <w:divBdr>
        <w:top w:val="none" w:sz="0" w:space="0" w:color="auto"/>
        <w:left w:val="none" w:sz="0" w:space="0" w:color="auto"/>
        <w:bottom w:val="none" w:sz="0" w:space="0" w:color="auto"/>
        <w:right w:val="none" w:sz="0" w:space="0" w:color="auto"/>
      </w:divBdr>
    </w:div>
    <w:div w:id="1117984821">
      <w:bodyDiv w:val="1"/>
      <w:marLeft w:val="0"/>
      <w:marRight w:val="0"/>
      <w:marTop w:val="0"/>
      <w:marBottom w:val="0"/>
      <w:divBdr>
        <w:top w:val="none" w:sz="0" w:space="0" w:color="auto"/>
        <w:left w:val="none" w:sz="0" w:space="0" w:color="auto"/>
        <w:bottom w:val="none" w:sz="0" w:space="0" w:color="auto"/>
        <w:right w:val="none" w:sz="0" w:space="0" w:color="auto"/>
      </w:divBdr>
    </w:div>
    <w:div w:id="1125729821">
      <w:bodyDiv w:val="1"/>
      <w:marLeft w:val="0"/>
      <w:marRight w:val="0"/>
      <w:marTop w:val="0"/>
      <w:marBottom w:val="0"/>
      <w:divBdr>
        <w:top w:val="none" w:sz="0" w:space="0" w:color="auto"/>
        <w:left w:val="none" w:sz="0" w:space="0" w:color="auto"/>
        <w:bottom w:val="none" w:sz="0" w:space="0" w:color="auto"/>
        <w:right w:val="none" w:sz="0" w:space="0" w:color="auto"/>
      </w:divBdr>
    </w:div>
    <w:div w:id="1375621305">
      <w:bodyDiv w:val="1"/>
      <w:marLeft w:val="0"/>
      <w:marRight w:val="0"/>
      <w:marTop w:val="0"/>
      <w:marBottom w:val="0"/>
      <w:divBdr>
        <w:top w:val="none" w:sz="0" w:space="0" w:color="auto"/>
        <w:left w:val="none" w:sz="0" w:space="0" w:color="auto"/>
        <w:bottom w:val="none" w:sz="0" w:space="0" w:color="auto"/>
        <w:right w:val="none" w:sz="0" w:space="0" w:color="auto"/>
      </w:divBdr>
    </w:div>
    <w:div w:id="1424179562">
      <w:bodyDiv w:val="1"/>
      <w:marLeft w:val="0"/>
      <w:marRight w:val="0"/>
      <w:marTop w:val="0"/>
      <w:marBottom w:val="0"/>
      <w:divBdr>
        <w:top w:val="none" w:sz="0" w:space="0" w:color="auto"/>
        <w:left w:val="none" w:sz="0" w:space="0" w:color="auto"/>
        <w:bottom w:val="none" w:sz="0" w:space="0" w:color="auto"/>
        <w:right w:val="none" w:sz="0" w:space="0" w:color="auto"/>
      </w:divBdr>
    </w:div>
    <w:div w:id="1442264776">
      <w:bodyDiv w:val="1"/>
      <w:marLeft w:val="0"/>
      <w:marRight w:val="0"/>
      <w:marTop w:val="0"/>
      <w:marBottom w:val="0"/>
      <w:divBdr>
        <w:top w:val="none" w:sz="0" w:space="0" w:color="auto"/>
        <w:left w:val="none" w:sz="0" w:space="0" w:color="auto"/>
        <w:bottom w:val="none" w:sz="0" w:space="0" w:color="auto"/>
        <w:right w:val="none" w:sz="0" w:space="0" w:color="auto"/>
      </w:divBdr>
    </w:div>
    <w:div w:id="1461415695">
      <w:bodyDiv w:val="1"/>
      <w:marLeft w:val="0"/>
      <w:marRight w:val="0"/>
      <w:marTop w:val="0"/>
      <w:marBottom w:val="0"/>
      <w:divBdr>
        <w:top w:val="none" w:sz="0" w:space="0" w:color="auto"/>
        <w:left w:val="none" w:sz="0" w:space="0" w:color="auto"/>
        <w:bottom w:val="none" w:sz="0" w:space="0" w:color="auto"/>
        <w:right w:val="none" w:sz="0" w:space="0" w:color="auto"/>
      </w:divBdr>
    </w:div>
    <w:div w:id="1575890587">
      <w:bodyDiv w:val="1"/>
      <w:marLeft w:val="0"/>
      <w:marRight w:val="0"/>
      <w:marTop w:val="0"/>
      <w:marBottom w:val="0"/>
      <w:divBdr>
        <w:top w:val="none" w:sz="0" w:space="0" w:color="auto"/>
        <w:left w:val="none" w:sz="0" w:space="0" w:color="auto"/>
        <w:bottom w:val="none" w:sz="0" w:space="0" w:color="auto"/>
        <w:right w:val="none" w:sz="0" w:space="0" w:color="auto"/>
      </w:divBdr>
    </w:div>
    <w:div w:id="1596475724">
      <w:bodyDiv w:val="1"/>
      <w:marLeft w:val="0"/>
      <w:marRight w:val="0"/>
      <w:marTop w:val="0"/>
      <w:marBottom w:val="0"/>
      <w:divBdr>
        <w:top w:val="none" w:sz="0" w:space="0" w:color="auto"/>
        <w:left w:val="none" w:sz="0" w:space="0" w:color="auto"/>
        <w:bottom w:val="none" w:sz="0" w:space="0" w:color="auto"/>
        <w:right w:val="none" w:sz="0" w:space="0" w:color="auto"/>
      </w:divBdr>
    </w:div>
    <w:div w:id="1600068437">
      <w:bodyDiv w:val="1"/>
      <w:marLeft w:val="0"/>
      <w:marRight w:val="0"/>
      <w:marTop w:val="0"/>
      <w:marBottom w:val="0"/>
      <w:divBdr>
        <w:top w:val="none" w:sz="0" w:space="0" w:color="auto"/>
        <w:left w:val="none" w:sz="0" w:space="0" w:color="auto"/>
        <w:bottom w:val="none" w:sz="0" w:space="0" w:color="auto"/>
        <w:right w:val="none" w:sz="0" w:space="0" w:color="auto"/>
      </w:divBdr>
    </w:div>
    <w:div w:id="1779986184">
      <w:bodyDiv w:val="1"/>
      <w:marLeft w:val="0"/>
      <w:marRight w:val="0"/>
      <w:marTop w:val="0"/>
      <w:marBottom w:val="0"/>
      <w:divBdr>
        <w:top w:val="none" w:sz="0" w:space="0" w:color="auto"/>
        <w:left w:val="none" w:sz="0" w:space="0" w:color="auto"/>
        <w:bottom w:val="none" w:sz="0" w:space="0" w:color="auto"/>
        <w:right w:val="none" w:sz="0" w:space="0" w:color="auto"/>
      </w:divBdr>
      <w:divsChild>
        <w:div w:id="449321622">
          <w:marLeft w:val="0"/>
          <w:marRight w:val="0"/>
          <w:marTop w:val="0"/>
          <w:marBottom w:val="0"/>
          <w:divBdr>
            <w:top w:val="none" w:sz="0" w:space="0" w:color="auto"/>
            <w:left w:val="none" w:sz="0" w:space="0" w:color="auto"/>
            <w:bottom w:val="none" w:sz="0" w:space="0" w:color="auto"/>
            <w:right w:val="none" w:sz="0" w:space="0" w:color="auto"/>
          </w:divBdr>
          <w:divsChild>
            <w:div w:id="272791861">
              <w:marLeft w:val="0"/>
              <w:marRight w:val="0"/>
              <w:marTop w:val="0"/>
              <w:marBottom w:val="0"/>
              <w:divBdr>
                <w:top w:val="none" w:sz="0" w:space="0" w:color="auto"/>
                <w:left w:val="none" w:sz="0" w:space="0" w:color="auto"/>
                <w:bottom w:val="none" w:sz="0" w:space="0" w:color="auto"/>
                <w:right w:val="none" w:sz="0" w:space="0" w:color="auto"/>
              </w:divBdr>
              <w:divsChild>
                <w:div w:id="1441682465">
                  <w:marLeft w:val="0"/>
                  <w:marRight w:val="0"/>
                  <w:marTop w:val="0"/>
                  <w:marBottom w:val="0"/>
                  <w:divBdr>
                    <w:top w:val="none" w:sz="0" w:space="0" w:color="auto"/>
                    <w:left w:val="none" w:sz="0" w:space="0" w:color="auto"/>
                    <w:bottom w:val="none" w:sz="0" w:space="0" w:color="auto"/>
                    <w:right w:val="none" w:sz="0" w:space="0" w:color="auto"/>
                  </w:divBdr>
                  <w:divsChild>
                    <w:div w:id="1217932573">
                      <w:marLeft w:val="0"/>
                      <w:marRight w:val="0"/>
                      <w:marTop w:val="0"/>
                      <w:marBottom w:val="0"/>
                      <w:divBdr>
                        <w:top w:val="none" w:sz="0" w:space="0" w:color="auto"/>
                        <w:left w:val="none" w:sz="0" w:space="0" w:color="auto"/>
                        <w:bottom w:val="none" w:sz="0" w:space="0" w:color="auto"/>
                        <w:right w:val="none" w:sz="0" w:space="0" w:color="auto"/>
                      </w:divBdr>
                      <w:divsChild>
                        <w:div w:id="16317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80792">
      <w:bodyDiv w:val="1"/>
      <w:marLeft w:val="0"/>
      <w:marRight w:val="0"/>
      <w:marTop w:val="0"/>
      <w:marBottom w:val="0"/>
      <w:divBdr>
        <w:top w:val="none" w:sz="0" w:space="0" w:color="auto"/>
        <w:left w:val="none" w:sz="0" w:space="0" w:color="auto"/>
        <w:bottom w:val="none" w:sz="0" w:space="0" w:color="auto"/>
        <w:right w:val="none" w:sz="0" w:space="0" w:color="auto"/>
      </w:divBdr>
    </w:div>
    <w:div w:id="1843548886">
      <w:bodyDiv w:val="1"/>
      <w:marLeft w:val="0"/>
      <w:marRight w:val="0"/>
      <w:marTop w:val="0"/>
      <w:marBottom w:val="0"/>
      <w:divBdr>
        <w:top w:val="none" w:sz="0" w:space="0" w:color="auto"/>
        <w:left w:val="none" w:sz="0" w:space="0" w:color="auto"/>
        <w:bottom w:val="none" w:sz="0" w:space="0" w:color="auto"/>
        <w:right w:val="none" w:sz="0" w:space="0" w:color="auto"/>
      </w:divBdr>
    </w:div>
    <w:div w:id="1893228242">
      <w:bodyDiv w:val="1"/>
      <w:marLeft w:val="0"/>
      <w:marRight w:val="0"/>
      <w:marTop w:val="0"/>
      <w:marBottom w:val="0"/>
      <w:divBdr>
        <w:top w:val="none" w:sz="0" w:space="0" w:color="auto"/>
        <w:left w:val="none" w:sz="0" w:space="0" w:color="auto"/>
        <w:bottom w:val="none" w:sz="0" w:space="0" w:color="auto"/>
        <w:right w:val="none" w:sz="0" w:space="0" w:color="auto"/>
      </w:divBdr>
    </w:div>
    <w:div w:id="1912810341">
      <w:bodyDiv w:val="1"/>
      <w:marLeft w:val="0"/>
      <w:marRight w:val="0"/>
      <w:marTop w:val="0"/>
      <w:marBottom w:val="0"/>
      <w:divBdr>
        <w:top w:val="none" w:sz="0" w:space="0" w:color="auto"/>
        <w:left w:val="none" w:sz="0" w:space="0" w:color="auto"/>
        <w:bottom w:val="none" w:sz="0" w:space="0" w:color="auto"/>
        <w:right w:val="none" w:sz="0" w:space="0" w:color="auto"/>
      </w:divBdr>
    </w:div>
    <w:div w:id="1947232837">
      <w:bodyDiv w:val="1"/>
      <w:marLeft w:val="0"/>
      <w:marRight w:val="0"/>
      <w:marTop w:val="0"/>
      <w:marBottom w:val="0"/>
      <w:divBdr>
        <w:top w:val="none" w:sz="0" w:space="0" w:color="auto"/>
        <w:left w:val="none" w:sz="0" w:space="0" w:color="auto"/>
        <w:bottom w:val="none" w:sz="0" w:space="0" w:color="auto"/>
        <w:right w:val="none" w:sz="0" w:space="0" w:color="auto"/>
      </w:divBdr>
    </w:div>
    <w:div w:id="1985349170">
      <w:bodyDiv w:val="1"/>
      <w:marLeft w:val="0"/>
      <w:marRight w:val="0"/>
      <w:marTop w:val="0"/>
      <w:marBottom w:val="0"/>
      <w:divBdr>
        <w:top w:val="none" w:sz="0" w:space="0" w:color="auto"/>
        <w:left w:val="none" w:sz="0" w:space="0" w:color="auto"/>
        <w:bottom w:val="none" w:sz="0" w:space="0" w:color="auto"/>
        <w:right w:val="none" w:sz="0" w:space="0" w:color="auto"/>
      </w:divBdr>
    </w:div>
    <w:div w:id="2017881479">
      <w:bodyDiv w:val="1"/>
      <w:marLeft w:val="0"/>
      <w:marRight w:val="0"/>
      <w:marTop w:val="0"/>
      <w:marBottom w:val="0"/>
      <w:divBdr>
        <w:top w:val="none" w:sz="0" w:space="0" w:color="auto"/>
        <w:left w:val="none" w:sz="0" w:space="0" w:color="auto"/>
        <w:bottom w:val="none" w:sz="0" w:space="0" w:color="auto"/>
        <w:right w:val="none" w:sz="0" w:space="0" w:color="auto"/>
      </w:divBdr>
      <w:divsChild>
        <w:div w:id="210119002">
          <w:marLeft w:val="0"/>
          <w:marRight w:val="0"/>
          <w:marTop w:val="0"/>
          <w:marBottom w:val="0"/>
          <w:divBdr>
            <w:top w:val="none" w:sz="0" w:space="0" w:color="auto"/>
            <w:left w:val="none" w:sz="0" w:space="0" w:color="auto"/>
            <w:bottom w:val="none" w:sz="0" w:space="0" w:color="auto"/>
            <w:right w:val="none" w:sz="0" w:space="0" w:color="auto"/>
          </w:divBdr>
          <w:divsChild>
            <w:div w:id="512960752">
              <w:marLeft w:val="150"/>
              <w:marRight w:val="0"/>
              <w:marTop w:val="0"/>
              <w:marBottom w:val="0"/>
              <w:divBdr>
                <w:top w:val="single" w:sz="2" w:space="0" w:color="FF0000"/>
                <w:left w:val="single" w:sz="2" w:space="15" w:color="FF0000"/>
                <w:bottom w:val="single" w:sz="2" w:space="0" w:color="FF0000"/>
                <w:right w:val="single" w:sz="2" w:space="15" w:color="FF0000"/>
              </w:divBdr>
            </w:div>
          </w:divsChild>
        </w:div>
      </w:divsChild>
    </w:div>
    <w:div w:id="2037273236">
      <w:bodyDiv w:val="1"/>
      <w:marLeft w:val="0"/>
      <w:marRight w:val="0"/>
      <w:marTop w:val="0"/>
      <w:marBottom w:val="0"/>
      <w:divBdr>
        <w:top w:val="none" w:sz="0" w:space="0" w:color="auto"/>
        <w:left w:val="none" w:sz="0" w:space="0" w:color="auto"/>
        <w:bottom w:val="none" w:sz="0" w:space="0" w:color="auto"/>
        <w:right w:val="none" w:sz="0" w:space="0" w:color="auto"/>
      </w:divBdr>
    </w:div>
    <w:div w:id="212279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js.gov/content/pub/pdf/lecs15sol.pdf" TargetMode="External"/><Relationship Id="rId1" Type="http://schemas.openxmlformats.org/officeDocument/2006/relationships/hyperlink" Target="http://www.icpsr.umich.edu/icpsrweb/NACJD/biblio/series/00169/resources?collection=DATA&amp;archive=ICPSR&amp;sortBy=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C838E-DE2B-4A94-95F9-8F2A897C5ECA}">
  <ds:schemaRefs>
    <ds:schemaRef ds:uri="http://schemas.openxmlformats.org/officeDocument/2006/bibliography"/>
  </ds:schemaRefs>
</ds:datastoreItem>
</file>

<file path=customXml/itemProps2.xml><?xml version="1.0" encoding="utf-8"?>
<ds:datastoreItem xmlns:ds="http://schemas.openxmlformats.org/officeDocument/2006/customXml" ds:itemID="{B9C496DA-2DE1-463E-B6E5-1A935E4DA96B}">
  <ds:schemaRefs>
    <ds:schemaRef ds:uri="http://schemas.openxmlformats.org/officeDocument/2006/bibliography"/>
  </ds:schemaRefs>
</ds:datastoreItem>
</file>

<file path=customXml/itemProps3.xml><?xml version="1.0" encoding="utf-8"?>
<ds:datastoreItem xmlns:ds="http://schemas.openxmlformats.org/officeDocument/2006/customXml" ds:itemID="{42DC3416-5167-47EA-A4E1-CA1155A32E3A}">
  <ds:schemaRefs>
    <ds:schemaRef ds:uri="http://schemas.openxmlformats.org/officeDocument/2006/bibliography"/>
  </ds:schemaRefs>
</ds:datastoreItem>
</file>

<file path=customXml/itemProps4.xml><?xml version="1.0" encoding="utf-8"?>
<ds:datastoreItem xmlns:ds="http://schemas.openxmlformats.org/officeDocument/2006/customXml" ds:itemID="{B0CFACC2-40B1-4D63-8611-33A0422F0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8384</Words>
  <Characters>47795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OJP</Company>
  <LinksUpToDate>false</LinksUpToDate>
  <CharactersWithSpaces>56067</CharactersWithSpaces>
  <SharedDoc>false</SharedDoc>
  <HLinks>
    <vt:vector size="30" baseType="variant">
      <vt:variant>
        <vt:i4>7929910</vt:i4>
      </vt:variant>
      <vt:variant>
        <vt:i4>8</vt:i4>
      </vt:variant>
      <vt:variant>
        <vt:i4>0</vt:i4>
      </vt:variant>
      <vt:variant>
        <vt:i4>5</vt:i4>
      </vt:variant>
      <vt:variant>
        <vt:lpwstr>http://bjs.ojp.usdoj.gov/index.cfm?ty=pbdetail&amp;iid=2316</vt:lpwstr>
      </vt:variant>
      <vt:variant>
        <vt:lpwstr/>
      </vt:variant>
      <vt:variant>
        <vt:i4>8060983</vt:i4>
      </vt:variant>
      <vt:variant>
        <vt:i4>5</vt:i4>
      </vt:variant>
      <vt:variant>
        <vt:i4>0</vt:i4>
      </vt:variant>
      <vt:variant>
        <vt:i4>5</vt:i4>
      </vt:variant>
      <vt:variant>
        <vt:lpwstr>http://bjs.ojp.usdoj.gov/index.cfm?ty=pbdetail&amp;iid=2233</vt:lpwstr>
      </vt:variant>
      <vt:variant>
        <vt:lpwstr/>
      </vt:variant>
      <vt:variant>
        <vt:i4>327710</vt:i4>
      </vt:variant>
      <vt:variant>
        <vt:i4>2</vt:i4>
      </vt:variant>
      <vt:variant>
        <vt:i4>0</vt:i4>
      </vt:variant>
      <vt:variant>
        <vt:i4>5</vt:i4>
      </vt:variant>
      <vt:variant>
        <vt:lpwstr>http://www.ncjrs.gov/App/Topics/Topic.aspx?topicid=17</vt:lpwstr>
      </vt:variant>
      <vt:variant>
        <vt:lpwstr/>
      </vt:variant>
      <vt:variant>
        <vt:i4>6750242</vt:i4>
      </vt:variant>
      <vt:variant>
        <vt:i4>3</vt:i4>
      </vt:variant>
      <vt:variant>
        <vt:i4>0</vt:i4>
      </vt:variant>
      <vt:variant>
        <vt:i4>5</vt:i4>
      </vt:variant>
      <vt:variant>
        <vt:lpwstr>http://bjs.ojp.usdoj.gov/content/pub/pdf/cap95.pdf</vt:lpwstr>
      </vt:variant>
      <vt:variant>
        <vt:lpwstr/>
      </vt:variant>
      <vt:variant>
        <vt:i4>524362</vt:i4>
      </vt:variant>
      <vt:variant>
        <vt:i4>0</vt:i4>
      </vt:variant>
      <vt:variant>
        <vt:i4>0</vt:i4>
      </vt:variant>
      <vt:variant>
        <vt:i4>5</vt:i4>
      </vt:variant>
      <vt:variant>
        <vt:lpwstr>http://bjs.ojp.usdoj.gov/content/pub/pdf/p09.pdf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Seri Palla</dc:creator>
  <cp:lastModifiedBy>SYSTEM</cp:lastModifiedBy>
  <cp:revision>2</cp:revision>
  <cp:lastPrinted>2014-05-12T17:17:00Z</cp:lastPrinted>
  <dcterms:created xsi:type="dcterms:W3CDTF">2018-02-20T13:49:00Z</dcterms:created>
  <dcterms:modified xsi:type="dcterms:W3CDTF">2018-02-20T13:49:00Z</dcterms:modified>
</cp:coreProperties>
</file>