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8FF" w:rsidRDefault="004168FF" w:rsidP="004168FF">
      <w:pPr>
        <w:pStyle w:val="Heading1"/>
        <w:numPr>
          <w:ilvl w:val="0"/>
          <w:numId w:val="0"/>
        </w:numPr>
        <w:spacing w:after="200"/>
      </w:pPr>
      <w:bookmarkStart w:id="0" w:name="_GoBack"/>
      <w:bookmarkEnd w:id="0"/>
      <w:r w:rsidRPr="001034D3">
        <w:t>Part A: Justification</w:t>
      </w:r>
    </w:p>
    <w:p w:rsidR="004168FF" w:rsidRDefault="004168FF" w:rsidP="004168FF">
      <w:pPr>
        <w:pStyle w:val="Heading2"/>
      </w:pPr>
      <w:r>
        <w:t>Overview</w:t>
      </w:r>
    </w:p>
    <w:p w:rsidR="004168FF" w:rsidRPr="00D60E8D" w:rsidRDefault="004168FF" w:rsidP="004168FF">
      <w:r w:rsidRPr="00D60E8D">
        <w:t xml:space="preserve">The Employment and Training Administration (ETA) in collaboration with the Chief Evaluation Office (CEO) of the U.S. Department of Labor (DOL) is undertaking the Evaluation of </w:t>
      </w:r>
      <w:r>
        <w:t>the American Apprenticeship Initiative (hereafter, the AAI evaluation)</w:t>
      </w:r>
      <w:r w:rsidRPr="005745A9">
        <w:t xml:space="preserve"> </w:t>
      </w:r>
      <w:r>
        <w:t>and is seeking approval from OMB under the Paperwork Reduction Act for data collection instruments associated with the evaluation. With the goal of expanding registered apprenticeship in the United States, both at scale and into new sectors, the American Apprenticeship Initiative (AAI) provided $175 million in five-year grants to 46 grantees across the country. Grantees can use funds to support registered apprenticeships or pre-apprenticeships. DOL</w:t>
      </w:r>
      <w:r w:rsidRPr="00D60E8D">
        <w:t xml:space="preserve"> contracted with Abt Associates and its partners to conduct an </w:t>
      </w:r>
      <w:r>
        <w:t xml:space="preserve">AAI evaluation </w:t>
      </w:r>
      <w:r w:rsidRPr="00D60E8D">
        <w:t>to build evidence about the effectiveness of apprenticeship for participants and employers and provide lessons for developing and operat</w:t>
      </w:r>
      <w:r>
        <w:t>ing apprenticeships. The evaluation will use</w:t>
      </w:r>
      <w:r w:rsidRPr="00D60E8D">
        <w:t xml:space="preserve"> a multi-pronged approach including 1) an implementation study, 2) an outcomes study, 3) a return on investment study, and 4) a</w:t>
      </w:r>
      <w:r>
        <w:t>n impact study of employer outreach activities in a subset of AAI grantees</w:t>
      </w:r>
      <w:r w:rsidRPr="00D60E8D">
        <w:t>. Data collection instruments described in this submission pertain to the</w:t>
      </w:r>
      <w:r>
        <w:t xml:space="preserve"> AAI evaluation</w:t>
      </w:r>
      <w:r w:rsidRPr="00D60E8D">
        <w:t xml:space="preserve"> implementation study and </w:t>
      </w:r>
      <w:r>
        <w:t>the impact study of employer outreach practices of a subset of grantees</w:t>
      </w:r>
      <w:r w:rsidRPr="00D60E8D">
        <w:t>.</w:t>
      </w:r>
    </w:p>
    <w:p w:rsidR="004168FF" w:rsidRPr="004B523A" w:rsidRDefault="004168FF" w:rsidP="004168FF">
      <w:pPr>
        <w:spacing w:after="0"/>
      </w:pPr>
      <w:r w:rsidRPr="004E73F7">
        <w:t xml:space="preserve">Subsequent OMB submissions will seek clearance for </w:t>
      </w:r>
      <w:r>
        <w:t xml:space="preserve">additional data collection instruments for the outcomes study and return on investment study. </w:t>
      </w:r>
    </w:p>
    <w:p w:rsidR="00AB3167" w:rsidRPr="00354503" w:rsidRDefault="00AB3167" w:rsidP="00354503">
      <w:pPr>
        <w:pStyle w:val="CoverText-Address"/>
        <w:rPr>
          <w:b/>
          <w:color w:val="DA291C"/>
        </w:rPr>
      </w:pPr>
    </w:p>
    <w:p w:rsidR="006F299B" w:rsidRDefault="006F299B" w:rsidP="006F299B">
      <w:pPr>
        <w:pStyle w:val="Heading2"/>
      </w:pPr>
      <w:bookmarkStart w:id="1" w:name="_Toc496269643"/>
      <w:r w:rsidRPr="00220515">
        <w:t xml:space="preserve">A1: Necessity for the </w:t>
      </w:r>
      <w:r w:rsidR="00222854">
        <w:t>D</w:t>
      </w:r>
      <w:r w:rsidRPr="00220515">
        <w:t xml:space="preserve">ata </w:t>
      </w:r>
      <w:r w:rsidR="00222854">
        <w:t>C</w:t>
      </w:r>
      <w:r w:rsidRPr="00220515">
        <w:t>ollection</w:t>
      </w:r>
      <w:bookmarkEnd w:id="1"/>
    </w:p>
    <w:p w:rsidR="001855D2" w:rsidRDefault="00826631" w:rsidP="001855D2">
      <w:pPr>
        <w:pStyle w:val="BodyText"/>
      </w:pPr>
      <w:r>
        <w:t xml:space="preserve">The </w:t>
      </w:r>
      <w:r w:rsidR="00886BFC">
        <w:t>AAI</w:t>
      </w:r>
      <w:r>
        <w:t xml:space="preserve"> is authorized by </w:t>
      </w:r>
      <w:r w:rsidR="00886BFC">
        <w:t>Section 414(c) of the American Competitiveness and Workforce Improvement Act of 1998 (ACWIA), as amended</w:t>
      </w:r>
      <w:r w:rsidR="00C66B8D">
        <w:t>,</w:t>
      </w:r>
      <w:r w:rsidR="00886BFC">
        <w:t xml:space="preserve"> codified at 29 USC </w:t>
      </w:r>
      <w:r w:rsidR="00C66B8D">
        <w:t>3224</w:t>
      </w:r>
      <w:r w:rsidR="00886BFC">
        <w:t>a</w:t>
      </w:r>
      <w:r w:rsidR="00C66B8D">
        <w:t>(7)</w:t>
      </w:r>
      <w:r>
        <w:t>.</w:t>
      </w:r>
      <w:r w:rsidR="001855D2">
        <w:t xml:space="preserve"> </w:t>
      </w:r>
      <w:r w:rsidR="000B49D6">
        <w:t xml:space="preserve">Through the provision of </w:t>
      </w:r>
      <w:r w:rsidR="001855D2">
        <w:t>$175 million in five-year grants to 46 grantees</w:t>
      </w:r>
      <w:r w:rsidR="000B49D6">
        <w:t xml:space="preserve">, the AAI aims to </w:t>
      </w:r>
      <w:r w:rsidR="001855D2">
        <w:t xml:space="preserve">support and encourage growth of </w:t>
      </w:r>
      <w:r w:rsidR="009F6824">
        <w:t>a</w:t>
      </w:r>
      <w:r w:rsidR="001F5CEF">
        <w:t>n</w:t>
      </w:r>
      <w:r w:rsidR="009F6824">
        <w:t xml:space="preserve"> </w:t>
      </w:r>
      <w:r w:rsidR="001855D2">
        <w:t xml:space="preserve">American Apprenticeship system that meets </w:t>
      </w:r>
      <w:r w:rsidR="007F7602">
        <w:t>the</w:t>
      </w:r>
      <w:r w:rsidR="001855D2">
        <w:t xml:space="preserve"> country’s economic, industry and workforce needs.</w:t>
      </w:r>
      <w:r w:rsidR="00F93D3F">
        <w:t xml:space="preserve"> This includes not only increasing the number of registered apprenticeships available in the U.S, but also encouraging apprenticeships in non-traditional industries such as IT and healthcare.</w:t>
      </w:r>
      <w:r w:rsidR="000B49D6">
        <w:t xml:space="preserve"> The initiative also aims to engage non-traditional populations, such as women and people of color, in apprenticeships.</w:t>
      </w:r>
      <w:r w:rsidR="001855D2">
        <w:rPr>
          <w:rStyle w:val="FootnoteReference"/>
        </w:rPr>
        <w:footnoteReference w:id="1"/>
      </w:r>
    </w:p>
    <w:p w:rsidR="00826631" w:rsidRPr="007B5E91" w:rsidRDefault="00826631" w:rsidP="001855D2">
      <w:pPr>
        <w:pStyle w:val="BodyText"/>
        <w:rPr>
          <w:b/>
        </w:rPr>
      </w:pPr>
      <w:r w:rsidRPr="00826631">
        <w:t xml:space="preserve">The Department of Labor </w:t>
      </w:r>
      <w:r w:rsidR="001855D2">
        <w:t xml:space="preserve">Funding Opportunity </w:t>
      </w:r>
      <w:r w:rsidR="009F6824">
        <w:t>Announcement</w:t>
      </w:r>
      <w:r w:rsidRPr="00826631">
        <w:t xml:space="preserve"> </w:t>
      </w:r>
      <w:r w:rsidR="006871E5">
        <w:t>for the A</w:t>
      </w:r>
      <w:r w:rsidR="00F55EB7">
        <w:t>AI g</w:t>
      </w:r>
      <w:r w:rsidR="006871E5">
        <w:t xml:space="preserve">rants </w:t>
      </w:r>
      <w:r w:rsidRPr="00826631">
        <w:t>(</w:t>
      </w:r>
      <w:r w:rsidR="001855D2">
        <w:t>FOA-ETA-15-02</w:t>
      </w:r>
      <w:r w:rsidRPr="00826631">
        <w:t>)</w:t>
      </w:r>
      <w:r w:rsidR="009F6824">
        <w:t xml:space="preserve"> </w:t>
      </w:r>
      <w:r w:rsidRPr="00826631">
        <w:t xml:space="preserve">established that </w:t>
      </w:r>
      <w:r w:rsidR="000B49D6">
        <w:t>DOL</w:t>
      </w:r>
      <w:r w:rsidR="00F93D3F">
        <w:t xml:space="preserve"> is committed to producing strong evidence on </w:t>
      </w:r>
      <w:r w:rsidR="005745A9">
        <w:t xml:space="preserve">the </w:t>
      </w:r>
      <w:r w:rsidR="00F93D3F">
        <w:t xml:space="preserve">effectiveness of grantee programs and </w:t>
      </w:r>
      <w:r w:rsidR="0041084F">
        <w:t xml:space="preserve">that </w:t>
      </w:r>
      <w:r w:rsidR="00F93D3F">
        <w:t>all grantees must fully participate in any evaluation initiated by the department as a condition of grant award</w:t>
      </w:r>
      <w:r>
        <w:t>.</w:t>
      </w:r>
      <w:r>
        <w:rPr>
          <w:rStyle w:val="FootnoteReference"/>
        </w:rPr>
        <w:footnoteReference w:id="2"/>
      </w:r>
      <w:r w:rsidRPr="007B5E91">
        <w:t xml:space="preserve"> </w:t>
      </w:r>
      <w:r w:rsidR="000C0305">
        <w:t xml:space="preserve">Further, the June 15, 2017 Presidential Executive Order Expanding Apprenticeships in </w:t>
      </w:r>
      <w:r w:rsidR="000C0305">
        <w:lastRenderedPageBreak/>
        <w:t>America promoted rigorous third-party evaluations of apprenticeship programs, including those that use a multi-site randomized control trial.</w:t>
      </w:r>
      <w:r w:rsidR="000C0305">
        <w:rPr>
          <w:rStyle w:val="FootnoteReference"/>
        </w:rPr>
        <w:footnoteReference w:id="3"/>
      </w:r>
    </w:p>
    <w:p w:rsidR="006F299B" w:rsidRDefault="006F299B" w:rsidP="008615B4">
      <w:pPr>
        <w:pStyle w:val="Heading2"/>
      </w:pPr>
      <w:bookmarkStart w:id="2" w:name="_Toc496269644"/>
      <w:r w:rsidRPr="001034D3">
        <w:t xml:space="preserve">A2: </w:t>
      </w:r>
      <w:r w:rsidR="00790C7A">
        <w:t>Purpose and Users of Information</w:t>
      </w:r>
      <w:bookmarkEnd w:id="2"/>
    </w:p>
    <w:p w:rsidR="0023653E" w:rsidRDefault="00A638AF" w:rsidP="0023653E">
      <w:pPr>
        <w:pStyle w:val="Heading4"/>
      </w:pPr>
      <w:r w:rsidRPr="0023653E">
        <w:t xml:space="preserve">Purpose </w:t>
      </w:r>
    </w:p>
    <w:p w:rsidR="00A638AF" w:rsidRPr="00F93D3F" w:rsidRDefault="00A638AF" w:rsidP="00A638AF">
      <w:r>
        <w:t>The</w:t>
      </w:r>
      <w:r w:rsidRPr="00C36533">
        <w:t xml:space="preserve"> </w:t>
      </w:r>
      <w:r>
        <w:t xml:space="preserve">AAI </w:t>
      </w:r>
      <w:r w:rsidRPr="00C36533">
        <w:t>e</w:t>
      </w:r>
      <w:r>
        <w:t>valuation will answer six broad research questions:</w:t>
      </w:r>
    </w:p>
    <w:p w:rsidR="00A638AF" w:rsidRPr="005745A9" w:rsidRDefault="00A638AF" w:rsidP="00025699">
      <w:pPr>
        <w:pStyle w:val="Bullets"/>
        <w:numPr>
          <w:ilvl w:val="0"/>
          <w:numId w:val="10"/>
        </w:numPr>
        <w:ind w:left="720"/>
        <w:rPr>
          <w:rFonts w:ascii="TimesNewRomanPSMT" w:eastAsiaTheme="minorHAnsi" w:hAnsi="TimesNewRomanPSMT" w:cs="TimesNewRomanPSMT"/>
          <w:szCs w:val="22"/>
        </w:rPr>
      </w:pPr>
      <w:r w:rsidRPr="005745A9">
        <w:rPr>
          <w:rFonts w:ascii="TimesNewRomanPS-ItalicMT" w:eastAsiaTheme="minorHAnsi" w:hAnsi="TimesNewRomanPS-ItalicMT" w:cs="TimesNewRomanPS-ItalicMT"/>
          <w:iCs/>
          <w:szCs w:val="22"/>
        </w:rPr>
        <w:t>What are AAI grantees doing to generate apprenticeship slots?</w:t>
      </w:r>
      <w:r w:rsidRPr="005745A9">
        <w:rPr>
          <w:rFonts w:ascii="TimesNewRomanPS-ItalicMT" w:eastAsiaTheme="minorHAnsi" w:hAnsi="TimesNewRomanPS-ItalicMT" w:cs="TimesNewRomanPS-ItalicMT"/>
          <w:i/>
          <w:iCs/>
          <w:szCs w:val="22"/>
        </w:rPr>
        <w:t xml:space="preserve"> </w:t>
      </w:r>
    </w:p>
    <w:p w:rsidR="00A638AF" w:rsidRPr="005745A9" w:rsidRDefault="00A638AF" w:rsidP="00025699">
      <w:pPr>
        <w:numPr>
          <w:ilvl w:val="0"/>
          <w:numId w:val="10"/>
        </w:numPr>
        <w:autoSpaceDE w:val="0"/>
        <w:autoSpaceDN w:val="0"/>
        <w:adjustRightInd w:val="0"/>
        <w:spacing w:line="240" w:lineRule="auto"/>
        <w:ind w:left="720"/>
        <w:rPr>
          <w:rFonts w:ascii="TimesNewRomanPSMT" w:eastAsiaTheme="minorHAnsi" w:hAnsi="TimesNewRomanPSMT" w:cs="TimesNewRomanPSMT"/>
          <w:szCs w:val="22"/>
        </w:rPr>
      </w:pPr>
      <w:r w:rsidRPr="005745A9">
        <w:rPr>
          <w:rFonts w:ascii="TimesNewRomanPS-ItalicMT" w:eastAsiaTheme="minorHAnsi" w:hAnsi="TimesNewRomanPS-ItalicMT" w:cs="TimesNewRomanPS-ItalicMT"/>
          <w:iCs/>
          <w:szCs w:val="22"/>
        </w:rPr>
        <w:t>What strategies do AAI grantees and employers use to identify strong candidates for apprenticeships?</w:t>
      </w:r>
      <w:r w:rsidRPr="005745A9">
        <w:rPr>
          <w:rFonts w:ascii="TimesNewRomanPS-ItalicMT" w:eastAsiaTheme="minorHAnsi" w:hAnsi="TimesNewRomanPS-ItalicMT" w:cs="TimesNewRomanPS-ItalicMT"/>
          <w:i/>
          <w:iCs/>
          <w:szCs w:val="22"/>
        </w:rPr>
        <w:t xml:space="preserve"> </w:t>
      </w:r>
    </w:p>
    <w:p w:rsidR="00A638AF" w:rsidRPr="005745A9" w:rsidRDefault="00A638AF" w:rsidP="00025699">
      <w:pPr>
        <w:numPr>
          <w:ilvl w:val="0"/>
          <w:numId w:val="10"/>
        </w:numPr>
        <w:autoSpaceDE w:val="0"/>
        <w:autoSpaceDN w:val="0"/>
        <w:adjustRightInd w:val="0"/>
        <w:spacing w:line="240" w:lineRule="auto"/>
        <w:ind w:left="720"/>
        <w:rPr>
          <w:rFonts w:ascii="TimesNewRomanPSMT" w:eastAsiaTheme="minorHAnsi" w:hAnsi="TimesNewRomanPSMT" w:cs="TimesNewRomanPSMT"/>
          <w:szCs w:val="22"/>
        </w:rPr>
      </w:pPr>
      <w:r w:rsidRPr="005745A9">
        <w:rPr>
          <w:rFonts w:ascii="TimesNewRomanPS-ItalicMT" w:eastAsiaTheme="minorHAnsi" w:hAnsi="TimesNewRomanPS-ItalicMT" w:cs="TimesNewRomanPS-ItalicMT"/>
          <w:iCs/>
          <w:szCs w:val="22"/>
        </w:rPr>
        <w:t>What are the characteristics of AAI apprenticeships</w:t>
      </w:r>
      <w:r>
        <w:rPr>
          <w:rFonts w:ascii="TimesNewRomanPS-ItalicMT" w:eastAsiaTheme="minorHAnsi" w:hAnsi="TimesNewRomanPS-ItalicMT" w:cs="TimesNewRomanPS-ItalicMT"/>
          <w:iCs/>
          <w:szCs w:val="22"/>
        </w:rPr>
        <w:t>?</w:t>
      </w:r>
    </w:p>
    <w:p w:rsidR="00A638AF" w:rsidRPr="005745A9" w:rsidRDefault="00A638AF" w:rsidP="00025699">
      <w:pPr>
        <w:numPr>
          <w:ilvl w:val="0"/>
          <w:numId w:val="10"/>
        </w:numPr>
        <w:autoSpaceDE w:val="0"/>
        <w:autoSpaceDN w:val="0"/>
        <w:adjustRightInd w:val="0"/>
        <w:spacing w:line="240" w:lineRule="auto"/>
        <w:ind w:left="720"/>
        <w:rPr>
          <w:rFonts w:ascii="TimesNewRomanPSMT" w:eastAsiaTheme="minorHAnsi" w:hAnsi="TimesNewRomanPSMT" w:cs="TimesNewRomanPSMT"/>
          <w:szCs w:val="22"/>
        </w:rPr>
      </w:pPr>
      <w:r w:rsidRPr="005745A9">
        <w:rPr>
          <w:rFonts w:ascii="TimesNewRomanPS-ItalicMT" w:eastAsiaTheme="minorHAnsi" w:hAnsi="TimesNewRomanPS-ItalicMT" w:cs="TimesNewRomanPS-ItalicMT"/>
          <w:iCs/>
          <w:szCs w:val="22"/>
        </w:rPr>
        <w:t>What are the in-program experiences and post-program outcomes for apprentices?</w:t>
      </w:r>
      <w:r w:rsidRPr="005745A9">
        <w:rPr>
          <w:rFonts w:ascii="TimesNewRomanPS-ItalicMT" w:eastAsiaTheme="minorHAnsi" w:hAnsi="TimesNewRomanPS-ItalicMT" w:cs="TimesNewRomanPS-ItalicMT"/>
          <w:i/>
          <w:iCs/>
          <w:szCs w:val="22"/>
        </w:rPr>
        <w:t xml:space="preserve"> </w:t>
      </w:r>
    </w:p>
    <w:p w:rsidR="00A638AF" w:rsidRPr="005745A9" w:rsidRDefault="00A638AF" w:rsidP="00025699">
      <w:pPr>
        <w:numPr>
          <w:ilvl w:val="0"/>
          <w:numId w:val="10"/>
        </w:numPr>
        <w:autoSpaceDE w:val="0"/>
        <w:autoSpaceDN w:val="0"/>
        <w:adjustRightInd w:val="0"/>
        <w:spacing w:line="240" w:lineRule="auto"/>
        <w:ind w:left="720"/>
        <w:rPr>
          <w:rFonts w:ascii="TimesNewRomanPSMT" w:eastAsiaTheme="minorHAnsi" w:hAnsi="TimesNewRomanPSMT" w:cs="TimesNewRomanPSMT"/>
          <w:szCs w:val="22"/>
        </w:rPr>
      </w:pPr>
      <w:r w:rsidRPr="005745A9">
        <w:rPr>
          <w:rFonts w:ascii="TimesNewRomanPS-ItalicMT" w:eastAsiaTheme="minorHAnsi" w:hAnsi="TimesNewRomanPS-ItalicMT" w:cs="TimesNewRomanPS-ItalicMT"/>
          <w:iCs/>
          <w:szCs w:val="22"/>
        </w:rPr>
        <w:t>What innovations and lessons form the basis for broader change and sustainability that encourages employers to adopt apprenticeships</w:t>
      </w:r>
      <w:r>
        <w:rPr>
          <w:rFonts w:ascii="TimesNewRomanPS-ItalicMT" w:eastAsiaTheme="minorHAnsi" w:hAnsi="TimesNewRomanPS-ItalicMT" w:cs="TimesNewRomanPS-ItalicMT"/>
          <w:iCs/>
          <w:szCs w:val="22"/>
        </w:rPr>
        <w:t>?</w:t>
      </w:r>
    </w:p>
    <w:p w:rsidR="00A638AF" w:rsidRPr="005745A9" w:rsidRDefault="00A638AF" w:rsidP="00025699">
      <w:pPr>
        <w:numPr>
          <w:ilvl w:val="0"/>
          <w:numId w:val="10"/>
        </w:numPr>
        <w:autoSpaceDE w:val="0"/>
        <w:autoSpaceDN w:val="0"/>
        <w:adjustRightInd w:val="0"/>
        <w:spacing w:line="240" w:lineRule="auto"/>
        <w:ind w:left="720"/>
        <w:rPr>
          <w:rFonts w:ascii="TimesNewRomanPSMT" w:eastAsiaTheme="minorHAnsi" w:hAnsi="TimesNewRomanPSMT" w:cs="TimesNewRomanPSMT"/>
          <w:szCs w:val="22"/>
        </w:rPr>
      </w:pPr>
      <w:r w:rsidRPr="005745A9">
        <w:rPr>
          <w:rFonts w:ascii="TimesNewRomanPS-ItalicMT" w:eastAsiaTheme="minorHAnsi" w:hAnsi="TimesNewRomanPS-ItalicMT" w:cs="TimesNewRomanPS-ItalicMT"/>
          <w:iCs/>
          <w:szCs w:val="22"/>
        </w:rPr>
        <w:t>Do benefits accrue to employers from apprenticeship?</w:t>
      </w:r>
    </w:p>
    <w:p w:rsidR="00A638AF" w:rsidRDefault="00A638AF" w:rsidP="00A638AF">
      <w:r>
        <w:t>The implementation study and impact study of employer outreach activities—subjects of this data collection request—will address questions 1, 2, 3, and 5. Specifically, t</w:t>
      </w:r>
      <w:r w:rsidRPr="00C36533">
        <w:t>his submission is to request clearance</w:t>
      </w:r>
      <w:r>
        <w:t xml:space="preserve"> for</w:t>
      </w:r>
      <w:r w:rsidRPr="00C36533">
        <w:t xml:space="preserve"> </w:t>
      </w:r>
      <w:r w:rsidR="000F5D80">
        <w:t>the first three data collections below that are</w:t>
      </w:r>
      <w:r>
        <w:t xml:space="preserve"> needed to address the implementation study and impact study-related questions: </w:t>
      </w:r>
      <w:r w:rsidRPr="00C36533">
        <w:t xml:space="preserve">a grantee survey, site visit </w:t>
      </w:r>
      <w:r w:rsidR="00972B83">
        <w:t>interview</w:t>
      </w:r>
      <w:r w:rsidRPr="00C36533">
        <w:t xml:space="preserve"> guides</w:t>
      </w:r>
      <w:r>
        <w:t xml:space="preserve"> for two rounds of implementation study site visits</w:t>
      </w:r>
      <w:r w:rsidRPr="00C36533">
        <w:t xml:space="preserve">, and </w:t>
      </w:r>
      <w:r>
        <w:t xml:space="preserve">a management information system (MIS). These, along with other data, are </w:t>
      </w:r>
      <w:r w:rsidRPr="00C36533">
        <w:t>necessary to ensure that the AAI evaluation can adequately document and assess grantee programs. DOL anticipates submitting a</w:t>
      </w:r>
      <w:r>
        <w:t xml:space="preserve">n </w:t>
      </w:r>
      <w:r w:rsidRPr="00C36533">
        <w:t xml:space="preserve">additional OMB package to request permission to conduct </w:t>
      </w:r>
      <w:r>
        <w:t xml:space="preserve">a participant survey and an employer survey, which will support the outcomes study and the return-on-investment study, respectively. Following is a description of </w:t>
      </w:r>
      <w:r w:rsidRPr="00C36533">
        <w:t>each data collection instrument</w:t>
      </w:r>
      <w:r w:rsidR="000F5D80">
        <w:t xml:space="preserve"> that requires OMB clearance</w:t>
      </w:r>
      <w:r w:rsidRPr="00C36533">
        <w:t>.</w:t>
      </w:r>
    </w:p>
    <w:p w:rsidR="00A638AF" w:rsidRDefault="00E33558" w:rsidP="00025699">
      <w:pPr>
        <w:pStyle w:val="aareferences"/>
        <w:numPr>
          <w:ilvl w:val="0"/>
          <w:numId w:val="6"/>
        </w:numPr>
        <w:spacing w:after="180" w:line="240" w:lineRule="auto"/>
        <w:rPr>
          <w:szCs w:val="22"/>
        </w:rPr>
      </w:pPr>
      <w:r>
        <w:rPr>
          <w:szCs w:val="22"/>
        </w:rPr>
        <w:t>Site visit i</w:t>
      </w:r>
      <w:r w:rsidR="00972B83">
        <w:rPr>
          <w:szCs w:val="22"/>
        </w:rPr>
        <w:t>nterview</w:t>
      </w:r>
      <w:r w:rsidR="00A638AF">
        <w:rPr>
          <w:szCs w:val="22"/>
        </w:rPr>
        <w:t xml:space="preserve"> guides to be used in the first and second rounds of site visit</w:t>
      </w:r>
      <w:r w:rsidR="00A638AF" w:rsidRPr="00F808FE">
        <w:rPr>
          <w:szCs w:val="22"/>
        </w:rPr>
        <w:t>s</w:t>
      </w:r>
      <w:r w:rsidR="00A638AF">
        <w:rPr>
          <w:szCs w:val="22"/>
        </w:rPr>
        <w:t xml:space="preserve"> to approximately 10 grantees</w:t>
      </w:r>
      <w:r>
        <w:rPr>
          <w:szCs w:val="22"/>
        </w:rPr>
        <w:t xml:space="preserve"> for the implementation study and employer engagement impact study</w:t>
      </w:r>
      <w:r w:rsidR="00A638AF">
        <w:rPr>
          <w:szCs w:val="22"/>
        </w:rPr>
        <w:t xml:space="preserve"> </w:t>
      </w:r>
      <w:r w:rsidR="002365E4" w:rsidRPr="002365E4">
        <w:rPr>
          <w:rFonts w:ascii="Arial" w:hAnsi="Arial" w:cs="Arial"/>
          <w:b/>
          <w:sz w:val="20"/>
        </w:rPr>
        <w:t>(clearance requested in this package)</w:t>
      </w:r>
    </w:p>
    <w:p w:rsidR="00A638AF" w:rsidRDefault="00A638AF" w:rsidP="00025699">
      <w:pPr>
        <w:pStyle w:val="aareferences"/>
        <w:numPr>
          <w:ilvl w:val="0"/>
          <w:numId w:val="6"/>
        </w:numPr>
        <w:spacing w:after="180" w:line="240" w:lineRule="auto"/>
        <w:rPr>
          <w:szCs w:val="22"/>
        </w:rPr>
      </w:pPr>
      <w:r>
        <w:rPr>
          <w:szCs w:val="22"/>
        </w:rPr>
        <w:t>A one-time online grantee</w:t>
      </w:r>
      <w:r w:rsidRPr="00F808FE">
        <w:rPr>
          <w:szCs w:val="22"/>
        </w:rPr>
        <w:t xml:space="preserve"> survey</w:t>
      </w:r>
      <w:r>
        <w:rPr>
          <w:szCs w:val="22"/>
        </w:rPr>
        <w:t xml:space="preserve"> admin</w:t>
      </w:r>
      <w:r w:rsidR="002365E4">
        <w:rPr>
          <w:szCs w:val="22"/>
        </w:rPr>
        <w:t>istered to all 46 AAI grantees</w:t>
      </w:r>
      <w:r w:rsidR="00E33558">
        <w:rPr>
          <w:szCs w:val="22"/>
        </w:rPr>
        <w:t xml:space="preserve"> for the implementation study</w:t>
      </w:r>
      <w:r w:rsidR="002365E4">
        <w:rPr>
          <w:szCs w:val="22"/>
        </w:rPr>
        <w:t xml:space="preserve"> </w:t>
      </w:r>
      <w:r w:rsidR="002365E4" w:rsidRPr="002365E4">
        <w:rPr>
          <w:rFonts w:ascii="Arial" w:hAnsi="Arial" w:cs="Arial"/>
          <w:b/>
          <w:sz w:val="20"/>
        </w:rPr>
        <w:t>(clearance requested in this package)</w:t>
      </w:r>
    </w:p>
    <w:p w:rsidR="002365E4" w:rsidRPr="002365E4" w:rsidRDefault="00A638AF" w:rsidP="00F73DE2">
      <w:pPr>
        <w:pStyle w:val="aareferences"/>
        <w:numPr>
          <w:ilvl w:val="0"/>
          <w:numId w:val="6"/>
        </w:numPr>
        <w:spacing w:after="180" w:line="240" w:lineRule="auto"/>
        <w:rPr>
          <w:szCs w:val="22"/>
        </w:rPr>
      </w:pPr>
      <w:r w:rsidRPr="002365E4">
        <w:rPr>
          <w:szCs w:val="22"/>
        </w:rPr>
        <w:t xml:space="preserve">A management information system (MIS) to collect information on outreach to employers by the up to four AAI grantees participating in the employer engagement impact study </w:t>
      </w:r>
      <w:r w:rsidR="002365E4" w:rsidRPr="002365E4">
        <w:rPr>
          <w:rFonts w:ascii="Arial" w:hAnsi="Arial" w:cs="Arial"/>
          <w:b/>
          <w:sz w:val="20"/>
        </w:rPr>
        <w:t>(clearance requested in this package)</w:t>
      </w:r>
    </w:p>
    <w:p w:rsidR="002365E4" w:rsidRPr="002365E4" w:rsidRDefault="00A638AF" w:rsidP="0067120B">
      <w:pPr>
        <w:pStyle w:val="aareferences"/>
        <w:numPr>
          <w:ilvl w:val="0"/>
          <w:numId w:val="6"/>
        </w:numPr>
        <w:spacing w:after="180" w:line="240" w:lineRule="auto"/>
        <w:rPr>
          <w:szCs w:val="22"/>
        </w:rPr>
      </w:pPr>
      <w:r w:rsidRPr="002365E4">
        <w:rPr>
          <w:szCs w:val="22"/>
        </w:rPr>
        <w:lastRenderedPageBreak/>
        <w:t>A one-time apprenticeship/pre-apprenticeship participant survey</w:t>
      </w:r>
      <w:r w:rsidR="00E33558">
        <w:rPr>
          <w:szCs w:val="22"/>
        </w:rPr>
        <w:t xml:space="preserve"> for the outcomes study</w:t>
      </w:r>
      <w:r w:rsidRPr="002365E4">
        <w:rPr>
          <w:szCs w:val="22"/>
        </w:rPr>
        <w:t xml:space="preserve"> </w:t>
      </w:r>
      <w:r w:rsidR="002365E4" w:rsidRPr="006F2652">
        <w:rPr>
          <w:sz w:val="24"/>
          <w:szCs w:val="24"/>
        </w:rPr>
        <w:t>(clearance will be requested in a future package)</w:t>
      </w:r>
    </w:p>
    <w:p w:rsidR="002365E4" w:rsidRPr="002365E4" w:rsidRDefault="00A638AF" w:rsidP="00BD4E51">
      <w:pPr>
        <w:pStyle w:val="aareferences"/>
        <w:numPr>
          <w:ilvl w:val="0"/>
          <w:numId w:val="6"/>
        </w:numPr>
        <w:spacing w:after="180" w:line="240" w:lineRule="auto"/>
        <w:rPr>
          <w:szCs w:val="22"/>
        </w:rPr>
      </w:pPr>
      <w:r w:rsidRPr="002365E4">
        <w:rPr>
          <w:szCs w:val="22"/>
        </w:rPr>
        <w:t>A one-time survey of employers participating in apprenticeships</w:t>
      </w:r>
      <w:r w:rsidR="00E33558">
        <w:rPr>
          <w:szCs w:val="22"/>
        </w:rPr>
        <w:t xml:space="preserve"> for the implementation study and return on investment study</w:t>
      </w:r>
      <w:r w:rsidRPr="002365E4">
        <w:rPr>
          <w:szCs w:val="22"/>
        </w:rPr>
        <w:t xml:space="preserve"> </w:t>
      </w:r>
      <w:r w:rsidR="002365E4" w:rsidRPr="006F2652">
        <w:rPr>
          <w:sz w:val="24"/>
          <w:szCs w:val="24"/>
        </w:rPr>
        <w:t>(clearance will be requested in a future package)</w:t>
      </w:r>
    </w:p>
    <w:p w:rsidR="004107BC" w:rsidRDefault="00E33558" w:rsidP="00A638AF">
      <w:r>
        <w:rPr>
          <w:b/>
          <w:i/>
        </w:rPr>
        <w:t xml:space="preserve">Site Visit </w:t>
      </w:r>
      <w:r w:rsidR="00A638AF">
        <w:rPr>
          <w:b/>
          <w:i/>
        </w:rPr>
        <w:t>Interview</w:t>
      </w:r>
      <w:r w:rsidR="00A638AF" w:rsidRPr="00C02B42">
        <w:rPr>
          <w:b/>
          <w:i/>
        </w:rPr>
        <w:t xml:space="preserve"> Guides</w:t>
      </w:r>
      <w:r>
        <w:rPr>
          <w:b/>
          <w:i/>
        </w:rPr>
        <w:t xml:space="preserve">.  </w:t>
      </w:r>
      <w:r w:rsidR="00A638AF">
        <w:t xml:space="preserve">Two rounds of site visits to approximately 10 grantees will collect </w:t>
      </w:r>
      <w:r w:rsidR="00A638AF" w:rsidRPr="00707708">
        <w:t>in-depth qualitative information on grant</w:t>
      </w:r>
      <w:r w:rsidR="00A638AF">
        <w:t>ee operations in support of the implementation study</w:t>
      </w:r>
      <w:r w:rsidR="00A638AF" w:rsidRPr="00707708">
        <w:t xml:space="preserve">. </w:t>
      </w:r>
      <w:r w:rsidR="00A638AF">
        <w:t xml:space="preserve">The interviews </w:t>
      </w:r>
      <w:r w:rsidR="004107BC">
        <w:t>will be with the following:</w:t>
      </w:r>
    </w:p>
    <w:p w:rsidR="004107BC" w:rsidRPr="005C5718" w:rsidRDefault="00A638AF" w:rsidP="004107BC">
      <w:pPr>
        <w:pStyle w:val="ListParagraph"/>
        <w:numPr>
          <w:ilvl w:val="0"/>
          <w:numId w:val="20"/>
        </w:numPr>
        <w:rPr>
          <w:rFonts w:ascii="Times New Roman" w:eastAsia="Times New Roman" w:hAnsi="Times New Roman" w:cs="Times New Roman"/>
          <w:szCs w:val="20"/>
        </w:rPr>
      </w:pPr>
      <w:r w:rsidRPr="005C5718">
        <w:rPr>
          <w:rFonts w:ascii="Times New Roman" w:eastAsia="Times New Roman" w:hAnsi="Times New Roman" w:cs="Times New Roman"/>
          <w:szCs w:val="20"/>
        </w:rPr>
        <w:t xml:space="preserve">grant director, </w:t>
      </w:r>
    </w:p>
    <w:p w:rsidR="0076656B" w:rsidRPr="005C5718" w:rsidRDefault="00A638AF" w:rsidP="004107BC">
      <w:pPr>
        <w:pStyle w:val="ListParagraph"/>
        <w:numPr>
          <w:ilvl w:val="0"/>
          <w:numId w:val="20"/>
        </w:numPr>
        <w:rPr>
          <w:rFonts w:ascii="Times New Roman" w:eastAsia="Times New Roman" w:hAnsi="Times New Roman" w:cs="Times New Roman"/>
          <w:szCs w:val="20"/>
        </w:rPr>
      </w:pPr>
      <w:r w:rsidRPr="005C5718">
        <w:rPr>
          <w:rFonts w:ascii="Times New Roman" w:eastAsia="Times New Roman" w:hAnsi="Times New Roman" w:cs="Times New Roman"/>
          <w:szCs w:val="20"/>
        </w:rPr>
        <w:t xml:space="preserve">grantee staff, </w:t>
      </w:r>
    </w:p>
    <w:p w:rsidR="0076656B" w:rsidRPr="005C5718" w:rsidRDefault="0076656B" w:rsidP="0076656B">
      <w:pPr>
        <w:pStyle w:val="ListParagraph"/>
        <w:numPr>
          <w:ilvl w:val="0"/>
          <w:numId w:val="20"/>
        </w:numPr>
        <w:rPr>
          <w:rFonts w:ascii="Times New Roman" w:eastAsia="Times New Roman" w:hAnsi="Times New Roman" w:cs="Times New Roman"/>
          <w:szCs w:val="20"/>
        </w:rPr>
      </w:pPr>
      <w:r w:rsidRPr="005C5718">
        <w:rPr>
          <w:rFonts w:ascii="Times New Roman" w:eastAsia="Times New Roman" w:hAnsi="Times New Roman" w:cs="Times New Roman"/>
          <w:szCs w:val="20"/>
        </w:rPr>
        <w:t>related technical instruction provider staff,</w:t>
      </w:r>
    </w:p>
    <w:p w:rsidR="005C5718" w:rsidRPr="005C5718" w:rsidRDefault="005C5718" w:rsidP="004107BC">
      <w:pPr>
        <w:pStyle w:val="ListParagraph"/>
        <w:numPr>
          <w:ilvl w:val="0"/>
          <w:numId w:val="20"/>
        </w:numPr>
        <w:rPr>
          <w:rFonts w:ascii="Times New Roman" w:eastAsia="Times New Roman" w:hAnsi="Times New Roman" w:cs="Times New Roman"/>
          <w:szCs w:val="20"/>
        </w:rPr>
      </w:pPr>
      <w:r w:rsidRPr="005C5718">
        <w:rPr>
          <w:rFonts w:ascii="Times New Roman" w:eastAsia="Times New Roman" w:hAnsi="Times New Roman" w:cs="Times New Roman"/>
          <w:szCs w:val="20"/>
        </w:rPr>
        <w:t>employer partners</w:t>
      </w:r>
      <w:r>
        <w:rPr>
          <w:rFonts w:ascii="Times New Roman" w:eastAsia="Times New Roman" w:hAnsi="Times New Roman" w:cs="Times New Roman"/>
          <w:szCs w:val="20"/>
        </w:rPr>
        <w:t>,</w:t>
      </w:r>
    </w:p>
    <w:p w:rsidR="0076656B" w:rsidRPr="005C5718" w:rsidRDefault="0076656B" w:rsidP="009F014A">
      <w:pPr>
        <w:pStyle w:val="ListParagraph"/>
        <w:numPr>
          <w:ilvl w:val="0"/>
          <w:numId w:val="20"/>
        </w:numPr>
        <w:rPr>
          <w:rFonts w:ascii="Times New Roman" w:eastAsia="Times New Roman" w:hAnsi="Times New Roman" w:cs="Times New Roman"/>
          <w:szCs w:val="20"/>
        </w:rPr>
      </w:pPr>
      <w:r w:rsidRPr="005C5718">
        <w:rPr>
          <w:rFonts w:ascii="Times New Roman" w:eastAsia="Times New Roman" w:hAnsi="Times New Roman" w:cs="Times New Roman"/>
          <w:szCs w:val="20"/>
        </w:rPr>
        <w:t>w</w:t>
      </w:r>
      <w:r w:rsidR="00A638AF" w:rsidRPr="005C5718">
        <w:rPr>
          <w:rFonts w:ascii="Times New Roman" w:eastAsia="Times New Roman" w:hAnsi="Times New Roman" w:cs="Times New Roman"/>
          <w:szCs w:val="20"/>
        </w:rPr>
        <w:t xml:space="preserve">orkforce </w:t>
      </w:r>
      <w:r w:rsidR="005C5718" w:rsidRPr="005C5718">
        <w:rPr>
          <w:rFonts w:ascii="Times New Roman" w:eastAsia="Times New Roman" w:hAnsi="Times New Roman" w:cs="Times New Roman"/>
          <w:szCs w:val="20"/>
        </w:rPr>
        <w:t>development partner</w:t>
      </w:r>
      <w:r w:rsidR="00A638AF" w:rsidRPr="005C5718">
        <w:rPr>
          <w:rFonts w:ascii="Times New Roman" w:eastAsia="Times New Roman" w:hAnsi="Times New Roman" w:cs="Times New Roman"/>
          <w:szCs w:val="20"/>
        </w:rPr>
        <w:t xml:space="preserve"> staff, </w:t>
      </w:r>
      <w:r w:rsidR="005C5718" w:rsidRPr="005C5718">
        <w:rPr>
          <w:rFonts w:ascii="Times New Roman" w:eastAsia="Times New Roman" w:hAnsi="Times New Roman" w:cs="Times New Roman"/>
          <w:szCs w:val="20"/>
        </w:rPr>
        <w:t>a</w:t>
      </w:r>
      <w:r w:rsidR="00A638AF" w:rsidRPr="005C5718">
        <w:rPr>
          <w:rFonts w:ascii="Times New Roman" w:eastAsia="Times New Roman" w:hAnsi="Times New Roman" w:cs="Times New Roman"/>
          <w:szCs w:val="20"/>
        </w:rPr>
        <w:t xml:space="preserve">nd </w:t>
      </w:r>
    </w:p>
    <w:p w:rsidR="005C5718" w:rsidRPr="005C5718" w:rsidRDefault="005C5718" w:rsidP="004107BC">
      <w:pPr>
        <w:pStyle w:val="ListParagraph"/>
        <w:numPr>
          <w:ilvl w:val="0"/>
          <w:numId w:val="20"/>
        </w:numPr>
        <w:rPr>
          <w:rFonts w:ascii="Times New Roman" w:eastAsia="Times New Roman" w:hAnsi="Times New Roman" w:cs="Times New Roman"/>
          <w:szCs w:val="20"/>
        </w:rPr>
      </w:pPr>
      <w:r w:rsidRPr="005C5718">
        <w:rPr>
          <w:rFonts w:ascii="Times New Roman" w:eastAsia="Times New Roman" w:hAnsi="Times New Roman" w:cs="Times New Roman"/>
          <w:szCs w:val="20"/>
        </w:rPr>
        <w:t xml:space="preserve">union </w:t>
      </w:r>
      <w:r w:rsidR="00E33558">
        <w:rPr>
          <w:rFonts w:ascii="Times New Roman" w:eastAsia="Times New Roman" w:hAnsi="Times New Roman" w:cs="Times New Roman"/>
          <w:szCs w:val="20"/>
        </w:rPr>
        <w:t>representatives</w:t>
      </w:r>
      <w:r w:rsidRPr="005C5718">
        <w:rPr>
          <w:rFonts w:ascii="Times New Roman" w:eastAsia="Times New Roman" w:hAnsi="Times New Roman" w:cs="Times New Roman"/>
          <w:szCs w:val="20"/>
        </w:rPr>
        <w:t>.</w:t>
      </w:r>
    </w:p>
    <w:p w:rsidR="00A638AF" w:rsidRDefault="005C5718" w:rsidP="005C5718">
      <w:r>
        <w:t>These</w:t>
      </w:r>
      <w:r w:rsidR="00E33558">
        <w:t xml:space="preserve"> site visit</w:t>
      </w:r>
      <w:r>
        <w:t xml:space="preserve"> interview guides </w:t>
      </w:r>
      <w:r w:rsidR="00A638AF">
        <w:t xml:space="preserve">will cover a wide range of topics that align with the AAI Logic Model. While the grantee survey will capture consistent information about grantee practices at a point in time, the site visits will document grantee practices at two points in time to better understand programs were implemented, what changed over time, challenges grantees faced in implementing their programs, and how they overcame barriers to implementation. </w:t>
      </w:r>
    </w:p>
    <w:p w:rsidR="004107BC" w:rsidRDefault="004107BC" w:rsidP="004107BC">
      <w:r w:rsidRPr="00C02B42">
        <w:rPr>
          <w:b/>
          <w:i/>
        </w:rPr>
        <w:t>Grantee Survey</w:t>
      </w:r>
      <w:r w:rsidR="00E33558">
        <w:rPr>
          <w:b/>
          <w:i/>
        </w:rPr>
        <w:t xml:space="preserve">.  </w:t>
      </w:r>
      <w:r>
        <w:rPr>
          <w:rFonts w:cstheme="minorHAnsi"/>
        </w:rPr>
        <w:t xml:space="preserve">The grantee survey will collect consistent information about apprenticeship programs from all 46 grantees and will support the implementation study. </w:t>
      </w:r>
      <w:r>
        <w:t xml:space="preserve">The survey </w:t>
      </w:r>
      <w:r>
        <w:rPr>
          <w:rFonts w:ascii="TimesNewRomanPSMT" w:hAnsi="TimesNewRomanPSMT" w:cs="TimesNewRomanPSMT"/>
          <w:szCs w:val="22"/>
        </w:rPr>
        <w:t>covers g</w:t>
      </w:r>
      <w:r>
        <w:t>rantee program context; program development; partners and their involvement; p</w:t>
      </w:r>
      <w:r w:rsidRPr="003846B1">
        <w:t>rogram implement</w:t>
      </w:r>
      <w:r>
        <w:t>ation</w:t>
      </w:r>
      <w:r w:rsidRPr="003846B1">
        <w:t xml:space="preserve">, including </w:t>
      </w:r>
      <w:r>
        <w:t xml:space="preserve">participant recruitment and services provided; employer engagement; and grantee perspectives on participant experiences. </w:t>
      </w:r>
    </w:p>
    <w:p w:rsidR="00A638AF" w:rsidRPr="00707708" w:rsidRDefault="00A638AF" w:rsidP="00A638AF">
      <w:pPr>
        <w:rPr>
          <w:rFonts w:cstheme="minorHAnsi"/>
        </w:rPr>
      </w:pPr>
      <w:r w:rsidRPr="00C02B42">
        <w:rPr>
          <w:b/>
          <w:i/>
        </w:rPr>
        <w:t>Management Information System (MIS)</w:t>
      </w:r>
      <w:r w:rsidR="00E33558">
        <w:rPr>
          <w:b/>
          <w:i/>
        </w:rPr>
        <w:t xml:space="preserve">. </w:t>
      </w:r>
      <w:r>
        <w:rPr>
          <w:rFonts w:cstheme="minorHAnsi"/>
        </w:rPr>
        <w:t>The MIS will be used by up to four grantees that DOL will select to be a part of an impact study that explores whether intensive marketing and outreach efforts to a randomly selected group of employers lead to an increase in employers sponsoring apprenticeship programs. Grantees will use the MIS to track contacts with employers, including the type of marketing and frequency of contacts, as well as services the grantee provides to the employer to help establish AAI apprenticeships. This data will be used to document the implementation of employer outreach activities. Specifically, it will provide information on the intensity of grantee efforts to engage employers in the treatment group. The key outcome for the employer outreach impact study is apprenticeship registration, and data on this will be collected from the AAI grants’ Quarterly Performance Results database for both treatment and control group members.</w:t>
      </w:r>
    </w:p>
    <w:p w:rsidR="00901EB1" w:rsidRDefault="00A638AF" w:rsidP="00901EB1">
      <w:pPr>
        <w:pStyle w:val="Heading4"/>
      </w:pPr>
      <w:r w:rsidRPr="00901EB1">
        <w:t xml:space="preserve">Users of Information </w:t>
      </w:r>
    </w:p>
    <w:p w:rsidR="00581C65" w:rsidRDefault="00A2459F" w:rsidP="00403F96">
      <w:r>
        <w:t xml:space="preserve">The AAI is a significant DOL investment to expand apprenticeship in the U.S., and the implementation study and </w:t>
      </w:r>
      <w:r w:rsidR="00D37213">
        <w:t>employer outreach impact study</w:t>
      </w:r>
      <w:r>
        <w:t xml:space="preserve"> will provide a wealth of information on creating and implementing apprenticeships to meet worker and employer needs. </w:t>
      </w:r>
      <w:r w:rsidR="00790C7A">
        <w:t>The immed</w:t>
      </w:r>
      <w:r w:rsidR="000A148F">
        <w:t xml:space="preserve">iate users of data collected </w:t>
      </w:r>
      <w:r w:rsidR="00790C7A">
        <w:t>will be</w:t>
      </w:r>
      <w:r w:rsidR="00D46C86">
        <w:t xml:space="preserve"> the</w:t>
      </w:r>
      <w:r w:rsidR="00790C7A">
        <w:t xml:space="preserve"> Abt Associates</w:t>
      </w:r>
      <w:r w:rsidR="00D46C86">
        <w:t xml:space="preserve"> evaluation team</w:t>
      </w:r>
      <w:r w:rsidR="00790C7A">
        <w:t>, who will use the data to</w:t>
      </w:r>
      <w:r w:rsidR="00D52184">
        <w:t xml:space="preserve"> </w:t>
      </w:r>
      <w:r w:rsidR="000479D6">
        <w:t>describe</w:t>
      </w:r>
      <w:r w:rsidR="000A148F">
        <w:t xml:space="preserve"> how the grants are being </w:t>
      </w:r>
      <w:r w:rsidR="00A26BE5">
        <w:t>implemented and</w:t>
      </w:r>
      <w:r w:rsidR="00D36D71">
        <w:t xml:space="preserve"> derive </w:t>
      </w:r>
      <w:r w:rsidR="00CA69B6">
        <w:t>lessons for developing</w:t>
      </w:r>
      <w:r w:rsidR="003F35DA">
        <w:t>, operating, and expanding apprenticeships</w:t>
      </w:r>
      <w:r w:rsidR="00362E83">
        <w:t xml:space="preserve">. </w:t>
      </w:r>
      <w:r w:rsidR="00D74A0E">
        <w:t xml:space="preserve">The data </w:t>
      </w:r>
      <w:r w:rsidR="00362E83">
        <w:t>will also</w:t>
      </w:r>
      <w:r w:rsidR="00CA69B6">
        <w:t xml:space="preserve"> build evidence </w:t>
      </w:r>
      <w:r w:rsidR="006A652D">
        <w:t xml:space="preserve">as to </w:t>
      </w:r>
      <w:r w:rsidR="000F0DE4">
        <w:t xml:space="preserve">how effective different </w:t>
      </w:r>
      <w:r w:rsidR="006A652D">
        <w:t xml:space="preserve">marketing and recruitment </w:t>
      </w:r>
      <w:r w:rsidR="000F0DE4">
        <w:t>approaches are in persuading more</w:t>
      </w:r>
      <w:r w:rsidR="006A652D">
        <w:t xml:space="preserve"> employers </w:t>
      </w:r>
      <w:r w:rsidR="000F0DE4">
        <w:t xml:space="preserve">to </w:t>
      </w:r>
      <w:r w:rsidR="006A652D">
        <w:t>offer apprenticeships.</w:t>
      </w:r>
      <w:r w:rsidR="00CA69B6">
        <w:t xml:space="preserve"> </w:t>
      </w:r>
    </w:p>
    <w:p w:rsidR="00D52184" w:rsidRPr="00B7123F" w:rsidRDefault="00581C65" w:rsidP="00A52527">
      <w:r>
        <w:t xml:space="preserve">Indirect users of </w:t>
      </w:r>
      <w:r w:rsidR="006A652D">
        <w:t xml:space="preserve">the </w:t>
      </w:r>
      <w:r>
        <w:t xml:space="preserve">data </w:t>
      </w:r>
      <w:r w:rsidR="006A652D">
        <w:t xml:space="preserve">collected </w:t>
      </w:r>
      <w:r w:rsidR="00D52184" w:rsidRPr="00B7123F">
        <w:t>includ</w:t>
      </w:r>
      <w:r w:rsidR="00F70050">
        <w:t>e</w:t>
      </w:r>
      <w:r w:rsidR="00D52184" w:rsidRPr="00B7123F">
        <w:t>:</w:t>
      </w:r>
    </w:p>
    <w:p w:rsidR="00D52184" w:rsidRPr="002F38F6" w:rsidRDefault="00D52184" w:rsidP="00C17BBF">
      <w:pPr>
        <w:pStyle w:val="Bullets"/>
        <w:numPr>
          <w:ilvl w:val="0"/>
          <w:numId w:val="15"/>
        </w:numPr>
      </w:pPr>
      <w:r w:rsidRPr="002F38F6">
        <w:t xml:space="preserve">DOL and other federal </w:t>
      </w:r>
      <w:r w:rsidR="00170CF9">
        <w:t>agency staff</w:t>
      </w:r>
    </w:p>
    <w:p w:rsidR="00D52184" w:rsidRDefault="00D52184" w:rsidP="00C17BBF">
      <w:pPr>
        <w:pStyle w:val="Bullets"/>
        <w:numPr>
          <w:ilvl w:val="0"/>
          <w:numId w:val="15"/>
        </w:numPr>
      </w:pPr>
      <w:r w:rsidRPr="002F38F6">
        <w:t>State and local workforce agencies</w:t>
      </w:r>
      <w:r w:rsidR="00374B7F">
        <w:t xml:space="preserve"> or apprenticeship systems</w:t>
      </w:r>
      <w:r w:rsidRPr="002F38F6">
        <w:t xml:space="preserve"> and organizations</w:t>
      </w:r>
      <w:r w:rsidR="00D74A0E">
        <w:t xml:space="preserve"> such as State Apprenticeship Agencies</w:t>
      </w:r>
    </w:p>
    <w:p w:rsidR="00374B7F" w:rsidRPr="002F38F6" w:rsidRDefault="00374B7F" w:rsidP="00C17BBF">
      <w:pPr>
        <w:pStyle w:val="Bullets"/>
        <w:numPr>
          <w:ilvl w:val="0"/>
          <w:numId w:val="15"/>
        </w:numPr>
      </w:pPr>
      <w:r>
        <w:t>Other sponsors of apprenticeships such as nonprofits, unions, and community colleges</w:t>
      </w:r>
    </w:p>
    <w:p w:rsidR="00D52184" w:rsidRPr="002F38F6" w:rsidRDefault="00D52184" w:rsidP="00C17BBF">
      <w:pPr>
        <w:pStyle w:val="Bullets"/>
        <w:numPr>
          <w:ilvl w:val="0"/>
          <w:numId w:val="15"/>
        </w:numPr>
      </w:pPr>
      <w:r w:rsidRPr="002F38F6">
        <w:t>Researchers</w:t>
      </w:r>
    </w:p>
    <w:p w:rsidR="00374B7F" w:rsidRDefault="00D52184" w:rsidP="00C17BBF">
      <w:pPr>
        <w:pStyle w:val="Bullets"/>
        <w:numPr>
          <w:ilvl w:val="0"/>
          <w:numId w:val="15"/>
        </w:numPr>
      </w:pPr>
      <w:r w:rsidRPr="002F38F6">
        <w:t xml:space="preserve">Policymakers at the </w:t>
      </w:r>
      <w:r w:rsidR="00D46C86">
        <w:t xml:space="preserve">local, </w:t>
      </w:r>
      <w:r w:rsidRPr="002F38F6">
        <w:t xml:space="preserve">state and federal levels of government looking to </w:t>
      </w:r>
      <w:r w:rsidR="00374B7F">
        <w:t>increase and expand apprenticeships</w:t>
      </w:r>
    </w:p>
    <w:p w:rsidR="00D52184" w:rsidRDefault="00D52184" w:rsidP="00C17BBF">
      <w:pPr>
        <w:pStyle w:val="Bullets"/>
        <w:numPr>
          <w:ilvl w:val="0"/>
          <w:numId w:val="15"/>
        </w:numPr>
      </w:pPr>
      <w:r w:rsidRPr="002F38F6">
        <w:t xml:space="preserve">Others interested in understanding the </w:t>
      </w:r>
      <w:r w:rsidR="00362E83">
        <w:t>experiences and lessons from expanding registered</w:t>
      </w:r>
      <w:r w:rsidRPr="002F38F6">
        <w:t xml:space="preserve"> </w:t>
      </w:r>
      <w:r w:rsidR="00374B7F">
        <w:t>apprenticeships</w:t>
      </w:r>
    </w:p>
    <w:p w:rsidR="00082700" w:rsidRDefault="00082700" w:rsidP="00FC7D6A">
      <w:pPr>
        <w:spacing w:after="0"/>
        <w:rPr>
          <w:szCs w:val="22"/>
        </w:rPr>
      </w:pPr>
    </w:p>
    <w:p w:rsidR="00BA7BA0" w:rsidRPr="00FC7D6A" w:rsidRDefault="00BA7BA0" w:rsidP="00FC7D6A">
      <w:pPr>
        <w:spacing w:after="0"/>
      </w:pPr>
      <w:r w:rsidRPr="002F38F6">
        <w:rPr>
          <w:szCs w:val="22"/>
        </w:rPr>
        <w:t xml:space="preserve">Finally, a Public Use File will be prepared and made available to </w:t>
      </w:r>
      <w:r w:rsidR="00D46C86">
        <w:rPr>
          <w:szCs w:val="22"/>
        </w:rPr>
        <w:t xml:space="preserve">future </w:t>
      </w:r>
      <w:r w:rsidRPr="002F38F6">
        <w:rPr>
          <w:szCs w:val="22"/>
        </w:rPr>
        <w:t>researchers.</w:t>
      </w:r>
    </w:p>
    <w:p w:rsidR="00A638AF" w:rsidRPr="00FC7D6A" w:rsidRDefault="00A638AF" w:rsidP="00FC7D6A">
      <w:pPr>
        <w:spacing w:after="0"/>
      </w:pPr>
    </w:p>
    <w:p w:rsidR="006F299B" w:rsidRDefault="006F299B" w:rsidP="008615B4">
      <w:pPr>
        <w:pStyle w:val="Heading2"/>
      </w:pPr>
      <w:bookmarkStart w:id="3" w:name="_Toc496269645"/>
      <w:r w:rsidRPr="001034D3">
        <w:t xml:space="preserve">A3: Improved </w:t>
      </w:r>
      <w:r w:rsidR="00222854">
        <w:t>I</w:t>
      </w:r>
      <w:r w:rsidR="00222854" w:rsidRPr="001034D3">
        <w:t xml:space="preserve">nformation </w:t>
      </w:r>
      <w:r w:rsidR="00222854">
        <w:t>Tech</w:t>
      </w:r>
      <w:r w:rsidR="00222854" w:rsidRPr="001034D3">
        <w:t xml:space="preserve">nology </w:t>
      </w:r>
      <w:r w:rsidR="00222854">
        <w:t>t</w:t>
      </w:r>
      <w:r w:rsidR="00222854" w:rsidRPr="001034D3">
        <w:t xml:space="preserve">o </w:t>
      </w:r>
      <w:r w:rsidR="00222854">
        <w:t>R</w:t>
      </w:r>
      <w:r w:rsidR="00222854" w:rsidRPr="001034D3">
        <w:t xml:space="preserve">educe </w:t>
      </w:r>
      <w:r w:rsidR="00222854">
        <w:t>B</w:t>
      </w:r>
      <w:r w:rsidR="00222854" w:rsidRPr="001034D3">
        <w:t>urden</w:t>
      </w:r>
      <w:bookmarkEnd w:id="3"/>
    </w:p>
    <w:p w:rsidR="000E6099" w:rsidRDefault="000E6099" w:rsidP="001532D9">
      <w:r>
        <w:t xml:space="preserve">The grantee survey and the MIS will each build in multiple technological elements to minimize burden. </w:t>
      </w:r>
    </w:p>
    <w:p w:rsidR="00A32567" w:rsidRDefault="00915717" w:rsidP="001532D9">
      <w:r>
        <w:t xml:space="preserve">The </w:t>
      </w:r>
      <w:r w:rsidRPr="00A32567">
        <w:rPr>
          <w:b/>
        </w:rPr>
        <w:t>grantee survey</w:t>
      </w:r>
      <w:r>
        <w:t xml:space="preserve"> will </w:t>
      </w:r>
      <w:r w:rsidR="00012399">
        <w:t>be administered online</w:t>
      </w:r>
      <w:r>
        <w:t>.</w:t>
      </w:r>
      <w:r w:rsidR="001532D9">
        <w:t xml:space="preserve"> </w:t>
      </w:r>
      <w:r w:rsidR="00A32567">
        <w:t>Burden-reducing features include:</w:t>
      </w:r>
    </w:p>
    <w:p w:rsidR="00A32567" w:rsidRPr="00F70050" w:rsidRDefault="00A32567" w:rsidP="00025699">
      <w:pPr>
        <w:pStyle w:val="ListParagraph"/>
        <w:numPr>
          <w:ilvl w:val="0"/>
          <w:numId w:val="8"/>
        </w:numPr>
        <w:rPr>
          <w:rFonts w:ascii="Times New Roman" w:hAnsi="Times New Roman" w:cs="Times New Roman"/>
        </w:rPr>
      </w:pPr>
      <w:r w:rsidRPr="00F70050">
        <w:rPr>
          <w:rFonts w:ascii="Times New Roman" w:hAnsi="Times New Roman" w:cs="Times New Roman"/>
          <w:b/>
        </w:rPr>
        <w:t>Secure personalized access.</w:t>
      </w:r>
      <w:r w:rsidRPr="00F70050">
        <w:rPr>
          <w:rFonts w:ascii="Times New Roman" w:hAnsi="Times New Roman" w:cs="Times New Roman"/>
        </w:rPr>
        <w:t xml:space="preserve"> </w:t>
      </w:r>
      <w:r w:rsidR="00012399" w:rsidRPr="00F70050">
        <w:rPr>
          <w:rFonts w:ascii="Times New Roman" w:hAnsi="Times New Roman" w:cs="Times New Roman"/>
        </w:rPr>
        <w:t xml:space="preserve">Each grantee </w:t>
      </w:r>
      <w:r w:rsidR="008B53EC" w:rsidRPr="00F70050">
        <w:rPr>
          <w:rFonts w:ascii="Times New Roman" w:hAnsi="Times New Roman" w:cs="Times New Roman"/>
        </w:rPr>
        <w:t xml:space="preserve">will receive a link and password to </w:t>
      </w:r>
      <w:r w:rsidR="00012399" w:rsidRPr="00F70050">
        <w:rPr>
          <w:rFonts w:ascii="Times New Roman" w:hAnsi="Times New Roman" w:cs="Times New Roman"/>
        </w:rPr>
        <w:t>the</w:t>
      </w:r>
      <w:r w:rsidR="008B53EC" w:rsidRPr="00F70050">
        <w:rPr>
          <w:rFonts w:ascii="Times New Roman" w:hAnsi="Times New Roman" w:cs="Times New Roman"/>
        </w:rPr>
        <w:t xml:space="preserve"> </w:t>
      </w:r>
      <w:r w:rsidR="002F7718" w:rsidRPr="00F70050">
        <w:rPr>
          <w:rFonts w:ascii="Times New Roman" w:hAnsi="Times New Roman" w:cs="Times New Roman"/>
        </w:rPr>
        <w:t>web-based grantee</w:t>
      </w:r>
      <w:r w:rsidR="008B53EC" w:rsidRPr="00F70050">
        <w:rPr>
          <w:rFonts w:ascii="Times New Roman" w:hAnsi="Times New Roman" w:cs="Times New Roman"/>
        </w:rPr>
        <w:t xml:space="preserve"> survey.</w:t>
      </w:r>
      <w:r w:rsidR="007859D7" w:rsidRPr="00F70050">
        <w:rPr>
          <w:rFonts w:ascii="Times New Roman" w:hAnsi="Times New Roman" w:cs="Times New Roman"/>
        </w:rPr>
        <w:t xml:space="preserve"> </w:t>
      </w:r>
      <w:r w:rsidR="008B53EC" w:rsidRPr="00F70050">
        <w:rPr>
          <w:rFonts w:ascii="Times New Roman" w:hAnsi="Times New Roman" w:cs="Times New Roman"/>
        </w:rPr>
        <w:t xml:space="preserve">The survey will be created </w:t>
      </w:r>
      <w:r w:rsidR="00012399" w:rsidRPr="00F70050">
        <w:rPr>
          <w:rFonts w:ascii="Times New Roman" w:hAnsi="Times New Roman" w:cs="Times New Roman"/>
        </w:rPr>
        <w:t xml:space="preserve">using </w:t>
      </w:r>
      <w:r w:rsidR="008B53EC" w:rsidRPr="00F70050">
        <w:rPr>
          <w:rFonts w:ascii="Times New Roman" w:hAnsi="Times New Roman" w:cs="Times New Roman"/>
        </w:rPr>
        <w:t xml:space="preserve">commercial software </w:t>
      </w:r>
      <w:r w:rsidR="00012399" w:rsidRPr="00F70050">
        <w:rPr>
          <w:rFonts w:ascii="Times New Roman" w:hAnsi="Times New Roman" w:cs="Times New Roman"/>
        </w:rPr>
        <w:t xml:space="preserve">that will </w:t>
      </w:r>
      <w:r w:rsidR="002F7718" w:rsidRPr="00F70050">
        <w:rPr>
          <w:rFonts w:ascii="Times New Roman" w:hAnsi="Times New Roman" w:cs="Times New Roman"/>
        </w:rPr>
        <w:t>allow grantees to answer questions at a time that suits them.</w:t>
      </w:r>
      <w:r w:rsidR="008B53EC" w:rsidRPr="00F70050">
        <w:rPr>
          <w:rFonts w:ascii="Times New Roman" w:hAnsi="Times New Roman" w:cs="Times New Roman"/>
        </w:rPr>
        <w:t xml:space="preserve"> </w:t>
      </w:r>
    </w:p>
    <w:p w:rsidR="00A32567" w:rsidRPr="00F70050" w:rsidRDefault="00A32567" w:rsidP="00025699">
      <w:pPr>
        <w:pStyle w:val="ListParagraph"/>
        <w:numPr>
          <w:ilvl w:val="0"/>
          <w:numId w:val="8"/>
        </w:numPr>
        <w:rPr>
          <w:rFonts w:ascii="Times New Roman" w:hAnsi="Times New Roman" w:cs="Times New Roman"/>
        </w:rPr>
      </w:pPr>
      <w:r w:rsidRPr="00F70050">
        <w:rPr>
          <w:rFonts w:ascii="Times New Roman" w:hAnsi="Times New Roman" w:cs="Times New Roman"/>
          <w:b/>
        </w:rPr>
        <w:t>A</w:t>
      </w:r>
      <w:r w:rsidR="008B53EC" w:rsidRPr="00F70050">
        <w:rPr>
          <w:rFonts w:ascii="Times New Roman" w:hAnsi="Times New Roman" w:cs="Times New Roman"/>
          <w:b/>
        </w:rPr>
        <w:t>utomated skip patterns</w:t>
      </w:r>
      <w:r w:rsidRPr="00F70050">
        <w:rPr>
          <w:rFonts w:ascii="Times New Roman" w:hAnsi="Times New Roman" w:cs="Times New Roman"/>
          <w:b/>
        </w:rPr>
        <w:t>.</w:t>
      </w:r>
      <w:r w:rsidR="008B53EC" w:rsidRPr="00F70050">
        <w:rPr>
          <w:rFonts w:ascii="Times New Roman" w:hAnsi="Times New Roman" w:cs="Times New Roman"/>
        </w:rPr>
        <w:t xml:space="preserve"> </w:t>
      </w:r>
      <w:r w:rsidRPr="00F70050">
        <w:rPr>
          <w:rFonts w:ascii="Times New Roman" w:hAnsi="Times New Roman" w:cs="Times New Roman"/>
        </w:rPr>
        <w:t xml:space="preserve">Skip logic </w:t>
      </w:r>
      <w:r w:rsidR="008B53EC" w:rsidRPr="00F70050">
        <w:rPr>
          <w:rFonts w:ascii="Times New Roman" w:hAnsi="Times New Roman" w:cs="Times New Roman"/>
        </w:rPr>
        <w:t xml:space="preserve">embedded in the survey place less of a burden on the respondent than the customary “if-then go to” instructions of a paper and pencil questionnaire. </w:t>
      </w:r>
      <w:r w:rsidRPr="00F70050">
        <w:rPr>
          <w:rFonts w:ascii="Times New Roman" w:hAnsi="Times New Roman" w:cs="Times New Roman"/>
        </w:rPr>
        <w:t>Including efficient skip patterns minimizes respondent burden by not asking inappropriate or non-applicable questions</w:t>
      </w:r>
    </w:p>
    <w:p w:rsidR="008B53EC" w:rsidRPr="00F70050" w:rsidRDefault="00A32567" w:rsidP="00025699">
      <w:pPr>
        <w:pStyle w:val="ListParagraph"/>
        <w:numPr>
          <w:ilvl w:val="0"/>
          <w:numId w:val="8"/>
        </w:numPr>
        <w:rPr>
          <w:rFonts w:ascii="Times New Roman" w:hAnsi="Times New Roman" w:cs="Times New Roman"/>
        </w:rPr>
      </w:pPr>
      <w:r w:rsidRPr="00F70050">
        <w:rPr>
          <w:rFonts w:ascii="Times New Roman" w:hAnsi="Times New Roman" w:cs="Times New Roman"/>
          <w:b/>
        </w:rPr>
        <w:t>Modularity.</w:t>
      </w:r>
      <w:r w:rsidRPr="00F70050">
        <w:rPr>
          <w:rFonts w:ascii="Times New Roman" w:hAnsi="Times New Roman" w:cs="Times New Roman"/>
        </w:rPr>
        <w:t xml:space="preserve"> </w:t>
      </w:r>
      <w:r w:rsidR="008B53EC" w:rsidRPr="00F70050">
        <w:rPr>
          <w:rFonts w:ascii="Times New Roman" w:hAnsi="Times New Roman" w:cs="Times New Roman"/>
        </w:rPr>
        <w:t xml:space="preserve">The </w:t>
      </w:r>
      <w:r w:rsidR="00012399" w:rsidRPr="00F70050">
        <w:rPr>
          <w:rFonts w:ascii="Times New Roman" w:hAnsi="Times New Roman" w:cs="Times New Roman"/>
        </w:rPr>
        <w:t xml:space="preserve">survey </w:t>
      </w:r>
      <w:r w:rsidR="008B53EC" w:rsidRPr="00F70050">
        <w:rPr>
          <w:rFonts w:ascii="Times New Roman" w:hAnsi="Times New Roman" w:cs="Times New Roman"/>
        </w:rPr>
        <w:t xml:space="preserve">will be in </w:t>
      </w:r>
      <w:r w:rsidR="00675E3E" w:rsidRPr="00F70050">
        <w:rPr>
          <w:rFonts w:ascii="Times New Roman" w:hAnsi="Times New Roman" w:cs="Times New Roman"/>
        </w:rPr>
        <w:t xml:space="preserve">a </w:t>
      </w:r>
      <w:r w:rsidR="008B53EC" w:rsidRPr="00F70050">
        <w:rPr>
          <w:rFonts w:ascii="Times New Roman" w:hAnsi="Times New Roman" w:cs="Times New Roman"/>
        </w:rPr>
        <w:t>modular format that allow</w:t>
      </w:r>
      <w:r w:rsidR="00675E3E" w:rsidRPr="00F70050">
        <w:rPr>
          <w:rFonts w:ascii="Times New Roman" w:hAnsi="Times New Roman" w:cs="Times New Roman"/>
        </w:rPr>
        <w:t>s</w:t>
      </w:r>
      <w:r w:rsidR="008B53EC" w:rsidRPr="00F70050">
        <w:rPr>
          <w:rFonts w:ascii="Times New Roman" w:hAnsi="Times New Roman" w:cs="Times New Roman"/>
        </w:rPr>
        <w:t xml:space="preserve"> the primary respondent to pass sections or questions on to other staff members who may be better equipped to address particular topics.</w:t>
      </w:r>
    </w:p>
    <w:p w:rsidR="00A32567" w:rsidRPr="00F70050" w:rsidRDefault="00A32567" w:rsidP="00025699">
      <w:pPr>
        <w:pStyle w:val="ListParagraph"/>
        <w:numPr>
          <w:ilvl w:val="0"/>
          <w:numId w:val="8"/>
        </w:numPr>
        <w:rPr>
          <w:rFonts w:ascii="Times New Roman" w:hAnsi="Times New Roman" w:cs="Times New Roman"/>
        </w:rPr>
      </w:pPr>
      <w:r w:rsidRPr="00F70050">
        <w:rPr>
          <w:rFonts w:ascii="Times New Roman" w:hAnsi="Times New Roman" w:cs="Times New Roman"/>
          <w:b/>
        </w:rPr>
        <w:t>Automated edit checks.</w:t>
      </w:r>
      <w:r w:rsidRPr="00F70050">
        <w:rPr>
          <w:rFonts w:ascii="Times New Roman" w:hAnsi="Times New Roman" w:cs="Times New Roman"/>
        </w:rPr>
        <w:t xml:space="preserve"> The computerized instrument will check for allowable ranges for quantity and range value questions, minimizing out of range or unallowable values. These eliminate entry errors that can require follow-up via phone calls to gather correct details.</w:t>
      </w:r>
    </w:p>
    <w:p w:rsidR="001817ED" w:rsidRPr="001817ED" w:rsidRDefault="001817ED" w:rsidP="001F7AEF">
      <w:pPr>
        <w:rPr>
          <w:szCs w:val="22"/>
        </w:rPr>
      </w:pPr>
      <w:r>
        <w:rPr>
          <w:szCs w:val="22"/>
        </w:rPr>
        <w:t xml:space="preserve">The evaluation team will use </w:t>
      </w:r>
      <w:r w:rsidRPr="00765ECE">
        <w:rPr>
          <w:szCs w:val="22"/>
        </w:rPr>
        <w:t xml:space="preserve">a </w:t>
      </w:r>
      <w:r w:rsidR="005B1D69" w:rsidRPr="00A32567">
        <w:rPr>
          <w:b/>
          <w:szCs w:val="22"/>
        </w:rPr>
        <w:t>w</w:t>
      </w:r>
      <w:r w:rsidRPr="00A32567">
        <w:rPr>
          <w:b/>
          <w:szCs w:val="22"/>
        </w:rPr>
        <w:t>eb-based MIS system</w:t>
      </w:r>
      <w:r>
        <w:rPr>
          <w:szCs w:val="22"/>
        </w:rPr>
        <w:t xml:space="preserve"> </w:t>
      </w:r>
      <w:r w:rsidR="00012399">
        <w:rPr>
          <w:szCs w:val="22"/>
        </w:rPr>
        <w:t xml:space="preserve">to collect </w:t>
      </w:r>
      <w:r w:rsidRPr="00765ECE">
        <w:rPr>
          <w:szCs w:val="22"/>
        </w:rPr>
        <w:t xml:space="preserve">uniform data elements </w:t>
      </w:r>
      <w:r w:rsidR="00012399">
        <w:rPr>
          <w:szCs w:val="22"/>
        </w:rPr>
        <w:t xml:space="preserve">from </w:t>
      </w:r>
      <w:r>
        <w:rPr>
          <w:szCs w:val="22"/>
        </w:rPr>
        <w:t xml:space="preserve">grantees involved in the </w:t>
      </w:r>
      <w:r w:rsidR="00D37213">
        <w:rPr>
          <w:szCs w:val="22"/>
        </w:rPr>
        <w:t xml:space="preserve">employer outreach impact </w:t>
      </w:r>
      <w:r>
        <w:rPr>
          <w:szCs w:val="22"/>
        </w:rPr>
        <w:t>study</w:t>
      </w:r>
      <w:r w:rsidRPr="00765ECE">
        <w:rPr>
          <w:szCs w:val="22"/>
        </w:rPr>
        <w:t>.</w:t>
      </w:r>
      <w:r w:rsidR="007859D7">
        <w:rPr>
          <w:szCs w:val="22"/>
        </w:rPr>
        <w:t xml:space="preserve"> </w:t>
      </w:r>
      <w:r w:rsidR="00D37213">
        <w:rPr>
          <w:szCs w:val="22"/>
        </w:rPr>
        <w:t xml:space="preserve">Up to </w:t>
      </w:r>
      <w:r>
        <w:rPr>
          <w:szCs w:val="22"/>
        </w:rPr>
        <w:t>four g</w:t>
      </w:r>
      <w:r w:rsidRPr="00765ECE">
        <w:rPr>
          <w:szCs w:val="22"/>
        </w:rPr>
        <w:t xml:space="preserve">rantees will </w:t>
      </w:r>
      <w:r w:rsidR="00012399">
        <w:rPr>
          <w:szCs w:val="22"/>
        </w:rPr>
        <w:t xml:space="preserve">use the electronic system to document contacts with employers and the type of activities they engage in with employers. The evaluation team </w:t>
      </w:r>
      <w:r w:rsidRPr="00765ECE">
        <w:rPr>
          <w:szCs w:val="22"/>
        </w:rPr>
        <w:t>will provide comprehensive training on how to upload</w:t>
      </w:r>
      <w:r w:rsidR="009B0292">
        <w:rPr>
          <w:szCs w:val="22"/>
        </w:rPr>
        <w:t xml:space="preserve"> and input</w:t>
      </w:r>
      <w:r w:rsidRPr="00765ECE">
        <w:rPr>
          <w:szCs w:val="22"/>
        </w:rPr>
        <w:t xml:space="preserve"> all rep</w:t>
      </w:r>
      <w:r w:rsidR="008213EA">
        <w:rPr>
          <w:szCs w:val="22"/>
        </w:rPr>
        <w:t>orting information</w:t>
      </w:r>
      <w:r w:rsidRPr="00765ECE">
        <w:rPr>
          <w:szCs w:val="22"/>
        </w:rPr>
        <w:t>.</w:t>
      </w:r>
      <w:r>
        <w:rPr>
          <w:szCs w:val="22"/>
        </w:rPr>
        <w:t xml:space="preserve"> The MIS will use</w:t>
      </w:r>
      <w:r w:rsidRPr="00765ECE">
        <w:rPr>
          <w:szCs w:val="22"/>
        </w:rPr>
        <w:t xml:space="preserve"> drop-down menus and response categories</w:t>
      </w:r>
      <w:r>
        <w:rPr>
          <w:szCs w:val="22"/>
        </w:rPr>
        <w:t xml:space="preserve"> to</w:t>
      </w:r>
      <w:r w:rsidRPr="00765ECE">
        <w:rPr>
          <w:szCs w:val="22"/>
        </w:rPr>
        <w:t xml:space="preserve"> minimize the data entry burden on grantee staff</w:t>
      </w:r>
      <w:r>
        <w:rPr>
          <w:szCs w:val="22"/>
        </w:rPr>
        <w:t>.</w:t>
      </w:r>
      <w:r w:rsidR="00012399">
        <w:rPr>
          <w:szCs w:val="22"/>
        </w:rPr>
        <w:t xml:space="preserve"> </w:t>
      </w:r>
    </w:p>
    <w:p w:rsidR="006F299B" w:rsidRDefault="006F299B" w:rsidP="008615B4">
      <w:pPr>
        <w:pStyle w:val="Heading2"/>
      </w:pPr>
      <w:bookmarkStart w:id="4" w:name="_Toc496269646"/>
      <w:r w:rsidRPr="006236E7">
        <w:t xml:space="preserve">A4: Efforts to </w:t>
      </w:r>
      <w:r w:rsidR="00222854" w:rsidRPr="006236E7">
        <w:t>Identify Duplication</w:t>
      </w:r>
      <w:bookmarkEnd w:id="4"/>
    </w:p>
    <w:p w:rsidR="00A2459F" w:rsidRDefault="00E435B5" w:rsidP="00576F3F">
      <w:pPr>
        <w:tabs>
          <w:tab w:val="left" w:pos="0"/>
          <w:tab w:val="left" w:pos="720"/>
          <w:tab w:val="left" w:pos="1094"/>
          <w:tab w:val="left" w:pos="1440"/>
          <w:tab w:val="left" w:pos="1800"/>
          <w:tab w:val="left" w:pos="8985"/>
        </w:tabs>
      </w:pPr>
      <w:r>
        <w:t xml:space="preserve">This will be the </w:t>
      </w:r>
      <w:r w:rsidR="002F7718">
        <w:t xml:space="preserve">first </w:t>
      </w:r>
      <w:r>
        <w:t xml:space="preserve">evaluation of </w:t>
      </w:r>
      <w:r w:rsidR="00431693">
        <w:t xml:space="preserve">the </w:t>
      </w:r>
      <w:r w:rsidR="00FA448D">
        <w:t>AAI</w:t>
      </w:r>
      <w:r w:rsidR="009B0292">
        <w:t xml:space="preserve"> grants</w:t>
      </w:r>
      <w:r w:rsidR="00431693">
        <w:t xml:space="preserve">. </w:t>
      </w:r>
      <w:r w:rsidR="002F7718">
        <w:t>Qualitative grantee</w:t>
      </w:r>
      <w:r w:rsidR="00012399">
        <w:t>-</w:t>
      </w:r>
      <w:r w:rsidR="002F7718">
        <w:t>level data that we request in this PRA package has not been collected before</w:t>
      </w:r>
      <w:r w:rsidR="00012399">
        <w:t xml:space="preserve"> and is not collected in other formats</w:t>
      </w:r>
      <w:r w:rsidR="00675E3E">
        <w:t xml:space="preserve"> or through other means</w:t>
      </w:r>
      <w:r w:rsidR="002F7718">
        <w:t xml:space="preserve">. In regards to the ICR for </w:t>
      </w:r>
      <w:r w:rsidR="00576F3F">
        <w:t xml:space="preserve">the </w:t>
      </w:r>
      <w:r w:rsidR="00012399">
        <w:t xml:space="preserve">implementation study site visit </w:t>
      </w:r>
      <w:r w:rsidR="006871E5">
        <w:t>interview</w:t>
      </w:r>
      <w:r w:rsidR="009B0292">
        <w:t xml:space="preserve"> guides</w:t>
      </w:r>
      <w:r w:rsidR="002F7718">
        <w:t xml:space="preserve">, </w:t>
      </w:r>
      <w:r w:rsidR="00B24BAF">
        <w:t xml:space="preserve">the protocols </w:t>
      </w:r>
      <w:r w:rsidR="00C00C24">
        <w:t xml:space="preserve">are designed </w:t>
      </w:r>
      <w:r w:rsidR="00B24BAF">
        <w:t xml:space="preserve">to complement </w:t>
      </w:r>
      <w:r w:rsidR="009B0292">
        <w:t xml:space="preserve">and build on </w:t>
      </w:r>
      <w:r w:rsidR="00B24BAF">
        <w:t xml:space="preserve">information provided by grantees in their </w:t>
      </w:r>
      <w:r w:rsidR="002F7718">
        <w:t xml:space="preserve">annual reports. </w:t>
      </w:r>
      <w:r w:rsidR="00AD7A8C">
        <w:t>In regards to the ICR</w:t>
      </w:r>
      <w:r w:rsidR="00012399">
        <w:t xml:space="preserve"> for</w:t>
      </w:r>
      <w:r w:rsidR="00AD7A8C">
        <w:t xml:space="preserve"> the grantee survey</w:t>
      </w:r>
      <w:r w:rsidR="002F7718">
        <w:t xml:space="preserve">, grantees </w:t>
      </w:r>
      <w:r w:rsidR="002F7718" w:rsidRPr="00A32924">
        <w:t xml:space="preserve">currently </w:t>
      </w:r>
      <w:r w:rsidR="002F7718">
        <w:t xml:space="preserve">submit </w:t>
      </w:r>
      <w:r w:rsidR="002F7718" w:rsidRPr="00A32924">
        <w:t xml:space="preserve">narrative quarterly reports to </w:t>
      </w:r>
      <w:r w:rsidR="002F7718">
        <w:t>DOL, but</w:t>
      </w:r>
      <w:r w:rsidR="00511CCB">
        <w:t xml:space="preserve"> they do not provide sufficient detail across implementation study topics. </w:t>
      </w:r>
      <w:r w:rsidR="00C00C24">
        <w:t>Grantees do provide information about their program activities in the</w:t>
      </w:r>
      <w:r w:rsidR="005376E8" w:rsidRPr="005376E8">
        <w:rPr>
          <w:szCs w:val="22"/>
        </w:rPr>
        <w:t xml:space="preserve"> </w:t>
      </w:r>
      <w:r w:rsidR="005376E8">
        <w:rPr>
          <w:szCs w:val="22"/>
        </w:rPr>
        <w:t xml:space="preserve">Quality Performance Results </w:t>
      </w:r>
      <w:r w:rsidR="00C00C24" w:rsidRPr="008213EA">
        <w:t>system</w:t>
      </w:r>
      <w:r w:rsidR="00C00C24">
        <w:t xml:space="preserve">, and the survey </w:t>
      </w:r>
      <w:r w:rsidR="00E9550E">
        <w:t>is designed to complement</w:t>
      </w:r>
      <w:r w:rsidR="001354F8">
        <w:t xml:space="preserve"> this data</w:t>
      </w:r>
      <w:r w:rsidR="00E9550E">
        <w:t xml:space="preserve"> </w:t>
      </w:r>
      <w:r w:rsidR="00511CCB">
        <w:t>by exploring study topics in further detail</w:t>
      </w:r>
      <w:r w:rsidR="00C00C24">
        <w:t xml:space="preserve">. </w:t>
      </w:r>
    </w:p>
    <w:p w:rsidR="00744C6D" w:rsidRDefault="00D64000" w:rsidP="00576F3F">
      <w:pPr>
        <w:tabs>
          <w:tab w:val="left" w:pos="0"/>
          <w:tab w:val="left" w:pos="720"/>
          <w:tab w:val="left" w:pos="1094"/>
          <w:tab w:val="left" w:pos="1440"/>
          <w:tab w:val="left" w:pos="1800"/>
          <w:tab w:val="left" w:pos="8985"/>
        </w:tabs>
      </w:pPr>
      <w:r>
        <w:t xml:space="preserve">Similarly, for the </w:t>
      </w:r>
      <w:r w:rsidR="00012399">
        <w:t>MIS</w:t>
      </w:r>
      <w:r>
        <w:t xml:space="preserve">, </w:t>
      </w:r>
      <w:r w:rsidR="00012399">
        <w:t xml:space="preserve">there is no other source to collect data on grantee interactions with employers. </w:t>
      </w:r>
      <w:r w:rsidR="009B0292">
        <w:t>It</w:t>
      </w:r>
      <w:r>
        <w:t xml:space="preserve"> is needed in order to collect data consistently across the four grantees involved in the </w:t>
      </w:r>
      <w:r w:rsidR="005A0D6F">
        <w:t>employer outreach impact study</w:t>
      </w:r>
      <w:r>
        <w:t xml:space="preserve">. </w:t>
      </w:r>
      <w:r w:rsidR="004B2DA1">
        <w:t>In order to reduce burden</w:t>
      </w:r>
      <w:r w:rsidR="00A07B08">
        <w:t>,</w:t>
      </w:r>
      <w:r w:rsidR="004B2DA1">
        <w:t xml:space="preserve"> the MIS will </w:t>
      </w:r>
      <w:r w:rsidR="00A2459F">
        <w:t xml:space="preserve">not collect information provided elsewhere. This includes information from the </w:t>
      </w:r>
      <w:r w:rsidR="005376E8">
        <w:rPr>
          <w:szCs w:val="22"/>
        </w:rPr>
        <w:t xml:space="preserve">Quality Performance Results </w:t>
      </w:r>
      <w:r w:rsidR="00A2459F">
        <w:t xml:space="preserve">about which employers </w:t>
      </w:r>
      <w:r w:rsidR="00744C6D">
        <w:t xml:space="preserve">sponsor apprenticeships and from the </w:t>
      </w:r>
      <w:r w:rsidR="005A0D6F">
        <w:t xml:space="preserve">workforce agency </w:t>
      </w:r>
      <w:r w:rsidR="001354F8">
        <w:t xml:space="preserve">or similar </w:t>
      </w:r>
      <w:r w:rsidR="00705B62">
        <w:t xml:space="preserve">database </w:t>
      </w:r>
      <w:r w:rsidR="00744C6D">
        <w:t>about employer size, industry and contact information.</w:t>
      </w:r>
      <w:r w:rsidR="00705B62">
        <w:t xml:space="preserve"> </w:t>
      </w:r>
    </w:p>
    <w:p w:rsidR="006F299B" w:rsidRDefault="006F299B" w:rsidP="008615B4">
      <w:pPr>
        <w:pStyle w:val="Heading2"/>
      </w:pPr>
      <w:bookmarkStart w:id="5" w:name="_Toc496269647"/>
      <w:r w:rsidRPr="004E0069">
        <w:t xml:space="preserve">A5: Involvement of </w:t>
      </w:r>
      <w:r w:rsidR="00222854" w:rsidRPr="004E0069">
        <w:t>Small Organizations</w:t>
      </w:r>
      <w:bookmarkEnd w:id="5"/>
    </w:p>
    <w:p w:rsidR="001C036E" w:rsidRDefault="00576F3F" w:rsidP="00B24BAF">
      <w:r>
        <w:t>T</w:t>
      </w:r>
      <w:r w:rsidR="001817ED" w:rsidRPr="001817ED">
        <w:t>he involvement of small businesses or other small entities that are not grantees or sub-grantees is</w:t>
      </w:r>
      <w:r w:rsidR="00D71E5D">
        <w:t xml:space="preserve"> expected to be </w:t>
      </w:r>
      <w:r w:rsidR="001817ED" w:rsidRPr="001817ED">
        <w:t>limited.</w:t>
      </w:r>
      <w:r w:rsidR="007859D7">
        <w:t xml:space="preserve"> </w:t>
      </w:r>
      <w:r w:rsidR="00D71E5D">
        <w:t xml:space="preserve">For the </w:t>
      </w:r>
      <w:r w:rsidR="005A0D6F">
        <w:t>employer outreach impact study</w:t>
      </w:r>
      <w:r w:rsidR="00D71E5D">
        <w:t>, grantees may market apprenticeships to small businesses, and these employers can choose whether or not to engage with the grantees.</w:t>
      </w:r>
      <w:r w:rsidR="007859D7">
        <w:t xml:space="preserve"> </w:t>
      </w:r>
      <w:r w:rsidR="00D71E5D">
        <w:t xml:space="preserve">Additionally, for the implementation study, interviews with grantee partners or employers may involve </w:t>
      </w:r>
      <w:r w:rsidR="00940EF4">
        <w:t>small business</w:t>
      </w:r>
      <w:r>
        <w:t>es</w:t>
      </w:r>
      <w:r w:rsidR="00940EF4">
        <w:t xml:space="preserve"> or </w:t>
      </w:r>
      <w:r w:rsidR="00F70050">
        <w:t>other small organizations</w:t>
      </w:r>
      <w:r w:rsidR="00940EF4">
        <w:t>.</w:t>
      </w:r>
      <w:r w:rsidR="00F70050">
        <w:t xml:space="preserve"> </w:t>
      </w:r>
      <w:r w:rsidR="00D71E5D">
        <w:t xml:space="preserve">For the interviews, </w:t>
      </w:r>
      <w:r w:rsidR="00940EF4">
        <w:t>no</w:t>
      </w:r>
      <w:r w:rsidR="00FA448D">
        <w:t xml:space="preserve"> information will be collected without </w:t>
      </w:r>
      <w:r w:rsidR="00B22E23">
        <w:t>their voluntary</w:t>
      </w:r>
      <w:r w:rsidR="00FA448D">
        <w:t xml:space="preserve"> </w:t>
      </w:r>
      <w:r w:rsidR="00940EF4">
        <w:t>consent and the discussion</w:t>
      </w:r>
      <w:r w:rsidR="00D71E5D">
        <w:t>s</w:t>
      </w:r>
      <w:r w:rsidR="00940EF4">
        <w:t xml:space="preserve"> would be limited to </w:t>
      </w:r>
      <w:r w:rsidR="00B022FA" w:rsidRPr="00B022FA">
        <w:t>60</w:t>
      </w:r>
      <w:r w:rsidR="00940EF4" w:rsidRPr="00B022FA">
        <w:t xml:space="preserve"> minutes</w:t>
      </w:r>
      <w:r w:rsidR="00940EF4">
        <w:t>.</w:t>
      </w:r>
      <w:r w:rsidR="001F298C">
        <w:t xml:space="preserve"> </w:t>
      </w:r>
      <w:r w:rsidR="00F225CD">
        <w:t>Only the minimal amount of data needed for this study will be collected.</w:t>
      </w:r>
    </w:p>
    <w:p w:rsidR="006F299B" w:rsidRPr="0087138F" w:rsidRDefault="006F299B" w:rsidP="008615B4">
      <w:pPr>
        <w:pStyle w:val="Heading2"/>
      </w:pPr>
      <w:bookmarkStart w:id="6" w:name="_Toc496269648"/>
      <w:r w:rsidRPr="0087138F">
        <w:t xml:space="preserve">A6: Consequences of </w:t>
      </w:r>
      <w:r w:rsidR="00222854" w:rsidRPr="0087138F">
        <w:t>Less Frequent Data Collection</w:t>
      </w:r>
      <w:bookmarkEnd w:id="6"/>
    </w:p>
    <w:p w:rsidR="00511CCB" w:rsidRDefault="00511CCB" w:rsidP="00511CCB">
      <w:pPr>
        <w:pStyle w:val="Bullets"/>
        <w:rPr>
          <w:rFonts w:cstheme="minorHAnsi"/>
        </w:rPr>
      </w:pPr>
      <w:r>
        <w:t xml:space="preserve">The grantee survey is a one-time data collection activity. </w:t>
      </w:r>
      <w:r>
        <w:rPr>
          <w:rFonts w:cstheme="minorHAnsi"/>
        </w:rPr>
        <w:t xml:space="preserve">The survey </w:t>
      </w:r>
      <w:r w:rsidRPr="00AD7A8C">
        <w:rPr>
          <w:rFonts w:cstheme="minorHAnsi"/>
        </w:rPr>
        <w:t>is critical to</w:t>
      </w:r>
      <w:r>
        <w:rPr>
          <w:rFonts w:cstheme="minorHAnsi"/>
        </w:rPr>
        <w:t xml:space="preserve"> the implementation study. It </w:t>
      </w:r>
      <w:r w:rsidRPr="00AD7A8C">
        <w:rPr>
          <w:rFonts w:cstheme="minorHAnsi"/>
        </w:rPr>
        <w:t>will</w:t>
      </w:r>
      <w:r>
        <w:rPr>
          <w:rFonts w:cstheme="minorHAnsi"/>
        </w:rPr>
        <w:t xml:space="preserve"> systematically</w:t>
      </w:r>
      <w:r w:rsidRPr="00AD7A8C">
        <w:rPr>
          <w:rFonts w:cstheme="minorHAnsi"/>
        </w:rPr>
        <w:t xml:space="preserve"> document</w:t>
      </w:r>
      <w:r>
        <w:rPr>
          <w:rFonts w:cstheme="minorHAnsi"/>
        </w:rPr>
        <w:t xml:space="preserve"> how all AAI-funded </w:t>
      </w:r>
      <w:r w:rsidRPr="00AD7A8C">
        <w:rPr>
          <w:rFonts w:cstheme="minorHAnsi"/>
        </w:rPr>
        <w:t>grant</w:t>
      </w:r>
      <w:r>
        <w:rPr>
          <w:rFonts w:cstheme="minorHAnsi"/>
        </w:rPr>
        <w:t>s operate</w:t>
      </w:r>
      <w:r w:rsidRPr="00AD7A8C">
        <w:rPr>
          <w:rFonts w:cstheme="minorHAnsi"/>
        </w:rPr>
        <w:t xml:space="preserve">. </w:t>
      </w:r>
      <w:r>
        <w:rPr>
          <w:rFonts w:cstheme="minorHAnsi"/>
        </w:rPr>
        <w:t xml:space="preserve">Without this information, the evaluators will not have details on the implementation of programs across all grantees. </w:t>
      </w:r>
    </w:p>
    <w:p w:rsidR="006D0D2D" w:rsidRPr="00216B09" w:rsidRDefault="00931283" w:rsidP="00AD7A8C">
      <w:pPr>
        <w:rPr>
          <w:rFonts w:cstheme="minorHAnsi"/>
        </w:rPr>
      </w:pPr>
      <w:r>
        <w:rPr>
          <w:rFonts w:cstheme="minorHAnsi"/>
        </w:rPr>
        <w:t xml:space="preserve">The two rounds of site visits to </w:t>
      </w:r>
      <w:r w:rsidR="00156D22">
        <w:rPr>
          <w:rFonts w:cstheme="minorHAnsi"/>
        </w:rPr>
        <w:t xml:space="preserve">approximately </w:t>
      </w:r>
      <w:r>
        <w:rPr>
          <w:rFonts w:cstheme="minorHAnsi"/>
        </w:rPr>
        <w:t xml:space="preserve">10 grantees will </w:t>
      </w:r>
      <w:r w:rsidR="00511CCB">
        <w:rPr>
          <w:rFonts w:cstheme="minorHAnsi"/>
        </w:rPr>
        <w:t xml:space="preserve">also </w:t>
      </w:r>
      <w:r>
        <w:rPr>
          <w:rFonts w:cstheme="minorHAnsi"/>
        </w:rPr>
        <w:t xml:space="preserve">be critical to the implementation study. </w:t>
      </w:r>
      <w:r w:rsidR="006E6FAA">
        <w:rPr>
          <w:rFonts w:cstheme="minorHAnsi"/>
        </w:rPr>
        <w:t>The two visits are timed to capture information about initial grant implementation</w:t>
      </w:r>
      <w:r>
        <w:rPr>
          <w:rFonts w:cstheme="minorHAnsi"/>
        </w:rPr>
        <w:t xml:space="preserve">, </w:t>
      </w:r>
      <w:r w:rsidR="006E6FAA">
        <w:rPr>
          <w:rFonts w:cstheme="minorHAnsi"/>
        </w:rPr>
        <w:t>changes made over time</w:t>
      </w:r>
      <w:r>
        <w:rPr>
          <w:rFonts w:cstheme="minorHAnsi"/>
        </w:rPr>
        <w:t xml:space="preserve"> and reasons for them, and plans to sustain activities following the end of the grant</w:t>
      </w:r>
      <w:r w:rsidR="006E6FAA">
        <w:rPr>
          <w:rFonts w:cstheme="minorHAnsi"/>
        </w:rPr>
        <w:t xml:space="preserve">. </w:t>
      </w:r>
      <w:r w:rsidR="00AD7A8C">
        <w:rPr>
          <w:rFonts w:cstheme="minorHAnsi"/>
        </w:rPr>
        <w:t xml:space="preserve">The first </w:t>
      </w:r>
      <w:r w:rsidR="00424637">
        <w:rPr>
          <w:rFonts w:cstheme="minorHAnsi"/>
        </w:rPr>
        <w:t xml:space="preserve">round </w:t>
      </w:r>
      <w:r w:rsidR="00415670">
        <w:rPr>
          <w:rFonts w:cstheme="minorHAnsi"/>
        </w:rPr>
        <w:t xml:space="preserve">of </w:t>
      </w:r>
      <w:r w:rsidR="00AD7A8C">
        <w:rPr>
          <w:rFonts w:cstheme="minorHAnsi"/>
        </w:rPr>
        <w:t>visits</w:t>
      </w:r>
      <w:r>
        <w:rPr>
          <w:rFonts w:cstheme="minorHAnsi"/>
        </w:rPr>
        <w:t xml:space="preserve"> will document services implemented as compared to </w:t>
      </w:r>
      <w:r w:rsidR="006D0D2D">
        <w:rPr>
          <w:rFonts w:cstheme="minorHAnsi"/>
        </w:rPr>
        <w:t>service</w:t>
      </w:r>
      <w:r>
        <w:rPr>
          <w:rFonts w:cstheme="minorHAnsi"/>
        </w:rPr>
        <w:t>s outlined in the grant application.</w:t>
      </w:r>
      <w:r w:rsidR="00AD7A8C">
        <w:rPr>
          <w:rFonts w:cstheme="minorHAnsi"/>
        </w:rPr>
        <w:t xml:space="preserve"> The second round of visits will occur when grantee</w:t>
      </w:r>
      <w:r w:rsidR="006D0D2D">
        <w:rPr>
          <w:rFonts w:cstheme="minorHAnsi"/>
        </w:rPr>
        <w:t xml:space="preserve"> operations are mature and planning is underway for </w:t>
      </w:r>
      <w:r w:rsidR="00AD7A8C">
        <w:rPr>
          <w:rFonts w:cstheme="minorHAnsi"/>
        </w:rPr>
        <w:t xml:space="preserve">sustainability. </w:t>
      </w:r>
      <w:r>
        <w:rPr>
          <w:rFonts w:cstheme="minorHAnsi"/>
        </w:rPr>
        <w:t>The in-depth information gathered during the s</w:t>
      </w:r>
      <w:r w:rsidR="006D0D2D">
        <w:rPr>
          <w:rFonts w:cstheme="minorHAnsi"/>
        </w:rPr>
        <w:t>ite visits</w:t>
      </w:r>
      <w:r w:rsidR="00511CCB">
        <w:rPr>
          <w:rFonts w:cstheme="minorHAnsi"/>
        </w:rPr>
        <w:t xml:space="preserve"> will complement the information gathered from the survey. The additional detail captured by the visits</w:t>
      </w:r>
      <w:r w:rsidR="006D0D2D">
        <w:rPr>
          <w:rFonts w:cstheme="minorHAnsi"/>
        </w:rPr>
        <w:t xml:space="preserve"> will help to explain findings for </w:t>
      </w:r>
      <w:r w:rsidR="00511CCB">
        <w:rPr>
          <w:rFonts w:cstheme="minorHAnsi"/>
        </w:rPr>
        <w:t>the</w:t>
      </w:r>
      <w:r>
        <w:rPr>
          <w:rFonts w:cstheme="minorHAnsi"/>
        </w:rPr>
        <w:t xml:space="preserve"> </w:t>
      </w:r>
      <w:r w:rsidR="006D0D2D">
        <w:rPr>
          <w:rFonts w:cstheme="minorHAnsi"/>
        </w:rPr>
        <w:t>sub-studies.</w:t>
      </w:r>
      <w:r w:rsidR="007859D7">
        <w:rPr>
          <w:rFonts w:cstheme="minorHAnsi"/>
        </w:rPr>
        <w:t xml:space="preserve"> </w:t>
      </w:r>
      <w:r w:rsidR="006D0D2D">
        <w:rPr>
          <w:rFonts w:cstheme="minorHAnsi"/>
        </w:rPr>
        <w:t xml:space="preserve">Without </w:t>
      </w:r>
      <w:r>
        <w:rPr>
          <w:rFonts w:cstheme="minorHAnsi"/>
        </w:rPr>
        <w:t>these visits, the evaluation team would not be able to capture the evolving nature of program services, as well as document challenges and their solutions.</w:t>
      </w:r>
      <w:r w:rsidR="007859D7">
        <w:rPr>
          <w:rFonts w:cstheme="minorHAnsi"/>
        </w:rPr>
        <w:t xml:space="preserve"> </w:t>
      </w:r>
    </w:p>
    <w:p w:rsidR="0011489C" w:rsidRDefault="0011489C" w:rsidP="00AD7A8C">
      <w:pPr>
        <w:pStyle w:val="Bullets"/>
      </w:pPr>
      <w:r>
        <w:t xml:space="preserve">The MIS will be used by </w:t>
      </w:r>
      <w:r w:rsidR="003B1284">
        <w:t xml:space="preserve">staff of </w:t>
      </w:r>
      <w:r>
        <w:t>the</w:t>
      </w:r>
      <w:r w:rsidR="00D37213">
        <w:t xml:space="preserve"> up to</w:t>
      </w:r>
      <w:r>
        <w:t xml:space="preserve"> four </w:t>
      </w:r>
      <w:r w:rsidR="003B1284">
        <w:t xml:space="preserve">participating </w:t>
      </w:r>
      <w:r>
        <w:t>grantees</w:t>
      </w:r>
      <w:r w:rsidR="003B1284">
        <w:t xml:space="preserve"> to document contact with employers and activities to help interested employers plan, register and implement apprenticeships. Grantee staff will enter information for the duration of the </w:t>
      </w:r>
      <w:r w:rsidR="00D37213">
        <w:t>study</w:t>
      </w:r>
      <w:r w:rsidR="003B1284">
        <w:t xml:space="preserve">, which is expected to last </w:t>
      </w:r>
      <w:r w:rsidR="008A6EAF">
        <w:t xml:space="preserve">about </w:t>
      </w:r>
      <w:r w:rsidR="003B1284">
        <w:t>24 months.</w:t>
      </w:r>
      <w:r w:rsidR="007859D7">
        <w:t xml:space="preserve"> </w:t>
      </w:r>
      <w:r w:rsidR="001817ED">
        <w:t xml:space="preserve">The information that is collected from grantees </w:t>
      </w:r>
      <w:r w:rsidR="0037492E">
        <w:t xml:space="preserve">through the MIS </w:t>
      </w:r>
      <w:r w:rsidR="001817ED">
        <w:t xml:space="preserve">is </w:t>
      </w:r>
      <w:r w:rsidR="0037492E">
        <w:t>essential</w:t>
      </w:r>
      <w:r w:rsidR="001817ED">
        <w:t xml:space="preserve"> to </w:t>
      </w:r>
      <w:r w:rsidR="0037492E">
        <w:t>the study</w:t>
      </w:r>
      <w:r w:rsidR="00801885">
        <w:t xml:space="preserve"> </w:t>
      </w:r>
      <w:r w:rsidR="0037492E">
        <w:t xml:space="preserve">because the </w:t>
      </w:r>
      <w:r w:rsidR="00415670">
        <w:t>data</w:t>
      </w:r>
      <w:r w:rsidR="0037492E">
        <w:t xml:space="preserve"> </w:t>
      </w:r>
      <w:r w:rsidR="00931283">
        <w:t xml:space="preserve">on number of contacts, nature of employer outreach, and services provided to employers to help them offer apprenticeships is not available </w:t>
      </w:r>
      <w:r w:rsidR="0037492E">
        <w:t>from any other source</w:t>
      </w:r>
      <w:r w:rsidR="003B1284">
        <w:t xml:space="preserve">. </w:t>
      </w:r>
      <w:r w:rsidR="00931283">
        <w:t xml:space="preserve">Employer engagement is a key factor that limits the number of apprenticeships available, and the information captured in the MIS will help DOL learn </w:t>
      </w:r>
      <w:r w:rsidR="00415670">
        <w:t>the effectiveness of</w:t>
      </w:r>
      <w:r w:rsidR="00931283">
        <w:t xml:space="preserve"> different </w:t>
      </w:r>
      <w:r w:rsidR="00415670">
        <w:t>marketing</w:t>
      </w:r>
      <w:r w:rsidR="00931283">
        <w:t xml:space="preserve"> and </w:t>
      </w:r>
      <w:r w:rsidR="00415670">
        <w:t>outreach</w:t>
      </w:r>
      <w:r w:rsidR="00931283">
        <w:t xml:space="preserve"> approaches to </w:t>
      </w:r>
      <w:r w:rsidR="00415670">
        <w:t>employers.</w:t>
      </w:r>
      <w:r w:rsidR="007859D7">
        <w:t xml:space="preserve"> </w:t>
      </w:r>
    </w:p>
    <w:p w:rsidR="006F299B" w:rsidRDefault="006F299B" w:rsidP="008615B4">
      <w:pPr>
        <w:pStyle w:val="Heading2"/>
      </w:pPr>
      <w:bookmarkStart w:id="7" w:name="_Toc496269649"/>
      <w:r w:rsidRPr="001034D3">
        <w:t xml:space="preserve">A7: Special </w:t>
      </w:r>
      <w:r w:rsidR="00911BD5">
        <w:t>C</w:t>
      </w:r>
      <w:r w:rsidRPr="001034D3">
        <w:t>ircumstances</w:t>
      </w:r>
      <w:bookmarkEnd w:id="7"/>
    </w:p>
    <w:p w:rsidR="006F299B" w:rsidRPr="00E001CD" w:rsidRDefault="006F299B" w:rsidP="006F299B">
      <w:r>
        <w:t xml:space="preserve">There are no special circumstances for the proposed data collection. </w:t>
      </w:r>
    </w:p>
    <w:p w:rsidR="006F299B" w:rsidRDefault="006F299B" w:rsidP="008615B4">
      <w:pPr>
        <w:pStyle w:val="Heading2"/>
      </w:pPr>
      <w:bookmarkStart w:id="8" w:name="_Toc496269650"/>
      <w:r w:rsidRPr="001034D3">
        <w:t xml:space="preserve">A8: FRN and </w:t>
      </w:r>
      <w:r w:rsidR="00911BD5">
        <w:t>C</w:t>
      </w:r>
      <w:r w:rsidRPr="001034D3">
        <w:t>onsultation</w:t>
      </w:r>
      <w:bookmarkEnd w:id="8"/>
    </w:p>
    <w:p w:rsidR="00762DD6" w:rsidRPr="00762DD6" w:rsidRDefault="00762DD6" w:rsidP="00762DD6">
      <w:pPr>
        <w:pStyle w:val="Heading4"/>
      </w:pPr>
      <w:r>
        <w:t>Federal Register Notice and Comments</w:t>
      </w:r>
    </w:p>
    <w:p w:rsidR="007D0999" w:rsidRDefault="006F299B" w:rsidP="0023653E">
      <w:pPr>
        <w:pStyle w:val="Heading4"/>
        <w:rPr>
          <w:rFonts w:ascii="Times New Roman" w:hAnsi="Times New Roman"/>
          <w:b w:val="0"/>
          <w:color w:val="auto"/>
          <w:sz w:val="22"/>
        </w:rPr>
      </w:pPr>
      <w:r w:rsidRPr="007D0999">
        <w:rPr>
          <w:rFonts w:ascii="Times New Roman" w:hAnsi="Times New Roman"/>
          <w:b w:val="0"/>
          <w:color w:val="auto"/>
          <w:sz w:val="22"/>
        </w:rPr>
        <w:t xml:space="preserve">In accordance with the Paperwork Reduction Act of 1995 (Pub. L. 104-13 and Office of Management and Budget (OMB) regulations at 5 CFR Part 1320 (60 FR 44978, August 29, 1995)), </w:t>
      </w:r>
      <w:r w:rsidR="00FB1945" w:rsidRPr="007D0999">
        <w:rPr>
          <w:rFonts w:ascii="Times New Roman" w:hAnsi="Times New Roman"/>
          <w:b w:val="0"/>
          <w:color w:val="auto"/>
          <w:sz w:val="22"/>
        </w:rPr>
        <w:t>DOL</w:t>
      </w:r>
      <w:r w:rsidRPr="007D0999">
        <w:rPr>
          <w:rFonts w:ascii="Times New Roman" w:hAnsi="Times New Roman"/>
          <w:b w:val="0"/>
          <w:color w:val="auto"/>
          <w:sz w:val="22"/>
        </w:rPr>
        <w:t xml:space="preserve"> published a notice in the Federal Register announcing the agency’s intention to request an OMB review of this information collection activity. This notice was published on </w:t>
      </w:r>
      <w:r w:rsidR="00801885" w:rsidRPr="007D0999">
        <w:rPr>
          <w:rFonts w:ascii="Times New Roman" w:hAnsi="Times New Roman"/>
          <w:b w:val="0"/>
          <w:color w:val="auto"/>
          <w:sz w:val="22"/>
        </w:rPr>
        <w:t>September 13, 2017</w:t>
      </w:r>
      <w:r w:rsidRPr="007D0999">
        <w:rPr>
          <w:rFonts w:ascii="Times New Roman" w:hAnsi="Times New Roman"/>
          <w:b w:val="0"/>
          <w:color w:val="auto"/>
          <w:sz w:val="22"/>
        </w:rPr>
        <w:t>, Volume</w:t>
      </w:r>
      <w:r w:rsidR="00801885" w:rsidRPr="007D0999">
        <w:rPr>
          <w:rFonts w:ascii="Times New Roman" w:hAnsi="Times New Roman"/>
          <w:b w:val="0"/>
          <w:color w:val="auto"/>
          <w:sz w:val="22"/>
        </w:rPr>
        <w:t>. 82</w:t>
      </w:r>
      <w:r w:rsidRPr="007D0999">
        <w:rPr>
          <w:rFonts w:ascii="Times New Roman" w:hAnsi="Times New Roman"/>
          <w:b w:val="0"/>
          <w:color w:val="auto"/>
          <w:sz w:val="22"/>
        </w:rPr>
        <w:t>, N</w:t>
      </w:r>
      <w:r w:rsidR="00801885" w:rsidRPr="007D0999">
        <w:rPr>
          <w:rFonts w:ascii="Times New Roman" w:hAnsi="Times New Roman"/>
          <w:b w:val="0"/>
          <w:color w:val="auto"/>
          <w:sz w:val="22"/>
        </w:rPr>
        <w:t>o. 176</w:t>
      </w:r>
      <w:r w:rsidRPr="007D0999">
        <w:rPr>
          <w:rFonts w:ascii="Times New Roman" w:hAnsi="Times New Roman"/>
          <w:b w:val="0"/>
          <w:color w:val="auto"/>
          <w:sz w:val="22"/>
        </w:rPr>
        <w:t>, page</w:t>
      </w:r>
      <w:r w:rsidR="00801885" w:rsidRPr="007D0999">
        <w:rPr>
          <w:rFonts w:ascii="Times New Roman" w:hAnsi="Times New Roman"/>
          <w:b w:val="0"/>
          <w:color w:val="auto"/>
          <w:sz w:val="22"/>
        </w:rPr>
        <w:t xml:space="preserve"> 43038</w:t>
      </w:r>
      <w:r w:rsidRPr="007D0999">
        <w:rPr>
          <w:rFonts w:ascii="Times New Roman" w:hAnsi="Times New Roman"/>
          <w:b w:val="0"/>
          <w:color w:val="auto"/>
          <w:sz w:val="22"/>
        </w:rPr>
        <w:t xml:space="preserve"> and provided a </w:t>
      </w:r>
      <w:r w:rsidR="000C484C" w:rsidRPr="007D0999">
        <w:rPr>
          <w:rFonts w:ascii="Times New Roman" w:hAnsi="Times New Roman"/>
          <w:b w:val="0"/>
          <w:color w:val="auto"/>
          <w:sz w:val="22"/>
        </w:rPr>
        <w:t>60</w:t>
      </w:r>
      <w:r w:rsidR="00B60011" w:rsidRPr="007D0999">
        <w:rPr>
          <w:rFonts w:ascii="Times New Roman" w:hAnsi="Times New Roman"/>
          <w:b w:val="0"/>
          <w:color w:val="auto"/>
          <w:sz w:val="22"/>
        </w:rPr>
        <w:t>-</w:t>
      </w:r>
      <w:r w:rsidRPr="007D0999">
        <w:rPr>
          <w:rFonts w:ascii="Times New Roman" w:hAnsi="Times New Roman"/>
          <w:b w:val="0"/>
          <w:color w:val="auto"/>
          <w:sz w:val="22"/>
        </w:rPr>
        <w:t>day period for public comment.</w:t>
      </w:r>
      <w:r w:rsidR="007859D7" w:rsidRPr="007D0999">
        <w:rPr>
          <w:rFonts w:ascii="Times New Roman" w:hAnsi="Times New Roman"/>
          <w:b w:val="0"/>
          <w:color w:val="auto"/>
          <w:sz w:val="22"/>
        </w:rPr>
        <w:t xml:space="preserve"> </w:t>
      </w:r>
      <w:r w:rsidR="001F298C" w:rsidRPr="007D0999">
        <w:rPr>
          <w:rFonts w:ascii="Times New Roman" w:hAnsi="Times New Roman"/>
          <w:b w:val="0"/>
          <w:color w:val="auto"/>
          <w:sz w:val="22"/>
        </w:rPr>
        <w:t xml:space="preserve">No public comments were received. </w:t>
      </w:r>
    </w:p>
    <w:p w:rsidR="001B059C" w:rsidRPr="001B059C" w:rsidRDefault="001B059C" w:rsidP="0023653E">
      <w:pPr>
        <w:pStyle w:val="Heading4"/>
      </w:pPr>
    </w:p>
    <w:p w:rsidR="00762DD6" w:rsidRPr="00762DD6" w:rsidRDefault="00762DD6" w:rsidP="0023653E">
      <w:pPr>
        <w:pStyle w:val="Heading4"/>
      </w:pPr>
      <w:r w:rsidRPr="00762DD6">
        <w:t>Consultation with Experts Outside of the Study</w:t>
      </w:r>
    </w:p>
    <w:p w:rsidR="001F298C" w:rsidRDefault="003B51EC" w:rsidP="001354F8">
      <w:pPr>
        <w:pStyle w:val="BodyText"/>
      </w:pPr>
      <w:r>
        <w:t xml:space="preserve">The evaluation team </w:t>
      </w:r>
      <w:r w:rsidR="001354F8">
        <w:t xml:space="preserve">consulted with members of the project Technical Work Group on the evaluation design and </w:t>
      </w:r>
      <w:r>
        <w:t>data collection tools</w:t>
      </w:r>
      <w:r w:rsidR="001354F8">
        <w:t xml:space="preserve">: </w:t>
      </w:r>
      <w:r w:rsidR="001354F8" w:rsidRPr="001354F8">
        <w:t xml:space="preserve"> </w:t>
      </w:r>
    </w:p>
    <w:p w:rsidR="005350F4" w:rsidRDefault="001354F8" w:rsidP="00025699">
      <w:pPr>
        <w:pStyle w:val="BodyText"/>
        <w:numPr>
          <w:ilvl w:val="0"/>
          <w:numId w:val="11"/>
        </w:numPr>
      </w:pPr>
      <w:r>
        <w:t xml:space="preserve">Carolyn Heinrich, Professor of Public Policy, Education and Economics, Vanderbilt University; Research Professor at the Lyndon B. Johnson School of Public Affairs at University of Texas Austin; </w:t>
      </w:r>
    </w:p>
    <w:p w:rsidR="005350F4" w:rsidRDefault="001354F8" w:rsidP="00025699">
      <w:pPr>
        <w:pStyle w:val="BodyText"/>
        <w:numPr>
          <w:ilvl w:val="0"/>
          <w:numId w:val="11"/>
        </w:numPr>
      </w:pPr>
      <w:r>
        <w:t xml:space="preserve">Harry Holzer, Professor, McCourt School of Public Policy, Georgetown University; Nonresident Senior Fellow of Economic Studies, Brookings Institution; </w:t>
      </w:r>
    </w:p>
    <w:p w:rsidR="005350F4" w:rsidRDefault="001354F8" w:rsidP="00025699">
      <w:pPr>
        <w:pStyle w:val="BodyText"/>
        <w:numPr>
          <w:ilvl w:val="0"/>
          <w:numId w:val="11"/>
        </w:numPr>
      </w:pPr>
      <w:r>
        <w:t xml:space="preserve">Chris King, Senior </w:t>
      </w:r>
      <w:r w:rsidR="001A63B4">
        <w:t>R</w:t>
      </w:r>
      <w:r>
        <w:t xml:space="preserve">esearch </w:t>
      </w:r>
      <w:r w:rsidR="001A63B4">
        <w:t>S</w:t>
      </w:r>
      <w:r>
        <w:t xml:space="preserve">cientist, Ray Marshall Center and Lecturer at the Lyndon B. Johnson School of Public Affairs, University of Texas Austin; and </w:t>
      </w:r>
    </w:p>
    <w:p w:rsidR="00762DD6" w:rsidRDefault="001354F8" w:rsidP="00025699">
      <w:pPr>
        <w:pStyle w:val="BodyText"/>
        <w:numPr>
          <w:ilvl w:val="0"/>
          <w:numId w:val="11"/>
        </w:numPr>
      </w:pPr>
      <w:r>
        <w:t>Stefan Wolter, Managing Director, Swiss Coordination Centre for Research in Education; Professor of Economics at the University of Bern.</w:t>
      </w:r>
    </w:p>
    <w:p w:rsidR="006F299B" w:rsidRDefault="006F299B" w:rsidP="008615B4">
      <w:pPr>
        <w:pStyle w:val="Heading2"/>
      </w:pPr>
      <w:bookmarkStart w:id="9" w:name="_Toc496269651"/>
      <w:r>
        <w:t>A</w:t>
      </w:r>
      <w:r w:rsidRPr="001034D3">
        <w:t xml:space="preserve">9: Payment of </w:t>
      </w:r>
      <w:r w:rsidR="00911BD5">
        <w:t>R</w:t>
      </w:r>
      <w:r w:rsidRPr="001034D3">
        <w:t>espondents</w:t>
      </w:r>
      <w:bookmarkEnd w:id="9"/>
    </w:p>
    <w:p w:rsidR="005434E8" w:rsidRDefault="0023653E" w:rsidP="005434E8">
      <w:r>
        <w:t>Respondents</w:t>
      </w:r>
      <w:r w:rsidR="00D37213">
        <w:t xml:space="preserve"> will not receive payment</w:t>
      </w:r>
      <w:r>
        <w:t>s</w:t>
      </w:r>
      <w:r w:rsidR="00D37213">
        <w:t xml:space="preserve">. </w:t>
      </w:r>
    </w:p>
    <w:p w:rsidR="006F299B" w:rsidRDefault="006F299B" w:rsidP="005434E8">
      <w:pPr>
        <w:pStyle w:val="Heading2"/>
      </w:pPr>
      <w:bookmarkStart w:id="10" w:name="_Toc496269652"/>
      <w:r w:rsidRPr="00D534E2">
        <w:t xml:space="preserve">A10: </w:t>
      </w:r>
      <w:r w:rsidR="00B14813">
        <w:t>Privacy</w:t>
      </w:r>
      <w:r w:rsidR="00B14813" w:rsidRPr="00D534E2">
        <w:t xml:space="preserve"> </w:t>
      </w:r>
      <w:r w:rsidRPr="00D534E2">
        <w:t xml:space="preserve">of </w:t>
      </w:r>
      <w:r w:rsidR="00911BD5">
        <w:t>R</w:t>
      </w:r>
      <w:r w:rsidRPr="00D534E2">
        <w:t>espondents</w:t>
      </w:r>
      <w:bookmarkEnd w:id="10"/>
    </w:p>
    <w:p w:rsidR="005434E8" w:rsidRPr="005434E8" w:rsidRDefault="00B32E92" w:rsidP="0011314C">
      <w:pPr>
        <w:pStyle w:val="Bullets"/>
      </w:pPr>
      <w:r>
        <w:t xml:space="preserve">Staff with </w:t>
      </w:r>
      <w:r w:rsidR="005434E8">
        <w:t>Abt Associates, the prime contractor, and its subcontractors</w:t>
      </w:r>
      <w:r>
        <w:t xml:space="preserve"> signed contractor confidentiality/non-disclosure agreements (NDAs) with DOL. </w:t>
      </w:r>
    </w:p>
    <w:p w:rsidR="006A0712" w:rsidRDefault="001C036E" w:rsidP="0011314C">
      <w:pPr>
        <w:pStyle w:val="Bullets"/>
      </w:pPr>
      <w:r>
        <w:t>T</w:t>
      </w:r>
      <w:r w:rsidR="00AB4BAB">
        <w:t>o protect site visit respondent</w:t>
      </w:r>
      <w:r>
        <w:t>s</w:t>
      </w:r>
      <w:r w:rsidR="00AB4BAB">
        <w:t>’</w:t>
      </w:r>
      <w:r>
        <w:t xml:space="preserve"> privacy, all hard copies of site visitor notes will be stored in a locked file cabinet </w:t>
      </w:r>
      <w:r w:rsidR="00806539">
        <w:t xml:space="preserve">at Abt Associates </w:t>
      </w:r>
      <w:r>
        <w:t>when not in use. Electronic versions of site visitor not</w:t>
      </w:r>
      <w:r w:rsidR="0011314C">
        <w:t>es will be stored on a password</w:t>
      </w:r>
      <w:r w:rsidR="0011314C" w:rsidRPr="00AD7A8C">
        <w:rPr>
          <w:i/>
        </w:rPr>
        <w:t xml:space="preserve"> </w:t>
      </w:r>
      <w:r>
        <w:t xml:space="preserve">protected drive set up by </w:t>
      </w:r>
      <w:r w:rsidR="00806539">
        <w:t xml:space="preserve">the </w:t>
      </w:r>
      <w:r>
        <w:t>IT department</w:t>
      </w:r>
      <w:r w:rsidR="00806539">
        <w:t>s at Abt and each of the subcontractors involved with this evaluation</w:t>
      </w:r>
      <w:r>
        <w:t xml:space="preserve">. Access to this drive will be limited to research staff members who are working on the project and have signed the </w:t>
      </w:r>
      <w:r w:rsidR="008F0C64">
        <w:t>non-disclosure agreement</w:t>
      </w:r>
      <w:r>
        <w:t xml:space="preserve">. </w:t>
      </w:r>
    </w:p>
    <w:p w:rsidR="006F299B" w:rsidRPr="004205E1" w:rsidRDefault="006F299B" w:rsidP="008615B4">
      <w:pPr>
        <w:pStyle w:val="Heading2"/>
      </w:pPr>
      <w:bookmarkStart w:id="11" w:name="_Toc496269653"/>
      <w:r w:rsidRPr="004205E1">
        <w:t xml:space="preserve">A11: Sensitive </w:t>
      </w:r>
      <w:r w:rsidR="008615B4">
        <w:t>Q</w:t>
      </w:r>
      <w:r w:rsidRPr="004205E1">
        <w:t>uestions</w:t>
      </w:r>
      <w:bookmarkEnd w:id="11"/>
    </w:p>
    <w:p w:rsidR="00B574B1" w:rsidRDefault="00B574B1" w:rsidP="00C212ED">
      <w:pPr>
        <w:tabs>
          <w:tab w:val="left" w:pos="0"/>
          <w:tab w:val="left" w:pos="720"/>
          <w:tab w:val="left" w:pos="1094"/>
          <w:tab w:val="left" w:pos="1440"/>
          <w:tab w:val="left" w:pos="1800"/>
          <w:tab w:val="left" w:pos="8985"/>
        </w:tabs>
      </w:pPr>
      <w:r>
        <w:t>There are no</w:t>
      </w:r>
      <w:r w:rsidR="003474EF">
        <w:t xml:space="preserve"> </w:t>
      </w:r>
      <w:r>
        <w:t xml:space="preserve">sensitive questions on the </w:t>
      </w:r>
      <w:r w:rsidR="00806539">
        <w:t xml:space="preserve">implementation study </w:t>
      </w:r>
      <w:r w:rsidR="006871E5">
        <w:t>interview</w:t>
      </w:r>
      <w:r w:rsidR="00C212ED">
        <w:t xml:space="preserve"> guides</w:t>
      </w:r>
      <w:r w:rsidR="006C1BD7">
        <w:t>,</w:t>
      </w:r>
      <w:r w:rsidR="00C212ED">
        <w:t xml:space="preserve"> the grantee survey</w:t>
      </w:r>
      <w:r w:rsidR="006C1BD7">
        <w:t xml:space="preserve">, or </w:t>
      </w:r>
      <w:r w:rsidR="00446B08">
        <w:t xml:space="preserve">in </w:t>
      </w:r>
      <w:r w:rsidR="006C1BD7">
        <w:t>the MIS</w:t>
      </w:r>
      <w:r w:rsidR="00F70022">
        <w:t>.</w:t>
      </w:r>
    </w:p>
    <w:p w:rsidR="006F299B" w:rsidRDefault="006F299B" w:rsidP="008615B4">
      <w:pPr>
        <w:pStyle w:val="Heading2"/>
      </w:pPr>
      <w:bookmarkStart w:id="12" w:name="_Toc496269654"/>
      <w:r w:rsidRPr="001034D3">
        <w:t xml:space="preserve">A12: Estimation of Information </w:t>
      </w:r>
      <w:r w:rsidR="008615B4">
        <w:t>C</w:t>
      </w:r>
      <w:r w:rsidRPr="001034D3">
        <w:t xml:space="preserve">ollection </w:t>
      </w:r>
      <w:r w:rsidR="008615B4">
        <w:t>B</w:t>
      </w:r>
      <w:r w:rsidRPr="001034D3">
        <w:t>urden</w:t>
      </w:r>
      <w:bookmarkEnd w:id="12"/>
    </w:p>
    <w:p w:rsidR="00BF43F4" w:rsidRDefault="00F70050" w:rsidP="00BF43F4">
      <w:r w:rsidRPr="00F70050">
        <w:t xml:space="preserve">Exhibit </w:t>
      </w:r>
      <w:r w:rsidR="00711C23" w:rsidRPr="00F70050">
        <w:t>A</w:t>
      </w:r>
      <w:r w:rsidR="00711C23">
        <w:t>2</w:t>
      </w:r>
      <w:r w:rsidR="00711C23" w:rsidRPr="00F70050">
        <w:t xml:space="preserve"> </w:t>
      </w:r>
      <w:r w:rsidR="006F299B" w:rsidRPr="00F70050">
        <w:t xml:space="preserve">presents the </w:t>
      </w:r>
      <w:r w:rsidR="00265CA5" w:rsidRPr="00F70050">
        <w:t xml:space="preserve">estimated respondent </w:t>
      </w:r>
      <w:r w:rsidR="0011314C" w:rsidRPr="00F70050">
        <w:t xml:space="preserve">burden on grantee staff and </w:t>
      </w:r>
      <w:r w:rsidR="00F70022" w:rsidRPr="00F70050">
        <w:t xml:space="preserve">their </w:t>
      </w:r>
      <w:r w:rsidR="0011314C" w:rsidRPr="00F70050">
        <w:t>partners</w:t>
      </w:r>
      <w:r w:rsidR="00446B08" w:rsidRPr="00F70050">
        <w:t xml:space="preserve"> to complete</w:t>
      </w:r>
      <w:r w:rsidR="00446B08">
        <w:t xml:space="preserve"> the data collection instruments included in this package</w:t>
      </w:r>
      <w:r w:rsidR="006F299B">
        <w:t>.</w:t>
      </w:r>
      <w:r w:rsidR="00265CA5" w:rsidRPr="00265CA5">
        <w:t xml:space="preserve"> </w:t>
      </w:r>
      <w:r w:rsidR="00265CA5">
        <w:t>It shows the average time, in hours,</w:t>
      </w:r>
      <w:r w:rsidR="00446B08">
        <w:t xml:space="preserve"> to participate in </w:t>
      </w:r>
      <w:r w:rsidR="009E4C83" w:rsidRPr="003F7344">
        <w:t xml:space="preserve">interviews </w:t>
      </w:r>
      <w:r w:rsidR="009E4C83">
        <w:t>for the implementation study</w:t>
      </w:r>
      <w:r w:rsidR="0037492E">
        <w:t>,</w:t>
      </w:r>
      <w:r w:rsidR="00BF43F4">
        <w:t xml:space="preserve"> </w:t>
      </w:r>
      <w:r w:rsidR="00446B08">
        <w:t xml:space="preserve">to complete the </w:t>
      </w:r>
      <w:r w:rsidR="00BF43F4">
        <w:t>grantee survey</w:t>
      </w:r>
      <w:r w:rsidR="0037492E">
        <w:t xml:space="preserve">, and </w:t>
      </w:r>
      <w:r w:rsidR="00446B08">
        <w:t xml:space="preserve">to enter data into the </w:t>
      </w:r>
      <w:r w:rsidR="0037492E">
        <w:t>MIS</w:t>
      </w:r>
      <w:r w:rsidR="00B13BCA">
        <w:t xml:space="preserve">. </w:t>
      </w:r>
    </w:p>
    <w:p w:rsidR="009E4C83" w:rsidRDefault="00B13BCA" w:rsidP="00BF43F4">
      <w:r>
        <w:t>The AAI</w:t>
      </w:r>
      <w:r w:rsidR="009E4C83">
        <w:t xml:space="preserve"> </w:t>
      </w:r>
      <w:r w:rsidR="00F70022">
        <w:t xml:space="preserve">evaluation team </w:t>
      </w:r>
      <w:r w:rsidR="009E4C83">
        <w:t xml:space="preserve">will interview up to </w:t>
      </w:r>
      <w:r w:rsidR="00F70022">
        <w:t>12</w:t>
      </w:r>
      <w:r w:rsidR="003632E7" w:rsidRPr="00446B08">
        <w:t xml:space="preserve"> </w:t>
      </w:r>
      <w:r w:rsidR="009E4C83" w:rsidRPr="00446B08">
        <w:t>s</w:t>
      </w:r>
      <w:r w:rsidR="009E4C83">
        <w:t xml:space="preserve">taff and partners at </w:t>
      </w:r>
      <w:r w:rsidR="00B14813">
        <w:t xml:space="preserve">approximately </w:t>
      </w:r>
      <w:r w:rsidR="00F70022">
        <w:t>10</w:t>
      </w:r>
      <w:r w:rsidR="00243E0A">
        <w:t xml:space="preserve"> </w:t>
      </w:r>
      <w:r w:rsidR="009E4C83">
        <w:t>grant</w:t>
      </w:r>
      <w:r w:rsidR="00A54486">
        <w:t>ee</w:t>
      </w:r>
      <w:r w:rsidR="009E4C83">
        <w:t xml:space="preserve">s. </w:t>
      </w:r>
      <w:r w:rsidR="003D3131">
        <w:t>The</w:t>
      </w:r>
      <w:r w:rsidR="003632E7">
        <w:t xml:space="preserve">y </w:t>
      </w:r>
      <w:r w:rsidR="009E4C83">
        <w:t xml:space="preserve">will interview </w:t>
      </w:r>
      <w:r w:rsidR="003632E7">
        <w:t xml:space="preserve">the Grant Director at each grantee and </w:t>
      </w:r>
      <w:r w:rsidR="00F70022">
        <w:t>one or two</w:t>
      </w:r>
      <w:r w:rsidR="00BF43F4">
        <w:t xml:space="preserve"> </w:t>
      </w:r>
      <w:r w:rsidR="009E4C83">
        <w:t>additional respondents from the grantee organization</w:t>
      </w:r>
      <w:r w:rsidR="00A54486">
        <w:t xml:space="preserve">. They will also interview three respondents representing employers or unions, </w:t>
      </w:r>
      <w:r w:rsidR="00F70022">
        <w:t xml:space="preserve">two or three </w:t>
      </w:r>
      <w:r w:rsidR="00A54486">
        <w:t xml:space="preserve">respondents representing related </w:t>
      </w:r>
      <w:r w:rsidR="00BD67A9">
        <w:t xml:space="preserve">technical </w:t>
      </w:r>
      <w:r w:rsidR="00A54486">
        <w:t xml:space="preserve">instruction providers, and </w:t>
      </w:r>
      <w:r w:rsidR="00F70022">
        <w:t xml:space="preserve">two or three </w:t>
      </w:r>
      <w:r w:rsidR="00A54486">
        <w:t>respondents representing the workforce development board or other community partners.</w:t>
      </w:r>
      <w:r w:rsidR="009E4C83">
        <w:t xml:space="preserve"> </w:t>
      </w:r>
      <w:r w:rsidR="00F70022">
        <w:t>With the exception of the Grant Director (two hours), e</w:t>
      </w:r>
      <w:r w:rsidR="003632E7">
        <w:t xml:space="preserve">ach interview will take approximately one hour. </w:t>
      </w:r>
    </w:p>
    <w:p w:rsidR="009E4C83" w:rsidRDefault="00F56F6B" w:rsidP="00BF43F4">
      <w:pPr>
        <w:pStyle w:val="BodyText"/>
        <w:tabs>
          <w:tab w:val="left" w:pos="3780"/>
        </w:tabs>
        <w:rPr>
          <w:bCs/>
        </w:rPr>
      </w:pPr>
      <w:r>
        <w:t>The evalu</w:t>
      </w:r>
      <w:r w:rsidR="00B13BCA">
        <w:t>ation team estimates the grantee</w:t>
      </w:r>
      <w:r>
        <w:t xml:space="preserve"> survey will take an average of </w:t>
      </w:r>
      <w:r w:rsidR="00CC42E8">
        <w:t>4</w:t>
      </w:r>
      <w:r>
        <w:t xml:space="preserve"> hours to complete. </w:t>
      </w:r>
      <w:r w:rsidR="00D714BD">
        <w:t xml:space="preserve">The evaluation team pre-tested the grantee survey with two AAI grantees and two colleges associated with DOL Trade Adjustment Assistance Community College Career Training (TAACCCT) grants that operate apprenticeship programs. </w:t>
      </w:r>
      <w:r w:rsidR="00535DE7">
        <w:t xml:space="preserve">The response time is an average based on the amount of time it took the pre-test organizations to complete it. </w:t>
      </w:r>
      <w:r w:rsidR="00EB0623">
        <w:rPr>
          <w:bCs/>
        </w:rPr>
        <w:t>Th</w:t>
      </w:r>
      <w:r>
        <w:rPr>
          <w:bCs/>
        </w:rPr>
        <w:t xml:space="preserve">e respondent will most likely be the </w:t>
      </w:r>
      <w:r w:rsidR="002A345A">
        <w:rPr>
          <w:bCs/>
        </w:rPr>
        <w:t>G</w:t>
      </w:r>
      <w:r w:rsidR="00E61A98">
        <w:rPr>
          <w:bCs/>
        </w:rPr>
        <w:t xml:space="preserve">rant </w:t>
      </w:r>
      <w:r w:rsidR="002A345A">
        <w:rPr>
          <w:bCs/>
        </w:rPr>
        <w:t>D</w:t>
      </w:r>
      <w:r w:rsidR="00E61A98">
        <w:rPr>
          <w:bCs/>
        </w:rPr>
        <w:t>irector</w:t>
      </w:r>
      <w:r>
        <w:rPr>
          <w:bCs/>
        </w:rPr>
        <w:t xml:space="preserve"> or</w:t>
      </w:r>
      <w:r w:rsidR="00BF43F4">
        <w:rPr>
          <w:bCs/>
        </w:rPr>
        <w:t xml:space="preserve"> an administrator at the </w:t>
      </w:r>
      <w:r w:rsidR="00E61A98">
        <w:rPr>
          <w:bCs/>
        </w:rPr>
        <w:t>grantee</w:t>
      </w:r>
      <w:r>
        <w:rPr>
          <w:bCs/>
        </w:rPr>
        <w:t xml:space="preserve">. The estimated response rate </w:t>
      </w:r>
      <w:r w:rsidRPr="00100EBF">
        <w:rPr>
          <w:bCs/>
        </w:rPr>
        <w:t>is 90 percent</w:t>
      </w:r>
      <w:r>
        <w:rPr>
          <w:bCs/>
        </w:rPr>
        <w:t>. Although participation in evaluation activities is required as a condition of the grant award, it is likely that due to changes in staff</w:t>
      </w:r>
      <w:r w:rsidR="00BF43F4">
        <w:rPr>
          <w:bCs/>
        </w:rPr>
        <w:t xml:space="preserve">ing, about </w:t>
      </w:r>
      <w:r w:rsidR="00BF43F4" w:rsidRPr="00100EBF">
        <w:rPr>
          <w:bCs/>
        </w:rPr>
        <w:t>10 percent of grantee</w:t>
      </w:r>
      <w:r w:rsidRPr="00100EBF">
        <w:rPr>
          <w:bCs/>
        </w:rPr>
        <w:t>s</w:t>
      </w:r>
      <w:r>
        <w:rPr>
          <w:bCs/>
        </w:rPr>
        <w:t xml:space="preserve"> will not respond to the survey.</w:t>
      </w:r>
    </w:p>
    <w:p w:rsidR="00581FFE" w:rsidRPr="00581FFE" w:rsidRDefault="00511CCB" w:rsidP="00BF43F4">
      <w:pPr>
        <w:pStyle w:val="BodyText"/>
        <w:tabs>
          <w:tab w:val="left" w:pos="3780"/>
        </w:tabs>
        <w:rPr>
          <w:bCs/>
        </w:rPr>
      </w:pPr>
      <w:r w:rsidRPr="003E786B">
        <w:rPr>
          <w:bCs/>
        </w:rPr>
        <w:t>G</w:t>
      </w:r>
      <w:r w:rsidR="00581FFE" w:rsidRPr="003E786B">
        <w:rPr>
          <w:bCs/>
        </w:rPr>
        <w:t xml:space="preserve">rantee staff will be asked to enter data </w:t>
      </w:r>
      <w:r w:rsidRPr="003E786B">
        <w:rPr>
          <w:bCs/>
        </w:rPr>
        <w:t xml:space="preserve">into the MIS </w:t>
      </w:r>
      <w:r w:rsidR="00581FFE" w:rsidRPr="003E786B">
        <w:rPr>
          <w:bCs/>
        </w:rPr>
        <w:t xml:space="preserve">for a limited number of fields, primarily focused on their attempts to contact employers regarding take-up of apprenticeships. </w:t>
      </w:r>
      <w:r w:rsidR="004F04B4" w:rsidRPr="003E786B">
        <w:rPr>
          <w:bCs/>
        </w:rPr>
        <w:t>It is estimated that each of the four grantees will contact up to 200 employers and data entry</w:t>
      </w:r>
      <w:r w:rsidR="00BD67A9">
        <w:rPr>
          <w:bCs/>
        </w:rPr>
        <w:t xml:space="preserve"> </w:t>
      </w:r>
      <w:r w:rsidR="004F04B4" w:rsidRPr="003E786B">
        <w:rPr>
          <w:bCs/>
        </w:rPr>
        <w:t>is expected to take 15 minutes per employer. The annual estimated burden is 400 hours.</w:t>
      </w:r>
    </w:p>
    <w:p w:rsidR="00F0588B" w:rsidRDefault="00F70050" w:rsidP="00383B62">
      <w:pPr>
        <w:pStyle w:val="Exhibit"/>
        <w:keepNext/>
        <w:ind w:left="1440" w:hanging="1440"/>
      </w:pPr>
      <w:r>
        <w:t xml:space="preserve">Exhibit </w:t>
      </w:r>
      <w:r w:rsidR="00711C23">
        <w:t>A2</w:t>
      </w:r>
      <w:r w:rsidR="00386F09" w:rsidRPr="00346F17">
        <w:t xml:space="preserve">: </w:t>
      </w:r>
      <w:r w:rsidR="00B14813">
        <w:t xml:space="preserve">Estimated </w:t>
      </w:r>
      <w:r w:rsidR="005B0BB3">
        <w:t xml:space="preserve">Annualized </w:t>
      </w:r>
      <w:r w:rsidR="00B14813">
        <w:t>Respondent Hour and Cost Burden</w:t>
      </w:r>
    </w:p>
    <w:tbl>
      <w:tblPr>
        <w:tblW w:w="10170" w:type="dxa"/>
        <w:tblInd w:w="-185" w:type="dxa"/>
        <w:tblLayout w:type="fixed"/>
        <w:tblLook w:val="04A0" w:firstRow="1" w:lastRow="0" w:firstColumn="1" w:lastColumn="0" w:noHBand="0" w:noVBand="1"/>
      </w:tblPr>
      <w:tblGrid>
        <w:gridCol w:w="1913"/>
        <w:gridCol w:w="1350"/>
        <w:gridCol w:w="1260"/>
        <w:gridCol w:w="1327"/>
        <w:gridCol w:w="1193"/>
        <w:gridCol w:w="1080"/>
        <w:gridCol w:w="990"/>
        <w:gridCol w:w="1057"/>
      </w:tblGrid>
      <w:tr w:rsidR="00B91B4D" w:rsidRPr="001A63B4" w:rsidTr="00A57779">
        <w:trPr>
          <w:trHeight w:val="20"/>
          <w:tblHeader/>
        </w:trPr>
        <w:tc>
          <w:tcPr>
            <w:tcW w:w="1913" w:type="dxa"/>
            <w:tcBorders>
              <w:top w:val="single" w:sz="4" w:space="0" w:color="auto"/>
              <w:left w:val="single" w:sz="4" w:space="0" w:color="auto"/>
              <w:bottom w:val="single" w:sz="4" w:space="0" w:color="auto"/>
              <w:right w:val="single" w:sz="4" w:space="0" w:color="auto"/>
            </w:tcBorders>
            <w:shd w:val="clear" w:color="000000" w:fill="989FA1"/>
            <w:vAlign w:val="bottom"/>
            <w:hideMark/>
          </w:tcPr>
          <w:p w:rsidR="00B91B4D" w:rsidRPr="001A63B4" w:rsidRDefault="00B91B4D" w:rsidP="00B91B4D">
            <w:pPr>
              <w:spacing w:after="0" w:line="240" w:lineRule="auto"/>
              <w:contextualSpacing/>
              <w:jc w:val="center"/>
              <w:rPr>
                <w:rFonts w:asciiTheme="minorHAnsi" w:hAnsiTheme="minorHAnsi"/>
                <w:b/>
                <w:bCs/>
                <w:sz w:val="20"/>
                <w:szCs w:val="22"/>
              </w:rPr>
            </w:pPr>
            <w:r w:rsidRPr="001A63B4">
              <w:rPr>
                <w:rFonts w:asciiTheme="minorHAnsi" w:hAnsiTheme="minorHAnsi"/>
                <w:b/>
                <w:bCs/>
                <w:sz w:val="20"/>
                <w:szCs w:val="22"/>
              </w:rPr>
              <w:t>Instrument</w:t>
            </w:r>
            <w:r>
              <w:rPr>
                <w:rFonts w:asciiTheme="minorHAnsi" w:hAnsiTheme="minorHAnsi"/>
                <w:b/>
                <w:bCs/>
                <w:sz w:val="20"/>
                <w:szCs w:val="22"/>
              </w:rPr>
              <w:t>/ data collection activity</w:t>
            </w:r>
          </w:p>
        </w:tc>
        <w:tc>
          <w:tcPr>
            <w:tcW w:w="1350" w:type="dxa"/>
            <w:tcBorders>
              <w:top w:val="single" w:sz="4" w:space="0" w:color="auto"/>
              <w:left w:val="nil"/>
              <w:bottom w:val="single" w:sz="4" w:space="0" w:color="auto"/>
              <w:right w:val="single" w:sz="4" w:space="0" w:color="auto"/>
            </w:tcBorders>
            <w:shd w:val="clear" w:color="000000" w:fill="989FA1"/>
            <w:vAlign w:val="bottom"/>
            <w:hideMark/>
          </w:tcPr>
          <w:p w:rsidR="00B91B4D" w:rsidRPr="001A63B4" w:rsidRDefault="00B91B4D" w:rsidP="00B91B4D">
            <w:pPr>
              <w:spacing w:after="0" w:line="240" w:lineRule="auto"/>
              <w:contextualSpacing/>
              <w:jc w:val="center"/>
              <w:rPr>
                <w:rFonts w:asciiTheme="minorHAnsi" w:hAnsiTheme="minorHAnsi"/>
                <w:b/>
                <w:bCs/>
                <w:sz w:val="20"/>
                <w:szCs w:val="22"/>
              </w:rPr>
            </w:pPr>
            <w:r w:rsidRPr="001A63B4">
              <w:rPr>
                <w:rFonts w:asciiTheme="minorHAnsi" w:hAnsiTheme="minorHAnsi"/>
                <w:b/>
                <w:bCs/>
                <w:sz w:val="20"/>
                <w:szCs w:val="22"/>
              </w:rPr>
              <w:t>Number of Respondents</w:t>
            </w:r>
          </w:p>
        </w:tc>
        <w:tc>
          <w:tcPr>
            <w:tcW w:w="1260" w:type="dxa"/>
            <w:tcBorders>
              <w:top w:val="single" w:sz="4" w:space="0" w:color="auto"/>
              <w:left w:val="nil"/>
              <w:bottom w:val="single" w:sz="4" w:space="0" w:color="auto"/>
              <w:right w:val="single" w:sz="4" w:space="0" w:color="auto"/>
            </w:tcBorders>
            <w:shd w:val="clear" w:color="000000" w:fill="989FA1"/>
            <w:vAlign w:val="bottom"/>
            <w:hideMark/>
          </w:tcPr>
          <w:p w:rsidR="00B91B4D" w:rsidRPr="005D2347" w:rsidRDefault="00B91B4D" w:rsidP="00B91B4D">
            <w:pPr>
              <w:spacing w:after="0" w:line="240" w:lineRule="auto"/>
              <w:contextualSpacing/>
              <w:jc w:val="center"/>
              <w:rPr>
                <w:rFonts w:asciiTheme="minorHAnsi" w:hAnsiTheme="minorHAnsi"/>
                <w:b/>
                <w:bCs/>
                <w:sz w:val="20"/>
                <w:szCs w:val="22"/>
              </w:rPr>
            </w:pPr>
            <w:r w:rsidRPr="005D2347">
              <w:rPr>
                <w:rFonts w:asciiTheme="minorHAnsi" w:hAnsiTheme="minorHAnsi"/>
                <w:b/>
                <w:bCs/>
                <w:sz w:val="20"/>
                <w:szCs w:val="22"/>
              </w:rPr>
              <w:t>Number of Responses per Respondent</w:t>
            </w:r>
          </w:p>
        </w:tc>
        <w:tc>
          <w:tcPr>
            <w:tcW w:w="1327" w:type="dxa"/>
            <w:tcBorders>
              <w:top w:val="single" w:sz="4" w:space="0" w:color="auto"/>
              <w:left w:val="nil"/>
              <w:bottom w:val="single" w:sz="4" w:space="0" w:color="auto"/>
              <w:right w:val="single" w:sz="4" w:space="0" w:color="auto"/>
            </w:tcBorders>
            <w:shd w:val="clear" w:color="000000" w:fill="989FA1"/>
            <w:vAlign w:val="bottom"/>
          </w:tcPr>
          <w:p w:rsidR="00B91B4D" w:rsidRPr="00C87C20" w:rsidRDefault="00B91B4D" w:rsidP="00A57779">
            <w:pPr>
              <w:spacing w:after="0" w:line="240" w:lineRule="auto"/>
              <w:contextualSpacing/>
              <w:jc w:val="center"/>
              <w:rPr>
                <w:rFonts w:asciiTheme="minorHAnsi" w:hAnsiTheme="minorHAnsi"/>
                <w:b/>
                <w:bCs/>
                <w:sz w:val="20"/>
                <w:szCs w:val="22"/>
              </w:rPr>
            </w:pPr>
            <w:r w:rsidRPr="00C87C20">
              <w:rPr>
                <w:rFonts w:asciiTheme="minorHAnsi" w:hAnsiTheme="minorHAnsi"/>
                <w:b/>
                <w:bCs/>
                <w:sz w:val="20"/>
                <w:szCs w:val="22"/>
              </w:rPr>
              <w:t>Total Number of Respon</w:t>
            </w:r>
            <w:r w:rsidR="00A57779" w:rsidRPr="00C87C20">
              <w:rPr>
                <w:rFonts w:asciiTheme="minorHAnsi" w:hAnsiTheme="minorHAnsi"/>
                <w:b/>
                <w:bCs/>
                <w:sz w:val="20"/>
                <w:szCs w:val="22"/>
              </w:rPr>
              <w:t>ses</w:t>
            </w:r>
          </w:p>
        </w:tc>
        <w:tc>
          <w:tcPr>
            <w:tcW w:w="1193" w:type="dxa"/>
            <w:tcBorders>
              <w:top w:val="single" w:sz="4" w:space="0" w:color="auto"/>
              <w:left w:val="single" w:sz="4" w:space="0" w:color="auto"/>
              <w:bottom w:val="single" w:sz="4" w:space="0" w:color="auto"/>
              <w:right w:val="single" w:sz="4" w:space="0" w:color="auto"/>
            </w:tcBorders>
            <w:shd w:val="clear" w:color="000000" w:fill="989FA1"/>
            <w:vAlign w:val="bottom"/>
            <w:hideMark/>
          </w:tcPr>
          <w:p w:rsidR="00B91B4D" w:rsidRDefault="00B91B4D" w:rsidP="00A57779">
            <w:pPr>
              <w:spacing w:after="0" w:line="240" w:lineRule="auto"/>
              <w:contextualSpacing/>
              <w:jc w:val="center"/>
              <w:rPr>
                <w:rFonts w:asciiTheme="minorHAnsi" w:hAnsiTheme="minorHAnsi"/>
                <w:b/>
                <w:bCs/>
                <w:sz w:val="20"/>
                <w:szCs w:val="22"/>
              </w:rPr>
            </w:pPr>
            <w:r w:rsidRPr="005D2347">
              <w:rPr>
                <w:rFonts w:asciiTheme="minorHAnsi" w:hAnsiTheme="minorHAnsi"/>
                <w:b/>
                <w:bCs/>
                <w:sz w:val="20"/>
                <w:szCs w:val="22"/>
              </w:rPr>
              <w:t>Average Burden per Response</w:t>
            </w:r>
          </w:p>
          <w:p w:rsidR="00A57779" w:rsidRPr="005D2347" w:rsidRDefault="00A57779" w:rsidP="00A57779">
            <w:pPr>
              <w:spacing w:after="0" w:line="240" w:lineRule="auto"/>
              <w:contextualSpacing/>
              <w:jc w:val="center"/>
              <w:rPr>
                <w:rFonts w:asciiTheme="minorHAnsi" w:hAnsiTheme="minorHAnsi"/>
                <w:b/>
                <w:bCs/>
                <w:sz w:val="20"/>
                <w:szCs w:val="22"/>
              </w:rPr>
            </w:pPr>
            <w:r>
              <w:rPr>
                <w:rFonts w:asciiTheme="minorHAnsi" w:hAnsiTheme="minorHAnsi"/>
                <w:b/>
                <w:bCs/>
                <w:sz w:val="20"/>
                <w:szCs w:val="22"/>
              </w:rPr>
              <w:t>(In hours)</w:t>
            </w:r>
          </w:p>
        </w:tc>
        <w:tc>
          <w:tcPr>
            <w:tcW w:w="1080" w:type="dxa"/>
            <w:tcBorders>
              <w:top w:val="single" w:sz="4" w:space="0" w:color="auto"/>
              <w:left w:val="nil"/>
              <w:bottom w:val="single" w:sz="4" w:space="0" w:color="auto"/>
              <w:right w:val="single" w:sz="4" w:space="0" w:color="auto"/>
            </w:tcBorders>
            <w:shd w:val="clear" w:color="000000" w:fill="989FA1"/>
            <w:vAlign w:val="bottom"/>
            <w:hideMark/>
          </w:tcPr>
          <w:p w:rsidR="00B91B4D" w:rsidRPr="001A63B4" w:rsidRDefault="00B91B4D" w:rsidP="00B91B4D">
            <w:pPr>
              <w:spacing w:after="0" w:line="240" w:lineRule="auto"/>
              <w:contextualSpacing/>
              <w:jc w:val="center"/>
              <w:rPr>
                <w:rFonts w:asciiTheme="minorHAnsi" w:hAnsiTheme="minorHAnsi"/>
                <w:b/>
                <w:bCs/>
                <w:sz w:val="20"/>
                <w:szCs w:val="22"/>
              </w:rPr>
            </w:pPr>
            <w:r w:rsidRPr="001A63B4">
              <w:rPr>
                <w:rFonts w:asciiTheme="minorHAnsi" w:hAnsiTheme="minorHAnsi"/>
                <w:b/>
                <w:bCs/>
                <w:sz w:val="20"/>
                <w:szCs w:val="22"/>
              </w:rPr>
              <w:t>Estimated Burden Hours</w:t>
            </w:r>
          </w:p>
        </w:tc>
        <w:tc>
          <w:tcPr>
            <w:tcW w:w="990" w:type="dxa"/>
            <w:tcBorders>
              <w:top w:val="single" w:sz="4" w:space="0" w:color="auto"/>
              <w:left w:val="nil"/>
              <w:bottom w:val="single" w:sz="4" w:space="0" w:color="auto"/>
              <w:right w:val="single" w:sz="4" w:space="0" w:color="auto"/>
            </w:tcBorders>
            <w:shd w:val="clear" w:color="000000" w:fill="989FA1"/>
            <w:vAlign w:val="bottom"/>
            <w:hideMark/>
          </w:tcPr>
          <w:p w:rsidR="00B91B4D" w:rsidRDefault="00B91B4D" w:rsidP="00B91B4D">
            <w:pPr>
              <w:spacing w:after="0" w:line="240" w:lineRule="auto"/>
              <w:contextualSpacing/>
              <w:jc w:val="center"/>
              <w:rPr>
                <w:rFonts w:asciiTheme="minorHAnsi" w:hAnsiTheme="minorHAnsi"/>
                <w:b/>
                <w:bCs/>
                <w:sz w:val="20"/>
                <w:szCs w:val="22"/>
              </w:rPr>
            </w:pPr>
            <w:r w:rsidRPr="001A63B4">
              <w:rPr>
                <w:rFonts w:asciiTheme="minorHAnsi" w:hAnsiTheme="minorHAnsi"/>
                <w:b/>
                <w:bCs/>
                <w:sz w:val="20"/>
                <w:szCs w:val="22"/>
              </w:rPr>
              <w:t>Average Hourly Wage</w:t>
            </w:r>
          </w:p>
          <w:p w:rsidR="00A57779" w:rsidRPr="001A63B4" w:rsidRDefault="00A57779" w:rsidP="00B91B4D">
            <w:pPr>
              <w:spacing w:after="0" w:line="240" w:lineRule="auto"/>
              <w:contextualSpacing/>
              <w:jc w:val="center"/>
              <w:rPr>
                <w:rFonts w:asciiTheme="minorHAnsi" w:hAnsiTheme="minorHAnsi"/>
                <w:b/>
                <w:bCs/>
                <w:sz w:val="20"/>
                <w:szCs w:val="22"/>
              </w:rPr>
            </w:pPr>
            <w:r>
              <w:rPr>
                <w:rFonts w:asciiTheme="minorHAnsi" w:hAnsiTheme="minorHAnsi"/>
                <w:b/>
                <w:bCs/>
                <w:sz w:val="20"/>
                <w:szCs w:val="22"/>
              </w:rPr>
              <w:t xml:space="preserve">Rate </w:t>
            </w:r>
          </w:p>
        </w:tc>
        <w:tc>
          <w:tcPr>
            <w:tcW w:w="1057" w:type="dxa"/>
            <w:tcBorders>
              <w:top w:val="single" w:sz="4" w:space="0" w:color="auto"/>
              <w:left w:val="nil"/>
              <w:bottom w:val="single" w:sz="4" w:space="0" w:color="auto"/>
              <w:right w:val="single" w:sz="4" w:space="0" w:color="auto"/>
            </w:tcBorders>
            <w:shd w:val="clear" w:color="000000" w:fill="989FA1"/>
            <w:vAlign w:val="bottom"/>
            <w:hideMark/>
          </w:tcPr>
          <w:p w:rsidR="00B91B4D" w:rsidRPr="001A63B4" w:rsidRDefault="00B91B4D" w:rsidP="00B91B4D">
            <w:pPr>
              <w:spacing w:after="0" w:line="240" w:lineRule="auto"/>
              <w:contextualSpacing/>
              <w:jc w:val="center"/>
              <w:rPr>
                <w:rFonts w:asciiTheme="minorHAnsi" w:hAnsiTheme="minorHAnsi"/>
                <w:b/>
                <w:bCs/>
                <w:sz w:val="20"/>
                <w:szCs w:val="22"/>
              </w:rPr>
            </w:pPr>
            <w:r w:rsidRPr="001A63B4">
              <w:rPr>
                <w:rFonts w:asciiTheme="minorHAnsi" w:hAnsiTheme="minorHAnsi"/>
                <w:b/>
                <w:bCs/>
                <w:sz w:val="20"/>
                <w:szCs w:val="22"/>
              </w:rPr>
              <w:t>Total Annual</w:t>
            </w:r>
            <w:r>
              <w:rPr>
                <w:rFonts w:asciiTheme="minorHAnsi" w:hAnsiTheme="minorHAnsi"/>
                <w:b/>
                <w:bCs/>
                <w:sz w:val="20"/>
                <w:szCs w:val="22"/>
              </w:rPr>
              <w:t xml:space="preserve"> Burden</w:t>
            </w:r>
            <w:r w:rsidRPr="001A63B4">
              <w:rPr>
                <w:rFonts w:asciiTheme="minorHAnsi" w:hAnsiTheme="minorHAnsi"/>
                <w:b/>
                <w:bCs/>
                <w:sz w:val="20"/>
                <w:szCs w:val="22"/>
              </w:rPr>
              <w:t xml:space="preserve"> Cost</w:t>
            </w:r>
          </w:p>
        </w:tc>
      </w:tr>
      <w:tr w:rsidR="00B91B4D" w:rsidRPr="001A63B4" w:rsidTr="00A57779">
        <w:trPr>
          <w:trHeight w:val="20"/>
        </w:trPr>
        <w:tc>
          <w:tcPr>
            <w:tcW w:w="1913" w:type="dxa"/>
            <w:tcBorders>
              <w:top w:val="nil"/>
              <w:left w:val="single" w:sz="4" w:space="0" w:color="auto"/>
              <w:bottom w:val="single" w:sz="4" w:space="0" w:color="auto"/>
              <w:right w:val="single" w:sz="4" w:space="0" w:color="auto"/>
            </w:tcBorders>
            <w:shd w:val="clear" w:color="auto" w:fill="auto"/>
            <w:hideMark/>
          </w:tcPr>
          <w:p w:rsidR="00B91B4D" w:rsidRPr="001A63B4" w:rsidRDefault="00FC43C9" w:rsidP="00B91B4D">
            <w:pPr>
              <w:spacing w:after="0" w:line="240" w:lineRule="auto"/>
              <w:contextualSpacing/>
              <w:rPr>
                <w:rFonts w:asciiTheme="minorHAnsi" w:hAnsiTheme="minorHAnsi"/>
                <w:sz w:val="20"/>
                <w:szCs w:val="22"/>
              </w:rPr>
            </w:pPr>
            <w:r>
              <w:rPr>
                <w:rFonts w:asciiTheme="minorHAnsi" w:hAnsiTheme="minorHAnsi"/>
                <w:sz w:val="20"/>
                <w:szCs w:val="22"/>
              </w:rPr>
              <w:t xml:space="preserve">Site Visit </w:t>
            </w:r>
            <w:r w:rsidR="00972B83">
              <w:rPr>
                <w:rFonts w:asciiTheme="minorHAnsi" w:hAnsiTheme="minorHAnsi"/>
                <w:sz w:val="20"/>
                <w:szCs w:val="22"/>
              </w:rPr>
              <w:t>Interview Guide</w:t>
            </w:r>
            <w:r w:rsidR="00B91B4D" w:rsidRPr="001A63B4">
              <w:rPr>
                <w:rFonts w:asciiTheme="minorHAnsi" w:hAnsiTheme="minorHAnsi"/>
                <w:sz w:val="20"/>
                <w:szCs w:val="22"/>
              </w:rPr>
              <w:t xml:space="preserve"> – Grant Director</w:t>
            </w:r>
            <w:r w:rsidR="00B91B4D" w:rsidRPr="001A63B4">
              <w:rPr>
                <w:rFonts w:asciiTheme="minorHAnsi" w:hAnsiTheme="minorHAnsi"/>
                <w:sz w:val="20"/>
                <w:szCs w:val="22"/>
                <w:vertAlign w:val="superscript"/>
              </w:rPr>
              <w:t xml:space="preserve"> </w:t>
            </w:r>
            <w:r w:rsidR="00B91B4D">
              <w:rPr>
                <w:rFonts w:asciiTheme="minorHAnsi" w:hAnsiTheme="minorHAnsi"/>
                <w:sz w:val="20"/>
                <w:szCs w:val="22"/>
                <w:vertAlign w:val="superscript"/>
              </w:rPr>
              <w:t>a</w:t>
            </w:r>
            <w:r w:rsidR="00B91B4D" w:rsidRPr="001A63B4">
              <w:rPr>
                <w:rFonts w:asciiTheme="minorHAnsi" w:hAnsiTheme="minorHAnsi"/>
                <w:sz w:val="20"/>
                <w:szCs w:val="22"/>
              </w:rPr>
              <w:t xml:space="preserve"> </w:t>
            </w:r>
          </w:p>
        </w:tc>
        <w:tc>
          <w:tcPr>
            <w:tcW w:w="1350" w:type="dxa"/>
            <w:tcBorders>
              <w:top w:val="nil"/>
              <w:left w:val="nil"/>
              <w:bottom w:val="single" w:sz="4" w:space="0" w:color="auto"/>
              <w:right w:val="single" w:sz="4" w:space="0" w:color="auto"/>
            </w:tcBorders>
            <w:shd w:val="clear" w:color="auto" w:fill="auto"/>
            <w:hideMark/>
          </w:tcPr>
          <w:p w:rsidR="00B91B4D" w:rsidRPr="001A63B4" w:rsidRDefault="00B91B4D" w:rsidP="00B91B4D">
            <w:pPr>
              <w:spacing w:after="0" w:line="240" w:lineRule="auto"/>
              <w:contextualSpacing/>
              <w:jc w:val="right"/>
              <w:rPr>
                <w:rFonts w:asciiTheme="minorHAnsi" w:hAnsiTheme="minorHAnsi"/>
                <w:sz w:val="20"/>
                <w:szCs w:val="22"/>
              </w:rPr>
            </w:pPr>
            <w:r>
              <w:rPr>
                <w:rFonts w:asciiTheme="minorHAnsi" w:hAnsiTheme="minorHAnsi"/>
                <w:sz w:val="20"/>
                <w:szCs w:val="22"/>
              </w:rPr>
              <w:t>3</w:t>
            </w:r>
          </w:p>
        </w:tc>
        <w:tc>
          <w:tcPr>
            <w:tcW w:w="1260" w:type="dxa"/>
            <w:tcBorders>
              <w:top w:val="nil"/>
              <w:left w:val="nil"/>
              <w:bottom w:val="single" w:sz="4" w:space="0" w:color="auto"/>
              <w:right w:val="single" w:sz="4" w:space="0" w:color="auto"/>
            </w:tcBorders>
            <w:shd w:val="clear" w:color="auto" w:fill="auto"/>
            <w:hideMark/>
          </w:tcPr>
          <w:p w:rsidR="00B91B4D" w:rsidRPr="005D2347" w:rsidRDefault="00B91B4D" w:rsidP="00B91B4D">
            <w:pPr>
              <w:spacing w:after="0" w:line="240" w:lineRule="auto"/>
              <w:contextualSpacing/>
              <w:jc w:val="right"/>
              <w:rPr>
                <w:rFonts w:asciiTheme="minorHAnsi" w:hAnsiTheme="minorHAnsi"/>
                <w:sz w:val="20"/>
                <w:szCs w:val="22"/>
              </w:rPr>
            </w:pPr>
            <w:r w:rsidRPr="005D2347">
              <w:rPr>
                <w:rFonts w:asciiTheme="minorHAnsi" w:hAnsiTheme="minorHAnsi"/>
                <w:sz w:val="20"/>
                <w:szCs w:val="22"/>
              </w:rPr>
              <w:t>2</w:t>
            </w:r>
          </w:p>
        </w:tc>
        <w:tc>
          <w:tcPr>
            <w:tcW w:w="1327" w:type="dxa"/>
            <w:tcBorders>
              <w:top w:val="single" w:sz="4" w:space="0" w:color="auto"/>
              <w:left w:val="nil"/>
              <w:bottom w:val="single" w:sz="4" w:space="0" w:color="auto"/>
              <w:right w:val="single" w:sz="4" w:space="0" w:color="auto"/>
            </w:tcBorders>
          </w:tcPr>
          <w:p w:rsidR="00B91B4D" w:rsidRPr="00C87C20" w:rsidRDefault="00967EDD" w:rsidP="00B91B4D">
            <w:pPr>
              <w:spacing w:after="0" w:line="240" w:lineRule="auto"/>
              <w:contextualSpacing/>
              <w:jc w:val="right"/>
              <w:rPr>
                <w:rFonts w:asciiTheme="minorHAnsi" w:hAnsiTheme="minorHAnsi"/>
                <w:sz w:val="20"/>
                <w:szCs w:val="22"/>
              </w:rPr>
            </w:pPr>
            <w:r w:rsidRPr="00C87C20">
              <w:rPr>
                <w:rFonts w:asciiTheme="minorHAnsi" w:hAnsiTheme="minorHAnsi"/>
                <w:sz w:val="20"/>
                <w:szCs w:val="22"/>
              </w:rPr>
              <w:t>6</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B91B4D" w:rsidRPr="005D2347" w:rsidRDefault="00B91B4D" w:rsidP="00B91B4D">
            <w:pPr>
              <w:spacing w:after="0" w:line="240" w:lineRule="auto"/>
              <w:contextualSpacing/>
              <w:jc w:val="right"/>
              <w:rPr>
                <w:rFonts w:asciiTheme="minorHAnsi" w:hAnsiTheme="minorHAnsi"/>
                <w:sz w:val="20"/>
                <w:szCs w:val="22"/>
              </w:rPr>
            </w:pPr>
            <w:r w:rsidRPr="005D2347">
              <w:rPr>
                <w:rFonts w:asciiTheme="minorHAnsi" w:hAnsiTheme="minorHAnsi"/>
                <w:sz w:val="20"/>
                <w:szCs w:val="22"/>
              </w:rPr>
              <w:t>2</w:t>
            </w:r>
          </w:p>
        </w:tc>
        <w:tc>
          <w:tcPr>
            <w:tcW w:w="1080" w:type="dxa"/>
            <w:tcBorders>
              <w:top w:val="nil"/>
              <w:left w:val="nil"/>
              <w:bottom w:val="single" w:sz="4" w:space="0" w:color="auto"/>
              <w:right w:val="single" w:sz="4" w:space="0" w:color="auto"/>
            </w:tcBorders>
            <w:shd w:val="clear" w:color="auto" w:fill="auto"/>
            <w:hideMark/>
          </w:tcPr>
          <w:p w:rsidR="00B91B4D" w:rsidRPr="001A63B4" w:rsidRDefault="00B93A0A" w:rsidP="00B93A0A">
            <w:pPr>
              <w:spacing w:after="0" w:line="240" w:lineRule="auto"/>
              <w:contextualSpacing/>
              <w:jc w:val="right"/>
              <w:rPr>
                <w:rFonts w:asciiTheme="minorHAnsi" w:hAnsiTheme="minorHAnsi"/>
                <w:sz w:val="20"/>
                <w:szCs w:val="22"/>
              </w:rPr>
            </w:pPr>
            <w:r>
              <w:rPr>
                <w:rFonts w:asciiTheme="minorHAnsi" w:hAnsiTheme="minorHAnsi"/>
                <w:sz w:val="20"/>
                <w:szCs w:val="22"/>
              </w:rPr>
              <w:t>12</w:t>
            </w:r>
          </w:p>
        </w:tc>
        <w:tc>
          <w:tcPr>
            <w:tcW w:w="990" w:type="dxa"/>
            <w:tcBorders>
              <w:top w:val="nil"/>
              <w:left w:val="nil"/>
              <w:bottom w:val="single" w:sz="4" w:space="0" w:color="auto"/>
              <w:right w:val="single" w:sz="4" w:space="0" w:color="auto"/>
            </w:tcBorders>
            <w:shd w:val="clear" w:color="auto" w:fill="auto"/>
            <w:hideMark/>
          </w:tcPr>
          <w:p w:rsidR="00B91B4D" w:rsidRPr="001A63B4" w:rsidRDefault="00B91B4D" w:rsidP="00B91B4D">
            <w:pPr>
              <w:spacing w:after="0" w:line="240" w:lineRule="auto"/>
              <w:contextualSpacing/>
              <w:jc w:val="right"/>
              <w:rPr>
                <w:rFonts w:asciiTheme="minorHAnsi" w:hAnsiTheme="minorHAnsi"/>
                <w:sz w:val="20"/>
                <w:szCs w:val="22"/>
              </w:rPr>
            </w:pPr>
            <w:r w:rsidRPr="001A63B4">
              <w:rPr>
                <w:rFonts w:asciiTheme="minorHAnsi" w:hAnsiTheme="minorHAnsi"/>
                <w:sz w:val="20"/>
                <w:szCs w:val="22"/>
              </w:rPr>
              <w:t xml:space="preserve">$30.84 </w:t>
            </w:r>
          </w:p>
        </w:tc>
        <w:tc>
          <w:tcPr>
            <w:tcW w:w="1057" w:type="dxa"/>
            <w:tcBorders>
              <w:top w:val="nil"/>
              <w:left w:val="nil"/>
              <w:bottom w:val="single" w:sz="4" w:space="0" w:color="auto"/>
              <w:right w:val="single" w:sz="4" w:space="0" w:color="auto"/>
            </w:tcBorders>
            <w:shd w:val="clear" w:color="auto" w:fill="auto"/>
            <w:noWrap/>
            <w:hideMark/>
          </w:tcPr>
          <w:p w:rsidR="00B91B4D" w:rsidRPr="001A63B4" w:rsidRDefault="00B91B4D" w:rsidP="00E961CA">
            <w:pPr>
              <w:spacing w:after="0" w:line="240" w:lineRule="auto"/>
              <w:contextualSpacing/>
              <w:jc w:val="right"/>
              <w:rPr>
                <w:rFonts w:asciiTheme="minorHAnsi" w:hAnsiTheme="minorHAnsi"/>
                <w:sz w:val="20"/>
                <w:szCs w:val="22"/>
              </w:rPr>
            </w:pPr>
            <w:r w:rsidRPr="001A63B4">
              <w:rPr>
                <w:rFonts w:asciiTheme="minorHAnsi" w:hAnsiTheme="minorHAnsi"/>
                <w:sz w:val="20"/>
                <w:szCs w:val="22"/>
              </w:rPr>
              <w:t>$</w:t>
            </w:r>
            <w:r w:rsidR="00E961CA">
              <w:rPr>
                <w:rFonts w:asciiTheme="minorHAnsi" w:hAnsiTheme="minorHAnsi"/>
                <w:sz w:val="20"/>
                <w:szCs w:val="22"/>
              </w:rPr>
              <w:t>370</w:t>
            </w:r>
          </w:p>
        </w:tc>
      </w:tr>
      <w:tr w:rsidR="00B91B4D" w:rsidRPr="001A63B4" w:rsidTr="00A57779">
        <w:trPr>
          <w:trHeight w:val="20"/>
        </w:trPr>
        <w:tc>
          <w:tcPr>
            <w:tcW w:w="1913" w:type="dxa"/>
            <w:tcBorders>
              <w:top w:val="nil"/>
              <w:left w:val="single" w:sz="4" w:space="0" w:color="auto"/>
              <w:bottom w:val="single" w:sz="4" w:space="0" w:color="auto"/>
              <w:right w:val="single" w:sz="4" w:space="0" w:color="auto"/>
            </w:tcBorders>
            <w:shd w:val="clear" w:color="auto" w:fill="auto"/>
            <w:hideMark/>
          </w:tcPr>
          <w:p w:rsidR="00B91B4D" w:rsidRPr="001A63B4" w:rsidRDefault="00FC43C9" w:rsidP="004107BC">
            <w:pPr>
              <w:spacing w:after="0" w:line="240" w:lineRule="auto"/>
              <w:contextualSpacing/>
              <w:rPr>
                <w:rFonts w:asciiTheme="minorHAnsi" w:hAnsiTheme="minorHAnsi"/>
                <w:sz w:val="20"/>
                <w:szCs w:val="22"/>
              </w:rPr>
            </w:pPr>
            <w:r>
              <w:rPr>
                <w:rFonts w:asciiTheme="minorHAnsi" w:hAnsiTheme="minorHAnsi"/>
                <w:sz w:val="20"/>
                <w:szCs w:val="22"/>
              </w:rPr>
              <w:t xml:space="preserve">Site Visit </w:t>
            </w:r>
            <w:r w:rsidR="00B91B4D" w:rsidRPr="001A63B4">
              <w:rPr>
                <w:rFonts w:asciiTheme="minorHAnsi" w:hAnsiTheme="minorHAnsi"/>
                <w:sz w:val="20"/>
                <w:szCs w:val="22"/>
              </w:rPr>
              <w:t xml:space="preserve">Interview </w:t>
            </w:r>
            <w:r w:rsidR="004107BC">
              <w:rPr>
                <w:rFonts w:asciiTheme="minorHAnsi" w:hAnsiTheme="minorHAnsi"/>
                <w:sz w:val="20"/>
                <w:szCs w:val="22"/>
              </w:rPr>
              <w:t>Guide</w:t>
            </w:r>
            <w:r w:rsidR="00B91B4D" w:rsidRPr="001A63B4">
              <w:rPr>
                <w:rFonts w:asciiTheme="minorHAnsi" w:hAnsiTheme="minorHAnsi"/>
                <w:sz w:val="20"/>
                <w:szCs w:val="22"/>
              </w:rPr>
              <w:t xml:space="preserve"> –Grantee staff</w:t>
            </w:r>
            <w:r w:rsidR="00B91B4D" w:rsidRPr="001A63B4">
              <w:rPr>
                <w:rFonts w:asciiTheme="minorHAnsi" w:hAnsiTheme="minorHAnsi"/>
                <w:sz w:val="20"/>
                <w:szCs w:val="22"/>
                <w:vertAlign w:val="superscript"/>
              </w:rPr>
              <w:t xml:space="preserve"> </w:t>
            </w:r>
            <w:r w:rsidR="00B91B4D">
              <w:rPr>
                <w:rFonts w:asciiTheme="minorHAnsi" w:hAnsiTheme="minorHAnsi"/>
                <w:sz w:val="20"/>
                <w:szCs w:val="22"/>
                <w:vertAlign w:val="superscript"/>
              </w:rPr>
              <w:t>b</w:t>
            </w:r>
          </w:p>
        </w:tc>
        <w:tc>
          <w:tcPr>
            <w:tcW w:w="1350" w:type="dxa"/>
            <w:tcBorders>
              <w:top w:val="nil"/>
              <w:left w:val="nil"/>
              <w:bottom w:val="single" w:sz="4" w:space="0" w:color="auto"/>
              <w:right w:val="single" w:sz="4" w:space="0" w:color="auto"/>
            </w:tcBorders>
            <w:shd w:val="clear" w:color="auto" w:fill="auto"/>
            <w:noWrap/>
            <w:hideMark/>
          </w:tcPr>
          <w:p w:rsidR="00B91B4D" w:rsidRPr="001A63B4" w:rsidRDefault="00B91B4D" w:rsidP="00B91B4D">
            <w:pPr>
              <w:spacing w:after="0" w:line="240" w:lineRule="auto"/>
              <w:contextualSpacing/>
              <w:jc w:val="right"/>
              <w:rPr>
                <w:rFonts w:asciiTheme="minorHAnsi" w:hAnsiTheme="minorHAnsi"/>
                <w:sz w:val="20"/>
                <w:szCs w:val="22"/>
              </w:rPr>
            </w:pPr>
            <w:r w:rsidRPr="001A63B4">
              <w:rPr>
                <w:rFonts w:asciiTheme="minorHAnsi" w:hAnsiTheme="minorHAnsi"/>
                <w:sz w:val="20"/>
                <w:szCs w:val="22"/>
              </w:rPr>
              <w:t>7</w:t>
            </w:r>
          </w:p>
        </w:tc>
        <w:tc>
          <w:tcPr>
            <w:tcW w:w="1260" w:type="dxa"/>
            <w:tcBorders>
              <w:top w:val="nil"/>
              <w:left w:val="nil"/>
              <w:bottom w:val="single" w:sz="4" w:space="0" w:color="auto"/>
              <w:right w:val="single" w:sz="4" w:space="0" w:color="auto"/>
            </w:tcBorders>
            <w:shd w:val="clear" w:color="auto" w:fill="auto"/>
            <w:noWrap/>
            <w:hideMark/>
          </w:tcPr>
          <w:p w:rsidR="00B91B4D" w:rsidRPr="005D2347" w:rsidRDefault="00B91B4D" w:rsidP="00B91B4D">
            <w:pPr>
              <w:spacing w:after="0" w:line="240" w:lineRule="auto"/>
              <w:contextualSpacing/>
              <w:jc w:val="right"/>
              <w:rPr>
                <w:rFonts w:asciiTheme="minorHAnsi" w:hAnsiTheme="minorHAnsi"/>
                <w:sz w:val="20"/>
                <w:szCs w:val="22"/>
              </w:rPr>
            </w:pPr>
            <w:r w:rsidRPr="005D2347">
              <w:rPr>
                <w:rFonts w:asciiTheme="minorHAnsi" w:hAnsiTheme="minorHAnsi"/>
                <w:sz w:val="20"/>
                <w:szCs w:val="22"/>
              </w:rPr>
              <w:t>2</w:t>
            </w:r>
          </w:p>
        </w:tc>
        <w:tc>
          <w:tcPr>
            <w:tcW w:w="1327" w:type="dxa"/>
            <w:tcBorders>
              <w:top w:val="single" w:sz="4" w:space="0" w:color="auto"/>
              <w:left w:val="nil"/>
              <w:bottom w:val="single" w:sz="4" w:space="0" w:color="auto"/>
              <w:right w:val="single" w:sz="4" w:space="0" w:color="auto"/>
            </w:tcBorders>
          </w:tcPr>
          <w:p w:rsidR="00B91B4D" w:rsidRPr="00C87C20" w:rsidRDefault="00967EDD" w:rsidP="00B91B4D">
            <w:pPr>
              <w:spacing w:after="0" w:line="240" w:lineRule="auto"/>
              <w:contextualSpacing/>
              <w:jc w:val="right"/>
              <w:rPr>
                <w:rFonts w:asciiTheme="minorHAnsi" w:hAnsiTheme="minorHAnsi"/>
                <w:sz w:val="20"/>
                <w:szCs w:val="22"/>
              </w:rPr>
            </w:pPr>
            <w:r w:rsidRPr="00C87C20">
              <w:rPr>
                <w:rFonts w:asciiTheme="minorHAnsi" w:hAnsiTheme="minorHAnsi"/>
                <w:sz w:val="20"/>
                <w:szCs w:val="22"/>
              </w:rPr>
              <w:t>14</w:t>
            </w:r>
          </w:p>
        </w:tc>
        <w:tc>
          <w:tcPr>
            <w:tcW w:w="1193" w:type="dxa"/>
            <w:tcBorders>
              <w:top w:val="single" w:sz="4" w:space="0" w:color="auto"/>
              <w:left w:val="single" w:sz="4" w:space="0" w:color="auto"/>
              <w:bottom w:val="single" w:sz="4" w:space="0" w:color="auto"/>
              <w:right w:val="single" w:sz="4" w:space="0" w:color="auto"/>
            </w:tcBorders>
            <w:shd w:val="clear" w:color="auto" w:fill="auto"/>
            <w:noWrap/>
            <w:hideMark/>
          </w:tcPr>
          <w:p w:rsidR="00B91B4D" w:rsidRPr="005D2347" w:rsidRDefault="00B91B4D" w:rsidP="00B91B4D">
            <w:pPr>
              <w:spacing w:after="0" w:line="240" w:lineRule="auto"/>
              <w:contextualSpacing/>
              <w:jc w:val="right"/>
              <w:rPr>
                <w:rFonts w:asciiTheme="minorHAnsi" w:hAnsiTheme="minorHAnsi"/>
                <w:sz w:val="20"/>
                <w:szCs w:val="22"/>
              </w:rPr>
            </w:pPr>
            <w:r w:rsidRPr="005D2347">
              <w:rPr>
                <w:rFonts w:asciiTheme="minorHAnsi" w:hAnsiTheme="minorHAnsi"/>
                <w:sz w:val="20"/>
                <w:szCs w:val="22"/>
              </w:rPr>
              <w:t>1</w:t>
            </w:r>
          </w:p>
        </w:tc>
        <w:tc>
          <w:tcPr>
            <w:tcW w:w="1080" w:type="dxa"/>
            <w:tcBorders>
              <w:top w:val="nil"/>
              <w:left w:val="nil"/>
              <w:bottom w:val="single" w:sz="4" w:space="0" w:color="auto"/>
              <w:right w:val="single" w:sz="4" w:space="0" w:color="auto"/>
            </w:tcBorders>
            <w:shd w:val="clear" w:color="auto" w:fill="auto"/>
            <w:noWrap/>
            <w:hideMark/>
          </w:tcPr>
          <w:p w:rsidR="00B91B4D" w:rsidRPr="001A63B4" w:rsidRDefault="00B93A0A" w:rsidP="00A850B8">
            <w:pPr>
              <w:spacing w:after="0" w:line="240" w:lineRule="auto"/>
              <w:contextualSpacing/>
              <w:jc w:val="right"/>
              <w:rPr>
                <w:rFonts w:asciiTheme="minorHAnsi" w:hAnsiTheme="minorHAnsi"/>
                <w:sz w:val="20"/>
                <w:szCs w:val="22"/>
              </w:rPr>
            </w:pPr>
            <w:r>
              <w:rPr>
                <w:rFonts w:asciiTheme="minorHAnsi" w:hAnsiTheme="minorHAnsi"/>
                <w:sz w:val="20"/>
                <w:szCs w:val="22"/>
              </w:rPr>
              <w:t>1</w:t>
            </w:r>
            <w:r w:rsidR="00A850B8">
              <w:rPr>
                <w:rFonts w:asciiTheme="minorHAnsi" w:hAnsiTheme="minorHAnsi"/>
                <w:sz w:val="20"/>
                <w:szCs w:val="22"/>
              </w:rPr>
              <w:t>4</w:t>
            </w:r>
          </w:p>
        </w:tc>
        <w:tc>
          <w:tcPr>
            <w:tcW w:w="990" w:type="dxa"/>
            <w:tcBorders>
              <w:top w:val="nil"/>
              <w:left w:val="nil"/>
              <w:bottom w:val="single" w:sz="4" w:space="0" w:color="auto"/>
              <w:right w:val="single" w:sz="4" w:space="0" w:color="auto"/>
            </w:tcBorders>
            <w:shd w:val="clear" w:color="auto" w:fill="auto"/>
            <w:hideMark/>
          </w:tcPr>
          <w:p w:rsidR="00B91B4D" w:rsidRPr="001A63B4" w:rsidRDefault="00B91B4D" w:rsidP="00B91B4D">
            <w:pPr>
              <w:spacing w:after="0" w:line="240" w:lineRule="auto"/>
              <w:contextualSpacing/>
              <w:jc w:val="right"/>
              <w:rPr>
                <w:rFonts w:asciiTheme="minorHAnsi" w:hAnsiTheme="minorHAnsi"/>
                <w:sz w:val="20"/>
                <w:szCs w:val="22"/>
              </w:rPr>
            </w:pPr>
            <w:r w:rsidRPr="001A63B4">
              <w:rPr>
                <w:rFonts w:asciiTheme="minorHAnsi" w:hAnsiTheme="minorHAnsi"/>
                <w:sz w:val="20"/>
                <w:szCs w:val="22"/>
              </w:rPr>
              <w:t xml:space="preserve">$18.30 </w:t>
            </w:r>
          </w:p>
        </w:tc>
        <w:tc>
          <w:tcPr>
            <w:tcW w:w="1057" w:type="dxa"/>
            <w:tcBorders>
              <w:top w:val="nil"/>
              <w:left w:val="nil"/>
              <w:bottom w:val="single" w:sz="4" w:space="0" w:color="auto"/>
              <w:right w:val="single" w:sz="4" w:space="0" w:color="auto"/>
            </w:tcBorders>
            <w:shd w:val="clear" w:color="auto" w:fill="auto"/>
            <w:noWrap/>
            <w:hideMark/>
          </w:tcPr>
          <w:p w:rsidR="00B91B4D" w:rsidRPr="001A63B4" w:rsidRDefault="00B91B4D" w:rsidP="00ED4897">
            <w:pPr>
              <w:spacing w:after="0" w:line="240" w:lineRule="auto"/>
              <w:contextualSpacing/>
              <w:jc w:val="right"/>
              <w:rPr>
                <w:rFonts w:asciiTheme="minorHAnsi" w:hAnsiTheme="minorHAnsi"/>
                <w:sz w:val="20"/>
                <w:szCs w:val="22"/>
              </w:rPr>
            </w:pPr>
            <w:r w:rsidRPr="001A63B4">
              <w:rPr>
                <w:rFonts w:asciiTheme="minorHAnsi" w:hAnsiTheme="minorHAnsi"/>
                <w:sz w:val="20"/>
                <w:szCs w:val="22"/>
              </w:rPr>
              <w:t>$</w:t>
            </w:r>
            <w:r w:rsidR="00A80010">
              <w:rPr>
                <w:rFonts w:asciiTheme="minorHAnsi" w:hAnsiTheme="minorHAnsi"/>
                <w:sz w:val="20"/>
                <w:szCs w:val="22"/>
              </w:rPr>
              <w:t>2</w:t>
            </w:r>
            <w:r w:rsidR="00ED4897">
              <w:rPr>
                <w:rFonts w:asciiTheme="minorHAnsi" w:hAnsiTheme="minorHAnsi"/>
                <w:sz w:val="20"/>
                <w:szCs w:val="22"/>
              </w:rPr>
              <w:t>56</w:t>
            </w:r>
          </w:p>
        </w:tc>
      </w:tr>
      <w:tr w:rsidR="00B91B4D" w:rsidRPr="001A63B4" w:rsidTr="00A57779">
        <w:trPr>
          <w:trHeight w:val="20"/>
        </w:trPr>
        <w:tc>
          <w:tcPr>
            <w:tcW w:w="1913" w:type="dxa"/>
            <w:tcBorders>
              <w:top w:val="nil"/>
              <w:left w:val="single" w:sz="4" w:space="0" w:color="auto"/>
              <w:bottom w:val="single" w:sz="4" w:space="0" w:color="auto"/>
              <w:right w:val="single" w:sz="4" w:space="0" w:color="auto"/>
            </w:tcBorders>
            <w:shd w:val="clear" w:color="auto" w:fill="auto"/>
          </w:tcPr>
          <w:p w:rsidR="00B91B4D" w:rsidRPr="001A63B4" w:rsidRDefault="00FC43C9" w:rsidP="004107BC">
            <w:pPr>
              <w:spacing w:after="0" w:line="240" w:lineRule="auto"/>
              <w:contextualSpacing/>
              <w:rPr>
                <w:rFonts w:asciiTheme="minorHAnsi" w:hAnsiTheme="minorHAnsi"/>
                <w:sz w:val="20"/>
                <w:szCs w:val="22"/>
              </w:rPr>
            </w:pPr>
            <w:r>
              <w:rPr>
                <w:rFonts w:asciiTheme="minorHAnsi" w:hAnsiTheme="minorHAnsi"/>
                <w:sz w:val="20"/>
                <w:szCs w:val="22"/>
              </w:rPr>
              <w:t xml:space="preserve">Site Visit </w:t>
            </w:r>
            <w:r w:rsidR="00B91B4D">
              <w:rPr>
                <w:rFonts w:asciiTheme="minorHAnsi" w:hAnsiTheme="minorHAnsi"/>
                <w:sz w:val="20"/>
                <w:szCs w:val="22"/>
              </w:rPr>
              <w:t xml:space="preserve">Interview </w:t>
            </w:r>
            <w:r w:rsidR="004107BC">
              <w:rPr>
                <w:rFonts w:asciiTheme="minorHAnsi" w:hAnsiTheme="minorHAnsi"/>
                <w:sz w:val="20"/>
                <w:szCs w:val="22"/>
              </w:rPr>
              <w:t>Guide</w:t>
            </w:r>
            <w:r w:rsidR="00B91B4D">
              <w:rPr>
                <w:rFonts w:asciiTheme="minorHAnsi" w:hAnsiTheme="minorHAnsi"/>
                <w:sz w:val="20"/>
                <w:szCs w:val="22"/>
              </w:rPr>
              <w:t xml:space="preserve"> </w:t>
            </w:r>
            <w:r w:rsidR="00B91B4D" w:rsidRPr="001A63B4">
              <w:rPr>
                <w:rFonts w:asciiTheme="minorHAnsi" w:hAnsiTheme="minorHAnsi"/>
                <w:sz w:val="20"/>
                <w:szCs w:val="22"/>
              </w:rPr>
              <w:t>–</w:t>
            </w:r>
            <w:r w:rsidR="00B91B4D" w:rsidRPr="00785130">
              <w:rPr>
                <w:rFonts w:asciiTheme="minorHAnsi" w:hAnsiTheme="minorHAnsi"/>
                <w:sz w:val="20"/>
                <w:szCs w:val="22"/>
              </w:rPr>
              <w:t>Related Technical Instruction Provider</w:t>
            </w:r>
            <w:r w:rsidR="00B91B4D">
              <w:rPr>
                <w:rFonts w:asciiTheme="minorHAnsi" w:hAnsiTheme="minorHAnsi"/>
                <w:sz w:val="20"/>
                <w:szCs w:val="22"/>
              </w:rPr>
              <w:t xml:space="preserve"> </w:t>
            </w:r>
            <w:r w:rsidR="00B91B4D">
              <w:rPr>
                <w:rFonts w:asciiTheme="minorHAnsi" w:hAnsiTheme="minorHAnsi"/>
                <w:sz w:val="20"/>
                <w:szCs w:val="22"/>
                <w:vertAlign w:val="superscript"/>
              </w:rPr>
              <w:t>c</w:t>
            </w:r>
          </w:p>
        </w:tc>
        <w:tc>
          <w:tcPr>
            <w:tcW w:w="1350" w:type="dxa"/>
            <w:tcBorders>
              <w:top w:val="nil"/>
              <w:left w:val="nil"/>
              <w:bottom w:val="single" w:sz="4" w:space="0" w:color="auto"/>
              <w:right w:val="single" w:sz="4" w:space="0" w:color="auto"/>
            </w:tcBorders>
            <w:shd w:val="clear" w:color="auto" w:fill="auto"/>
          </w:tcPr>
          <w:p w:rsidR="00B91B4D" w:rsidRPr="001A63B4" w:rsidRDefault="00B91B4D" w:rsidP="00B91B4D">
            <w:pPr>
              <w:spacing w:after="0" w:line="240" w:lineRule="auto"/>
              <w:contextualSpacing/>
              <w:jc w:val="right"/>
              <w:rPr>
                <w:rFonts w:asciiTheme="minorHAnsi" w:hAnsiTheme="minorHAnsi"/>
                <w:sz w:val="20"/>
                <w:szCs w:val="22"/>
              </w:rPr>
            </w:pPr>
            <w:r>
              <w:rPr>
                <w:rFonts w:asciiTheme="minorHAnsi" w:hAnsiTheme="minorHAnsi"/>
                <w:sz w:val="20"/>
                <w:szCs w:val="22"/>
              </w:rPr>
              <w:t>10</w:t>
            </w:r>
          </w:p>
        </w:tc>
        <w:tc>
          <w:tcPr>
            <w:tcW w:w="1260" w:type="dxa"/>
            <w:tcBorders>
              <w:top w:val="nil"/>
              <w:left w:val="nil"/>
              <w:bottom w:val="single" w:sz="4" w:space="0" w:color="auto"/>
              <w:right w:val="single" w:sz="4" w:space="0" w:color="auto"/>
            </w:tcBorders>
            <w:shd w:val="clear" w:color="auto" w:fill="auto"/>
          </w:tcPr>
          <w:p w:rsidR="00B91B4D" w:rsidRPr="005D2347" w:rsidRDefault="00B91B4D" w:rsidP="00B91B4D">
            <w:pPr>
              <w:spacing w:after="0" w:line="240" w:lineRule="auto"/>
              <w:contextualSpacing/>
              <w:jc w:val="right"/>
              <w:rPr>
                <w:rFonts w:asciiTheme="minorHAnsi" w:hAnsiTheme="minorHAnsi"/>
                <w:sz w:val="20"/>
                <w:szCs w:val="22"/>
              </w:rPr>
            </w:pPr>
            <w:r w:rsidRPr="005D2347">
              <w:rPr>
                <w:rFonts w:asciiTheme="minorHAnsi" w:hAnsiTheme="minorHAnsi"/>
                <w:sz w:val="20"/>
                <w:szCs w:val="22"/>
              </w:rPr>
              <w:t>2</w:t>
            </w:r>
          </w:p>
        </w:tc>
        <w:tc>
          <w:tcPr>
            <w:tcW w:w="1327" w:type="dxa"/>
            <w:tcBorders>
              <w:top w:val="single" w:sz="4" w:space="0" w:color="auto"/>
              <w:left w:val="nil"/>
              <w:bottom w:val="single" w:sz="4" w:space="0" w:color="auto"/>
              <w:right w:val="single" w:sz="4" w:space="0" w:color="auto"/>
            </w:tcBorders>
          </w:tcPr>
          <w:p w:rsidR="00B91B4D" w:rsidRPr="00C87C20" w:rsidRDefault="00967EDD" w:rsidP="00B91B4D">
            <w:pPr>
              <w:spacing w:after="0" w:line="240" w:lineRule="auto"/>
              <w:contextualSpacing/>
              <w:jc w:val="right"/>
              <w:rPr>
                <w:rFonts w:asciiTheme="minorHAnsi" w:hAnsiTheme="minorHAnsi"/>
                <w:sz w:val="20"/>
                <w:szCs w:val="22"/>
              </w:rPr>
            </w:pPr>
            <w:r w:rsidRPr="00C87C20">
              <w:rPr>
                <w:rFonts w:asciiTheme="minorHAnsi" w:hAnsiTheme="minorHAnsi"/>
                <w:sz w:val="20"/>
                <w:szCs w:val="22"/>
              </w:rPr>
              <w:t>20</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91B4D" w:rsidRPr="005D2347" w:rsidRDefault="00B91B4D" w:rsidP="00B91B4D">
            <w:pPr>
              <w:spacing w:after="0" w:line="240" w:lineRule="auto"/>
              <w:contextualSpacing/>
              <w:jc w:val="right"/>
              <w:rPr>
                <w:rFonts w:asciiTheme="minorHAnsi" w:hAnsiTheme="minorHAnsi"/>
                <w:sz w:val="20"/>
                <w:szCs w:val="22"/>
              </w:rPr>
            </w:pPr>
            <w:r w:rsidRPr="005D2347">
              <w:rPr>
                <w:rFonts w:asciiTheme="minorHAnsi" w:hAnsiTheme="minorHAnsi"/>
                <w:sz w:val="20"/>
                <w:szCs w:val="22"/>
              </w:rPr>
              <w:t>1</w:t>
            </w:r>
          </w:p>
        </w:tc>
        <w:tc>
          <w:tcPr>
            <w:tcW w:w="1080" w:type="dxa"/>
            <w:tcBorders>
              <w:top w:val="nil"/>
              <w:left w:val="nil"/>
              <w:bottom w:val="single" w:sz="4" w:space="0" w:color="auto"/>
              <w:right w:val="single" w:sz="4" w:space="0" w:color="auto"/>
            </w:tcBorders>
            <w:shd w:val="clear" w:color="auto" w:fill="auto"/>
          </w:tcPr>
          <w:p w:rsidR="00B91B4D" w:rsidRPr="001A63B4" w:rsidDel="00E60C7E" w:rsidRDefault="00B91B4D" w:rsidP="00B91B4D">
            <w:pPr>
              <w:spacing w:after="0" w:line="240" w:lineRule="auto"/>
              <w:contextualSpacing/>
              <w:jc w:val="right"/>
              <w:rPr>
                <w:rFonts w:asciiTheme="minorHAnsi" w:hAnsiTheme="minorHAnsi"/>
                <w:sz w:val="20"/>
                <w:szCs w:val="22"/>
              </w:rPr>
            </w:pPr>
            <w:r>
              <w:rPr>
                <w:rFonts w:asciiTheme="minorHAnsi" w:hAnsiTheme="minorHAnsi"/>
                <w:sz w:val="20"/>
                <w:szCs w:val="22"/>
              </w:rPr>
              <w:t>20</w:t>
            </w:r>
          </w:p>
        </w:tc>
        <w:tc>
          <w:tcPr>
            <w:tcW w:w="990" w:type="dxa"/>
            <w:tcBorders>
              <w:top w:val="nil"/>
              <w:left w:val="nil"/>
              <w:bottom w:val="single" w:sz="4" w:space="0" w:color="auto"/>
              <w:right w:val="single" w:sz="4" w:space="0" w:color="auto"/>
            </w:tcBorders>
            <w:shd w:val="clear" w:color="auto" w:fill="auto"/>
          </w:tcPr>
          <w:p w:rsidR="00B91B4D" w:rsidRPr="001A63B4" w:rsidRDefault="00B91B4D" w:rsidP="00B91B4D">
            <w:pPr>
              <w:spacing w:after="0" w:line="240" w:lineRule="auto"/>
              <w:contextualSpacing/>
              <w:jc w:val="right"/>
              <w:rPr>
                <w:rFonts w:asciiTheme="minorHAnsi" w:hAnsiTheme="minorHAnsi"/>
                <w:sz w:val="20"/>
                <w:szCs w:val="22"/>
              </w:rPr>
            </w:pPr>
            <w:r>
              <w:rPr>
                <w:rFonts w:asciiTheme="minorHAnsi" w:hAnsiTheme="minorHAnsi"/>
                <w:sz w:val="20"/>
                <w:szCs w:val="22"/>
              </w:rPr>
              <w:t>$38.73</w:t>
            </w:r>
          </w:p>
        </w:tc>
        <w:tc>
          <w:tcPr>
            <w:tcW w:w="1057" w:type="dxa"/>
            <w:tcBorders>
              <w:top w:val="nil"/>
              <w:left w:val="nil"/>
              <w:bottom w:val="single" w:sz="4" w:space="0" w:color="auto"/>
              <w:right w:val="single" w:sz="4" w:space="0" w:color="auto"/>
            </w:tcBorders>
            <w:shd w:val="clear" w:color="auto" w:fill="auto"/>
            <w:noWrap/>
          </w:tcPr>
          <w:p w:rsidR="00B91B4D" w:rsidRPr="001A63B4" w:rsidRDefault="00B91B4D" w:rsidP="00A80010">
            <w:pPr>
              <w:spacing w:after="0" w:line="240" w:lineRule="auto"/>
              <w:contextualSpacing/>
              <w:jc w:val="right"/>
              <w:rPr>
                <w:rFonts w:asciiTheme="minorHAnsi" w:hAnsiTheme="minorHAnsi"/>
                <w:sz w:val="20"/>
                <w:szCs w:val="22"/>
              </w:rPr>
            </w:pPr>
            <w:r>
              <w:rPr>
                <w:rFonts w:asciiTheme="minorHAnsi" w:hAnsiTheme="minorHAnsi"/>
                <w:sz w:val="20"/>
                <w:szCs w:val="22"/>
              </w:rPr>
              <w:t>$</w:t>
            </w:r>
            <w:r w:rsidR="00A80010">
              <w:rPr>
                <w:rFonts w:asciiTheme="minorHAnsi" w:hAnsiTheme="minorHAnsi"/>
                <w:sz w:val="20"/>
                <w:szCs w:val="22"/>
              </w:rPr>
              <w:t>775</w:t>
            </w:r>
          </w:p>
        </w:tc>
      </w:tr>
      <w:tr w:rsidR="00B91B4D" w:rsidRPr="001A63B4" w:rsidTr="00A57779">
        <w:trPr>
          <w:trHeight w:val="20"/>
        </w:trPr>
        <w:tc>
          <w:tcPr>
            <w:tcW w:w="1913" w:type="dxa"/>
            <w:tcBorders>
              <w:top w:val="nil"/>
              <w:left w:val="single" w:sz="4" w:space="0" w:color="auto"/>
              <w:bottom w:val="single" w:sz="4" w:space="0" w:color="auto"/>
              <w:right w:val="single" w:sz="4" w:space="0" w:color="auto"/>
            </w:tcBorders>
            <w:shd w:val="clear" w:color="auto" w:fill="auto"/>
            <w:hideMark/>
          </w:tcPr>
          <w:p w:rsidR="00B91B4D" w:rsidRPr="001A63B4" w:rsidRDefault="00FC43C9" w:rsidP="004107BC">
            <w:pPr>
              <w:spacing w:after="0" w:line="240" w:lineRule="auto"/>
              <w:contextualSpacing/>
              <w:rPr>
                <w:rFonts w:asciiTheme="minorHAnsi" w:hAnsiTheme="minorHAnsi"/>
                <w:sz w:val="20"/>
                <w:szCs w:val="22"/>
              </w:rPr>
            </w:pPr>
            <w:r>
              <w:rPr>
                <w:rFonts w:asciiTheme="minorHAnsi" w:hAnsiTheme="minorHAnsi"/>
                <w:sz w:val="20"/>
                <w:szCs w:val="22"/>
              </w:rPr>
              <w:t xml:space="preserve">Site Visit </w:t>
            </w:r>
            <w:r w:rsidR="00B91B4D" w:rsidRPr="001A63B4">
              <w:rPr>
                <w:rFonts w:asciiTheme="minorHAnsi" w:hAnsiTheme="minorHAnsi"/>
                <w:sz w:val="20"/>
                <w:szCs w:val="22"/>
              </w:rPr>
              <w:t xml:space="preserve">Interview </w:t>
            </w:r>
            <w:r w:rsidR="004107BC">
              <w:rPr>
                <w:rFonts w:asciiTheme="minorHAnsi" w:hAnsiTheme="minorHAnsi"/>
                <w:sz w:val="20"/>
                <w:szCs w:val="22"/>
              </w:rPr>
              <w:t>Guide</w:t>
            </w:r>
            <w:r w:rsidR="00B91B4D" w:rsidRPr="001A63B4">
              <w:rPr>
                <w:rFonts w:asciiTheme="minorHAnsi" w:hAnsiTheme="minorHAnsi"/>
                <w:sz w:val="20"/>
                <w:szCs w:val="22"/>
              </w:rPr>
              <w:t xml:space="preserve"> -Employer Partners</w:t>
            </w:r>
            <w:r w:rsidR="00B91B4D" w:rsidRPr="001A63B4">
              <w:rPr>
                <w:rFonts w:asciiTheme="minorHAnsi" w:hAnsiTheme="minorHAnsi"/>
                <w:sz w:val="20"/>
                <w:szCs w:val="22"/>
                <w:vertAlign w:val="superscript"/>
              </w:rPr>
              <w:t xml:space="preserve"> </w:t>
            </w:r>
            <w:r w:rsidR="00B91B4D">
              <w:rPr>
                <w:rFonts w:asciiTheme="minorHAnsi" w:hAnsiTheme="minorHAnsi"/>
                <w:sz w:val="20"/>
                <w:szCs w:val="22"/>
                <w:vertAlign w:val="superscript"/>
              </w:rPr>
              <w:t>d</w:t>
            </w:r>
          </w:p>
        </w:tc>
        <w:tc>
          <w:tcPr>
            <w:tcW w:w="1350" w:type="dxa"/>
            <w:tcBorders>
              <w:top w:val="nil"/>
              <w:left w:val="nil"/>
              <w:bottom w:val="single" w:sz="4" w:space="0" w:color="auto"/>
              <w:right w:val="single" w:sz="4" w:space="0" w:color="auto"/>
            </w:tcBorders>
            <w:shd w:val="clear" w:color="auto" w:fill="auto"/>
            <w:hideMark/>
          </w:tcPr>
          <w:p w:rsidR="00B91B4D" w:rsidRPr="001A63B4" w:rsidRDefault="00B91B4D" w:rsidP="00B91B4D">
            <w:pPr>
              <w:spacing w:after="0" w:line="240" w:lineRule="auto"/>
              <w:contextualSpacing/>
              <w:jc w:val="right"/>
              <w:rPr>
                <w:rFonts w:asciiTheme="minorHAnsi" w:hAnsiTheme="minorHAnsi"/>
                <w:sz w:val="20"/>
                <w:szCs w:val="22"/>
              </w:rPr>
            </w:pPr>
            <w:r w:rsidRPr="001A63B4">
              <w:rPr>
                <w:rFonts w:asciiTheme="minorHAnsi" w:hAnsiTheme="minorHAnsi"/>
                <w:sz w:val="20"/>
                <w:szCs w:val="22"/>
              </w:rPr>
              <w:t>7</w:t>
            </w:r>
          </w:p>
        </w:tc>
        <w:tc>
          <w:tcPr>
            <w:tcW w:w="1260" w:type="dxa"/>
            <w:tcBorders>
              <w:top w:val="nil"/>
              <w:left w:val="nil"/>
              <w:bottom w:val="single" w:sz="4" w:space="0" w:color="auto"/>
              <w:right w:val="single" w:sz="4" w:space="0" w:color="auto"/>
            </w:tcBorders>
            <w:shd w:val="clear" w:color="auto" w:fill="auto"/>
            <w:hideMark/>
          </w:tcPr>
          <w:p w:rsidR="00B91B4D" w:rsidRPr="005D2347" w:rsidRDefault="00B91B4D" w:rsidP="00B91B4D">
            <w:pPr>
              <w:spacing w:after="0" w:line="240" w:lineRule="auto"/>
              <w:contextualSpacing/>
              <w:jc w:val="right"/>
              <w:rPr>
                <w:rFonts w:asciiTheme="minorHAnsi" w:hAnsiTheme="minorHAnsi"/>
                <w:sz w:val="20"/>
                <w:szCs w:val="22"/>
              </w:rPr>
            </w:pPr>
            <w:r w:rsidRPr="005D2347">
              <w:rPr>
                <w:rFonts w:asciiTheme="minorHAnsi" w:hAnsiTheme="minorHAnsi"/>
                <w:sz w:val="20"/>
                <w:szCs w:val="22"/>
              </w:rPr>
              <w:t>2</w:t>
            </w:r>
          </w:p>
        </w:tc>
        <w:tc>
          <w:tcPr>
            <w:tcW w:w="1327" w:type="dxa"/>
            <w:tcBorders>
              <w:top w:val="single" w:sz="4" w:space="0" w:color="auto"/>
              <w:left w:val="nil"/>
              <w:bottom w:val="single" w:sz="4" w:space="0" w:color="auto"/>
              <w:right w:val="single" w:sz="4" w:space="0" w:color="auto"/>
            </w:tcBorders>
          </w:tcPr>
          <w:p w:rsidR="00B91B4D" w:rsidRPr="00C87C20" w:rsidRDefault="00967EDD" w:rsidP="00B91B4D">
            <w:pPr>
              <w:spacing w:after="0" w:line="240" w:lineRule="auto"/>
              <w:contextualSpacing/>
              <w:jc w:val="right"/>
              <w:rPr>
                <w:rFonts w:asciiTheme="minorHAnsi" w:hAnsiTheme="minorHAnsi"/>
                <w:sz w:val="20"/>
                <w:szCs w:val="22"/>
              </w:rPr>
            </w:pPr>
            <w:r w:rsidRPr="00C87C20">
              <w:rPr>
                <w:rFonts w:asciiTheme="minorHAnsi" w:hAnsiTheme="minorHAnsi"/>
                <w:sz w:val="20"/>
                <w:szCs w:val="22"/>
              </w:rPr>
              <w:t>14</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B91B4D" w:rsidRPr="005D2347" w:rsidRDefault="00B91B4D" w:rsidP="00B91B4D">
            <w:pPr>
              <w:spacing w:after="0" w:line="240" w:lineRule="auto"/>
              <w:contextualSpacing/>
              <w:jc w:val="right"/>
              <w:rPr>
                <w:rFonts w:asciiTheme="minorHAnsi" w:hAnsiTheme="minorHAnsi"/>
                <w:sz w:val="20"/>
                <w:szCs w:val="22"/>
              </w:rPr>
            </w:pPr>
            <w:r w:rsidRPr="005D2347">
              <w:rPr>
                <w:rFonts w:asciiTheme="minorHAnsi" w:hAnsiTheme="minorHAnsi"/>
                <w:sz w:val="20"/>
                <w:szCs w:val="22"/>
              </w:rPr>
              <w:t>1</w:t>
            </w:r>
          </w:p>
        </w:tc>
        <w:tc>
          <w:tcPr>
            <w:tcW w:w="1080" w:type="dxa"/>
            <w:tcBorders>
              <w:top w:val="nil"/>
              <w:left w:val="nil"/>
              <w:bottom w:val="single" w:sz="4" w:space="0" w:color="auto"/>
              <w:right w:val="single" w:sz="4" w:space="0" w:color="auto"/>
            </w:tcBorders>
            <w:shd w:val="clear" w:color="auto" w:fill="auto"/>
            <w:hideMark/>
          </w:tcPr>
          <w:p w:rsidR="00B91B4D" w:rsidRPr="001A63B4" w:rsidRDefault="00460B4D" w:rsidP="00460B4D">
            <w:pPr>
              <w:spacing w:after="0" w:line="240" w:lineRule="auto"/>
              <w:contextualSpacing/>
              <w:jc w:val="right"/>
              <w:rPr>
                <w:rFonts w:asciiTheme="minorHAnsi" w:hAnsiTheme="minorHAnsi"/>
                <w:sz w:val="20"/>
                <w:szCs w:val="22"/>
              </w:rPr>
            </w:pPr>
            <w:r>
              <w:rPr>
                <w:rFonts w:asciiTheme="minorHAnsi" w:hAnsiTheme="minorHAnsi"/>
                <w:sz w:val="20"/>
                <w:szCs w:val="22"/>
              </w:rPr>
              <w:t>14</w:t>
            </w:r>
          </w:p>
        </w:tc>
        <w:tc>
          <w:tcPr>
            <w:tcW w:w="990" w:type="dxa"/>
            <w:tcBorders>
              <w:top w:val="nil"/>
              <w:left w:val="nil"/>
              <w:bottom w:val="single" w:sz="4" w:space="0" w:color="auto"/>
              <w:right w:val="single" w:sz="4" w:space="0" w:color="auto"/>
            </w:tcBorders>
            <w:shd w:val="clear" w:color="auto" w:fill="auto"/>
            <w:hideMark/>
          </w:tcPr>
          <w:p w:rsidR="00B91B4D" w:rsidRPr="001A63B4" w:rsidRDefault="00B91B4D" w:rsidP="00B91B4D">
            <w:pPr>
              <w:spacing w:after="0" w:line="240" w:lineRule="auto"/>
              <w:contextualSpacing/>
              <w:jc w:val="right"/>
              <w:rPr>
                <w:rFonts w:asciiTheme="minorHAnsi" w:hAnsiTheme="minorHAnsi"/>
                <w:sz w:val="20"/>
                <w:szCs w:val="22"/>
              </w:rPr>
            </w:pPr>
            <w:r w:rsidRPr="001A63B4">
              <w:rPr>
                <w:rFonts w:asciiTheme="minorHAnsi" w:hAnsiTheme="minorHAnsi"/>
                <w:sz w:val="20"/>
                <w:szCs w:val="22"/>
              </w:rPr>
              <w:t xml:space="preserve">$55.09 </w:t>
            </w:r>
          </w:p>
        </w:tc>
        <w:tc>
          <w:tcPr>
            <w:tcW w:w="1057" w:type="dxa"/>
            <w:tcBorders>
              <w:top w:val="nil"/>
              <w:left w:val="nil"/>
              <w:bottom w:val="single" w:sz="4" w:space="0" w:color="auto"/>
              <w:right w:val="single" w:sz="4" w:space="0" w:color="auto"/>
            </w:tcBorders>
            <w:shd w:val="clear" w:color="auto" w:fill="auto"/>
            <w:noWrap/>
            <w:hideMark/>
          </w:tcPr>
          <w:p w:rsidR="00B91B4D" w:rsidRPr="001A63B4" w:rsidRDefault="00B91B4D" w:rsidP="00BD05F0">
            <w:pPr>
              <w:spacing w:after="0" w:line="240" w:lineRule="auto"/>
              <w:contextualSpacing/>
              <w:jc w:val="right"/>
              <w:rPr>
                <w:rFonts w:asciiTheme="minorHAnsi" w:hAnsiTheme="minorHAnsi"/>
                <w:sz w:val="20"/>
                <w:szCs w:val="22"/>
              </w:rPr>
            </w:pPr>
            <w:r w:rsidRPr="001A63B4">
              <w:rPr>
                <w:rFonts w:asciiTheme="minorHAnsi" w:hAnsiTheme="minorHAnsi"/>
                <w:sz w:val="20"/>
                <w:szCs w:val="22"/>
              </w:rPr>
              <w:t>$</w:t>
            </w:r>
            <w:r w:rsidR="00BD05F0">
              <w:rPr>
                <w:rFonts w:asciiTheme="minorHAnsi" w:hAnsiTheme="minorHAnsi"/>
                <w:sz w:val="20"/>
                <w:szCs w:val="22"/>
              </w:rPr>
              <w:t>771</w:t>
            </w:r>
            <w:r w:rsidR="00BD05F0" w:rsidRPr="001A63B4">
              <w:rPr>
                <w:rFonts w:asciiTheme="minorHAnsi" w:hAnsiTheme="minorHAnsi"/>
                <w:sz w:val="20"/>
                <w:szCs w:val="22"/>
              </w:rPr>
              <w:t xml:space="preserve"> </w:t>
            </w:r>
          </w:p>
        </w:tc>
      </w:tr>
      <w:tr w:rsidR="00B91B4D" w:rsidRPr="001A63B4" w:rsidTr="00A57779">
        <w:trPr>
          <w:trHeight w:val="20"/>
        </w:trPr>
        <w:tc>
          <w:tcPr>
            <w:tcW w:w="1913" w:type="dxa"/>
            <w:tcBorders>
              <w:top w:val="nil"/>
              <w:left w:val="single" w:sz="4" w:space="0" w:color="auto"/>
              <w:bottom w:val="single" w:sz="4" w:space="0" w:color="auto"/>
              <w:right w:val="single" w:sz="4" w:space="0" w:color="auto"/>
            </w:tcBorders>
            <w:shd w:val="clear" w:color="auto" w:fill="auto"/>
            <w:hideMark/>
          </w:tcPr>
          <w:p w:rsidR="00B91B4D" w:rsidRPr="001A63B4" w:rsidRDefault="00FC43C9" w:rsidP="004107BC">
            <w:pPr>
              <w:spacing w:after="0" w:line="240" w:lineRule="auto"/>
              <w:contextualSpacing/>
              <w:rPr>
                <w:rFonts w:asciiTheme="minorHAnsi" w:hAnsiTheme="minorHAnsi"/>
                <w:sz w:val="20"/>
                <w:szCs w:val="22"/>
              </w:rPr>
            </w:pPr>
            <w:r>
              <w:rPr>
                <w:rFonts w:asciiTheme="minorHAnsi" w:hAnsiTheme="minorHAnsi"/>
                <w:sz w:val="20"/>
                <w:szCs w:val="22"/>
              </w:rPr>
              <w:t xml:space="preserve">Site Visit </w:t>
            </w:r>
            <w:r w:rsidR="00B91B4D" w:rsidRPr="001A63B4">
              <w:rPr>
                <w:rFonts w:asciiTheme="minorHAnsi" w:hAnsiTheme="minorHAnsi"/>
                <w:sz w:val="20"/>
                <w:szCs w:val="22"/>
              </w:rPr>
              <w:t xml:space="preserve">Interview </w:t>
            </w:r>
            <w:r w:rsidR="004107BC">
              <w:rPr>
                <w:rFonts w:asciiTheme="minorHAnsi" w:hAnsiTheme="minorHAnsi"/>
                <w:sz w:val="20"/>
                <w:szCs w:val="22"/>
              </w:rPr>
              <w:t>Guide</w:t>
            </w:r>
            <w:r w:rsidR="00B91B4D" w:rsidRPr="001A63B4">
              <w:rPr>
                <w:rFonts w:asciiTheme="minorHAnsi" w:hAnsiTheme="minorHAnsi"/>
                <w:sz w:val="20"/>
                <w:szCs w:val="22"/>
              </w:rPr>
              <w:t>- Workforce Development partners</w:t>
            </w:r>
            <w:r w:rsidR="00B91B4D" w:rsidRPr="001A63B4">
              <w:rPr>
                <w:rFonts w:asciiTheme="minorHAnsi" w:hAnsiTheme="minorHAnsi"/>
                <w:sz w:val="20"/>
                <w:szCs w:val="22"/>
                <w:vertAlign w:val="superscript"/>
              </w:rPr>
              <w:t xml:space="preserve"> </w:t>
            </w:r>
            <w:r w:rsidR="00B91B4D">
              <w:rPr>
                <w:rFonts w:asciiTheme="minorHAnsi" w:hAnsiTheme="minorHAnsi"/>
                <w:sz w:val="20"/>
                <w:szCs w:val="22"/>
                <w:vertAlign w:val="superscript"/>
              </w:rPr>
              <w:t>e</w:t>
            </w:r>
          </w:p>
        </w:tc>
        <w:tc>
          <w:tcPr>
            <w:tcW w:w="1350" w:type="dxa"/>
            <w:tcBorders>
              <w:top w:val="nil"/>
              <w:left w:val="nil"/>
              <w:bottom w:val="single" w:sz="4" w:space="0" w:color="auto"/>
              <w:right w:val="single" w:sz="4" w:space="0" w:color="auto"/>
            </w:tcBorders>
            <w:shd w:val="clear" w:color="auto" w:fill="auto"/>
            <w:hideMark/>
          </w:tcPr>
          <w:p w:rsidR="00B91B4D" w:rsidRPr="001A63B4" w:rsidRDefault="00B91B4D" w:rsidP="00B91B4D">
            <w:pPr>
              <w:spacing w:after="0" w:line="240" w:lineRule="auto"/>
              <w:contextualSpacing/>
              <w:jc w:val="right"/>
              <w:rPr>
                <w:rFonts w:asciiTheme="minorHAnsi" w:hAnsiTheme="minorHAnsi"/>
                <w:sz w:val="20"/>
                <w:szCs w:val="22"/>
              </w:rPr>
            </w:pPr>
            <w:r w:rsidRPr="001A63B4">
              <w:rPr>
                <w:rFonts w:asciiTheme="minorHAnsi" w:hAnsiTheme="minorHAnsi"/>
                <w:sz w:val="20"/>
                <w:szCs w:val="22"/>
              </w:rPr>
              <w:t>7</w:t>
            </w:r>
          </w:p>
        </w:tc>
        <w:tc>
          <w:tcPr>
            <w:tcW w:w="1260" w:type="dxa"/>
            <w:tcBorders>
              <w:top w:val="nil"/>
              <w:left w:val="nil"/>
              <w:bottom w:val="single" w:sz="4" w:space="0" w:color="auto"/>
              <w:right w:val="single" w:sz="4" w:space="0" w:color="auto"/>
            </w:tcBorders>
            <w:shd w:val="clear" w:color="auto" w:fill="auto"/>
            <w:hideMark/>
          </w:tcPr>
          <w:p w:rsidR="00B91B4D" w:rsidRPr="005D2347" w:rsidRDefault="00B91B4D" w:rsidP="00B91B4D">
            <w:pPr>
              <w:spacing w:after="0" w:line="240" w:lineRule="auto"/>
              <w:contextualSpacing/>
              <w:jc w:val="right"/>
              <w:rPr>
                <w:rFonts w:asciiTheme="minorHAnsi" w:hAnsiTheme="minorHAnsi"/>
                <w:sz w:val="20"/>
                <w:szCs w:val="22"/>
              </w:rPr>
            </w:pPr>
            <w:r w:rsidRPr="005D2347">
              <w:rPr>
                <w:rFonts w:asciiTheme="minorHAnsi" w:hAnsiTheme="minorHAnsi"/>
                <w:sz w:val="20"/>
                <w:szCs w:val="22"/>
              </w:rPr>
              <w:t>2</w:t>
            </w:r>
          </w:p>
        </w:tc>
        <w:tc>
          <w:tcPr>
            <w:tcW w:w="1327" w:type="dxa"/>
            <w:tcBorders>
              <w:top w:val="single" w:sz="4" w:space="0" w:color="auto"/>
              <w:left w:val="nil"/>
              <w:bottom w:val="single" w:sz="4" w:space="0" w:color="auto"/>
              <w:right w:val="single" w:sz="4" w:space="0" w:color="auto"/>
            </w:tcBorders>
          </w:tcPr>
          <w:p w:rsidR="00B91B4D" w:rsidRPr="00C87C20" w:rsidRDefault="00967EDD" w:rsidP="00B91B4D">
            <w:pPr>
              <w:spacing w:after="0" w:line="240" w:lineRule="auto"/>
              <w:contextualSpacing/>
              <w:jc w:val="right"/>
              <w:rPr>
                <w:rFonts w:asciiTheme="minorHAnsi" w:hAnsiTheme="minorHAnsi"/>
                <w:sz w:val="20"/>
                <w:szCs w:val="22"/>
              </w:rPr>
            </w:pPr>
            <w:r w:rsidRPr="00C87C20">
              <w:rPr>
                <w:rFonts w:asciiTheme="minorHAnsi" w:hAnsiTheme="minorHAnsi"/>
                <w:sz w:val="20"/>
                <w:szCs w:val="22"/>
              </w:rPr>
              <w:t>14</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B91B4D" w:rsidRPr="005D2347" w:rsidRDefault="00B91B4D" w:rsidP="00B91B4D">
            <w:pPr>
              <w:spacing w:after="0" w:line="240" w:lineRule="auto"/>
              <w:contextualSpacing/>
              <w:jc w:val="right"/>
              <w:rPr>
                <w:rFonts w:asciiTheme="minorHAnsi" w:hAnsiTheme="minorHAnsi"/>
                <w:sz w:val="20"/>
                <w:szCs w:val="22"/>
              </w:rPr>
            </w:pPr>
            <w:r w:rsidRPr="005D2347">
              <w:rPr>
                <w:rFonts w:asciiTheme="minorHAnsi" w:hAnsiTheme="minorHAnsi"/>
                <w:sz w:val="20"/>
                <w:szCs w:val="22"/>
              </w:rPr>
              <w:t>1</w:t>
            </w:r>
          </w:p>
        </w:tc>
        <w:tc>
          <w:tcPr>
            <w:tcW w:w="1080" w:type="dxa"/>
            <w:tcBorders>
              <w:top w:val="nil"/>
              <w:left w:val="nil"/>
              <w:bottom w:val="single" w:sz="4" w:space="0" w:color="auto"/>
              <w:right w:val="single" w:sz="4" w:space="0" w:color="auto"/>
            </w:tcBorders>
            <w:shd w:val="clear" w:color="auto" w:fill="auto"/>
            <w:hideMark/>
          </w:tcPr>
          <w:p w:rsidR="00B91B4D" w:rsidRPr="001A63B4" w:rsidRDefault="00460B4D" w:rsidP="00460B4D">
            <w:pPr>
              <w:spacing w:after="0" w:line="240" w:lineRule="auto"/>
              <w:contextualSpacing/>
              <w:jc w:val="right"/>
              <w:rPr>
                <w:rFonts w:asciiTheme="minorHAnsi" w:hAnsiTheme="minorHAnsi"/>
                <w:sz w:val="20"/>
                <w:szCs w:val="22"/>
              </w:rPr>
            </w:pPr>
            <w:r>
              <w:rPr>
                <w:rFonts w:asciiTheme="minorHAnsi" w:hAnsiTheme="minorHAnsi"/>
                <w:sz w:val="20"/>
                <w:szCs w:val="22"/>
              </w:rPr>
              <w:t>14</w:t>
            </w:r>
          </w:p>
        </w:tc>
        <w:tc>
          <w:tcPr>
            <w:tcW w:w="990" w:type="dxa"/>
            <w:tcBorders>
              <w:top w:val="nil"/>
              <w:left w:val="nil"/>
              <w:bottom w:val="single" w:sz="4" w:space="0" w:color="auto"/>
              <w:right w:val="single" w:sz="4" w:space="0" w:color="auto"/>
            </w:tcBorders>
            <w:shd w:val="clear" w:color="auto" w:fill="auto"/>
            <w:hideMark/>
          </w:tcPr>
          <w:p w:rsidR="00B91B4D" w:rsidRPr="001A63B4" w:rsidRDefault="00B91B4D" w:rsidP="00B91B4D">
            <w:pPr>
              <w:spacing w:after="0" w:line="240" w:lineRule="auto"/>
              <w:contextualSpacing/>
              <w:jc w:val="right"/>
              <w:rPr>
                <w:rFonts w:asciiTheme="minorHAnsi" w:hAnsiTheme="minorHAnsi"/>
                <w:sz w:val="20"/>
                <w:szCs w:val="22"/>
              </w:rPr>
            </w:pPr>
            <w:r w:rsidRPr="001A63B4">
              <w:rPr>
                <w:rFonts w:asciiTheme="minorHAnsi" w:hAnsiTheme="minorHAnsi"/>
                <w:sz w:val="20"/>
                <w:szCs w:val="22"/>
              </w:rPr>
              <w:t xml:space="preserve">$41.86 </w:t>
            </w:r>
          </w:p>
        </w:tc>
        <w:tc>
          <w:tcPr>
            <w:tcW w:w="1057" w:type="dxa"/>
            <w:tcBorders>
              <w:top w:val="nil"/>
              <w:left w:val="nil"/>
              <w:bottom w:val="single" w:sz="4" w:space="0" w:color="auto"/>
              <w:right w:val="single" w:sz="4" w:space="0" w:color="auto"/>
            </w:tcBorders>
            <w:shd w:val="clear" w:color="auto" w:fill="auto"/>
            <w:noWrap/>
            <w:hideMark/>
          </w:tcPr>
          <w:p w:rsidR="00B91B4D" w:rsidRPr="001A63B4" w:rsidRDefault="00B91B4D" w:rsidP="003D3755">
            <w:pPr>
              <w:spacing w:after="0" w:line="240" w:lineRule="auto"/>
              <w:contextualSpacing/>
              <w:jc w:val="right"/>
              <w:rPr>
                <w:rFonts w:asciiTheme="minorHAnsi" w:hAnsiTheme="minorHAnsi"/>
                <w:sz w:val="20"/>
                <w:szCs w:val="22"/>
              </w:rPr>
            </w:pPr>
            <w:r w:rsidRPr="001A63B4">
              <w:rPr>
                <w:rFonts w:asciiTheme="minorHAnsi" w:hAnsiTheme="minorHAnsi"/>
                <w:sz w:val="20"/>
                <w:szCs w:val="22"/>
              </w:rPr>
              <w:t>$</w:t>
            </w:r>
            <w:r w:rsidR="003D3755">
              <w:rPr>
                <w:rFonts w:asciiTheme="minorHAnsi" w:hAnsiTheme="minorHAnsi"/>
                <w:sz w:val="20"/>
                <w:szCs w:val="22"/>
              </w:rPr>
              <w:t>586</w:t>
            </w:r>
          </w:p>
        </w:tc>
      </w:tr>
      <w:tr w:rsidR="00B91B4D" w:rsidRPr="001A63B4" w:rsidTr="00A57779">
        <w:trPr>
          <w:trHeight w:val="20"/>
        </w:trPr>
        <w:tc>
          <w:tcPr>
            <w:tcW w:w="1913" w:type="dxa"/>
            <w:tcBorders>
              <w:top w:val="nil"/>
              <w:left w:val="single" w:sz="4" w:space="0" w:color="auto"/>
              <w:bottom w:val="single" w:sz="4" w:space="0" w:color="auto"/>
              <w:right w:val="single" w:sz="4" w:space="0" w:color="auto"/>
            </w:tcBorders>
            <w:shd w:val="clear" w:color="auto" w:fill="auto"/>
            <w:hideMark/>
          </w:tcPr>
          <w:p w:rsidR="00B91B4D" w:rsidRPr="001A63B4" w:rsidRDefault="00FC43C9" w:rsidP="004107BC">
            <w:pPr>
              <w:spacing w:after="0" w:line="240" w:lineRule="auto"/>
              <w:contextualSpacing/>
              <w:rPr>
                <w:rFonts w:asciiTheme="minorHAnsi" w:hAnsiTheme="minorHAnsi"/>
                <w:sz w:val="20"/>
                <w:szCs w:val="22"/>
              </w:rPr>
            </w:pPr>
            <w:r>
              <w:rPr>
                <w:rFonts w:asciiTheme="minorHAnsi" w:hAnsiTheme="minorHAnsi"/>
                <w:sz w:val="20"/>
                <w:szCs w:val="22"/>
              </w:rPr>
              <w:t xml:space="preserve">Site Visit </w:t>
            </w:r>
            <w:r w:rsidR="00B91B4D" w:rsidRPr="001A63B4">
              <w:rPr>
                <w:rFonts w:asciiTheme="minorHAnsi" w:hAnsiTheme="minorHAnsi"/>
                <w:sz w:val="20"/>
                <w:szCs w:val="22"/>
              </w:rPr>
              <w:t xml:space="preserve">Interview </w:t>
            </w:r>
            <w:r w:rsidR="004107BC">
              <w:rPr>
                <w:rFonts w:asciiTheme="minorHAnsi" w:hAnsiTheme="minorHAnsi"/>
                <w:sz w:val="20"/>
                <w:szCs w:val="22"/>
              </w:rPr>
              <w:t>Guide</w:t>
            </w:r>
            <w:r w:rsidR="00B91B4D" w:rsidRPr="001A63B4">
              <w:rPr>
                <w:rFonts w:asciiTheme="minorHAnsi" w:hAnsiTheme="minorHAnsi"/>
                <w:sz w:val="20"/>
                <w:szCs w:val="22"/>
              </w:rPr>
              <w:t>-Union Representatives</w:t>
            </w:r>
            <w:r w:rsidR="00B91B4D" w:rsidRPr="001A63B4">
              <w:rPr>
                <w:rFonts w:asciiTheme="minorHAnsi" w:hAnsiTheme="minorHAnsi"/>
                <w:sz w:val="20"/>
                <w:szCs w:val="22"/>
                <w:vertAlign w:val="superscript"/>
              </w:rPr>
              <w:t xml:space="preserve"> </w:t>
            </w:r>
            <w:r w:rsidR="00B91B4D">
              <w:rPr>
                <w:rFonts w:asciiTheme="minorHAnsi" w:hAnsiTheme="minorHAnsi"/>
                <w:sz w:val="20"/>
                <w:szCs w:val="22"/>
                <w:vertAlign w:val="superscript"/>
              </w:rPr>
              <w:t>f</w:t>
            </w:r>
          </w:p>
        </w:tc>
        <w:tc>
          <w:tcPr>
            <w:tcW w:w="1350" w:type="dxa"/>
            <w:tcBorders>
              <w:top w:val="nil"/>
              <w:left w:val="nil"/>
              <w:bottom w:val="single" w:sz="4" w:space="0" w:color="auto"/>
              <w:right w:val="single" w:sz="4" w:space="0" w:color="auto"/>
            </w:tcBorders>
            <w:shd w:val="clear" w:color="auto" w:fill="auto"/>
            <w:hideMark/>
          </w:tcPr>
          <w:p w:rsidR="00B91B4D" w:rsidRPr="001A63B4" w:rsidRDefault="00B91B4D" w:rsidP="00B91B4D">
            <w:pPr>
              <w:spacing w:after="0" w:line="240" w:lineRule="auto"/>
              <w:contextualSpacing/>
              <w:jc w:val="right"/>
              <w:rPr>
                <w:rFonts w:asciiTheme="minorHAnsi" w:hAnsiTheme="minorHAnsi"/>
                <w:sz w:val="20"/>
                <w:szCs w:val="22"/>
              </w:rPr>
            </w:pPr>
            <w:r w:rsidRPr="001A63B4">
              <w:rPr>
                <w:rFonts w:asciiTheme="minorHAnsi" w:hAnsiTheme="minorHAnsi"/>
                <w:sz w:val="20"/>
                <w:szCs w:val="22"/>
              </w:rPr>
              <w:t>3</w:t>
            </w:r>
          </w:p>
        </w:tc>
        <w:tc>
          <w:tcPr>
            <w:tcW w:w="1260" w:type="dxa"/>
            <w:tcBorders>
              <w:top w:val="nil"/>
              <w:left w:val="nil"/>
              <w:bottom w:val="single" w:sz="4" w:space="0" w:color="auto"/>
              <w:right w:val="single" w:sz="4" w:space="0" w:color="auto"/>
            </w:tcBorders>
            <w:shd w:val="clear" w:color="auto" w:fill="auto"/>
            <w:hideMark/>
          </w:tcPr>
          <w:p w:rsidR="00B91B4D" w:rsidRPr="005D2347" w:rsidRDefault="00B91B4D" w:rsidP="00B91B4D">
            <w:pPr>
              <w:spacing w:after="0" w:line="240" w:lineRule="auto"/>
              <w:contextualSpacing/>
              <w:jc w:val="right"/>
              <w:rPr>
                <w:rFonts w:asciiTheme="minorHAnsi" w:hAnsiTheme="minorHAnsi"/>
                <w:sz w:val="20"/>
                <w:szCs w:val="22"/>
              </w:rPr>
            </w:pPr>
            <w:r w:rsidRPr="005D2347">
              <w:rPr>
                <w:rFonts w:asciiTheme="minorHAnsi" w:hAnsiTheme="minorHAnsi"/>
                <w:sz w:val="20"/>
                <w:szCs w:val="22"/>
              </w:rPr>
              <w:t>2</w:t>
            </w:r>
          </w:p>
        </w:tc>
        <w:tc>
          <w:tcPr>
            <w:tcW w:w="1327" w:type="dxa"/>
            <w:tcBorders>
              <w:top w:val="single" w:sz="4" w:space="0" w:color="auto"/>
              <w:left w:val="nil"/>
              <w:bottom w:val="single" w:sz="4" w:space="0" w:color="auto"/>
              <w:right w:val="single" w:sz="4" w:space="0" w:color="auto"/>
            </w:tcBorders>
          </w:tcPr>
          <w:p w:rsidR="00B91B4D" w:rsidRPr="00C87C20" w:rsidRDefault="00967EDD" w:rsidP="00B91B4D">
            <w:pPr>
              <w:spacing w:after="0" w:line="240" w:lineRule="auto"/>
              <w:contextualSpacing/>
              <w:jc w:val="right"/>
              <w:rPr>
                <w:rFonts w:asciiTheme="minorHAnsi" w:hAnsiTheme="minorHAnsi"/>
                <w:sz w:val="20"/>
                <w:szCs w:val="22"/>
              </w:rPr>
            </w:pPr>
            <w:r w:rsidRPr="00C87C20">
              <w:rPr>
                <w:rFonts w:asciiTheme="minorHAnsi" w:hAnsiTheme="minorHAnsi"/>
                <w:sz w:val="20"/>
                <w:szCs w:val="22"/>
              </w:rPr>
              <w:t>6</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B91B4D" w:rsidRPr="005D2347" w:rsidRDefault="00B91B4D" w:rsidP="00B91B4D">
            <w:pPr>
              <w:spacing w:after="0" w:line="240" w:lineRule="auto"/>
              <w:contextualSpacing/>
              <w:jc w:val="right"/>
              <w:rPr>
                <w:rFonts w:asciiTheme="minorHAnsi" w:hAnsiTheme="minorHAnsi"/>
                <w:sz w:val="20"/>
                <w:szCs w:val="22"/>
              </w:rPr>
            </w:pPr>
            <w:r w:rsidRPr="005D2347">
              <w:rPr>
                <w:rFonts w:asciiTheme="minorHAnsi" w:hAnsiTheme="minorHAnsi"/>
                <w:sz w:val="20"/>
                <w:szCs w:val="22"/>
              </w:rPr>
              <w:t>1</w:t>
            </w:r>
          </w:p>
        </w:tc>
        <w:tc>
          <w:tcPr>
            <w:tcW w:w="1080" w:type="dxa"/>
            <w:tcBorders>
              <w:top w:val="nil"/>
              <w:left w:val="nil"/>
              <w:bottom w:val="single" w:sz="4" w:space="0" w:color="auto"/>
              <w:right w:val="single" w:sz="4" w:space="0" w:color="auto"/>
            </w:tcBorders>
            <w:shd w:val="clear" w:color="auto" w:fill="auto"/>
            <w:hideMark/>
          </w:tcPr>
          <w:p w:rsidR="00B91B4D" w:rsidRPr="001A63B4" w:rsidRDefault="00460B4D" w:rsidP="00B91B4D">
            <w:pPr>
              <w:spacing w:after="0" w:line="240" w:lineRule="auto"/>
              <w:contextualSpacing/>
              <w:jc w:val="right"/>
              <w:rPr>
                <w:rFonts w:asciiTheme="minorHAnsi" w:hAnsiTheme="minorHAnsi"/>
                <w:sz w:val="20"/>
                <w:szCs w:val="22"/>
              </w:rPr>
            </w:pPr>
            <w:r>
              <w:rPr>
                <w:rFonts w:asciiTheme="minorHAnsi" w:hAnsiTheme="minorHAnsi"/>
                <w:sz w:val="20"/>
                <w:szCs w:val="22"/>
              </w:rPr>
              <w:t>6</w:t>
            </w:r>
          </w:p>
        </w:tc>
        <w:tc>
          <w:tcPr>
            <w:tcW w:w="990" w:type="dxa"/>
            <w:tcBorders>
              <w:top w:val="nil"/>
              <w:left w:val="nil"/>
              <w:bottom w:val="single" w:sz="4" w:space="0" w:color="auto"/>
              <w:right w:val="single" w:sz="4" w:space="0" w:color="auto"/>
            </w:tcBorders>
            <w:shd w:val="clear" w:color="auto" w:fill="auto"/>
            <w:hideMark/>
          </w:tcPr>
          <w:p w:rsidR="00B91B4D" w:rsidRPr="001A63B4" w:rsidRDefault="00B91B4D" w:rsidP="00B91B4D">
            <w:pPr>
              <w:spacing w:after="0" w:line="240" w:lineRule="auto"/>
              <w:contextualSpacing/>
              <w:jc w:val="right"/>
              <w:rPr>
                <w:rFonts w:asciiTheme="minorHAnsi" w:hAnsiTheme="minorHAnsi"/>
                <w:sz w:val="20"/>
                <w:szCs w:val="22"/>
              </w:rPr>
            </w:pPr>
            <w:r w:rsidRPr="001A63B4">
              <w:rPr>
                <w:rFonts w:asciiTheme="minorHAnsi" w:hAnsiTheme="minorHAnsi"/>
                <w:sz w:val="20"/>
                <w:szCs w:val="22"/>
              </w:rPr>
              <w:t xml:space="preserve">$29.71 </w:t>
            </w:r>
          </w:p>
        </w:tc>
        <w:tc>
          <w:tcPr>
            <w:tcW w:w="1057" w:type="dxa"/>
            <w:tcBorders>
              <w:top w:val="nil"/>
              <w:left w:val="nil"/>
              <w:bottom w:val="single" w:sz="4" w:space="0" w:color="auto"/>
              <w:right w:val="single" w:sz="4" w:space="0" w:color="auto"/>
            </w:tcBorders>
            <w:shd w:val="clear" w:color="auto" w:fill="auto"/>
            <w:noWrap/>
            <w:hideMark/>
          </w:tcPr>
          <w:p w:rsidR="00B91B4D" w:rsidRPr="001A63B4" w:rsidRDefault="00B91B4D" w:rsidP="003D3755">
            <w:pPr>
              <w:spacing w:after="0" w:line="240" w:lineRule="auto"/>
              <w:contextualSpacing/>
              <w:jc w:val="right"/>
              <w:rPr>
                <w:rFonts w:asciiTheme="minorHAnsi" w:hAnsiTheme="minorHAnsi"/>
                <w:sz w:val="20"/>
                <w:szCs w:val="22"/>
              </w:rPr>
            </w:pPr>
            <w:r w:rsidRPr="001A63B4">
              <w:rPr>
                <w:rFonts w:asciiTheme="minorHAnsi" w:hAnsiTheme="minorHAnsi"/>
                <w:sz w:val="20"/>
                <w:szCs w:val="22"/>
              </w:rPr>
              <w:t>$</w:t>
            </w:r>
            <w:r w:rsidR="003D3755">
              <w:rPr>
                <w:rFonts w:asciiTheme="minorHAnsi" w:hAnsiTheme="minorHAnsi"/>
                <w:sz w:val="20"/>
                <w:szCs w:val="22"/>
              </w:rPr>
              <w:t>178</w:t>
            </w:r>
          </w:p>
        </w:tc>
      </w:tr>
      <w:tr w:rsidR="00B91B4D" w:rsidRPr="001A63B4" w:rsidTr="00A57779">
        <w:trPr>
          <w:trHeight w:val="20"/>
        </w:trPr>
        <w:tc>
          <w:tcPr>
            <w:tcW w:w="1913" w:type="dxa"/>
            <w:tcBorders>
              <w:top w:val="nil"/>
              <w:left w:val="single" w:sz="4" w:space="0" w:color="auto"/>
              <w:bottom w:val="single" w:sz="4" w:space="0" w:color="auto"/>
              <w:right w:val="single" w:sz="4" w:space="0" w:color="auto"/>
            </w:tcBorders>
            <w:shd w:val="clear" w:color="auto" w:fill="auto"/>
            <w:hideMark/>
          </w:tcPr>
          <w:p w:rsidR="00B91B4D" w:rsidRPr="001A63B4" w:rsidRDefault="00B91B4D" w:rsidP="00B91B4D">
            <w:pPr>
              <w:spacing w:after="0" w:line="240" w:lineRule="auto"/>
              <w:contextualSpacing/>
              <w:rPr>
                <w:rFonts w:asciiTheme="minorHAnsi" w:hAnsiTheme="minorHAnsi"/>
                <w:sz w:val="20"/>
                <w:szCs w:val="22"/>
              </w:rPr>
            </w:pPr>
            <w:r w:rsidRPr="001A63B4">
              <w:rPr>
                <w:rFonts w:asciiTheme="minorHAnsi" w:hAnsiTheme="minorHAnsi"/>
                <w:sz w:val="20"/>
                <w:szCs w:val="22"/>
              </w:rPr>
              <w:t>Grantee Survey</w:t>
            </w:r>
            <w:r>
              <w:rPr>
                <w:rFonts w:asciiTheme="minorHAnsi" w:hAnsiTheme="minorHAnsi"/>
                <w:sz w:val="20"/>
                <w:szCs w:val="22"/>
                <w:vertAlign w:val="superscript"/>
              </w:rPr>
              <w:t xml:space="preserve"> g</w:t>
            </w:r>
          </w:p>
        </w:tc>
        <w:tc>
          <w:tcPr>
            <w:tcW w:w="1350" w:type="dxa"/>
            <w:tcBorders>
              <w:top w:val="nil"/>
              <w:left w:val="nil"/>
              <w:bottom w:val="single" w:sz="4" w:space="0" w:color="auto"/>
              <w:right w:val="single" w:sz="4" w:space="0" w:color="auto"/>
            </w:tcBorders>
            <w:shd w:val="clear" w:color="auto" w:fill="auto"/>
            <w:hideMark/>
          </w:tcPr>
          <w:p w:rsidR="00B91B4D" w:rsidRPr="001A63B4" w:rsidRDefault="00B91B4D" w:rsidP="00B91B4D">
            <w:pPr>
              <w:spacing w:after="0" w:line="240" w:lineRule="auto"/>
              <w:contextualSpacing/>
              <w:jc w:val="right"/>
              <w:rPr>
                <w:rFonts w:asciiTheme="minorHAnsi" w:hAnsiTheme="minorHAnsi"/>
                <w:sz w:val="20"/>
                <w:szCs w:val="22"/>
              </w:rPr>
            </w:pPr>
            <w:r w:rsidRPr="001A63B4">
              <w:rPr>
                <w:rFonts w:asciiTheme="minorHAnsi" w:hAnsiTheme="minorHAnsi"/>
                <w:sz w:val="20"/>
                <w:szCs w:val="22"/>
              </w:rPr>
              <w:t>14</w:t>
            </w:r>
          </w:p>
        </w:tc>
        <w:tc>
          <w:tcPr>
            <w:tcW w:w="1260" w:type="dxa"/>
            <w:tcBorders>
              <w:top w:val="nil"/>
              <w:left w:val="nil"/>
              <w:bottom w:val="single" w:sz="4" w:space="0" w:color="auto"/>
              <w:right w:val="single" w:sz="4" w:space="0" w:color="auto"/>
            </w:tcBorders>
            <w:shd w:val="clear" w:color="auto" w:fill="auto"/>
            <w:hideMark/>
          </w:tcPr>
          <w:p w:rsidR="00B91B4D" w:rsidRPr="005D2347" w:rsidRDefault="00B91B4D" w:rsidP="00B91B4D">
            <w:pPr>
              <w:spacing w:after="0" w:line="240" w:lineRule="auto"/>
              <w:contextualSpacing/>
              <w:jc w:val="right"/>
              <w:rPr>
                <w:rFonts w:asciiTheme="minorHAnsi" w:hAnsiTheme="minorHAnsi"/>
                <w:sz w:val="20"/>
                <w:szCs w:val="22"/>
              </w:rPr>
            </w:pPr>
            <w:r w:rsidRPr="005D2347">
              <w:rPr>
                <w:rFonts w:asciiTheme="minorHAnsi" w:hAnsiTheme="minorHAnsi"/>
                <w:sz w:val="20"/>
                <w:szCs w:val="22"/>
              </w:rPr>
              <w:t>1</w:t>
            </w:r>
          </w:p>
        </w:tc>
        <w:tc>
          <w:tcPr>
            <w:tcW w:w="1327" w:type="dxa"/>
            <w:tcBorders>
              <w:top w:val="single" w:sz="4" w:space="0" w:color="auto"/>
              <w:left w:val="nil"/>
              <w:bottom w:val="single" w:sz="4" w:space="0" w:color="auto"/>
              <w:right w:val="single" w:sz="4" w:space="0" w:color="auto"/>
            </w:tcBorders>
          </w:tcPr>
          <w:p w:rsidR="00B91B4D" w:rsidRPr="00C87C20" w:rsidRDefault="00967EDD" w:rsidP="00B91B4D">
            <w:pPr>
              <w:spacing w:after="0" w:line="240" w:lineRule="auto"/>
              <w:contextualSpacing/>
              <w:jc w:val="right"/>
              <w:rPr>
                <w:rFonts w:asciiTheme="minorHAnsi" w:hAnsiTheme="minorHAnsi"/>
                <w:sz w:val="20"/>
                <w:szCs w:val="22"/>
              </w:rPr>
            </w:pPr>
            <w:r w:rsidRPr="00C87C20">
              <w:rPr>
                <w:rFonts w:asciiTheme="minorHAnsi" w:hAnsiTheme="minorHAnsi"/>
                <w:sz w:val="20"/>
                <w:szCs w:val="22"/>
              </w:rPr>
              <w:t>14</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B91B4D" w:rsidRPr="005D2347" w:rsidRDefault="00B91B4D" w:rsidP="00B91B4D">
            <w:pPr>
              <w:spacing w:after="0" w:line="240" w:lineRule="auto"/>
              <w:contextualSpacing/>
              <w:jc w:val="right"/>
              <w:rPr>
                <w:rFonts w:asciiTheme="minorHAnsi" w:hAnsiTheme="minorHAnsi"/>
                <w:sz w:val="20"/>
                <w:szCs w:val="22"/>
              </w:rPr>
            </w:pPr>
            <w:r w:rsidRPr="005D2347">
              <w:rPr>
                <w:rFonts w:asciiTheme="minorHAnsi" w:hAnsiTheme="minorHAnsi"/>
                <w:sz w:val="20"/>
                <w:szCs w:val="22"/>
              </w:rPr>
              <w:t>4</w:t>
            </w:r>
          </w:p>
        </w:tc>
        <w:tc>
          <w:tcPr>
            <w:tcW w:w="1080" w:type="dxa"/>
            <w:tcBorders>
              <w:top w:val="nil"/>
              <w:left w:val="nil"/>
              <w:bottom w:val="single" w:sz="4" w:space="0" w:color="auto"/>
              <w:right w:val="single" w:sz="4" w:space="0" w:color="auto"/>
            </w:tcBorders>
            <w:shd w:val="clear" w:color="auto" w:fill="auto"/>
            <w:hideMark/>
          </w:tcPr>
          <w:p w:rsidR="00B91B4D" w:rsidRPr="001A63B4" w:rsidRDefault="00DE2962" w:rsidP="00B91B4D">
            <w:pPr>
              <w:spacing w:after="0" w:line="240" w:lineRule="auto"/>
              <w:contextualSpacing/>
              <w:jc w:val="right"/>
              <w:rPr>
                <w:rFonts w:asciiTheme="minorHAnsi" w:hAnsiTheme="minorHAnsi"/>
                <w:sz w:val="20"/>
                <w:szCs w:val="22"/>
              </w:rPr>
            </w:pPr>
            <w:r>
              <w:rPr>
                <w:rFonts w:asciiTheme="minorHAnsi" w:hAnsiTheme="minorHAnsi"/>
                <w:sz w:val="20"/>
                <w:szCs w:val="22"/>
              </w:rPr>
              <w:t>56</w:t>
            </w:r>
          </w:p>
        </w:tc>
        <w:tc>
          <w:tcPr>
            <w:tcW w:w="990" w:type="dxa"/>
            <w:tcBorders>
              <w:top w:val="nil"/>
              <w:left w:val="nil"/>
              <w:bottom w:val="single" w:sz="4" w:space="0" w:color="auto"/>
              <w:right w:val="single" w:sz="4" w:space="0" w:color="auto"/>
            </w:tcBorders>
            <w:shd w:val="clear" w:color="auto" w:fill="auto"/>
            <w:hideMark/>
          </w:tcPr>
          <w:p w:rsidR="00B91B4D" w:rsidRPr="001A63B4" w:rsidRDefault="00B91B4D" w:rsidP="00B91B4D">
            <w:pPr>
              <w:spacing w:after="0" w:line="240" w:lineRule="auto"/>
              <w:contextualSpacing/>
              <w:jc w:val="right"/>
              <w:rPr>
                <w:rFonts w:asciiTheme="minorHAnsi" w:hAnsiTheme="minorHAnsi"/>
                <w:sz w:val="20"/>
                <w:szCs w:val="22"/>
              </w:rPr>
            </w:pPr>
            <w:r w:rsidRPr="001A63B4">
              <w:rPr>
                <w:rFonts w:asciiTheme="minorHAnsi" w:hAnsiTheme="minorHAnsi"/>
                <w:sz w:val="20"/>
                <w:szCs w:val="22"/>
              </w:rPr>
              <w:t xml:space="preserve">$30.84 </w:t>
            </w:r>
          </w:p>
        </w:tc>
        <w:tc>
          <w:tcPr>
            <w:tcW w:w="1057" w:type="dxa"/>
            <w:tcBorders>
              <w:top w:val="nil"/>
              <w:left w:val="nil"/>
              <w:bottom w:val="single" w:sz="4" w:space="0" w:color="auto"/>
              <w:right w:val="single" w:sz="4" w:space="0" w:color="auto"/>
            </w:tcBorders>
            <w:shd w:val="clear" w:color="auto" w:fill="auto"/>
            <w:noWrap/>
            <w:hideMark/>
          </w:tcPr>
          <w:p w:rsidR="00B91B4D" w:rsidRPr="001A63B4" w:rsidRDefault="00B91B4D" w:rsidP="007F5DAA">
            <w:pPr>
              <w:spacing w:after="0" w:line="240" w:lineRule="auto"/>
              <w:contextualSpacing/>
              <w:jc w:val="right"/>
              <w:rPr>
                <w:rFonts w:asciiTheme="minorHAnsi" w:hAnsiTheme="minorHAnsi"/>
                <w:sz w:val="20"/>
                <w:szCs w:val="22"/>
              </w:rPr>
            </w:pPr>
            <w:r w:rsidRPr="001A63B4">
              <w:rPr>
                <w:rFonts w:asciiTheme="minorHAnsi" w:hAnsiTheme="minorHAnsi"/>
                <w:sz w:val="20"/>
                <w:szCs w:val="22"/>
              </w:rPr>
              <w:t>$1,</w:t>
            </w:r>
            <w:r w:rsidR="007F5DAA">
              <w:rPr>
                <w:rFonts w:asciiTheme="minorHAnsi" w:hAnsiTheme="minorHAnsi"/>
                <w:sz w:val="20"/>
                <w:szCs w:val="22"/>
              </w:rPr>
              <w:t>727</w:t>
            </w:r>
            <w:r w:rsidRPr="001A63B4">
              <w:rPr>
                <w:rFonts w:asciiTheme="minorHAnsi" w:hAnsiTheme="minorHAnsi"/>
                <w:sz w:val="20"/>
                <w:szCs w:val="22"/>
              </w:rPr>
              <w:t xml:space="preserve"> </w:t>
            </w:r>
          </w:p>
        </w:tc>
      </w:tr>
      <w:tr w:rsidR="00B91B4D" w:rsidRPr="001A63B4" w:rsidTr="00A57779">
        <w:trPr>
          <w:trHeight w:val="269"/>
        </w:trPr>
        <w:tc>
          <w:tcPr>
            <w:tcW w:w="1913" w:type="dxa"/>
            <w:tcBorders>
              <w:top w:val="nil"/>
              <w:left w:val="single" w:sz="4" w:space="0" w:color="auto"/>
              <w:bottom w:val="single" w:sz="4" w:space="0" w:color="000000"/>
              <w:right w:val="single" w:sz="4" w:space="0" w:color="auto"/>
            </w:tcBorders>
            <w:shd w:val="clear" w:color="auto" w:fill="auto"/>
          </w:tcPr>
          <w:p w:rsidR="00B91B4D" w:rsidRPr="001A63B4" w:rsidRDefault="00B91B4D" w:rsidP="005C5718">
            <w:pPr>
              <w:spacing w:after="0" w:line="240" w:lineRule="auto"/>
              <w:contextualSpacing/>
              <w:rPr>
                <w:rFonts w:asciiTheme="minorHAnsi" w:hAnsiTheme="minorHAnsi"/>
                <w:sz w:val="20"/>
                <w:szCs w:val="22"/>
              </w:rPr>
            </w:pPr>
            <w:r>
              <w:rPr>
                <w:rFonts w:asciiTheme="minorHAnsi" w:hAnsiTheme="minorHAnsi"/>
                <w:sz w:val="20"/>
                <w:szCs w:val="22"/>
              </w:rPr>
              <w:t xml:space="preserve">MIS </w:t>
            </w:r>
            <w:r>
              <w:rPr>
                <w:rFonts w:asciiTheme="minorHAnsi" w:hAnsiTheme="minorHAnsi"/>
                <w:sz w:val="20"/>
                <w:szCs w:val="22"/>
                <w:vertAlign w:val="superscript"/>
              </w:rPr>
              <w:t>h</w:t>
            </w:r>
          </w:p>
        </w:tc>
        <w:tc>
          <w:tcPr>
            <w:tcW w:w="1350" w:type="dxa"/>
            <w:tcBorders>
              <w:top w:val="nil"/>
              <w:left w:val="single" w:sz="4" w:space="0" w:color="auto"/>
              <w:bottom w:val="single" w:sz="4" w:space="0" w:color="auto"/>
              <w:right w:val="single" w:sz="4" w:space="0" w:color="auto"/>
            </w:tcBorders>
            <w:shd w:val="clear" w:color="auto" w:fill="auto"/>
          </w:tcPr>
          <w:p w:rsidR="00B91B4D" w:rsidRDefault="00B91B4D" w:rsidP="00B91B4D">
            <w:pPr>
              <w:spacing w:after="0" w:line="240" w:lineRule="auto"/>
              <w:contextualSpacing/>
              <w:jc w:val="right"/>
              <w:rPr>
                <w:rFonts w:asciiTheme="minorHAnsi" w:hAnsiTheme="minorHAnsi"/>
                <w:sz w:val="20"/>
                <w:szCs w:val="22"/>
              </w:rPr>
            </w:pPr>
            <w:r>
              <w:rPr>
                <w:rFonts w:asciiTheme="minorHAnsi" w:hAnsiTheme="minorHAnsi"/>
                <w:sz w:val="20"/>
                <w:szCs w:val="22"/>
              </w:rPr>
              <w:t>8</w:t>
            </w:r>
          </w:p>
        </w:tc>
        <w:tc>
          <w:tcPr>
            <w:tcW w:w="1260" w:type="dxa"/>
            <w:tcBorders>
              <w:top w:val="nil"/>
              <w:left w:val="single" w:sz="4" w:space="0" w:color="auto"/>
              <w:bottom w:val="single" w:sz="4" w:space="0" w:color="auto"/>
              <w:right w:val="single" w:sz="4" w:space="0" w:color="auto"/>
            </w:tcBorders>
            <w:shd w:val="clear" w:color="auto" w:fill="auto"/>
          </w:tcPr>
          <w:p w:rsidR="00B91B4D" w:rsidRPr="005D2347" w:rsidRDefault="00B91B4D" w:rsidP="00B91B4D">
            <w:pPr>
              <w:spacing w:after="0" w:line="240" w:lineRule="auto"/>
              <w:contextualSpacing/>
              <w:jc w:val="right"/>
              <w:rPr>
                <w:rFonts w:asciiTheme="minorHAnsi" w:hAnsiTheme="minorHAnsi"/>
                <w:sz w:val="20"/>
                <w:szCs w:val="22"/>
              </w:rPr>
            </w:pPr>
            <w:r w:rsidRPr="005D2347">
              <w:rPr>
                <w:rFonts w:asciiTheme="minorHAnsi" w:hAnsiTheme="minorHAnsi"/>
                <w:sz w:val="20"/>
                <w:szCs w:val="22"/>
              </w:rPr>
              <w:t>200</w:t>
            </w:r>
          </w:p>
        </w:tc>
        <w:tc>
          <w:tcPr>
            <w:tcW w:w="1327" w:type="dxa"/>
            <w:tcBorders>
              <w:top w:val="single" w:sz="4" w:space="0" w:color="auto"/>
              <w:left w:val="single" w:sz="4" w:space="0" w:color="auto"/>
              <w:bottom w:val="single" w:sz="4" w:space="0" w:color="auto"/>
              <w:right w:val="single" w:sz="4" w:space="0" w:color="auto"/>
            </w:tcBorders>
          </w:tcPr>
          <w:p w:rsidR="00B91B4D" w:rsidRPr="00C87C20" w:rsidRDefault="00967EDD" w:rsidP="00B91B4D">
            <w:pPr>
              <w:spacing w:after="0" w:line="240" w:lineRule="auto"/>
              <w:contextualSpacing/>
              <w:jc w:val="right"/>
              <w:rPr>
                <w:rFonts w:asciiTheme="minorHAnsi" w:hAnsiTheme="minorHAnsi"/>
                <w:sz w:val="20"/>
                <w:szCs w:val="22"/>
              </w:rPr>
            </w:pPr>
            <w:r w:rsidRPr="00C87C20">
              <w:rPr>
                <w:rFonts w:asciiTheme="minorHAnsi" w:hAnsiTheme="minorHAnsi"/>
                <w:sz w:val="20"/>
                <w:szCs w:val="22"/>
              </w:rPr>
              <w:t>1600</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91B4D" w:rsidRPr="005D2347" w:rsidRDefault="00B91B4D" w:rsidP="00B91B4D">
            <w:pPr>
              <w:spacing w:after="0" w:line="240" w:lineRule="auto"/>
              <w:contextualSpacing/>
              <w:jc w:val="right"/>
              <w:rPr>
                <w:rFonts w:asciiTheme="minorHAnsi" w:hAnsiTheme="minorHAnsi"/>
                <w:sz w:val="20"/>
                <w:szCs w:val="22"/>
              </w:rPr>
            </w:pPr>
            <w:r w:rsidRPr="005D2347">
              <w:rPr>
                <w:rFonts w:asciiTheme="minorHAnsi" w:hAnsiTheme="minorHAnsi"/>
                <w:sz w:val="20"/>
                <w:szCs w:val="22"/>
              </w:rPr>
              <w:t>0.25</w:t>
            </w:r>
          </w:p>
        </w:tc>
        <w:tc>
          <w:tcPr>
            <w:tcW w:w="1080" w:type="dxa"/>
            <w:tcBorders>
              <w:top w:val="nil"/>
              <w:left w:val="single" w:sz="4" w:space="0" w:color="auto"/>
              <w:bottom w:val="single" w:sz="4" w:space="0" w:color="auto"/>
              <w:right w:val="single" w:sz="4" w:space="0" w:color="auto"/>
            </w:tcBorders>
            <w:shd w:val="clear" w:color="auto" w:fill="auto"/>
          </w:tcPr>
          <w:p w:rsidR="00B91B4D" w:rsidRDefault="00B91B4D" w:rsidP="00F14F40">
            <w:pPr>
              <w:spacing w:after="0" w:line="240" w:lineRule="auto"/>
              <w:contextualSpacing/>
              <w:jc w:val="right"/>
              <w:rPr>
                <w:rFonts w:asciiTheme="minorHAnsi" w:hAnsiTheme="minorHAnsi"/>
                <w:sz w:val="20"/>
                <w:szCs w:val="22"/>
              </w:rPr>
            </w:pPr>
            <w:r>
              <w:rPr>
                <w:rFonts w:asciiTheme="minorHAnsi" w:hAnsiTheme="minorHAnsi"/>
                <w:sz w:val="20"/>
                <w:szCs w:val="22"/>
              </w:rPr>
              <w:t>400</w:t>
            </w:r>
          </w:p>
        </w:tc>
        <w:tc>
          <w:tcPr>
            <w:tcW w:w="990" w:type="dxa"/>
            <w:tcBorders>
              <w:top w:val="nil"/>
              <w:left w:val="single" w:sz="4" w:space="0" w:color="auto"/>
              <w:bottom w:val="single" w:sz="4" w:space="0" w:color="000000"/>
              <w:right w:val="single" w:sz="4" w:space="0" w:color="auto"/>
            </w:tcBorders>
            <w:shd w:val="clear" w:color="auto" w:fill="auto"/>
          </w:tcPr>
          <w:p w:rsidR="00B91B4D" w:rsidRPr="001A63B4" w:rsidRDefault="00B91B4D" w:rsidP="00B91B4D">
            <w:pPr>
              <w:spacing w:after="0" w:line="240" w:lineRule="auto"/>
              <w:contextualSpacing/>
              <w:jc w:val="right"/>
              <w:rPr>
                <w:rFonts w:asciiTheme="minorHAnsi" w:hAnsiTheme="minorHAnsi"/>
                <w:sz w:val="20"/>
                <w:szCs w:val="22"/>
              </w:rPr>
            </w:pPr>
            <w:r w:rsidRPr="001A63B4">
              <w:rPr>
                <w:rFonts w:asciiTheme="minorHAnsi" w:hAnsiTheme="minorHAnsi"/>
                <w:sz w:val="20"/>
                <w:szCs w:val="22"/>
              </w:rPr>
              <w:t>$18.30</w:t>
            </w:r>
          </w:p>
        </w:tc>
        <w:tc>
          <w:tcPr>
            <w:tcW w:w="1057" w:type="dxa"/>
            <w:tcBorders>
              <w:top w:val="nil"/>
              <w:left w:val="single" w:sz="4" w:space="0" w:color="auto"/>
              <w:bottom w:val="single" w:sz="4" w:space="0" w:color="000000"/>
              <w:right w:val="single" w:sz="4" w:space="0" w:color="auto"/>
            </w:tcBorders>
            <w:shd w:val="clear" w:color="auto" w:fill="auto"/>
            <w:noWrap/>
          </w:tcPr>
          <w:p w:rsidR="00B91B4D" w:rsidRPr="001A63B4" w:rsidRDefault="00B91B4D" w:rsidP="00B91B4D">
            <w:pPr>
              <w:spacing w:after="0" w:line="240" w:lineRule="auto"/>
              <w:contextualSpacing/>
              <w:jc w:val="right"/>
              <w:rPr>
                <w:rFonts w:asciiTheme="minorHAnsi" w:hAnsiTheme="minorHAnsi"/>
                <w:sz w:val="20"/>
                <w:szCs w:val="22"/>
              </w:rPr>
            </w:pPr>
            <w:r w:rsidRPr="001A63B4">
              <w:rPr>
                <w:rFonts w:asciiTheme="minorHAnsi" w:hAnsiTheme="minorHAnsi"/>
                <w:sz w:val="20"/>
                <w:szCs w:val="22"/>
              </w:rPr>
              <w:t>$</w:t>
            </w:r>
            <w:r>
              <w:rPr>
                <w:rFonts w:asciiTheme="minorHAnsi" w:hAnsiTheme="minorHAnsi"/>
                <w:sz w:val="20"/>
                <w:szCs w:val="22"/>
              </w:rPr>
              <w:t>7,320</w:t>
            </w:r>
            <w:r w:rsidRPr="001A63B4">
              <w:rPr>
                <w:rFonts w:asciiTheme="minorHAnsi" w:hAnsiTheme="minorHAnsi"/>
                <w:sz w:val="20"/>
                <w:szCs w:val="22"/>
              </w:rPr>
              <w:t xml:space="preserve"> </w:t>
            </w:r>
          </w:p>
        </w:tc>
      </w:tr>
      <w:tr w:rsidR="00B91B4D" w:rsidRPr="001A63B4" w:rsidTr="00A57779">
        <w:trPr>
          <w:trHeight w:val="20"/>
        </w:trPr>
        <w:tc>
          <w:tcPr>
            <w:tcW w:w="1913" w:type="dxa"/>
            <w:tcBorders>
              <w:top w:val="nil"/>
              <w:left w:val="single" w:sz="4" w:space="0" w:color="auto"/>
              <w:bottom w:val="single" w:sz="4" w:space="0" w:color="auto"/>
              <w:right w:val="single" w:sz="4" w:space="0" w:color="auto"/>
            </w:tcBorders>
            <w:shd w:val="clear" w:color="auto" w:fill="auto"/>
            <w:hideMark/>
          </w:tcPr>
          <w:p w:rsidR="00B91B4D" w:rsidRPr="001A63B4" w:rsidRDefault="00B91B4D" w:rsidP="00B91B4D">
            <w:pPr>
              <w:spacing w:after="0" w:line="240" w:lineRule="auto"/>
              <w:contextualSpacing/>
              <w:rPr>
                <w:rFonts w:asciiTheme="minorHAnsi" w:hAnsiTheme="minorHAnsi"/>
                <w:sz w:val="20"/>
                <w:szCs w:val="22"/>
              </w:rPr>
            </w:pPr>
            <w:r w:rsidRPr="001A63B4">
              <w:rPr>
                <w:rFonts w:asciiTheme="minorHAnsi" w:hAnsiTheme="minorHAnsi"/>
                <w:sz w:val="20"/>
                <w:szCs w:val="22"/>
              </w:rPr>
              <w:t>Total</w:t>
            </w:r>
          </w:p>
        </w:tc>
        <w:tc>
          <w:tcPr>
            <w:tcW w:w="1350" w:type="dxa"/>
            <w:tcBorders>
              <w:top w:val="nil"/>
              <w:left w:val="nil"/>
              <w:bottom w:val="single" w:sz="4" w:space="0" w:color="auto"/>
              <w:right w:val="single" w:sz="4" w:space="0" w:color="auto"/>
            </w:tcBorders>
            <w:shd w:val="clear" w:color="auto" w:fill="auto"/>
            <w:hideMark/>
          </w:tcPr>
          <w:p w:rsidR="00B91B4D" w:rsidRPr="001A63B4" w:rsidRDefault="006753FA" w:rsidP="005953BD">
            <w:pPr>
              <w:spacing w:after="0" w:line="240" w:lineRule="auto"/>
              <w:contextualSpacing/>
              <w:jc w:val="right"/>
              <w:rPr>
                <w:rFonts w:asciiTheme="minorHAnsi" w:hAnsiTheme="minorHAnsi"/>
                <w:sz w:val="20"/>
                <w:szCs w:val="22"/>
              </w:rPr>
            </w:pPr>
            <w:r>
              <w:rPr>
                <w:rFonts w:asciiTheme="minorHAnsi" w:hAnsiTheme="minorHAnsi"/>
                <w:sz w:val="20"/>
                <w:szCs w:val="22"/>
              </w:rPr>
              <w:t>31</w:t>
            </w:r>
            <w:r w:rsidR="00B91B4D" w:rsidRPr="001A63B4">
              <w:rPr>
                <w:rFonts w:asciiTheme="minorHAnsi" w:hAnsiTheme="minorHAnsi"/>
                <w:sz w:val="20"/>
                <w:szCs w:val="22"/>
              </w:rPr>
              <w:t xml:space="preserve"> </w:t>
            </w:r>
          </w:p>
        </w:tc>
        <w:tc>
          <w:tcPr>
            <w:tcW w:w="1260" w:type="dxa"/>
            <w:tcBorders>
              <w:top w:val="nil"/>
              <w:left w:val="nil"/>
              <w:bottom w:val="single" w:sz="4" w:space="0" w:color="auto"/>
              <w:right w:val="single" w:sz="4" w:space="0" w:color="auto"/>
            </w:tcBorders>
            <w:shd w:val="clear" w:color="auto" w:fill="auto"/>
            <w:hideMark/>
          </w:tcPr>
          <w:p w:rsidR="00B91B4D" w:rsidRPr="005D2347" w:rsidRDefault="00C5323F" w:rsidP="00B91B4D">
            <w:pPr>
              <w:spacing w:after="0" w:line="240" w:lineRule="auto"/>
              <w:contextualSpacing/>
              <w:jc w:val="right"/>
              <w:rPr>
                <w:rFonts w:asciiTheme="minorHAnsi" w:hAnsiTheme="minorHAnsi"/>
                <w:sz w:val="20"/>
                <w:szCs w:val="22"/>
              </w:rPr>
            </w:pPr>
            <w:r>
              <w:rPr>
                <w:rFonts w:asciiTheme="minorHAnsi" w:hAnsiTheme="minorHAnsi"/>
                <w:sz w:val="20"/>
                <w:szCs w:val="22"/>
              </w:rPr>
              <w:t>NA</w:t>
            </w:r>
            <w:r w:rsidR="00B91B4D" w:rsidRPr="005D2347">
              <w:rPr>
                <w:rFonts w:asciiTheme="minorHAnsi" w:hAnsiTheme="minorHAnsi"/>
                <w:sz w:val="20"/>
                <w:szCs w:val="22"/>
              </w:rPr>
              <w:t xml:space="preserve"> </w:t>
            </w:r>
          </w:p>
        </w:tc>
        <w:tc>
          <w:tcPr>
            <w:tcW w:w="1327" w:type="dxa"/>
            <w:tcBorders>
              <w:top w:val="single" w:sz="4" w:space="0" w:color="auto"/>
              <w:left w:val="nil"/>
              <w:bottom w:val="single" w:sz="4" w:space="0" w:color="auto"/>
              <w:right w:val="single" w:sz="4" w:space="0" w:color="auto"/>
            </w:tcBorders>
          </w:tcPr>
          <w:p w:rsidR="00B91B4D" w:rsidRPr="00C87C20" w:rsidRDefault="00C5323F" w:rsidP="00B91B4D">
            <w:pPr>
              <w:spacing w:after="0" w:line="240" w:lineRule="auto"/>
              <w:contextualSpacing/>
              <w:jc w:val="right"/>
              <w:rPr>
                <w:rFonts w:asciiTheme="minorHAnsi" w:hAnsiTheme="minorHAnsi"/>
                <w:sz w:val="20"/>
                <w:szCs w:val="22"/>
              </w:rPr>
            </w:pPr>
            <w:r>
              <w:rPr>
                <w:rFonts w:asciiTheme="minorHAnsi" w:hAnsiTheme="minorHAnsi"/>
                <w:sz w:val="20"/>
                <w:szCs w:val="22"/>
              </w:rPr>
              <w:t>1,688</w:t>
            </w:r>
            <w:r w:rsidR="00B91B4D" w:rsidRPr="00C87C20">
              <w:rPr>
                <w:rFonts w:asciiTheme="minorHAnsi" w:hAnsiTheme="minorHAnsi"/>
                <w:sz w:val="20"/>
                <w:szCs w:val="22"/>
              </w:rPr>
              <w:t xml:space="preserve">                 </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B91B4D" w:rsidRPr="005D2347" w:rsidRDefault="00B91B4D" w:rsidP="00B91B4D">
            <w:pPr>
              <w:spacing w:after="0" w:line="240" w:lineRule="auto"/>
              <w:contextualSpacing/>
              <w:jc w:val="right"/>
              <w:rPr>
                <w:rFonts w:asciiTheme="minorHAnsi" w:hAnsiTheme="minorHAnsi"/>
                <w:sz w:val="20"/>
                <w:szCs w:val="22"/>
              </w:rPr>
            </w:pPr>
            <w:r w:rsidRPr="005D2347">
              <w:rPr>
                <w:rFonts w:asciiTheme="minorHAnsi" w:hAnsiTheme="minorHAnsi"/>
                <w:sz w:val="20"/>
                <w:szCs w:val="22"/>
              </w:rPr>
              <w:t xml:space="preserve">             </w:t>
            </w:r>
            <w:r>
              <w:rPr>
                <w:rFonts w:asciiTheme="minorHAnsi" w:hAnsiTheme="minorHAnsi"/>
                <w:sz w:val="20"/>
                <w:szCs w:val="22"/>
              </w:rPr>
              <w:t>NA</w:t>
            </w:r>
          </w:p>
        </w:tc>
        <w:tc>
          <w:tcPr>
            <w:tcW w:w="1080" w:type="dxa"/>
            <w:tcBorders>
              <w:top w:val="nil"/>
              <w:left w:val="nil"/>
              <w:bottom w:val="single" w:sz="4" w:space="0" w:color="auto"/>
              <w:right w:val="single" w:sz="4" w:space="0" w:color="auto"/>
            </w:tcBorders>
            <w:shd w:val="clear" w:color="auto" w:fill="auto"/>
            <w:hideMark/>
          </w:tcPr>
          <w:p w:rsidR="00B91B4D" w:rsidRPr="001A63B4" w:rsidRDefault="002C49BD" w:rsidP="002C49BD">
            <w:pPr>
              <w:spacing w:after="0" w:line="240" w:lineRule="auto"/>
              <w:contextualSpacing/>
              <w:jc w:val="right"/>
              <w:rPr>
                <w:rFonts w:asciiTheme="minorHAnsi" w:hAnsiTheme="minorHAnsi"/>
                <w:sz w:val="20"/>
                <w:szCs w:val="22"/>
              </w:rPr>
            </w:pPr>
            <w:r>
              <w:rPr>
                <w:rFonts w:asciiTheme="minorHAnsi" w:hAnsiTheme="minorHAnsi"/>
                <w:sz w:val="20"/>
                <w:szCs w:val="22"/>
              </w:rPr>
              <w:t>536</w:t>
            </w:r>
          </w:p>
        </w:tc>
        <w:tc>
          <w:tcPr>
            <w:tcW w:w="990" w:type="dxa"/>
            <w:tcBorders>
              <w:top w:val="nil"/>
              <w:left w:val="nil"/>
              <w:bottom w:val="single" w:sz="4" w:space="0" w:color="auto"/>
              <w:right w:val="single" w:sz="4" w:space="0" w:color="auto"/>
            </w:tcBorders>
            <w:shd w:val="clear" w:color="auto" w:fill="auto"/>
            <w:hideMark/>
          </w:tcPr>
          <w:p w:rsidR="00B91B4D" w:rsidRPr="001A63B4" w:rsidRDefault="00B91B4D" w:rsidP="00B91B4D">
            <w:pPr>
              <w:spacing w:after="0" w:line="240" w:lineRule="auto"/>
              <w:contextualSpacing/>
              <w:jc w:val="right"/>
              <w:rPr>
                <w:rFonts w:asciiTheme="minorHAnsi" w:hAnsiTheme="minorHAnsi"/>
                <w:sz w:val="20"/>
                <w:szCs w:val="22"/>
              </w:rPr>
            </w:pPr>
            <w:r>
              <w:rPr>
                <w:rFonts w:asciiTheme="minorHAnsi" w:hAnsiTheme="minorHAnsi"/>
                <w:sz w:val="20"/>
                <w:szCs w:val="22"/>
              </w:rPr>
              <w:t>NA</w:t>
            </w:r>
          </w:p>
        </w:tc>
        <w:tc>
          <w:tcPr>
            <w:tcW w:w="1057" w:type="dxa"/>
            <w:tcBorders>
              <w:top w:val="nil"/>
              <w:left w:val="nil"/>
              <w:bottom w:val="single" w:sz="4" w:space="0" w:color="auto"/>
              <w:right w:val="single" w:sz="4" w:space="0" w:color="auto"/>
            </w:tcBorders>
            <w:shd w:val="clear" w:color="auto" w:fill="auto"/>
            <w:hideMark/>
          </w:tcPr>
          <w:p w:rsidR="00B91B4D" w:rsidRPr="001A63B4" w:rsidRDefault="00B91B4D" w:rsidP="00410856">
            <w:pPr>
              <w:spacing w:after="0" w:line="240" w:lineRule="auto"/>
              <w:contextualSpacing/>
              <w:jc w:val="right"/>
              <w:rPr>
                <w:rFonts w:asciiTheme="minorHAnsi" w:hAnsiTheme="minorHAnsi"/>
                <w:sz w:val="20"/>
                <w:szCs w:val="22"/>
              </w:rPr>
            </w:pPr>
            <w:r w:rsidRPr="00F268E2">
              <w:rPr>
                <w:rFonts w:asciiTheme="minorHAnsi" w:hAnsiTheme="minorHAnsi"/>
                <w:sz w:val="20"/>
                <w:szCs w:val="22"/>
              </w:rPr>
              <w:t>$11,</w:t>
            </w:r>
            <w:r w:rsidR="00410856">
              <w:rPr>
                <w:rFonts w:asciiTheme="minorHAnsi" w:hAnsiTheme="minorHAnsi"/>
                <w:sz w:val="20"/>
                <w:szCs w:val="22"/>
              </w:rPr>
              <w:t>983</w:t>
            </w:r>
          </w:p>
        </w:tc>
      </w:tr>
    </w:tbl>
    <w:p w:rsidR="00F0588B" w:rsidRDefault="00F0588B" w:rsidP="00F0588B">
      <w:pPr>
        <w:spacing w:after="0" w:line="240" w:lineRule="auto"/>
        <w:rPr>
          <w:b/>
          <w:i/>
          <w:szCs w:val="22"/>
        </w:rPr>
      </w:pPr>
    </w:p>
    <w:p w:rsidR="00F0588B" w:rsidRDefault="00220A36" w:rsidP="00F0588B">
      <w:pPr>
        <w:pStyle w:val="FootnoteText"/>
        <w:spacing w:after="60"/>
        <w:rPr>
          <w:sz w:val="18"/>
          <w:szCs w:val="18"/>
        </w:rPr>
      </w:pPr>
      <w:r>
        <w:rPr>
          <w:vertAlign w:val="superscript"/>
        </w:rPr>
        <w:t>a</w:t>
      </w:r>
      <w:r w:rsidR="00F0588B">
        <w:rPr>
          <w:vertAlign w:val="superscript"/>
        </w:rPr>
        <w:t xml:space="preserve"> </w:t>
      </w:r>
      <w:r w:rsidR="00F0588B" w:rsidRPr="005026B4">
        <w:rPr>
          <w:sz w:val="18"/>
          <w:szCs w:val="18"/>
        </w:rPr>
        <w:t xml:space="preserve">The median hourly wage for </w:t>
      </w:r>
      <w:r w:rsidR="00F0588B">
        <w:rPr>
          <w:sz w:val="18"/>
          <w:szCs w:val="18"/>
        </w:rPr>
        <w:t>Grant Directors</w:t>
      </w:r>
      <w:r w:rsidR="00F0588B" w:rsidRPr="005026B4">
        <w:rPr>
          <w:sz w:val="18"/>
          <w:szCs w:val="18"/>
        </w:rPr>
        <w:t xml:space="preserve"> was calculated based on information from the Bure</w:t>
      </w:r>
      <w:r w:rsidR="00F0588B">
        <w:rPr>
          <w:sz w:val="18"/>
          <w:szCs w:val="18"/>
        </w:rPr>
        <w:t>au of Labor Statistics; May 2016</w:t>
      </w:r>
      <w:r w:rsidR="00F0588B" w:rsidRPr="005026B4">
        <w:rPr>
          <w:sz w:val="18"/>
          <w:szCs w:val="18"/>
        </w:rPr>
        <w:t xml:space="preserve"> National Industry-Specific Occupational Employment and Wage Estimates found at </w:t>
      </w:r>
      <w:r w:rsidR="00F0588B" w:rsidRPr="00844545">
        <w:rPr>
          <w:sz w:val="18"/>
          <w:szCs w:val="18"/>
        </w:rPr>
        <w:t>https://www.bls.gov/oes/current/naics3_624000.htm#11-0000</w:t>
      </w:r>
      <w:r w:rsidR="00F0588B">
        <w:rPr>
          <w:sz w:val="18"/>
          <w:szCs w:val="18"/>
        </w:rPr>
        <w:t>: Social and Community Service Managers</w:t>
      </w:r>
      <w:r w:rsidR="00F0588B" w:rsidRPr="005026B4">
        <w:rPr>
          <w:sz w:val="18"/>
          <w:szCs w:val="18"/>
        </w:rPr>
        <w:t xml:space="preserve"> (</w:t>
      </w:r>
      <w:r w:rsidR="00F0588B">
        <w:rPr>
          <w:sz w:val="18"/>
          <w:szCs w:val="18"/>
        </w:rPr>
        <w:t>NAICS 62400, SOC code 11-9151</w:t>
      </w:r>
      <w:r w:rsidR="00F0588B" w:rsidRPr="005026B4">
        <w:rPr>
          <w:sz w:val="18"/>
          <w:szCs w:val="18"/>
        </w:rPr>
        <w:t xml:space="preserve"> wage rate of $</w:t>
      </w:r>
      <w:r w:rsidR="00F0588B">
        <w:rPr>
          <w:sz w:val="18"/>
          <w:szCs w:val="18"/>
        </w:rPr>
        <w:t>30.84.</w:t>
      </w:r>
    </w:p>
    <w:p w:rsidR="00F0588B" w:rsidRDefault="00220A36" w:rsidP="00F0588B">
      <w:pPr>
        <w:pStyle w:val="FootnoteText"/>
        <w:spacing w:after="60"/>
        <w:rPr>
          <w:vertAlign w:val="superscript"/>
        </w:rPr>
      </w:pPr>
      <w:r>
        <w:rPr>
          <w:vertAlign w:val="superscript"/>
        </w:rPr>
        <w:t>b</w:t>
      </w:r>
      <w:r w:rsidR="00F0588B">
        <w:rPr>
          <w:vertAlign w:val="superscript"/>
        </w:rPr>
        <w:t xml:space="preserve"> </w:t>
      </w:r>
      <w:r w:rsidR="00F0588B" w:rsidRPr="005026B4">
        <w:rPr>
          <w:sz w:val="18"/>
          <w:szCs w:val="18"/>
        </w:rPr>
        <w:t xml:space="preserve">The median hourly wage for </w:t>
      </w:r>
      <w:r w:rsidR="00F0588B">
        <w:rPr>
          <w:sz w:val="18"/>
          <w:szCs w:val="18"/>
        </w:rPr>
        <w:t>Grantee Staff</w:t>
      </w:r>
      <w:r w:rsidR="00F0588B" w:rsidRPr="005026B4">
        <w:rPr>
          <w:sz w:val="18"/>
          <w:szCs w:val="18"/>
        </w:rPr>
        <w:t xml:space="preserve"> was calculated based on information from the Bureau of Labor Statistics; May 201</w:t>
      </w:r>
      <w:r w:rsidR="00F0588B">
        <w:rPr>
          <w:sz w:val="18"/>
          <w:szCs w:val="18"/>
        </w:rPr>
        <w:t>6</w:t>
      </w:r>
      <w:r w:rsidR="00F0588B" w:rsidRPr="005026B4">
        <w:rPr>
          <w:sz w:val="18"/>
          <w:szCs w:val="18"/>
        </w:rPr>
        <w:t xml:space="preserve"> National Industry-Specific Occupational Employment and Wage Estimates found at </w:t>
      </w:r>
      <w:hyperlink r:id="rId9" w:history="1">
        <w:r w:rsidR="00F0588B" w:rsidRPr="00610357">
          <w:rPr>
            <w:sz w:val="18"/>
            <w:szCs w:val="18"/>
          </w:rPr>
          <w:t>https://www.bls.gov/oes/current/oes211093.htm</w:t>
        </w:r>
      </w:hyperlink>
      <w:r w:rsidR="00F0588B" w:rsidRPr="00610357">
        <w:rPr>
          <w:sz w:val="18"/>
          <w:szCs w:val="18"/>
        </w:rPr>
        <w:t xml:space="preserve"> </w:t>
      </w:r>
      <w:r w:rsidR="00F0588B">
        <w:rPr>
          <w:sz w:val="18"/>
          <w:szCs w:val="18"/>
        </w:rPr>
        <w:t>Community and Social Service Occupations</w:t>
      </w:r>
      <w:r w:rsidR="00F0588B" w:rsidRPr="00610357">
        <w:rPr>
          <w:sz w:val="18"/>
          <w:szCs w:val="18"/>
        </w:rPr>
        <w:t>.</w:t>
      </w:r>
      <w:r w:rsidR="00F0588B">
        <w:rPr>
          <w:sz w:val="18"/>
          <w:szCs w:val="18"/>
        </w:rPr>
        <w:t xml:space="preserve"> (NAICS 62400 SOC code-210000 </w:t>
      </w:r>
      <w:r w:rsidR="00F0588B" w:rsidRPr="0015796A">
        <w:rPr>
          <w:sz w:val="18"/>
          <w:szCs w:val="18"/>
        </w:rPr>
        <w:t>$</w:t>
      </w:r>
      <w:r w:rsidR="00F0588B">
        <w:rPr>
          <w:sz w:val="18"/>
          <w:szCs w:val="18"/>
        </w:rPr>
        <w:t>18.30</w:t>
      </w:r>
      <w:r>
        <w:t>.</w:t>
      </w:r>
    </w:p>
    <w:p w:rsidR="00F0588B" w:rsidRDefault="00220A36" w:rsidP="00F0588B">
      <w:pPr>
        <w:pStyle w:val="FootnoteText"/>
        <w:spacing w:after="60"/>
        <w:rPr>
          <w:sz w:val="18"/>
          <w:szCs w:val="18"/>
        </w:rPr>
      </w:pPr>
      <w:r>
        <w:rPr>
          <w:vertAlign w:val="superscript"/>
        </w:rPr>
        <w:t>c</w:t>
      </w:r>
      <w:r w:rsidR="00F0588B">
        <w:rPr>
          <w:vertAlign w:val="superscript"/>
        </w:rPr>
        <w:t xml:space="preserve"> </w:t>
      </w:r>
      <w:r w:rsidR="00F0588B" w:rsidRPr="005026B4">
        <w:rPr>
          <w:sz w:val="18"/>
          <w:szCs w:val="18"/>
        </w:rPr>
        <w:t xml:space="preserve">The median hourly wage for </w:t>
      </w:r>
      <w:r>
        <w:rPr>
          <w:sz w:val="18"/>
          <w:szCs w:val="18"/>
        </w:rPr>
        <w:t>Related Technical Instruction staff</w:t>
      </w:r>
      <w:r w:rsidR="00F0588B">
        <w:rPr>
          <w:sz w:val="18"/>
          <w:szCs w:val="18"/>
        </w:rPr>
        <w:t xml:space="preserve"> </w:t>
      </w:r>
      <w:r w:rsidR="00F0588B" w:rsidRPr="005026B4">
        <w:rPr>
          <w:sz w:val="18"/>
          <w:szCs w:val="18"/>
        </w:rPr>
        <w:t>was calculated based on information from the Bureau of Labor Statistics; May 201</w:t>
      </w:r>
      <w:r w:rsidR="00F0588B">
        <w:rPr>
          <w:sz w:val="18"/>
          <w:szCs w:val="18"/>
        </w:rPr>
        <w:t>6</w:t>
      </w:r>
      <w:r w:rsidR="00F0588B" w:rsidRPr="005026B4">
        <w:rPr>
          <w:sz w:val="18"/>
          <w:szCs w:val="18"/>
        </w:rPr>
        <w:t xml:space="preserve"> National Industry-Specific Occupational Employment and Wage Estimates found at </w:t>
      </w:r>
      <w:r w:rsidR="00F0588B" w:rsidRPr="00237050">
        <w:rPr>
          <w:sz w:val="18"/>
          <w:szCs w:val="18"/>
        </w:rPr>
        <w:t>https://www.bls.gov/oes/current/oes251194.htm</w:t>
      </w:r>
      <w:r w:rsidR="00F0588B" w:rsidRPr="005026B4">
        <w:rPr>
          <w:sz w:val="18"/>
          <w:szCs w:val="18"/>
        </w:rPr>
        <w:t xml:space="preserve">: </w:t>
      </w:r>
      <w:r w:rsidR="00F0588B">
        <w:rPr>
          <w:sz w:val="18"/>
          <w:szCs w:val="18"/>
        </w:rPr>
        <w:t>Education, Training, and Library Occupations</w:t>
      </w:r>
      <w:r w:rsidR="00F0588B" w:rsidRPr="005026B4">
        <w:rPr>
          <w:sz w:val="18"/>
          <w:szCs w:val="18"/>
        </w:rPr>
        <w:t xml:space="preserve"> (</w:t>
      </w:r>
      <w:r w:rsidR="00F0588B">
        <w:rPr>
          <w:sz w:val="18"/>
          <w:szCs w:val="18"/>
        </w:rPr>
        <w:t>NAICS 611300,</w:t>
      </w:r>
      <w:r w:rsidR="00F0588B" w:rsidRPr="005026B4">
        <w:rPr>
          <w:sz w:val="18"/>
          <w:szCs w:val="18"/>
        </w:rPr>
        <w:t>SOC code 25-</w:t>
      </w:r>
      <w:r w:rsidR="00F0588B">
        <w:rPr>
          <w:sz w:val="18"/>
          <w:szCs w:val="18"/>
        </w:rPr>
        <w:t>000</w:t>
      </w:r>
      <w:r w:rsidR="00F0588B" w:rsidRPr="005026B4">
        <w:rPr>
          <w:sz w:val="18"/>
          <w:szCs w:val="18"/>
        </w:rPr>
        <w:t xml:space="preserve">) wage rate of </w:t>
      </w:r>
      <w:r w:rsidR="00F0588B" w:rsidRPr="0036626F">
        <w:rPr>
          <w:sz w:val="18"/>
          <w:szCs w:val="18"/>
        </w:rPr>
        <w:t>$</w:t>
      </w:r>
      <w:r w:rsidR="00F0588B" w:rsidRPr="0015796A">
        <w:rPr>
          <w:sz w:val="18"/>
          <w:szCs w:val="18"/>
        </w:rPr>
        <w:t>3</w:t>
      </w:r>
      <w:r w:rsidR="00F0588B">
        <w:rPr>
          <w:sz w:val="18"/>
          <w:szCs w:val="18"/>
        </w:rPr>
        <w:t>8</w:t>
      </w:r>
      <w:r w:rsidR="00F0588B" w:rsidRPr="0015796A">
        <w:rPr>
          <w:sz w:val="18"/>
          <w:szCs w:val="18"/>
        </w:rPr>
        <w:t>.</w:t>
      </w:r>
      <w:r w:rsidR="00F0588B">
        <w:rPr>
          <w:sz w:val="18"/>
          <w:szCs w:val="18"/>
        </w:rPr>
        <w:t>73</w:t>
      </w:r>
      <w:r>
        <w:rPr>
          <w:sz w:val="18"/>
          <w:szCs w:val="18"/>
        </w:rPr>
        <w:t>.</w:t>
      </w:r>
    </w:p>
    <w:p w:rsidR="00F0588B" w:rsidRDefault="00220A36" w:rsidP="00F0588B">
      <w:pPr>
        <w:pStyle w:val="FootnoteText"/>
        <w:spacing w:after="60"/>
        <w:rPr>
          <w:sz w:val="18"/>
          <w:szCs w:val="18"/>
        </w:rPr>
      </w:pPr>
      <w:r>
        <w:rPr>
          <w:vertAlign w:val="superscript"/>
        </w:rPr>
        <w:t>d</w:t>
      </w:r>
      <w:r w:rsidR="00F0588B">
        <w:rPr>
          <w:vertAlign w:val="superscript"/>
        </w:rPr>
        <w:t xml:space="preserve"> </w:t>
      </w:r>
      <w:r w:rsidR="00F0588B" w:rsidRPr="005026B4">
        <w:rPr>
          <w:sz w:val="18"/>
          <w:szCs w:val="18"/>
        </w:rPr>
        <w:t xml:space="preserve">The median hourly wage for </w:t>
      </w:r>
      <w:r w:rsidR="00F0588B">
        <w:rPr>
          <w:sz w:val="18"/>
          <w:szCs w:val="18"/>
        </w:rPr>
        <w:t>Employer Partners</w:t>
      </w:r>
      <w:r w:rsidR="00F0588B" w:rsidRPr="005026B4">
        <w:rPr>
          <w:sz w:val="18"/>
          <w:szCs w:val="18"/>
        </w:rPr>
        <w:t xml:space="preserve"> was calculated based on information from the Bureau of Labor Statistics; May 201</w:t>
      </w:r>
      <w:r w:rsidR="00F0588B">
        <w:rPr>
          <w:sz w:val="18"/>
          <w:szCs w:val="18"/>
        </w:rPr>
        <w:t>6</w:t>
      </w:r>
      <w:r w:rsidR="00F0588B" w:rsidRPr="005026B4">
        <w:rPr>
          <w:sz w:val="18"/>
          <w:szCs w:val="18"/>
        </w:rPr>
        <w:t xml:space="preserve"> National Industry-Specific Occupational Employment and Wage Estimates found at </w:t>
      </w:r>
      <w:r w:rsidR="00F0588B" w:rsidRPr="001E1963">
        <w:rPr>
          <w:sz w:val="18"/>
          <w:szCs w:val="18"/>
        </w:rPr>
        <w:t>http://www.bls.gov/oes/current/naics2_31-33.htm#11-0000</w:t>
      </w:r>
      <w:r w:rsidR="00F0588B">
        <w:rPr>
          <w:sz w:val="18"/>
          <w:szCs w:val="18"/>
        </w:rPr>
        <w:t>: Human Resources Managers (NAICS M</w:t>
      </w:r>
      <w:r w:rsidR="00F0588B" w:rsidRPr="005026B4">
        <w:rPr>
          <w:sz w:val="18"/>
          <w:szCs w:val="18"/>
        </w:rPr>
        <w:t>anufacturing</w:t>
      </w:r>
      <w:r w:rsidR="00F0588B">
        <w:rPr>
          <w:sz w:val="18"/>
          <w:szCs w:val="18"/>
        </w:rPr>
        <w:t xml:space="preserve"> 31, 32, 33,</w:t>
      </w:r>
      <w:r w:rsidR="00F0588B" w:rsidRPr="005026B4">
        <w:rPr>
          <w:sz w:val="18"/>
          <w:szCs w:val="18"/>
        </w:rPr>
        <w:t xml:space="preserve"> SOC code 11-3121</w:t>
      </w:r>
      <w:r w:rsidR="00F0588B">
        <w:rPr>
          <w:sz w:val="18"/>
          <w:szCs w:val="18"/>
        </w:rPr>
        <w:t xml:space="preserve">,) wage rate of </w:t>
      </w:r>
      <w:r w:rsidR="00F0588B" w:rsidRPr="000C130C">
        <w:rPr>
          <w:sz w:val="18"/>
          <w:szCs w:val="18"/>
        </w:rPr>
        <w:t>$5</w:t>
      </w:r>
      <w:r w:rsidR="00F0588B">
        <w:rPr>
          <w:sz w:val="18"/>
          <w:szCs w:val="18"/>
        </w:rPr>
        <w:t>5.09.</w:t>
      </w:r>
    </w:p>
    <w:p w:rsidR="00F0588B" w:rsidRDefault="00220A36" w:rsidP="00220A36">
      <w:pPr>
        <w:pStyle w:val="FootnoteText"/>
        <w:spacing w:after="60"/>
        <w:rPr>
          <w:sz w:val="18"/>
          <w:szCs w:val="18"/>
        </w:rPr>
      </w:pPr>
      <w:r>
        <w:rPr>
          <w:vertAlign w:val="superscript"/>
        </w:rPr>
        <w:t>e</w:t>
      </w:r>
      <w:r w:rsidR="00F0588B">
        <w:rPr>
          <w:vertAlign w:val="superscript"/>
        </w:rPr>
        <w:t xml:space="preserve"> </w:t>
      </w:r>
      <w:r w:rsidR="00F0588B" w:rsidRPr="005026B4">
        <w:rPr>
          <w:sz w:val="18"/>
          <w:szCs w:val="18"/>
        </w:rPr>
        <w:t xml:space="preserve">The median hourly wage for </w:t>
      </w:r>
      <w:r w:rsidR="00F0588B">
        <w:rPr>
          <w:sz w:val="18"/>
          <w:szCs w:val="18"/>
        </w:rPr>
        <w:t>Workforce Development Agency Partners</w:t>
      </w:r>
      <w:r w:rsidR="00F0588B" w:rsidRPr="005026B4">
        <w:rPr>
          <w:sz w:val="18"/>
          <w:szCs w:val="18"/>
        </w:rPr>
        <w:t xml:space="preserve"> was calculated based on information from the Bureau of Labor Statistics; May 201</w:t>
      </w:r>
      <w:r w:rsidR="00F0588B">
        <w:rPr>
          <w:sz w:val="18"/>
          <w:szCs w:val="18"/>
        </w:rPr>
        <w:t>6</w:t>
      </w:r>
      <w:r w:rsidR="00F0588B" w:rsidRPr="005026B4">
        <w:rPr>
          <w:sz w:val="18"/>
          <w:szCs w:val="18"/>
        </w:rPr>
        <w:t xml:space="preserve"> National Industry-Specific Occupational Employment and Wage Estimates found at</w:t>
      </w:r>
      <w:r w:rsidR="00F0588B">
        <w:rPr>
          <w:sz w:val="18"/>
          <w:szCs w:val="18"/>
        </w:rPr>
        <w:t xml:space="preserve"> </w:t>
      </w:r>
      <w:r w:rsidR="00F0588B" w:rsidRPr="00436608">
        <w:rPr>
          <w:sz w:val="18"/>
          <w:szCs w:val="18"/>
        </w:rPr>
        <w:t>http://www.bls.gov/oes/current/naics4_999300.htm</w:t>
      </w:r>
      <w:r w:rsidR="00F0588B" w:rsidRPr="005026B4">
        <w:rPr>
          <w:sz w:val="18"/>
          <w:szCs w:val="18"/>
        </w:rPr>
        <w:t>: Local government managers, excluding schools and hospitals (</w:t>
      </w:r>
      <w:r w:rsidR="00F0588B">
        <w:rPr>
          <w:sz w:val="18"/>
          <w:szCs w:val="18"/>
        </w:rPr>
        <w:t xml:space="preserve">NAICS </w:t>
      </w:r>
      <w:r w:rsidRPr="00EE0109">
        <w:rPr>
          <w:sz w:val="18"/>
          <w:szCs w:val="18"/>
        </w:rPr>
        <w:t>999300</w:t>
      </w:r>
      <w:r>
        <w:rPr>
          <w:sz w:val="18"/>
          <w:szCs w:val="18"/>
        </w:rPr>
        <w:t xml:space="preserve">, </w:t>
      </w:r>
      <w:r w:rsidRPr="005026B4">
        <w:rPr>
          <w:sz w:val="18"/>
          <w:szCs w:val="18"/>
        </w:rPr>
        <w:t>SOC code 11-0000) wage rate of $</w:t>
      </w:r>
      <w:r>
        <w:rPr>
          <w:sz w:val="18"/>
          <w:szCs w:val="18"/>
        </w:rPr>
        <w:t>41.86.</w:t>
      </w:r>
    </w:p>
    <w:p w:rsidR="00F0588B" w:rsidRDefault="00220A36" w:rsidP="00F0588B">
      <w:pPr>
        <w:pStyle w:val="FootnoteText"/>
        <w:spacing w:after="60"/>
        <w:rPr>
          <w:sz w:val="18"/>
          <w:szCs w:val="18"/>
        </w:rPr>
      </w:pPr>
      <w:r>
        <w:rPr>
          <w:vertAlign w:val="superscript"/>
        </w:rPr>
        <w:t>f</w:t>
      </w:r>
      <w:r w:rsidR="00F0588B">
        <w:rPr>
          <w:vertAlign w:val="superscript"/>
        </w:rPr>
        <w:t xml:space="preserve"> </w:t>
      </w:r>
      <w:r w:rsidR="00F0588B" w:rsidRPr="005026B4">
        <w:rPr>
          <w:sz w:val="18"/>
          <w:szCs w:val="18"/>
        </w:rPr>
        <w:t xml:space="preserve">The median hourly wage for </w:t>
      </w:r>
      <w:r w:rsidR="00F0588B">
        <w:rPr>
          <w:sz w:val="18"/>
          <w:szCs w:val="18"/>
        </w:rPr>
        <w:t xml:space="preserve">Union Representative </w:t>
      </w:r>
      <w:r w:rsidR="00F0588B" w:rsidRPr="005026B4">
        <w:rPr>
          <w:sz w:val="18"/>
          <w:szCs w:val="18"/>
        </w:rPr>
        <w:t>was calculated based on information from the Bureau of Labor Statistics; May 201</w:t>
      </w:r>
      <w:r w:rsidR="00F0588B">
        <w:rPr>
          <w:sz w:val="18"/>
          <w:szCs w:val="18"/>
        </w:rPr>
        <w:t>6</w:t>
      </w:r>
      <w:r w:rsidR="00F0588B" w:rsidRPr="005026B4">
        <w:rPr>
          <w:sz w:val="18"/>
          <w:szCs w:val="18"/>
        </w:rPr>
        <w:t xml:space="preserve"> National Industry-Specific Occupational Employment and Wage Estimates found at</w:t>
      </w:r>
      <w:r w:rsidR="00F0588B">
        <w:t xml:space="preserve"> </w:t>
      </w:r>
      <w:r w:rsidR="00F0588B" w:rsidRPr="003E5E99">
        <w:rPr>
          <w:sz w:val="18"/>
          <w:szCs w:val="18"/>
        </w:rPr>
        <w:t>https://www.bls.gov/oes/current/naics4_813900.htm: Labor Relations Specialists (NAICS</w:t>
      </w:r>
      <w:r w:rsidR="00F0588B">
        <w:rPr>
          <w:sz w:val="18"/>
          <w:szCs w:val="18"/>
        </w:rPr>
        <w:t xml:space="preserve"> 813900 , SOC Code 13-1075) wage of </w:t>
      </w:r>
      <w:r w:rsidR="00F0588B" w:rsidRPr="003E5E99">
        <w:rPr>
          <w:sz w:val="18"/>
          <w:szCs w:val="18"/>
        </w:rPr>
        <w:t>$2</w:t>
      </w:r>
      <w:r w:rsidR="00F0588B">
        <w:rPr>
          <w:sz w:val="18"/>
          <w:szCs w:val="18"/>
        </w:rPr>
        <w:t>9</w:t>
      </w:r>
      <w:r w:rsidR="00F0588B" w:rsidRPr="003E5E99">
        <w:rPr>
          <w:sz w:val="18"/>
          <w:szCs w:val="18"/>
        </w:rPr>
        <w:t>.</w:t>
      </w:r>
      <w:r w:rsidR="00F0588B">
        <w:rPr>
          <w:sz w:val="18"/>
          <w:szCs w:val="18"/>
        </w:rPr>
        <w:t>71.</w:t>
      </w:r>
    </w:p>
    <w:p w:rsidR="00F0588B" w:rsidRDefault="00220A36" w:rsidP="00F0588B">
      <w:pPr>
        <w:pStyle w:val="FootnoteText"/>
        <w:spacing w:after="60"/>
        <w:rPr>
          <w:sz w:val="18"/>
          <w:szCs w:val="18"/>
        </w:rPr>
      </w:pPr>
      <w:r>
        <w:rPr>
          <w:vertAlign w:val="superscript"/>
        </w:rPr>
        <w:t>g</w:t>
      </w:r>
      <w:r w:rsidR="00F0588B">
        <w:rPr>
          <w:vertAlign w:val="superscript"/>
        </w:rPr>
        <w:t xml:space="preserve"> </w:t>
      </w:r>
      <w:r w:rsidRPr="00A836E8">
        <w:rPr>
          <w:sz w:val="18"/>
          <w:szCs w:val="18"/>
        </w:rPr>
        <w:t>There are 46 grantees with an expected response rate of 90 percent.</w:t>
      </w:r>
      <w:r>
        <w:rPr>
          <w:sz w:val="18"/>
          <w:szCs w:val="18"/>
        </w:rPr>
        <w:t xml:space="preserve"> </w:t>
      </w:r>
      <w:r w:rsidR="00F0588B">
        <w:rPr>
          <w:sz w:val="18"/>
          <w:szCs w:val="18"/>
        </w:rPr>
        <w:t xml:space="preserve">The most likely respondent in this case will be the Grant Director. </w:t>
      </w:r>
      <w:r w:rsidR="00F0588B" w:rsidRPr="005026B4">
        <w:rPr>
          <w:sz w:val="18"/>
          <w:szCs w:val="18"/>
        </w:rPr>
        <w:t xml:space="preserve">The median hourly wage for </w:t>
      </w:r>
      <w:r w:rsidR="00F0588B">
        <w:rPr>
          <w:sz w:val="18"/>
          <w:szCs w:val="18"/>
        </w:rPr>
        <w:t>Grant Directors</w:t>
      </w:r>
      <w:r w:rsidR="00F0588B" w:rsidRPr="005026B4">
        <w:rPr>
          <w:sz w:val="18"/>
          <w:szCs w:val="18"/>
        </w:rPr>
        <w:t xml:space="preserve"> was calculated based on information from the Bure</w:t>
      </w:r>
      <w:r w:rsidR="00F0588B">
        <w:rPr>
          <w:sz w:val="18"/>
          <w:szCs w:val="18"/>
        </w:rPr>
        <w:t>au of Labor Statistics; May 2016</w:t>
      </w:r>
      <w:r w:rsidR="00F0588B" w:rsidRPr="005026B4">
        <w:rPr>
          <w:sz w:val="18"/>
          <w:szCs w:val="18"/>
        </w:rPr>
        <w:t xml:space="preserve"> National Industry-Specific Occupational Employment and Wage Estimates found at </w:t>
      </w:r>
      <w:r w:rsidR="00F0588B" w:rsidRPr="00844545">
        <w:rPr>
          <w:sz w:val="18"/>
          <w:szCs w:val="18"/>
        </w:rPr>
        <w:t>https://www.bls.gov/oes/current/naics3_624000.htm#11-0000</w:t>
      </w:r>
      <w:r w:rsidR="00F0588B">
        <w:rPr>
          <w:sz w:val="18"/>
          <w:szCs w:val="18"/>
        </w:rPr>
        <w:t>: Social and Community Service Managers</w:t>
      </w:r>
      <w:r w:rsidR="00F0588B" w:rsidRPr="005026B4">
        <w:rPr>
          <w:sz w:val="18"/>
          <w:szCs w:val="18"/>
        </w:rPr>
        <w:t xml:space="preserve"> (</w:t>
      </w:r>
      <w:r w:rsidR="00F0588B">
        <w:rPr>
          <w:sz w:val="18"/>
          <w:szCs w:val="18"/>
        </w:rPr>
        <w:t>NAICS 62400, SOC code 11-9151)</w:t>
      </w:r>
      <w:r w:rsidR="00F0588B" w:rsidRPr="005026B4">
        <w:rPr>
          <w:sz w:val="18"/>
          <w:szCs w:val="18"/>
        </w:rPr>
        <w:t xml:space="preserve"> wage rate of $</w:t>
      </w:r>
      <w:r w:rsidR="00F0588B">
        <w:rPr>
          <w:sz w:val="18"/>
          <w:szCs w:val="18"/>
        </w:rPr>
        <w:t>30.84.</w:t>
      </w:r>
    </w:p>
    <w:p w:rsidR="00220A36" w:rsidRDefault="00220A36" w:rsidP="00F0588B">
      <w:pPr>
        <w:pStyle w:val="FootnoteText"/>
        <w:spacing w:after="60"/>
        <w:rPr>
          <w:rFonts w:asciiTheme="minorHAnsi" w:hAnsiTheme="minorHAnsi"/>
          <w:sz w:val="22"/>
          <w:szCs w:val="22"/>
          <w:vertAlign w:val="superscript"/>
        </w:rPr>
      </w:pPr>
      <w:r>
        <w:rPr>
          <w:rFonts w:asciiTheme="minorHAnsi" w:hAnsiTheme="minorHAnsi"/>
          <w:sz w:val="22"/>
          <w:szCs w:val="22"/>
          <w:vertAlign w:val="superscript"/>
        </w:rPr>
        <w:t xml:space="preserve">h </w:t>
      </w:r>
      <w:r>
        <w:rPr>
          <w:sz w:val="18"/>
          <w:szCs w:val="18"/>
        </w:rPr>
        <w:t>The most likely respondent in this case will be Grantee Staff.</w:t>
      </w:r>
      <w:r w:rsidRPr="00220A36">
        <w:rPr>
          <w:sz w:val="18"/>
          <w:szCs w:val="18"/>
        </w:rPr>
        <w:t xml:space="preserve"> </w:t>
      </w:r>
      <w:r w:rsidRPr="005026B4">
        <w:rPr>
          <w:sz w:val="18"/>
          <w:szCs w:val="18"/>
        </w:rPr>
        <w:t xml:space="preserve">The median hourly wage for </w:t>
      </w:r>
      <w:r>
        <w:rPr>
          <w:sz w:val="18"/>
          <w:szCs w:val="18"/>
        </w:rPr>
        <w:t>Grantee Staff</w:t>
      </w:r>
      <w:r w:rsidRPr="005026B4">
        <w:rPr>
          <w:sz w:val="18"/>
          <w:szCs w:val="18"/>
        </w:rPr>
        <w:t xml:space="preserve"> was calculated based on information from the Bureau of Labor Statistics; May 201</w:t>
      </w:r>
      <w:r>
        <w:rPr>
          <w:sz w:val="18"/>
          <w:szCs w:val="18"/>
        </w:rPr>
        <w:t>6</w:t>
      </w:r>
      <w:r w:rsidRPr="005026B4">
        <w:rPr>
          <w:sz w:val="18"/>
          <w:szCs w:val="18"/>
        </w:rPr>
        <w:t xml:space="preserve"> National Industry-Specific Occupational Employment and Wage Estimates found at </w:t>
      </w:r>
      <w:hyperlink r:id="rId10" w:history="1">
        <w:r w:rsidRPr="00610357">
          <w:rPr>
            <w:sz w:val="18"/>
            <w:szCs w:val="18"/>
          </w:rPr>
          <w:t>https://www.bls.gov/oes/current/oes211093.htm</w:t>
        </w:r>
      </w:hyperlink>
      <w:r w:rsidRPr="00610357">
        <w:rPr>
          <w:sz w:val="18"/>
          <w:szCs w:val="18"/>
        </w:rPr>
        <w:t xml:space="preserve"> </w:t>
      </w:r>
      <w:r>
        <w:rPr>
          <w:sz w:val="18"/>
          <w:szCs w:val="18"/>
        </w:rPr>
        <w:t>Community and Social Service Occupations</w:t>
      </w:r>
      <w:r w:rsidRPr="00610357">
        <w:rPr>
          <w:sz w:val="18"/>
          <w:szCs w:val="18"/>
        </w:rPr>
        <w:t>.</w:t>
      </w:r>
      <w:r>
        <w:rPr>
          <w:sz w:val="18"/>
          <w:szCs w:val="18"/>
        </w:rPr>
        <w:t xml:space="preserve"> (NAICS 62400 SOC code-210000 </w:t>
      </w:r>
      <w:r w:rsidRPr="0015796A">
        <w:rPr>
          <w:sz w:val="18"/>
          <w:szCs w:val="18"/>
        </w:rPr>
        <w:t>$</w:t>
      </w:r>
      <w:r>
        <w:rPr>
          <w:sz w:val="18"/>
          <w:szCs w:val="18"/>
        </w:rPr>
        <w:t>18.30.</w:t>
      </w:r>
    </w:p>
    <w:p w:rsidR="00633775" w:rsidRDefault="00633775" w:rsidP="00B36314">
      <w:pPr>
        <w:pStyle w:val="Bullets"/>
        <w:rPr>
          <w:sz w:val="18"/>
          <w:szCs w:val="18"/>
        </w:rPr>
      </w:pPr>
    </w:p>
    <w:p w:rsidR="006F299B" w:rsidRDefault="006F299B" w:rsidP="00137474">
      <w:pPr>
        <w:pStyle w:val="Heading2"/>
      </w:pPr>
      <w:bookmarkStart w:id="13" w:name="_Toc496269655"/>
      <w:r w:rsidRPr="001034D3">
        <w:t xml:space="preserve">A13: Cost </w:t>
      </w:r>
      <w:r w:rsidR="00911BD5" w:rsidRPr="001034D3">
        <w:t xml:space="preserve">Burden </w:t>
      </w:r>
      <w:r w:rsidR="00911BD5">
        <w:t>t</w:t>
      </w:r>
      <w:r w:rsidR="00911BD5" w:rsidRPr="001034D3">
        <w:t xml:space="preserve">o Respondents </w:t>
      </w:r>
      <w:r w:rsidR="00911BD5">
        <w:t>o</w:t>
      </w:r>
      <w:r w:rsidR="00911BD5" w:rsidRPr="001034D3">
        <w:t>r Record Keepers</w:t>
      </w:r>
      <w:bookmarkEnd w:id="13"/>
    </w:p>
    <w:p w:rsidR="00BE02A5" w:rsidRDefault="00BE02A5" w:rsidP="006F299B">
      <w:r w:rsidRPr="00BE02A5">
        <w:t xml:space="preserve">There are no </w:t>
      </w:r>
      <w:r w:rsidR="00082700">
        <w:t xml:space="preserve">additional </w:t>
      </w:r>
      <w:r w:rsidRPr="00BE02A5">
        <w:t xml:space="preserve">costs to respondents </w:t>
      </w:r>
      <w:r w:rsidR="00D545F1">
        <w:t>other than their time</w:t>
      </w:r>
      <w:r w:rsidRPr="00BE02A5">
        <w:t xml:space="preserve">. </w:t>
      </w:r>
    </w:p>
    <w:p w:rsidR="006F299B" w:rsidRPr="001034D3" w:rsidRDefault="006F299B" w:rsidP="00137474">
      <w:pPr>
        <w:pStyle w:val="Heading2"/>
      </w:pPr>
      <w:bookmarkStart w:id="14" w:name="_Toc496269656"/>
      <w:r w:rsidRPr="001034D3">
        <w:t xml:space="preserve">A14: Estimate of </w:t>
      </w:r>
      <w:r w:rsidR="00911BD5">
        <w:t>C</w:t>
      </w:r>
      <w:r w:rsidRPr="001034D3">
        <w:t xml:space="preserve">ost to the Federal </w:t>
      </w:r>
      <w:r w:rsidR="00911BD5">
        <w:t>G</w:t>
      </w:r>
      <w:r w:rsidRPr="001034D3">
        <w:t>overnment</w:t>
      </w:r>
      <w:bookmarkEnd w:id="14"/>
    </w:p>
    <w:p w:rsidR="00DA2DB7" w:rsidRPr="00B32391" w:rsidRDefault="00DA2DB7" w:rsidP="00DA2DB7">
      <w:pPr>
        <w:rPr>
          <w:szCs w:val="22"/>
        </w:rPr>
      </w:pPr>
      <w:r w:rsidRPr="00B32391">
        <w:rPr>
          <w:szCs w:val="22"/>
        </w:rPr>
        <w:t>The total annualized cost</w:t>
      </w:r>
      <w:r w:rsidR="00303246" w:rsidRPr="00B32391">
        <w:rPr>
          <w:szCs w:val="22"/>
        </w:rPr>
        <w:t xml:space="preserve"> to the federal government is $</w:t>
      </w:r>
      <w:r w:rsidR="00673831">
        <w:t>893,174</w:t>
      </w:r>
      <w:r w:rsidRPr="00B32391">
        <w:rPr>
          <w:szCs w:val="22"/>
        </w:rPr>
        <w:t>. Costs result from the following two categories:</w:t>
      </w:r>
    </w:p>
    <w:p w:rsidR="00E147D5" w:rsidRPr="00646B4B" w:rsidRDefault="008A180F" w:rsidP="008A180F">
      <w:pPr>
        <w:pStyle w:val="ListParagraph"/>
        <w:numPr>
          <w:ilvl w:val="0"/>
          <w:numId w:val="12"/>
        </w:numPr>
        <w:rPr>
          <w:rFonts w:ascii="Times New Roman" w:hAnsi="Times New Roman" w:cs="Times New Roman"/>
          <w:bCs/>
        </w:rPr>
      </w:pPr>
      <w:r w:rsidRPr="006D7F36">
        <w:rPr>
          <w:rFonts w:ascii="Times New Roman" w:hAnsi="Times New Roman" w:cs="Times New Roman"/>
          <w:bCs/>
        </w:rPr>
        <w:t xml:space="preserve">The </w:t>
      </w:r>
      <w:r>
        <w:rPr>
          <w:rFonts w:ascii="Times New Roman" w:hAnsi="Times New Roman" w:cs="Times New Roman"/>
          <w:bCs/>
        </w:rPr>
        <w:t xml:space="preserve">annualized </w:t>
      </w:r>
      <w:r w:rsidRPr="006D7F36">
        <w:rPr>
          <w:rFonts w:ascii="Times New Roman" w:hAnsi="Times New Roman" w:cs="Times New Roman"/>
          <w:bCs/>
        </w:rPr>
        <w:t>cost to the federal government for the contractor to carry out this study</w:t>
      </w:r>
      <w:r>
        <w:t xml:space="preserve"> is </w:t>
      </w:r>
      <w:r w:rsidR="005D4DE3" w:rsidRPr="006D7F36">
        <w:rPr>
          <w:rFonts w:ascii="Times New Roman" w:hAnsi="Times New Roman" w:cs="Times New Roman"/>
          <w:bCs/>
        </w:rPr>
        <w:t>$881,094.</w:t>
      </w:r>
      <w:r w:rsidR="005D4DE3">
        <w:rPr>
          <w:rFonts w:ascii="Times New Roman" w:hAnsi="Times New Roman" w:cs="Times New Roman"/>
          <w:bCs/>
        </w:rPr>
        <w:t xml:space="preserve"> </w:t>
      </w:r>
      <w:r>
        <w:rPr>
          <w:rFonts w:ascii="Times New Roman" w:hAnsi="Times New Roman" w:cs="Times New Roman"/>
          <w:bCs/>
        </w:rPr>
        <w:t xml:space="preserve"> This is calculated by the following:  t</w:t>
      </w:r>
      <w:r w:rsidR="00B05E82" w:rsidRPr="006D7F36">
        <w:rPr>
          <w:rFonts w:ascii="Times New Roman" w:hAnsi="Times New Roman" w:cs="Times New Roman"/>
          <w:bCs/>
        </w:rPr>
        <w:t xml:space="preserve">he </w:t>
      </w:r>
      <w:r w:rsidR="00DA2DB7" w:rsidRPr="006D7F36">
        <w:rPr>
          <w:rFonts w:ascii="Times New Roman" w:hAnsi="Times New Roman" w:cs="Times New Roman"/>
          <w:bCs/>
        </w:rPr>
        <w:t xml:space="preserve">estimated cost to the federal government for the contractor to carry out this study is </w:t>
      </w:r>
      <w:r w:rsidR="00F70050" w:rsidRPr="006D7F36">
        <w:rPr>
          <w:rFonts w:ascii="Times New Roman" w:hAnsi="Times New Roman" w:cs="Times New Roman"/>
          <w:bCs/>
        </w:rPr>
        <w:t xml:space="preserve">$654,014 for the implementation study; </w:t>
      </w:r>
      <w:r w:rsidR="00704284" w:rsidRPr="006D7F36">
        <w:rPr>
          <w:rFonts w:ascii="Times New Roman" w:hAnsi="Times New Roman" w:cs="Times New Roman"/>
          <w:bCs/>
        </w:rPr>
        <w:t>$</w:t>
      </w:r>
      <w:r w:rsidR="00F70050" w:rsidRPr="006D7F36">
        <w:rPr>
          <w:rFonts w:ascii="Times New Roman" w:hAnsi="Times New Roman" w:cs="Times New Roman"/>
          <w:bCs/>
        </w:rPr>
        <w:t xml:space="preserve">411,539 </w:t>
      </w:r>
      <w:r w:rsidR="00F56F6B" w:rsidRPr="006D7F36">
        <w:rPr>
          <w:rFonts w:ascii="Times New Roman" w:hAnsi="Times New Roman" w:cs="Times New Roman"/>
          <w:bCs/>
        </w:rPr>
        <w:t>for the grantee survey</w:t>
      </w:r>
      <w:r w:rsidR="00F70050" w:rsidRPr="006D7F36">
        <w:rPr>
          <w:rFonts w:ascii="Times New Roman" w:hAnsi="Times New Roman" w:cs="Times New Roman"/>
          <w:bCs/>
        </w:rPr>
        <w:t xml:space="preserve">; and </w:t>
      </w:r>
      <w:r w:rsidR="00704284" w:rsidRPr="006D7F36">
        <w:rPr>
          <w:rFonts w:ascii="Times New Roman" w:hAnsi="Times New Roman" w:cs="Times New Roman"/>
          <w:bCs/>
        </w:rPr>
        <w:t>$</w:t>
      </w:r>
      <w:r w:rsidR="00F70050" w:rsidRPr="006D7F36">
        <w:rPr>
          <w:rFonts w:ascii="Times New Roman" w:hAnsi="Times New Roman" w:cs="Times New Roman"/>
          <w:bCs/>
        </w:rPr>
        <w:t xml:space="preserve">1,577,730 for the </w:t>
      </w:r>
      <w:r w:rsidR="00D56B54" w:rsidRPr="006D7F36">
        <w:rPr>
          <w:rFonts w:ascii="Times New Roman" w:hAnsi="Times New Roman" w:cs="Times New Roman"/>
          <w:bCs/>
        </w:rPr>
        <w:t>impact study</w:t>
      </w:r>
      <w:r w:rsidR="008732C4" w:rsidRPr="006D7F36">
        <w:rPr>
          <w:rFonts w:ascii="Times New Roman" w:hAnsi="Times New Roman" w:cs="Times New Roman"/>
          <w:bCs/>
        </w:rPr>
        <w:t xml:space="preserve"> for a total of $2</w:t>
      </w:r>
      <w:r w:rsidR="00DA2DB7" w:rsidRPr="006D7F36">
        <w:rPr>
          <w:rFonts w:ascii="Times New Roman" w:hAnsi="Times New Roman" w:cs="Times New Roman"/>
          <w:bCs/>
        </w:rPr>
        <w:t>,</w:t>
      </w:r>
      <w:r w:rsidR="008732C4" w:rsidRPr="006D7F36">
        <w:rPr>
          <w:rFonts w:ascii="Times New Roman" w:hAnsi="Times New Roman" w:cs="Times New Roman"/>
          <w:bCs/>
        </w:rPr>
        <w:t>64</w:t>
      </w:r>
      <w:r w:rsidR="00090B16" w:rsidRPr="006D7F36">
        <w:rPr>
          <w:rFonts w:ascii="Times New Roman" w:hAnsi="Times New Roman" w:cs="Times New Roman"/>
          <w:bCs/>
        </w:rPr>
        <w:t>3</w:t>
      </w:r>
      <w:r w:rsidR="008732C4" w:rsidRPr="006D7F36">
        <w:rPr>
          <w:rFonts w:ascii="Times New Roman" w:hAnsi="Times New Roman" w:cs="Times New Roman"/>
          <w:bCs/>
        </w:rPr>
        <w:t>,283</w:t>
      </w:r>
      <w:r w:rsidR="00DF03BA">
        <w:rPr>
          <w:rFonts w:ascii="Times New Roman" w:hAnsi="Times New Roman" w:cs="Times New Roman"/>
          <w:bCs/>
        </w:rPr>
        <w:t xml:space="preserve"> </w:t>
      </w:r>
      <w:r>
        <w:rPr>
          <w:rFonts w:ascii="Times New Roman" w:hAnsi="Times New Roman" w:cs="Times New Roman"/>
          <w:bCs/>
        </w:rPr>
        <w:t>for</w:t>
      </w:r>
      <w:r w:rsidR="00DF03BA">
        <w:rPr>
          <w:rFonts w:ascii="Times New Roman" w:hAnsi="Times New Roman" w:cs="Times New Roman"/>
          <w:bCs/>
        </w:rPr>
        <w:t xml:space="preserve"> three years</w:t>
      </w:r>
      <w:r w:rsidR="00704284" w:rsidRPr="006D7F36">
        <w:rPr>
          <w:rFonts w:ascii="Times New Roman" w:hAnsi="Times New Roman" w:cs="Times New Roman"/>
          <w:bCs/>
        </w:rPr>
        <w:t xml:space="preserve">. </w:t>
      </w:r>
      <w:r>
        <w:rPr>
          <w:rFonts w:ascii="Times New Roman" w:hAnsi="Times New Roman" w:cs="Times New Roman"/>
          <w:bCs/>
        </w:rPr>
        <w:t>Therefore, the annualized cost is $2,643,283 / 3 years = $</w:t>
      </w:r>
      <w:r w:rsidRPr="006D7F36">
        <w:rPr>
          <w:rFonts w:ascii="Times New Roman" w:hAnsi="Times New Roman" w:cs="Times New Roman"/>
          <w:bCs/>
        </w:rPr>
        <w:t>881,094</w:t>
      </w:r>
      <w:r>
        <w:rPr>
          <w:rFonts w:ascii="Times New Roman" w:hAnsi="Times New Roman" w:cs="Times New Roman"/>
          <w:bCs/>
        </w:rPr>
        <w:t>.</w:t>
      </w:r>
    </w:p>
    <w:p w:rsidR="001E2E53" w:rsidRPr="00646B4B" w:rsidRDefault="001E2E53" w:rsidP="001E2E53">
      <w:pPr>
        <w:pStyle w:val="ListParagraph"/>
        <w:rPr>
          <w:rFonts w:ascii="Times New Roman" w:hAnsi="Times New Roman" w:cs="Times New Roman"/>
          <w:bCs/>
        </w:rPr>
      </w:pPr>
    </w:p>
    <w:p w:rsidR="00DA2DB7" w:rsidRPr="009C1531" w:rsidRDefault="005D4DE3" w:rsidP="00646B4B">
      <w:pPr>
        <w:pStyle w:val="ListParagraph"/>
        <w:numPr>
          <w:ilvl w:val="0"/>
          <w:numId w:val="12"/>
        </w:numPr>
        <w:rPr>
          <w:rFonts w:ascii="Times New Roman" w:hAnsi="Times New Roman" w:cs="Times New Roman"/>
          <w:spacing w:val="-2"/>
        </w:rPr>
      </w:pPr>
      <w:r w:rsidRPr="009C1531">
        <w:rPr>
          <w:rFonts w:ascii="Times New Roman" w:hAnsi="Times New Roman" w:cs="Times New Roman"/>
          <w:bCs/>
          <w:spacing w:val="-2"/>
        </w:rPr>
        <w:t xml:space="preserve">The annualized cost </w:t>
      </w:r>
      <w:r w:rsidR="008A180F" w:rsidRPr="009C1531">
        <w:rPr>
          <w:rFonts w:ascii="Times New Roman" w:hAnsi="Times New Roman" w:cs="Times New Roman"/>
          <w:bCs/>
          <w:spacing w:val="-2"/>
        </w:rPr>
        <w:t xml:space="preserve">for federal technical staff to oversee the study </w:t>
      </w:r>
      <w:r w:rsidRPr="009C1531">
        <w:rPr>
          <w:rFonts w:ascii="Times New Roman" w:hAnsi="Times New Roman" w:cs="Times New Roman"/>
          <w:bCs/>
          <w:spacing w:val="-2"/>
        </w:rPr>
        <w:t>is $</w:t>
      </w:r>
      <w:r w:rsidR="00F1567A" w:rsidRPr="009C1531">
        <w:rPr>
          <w:rFonts w:ascii="Times New Roman" w:hAnsi="Times New Roman" w:cs="Times New Roman"/>
          <w:bCs/>
          <w:spacing w:val="-2"/>
        </w:rPr>
        <w:t>12</w:t>
      </w:r>
      <w:r w:rsidRPr="009C1531">
        <w:rPr>
          <w:rFonts w:ascii="Times New Roman" w:hAnsi="Times New Roman" w:cs="Times New Roman"/>
          <w:bCs/>
          <w:spacing w:val="-2"/>
        </w:rPr>
        <w:t>,</w:t>
      </w:r>
      <w:r w:rsidR="00F1567A" w:rsidRPr="009C1531">
        <w:rPr>
          <w:rFonts w:ascii="Times New Roman" w:hAnsi="Times New Roman" w:cs="Times New Roman"/>
          <w:bCs/>
          <w:spacing w:val="-2"/>
        </w:rPr>
        <w:t>080</w:t>
      </w:r>
      <w:r w:rsidRPr="009C1531">
        <w:rPr>
          <w:rFonts w:ascii="Times New Roman" w:hAnsi="Times New Roman" w:cs="Times New Roman"/>
          <w:bCs/>
          <w:spacing w:val="-2"/>
        </w:rPr>
        <w:t xml:space="preserve">.  </w:t>
      </w:r>
      <w:r w:rsidR="008A180F" w:rsidRPr="009C1531">
        <w:rPr>
          <w:rFonts w:ascii="Times New Roman" w:hAnsi="Times New Roman" w:cs="Times New Roman"/>
          <w:bCs/>
          <w:spacing w:val="-2"/>
        </w:rPr>
        <w:t xml:space="preserve">This is calculated by the following:  an </w:t>
      </w:r>
      <w:r w:rsidR="00DA2DB7" w:rsidRPr="009C1531">
        <w:rPr>
          <w:rFonts w:ascii="Times New Roman" w:hAnsi="Times New Roman" w:cs="Times New Roman"/>
          <w:bCs/>
          <w:spacing w:val="-2"/>
        </w:rPr>
        <w:t xml:space="preserve">annual level of effort </w:t>
      </w:r>
      <w:r w:rsidR="008A180F" w:rsidRPr="009C1531">
        <w:rPr>
          <w:rFonts w:ascii="Times New Roman" w:hAnsi="Times New Roman" w:cs="Times New Roman"/>
          <w:bCs/>
          <w:spacing w:val="-2"/>
        </w:rPr>
        <w:t xml:space="preserve">of </w:t>
      </w:r>
      <w:r w:rsidR="00DA2DB7" w:rsidRPr="009C1531">
        <w:rPr>
          <w:rFonts w:ascii="Times New Roman" w:hAnsi="Times New Roman" w:cs="Times New Roman"/>
          <w:bCs/>
          <w:spacing w:val="-2"/>
        </w:rPr>
        <w:t>200 hours for one Washington, DC–based Federal GS</w:t>
      </w:r>
      <w:r w:rsidR="009042D4" w:rsidRPr="009C1531">
        <w:rPr>
          <w:rFonts w:ascii="Times New Roman" w:hAnsi="Times New Roman" w:cs="Times New Roman"/>
          <w:bCs/>
          <w:spacing w:val="-2"/>
        </w:rPr>
        <w:t>-</w:t>
      </w:r>
      <w:r w:rsidR="00DA2DB7" w:rsidRPr="009C1531">
        <w:rPr>
          <w:rFonts w:ascii="Times New Roman" w:hAnsi="Times New Roman" w:cs="Times New Roman"/>
          <w:bCs/>
          <w:spacing w:val="-2"/>
        </w:rPr>
        <w:t xml:space="preserve">14 step 4 employee earning $60.40 per hour. (See Office of Personnel Management 2018 Hourly Salary Table at </w:t>
      </w:r>
      <w:hyperlink r:id="rId11" w:history="1">
        <w:r w:rsidR="00DA2DB7" w:rsidRPr="009C1531">
          <w:rPr>
            <w:rStyle w:val="Hyperlink"/>
            <w:rFonts w:ascii="Times New Roman" w:hAnsi="Times New Roman" w:cs="Times New Roman"/>
            <w:spacing w:val="-2"/>
          </w:rPr>
          <w:t>https://www.opm.gov/policy-data-oversight/pay-leave/salaries-wages/salary-tables/pdf/2018/DCB_h.pdf</w:t>
        </w:r>
      </w:hyperlink>
      <w:r w:rsidR="00DA2DB7" w:rsidRPr="009C1531">
        <w:rPr>
          <w:spacing w:val="-2"/>
        </w:rPr>
        <w:t>)</w:t>
      </w:r>
      <w:r w:rsidR="009042D4" w:rsidRPr="009C1531">
        <w:rPr>
          <w:spacing w:val="-2"/>
        </w:rPr>
        <w:t>.</w:t>
      </w:r>
      <w:r w:rsidR="00DA2DB7" w:rsidRPr="009C1531">
        <w:rPr>
          <w:spacing w:val="-2"/>
        </w:rPr>
        <w:t xml:space="preserve"> </w:t>
      </w:r>
      <w:r w:rsidR="008A180F" w:rsidRPr="009C1531">
        <w:rPr>
          <w:spacing w:val="-2"/>
        </w:rPr>
        <w:t xml:space="preserve">  </w:t>
      </w:r>
      <w:r w:rsidR="00646B4B" w:rsidRPr="009C1531">
        <w:rPr>
          <w:rFonts w:ascii="Times New Roman" w:hAnsi="Times New Roman" w:cs="Times New Roman"/>
          <w:spacing w:val="-2"/>
        </w:rPr>
        <w:t>Therefore, the annualized cost is 200 hours x $60.40 = $12,080.</w:t>
      </w:r>
    </w:p>
    <w:p w:rsidR="00B63758" w:rsidRPr="00B63758" w:rsidRDefault="001E2E53" w:rsidP="008A180F">
      <w:r>
        <w:t xml:space="preserve">The </w:t>
      </w:r>
      <w:r w:rsidR="004356E5">
        <w:t>total annualized cost</w:t>
      </w:r>
      <w:r w:rsidR="007F383D">
        <w:t xml:space="preserve"> to the federal government</w:t>
      </w:r>
      <w:r w:rsidR="004356E5">
        <w:t xml:space="preserve"> </w:t>
      </w:r>
      <w:r w:rsidR="000B2AA8">
        <w:t>is</w:t>
      </w:r>
      <w:r w:rsidR="00C653F8">
        <w:t xml:space="preserve"> $</w:t>
      </w:r>
      <w:r w:rsidR="00673831">
        <w:t xml:space="preserve">893,174 </w:t>
      </w:r>
      <w:r w:rsidR="004356E5">
        <w:t>($881,094 + $</w:t>
      </w:r>
      <w:r w:rsidR="00673831">
        <w:t>12</w:t>
      </w:r>
      <w:r w:rsidR="004356E5">
        <w:t>,</w:t>
      </w:r>
      <w:r w:rsidR="00673831">
        <w:t>080</w:t>
      </w:r>
      <w:r w:rsidR="00C653F8">
        <w:t xml:space="preserve"> </w:t>
      </w:r>
      <w:r w:rsidR="004356E5">
        <w:t>=</w:t>
      </w:r>
      <w:r w:rsidR="00C653F8">
        <w:t xml:space="preserve"> $</w:t>
      </w:r>
      <w:r w:rsidR="00673831">
        <w:t>893,174</w:t>
      </w:r>
      <w:r w:rsidR="00C653F8">
        <w:t>).</w:t>
      </w:r>
      <w:r w:rsidR="004356E5">
        <w:t xml:space="preserve"> </w:t>
      </w:r>
    </w:p>
    <w:p w:rsidR="006F299B" w:rsidRDefault="006F299B" w:rsidP="00137474">
      <w:pPr>
        <w:pStyle w:val="Heading2"/>
      </w:pPr>
      <w:bookmarkStart w:id="15" w:name="_Toc496269657"/>
      <w:r w:rsidRPr="00297B36">
        <w:t xml:space="preserve">A15: Change in </w:t>
      </w:r>
      <w:r w:rsidR="00911BD5">
        <w:t>B</w:t>
      </w:r>
      <w:r w:rsidRPr="001034D3">
        <w:t>urden</w:t>
      </w:r>
      <w:bookmarkEnd w:id="15"/>
    </w:p>
    <w:p w:rsidR="006F299B" w:rsidRPr="0076035F" w:rsidRDefault="006F299B" w:rsidP="006F299B">
      <w:r>
        <w:t xml:space="preserve">This is a new </w:t>
      </w:r>
      <w:r w:rsidR="00F5526E">
        <w:t>data collection</w:t>
      </w:r>
      <w:r w:rsidR="004F04B4">
        <w:t xml:space="preserve"> </w:t>
      </w:r>
      <w:r w:rsidR="001F0A6B">
        <w:t>effort</w:t>
      </w:r>
      <w:r w:rsidR="007D0999">
        <w:t xml:space="preserve"> (</w:t>
      </w:r>
      <w:r w:rsidR="001F0A6B">
        <w:t>OMB No. 1290-XXX</w:t>
      </w:r>
      <w:r w:rsidR="007D0999">
        <w:t>)</w:t>
      </w:r>
      <w:r>
        <w:t xml:space="preserve">. </w:t>
      </w:r>
    </w:p>
    <w:p w:rsidR="006F299B" w:rsidRPr="00B34B48" w:rsidRDefault="006F299B" w:rsidP="00137474">
      <w:pPr>
        <w:pStyle w:val="Heading2"/>
      </w:pPr>
      <w:bookmarkStart w:id="16" w:name="_Toc496269658"/>
      <w:r w:rsidRPr="00B34B48">
        <w:t xml:space="preserve">A16: Plan and </w:t>
      </w:r>
      <w:r w:rsidR="00911BD5" w:rsidRPr="00B34B48">
        <w:t xml:space="preserve">Time Schedule </w:t>
      </w:r>
      <w:r w:rsidR="00911BD5">
        <w:t>f</w:t>
      </w:r>
      <w:r w:rsidR="00911BD5" w:rsidRPr="00B34B48">
        <w:t xml:space="preserve">or Information Collection, Tabulation </w:t>
      </w:r>
      <w:r w:rsidR="00911BD5">
        <w:t>a</w:t>
      </w:r>
      <w:r w:rsidR="00911BD5" w:rsidRPr="00B34B48">
        <w:t>nd Publication</w:t>
      </w:r>
      <w:bookmarkEnd w:id="16"/>
    </w:p>
    <w:p w:rsidR="006F299B" w:rsidRDefault="006F299B" w:rsidP="00137474">
      <w:pPr>
        <w:pStyle w:val="BodyText"/>
      </w:pPr>
      <w:r w:rsidRPr="00137474">
        <w:t>For</w:t>
      </w:r>
      <w:r w:rsidR="00F569E1">
        <w:t xml:space="preserve"> the </w:t>
      </w:r>
      <w:r w:rsidR="003676F5">
        <w:t xml:space="preserve">evaluation of the </w:t>
      </w:r>
      <w:r w:rsidR="00020CBB">
        <w:t>American Apprenticeship Initiative</w:t>
      </w:r>
      <w:r w:rsidR="00F569E1">
        <w:t xml:space="preserve"> </w:t>
      </w:r>
      <w:r w:rsidR="003676F5">
        <w:t>grants</w:t>
      </w:r>
      <w:r w:rsidRPr="00137474">
        <w:t xml:space="preserve">, </w:t>
      </w:r>
      <w:r w:rsidR="0011314C">
        <w:t>ETA</w:t>
      </w:r>
      <w:r w:rsidR="00F569E1">
        <w:t xml:space="preserve"> </w:t>
      </w:r>
      <w:r w:rsidRPr="00137474">
        <w:t xml:space="preserve">is seeking OMB approval </w:t>
      </w:r>
      <w:r w:rsidRPr="00020CBB">
        <w:t xml:space="preserve">beginning </w:t>
      </w:r>
      <w:r w:rsidR="0063460A">
        <w:t xml:space="preserve">in </w:t>
      </w:r>
      <w:r w:rsidR="00020CBB" w:rsidRPr="00020CBB">
        <w:t>2018</w:t>
      </w:r>
      <w:r w:rsidRPr="00020CBB">
        <w:t xml:space="preserve"> and ending </w:t>
      </w:r>
      <w:r w:rsidR="0063460A">
        <w:t xml:space="preserve">in </w:t>
      </w:r>
      <w:r w:rsidR="004538B1">
        <w:t>20</w:t>
      </w:r>
      <w:r w:rsidR="00594EB9">
        <w:t>20</w:t>
      </w:r>
      <w:r w:rsidRPr="00137474">
        <w:t>.</w:t>
      </w:r>
      <w:r w:rsidR="007859D7">
        <w:t xml:space="preserve"> </w:t>
      </w:r>
    </w:p>
    <w:p w:rsidR="00973B9F" w:rsidRPr="007E4D7B" w:rsidRDefault="00973B9F" w:rsidP="00082700">
      <w:pPr>
        <w:pStyle w:val="Bullets"/>
        <w:numPr>
          <w:ilvl w:val="0"/>
          <w:numId w:val="16"/>
        </w:numPr>
        <w:spacing w:after="0"/>
        <w:rPr>
          <w:rFonts w:eastAsiaTheme="minorHAnsi"/>
          <w:spacing w:val="-4"/>
        </w:rPr>
      </w:pPr>
      <w:r w:rsidRPr="007E4D7B">
        <w:rPr>
          <w:rFonts w:eastAsiaTheme="minorHAnsi"/>
          <w:b/>
          <w:spacing w:val="-4"/>
        </w:rPr>
        <w:t>First round implementation study site visits</w:t>
      </w:r>
      <w:r w:rsidRPr="007E4D7B">
        <w:rPr>
          <w:rFonts w:eastAsiaTheme="minorHAnsi"/>
          <w:spacing w:val="-4"/>
        </w:rPr>
        <w:t xml:space="preserve"> </w:t>
      </w:r>
      <w:r w:rsidR="007935E1">
        <w:rPr>
          <w:rFonts w:eastAsiaTheme="minorHAnsi"/>
          <w:spacing w:val="-4"/>
        </w:rPr>
        <w:t xml:space="preserve">will </w:t>
      </w:r>
      <w:r w:rsidRPr="007E4D7B">
        <w:rPr>
          <w:rFonts w:eastAsiaTheme="minorHAnsi"/>
          <w:spacing w:val="-4"/>
        </w:rPr>
        <w:t xml:space="preserve">occur </w:t>
      </w:r>
      <w:r w:rsidR="0063460A">
        <w:rPr>
          <w:rFonts w:eastAsiaTheme="minorHAnsi"/>
          <w:spacing w:val="-4"/>
        </w:rPr>
        <w:t>in</w:t>
      </w:r>
      <w:r w:rsidRPr="007E4D7B">
        <w:rPr>
          <w:rFonts w:eastAsiaTheme="minorHAnsi"/>
          <w:spacing w:val="-4"/>
        </w:rPr>
        <w:t xml:space="preserve"> 2018.</w:t>
      </w:r>
      <w:r>
        <w:rPr>
          <w:rFonts w:eastAsiaTheme="minorHAnsi"/>
          <w:spacing w:val="-4"/>
        </w:rPr>
        <w:t xml:space="preserve"> </w:t>
      </w:r>
    </w:p>
    <w:p w:rsidR="00973B9F" w:rsidRPr="007D4AB7" w:rsidRDefault="00973B9F" w:rsidP="00082700">
      <w:pPr>
        <w:pStyle w:val="Bullets"/>
        <w:numPr>
          <w:ilvl w:val="0"/>
          <w:numId w:val="16"/>
        </w:numPr>
        <w:spacing w:after="0"/>
        <w:rPr>
          <w:rFonts w:eastAsiaTheme="minorHAnsi"/>
          <w:spacing w:val="-4"/>
        </w:rPr>
      </w:pPr>
      <w:r w:rsidRPr="007E4D7B">
        <w:rPr>
          <w:rFonts w:eastAsiaTheme="minorHAnsi"/>
          <w:b/>
          <w:spacing w:val="-4"/>
        </w:rPr>
        <w:t xml:space="preserve">Second round implementation site visits </w:t>
      </w:r>
      <w:r w:rsidR="007935E1" w:rsidRPr="007935E1">
        <w:rPr>
          <w:rFonts w:eastAsiaTheme="minorHAnsi"/>
          <w:spacing w:val="-4"/>
        </w:rPr>
        <w:t>will</w:t>
      </w:r>
      <w:r w:rsidR="007935E1">
        <w:rPr>
          <w:rFonts w:eastAsiaTheme="minorHAnsi"/>
          <w:b/>
          <w:spacing w:val="-4"/>
        </w:rPr>
        <w:t xml:space="preserve"> </w:t>
      </w:r>
      <w:r w:rsidRPr="007D4AB7">
        <w:rPr>
          <w:rFonts w:eastAsiaTheme="minorHAnsi"/>
          <w:spacing w:val="-4"/>
        </w:rPr>
        <w:t xml:space="preserve">occur </w:t>
      </w:r>
      <w:r w:rsidR="0063460A">
        <w:rPr>
          <w:rFonts w:eastAsiaTheme="minorHAnsi"/>
          <w:spacing w:val="-4"/>
        </w:rPr>
        <w:t>in</w:t>
      </w:r>
      <w:r w:rsidR="00594EB9">
        <w:rPr>
          <w:rFonts w:eastAsiaTheme="minorHAnsi"/>
          <w:spacing w:val="-4"/>
        </w:rPr>
        <w:t xml:space="preserve"> </w:t>
      </w:r>
      <w:r w:rsidRPr="007D4AB7">
        <w:rPr>
          <w:rFonts w:eastAsiaTheme="minorHAnsi"/>
          <w:spacing w:val="-4"/>
        </w:rPr>
        <w:t>2019.</w:t>
      </w:r>
    </w:p>
    <w:p w:rsidR="00973B9F" w:rsidRDefault="00973B9F" w:rsidP="00082700">
      <w:pPr>
        <w:pStyle w:val="Bullets"/>
        <w:numPr>
          <w:ilvl w:val="0"/>
          <w:numId w:val="16"/>
        </w:numPr>
        <w:spacing w:after="0"/>
        <w:rPr>
          <w:rFonts w:eastAsiaTheme="minorHAnsi"/>
          <w:spacing w:val="-4"/>
        </w:rPr>
      </w:pPr>
      <w:r>
        <w:rPr>
          <w:rFonts w:eastAsiaTheme="minorHAnsi"/>
          <w:b/>
          <w:spacing w:val="-4"/>
        </w:rPr>
        <w:t xml:space="preserve">Site visits to train the </w:t>
      </w:r>
      <w:r w:rsidR="005A0D6F">
        <w:rPr>
          <w:rFonts w:eastAsiaTheme="minorHAnsi"/>
          <w:b/>
          <w:spacing w:val="-4"/>
        </w:rPr>
        <w:t>employer</w:t>
      </w:r>
      <w:r w:rsidR="00A048F5">
        <w:rPr>
          <w:rFonts w:eastAsiaTheme="minorHAnsi"/>
          <w:b/>
          <w:spacing w:val="-4"/>
        </w:rPr>
        <w:t xml:space="preserve"> outreach</w:t>
      </w:r>
      <w:r w:rsidR="005A0D6F">
        <w:rPr>
          <w:rFonts w:eastAsiaTheme="minorHAnsi"/>
          <w:b/>
          <w:spacing w:val="-4"/>
        </w:rPr>
        <w:t xml:space="preserve"> impact study </w:t>
      </w:r>
      <w:r>
        <w:rPr>
          <w:rFonts w:eastAsiaTheme="minorHAnsi"/>
          <w:b/>
          <w:spacing w:val="-4"/>
        </w:rPr>
        <w:t xml:space="preserve">sites </w:t>
      </w:r>
      <w:r>
        <w:rPr>
          <w:rFonts w:eastAsiaTheme="minorHAnsi"/>
          <w:spacing w:val="-4"/>
        </w:rPr>
        <w:t>will occur in 2018.</w:t>
      </w:r>
    </w:p>
    <w:p w:rsidR="003C0C79" w:rsidRPr="003C0C79" w:rsidRDefault="003C0C79" w:rsidP="00082700">
      <w:pPr>
        <w:pStyle w:val="Bullets"/>
        <w:numPr>
          <w:ilvl w:val="0"/>
          <w:numId w:val="16"/>
        </w:numPr>
        <w:spacing w:after="0"/>
        <w:rPr>
          <w:rFonts w:eastAsiaTheme="minorHAnsi"/>
          <w:spacing w:val="-4"/>
        </w:rPr>
      </w:pPr>
      <w:r>
        <w:rPr>
          <w:rFonts w:eastAsiaTheme="minorHAnsi"/>
          <w:b/>
          <w:spacing w:val="-4"/>
        </w:rPr>
        <w:t xml:space="preserve">The </w:t>
      </w:r>
      <w:r w:rsidR="005A0D6F">
        <w:rPr>
          <w:rFonts w:eastAsiaTheme="minorHAnsi"/>
          <w:b/>
          <w:spacing w:val="-4"/>
        </w:rPr>
        <w:t xml:space="preserve">employer </w:t>
      </w:r>
      <w:r w:rsidR="00A048F5">
        <w:rPr>
          <w:rFonts w:eastAsiaTheme="minorHAnsi"/>
          <w:b/>
          <w:spacing w:val="-4"/>
        </w:rPr>
        <w:t xml:space="preserve">outreach </w:t>
      </w:r>
      <w:r w:rsidR="005A0D6F">
        <w:rPr>
          <w:rFonts w:eastAsiaTheme="minorHAnsi"/>
          <w:b/>
          <w:spacing w:val="-4"/>
        </w:rPr>
        <w:t xml:space="preserve">impact study </w:t>
      </w:r>
      <w:r>
        <w:rPr>
          <w:rFonts w:eastAsiaTheme="minorHAnsi"/>
          <w:b/>
          <w:spacing w:val="-4"/>
        </w:rPr>
        <w:t xml:space="preserve">and associated data collection </w:t>
      </w:r>
      <w:r w:rsidRPr="003C0C79">
        <w:rPr>
          <w:rFonts w:eastAsiaTheme="minorHAnsi"/>
          <w:spacing w:val="-4"/>
        </w:rPr>
        <w:t xml:space="preserve">begins after sites have been trained and continues for </w:t>
      </w:r>
      <w:r w:rsidR="00BD4108">
        <w:rPr>
          <w:rFonts w:eastAsiaTheme="minorHAnsi"/>
          <w:spacing w:val="-4"/>
        </w:rPr>
        <w:t>up to two years.</w:t>
      </w:r>
    </w:p>
    <w:p w:rsidR="009374ED" w:rsidRDefault="00BD4108" w:rsidP="00082700">
      <w:pPr>
        <w:pStyle w:val="Bullets"/>
        <w:numPr>
          <w:ilvl w:val="0"/>
          <w:numId w:val="16"/>
        </w:numPr>
        <w:spacing w:after="0"/>
        <w:rPr>
          <w:rFonts w:eastAsiaTheme="minorHAnsi"/>
          <w:spacing w:val="-4"/>
        </w:rPr>
      </w:pPr>
      <w:r>
        <w:rPr>
          <w:rFonts w:eastAsiaTheme="minorHAnsi"/>
          <w:b/>
          <w:spacing w:val="-4"/>
        </w:rPr>
        <w:t>Grantee survey</w:t>
      </w:r>
      <w:r w:rsidR="009374ED">
        <w:rPr>
          <w:rFonts w:eastAsiaTheme="minorHAnsi"/>
          <w:spacing w:val="-4"/>
        </w:rPr>
        <w:t xml:space="preserve"> </w:t>
      </w:r>
      <w:r w:rsidR="007935E1">
        <w:rPr>
          <w:rFonts w:eastAsiaTheme="minorHAnsi"/>
          <w:spacing w:val="-4"/>
        </w:rPr>
        <w:t xml:space="preserve">will be </w:t>
      </w:r>
      <w:r w:rsidR="009374ED">
        <w:rPr>
          <w:rFonts w:eastAsiaTheme="minorHAnsi"/>
          <w:spacing w:val="-4"/>
        </w:rPr>
        <w:t>administered</w:t>
      </w:r>
      <w:r w:rsidR="00594EB9">
        <w:rPr>
          <w:rFonts w:eastAsiaTheme="minorHAnsi"/>
          <w:spacing w:val="-4"/>
        </w:rPr>
        <w:t xml:space="preserve"> </w:t>
      </w:r>
      <w:r w:rsidR="0063460A">
        <w:rPr>
          <w:rFonts w:eastAsiaTheme="minorHAnsi"/>
          <w:spacing w:val="-4"/>
        </w:rPr>
        <w:t>in</w:t>
      </w:r>
      <w:r w:rsidR="009374ED">
        <w:rPr>
          <w:rFonts w:eastAsiaTheme="minorHAnsi"/>
          <w:spacing w:val="-4"/>
        </w:rPr>
        <w:t xml:space="preserve"> 2018.</w:t>
      </w:r>
    </w:p>
    <w:p w:rsidR="00090B16" w:rsidRPr="007E4D7B" w:rsidRDefault="00090B16" w:rsidP="009374ED">
      <w:pPr>
        <w:pStyle w:val="Bullets"/>
        <w:spacing w:after="0"/>
        <w:rPr>
          <w:rFonts w:eastAsiaTheme="minorHAnsi"/>
          <w:spacing w:val="-4"/>
        </w:rPr>
      </w:pPr>
    </w:p>
    <w:p w:rsidR="00973B9F" w:rsidRPr="007E4D7B" w:rsidRDefault="00973B9F" w:rsidP="009374ED">
      <w:pPr>
        <w:pStyle w:val="Bullets"/>
        <w:spacing w:after="0"/>
        <w:rPr>
          <w:rFonts w:eastAsiaTheme="minorHAnsi"/>
          <w:spacing w:val="-4"/>
        </w:rPr>
      </w:pPr>
      <w:r w:rsidRPr="007E4D7B">
        <w:rPr>
          <w:rFonts w:eastAsiaTheme="minorHAnsi"/>
          <w:spacing w:val="-4"/>
        </w:rPr>
        <w:t>Deliverables for the AAI Evaluation will be completed on the following schedule:</w:t>
      </w:r>
    </w:p>
    <w:p w:rsidR="00973B9F" w:rsidRPr="007E4D7B" w:rsidRDefault="00973B9F" w:rsidP="00082700">
      <w:pPr>
        <w:pStyle w:val="Bullets"/>
        <w:numPr>
          <w:ilvl w:val="0"/>
          <w:numId w:val="17"/>
        </w:numPr>
        <w:spacing w:after="0"/>
        <w:rPr>
          <w:rFonts w:eastAsiaTheme="minorHAnsi"/>
          <w:spacing w:val="-4"/>
        </w:rPr>
      </w:pPr>
      <w:r w:rsidRPr="007E4D7B">
        <w:rPr>
          <w:rFonts w:eastAsiaTheme="minorHAnsi"/>
          <w:b/>
          <w:spacing w:val="-4"/>
        </w:rPr>
        <w:t>Analysis plan</w:t>
      </w:r>
      <w:r w:rsidRPr="007E4D7B">
        <w:rPr>
          <w:rFonts w:eastAsiaTheme="minorHAnsi"/>
          <w:spacing w:val="-4"/>
        </w:rPr>
        <w:t>, which will include a data security plan</w:t>
      </w:r>
      <w:r w:rsidR="0063460A">
        <w:rPr>
          <w:rFonts w:eastAsiaTheme="minorHAnsi"/>
          <w:spacing w:val="-4"/>
        </w:rPr>
        <w:t xml:space="preserve">, will </w:t>
      </w:r>
      <w:r w:rsidRPr="007E4D7B">
        <w:rPr>
          <w:rFonts w:eastAsiaTheme="minorHAnsi"/>
          <w:spacing w:val="-4"/>
        </w:rPr>
        <w:t>be submitted in</w:t>
      </w:r>
      <w:r>
        <w:rPr>
          <w:rFonts w:eastAsiaTheme="minorHAnsi"/>
          <w:spacing w:val="-4"/>
        </w:rPr>
        <w:t xml:space="preserve"> 2018</w:t>
      </w:r>
      <w:r w:rsidRPr="007E4D7B">
        <w:rPr>
          <w:rFonts w:eastAsiaTheme="minorHAnsi"/>
          <w:spacing w:val="-4"/>
        </w:rPr>
        <w:t xml:space="preserve">. </w:t>
      </w:r>
    </w:p>
    <w:p w:rsidR="00973B9F" w:rsidRPr="007E4D7B" w:rsidRDefault="00973B9F" w:rsidP="00082700">
      <w:pPr>
        <w:pStyle w:val="Bullets"/>
        <w:numPr>
          <w:ilvl w:val="0"/>
          <w:numId w:val="17"/>
        </w:numPr>
        <w:spacing w:after="0"/>
        <w:rPr>
          <w:rFonts w:eastAsiaTheme="minorHAnsi"/>
          <w:spacing w:val="-4"/>
        </w:rPr>
      </w:pPr>
      <w:r w:rsidRPr="007E4D7B">
        <w:rPr>
          <w:rFonts w:eastAsiaTheme="minorHAnsi"/>
          <w:b/>
          <w:spacing w:val="-4"/>
        </w:rPr>
        <w:t xml:space="preserve">Interim report, </w:t>
      </w:r>
      <w:r w:rsidRPr="007E4D7B">
        <w:rPr>
          <w:rFonts w:eastAsiaTheme="minorHAnsi"/>
          <w:spacing w:val="-4"/>
        </w:rPr>
        <w:t>summarizing findings from the first round of site visits, preliminary QPR information, and the grantee survey</w:t>
      </w:r>
      <w:r w:rsidR="0063460A">
        <w:rPr>
          <w:rFonts w:eastAsiaTheme="minorHAnsi"/>
          <w:spacing w:val="-4"/>
        </w:rPr>
        <w:t xml:space="preserve"> will be submitted in 2019.</w:t>
      </w:r>
    </w:p>
    <w:p w:rsidR="00973B9F" w:rsidRPr="007E4D7B" w:rsidRDefault="00973B9F" w:rsidP="00082700">
      <w:pPr>
        <w:pStyle w:val="Bullets"/>
        <w:numPr>
          <w:ilvl w:val="0"/>
          <w:numId w:val="17"/>
        </w:numPr>
        <w:spacing w:after="0"/>
        <w:rPr>
          <w:rFonts w:eastAsiaTheme="minorHAnsi"/>
          <w:spacing w:val="-4"/>
        </w:rPr>
      </w:pPr>
      <w:r w:rsidRPr="007E4D7B">
        <w:rPr>
          <w:rFonts w:eastAsiaTheme="minorHAnsi"/>
          <w:b/>
          <w:spacing w:val="-4"/>
        </w:rPr>
        <w:t>Final report,</w:t>
      </w:r>
      <w:r w:rsidRPr="007E4D7B">
        <w:rPr>
          <w:rFonts w:eastAsiaTheme="minorHAnsi"/>
          <w:spacing w:val="-4"/>
        </w:rPr>
        <w:t xml:space="preserve"> including findings from the second round of site visits; the outcomes study using data from the QPR, NDNH, and the participant survey, and the ROI study and </w:t>
      </w:r>
      <w:r w:rsidR="005A0D6F">
        <w:rPr>
          <w:rFonts w:eastAsiaTheme="minorHAnsi"/>
          <w:spacing w:val="-4"/>
        </w:rPr>
        <w:t>employer outreach impact study</w:t>
      </w:r>
      <w:r w:rsidR="0063460A">
        <w:rPr>
          <w:rFonts w:eastAsiaTheme="minorHAnsi"/>
          <w:spacing w:val="-4"/>
        </w:rPr>
        <w:t xml:space="preserve"> will be submitted in 2021</w:t>
      </w:r>
    </w:p>
    <w:p w:rsidR="00137474" w:rsidRPr="000623C6" w:rsidRDefault="00973B9F" w:rsidP="00082700">
      <w:pPr>
        <w:pStyle w:val="Bullets"/>
        <w:numPr>
          <w:ilvl w:val="0"/>
          <w:numId w:val="17"/>
        </w:numPr>
        <w:spacing w:after="0"/>
      </w:pPr>
      <w:r w:rsidRPr="003C0C79">
        <w:rPr>
          <w:rFonts w:eastAsiaTheme="minorHAnsi"/>
          <w:b/>
          <w:spacing w:val="-4"/>
        </w:rPr>
        <w:t xml:space="preserve">Public use or restricted use data file </w:t>
      </w:r>
      <w:r w:rsidRPr="003C0C79">
        <w:rPr>
          <w:rFonts w:eastAsiaTheme="minorHAnsi"/>
          <w:spacing w:val="-4"/>
        </w:rPr>
        <w:t>containing all data collected for the study with personal identifiers removed</w:t>
      </w:r>
      <w:r w:rsidR="0063460A">
        <w:rPr>
          <w:rFonts w:eastAsiaTheme="minorHAnsi"/>
          <w:spacing w:val="-4"/>
        </w:rPr>
        <w:t xml:space="preserve"> will be submitted in</w:t>
      </w:r>
      <w:r w:rsidRPr="003C0C79">
        <w:rPr>
          <w:rFonts w:eastAsiaTheme="minorHAnsi"/>
          <w:spacing w:val="-4"/>
        </w:rPr>
        <w:t xml:space="preserve"> 2021.</w:t>
      </w:r>
    </w:p>
    <w:p w:rsidR="006F299B" w:rsidRPr="004F1FB4" w:rsidRDefault="006F299B" w:rsidP="00137474">
      <w:pPr>
        <w:pStyle w:val="Heading2"/>
      </w:pPr>
      <w:bookmarkStart w:id="17" w:name="_Toc496269659"/>
      <w:r w:rsidRPr="004F1FB4">
        <w:t xml:space="preserve">A17: Reasons not to </w:t>
      </w:r>
      <w:r w:rsidR="00911BD5">
        <w:t>D</w:t>
      </w:r>
      <w:r w:rsidRPr="004F1FB4">
        <w:t>isplay OMB Expiration Date</w:t>
      </w:r>
      <w:bookmarkEnd w:id="17"/>
    </w:p>
    <w:p w:rsidR="006F299B" w:rsidRPr="004F1FB4" w:rsidRDefault="006F299B" w:rsidP="00137474">
      <w:pPr>
        <w:pStyle w:val="BodyText"/>
      </w:pPr>
      <w:r w:rsidRPr="004F1FB4">
        <w:t xml:space="preserve">All instruments created for </w:t>
      </w:r>
      <w:r w:rsidR="00127986">
        <w:t xml:space="preserve">the </w:t>
      </w:r>
      <w:r w:rsidR="00F56F6B">
        <w:t xml:space="preserve">AAI evaluation </w:t>
      </w:r>
      <w:r w:rsidRPr="004F1FB4">
        <w:t>will display the OMB approval number</w:t>
      </w:r>
      <w:r w:rsidR="00F5526E">
        <w:t xml:space="preserve"> and the expiration date for OMB approval</w:t>
      </w:r>
      <w:r w:rsidRPr="004F1FB4">
        <w:t>.</w:t>
      </w:r>
    </w:p>
    <w:p w:rsidR="006F299B" w:rsidRPr="004F1FB4" w:rsidRDefault="006F299B" w:rsidP="00137474">
      <w:pPr>
        <w:pStyle w:val="Heading2"/>
      </w:pPr>
      <w:bookmarkStart w:id="18" w:name="_Toc496269660"/>
      <w:r w:rsidRPr="004F1FB4">
        <w:t>A18: Exceptions to Certification for Paperwork Reduction Act Submissions</w:t>
      </w:r>
      <w:bookmarkEnd w:id="18"/>
    </w:p>
    <w:p w:rsidR="00637A8E" w:rsidRPr="00637A8E" w:rsidRDefault="006F299B" w:rsidP="00AB530E">
      <w:pPr>
        <w:spacing w:after="0" w:line="240" w:lineRule="auto"/>
      </w:pPr>
      <w:r w:rsidRPr="004F1FB4">
        <w:t>No exceptions are necessary for this information collection.</w:t>
      </w:r>
    </w:p>
    <w:sectPr w:rsidR="00637A8E" w:rsidRPr="00637A8E" w:rsidSect="000342B0">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108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95A" w:rsidRDefault="0093595A" w:rsidP="00D979EA">
      <w:r>
        <w:separator/>
      </w:r>
    </w:p>
  </w:endnote>
  <w:endnote w:type="continuationSeparator" w:id="0">
    <w:p w:rsidR="0093595A" w:rsidRDefault="0093595A"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51" w:rsidRDefault="00D656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655186"/>
      <w:docPartObj>
        <w:docPartGallery w:val="Page Numbers (Bottom of Page)"/>
        <w:docPartUnique/>
      </w:docPartObj>
    </w:sdtPr>
    <w:sdtEndPr>
      <w:rPr>
        <w:noProof/>
      </w:rPr>
    </w:sdtEndPr>
    <w:sdtContent>
      <w:p w:rsidR="00B46D23" w:rsidRDefault="00B46D23">
        <w:pPr>
          <w:pStyle w:val="Footer"/>
          <w:jc w:val="right"/>
        </w:pPr>
        <w:r>
          <w:fldChar w:fldCharType="begin"/>
        </w:r>
        <w:r>
          <w:instrText xml:space="preserve"> PAGE   \* MERGEFORMAT </w:instrText>
        </w:r>
        <w:r>
          <w:fldChar w:fldCharType="separate"/>
        </w:r>
        <w:r w:rsidR="008C2BF6">
          <w:rPr>
            <w:noProof/>
          </w:rPr>
          <w:t>2</w:t>
        </w:r>
        <w:r>
          <w:rPr>
            <w:noProof/>
          </w:rPr>
          <w:fldChar w:fldCharType="end"/>
        </w:r>
      </w:p>
    </w:sdtContent>
  </w:sdt>
  <w:p w:rsidR="00212629" w:rsidRPr="0066134E" w:rsidRDefault="00212629" w:rsidP="003F6E89">
    <w:pPr>
      <w:pStyle w:val="Footer"/>
      <w:tabs>
        <w:tab w:val="clear" w:pos="450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169603"/>
      <w:docPartObj>
        <w:docPartGallery w:val="Page Numbers (Bottom of Page)"/>
        <w:docPartUnique/>
      </w:docPartObj>
    </w:sdtPr>
    <w:sdtEndPr>
      <w:rPr>
        <w:noProof/>
      </w:rPr>
    </w:sdtEndPr>
    <w:sdtContent>
      <w:p w:rsidR="00D65651" w:rsidRDefault="00D65651">
        <w:pPr>
          <w:pStyle w:val="Footer"/>
          <w:jc w:val="right"/>
        </w:pPr>
        <w:r>
          <w:fldChar w:fldCharType="begin"/>
        </w:r>
        <w:r>
          <w:instrText xml:space="preserve"> PAGE   \* MERGEFORMAT </w:instrText>
        </w:r>
        <w:r>
          <w:fldChar w:fldCharType="separate"/>
        </w:r>
        <w:r w:rsidR="008C2BF6">
          <w:rPr>
            <w:noProof/>
          </w:rPr>
          <w:t>1</w:t>
        </w:r>
        <w:r>
          <w:rPr>
            <w:noProof/>
          </w:rPr>
          <w:fldChar w:fldCharType="end"/>
        </w:r>
      </w:p>
    </w:sdtContent>
  </w:sdt>
  <w:p w:rsidR="00D65651" w:rsidRDefault="00D65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95A" w:rsidRDefault="0093595A" w:rsidP="00D979EA">
      <w:r>
        <w:separator/>
      </w:r>
    </w:p>
  </w:footnote>
  <w:footnote w:type="continuationSeparator" w:id="0">
    <w:p w:rsidR="0093595A" w:rsidRDefault="0093595A" w:rsidP="00D979EA">
      <w:r>
        <w:continuationSeparator/>
      </w:r>
    </w:p>
  </w:footnote>
  <w:footnote w:id="1">
    <w:p w:rsidR="00212629" w:rsidRDefault="00212629">
      <w:pPr>
        <w:pStyle w:val="FootnoteText"/>
      </w:pPr>
      <w:r>
        <w:rPr>
          <w:rStyle w:val="FootnoteReference"/>
        </w:rPr>
        <w:footnoteRef/>
      </w:r>
      <w:r>
        <w:t xml:space="preserve"> </w:t>
      </w:r>
      <w:r w:rsidRPr="00826631">
        <w:t xml:space="preserve">Department of Labor </w:t>
      </w:r>
      <w:r>
        <w:t>Funding Opportunity Announcement</w:t>
      </w:r>
      <w:r w:rsidRPr="00826631">
        <w:t xml:space="preserve"> </w:t>
      </w:r>
      <w:r>
        <w:t xml:space="preserve">for the American Apprenticeship Initiative Grants </w:t>
      </w:r>
      <w:r w:rsidRPr="00826631">
        <w:t>(</w:t>
      </w:r>
      <w:r>
        <w:t>FOA-ETA-15-02</w:t>
      </w:r>
      <w:r w:rsidRPr="00826631">
        <w:t>)</w:t>
      </w:r>
      <w:r>
        <w:t xml:space="preserve">, </w:t>
      </w:r>
      <w:hyperlink r:id="rId1" w:history="1">
        <w:r w:rsidRPr="00A45D37">
          <w:rPr>
            <w:rStyle w:val="Hyperlink"/>
          </w:rPr>
          <w:t>https://doleta.gov/grants/pdf/FOA-ETA-15-02.pdf</w:t>
        </w:r>
      </w:hyperlink>
    </w:p>
  </w:footnote>
  <w:footnote w:id="2">
    <w:p w:rsidR="00212629" w:rsidRDefault="00212629" w:rsidP="00826631">
      <w:pPr>
        <w:pStyle w:val="FootnoteText"/>
      </w:pPr>
      <w:r>
        <w:rPr>
          <w:rStyle w:val="FootnoteReference"/>
        </w:rPr>
        <w:footnoteRef/>
      </w:r>
      <w:r>
        <w:t xml:space="preserve"> Ibid</w:t>
      </w:r>
    </w:p>
  </w:footnote>
  <w:footnote w:id="3">
    <w:p w:rsidR="00212629" w:rsidRDefault="00212629">
      <w:pPr>
        <w:pStyle w:val="FootnoteText"/>
      </w:pPr>
      <w:r>
        <w:rPr>
          <w:rStyle w:val="FootnoteReference"/>
        </w:rPr>
        <w:footnoteRef/>
      </w:r>
      <w:r>
        <w:t xml:space="preserve"> Presidential Executive Order Expanding Apprenticeships in America, June 15, 2017, </w:t>
      </w:r>
      <w:r w:rsidRPr="000C0305">
        <w:t>https://www.whitehouse.gov/the-press-office/2017/06/15/presidential-executive-order-expanding-apprenticeships-america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51" w:rsidRDefault="00D656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51" w:rsidRPr="00BD045C" w:rsidRDefault="00D65651" w:rsidP="00D65651">
    <w:pPr>
      <w:pStyle w:val="Header"/>
      <w:spacing w:after="0"/>
      <w:rPr>
        <w:rFonts w:ascii="Times New Roman" w:hAnsi="Times New Roman"/>
        <w:color w:val="auto"/>
        <w:sz w:val="24"/>
        <w:szCs w:val="24"/>
      </w:rPr>
    </w:pPr>
    <w:r w:rsidRPr="00BD045C">
      <w:rPr>
        <w:rFonts w:ascii="Times New Roman" w:hAnsi="Times New Roman"/>
        <w:color w:val="auto"/>
        <w:sz w:val="24"/>
        <w:szCs w:val="24"/>
      </w:rPr>
      <w:t>Evaluation of the American Apprenticeship Initiative</w:t>
    </w:r>
  </w:p>
  <w:p w:rsidR="00D65651" w:rsidRPr="00D65651" w:rsidRDefault="00D65651" w:rsidP="00D65651">
    <w:pPr>
      <w:pStyle w:val="Header"/>
      <w:spacing w:after="0"/>
      <w:rPr>
        <w:rFonts w:ascii="Times New Roman" w:hAnsi="Times New Roman"/>
        <w:color w:val="auto"/>
        <w:sz w:val="24"/>
        <w:szCs w:val="24"/>
      </w:rPr>
    </w:pPr>
    <w:r w:rsidRPr="00D65651">
      <w:rPr>
        <w:rFonts w:ascii="Times New Roman" w:hAnsi="Times New Roman"/>
        <w:color w:val="auto"/>
        <w:sz w:val="24"/>
        <w:szCs w:val="24"/>
      </w:rPr>
      <w:t xml:space="preserve">ICR Reference Number </w:t>
    </w:r>
    <w:r w:rsidRPr="00D65651">
      <w:rPr>
        <w:rFonts w:ascii="Times New Roman" w:hAnsi="Times New Roman"/>
        <w:color w:val="000000"/>
        <w:sz w:val="24"/>
        <w:szCs w:val="24"/>
      </w:rPr>
      <w:t>201802-1290-002</w:t>
    </w:r>
  </w:p>
  <w:p w:rsidR="00D65651" w:rsidRDefault="00D65651" w:rsidP="00D65651">
    <w:pPr>
      <w:pStyle w:val="Header"/>
      <w:spacing w:after="0"/>
      <w:rPr>
        <w:rFonts w:ascii="Times New Roman" w:hAnsi="Times New Roman"/>
        <w:color w:val="auto"/>
        <w:sz w:val="24"/>
        <w:szCs w:val="24"/>
      </w:rPr>
    </w:pPr>
    <w:r>
      <w:rPr>
        <w:rFonts w:ascii="Times New Roman" w:hAnsi="Times New Roman"/>
        <w:color w:val="auto"/>
        <w:sz w:val="24"/>
        <w:szCs w:val="24"/>
      </w:rPr>
      <w:t>August</w:t>
    </w:r>
    <w:r w:rsidRPr="00BD045C">
      <w:rPr>
        <w:rFonts w:ascii="Times New Roman" w:hAnsi="Times New Roman"/>
        <w:color w:val="auto"/>
        <w:sz w:val="24"/>
        <w:szCs w:val="24"/>
      </w:rPr>
      <w:t xml:space="preserve"> 2018</w:t>
    </w:r>
  </w:p>
  <w:p w:rsidR="00E614F5" w:rsidRPr="00BD045C" w:rsidRDefault="00E614F5" w:rsidP="00D65651">
    <w:pPr>
      <w:pStyle w:val="Header"/>
      <w:spacing w:after="0"/>
      <w:rPr>
        <w:rFonts w:ascii="Times New Roman" w:hAnsi="Times New Roman"/>
        <w:color w:val="auto"/>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2B0" w:rsidRPr="00BD045C" w:rsidRDefault="000342B0" w:rsidP="00082700">
    <w:pPr>
      <w:pStyle w:val="Header"/>
      <w:spacing w:after="0"/>
      <w:rPr>
        <w:rFonts w:ascii="Times New Roman" w:hAnsi="Times New Roman"/>
        <w:color w:val="auto"/>
        <w:sz w:val="24"/>
        <w:szCs w:val="24"/>
      </w:rPr>
    </w:pPr>
    <w:r w:rsidRPr="00BD045C">
      <w:rPr>
        <w:rFonts w:ascii="Times New Roman" w:hAnsi="Times New Roman"/>
        <w:color w:val="auto"/>
        <w:sz w:val="24"/>
        <w:szCs w:val="24"/>
      </w:rPr>
      <w:t>Evaluation of the American Apprenticeship Initiative</w:t>
    </w:r>
  </w:p>
  <w:p w:rsidR="000342B0" w:rsidRPr="00D65651" w:rsidRDefault="00D65651" w:rsidP="00082700">
    <w:pPr>
      <w:pStyle w:val="Header"/>
      <w:spacing w:after="0"/>
      <w:rPr>
        <w:rFonts w:ascii="Times New Roman" w:hAnsi="Times New Roman"/>
        <w:color w:val="auto"/>
        <w:sz w:val="24"/>
        <w:szCs w:val="24"/>
      </w:rPr>
    </w:pPr>
    <w:r w:rsidRPr="00D65651">
      <w:rPr>
        <w:rFonts w:ascii="Times New Roman" w:hAnsi="Times New Roman"/>
        <w:color w:val="auto"/>
        <w:sz w:val="24"/>
        <w:szCs w:val="24"/>
      </w:rPr>
      <w:t xml:space="preserve">ICR Reference Number </w:t>
    </w:r>
    <w:r w:rsidRPr="00D65651">
      <w:rPr>
        <w:rFonts w:ascii="Times New Roman" w:hAnsi="Times New Roman"/>
        <w:color w:val="000000"/>
        <w:sz w:val="24"/>
        <w:szCs w:val="24"/>
      </w:rPr>
      <w:t>201802-1290-002</w:t>
    </w:r>
  </w:p>
  <w:p w:rsidR="000342B0" w:rsidRDefault="00D65651" w:rsidP="00082700">
    <w:pPr>
      <w:pStyle w:val="Header"/>
      <w:spacing w:after="0"/>
      <w:rPr>
        <w:rFonts w:ascii="Times New Roman" w:hAnsi="Times New Roman"/>
        <w:color w:val="auto"/>
        <w:sz w:val="24"/>
        <w:szCs w:val="24"/>
      </w:rPr>
    </w:pPr>
    <w:r>
      <w:rPr>
        <w:rFonts w:ascii="Times New Roman" w:hAnsi="Times New Roman"/>
        <w:color w:val="auto"/>
        <w:sz w:val="24"/>
        <w:szCs w:val="24"/>
      </w:rPr>
      <w:t>August</w:t>
    </w:r>
    <w:r w:rsidR="000342B0" w:rsidRPr="00BD045C">
      <w:rPr>
        <w:rFonts w:ascii="Times New Roman" w:hAnsi="Times New Roman"/>
        <w:color w:val="auto"/>
        <w:sz w:val="24"/>
        <w:szCs w:val="24"/>
      </w:rPr>
      <w:t xml:space="preserve"> 2018</w:t>
    </w:r>
  </w:p>
  <w:p w:rsidR="00D65651" w:rsidRDefault="00D65651" w:rsidP="00082700">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1249"/>
    <w:multiLevelType w:val="hybridMultilevel"/>
    <w:tmpl w:val="3BB6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429B8"/>
    <w:multiLevelType w:val="hybridMultilevel"/>
    <w:tmpl w:val="897E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B5DE9"/>
    <w:multiLevelType w:val="hybridMultilevel"/>
    <w:tmpl w:val="0D92F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B2E85"/>
    <w:multiLevelType w:val="hybridMultilevel"/>
    <w:tmpl w:val="1370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nsid w:val="2BF101CF"/>
    <w:multiLevelType w:val="hybridMultilevel"/>
    <w:tmpl w:val="1F0E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E68F2"/>
    <w:multiLevelType w:val="hybridMultilevel"/>
    <w:tmpl w:val="D0C8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D257D1"/>
    <w:multiLevelType w:val="hybridMultilevel"/>
    <w:tmpl w:val="613A832A"/>
    <w:lvl w:ilvl="0" w:tplc="04090001">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407843"/>
    <w:multiLevelType w:val="hybridMultilevel"/>
    <w:tmpl w:val="0A000708"/>
    <w:lvl w:ilvl="0" w:tplc="0BA4D55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4D6F45"/>
    <w:multiLevelType w:val="hybridMultilevel"/>
    <w:tmpl w:val="D2E65AFA"/>
    <w:lvl w:ilvl="0" w:tplc="04090001">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CE7B31"/>
    <w:multiLevelType w:val="hybridMultilevel"/>
    <w:tmpl w:val="AF4ED6B8"/>
    <w:lvl w:ilvl="0" w:tplc="123CC53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A4C5FC8"/>
    <w:multiLevelType w:val="hybridMultilevel"/>
    <w:tmpl w:val="6ED6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AD06C3"/>
    <w:multiLevelType w:val="hybridMultilevel"/>
    <w:tmpl w:val="1370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B27129"/>
    <w:multiLevelType w:val="hybridMultilevel"/>
    <w:tmpl w:val="0F3600F8"/>
    <w:lvl w:ilvl="0" w:tplc="4D0894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8">
    <w:nsid w:val="7B652618"/>
    <w:multiLevelType w:val="hybridMultilevel"/>
    <w:tmpl w:val="1370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9"/>
  </w:num>
  <w:num w:numId="4">
    <w:abstractNumId w:val="19"/>
  </w:num>
  <w:num w:numId="5">
    <w:abstractNumId w:val="10"/>
  </w:num>
  <w:num w:numId="6">
    <w:abstractNumId w:val="15"/>
  </w:num>
  <w:num w:numId="7">
    <w:abstractNumId w:val="8"/>
  </w:num>
  <w:num w:numId="8">
    <w:abstractNumId w:val="5"/>
  </w:num>
  <w:num w:numId="9">
    <w:abstractNumId w:val="12"/>
  </w:num>
  <w:num w:numId="10">
    <w:abstractNumId w:val="13"/>
  </w:num>
  <w:num w:numId="11">
    <w:abstractNumId w:val="1"/>
  </w:num>
  <w:num w:numId="12">
    <w:abstractNumId w:val="2"/>
  </w:num>
  <w:num w:numId="13">
    <w:abstractNumId w:val="11"/>
  </w:num>
  <w:num w:numId="14">
    <w:abstractNumId w:val="7"/>
  </w:num>
  <w:num w:numId="15">
    <w:abstractNumId w:val="16"/>
  </w:num>
  <w:num w:numId="16">
    <w:abstractNumId w:val="0"/>
  </w:num>
  <w:num w:numId="17">
    <w:abstractNumId w:val="14"/>
  </w:num>
  <w:num w:numId="18">
    <w:abstractNumId w:val="3"/>
  </w:num>
  <w:num w:numId="19">
    <w:abstractNumId w:val="18"/>
  </w:num>
  <w:num w:numId="2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024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FE9"/>
    <w:rsid w:val="00003A2C"/>
    <w:rsid w:val="00006B3A"/>
    <w:rsid w:val="00012399"/>
    <w:rsid w:val="000134AE"/>
    <w:rsid w:val="000136F3"/>
    <w:rsid w:val="000138DA"/>
    <w:rsid w:val="00016E17"/>
    <w:rsid w:val="00020CBB"/>
    <w:rsid w:val="0002185C"/>
    <w:rsid w:val="0002216E"/>
    <w:rsid w:val="00025699"/>
    <w:rsid w:val="00027256"/>
    <w:rsid w:val="000313F8"/>
    <w:rsid w:val="000316BD"/>
    <w:rsid w:val="00031710"/>
    <w:rsid w:val="00032DA6"/>
    <w:rsid w:val="000342B0"/>
    <w:rsid w:val="00035A33"/>
    <w:rsid w:val="00036ECE"/>
    <w:rsid w:val="00037945"/>
    <w:rsid w:val="00040E00"/>
    <w:rsid w:val="000442CF"/>
    <w:rsid w:val="00046728"/>
    <w:rsid w:val="000479D6"/>
    <w:rsid w:val="000525E0"/>
    <w:rsid w:val="00053A7F"/>
    <w:rsid w:val="00053EEF"/>
    <w:rsid w:val="000543DC"/>
    <w:rsid w:val="00055022"/>
    <w:rsid w:val="0005750B"/>
    <w:rsid w:val="0006045E"/>
    <w:rsid w:val="0006161D"/>
    <w:rsid w:val="000623C6"/>
    <w:rsid w:val="0006310C"/>
    <w:rsid w:val="0006587B"/>
    <w:rsid w:val="00065954"/>
    <w:rsid w:val="00070322"/>
    <w:rsid w:val="000713DF"/>
    <w:rsid w:val="00071E36"/>
    <w:rsid w:val="000748B6"/>
    <w:rsid w:val="0007783C"/>
    <w:rsid w:val="0008244A"/>
    <w:rsid w:val="000824CD"/>
    <w:rsid w:val="00082700"/>
    <w:rsid w:val="00082D01"/>
    <w:rsid w:val="0008447D"/>
    <w:rsid w:val="00087856"/>
    <w:rsid w:val="000902AA"/>
    <w:rsid w:val="00090B16"/>
    <w:rsid w:val="00091B24"/>
    <w:rsid w:val="00094305"/>
    <w:rsid w:val="000950AD"/>
    <w:rsid w:val="00095D40"/>
    <w:rsid w:val="000A00A2"/>
    <w:rsid w:val="000A148F"/>
    <w:rsid w:val="000A1C6D"/>
    <w:rsid w:val="000A4019"/>
    <w:rsid w:val="000A4C91"/>
    <w:rsid w:val="000A61EF"/>
    <w:rsid w:val="000A7D69"/>
    <w:rsid w:val="000B0A91"/>
    <w:rsid w:val="000B0CBB"/>
    <w:rsid w:val="000B2AA8"/>
    <w:rsid w:val="000B33D1"/>
    <w:rsid w:val="000B49D6"/>
    <w:rsid w:val="000B49FE"/>
    <w:rsid w:val="000C0305"/>
    <w:rsid w:val="000C0A39"/>
    <w:rsid w:val="000C130C"/>
    <w:rsid w:val="000C2597"/>
    <w:rsid w:val="000C3040"/>
    <w:rsid w:val="000C484C"/>
    <w:rsid w:val="000C7A9F"/>
    <w:rsid w:val="000D0179"/>
    <w:rsid w:val="000D53F1"/>
    <w:rsid w:val="000D5777"/>
    <w:rsid w:val="000D7B7E"/>
    <w:rsid w:val="000E322C"/>
    <w:rsid w:val="000E6099"/>
    <w:rsid w:val="000E6B75"/>
    <w:rsid w:val="000E71AE"/>
    <w:rsid w:val="000F0DE4"/>
    <w:rsid w:val="000F47B7"/>
    <w:rsid w:val="000F53F4"/>
    <w:rsid w:val="000F5D80"/>
    <w:rsid w:val="00100EBF"/>
    <w:rsid w:val="001034D7"/>
    <w:rsid w:val="00104F2A"/>
    <w:rsid w:val="00107A04"/>
    <w:rsid w:val="0011170B"/>
    <w:rsid w:val="00111CB5"/>
    <w:rsid w:val="0011314C"/>
    <w:rsid w:val="0011489C"/>
    <w:rsid w:val="001178CA"/>
    <w:rsid w:val="00122BD8"/>
    <w:rsid w:val="001233E3"/>
    <w:rsid w:val="0012769F"/>
    <w:rsid w:val="00127986"/>
    <w:rsid w:val="001307A5"/>
    <w:rsid w:val="001354F8"/>
    <w:rsid w:val="00137474"/>
    <w:rsid w:val="00143884"/>
    <w:rsid w:val="001467ED"/>
    <w:rsid w:val="00151C44"/>
    <w:rsid w:val="00152153"/>
    <w:rsid w:val="001532D9"/>
    <w:rsid w:val="00156D22"/>
    <w:rsid w:val="0015796A"/>
    <w:rsid w:val="00157E04"/>
    <w:rsid w:val="00160657"/>
    <w:rsid w:val="00160B87"/>
    <w:rsid w:val="00162B5E"/>
    <w:rsid w:val="00165D9F"/>
    <w:rsid w:val="001677DC"/>
    <w:rsid w:val="00170CF9"/>
    <w:rsid w:val="00172119"/>
    <w:rsid w:val="001746D2"/>
    <w:rsid w:val="00177861"/>
    <w:rsid w:val="001817ED"/>
    <w:rsid w:val="00181BDA"/>
    <w:rsid w:val="001845BD"/>
    <w:rsid w:val="001855D2"/>
    <w:rsid w:val="00185D62"/>
    <w:rsid w:val="001960DE"/>
    <w:rsid w:val="00197C7B"/>
    <w:rsid w:val="001A04CE"/>
    <w:rsid w:val="001A0E0A"/>
    <w:rsid w:val="001A12C0"/>
    <w:rsid w:val="001A23B5"/>
    <w:rsid w:val="001A3848"/>
    <w:rsid w:val="001A403F"/>
    <w:rsid w:val="001A4633"/>
    <w:rsid w:val="001A63B4"/>
    <w:rsid w:val="001A6A05"/>
    <w:rsid w:val="001B0352"/>
    <w:rsid w:val="001B059C"/>
    <w:rsid w:val="001B0C68"/>
    <w:rsid w:val="001B4509"/>
    <w:rsid w:val="001B4E64"/>
    <w:rsid w:val="001B6DE2"/>
    <w:rsid w:val="001B7472"/>
    <w:rsid w:val="001C036E"/>
    <w:rsid w:val="001C0891"/>
    <w:rsid w:val="001C10AF"/>
    <w:rsid w:val="001C2C73"/>
    <w:rsid w:val="001C4CE6"/>
    <w:rsid w:val="001D4FDD"/>
    <w:rsid w:val="001D69EB"/>
    <w:rsid w:val="001E1963"/>
    <w:rsid w:val="001E209C"/>
    <w:rsid w:val="001E2CF1"/>
    <w:rsid w:val="001E2E53"/>
    <w:rsid w:val="001F0A6B"/>
    <w:rsid w:val="001F298C"/>
    <w:rsid w:val="001F3901"/>
    <w:rsid w:val="001F49BF"/>
    <w:rsid w:val="001F5CEF"/>
    <w:rsid w:val="001F7AEF"/>
    <w:rsid w:val="00200E58"/>
    <w:rsid w:val="00203B5F"/>
    <w:rsid w:val="002064D3"/>
    <w:rsid w:val="002106BF"/>
    <w:rsid w:val="00212629"/>
    <w:rsid w:val="00214E35"/>
    <w:rsid w:val="00216203"/>
    <w:rsid w:val="00216B09"/>
    <w:rsid w:val="002176B8"/>
    <w:rsid w:val="00220A36"/>
    <w:rsid w:val="002216AD"/>
    <w:rsid w:val="00221D99"/>
    <w:rsid w:val="00222854"/>
    <w:rsid w:val="00223A9F"/>
    <w:rsid w:val="002251AA"/>
    <w:rsid w:val="0022674D"/>
    <w:rsid w:val="00227977"/>
    <w:rsid w:val="0023449A"/>
    <w:rsid w:val="00235CB8"/>
    <w:rsid w:val="00235F88"/>
    <w:rsid w:val="0023653E"/>
    <w:rsid w:val="002365E4"/>
    <w:rsid w:val="00237050"/>
    <w:rsid w:val="00237D54"/>
    <w:rsid w:val="00241772"/>
    <w:rsid w:val="00243E0A"/>
    <w:rsid w:val="002477D8"/>
    <w:rsid w:val="00251F31"/>
    <w:rsid w:val="0025208E"/>
    <w:rsid w:val="00255975"/>
    <w:rsid w:val="00264F35"/>
    <w:rsid w:val="00265CA5"/>
    <w:rsid w:val="002702F7"/>
    <w:rsid w:val="0027066D"/>
    <w:rsid w:val="00272633"/>
    <w:rsid w:val="00272F18"/>
    <w:rsid w:val="00273EAA"/>
    <w:rsid w:val="00273FC1"/>
    <w:rsid w:val="00275398"/>
    <w:rsid w:val="00276702"/>
    <w:rsid w:val="0028328D"/>
    <w:rsid w:val="002838F5"/>
    <w:rsid w:val="00284865"/>
    <w:rsid w:val="00285BB6"/>
    <w:rsid w:val="00287183"/>
    <w:rsid w:val="0029491C"/>
    <w:rsid w:val="00295A2B"/>
    <w:rsid w:val="00295C47"/>
    <w:rsid w:val="00296512"/>
    <w:rsid w:val="00296F1B"/>
    <w:rsid w:val="002A345A"/>
    <w:rsid w:val="002A383E"/>
    <w:rsid w:val="002A4078"/>
    <w:rsid w:val="002A5CE0"/>
    <w:rsid w:val="002A65EF"/>
    <w:rsid w:val="002B2F3C"/>
    <w:rsid w:val="002B5EC4"/>
    <w:rsid w:val="002C003C"/>
    <w:rsid w:val="002C32AB"/>
    <w:rsid w:val="002C3974"/>
    <w:rsid w:val="002C41F9"/>
    <w:rsid w:val="002C4495"/>
    <w:rsid w:val="002C49BD"/>
    <w:rsid w:val="002C5AC8"/>
    <w:rsid w:val="002C6C06"/>
    <w:rsid w:val="002C76AB"/>
    <w:rsid w:val="002D2EC2"/>
    <w:rsid w:val="002D33CD"/>
    <w:rsid w:val="002D4536"/>
    <w:rsid w:val="002D6268"/>
    <w:rsid w:val="002E235A"/>
    <w:rsid w:val="002E310E"/>
    <w:rsid w:val="002E65B6"/>
    <w:rsid w:val="002F2C61"/>
    <w:rsid w:val="002F38F6"/>
    <w:rsid w:val="002F48C8"/>
    <w:rsid w:val="002F55CE"/>
    <w:rsid w:val="002F6E62"/>
    <w:rsid w:val="002F6ED3"/>
    <w:rsid w:val="002F71E0"/>
    <w:rsid w:val="002F76F5"/>
    <w:rsid w:val="002F7718"/>
    <w:rsid w:val="00300006"/>
    <w:rsid w:val="00301663"/>
    <w:rsid w:val="00302A2C"/>
    <w:rsid w:val="00303246"/>
    <w:rsid w:val="00306F00"/>
    <w:rsid w:val="00310C8D"/>
    <w:rsid w:val="00314A8A"/>
    <w:rsid w:val="00320DF6"/>
    <w:rsid w:val="00324EC2"/>
    <w:rsid w:val="003279F2"/>
    <w:rsid w:val="003319CD"/>
    <w:rsid w:val="00331A40"/>
    <w:rsid w:val="003336BC"/>
    <w:rsid w:val="0033439F"/>
    <w:rsid w:val="003405BC"/>
    <w:rsid w:val="00342BA9"/>
    <w:rsid w:val="003432B2"/>
    <w:rsid w:val="003455BC"/>
    <w:rsid w:val="003456D5"/>
    <w:rsid w:val="00346F17"/>
    <w:rsid w:val="003474EF"/>
    <w:rsid w:val="0035287D"/>
    <w:rsid w:val="00354503"/>
    <w:rsid w:val="00354D96"/>
    <w:rsid w:val="0035764D"/>
    <w:rsid w:val="003623F0"/>
    <w:rsid w:val="00362E83"/>
    <w:rsid w:val="003632E7"/>
    <w:rsid w:val="0036626F"/>
    <w:rsid w:val="003676F5"/>
    <w:rsid w:val="00370164"/>
    <w:rsid w:val="003708BF"/>
    <w:rsid w:val="003711CD"/>
    <w:rsid w:val="0037492E"/>
    <w:rsid w:val="00374B7F"/>
    <w:rsid w:val="003801B8"/>
    <w:rsid w:val="00380DB1"/>
    <w:rsid w:val="003815BA"/>
    <w:rsid w:val="00381CB8"/>
    <w:rsid w:val="00383B62"/>
    <w:rsid w:val="00383BFC"/>
    <w:rsid w:val="00384611"/>
    <w:rsid w:val="00384A23"/>
    <w:rsid w:val="00384CA0"/>
    <w:rsid w:val="003861CC"/>
    <w:rsid w:val="00386F09"/>
    <w:rsid w:val="003870BA"/>
    <w:rsid w:val="00395A89"/>
    <w:rsid w:val="0039723E"/>
    <w:rsid w:val="003A0028"/>
    <w:rsid w:val="003A17F4"/>
    <w:rsid w:val="003A2FA8"/>
    <w:rsid w:val="003A3403"/>
    <w:rsid w:val="003B1284"/>
    <w:rsid w:val="003B2D59"/>
    <w:rsid w:val="003B4770"/>
    <w:rsid w:val="003B51EC"/>
    <w:rsid w:val="003B7D8F"/>
    <w:rsid w:val="003C0C79"/>
    <w:rsid w:val="003C20BF"/>
    <w:rsid w:val="003C3A85"/>
    <w:rsid w:val="003C3DC4"/>
    <w:rsid w:val="003C712F"/>
    <w:rsid w:val="003D3131"/>
    <w:rsid w:val="003D3755"/>
    <w:rsid w:val="003D5616"/>
    <w:rsid w:val="003E3004"/>
    <w:rsid w:val="003E42C4"/>
    <w:rsid w:val="003E5E99"/>
    <w:rsid w:val="003E666B"/>
    <w:rsid w:val="003E786B"/>
    <w:rsid w:val="003F0A71"/>
    <w:rsid w:val="003F35DA"/>
    <w:rsid w:val="003F3E19"/>
    <w:rsid w:val="003F42FD"/>
    <w:rsid w:val="003F4F89"/>
    <w:rsid w:val="003F6E89"/>
    <w:rsid w:val="00403643"/>
    <w:rsid w:val="00403F96"/>
    <w:rsid w:val="004107BC"/>
    <w:rsid w:val="0041084F"/>
    <w:rsid w:val="00410856"/>
    <w:rsid w:val="00413244"/>
    <w:rsid w:val="00413A77"/>
    <w:rsid w:val="00415670"/>
    <w:rsid w:val="004168FF"/>
    <w:rsid w:val="004179F2"/>
    <w:rsid w:val="00421446"/>
    <w:rsid w:val="00422EFA"/>
    <w:rsid w:val="00423092"/>
    <w:rsid w:val="00424637"/>
    <w:rsid w:val="004253E8"/>
    <w:rsid w:val="00426B73"/>
    <w:rsid w:val="00427EA9"/>
    <w:rsid w:val="00431693"/>
    <w:rsid w:val="004319BC"/>
    <w:rsid w:val="004350B0"/>
    <w:rsid w:val="004356E5"/>
    <w:rsid w:val="00436608"/>
    <w:rsid w:val="00436CE5"/>
    <w:rsid w:val="00442186"/>
    <w:rsid w:val="00446B08"/>
    <w:rsid w:val="004538B1"/>
    <w:rsid w:val="00454100"/>
    <w:rsid w:val="0045437A"/>
    <w:rsid w:val="00454ECF"/>
    <w:rsid w:val="00460B4D"/>
    <w:rsid w:val="004627AE"/>
    <w:rsid w:val="00467274"/>
    <w:rsid w:val="00470AB4"/>
    <w:rsid w:val="00470D4B"/>
    <w:rsid w:val="00472E16"/>
    <w:rsid w:val="004734DF"/>
    <w:rsid w:val="004736EB"/>
    <w:rsid w:val="0047466C"/>
    <w:rsid w:val="00486943"/>
    <w:rsid w:val="00495B91"/>
    <w:rsid w:val="004A38F1"/>
    <w:rsid w:val="004A4B04"/>
    <w:rsid w:val="004A5408"/>
    <w:rsid w:val="004A5FEA"/>
    <w:rsid w:val="004B2DA1"/>
    <w:rsid w:val="004B523A"/>
    <w:rsid w:val="004B630F"/>
    <w:rsid w:val="004B6EA5"/>
    <w:rsid w:val="004C18DF"/>
    <w:rsid w:val="004C29E5"/>
    <w:rsid w:val="004C2B46"/>
    <w:rsid w:val="004C3C45"/>
    <w:rsid w:val="004C46C4"/>
    <w:rsid w:val="004C5E23"/>
    <w:rsid w:val="004D2258"/>
    <w:rsid w:val="004D2D9A"/>
    <w:rsid w:val="004D4C6D"/>
    <w:rsid w:val="004D5E3A"/>
    <w:rsid w:val="004E0069"/>
    <w:rsid w:val="004E01A4"/>
    <w:rsid w:val="004E506F"/>
    <w:rsid w:val="004E555A"/>
    <w:rsid w:val="004E5B08"/>
    <w:rsid w:val="004F04B4"/>
    <w:rsid w:val="004F2550"/>
    <w:rsid w:val="004F2751"/>
    <w:rsid w:val="004F3A0F"/>
    <w:rsid w:val="004F47C2"/>
    <w:rsid w:val="004F64CD"/>
    <w:rsid w:val="004F6742"/>
    <w:rsid w:val="004F709B"/>
    <w:rsid w:val="00501F7A"/>
    <w:rsid w:val="005026B4"/>
    <w:rsid w:val="00502E9F"/>
    <w:rsid w:val="00503049"/>
    <w:rsid w:val="00511CCB"/>
    <w:rsid w:val="00512DBC"/>
    <w:rsid w:val="00516991"/>
    <w:rsid w:val="00522A15"/>
    <w:rsid w:val="00522A16"/>
    <w:rsid w:val="0052464C"/>
    <w:rsid w:val="0052640E"/>
    <w:rsid w:val="00530B3E"/>
    <w:rsid w:val="00530BAD"/>
    <w:rsid w:val="0053372A"/>
    <w:rsid w:val="00534B03"/>
    <w:rsid w:val="00534C33"/>
    <w:rsid w:val="005350F4"/>
    <w:rsid w:val="00535DE7"/>
    <w:rsid w:val="0053633A"/>
    <w:rsid w:val="00536DB4"/>
    <w:rsid w:val="005376E8"/>
    <w:rsid w:val="0054025D"/>
    <w:rsid w:val="005434E8"/>
    <w:rsid w:val="0054485C"/>
    <w:rsid w:val="0055123E"/>
    <w:rsid w:val="00555E0E"/>
    <w:rsid w:val="0056220B"/>
    <w:rsid w:val="00563383"/>
    <w:rsid w:val="0056570A"/>
    <w:rsid w:val="00574240"/>
    <w:rsid w:val="00574572"/>
    <w:rsid w:val="005745A9"/>
    <w:rsid w:val="0057559B"/>
    <w:rsid w:val="005767A6"/>
    <w:rsid w:val="00576F3F"/>
    <w:rsid w:val="00581C65"/>
    <w:rsid w:val="00581E37"/>
    <w:rsid w:val="00581FFE"/>
    <w:rsid w:val="005846A5"/>
    <w:rsid w:val="00585CA4"/>
    <w:rsid w:val="00593AFC"/>
    <w:rsid w:val="00594EB9"/>
    <w:rsid w:val="005953BD"/>
    <w:rsid w:val="00597948"/>
    <w:rsid w:val="005A0D6F"/>
    <w:rsid w:val="005A270E"/>
    <w:rsid w:val="005A2ABC"/>
    <w:rsid w:val="005A548E"/>
    <w:rsid w:val="005A7049"/>
    <w:rsid w:val="005B0BB3"/>
    <w:rsid w:val="005B1AC5"/>
    <w:rsid w:val="005B1D69"/>
    <w:rsid w:val="005B47F5"/>
    <w:rsid w:val="005B526B"/>
    <w:rsid w:val="005B6A25"/>
    <w:rsid w:val="005B6ACF"/>
    <w:rsid w:val="005C328C"/>
    <w:rsid w:val="005C4647"/>
    <w:rsid w:val="005C5718"/>
    <w:rsid w:val="005D0FF2"/>
    <w:rsid w:val="005D162C"/>
    <w:rsid w:val="005D2347"/>
    <w:rsid w:val="005D44D2"/>
    <w:rsid w:val="005D4DE3"/>
    <w:rsid w:val="005D5991"/>
    <w:rsid w:val="005E0CF2"/>
    <w:rsid w:val="005E1CB3"/>
    <w:rsid w:val="005E2AEA"/>
    <w:rsid w:val="005E6334"/>
    <w:rsid w:val="005E6AC0"/>
    <w:rsid w:val="005E6B70"/>
    <w:rsid w:val="005F5D79"/>
    <w:rsid w:val="00601239"/>
    <w:rsid w:val="00601A42"/>
    <w:rsid w:val="006035AF"/>
    <w:rsid w:val="00610357"/>
    <w:rsid w:val="006103E6"/>
    <w:rsid w:val="00611973"/>
    <w:rsid w:val="006122D8"/>
    <w:rsid w:val="0061247A"/>
    <w:rsid w:val="00612C52"/>
    <w:rsid w:val="00615347"/>
    <w:rsid w:val="006157E6"/>
    <w:rsid w:val="00615938"/>
    <w:rsid w:val="00620AE6"/>
    <w:rsid w:val="00620FF4"/>
    <w:rsid w:val="0063014E"/>
    <w:rsid w:val="00631484"/>
    <w:rsid w:val="00632422"/>
    <w:rsid w:val="00633775"/>
    <w:rsid w:val="0063460A"/>
    <w:rsid w:val="00635E36"/>
    <w:rsid w:val="00636BFC"/>
    <w:rsid w:val="00637A8E"/>
    <w:rsid w:val="00641DD4"/>
    <w:rsid w:val="00646B4B"/>
    <w:rsid w:val="00647889"/>
    <w:rsid w:val="0065112D"/>
    <w:rsid w:val="00651FA9"/>
    <w:rsid w:val="00653E2F"/>
    <w:rsid w:val="00654761"/>
    <w:rsid w:val="0066134E"/>
    <w:rsid w:val="00661705"/>
    <w:rsid w:val="006633F6"/>
    <w:rsid w:val="006679A9"/>
    <w:rsid w:val="00667FCF"/>
    <w:rsid w:val="00673831"/>
    <w:rsid w:val="00674194"/>
    <w:rsid w:val="00674B1F"/>
    <w:rsid w:val="006753FA"/>
    <w:rsid w:val="00675E3E"/>
    <w:rsid w:val="00680394"/>
    <w:rsid w:val="00680750"/>
    <w:rsid w:val="006814BB"/>
    <w:rsid w:val="006840EB"/>
    <w:rsid w:val="006871E5"/>
    <w:rsid w:val="0069100F"/>
    <w:rsid w:val="0069342C"/>
    <w:rsid w:val="006951B9"/>
    <w:rsid w:val="006A0091"/>
    <w:rsid w:val="006A0712"/>
    <w:rsid w:val="006A1DBD"/>
    <w:rsid w:val="006A1F10"/>
    <w:rsid w:val="006A4982"/>
    <w:rsid w:val="006A541C"/>
    <w:rsid w:val="006A5B3B"/>
    <w:rsid w:val="006A5B76"/>
    <w:rsid w:val="006A652D"/>
    <w:rsid w:val="006B1969"/>
    <w:rsid w:val="006B1DA6"/>
    <w:rsid w:val="006B377B"/>
    <w:rsid w:val="006C1BD7"/>
    <w:rsid w:val="006C6103"/>
    <w:rsid w:val="006C7A4C"/>
    <w:rsid w:val="006D0CE1"/>
    <w:rsid w:val="006D0D2D"/>
    <w:rsid w:val="006D406B"/>
    <w:rsid w:val="006D6E50"/>
    <w:rsid w:val="006D7F36"/>
    <w:rsid w:val="006E2AD2"/>
    <w:rsid w:val="006E2B32"/>
    <w:rsid w:val="006E48A6"/>
    <w:rsid w:val="006E6FAA"/>
    <w:rsid w:val="006E730F"/>
    <w:rsid w:val="006F299B"/>
    <w:rsid w:val="006F2B34"/>
    <w:rsid w:val="00704284"/>
    <w:rsid w:val="00704A08"/>
    <w:rsid w:val="007057ED"/>
    <w:rsid w:val="00705B62"/>
    <w:rsid w:val="0070672F"/>
    <w:rsid w:val="00707708"/>
    <w:rsid w:val="007105A6"/>
    <w:rsid w:val="00711C23"/>
    <w:rsid w:val="00715417"/>
    <w:rsid w:val="0071542F"/>
    <w:rsid w:val="00716147"/>
    <w:rsid w:val="007172A2"/>
    <w:rsid w:val="007205E3"/>
    <w:rsid w:val="007216E3"/>
    <w:rsid w:val="00722A2E"/>
    <w:rsid w:val="0072328A"/>
    <w:rsid w:val="00724F52"/>
    <w:rsid w:val="00726DD4"/>
    <w:rsid w:val="00730F56"/>
    <w:rsid w:val="00733C58"/>
    <w:rsid w:val="0073677C"/>
    <w:rsid w:val="0073682E"/>
    <w:rsid w:val="00744C6D"/>
    <w:rsid w:val="00744E2C"/>
    <w:rsid w:val="0075140E"/>
    <w:rsid w:val="00752119"/>
    <w:rsid w:val="00752DE3"/>
    <w:rsid w:val="00754408"/>
    <w:rsid w:val="007560B0"/>
    <w:rsid w:val="00757EE9"/>
    <w:rsid w:val="0076084B"/>
    <w:rsid w:val="00762DD6"/>
    <w:rsid w:val="007631C7"/>
    <w:rsid w:val="00763CCC"/>
    <w:rsid w:val="00764280"/>
    <w:rsid w:val="0076656B"/>
    <w:rsid w:val="007751E3"/>
    <w:rsid w:val="00776C72"/>
    <w:rsid w:val="007772BC"/>
    <w:rsid w:val="007807DC"/>
    <w:rsid w:val="00781B2A"/>
    <w:rsid w:val="0078258F"/>
    <w:rsid w:val="0078327E"/>
    <w:rsid w:val="007846BC"/>
    <w:rsid w:val="00785130"/>
    <w:rsid w:val="007859D7"/>
    <w:rsid w:val="0079015E"/>
    <w:rsid w:val="00790C7A"/>
    <w:rsid w:val="00792131"/>
    <w:rsid w:val="007935E1"/>
    <w:rsid w:val="00794B6E"/>
    <w:rsid w:val="007969A4"/>
    <w:rsid w:val="007A0114"/>
    <w:rsid w:val="007A0B5D"/>
    <w:rsid w:val="007B114D"/>
    <w:rsid w:val="007B1321"/>
    <w:rsid w:val="007B1904"/>
    <w:rsid w:val="007B40FD"/>
    <w:rsid w:val="007B4143"/>
    <w:rsid w:val="007B5E91"/>
    <w:rsid w:val="007C37CC"/>
    <w:rsid w:val="007D02FF"/>
    <w:rsid w:val="007D0999"/>
    <w:rsid w:val="007D4CFC"/>
    <w:rsid w:val="007D6370"/>
    <w:rsid w:val="007E092F"/>
    <w:rsid w:val="007E38DD"/>
    <w:rsid w:val="007E4943"/>
    <w:rsid w:val="007E5112"/>
    <w:rsid w:val="007E5EC0"/>
    <w:rsid w:val="007F17DF"/>
    <w:rsid w:val="007F235B"/>
    <w:rsid w:val="007F3520"/>
    <w:rsid w:val="007F383D"/>
    <w:rsid w:val="007F5CC3"/>
    <w:rsid w:val="007F5DAA"/>
    <w:rsid w:val="007F71DD"/>
    <w:rsid w:val="007F7602"/>
    <w:rsid w:val="007F7C06"/>
    <w:rsid w:val="0080098A"/>
    <w:rsid w:val="008011D6"/>
    <w:rsid w:val="00801761"/>
    <w:rsid w:val="00801885"/>
    <w:rsid w:val="00804589"/>
    <w:rsid w:val="00806539"/>
    <w:rsid w:val="008111EB"/>
    <w:rsid w:val="008130C9"/>
    <w:rsid w:val="00813D02"/>
    <w:rsid w:val="00814833"/>
    <w:rsid w:val="0081715E"/>
    <w:rsid w:val="008171F5"/>
    <w:rsid w:val="0082033D"/>
    <w:rsid w:val="008213EA"/>
    <w:rsid w:val="008222AD"/>
    <w:rsid w:val="00824B92"/>
    <w:rsid w:val="00826631"/>
    <w:rsid w:val="0083104D"/>
    <w:rsid w:val="008349AE"/>
    <w:rsid w:val="00834E0B"/>
    <w:rsid w:val="0084083F"/>
    <w:rsid w:val="00842C2C"/>
    <w:rsid w:val="00842FE3"/>
    <w:rsid w:val="0084427B"/>
    <w:rsid w:val="00844545"/>
    <w:rsid w:val="00846D77"/>
    <w:rsid w:val="00847E3D"/>
    <w:rsid w:val="00852480"/>
    <w:rsid w:val="00856415"/>
    <w:rsid w:val="00856632"/>
    <w:rsid w:val="00857C30"/>
    <w:rsid w:val="008615B4"/>
    <w:rsid w:val="00863502"/>
    <w:rsid w:val="00867308"/>
    <w:rsid w:val="008732C4"/>
    <w:rsid w:val="0088337E"/>
    <w:rsid w:val="00886BFC"/>
    <w:rsid w:val="0089099B"/>
    <w:rsid w:val="00891F62"/>
    <w:rsid w:val="008A06D7"/>
    <w:rsid w:val="008A180F"/>
    <w:rsid w:val="008A35AE"/>
    <w:rsid w:val="008A3BF3"/>
    <w:rsid w:val="008A6A3B"/>
    <w:rsid w:val="008A6EAF"/>
    <w:rsid w:val="008B0543"/>
    <w:rsid w:val="008B13A2"/>
    <w:rsid w:val="008B53EC"/>
    <w:rsid w:val="008B6AE6"/>
    <w:rsid w:val="008B7023"/>
    <w:rsid w:val="008C0888"/>
    <w:rsid w:val="008C2BF6"/>
    <w:rsid w:val="008C303D"/>
    <w:rsid w:val="008C3505"/>
    <w:rsid w:val="008C51C5"/>
    <w:rsid w:val="008C54F7"/>
    <w:rsid w:val="008C750F"/>
    <w:rsid w:val="008D1260"/>
    <w:rsid w:val="008D30EA"/>
    <w:rsid w:val="008D4649"/>
    <w:rsid w:val="008D55C8"/>
    <w:rsid w:val="008D611E"/>
    <w:rsid w:val="008E20DE"/>
    <w:rsid w:val="008E2A56"/>
    <w:rsid w:val="008E7CF0"/>
    <w:rsid w:val="008F0C64"/>
    <w:rsid w:val="008F1770"/>
    <w:rsid w:val="008F2FB5"/>
    <w:rsid w:val="009013C5"/>
    <w:rsid w:val="00901BD5"/>
    <w:rsid w:val="00901EB1"/>
    <w:rsid w:val="009042D4"/>
    <w:rsid w:val="009061A4"/>
    <w:rsid w:val="00911BD5"/>
    <w:rsid w:val="00912E02"/>
    <w:rsid w:val="00912E62"/>
    <w:rsid w:val="00915717"/>
    <w:rsid w:val="0091617E"/>
    <w:rsid w:val="00923623"/>
    <w:rsid w:val="00931283"/>
    <w:rsid w:val="009315EE"/>
    <w:rsid w:val="00932E88"/>
    <w:rsid w:val="0093440F"/>
    <w:rsid w:val="0093595A"/>
    <w:rsid w:val="009374ED"/>
    <w:rsid w:val="00940EF4"/>
    <w:rsid w:val="00942024"/>
    <w:rsid w:val="00944550"/>
    <w:rsid w:val="00950085"/>
    <w:rsid w:val="00950C46"/>
    <w:rsid w:val="009550AD"/>
    <w:rsid w:val="009565D4"/>
    <w:rsid w:val="00960A41"/>
    <w:rsid w:val="00961E10"/>
    <w:rsid w:val="009636CF"/>
    <w:rsid w:val="00964709"/>
    <w:rsid w:val="00964F6A"/>
    <w:rsid w:val="00967D7C"/>
    <w:rsid w:val="00967EDD"/>
    <w:rsid w:val="00970BB6"/>
    <w:rsid w:val="0097214E"/>
    <w:rsid w:val="00972AFF"/>
    <w:rsid w:val="00972B83"/>
    <w:rsid w:val="0097331A"/>
    <w:rsid w:val="00973B9F"/>
    <w:rsid w:val="00975BB7"/>
    <w:rsid w:val="0097600C"/>
    <w:rsid w:val="00977D73"/>
    <w:rsid w:val="00985F4F"/>
    <w:rsid w:val="0099262A"/>
    <w:rsid w:val="0099739B"/>
    <w:rsid w:val="009A025A"/>
    <w:rsid w:val="009A05F3"/>
    <w:rsid w:val="009A09A5"/>
    <w:rsid w:val="009A3057"/>
    <w:rsid w:val="009A6C1A"/>
    <w:rsid w:val="009B0292"/>
    <w:rsid w:val="009B104E"/>
    <w:rsid w:val="009B1E01"/>
    <w:rsid w:val="009B28E3"/>
    <w:rsid w:val="009B56DA"/>
    <w:rsid w:val="009C0B22"/>
    <w:rsid w:val="009C1531"/>
    <w:rsid w:val="009C23A2"/>
    <w:rsid w:val="009C42CD"/>
    <w:rsid w:val="009D13BB"/>
    <w:rsid w:val="009D50EB"/>
    <w:rsid w:val="009D61F4"/>
    <w:rsid w:val="009E32F5"/>
    <w:rsid w:val="009E34AC"/>
    <w:rsid w:val="009E4C83"/>
    <w:rsid w:val="009E5A33"/>
    <w:rsid w:val="009E6279"/>
    <w:rsid w:val="009F1F1A"/>
    <w:rsid w:val="009F2649"/>
    <w:rsid w:val="009F57B6"/>
    <w:rsid w:val="009F6824"/>
    <w:rsid w:val="009F704C"/>
    <w:rsid w:val="00A0215D"/>
    <w:rsid w:val="00A048F5"/>
    <w:rsid w:val="00A06666"/>
    <w:rsid w:val="00A079EF"/>
    <w:rsid w:val="00A07B08"/>
    <w:rsid w:val="00A105E0"/>
    <w:rsid w:val="00A10898"/>
    <w:rsid w:val="00A14268"/>
    <w:rsid w:val="00A14760"/>
    <w:rsid w:val="00A14CAC"/>
    <w:rsid w:val="00A1570F"/>
    <w:rsid w:val="00A20242"/>
    <w:rsid w:val="00A2459F"/>
    <w:rsid w:val="00A24FCA"/>
    <w:rsid w:val="00A255B6"/>
    <w:rsid w:val="00A26BE5"/>
    <w:rsid w:val="00A27534"/>
    <w:rsid w:val="00A3018B"/>
    <w:rsid w:val="00A3128D"/>
    <w:rsid w:val="00A31550"/>
    <w:rsid w:val="00A324EA"/>
    <w:rsid w:val="00A32567"/>
    <w:rsid w:val="00A33A46"/>
    <w:rsid w:val="00A3471F"/>
    <w:rsid w:val="00A45A40"/>
    <w:rsid w:val="00A45B43"/>
    <w:rsid w:val="00A4794A"/>
    <w:rsid w:val="00A5124D"/>
    <w:rsid w:val="00A52527"/>
    <w:rsid w:val="00A533DE"/>
    <w:rsid w:val="00A53D74"/>
    <w:rsid w:val="00A53E2B"/>
    <w:rsid w:val="00A54486"/>
    <w:rsid w:val="00A57779"/>
    <w:rsid w:val="00A61E9E"/>
    <w:rsid w:val="00A638AF"/>
    <w:rsid w:val="00A80010"/>
    <w:rsid w:val="00A80E95"/>
    <w:rsid w:val="00A817CE"/>
    <w:rsid w:val="00A836E8"/>
    <w:rsid w:val="00A850B8"/>
    <w:rsid w:val="00A86FEB"/>
    <w:rsid w:val="00A928FA"/>
    <w:rsid w:val="00A950B5"/>
    <w:rsid w:val="00A9723C"/>
    <w:rsid w:val="00AA08ED"/>
    <w:rsid w:val="00AA4D74"/>
    <w:rsid w:val="00AA7B0B"/>
    <w:rsid w:val="00AB3167"/>
    <w:rsid w:val="00AB32CF"/>
    <w:rsid w:val="00AB4548"/>
    <w:rsid w:val="00AB4BAB"/>
    <w:rsid w:val="00AB530E"/>
    <w:rsid w:val="00AB5B05"/>
    <w:rsid w:val="00AB7637"/>
    <w:rsid w:val="00AB7981"/>
    <w:rsid w:val="00AB7A6D"/>
    <w:rsid w:val="00AC0C31"/>
    <w:rsid w:val="00AC1294"/>
    <w:rsid w:val="00AC50D7"/>
    <w:rsid w:val="00AC59EB"/>
    <w:rsid w:val="00AC627E"/>
    <w:rsid w:val="00AD2235"/>
    <w:rsid w:val="00AD2A2A"/>
    <w:rsid w:val="00AD6564"/>
    <w:rsid w:val="00AD7A8C"/>
    <w:rsid w:val="00AE093E"/>
    <w:rsid w:val="00AE0A04"/>
    <w:rsid w:val="00AF4530"/>
    <w:rsid w:val="00AF46DD"/>
    <w:rsid w:val="00B022FA"/>
    <w:rsid w:val="00B02599"/>
    <w:rsid w:val="00B058CF"/>
    <w:rsid w:val="00B058EE"/>
    <w:rsid w:val="00B05E82"/>
    <w:rsid w:val="00B061B2"/>
    <w:rsid w:val="00B11D0F"/>
    <w:rsid w:val="00B13BCA"/>
    <w:rsid w:val="00B14060"/>
    <w:rsid w:val="00B14813"/>
    <w:rsid w:val="00B16B3C"/>
    <w:rsid w:val="00B22E23"/>
    <w:rsid w:val="00B24BAF"/>
    <w:rsid w:val="00B255B7"/>
    <w:rsid w:val="00B25EE3"/>
    <w:rsid w:val="00B269D4"/>
    <w:rsid w:val="00B26E47"/>
    <w:rsid w:val="00B274EE"/>
    <w:rsid w:val="00B3036C"/>
    <w:rsid w:val="00B32391"/>
    <w:rsid w:val="00B32E92"/>
    <w:rsid w:val="00B3357C"/>
    <w:rsid w:val="00B3414B"/>
    <w:rsid w:val="00B36314"/>
    <w:rsid w:val="00B36809"/>
    <w:rsid w:val="00B36F4B"/>
    <w:rsid w:val="00B43220"/>
    <w:rsid w:val="00B4333B"/>
    <w:rsid w:val="00B45829"/>
    <w:rsid w:val="00B4616C"/>
    <w:rsid w:val="00B46D23"/>
    <w:rsid w:val="00B53ADE"/>
    <w:rsid w:val="00B540BC"/>
    <w:rsid w:val="00B545BD"/>
    <w:rsid w:val="00B574B1"/>
    <w:rsid w:val="00B60011"/>
    <w:rsid w:val="00B61677"/>
    <w:rsid w:val="00B61C4A"/>
    <w:rsid w:val="00B61EC9"/>
    <w:rsid w:val="00B62090"/>
    <w:rsid w:val="00B6232C"/>
    <w:rsid w:val="00B632EE"/>
    <w:rsid w:val="00B63758"/>
    <w:rsid w:val="00B661DB"/>
    <w:rsid w:val="00B679AD"/>
    <w:rsid w:val="00B7123F"/>
    <w:rsid w:val="00B7744A"/>
    <w:rsid w:val="00B8240F"/>
    <w:rsid w:val="00B82A6C"/>
    <w:rsid w:val="00B82D4D"/>
    <w:rsid w:val="00B85092"/>
    <w:rsid w:val="00B8724B"/>
    <w:rsid w:val="00B87A3E"/>
    <w:rsid w:val="00B87EE6"/>
    <w:rsid w:val="00B91B4D"/>
    <w:rsid w:val="00B9260A"/>
    <w:rsid w:val="00B93A0A"/>
    <w:rsid w:val="00B93FF4"/>
    <w:rsid w:val="00B96ABD"/>
    <w:rsid w:val="00B976F9"/>
    <w:rsid w:val="00B97932"/>
    <w:rsid w:val="00BA06C8"/>
    <w:rsid w:val="00BA1708"/>
    <w:rsid w:val="00BA32A1"/>
    <w:rsid w:val="00BA5983"/>
    <w:rsid w:val="00BA690F"/>
    <w:rsid w:val="00BA73C6"/>
    <w:rsid w:val="00BA7BA0"/>
    <w:rsid w:val="00BB5141"/>
    <w:rsid w:val="00BC211B"/>
    <w:rsid w:val="00BC56BD"/>
    <w:rsid w:val="00BD045C"/>
    <w:rsid w:val="00BD05F0"/>
    <w:rsid w:val="00BD3BCF"/>
    <w:rsid w:val="00BD4108"/>
    <w:rsid w:val="00BD42E5"/>
    <w:rsid w:val="00BD67A9"/>
    <w:rsid w:val="00BD6A68"/>
    <w:rsid w:val="00BE02A5"/>
    <w:rsid w:val="00BE0513"/>
    <w:rsid w:val="00BE2D0F"/>
    <w:rsid w:val="00BE711C"/>
    <w:rsid w:val="00BF18DC"/>
    <w:rsid w:val="00BF43F4"/>
    <w:rsid w:val="00C00C24"/>
    <w:rsid w:val="00C026FD"/>
    <w:rsid w:val="00C02B42"/>
    <w:rsid w:val="00C03D52"/>
    <w:rsid w:val="00C04B4F"/>
    <w:rsid w:val="00C10BE3"/>
    <w:rsid w:val="00C13DE2"/>
    <w:rsid w:val="00C14408"/>
    <w:rsid w:val="00C14776"/>
    <w:rsid w:val="00C17BBF"/>
    <w:rsid w:val="00C17F58"/>
    <w:rsid w:val="00C20BE7"/>
    <w:rsid w:val="00C212ED"/>
    <w:rsid w:val="00C27DCC"/>
    <w:rsid w:val="00C307E7"/>
    <w:rsid w:val="00C31331"/>
    <w:rsid w:val="00C31A73"/>
    <w:rsid w:val="00C32D3A"/>
    <w:rsid w:val="00C34A92"/>
    <w:rsid w:val="00C35829"/>
    <w:rsid w:val="00C36533"/>
    <w:rsid w:val="00C370A7"/>
    <w:rsid w:val="00C43356"/>
    <w:rsid w:val="00C45953"/>
    <w:rsid w:val="00C47960"/>
    <w:rsid w:val="00C520A3"/>
    <w:rsid w:val="00C5323F"/>
    <w:rsid w:val="00C57E90"/>
    <w:rsid w:val="00C62E9E"/>
    <w:rsid w:val="00C62F1C"/>
    <w:rsid w:val="00C6380F"/>
    <w:rsid w:val="00C653F8"/>
    <w:rsid w:val="00C65A80"/>
    <w:rsid w:val="00C66B8D"/>
    <w:rsid w:val="00C70B42"/>
    <w:rsid w:val="00C736AD"/>
    <w:rsid w:val="00C74179"/>
    <w:rsid w:val="00C744A3"/>
    <w:rsid w:val="00C81DB5"/>
    <w:rsid w:val="00C837F5"/>
    <w:rsid w:val="00C85F93"/>
    <w:rsid w:val="00C87C20"/>
    <w:rsid w:val="00C900FF"/>
    <w:rsid w:val="00C977A5"/>
    <w:rsid w:val="00CA1003"/>
    <w:rsid w:val="00CA2E0C"/>
    <w:rsid w:val="00CA4AB7"/>
    <w:rsid w:val="00CA69B6"/>
    <w:rsid w:val="00CA7FB3"/>
    <w:rsid w:val="00CB3FC8"/>
    <w:rsid w:val="00CB442A"/>
    <w:rsid w:val="00CB66A6"/>
    <w:rsid w:val="00CB6C1C"/>
    <w:rsid w:val="00CC42E8"/>
    <w:rsid w:val="00CC6182"/>
    <w:rsid w:val="00CC63C0"/>
    <w:rsid w:val="00CD4B2E"/>
    <w:rsid w:val="00CD4DE4"/>
    <w:rsid w:val="00CD5478"/>
    <w:rsid w:val="00CD6527"/>
    <w:rsid w:val="00CD6B3F"/>
    <w:rsid w:val="00CE43BC"/>
    <w:rsid w:val="00CF3E63"/>
    <w:rsid w:val="00CF561E"/>
    <w:rsid w:val="00D00C02"/>
    <w:rsid w:val="00D0273C"/>
    <w:rsid w:val="00D04104"/>
    <w:rsid w:val="00D143BA"/>
    <w:rsid w:val="00D163F0"/>
    <w:rsid w:val="00D20297"/>
    <w:rsid w:val="00D20DD2"/>
    <w:rsid w:val="00D2209F"/>
    <w:rsid w:val="00D3328F"/>
    <w:rsid w:val="00D34EEE"/>
    <w:rsid w:val="00D352A9"/>
    <w:rsid w:val="00D36D71"/>
    <w:rsid w:val="00D36E67"/>
    <w:rsid w:val="00D37213"/>
    <w:rsid w:val="00D37BAF"/>
    <w:rsid w:val="00D40A64"/>
    <w:rsid w:val="00D410AE"/>
    <w:rsid w:val="00D445A6"/>
    <w:rsid w:val="00D46C86"/>
    <w:rsid w:val="00D476F5"/>
    <w:rsid w:val="00D51337"/>
    <w:rsid w:val="00D51B1E"/>
    <w:rsid w:val="00D52184"/>
    <w:rsid w:val="00D545F1"/>
    <w:rsid w:val="00D54E6F"/>
    <w:rsid w:val="00D56B54"/>
    <w:rsid w:val="00D60E8D"/>
    <w:rsid w:val="00D64000"/>
    <w:rsid w:val="00D65651"/>
    <w:rsid w:val="00D70406"/>
    <w:rsid w:val="00D714BD"/>
    <w:rsid w:val="00D71743"/>
    <w:rsid w:val="00D71E5D"/>
    <w:rsid w:val="00D73095"/>
    <w:rsid w:val="00D74A0E"/>
    <w:rsid w:val="00D768B1"/>
    <w:rsid w:val="00D808EA"/>
    <w:rsid w:val="00D836D2"/>
    <w:rsid w:val="00D918A7"/>
    <w:rsid w:val="00D91C3B"/>
    <w:rsid w:val="00D91D62"/>
    <w:rsid w:val="00D925F7"/>
    <w:rsid w:val="00D960FF"/>
    <w:rsid w:val="00D96598"/>
    <w:rsid w:val="00D979EA"/>
    <w:rsid w:val="00DA014B"/>
    <w:rsid w:val="00DA02B9"/>
    <w:rsid w:val="00DA2DB7"/>
    <w:rsid w:val="00DA3CC9"/>
    <w:rsid w:val="00DA42EA"/>
    <w:rsid w:val="00DA4CFD"/>
    <w:rsid w:val="00DA61E6"/>
    <w:rsid w:val="00DA7FEA"/>
    <w:rsid w:val="00DB269B"/>
    <w:rsid w:val="00DB2E3E"/>
    <w:rsid w:val="00DC02B5"/>
    <w:rsid w:val="00DC5C7C"/>
    <w:rsid w:val="00DD27D1"/>
    <w:rsid w:val="00DD2EDE"/>
    <w:rsid w:val="00DD4409"/>
    <w:rsid w:val="00DD5176"/>
    <w:rsid w:val="00DE143B"/>
    <w:rsid w:val="00DE221A"/>
    <w:rsid w:val="00DE2334"/>
    <w:rsid w:val="00DE2962"/>
    <w:rsid w:val="00DE5C1E"/>
    <w:rsid w:val="00DF03BA"/>
    <w:rsid w:val="00DF147B"/>
    <w:rsid w:val="00DF2B83"/>
    <w:rsid w:val="00DF3490"/>
    <w:rsid w:val="00DF599C"/>
    <w:rsid w:val="00DF68F0"/>
    <w:rsid w:val="00DF6CDE"/>
    <w:rsid w:val="00E0113D"/>
    <w:rsid w:val="00E039CB"/>
    <w:rsid w:val="00E065C4"/>
    <w:rsid w:val="00E07F01"/>
    <w:rsid w:val="00E1243B"/>
    <w:rsid w:val="00E1423B"/>
    <w:rsid w:val="00E147D5"/>
    <w:rsid w:val="00E15A93"/>
    <w:rsid w:val="00E16148"/>
    <w:rsid w:val="00E168E7"/>
    <w:rsid w:val="00E20AF1"/>
    <w:rsid w:val="00E30351"/>
    <w:rsid w:val="00E30F5A"/>
    <w:rsid w:val="00E316A8"/>
    <w:rsid w:val="00E317E1"/>
    <w:rsid w:val="00E32DE2"/>
    <w:rsid w:val="00E33231"/>
    <w:rsid w:val="00E33558"/>
    <w:rsid w:val="00E435B5"/>
    <w:rsid w:val="00E438C1"/>
    <w:rsid w:val="00E52158"/>
    <w:rsid w:val="00E569C9"/>
    <w:rsid w:val="00E60C7E"/>
    <w:rsid w:val="00E614F5"/>
    <w:rsid w:val="00E61562"/>
    <w:rsid w:val="00E6186E"/>
    <w:rsid w:val="00E61A98"/>
    <w:rsid w:val="00E70701"/>
    <w:rsid w:val="00E72F03"/>
    <w:rsid w:val="00E73AC8"/>
    <w:rsid w:val="00E73F45"/>
    <w:rsid w:val="00E7429A"/>
    <w:rsid w:val="00E75D89"/>
    <w:rsid w:val="00E7718F"/>
    <w:rsid w:val="00E83880"/>
    <w:rsid w:val="00E84434"/>
    <w:rsid w:val="00E9511F"/>
    <w:rsid w:val="00E9550E"/>
    <w:rsid w:val="00E961CA"/>
    <w:rsid w:val="00EA0512"/>
    <w:rsid w:val="00EA39FE"/>
    <w:rsid w:val="00EA58CC"/>
    <w:rsid w:val="00EB012C"/>
    <w:rsid w:val="00EB0623"/>
    <w:rsid w:val="00EB0E29"/>
    <w:rsid w:val="00EB18F6"/>
    <w:rsid w:val="00EB30F5"/>
    <w:rsid w:val="00EB39E1"/>
    <w:rsid w:val="00EB4A14"/>
    <w:rsid w:val="00EB5299"/>
    <w:rsid w:val="00EB5C8B"/>
    <w:rsid w:val="00EC3CC1"/>
    <w:rsid w:val="00EC3D78"/>
    <w:rsid w:val="00EC47CA"/>
    <w:rsid w:val="00EC5F47"/>
    <w:rsid w:val="00ED263C"/>
    <w:rsid w:val="00ED2A92"/>
    <w:rsid w:val="00ED2B55"/>
    <w:rsid w:val="00ED3BFF"/>
    <w:rsid w:val="00ED4897"/>
    <w:rsid w:val="00ED503D"/>
    <w:rsid w:val="00EE0109"/>
    <w:rsid w:val="00EE11FD"/>
    <w:rsid w:val="00EE1D07"/>
    <w:rsid w:val="00EE2DA2"/>
    <w:rsid w:val="00EE4B98"/>
    <w:rsid w:val="00EE60CC"/>
    <w:rsid w:val="00EF08F9"/>
    <w:rsid w:val="00EF1676"/>
    <w:rsid w:val="00F030AA"/>
    <w:rsid w:val="00F050EB"/>
    <w:rsid w:val="00F0588B"/>
    <w:rsid w:val="00F117FC"/>
    <w:rsid w:val="00F13235"/>
    <w:rsid w:val="00F145E8"/>
    <w:rsid w:val="00F1494E"/>
    <w:rsid w:val="00F14F40"/>
    <w:rsid w:val="00F1567A"/>
    <w:rsid w:val="00F16AAB"/>
    <w:rsid w:val="00F22392"/>
    <w:rsid w:val="00F225CD"/>
    <w:rsid w:val="00F23798"/>
    <w:rsid w:val="00F2532E"/>
    <w:rsid w:val="00F260AC"/>
    <w:rsid w:val="00F268E2"/>
    <w:rsid w:val="00F26DFB"/>
    <w:rsid w:val="00F27043"/>
    <w:rsid w:val="00F30CEF"/>
    <w:rsid w:val="00F31636"/>
    <w:rsid w:val="00F322BA"/>
    <w:rsid w:val="00F327B4"/>
    <w:rsid w:val="00F32C54"/>
    <w:rsid w:val="00F32E6E"/>
    <w:rsid w:val="00F41461"/>
    <w:rsid w:val="00F4263A"/>
    <w:rsid w:val="00F42B60"/>
    <w:rsid w:val="00F47E96"/>
    <w:rsid w:val="00F47F19"/>
    <w:rsid w:val="00F50A3A"/>
    <w:rsid w:val="00F51507"/>
    <w:rsid w:val="00F52785"/>
    <w:rsid w:val="00F530CA"/>
    <w:rsid w:val="00F53625"/>
    <w:rsid w:val="00F53A4C"/>
    <w:rsid w:val="00F5526E"/>
    <w:rsid w:val="00F55EB7"/>
    <w:rsid w:val="00F563C1"/>
    <w:rsid w:val="00F56941"/>
    <w:rsid w:val="00F569E1"/>
    <w:rsid w:val="00F56F6B"/>
    <w:rsid w:val="00F622FE"/>
    <w:rsid w:val="00F62A1E"/>
    <w:rsid w:val="00F64DB9"/>
    <w:rsid w:val="00F65513"/>
    <w:rsid w:val="00F6735F"/>
    <w:rsid w:val="00F676C1"/>
    <w:rsid w:val="00F70022"/>
    <w:rsid w:val="00F70050"/>
    <w:rsid w:val="00F7138F"/>
    <w:rsid w:val="00F82350"/>
    <w:rsid w:val="00F85399"/>
    <w:rsid w:val="00F93183"/>
    <w:rsid w:val="00F93404"/>
    <w:rsid w:val="00F93D3F"/>
    <w:rsid w:val="00F96D00"/>
    <w:rsid w:val="00FA035F"/>
    <w:rsid w:val="00FA2276"/>
    <w:rsid w:val="00FA448D"/>
    <w:rsid w:val="00FA512D"/>
    <w:rsid w:val="00FA686C"/>
    <w:rsid w:val="00FA6932"/>
    <w:rsid w:val="00FA6CEA"/>
    <w:rsid w:val="00FB1945"/>
    <w:rsid w:val="00FB2D88"/>
    <w:rsid w:val="00FB3972"/>
    <w:rsid w:val="00FB70DE"/>
    <w:rsid w:val="00FB78A2"/>
    <w:rsid w:val="00FC0EBA"/>
    <w:rsid w:val="00FC0EDD"/>
    <w:rsid w:val="00FC1805"/>
    <w:rsid w:val="00FC2364"/>
    <w:rsid w:val="00FC2BD1"/>
    <w:rsid w:val="00FC43C9"/>
    <w:rsid w:val="00FC6D87"/>
    <w:rsid w:val="00FC7D6A"/>
    <w:rsid w:val="00FD05BA"/>
    <w:rsid w:val="00FD0B48"/>
    <w:rsid w:val="00FD17C2"/>
    <w:rsid w:val="00FD1D56"/>
    <w:rsid w:val="00FD634F"/>
    <w:rsid w:val="00FE0A7C"/>
    <w:rsid w:val="00FE0F2A"/>
    <w:rsid w:val="00FE2611"/>
    <w:rsid w:val="00FF2067"/>
    <w:rsid w:val="00FF2AB0"/>
    <w:rsid w:val="00FF3001"/>
    <w:rsid w:val="00FF3FFA"/>
    <w:rsid w:val="00FF4B27"/>
    <w:rsid w:val="00FF5F76"/>
    <w:rsid w:val="00FF76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3"/>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3"/>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3"/>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3"/>
      </w:numPr>
      <w:spacing w:before="60" w:after="120"/>
      <w:outlineLvl w:val="4"/>
    </w:pPr>
    <w:rPr>
      <w:b/>
      <w:i/>
      <w:color w:val="DA291C"/>
    </w:rPr>
  </w:style>
  <w:style w:type="paragraph" w:styleId="Heading6">
    <w:name w:val="heading 6"/>
    <w:basedOn w:val="Normal"/>
    <w:next w:val="Normal"/>
    <w:qFormat/>
    <w:rsid w:val="00495B91"/>
    <w:pPr>
      <w:numPr>
        <w:ilvl w:val="5"/>
        <w:numId w:val="3"/>
      </w:numPr>
      <w:spacing w:before="60" w:after="60"/>
      <w:outlineLvl w:val="5"/>
    </w:pPr>
    <w:rPr>
      <w:b/>
      <w:bCs/>
      <w:szCs w:val="22"/>
    </w:rPr>
  </w:style>
  <w:style w:type="paragraph" w:styleId="Heading7">
    <w:name w:val="heading 7"/>
    <w:basedOn w:val="Normal"/>
    <w:next w:val="Normal"/>
    <w:qFormat/>
    <w:rsid w:val="003A3403"/>
    <w:pPr>
      <w:numPr>
        <w:ilvl w:val="6"/>
        <w:numId w:val="3"/>
      </w:numPr>
      <w:spacing w:before="240" w:after="60"/>
      <w:outlineLvl w:val="6"/>
    </w:pPr>
    <w:rPr>
      <w:sz w:val="24"/>
      <w:szCs w:val="24"/>
    </w:rPr>
  </w:style>
  <w:style w:type="paragraph" w:styleId="Heading8">
    <w:name w:val="heading 8"/>
    <w:basedOn w:val="Normal"/>
    <w:next w:val="Normal"/>
    <w:qFormat/>
    <w:rsid w:val="003A3403"/>
    <w:pPr>
      <w:numPr>
        <w:ilvl w:val="7"/>
        <w:numId w:val="3"/>
      </w:numPr>
      <w:spacing w:before="240" w:after="60"/>
      <w:outlineLvl w:val="7"/>
    </w:pPr>
    <w:rPr>
      <w:i/>
      <w:iCs/>
      <w:sz w:val="24"/>
      <w:szCs w:val="24"/>
    </w:rPr>
  </w:style>
  <w:style w:type="paragraph" w:styleId="Heading9">
    <w:name w:val="heading 9"/>
    <w:basedOn w:val="Normal"/>
    <w:next w:val="Normal"/>
    <w:qFormat/>
    <w:rsid w:val="003A3403"/>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
    <w:basedOn w:val="DefaultParagraphFont"/>
    <w:qFormat/>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qFormat/>
    <w:rsid w:val="006F299B"/>
    <w:pPr>
      <w:spacing w:after="120" w:line="240" w:lineRule="auto"/>
      <w:ind w:left="180" w:hanging="18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rsid w:val="006F299B"/>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5B6ACF"/>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826631"/>
    <w:rPr>
      <w:rFonts w:ascii="Arial" w:hAnsi="Arial"/>
      <w:b/>
      <w:color w:val="DA291C"/>
    </w:rPr>
  </w:style>
  <w:style w:type="paragraph" w:customStyle="1" w:styleId="ListBulleted">
    <w:name w:val="ListBulleted"/>
    <w:qFormat/>
    <w:rsid w:val="00FA2276"/>
    <w:pPr>
      <w:numPr>
        <w:numId w:val="5"/>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character" w:customStyle="1" w:styleId="BulletsChar">
    <w:name w:val="Bullets Char"/>
    <w:basedOn w:val="BodyTextChar"/>
    <w:link w:val="Bullets"/>
    <w:rsid w:val="001C2C73"/>
    <w:rPr>
      <w:sz w:val="22"/>
    </w:rPr>
  </w:style>
  <w:style w:type="paragraph" w:styleId="EndnoteText">
    <w:name w:val="endnote text"/>
    <w:basedOn w:val="Normal"/>
    <w:link w:val="EndnoteTextChar"/>
    <w:rsid w:val="00856415"/>
    <w:pPr>
      <w:spacing w:after="0" w:line="240" w:lineRule="auto"/>
    </w:pPr>
    <w:rPr>
      <w:sz w:val="20"/>
    </w:rPr>
  </w:style>
  <w:style w:type="character" w:customStyle="1" w:styleId="EndnoteTextChar">
    <w:name w:val="Endnote Text Char"/>
    <w:basedOn w:val="DefaultParagraphFont"/>
    <w:link w:val="EndnoteText"/>
    <w:rsid w:val="00856415"/>
  </w:style>
  <w:style w:type="character" w:styleId="EndnoteReference">
    <w:name w:val="endnote reference"/>
    <w:basedOn w:val="DefaultParagraphFont"/>
    <w:rsid w:val="00856415"/>
    <w:rPr>
      <w:vertAlign w:val="superscript"/>
    </w:rPr>
  </w:style>
  <w:style w:type="paragraph" w:customStyle="1" w:styleId="aareferences">
    <w:name w:val="aa references"/>
    <w:basedOn w:val="BodyText"/>
    <w:rsid w:val="00B36314"/>
    <w:pPr>
      <w:spacing w:after="0"/>
    </w:pPr>
  </w:style>
  <w:style w:type="paragraph" w:customStyle="1" w:styleId="BulletLastSS">
    <w:name w:val="Bullet (Last SS)"/>
    <w:basedOn w:val="Normal"/>
    <w:next w:val="Normal"/>
    <w:qFormat/>
    <w:rsid w:val="00DA2DB7"/>
    <w:pPr>
      <w:numPr>
        <w:numId w:val="9"/>
      </w:numPr>
      <w:tabs>
        <w:tab w:val="left" w:pos="432"/>
      </w:tabs>
      <w:spacing w:after="240" w:line="240" w:lineRule="auto"/>
      <w:ind w:left="432" w:hanging="432"/>
    </w:pPr>
    <w:rPr>
      <w:rFonts w:asciiTheme="minorHAnsi" w:eastAsiaTheme="minorEastAsia" w:hAnsiTheme="minorHAnsi" w:cstheme="minorBidi"/>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3"/>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3"/>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3"/>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3"/>
      </w:numPr>
      <w:spacing w:before="60" w:after="120"/>
      <w:outlineLvl w:val="4"/>
    </w:pPr>
    <w:rPr>
      <w:b/>
      <w:i/>
      <w:color w:val="DA291C"/>
    </w:rPr>
  </w:style>
  <w:style w:type="paragraph" w:styleId="Heading6">
    <w:name w:val="heading 6"/>
    <w:basedOn w:val="Normal"/>
    <w:next w:val="Normal"/>
    <w:qFormat/>
    <w:rsid w:val="00495B91"/>
    <w:pPr>
      <w:numPr>
        <w:ilvl w:val="5"/>
        <w:numId w:val="3"/>
      </w:numPr>
      <w:spacing w:before="60" w:after="60"/>
      <w:outlineLvl w:val="5"/>
    </w:pPr>
    <w:rPr>
      <w:b/>
      <w:bCs/>
      <w:szCs w:val="22"/>
    </w:rPr>
  </w:style>
  <w:style w:type="paragraph" w:styleId="Heading7">
    <w:name w:val="heading 7"/>
    <w:basedOn w:val="Normal"/>
    <w:next w:val="Normal"/>
    <w:qFormat/>
    <w:rsid w:val="003A3403"/>
    <w:pPr>
      <w:numPr>
        <w:ilvl w:val="6"/>
        <w:numId w:val="3"/>
      </w:numPr>
      <w:spacing w:before="240" w:after="60"/>
      <w:outlineLvl w:val="6"/>
    </w:pPr>
    <w:rPr>
      <w:sz w:val="24"/>
      <w:szCs w:val="24"/>
    </w:rPr>
  </w:style>
  <w:style w:type="paragraph" w:styleId="Heading8">
    <w:name w:val="heading 8"/>
    <w:basedOn w:val="Normal"/>
    <w:next w:val="Normal"/>
    <w:qFormat/>
    <w:rsid w:val="003A3403"/>
    <w:pPr>
      <w:numPr>
        <w:ilvl w:val="7"/>
        <w:numId w:val="3"/>
      </w:numPr>
      <w:spacing w:before="240" w:after="60"/>
      <w:outlineLvl w:val="7"/>
    </w:pPr>
    <w:rPr>
      <w:i/>
      <w:iCs/>
      <w:sz w:val="24"/>
      <w:szCs w:val="24"/>
    </w:rPr>
  </w:style>
  <w:style w:type="paragraph" w:styleId="Heading9">
    <w:name w:val="heading 9"/>
    <w:basedOn w:val="Normal"/>
    <w:next w:val="Normal"/>
    <w:qFormat/>
    <w:rsid w:val="003A3403"/>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
    <w:basedOn w:val="DefaultParagraphFont"/>
    <w:qFormat/>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qFormat/>
    <w:rsid w:val="006F299B"/>
    <w:pPr>
      <w:spacing w:after="120" w:line="240" w:lineRule="auto"/>
      <w:ind w:left="180" w:hanging="18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rsid w:val="006F299B"/>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5B6ACF"/>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826631"/>
    <w:rPr>
      <w:rFonts w:ascii="Arial" w:hAnsi="Arial"/>
      <w:b/>
      <w:color w:val="DA291C"/>
    </w:rPr>
  </w:style>
  <w:style w:type="paragraph" w:customStyle="1" w:styleId="ListBulleted">
    <w:name w:val="ListBulleted"/>
    <w:qFormat/>
    <w:rsid w:val="00FA2276"/>
    <w:pPr>
      <w:numPr>
        <w:numId w:val="5"/>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character" w:customStyle="1" w:styleId="BulletsChar">
    <w:name w:val="Bullets Char"/>
    <w:basedOn w:val="BodyTextChar"/>
    <w:link w:val="Bullets"/>
    <w:rsid w:val="001C2C73"/>
    <w:rPr>
      <w:sz w:val="22"/>
    </w:rPr>
  </w:style>
  <w:style w:type="paragraph" w:styleId="EndnoteText">
    <w:name w:val="endnote text"/>
    <w:basedOn w:val="Normal"/>
    <w:link w:val="EndnoteTextChar"/>
    <w:rsid w:val="00856415"/>
    <w:pPr>
      <w:spacing w:after="0" w:line="240" w:lineRule="auto"/>
    </w:pPr>
    <w:rPr>
      <w:sz w:val="20"/>
    </w:rPr>
  </w:style>
  <w:style w:type="character" w:customStyle="1" w:styleId="EndnoteTextChar">
    <w:name w:val="Endnote Text Char"/>
    <w:basedOn w:val="DefaultParagraphFont"/>
    <w:link w:val="EndnoteText"/>
    <w:rsid w:val="00856415"/>
  </w:style>
  <w:style w:type="character" w:styleId="EndnoteReference">
    <w:name w:val="endnote reference"/>
    <w:basedOn w:val="DefaultParagraphFont"/>
    <w:rsid w:val="00856415"/>
    <w:rPr>
      <w:vertAlign w:val="superscript"/>
    </w:rPr>
  </w:style>
  <w:style w:type="paragraph" w:customStyle="1" w:styleId="aareferences">
    <w:name w:val="aa references"/>
    <w:basedOn w:val="BodyText"/>
    <w:rsid w:val="00B36314"/>
    <w:pPr>
      <w:spacing w:after="0"/>
    </w:pPr>
  </w:style>
  <w:style w:type="paragraph" w:customStyle="1" w:styleId="BulletLastSS">
    <w:name w:val="Bullet (Last SS)"/>
    <w:basedOn w:val="Normal"/>
    <w:next w:val="Normal"/>
    <w:qFormat/>
    <w:rsid w:val="00DA2DB7"/>
    <w:pPr>
      <w:numPr>
        <w:numId w:val="9"/>
      </w:numPr>
      <w:tabs>
        <w:tab w:val="left" w:pos="432"/>
      </w:tabs>
      <w:spacing w:after="240" w:line="240" w:lineRule="auto"/>
      <w:ind w:left="432" w:hanging="432"/>
    </w:pPr>
    <w:rPr>
      <w:rFonts w:asciiTheme="minorHAnsi" w:eastAsiaTheme="minorEastAsia" w:hAnsiTheme="minorHAnsi" w:cstheme="minorBidi"/>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3551">
      <w:bodyDiv w:val="1"/>
      <w:marLeft w:val="0"/>
      <w:marRight w:val="0"/>
      <w:marTop w:val="0"/>
      <w:marBottom w:val="0"/>
      <w:divBdr>
        <w:top w:val="none" w:sz="0" w:space="0" w:color="auto"/>
        <w:left w:val="none" w:sz="0" w:space="0" w:color="auto"/>
        <w:bottom w:val="none" w:sz="0" w:space="0" w:color="auto"/>
        <w:right w:val="none" w:sz="0" w:space="0" w:color="auto"/>
      </w:divBdr>
    </w:div>
    <w:div w:id="302580935">
      <w:bodyDiv w:val="1"/>
      <w:marLeft w:val="0"/>
      <w:marRight w:val="0"/>
      <w:marTop w:val="0"/>
      <w:marBottom w:val="0"/>
      <w:divBdr>
        <w:top w:val="none" w:sz="0" w:space="0" w:color="auto"/>
        <w:left w:val="none" w:sz="0" w:space="0" w:color="auto"/>
        <w:bottom w:val="none" w:sz="0" w:space="0" w:color="auto"/>
        <w:right w:val="none" w:sz="0" w:space="0" w:color="auto"/>
      </w:divBdr>
    </w:div>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878396307">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8/DCB_h.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bls.gov/oes/current/oes21109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bls.gov/oes/current/oes211093.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leta.gov/grants/pdf/FOA-ETA-15-0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5AE28-49CC-4B60-ABBF-126906BB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3</Pages>
  <Words>3908</Words>
  <Characters>22280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26136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SYSTEM</cp:lastModifiedBy>
  <cp:revision>2</cp:revision>
  <cp:lastPrinted>2018-03-26T17:47:00Z</cp:lastPrinted>
  <dcterms:created xsi:type="dcterms:W3CDTF">2018-08-17T16:44:00Z</dcterms:created>
  <dcterms:modified xsi:type="dcterms:W3CDTF">2018-08-17T16:44:00Z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