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DC6AE5">
        <w:rPr>
          <w:sz w:val="28"/>
        </w:rPr>
        <w:t>1525-0012</w:t>
      </w:r>
      <w:r>
        <w:rPr>
          <w:sz w:val="28"/>
        </w:rPr>
        <w:t>)</w:t>
      </w:r>
    </w:p>
    <w:p w:rsidRPr="009239AA" w:rsidR="00E50293" w:rsidP="00434E33" w:rsidRDefault="00DC6AE5">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BDB0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663562">
        <w:t>Bullion Demand Research Study</w:t>
      </w:r>
    </w:p>
    <w:p w:rsidR="005E714A" w:rsidRDefault="005E714A"/>
    <w:p w:rsidR="001B0AAA" w:rsidRDefault="00F15956">
      <w:r>
        <w:rPr>
          <w:b/>
        </w:rPr>
        <w:t>PURPOSE</w:t>
      </w:r>
      <w:r w:rsidRPr="009239AA">
        <w:rPr>
          <w:b/>
        </w:rPr>
        <w:t>:</w:t>
      </w:r>
      <w:r w:rsidRPr="009239AA" w:rsidR="00C14CC4">
        <w:rPr>
          <w:b/>
        </w:rPr>
        <w:t xml:space="preserve">  </w:t>
      </w:r>
    </w:p>
    <w:p w:rsidR="001B0AAA" w:rsidRDefault="001B0AAA"/>
    <w:p w:rsidR="00F9338D" w:rsidP="007411D7" w:rsidRDefault="00F9338D">
      <w:pPr>
        <w:ind w:left="720"/>
      </w:pPr>
      <w:r w:rsidRPr="0049218E">
        <w:t xml:space="preserve">This new project request is for the United States Mint’s to conduct a research study to </w:t>
      </w:r>
      <w:r w:rsidRPr="0049218E" w:rsidR="0049218E">
        <w:t>understand the profile of silver, gold, and platinum bullion coin buyers, understanding purchasing processes and preferences, and exploring motivations for and possible barriers to purchase</w:t>
      </w:r>
      <w:r w:rsidRPr="0049218E">
        <w:t>.</w:t>
      </w:r>
      <w:r>
        <w:t xml:space="preserve">  </w:t>
      </w:r>
    </w:p>
    <w:p w:rsidR="00F9338D" w:rsidP="007411D7" w:rsidRDefault="00F9338D">
      <w:pPr>
        <w:ind w:left="720"/>
      </w:pPr>
    </w:p>
    <w:p w:rsidR="00F9338D" w:rsidP="007411D7" w:rsidRDefault="00F9338D">
      <w:pPr>
        <w:ind w:left="720"/>
      </w:pPr>
      <w:r>
        <w:t xml:space="preserve">This study is similar to recent quantitative product assessments the U.S. Mint has undertaken. </w:t>
      </w:r>
      <w:r w:rsidRPr="0049218E">
        <w:t xml:space="preserve">The results from this survey research project will help </w:t>
      </w:r>
      <w:r w:rsidRPr="0049218E" w:rsidR="0049218E">
        <w:t>the United States Mint understand and address overall questions related to the bullion market.</w:t>
      </w:r>
      <w:r>
        <w:t xml:space="preserve">   </w:t>
      </w:r>
    </w:p>
    <w:p w:rsidR="00F9338D" w:rsidP="007411D7" w:rsidRDefault="00F9338D">
      <w:pPr>
        <w:ind w:left="720"/>
      </w:pPr>
    </w:p>
    <w:p w:rsidR="00F9338D" w:rsidP="007411D7" w:rsidRDefault="00F9338D">
      <w:pPr>
        <w:ind w:left="720"/>
      </w:pPr>
      <w: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w:t>
      </w:r>
      <w:r w:rsidR="0049218E">
        <w:t xml:space="preserve">and bullion </w:t>
      </w:r>
      <w:r>
        <w:t xml:space="preserve">coin products and services.  </w:t>
      </w:r>
      <w:r w:rsidRPr="0049218E">
        <w:t xml:space="preserve">The United States Mint </w:t>
      </w:r>
      <w:r w:rsidRPr="0049218E" w:rsidR="0049218E">
        <w:t>Bullion Demand Research</w:t>
      </w:r>
      <w:r w:rsidRPr="0049218E">
        <w:t xml:space="preserve"> Survey is one of these instruments.</w:t>
      </w:r>
    </w:p>
    <w:p w:rsidR="00F9338D" w:rsidP="007411D7" w:rsidRDefault="00F9338D">
      <w:pPr>
        <w:ind w:left="720"/>
      </w:pPr>
    </w:p>
    <w:p w:rsidR="00F9338D" w:rsidP="007411D7" w:rsidRDefault="00F9338D">
      <w:pPr>
        <w:ind w:left="720"/>
      </w:pPr>
      <w:r>
        <w:t>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new product and service decisions in the absence of reliable data-based information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w:t>
      </w:r>
    </w:p>
    <w:p w:rsidR="00F9338D" w:rsidP="007411D7" w:rsidRDefault="00F9338D">
      <w:pPr>
        <w:ind w:left="720"/>
      </w:pPr>
    </w:p>
    <w:p w:rsidR="00C8488C" w:rsidP="007411D7" w:rsidRDefault="00F9338D">
      <w:pPr>
        <w:ind w:left="720"/>
      </w:pPr>
      <w:r w:rsidRPr="0049218E">
        <w:t xml:space="preserve">The consequences of not performing this ad hoc survey are the United States Mint’s diminished ability to produce and offer </w:t>
      </w:r>
      <w:r w:rsidRPr="0049218E" w:rsidR="0049218E">
        <w:t>bullion</w:t>
      </w:r>
      <w:r w:rsidRPr="0049218E">
        <w:t xml:space="preserve"> coin products that the public is interested </w:t>
      </w:r>
      <w:r w:rsidRPr="0049218E" w:rsidR="0049218E">
        <w:t>and</w:t>
      </w:r>
      <w:r w:rsidRPr="0049218E">
        <w:t xml:space="preserve"> satisfies customers.</w:t>
      </w:r>
      <w:r>
        <w:t xml:space="preserve">  </w:t>
      </w:r>
    </w:p>
    <w:p w:rsidR="00C8488C" w:rsidRDefault="00C8488C"/>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7411D7" w:rsidP="00434E33" w:rsidRDefault="007411D7">
      <w:pPr>
        <w:pStyle w:val="Header"/>
        <w:tabs>
          <w:tab w:val="clear" w:pos="4320"/>
          <w:tab w:val="clear" w:pos="8640"/>
        </w:tabs>
        <w:rPr>
          <w:b/>
        </w:rPr>
      </w:pPr>
    </w:p>
    <w:p w:rsidR="00221F66" w:rsidP="00434E33" w:rsidRDefault="00221F66">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bookmarkStart w:name="_GoBack" w:id="0"/>
      <w:bookmarkEnd w:id="0"/>
      <w:r w:rsidRPr="00434E33">
        <w:rPr>
          <w:b/>
        </w:rPr>
        <w:lastRenderedPageBreak/>
        <w:t>DESCRIPTION OF RESPONDENTS</w:t>
      </w:r>
      <w:r>
        <w:t xml:space="preserve">: </w:t>
      </w:r>
    </w:p>
    <w:p w:rsidR="00C8488C" w:rsidRDefault="00C8488C"/>
    <w:p w:rsidRPr="008045BC" w:rsidR="00B238BE" w:rsidP="00B238BE" w:rsidRDefault="0049218E">
      <w:pPr>
        <w:ind w:left="720"/>
      </w:pPr>
      <w:r w:rsidRPr="008045BC">
        <w:t>Three</w:t>
      </w:r>
      <w:r w:rsidRPr="008045BC" w:rsidR="00B238BE">
        <w:t xml:space="preserve"> types of respondents:</w:t>
      </w:r>
    </w:p>
    <w:p w:rsidRPr="008045BC" w:rsidR="00B238BE" w:rsidP="00B238BE" w:rsidRDefault="00B238BE">
      <w:pPr>
        <w:ind w:left="720"/>
      </w:pPr>
    </w:p>
    <w:p w:rsidRPr="008045BC" w:rsidR="0049218E" w:rsidP="0049218E" w:rsidRDefault="0049218E">
      <w:pPr>
        <w:ind w:left="720"/>
      </w:pPr>
      <w:r w:rsidRPr="008045BC">
        <w:t xml:space="preserve">U.S. Mint customers (those who have purchased bullion product in the past, those who have purchased Proof or Uncirculated silver/gold/platinum coins, as well as general customers). </w:t>
      </w:r>
    </w:p>
    <w:p w:rsidRPr="008045BC" w:rsidR="0049218E" w:rsidP="0049218E" w:rsidRDefault="0049218E">
      <w:pPr>
        <w:ind w:left="720"/>
      </w:pPr>
    </w:p>
    <w:p w:rsidRPr="008045BC" w:rsidR="0049218E" w:rsidP="0049218E" w:rsidRDefault="0049218E">
      <w:pPr>
        <w:ind w:left="720"/>
      </w:pPr>
      <w:r w:rsidRPr="008045BC">
        <w:t xml:space="preserve">A segment of General Consumers </w:t>
      </w:r>
      <w:r w:rsidR="004E536D">
        <w:t xml:space="preserve">(non U.S. Mint customers) </w:t>
      </w:r>
      <w:r w:rsidRPr="008045BC">
        <w:t xml:space="preserve">who have purchased Silver/Gold/Platinum Coins and/or other precious metal (non-jewelry) products (e.g., gold bars, etc.).   </w:t>
      </w:r>
    </w:p>
    <w:p w:rsidRPr="008045BC" w:rsidR="0049218E" w:rsidP="0049218E" w:rsidRDefault="0049218E">
      <w:pPr>
        <w:ind w:left="720"/>
      </w:pPr>
    </w:p>
    <w:p w:rsidR="00E26329" w:rsidP="0049218E" w:rsidRDefault="0049218E">
      <w:pPr>
        <w:ind w:left="720"/>
        <w:rPr>
          <w:b/>
        </w:rPr>
      </w:pPr>
      <w:r w:rsidRPr="008045BC">
        <w:t xml:space="preserve">A segment of General Consumers </w:t>
      </w:r>
      <w:r w:rsidR="004E536D">
        <w:t xml:space="preserve">(non U.S. Mint customers) </w:t>
      </w:r>
      <w:r w:rsidRPr="008045BC">
        <w:t>who are non-purchasers of silver/gold/platinum/palladium coins or other precious metal (non-jewelry) products</w:t>
      </w:r>
      <w:r>
        <w:t xml:space="preserve">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sidR="007411D7">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7411D7">
        <w:rPr>
          <w:bCs/>
          <w:sz w:val="24"/>
        </w:rPr>
        <w:t>[</w:t>
      </w:r>
      <w:r w:rsidR="007411D7">
        <w:rPr>
          <w:bCs/>
          <w:sz w:val="24"/>
        </w:rPr>
        <w:t>X]</w:t>
      </w:r>
      <w:r w:rsidR="00F06866">
        <w:rPr>
          <w:bCs/>
          <w:sz w:val="24"/>
        </w:rPr>
        <w:t xml:space="preserve"> Other:</w:t>
      </w:r>
      <w:r w:rsidRPr="004E536D" w:rsidR="00F06866">
        <w:rPr>
          <w:bCs/>
          <w:sz w:val="24"/>
        </w:rPr>
        <w:t xml:space="preserve"> __</w:t>
      </w:r>
      <w:r w:rsidRPr="00733FBD" w:rsidR="004E536D">
        <w:rPr>
          <w:rFonts w:cs="Arial"/>
          <w:smallCaps/>
          <w:sz w:val="24"/>
          <w:szCs w:val="24"/>
        </w:rPr>
        <w:t>Bullion Demand Survey</w:t>
      </w:r>
      <w:r w:rsidRPr="004E536D" w:rsidR="00B238BE">
        <w:rPr>
          <w:rFonts w:cs="Arial"/>
          <w:smallCaps/>
          <w:szCs w:val="24"/>
        </w:rPr>
        <w:t>__</w:t>
      </w:r>
      <w:r w:rsidRPr="00F06866" w:rsidR="00B238BE">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w:t>
      </w:r>
      <w:r w:rsidR="00B238BE">
        <w:t xml:space="preserve">  </w:t>
      </w:r>
    </w:p>
    <w:p w:rsidR="00B238BE" w:rsidP="009C13B9" w:rsidRDefault="00B238BE"/>
    <w:p w:rsidR="00B238BE" w:rsidP="00B238BE" w:rsidRDefault="00B238BE">
      <w:pPr>
        <w:ind w:firstLine="720"/>
      </w:pPr>
      <w:r>
        <w:t>Manoj Pillai</w:t>
      </w:r>
    </w:p>
    <w:p w:rsidR="00B238BE" w:rsidP="00B238BE" w:rsidRDefault="00B238BE">
      <w:r>
        <w:tab/>
        <w:t>202-354-7255</w:t>
      </w:r>
    </w:p>
    <w:p w:rsidR="00B238BE" w:rsidP="00B238BE" w:rsidRDefault="00B238BE">
      <w:r>
        <w:tab/>
      </w:r>
      <w:hyperlink w:history="1" r:id="rId7">
        <w:r w:rsidRPr="00CA4FF4">
          <w:rPr>
            <w:rStyle w:val="Hyperlink"/>
          </w:rPr>
          <w:t>Manoj.pillai@usmint.treas.gov</w:t>
        </w:r>
      </w:hyperlink>
    </w:p>
    <w:p w:rsidR="00B238BE" w:rsidP="009C13B9" w:rsidRDefault="00B238BE"/>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xml:space="preserve">[  ] Yes  [ </w:t>
      </w:r>
      <w:r w:rsidR="00B238BE">
        <w:t xml:space="preserve">X </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B238BE">
        <w:t>X</w:t>
      </w:r>
      <w:r w:rsidR="009239AA">
        <w:t xml:space="preserve">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w:t>
      </w:r>
      <w:r w:rsidR="00B238BE">
        <w:t xml:space="preserve"> </w:t>
      </w:r>
      <w:r>
        <w:t>] Yes  [</w:t>
      </w:r>
      <w:r w:rsidR="00B238BE">
        <w:t xml:space="preserve"> </w:t>
      </w:r>
      <w:r>
        <w:t>]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lastRenderedPageBreak/>
        <w:t xml:space="preserve">Is an incentive (e.g., money or reimbursement of expenses, token of appreciation) provided to participants?  [  ] Yes [ </w:t>
      </w:r>
      <w:r w:rsidR="00B238BE">
        <w:t>X</w:t>
      </w:r>
      <w:r>
        <w:t xml:space="preserve"> ] No  </w:t>
      </w:r>
    </w:p>
    <w:p w:rsidR="004D6E14" w:rsidRDefault="004D6E14">
      <w:pPr>
        <w:rPr>
          <w:b/>
        </w:rPr>
      </w:pPr>
    </w:p>
    <w:p w:rsidR="00F24CFC" w:rsidRDefault="00F24CFC">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237"/>
      </w:tblGrid>
      <w:tr w:rsidR="00EF2095" w:rsidTr="004A20E7">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237" w:type="dxa"/>
          </w:tcPr>
          <w:p w:rsidRPr="0001027E" w:rsidR="006832D9" w:rsidP="00843796" w:rsidRDefault="006832D9">
            <w:pPr>
              <w:rPr>
                <w:b/>
              </w:rPr>
            </w:pPr>
            <w:r w:rsidRPr="0001027E">
              <w:rPr>
                <w:b/>
              </w:rPr>
              <w:t>Burden</w:t>
            </w:r>
          </w:p>
        </w:tc>
      </w:tr>
      <w:tr w:rsidR="00EF2095" w:rsidTr="004A20E7">
        <w:trPr>
          <w:trHeight w:val="274"/>
        </w:trPr>
        <w:tc>
          <w:tcPr>
            <w:tcW w:w="5418" w:type="dxa"/>
          </w:tcPr>
          <w:p w:rsidRPr="00171084" w:rsidR="006832D9" w:rsidP="00843796" w:rsidRDefault="004E536D">
            <w:r w:rsidRPr="00171084">
              <w:t xml:space="preserve">United States Mint </w:t>
            </w:r>
            <w:r w:rsidRPr="00171084" w:rsidR="009E638D">
              <w:t>Customer</w:t>
            </w:r>
            <w:r w:rsidRPr="00171084">
              <w:t>s</w:t>
            </w:r>
          </w:p>
        </w:tc>
        <w:tc>
          <w:tcPr>
            <w:tcW w:w="1530" w:type="dxa"/>
          </w:tcPr>
          <w:p w:rsidRPr="00171084" w:rsidR="006832D9" w:rsidP="00843796" w:rsidRDefault="00171084">
            <w:r w:rsidRPr="00171084">
              <w:t>2,500</w:t>
            </w:r>
          </w:p>
        </w:tc>
        <w:tc>
          <w:tcPr>
            <w:tcW w:w="1710" w:type="dxa"/>
          </w:tcPr>
          <w:p w:rsidRPr="00171084" w:rsidR="006832D9" w:rsidP="00843796" w:rsidRDefault="009E638D">
            <w:r w:rsidRPr="00171084">
              <w:t>15 minutes</w:t>
            </w:r>
          </w:p>
        </w:tc>
        <w:tc>
          <w:tcPr>
            <w:tcW w:w="1237" w:type="dxa"/>
          </w:tcPr>
          <w:p w:rsidRPr="00171084" w:rsidR="006832D9" w:rsidP="009E638D" w:rsidRDefault="00171084">
            <w:r w:rsidRPr="00171084">
              <w:t>625</w:t>
            </w:r>
            <w:r w:rsidRPr="00171084" w:rsidR="009E638D">
              <w:t xml:space="preserve"> hrs</w:t>
            </w:r>
          </w:p>
        </w:tc>
      </w:tr>
      <w:tr w:rsidR="00EF2095" w:rsidTr="004A20E7">
        <w:trPr>
          <w:trHeight w:val="274"/>
        </w:trPr>
        <w:tc>
          <w:tcPr>
            <w:tcW w:w="5418" w:type="dxa"/>
          </w:tcPr>
          <w:p w:rsidRPr="00171084" w:rsidR="006832D9" w:rsidP="00171084" w:rsidRDefault="004E536D">
            <w:r w:rsidRPr="00171084">
              <w:t>non U.S. Mint customers who have purchased Silver/Gold/Platinum Coins and/or other precious metal (non-jewelry) products</w:t>
            </w:r>
          </w:p>
        </w:tc>
        <w:tc>
          <w:tcPr>
            <w:tcW w:w="1530" w:type="dxa"/>
          </w:tcPr>
          <w:p w:rsidRPr="00171084" w:rsidR="006832D9" w:rsidP="00843796" w:rsidRDefault="00171084">
            <w:r w:rsidRPr="00171084">
              <w:t>500</w:t>
            </w:r>
          </w:p>
        </w:tc>
        <w:tc>
          <w:tcPr>
            <w:tcW w:w="1710" w:type="dxa"/>
          </w:tcPr>
          <w:p w:rsidRPr="00171084" w:rsidR="006832D9" w:rsidP="00843796" w:rsidRDefault="009E638D">
            <w:r w:rsidRPr="00171084">
              <w:t>15 minutes</w:t>
            </w:r>
          </w:p>
        </w:tc>
        <w:tc>
          <w:tcPr>
            <w:tcW w:w="1237" w:type="dxa"/>
          </w:tcPr>
          <w:p w:rsidRPr="00171084" w:rsidR="006832D9" w:rsidP="00843796" w:rsidRDefault="00171084">
            <w:r w:rsidRPr="00171084">
              <w:t>125</w:t>
            </w:r>
            <w:r w:rsidRPr="00171084" w:rsidR="009E638D">
              <w:t xml:space="preserve"> hrs</w:t>
            </w:r>
          </w:p>
        </w:tc>
      </w:tr>
      <w:tr w:rsidR="004E536D" w:rsidTr="004A20E7">
        <w:trPr>
          <w:trHeight w:val="289"/>
        </w:trPr>
        <w:tc>
          <w:tcPr>
            <w:tcW w:w="5418" w:type="dxa"/>
          </w:tcPr>
          <w:p w:rsidRPr="00171084" w:rsidR="004E536D" w:rsidP="00843796" w:rsidRDefault="00171084">
            <w:r w:rsidRPr="00171084">
              <w:t xml:space="preserve">non U.S. Mint customers who have </w:t>
            </w:r>
            <w:r w:rsidRPr="00171084">
              <w:rPr>
                <w:u w:val="single"/>
              </w:rPr>
              <w:t>not</w:t>
            </w:r>
            <w:r w:rsidRPr="00171084">
              <w:t xml:space="preserve"> purchased Silver/Gold/Platinum Coins and/or other precious metal (non-jewelry) products</w:t>
            </w:r>
          </w:p>
        </w:tc>
        <w:tc>
          <w:tcPr>
            <w:tcW w:w="1530" w:type="dxa"/>
          </w:tcPr>
          <w:p w:rsidRPr="00171084" w:rsidR="004E536D" w:rsidP="00843796" w:rsidRDefault="00171084">
            <w:r w:rsidRPr="00171084">
              <w:t>1000</w:t>
            </w:r>
          </w:p>
        </w:tc>
        <w:tc>
          <w:tcPr>
            <w:tcW w:w="1710" w:type="dxa"/>
          </w:tcPr>
          <w:p w:rsidRPr="00171084" w:rsidR="004E536D" w:rsidP="00843796" w:rsidRDefault="00171084">
            <w:r w:rsidRPr="00171084">
              <w:t>15 minutes</w:t>
            </w:r>
          </w:p>
        </w:tc>
        <w:tc>
          <w:tcPr>
            <w:tcW w:w="1237" w:type="dxa"/>
          </w:tcPr>
          <w:p w:rsidRPr="00171084" w:rsidR="004E536D" w:rsidP="00843796" w:rsidRDefault="00171084">
            <w:r w:rsidRPr="00171084">
              <w:t>250</w:t>
            </w:r>
            <w:r>
              <w:t xml:space="preserve"> hrs</w:t>
            </w:r>
          </w:p>
        </w:tc>
      </w:tr>
      <w:tr w:rsidRPr="00171084" w:rsidR="00EF2095" w:rsidTr="004A20E7">
        <w:trPr>
          <w:trHeight w:val="289"/>
        </w:trPr>
        <w:tc>
          <w:tcPr>
            <w:tcW w:w="5418" w:type="dxa"/>
          </w:tcPr>
          <w:p w:rsidRPr="00171084" w:rsidR="006832D9" w:rsidP="00843796" w:rsidRDefault="006832D9">
            <w:pPr>
              <w:rPr>
                <w:b/>
              </w:rPr>
            </w:pPr>
            <w:r w:rsidRPr="00171084">
              <w:rPr>
                <w:b/>
              </w:rPr>
              <w:t>Totals</w:t>
            </w:r>
          </w:p>
        </w:tc>
        <w:tc>
          <w:tcPr>
            <w:tcW w:w="1530" w:type="dxa"/>
          </w:tcPr>
          <w:p w:rsidRPr="00171084" w:rsidR="006832D9" w:rsidP="00843796" w:rsidRDefault="00171084">
            <w:pPr>
              <w:rPr>
                <w:b/>
              </w:rPr>
            </w:pPr>
            <w:r w:rsidRPr="00171084">
              <w:rPr>
                <w:b/>
              </w:rPr>
              <w:t>4000</w:t>
            </w:r>
          </w:p>
        </w:tc>
        <w:tc>
          <w:tcPr>
            <w:tcW w:w="1710" w:type="dxa"/>
          </w:tcPr>
          <w:p w:rsidRPr="00171084" w:rsidR="006832D9" w:rsidP="00843796" w:rsidRDefault="004A20E7">
            <w:pPr>
              <w:rPr>
                <w:b/>
              </w:rPr>
            </w:pPr>
            <w:r w:rsidRPr="00171084">
              <w:rPr>
                <w:b/>
              </w:rPr>
              <w:t>15 minutes</w:t>
            </w:r>
          </w:p>
        </w:tc>
        <w:tc>
          <w:tcPr>
            <w:tcW w:w="1237" w:type="dxa"/>
          </w:tcPr>
          <w:p w:rsidRPr="00171084" w:rsidR="006832D9" w:rsidP="00843796" w:rsidRDefault="00171084">
            <w:pPr>
              <w:rPr>
                <w:b/>
              </w:rPr>
            </w:pPr>
            <w:r w:rsidRPr="00171084">
              <w:rPr>
                <w:b/>
              </w:rPr>
              <w:t>1,000</w:t>
            </w:r>
            <w:r w:rsidRPr="00171084" w:rsidR="004A20E7">
              <w:rPr>
                <w:b/>
              </w:rPr>
              <w:t xml:space="preserve"> hrs</w:t>
            </w:r>
          </w:p>
        </w:tc>
      </w:tr>
    </w:tbl>
    <w:p w:rsidRPr="00171084" w:rsidR="00F3170F" w:rsidP="00F3170F" w:rsidRDefault="00F3170F">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3A4B8B">
        <w:t>is _</w:t>
      </w:r>
      <w:r w:rsidR="009E638D">
        <w:t>__$</w:t>
      </w:r>
      <w:r w:rsidR="002C4A6F">
        <w:t>235,681</w:t>
      </w:r>
      <w:r w:rsidR="00C86E91">
        <w:t>_</w:t>
      </w:r>
      <w:r w:rsidR="009E638D">
        <w:t>__</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Pr="002C4A6F" w:rsidR="0069403B" w:rsidP="0069403B" w:rsidRDefault="0069403B">
      <w:pPr>
        <w:pStyle w:val="ListParagraph"/>
        <w:numPr>
          <w:ilvl w:val="0"/>
          <w:numId w:val="15"/>
        </w:numPr>
      </w:pPr>
      <w:r w:rsidRPr="002C4A6F">
        <w:t>Do you have a customer list or something similar that defines the universe of potential respondents</w:t>
      </w:r>
      <w:r w:rsidRPr="002C4A6F" w:rsidR="00636621">
        <w:t xml:space="preserve"> and do you have a sampling plan for selecting from this universe</w:t>
      </w:r>
      <w:r w:rsidRPr="002C4A6F">
        <w:t>?</w:t>
      </w:r>
      <w:r w:rsidRPr="002C4A6F">
        <w:tab/>
      </w:r>
      <w:r w:rsidRPr="002C4A6F">
        <w:tab/>
      </w:r>
      <w:r w:rsidRPr="002C4A6F">
        <w:tab/>
      </w:r>
      <w:r w:rsidRPr="002C4A6F">
        <w:tab/>
      </w:r>
      <w:r w:rsidRPr="002C4A6F">
        <w:tab/>
      </w:r>
      <w:r w:rsidRPr="002C4A6F">
        <w:tab/>
      </w:r>
      <w:r w:rsidRPr="002C4A6F">
        <w:tab/>
      </w:r>
      <w:r w:rsidRPr="002C4A6F">
        <w:tab/>
      </w:r>
      <w:r w:rsidRPr="002C4A6F" w:rsidR="00636621">
        <w:tab/>
      </w:r>
      <w:r w:rsidRPr="002C4A6F" w:rsidR="00636621">
        <w:tab/>
      </w:r>
      <w:r w:rsidRPr="002C4A6F" w:rsidR="00636621">
        <w:tab/>
      </w:r>
      <w:r w:rsidRPr="002C4A6F">
        <w:t>[</w:t>
      </w:r>
      <w:r w:rsidRPr="002C4A6F" w:rsidR="009E638D">
        <w:t xml:space="preserve"> X</w:t>
      </w:r>
      <w:r w:rsidRPr="002C4A6F">
        <w:t xml:space="preserve"> ] Yes</w:t>
      </w:r>
      <w:r w:rsidRPr="002C4A6F">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Pr="005D6923" w:rsidR="007411D7" w:rsidP="009E638D" w:rsidRDefault="009E638D">
      <w:pPr>
        <w:ind w:left="720"/>
      </w:pPr>
      <w:r w:rsidRPr="005D6923">
        <w:t xml:space="preserve">Survey participants will include both U.S. Mint Customers and Non-Customers.  </w:t>
      </w:r>
      <w:r w:rsidRPr="005D6923" w:rsidR="00171084">
        <w:t>Below is the description of the criteria for selection:</w:t>
      </w:r>
    </w:p>
    <w:p w:rsidRPr="005D6923" w:rsidR="007411D7" w:rsidP="009E638D" w:rsidRDefault="007411D7">
      <w:pPr>
        <w:ind w:left="720"/>
      </w:pPr>
    </w:p>
    <w:p w:rsidRPr="005D6923" w:rsidR="007411D7" w:rsidP="00171084" w:rsidRDefault="00077893">
      <w:pPr>
        <w:pStyle w:val="ListParagraph"/>
        <w:numPr>
          <w:ilvl w:val="0"/>
          <w:numId w:val="19"/>
        </w:numPr>
      </w:pPr>
      <w:r w:rsidRPr="005D6923">
        <w:t xml:space="preserve">U.S. Mint </w:t>
      </w:r>
      <w:r w:rsidRPr="005D6923" w:rsidR="009E638D">
        <w:t xml:space="preserve">Customers </w:t>
      </w:r>
      <w:r w:rsidRPr="005D6923">
        <w:t xml:space="preserve">will </w:t>
      </w:r>
      <w:r w:rsidRPr="005D6923" w:rsidR="00171084">
        <w:t xml:space="preserve">those who have purchased bullion product in the past, those who have purchased Proof or Uncirculated silver/gold/platinum coins </w:t>
      </w:r>
      <w:r w:rsidRPr="005D6923" w:rsidR="009E638D">
        <w:t xml:space="preserve">Customers would be invited via an e-mail invitation with names provided by </w:t>
      </w:r>
      <w:r w:rsidRPr="005D6923">
        <w:t>the United States Mint customer</w:t>
      </w:r>
      <w:r w:rsidRPr="005D6923" w:rsidR="009E638D">
        <w:t xml:space="preserve"> database.  </w:t>
      </w:r>
    </w:p>
    <w:p w:rsidRPr="005D6923" w:rsidR="007411D7" w:rsidP="009E638D" w:rsidRDefault="007411D7">
      <w:pPr>
        <w:ind w:left="720"/>
      </w:pPr>
    </w:p>
    <w:p w:rsidRPr="005D6923" w:rsidR="00171084" w:rsidP="005D6923" w:rsidRDefault="009E638D">
      <w:pPr>
        <w:pStyle w:val="ListParagraph"/>
        <w:numPr>
          <w:ilvl w:val="0"/>
          <w:numId w:val="19"/>
        </w:numPr>
      </w:pPr>
      <w:r w:rsidRPr="005D6923">
        <w:t xml:space="preserve">We will screen </w:t>
      </w:r>
      <w:r w:rsidRPr="005D6923" w:rsidR="00171084">
        <w:t xml:space="preserve">two sets of </w:t>
      </w:r>
      <w:r w:rsidRPr="005D6923">
        <w:t xml:space="preserve">Non-Customers to ensure </w:t>
      </w:r>
      <w:r w:rsidRPr="005D6923" w:rsidR="00171084">
        <w:t xml:space="preserve">the following criteria listed below.  </w:t>
      </w:r>
      <w:r w:rsidRPr="005D6923" w:rsidR="005D6923">
        <w:t>Both Non-</w:t>
      </w:r>
      <w:r w:rsidRPr="005D6923" w:rsidR="00171084">
        <w:t>Customer</w:t>
      </w:r>
      <w:r w:rsidRPr="005D6923" w:rsidR="005D6923">
        <w:t xml:space="preserve"> groups</w:t>
      </w:r>
      <w:r w:rsidRPr="005D6923" w:rsidR="00171084">
        <w:t xml:space="preserve"> will be recruited from consumer Internet panels.  </w:t>
      </w:r>
    </w:p>
    <w:p w:rsidRPr="005D6923" w:rsidR="005D6923" w:rsidP="005D6923" w:rsidRDefault="005D6923">
      <w:pPr>
        <w:pStyle w:val="ListParagraph"/>
        <w:ind w:left="2880"/>
      </w:pPr>
    </w:p>
    <w:p w:rsidRPr="005D6923" w:rsidR="005D6923" w:rsidP="005D6923" w:rsidRDefault="005D6923">
      <w:pPr>
        <w:pStyle w:val="ListParagraph"/>
        <w:numPr>
          <w:ilvl w:val="1"/>
          <w:numId w:val="19"/>
        </w:numPr>
      </w:pPr>
      <w:r w:rsidRPr="005D6923">
        <w:t xml:space="preserve">Those that have purchased Silver/Gold/Platinum Coins and/or other precious metal (non-jewelry) products (e.g., gold bars, etc.). </w:t>
      </w:r>
    </w:p>
    <w:p w:rsidRPr="005D6923" w:rsidR="005D6923" w:rsidP="005D6923" w:rsidRDefault="005D6923">
      <w:pPr>
        <w:pStyle w:val="ListParagraph"/>
        <w:numPr>
          <w:ilvl w:val="1"/>
          <w:numId w:val="19"/>
        </w:numPr>
      </w:pPr>
      <w:r w:rsidRPr="005D6923">
        <w:t xml:space="preserve">Those who are non-purchasers of silver/gold/platinum/palladium coins or other precious metal (non-jewelry) products, but have  expressed an interest in purchasing silver/gold/platinum/palladium coins  </w:t>
      </w:r>
    </w:p>
    <w:p w:rsidRPr="005D6923" w:rsidR="005D6923" w:rsidP="009E638D" w:rsidRDefault="005D6923">
      <w:pPr>
        <w:ind w:left="720"/>
      </w:pPr>
    </w:p>
    <w:p w:rsidR="009E638D" w:rsidP="009E638D" w:rsidRDefault="003A4B8B">
      <w:pPr>
        <w:ind w:left="720"/>
      </w:pPr>
      <w:r w:rsidRPr="005D6923">
        <w:lastRenderedPageBreak/>
        <w:t>T</w:t>
      </w:r>
      <w:r w:rsidRPr="005D6923" w:rsidR="009E638D">
        <w:t xml:space="preserve">he survey sample </w:t>
      </w:r>
      <w:r w:rsidRPr="005D6923">
        <w:t xml:space="preserve">will be allocated </w:t>
      </w:r>
      <w:r w:rsidRPr="005D6923" w:rsidR="009E638D">
        <w:t xml:space="preserve">to ensure that the Customers who evaluate each monadic cell are “matched” on key dimensions.  For example, we will control the proportion of Customers allocated to each monadic cell so that we achieve a balance of those who have purchased </w:t>
      </w:r>
      <w:r w:rsidRPr="005D6923" w:rsidR="007411D7">
        <w:t xml:space="preserve">United States Mint </w:t>
      </w:r>
      <w:r w:rsidRPr="005D6923" w:rsidR="005D6923">
        <w:t>bullion</w:t>
      </w:r>
      <w:r w:rsidRPr="005D6923" w:rsidR="007411D7">
        <w:t xml:space="preserve"> products</w:t>
      </w:r>
      <w:r w:rsidRPr="005D6923" w:rsidR="005D6923">
        <w:t xml:space="preserve"> </w:t>
      </w:r>
      <w:r w:rsidRPr="005D6923">
        <w:t>as well as</w:t>
      </w:r>
      <w:r w:rsidRPr="005D6923" w:rsidR="007411D7">
        <w:t xml:space="preserve"> those that are consider high / low spenders of United States Mint products</w:t>
      </w:r>
      <w:r w:rsidRPr="005D6923" w:rsidR="009E638D">
        <w:t xml:space="preserve">.  </w:t>
      </w:r>
      <w:r w:rsidRPr="005D6923" w:rsidR="007411D7">
        <w:t>Similarly, for Non-Customers, the sample will be balanced on age, gender, and income.</w:t>
      </w:r>
    </w:p>
    <w:p w:rsidR="007411D7" w:rsidP="009E638D" w:rsidRDefault="007411D7">
      <w:pPr>
        <w:ind w:left="720"/>
      </w:pPr>
    </w:p>
    <w:p w:rsidR="009E638D" w:rsidP="009E638D" w:rsidRDefault="009E638D">
      <w:pPr>
        <w:ind w:left="720"/>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9E638D">
        <w:t xml:space="preserve">X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interviewers or fac</w:t>
      </w:r>
      <w:r w:rsidR="009E638D">
        <w:t xml:space="preserve">ilitators be used?  [  ] Yes [ X </w:t>
      </w:r>
      <w:r>
        <w:t>]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DC6A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EF51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lastRenderedPageBreak/>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F24CFC" w:rsidR="00F24CFC" w:rsidP="00F24CFC" w:rsidRDefault="00CF6542">
      <w:pPr>
        <w:rPr>
          <w:b/>
        </w:rPr>
      </w:pPr>
      <w:r>
        <w:rPr>
          <w:b/>
        </w:rPr>
        <w:t xml:space="preserve">Submit </w:t>
      </w:r>
      <w:r w:rsidRPr="00F24CFC" w:rsidR="00F24CFC">
        <w:rPr>
          <w:b/>
        </w:rPr>
        <w:t>all instruments, instructions, and scripts are submitted with the request.</w:t>
      </w:r>
    </w:p>
    <w:p w:rsidR="005E714A" w:rsidP="00F24CFC" w:rsidRDefault="005E714A">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87" w:rsidRDefault="00F76B87">
      <w:r>
        <w:separator/>
      </w:r>
    </w:p>
  </w:endnote>
  <w:endnote w:type="continuationSeparator" w:id="0">
    <w:p w:rsidR="00F76B87" w:rsidRDefault="00F7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21F6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87" w:rsidRDefault="00F76B87">
      <w:r>
        <w:separator/>
      </w:r>
    </w:p>
  </w:footnote>
  <w:footnote w:type="continuationSeparator" w:id="0">
    <w:p w:rsidR="00F76B87" w:rsidRDefault="00F7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4C7079"/>
    <w:multiLevelType w:val="hybridMultilevel"/>
    <w:tmpl w:val="573C2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77893"/>
    <w:rsid w:val="000B2838"/>
    <w:rsid w:val="000D44CA"/>
    <w:rsid w:val="000E200B"/>
    <w:rsid w:val="000F68BE"/>
    <w:rsid w:val="00171084"/>
    <w:rsid w:val="001927A4"/>
    <w:rsid w:val="00194AC6"/>
    <w:rsid w:val="001A23B0"/>
    <w:rsid w:val="001A25CC"/>
    <w:rsid w:val="001B0AAA"/>
    <w:rsid w:val="001C39F7"/>
    <w:rsid w:val="00221F66"/>
    <w:rsid w:val="00237B48"/>
    <w:rsid w:val="0024521E"/>
    <w:rsid w:val="00263C3D"/>
    <w:rsid w:val="00274D0B"/>
    <w:rsid w:val="002B052D"/>
    <w:rsid w:val="002B34CD"/>
    <w:rsid w:val="002B3C95"/>
    <w:rsid w:val="002C4A6F"/>
    <w:rsid w:val="002D0B92"/>
    <w:rsid w:val="003A4B8B"/>
    <w:rsid w:val="003D5BBE"/>
    <w:rsid w:val="003E3C61"/>
    <w:rsid w:val="003F1C5B"/>
    <w:rsid w:val="00434E33"/>
    <w:rsid w:val="00441434"/>
    <w:rsid w:val="0045264C"/>
    <w:rsid w:val="004876EC"/>
    <w:rsid w:val="0049218E"/>
    <w:rsid w:val="004A20E7"/>
    <w:rsid w:val="004D6E14"/>
    <w:rsid w:val="004E536D"/>
    <w:rsid w:val="005009B0"/>
    <w:rsid w:val="005A1006"/>
    <w:rsid w:val="005D6923"/>
    <w:rsid w:val="005E714A"/>
    <w:rsid w:val="005F693D"/>
    <w:rsid w:val="006140A0"/>
    <w:rsid w:val="00636621"/>
    <w:rsid w:val="00642B49"/>
    <w:rsid w:val="00663562"/>
    <w:rsid w:val="006832D9"/>
    <w:rsid w:val="0069403B"/>
    <w:rsid w:val="006F3DDE"/>
    <w:rsid w:val="00704678"/>
    <w:rsid w:val="00733FBD"/>
    <w:rsid w:val="007411D7"/>
    <w:rsid w:val="007425E7"/>
    <w:rsid w:val="007F7080"/>
    <w:rsid w:val="00802607"/>
    <w:rsid w:val="008045BC"/>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E638D"/>
    <w:rsid w:val="009F5923"/>
    <w:rsid w:val="00A403BB"/>
    <w:rsid w:val="00A674DF"/>
    <w:rsid w:val="00A83AA6"/>
    <w:rsid w:val="00A934D6"/>
    <w:rsid w:val="00AE1809"/>
    <w:rsid w:val="00B238BE"/>
    <w:rsid w:val="00B57C8D"/>
    <w:rsid w:val="00B80D76"/>
    <w:rsid w:val="00BA2105"/>
    <w:rsid w:val="00BA7E06"/>
    <w:rsid w:val="00BB43B5"/>
    <w:rsid w:val="00BB6219"/>
    <w:rsid w:val="00BD290F"/>
    <w:rsid w:val="00C14CC4"/>
    <w:rsid w:val="00C2260A"/>
    <w:rsid w:val="00C33C52"/>
    <w:rsid w:val="00C40D8B"/>
    <w:rsid w:val="00C8407A"/>
    <w:rsid w:val="00C8488C"/>
    <w:rsid w:val="00C86E91"/>
    <w:rsid w:val="00CA2650"/>
    <w:rsid w:val="00CB1078"/>
    <w:rsid w:val="00CC6FAF"/>
    <w:rsid w:val="00CF6542"/>
    <w:rsid w:val="00CF7758"/>
    <w:rsid w:val="00D03AD6"/>
    <w:rsid w:val="00D24698"/>
    <w:rsid w:val="00D6383F"/>
    <w:rsid w:val="00DB59D0"/>
    <w:rsid w:val="00DC33D3"/>
    <w:rsid w:val="00DC6AE5"/>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76B87"/>
    <w:rsid w:val="00F9338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3CCE7"/>
  <w15:docId w15:val="{76E3AFA1-1F9F-4582-A73A-C001748E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23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oj.pillai@usmint.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Scharbrough, Mary</cp:lastModifiedBy>
  <cp:revision>2</cp:revision>
  <cp:lastPrinted>2010-10-04T16:59:00Z</cp:lastPrinted>
  <dcterms:created xsi:type="dcterms:W3CDTF">2020-04-20T17:16:00Z</dcterms:created>
  <dcterms:modified xsi:type="dcterms:W3CDTF">2020-04-20T17:16:00Z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