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A41F2">
        <w:rPr>
          <w:sz w:val="28"/>
        </w:rPr>
        <w:t>1660-0</w:t>
      </w:r>
      <w:r w:rsidR="009233F0">
        <w:rPr>
          <w:sz w:val="28"/>
        </w:rPr>
        <w:t>130</w:t>
      </w:r>
      <w:r>
        <w:rPr>
          <w:sz w:val="28"/>
        </w:rPr>
        <w:t>)</w:t>
      </w:r>
    </w:p>
    <w:p w:rsidRPr="009239AA" w:rsidR="00E50293" w:rsidP="00434E33" w:rsidRDefault="00DD72E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3013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2B61B3">
        <w:t>FEMA National Continuity Stakeholder Survey</w:t>
      </w:r>
    </w:p>
    <w:p w:rsidR="005E714A" w:rsidRDefault="005E714A"/>
    <w:p w:rsidR="001B0AAA" w:rsidP="002B61B3" w:rsidRDefault="00F15956">
      <w:r>
        <w:rPr>
          <w:b/>
        </w:rPr>
        <w:t>PURPOSE</w:t>
      </w:r>
      <w:r w:rsidRPr="009239AA">
        <w:rPr>
          <w:b/>
        </w:rPr>
        <w:t>:</w:t>
      </w:r>
      <w:r w:rsidRPr="009239AA" w:rsidR="00C14CC4">
        <w:rPr>
          <w:b/>
        </w:rPr>
        <w:t xml:space="preserve">  </w:t>
      </w:r>
      <w:r w:rsidR="002B61B3">
        <w:t>Determine the current use and utility of FEMA NCP continuity-related products and services by the whole community.  Use the summary of findings to inform decisions regarding current and future continuity-related products and services.</w:t>
      </w: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r w:rsidR="007262A3">
        <w:t xml:space="preserve"> </w:t>
      </w:r>
      <w:r w:rsidR="002B61B3">
        <w:t xml:space="preserve">Whole community continuity personnel. </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9B5273">
        <w:rPr>
          <w:bCs/>
          <w:sz w:val="24"/>
        </w:rPr>
        <w:t xml:space="preserve"> X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9B5273">
        <w:rPr>
          <w:bCs/>
          <w:sz w:val="24"/>
        </w:rPr>
        <w:t>)</w:t>
      </w:r>
      <w:r w:rsidR="00F06866">
        <w:rPr>
          <w:bCs/>
          <w:sz w:val="24"/>
        </w:rPr>
        <w:tab/>
        <w:t>[ ] Small Discussion Group</w:t>
      </w:r>
    </w:p>
    <w:p w:rsidRPr="00F06866" w:rsidR="00F06866" w:rsidP="0096108F" w:rsidRDefault="00935ADA">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C87CA3" w:rsidR="00F06866">
        <w:rPr>
          <w:bCs/>
          <w:sz w:val="24"/>
        </w:rPr>
        <w:t xml:space="preserve"> ______________________</w:t>
      </w:r>
      <w:r w:rsidRPr="00C87CA3" w:rsidR="00F06866">
        <w:rPr>
          <w:bCs/>
          <w:sz w:val="24"/>
        </w:rPr>
        <w:tab/>
      </w:r>
      <w:r w:rsidRPr="00C87CA3" w:rsidR="00F06866">
        <w:rPr>
          <w:bCs/>
          <w:sz w:val="24"/>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bookmarkStart w:name="_GoBack" w:id="0"/>
      <w:bookmarkEnd w:id="0"/>
    </w:p>
    <w:p w:rsidR="008101A5" w:rsidP="008101A5" w:rsidRDefault="008101A5">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proofErr w:type="spellStart"/>
      <w:proofErr w:type="gramStart"/>
      <w:r>
        <w:t>Name:_</w:t>
      </w:r>
      <w:proofErr w:type="gramEnd"/>
      <w:r>
        <w:t>_</w:t>
      </w:r>
      <w:r w:rsidRPr="008B1CDF" w:rsidR="003E3532">
        <w:rPr>
          <w:u w:val="single"/>
        </w:rPr>
        <w:t>Denise</w:t>
      </w:r>
      <w:proofErr w:type="spellEnd"/>
      <w:r w:rsidRPr="008B1CDF" w:rsidR="003E3532">
        <w:rPr>
          <w:u w:val="single"/>
        </w:rPr>
        <w:t xml:space="preserve"> Chrosniak</w:t>
      </w:r>
      <w:r>
        <w:t>____________________________</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proofErr w:type="gramStart"/>
      <w:r w:rsidRPr="00C86E91">
        <w:rPr>
          <w:b/>
        </w:rPr>
        <w:t>Personally</w:t>
      </w:r>
      <w:proofErr w:type="gramEnd"/>
      <w:r w:rsidRPr="00C86E91">
        <w:rPr>
          <w:b/>
        </w:rPr>
        <w:t xml:space="preserve">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911650">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w:t>
      </w:r>
      <w:proofErr w:type="gramStart"/>
      <w:r>
        <w:t>[  ]</w:t>
      </w:r>
      <w:proofErr w:type="gramEnd"/>
      <w:r>
        <w:t xml:space="preserve"> Yes [</w:t>
      </w:r>
      <w:r w:rsidR="00911650">
        <w:t>X</w:t>
      </w:r>
      <w:r>
        <w:t xml:space="preserve">] No  </w:t>
      </w:r>
    </w:p>
    <w:p w:rsidR="004D6E14" w:rsidRDefault="004D6E14">
      <w:pPr>
        <w:rPr>
          <w:b/>
        </w:rPr>
      </w:pPr>
    </w:p>
    <w:p w:rsidR="00BA2E9E" w:rsidP="00C86E91" w:rsidRDefault="00BA2E9E">
      <w:pPr>
        <w:rPr>
          <w:b/>
        </w:rPr>
      </w:pPr>
    </w:p>
    <w:p w:rsidR="00BA2E9E" w:rsidP="00C86E91" w:rsidRDefault="00BA2E9E">
      <w:pPr>
        <w:rPr>
          <w:b/>
        </w:rPr>
      </w:pPr>
    </w:p>
    <w:p w:rsidR="00BA2E9E" w:rsidP="00C86E91" w:rsidRDefault="00BA2E9E">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544E7D" w:rsidTr="0001027E">
        <w:trPr>
          <w:trHeight w:val="289"/>
        </w:trPr>
        <w:tc>
          <w:tcPr>
            <w:tcW w:w="5418" w:type="dxa"/>
          </w:tcPr>
          <w:p w:rsidRPr="00544E7D" w:rsidR="00544E7D" w:rsidP="00E359A3" w:rsidRDefault="003E3532">
            <w:r>
              <w:t>Private Sector</w:t>
            </w:r>
          </w:p>
        </w:tc>
        <w:tc>
          <w:tcPr>
            <w:tcW w:w="1530" w:type="dxa"/>
          </w:tcPr>
          <w:p w:rsidRPr="00544E7D" w:rsidR="00544E7D" w:rsidP="0035127B" w:rsidRDefault="003E3532">
            <w:r>
              <w:t>100</w:t>
            </w:r>
          </w:p>
        </w:tc>
        <w:tc>
          <w:tcPr>
            <w:tcW w:w="1710" w:type="dxa"/>
          </w:tcPr>
          <w:p w:rsidR="00544E7D" w:rsidP="00843796" w:rsidRDefault="003E3532">
            <w:r>
              <w:t>10 min</w:t>
            </w:r>
          </w:p>
        </w:tc>
        <w:tc>
          <w:tcPr>
            <w:tcW w:w="1003" w:type="dxa"/>
          </w:tcPr>
          <w:p w:rsidRPr="00544E7D" w:rsidR="00544E7D" w:rsidP="0035127B" w:rsidRDefault="003E3532">
            <w:pPr>
              <w:jc w:val="right"/>
            </w:pPr>
            <w:r>
              <w:t>1</w:t>
            </w:r>
            <w:r w:rsidR="00541941">
              <w:t>6</w:t>
            </w:r>
            <w:r>
              <w:t xml:space="preserve"> </w:t>
            </w:r>
            <w:proofErr w:type="spellStart"/>
            <w:r>
              <w:t>hrs</w:t>
            </w:r>
            <w:proofErr w:type="spellEnd"/>
          </w:p>
        </w:tc>
      </w:tr>
      <w:tr w:rsidR="00B5171B" w:rsidTr="0001027E">
        <w:trPr>
          <w:trHeight w:val="289"/>
        </w:trPr>
        <w:tc>
          <w:tcPr>
            <w:tcW w:w="5418" w:type="dxa"/>
          </w:tcPr>
          <w:p w:rsidRPr="00544E7D" w:rsidR="00B5171B" w:rsidP="00E359A3" w:rsidRDefault="003E3532">
            <w:r>
              <w:t>State, Local, or Tribal Governments</w:t>
            </w:r>
          </w:p>
        </w:tc>
        <w:tc>
          <w:tcPr>
            <w:tcW w:w="1530" w:type="dxa"/>
          </w:tcPr>
          <w:p w:rsidRPr="00544E7D" w:rsidR="00B5171B" w:rsidP="0035127B" w:rsidRDefault="003E3532">
            <w:r>
              <w:t>400</w:t>
            </w:r>
          </w:p>
        </w:tc>
        <w:tc>
          <w:tcPr>
            <w:tcW w:w="1710" w:type="dxa"/>
          </w:tcPr>
          <w:p w:rsidR="00B5171B" w:rsidP="00843796" w:rsidRDefault="003E3532">
            <w:r>
              <w:t>10 min</w:t>
            </w:r>
          </w:p>
        </w:tc>
        <w:tc>
          <w:tcPr>
            <w:tcW w:w="1003" w:type="dxa"/>
          </w:tcPr>
          <w:p w:rsidRPr="00544E7D" w:rsidR="00B5171B" w:rsidP="0035127B" w:rsidRDefault="003E3532">
            <w:pPr>
              <w:jc w:val="right"/>
            </w:pPr>
            <w:r>
              <w:t xml:space="preserve">67 </w:t>
            </w:r>
            <w:proofErr w:type="spellStart"/>
            <w:r>
              <w:t>hrs</w:t>
            </w:r>
            <w:proofErr w:type="spellEnd"/>
          </w:p>
        </w:tc>
      </w:tr>
      <w:tr w:rsidR="00B5171B" w:rsidTr="0001027E">
        <w:trPr>
          <w:trHeight w:val="289"/>
        </w:trPr>
        <w:tc>
          <w:tcPr>
            <w:tcW w:w="5418" w:type="dxa"/>
          </w:tcPr>
          <w:p w:rsidRPr="00544E7D" w:rsidR="00B5171B" w:rsidP="00E359A3" w:rsidRDefault="00B5171B"/>
        </w:tc>
        <w:tc>
          <w:tcPr>
            <w:tcW w:w="1530" w:type="dxa"/>
          </w:tcPr>
          <w:p w:rsidRPr="00544E7D" w:rsidR="00B5171B" w:rsidP="0035127B" w:rsidRDefault="00B5171B"/>
        </w:tc>
        <w:tc>
          <w:tcPr>
            <w:tcW w:w="1710" w:type="dxa"/>
          </w:tcPr>
          <w:p w:rsidR="00B5171B" w:rsidP="00843796" w:rsidRDefault="00B5171B"/>
        </w:tc>
        <w:tc>
          <w:tcPr>
            <w:tcW w:w="1003" w:type="dxa"/>
          </w:tcPr>
          <w:p w:rsidRPr="00544E7D" w:rsidR="00B5171B" w:rsidP="0035127B" w:rsidRDefault="00B5171B">
            <w:pPr>
              <w:jc w:val="right"/>
            </w:pPr>
          </w:p>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3E3532">
            <w:pPr>
              <w:rPr>
                <w:b/>
              </w:rPr>
            </w:pPr>
            <w:r>
              <w:rPr>
                <w:b/>
              </w:rPr>
              <w:t>500</w:t>
            </w:r>
          </w:p>
        </w:tc>
        <w:tc>
          <w:tcPr>
            <w:tcW w:w="1710" w:type="dxa"/>
          </w:tcPr>
          <w:p w:rsidR="006832D9" w:rsidP="00843796" w:rsidRDefault="003E3532">
            <w:r>
              <w:t>20 min</w:t>
            </w:r>
          </w:p>
        </w:tc>
        <w:tc>
          <w:tcPr>
            <w:tcW w:w="1003" w:type="dxa"/>
          </w:tcPr>
          <w:p w:rsidRPr="0001027E" w:rsidR="006832D9" w:rsidP="00544E7D" w:rsidRDefault="003E3532">
            <w:pPr>
              <w:jc w:val="right"/>
              <w:rPr>
                <w:b/>
              </w:rPr>
            </w:pPr>
            <w:r>
              <w:rPr>
                <w:b/>
              </w:rPr>
              <w:t>8</w:t>
            </w:r>
            <w:r w:rsidR="00541941">
              <w:rPr>
                <w:b/>
              </w:rPr>
              <w:t>3</w:t>
            </w:r>
            <w:r>
              <w:rPr>
                <w:b/>
              </w:rPr>
              <w:t xml:space="preserve"> </w:t>
            </w:r>
            <w:proofErr w:type="spellStart"/>
            <w:r>
              <w:rPr>
                <w:b/>
              </w:rPr>
              <w:t>hrs</w:t>
            </w:r>
            <w:proofErr w:type="spellEnd"/>
          </w:p>
        </w:tc>
      </w:tr>
    </w:tbl>
    <w:p w:rsidR="00F3170F" w:rsidP="00F3170F" w:rsidRDefault="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B84BB6">
        <w:t>st to the Federal government is:</w:t>
      </w:r>
    </w:p>
    <w:p w:rsidR="003B6FDC" w:rsidRDefault="003B6FDC"/>
    <w:tbl>
      <w:tblPr>
        <w:tblW w:w="9540" w:type="dxa"/>
        <w:tblInd w:w="113" w:type="dxa"/>
        <w:tblLook w:val="04A0" w:firstRow="1" w:lastRow="0" w:firstColumn="1" w:lastColumn="0" w:noHBand="0" w:noVBand="1"/>
      </w:tblPr>
      <w:tblGrid>
        <w:gridCol w:w="7420"/>
        <w:gridCol w:w="2120"/>
      </w:tblGrid>
      <w:tr w:rsidR="006B64DF" w:rsidTr="006B64DF">
        <w:trPr>
          <w:trHeight w:val="288"/>
        </w:trPr>
        <w:tc>
          <w:tcPr>
            <w:tcW w:w="954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B64DF" w:rsidR="006B64DF" w:rsidRDefault="006B64DF">
            <w:pPr>
              <w:jc w:val="center"/>
              <w:rPr>
                <w:b/>
                <w:bCs/>
                <w:color w:val="000000"/>
                <w:sz w:val="22"/>
                <w:szCs w:val="22"/>
              </w:rPr>
            </w:pPr>
            <w:r w:rsidRPr="006B64DF">
              <w:rPr>
                <w:b/>
                <w:bCs/>
                <w:color w:val="000000"/>
                <w:sz w:val="22"/>
                <w:szCs w:val="22"/>
              </w:rPr>
              <w:t>Annual Cost to the Federal Government</w:t>
            </w:r>
          </w:p>
        </w:tc>
      </w:tr>
      <w:tr w:rsidR="006B64DF" w:rsidTr="006B64DF">
        <w:trPr>
          <w:trHeight w:val="288"/>
        </w:trPr>
        <w:tc>
          <w:tcPr>
            <w:tcW w:w="742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6B64DF" w:rsidR="006B64DF" w:rsidRDefault="006B64DF">
            <w:pPr>
              <w:jc w:val="center"/>
              <w:rPr>
                <w:b/>
                <w:bCs/>
                <w:color w:val="000000"/>
                <w:sz w:val="22"/>
                <w:szCs w:val="22"/>
              </w:rPr>
            </w:pPr>
            <w:r w:rsidRPr="006B64DF">
              <w:rPr>
                <w:b/>
                <w:bCs/>
                <w:color w:val="000000"/>
                <w:sz w:val="22"/>
                <w:szCs w:val="22"/>
              </w:rPr>
              <w:t>Item</w:t>
            </w:r>
          </w:p>
        </w:tc>
        <w:tc>
          <w:tcPr>
            <w:tcW w:w="2120" w:type="dxa"/>
            <w:tcBorders>
              <w:top w:val="single" w:color="auto" w:sz="4" w:space="0"/>
              <w:left w:val="nil"/>
              <w:bottom w:val="single" w:color="auto" w:sz="4" w:space="0"/>
              <w:right w:val="single" w:color="auto" w:sz="4" w:space="0"/>
            </w:tcBorders>
            <w:shd w:val="clear" w:color="000000" w:fill="9BC2E6"/>
            <w:noWrap/>
            <w:vAlign w:val="bottom"/>
            <w:hideMark/>
          </w:tcPr>
          <w:p w:rsidRPr="006B64DF" w:rsidR="006B64DF" w:rsidRDefault="006B64DF">
            <w:pPr>
              <w:jc w:val="center"/>
              <w:rPr>
                <w:b/>
                <w:bCs/>
                <w:color w:val="000000"/>
                <w:sz w:val="22"/>
                <w:szCs w:val="22"/>
              </w:rPr>
            </w:pPr>
            <w:r w:rsidRPr="006B64DF">
              <w:rPr>
                <w:b/>
                <w:bCs/>
                <w:color w:val="000000"/>
                <w:sz w:val="22"/>
                <w:szCs w:val="22"/>
              </w:rPr>
              <w:t>Cost ($)</w:t>
            </w:r>
          </w:p>
        </w:tc>
      </w:tr>
      <w:tr w:rsidR="006B64DF" w:rsidTr="006B64DF">
        <w:trPr>
          <w:trHeight w:val="288"/>
        </w:trPr>
        <w:tc>
          <w:tcPr>
            <w:tcW w:w="7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B64DF" w:rsidR="006B64DF" w:rsidRDefault="006B64DF">
            <w:pPr>
              <w:rPr>
                <w:color w:val="000000"/>
                <w:sz w:val="22"/>
                <w:szCs w:val="22"/>
              </w:rPr>
            </w:pPr>
            <w:r w:rsidRPr="006B64DF">
              <w:rPr>
                <w:b/>
                <w:color w:val="000000"/>
                <w:sz w:val="22"/>
                <w:szCs w:val="22"/>
              </w:rPr>
              <w:t>Staff Salaries</w:t>
            </w:r>
            <w:r w:rsidRPr="006B64DF">
              <w:rPr>
                <w:color w:val="000000"/>
                <w:sz w:val="22"/>
                <w:szCs w:val="22"/>
              </w:rPr>
              <w:t xml:space="preserve">: </w:t>
            </w:r>
            <w:r w:rsidR="00862E8E">
              <w:rPr>
                <w:color w:val="000000"/>
                <w:sz w:val="22"/>
                <w:szCs w:val="22"/>
              </w:rPr>
              <w:t>[Include Job Title, GS-Level, Salary, Location, and Estimated # of Hours]</w:t>
            </w:r>
          </w:p>
        </w:tc>
        <w:tc>
          <w:tcPr>
            <w:tcW w:w="2120" w:type="dxa"/>
            <w:tcBorders>
              <w:top w:val="single" w:color="auto" w:sz="4" w:space="0"/>
              <w:left w:val="nil"/>
              <w:bottom w:val="single" w:color="auto" w:sz="4" w:space="0"/>
              <w:right w:val="single" w:color="auto" w:sz="4" w:space="0"/>
            </w:tcBorders>
            <w:shd w:val="clear" w:color="auto" w:fill="auto"/>
            <w:noWrap/>
            <w:vAlign w:val="bottom"/>
            <w:hideMark/>
          </w:tcPr>
          <w:p w:rsidRPr="006B64DF" w:rsidR="006B64DF" w:rsidRDefault="00B66CAB">
            <w:pPr>
              <w:jc w:val="right"/>
              <w:rPr>
                <w:color w:val="000000"/>
                <w:sz w:val="22"/>
                <w:szCs w:val="22"/>
              </w:rPr>
            </w:pPr>
            <w:r>
              <w:rPr>
                <w:color w:val="000000"/>
                <w:sz w:val="22"/>
                <w:szCs w:val="22"/>
              </w:rPr>
              <w:t>2,375.00</w:t>
            </w:r>
          </w:p>
        </w:tc>
      </w:tr>
      <w:tr w:rsidR="006B64DF" w:rsidTr="006B64DF">
        <w:trPr>
          <w:trHeight w:val="288"/>
        </w:trPr>
        <w:tc>
          <w:tcPr>
            <w:tcW w:w="74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64DF" w:rsidR="006B64DF" w:rsidP="006B64DF" w:rsidRDefault="006B64DF">
            <w:pPr>
              <w:rPr>
                <w:color w:val="000000"/>
                <w:sz w:val="22"/>
                <w:szCs w:val="22"/>
              </w:rPr>
            </w:pPr>
            <w:r w:rsidRPr="006B64DF">
              <w:rPr>
                <w:b/>
                <w:color w:val="000000"/>
                <w:sz w:val="22"/>
                <w:szCs w:val="22"/>
              </w:rPr>
              <w:t>Computer Hardware and Software</w:t>
            </w:r>
            <w:r w:rsidRPr="006B64DF">
              <w:rPr>
                <w:color w:val="000000"/>
                <w:sz w:val="22"/>
                <w:szCs w:val="22"/>
              </w:rPr>
              <w:t xml:space="preserve"> [cost of equipment annual lifecycle]</w:t>
            </w:r>
            <w:r w:rsidRPr="006B64DF">
              <w:rPr>
                <w:color w:val="000000"/>
                <w:sz w:val="22"/>
                <w:szCs w:val="22"/>
              </w:rPr>
              <w:br/>
              <w:t>software maintenance</w:t>
            </w:r>
          </w:p>
        </w:tc>
        <w:tc>
          <w:tcPr>
            <w:tcW w:w="2120" w:type="dxa"/>
            <w:tcBorders>
              <w:top w:val="single" w:color="auto" w:sz="4" w:space="0"/>
              <w:left w:val="nil"/>
              <w:bottom w:val="single" w:color="auto" w:sz="4" w:space="0"/>
              <w:right w:val="single" w:color="auto" w:sz="4" w:space="0"/>
            </w:tcBorders>
            <w:shd w:val="clear" w:color="auto" w:fill="auto"/>
            <w:noWrap/>
            <w:vAlign w:val="bottom"/>
            <w:hideMark/>
          </w:tcPr>
          <w:p w:rsidRPr="006B64DF" w:rsidR="006B64DF" w:rsidRDefault="00B66CAB">
            <w:pPr>
              <w:jc w:val="right"/>
              <w:rPr>
                <w:color w:val="000000"/>
                <w:sz w:val="22"/>
                <w:szCs w:val="22"/>
              </w:rPr>
            </w:pPr>
            <w:r>
              <w:rPr>
                <w:color w:val="000000"/>
                <w:sz w:val="22"/>
                <w:szCs w:val="22"/>
              </w:rPr>
              <w:t>N/A</w:t>
            </w:r>
          </w:p>
        </w:tc>
      </w:tr>
      <w:tr w:rsidR="006B64DF" w:rsidTr="006B64DF">
        <w:trPr>
          <w:trHeight w:val="288"/>
        </w:trPr>
        <w:tc>
          <w:tcPr>
            <w:tcW w:w="74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B64DF" w:rsidR="006B64DF" w:rsidRDefault="006B64DF">
            <w:pPr>
              <w:rPr>
                <w:color w:val="000000"/>
                <w:sz w:val="22"/>
                <w:szCs w:val="22"/>
              </w:rPr>
            </w:pPr>
            <w:r w:rsidRPr="006B64DF">
              <w:rPr>
                <w:b/>
                <w:color w:val="000000"/>
                <w:sz w:val="22"/>
                <w:szCs w:val="22"/>
              </w:rPr>
              <w:t>Equipment Maintenance</w:t>
            </w:r>
            <w:r w:rsidRPr="006B64DF">
              <w:rPr>
                <w:color w:val="000000"/>
                <w:sz w:val="22"/>
                <w:szCs w:val="22"/>
              </w:rPr>
              <w:t xml:space="preserve"> [cost of annual maintenance/service agreement for equipment</w:t>
            </w:r>
            <w:r w:rsidR="00862E8E">
              <w:rPr>
                <w:color w:val="000000"/>
                <w:sz w:val="22"/>
                <w:szCs w:val="22"/>
              </w:rPr>
              <w:t>]</w:t>
            </w:r>
          </w:p>
        </w:tc>
        <w:tc>
          <w:tcPr>
            <w:tcW w:w="2120" w:type="dxa"/>
            <w:tcBorders>
              <w:top w:val="single" w:color="auto" w:sz="4" w:space="0"/>
              <w:left w:val="nil"/>
              <w:bottom w:val="single" w:color="auto" w:sz="4" w:space="0"/>
              <w:right w:val="single" w:color="auto" w:sz="4" w:space="0"/>
            </w:tcBorders>
            <w:shd w:val="clear" w:color="auto" w:fill="auto"/>
            <w:noWrap/>
            <w:vAlign w:val="bottom"/>
            <w:hideMark/>
          </w:tcPr>
          <w:p w:rsidRPr="006B64DF" w:rsidR="006B64DF" w:rsidRDefault="00B66CAB">
            <w:pPr>
              <w:jc w:val="right"/>
              <w:rPr>
                <w:color w:val="000000"/>
                <w:sz w:val="22"/>
                <w:szCs w:val="22"/>
              </w:rPr>
            </w:pPr>
            <w:r>
              <w:rPr>
                <w:color w:val="000000"/>
                <w:sz w:val="22"/>
                <w:szCs w:val="22"/>
              </w:rPr>
              <w:t>N/A</w:t>
            </w:r>
          </w:p>
        </w:tc>
      </w:tr>
      <w:tr w:rsidR="006B64DF" w:rsidTr="006B64DF">
        <w:trPr>
          <w:trHeight w:val="288"/>
        </w:trPr>
        <w:tc>
          <w:tcPr>
            <w:tcW w:w="7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B64DF" w:rsidR="006B64DF" w:rsidRDefault="006B64DF">
            <w:pPr>
              <w:rPr>
                <w:b/>
                <w:bCs/>
                <w:color w:val="000000"/>
                <w:sz w:val="22"/>
                <w:szCs w:val="22"/>
              </w:rPr>
            </w:pPr>
            <w:r w:rsidRPr="006B64DF">
              <w:rPr>
                <w:b/>
                <w:bCs/>
                <w:color w:val="000000"/>
                <w:sz w:val="22"/>
                <w:szCs w:val="22"/>
              </w:rPr>
              <w:t>TOTAL:</w:t>
            </w:r>
          </w:p>
        </w:tc>
        <w:tc>
          <w:tcPr>
            <w:tcW w:w="2120" w:type="dxa"/>
            <w:tcBorders>
              <w:top w:val="single" w:color="auto" w:sz="4" w:space="0"/>
              <w:left w:val="nil"/>
              <w:bottom w:val="single" w:color="auto" w:sz="4" w:space="0"/>
              <w:right w:val="single" w:color="auto" w:sz="4" w:space="0"/>
            </w:tcBorders>
            <w:shd w:val="clear" w:color="auto" w:fill="auto"/>
            <w:noWrap/>
            <w:vAlign w:val="bottom"/>
            <w:hideMark/>
          </w:tcPr>
          <w:p w:rsidRPr="006B64DF" w:rsidR="006B64DF" w:rsidRDefault="00B66CAB">
            <w:pPr>
              <w:jc w:val="right"/>
              <w:rPr>
                <w:color w:val="000000"/>
                <w:sz w:val="22"/>
                <w:szCs w:val="22"/>
              </w:rPr>
            </w:pPr>
            <w:r>
              <w:rPr>
                <w:color w:val="000000"/>
                <w:sz w:val="22"/>
                <w:szCs w:val="22"/>
              </w:rPr>
              <w:t>2,375.00</w:t>
            </w:r>
          </w:p>
        </w:tc>
      </w:tr>
    </w:tbl>
    <w:p w:rsidR="00B8324F" w:rsidRDefault="00B8324F">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t>[</w:t>
      </w:r>
      <w:r w:rsidR="002B61B3">
        <w:t>X</w:t>
      </w:r>
      <w:r>
        <w:t>] Yes</w:t>
      </w:r>
      <w:r w:rsidR="002B61B3">
        <w:t xml:space="preserve"> </w:t>
      </w:r>
      <w:proofErr w:type="gramStart"/>
      <w:r>
        <w:t>[</w:t>
      </w:r>
      <w:r w:rsidR="007E78FB">
        <w:t xml:space="preserve"> </w:t>
      </w:r>
      <w:r>
        <w:t>]</w:t>
      </w:r>
      <w:proofErr w:type="gramEnd"/>
      <w:r>
        <w:t xml:space="preserve"> No</w:t>
      </w:r>
    </w:p>
    <w:p w:rsidR="00636621" w:rsidP="00636621" w:rsidRDefault="00636621">
      <w:pPr>
        <w:pStyle w:val="ListParagraph"/>
      </w:pPr>
    </w:p>
    <w:p w:rsidR="00636621" w:rsidP="001B0AAA" w:rsidRDefault="00636621">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E3532" w:rsidP="001B0AAA" w:rsidRDefault="003E3532"/>
    <w:p w:rsidR="003E3532" w:rsidP="001B0AAA" w:rsidRDefault="001C4157">
      <w:r>
        <w:t>Initial</w:t>
      </w:r>
      <w:r w:rsidR="003E3532">
        <w:t xml:space="preserve"> email will go through the Regional Continuity Managers in each of the 10 regions.  RCMs are then advised to send out to 50 different personnel that would cover the makeup of their region.  Personnel who take the questionnaire will then email results back to an organizational email box.</w:t>
      </w:r>
    </w:p>
    <w:p w:rsidR="00A403BB" w:rsidP="00A403BB" w:rsidRDefault="00A403BB">
      <w:pPr>
        <w:pStyle w:val="ListParagraph"/>
      </w:pPr>
    </w:p>
    <w:p w:rsidR="00A403BB" w:rsidP="00A403BB" w:rsidRDefault="00A403BB"/>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w:t>
      </w:r>
      <w:r w:rsidR="007E78FB">
        <w:t>X</w:t>
      </w:r>
      <w:r>
        <w:t>] Web-based</w:t>
      </w:r>
      <w:r w:rsidR="001B0AAA">
        <w:t xml:space="preserve"> or other forms of Social Media </w:t>
      </w:r>
    </w:p>
    <w:p w:rsidR="001B0AAA" w:rsidP="001B0AAA" w:rsidRDefault="00A403BB">
      <w:pPr>
        <w:ind w:left="720"/>
      </w:pPr>
      <w:proofErr w:type="gramStart"/>
      <w:r>
        <w:t xml:space="preserve">[ </w:t>
      </w:r>
      <w:r w:rsidR="001B0AAA">
        <w:t xml:space="preserve"> </w:t>
      </w:r>
      <w:r>
        <w:t>]</w:t>
      </w:r>
      <w:proofErr w:type="gramEnd"/>
      <w:r>
        <w:t xml:space="preserve"> Telephone</w:t>
      </w:r>
      <w:r>
        <w:tab/>
      </w:r>
    </w:p>
    <w:p w:rsidR="001B0AAA" w:rsidP="001B0AAA" w:rsidRDefault="00A403BB">
      <w:pPr>
        <w:ind w:left="720"/>
      </w:pPr>
      <w:proofErr w:type="gramStart"/>
      <w:r>
        <w:t>[</w:t>
      </w:r>
      <w:r w:rsidR="007E78FB">
        <w:t xml:space="preserve">  </w:t>
      </w:r>
      <w:r>
        <w:t>]</w:t>
      </w:r>
      <w:proofErr w:type="gramEnd"/>
      <w:r>
        <w:t xml:space="preserve"> In-person</w:t>
      </w:r>
      <w:r>
        <w:tab/>
      </w:r>
    </w:p>
    <w:p w:rsidR="001B0AAA" w:rsidP="001B0AAA" w:rsidRDefault="00A403BB">
      <w:pPr>
        <w:ind w:left="720"/>
      </w:pPr>
      <w:proofErr w:type="gramStart"/>
      <w:r>
        <w:t>[</w:t>
      </w:r>
      <w:r w:rsidR="001B0AAA">
        <w:t xml:space="preserve"> </w:t>
      </w:r>
      <w:r w:rsidR="003E3532">
        <w:t xml:space="preserve"> </w:t>
      </w:r>
      <w:r>
        <w:t>]</w:t>
      </w:r>
      <w:proofErr w:type="gramEnd"/>
      <w:r>
        <w:t xml:space="preserve"> Mail</w:t>
      </w:r>
      <w:r w:rsidR="001B0AAA">
        <w:t xml:space="preserve"> </w:t>
      </w:r>
    </w:p>
    <w:p w:rsidR="001B0AAA" w:rsidP="001B0AAA" w:rsidRDefault="00A403BB">
      <w:pPr>
        <w:ind w:left="720"/>
      </w:pPr>
      <w:proofErr w:type="gramStart"/>
      <w:r>
        <w:t xml:space="preserve">[ </w:t>
      </w:r>
      <w:r w:rsidR="001B0AAA">
        <w:t xml:space="preserve"> </w:t>
      </w:r>
      <w:r>
        <w:t>]</w:t>
      </w:r>
      <w:proofErr w:type="gramEnd"/>
      <w:r>
        <w:t xml:space="preserve"> Other, Explain</w:t>
      </w:r>
    </w:p>
    <w:p w:rsidR="00F24CFC" w:rsidP="00F24CFC" w:rsidRDefault="00F24CFC">
      <w:pPr>
        <w:pStyle w:val="ListParagraph"/>
        <w:numPr>
          <w:ilvl w:val="0"/>
          <w:numId w:val="17"/>
        </w:numPr>
      </w:pPr>
      <w:r>
        <w:t xml:space="preserve">Will interviewers or facilitators be used?  </w:t>
      </w:r>
      <w:proofErr w:type="gramStart"/>
      <w:r>
        <w:t>[  ]</w:t>
      </w:r>
      <w:proofErr w:type="gramEnd"/>
      <w:r>
        <w:t xml:space="preserve"> Yes [</w:t>
      </w:r>
      <w:r w:rsidR="00911650">
        <w:t>X</w:t>
      </w:r>
      <w:r>
        <w:t>]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DD72E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9E5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E55" w:rsidRDefault="00915E55">
      <w:r>
        <w:separator/>
      </w:r>
    </w:p>
  </w:endnote>
  <w:endnote w:type="continuationSeparator" w:id="0">
    <w:p w:rsidR="00915E55" w:rsidRDefault="0091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3755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E55" w:rsidRDefault="00915E55">
      <w:r>
        <w:separator/>
      </w:r>
    </w:p>
  </w:footnote>
  <w:footnote w:type="continuationSeparator" w:id="0">
    <w:p w:rsidR="00915E55" w:rsidRDefault="00915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127"/>
    <w:rsid w:val="0001027E"/>
    <w:rsid w:val="00023A57"/>
    <w:rsid w:val="00026E87"/>
    <w:rsid w:val="00033AF4"/>
    <w:rsid w:val="00047A64"/>
    <w:rsid w:val="00061F7F"/>
    <w:rsid w:val="00067329"/>
    <w:rsid w:val="000B2838"/>
    <w:rsid w:val="000D44CA"/>
    <w:rsid w:val="000E200B"/>
    <w:rsid w:val="000F65A2"/>
    <w:rsid w:val="000F68BE"/>
    <w:rsid w:val="0014791C"/>
    <w:rsid w:val="001505E1"/>
    <w:rsid w:val="00161E54"/>
    <w:rsid w:val="001927A4"/>
    <w:rsid w:val="00194AC6"/>
    <w:rsid w:val="001A23B0"/>
    <w:rsid w:val="001A25CC"/>
    <w:rsid w:val="001B0AAA"/>
    <w:rsid w:val="001C39F7"/>
    <w:rsid w:val="001C4157"/>
    <w:rsid w:val="001E119F"/>
    <w:rsid w:val="00237B48"/>
    <w:rsid w:val="0024521E"/>
    <w:rsid w:val="00263C3D"/>
    <w:rsid w:val="00274D0B"/>
    <w:rsid w:val="002901B9"/>
    <w:rsid w:val="002B052D"/>
    <w:rsid w:val="002B34CD"/>
    <w:rsid w:val="002B3C95"/>
    <w:rsid w:val="002B61B3"/>
    <w:rsid w:val="002D0B92"/>
    <w:rsid w:val="00317C9E"/>
    <w:rsid w:val="0035127B"/>
    <w:rsid w:val="003B6FDC"/>
    <w:rsid w:val="003D5BBE"/>
    <w:rsid w:val="003E3532"/>
    <w:rsid w:val="003E3C61"/>
    <w:rsid w:val="003F1C5B"/>
    <w:rsid w:val="00434E33"/>
    <w:rsid w:val="00441434"/>
    <w:rsid w:val="0045264C"/>
    <w:rsid w:val="004876EC"/>
    <w:rsid w:val="004D6E14"/>
    <w:rsid w:val="005009B0"/>
    <w:rsid w:val="00541941"/>
    <w:rsid w:val="00544E7D"/>
    <w:rsid w:val="005A1006"/>
    <w:rsid w:val="005C04C1"/>
    <w:rsid w:val="005D3BC7"/>
    <w:rsid w:val="005E714A"/>
    <w:rsid w:val="005F3BE2"/>
    <w:rsid w:val="005F693D"/>
    <w:rsid w:val="006140A0"/>
    <w:rsid w:val="00636621"/>
    <w:rsid w:val="00642B49"/>
    <w:rsid w:val="00680A41"/>
    <w:rsid w:val="006832D9"/>
    <w:rsid w:val="0069403B"/>
    <w:rsid w:val="006B64DF"/>
    <w:rsid w:val="006F3DDE"/>
    <w:rsid w:val="0070315D"/>
    <w:rsid w:val="00704678"/>
    <w:rsid w:val="00721BAA"/>
    <w:rsid w:val="00722207"/>
    <w:rsid w:val="007262A3"/>
    <w:rsid w:val="007425E7"/>
    <w:rsid w:val="00754641"/>
    <w:rsid w:val="00792969"/>
    <w:rsid w:val="007D6965"/>
    <w:rsid w:val="007E78FB"/>
    <w:rsid w:val="007F7080"/>
    <w:rsid w:val="00802607"/>
    <w:rsid w:val="008101A5"/>
    <w:rsid w:val="008138E1"/>
    <w:rsid w:val="00822664"/>
    <w:rsid w:val="008332AA"/>
    <w:rsid w:val="00843796"/>
    <w:rsid w:val="00862E8E"/>
    <w:rsid w:val="00895229"/>
    <w:rsid w:val="008A41F2"/>
    <w:rsid w:val="008B1CDF"/>
    <w:rsid w:val="008B2EB3"/>
    <w:rsid w:val="008D0BE2"/>
    <w:rsid w:val="008F0203"/>
    <w:rsid w:val="008F50D4"/>
    <w:rsid w:val="00911650"/>
    <w:rsid w:val="00915E55"/>
    <w:rsid w:val="009233F0"/>
    <w:rsid w:val="009239AA"/>
    <w:rsid w:val="00935ADA"/>
    <w:rsid w:val="00946B6C"/>
    <w:rsid w:val="00955A71"/>
    <w:rsid w:val="0096108F"/>
    <w:rsid w:val="00991188"/>
    <w:rsid w:val="009B5273"/>
    <w:rsid w:val="009C13B9"/>
    <w:rsid w:val="009D01A2"/>
    <w:rsid w:val="009F5923"/>
    <w:rsid w:val="00A403BB"/>
    <w:rsid w:val="00A674DF"/>
    <w:rsid w:val="00A83AA6"/>
    <w:rsid w:val="00A934D6"/>
    <w:rsid w:val="00AE1809"/>
    <w:rsid w:val="00B5171B"/>
    <w:rsid w:val="00B66CAB"/>
    <w:rsid w:val="00B80D76"/>
    <w:rsid w:val="00B8324F"/>
    <w:rsid w:val="00B84BB6"/>
    <w:rsid w:val="00B966A7"/>
    <w:rsid w:val="00BA0383"/>
    <w:rsid w:val="00BA2105"/>
    <w:rsid w:val="00BA2E9E"/>
    <w:rsid w:val="00BA7E06"/>
    <w:rsid w:val="00BB43B5"/>
    <w:rsid w:val="00BB6219"/>
    <w:rsid w:val="00BC4907"/>
    <w:rsid w:val="00BD290F"/>
    <w:rsid w:val="00BD6C0B"/>
    <w:rsid w:val="00BE1D8C"/>
    <w:rsid w:val="00BE32A8"/>
    <w:rsid w:val="00C14CC4"/>
    <w:rsid w:val="00C33C52"/>
    <w:rsid w:val="00C40D8B"/>
    <w:rsid w:val="00C457D1"/>
    <w:rsid w:val="00C8407A"/>
    <w:rsid w:val="00C8488C"/>
    <w:rsid w:val="00C86E91"/>
    <w:rsid w:val="00C87CA3"/>
    <w:rsid w:val="00CA2650"/>
    <w:rsid w:val="00CB1078"/>
    <w:rsid w:val="00CC6FAF"/>
    <w:rsid w:val="00CF6542"/>
    <w:rsid w:val="00D24698"/>
    <w:rsid w:val="00D2545C"/>
    <w:rsid w:val="00D418C9"/>
    <w:rsid w:val="00D6383F"/>
    <w:rsid w:val="00D85014"/>
    <w:rsid w:val="00D90887"/>
    <w:rsid w:val="00DB59D0"/>
    <w:rsid w:val="00DC33D3"/>
    <w:rsid w:val="00DD72E3"/>
    <w:rsid w:val="00E26329"/>
    <w:rsid w:val="00E359A3"/>
    <w:rsid w:val="00E3755B"/>
    <w:rsid w:val="00E40B50"/>
    <w:rsid w:val="00E50293"/>
    <w:rsid w:val="00E55AFE"/>
    <w:rsid w:val="00E65FFC"/>
    <w:rsid w:val="00E744EA"/>
    <w:rsid w:val="00E80951"/>
    <w:rsid w:val="00E86CC6"/>
    <w:rsid w:val="00EA2C9E"/>
    <w:rsid w:val="00EB56B3"/>
    <w:rsid w:val="00ED6492"/>
    <w:rsid w:val="00EF2095"/>
    <w:rsid w:val="00F06866"/>
    <w:rsid w:val="00F15956"/>
    <w:rsid w:val="00F24CFC"/>
    <w:rsid w:val="00F3170F"/>
    <w:rsid w:val="00F37A5B"/>
    <w:rsid w:val="00F976B0"/>
    <w:rsid w:val="00FA6DE7"/>
    <w:rsid w:val="00FC0870"/>
    <w:rsid w:val="00FC0A8E"/>
    <w:rsid w:val="00FE2FA6"/>
    <w:rsid w:val="00FE3DF2"/>
    <w:rsid w:val="00FE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0CE9E46-F2F7-4B94-88AB-AAFED31C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23118">
      <w:bodyDiv w:val="1"/>
      <w:marLeft w:val="0"/>
      <w:marRight w:val="0"/>
      <w:marTop w:val="0"/>
      <w:marBottom w:val="0"/>
      <w:divBdr>
        <w:top w:val="none" w:sz="0" w:space="0" w:color="auto"/>
        <w:left w:val="none" w:sz="0" w:space="0" w:color="auto"/>
        <w:bottom w:val="none" w:sz="0" w:space="0" w:color="auto"/>
        <w:right w:val="none" w:sz="0" w:space="0" w:color="auto"/>
      </w:divBdr>
    </w:div>
    <w:div w:id="5456008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Harrell, Levi</cp:lastModifiedBy>
  <cp:revision>3</cp:revision>
  <cp:lastPrinted>2012-08-30T19:46:00Z</cp:lastPrinted>
  <dcterms:created xsi:type="dcterms:W3CDTF">2020-03-26T20:08:00Z</dcterms:created>
  <dcterms:modified xsi:type="dcterms:W3CDTF">2020-03-26T20:09:00Z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