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4129F" w:rsidRDefault="00565565" w:rsidP="004D2330">
      <w:bookmarkStart w:id="0" w:name="_GoBack"/>
      <w:bookmarkEnd w:id="0"/>
      <w:r w:rsidRPr="00F4129F">
        <w:tab/>
      </w:r>
      <w:r w:rsidR="00155EEA">
        <w:tab/>
      </w:r>
    </w:p>
    <w:p w:rsidR="00155EEA" w:rsidRDefault="00155EEA" w:rsidP="00BE4155">
      <w:pPr>
        <w:outlineLvl w:val="0"/>
        <w:rPr>
          <w:rFonts w:ascii="Times New Roman" w:hAnsi="Times New Roman"/>
          <w:b/>
          <w:sz w:val="24"/>
          <w:szCs w:val="24"/>
        </w:rPr>
      </w:pPr>
    </w:p>
    <w:p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rsidR="00155EEA" w:rsidRPr="00EA6316" w:rsidRDefault="00155EEA" w:rsidP="00155EEA">
      <w:pPr>
        <w:pStyle w:val="MessageHeaderFirst"/>
        <w:tabs>
          <w:tab w:val="left" w:pos="1260"/>
        </w:tabs>
        <w:spacing w:after="120" w:line="240" w:lineRule="auto"/>
        <w:ind w:left="0" w:firstLine="0"/>
        <w:outlineLvl w:val="0"/>
        <w:rPr>
          <w:b/>
          <w:bCs/>
        </w:rPr>
      </w:pPr>
      <w:r>
        <w:rPr>
          <w:rStyle w:val="MessageHeaderLabel"/>
          <w:rFonts w:ascii="Times New Roman" w:hAnsi="Times New Roman" w:cs="Times New Roman"/>
          <w:spacing w:val="-20"/>
          <w:sz w:val="24"/>
          <w:szCs w:val="24"/>
        </w:rPr>
        <w:t>Date:</w:t>
      </w:r>
      <w:r>
        <w:rPr>
          <w:rStyle w:val="MessageHeaderLabel"/>
          <w:rFonts w:ascii="Times New Roman" w:hAnsi="Times New Roman" w:cs="Times New Roman"/>
          <w:spacing w:val="-20"/>
          <w:sz w:val="24"/>
          <w:szCs w:val="24"/>
        </w:rPr>
        <w:tab/>
      </w:r>
      <w:r w:rsidR="00555069">
        <w:rPr>
          <w:sz w:val="24"/>
          <w:szCs w:val="24"/>
        </w:rPr>
        <w:t>August 31</w:t>
      </w:r>
      <w:r w:rsidRPr="00EA6316">
        <w:rPr>
          <w:sz w:val="24"/>
          <w:szCs w:val="24"/>
        </w:rPr>
        <w:t>, 2017</w:t>
      </w:r>
    </w:p>
    <w:p w:rsidR="00BE4155" w:rsidRPr="00F4129F" w:rsidRDefault="00BE4155" w:rsidP="00155EEA">
      <w:pPr>
        <w:pStyle w:val="MessageHeaderFirst"/>
        <w:tabs>
          <w:tab w:val="left" w:pos="1260"/>
        </w:tabs>
        <w:spacing w:after="120" w:line="240" w:lineRule="auto"/>
        <w:ind w:left="0" w:firstLine="0"/>
        <w:outlineLvl w:val="0"/>
        <w:rPr>
          <w:sz w:val="24"/>
          <w:szCs w:val="24"/>
        </w:rPr>
      </w:pPr>
      <w:r w:rsidRPr="00F4129F">
        <w:rPr>
          <w:rStyle w:val="MessageHeaderLabel"/>
          <w:rFonts w:ascii="Times New Roman" w:hAnsi="Times New Roman" w:cs="Times New Roman"/>
          <w:spacing w:val="-20"/>
          <w:sz w:val="24"/>
          <w:szCs w:val="24"/>
        </w:rPr>
        <w:t>T</w:t>
      </w:r>
      <w:r w:rsidRPr="00F4129F">
        <w:rPr>
          <w:rStyle w:val="MessageHeaderLabel"/>
          <w:rFonts w:ascii="Times New Roman" w:hAnsi="Times New Roman" w:cs="Times New Roman"/>
          <w:sz w:val="24"/>
          <w:szCs w:val="24"/>
        </w:rPr>
        <w:t>o:</w:t>
      </w:r>
      <w:r w:rsidRPr="00F4129F">
        <w:rPr>
          <w:sz w:val="24"/>
          <w:szCs w:val="24"/>
        </w:rPr>
        <w:tab/>
      </w:r>
      <w:r w:rsidR="004D2330">
        <w:rPr>
          <w:sz w:val="24"/>
          <w:szCs w:val="24"/>
        </w:rPr>
        <w:t>Robert Sivinski</w:t>
      </w:r>
      <w:r w:rsidR="004D2330" w:rsidRPr="008B7E5D">
        <w:rPr>
          <w:sz w:val="24"/>
          <w:szCs w:val="24"/>
        </w:rPr>
        <w:t>,</w:t>
      </w:r>
      <w:r w:rsidR="004D2330" w:rsidRPr="00F4129F">
        <w:rPr>
          <w:sz w:val="24"/>
          <w:szCs w:val="24"/>
        </w:rPr>
        <w:t xml:space="preserve"> </w:t>
      </w:r>
      <w:r w:rsidR="003C68E4" w:rsidRPr="00F4129F">
        <w:rPr>
          <w:sz w:val="24"/>
          <w:szCs w:val="24"/>
        </w:rPr>
        <w:t>OMB</w:t>
      </w:r>
    </w:p>
    <w:p w:rsidR="00BE4155" w:rsidRPr="00F4129F" w:rsidRDefault="00BE4155" w:rsidP="00155EEA">
      <w:pPr>
        <w:pStyle w:val="MessageHeader"/>
        <w:tabs>
          <w:tab w:val="left" w:pos="1260"/>
        </w:tabs>
        <w:spacing w:after="120" w:line="240" w:lineRule="auto"/>
        <w:ind w:left="0" w:firstLine="0"/>
        <w:outlineLvl w:val="0"/>
        <w:rPr>
          <w:sz w:val="24"/>
          <w:szCs w:val="24"/>
        </w:rPr>
      </w:pPr>
      <w:r w:rsidRPr="00F4129F">
        <w:rPr>
          <w:rStyle w:val="MessageHeaderLabel"/>
          <w:rFonts w:ascii="Times New Roman" w:hAnsi="Times New Roman" w:cs="Times New Roman"/>
          <w:sz w:val="24"/>
          <w:szCs w:val="24"/>
        </w:rPr>
        <w:t>From:</w:t>
      </w:r>
      <w:r w:rsidRPr="00F4129F">
        <w:rPr>
          <w:sz w:val="24"/>
          <w:szCs w:val="24"/>
        </w:rPr>
        <w:tab/>
      </w:r>
      <w:r w:rsidR="008F7D30">
        <w:rPr>
          <w:sz w:val="24"/>
          <w:szCs w:val="24"/>
        </w:rPr>
        <w:t>Amy Ho</w:t>
      </w:r>
      <w:r w:rsidR="00A76613" w:rsidRPr="00F4129F">
        <w:rPr>
          <w:sz w:val="24"/>
          <w:szCs w:val="24"/>
        </w:rPr>
        <w:t xml:space="preserve">, </w:t>
      </w:r>
      <w:r w:rsidR="002267D6" w:rsidRPr="00F4129F">
        <w:rPr>
          <w:sz w:val="24"/>
          <w:szCs w:val="24"/>
        </w:rPr>
        <w:t>NCES</w:t>
      </w:r>
    </w:p>
    <w:p w:rsidR="002267D6" w:rsidRPr="00F4129F" w:rsidRDefault="002267D6" w:rsidP="00155EEA">
      <w:pPr>
        <w:pStyle w:val="MessageHeader"/>
        <w:tabs>
          <w:tab w:val="left" w:pos="1260"/>
        </w:tabs>
        <w:spacing w:after="120" w:line="240" w:lineRule="auto"/>
        <w:ind w:left="0" w:firstLine="0"/>
        <w:outlineLvl w:val="0"/>
        <w:rPr>
          <w:sz w:val="24"/>
          <w:szCs w:val="24"/>
        </w:rPr>
      </w:pPr>
      <w:r w:rsidRPr="00F4129F">
        <w:rPr>
          <w:rStyle w:val="MessageHeaderLabel"/>
          <w:rFonts w:ascii="Times New Roman" w:hAnsi="Times New Roman" w:cs="Times New Roman"/>
          <w:sz w:val="24"/>
          <w:szCs w:val="24"/>
        </w:rPr>
        <w:t>Through:</w:t>
      </w:r>
      <w:r w:rsidRPr="00F4129F">
        <w:rPr>
          <w:sz w:val="24"/>
          <w:szCs w:val="24"/>
        </w:rPr>
        <w:tab/>
        <w:t>Kashka Kubzdela, NCES</w:t>
      </w:r>
    </w:p>
    <w:p w:rsidR="00BE4155" w:rsidRPr="00F4129F"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F4129F">
        <w:rPr>
          <w:rStyle w:val="MessageHeaderLabel"/>
          <w:rFonts w:ascii="Times New Roman" w:hAnsi="Times New Roman" w:cs="Times New Roman"/>
          <w:sz w:val="24"/>
          <w:szCs w:val="24"/>
        </w:rPr>
        <w:t>Re:</w:t>
      </w:r>
      <w:r w:rsidRPr="00F4129F">
        <w:rPr>
          <w:rFonts w:ascii="Times New Roman" w:hAnsi="Times New Roman"/>
          <w:sz w:val="24"/>
          <w:szCs w:val="24"/>
        </w:rPr>
        <w:tab/>
      </w:r>
      <w:r w:rsidR="00FD120C" w:rsidRPr="00FD120C">
        <w:rPr>
          <w:rFonts w:ascii="Times New Roman" w:hAnsi="Times New Roman"/>
          <w:sz w:val="24"/>
          <w:szCs w:val="24"/>
        </w:rPr>
        <w:t xml:space="preserve">2017–18 National Teacher and Principal Survey (NTPS 2017-18) </w:t>
      </w:r>
      <w:r w:rsidR="00FD120C">
        <w:rPr>
          <w:rFonts w:ascii="Times New Roman" w:hAnsi="Times New Roman"/>
          <w:sz w:val="24"/>
          <w:szCs w:val="24"/>
        </w:rPr>
        <w:t>Incentive and Terms of Clearance (TOC)</w:t>
      </w:r>
      <w:r w:rsidR="00FD120C" w:rsidRPr="00FD120C">
        <w:rPr>
          <w:rFonts w:ascii="Times New Roman" w:hAnsi="Times New Roman"/>
          <w:sz w:val="24"/>
          <w:szCs w:val="24"/>
        </w:rPr>
        <w:t xml:space="preserve"> Change Request</w:t>
      </w:r>
      <w:r w:rsidR="00BC3248" w:rsidRPr="00F4129F">
        <w:rPr>
          <w:rFonts w:ascii="Times New Roman" w:hAnsi="Times New Roman"/>
          <w:sz w:val="24"/>
          <w:szCs w:val="24"/>
        </w:rPr>
        <w:t xml:space="preserve"> </w:t>
      </w:r>
      <w:r w:rsidR="002267D6" w:rsidRPr="00F4129F">
        <w:rPr>
          <w:rFonts w:ascii="Times New Roman" w:hAnsi="Times New Roman"/>
          <w:sz w:val="24"/>
          <w:szCs w:val="24"/>
        </w:rPr>
        <w:t>(OMB# 1850-</w:t>
      </w:r>
      <w:r w:rsidR="00D469D3" w:rsidRPr="00F4129F">
        <w:rPr>
          <w:rFonts w:ascii="Times New Roman" w:hAnsi="Times New Roman"/>
          <w:sz w:val="24"/>
          <w:szCs w:val="24"/>
        </w:rPr>
        <w:t>0</w:t>
      </w:r>
      <w:r w:rsidR="006B4AE4">
        <w:rPr>
          <w:rFonts w:ascii="Times New Roman" w:hAnsi="Times New Roman"/>
          <w:sz w:val="24"/>
          <w:szCs w:val="24"/>
        </w:rPr>
        <w:t>598</w:t>
      </w:r>
      <w:r w:rsidR="002267D6" w:rsidRPr="00F4129F">
        <w:rPr>
          <w:rFonts w:ascii="Times New Roman" w:hAnsi="Times New Roman"/>
          <w:sz w:val="24"/>
          <w:szCs w:val="24"/>
        </w:rPr>
        <w:t xml:space="preserve"> v.</w:t>
      </w:r>
      <w:r w:rsidR="00555069">
        <w:rPr>
          <w:rFonts w:ascii="Times New Roman" w:hAnsi="Times New Roman"/>
          <w:sz w:val="24"/>
          <w:szCs w:val="24"/>
        </w:rPr>
        <w:t>2</w:t>
      </w:r>
      <w:r w:rsidR="00FD120C">
        <w:rPr>
          <w:rFonts w:ascii="Times New Roman" w:hAnsi="Times New Roman"/>
          <w:sz w:val="24"/>
          <w:szCs w:val="24"/>
        </w:rPr>
        <w:t>1</w:t>
      </w:r>
      <w:r w:rsidR="002267D6" w:rsidRPr="00F4129F">
        <w:rPr>
          <w:rFonts w:ascii="Times New Roman" w:hAnsi="Times New Roman"/>
          <w:sz w:val="24"/>
          <w:szCs w:val="24"/>
        </w:rPr>
        <w:t>)</w:t>
      </w:r>
    </w:p>
    <w:p w:rsidR="001D744A" w:rsidRPr="006B4AE4" w:rsidRDefault="001D744A" w:rsidP="00D469D3">
      <w:pPr>
        <w:spacing w:after="0" w:line="240" w:lineRule="auto"/>
        <w:rPr>
          <w:rFonts w:ascii="Times New Roman" w:hAnsi="Times New Roman"/>
          <w:sz w:val="24"/>
          <w:szCs w:val="24"/>
        </w:rPr>
      </w:pPr>
    </w:p>
    <w:p w:rsidR="00FD120C" w:rsidRDefault="00FD120C" w:rsidP="006B4AE4">
      <w:pPr>
        <w:rPr>
          <w:rFonts w:ascii="Times New Roman" w:hAnsi="Times New Roman"/>
          <w:sz w:val="24"/>
          <w:szCs w:val="24"/>
        </w:rPr>
      </w:pPr>
      <w:r w:rsidRPr="00FD120C">
        <w:rPr>
          <w:rFonts w:ascii="Times New Roman" w:hAnsi="Times New Roman"/>
          <w:sz w:val="24"/>
          <w:szCs w:val="24"/>
        </w:rPr>
        <w:t xml:space="preserve">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NTPS 2017-18 was approved in June 2017 </w:t>
      </w:r>
      <w:r>
        <w:rPr>
          <w:rFonts w:ascii="Times New Roman" w:hAnsi="Times New Roman"/>
          <w:sz w:val="24"/>
          <w:szCs w:val="24"/>
        </w:rPr>
        <w:t xml:space="preserve">with the latest change request approved in August 2017 </w:t>
      </w:r>
      <w:r w:rsidRPr="00FD120C">
        <w:rPr>
          <w:rFonts w:ascii="Times New Roman" w:hAnsi="Times New Roman"/>
          <w:sz w:val="24"/>
          <w:szCs w:val="24"/>
        </w:rPr>
        <w:t>(OMB# 1850-0598 v.18-</w:t>
      </w:r>
      <w:r>
        <w:rPr>
          <w:rFonts w:ascii="Times New Roman" w:hAnsi="Times New Roman"/>
          <w:sz w:val="24"/>
          <w:szCs w:val="24"/>
        </w:rPr>
        <w:t>20</w:t>
      </w:r>
      <w:r w:rsidRPr="00FD120C">
        <w:rPr>
          <w:rFonts w:ascii="Times New Roman" w:hAnsi="Times New Roman"/>
          <w:sz w:val="24"/>
          <w:szCs w:val="24"/>
        </w:rPr>
        <w:t xml:space="preserve">). </w:t>
      </w:r>
      <w:r w:rsidR="00ED3D3C" w:rsidRPr="00ED3D3C">
        <w:rPr>
          <w:rFonts w:ascii="Times New Roman" w:hAnsi="Times New Roman"/>
          <w:sz w:val="24"/>
          <w:szCs w:val="24"/>
        </w:rPr>
        <w:t xml:space="preserve">This request </w:t>
      </w:r>
      <w:r>
        <w:rPr>
          <w:rFonts w:ascii="Times New Roman" w:hAnsi="Times New Roman"/>
          <w:sz w:val="24"/>
          <w:szCs w:val="24"/>
        </w:rPr>
        <w:t>is to</w:t>
      </w:r>
      <w:r w:rsidR="00ED3D3C" w:rsidRPr="00ED3D3C">
        <w:rPr>
          <w:rFonts w:ascii="Times New Roman" w:hAnsi="Times New Roman"/>
          <w:sz w:val="24"/>
          <w:szCs w:val="24"/>
        </w:rPr>
        <w:t xml:space="preserve">: (a) </w:t>
      </w:r>
      <w:r w:rsidR="001A5A1B">
        <w:rPr>
          <w:rFonts w:ascii="Times New Roman" w:hAnsi="Times New Roman"/>
          <w:sz w:val="24"/>
          <w:szCs w:val="24"/>
        </w:rPr>
        <w:t xml:space="preserve">revise the form of prepaid incentive; (b) </w:t>
      </w:r>
      <w:r w:rsidR="00ED3D3C" w:rsidRPr="00ED3D3C">
        <w:rPr>
          <w:rFonts w:ascii="Times New Roman" w:hAnsi="Times New Roman"/>
          <w:sz w:val="24"/>
          <w:szCs w:val="24"/>
        </w:rPr>
        <w:t xml:space="preserve">add </w:t>
      </w:r>
      <w:r>
        <w:rPr>
          <w:rFonts w:ascii="Times New Roman" w:hAnsi="Times New Roman"/>
          <w:sz w:val="24"/>
          <w:szCs w:val="24"/>
        </w:rPr>
        <w:t>to recruitment materials</w:t>
      </w:r>
      <w:r w:rsidRPr="00ED3D3C">
        <w:rPr>
          <w:rFonts w:ascii="Times New Roman" w:hAnsi="Times New Roman"/>
          <w:sz w:val="24"/>
          <w:szCs w:val="24"/>
        </w:rPr>
        <w:t xml:space="preserve"> </w:t>
      </w:r>
      <w:r w:rsidR="00ED3D3C" w:rsidRPr="00ED3D3C">
        <w:rPr>
          <w:rFonts w:ascii="Times New Roman" w:hAnsi="Times New Roman"/>
          <w:sz w:val="24"/>
          <w:szCs w:val="24"/>
        </w:rPr>
        <w:t>the “</w:t>
      </w:r>
      <w:r w:rsidR="001A5A1B" w:rsidRPr="001A5A1B">
        <w:rPr>
          <w:rFonts w:ascii="Times New Roman" w:hAnsi="Times New Roman"/>
          <w:sz w:val="24"/>
          <w:szCs w:val="24"/>
        </w:rPr>
        <w:t>Initial School Mailout Letter for Schools that Completed the TLF Early</w:t>
      </w:r>
      <w:r w:rsidR="00246688">
        <w:rPr>
          <w:rFonts w:ascii="Times New Roman" w:hAnsi="Times New Roman"/>
          <w:sz w:val="24"/>
          <w:szCs w:val="24"/>
        </w:rPr>
        <w:t>”</w:t>
      </w:r>
      <w:r>
        <w:rPr>
          <w:rFonts w:ascii="Times New Roman" w:hAnsi="Times New Roman"/>
          <w:sz w:val="24"/>
          <w:szCs w:val="24"/>
        </w:rPr>
        <w:t xml:space="preserve">; and (c) </w:t>
      </w:r>
      <w:r w:rsidRPr="00246688">
        <w:rPr>
          <w:rFonts w:ascii="Times New Roman" w:hAnsi="Times New Roman"/>
          <w:sz w:val="24"/>
          <w:szCs w:val="24"/>
        </w:rPr>
        <w:t xml:space="preserve">fulfill </w:t>
      </w:r>
      <w:r>
        <w:rPr>
          <w:rFonts w:ascii="Times New Roman" w:hAnsi="Times New Roman"/>
          <w:sz w:val="24"/>
          <w:szCs w:val="24"/>
        </w:rPr>
        <w:t>the last OMB terms of clearance (</w:t>
      </w:r>
      <w:r w:rsidRPr="00246688">
        <w:rPr>
          <w:rFonts w:ascii="Times New Roman" w:hAnsi="Times New Roman"/>
          <w:sz w:val="24"/>
          <w:szCs w:val="24"/>
        </w:rPr>
        <w:t>Appendix D</w:t>
      </w:r>
      <w:r>
        <w:rPr>
          <w:rFonts w:ascii="Times New Roman" w:hAnsi="Times New Roman"/>
          <w:sz w:val="24"/>
          <w:szCs w:val="24"/>
        </w:rPr>
        <w:t>).</w:t>
      </w:r>
    </w:p>
    <w:p w:rsidR="00715C83" w:rsidRDefault="00715C83" w:rsidP="006B4AE4">
      <w:pPr>
        <w:rPr>
          <w:rFonts w:ascii="Times New Roman" w:hAnsi="Times New Roman"/>
          <w:sz w:val="24"/>
          <w:szCs w:val="24"/>
        </w:rPr>
      </w:pPr>
      <w:r w:rsidRPr="00715C83">
        <w:rPr>
          <w:rFonts w:ascii="Times New Roman" w:hAnsi="Times New Roman"/>
          <w:sz w:val="24"/>
          <w:szCs w:val="24"/>
        </w:rPr>
        <w:t>This request does not introduce changes to respondent burden or the cost to the federal government. The following changes were made to the approved package materials as part of this change request.</w:t>
      </w:r>
    </w:p>
    <w:p w:rsidR="00B64CC0" w:rsidRDefault="00B64CC0" w:rsidP="006B4AE4">
      <w:pPr>
        <w:rPr>
          <w:rFonts w:ascii="Times New Roman" w:hAnsi="Times New Roman"/>
          <w:sz w:val="24"/>
          <w:szCs w:val="24"/>
        </w:rPr>
      </w:pPr>
      <w:r>
        <w:rPr>
          <w:rFonts w:ascii="Times New Roman" w:hAnsi="Times New Roman"/>
          <w:sz w:val="24"/>
          <w:szCs w:val="24"/>
        </w:rPr>
        <w:t xml:space="preserve">Prepaid incentives were approved for NTPS </w:t>
      </w:r>
      <w:r w:rsidRPr="00FD120C">
        <w:rPr>
          <w:rFonts w:ascii="Times New Roman" w:hAnsi="Times New Roman"/>
          <w:sz w:val="24"/>
          <w:szCs w:val="24"/>
        </w:rPr>
        <w:t>2017-18</w:t>
      </w:r>
      <w:r>
        <w:rPr>
          <w:rFonts w:ascii="Times New Roman" w:hAnsi="Times New Roman"/>
          <w:sz w:val="24"/>
          <w:szCs w:val="24"/>
        </w:rPr>
        <w:t xml:space="preserve"> to be distributed as gift cards. </w:t>
      </w:r>
      <w:r w:rsidRPr="00B64CC0">
        <w:rPr>
          <w:rFonts w:ascii="Times New Roman" w:hAnsi="Times New Roman"/>
          <w:sz w:val="24"/>
          <w:szCs w:val="24"/>
        </w:rPr>
        <w:t xml:space="preserve">However, Census has come across numerous difficulties involving the logistics of the gift cards. To prevent any delays in production, NCES decided to offer the </w:t>
      </w:r>
      <w:r>
        <w:rPr>
          <w:rFonts w:ascii="Times New Roman" w:hAnsi="Times New Roman"/>
          <w:sz w:val="24"/>
          <w:szCs w:val="24"/>
        </w:rPr>
        <w:t xml:space="preserve">prepaid </w:t>
      </w:r>
      <w:r w:rsidRPr="00B64CC0">
        <w:rPr>
          <w:rFonts w:ascii="Times New Roman" w:hAnsi="Times New Roman"/>
          <w:sz w:val="24"/>
          <w:szCs w:val="24"/>
        </w:rPr>
        <w:t>incentive</w:t>
      </w:r>
      <w:r>
        <w:rPr>
          <w:rFonts w:ascii="Times New Roman" w:hAnsi="Times New Roman"/>
          <w:sz w:val="24"/>
          <w:szCs w:val="24"/>
        </w:rPr>
        <w:t>s</w:t>
      </w:r>
      <w:r w:rsidRPr="00B64CC0">
        <w:rPr>
          <w:rFonts w:ascii="Times New Roman" w:hAnsi="Times New Roman"/>
          <w:sz w:val="24"/>
          <w:szCs w:val="24"/>
        </w:rPr>
        <w:t xml:space="preserve"> in cash. Supporting Statement Parts A and B</w:t>
      </w:r>
      <w:r>
        <w:rPr>
          <w:rFonts w:ascii="Times New Roman" w:hAnsi="Times New Roman"/>
          <w:sz w:val="24"/>
          <w:szCs w:val="24"/>
        </w:rPr>
        <w:t xml:space="preserve"> and Appendix A</w:t>
      </w:r>
      <w:r w:rsidRPr="00B64CC0">
        <w:rPr>
          <w:rFonts w:ascii="Times New Roman" w:hAnsi="Times New Roman"/>
          <w:sz w:val="24"/>
          <w:szCs w:val="24"/>
        </w:rPr>
        <w:t xml:space="preserve"> have been revised to reflect this change.</w:t>
      </w:r>
    </w:p>
    <w:p w:rsidR="00E12507" w:rsidRPr="00441A8E" w:rsidRDefault="00D72C87" w:rsidP="006B4AE4">
      <w:pPr>
        <w:rPr>
          <w:rFonts w:ascii="Times New Roman" w:hAnsi="Times New Roman"/>
          <w:b/>
          <w:sz w:val="24"/>
          <w:szCs w:val="24"/>
        </w:rPr>
      </w:pPr>
      <w:r>
        <w:rPr>
          <w:rFonts w:ascii="Times New Roman" w:hAnsi="Times New Roman"/>
          <w:b/>
          <w:sz w:val="24"/>
          <w:szCs w:val="24"/>
        </w:rPr>
        <w:t xml:space="preserve">Supporting Statement </w:t>
      </w:r>
      <w:r w:rsidR="00E12507" w:rsidRPr="00441A8E">
        <w:rPr>
          <w:rFonts w:ascii="Times New Roman" w:hAnsi="Times New Roman"/>
          <w:b/>
          <w:sz w:val="24"/>
          <w:szCs w:val="24"/>
        </w:rPr>
        <w:t>Part A</w:t>
      </w:r>
    </w:p>
    <w:p w:rsidR="001B6FEB" w:rsidRPr="00441A8E" w:rsidRDefault="00D72C87" w:rsidP="002E5F79">
      <w:pPr>
        <w:spacing w:after="120" w:line="240" w:lineRule="auto"/>
        <w:rPr>
          <w:rFonts w:ascii="Times New Roman" w:hAnsi="Times New Roman"/>
          <w:sz w:val="24"/>
          <w:szCs w:val="24"/>
        </w:rPr>
      </w:pPr>
      <w:r>
        <w:rPr>
          <w:rFonts w:ascii="Times New Roman" w:hAnsi="Times New Roman"/>
          <w:sz w:val="24"/>
          <w:szCs w:val="24"/>
        </w:rPr>
        <w:t>The following sentence in section A.9 (page 11) was revised as shown in red font</w:t>
      </w:r>
      <w:r w:rsidRPr="00D72C87">
        <w:rPr>
          <w:rFonts w:ascii="Times New Roman" w:hAnsi="Times New Roman"/>
          <w:sz w:val="24"/>
          <w:szCs w:val="24"/>
        </w:rPr>
        <w:t xml:space="preserve"> </w:t>
      </w:r>
      <w:r>
        <w:rPr>
          <w:rFonts w:ascii="Times New Roman" w:hAnsi="Times New Roman"/>
          <w:sz w:val="24"/>
          <w:szCs w:val="24"/>
        </w:rPr>
        <w:t>below</w:t>
      </w:r>
      <w:r w:rsidR="001B6FEB" w:rsidRPr="00441A8E">
        <w:rPr>
          <w:rFonts w:ascii="Times New Roman" w:hAnsi="Times New Roman"/>
          <w:sz w:val="24"/>
          <w:szCs w:val="24"/>
        </w:rPr>
        <w:t>:</w:t>
      </w:r>
    </w:p>
    <w:p w:rsidR="00555069" w:rsidRDefault="00555069" w:rsidP="00F82263">
      <w:pPr>
        <w:spacing w:after="120" w:line="240" w:lineRule="atLeast"/>
        <w:ind w:left="720"/>
        <w:rPr>
          <w:rFonts w:ascii="Times New Roman" w:hAnsi="Times New Roman"/>
          <w:color w:val="000000" w:themeColor="text1"/>
          <w:sz w:val="24"/>
          <w:szCs w:val="24"/>
        </w:rPr>
      </w:pPr>
      <w:r w:rsidRPr="00555069">
        <w:rPr>
          <w:rFonts w:ascii="Times New Roman" w:hAnsi="Times New Roman"/>
          <w:color w:val="000000" w:themeColor="text1"/>
          <w:sz w:val="24"/>
          <w:szCs w:val="24"/>
        </w:rPr>
        <w:t>The 2017-18 NTPS will include an incentive experiment designed to examine the effectiveness of offering teachers a monetary incentive to boost overall teacher response. Teachers in the experimental treatment will receive a prepaid</w:t>
      </w:r>
      <w:r w:rsidR="00715C83">
        <w:rPr>
          <w:rFonts w:ascii="Times New Roman" w:hAnsi="Times New Roman"/>
          <w:color w:val="000000" w:themeColor="text1"/>
          <w:sz w:val="24"/>
          <w:szCs w:val="24"/>
        </w:rPr>
        <w:t xml:space="preserve"> </w:t>
      </w:r>
      <w:r w:rsidR="00715C83" w:rsidRPr="00715C83">
        <w:rPr>
          <w:rFonts w:ascii="Times New Roman" w:hAnsi="Times New Roman"/>
          <w:color w:val="FF0000"/>
          <w:sz w:val="24"/>
          <w:szCs w:val="24"/>
          <w:u w:val="single"/>
        </w:rPr>
        <w:t>cash</w:t>
      </w:r>
      <w:r w:rsidRPr="00555069">
        <w:rPr>
          <w:rFonts w:ascii="Times New Roman" w:hAnsi="Times New Roman"/>
          <w:color w:val="000000" w:themeColor="text1"/>
          <w:sz w:val="24"/>
          <w:szCs w:val="24"/>
        </w:rPr>
        <w:t xml:space="preserve"> incentive </w:t>
      </w:r>
      <w:r w:rsidR="00715C83" w:rsidRPr="00715C83">
        <w:rPr>
          <w:rFonts w:ascii="Times New Roman" w:hAnsi="Times New Roman"/>
          <w:strike/>
          <w:color w:val="FF0000"/>
          <w:sz w:val="24"/>
          <w:szCs w:val="24"/>
        </w:rPr>
        <w:t>gift card</w:t>
      </w:r>
      <w:r w:rsidR="00715C83">
        <w:rPr>
          <w:rFonts w:ascii="Times New Roman" w:hAnsi="Times New Roman"/>
          <w:color w:val="000000" w:themeColor="text1"/>
          <w:sz w:val="24"/>
          <w:szCs w:val="24"/>
        </w:rPr>
        <w:t xml:space="preserve"> </w:t>
      </w:r>
      <w:r w:rsidRPr="00555069">
        <w:rPr>
          <w:rFonts w:ascii="Times New Roman" w:hAnsi="Times New Roman"/>
          <w:color w:val="000000" w:themeColor="text1"/>
          <w:sz w:val="24"/>
          <w:szCs w:val="24"/>
        </w:rPr>
        <w:t xml:space="preserve">at the first contact by mail. </w:t>
      </w:r>
    </w:p>
    <w:p w:rsidR="00E12507" w:rsidRPr="00441A8E" w:rsidRDefault="00D72C87" w:rsidP="00E12507">
      <w:pPr>
        <w:spacing w:after="120" w:line="240" w:lineRule="atLeast"/>
        <w:rPr>
          <w:rFonts w:ascii="Times New Roman" w:hAnsi="Times New Roman"/>
          <w:b/>
          <w:sz w:val="24"/>
          <w:szCs w:val="24"/>
        </w:rPr>
      </w:pPr>
      <w:r>
        <w:rPr>
          <w:rFonts w:ascii="Times New Roman" w:hAnsi="Times New Roman"/>
          <w:b/>
          <w:sz w:val="24"/>
          <w:szCs w:val="24"/>
        </w:rPr>
        <w:t xml:space="preserve">Supporting Statement </w:t>
      </w:r>
      <w:r w:rsidR="00E12507" w:rsidRPr="00441A8E">
        <w:rPr>
          <w:rFonts w:ascii="Times New Roman" w:hAnsi="Times New Roman"/>
          <w:b/>
          <w:sz w:val="24"/>
          <w:szCs w:val="24"/>
        </w:rPr>
        <w:t>Part B</w:t>
      </w:r>
    </w:p>
    <w:p w:rsidR="00F82263" w:rsidRPr="00F82263" w:rsidRDefault="00D72C87" w:rsidP="00F82263">
      <w:pPr>
        <w:spacing w:after="120" w:line="240" w:lineRule="auto"/>
        <w:rPr>
          <w:rFonts w:ascii="Times New Roman" w:hAnsi="Times New Roman"/>
          <w:sz w:val="24"/>
          <w:szCs w:val="24"/>
        </w:rPr>
      </w:pPr>
      <w:r>
        <w:rPr>
          <w:rFonts w:ascii="Times New Roman" w:hAnsi="Times New Roman"/>
          <w:sz w:val="24"/>
          <w:szCs w:val="24"/>
        </w:rPr>
        <w:t>The following sentence in section B.4.2 (page 23) was revised as shown in red font below</w:t>
      </w:r>
      <w:r w:rsidRPr="00441A8E">
        <w:rPr>
          <w:rFonts w:ascii="Times New Roman" w:hAnsi="Times New Roman"/>
          <w:sz w:val="24"/>
          <w:szCs w:val="24"/>
        </w:rPr>
        <w:t>:</w:t>
      </w:r>
    </w:p>
    <w:p w:rsidR="00F82263" w:rsidRPr="00D72C87" w:rsidRDefault="00F82263" w:rsidP="00B64CC0">
      <w:pPr>
        <w:pStyle w:val="ListParagraph"/>
        <w:widowControl w:val="0"/>
        <w:spacing w:after="120"/>
        <w:rPr>
          <w:rFonts w:ascii="Times New Roman" w:hAnsi="Times New Roman"/>
          <w:color w:val="000000" w:themeColor="text1"/>
          <w:sz w:val="24"/>
          <w:szCs w:val="24"/>
        </w:rPr>
      </w:pPr>
      <w:r w:rsidRPr="00D72C87">
        <w:rPr>
          <w:rFonts w:ascii="Times New Roman" w:hAnsi="Times New Roman"/>
          <w:color w:val="000000" w:themeColor="text1"/>
          <w:sz w:val="24"/>
          <w:szCs w:val="24"/>
        </w:rPr>
        <w:t>Teachers in selected non-priority schools will receive a pre-paid $10</w:t>
      </w:r>
      <w:r w:rsidR="00D72C87" w:rsidRPr="00D72C87">
        <w:rPr>
          <w:rFonts w:ascii="Times New Roman" w:hAnsi="Times New Roman"/>
          <w:color w:val="000000" w:themeColor="text1"/>
          <w:sz w:val="24"/>
          <w:szCs w:val="24"/>
        </w:rPr>
        <w:t xml:space="preserve"> </w:t>
      </w:r>
      <w:r w:rsidR="00D72C87" w:rsidRPr="00D72C87">
        <w:rPr>
          <w:rFonts w:ascii="Times New Roman" w:hAnsi="Times New Roman"/>
          <w:color w:val="FF0000"/>
          <w:sz w:val="24"/>
          <w:szCs w:val="24"/>
          <w:u w:val="single"/>
        </w:rPr>
        <w:t>cash</w:t>
      </w:r>
      <w:r w:rsidR="00D72C87" w:rsidRPr="00D72C87">
        <w:rPr>
          <w:rFonts w:ascii="Times New Roman" w:hAnsi="Times New Roman"/>
          <w:color w:val="000000" w:themeColor="text1"/>
          <w:sz w:val="24"/>
          <w:szCs w:val="24"/>
        </w:rPr>
        <w:t xml:space="preserve"> </w:t>
      </w:r>
      <w:r w:rsidRPr="00D72C87">
        <w:rPr>
          <w:rFonts w:ascii="Times New Roman" w:hAnsi="Times New Roman"/>
          <w:strike/>
          <w:color w:val="FF0000"/>
          <w:sz w:val="24"/>
          <w:szCs w:val="24"/>
        </w:rPr>
        <w:t>gift card</w:t>
      </w:r>
      <w:r w:rsidRPr="00D72C87">
        <w:rPr>
          <w:rFonts w:ascii="Times New Roman" w:hAnsi="Times New Roman"/>
          <w:color w:val="000000" w:themeColor="text1"/>
          <w:sz w:val="24"/>
          <w:szCs w:val="24"/>
        </w:rPr>
        <w:t xml:space="preserve"> incentive with </w:t>
      </w:r>
      <w:r w:rsidRPr="00D72C87">
        <w:rPr>
          <w:rFonts w:ascii="Times New Roman" w:hAnsi="Times New Roman"/>
          <w:color w:val="000000" w:themeColor="text1"/>
          <w:sz w:val="24"/>
          <w:szCs w:val="24"/>
        </w:rPr>
        <w:lastRenderedPageBreak/>
        <w:t xml:space="preserve">their third mail-out or thank-you letter, and teachers in selected priority schools will receive a pre-paid $20 </w:t>
      </w:r>
      <w:r w:rsidR="00D72C87" w:rsidRPr="00D72C87">
        <w:rPr>
          <w:rFonts w:ascii="Times New Roman" w:hAnsi="Times New Roman"/>
          <w:color w:val="FF0000"/>
          <w:sz w:val="24"/>
          <w:szCs w:val="24"/>
          <w:u w:val="single"/>
        </w:rPr>
        <w:t>cash</w:t>
      </w:r>
      <w:r w:rsidR="00D72C87" w:rsidRPr="00D72C87">
        <w:rPr>
          <w:rFonts w:ascii="Times New Roman" w:hAnsi="Times New Roman"/>
          <w:color w:val="000000" w:themeColor="text1"/>
          <w:sz w:val="24"/>
          <w:szCs w:val="24"/>
        </w:rPr>
        <w:t xml:space="preserve"> </w:t>
      </w:r>
      <w:r w:rsidR="00D72C87" w:rsidRPr="00D72C87">
        <w:rPr>
          <w:rFonts w:ascii="Times New Roman" w:hAnsi="Times New Roman"/>
          <w:strike/>
          <w:color w:val="FF0000"/>
          <w:sz w:val="24"/>
          <w:szCs w:val="24"/>
        </w:rPr>
        <w:t>gift card</w:t>
      </w:r>
      <w:r w:rsidR="00D72C87" w:rsidRPr="00D72C87">
        <w:rPr>
          <w:rFonts w:ascii="Times New Roman" w:hAnsi="Times New Roman"/>
          <w:color w:val="000000" w:themeColor="text1"/>
          <w:sz w:val="24"/>
          <w:szCs w:val="24"/>
        </w:rPr>
        <w:t xml:space="preserve"> </w:t>
      </w:r>
      <w:r w:rsidRPr="00D72C87">
        <w:rPr>
          <w:rFonts w:ascii="Times New Roman" w:hAnsi="Times New Roman"/>
          <w:color w:val="000000" w:themeColor="text1"/>
          <w:sz w:val="24"/>
          <w:szCs w:val="24"/>
        </w:rPr>
        <w:t>incentive with their third mail-out or thank-you letter.</w:t>
      </w:r>
    </w:p>
    <w:p w:rsidR="00F82263" w:rsidRDefault="00F82263" w:rsidP="00F82263">
      <w:pPr>
        <w:pStyle w:val="L1-FlLSp12"/>
        <w:spacing w:line="240" w:lineRule="auto"/>
        <w:rPr>
          <w:rFonts w:ascii="Times New Roman" w:hAnsi="Times New Roman"/>
          <w:b/>
          <w:color w:val="000000" w:themeColor="text1"/>
          <w:szCs w:val="24"/>
        </w:rPr>
      </w:pPr>
      <w:r w:rsidRPr="00F82263">
        <w:rPr>
          <w:rFonts w:ascii="Times New Roman" w:hAnsi="Times New Roman"/>
          <w:b/>
          <w:color w:val="000000" w:themeColor="text1"/>
          <w:szCs w:val="24"/>
        </w:rPr>
        <w:t>Appendix A</w:t>
      </w:r>
    </w:p>
    <w:p w:rsidR="00196BE5" w:rsidRDefault="00196BE5" w:rsidP="00F82263">
      <w:pPr>
        <w:pStyle w:val="L1-FlLSp12"/>
        <w:spacing w:line="240" w:lineRule="auto"/>
        <w:rPr>
          <w:rFonts w:ascii="Times New Roman" w:hAnsi="Times New Roman"/>
          <w:color w:val="000000" w:themeColor="text1"/>
          <w:szCs w:val="24"/>
        </w:rPr>
      </w:pPr>
    </w:p>
    <w:p w:rsidR="001F3D8E" w:rsidRDefault="001F3D8E" w:rsidP="00F82263">
      <w:pPr>
        <w:pStyle w:val="L1-FlLSp12"/>
        <w:spacing w:line="240" w:lineRule="auto"/>
        <w:rPr>
          <w:rFonts w:ascii="Times New Roman" w:hAnsi="Times New Roman"/>
          <w:color w:val="000000" w:themeColor="text1"/>
          <w:szCs w:val="24"/>
        </w:rPr>
      </w:pPr>
      <w:r>
        <w:rPr>
          <w:rFonts w:ascii="Times New Roman" w:hAnsi="Times New Roman"/>
          <w:color w:val="000000" w:themeColor="text1"/>
          <w:szCs w:val="24"/>
        </w:rPr>
        <w:t>The phrase “gift card” was removed from recruitment materials, so text pertaining to incentives now just refers to the included $[amount].</w:t>
      </w:r>
    </w:p>
    <w:p w:rsidR="001F3D8E" w:rsidRDefault="001F3D8E" w:rsidP="00F82263">
      <w:pPr>
        <w:pStyle w:val="L1-FlLSp12"/>
        <w:spacing w:line="240" w:lineRule="auto"/>
        <w:rPr>
          <w:rFonts w:ascii="Times New Roman" w:hAnsi="Times New Roman"/>
          <w:color w:val="000000" w:themeColor="text1"/>
          <w:szCs w:val="24"/>
        </w:rPr>
      </w:pPr>
    </w:p>
    <w:p w:rsidR="00196BE5" w:rsidRDefault="001F3D8E" w:rsidP="00F82263">
      <w:pPr>
        <w:pStyle w:val="L1-FlLSp12"/>
        <w:spacing w:line="240" w:lineRule="auto"/>
        <w:rPr>
          <w:rFonts w:ascii="Times New Roman" w:hAnsi="Times New Roman"/>
          <w:color w:val="000000" w:themeColor="text1"/>
          <w:szCs w:val="24"/>
        </w:rPr>
      </w:pPr>
      <w:r>
        <w:rPr>
          <w:rFonts w:ascii="Times New Roman" w:hAnsi="Times New Roman"/>
          <w:color w:val="000000" w:themeColor="text1"/>
          <w:szCs w:val="24"/>
        </w:rPr>
        <w:t>Additionally, t</w:t>
      </w:r>
      <w:r w:rsidR="00196BE5" w:rsidRPr="00196BE5">
        <w:rPr>
          <w:rFonts w:ascii="Times New Roman" w:hAnsi="Times New Roman"/>
          <w:color w:val="000000" w:themeColor="text1"/>
          <w:szCs w:val="24"/>
        </w:rPr>
        <w:t>he NTPS Respondent Portal was programmed so that respondents</w:t>
      </w:r>
      <w:r w:rsidR="00A44611">
        <w:rPr>
          <w:rFonts w:ascii="Times New Roman" w:hAnsi="Times New Roman"/>
          <w:color w:val="000000" w:themeColor="text1"/>
          <w:szCs w:val="24"/>
        </w:rPr>
        <w:t xml:space="preserve"> w</w:t>
      </w:r>
      <w:r w:rsidR="00196BE5">
        <w:rPr>
          <w:rFonts w:ascii="Times New Roman" w:hAnsi="Times New Roman"/>
          <w:color w:val="000000" w:themeColor="text1"/>
          <w:szCs w:val="24"/>
        </w:rPr>
        <w:t xml:space="preserve">ould log out after completing a task, but it </w:t>
      </w:r>
      <w:r w:rsidR="00196BE5" w:rsidRPr="00196BE5">
        <w:rPr>
          <w:rFonts w:ascii="Times New Roman" w:hAnsi="Times New Roman"/>
          <w:color w:val="000000" w:themeColor="text1"/>
          <w:szCs w:val="24"/>
        </w:rPr>
        <w:t xml:space="preserve">was not programmed to turn off the </w:t>
      </w:r>
      <w:r w:rsidR="00196BE5">
        <w:rPr>
          <w:rFonts w:ascii="Times New Roman" w:hAnsi="Times New Roman"/>
          <w:color w:val="000000" w:themeColor="text1"/>
          <w:szCs w:val="24"/>
        </w:rPr>
        <w:t xml:space="preserve">ability to submit data on the </w:t>
      </w:r>
      <w:r w:rsidR="00196BE5" w:rsidRPr="00196BE5">
        <w:rPr>
          <w:rFonts w:ascii="Times New Roman" w:hAnsi="Times New Roman"/>
          <w:color w:val="000000" w:themeColor="text1"/>
          <w:szCs w:val="24"/>
        </w:rPr>
        <w:t>Teacher Listing Form (TLF)</w:t>
      </w:r>
      <w:r w:rsidR="00196BE5">
        <w:rPr>
          <w:rFonts w:ascii="Times New Roman" w:hAnsi="Times New Roman"/>
          <w:color w:val="000000" w:themeColor="text1"/>
          <w:szCs w:val="24"/>
        </w:rPr>
        <w:t xml:space="preserve"> before it was requested by NTPS staff</w:t>
      </w:r>
      <w:r w:rsidR="00196BE5" w:rsidRPr="00196BE5">
        <w:rPr>
          <w:rFonts w:ascii="Times New Roman" w:hAnsi="Times New Roman"/>
          <w:color w:val="000000" w:themeColor="text1"/>
          <w:szCs w:val="24"/>
        </w:rPr>
        <w:t xml:space="preserve">. </w:t>
      </w:r>
      <w:r w:rsidR="00A44611">
        <w:rPr>
          <w:rFonts w:ascii="Times New Roman" w:hAnsi="Times New Roman"/>
          <w:color w:val="000000" w:themeColor="text1"/>
          <w:szCs w:val="24"/>
        </w:rPr>
        <w:t xml:space="preserve">As a result, </w:t>
      </w:r>
      <w:r w:rsidR="00196BE5" w:rsidRPr="00196BE5">
        <w:rPr>
          <w:rFonts w:ascii="Times New Roman" w:hAnsi="Times New Roman"/>
          <w:color w:val="000000" w:themeColor="text1"/>
          <w:szCs w:val="24"/>
        </w:rPr>
        <w:t xml:space="preserve">some principals </w:t>
      </w:r>
      <w:r w:rsidR="00A44611">
        <w:rPr>
          <w:rFonts w:ascii="Times New Roman" w:hAnsi="Times New Roman"/>
          <w:color w:val="000000" w:themeColor="text1"/>
          <w:szCs w:val="24"/>
        </w:rPr>
        <w:t>accessed</w:t>
      </w:r>
      <w:r w:rsidR="00196BE5" w:rsidRPr="00196BE5">
        <w:rPr>
          <w:rFonts w:ascii="Times New Roman" w:hAnsi="Times New Roman"/>
          <w:color w:val="000000" w:themeColor="text1"/>
          <w:szCs w:val="24"/>
        </w:rPr>
        <w:t xml:space="preserve"> the TLF </w:t>
      </w:r>
      <w:r w:rsidR="00A44611">
        <w:rPr>
          <w:rFonts w:ascii="Times New Roman" w:hAnsi="Times New Roman"/>
          <w:color w:val="000000" w:themeColor="text1"/>
          <w:szCs w:val="24"/>
        </w:rPr>
        <w:t xml:space="preserve">before we requested them to do so </w:t>
      </w:r>
      <w:r w:rsidR="00196BE5" w:rsidRPr="00196BE5">
        <w:rPr>
          <w:rFonts w:ascii="Times New Roman" w:hAnsi="Times New Roman"/>
          <w:color w:val="000000" w:themeColor="text1"/>
          <w:szCs w:val="24"/>
        </w:rPr>
        <w:t xml:space="preserve">and completed it early. </w:t>
      </w:r>
      <w:r w:rsidR="00A44611">
        <w:rPr>
          <w:rFonts w:ascii="Times New Roman" w:hAnsi="Times New Roman"/>
          <w:color w:val="000000" w:themeColor="text1"/>
          <w:szCs w:val="24"/>
        </w:rPr>
        <w:t xml:space="preserve">We are thus adding a new version of the </w:t>
      </w:r>
      <w:r w:rsidR="00A44611" w:rsidRPr="00A44611">
        <w:rPr>
          <w:rFonts w:ascii="Times New Roman" w:hAnsi="Times New Roman"/>
          <w:color w:val="000000" w:themeColor="text1"/>
          <w:szCs w:val="24"/>
        </w:rPr>
        <w:t>Initial School Mailout</w:t>
      </w:r>
      <w:r w:rsidR="00A44611">
        <w:rPr>
          <w:rFonts w:ascii="Times New Roman" w:hAnsi="Times New Roman"/>
          <w:color w:val="000000" w:themeColor="text1"/>
          <w:szCs w:val="24"/>
        </w:rPr>
        <w:t xml:space="preserve"> Letter for the schools that already completed the TLF, in which we have removed the information about </w:t>
      </w:r>
      <w:r w:rsidR="00196BE5" w:rsidRPr="00196BE5">
        <w:rPr>
          <w:rFonts w:ascii="Times New Roman" w:hAnsi="Times New Roman"/>
          <w:color w:val="000000" w:themeColor="text1"/>
          <w:szCs w:val="24"/>
        </w:rPr>
        <w:t>completing the TLF</w:t>
      </w:r>
      <w:r>
        <w:rPr>
          <w:rFonts w:ascii="Times New Roman" w:hAnsi="Times New Roman"/>
          <w:color w:val="000000" w:themeColor="text1"/>
          <w:szCs w:val="24"/>
        </w:rPr>
        <w:t xml:space="preserve"> (the added letter is on pages 42-43)</w:t>
      </w:r>
      <w:r w:rsidR="00196BE5" w:rsidRPr="00196BE5">
        <w:rPr>
          <w:rFonts w:ascii="Times New Roman" w:hAnsi="Times New Roman"/>
          <w:color w:val="000000" w:themeColor="text1"/>
          <w:szCs w:val="24"/>
        </w:rPr>
        <w:t>.</w:t>
      </w:r>
    </w:p>
    <w:p w:rsidR="00196BE5" w:rsidRDefault="00196BE5" w:rsidP="00F82263">
      <w:pPr>
        <w:pStyle w:val="L1-FlLSp12"/>
        <w:spacing w:line="240" w:lineRule="auto"/>
        <w:rPr>
          <w:rFonts w:ascii="Times New Roman" w:hAnsi="Times New Roman"/>
          <w:color w:val="000000" w:themeColor="text1"/>
          <w:szCs w:val="24"/>
        </w:rPr>
      </w:pPr>
    </w:p>
    <w:p w:rsidR="00A44611" w:rsidRDefault="00A44611" w:rsidP="00A44611">
      <w:pPr>
        <w:pStyle w:val="L1-FlLSp12"/>
        <w:spacing w:after="60" w:line="240" w:lineRule="auto"/>
        <w:rPr>
          <w:rFonts w:ascii="Times New Roman" w:hAnsi="Times New Roman"/>
          <w:color w:val="000000" w:themeColor="text1"/>
          <w:szCs w:val="24"/>
        </w:rPr>
      </w:pPr>
      <w:r>
        <w:rPr>
          <w:rFonts w:ascii="Times New Roman" w:hAnsi="Times New Roman"/>
          <w:color w:val="000000" w:themeColor="text1"/>
          <w:szCs w:val="24"/>
        </w:rPr>
        <w:t xml:space="preserve">Added the following row to the </w:t>
      </w:r>
      <w:r w:rsidRPr="00A44611">
        <w:rPr>
          <w:rFonts w:ascii="Times New Roman" w:hAnsi="Times New Roman"/>
          <w:color w:val="000000" w:themeColor="text1"/>
          <w:szCs w:val="24"/>
        </w:rPr>
        <w:t>School and Teacher Letters and E-mails Summary Table</w:t>
      </w:r>
      <w:r>
        <w:rPr>
          <w:rFonts w:ascii="Times New Roman" w:hAnsi="Times New Roman"/>
          <w:color w:val="000000" w:themeColor="text1"/>
          <w:szCs w:val="24"/>
        </w:rPr>
        <w:t xml:space="preserve"> (page 25):</w:t>
      </w:r>
    </w:p>
    <w:tbl>
      <w:tblPr>
        <w:tblW w:w="5000" w:type="pct"/>
        <w:tblCellMar>
          <w:left w:w="0" w:type="dxa"/>
          <w:right w:w="0" w:type="dxa"/>
        </w:tblCellMar>
        <w:tblLook w:val="01E0" w:firstRow="1" w:lastRow="1" w:firstColumn="1" w:lastColumn="1" w:noHBand="0" w:noVBand="0"/>
      </w:tblPr>
      <w:tblGrid>
        <w:gridCol w:w="3496"/>
        <w:gridCol w:w="1852"/>
        <w:gridCol w:w="5176"/>
      </w:tblGrid>
      <w:tr w:rsidR="00F82263" w:rsidRPr="00B014D7" w:rsidTr="00196BE5">
        <w:trPr>
          <w:trHeight w:hRule="exact" w:val="2703"/>
        </w:trPr>
        <w:tc>
          <w:tcPr>
            <w:tcW w:w="1661" w:type="pct"/>
            <w:tcBorders>
              <w:top w:val="single" w:sz="5" w:space="0" w:color="000000"/>
              <w:left w:val="single" w:sz="5" w:space="0" w:color="000000"/>
              <w:bottom w:val="single" w:sz="5" w:space="0" w:color="000000"/>
              <w:right w:val="single" w:sz="5" w:space="0" w:color="000000"/>
            </w:tcBorders>
            <w:vAlign w:val="center"/>
          </w:tcPr>
          <w:p w:rsidR="00F82263" w:rsidRPr="00A44611" w:rsidRDefault="00F82263" w:rsidP="00196BE5">
            <w:pPr>
              <w:pStyle w:val="TableParagraph"/>
              <w:rPr>
                <w:rFonts w:ascii="Calibri" w:eastAsia="Calibri" w:hAnsi="Calibri" w:cs="Calibri"/>
                <w:b/>
                <w:bCs/>
                <w:sz w:val="20"/>
                <w:szCs w:val="20"/>
              </w:rPr>
            </w:pPr>
            <w:r w:rsidRPr="00A44611">
              <w:rPr>
                <w:rFonts w:ascii="Calibri"/>
                <w:spacing w:val="-1"/>
                <w:sz w:val="20"/>
              </w:rPr>
              <w:t>Initial</w:t>
            </w:r>
            <w:r w:rsidRPr="00A44611">
              <w:rPr>
                <w:rFonts w:ascii="Calibri"/>
                <w:spacing w:val="-8"/>
                <w:sz w:val="20"/>
              </w:rPr>
              <w:t xml:space="preserve"> </w:t>
            </w:r>
            <w:r w:rsidRPr="00A44611">
              <w:rPr>
                <w:rFonts w:ascii="Calibri"/>
                <w:spacing w:val="-1"/>
                <w:sz w:val="20"/>
              </w:rPr>
              <w:t>School</w:t>
            </w:r>
            <w:r w:rsidRPr="00A44611">
              <w:rPr>
                <w:rFonts w:ascii="Calibri"/>
                <w:spacing w:val="-7"/>
                <w:sz w:val="20"/>
              </w:rPr>
              <w:t xml:space="preserve"> </w:t>
            </w:r>
            <w:r w:rsidRPr="00A44611">
              <w:rPr>
                <w:rFonts w:ascii="Calibri"/>
                <w:spacing w:val="-1"/>
                <w:sz w:val="20"/>
              </w:rPr>
              <w:t>Mailout</w:t>
            </w:r>
            <w:r w:rsidRPr="00A44611">
              <w:rPr>
                <w:rFonts w:ascii="Calibri"/>
                <w:spacing w:val="-7"/>
                <w:sz w:val="20"/>
              </w:rPr>
              <w:t xml:space="preserve"> </w:t>
            </w:r>
            <w:r w:rsidRPr="00A44611">
              <w:rPr>
                <w:rFonts w:ascii="Calibri"/>
                <w:spacing w:val="-1"/>
                <w:sz w:val="20"/>
              </w:rPr>
              <w:t>Letter for Schools that Completed the TLF Early</w:t>
            </w:r>
          </w:p>
        </w:tc>
        <w:tc>
          <w:tcPr>
            <w:tcW w:w="880" w:type="pct"/>
            <w:tcBorders>
              <w:top w:val="single" w:sz="5" w:space="0" w:color="000000"/>
              <w:left w:val="single" w:sz="5" w:space="0" w:color="000000"/>
              <w:bottom w:val="single" w:sz="5" w:space="0" w:color="000000"/>
              <w:right w:val="single" w:sz="5" w:space="0" w:color="000000"/>
            </w:tcBorders>
            <w:vAlign w:val="center"/>
          </w:tcPr>
          <w:p w:rsidR="00F82263" w:rsidRPr="00A44611" w:rsidRDefault="00F82263" w:rsidP="00196BE5">
            <w:pPr>
              <w:pStyle w:val="TableParagraph"/>
              <w:rPr>
                <w:rFonts w:ascii="Calibri" w:eastAsia="Calibri" w:hAnsi="Calibri" w:cs="Calibri"/>
                <w:b/>
                <w:bCs/>
                <w:sz w:val="20"/>
                <w:szCs w:val="20"/>
              </w:rPr>
            </w:pPr>
            <w:r w:rsidRPr="00A44611">
              <w:rPr>
                <w:rFonts w:ascii="Calibri"/>
                <w:spacing w:val="-1"/>
                <w:sz w:val="20"/>
              </w:rPr>
              <w:t>NTPS-11L(P2//C2)</w:t>
            </w:r>
          </w:p>
        </w:tc>
        <w:tc>
          <w:tcPr>
            <w:tcW w:w="2459" w:type="pct"/>
            <w:tcBorders>
              <w:top w:val="single" w:sz="5" w:space="0" w:color="000000"/>
              <w:left w:val="single" w:sz="5" w:space="0" w:color="000000"/>
              <w:bottom w:val="single" w:sz="5" w:space="0" w:color="000000"/>
              <w:right w:val="single" w:sz="5" w:space="0" w:color="000000"/>
            </w:tcBorders>
            <w:vAlign w:val="center"/>
          </w:tcPr>
          <w:p w:rsidR="00F82263" w:rsidRPr="00A44611" w:rsidRDefault="00F82263" w:rsidP="00196BE5">
            <w:pPr>
              <w:pStyle w:val="TableParagraph"/>
              <w:ind w:left="102" w:right="245"/>
              <w:rPr>
                <w:rFonts w:ascii="Calibri"/>
                <w:spacing w:val="-1"/>
                <w:sz w:val="20"/>
              </w:rPr>
            </w:pPr>
            <w:r w:rsidRPr="00A44611">
              <w:rPr>
                <w:rFonts w:ascii="Calibri"/>
                <w:spacing w:val="-1"/>
                <w:sz w:val="20"/>
              </w:rPr>
              <w:t>The letter introduces the survey and provides instructions for the package contents, excluding the TLF. The package includes the letter and individual envelopes containing instructions for completing the School Questionnaire and Principal Questionnaire online.</w:t>
            </w:r>
          </w:p>
          <w:p w:rsidR="00F82263" w:rsidRPr="00A44611" w:rsidRDefault="00F82263" w:rsidP="00196BE5">
            <w:pPr>
              <w:pStyle w:val="TableParagraph"/>
              <w:ind w:left="102" w:right="245"/>
              <w:rPr>
                <w:rFonts w:ascii="Calibri"/>
                <w:spacing w:val="-1"/>
                <w:sz w:val="20"/>
              </w:rPr>
            </w:pPr>
          </w:p>
          <w:p w:rsidR="00F82263" w:rsidRPr="00A44611" w:rsidRDefault="00F82263" w:rsidP="00196BE5">
            <w:pPr>
              <w:pStyle w:val="TableParagraph"/>
              <w:ind w:left="102" w:right="245"/>
              <w:rPr>
                <w:rFonts w:ascii="Calibri"/>
                <w:spacing w:val="-1"/>
                <w:sz w:val="20"/>
              </w:rPr>
            </w:pPr>
            <w:r w:rsidRPr="00A44611">
              <w:rPr>
                <w:rFonts w:ascii="Calibri"/>
                <w:spacing w:val="-1"/>
                <w:sz w:val="20"/>
              </w:rPr>
              <w:t>Two versions:</w:t>
            </w:r>
          </w:p>
          <w:p w:rsidR="00F82263" w:rsidRPr="00A44611" w:rsidRDefault="00F82263" w:rsidP="00196BE5">
            <w:pPr>
              <w:pStyle w:val="TableParagraph"/>
              <w:ind w:left="102" w:right="245"/>
              <w:rPr>
                <w:rFonts w:ascii="Calibri"/>
                <w:spacing w:val="-1"/>
                <w:sz w:val="20"/>
              </w:rPr>
            </w:pPr>
            <w:r w:rsidRPr="00A44611">
              <w:rPr>
                <w:rFonts w:ascii="Calibri"/>
                <w:spacing w:val="-1"/>
                <w:sz w:val="20"/>
              </w:rPr>
              <w:t>NTPS-11L(P2) – Principal letter, non-priority school, sent to the principal if a coordinator hasn’t been established.</w:t>
            </w:r>
          </w:p>
          <w:p w:rsidR="00F82263" w:rsidRPr="00A44611" w:rsidRDefault="00F82263" w:rsidP="00196BE5">
            <w:pPr>
              <w:pStyle w:val="TableParagraph"/>
              <w:ind w:left="102" w:right="245"/>
              <w:rPr>
                <w:rFonts w:ascii="Calibri"/>
                <w:spacing w:val="-1"/>
                <w:sz w:val="20"/>
              </w:rPr>
            </w:pPr>
            <w:r w:rsidRPr="00A44611">
              <w:rPr>
                <w:rFonts w:ascii="Calibri"/>
                <w:spacing w:val="-1"/>
                <w:sz w:val="20"/>
              </w:rPr>
              <w:t>NTPS-11L(C2) – Coordinator letter, non-priority school, sent if a coordinator has been established.</w:t>
            </w:r>
          </w:p>
        </w:tc>
      </w:tr>
    </w:tbl>
    <w:p w:rsidR="00F82263" w:rsidRDefault="00F82263" w:rsidP="00F82263">
      <w:pPr>
        <w:pStyle w:val="L1-FlLSp12"/>
        <w:spacing w:line="240" w:lineRule="auto"/>
        <w:rPr>
          <w:rFonts w:ascii="Times New Roman" w:hAnsi="Times New Roman"/>
          <w:color w:val="000000" w:themeColor="text1"/>
          <w:szCs w:val="24"/>
        </w:rPr>
      </w:pPr>
    </w:p>
    <w:p w:rsidR="001F3D8E" w:rsidRDefault="001F3D8E" w:rsidP="001F3D8E">
      <w:pPr>
        <w:pStyle w:val="L1-FlLSp12"/>
        <w:spacing w:before="240" w:line="240" w:lineRule="auto"/>
        <w:rPr>
          <w:rFonts w:ascii="Times New Roman" w:hAnsi="Times New Roman"/>
          <w:b/>
          <w:color w:val="000000" w:themeColor="text1"/>
          <w:szCs w:val="24"/>
        </w:rPr>
      </w:pPr>
      <w:r w:rsidRPr="00F82263">
        <w:rPr>
          <w:rFonts w:ascii="Times New Roman" w:hAnsi="Times New Roman"/>
          <w:b/>
          <w:color w:val="000000" w:themeColor="text1"/>
          <w:szCs w:val="24"/>
        </w:rPr>
        <w:t xml:space="preserve">Appendix </w:t>
      </w:r>
      <w:r>
        <w:rPr>
          <w:rFonts w:ascii="Times New Roman" w:hAnsi="Times New Roman"/>
          <w:b/>
          <w:color w:val="000000" w:themeColor="text1"/>
          <w:szCs w:val="24"/>
        </w:rPr>
        <w:t>D</w:t>
      </w:r>
    </w:p>
    <w:p w:rsidR="00F82263" w:rsidRPr="00F82263" w:rsidRDefault="00F82263" w:rsidP="00F82263">
      <w:pPr>
        <w:widowControl w:val="0"/>
        <w:spacing w:before="10" w:after="0" w:line="240" w:lineRule="auto"/>
        <w:rPr>
          <w:rFonts w:cs="Calibri"/>
        </w:rPr>
      </w:pPr>
    </w:p>
    <w:p w:rsidR="00F82263" w:rsidRPr="00CE73EB" w:rsidRDefault="001F3D8E" w:rsidP="00F82263">
      <w:pPr>
        <w:pStyle w:val="L1-FlLSp12"/>
        <w:spacing w:line="240" w:lineRule="auto"/>
        <w:rPr>
          <w:rFonts w:ascii="Times New Roman" w:hAnsi="Times New Roman"/>
          <w:szCs w:val="24"/>
        </w:rPr>
      </w:pPr>
      <w:r w:rsidRPr="00FB099F">
        <w:rPr>
          <w:rFonts w:ascii="Times New Roman" w:hAnsi="Times New Roman"/>
          <w:color w:val="000000" w:themeColor="text1"/>
          <w:szCs w:val="24"/>
        </w:rPr>
        <w:t xml:space="preserve">To fulfill the last OMB terms of clearance </w:t>
      </w:r>
      <w:r>
        <w:rPr>
          <w:rFonts w:ascii="Times New Roman" w:hAnsi="Times New Roman"/>
          <w:color w:val="000000" w:themeColor="text1"/>
          <w:szCs w:val="24"/>
        </w:rPr>
        <w:t xml:space="preserve">(TOC) </w:t>
      </w:r>
      <w:r w:rsidRPr="00FB099F">
        <w:rPr>
          <w:rFonts w:ascii="Times New Roman" w:hAnsi="Times New Roman"/>
          <w:color w:val="000000" w:themeColor="text1"/>
          <w:szCs w:val="24"/>
        </w:rPr>
        <w:t xml:space="preserve">that were provided to NCES as part of the NTPS 2015-16 approval in June 2015 (OMB# 1850-0598 v.11), and which stated that “OMB looks forward to having the results of NCES's adaptive survey design strategies included in its next submission.” </w:t>
      </w:r>
      <w:r>
        <w:rPr>
          <w:rFonts w:ascii="Times New Roman" w:hAnsi="Times New Roman"/>
          <w:color w:val="000000" w:themeColor="text1"/>
          <w:szCs w:val="24"/>
        </w:rPr>
        <w:t>we have added to this submission</w:t>
      </w:r>
      <w:r w:rsidRPr="00FB099F">
        <w:rPr>
          <w:rFonts w:ascii="Times New Roman" w:hAnsi="Times New Roman"/>
          <w:color w:val="000000" w:themeColor="text1"/>
          <w:szCs w:val="24"/>
        </w:rPr>
        <w:t xml:space="preserve"> a report of the 2015-16 NTPS adaptive design results </w:t>
      </w:r>
      <w:r w:rsidR="00CE73EB">
        <w:rPr>
          <w:rFonts w:ascii="Times New Roman" w:hAnsi="Times New Roman"/>
          <w:color w:val="000000" w:themeColor="text1"/>
          <w:szCs w:val="24"/>
        </w:rPr>
        <w:t>(</w:t>
      </w:r>
      <w:r w:rsidR="00715C83" w:rsidRPr="00CE73EB">
        <w:rPr>
          <w:rFonts w:ascii="Times New Roman" w:hAnsi="Times New Roman"/>
          <w:i/>
          <w:szCs w:val="24"/>
        </w:rPr>
        <w:t>Appendix D – Adaptive Design Report: NTPS 2015-2016 Analysis of Response Rates and Field Collection Experience</w:t>
      </w:r>
      <w:r w:rsidR="00715C83" w:rsidRPr="00246688">
        <w:rPr>
          <w:rFonts w:ascii="Times New Roman" w:hAnsi="Times New Roman"/>
          <w:szCs w:val="24"/>
        </w:rPr>
        <w:t>)</w:t>
      </w:r>
      <w:r w:rsidR="00715C83" w:rsidRPr="006B4AE4">
        <w:rPr>
          <w:rFonts w:ascii="Times New Roman" w:hAnsi="Times New Roman"/>
          <w:szCs w:val="24"/>
        </w:rPr>
        <w:t>.</w:t>
      </w:r>
    </w:p>
    <w:sectPr w:rsidR="00F82263" w:rsidRPr="00CE73EB" w:rsidSect="004066A4">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F7" w:rsidRDefault="003660F7" w:rsidP="00F375C9">
      <w:pPr>
        <w:spacing w:after="0" w:line="240" w:lineRule="auto"/>
      </w:pPr>
      <w:r>
        <w:separator/>
      </w:r>
    </w:p>
  </w:endnote>
  <w:endnote w:type="continuationSeparator" w:id="0">
    <w:p w:rsidR="003660F7" w:rsidRDefault="003660F7"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4066A4">
    <w:pPr>
      <w:pStyle w:val="Footer"/>
      <w:jc w:val="center"/>
    </w:pPr>
    <w:r>
      <w:fldChar w:fldCharType="begin"/>
    </w:r>
    <w:r>
      <w:instrText xml:space="preserve"> PAGE   \* MERGEFORMAT </w:instrText>
    </w:r>
    <w:r>
      <w:fldChar w:fldCharType="separate"/>
    </w:r>
    <w:r w:rsidR="00B64CC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F7" w:rsidRDefault="003660F7" w:rsidP="00F375C9">
      <w:pPr>
        <w:spacing w:after="0" w:line="240" w:lineRule="auto"/>
      </w:pPr>
      <w:r>
        <w:separator/>
      </w:r>
    </w:p>
  </w:footnote>
  <w:footnote w:type="continuationSeparator" w:id="0">
    <w:p w:rsidR="003660F7" w:rsidRDefault="003660F7"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0BFF63AF" wp14:editId="5F9FEFAA">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8">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66877"/>
    <w:multiLevelType w:val="multilevel"/>
    <w:tmpl w:val="E3444C6E"/>
    <w:lvl w:ilvl="0">
      <w:start w:val="21"/>
      <w:numFmt w:val="upperLetter"/>
      <w:lvlText w:val="%1"/>
      <w:lvlJc w:val="left"/>
      <w:pPr>
        <w:ind w:left="119" w:hanging="404"/>
      </w:pPr>
      <w:rPr>
        <w:rFonts w:hint="default"/>
      </w:rPr>
    </w:lvl>
    <w:lvl w:ilvl="1">
      <w:start w:val="19"/>
      <w:numFmt w:val="upperLetter"/>
      <w:lvlText w:val="%1.%2."/>
      <w:lvlJc w:val="left"/>
      <w:pPr>
        <w:ind w:left="119" w:hanging="404"/>
      </w:pPr>
      <w:rPr>
        <w:rFonts w:ascii="Calibri" w:eastAsia="Calibri" w:hAnsi="Calibri" w:hint="default"/>
        <w:spacing w:val="-1"/>
        <w:sz w:val="22"/>
        <w:szCs w:val="22"/>
      </w:rPr>
    </w:lvl>
    <w:lvl w:ilvl="2">
      <w:start w:val="1"/>
      <w:numFmt w:val="decimal"/>
      <w:lvlText w:val="%3)"/>
      <w:lvlJc w:val="left"/>
      <w:pPr>
        <w:ind w:left="720" w:hanging="360"/>
      </w:pPr>
      <w:rPr>
        <w:rFonts w:ascii="Calibri" w:eastAsia="Calibri" w:hAnsi="Calibri" w:hint="default"/>
        <w:b/>
        <w:bCs/>
        <w:color w:val="231F20"/>
        <w:sz w:val="21"/>
        <w:szCs w:val="21"/>
      </w:rPr>
    </w:lvl>
    <w:lvl w:ilvl="3">
      <w:start w:val="1"/>
      <w:numFmt w:val="bullet"/>
      <w:lvlText w:val=""/>
      <w:lvlJc w:val="left"/>
      <w:pPr>
        <w:ind w:left="1199" w:hanging="361"/>
      </w:pPr>
      <w:rPr>
        <w:rFonts w:ascii="Symbol" w:eastAsia="Symbol" w:hAnsi="Symbol" w:hint="default"/>
        <w:color w:val="231F20"/>
        <w:sz w:val="21"/>
        <w:szCs w:val="21"/>
      </w:rPr>
    </w:lvl>
    <w:lvl w:ilvl="4">
      <w:start w:val="1"/>
      <w:numFmt w:val="bullet"/>
      <w:lvlText w:val="•"/>
      <w:lvlJc w:val="left"/>
      <w:pPr>
        <w:ind w:left="1200" w:hanging="361"/>
      </w:pPr>
      <w:rPr>
        <w:rFonts w:hint="default"/>
      </w:rPr>
    </w:lvl>
    <w:lvl w:ilvl="5">
      <w:start w:val="1"/>
      <w:numFmt w:val="bullet"/>
      <w:lvlText w:val="•"/>
      <w:lvlJc w:val="left"/>
      <w:pPr>
        <w:ind w:left="2596" w:hanging="361"/>
      </w:pPr>
      <w:rPr>
        <w:rFonts w:hint="default"/>
      </w:rPr>
    </w:lvl>
    <w:lvl w:ilvl="6">
      <w:start w:val="1"/>
      <w:numFmt w:val="bullet"/>
      <w:lvlText w:val="•"/>
      <w:lvlJc w:val="left"/>
      <w:pPr>
        <w:ind w:left="3993" w:hanging="361"/>
      </w:pPr>
      <w:rPr>
        <w:rFonts w:hint="default"/>
      </w:rPr>
    </w:lvl>
    <w:lvl w:ilvl="7">
      <w:start w:val="1"/>
      <w:numFmt w:val="bullet"/>
      <w:lvlText w:val="•"/>
      <w:lvlJc w:val="left"/>
      <w:pPr>
        <w:ind w:left="5390" w:hanging="361"/>
      </w:pPr>
      <w:rPr>
        <w:rFonts w:hint="default"/>
      </w:rPr>
    </w:lvl>
    <w:lvl w:ilvl="8">
      <w:start w:val="1"/>
      <w:numFmt w:val="bullet"/>
      <w:lvlText w:val="•"/>
      <w:lvlJc w:val="left"/>
      <w:pPr>
        <w:ind w:left="6786" w:hanging="361"/>
      </w:pPr>
      <w:rPr>
        <w:rFonts w:hint="default"/>
      </w:rPr>
    </w:lvl>
  </w:abstractNum>
  <w:abstractNum w:abstractNumId="1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4"/>
  </w:num>
  <w:num w:numId="4">
    <w:abstractNumId w:val="15"/>
  </w:num>
  <w:num w:numId="5">
    <w:abstractNumId w:val="2"/>
  </w:num>
  <w:num w:numId="6">
    <w:abstractNumId w:val="22"/>
  </w:num>
  <w:num w:numId="7">
    <w:abstractNumId w:val="10"/>
  </w:num>
  <w:num w:numId="8">
    <w:abstractNumId w:val="20"/>
  </w:num>
  <w:num w:numId="9">
    <w:abstractNumId w:val="5"/>
  </w:num>
  <w:num w:numId="10">
    <w:abstractNumId w:val="19"/>
  </w:num>
  <w:num w:numId="11">
    <w:abstractNumId w:val="12"/>
  </w:num>
  <w:num w:numId="12">
    <w:abstractNumId w:val="13"/>
  </w:num>
  <w:num w:numId="13">
    <w:abstractNumId w:val="1"/>
  </w:num>
  <w:num w:numId="14">
    <w:abstractNumId w:val="18"/>
  </w:num>
  <w:num w:numId="15">
    <w:abstractNumId w:val="21"/>
  </w:num>
  <w:num w:numId="16">
    <w:abstractNumId w:val="6"/>
  </w:num>
  <w:num w:numId="17">
    <w:abstractNumId w:val="17"/>
  </w:num>
  <w:num w:numId="18">
    <w:abstractNumId w:val="16"/>
  </w:num>
  <w:num w:numId="19">
    <w:abstractNumId w:val="8"/>
  </w:num>
  <w:num w:numId="20">
    <w:abstractNumId w:val="3"/>
  </w:num>
  <w:num w:numId="21">
    <w:abstractNumId w:val="23"/>
  </w:num>
  <w:num w:numId="22">
    <w:abstractNumId w:val="11"/>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4769B"/>
    <w:rsid w:val="000722C0"/>
    <w:rsid w:val="000913E4"/>
    <w:rsid w:val="000A2A92"/>
    <w:rsid w:val="000D6C99"/>
    <w:rsid w:val="000E0831"/>
    <w:rsid w:val="000F2300"/>
    <w:rsid w:val="001071D4"/>
    <w:rsid w:val="00126287"/>
    <w:rsid w:val="001300D3"/>
    <w:rsid w:val="00133D40"/>
    <w:rsid w:val="0015373F"/>
    <w:rsid w:val="00155EEA"/>
    <w:rsid w:val="001721A9"/>
    <w:rsid w:val="00172BD6"/>
    <w:rsid w:val="001840DE"/>
    <w:rsid w:val="00196BE5"/>
    <w:rsid w:val="001A5A1B"/>
    <w:rsid w:val="001B15B9"/>
    <w:rsid w:val="001B6FEB"/>
    <w:rsid w:val="001D493C"/>
    <w:rsid w:val="001D61F8"/>
    <w:rsid w:val="001D744A"/>
    <w:rsid w:val="001E4DD4"/>
    <w:rsid w:val="001F3D8E"/>
    <w:rsid w:val="00205D9C"/>
    <w:rsid w:val="00221A04"/>
    <w:rsid w:val="0022234B"/>
    <w:rsid w:val="002267D6"/>
    <w:rsid w:val="00245E2C"/>
    <w:rsid w:val="00246688"/>
    <w:rsid w:val="0024707A"/>
    <w:rsid w:val="00247CC5"/>
    <w:rsid w:val="00250D9E"/>
    <w:rsid w:val="00254439"/>
    <w:rsid w:val="00257B47"/>
    <w:rsid w:val="00262389"/>
    <w:rsid w:val="00294B3B"/>
    <w:rsid w:val="002C0F81"/>
    <w:rsid w:val="002D2B29"/>
    <w:rsid w:val="002D3868"/>
    <w:rsid w:val="002D462D"/>
    <w:rsid w:val="002D5D5A"/>
    <w:rsid w:val="002E30EE"/>
    <w:rsid w:val="002E5F79"/>
    <w:rsid w:val="002F4C0D"/>
    <w:rsid w:val="002F5177"/>
    <w:rsid w:val="00310A12"/>
    <w:rsid w:val="003213B7"/>
    <w:rsid w:val="00321813"/>
    <w:rsid w:val="00331A00"/>
    <w:rsid w:val="003577EB"/>
    <w:rsid w:val="003604E6"/>
    <w:rsid w:val="003660F7"/>
    <w:rsid w:val="00394D4C"/>
    <w:rsid w:val="003B40BF"/>
    <w:rsid w:val="003C68E4"/>
    <w:rsid w:val="003D1E6B"/>
    <w:rsid w:val="003D271E"/>
    <w:rsid w:val="003D2F42"/>
    <w:rsid w:val="003D6A37"/>
    <w:rsid w:val="003D7BF5"/>
    <w:rsid w:val="003E4CB8"/>
    <w:rsid w:val="00404DEB"/>
    <w:rsid w:val="004066A4"/>
    <w:rsid w:val="00410B65"/>
    <w:rsid w:val="00441A8E"/>
    <w:rsid w:val="0045069D"/>
    <w:rsid w:val="00463A4A"/>
    <w:rsid w:val="004658A1"/>
    <w:rsid w:val="004906BD"/>
    <w:rsid w:val="004941A6"/>
    <w:rsid w:val="004C6EF6"/>
    <w:rsid w:val="004D2330"/>
    <w:rsid w:val="004E22C6"/>
    <w:rsid w:val="00502D44"/>
    <w:rsid w:val="00505DDA"/>
    <w:rsid w:val="005100EB"/>
    <w:rsid w:val="00517B18"/>
    <w:rsid w:val="0052501C"/>
    <w:rsid w:val="00555069"/>
    <w:rsid w:val="00565565"/>
    <w:rsid w:val="005729E8"/>
    <w:rsid w:val="00577C47"/>
    <w:rsid w:val="005C7BF6"/>
    <w:rsid w:val="005F3A51"/>
    <w:rsid w:val="00615891"/>
    <w:rsid w:val="00642D4B"/>
    <w:rsid w:val="006558F8"/>
    <w:rsid w:val="00660F4F"/>
    <w:rsid w:val="00675EA6"/>
    <w:rsid w:val="006762FF"/>
    <w:rsid w:val="00676708"/>
    <w:rsid w:val="006777BE"/>
    <w:rsid w:val="00685E99"/>
    <w:rsid w:val="00690855"/>
    <w:rsid w:val="006A3A61"/>
    <w:rsid w:val="006A55CC"/>
    <w:rsid w:val="006B4AE4"/>
    <w:rsid w:val="006D7E19"/>
    <w:rsid w:val="006E2C4D"/>
    <w:rsid w:val="006E3CDA"/>
    <w:rsid w:val="006F07B5"/>
    <w:rsid w:val="007041A6"/>
    <w:rsid w:val="00710206"/>
    <w:rsid w:val="00715C83"/>
    <w:rsid w:val="007164E0"/>
    <w:rsid w:val="007253BB"/>
    <w:rsid w:val="00740559"/>
    <w:rsid w:val="00790066"/>
    <w:rsid w:val="007926EA"/>
    <w:rsid w:val="007B4C04"/>
    <w:rsid w:val="007C27F1"/>
    <w:rsid w:val="00800495"/>
    <w:rsid w:val="008173DB"/>
    <w:rsid w:val="00826162"/>
    <w:rsid w:val="0082793D"/>
    <w:rsid w:val="00835988"/>
    <w:rsid w:val="008430B3"/>
    <w:rsid w:val="008449C1"/>
    <w:rsid w:val="00853968"/>
    <w:rsid w:val="00855634"/>
    <w:rsid w:val="008569C8"/>
    <w:rsid w:val="008609EE"/>
    <w:rsid w:val="00860F2E"/>
    <w:rsid w:val="008A2331"/>
    <w:rsid w:val="008B588D"/>
    <w:rsid w:val="008C241F"/>
    <w:rsid w:val="008C35F6"/>
    <w:rsid w:val="008E31E8"/>
    <w:rsid w:val="008E6AF6"/>
    <w:rsid w:val="008F6E9A"/>
    <w:rsid w:val="008F7D30"/>
    <w:rsid w:val="00907C8C"/>
    <w:rsid w:val="009276DC"/>
    <w:rsid w:val="0094538A"/>
    <w:rsid w:val="009632A5"/>
    <w:rsid w:val="00972BDA"/>
    <w:rsid w:val="0099268B"/>
    <w:rsid w:val="009A24B0"/>
    <w:rsid w:val="009B6346"/>
    <w:rsid w:val="009C1D3A"/>
    <w:rsid w:val="009C1F1C"/>
    <w:rsid w:val="009D4FF3"/>
    <w:rsid w:val="009E7C66"/>
    <w:rsid w:val="009F3E0D"/>
    <w:rsid w:val="009F4150"/>
    <w:rsid w:val="00A017C5"/>
    <w:rsid w:val="00A30293"/>
    <w:rsid w:val="00A35AAD"/>
    <w:rsid w:val="00A44611"/>
    <w:rsid w:val="00A620E6"/>
    <w:rsid w:val="00A7311A"/>
    <w:rsid w:val="00A76613"/>
    <w:rsid w:val="00A83556"/>
    <w:rsid w:val="00A9348D"/>
    <w:rsid w:val="00AA2E08"/>
    <w:rsid w:val="00AC28A1"/>
    <w:rsid w:val="00AD10E7"/>
    <w:rsid w:val="00AE6A18"/>
    <w:rsid w:val="00AE77CC"/>
    <w:rsid w:val="00AF2650"/>
    <w:rsid w:val="00B07EA8"/>
    <w:rsid w:val="00B11336"/>
    <w:rsid w:val="00B11F00"/>
    <w:rsid w:val="00B36147"/>
    <w:rsid w:val="00B44146"/>
    <w:rsid w:val="00B64CC0"/>
    <w:rsid w:val="00B73454"/>
    <w:rsid w:val="00B82075"/>
    <w:rsid w:val="00B858EA"/>
    <w:rsid w:val="00B96988"/>
    <w:rsid w:val="00BA746C"/>
    <w:rsid w:val="00BC3248"/>
    <w:rsid w:val="00BE4155"/>
    <w:rsid w:val="00BE53C5"/>
    <w:rsid w:val="00BF02C4"/>
    <w:rsid w:val="00C045E2"/>
    <w:rsid w:val="00C04EB2"/>
    <w:rsid w:val="00C154DF"/>
    <w:rsid w:val="00C33701"/>
    <w:rsid w:val="00C37C3A"/>
    <w:rsid w:val="00C60903"/>
    <w:rsid w:val="00C66DB8"/>
    <w:rsid w:val="00C67FDB"/>
    <w:rsid w:val="00C80C5B"/>
    <w:rsid w:val="00C81AAF"/>
    <w:rsid w:val="00C90CAF"/>
    <w:rsid w:val="00CA0B0F"/>
    <w:rsid w:val="00CA1E5F"/>
    <w:rsid w:val="00CB2DE4"/>
    <w:rsid w:val="00CD7072"/>
    <w:rsid w:val="00CE73EB"/>
    <w:rsid w:val="00CF49AF"/>
    <w:rsid w:val="00D02991"/>
    <w:rsid w:val="00D20378"/>
    <w:rsid w:val="00D212BC"/>
    <w:rsid w:val="00D26CA2"/>
    <w:rsid w:val="00D469D3"/>
    <w:rsid w:val="00D51232"/>
    <w:rsid w:val="00D54011"/>
    <w:rsid w:val="00D645A6"/>
    <w:rsid w:val="00D72C87"/>
    <w:rsid w:val="00D96623"/>
    <w:rsid w:val="00DA1897"/>
    <w:rsid w:val="00DA30F3"/>
    <w:rsid w:val="00DB1971"/>
    <w:rsid w:val="00E079F6"/>
    <w:rsid w:val="00E12507"/>
    <w:rsid w:val="00E31BB5"/>
    <w:rsid w:val="00E47142"/>
    <w:rsid w:val="00E47270"/>
    <w:rsid w:val="00E61F4A"/>
    <w:rsid w:val="00E84ABB"/>
    <w:rsid w:val="00E94D2F"/>
    <w:rsid w:val="00E967CB"/>
    <w:rsid w:val="00EA6316"/>
    <w:rsid w:val="00EB5100"/>
    <w:rsid w:val="00EC43CC"/>
    <w:rsid w:val="00ED3D3C"/>
    <w:rsid w:val="00F1132D"/>
    <w:rsid w:val="00F1236F"/>
    <w:rsid w:val="00F35D8B"/>
    <w:rsid w:val="00F375C9"/>
    <w:rsid w:val="00F4129F"/>
    <w:rsid w:val="00F4316B"/>
    <w:rsid w:val="00F5389B"/>
    <w:rsid w:val="00F64DE2"/>
    <w:rsid w:val="00F82263"/>
    <w:rsid w:val="00F96555"/>
    <w:rsid w:val="00FA215D"/>
    <w:rsid w:val="00FC1236"/>
    <w:rsid w:val="00FD120C"/>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customStyle="1" w:styleId="L1-FlLSp12Char">
    <w:name w:val="L1-FlL Sp&amp;1/2 Char"/>
    <w:link w:val="L1-FlLSp12"/>
    <w:uiPriority w:val="99"/>
    <w:locked/>
    <w:rsid w:val="003213B7"/>
    <w:rPr>
      <w:rFonts w:ascii="Garamond" w:eastAsia="Times New Roman" w:hAnsi="Garamond"/>
      <w:sz w:val="24"/>
    </w:rPr>
  </w:style>
  <w:style w:type="table" w:styleId="TableGrid">
    <w:name w:val="Table Grid"/>
    <w:basedOn w:val="TableNormal"/>
    <w:uiPriority w:val="59"/>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customStyle="1" w:styleId="L1-FlLSp12Char">
    <w:name w:val="L1-FlL Sp&amp;1/2 Char"/>
    <w:link w:val="L1-FlLSp12"/>
    <w:uiPriority w:val="99"/>
    <w:locked/>
    <w:rsid w:val="003213B7"/>
    <w:rPr>
      <w:rFonts w:ascii="Garamond" w:eastAsia="Times New Roman" w:hAnsi="Garamond"/>
      <w:sz w:val="24"/>
    </w:rPr>
  </w:style>
  <w:style w:type="table" w:styleId="TableGrid">
    <w:name w:val="Table Grid"/>
    <w:basedOn w:val="TableNormal"/>
    <w:uiPriority w:val="59"/>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3995320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92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B6B38-76BB-4169-9237-C4558E31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2017-09-01T17:04:00Z</dcterms:created>
  <dcterms:modified xsi:type="dcterms:W3CDTF">2017-09-01T17:04:00Z</dcterms:modified>
</cp:coreProperties>
</file>