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0F6B2" w14:textId="77777777" w:rsidR="001C75B2" w:rsidRDefault="001C75B2" w:rsidP="008647BA">
      <w:pPr>
        <w:jc w:val="center"/>
      </w:pPr>
      <w:bookmarkStart w:id="0" w:name="_GoBack"/>
      <w:bookmarkEnd w:id="0"/>
      <w:smartTag w:uri="urn:schemas-microsoft-com:office:smarttags" w:element="country-region">
        <w:smartTag w:uri="urn:schemas-microsoft-com:office:smarttags" w:element="place">
          <w:r>
            <w:t>UNITED STATES OF AMERICA</w:t>
          </w:r>
        </w:smartTag>
      </w:smartTag>
    </w:p>
    <w:p w14:paraId="5DB0F6B3" w14:textId="77777777" w:rsidR="001C75B2" w:rsidRDefault="001C75B2" w:rsidP="008647BA">
      <w:pPr>
        <w:jc w:val="center"/>
      </w:pPr>
      <w:r>
        <w:t>FEDERAL ENERGY REGULATORY COMMISSION</w:t>
      </w:r>
    </w:p>
    <w:p w14:paraId="5DB0F6B4" w14:textId="77777777" w:rsidR="001C75B2" w:rsidRDefault="001C75B2" w:rsidP="001C75B2"/>
    <w:p w14:paraId="5DB0F6B5" w14:textId="77777777" w:rsidR="001C75B2" w:rsidRPr="00F47F38" w:rsidRDefault="001C75B2" w:rsidP="008647BA">
      <w:pPr>
        <w:jc w:val="center"/>
      </w:pPr>
      <w:r w:rsidRPr="00F47F38">
        <w:t>[Docket No. IC</w:t>
      </w:r>
      <w:r w:rsidR="00F47F38" w:rsidRPr="00F47F38">
        <w:t>18</w:t>
      </w:r>
      <w:r w:rsidRPr="00F47F38">
        <w:t>-</w:t>
      </w:r>
      <w:r w:rsidR="00F47F38" w:rsidRPr="00F47F38">
        <w:t>5</w:t>
      </w:r>
      <w:r w:rsidRPr="00F47F38">
        <w:t>-00</w:t>
      </w:r>
      <w:r w:rsidR="00172C34" w:rsidRPr="00F47F38">
        <w:t>0</w:t>
      </w:r>
      <w:r w:rsidRPr="00F47F38">
        <w:t>]</w:t>
      </w:r>
    </w:p>
    <w:p w14:paraId="5DB0F6B6" w14:textId="77777777" w:rsidR="001C75B2" w:rsidRPr="00F47F38" w:rsidRDefault="001C75B2" w:rsidP="001C75B2"/>
    <w:p w14:paraId="5DB0F6B7" w14:textId="77777777" w:rsidR="00CD538C" w:rsidRDefault="001C75B2" w:rsidP="008024B2">
      <w:pPr>
        <w:jc w:val="center"/>
      </w:pPr>
      <w:r w:rsidRPr="00F47F38">
        <w:t xml:space="preserve">COMMISSION INFORMATION COLLECTION ACTIVITIES </w:t>
      </w:r>
    </w:p>
    <w:p w14:paraId="5DB0F6B8" w14:textId="77777777" w:rsidR="00CD538C" w:rsidRDefault="001C75B2" w:rsidP="008024B2">
      <w:pPr>
        <w:jc w:val="center"/>
      </w:pPr>
      <w:r w:rsidRPr="00F47F38">
        <w:t>(FERC</w:t>
      </w:r>
      <w:r w:rsidR="00F47F38" w:rsidRPr="00F47F38">
        <w:t>-9</w:t>
      </w:r>
      <w:r w:rsidR="00F47F38">
        <w:t>17 and</w:t>
      </w:r>
      <w:r w:rsidR="00F47F38" w:rsidRPr="00F47F38">
        <w:t xml:space="preserve"> FERC-918</w:t>
      </w:r>
      <w:r w:rsidR="008024B2" w:rsidRPr="00F47F38">
        <w:t>);</w:t>
      </w:r>
      <w:r w:rsidRPr="00F47F38">
        <w:t xml:space="preserve"> </w:t>
      </w:r>
    </w:p>
    <w:p w14:paraId="5DB0F6B9" w14:textId="77777777" w:rsidR="001C75B2" w:rsidRPr="00F47F38" w:rsidRDefault="001C75B2" w:rsidP="008024B2">
      <w:pPr>
        <w:jc w:val="center"/>
      </w:pPr>
      <w:r w:rsidRPr="00F47F38">
        <w:t>COMMENT REQUEST</w:t>
      </w:r>
      <w:r w:rsidR="00CD538C">
        <w:t>; EXTENSION</w:t>
      </w:r>
      <w:r w:rsidR="00B2244D" w:rsidRPr="00F47F38">
        <w:t xml:space="preserve">  </w:t>
      </w:r>
    </w:p>
    <w:p w14:paraId="5DB0F6BA" w14:textId="77777777" w:rsidR="001C75B2" w:rsidRPr="00F47F38" w:rsidRDefault="001C75B2" w:rsidP="001C75B2"/>
    <w:p w14:paraId="5DB0F6BB" w14:textId="455A85BF" w:rsidR="001C75B2" w:rsidRDefault="00211E79" w:rsidP="00211E79">
      <w:pPr>
        <w:jc w:val="center"/>
      </w:pPr>
      <w:r w:rsidRPr="00211E79">
        <w:t>(May 3, 2018)</w:t>
      </w:r>
    </w:p>
    <w:p w14:paraId="5DB0F6BC" w14:textId="77777777" w:rsidR="001C75B2" w:rsidRDefault="001C75B2" w:rsidP="001C75B2"/>
    <w:p w14:paraId="5DB0F6BD" w14:textId="77777777" w:rsidR="001C75B2" w:rsidRDefault="008024B2" w:rsidP="00C0217E">
      <w:pPr>
        <w:spacing w:line="480" w:lineRule="auto"/>
      </w:pPr>
      <w:r w:rsidRPr="00C0217E">
        <w:rPr>
          <w:b/>
        </w:rPr>
        <w:t>AGENCY:</w:t>
      </w:r>
      <w:r>
        <w:t xml:space="preserve">  </w:t>
      </w:r>
      <w:r w:rsidR="001C75B2">
        <w:t>Federal Energy Regulatory Commission.</w:t>
      </w:r>
    </w:p>
    <w:p w14:paraId="5DB0F6BE" w14:textId="77777777" w:rsidR="001C75B2" w:rsidRDefault="008024B2" w:rsidP="00C0217E">
      <w:pPr>
        <w:spacing w:line="480" w:lineRule="auto"/>
      </w:pPr>
      <w:r w:rsidRPr="00C0217E">
        <w:rPr>
          <w:b/>
        </w:rPr>
        <w:t>ACTION:</w:t>
      </w:r>
      <w:r>
        <w:t xml:space="preserve">  </w:t>
      </w:r>
      <w:r w:rsidR="00B87F46">
        <w:t>C</w:t>
      </w:r>
      <w:r w:rsidR="00E94542">
        <w:t>omment request.</w:t>
      </w:r>
    </w:p>
    <w:p w14:paraId="5DB0F6BF" w14:textId="18C11FC3" w:rsidR="001C75B2" w:rsidRDefault="001C75B2" w:rsidP="00C0217E">
      <w:pPr>
        <w:spacing w:line="480" w:lineRule="auto"/>
      </w:pPr>
      <w:r w:rsidRPr="00C0217E">
        <w:rPr>
          <w:b/>
        </w:rPr>
        <w:t>SUMMARY:</w:t>
      </w:r>
      <w:r>
        <w:t xml:space="preserve">  In compliance with the requirements</w:t>
      </w:r>
      <w:r w:rsidR="00B87F46">
        <w:t xml:space="preserve"> of</w:t>
      </w:r>
      <w:r>
        <w:t xml:space="preserve"> the Paperwork Reduction Act of 1995</w:t>
      </w:r>
      <w:r w:rsidR="000253DB">
        <w:t>,</w:t>
      </w:r>
      <w:r w:rsidR="000253DB" w:rsidRPr="000253DB">
        <w:rPr>
          <w:szCs w:val="26"/>
        </w:rPr>
        <w:t xml:space="preserve"> </w:t>
      </w:r>
      <w:r>
        <w:t xml:space="preserve">the Federal Energy Regulatory Commission (Commission or FERC) </w:t>
      </w:r>
      <w:r w:rsidR="00172C34">
        <w:t>is</w:t>
      </w:r>
      <w:r>
        <w:t xml:space="preserve"> submitt</w:t>
      </w:r>
      <w:r w:rsidR="00172C34">
        <w:t>ing</w:t>
      </w:r>
      <w:r>
        <w:t xml:space="preserve"> </w:t>
      </w:r>
      <w:r w:rsidR="001F0E50">
        <w:t>its</w:t>
      </w:r>
      <w:r>
        <w:t xml:space="preserve"> information collection</w:t>
      </w:r>
      <w:r w:rsidR="00F47F38">
        <w:t xml:space="preserve"> </w:t>
      </w:r>
      <w:r w:rsidR="00F47F38">
        <w:rPr>
          <w:szCs w:val="26"/>
        </w:rPr>
        <w:t>FERC-917 (Electric Transmission Facilities) and FERC-918 (Standards for Business Practices and Communication Protocols for Public Utilities</w:t>
      </w:r>
      <w:r>
        <w:t xml:space="preserve"> to the Office of Management and Budget (OMB)</w:t>
      </w:r>
      <w:r w:rsidR="00F47F38">
        <w:t>]</w:t>
      </w:r>
      <w:r>
        <w:t xml:space="preserve"> for review of the information collection requirements.  Any interested person may file comments directly with OMB and should address a copy of those comments to the Commission as explained below.  The Commission </w:t>
      </w:r>
      <w:r w:rsidR="001F0E50">
        <w:t xml:space="preserve">previously </w:t>
      </w:r>
      <w:r w:rsidR="00211E79">
        <w:t>publish</w:t>
      </w:r>
      <w:r>
        <w:t xml:space="preserve">ed a Notice in the Federal </w:t>
      </w:r>
      <w:r w:rsidR="00211E79">
        <w:t xml:space="preserve">Register </w:t>
      </w:r>
      <w:r w:rsidR="00F47F38" w:rsidRPr="00F47F38">
        <w:t>2/6/2018</w:t>
      </w:r>
      <w:r w:rsidRPr="00F47F38">
        <w:t xml:space="preserve"> requesting public comments.  </w:t>
      </w:r>
      <w:r w:rsidR="001F0E50" w:rsidRPr="00F47F38">
        <w:t>The Commission</w:t>
      </w:r>
      <w:r w:rsidRPr="00F47F38">
        <w:t xml:space="preserve"> received no comments on the FERC</w:t>
      </w:r>
      <w:r w:rsidR="00F47F38">
        <w:t>-917 nor the FERC-918</w:t>
      </w:r>
      <w:r w:rsidRPr="00F47F38">
        <w:t xml:space="preserve"> and </w:t>
      </w:r>
      <w:r w:rsidR="00172C34" w:rsidRPr="00F47F38">
        <w:t>is making</w:t>
      </w:r>
      <w:r w:rsidR="00B2244D" w:rsidRPr="00F47F38">
        <w:t xml:space="preserve"> this notation in its submittal</w:t>
      </w:r>
      <w:r w:rsidRPr="00F47F38">
        <w:t xml:space="preserve"> to OMB</w:t>
      </w:r>
      <w:r w:rsidR="00F47F38" w:rsidRPr="00F47F38">
        <w:t>.</w:t>
      </w:r>
    </w:p>
    <w:p w14:paraId="5DB0F6C0" w14:textId="168F3F80" w:rsidR="001C75B2" w:rsidRDefault="001C75B2" w:rsidP="00C0217E">
      <w:pPr>
        <w:spacing w:line="480" w:lineRule="auto"/>
      </w:pPr>
      <w:r w:rsidRPr="00F04F4C">
        <w:rPr>
          <w:b/>
        </w:rPr>
        <w:t>DATES:</w:t>
      </w:r>
      <w:r w:rsidR="00EA3F0A">
        <w:rPr>
          <w:b/>
        </w:rPr>
        <w:t xml:space="preserve"> </w:t>
      </w:r>
      <w:r>
        <w:t xml:space="preserve"> Comments on the collection of information are due by [</w:t>
      </w:r>
      <w:r w:rsidR="00EB6AC3" w:rsidRPr="00EB6AC3">
        <w:rPr>
          <w:b/>
        </w:rPr>
        <w:t xml:space="preserve">Insert </w:t>
      </w:r>
      <w:r w:rsidR="00211E79">
        <w:rPr>
          <w:b/>
        </w:rPr>
        <w:t>D</w:t>
      </w:r>
      <w:r w:rsidR="00EB6AC3" w:rsidRPr="00EB6AC3">
        <w:rPr>
          <w:b/>
        </w:rPr>
        <w:t xml:space="preserve">ate </w:t>
      </w:r>
      <w:r w:rsidRPr="00F47F38">
        <w:rPr>
          <w:b/>
        </w:rPr>
        <w:t>30 days after</w:t>
      </w:r>
      <w:r w:rsidR="00211E79">
        <w:rPr>
          <w:b/>
        </w:rPr>
        <w:t xml:space="preserve"> date of</w:t>
      </w:r>
      <w:r w:rsidRPr="00F47F38">
        <w:rPr>
          <w:b/>
        </w:rPr>
        <w:t xml:space="preserve"> publication in the Federal Register</w:t>
      </w:r>
      <w:r>
        <w:t xml:space="preserve">].   </w:t>
      </w:r>
    </w:p>
    <w:p w14:paraId="5DB0F6C1" w14:textId="77777777" w:rsidR="00121C3B" w:rsidRDefault="001C75B2" w:rsidP="00B2244D">
      <w:pPr>
        <w:spacing w:line="480" w:lineRule="auto"/>
      </w:pPr>
      <w:r w:rsidRPr="00F04F4C">
        <w:rPr>
          <w:b/>
        </w:rPr>
        <w:t>ADDRESSES:</w:t>
      </w:r>
      <w:r>
        <w:t xml:space="preserve"> </w:t>
      </w:r>
      <w:r w:rsidR="00EA3F0A">
        <w:t xml:space="preserve"> </w:t>
      </w:r>
      <w:r w:rsidR="00EA4BD0">
        <w:t xml:space="preserve">Comments </w:t>
      </w:r>
      <w:r w:rsidR="00121C3B">
        <w:t xml:space="preserve">filed with </w:t>
      </w:r>
      <w:r w:rsidR="00121C3B" w:rsidRPr="00F47F38">
        <w:t>OMB</w:t>
      </w:r>
      <w:r w:rsidR="00EA4BD0" w:rsidRPr="00F47F38">
        <w:t xml:space="preserve">, </w:t>
      </w:r>
      <w:r w:rsidR="00121C3B" w:rsidRPr="00F47F38">
        <w:t xml:space="preserve">identified by the OMB Control No. </w:t>
      </w:r>
      <w:r w:rsidR="00F47F38" w:rsidRPr="00F47F38">
        <w:t>1902-0233 (for both the FERC-917 and FERC-918)</w:t>
      </w:r>
      <w:r w:rsidR="00EA4BD0" w:rsidRPr="00F47F38">
        <w:t>,</w:t>
      </w:r>
      <w:r w:rsidR="00121C3B" w:rsidRPr="00F47F38">
        <w:t xml:space="preserve"> </w:t>
      </w:r>
      <w:r w:rsidR="00157960" w:rsidRPr="00F47F38">
        <w:t>should</w:t>
      </w:r>
      <w:r w:rsidR="00EA4BD0">
        <w:t xml:space="preserve"> be sent via email</w:t>
      </w:r>
      <w:r w:rsidR="00644093">
        <w:t xml:space="preserve"> to the Office of </w:t>
      </w:r>
      <w:r w:rsidR="00644093">
        <w:lastRenderedPageBreak/>
        <w:t>Information and Regulatory Affairs</w:t>
      </w:r>
      <w:r w:rsidR="006615E1">
        <w:t xml:space="preserve">: </w:t>
      </w:r>
      <w:hyperlink r:id="rId13" w:history="1">
        <w:r w:rsidR="006615E1" w:rsidRPr="00866BB4">
          <w:rPr>
            <w:rStyle w:val="Hyperlink"/>
          </w:rPr>
          <w:t>oira_submission@omb.gov</w:t>
        </w:r>
      </w:hyperlink>
      <w:r w:rsidR="006615E1">
        <w:t>.  Attention: Federal Energy Regulatory Commission Desk Officer.</w:t>
      </w:r>
      <w:r w:rsidR="00775D65">
        <w:t xml:space="preserve">  The Desk Officer may also be reached via telephone a</w:t>
      </w:r>
      <w:r w:rsidR="00F47F38">
        <w:t>t 202-395-8528</w:t>
      </w:r>
      <w:r w:rsidR="00B2244D">
        <w:t>.</w:t>
      </w:r>
    </w:p>
    <w:p w14:paraId="5DB0F6C2" w14:textId="77777777" w:rsidR="00775D65" w:rsidRDefault="00095258" w:rsidP="00775D65">
      <w:pPr>
        <w:spacing w:line="480" w:lineRule="auto"/>
        <w:ind w:firstLine="720"/>
      </w:pPr>
      <w:r>
        <w:t>A copy of the comments should also be sent to the Commission</w:t>
      </w:r>
      <w:r w:rsidR="003178F3">
        <w:t xml:space="preserve">, </w:t>
      </w:r>
      <w:r w:rsidR="001F0E50">
        <w:t>in</w:t>
      </w:r>
      <w:r w:rsidR="003178F3">
        <w:t xml:space="preserve"> </w:t>
      </w:r>
      <w:r w:rsidR="00172C34">
        <w:t>D</w:t>
      </w:r>
      <w:r w:rsidR="003178F3">
        <w:t xml:space="preserve">ocket </w:t>
      </w:r>
      <w:r w:rsidR="00172C34">
        <w:t>N</w:t>
      </w:r>
      <w:r w:rsidR="003178F3">
        <w:t xml:space="preserve">o. </w:t>
      </w:r>
      <w:r w:rsidR="00F47F38" w:rsidRPr="00F47F38">
        <w:t>IC18-5</w:t>
      </w:r>
      <w:r w:rsidR="003178F3" w:rsidRPr="00F47F38">
        <w:t>-00</w:t>
      </w:r>
      <w:r w:rsidR="00172C34" w:rsidRPr="00F47F38">
        <w:t>0</w:t>
      </w:r>
      <w:r w:rsidR="003178F3" w:rsidRPr="00F47F38">
        <w:t>,</w:t>
      </w:r>
      <w:r w:rsidRPr="00F47F38">
        <w:t xml:space="preserve"> </w:t>
      </w:r>
      <w:r w:rsidR="00775D65" w:rsidRPr="00F47F38">
        <w:t>by either of the following methods:</w:t>
      </w:r>
    </w:p>
    <w:p w14:paraId="5DB0F6C3" w14:textId="77777777" w:rsidR="00775D65" w:rsidRDefault="00775D65" w:rsidP="00775D65">
      <w:pPr>
        <w:numPr>
          <w:ilvl w:val="0"/>
          <w:numId w:val="3"/>
        </w:numPr>
        <w:tabs>
          <w:tab w:val="clear" w:pos="1500"/>
          <w:tab w:val="num" w:pos="1080"/>
        </w:tabs>
        <w:spacing w:line="480" w:lineRule="auto"/>
        <w:ind w:left="720" w:firstLine="0"/>
      </w:pPr>
      <w:r>
        <w:t xml:space="preserve">eFiling at Commission’s Web Site: </w:t>
      </w:r>
      <w:hyperlink r:id="rId14" w:history="1">
        <w:r w:rsidRPr="0057675D">
          <w:rPr>
            <w:rStyle w:val="Hyperlink"/>
          </w:rPr>
          <w:t>http://www.ferc.gov/docs-filing/efiling.asp</w:t>
        </w:r>
      </w:hyperlink>
      <w:r>
        <w:t xml:space="preserve">.  </w:t>
      </w:r>
    </w:p>
    <w:p w14:paraId="5DB0F6C4" w14:textId="77777777" w:rsidR="00775D65" w:rsidRDefault="00775D65" w:rsidP="00775D65">
      <w:pPr>
        <w:numPr>
          <w:ilvl w:val="0"/>
          <w:numId w:val="3"/>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5DB0F6C5" w14:textId="77777777" w:rsidR="00775D65" w:rsidRDefault="00775D65" w:rsidP="00775D65">
      <w:pPr>
        <w:spacing w:line="480" w:lineRule="auto"/>
      </w:pPr>
      <w:r>
        <w:rPr>
          <w:i/>
        </w:rPr>
        <w:t xml:space="preserve">Instructions: </w:t>
      </w:r>
      <w:r>
        <w:t xml:space="preserve">All submissions must be formatted and filed in accordance with submission guidelines at: </w:t>
      </w:r>
      <w:hyperlink r:id="rId15" w:history="1">
        <w:r w:rsidRPr="00866BB4">
          <w:rPr>
            <w:rStyle w:val="Hyperlink"/>
          </w:rPr>
          <w:t>http://www.ferc.gov/help/submission-guide.asp</w:t>
        </w:r>
      </w:hyperlink>
      <w:r>
        <w:t>.  For user assistance contact FERC Online Support by e-mail at ferconlinesupport@ferc.gov, or by phone at:  (866) 208-3676 (toll-free), or (202) 502-8659 for TTY.</w:t>
      </w:r>
    </w:p>
    <w:p w14:paraId="5DB0F6C6" w14:textId="77777777" w:rsidR="00775D65" w:rsidRPr="00F47F38" w:rsidRDefault="00775D65" w:rsidP="00775D65">
      <w:pPr>
        <w:spacing w:line="480" w:lineRule="auto"/>
      </w:pPr>
      <w:r>
        <w:rPr>
          <w:i/>
        </w:rPr>
        <w:t>Docket:</w:t>
      </w:r>
      <w:r>
        <w:t xml:space="preserve"> Users interested in receiving automatic notification of activity in this docket or in viewing/downloading comments and issuances in this docket may do so at </w:t>
      </w:r>
      <w:hyperlink r:id="rId16" w:history="1">
        <w:r w:rsidRPr="00F47F38">
          <w:rPr>
            <w:rStyle w:val="Hyperlink"/>
          </w:rPr>
          <w:t>http://www.ferc.gov/docs-filing/docs-filing.asp</w:t>
        </w:r>
      </w:hyperlink>
      <w:r w:rsidRPr="00F47F38">
        <w:t xml:space="preserve">. </w:t>
      </w:r>
      <w:r w:rsidR="00095258" w:rsidRPr="00F47F38">
        <w:t xml:space="preserve"> </w:t>
      </w:r>
    </w:p>
    <w:p w14:paraId="5DB0F6C7" w14:textId="77777777" w:rsidR="001C75B2" w:rsidRDefault="001C75B2" w:rsidP="00C0217E">
      <w:pPr>
        <w:spacing w:line="480" w:lineRule="auto"/>
      </w:pPr>
      <w:r w:rsidRPr="00F47F38">
        <w:rPr>
          <w:b/>
        </w:rPr>
        <w:t>FOR FURTHER INFORMATION:</w:t>
      </w:r>
      <w:r w:rsidRPr="00F47F38">
        <w:t xml:space="preserve">   </w:t>
      </w:r>
      <w:smartTag w:uri="urn:schemas-microsoft-com:office:smarttags" w:element="PersonName">
        <w:r w:rsidRPr="00F47F38">
          <w:t>Ellen Brown</w:t>
        </w:r>
      </w:smartTag>
      <w:r w:rsidRPr="00F47F38">
        <w:t xml:space="preserve"> may be reached by e-mail at </w:t>
      </w:r>
      <w:hyperlink r:id="rId17" w:history="1">
        <w:r w:rsidR="00822C8E" w:rsidRPr="00F47F38">
          <w:rPr>
            <w:rStyle w:val="Hyperlink"/>
          </w:rPr>
          <w:t>DataClearance@FERC.gov</w:t>
        </w:r>
      </w:hyperlink>
      <w:r w:rsidRPr="00F47F38">
        <w:t>, by telephone at (202) 502-8663, and by</w:t>
      </w:r>
      <w:r>
        <w:t xml:space="preserve"> fax at (202) 273-0873. </w:t>
      </w:r>
    </w:p>
    <w:p w14:paraId="5DB0F6C8" w14:textId="77777777" w:rsidR="003820D6" w:rsidRDefault="003820D6" w:rsidP="003820D6">
      <w:pPr>
        <w:spacing w:line="480" w:lineRule="auto"/>
      </w:pPr>
      <w:r w:rsidRPr="001C3703">
        <w:rPr>
          <w:b/>
        </w:rPr>
        <w:t>SUPPLEMENTARY INFORMATION:</w:t>
      </w:r>
      <w:r>
        <w:t xml:space="preserve">  </w:t>
      </w:r>
    </w:p>
    <w:p w14:paraId="5DB0F6C9" w14:textId="77777777" w:rsidR="003820D6" w:rsidRPr="00F47F38" w:rsidRDefault="003820D6" w:rsidP="003820D6">
      <w:pPr>
        <w:spacing w:line="480" w:lineRule="auto"/>
      </w:pPr>
      <w:r>
        <w:rPr>
          <w:i/>
        </w:rPr>
        <w:t xml:space="preserve">Title: </w:t>
      </w:r>
      <w:r w:rsidR="00F47F38" w:rsidRPr="00674636">
        <w:rPr>
          <w:szCs w:val="26"/>
        </w:rPr>
        <w:t xml:space="preserve">FERC-917 (Electric Transmission Facilities) and FERC-918 (Standards for Business Practices and Communication Protocols for Public </w:t>
      </w:r>
      <w:r w:rsidR="00F47F38">
        <w:rPr>
          <w:szCs w:val="26"/>
        </w:rPr>
        <w:t>Utilities</w:t>
      </w:r>
    </w:p>
    <w:p w14:paraId="5DB0F6CA" w14:textId="77777777" w:rsidR="00FD3E49" w:rsidRDefault="003820D6" w:rsidP="003820D6">
      <w:pPr>
        <w:spacing w:line="480" w:lineRule="auto"/>
      </w:pPr>
      <w:r>
        <w:rPr>
          <w:i/>
        </w:rPr>
        <w:t>OMB Control No.:</w:t>
      </w:r>
      <w:r w:rsidR="003575F3">
        <w:rPr>
          <w:i/>
        </w:rPr>
        <w:t xml:space="preserve"> </w:t>
      </w:r>
      <w:r w:rsidR="00F47F38">
        <w:t>1902-0233</w:t>
      </w:r>
    </w:p>
    <w:p w14:paraId="5DB0F6CB" w14:textId="77777777" w:rsidR="003820D6" w:rsidRDefault="003820D6" w:rsidP="003820D6">
      <w:pPr>
        <w:spacing w:line="480" w:lineRule="auto"/>
      </w:pPr>
      <w:r>
        <w:rPr>
          <w:i/>
        </w:rPr>
        <w:lastRenderedPageBreak/>
        <w:t>Type of Request:</w:t>
      </w:r>
      <w:r>
        <w:t xml:space="preserve"> </w:t>
      </w:r>
      <w:r w:rsidR="009E030D">
        <w:t xml:space="preserve">Three-year </w:t>
      </w:r>
      <w:r w:rsidR="009E030D" w:rsidRPr="00162E79">
        <w:t xml:space="preserve">extension of the </w:t>
      </w:r>
      <w:r w:rsidR="00162E79" w:rsidRPr="00162E79">
        <w:t>FERC-917 and FERC-918</w:t>
      </w:r>
      <w:r w:rsidR="009E030D" w:rsidRPr="00162E79">
        <w:t xml:space="preserve"> information collection requirements with no changes to the reporting requirements.</w:t>
      </w:r>
    </w:p>
    <w:p w14:paraId="5DB0F6CC" w14:textId="77777777" w:rsidR="00162E79" w:rsidRDefault="003820D6" w:rsidP="00162E79">
      <w:pPr>
        <w:pStyle w:val="FERCparanumber"/>
        <w:numPr>
          <w:ilvl w:val="0"/>
          <w:numId w:val="0"/>
        </w:numPr>
        <w:spacing w:line="480" w:lineRule="auto"/>
      </w:pPr>
      <w:r>
        <w:rPr>
          <w:i/>
        </w:rPr>
        <w:t xml:space="preserve">Abstract: </w:t>
      </w:r>
      <w:r w:rsidR="004721F3">
        <w:rPr>
          <w:i/>
        </w:rPr>
        <w:t xml:space="preserve"> </w:t>
      </w:r>
      <w:r w:rsidR="00162E79">
        <w:t>On February 17, 2007, the Commission issued Order No. 890</w:t>
      </w:r>
      <w:r w:rsidR="00162E79">
        <w:rPr>
          <w:rStyle w:val="FootnoteReference"/>
        </w:rPr>
        <w:footnoteReference w:id="1"/>
      </w:r>
      <w:r w:rsidR="00162E79">
        <w:t xml:space="preserve"> to </w:t>
      </w:r>
      <w:r w:rsidR="00162E79" w:rsidRPr="000B7AAD">
        <w:t>address and remed</w:t>
      </w:r>
      <w:r w:rsidR="00162E79">
        <w:t>y</w:t>
      </w:r>
      <w:r w:rsidR="00162E79" w:rsidRPr="000B7AAD">
        <w:t xml:space="preserve"> opportunities for undue </w:t>
      </w:r>
      <w:r w:rsidR="00162E79" w:rsidRPr="00162E79">
        <w:t>discrimination under the pro forma Open Access</w:t>
      </w:r>
      <w:r w:rsidR="00162E79" w:rsidRPr="000B7AAD">
        <w:t xml:space="preserve"> Transmission Tariff </w:t>
      </w:r>
      <w:r w:rsidR="00162E79">
        <w:t>(</w:t>
      </w:r>
      <w:r w:rsidR="00162E79" w:rsidRPr="000B7AAD">
        <w:t>OATT</w:t>
      </w:r>
      <w:r w:rsidR="00162E79">
        <w:t>)</w:t>
      </w:r>
      <w:r w:rsidR="00162E79" w:rsidRPr="000B7AAD">
        <w:t xml:space="preserve"> adopted in 1996 by Order No. 888.</w:t>
      </w:r>
      <w:r w:rsidR="00162E79" w:rsidRPr="000B7AAD">
        <w:rPr>
          <w:rStyle w:val="FootnoteReference"/>
        </w:rPr>
        <w:footnoteReference w:id="2"/>
      </w:r>
      <w:r w:rsidR="00162E79" w:rsidRPr="000B7AAD">
        <w:t xml:space="preserve">  </w:t>
      </w:r>
      <w:r w:rsidR="00162E79">
        <w:t xml:space="preserve">Through Order No. 890, the Commission: </w:t>
      </w:r>
    </w:p>
    <w:p w14:paraId="5DB0F6CD" w14:textId="77777777" w:rsidR="00162E79" w:rsidRDefault="00162E79" w:rsidP="00162E79">
      <w:pPr>
        <w:pStyle w:val="FERCparanumber"/>
        <w:numPr>
          <w:ilvl w:val="0"/>
          <w:numId w:val="5"/>
        </w:numPr>
        <w:spacing w:line="480" w:lineRule="auto"/>
      </w:pPr>
      <w:r w:rsidRPr="00162E79">
        <w:t>Adopted pro forma OATT</w:t>
      </w:r>
      <w:r>
        <w:t xml:space="preserve"> provisions necessary to keep imbalance charges closely related to incremental costs;</w:t>
      </w:r>
    </w:p>
    <w:p w14:paraId="5DB0F6CE" w14:textId="77777777" w:rsidR="00162E79" w:rsidRDefault="00162E79" w:rsidP="00162E79">
      <w:pPr>
        <w:pStyle w:val="FERCparanumber"/>
        <w:numPr>
          <w:ilvl w:val="0"/>
          <w:numId w:val="5"/>
        </w:numPr>
        <w:spacing w:line="480" w:lineRule="auto"/>
      </w:pPr>
      <w:r>
        <w:t>I</w:t>
      </w:r>
      <w:r w:rsidRPr="000B7AAD">
        <w:t>ncrease</w:t>
      </w:r>
      <w:r>
        <w:t>d</w:t>
      </w:r>
      <w:r w:rsidRPr="000B7AAD">
        <w:t xml:space="preserve"> nondiscriminatory access to the grid by requir</w:t>
      </w:r>
      <w:r>
        <w:t>ing</w:t>
      </w:r>
      <w:r w:rsidRPr="000B7AAD">
        <w:t xml:space="preserve"> public utilities, working through the North American Electric Reliability </w:t>
      </w:r>
      <w:r>
        <w:t>Corporation</w:t>
      </w:r>
      <w:r w:rsidRPr="000B7AAD">
        <w:t xml:space="preserve"> (NERC), to develop consistent methodologies for available transfer capability </w:t>
      </w:r>
      <w:r>
        <w:t>(</w:t>
      </w:r>
      <w:r w:rsidRPr="000B7AAD">
        <w:t>ATC</w:t>
      </w:r>
      <w:r>
        <w:t>)</w:t>
      </w:r>
      <w:r w:rsidRPr="000B7AAD">
        <w:t xml:space="preserve"> calculation and to publish those methodologies to increase transparency</w:t>
      </w:r>
      <w:r>
        <w:t>;</w:t>
      </w:r>
    </w:p>
    <w:p w14:paraId="5DB0F6CF" w14:textId="77777777" w:rsidR="00C921DC" w:rsidRDefault="00162E79" w:rsidP="00C921DC">
      <w:pPr>
        <w:pStyle w:val="FERCparanumber"/>
        <w:numPr>
          <w:ilvl w:val="0"/>
          <w:numId w:val="5"/>
        </w:numPr>
        <w:spacing w:line="480" w:lineRule="auto"/>
      </w:pPr>
      <w:r>
        <w:t>R</w:t>
      </w:r>
      <w:r w:rsidRPr="000B7AAD">
        <w:t>equir</w:t>
      </w:r>
      <w:r>
        <w:t>ed</w:t>
      </w:r>
      <w:r w:rsidRPr="000B7AAD">
        <w:t xml:space="preserve"> an open, transparent, and coordinated transmission planning process</w:t>
      </w:r>
      <w:r>
        <w:t xml:space="preserve"> thereby i</w:t>
      </w:r>
      <w:r w:rsidRPr="000B7AAD">
        <w:t>ncreas</w:t>
      </w:r>
      <w:r>
        <w:t>ing</w:t>
      </w:r>
      <w:r w:rsidRPr="000B7AAD">
        <w:t xml:space="preserve"> the ability of customers to access new generating resources </w:t>
      </w:r>
      <w:r>
        <w:t>and promote effici</w:t>
      </w:r>
      <w:r w:rsidR="00C921DC">
        <w:t>ent utilization of transmission;</w:t>
      </w:r>
    </w:p>
    <w:p w14:paraId="5DB0F6D0" w14:textId="77777777" w:rsidR="00C921DC" w:rsidRDefault="00162E79" w:rsidP="00C921DC">
      <w:pPr>
        <w:pStyle w:val="FERCparanumber"/>
        <w:numPr>
          <w:ilvl w:val="0"/>
          <w:numId w:val="5"/>
        </w:numPr>
        <w:spacing w:line="480" w:lineRule="auto"/>
      </w:pPr>
      <w:r>
        <w:t>Gave the right to customers to request from transmission providers, studies addressing congestion and/or integration of new resource loads in areas</w:t>
      </w:r>
      <w:r w:rsidRPr="000B7AAD">
        <w:t xml:space="preserve"> of the transmission system where they have encountered transmission problems due to congestion or </w:t>
      </w:r>
      <w:r>
        <w:t>where</w:t>
      </w:r>
      <w:r w:rsidRPr="000B7AAD">
        <w:t xml:space="preserve"> they believe upgrades</w:t>
      </w:r>
      <w:r>
        <w:t xml:space="preserve"> and other investments</w:t>
      </w:r>
      <w:r w:rsidRPr="000B7AAD">
        <w:t xml:space="preserve"> may be necessary to </w:t>
      </w:r>
      <w:r>
        <w:t xml:space="preserve">reduce congestion and to </w:t>
      </w:r>
      <w:r w:rsidRPr="000B7AAD">
        <w:t>integrate new resources</w:t>
      </w:r>
      <w:r w:rsidR="00C921DC">
        <w:t>;</w:t>
      </w:r>
    </w:p>
    <w:p w14:paraId="5DB0F6D1" w14:textId="77777777" w:rsidR="00C921DC" w:rsidRDefault="00162E79" w:rsidP="00C921DC">
      <w:pPr>
        <w:pStyle w:val="FERCparanumber"/>
        <w:numPr>
          <w:ilvl w:val="0"/>
          <w:numId w:val="5"/>
        </w:numPr>
        <w:spacing w:line="480" w:lineRule="auto"/>
      </w:pPr>
      <w:r>
        <w:t>R</w:t>
      </w:r>
      <w:r w:rsidRPr="000B7AAD">
        <w:t>equire</w:t>
      </w:r>
      <w:r>
        <w:t>d</w:t>
      </w:r>
      <w:r w:rsidRPr="000B7AAD">
        <w:t xml:space="preserve"> both the transmission provider’s merchant function </w:t>
      </w:r>
      <w:r>
        <w:t>and</w:t>
      </w:r>
      <w:r w:rsidRPr="000B7AAD">
        <w:t xml:space="preserve"> network customers to include a statement with each application for network service or to designate a new network resource that attests, for each network resource identified, that the transmission customer owns or has committed to purchase the designated network resource and the designated network resource comports with the requirements for designated network resources.  The network customer include</w:t>
      </w:r>
      <w:r>
        <w:t>s</w:t>
      </w:r>
      <w:r w:rsidRPr="000B7AAD">
        <w:t xml:space="preserve"> this attestation in the customer’s comment section of the request when it confirms the request on </w:t>
      </w:r>
      <w:r>
        <w:t>the Open Access Same-Time Information System (</w:t>
      </w:r>
      <w:r w:rsidRPr="000B7AAD">
        <w:t>OASIS</w:t>
      </w:r>
      <w:r>
        <w:t>)</w:t>
      </w:r>
      <w:r w:rsidR="00C921DC">
        <w:t>;</w:t>
      </w:r>
    </w:p>
    <w:p w14:paraId="5DB0F6D2" w14:textId="77777777" w:rsidR="00C921DC" w:rsidRDefault="00162E79" w:rsidP="00C921DC">
      <w:pPr>
        <w:pStyle w:val="FERCparanumber"/>
        <w:numPr>
          <w:ilvl w:val="0"/>
          <w:numId w:val="5"/>
        </w:numPr>
        <w:spacing w:line="480" w:lineRule="auto"/>
      </w:pPr>
      <w:r w:rsidRPr="00C921DC">
        <w:rPr>
          <w:szCs w:val="26"/>
        </w:rPr>
        <w:t xml:space="preserve">Required with regard to capacity reassignment that:  (a) </w:t>
      </w:r>
      <w:r w:rsidRPr="000B7AAD">
        <w:t>all sales or assignments of capacity be conducted through or otherwise posted on the transmission provider’s OASIS on or before the date the reassigned service commences</w:t>
      </w:r>
      <w:r>
        <w:t xml:space="preserve">; (b) </w:t>
      </w:r>
      <w:r w:rsidRPr="000B7AAD">
        <w:t>assignees of transmission capacity execute a service agreement prior to the date on which the reassigned service commences</w:t>
      </w:r>
      <w:r>
        <w:t xml:space="preserve">; and (c) </w:t>
      </w:r>
      <w:r w:rsidRPr="000B7AAD">
        <w:t>transmission providers</w:t>
      </w:r>
      <w:r>
        <w:t xml:space="preserve"> </w:t>
      </w:r>
      <w:r w:rsidRPr="000B7AAD">
        <w:t xml:space="preserve">aggregate and summarize in an </w:t>
      </w:r>
      <w:r>
        <w:t xml:space="preserve">electric </w:t>
      </w:r>
      <w:r w:rsidRPr="000B7AAD">
        <w:t>quarterly report the data containe</w:t>
      </w:r>
      <w:r w:rsidR="00C921DC">
        <w:t>d in these service agreements;</w:t>
      </w:r>
    </w:p>
    <w:p w14:paraId="5DB0F6D3" w14:textId="77777777" w:rsidR="00C921DC" w:rsidRDefault="00162E79" w:rsidP="00C921DC">
      <w:pPr>
        <w:pStyle w:val="FERCparanumber"/>
        <w:numPr>
          <w:ilvl w:val="0"/>
          <w:numId w:val="5"/>
        </w:numPr>
        <w:spacing w:line="480" w:lineRule="auto"/>
      </w:pPr>
      <w:r>
        <w:t>A</w:t>
      </w:r>
      <w:r w:rsidRPr="000B7AAD">
        <w:t>dopt</w:t>
      </w:r>
      <w:r>
        <w:t>ed</w:t>
      </w:r>
      <w:r w:rsidRPr="000B7AAD">
        <w:t xml:space="preserve"> </w:t>
      </w:r>
      <w:r>
        <w:t xml:space="preserve">an </w:t>
      </w:r>
      <w:r w:rsidRPr="000B7AAD">
        <w:t xml:space="preserve">operational penalties </w:t>
      </w:r>
      <w:r>
        <w:t xml:space="preserve">annual filing that provides information regarding the penalty revenue the transmission provider has received and </w:t>
      </w:r>
      <w:r w:rsidR="00C921DC">
        <w:t>distributed; and</w:t>
      </w:r>
    </w:p>
    <w:p w14:paraId="5DB0F6D4" w14:textId="77777777" w:rsidR="00162E79" w:rsidRPr="000B7AAD" w:rsidRDefault="00162E79" w:rsidP="00C921DC">
      <w:pPr>
        <w:pStyle w:val="FERCparanumber"/>
        <w:numPr>
          <w:ilvl w:val="0"/>
          <w:numId w:val="5"/>
        </w:numPr>
        <w:spacing w:line="480" w:lineRule="auto"/>
      </w:pPr>
      <w:r>
        <w:t xml:space="preserve">Required creditworthiness information to be included in a transmission provider’s OATT.  Attachment L must specify </w:t>
      </w:r>
      <w:r w:rsidRPr="000B7AAD">
        <w:t xml:space="preserve">the qualitative and quantitative criteria that the transmission provider uses to determine the level of secured and unsecured credit required.  </w:t>
      </w:r>
    </w:p>
    <w:p w14:paraId="5DB0F6D5" w14:textId="77777777" w:rsidR="00162E79" w:rsidRDefault="00162E79" w:rsidP="00162E79">
      <w:pPr>
        <w:spacing w:line="480" w:lineRule="auto"/>
        <w:rPr>
          <w:szCs w:val="26"/>
        </w:rPr>
      </w:pPr>
      <w:r>
        <w:rPr>
          <w:szCs w:val="26"/>
        </w:rPr>
        <w:tab/>
        <w:t>The Commission r</w:t>
      </w:r>
      <w:r w:rsidRPr="002867CD">
        <w:rPr>
          <w:szCs w:val="26"/>
        </w:rPr>
        <w:t xml:space="preserve">equired a </w:t>
      </w:r>
      <w:r>
        <w:rPr>
          <w:szCs w:val="26"/>
        </w:rPr>
        <w:t>NERC/NAESB</w:t>
      </w:r>
      <w:r>
        <w:rPr>
          <w:rStyle w:val="FootnoteReference"/>
        </w:rPr>
        <w:footnoteReference w:id="3"/>
      </w:r>
      <w:r>
        <w:rPr>
          <w:szCs w:val="26"/>
        </w:rPr>
        <w:t xml:space="preserve"> t</w:t>
      </w:r>
      <w:r w:rsidRPr="00042067">
        <w:rPr>
          <w:szCs w:val="26"/>
        </w:rPr>
        <w:t xml:space="preserve">eam to </w:t>
      </w:r>
      <w:r>
        <w:rPr>
          <w:szCs w:val="26"/>
        </w:rPr>
        <w:t>draft and</w:t>
      </w:r>
      <w:r w:rsidRPr="00042067">
        <w:rPr>
          <w:szCs w:val="26"/>
        </w:rPr>
        <w:t xml:space="preserve"> review</w:t>
      </w:r>
      <w:r>
        <w:rPr>
          <w:szCs w:val="26"/>
        </w:rPr>
        <w:t xml:space="preserve"> Order No. 890 reliability standards and business practices.  The team was to solicit</w:t>
      </w:r>
      <w:r w:rsidRPr="00042067">
        <w:rPr>
          <w:szCs w:val="26"/>
        </w:rPr>
        <w:t xml:space="preserve"> comment </w:t>
      </w:r>
      <w:r>
        <w:rPr>
          <w:szCs w:val="26"/>
        </w:rPr>
        <w:t xml:space="preserve">from each </w:t>
      </w:r>
      <w:r w:rsidRPr="00042067">
        <w:rPr>
          <w:szCs w:val="26"/>
        </w:rPr>
        <w:t>utility</w:t>
      </w:r>
      <w:r>
        <w:rPr>
          <w:szCs w:val="26"/>
        </w:rPr>
        <w:t xml:space="preserve"> on developed standards and practices and utilities were to implement each, after Commission approval. </w:t>
      </w:r>
      <w:r w:rsidRPr="00042067">
        <w:rPr>
          <w:szCs w:val="26"/>
        </w:rPr>
        <w:t xml:space="preserve"> </w:t>
      </w:r>
      <w:r>
        <w:rPr>
          <w:szCs w:val="26"/>
        </w:rPr>
        <w:t>Public utilities, working through NERC, were to revise reliability standards to require the exchange of data and coordination among transmission providers and, working through NAESB, were to develop com</w:t>
      </w:r>
      <w:r w:rsidR="00C921DC">
        <w:rPr>
          <w:szCs w:val="26"/>
        </w:rPr>
        <w:t>plementary business practices.</w:t>
      </w:r>
    </w:p>
    <w:p w14:paraId="5DB0F6D6" w14:textId="77777777" w:rsidR="00522A8C" w:rsidRDefault="00162E79" w:rsidP="00162E79">
      <w:pPr>
        <w:spacing w:line="480" w:lineRule="auto"/>
        <w:rPr>
          <w:szCs w:val="26"/>
        </w:rPr>
      </w:pPr>
      <w:r>
        <w:rPr>
          <w:szCs w:val="26"/>
        </w:rPr>
        <w:t>Re</w:t>
      </w:r>
      <w:r w:rsidR="00522A8C">
        <w:rPr>
          <w:szCs w:val="26"/>
        </w:rPr>
        <w:t>quired OASIS postings included:</w:t>
      </w:r>
    </w:p>
    <w:p w14:paraId="5DB0F6D7" w14:textId="77777777" w:rsidR="00522A8C" w:rsidRDefault="00162E79" w:rsidP="00162E79">
      <w:pPr>
        <w:numPr>
          <w:ilvl w:val="0"/>
          <w:numId w:val="6"/>
        </w:numPr>
        <w:spacing w:line="480" w:lineRule="auto"/>
        <w:rPr>
          <w:szCs w:val="26"/>
        </w:rPr>
      </w:pPr>
      <w:r w:rsidRPr="00042067">
        <w:rPr>
          <w:szCs w:val="26"/>
        </w:rPr>
        <w:t>Explanation</w:t>
      </w:r>
      <w:r>
        <w:rPr>
          <w:szCs w:val="26"/>
        </w:rPr>
        <w:t>s</w:t>
      </w:r>
      <w:r w:rsidRPr="00042067">
        <w:rPr>
          <w:szCs w:val="26"/>
        </w:rPr>
        <w:t xml:space="preserve"> </w:t>
      </w:r>
      <w:r>
        <w:rPr>
          <w:szCs w:val="26"/>
        </w:rPr>
        <w:t xml:space="preserve">for changes in </w:t>
      </w:r>
      <w:r w:rsidRPr="00042067">
        <w:rPr>
          <w:szCs w:val="26"/>
        </w:rPr>
        <w:t>ATC value</w:t>
      </w:r>
      <w:r>
        <w:rPr>
          <w:szCs w:val="26"/>
        </w:rPr>
        <w:t>s;</w:t>
      </w:r>
    </w:p>
    <w:p w14:paraId="5DB0F6D8" w14:textId="77777777" w:rsidR="00522A8C" w:rsidRDefault="00162E79" w:rsidP="00162E79">
      <w:pPr>
        <w:numPr>
          <w:ilvl w:val="0"/>
          <w:numId w:val="6"/>
        </w:numPr>
        <w:spacing w:line="480" w:lineRule="auto"/>
        <w:rPr>
          <w:szCs w:val="26"/>
        </w:rPr>
      </w:pPr>
      <w:r w:rsidRPr="00522A8C">
        <w:rPr>
          <w:szCs w:val="26"/>
        </w:rPr>
        <w:t>Capacity benefit margin (CBM) reevaluations and quarterly postings;</w:t>
      </w:r>
    </w:p>
    <w:p w14:paraId="5DB0F6D9" w14:textId="77777777" w:rsidR="00522A8C" w:rsidRDefault="00162E79" w:rsidP="00162E79">
      <w:pPr>
        <w:numPr>
          <w:ilvl w:val="0"/>
          <w:numId w:val="6"/>
        </w:numPr>
        <w:spacing w:line="480" w:lineRule="auto"/>
        <w:rPr>
          <w:szCs w:val="26"/>
        </w:rPr>
      </w:pPr>
      <w:r w:rsidRPr="00522A8C">
        <w:rPr>
          <w:szCs w:val="26"/>
        </w:rPr>
        <w:t>OASIS metrics and accepted/denied requests;</w:t>
      </w:r>
    </w:p>
    <w:p w14:paraId="5DB0F6DA" w14:textId="77777777" w:rsidR="00522A8C" w:rsidRDefault="00162E79" w:rsidP="00162E79">
      <w:pPr>
        <w:numPr>
          <w:ilvl w:val="0"/>
          <w:numId w:val="6"/>
        </w:numPr>
        <w:spacing w:line="480" w:lineRule="auto"/>
        <w:rPr>
          <w:szCs w:val="26"/>
        </w:rPr>
      </w:pPr>
      <w:r w:rsidRPr="00522A8C">
        <w:rPr>
          <w:szCs w:val="26"/>
        </w:rPr>
        <w:t>Planning redispatch offers and reliability redispatch data;</w:t>
      </w:r>
    </w:p>
    <w:p w14:paraId="5DB0F6DB" w14:textId="77777777" w:rsidR="00522A8C" w:rsidRDefault="00162E79" w:rsidP="00162E79">
      <w:pPr>
        <w:numPr>
          <w:ilvl w:val="0"/>
          <w:numId w:val="6"/>
        </w:numPr>
        <w:spacing w:line="480" w:lineRule="auto"/>
        <w:rPr>
          <w:szCs w:val="26"/>
        </w:rPr>
      </w:pPr>
      <w:r w:rsidRPr="00522A8C">
        <w:rPr>
          <w:szCs w:val="26"/>
        </w:rPr>
        <w:t>Curtailment data;</w:t>
      </w:r>
    </w:p>
    <w:p w14:paraId="5DB0F6DC" w14:textId="77777777" w:rsidR="00522A8C" w:rsidRDefault="00162E79" w:rsidP="00162E79">
      <w:pPr>
        <w:numPr>
          <w:ilvl w:val="0"/>
          <w:numId w:val="6"/>
        </w:numPr>
        <w:spacing w:line="480" w:lineRule="auto"/>
        <w:rPr>
          <w:szCs w:val="26"/>
        </w:rPr>
      </w:pPr>
      <w:r w:rsidRPr="00522A8C">
        <w:rPr>
          <w:szCs w:val="26"/>
        </w:rPr>
        <w:t>Planning and system impact studies;</w:t>
      </w:r>
    </w:p>
    <w:p w14:paraId="5DB0F6DD" w14:textId="77777777" w:rsidR="00522A8C" w:rsidRDefault="00162E79" w:rsidP="00162E79">
      <w:pPr>
        <w:numPr>
          <w:ilvl w:val="0"/>
          <w:numId w:val="6"/>
        </w:numPr>
        <w:spacing w:line="480" w:lineRule="auto"/>
        <w:rPr>
          <w:szCs w:val="26"/>
        </w:rPr>
      </w:pPr>
      <w:r w:rsidRPr="00522A8C">
        <w:rPr>
          <w:szCs w:val="26"/>
        </w:rPr>
        <w:t>Metrics for system impact studies;</w:t>
      </w:r>
      <w:r w:rsidR="005B788B">
        <w:rPr>
          <w:szCs w:val="26"/>
        </w:rPr>
        <w:t xml:space="preserve"> and</w:t>
      </w:r>
    </w:p>
    <w:p w14:paraId="5DB0F6DE" w14:textId="77777777" w:rsidR="00162E79" w:rsidRPr="00522A8C" w:rsidRDefault="00162E79" w:rsidP="00162E79">
      <w:pPr>
        <w:numPr>
          <w:ilvl w:val="0"/>
          <w:numId w:val="6"/>
        </w:numPr>
        <w:spacing w:line="480" w:lineRule="auto"/>
        <w:rPr>
          <w:szCs w:val="26"/>
        </w:rPr>
      </w:pPr>
      <w:r w:rsidRPr="00522A8C">
        <w:rPr>
          <w:szCs w:val="26"/>
        </w:rPr>
        <w:t>All rules.</w:t>
      </w:r>
    </w:p>
    <w:p w14:paraId="5DB0F6DF" w14:textId="77777777" w:rsidR="00162E79" w:rsidRPr="00522A8C" w:rsidRDefault="00162E79" w:rsidP="00162E79">
      <w:pPr>
        <w:pStyle w:val="FERCparanumber"/>
        <w:numPr>
          <w:ilvl w:val="0"/>
          <w:numId w:val="0"/>
        </w:numPr>
        <w:autoSpaceDE w:val="0"/>
        <w:autoSpaceDN w:val="0"/>
        <w:adjustRightInd w:val="0"/>
        <w:spacing w:line="480" w:lineRule="auto"/>
        <w:rPr>
          <w:szCs w:val="26"/>
        </w:rPr>
      </w:pPr>
      <w:r>
        <w:rPr>
          <w:szCs w:val="26"/>
        </w:rPr>
        <w:tab/>
        <w:t>Incorporating the Order No. 890 standards into the Commission’s regulations benefits wholesale electric customers by streamlining utility business practices, transactional processes, and OASIS procedures, and by adopting a formal ongoing process for reviewing and upgrading the Commission’s OASIS standards and other electric industry business practices.  These practices and procedures benefit from the implementation of generic industry standards.</w:t>
      </w:r>
    </w:p>
    <w:p w14:paraId="5DB0F6E0" w14:textId="77777777" w:rsidR="003820D6" w:rsidRDefault="00162E79" w:rsidP="00162E79">
      <w:pPr>
        <w:spacing w:line="480" w:lineRule="auto"/>
      </w:pPr>
      <w:r w:rsidRPr="00522A8C">
        <w:rPr>
          <w:szCs w:val="26"/>
        </w:rPr>
        <w:tab/>
        <w:t xml:space="preserve">The Commission’s Order No. 890 regulations can be found in 18 CFR 35.28 (pro forma tariff requirements), and </w:t>
      </w:r>
      <w:r>
        <w:rPr>
          <w:szCs w:val="26"/>
        </w:rPr>
        <w:t>37.6 and 37.7 (OASIS requirements)</w:t>
      </w:r>
      <w:r w:rsidR="00522A8C">
        <w:rPr>
          <w:szCs w:val="26"/>
        </w:rPr>
        <w:t>.</w:t>
      </w:r>
    </w:p>
    <w:p w14:paraId="5DB0F6E1" w14:textId="77777777" w:rsidR="003820D6" w:rsidRPr="009537F4" w:rsidRDefault="003820D6" w:rsidP="003820D6">
      <w:pPr>
        <w:spacing w:line="480" w:lineRule="auto"/>
      </w:pPr>
      <w:r>
        <w:rPr>
          <w:i/>
        </w:rPr>
        <w:t xml:space="preserve">Type of Respondents: </w:t>
      </w:r>
      <w:r w:rsidR="009A6D11">
        <w:t>Provide information on any types of entities who respond to the information collection</w:t>
      </w:r>
      <w:r w:rsidR="002E2667">
        <w:t>.</w:t>
      </w:r>
      <w:r>
        <w:t xml:space="preserve"> </w:t>
      </w:r>
    </w:p>
    <w:p w14:paraId="5DB0F6E2" w14:textId="77777777" w:rsidR="000324CD" w:rsidRDefault="005535D4" w:rsidP="005535D4">
      <w:pPr>
        <w:spacing w:line="480" w:lineRule="auto"/>
        <w:rPr>
          <w:szCs w:val="26"/>
        </w:rPr>
      </w:pPr>
      <w:r>
        <w:rPr>
          <w:i/>
        </w:rPr>
        <w:t>Estimate of Annual Burden</w:t>
      </w:r>
      <w:r w:rsidRPr="00211E79">
        <w:rPr>
          <w:rStyle w:val="FootnoteReference"/>
        </w:rPr>
        <w:footnoteReference w:id="4"/>
      </w:r>
      <w:r>
        <w:rPr>
          <w:i/>
        </w:rPr>
        <w:t>:</w:t>
      </w:r>
      <w:r w:rsidR="00522A8C" w:rsidRPr="00150B08">
        <w:rPr>
          <w:szCs w:val="26"/>
        </w:rPr>
        <w:t>The estimated annual public reporting burdens for FERC-917 (requirements in 18 CFR 35.28) and FERC-918 (requirements in 18 CFR 37.6 and 37.7) are reduced from the original estimates made three years ago.  The reductions are due to the incor</w:t>
      </w:r>
      <w:r w:rsidR="000324CD">
        <w:rPr>
          <w:szCs w:val="26"/>
        </w:rPr>
        <w:t>poration and completion of:</w:t>
      </w:r>
    </w:p>
    <w:p w14:paraId="5DB0F6E3" w14:textId="77777777" w:rsidR="000324CD" w:rsidRPr="000324CD" w:rsidRDefault="00522A8C" w:rsidP="000324CD">
      <w:pPr>
        <w:numPr>
          <w:ilvl w:val="0"/>
          <w:numId w:val="7"/>
        </w:numPr>
        <w:spacing w:line="480" w:lineRule="auto"/>
      </w:pPr>
      <w:r w:rsidRPr="00150B08">
        <w:rPr>
          <w:szCs w:val="26"/>
        </w:rPr>
        <w:t>one-</w:t>
      </w:r>
      <w:r w:rsidRPr="000324CD">
        <w:rPr>
          <w:szCs w:val="26"/>
        </w:rPr>
        <w:t>time pro forma tariff</w:t>
      </w:r>
      <w:r w:rsidRPr="00150B08">
        <w:rPr>
          <w:szCs w:val="26"/>
        </w:rPr>
        <w:t xml:space="preserve"> and standards changes by utilities in existence at that time, which would not be needed unless the tariff and/or stand</w:t>
      </w:r>
      <w:r w:rsidR="000324CD">
        <w:rPr>
          <w:szCs w:val="26"/>
        </w:rPr>
        <w:t>ards are changed again; and</w:t>
      </w:r>
    </w:p>
    <w:p w14:paraId="5DB0F6E4" w14:textId="77777777" w:rsidR="005535D4" w:rsidRDefault="00522A8C" w:rsidP="000324CD">
      <w:pPr>
        <w:numPr>
          <w:ilvl w:val="0"/>
          <w:numId w:val="7"/>
        </w:numPr>
        <w:spacing w:line="480" w:lineRule="auto"/>
      </w:pPr>
      <w:r w:rsidRPr="00150B08">
        <w:rPr>
          <w:szCs w:val="26"/>
        </w:rPr>
        <w:t>completed development and comment solicitation of the required NERC/NAESB reliability standards and business practices.  The other activities are annual ongoing requirements. The estimated annual figures follow</w:t>
      </w:r>
      <w:r w:rsidR="005535D4">
        <w:t>:</w:t>
      </w:r>
    </w:p>
    <w:tbl>
      <w:tblPr>
        <w:tblW w:w="101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496"/>
        <w:gridCol w:w="1440"/>
        <w:gridCol w:w="1260"/>
        <w:gridCol w:w="1440"/>
      </w:tblGrid>
      <w:tr w:rsidR="00522A8C" w:rsidRPr="00150B08" w14:paraId="5DB0F6ED" w14:textId="77777777" w:rsidTr="009F4060">
        <w:tc>
          <w:tcPr>
            <w:tcW w:w="4500" w:type="dxa"/>
            <w:shd w:val="clear" w:color="auto" w:fill="C0C0C0"/>
            <w:vAlign w:val="bottom"/>
          </w:tcPr>
          <w:p w14:paraId="5DB0F6E5" w14:textId="77777777" w:rsidR="00522A8C" w:rsidRPr="00150B08" w:rsidRDefault="00522A8C" w:rsidP="009F4060">
            <w:pPr>
              <w:autoSpaceDE w:val="0"/>
              <w:autoSpaceDN w:val="0"/>
              <w:adjustRightInd w:val="0"/>
              <w:jc w:val="center"/>
              <w:rPr>
                <w:b/>
                <w:sz w:val="22"/>
                <w:szCs w:val="22"/>
              </w:rPr>
            </w:pPr>
            <w:r w:rsidRPr="00150B08">
              <w:rPr>
                <w:sz w:val="22"/>
                <w:szCs w:val="22"/>
              </w:rPr>
              <w:br w:type="page"/>
            </w:r>
            <w:r w:rsidRPr="00150B08">
              <w:rPr>
                <w:sz w:val="22"/>
                <w:szCs w:val="22"/>
              </w:rPr>
              <w:br w:type="page"/>
            </w:r>
            <w:r w:rsidRPr="00150B08">
              <w:rPr>
                <w:b/>
                <w:sz w:val="22"/>
                <w:szCs w:val="22"/>
              </w:rPr>
              <w:t>FERC Information Collection</w:t>
            </w:r>
          </w:p>
        </w:tc>
        <w:tc>
          <w:tcPr>
            <w:tcW w:w="1496" w:type="dxa"/>
            <w:shd w:val="clear" w:color="auto" w:fill="C0C0C0"/>
            <w:vAlign w:val="bottom"/>
          </w:tcPr>
          <w:p w14:paraId="5DB0F6E6" w14:textId="77777777" w:rsidR="00522A8C" w:rsidRPr="00150B08" w:rsidRDefault="00522A8C" w:rsidP="009F4060">
            <w:pPr>
              <w:widowControl w:val="0"/>
              <w:autoSpaceDE w:val="0"/>
              <w:autoSpaceDN w:val="0"/>
              <w:adjustRightInd w:val="0"/>
              <w:jc w:val="center"/>
              <w:rPr>
                <w:b/>
                <w:color w:val="000000"/>
                <w:sz w:val="22"/>
                <w:szCs w:val="22"/>
              </w:rPr>
            </w:pPr>
            <w:r w:rsidRPr="00150B08">
              <w:rPr>
                <w:b/>
                <w:color w:val="000000"/>
                <w:sz w:val="22"/>
                <w:szCs w:val="22"/>
              </w:rPr>
              <w:t>Annual No. of Respondents (1)</w:t>
            </w:r>
          </w:p>
        </w:tc>
        <w:tc>
          <w:tcPr>
            <w:tcW w:w="1440" w:type="dxa"/>
            <w:tcBorders>
              <w:bottom w:val="single" w:sz="4" w:space="0" w:color="auto"/>
            </w:tcBorders>
            <w:shd w:val="clear" w:color="auto" w:fill="C0C0C0"/>
            <w:vAlign w:val="bottom"/>
          </w:tcPr>
          <w:p w14:paraId="5DB0F6E7" w14:textId="77777777" w:rsidR="00522A8C" w:rsidRPr="00150B08" w:rsidRDefault="00522A8C" w:rsidP="009F4060">
            <w:pPr>
              <w:widowControl w:val="0"/>
              <w:autoSpaceDE w:val="0"/>
              <w:autoSpaceDN w:val="0"/>
              <w:adjustRightInd w:val="0"/>
              <w:jc w:val="center"/>
              <w:rPr>
                <w:b/>
                <w:color w:val="000000"/>
                <w:sz w:val="22"/>
                <w:szCs w:val="22"/>
              </w:rPr>
            </w:pPr>
            <w:r w:rsidRPr="00150B08">
              <w:rPr>
                <w:b/>
                <w:color w:val="000000"/>
                <w:sz w:val="22"/>
                <w:szCs w:val="22"/>
              </w:rPr>
              <w:t xml:space="preserve">Average No. of  Reponses per Respondent </w:t>
            </w:r>
          </w:p>
          <w:p w14:paraId="5DB0F6E8" w14:textId="77777777" w:rsidR="00522A8C" w:rsidRPr="00150B08" w:rsidRDefault="00522A8C" w:rsidP="009F4060">
            <w:pPr>
              <w:widowControl w:val="0"/>
              <w:autoSpaceDE w:val="0"/>
              <w:autoSpaceDN w:val="0"/>
              <w:adjustRightInd w:val="0"/>
              <w:jc w:val="center"/>
              <w:rPr>
                <w:b/>
                <w:color w:val="000000"/>
                <w:sz w:val="22"/>
                <w:szCs w:val="22"/>
              </w:rPr>
            </w:pPr>
            <w:r w:rsidRPr="00150B08">
              <w:rPr>
                <w:b/>
                <w:color w:val="000000"/>
                <w:sz w:val="22"/>
                <w:szCs w:val="22"/>
              </w:rPr>
              <w:t>(2)</w:t>
            </w:r>
          </w:p>
        </w:tc>
        <w:tc>
          <w:tcPr>
            <w:tcW w:w="1260" w:type="dxa"/>
            <w:tcBorders>
              <w:bottom w:val="single" w:sz="4" w:space="0" w:color="auto"/>
            </w:tcBorders>
            <w:shd w:val="clear" w:color="auto" w:fill="C0C0C0"/>
            <w:vAlign w:val="bottom"/>
          </w:tcPr>
          <w:p w14:paraId="5DB0F6E9" w14:textId="77777777" w:rsidR="00522A8C" w:rsidRPr="00150B08" w:rsidRDefault="00522A8C" w:rsidP="009F4060">
            <w:pPr>
              <w:widowControl w:val="0"/>
              <w:autoSpaceDE w:val="0"/>
              <w:autoSpaceDN w:val="0"/>
              <w:adjustRightInd w:val="0"/>
              <w:jc w:val="center"/>
              <w:rPr>
                <w:b/>
                <w:color w:val="000000"/>
                <w:sz w:val="22"/>
                <w:szCs w:val="22"/>
              </w:rPr>
            </w:pPr>
            <w:r w:rsidRPr="00150B08">
              <w:rPr>
                <w:b/>
                <w:color w:val="000000"/>
                <w:sz w:val="22"/>
                <w:szCs w:val="22"/>
              </w:rPr>
              <w:t xml:space="preserve">Average Burden </w:t>
            </w:r>
            <w:r w:rsidRPr="00211E79">
              <w:rPr>
                <w:rStyle w:val="FootnoteReference"/>
                <w:color w:val="000000"/>
              </w:rPr>
              <w:footnoteReference w:id="5"/>
            </w:r>
            <w:r w:rsidRPr="00150B08">
              <w:rPr>
                <w:b/>
                <w:color w:val="000000"/>
                <w:sz w:val="22"/>
                <w:szCs w:val="22"/>
              </w:rPr>
              <w:t xml:space="preserve">Hours per Response </w:t>
            </w:r>
          </w:p>
          <w:p w14:paraId="5DB0F6EA" w14:textId="77777777" w:rsidR="00522A8C" w:rsidRPr="00150B08" w:rsidRDefault="00522A8C" w:rsidP="009F4060">
            <w:pPr>
              <w:widowControl w:val="0"/>
              <w:autoSpaceDE w:val="0"/>
              <w:autoSpaceDN w:val="0"/>
              <w:adjustRightInd w:val="0"/>
              <w:jc w:val="center"/>
              <w:rPr>
                <w:b/>
                <w:color w:val="000000"/>
                <w:sz w:val="22"/>
                <w:szCs w:val="22"/>
              </w:rPr>
            </w:pPr>
            <w:r w:rsidRPr="00150B08">
              <w:rPr>
                <w:b/>
                <w:color w:val="000000"/>
                <w:sz w:val="22"/>
                <w:szCs w:val="22"/>
              </w:rPr>
              <w:t>(3)</w:t>
            </w:r>
          </w:p>
        </w:tc>
        <w:tc>
          <w:tcPr>
            <w:tcW w:w="1440" w:type="dxa"/>
            <w:tcBorders>
              <w:bottom w:val="single" w:sz="4" w:space="0" w:color="auto"/>
            </w:tcBorders>
            <w:shd w:val="clear" w:color="auto" w:fill="C0C0C0"/>
            <w:vAlign w:val="bottom"/>
          </w:tcPr>
          <w:p w14:paraId="5DB0F6EB" w14:textId="77777777" w:rsidR="00522A8C" w:rsidRPr="00150B08" w:rsidRDefault="00522A8C" w:rsidP="009F4060">
            <w:pPr>
              <w:widowControl w:val="0"/>
              <w:autoSpaceDE w:val="0"/>
              <w:autoSpaceDN w:val="0"/>
              <w:adjustRightInd w:val="0"/>
              <w:jc w:val="center"/>
              <w:rPr>
                <w:b/>
                <w:color w:val="000000"/>
                <w:sz w:val="22"/>
                <w:szCs w:val="22"/>
                <w:vertAlign w:val="superscript"/>
              </w:rPr>
            </w:pPr>
            <w:r w:rsidRPr="00150B08">
              <w:rPr>
                <w:b/>
                <w:color w:val="000000"/>
                <w:sz w:val="22"/>
                <w:szCs w:val="22"/>
              </w:rPr>
              <w:t>Total Annual Burden Hours</w:t>
            </w:r>
          </w:p>
          <w:p w14:paraId="5DB0F6EC" w14:textId="77777777" w:rsidR="00522A8C" w:rsidRPr="00150B08" w:rsidRDefault="00522A8C" w:rsidP="009F4060">
            <w:pPr>
              <w:widowControl w:val="0"/>
              <w:autoSpaceDE w:val="0"/>
              <w:autoSpaceDN w:val="0"/>
              <w:adjustRightInd w:val="0"/>
              <w:jc w:val="center"/>
              <w:rPr>
                <w:b/>
                <w:color w:val="000000"/>
                <w:sz w:val="22"/>
                <w:szCs w:val="22"/>
              </w:rPr>
            </w:pPr>
            <w:r w:rsidRPr="00150B08">
              <w:rPr>
                <w:b/>
                <w:color w:val="000000"/>
                <w:sz w:val="22"/>
                <w:szCs w:val="22"/>
              </w:rPr>
              <w:t>(1)x(2)x(3)</w:t>
            </w:r>
          </w:p>
        </w:tc>
      </w:tr>
      <w:tr w:rsidR="00522A8C" w:rsidRPr="00150B08" w14:paraId="5DB0F6EF" w14:textId="77777777" w:rsidTr="009F4060">
        <w:tc>
          <w:tcPr>
            <w:tcW w:w="10136" w:type="dxa"/>
            <w:gridSpan w:val="5"/>
            <w:shd w:val="clear" w:color="auto" w:fill="auto"/>
            <w:vAlign w:val="bottom"/>
          </w:tcPr>
          <w:p w14:paraId="5DB0F6EE" w14:textId="77777777" w:rsidR="00522A8C" w:rsidRPr="00150B08" w:rsidRDefault="00522A8C" w:rsidP="009F4060">
            <w:pPr>
              <w:widowControl w:val="0"/>
              <w:autoSpaceDE w:val="0"/>
              <w:autoSpaceDN w:val="0"/>
              <w:adjustRightInd w:val="0"/>
              <w:jc w:val="center"/>
              <w:rPr>
                <w:sz w:val="22"/>
                <w:szCs w:val="22"/>
              </w:rPr>
            </w:pPr>
            <w:r w:rsidRPr="00150B08">
              <w:rPr>
                <w:b/>
                <w:sz w:val="22"/>
                <w:szCs w:val="22"/>
              </w:rPr>
              <w:t>18 CFR 35.28 (FERC-917)</w:t>
            </w:r>
          </w:p>
        </w:tc>
      </w:tr>
      <w:tr w:rsidR="00522A8C" w:rsidRPr="00150B08" w14:paraId="5DB0F6F5" w14:textId="77777777" w:rsidTr="009F4060">
        <w:tc>
          <w:tcPr>
            <w:tcW w:w="4500" w:type="dxa"/>
            <w:shd w:val="clear" w:color="auto" w:fill="auto"/>
            <w:vAlign w:val="bottom"/>
          </w:tcPr>
          <w:p w14:paraId="5DB0F6F0" w14:textId="77777777" w:rsidR="00522A8C" w:rsidRPr="00150B08" w:rsidRDefault="00522A8C" w:rsidP="009F4060">
            <w:pPr>
              <w:widowControl w:val="0"/>
              <w:autoSpaceDE w:val="0"/>
              <w:autoSpaceDN w:val="0"/>
              <w:adjustRightInd w:val="0"/>
              <w:rPr>
                <w:sz w:val="22"/>
                <w:szCs w:val="22"/>
              </w:rPr>
            </w:pPr>
            <w:bookmarkStart w:id="1" w:name="_Hlk260655733"/>
            <w:r w:rsidRPr="00150B08">
              <w:rPr>
                <w:sz w:val="22"/>
                <w:szCs w:val="22"/>
              </w:rPr>
              <w:t xml:space="preserve">Conforming tariff changes </w:t>
            </w:r>
          </w:p>
        </w:tc>
        <w:tc>
          <w:tcPr>
            <w:tcW w:w="1496" w:type="dxa"/>
            <w:shd w:val="clear" w:color="auto" w:fill="auto"/>
            <w:vAlign w:val="bottom"/>
          </w:tcPr>
          <w:p w14:paraId="5DB0F6F1"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0</w:t>
            </w:r>
          </w:p>
        </w:tc>
        <w:tc>
          <w:tcPr>
            <w:tcW w:w="1440" w:type="dxa"/>
            <w:shd w:val="clear" w:color="auto" w:fill="auto"/>
            <w:vAlign w:val="bottom"/>
          </w:tcPr>
          <w:p w14:paraId="5DB0F6F2"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0</w:t>
            </w:r>
          </w:p>
        </w:tc>
        <w:tc>
          <w:tcPr>
            <w:tcW w:w="1260" w:type="dxa"/>
            <w:shd w:val="clear" w:color="auto" w:fill="auto"/>
            <w:vAlign w:val="bottom"/>
          </w:tcPr>
          <w:p w14:paraId="5DB0F6F3"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0</w:t>
            </w:r>
          </w:p>
        </w:tc>
        <w:tc>
          <w:tcPr>
            <w:tcW w:w="1440" w:type="dxa"/>
            <w:shd w:val="clear" w:color="auto" w:fill="auto"/>
            <w:vAlign w:val="bottom"/>
          </w:tcPr>
          <w:p w14:paraId="5DB0F6F4"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0</w:t>
            </w:r>
          </w:p>
        </w:tc>
      </w:tr>
      <w:tr w:rsidR="00522A8C" w:rsidRPr="00150B08" w14:paraId="5DB0F6FB" w14:textId="77777777" w:rsidTr="009F4060">
        <w:tc>
          <w:tcPr>
            <w:tcW w:w="4500" w:type="dxa"/>
            <w:shd w:val="clear" w:color="auto" w:fill="auto"/>
            <w:vAlign w:val="bottom"/>
          </w:tcPr>
          <w:p w14:paraId="5DB0F6F6" w14:textId="77777777" w:rsidR="00522A8C" w:rsidRPr="00150B08" w:rsidRDefault="00522A8C" w:rsidP="009F4060">
            <w:pPr>
              <w:widowControl w:val="0"/>
              <w:autoSpaceDE w:val="0"/>
              <w:autoSpaceDN w:val="0"/>
              <w:adjustRightInd w:val="0"/>
              <w:rPr>
                <w:sz w:val="22"/>
                <w:szCs w:val="22"/>
              </w:rPr>
            </w:pPr>
            <w:r w:rsidRPr="00150B08">
              <w:rPr>
                <w:sz w:val="22"/>
                <w:szCs w:val="22"/>
              </w:rPr>
              <w:t xml:space="preserve">Revision of Imbalance Charges </w:t>
            </w:r>
          </w:p>
        </w:tc>
        <w:tc>
          <w:tcPr>
            <w:tcW w:w="1496" w:type="dxa"/>
            <w:shd w:val="clear" w:color="auto" w:fill="auto"/>
            <w:vAlign w:val="bottom"/>
          </w:tcPr>
          <w:p w14:paraId="5DB0F6F7"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0</w:t>
            </w:r>
          </w:p>
        </w:tc>
        <w:tc>
          <w:tcPr>
            <w:tcW w:w="1440" w:type="dxa"/>
            <w:shd w:val="clear" w:color="auto" w:fill="auto"/>
            <w:vAlign w:val="bottom"/>
          </w:tcPr>
          <w:p w14:paraId="5DB0F6F8"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0</w:t>
            </w:r>
          </w:p>
        </w:tc>
        <w:tc>
          <w:tcPr>
            <w:tcW w:w="1260" w:type="dxa"/>
            <w:shd w:val="clear" w:color="auto" w:fill="auto"/>
            <w:vAlign w:val="bottom"/>
          </w:tcPr>
          <w:p w14:paraId="5DB0F6F9"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0</w:t>
            </w:r>
          </w:p>
        </w:tc>
        <w:tc>
          <w:tcPr>
            <w:tcW w:w="1440" w:type="dxa"/>
            <w:shd w:val="clear" w:color="auto" w:fill="auto"/>
            <w:vAlign w:val="bottom"/>
          </w:tcPr>
          <w:p w14:paraId="5DB0F6FA"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0</w:t>
            </w:r>
          </w:p>
        </w:tc>
      </w:tr>
      <w:tr w:rsidR="00522A8C" w:rsidRPr="00150B08" w14:paraId="5DB0F701" w14:textId="77777777" w:rsidTr="009F4060">
        <w:tc>
          <w:tcPr>
            <w:tcW w:w="4500" w:type="dxa"/>
            <w:shd w:val="clear" w:color="auto" w:fill="auto"/>
            <w:vAlign w:val="bottom"/>
          </w:tcPr>
          <w:p w14:paraId="5DB0F6FC" w14:textId="77777777" w:rsidR="00522A8C" w:rsidRPr="00150B08" w:rsidRDefault="00522A8C" w:rsidP="009F4060">
            <w:pPr>
              <w:widowControl w:val="0"/>
              <w:autoSpaceDE w:val="0"/>
              <w:autoSpaceDN w:val="0"/>
              <w:adjustRightInd w:val="0"/>
              <w:rPr>
                <w:sz w:val="22"/>
                <w:szCs w:val="22"/>
              </w:rPr>
            </w:pPr>
            <w:r w:rsidRPr="00150B08">
              <w:rPr>
                <w:sz w:val="22"/>
                <w:szCs w:val="22"/>
              </w:rPr>
              <w:t xml:space="preserve">ATC revisions </w:t>
            </w:r>
          </w:p>
        </w:tc>
        <w:tc>
          <w:tcPr>
            <w:tcW w:w="1496" w:type="dxa"/>
            <w:shd w:val="clear" w:color="auto" w:fill="auto"/>
            <w:vAlign w:val="bottom"/>
          </w:tcPr>
          <w:p w14:paraId="5DB0F6FD"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0</w:t>
            </w:r>
          </w:p>
        </w:tc>
        <w:tc>
          <w:tcPr>
            <w:tcW w:w="1440" w:type="dxa"/>
            <w:shd w:val="clear" w:color="auto" w:fill="auto"/>
            <w:vAlign w:val="bottom"/>
          </w:tcPr>
          <w:p w14:paraId="5DB0F6FE"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0</w:t>
            </w:r>
          </w:p>
        </w:tc>
        <w:tc>
          <w:tcPr>
            <w:tcW w:w="1260" w:type="dxa"/>
            <w:shd w:val="clear" w:color="auto" w:fill="auto"/>
            <w:vAlign w:val="bottom"/>
          </w:tcPr>
          <w:p w14:paraId="5DB0F6FF"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0</w:t>
            </w:r>
          </w:p>
        </w:tc>
        <w:tc>
          <w:tcPr>
            <w:tcW w:w="1440" w:type="dxa"/>
            <w:shd w:val="clear" w:color="auto" w:fill="auto"/>
            <w:vAlign w:val="bottom"/>
          </w:tcPr>
          <w:p w14:paraId="5DB0F700"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0</w:t>
            </w:r>
          </w:p>
        </w:tc>
      </w:tr>
      <w:tr w:rsidR="00522A8C" w:rsidRPr="00150B08" w14:paraId="5DB0F707" w14:textId="77777777" w:rsidTr="009F4060">
        <w:tc>
          <w:tcPr>
            <w:tcW w:w="4500" w:type="dxa"/>
            <w:shd w:val="clear" w:color="auto" w:fill="auto"/>
            <w:vAlign w:val="bottom"/>
          </w:tcPr>
          <w:p w14:paraId="5DB0F702" w14:textId="77777777" w:rsidR="00522A8C" w:rsidRPr="00150B08" w:rsidRDefault="00522A8C" w:rsidP="009F4060">
            <w:pPr>
              <w:widowControl w:val="0"/>
              <w:autoSpaceDE w:val="0"/>
              <w:autoSpaceDN w:val="0"/>
              <w:adjustRightInd w:val="0"/>
              <w:rPr>
                <w:sz w:val="22"/>
                <w:szCs w:val="22"/>
              </w:rPr>
            </w:pPr>
            <w:r w:rsidRPr="00150B08">
              <w:rPr>
                <w:sz w:val="22"/>
                <w:szCs w:val="22"/>
              </w:rPr>
              <w:t xml:space="preserve">Planning (Attachment K) </w:t>
            </w:r>
          </w:p>
        </w:tc>
        <w:tc>
          <w:tcPr>
            <w:tcW w:w="1496" w:type="dxa"/>
            <w:shd w:val="clear" w:color="auto" w:fill="auto"/>
            <w:vAlign w:val="bottom"/>
          </w:tcPr>
          <w:p w14:paraId="5DB0F703"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134</w:t>
            </w:r>
          </w:p>
        </w:tc>
        <w:tc>
          <w:tcPr>
            <w:tcW w:w="1440" w:type="dxa"/>
            <w:shd w:val="clear" w:color="auto" w:fill="auto"/>
            <w:vAlign w:val="bottom"/>
          </w:tcPr>
          <w:p w14:paraId="5DB0F704"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w:t>
            </w:r>
          </w:p>
        </w:tc>
        <w:tc>
          <w:tcPr>
            <w:tcW w:w="1260" w:type="dxa"/>
            <w:shd w:val="clear" w:color="auto" w:fill="auto"/>
            <w:vAlign w:val="bottom"/>
          </w:tcPr>
          <w:p w14:paraId="5DB0F705"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100</w:t>
            </w:r>
          </w:p>
        </w:tc>
        <w:tc>
          <w:tcPr>
            <w:tcW w:w="1440" w:type="dxa"/>
            <w:shd w:val="clear" w:color="auto" w:fill="auto"/>
            <w:vAlign w:val="bottom"/>
          </w:tcPr>
          <w:p w14:paraId="5DB0F706"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13,400</w:t>
            </w:r>
          </w:p>
        </w:tc>
      </w:tr>
      <w:tr w:rsidR="00522A8C" w:rsidRPr="00150B08" w14:paraId="5DB0F70D" w14:textId="77777777" w:rsidTr="009F4060">
        <w:tc>
          <w:tcPr>
            <w:tcW w:w="4500" w:type="dxa"/>
            <w:shd w:val="clear" w:color="auto" w:fill="auto"/>
            <w:vAlign w:val="bottom"/>
          </w:tcPr>
          <w:p w14:paraId="5DB0F708" w14:textId="77777777" w:rsidR="00522A8C" w:rsidRPr="00150B08" w:rsidRDefault="00522A8C" w:rsidP="009F4060">
            <w:pPr>
              <w:widowControl w:val="0"/>
              <w:autoSpaceDE w:val="0"/>
              <w:autoSpaceDN w:val="0"/>
              <w:adjustRightInd w:val="0"/>
              <w:rPr>
                <w:sz w:val="22"/>
                <w:szCs w:val="22"/>
              </w:rPr>
            </w:pPr>
            <w:r w:rsidRPr="00150B08">
              <w:rPr>
                <w:sz w:val="22"/>
                <w:szCs w:val="22"/>
              </w:rPr>
              <w:t xml:space="preserve">Congestion studies </w:t>
            </w:r>
          </w:p>
        </w:tc>
        <w:tc>
          <w:tcPr>
            <w:tcW w:w="1496" w:type="dxa"/>
            <w:shd w:val="clear" w:color="auto" w:fill="auto"/>
            <w:vAlign w:val="bottom"/>
          </w:tcPr>
          <w:p w14:paraId="5DB0F709"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134</w:t>
            </w:r>
          </w:p>
        </w:tc>
        <w:tc>
          <w:tcPr>
            <w:tcW w:w="1440" w:type="dxa"/>
            <w:shd w:val="clear" w:color="auto" w:fill="auto"/>
            <w:vAlign w:val="bottom"/>
          </w:tcPr>
          <w:p w14:paraId="5DB0F70A"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w:t>
            </w:r>
          </w:p>
        </w:tc>
        <w:tc>
          <w:tcPr>
            <w:tcW w:w="1260" w:type="dxa"/>
            <w:shd w:val="clear" w:color="auto" w:fill="auto"/>
            <w:vAlign w:val="bottom"/>
          </w:tcPr>
          <w:p w14:paraId="5DB0F70B" w14:textId="77777777" w:rsidR="00522A8C" w:rsidRPr="00150B08" w:rsidRDefault="00522A8C" w:rsidP="009F4060">
            <w:pPr>
              <w:widowControl w:val="0"/>
              <w:autoSpaceDE w:val="0"/>
              <w:autoSpaceDN w:val="0"/>
              <w:adjustRightInd w:val="0"/>
              <w:jc w:val="right"/>
              <w:rPr>
                <w:sz w:val="22"/>
                <w:szCs w:val="22"/>
              </w:rPr>
            </w:pPr>
            <w:r w:rsidRPr="00150B08" w:rsidDel="00D356D3">
              <w:rPr>
                <w:sz w:val="22"/>
                <w:szCs w:val="22"/>
              </w:rPr>
              <w:t>300</w:t>
            </w:r>
          </w:p>
        </w:tc>
        <w:tc>
          <w:tcPr>
            <w:tcW w:w="1440" w:type="dxa"/>
            <w:shd w:val="clear" w:color="auto" w:fill="auto"/>
            <w:vAlign w:val="bottom"/>
          </w:tcPr>
          <w:p w14:paraId="5DB0F70C"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40,200</w:t>
            </w:r>
          </w:p>
        </w:tc>
      </w:tr>
      <w:tr w:rsidR="00522A8C" w:rsidRPr="00150B08" w14:paraId="5DB0F713" w14:textId="77777777" w:rsidTr="009F4060">
        <w:trPr>
          <w:trHeight w:val="143"/>
        </w:trPr>
        <w:tc>
          <w:tcPr>
            <w:tcW w:w="4500" w:type="dxa"/>
            <w:shd w:val="clear" w:color="auto" w:fill="auto"/>
            <w:vAlign w:val="bottom"/>
          </w:tcPr>
          <w:p w14:paraId="5DB0F70E" w14:textId="77777777" w:rsidR="00522A8C" w:rsidRPr="00150B08" w:rsidRDefault="00522A8C" w:rsidP="009F4060">
            <w:pPr>
              <w:widowControl w:val="0"/>
              <w:autoSpaceDE w:val="0"/>
              <w:autoSpaceDN w:val="0"/>
              <w:adjustRightInd w:val="0"/>
              <w:rPr>
                <w:sz w:val="22"/>
                <w:szCs w:val="22"/>
              </w:rPr>
            </w:pPr>
            <w:r w:rsidRPr="00150B08">
              <w:rPr>
                <w:sz w:val="22"/>
                <w:szCs w:val="22"/>
              </w:rPr>
              <w:t xml:space="preserve">Attestation of network resource commitment </w:t>
            </w:r>
          </w:p>
        </w:tc>
        <w:tc>
          <w:tcPr>
            <w:tcW w:w="1496" w:type="dxa"/>
            <w:shd w:val="clear" w:color="auto" w:fill="auto"/>
            <w:vAlign w:val="bottom"/>
          </w:tcPr>
          <w:p w14:paraId="5DB0F70F"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134</w:t>
            </w:r>
          </w:p>
        </w:tc>
        <w:tc>
          <w:tcPr>
            <w:tcW w:w="1440" w:type="dxa"/>
            <w:shd w:val="clear" w:color="auto" w:fill="auto"/>
            <w:vAlign w:val="bottom"/>
          </w:tcPr>
          <w:p w14:paraId="5DB0F710"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w:t>
            </w:r>
          </w:p>
        </w:tc>
        <w:tc>
          <w:tcPr>
            <w:tcW w:w="1260" w:type="dxa"/>
            <w:shd w:val="clear" w:color="auto" w:fill="auto"/>
            <w:vAlign w:val="bottom"/>
          </w:tcPr>
          <w:p w14:paraId="5DB0F711"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w:t>
            </w:r>
          </w:p>
        </w:tc>
        <w:tc>
          <w:tcPr>
            <w:tcW w:w="1440" w:type="dxa"/>
            <w:shd w:val="clear" w:color="auto" w:fill="auto"/>
            <w:vAlign w:val="bottom"/>
          </w:tcPr>
          <w:p w14:paraId="5DB0F712"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134</w:t>
            </w:r>
          </w:p>
        </w:tc>
      </w:tr>
      <w:tr w:rsidR="00522A8C" w:rsidRPr="00150B08" w14:paraId="5DB0F719" w14:textId="77777777" w:rsidTr="009F4060">
        <w:tc>
          <w:tcPr>
            <w:tcW w:w="4500" w:type="dxa"/>
            <w:shd w:val="clear" w:color="auto" w:fill="auto"/>
            <w:vAlign w:val="bottom"/>
          </w:tcPr>
          <w:p w14:paraId="5DB0F714" w14:textId="77777777" w:rsidR="00522A8C" w:rsidRPr="00150B08" w:rsidRDefault="00522A8C" w:rsidP="009F4060">
            <w:pPr>
              <w:widowControl w:val="0"/>
              <w:autoSpaceDE w:val="0"/>
              <w:autoSpaceDN w:val="0"/>
              <w:adjustRightInd w:val="0"/>
              <w:rPr>
                <w:sz w:val="22"/>
                <w:szCs w:val="22"/>
              </w:rPr>
            </w:pPr>
            <w:r w:rsidRPr="00150B08" w:rsidDel="00D356D3">
              <w:rPr>
                <w:sz w:val="22"/>
                <w:szCs w:val="22"/>
              </w:rPr>
              <w:t>C</w:t>
            </w:r>
            <w:r w:rsidRPr="00150B08">
              <w:rPr>
                <w:sz w:val="22"/>
                <w:szCs w:val="22"/>
              </w:rPr>
              <w:t xml:space="preserve">apacity reassignment </w:t>
            </w:r>
          </w:p>
        </w:tc>
        <w:tc>
          <w:tcPr>
            <w:tcW w:w="1496" w:type="dxa"/>
            <w:shd w:val="clear" w:color="auto" w:fill="auto"/>
            <w:vAlign w:val="bottom"/>
          </w:tcPr>
          <w:p w14:paraId="5DB0F715"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134</w:t>
            </w:r>
          </w:p>
        </w:tc>
        <w:tc>
          <w:tcPr>
            <w:tcW w:w="1440" w:type="dxa"/>
            <w:shd w:val="clear" w:color="auto" w:fill="auto"/>
            <w:vAlign w:val="bottom"/>
          </w:tcPr>
          <w:p w14:paraId="5DB0F716"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w:t>
            </w:r>
          </w:p>
        </w:tc>
        <w:tc>
          <w:tcPr>
            <w:tcW w:w="1260" w:type="dxa"/>
            <w:shd w:val="clear" w:color="auto" w:fill="auto"/>
            <w:vAlign w:val="bottom"/>
          </w:tcPr>
          <w:p w14:paraId="5DB0F717"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100</w:t>
            </w:r>
          </w:p>
        </w:tc>
        <w:tc>
          <w:tcPr>
            <w:tcW w:w="1440" w:type="dxa"/>
            <w:shd w:val="clear" w:color="auto" w:fill="auto"/>
            <w:vAlign w:val="bottom"/>
          </w:tcPr>
          <w:p w14:paraId="5DB0F718"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13,400</w:t>
            </w:r>
          </w:p>
        </w:tc>
      </w:tr>
      <w:tr w:rsidR="00522A8C" w:rsidRPr="00150B08" w14:paraId="5DB0F71F" w14:textId="77777777" w:rsidTr="009F4060">
        <w:tc>
          <w:tcPr>
            <w:tcW w:w="4500" w:type="dxa"/>
            <w:shd w:val="clear" w:color="auto" w:fill="auto"/>
            <w:vAlign w:val="bottom"/>
          </w:tcPr>
          <w:p w14:paraId="5DB0F71A" w14:textId="77777777" w:rsidR="00522A8C" w:rsidRPr="00150B08" w:rsidRDefault="00522A8C" w:rsidP="009F4060">
            <w:pPr>
              <w:widowControl w:val="0"/>
              <w:autoSpaceDE w:val="0"/>
              <w:autoSpaceDN w:val="0"/>
              <w:adjustRightInd w:val="0"/>
              <w:rPr>
                <w:sz w:val="22"/>
                <w:szCs w:val="22"/>
              </w:rPr>
            </w:pPr>
            <w:r w:rsidRPr="00150B08">
              <w:rPr>
                <w:sz w:val="22"/>
                <w:szCs w:val="22"/>
              </w:rPr>
              <w:t xml:space="preserve">Operational Penalty annual filing </w:t>
            </w:r>
          </w:p>
        </w:tc>
        <w:tc>
          <w:tcPr>
            <w:tcW w:w="1496" w:type="dxa"/>
            <w:shd w:val="clear" w:color="auto" w:fill="auto"/>
            <w:vAlign w:val="bottom"/>
          </w:tcPr>
          <w:p w14:paraId="5DB0F71B"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134</w:t>
            </w:r>
          </w:p>
        </w:tc>
        <w:tc>
          <w:tcPr>
            <w:tcW w:w="1440" w:type="dxa"/>
            <w:shd w:val="clear" w:color="auto" w:fill="auto"/>
            <w:vAlign w:val="bottom"/>
          </w:tcPr>
          <w:p w14:paraId="5DB0F71C"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w:t>
            </w:r>
          </w:p>
        </w:tc>
        <w:tc>
          <w:tcPr>
            <w:tcW w:w="1260" w:type="dxa"/>
            <w:shd w:val="clear" w:color="auto" w:fill="auto"/>
            <w:vAlign w:val="bottom"/>
          </w:tcPr>
          <w:p w14:paraId="5DB0F71D"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10</w:t>
            </w:r>
          </w:p>
        </w:tc>
        <w:tc>
          <w:tcPr>
            <w:tcW w:w="1440" w:type="dxa"/>
            <w:shd w:val="clear" w:color="auto" w:fill="auto"/>
            <w:vAlign w:val="bottom"/>
          </w:tcPr>
          <w:p w14:paraId="5DB0F71E"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1,340</w:t>
            </w:r>
          </w:p>
        </w:tc>
      </w:tr>
      <w:tr w:rsidR="00522A8C" w:rsidRPr="00150B08" w14:paraId="5DB0F725" w14:textId="77777777" w:rsidTr="009F4060">
        <w:tc>
          <w:tcPr>
            <w:tcW w:w="4500" w:type="dxa"/>
            <w:shd w:val="clear" w:color="auto" w:fill="auto"/>
            <w:vAlign w:val="bottom"/>
          </w:tcPr>
          <w:p w14:paraId="5DB0F720" w14:textId="77777777" w:rsidR="00522A8C" w:rsidRPr="00150B08" w:rsidRDefault="00522A8C" w:rsidP="009F4060">
            <w:pPr>
              <w:widowControl w:val="0"/>
              <w:autoSpaceDE w:val="0"/>
              <w:autoSpaceDN w:val="0"/>
              <w:adjustRightInd w:val="0"/>
              <w:rPr>
                <w:sz w:val="22"/>
                <w:szCs w:val="22"/>
              </w:rPr>
            </w:pPr>
            <w:r w:rsidRPr="00150B08">
              <w:rPr>
                <w:sz w:val="22"/>
                <w:szCs w:val="22"/>
              </w:rPr>
              <w:t xml:space="preserve">Creditworthiness – include criteria in the tariff </w:t>
            </w:r>
          </w:p>
        </w:tc>
        <w:tc>
          <w:tcPr>
            <w:tcW w:w="1496" w:type="dxa"/>
            <w:shd w:val="clear" w:color="auto" w:fill="auto"/>
            <w:vAlign w:val="bottom"/>
          </w:tcPr>
          <w:p w14:paraId="5DB0F721"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0</w:t>
            </w:r>
          </w:p>
        </w:tc>
        <w:tc>
          <w:tcPr>
            <w:tcW w:w="1440" w:type="dxa"/>
            <w:shd w:val="clear" w:color="auto" w:fill="auto"/>
            <w:vAlign w:val="bottom"/>
          </w:tcPr>
          <w:p w14:paraId="5DB0F722"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0</w:t>
            </w:r>
          </w:p>
        </w:tc>
        <w:tc>
          <w:tcPr>
            <w:tcW w:w="1260" w:type="dxa"/>
            <w:shd w:val="clear" w:color="auto" w:fill="auto"/>
            <w:vAlign w:val="bottom"/>
          </w:tcPr>
          <w:p w14:paraId="5DB0F723"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0</w:t>
            </w:r>
          </w:p>
        </w:tc>
        <w:tc>
          <w:tcPr>
            <w:tcW w:w="1440" w:type="dxa"/>
            <w:shd w:val="clear" w:color="auto" w:fill="auto"/>
            <w:vAlign w:val="bottom"/>
          </w:tcPr>
          <w:p w14:paraId="5DB0F724"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0</w:t>
            </w:r>
          </w:p>
        </w:tc>
      </w:tr>
      <w:bookmarkEnd w:id="1"/>
      <w:tr w:rsidR="00522A8C" w:rsidRPr="00150B08" w14:paraId="5DB0F72B" w14:textId="77777777" w:rsidTr="009F4060">
        <w:tc>
          <w:tcPr>
            <w:tcW w:w="4500" w:type="dxa"/>
            <w:shd w:val="clear" w:color="auto" w:fill="auto"/>
            <w:vAlign w:val="bottom"/>
          </w:tcPr>
          <w:p w14:paraId="5DB0F726" w14:textId="77777777" w:rsidR="00522A8C" w:rsidRPr="00150B08" w:rsidRDefault="00522A8C" w:rsidP="009F4060">
            <w:pPr>
              <w:widowControl w:val="0"/>
              <w:autoSpaceDE w:val="0"/>
              <w:autoSpaceDN w:val="0"/>
              <w:adjustRightInd w:val="0"/>
              <w:jc w:val="right"/>
              <w:rPr>
                <w:b/>
                <w:sz w:val="22"/>
                <w:szCs w:val="22"/>
              </w:rPr>
            </w:pPr>
            <w:r w:rsidRPr="00150B08">
              <w:rPr>
                <w:b/>
                <w:sz w:val="22"/>
                <w:szCs w:val="22"/>
              </w:rPr>
              <w:t>FERC-917 -- Sub Total Part 35</w:t>
            </w:r>
          </w:p>
        </w:tc>
        <w:tc>
          <w:tcPr>
            <w:tcW w:w="1496" w:type="dxa"/>
            <w:shd w:val="clear" w:color="auto" w:fill="auto"/>
            <w:vAlign w:val="bottom"/>
          </w:tcPr>
          <w:p w14:paraId="5DB0F727"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w:t>
            </w:r>
          </w:p>
        </w:tc>
        <w:tc>
          <w:tcPr>
            <w:tcW w:w="1440" w:type="dxa"/>
            <w:shd w:val="clear" w:color="auto" w:fill="auto"/>
            <w:vAlign w:val="bottom"/>
          </w:tcPr>
          <w:p w14:paraId="5DB0F728"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w:t>
            </w:r>
          </w:p>
        </w:tc>
        <w:tc>
          <w:tcPr>
            <w:tcW w:w="1260" w:type="dxa"/>
            <w:shd w:val="clear" w:color="auto" w:fill="auto"/>
            <w:vAlign w:val="bottom"/>
          </w:tcPr>
          <w:p w14:paraId="5DB0F729"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w:t>
            </w:r>
          </w:p>
        </w:tc>
        <w:tc>
          <w:tcPr>
            <w:tcW w:w="1440" w:type="dxa"/>
            <w:shd w:val="clear" w:color="auto" w:fill="auto"/>
            <w:vAlign w:val="bottom"/>
          </w:tcPr>
          <w:p w14:paraId="5DB0F72A" w14:textId="77777777" w:rsidR="00522A8C" w:rsidRPr="00150B08" w:rsidRDefault="00522A8C" w:rsidP="009F4060">
            <w:pPr>
              <w:widowControl w:val="0"/>
              <w:autoSpaceDE w:val="0"/>
              <w:autoSpaceDN w:val="0"/>
              <w:adjustRightInd w:val="0"/>
              <w:jc w:val="right"/>
              <w:rPr>
                <w:b/>
                <w:sz w:val="22"/>
                <w:szCs w:val="22"/>
              </w:rPr>
            </w:pPr>
            <w:r w:rsidRPr="00150B08">
              <w:rPr>
                <w:b/>
                <w:sz w:val="22"/>
                <w:szCs w:val="22"/>
              </w:rPr>
              <w:t>68,474</w:t>
            </w:r>
          </w:p>
        </w:tc>
      </w:tr>
      <w:tr w:rsidR="00522A8C" w:rsidRPr="00150B08" w14:paraId="5DB0F731" w14:textId="77777777" w:rsidTr="009F4060">
        <w:tc>
          <w:tcPr>
            <w:tcW w:w="4500" w:type="dxa"/>
            <w:shd w:val="clear" w:color="auto" w:fill="auto"/>
            <w:vAlign w:val="bottom"/>
          </w:tcPr>
          <w:p w14:paraId="5DB0F72C" w14:textId="77777777" w:rsidR="00522A8C" w:rsidRPr="00150B08" w:rsidRDefault="00522A8C" w:rsidP="009F4060">
            <w:pPr>
              <w:widowControl w:val="0"/>
              <w:autoSpaceDE w:val="0"/>
              <w:autoSpaceDN w:val="0"/>
              <w:adjustRightInd w:val="0"/>
              <w:rPr>
                <w:b/>
                <w:sz w:val="22"/>
                <w:szCs w:val="22"/>
              </w:rPr>
            </w:pPr>
          </w:p>
        </w:tc>
        <w:tc>
          <w:tcPr>
            <w:tcW w:w="1496" w:type="dxa"/>
            <w:shd w:val="clear" w:color="auto" w:fill="auto"/>
            <w:vAlign w:val="bottom"/>
          </w:tcPr>
          <w:p w14:paraId="5DB0F72D" w14:textId="77777777" w:rsidR="00522A8C" w:rsidRPr="00150B08" w:rsidRDefault="00522A8C" w:rsidP="009F4060">
            <w:pPr>
              <w:widowControl w:val="0"/>
              <w:autoSpaceDE w:val="0"/>
              <w:autoSpaceDN w:val="0"/>
              <w:adjustRightInd w:val="0"/>
              <w:jc w:val="right"/>
              <w:rPr>
                <w:sz w:val="22"/>
                <w:szCs w:val="22"/>
              </w:rPr>
            </w:pPr>
          </w:p>
        </w:tc>
        <w:tc>
          <w:tcPr>
            <w:tcW w:w="1440" w:type="dxa"/>
            <w:shd w:val="clear" w:color="auto" w:fill="auto"/>
            <w:vAlign w:val="bottom"/>
          </w:tcPr>
          <w:p w14:paraId="5DB0F72E" w14:textId="77777777" w:rsidR="00522A8C" w:rsidRPr="00150B08" w:rsidRDefault="00522A8C" w:rsidP="009F4060">
            <w:pPr>
              <w:widowControl w:val="0"/>
              <w:autoSpaceDE w:val="0"/>
              <w:autoSpaceDN w:val="0"/>
              <w:adjustRightInd w:val="0"/>
              <w:jc w:val="right"/>
              <w:rPr>
                <w:sz w:val="22"/>
                <w:szCs w:val="22"/>
              </w:rPr>
            </w:pPr>
          </w:p>
        </w:tc>
        <w:tc>
          <w:tcPr>
            <w:tcW w:w="1260" w:type="dxa"/>
            <w:shd w:val="clear" w:color="auto" w:fill="auto"/>
            <w:vAlign w:val="bottom"/>
          </w:tcPr>
          <w:p w14:paraId="5DB0F72F" w14:textId="77777777" w:rsidR="00522A8C" w:rsidRPr="00150B08" w:rsidRDefault="00522A8C" w:rsidP="009F4060">
            <w:pPr>
              <w:widowControl w:val="0"/>
              <w:autoSpaceDE w:val="0"/>
              <w:autoSpaceDN w:val="0"/>
              <w:adjustRightInd w:val="0"/>
              <w:jc w:val="right"/>
              <w:rPr>
                <w:sz w:val="22"/>
                <w:szCs w:val="22"/>
              </w:rPr>
            </w:pPr>
          </w:p>
        </w:tc>
        <w:tc>
          <w:tcPr>
            <w:tcW w:w="1440" w:type="dxa"/>
            <w:shd w:val="clear" w:color="auto" w:fill="auto"/>
            <w:vAlign w:val="bottom"/>
          </w:tcPr>
          <w:p w14:paraId="5DB0F730" w14:textId="77777777" w:rsidR="00522A8C" w:rsidRPr="00150B08" w:rsidRDefault="00522A8C" w:rsidP="009F4060">
            <w:pPr>
              <w:widowControl w:val="0"/>
              <w:autoSpaceDE w:val="0"/>
              <w:autoSpaceDN w:val="0"/>
              <w:adjustRightInd w:val="0"/>
              <w:jc w:val="right"/>
              <w:rPr>
                <w:sz w:val="22"/>
                <w:szCs w:val="22"/>
              </w:rPr>
            </w:pPr>
          </w:p>
        </w:tc>
      </w:tr>
      <w:tr w:rsidR="00522A8C" w:rsidRPr="00150B08" w14:paraId="5DB0F733" w14:textId="77777777" w:rsidTr="009F4060">
        <w:tc>
          <w:tcPr>
            <w:tcW w:w="10136" w:type="dxa"/>
            <w:gridSpan w:val="5"/>
            <w:shd w:val="clear" w:color="auto" w:fill="auto"/>
            <w:vAlign w:val="bottom"/>
          </w:tcPr>
          <w:p w14:paraId="5DB0F732" w14:textId="77777777" w:rsidR="00522A8C" w:rsidRPr="00150B08" w:rsidRDefault="00522A8C" w:rsidP="009F4060">
            <w:pPr>
              <w:widowControl w:val="0"/>
              <w:autoSpaceDE w:val="0"/>
              <w:autoSpaceDN w:val="0"/>
              <w:adjustRightInd w:val="0"/>
              <w:jc w:val="center"/>
              <w:rPr>
                <w:sz w:val="22"/>
                <w:szCs w:val="22"/>
              </w:rPr>
            </w:pPr>
            <w:r w:rsidRPr="00150B08">
              <w:rPr>
                <w:b/>
                <w:sz w:val="22"/>
                <w:szCs w:val="22"/>
              </w:rPr>
              <w:t>18 CFR 37.6 &amp; 37.7 (FERC-918)</w:t>
            </w:r>
          </w:p>
        </w:tc>
      </w:tr>
      <w:tr w:rsidR="00522A8C" w:rsidRPr="00150B08" w14:paraId="5DB0F752" w14:textId="77777777" w:rsidTr="009F4060">
        <w:tc>
          <w:tcPr>
            <w:tcW w:w="4500" w:type="dxa"/>
            <w:shd w:val="clear" w:color="auto" w:fill="auto"/>
            <w:vAlign w:val="bottom"/>
          </w:tcPr>
          <w:p w14:paraId="5DB0F734" w14:textId="77777777" w:rsidR="00522A8C" w:rsidRPr="00150B08" w:rsidRDefault="00522A8C" w:rsidP="009F4060">
            <w:pPr>
              <w:widowControl w:val="0"/>
              <w:autoSpaceDE w:val="0"/>
              <w:autoSpaceDN w:val="0"/>
              <w:adjustRightInd w:val="0"/>
              <w:rPr>
                <w:sz w:val="22"/>
                <w:szCs w:val="22"/>
              </w:rPr>
            </w:pPr>
            <w:r w:rsidRPr="00150B08">
              <w:rPr>
                <w:sz w:val="22"/>
                <w:szCs w:val="22"/>
                <w:u w:val="single"/>
              </w:rPr>
              <w:t>ATC-related standards</w:t>
            </w:r>
            <w:r w:rsidRPr="00150B08">
              <w:rPr>
                <w:sz w:val="22"/>
                <w:szCs w:val="22"/>
              </w:rPr>
              <w:t xml:space="preserve">: </w:t>
            </w:r>
          </w:p>
          <w:p w14:paraId="5DB0F735" w14:textId="77777777" w:rsidR="00522A8C" w:rsidRPr="00150B08" w:rsidRDefault="00522A8C" w:rsidP="009F4060">
            <w:pPr>
              <w:widowControl w:val="0"/>
              <w:autoSpaceDE w:val="0"/>
              <w:autoSpaceDN w:val="0"/>
              <w:adjustRightInd w:val="0"/>
              <w:rPr>
                <w:sz w:val="22"/>
                <w:szCs w:val="22"/>
              </w:rPr>
            </w:pPr>
            <w:r w:rsidRPr="00150B08">
              <w:rPr>
                <w:sz w:val="22"/>
                <w:szCs w:val="22"/>
              </w:rPr>
              <w:t xml:space="preserve">   NERC/NAESB Team to develop</w:t>
            </w:r>
          </w:p>
          <w:p w14:paraId="5DB0F736" w14:textId="77777777" w:rsidR="00522A8C" w:rsidRPr="00150B08" w:rsidRDefault="00522A8C" w:rsidP="009F4060">
            <w:pPr>
              <w:widowControl w:val="0"/>
              <w:autoSpaceDE w:val="0"/>
              <w:autoSpaceDN w:val="0"/>
              <w:adjustRightInd w:val="0"/>
              <w:rPr>
                <w:sz w:val="22"/>
                <w:szCs w:val="22"/>
              </w:rPr>
            </w:pPr>
          </w:p>
          <w:p w14:paraId="5DB0F737" w14:textId="77777777" w:rsidR="00522A8C" w:rsidRPr="00150B08" w:rsidRDefault="00522A8C" w:rsidP="009F4060">
            <w:pPr>
              <w:widowControl w:val="0"/>
              <w:autoSpaceDE w:val="0"/>
              <w:autoSpaceDN w:val="0"/>
              <w:adjustRightInd w:val="0"/>
              <w:rPr>
                <w:sz w:val="22"/>
                <w:szCs w:val="22"/>
              </w:rPr>
            </w:pPr>
            <w:r w:rsidRPr="00150B08">
              <w:rPr>
                <w:sz w:val="22"/>
                <w:szCs w:val="22"/>
              </w:rPr>
              <w:t xml:space="preserve">   Review and comment by utility</w:t>
            </w:r>
          </w:p>
          <w:p w14:paraId="5DB0F738" w14:textId="77777777" w:rsidR="00522A8C" w:rsidRPr="00150B08" w:rsidRDefault="00522A8C" w:rsidP="009F4060">
            <w:pPr>
              <w:widowControl w:val="0"/>
              <w:autoSpaceDE w:val="0"/>
              <w:autoSpaceDN w:val="0"/>
              <w:adjustRightInd w:val="0"/>
              <w:rPr>
                <w:sz w:val="22"/>
                <w:szCs w:val="22"/>
              </w:rPr>
            </w:pPr>
          </w:p>
          <w:p w14:paraId="5DB0F739" w14:textId="77777777" w:rsidR="00522A8C" w:rsidRPr="00150B08" w:rsidRDefault="00522A8C" w:rsidP="009F4060">
            <w:pPr>
              <w:widowControl w:val="0"/>
              <w:autoSpaceDE w:val="0"/>
              <w:autoSpaceDN w:val="0"/>
              <w:adjustRightInd w:val="0"/>
              <w:rPr>
                <w:sz w:val="22"/>
                <w:szCs w:val="22"/>
              </w:rPr>
            </w:pPr>
            <w:r w:rsidRPr="00150B08">
              <w:rPr>
                <w:sz w:val="22"/>
                <w:szCs w:val="22"/>
              </w:rPr>
              <w:t xml:space="preserve">   Implementation by each utility</w:t>
            </w:r>
          </w:p>
        </w:tc>
        <w:tc>
          <w:tcPr>
            <w:tcW w:w="1496" w:type="dxa"/>
            <w:shd w:val="clear" w:color="auto" w:fill="auto"/>
            <w:vAlign w:val="bottom"/>
          </w:tcPr>
          <w:p w14:paraId="5DB0F73A" w14:textId="77777777" w:rsidR="00522A8C" w:rsidRPr="00150B08" w:rsidRDefault="00522A8C" w:rsidP="009F4060">
            <w:pPr>
              <w:widowControl w:val="0"/>
              <w:autoSpaceDE w:val="0"/>
              <w:autoSpaceDN w:val="0"/>
              <w:adjustRightInd w:val="0"/>
              <w:jc w:val="right"/>
              <w:rPr>
                <w:sz w:val="22"/>
                <w:szCs w:val="22"/>
              </w:rPr>
            </w:pPr>
          </w:p>
          <w:p w14:paraId="5DB0F73B"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0</w:t>
            </w:r>
          </w:p>
          <w:p w14:paraId="5DB0F73C" w14:textId="77777777" w:rsidR="00522A8C" w:rsidRPr="00150B08" w:rsidRDefault="00522A8C" w:rsidP="009F4060">
            <w:pPr>
              <w:widowControl w:val="0"/>
              <w:autoSpaceDE w:val="0"/>
              <w:autoSpaceDN w:val="0"/>
              <w:adjustRightInd w:val="0"/>
              <w:jc w:val="right"/>
              <w:rPr>
                <w:sz w:val="22"/>
                <w:szCs w:val="22"/>
              </w:rPr>
            </w:pPr>
          </w:p>
          <w:p w14:paraId="5DB0F73D"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0</w:t>
            </w:r>
          </w:p>
          <w:p w14:paraId="5DB0F73E" w14:textId="77777777" w:rsidR="00522A8C" w:rsidRPr="00150B08" w:rsidRDefault="00522A8C" w:rsidP="009F4060">
            <w:pPr>
              <w:widowControl w:val="0"/>
              <w:autoSpaceDE w:val="0"/>
              <w:autoSpaceDN w:val="0"/>
              <w:adjustRightInd w:val="0"/>
              <w:jc w:val="right"/>
              <w:rPr>
                <w:sz w:val="22"/>
                <w:szCs w:val="22"/>
              </w:rPr>
            </w:pPr>
          </w:p>
          <w:p w14:paraId="5DB0F73F"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0</w:t>
            </w:r>
          </w:p>
        </w:tc>
        <w:tc>
          <w:tcPr>
            <w:tcW w:w="1440" w:type="dxa"/>
            <w:shd w:val="clear" w:color="auto" w:fill="auto"/>
            <w:vAlign w:val="bottom"/>
          </w:tcPr>
          <w:p w14:paraId="5DB0F740" w14:textId="77777777" w:rsidR="00522A8C" w:rsidRPr="00150B08" w:rsidRDefault="00522A8C" w:rsidP="009F4060">
            <w:pPr>
              <w:widowControl w:val="0"/>
              <w:autoSpaceDE w:val="0"/>
              <w:autoSpaceDN w:val="0"/>
              <w:adjustRightInd w:val="0"/>
              <w:jc w:val="right"/>
              <w:rPr>
                <w:sz w:val="22"/>
                <w:szCs w:val="22"/>
              </w:rPr>
            </w:pPr>
          </w:p>
          <w:p w14:paraId="5DB0F741"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0</w:t>
            </w:r>
          </w:p>
          <w:p w14:paraId="5DB0F742" w14:textId="77777777" w:rsidR="00522A8C" w:rsidRPr="00150B08" w:rsidRDefault="00522A8C" w:rsidP="009F4060">
            <w:pPr>
              <w:widowControl w:val="0"/>
              <w:autoSpaceDE w:val="0"/>
              <w:autoSpaceDN w:val="0"/>
              <w:adjustRightInd w:val="0"/>
              <w:jc w:val="right"/>
              <w:rPr>
                <w:sz w:val="22"/>
                <w:szCs w:val="22"/>
              </w:rPr>
            </w:pPr>
          </w:p>
          <w:p w14:paraId="5DB0F743"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0</w:t>
            </w:r>
          </w:p>
          <w:p w14:paraId="5DB0F744" w14:textId="77777777" w:rsidR="00522A8C" w:rsidRPr="00150B08" w:rsidRDefault="00522A8C" w:rsidP="009F4060">
            <w:pPr>
              <w:widowControl w:val="0"/>
              <w:autoSpaceDE w:val="0"/>
              <w:autoSpaceDN w:val="0"/>
              <w:adjustRightInd w:val="0"/>
              <w:jc w:val="right"/>
              <w:rPr>
                <w:sz w:val="22"/>
                <w:szCs w:val="22"/>
              </w:rPr>
            </w:pPr>
          </w:p>
          <w:p w14:paraId="5DB0F745"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0</w:t>
            </w:r>
          </w:p>
        </w:tc>
        <w:tc>
          <w:tcPr>
            <w:tcW w:w="1260" w:type="dxa"/>
            <w:shd w:val="clear" w:color="auto" w:fill="auto"/>
            <w:vAlign w:val="bottom"/>
          </w:tcPr>
          <w:p w14:paraId="5DB0F746" w14:textId="77777777" w:rsidR="00522A8C" w:rsidRPr="00150B08" w:rsidRDefault="00522A8C" w:rsidP="009F4060">
            <w:pPr>
              <w:widowControl w:val="0"/>
              <w:autoSpaceDE w:val="0"/>
              <w:autoSpaceDN w:val="0"/>
              <w:adjustRightInd w:val="0"/>
              <w:jc w:val="right"/>
              <w:rPr>
                <w:sz w:val="22"/>
                <w:szCs w:val="22"/>
              </w:rPr>
            </w:pPr>
          </w:p>
          <w:p w14:paraId="5DB0F747"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0</w:t>
            </w:r>
          </w:p>
          <w:p w14:paraId="5DB0F748" w14:textId="77777777" w:rsidR="00522A8C" w:rsidRPr="00150B08" w:rsidRDefault="00522A8C" w:rsidP="009F4060">
            <w:pPr>
              <w:widowControl w:val="0"/>
              <w:autoSpaceDE w:val="0"/>
              <w:autoSpaceDN w:val="0"/>
              <w:adjustRightInd w:val="0"/>
              <w:jc w:val="right"/>
              <w:rPr>
                <w:sz w:val="22"/>
                <w:szCs w:val="22"/>
              </w:rPr>
            </w:pPr>
          </w:p>
          <w:p w14:paraId="5DB0F749"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0</w:t>
            </w:r>
          </w:p>
          <w:p w14:paraId="5DB0F74A" w14:textId="77777777" w:rsidR="00522A8C" w:rsidRPr="00150B08" w:rsidRDefault="00522A8C" w:rsidP="009F4060">
            <w:pPr>
              <w:widowControl w:val="0"/>
              <w:autoSpaceDE w:val="0"/>
              <w:autoSpaceDN w:val="0"/>
              <w:adjustRightInd w:val="0"/>
              <w:jc w:val="right"/>
              <w:rPr>
                <w:sz w:val="22"/>
                <w:szCs w:val="22"/>
              </w:rPr>
            </w:pPr>
          </w:p>
          <w:p w14:paraId="5DB0F74B"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0</w:t>
            </w:r>
          </w:p>
        </w:tc>
        <w:tc>
          <w:tcPr>
            <w:tcW w:w="1440" w:type="dxa"/>
            <w:shd w:val="clear" w:color="auto" w:fill="auto"/>
            <w:vAlign w:val="bottom"/>
          </w:tcPr>
          <w:p w14:paraId="5DB0F74C" w14:textId="77777777" w:rsidR="00522A8C" w:rsidRPr="00150B08" w:rsidRDefault="00522A8C" w:rsidP="009F4060">
            <w:pPr>
              <w:widowControl w:val="0"/>
              <w:autoSpaceDE w:val="0"/>
              <w:autoSpaceDN w:val="0"/>
              <w:adjustRightInd w:val="0"/>
              <w:jc w:val="right"/>
              <w:rPr>
                <w:sz w:val="22"/>
                <w:szCs w:val="22"/>
              </w:rPr>
            </w:pPr>
          </w:p>
          <w:p w14:paraId="5DB0F74D"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0</w:t>
            </w:r>
          </w:p>
          <w:p w14:paraId="5DB0F74E" w14:textId="77777777" w:rsidR="00522A8C" w:rsidRPr="00150B08" w:rsidRDefault="00522A8C" w:rsidP="009F4060">
            <w:pPr>
              <w:widowControl w:val="0"/>
              <w:autoSpaceDE w:val="0"/>
              <w:autoSpaceDN w:val="0"/>
              <w:adjustRightInd w:val="0"/>
              <w:jc w:val="right"/>
              <w:rPr>
                <w:sz w:val="22"/>
                <w:szCs w:val="22"/>
              </w:rPr>
            </w:pPr>
          </w:p>
          <w:p w14:paraId="5DB0F74F"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0</w:t>
            </w:r>
          </w:p>
          <w:p w14:paraId="5DB0F750" w14:textId="77777777" w:rsidR="00522A8C" w:rsidRPr="00150B08" w:rsidRDefault="00522A8C" w:rsidP="009F4060">
            <w:pPr>
              <w:widowControl w:val="0"/>
              <w:autoSpaceDE w:val="0"/>
              <w:autoSpaceDN w:val="0"/>
              <w:adjustRightInd w:val="0"/>
              <w:jc w:val="right"/>
              <w:rPr>
                <w:sz w:val="22"/>
                <w:szCs w:val="22"/>
              </w:rPr>
            </w:pPr>
          </w:p>
          <w:p w14:paraId="5DB0F751"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0</w:t>
            </w:r>
          </w:p>
        </w:tc>
      </w:tr>
      <w:tr w:rsidR="00522A8C" w:rsidRPr="00150B08" w14:paraId="5DB0F758" w14:textId="77777777" w:rsidTr="009F4060">
        <w:tc>
          <w:tcPr>
            <w:tcW w:w="4500" w:type="dxa"/>
            <w:shd w:val="clear" w:color="auto" w:fill="auto"/>
            <w:vAlign w:val="bottom"/>
          </w:tcPr>
          <w:p w14:paraId="5DB0F753" w14:textId="77777777" w:rsidR="00522A8C" w:rsidRPr="00150B08" w:rsidRDefault="00522A8C" w:rsidP="009F4060">
            <w:pPr>
              <w:widowControl w:val="0"/>
              <w:autoSpaceDE w:val="0"/>
              <w:autoSpaceDN w:val="0"/>
              <w:adjustRightInd w:val="0"/>
              <w:rPr>
                <w:sz w:val="22"/>
                <w:szCs w:val="22"/>
              </w:rPr>
            </w:pPr>
            <w:r w:rsidRPr="00150B08">
              <w:rPr>
                <w:sz w:val="22"/>
                <w:szCs w:val="22"/>
              </w:rPr>
              <w:t xml:space="preserve">Mandatory data exchanges </w:t>
            </w:r>
          </w:p>
        </w:tc>
        <w:tc>
          <w:tcPr>
            <w:tcW w:w="1496" w:type="dxa"/>
            <w:shd w:val="clear" w:color="auto" w:fill="auto"/>
            <w:vAlign w:val="bottom"/>
          </w:tcPr>
          <w:p w14:paraId="5DB0F754"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134</w:t>
            </w:r>
          </w:p>
        </w:tc>
        <w:tc>
          <w:tcPr>
            <w:tcW w:w="1440" w:type="dxa"/>
            <w:shd w:val="clear" w:color="auto" w:fill="auto"/>
            <w:vAlign w:val="bottom"/>
          </w:tcPr>
          <w:p w14:paraId="5DB0F755"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w:t>
            </w:r>
          </w:p>
        </w:tc>
        <w:tc>
          <w:tcPr>
            <w:tcW w:w="1260" w:type="dxa"/>
            <w:shd w:val="clear" w:color="auto" w:fill="auto"/>
            <w:vAlign w:val="bottom"/>
          </w:tcPr>
          <w:p w14:paraId="5DB0F756"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80</w:t>
            </w:r>
          </w:p>
        </w:tc>
        <w:tc>
          <w:tcPr>
            <w:tcW w:w="1440" w:type="dxa"/>
            <w:shd w:val="clear" w:color="auto" w:fill="auto"/>
            <w:vAlign w:val="bottom"/>
          </w:tcPr>
          <w:p w14:paraId="5DB0F757"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10,720</w:t>
            </w:r>
          </w:p>
        </w:tc>
      </w:tr>
      <w:tr w:rsidR="00522A8C" w:rsidRPr="00150B08" w14:paraId="5DB0F75E" w14:textId="77777777" w:rsidTr="009F4060">
        <w:tc>
          <w:tcPr>
            <w:tcW w:w="4500" w:type="dxa"/>
            <w:shd w:val="clear" w:color="auto" w:fill="auto"/>
            <w:vAlign w:val="bottom"/>
          </w:tcPr>
          <w:p w14:paraId="5DB0F759" w14:textId="77777777" w:rsidR="00522A8C" w:rsidRPr="00150B08" w:rsidRDefault="00522A8C" w:rsidP="009F4060">
            <w:pPr>
              <w:widowControl w:val="0"/>
              <w:autoSpaceDE w:val="0"/>
              <w:autoSpaceDN w:val="0"/>
              <w:adjustRightInd w:val="0"/>
              <w:rPr>
                <w:sz w:val="22"/>
                <w:szCs w:val="22"/>
              </w:rPr>
            </w:pPr>
            <w:r w:rsidRPr="00150B08">
              <w:rPr>
                <w:sz w:val="22"/>
                <w:szCs w:val="22"/>
              </w:rPr>
              <w:t xml:space="preserve">Explanation of change of ATC values </w:t>
            </w:r>
          </w:p>
        </w:tc>
        <w:tc>
          <w:tcPr>
            <w:tcW w:w="1496" w:type="dxa"/>
            <w:shd w:val="clear" w:color="auto" w:fill="auto"/>
            <w:vAlign w:val="bottom"/>
          </w:tcPr>
          <w:p w14:paraId="5DB0F75A"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134</w:t>
            </w:r>
          </w:p>
        </w:tc>
        <w:tc>
          <w:tcPr>
            <w:tcW w:w="1440" w:type="dxa"/>
            <w:shd w:val="clear" w:color="auto" w:fill="auto"/>
            <w:vAlign w:val="bottom"/>
          </w:tcPr>
          <w:p w14:paraId="5DB0F75B"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w:t>
            </w:r>
          </w:p>
        </w:tc>
        <w:tc>
          <w:tcPr>
            <w:tcW w:w="1260" w:type="dxa"/>
            <w:shd w:val="clear" w:color="auto" w:fill="auto"/>
            <w:vAlign w:val="bottom"/>
          </w:tcPr>
          <w:p w14:paraId="5DB0F75C"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100</w:t>
            </w:r>
          </w:p>
        </w:tc>
        <w:tc>
          <w:tcPr>
            <w:tcW w:w="1440" w:type="dxa"/>
            <w:shd w:val="clear" w:color="auto" w:fill="auto"/>
            <w:vAlign w:val="bottom"/>
          </w:tcPr>
          <w:p w14:paraId="5DB0F75D"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13,400</w:t>
            </w:r>
          </w:p>
        </w:tc>
      </w:tr>
      <w:tr w:rsidR="00522A8C" w:rsidRPr="00150B08" w14:paraId="5DB0F764" w14:textId="77777777" w:rsidTr="009F4060">
        <w:tc>
          <w:tcPr>
            <w:tcW w:w="4500" w:type="dxa"/>
            <w:shd w:val="clear" w:color="auto" w:fill="auto"/>
            <w:vAlign w:val="bottom"/>
          </w:tcPr>
          <w:p w14:paraId="5DB0F75F" w14:textId="77777777" w:rsidR="00522A8C" w:rsidRPr="00150B08" w:rsidRDefault="00522A8C" w:rsidP="009F4060">
            <w:pPr>
              <w:widowControl w:val="0"/>
              <w:autoSpaceDE w:val="0"/>
              <w:autoSpaceDN w:val="0"/>
              <w:adjustRightInd w:val="0"/>
              <w:rPr>
                <w:sz w:val="22"/>
                <w:szCs w:val="22"/>
              </w:rPr>
            </w:pPr>
            <w:r w:rsidRPr="00150B08">
              <w:rPr>
                <w:sz w:val="22"/>
                <w:szCs w:val="22"/>
              </w:rPr>
              <w:t xml:space="preserve">Reevaluate CBM and post quarterly </w:t>
            </w:r>
          </w:p>
        </w:tc>
        <w:tc>
          <w:tcPr>
            <w:tcW w:w="1496" w:type="dxa"/>
            <w:shd w:val="clear" w:color="auto" w:fill="auto"/>
            <w:vAlign w:val="bottom"/>
          </w:tcPr>
          <w:p w14:paraId="5DB0F760"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134</w:t>
            </w:r>
          </w:p>
        </w:tc>
        <w:tc>
          <w:tcPr>
            <w:tcW w:w="1440" w:type="dxa"/>
            <w:shd w:val="clear" w:color="auto" w:fill="auto"/>
            <w:vAlign w:val="bottom"/>
          </w:tcPr>
          <w:p w14:paraId="5DB0F761"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w:t>
            </w:r>
          </w:p>
        </w:tc>
        <w:tc>
          <w:tcPr>
            <w:tcW w:w="1260" w:type="dxa"/>
            <w:shd w:val="clear" w:color="auto" w:fill="auto"/>
            <w:vAlign w:val="bottom"/>
          </w:tcPr>
          <w:p w14:paraId="5DB0F762"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20</w:t>
            </w:r>
          </w:p>
        </w:tc>
        <w:tc>
          <w:tcPr>
            <w:tcW w:w="1440" w:type="dxa"/>
            <w:shd w:val="clear" w:color="auto" w:fill="auto"/>
            <w:vAlign w:val="bottom"/>
          </w:tcPr>
          <w:p w14:paraId="5DB0F763"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2,680</w:t>
            </w:r>
          </w:p>
        </w:tc>
      </w:tr>
      <w:tr w:rsidR="00522A8C" w:rsidRPr="00150B08" w14:paraId="5DB0F76A" w14:textId="77777777" w:rsidTr="009F4060">
        <w:tc>
          <w:tcPr>
            <w:tcW w:w="4500" w:type="dxa"/>
            <w:shd w:val="clear" w:color="auto" w:fill="auto"/>
            <w:vAlign w:val="bottom"/>
          </w:tcPr>
          <w:p w14:paraId="5DB0F765" w14:textId="77777777" w:rsidR="00522A8C" w:rsidRPr="00150B08" w:rsidRDefault="00522A8C" w:rsidP="009F4060">
            <w:pPr>
              <w:widowControl w:val="0"/>
              <w:autoSpaceDE w:val="0"/>
              <w:autoSpaceDN w:val="0"/>
              <w:adjustRightInd w:val="0"/>
              <w:rPr>
                <w:sz w:val="22"/>
                <w:szCs w:val="22"/>
              </w:rPr>
            </w:pPr>
            <w:r w:rsidRPr="00150B08">
              <w:rPr>
                <w:sz w:val="22"/>
                <w:szCs w:val="22"/>
              </w:rPr>
              <w:t xml:space="preserve">Post OASIS metrics; requests accepted/denied </w:t>
            </w:r>
          </w:p>
        </w:tc>
        <w:tc>
          <w:tcPr>
            <w:tcW w:w="1496" w:type="dxa"/>
            <w:shd w:val="clear" w:color="auto" w:fill="auto"/>
            <w:vAlign w:val="bottom"/>
          </w:tcPr>
          <w:p w14:paraId="5DB0F766"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134</w:t>
            </w:r>
          </w:p>
        </w:tc>
        <w:tc>
          <w:tcPr>
            <w:tcW w:w="1440" w:type="dxa"/>
            <w:shd w:val="clear" w:color="auto" w:fill="auto"/>
            <w:vAlign w:val="bottom"/>
          </w:tcPr>
          <w:p w14:paraId="5DB0F767"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w:t>
            </w:r>
          </w:p>
        </w:tc>
        <w:tc>
          <w:tcPr>
            <w:tcW w:w="1260" w:type="dxa"/>
            <w:shd w:val="clear" w:color="auto" w:fill="auto"/>
            <w:vAlign w:val="bottom"/>
          </w:tcPr>
          <w:p w14:paraId="5DB0F768"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90</w:t>
            </w:r>
          </w:p>
        </w:tc>
        <w:tc>
          <w:tcPr>
            <w:tcW w:w="1440" w:type="dxa"/>
            <w:shd w:val="clear" w:color="auto" w:fill="auto"/>
            <w:vAlign w:val="bottom"/>
          </w:tcPr>
          <w:p w14:paraId="5DB0F769"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12,060</w:t>
            </w:r>
          </w:p>
        </w:tc>
      </w:tr>
      <w:tr w:rsidR="00522A8C" w:rsidRPr="00150B08" w14:paraId="5DB0F770" w14:textId="77777777" w:rsidTr="009F4060">
        <w:tc>
          <w:tcPr>
            <w:tcW w:w="4500" w:type="dxa"/>
            <w:shd w:val="clear" w:color="auto" w:fill="auto"/>
            <w:vAlign w:val="bottom"/>
          </w:tcPr>
          <w:p w14:paraId="5DB0F76B" w14:textId="77777777" w:rsidR="00522A8C" w:rsidRPr="00150B08" w:rsidRDefault="00522A8C" w:rsidP="009F4060">
            <w:pPr>
              <w:widowControl w:val="0"/>
              <w:autoSpaceDE w:val="0"/>
              <w:autoSpaceDN w:val="0"/>
              <w:adjustRightInd w:val="0"/>
              <w:rPr>
                <w:sz w:val="22"/>
                <w:szCs w:val="22"/>
              </w:rPr>
            </w:pPr>
            <w:r w:rsidRPr="00150B08">
              <w:rPr>
                <w:sz w:val="22"/>
                <w:szCs w:val="22"/>
              </w:rPr>
              <w:t>Post planning redispatch offers and reliability redispatch data</w:t>
            </w:r>
          </w:p>
        </w:tc>
        <w:tc>
          <w:tcPr>
            <w:tcW w:w="1496" w:type="dxa"/>
            <w:shd w:val="clear" w:color="auto" w:fill="auto"/>
            <w:vAlign w:val="bottom"/>
          </w:tcPr>
          <w:p w14:paraId="5DB0F76C"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134</w:t>
            </w:r>
          </w:p>
        </w:tc>
        <w:tc>
          <w:tcPr>
            <w:tcW w:w="1440" w:type="dxa"/>
            <w:shd w:val="clear" w:color="auto" w:fill="auto"/>
            <w:vAlign w:val="bottom"/>
          </w:tcPr>
          <w:p w14:paraId="5DB0F76D"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w:t>
            </w:r>
          </w:p>
        </w:tc>
        <w:tc>
          <w:tcPr>
            <w:tcW w:w="1260" w:type="dxa"/>
            <w:shd w:val="clear" w:color="auto" w:fill="auto"/>
            <w:vAlign w:val="bottom"/>
          </w:tcPr>
          <w:p w14:paraId="5DB0F76E"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20</w:t>
            </w:r>
          </w:p>
        </w:tc>
        <w:tc>
          <w:tcPr>
            <w:tcW w:w="1440" w:type="dxa"/>
            <w:shd w:val="clear" w:color="auto" w:fill="auto"/>
            <w:vAlign w:val="bottom"/>
          </w:tcPr>
          <w:p w14:paraId="5DB0F76F"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2,680</w:t>
            </w:r>
          </w:p>
        </w:tc>
      </w:tr>
      <w:tr w:rsidR="00522A8C" w:rsidRPr="00150B08" w14:paraId="5DB0F776" w14:textId="77777777" w:rsidTr="009F4060">
        <w:tc>
          <w:tcPr>
            <w:tcW w:w="4500" w:type="dxa"/>
            <w:shd w:val="clear" w:color="auto" w:fill="auto"/>
            <w:vAlign w:val="bottom"/>
          </w:tcPr>
          <w:p w14:paraId="5DB0F771" w14:textId="77777777" w:rsidR="00522A8C" w:rsidRPr="00150B08" w:rsidRDefault="00522A8C" w:rsidP="009F4060">
            <w:pPr>
              <w:widowControl w:val="0"/>
              <w:autoSpaceDE w:val="0"/>
              <w:autoSpaceDN w:val="0"/>
              <w:adjustRightInd w:val="0"/>
              <w:rPr>
                <w:sz w:val="22"/>
                <w:szCs w:val="22"/>
              </w:rPr>
            </w:pPr>
            <w:r w:rsidRPr="00150B08">
              <w:rPr>
                <w:sz w:val="22"/>
                <w:szCs w:val="22"/>
              </w:rPr>
              <w:t>Post curtailment data</w:t>
            </w:r>
          </w:p>
        </w:tc>
        <w:tc>
          <w:tcPr>
            <w:tcW w:w="1496" w:type="dxa"/>
            <w:shd w:val="clear" w:color="auto" w:fill="auto"/>
            <w:vAlign w:val="bottom"/>
          </w:tcPr>
          <w:p w14:paraId="5DB0F772"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134</w:t>
            </w:r>
          </w:p>
        </w:tc>
        <w:tc>
          <w:tcPr>
            <w:tcW w:w="1440" w:type="dxa"/>
            <w:shd w:val="clear" w:color="auto" w:fill="auto"/>
            <w:vAlign w:val="bottom"/>
          </w:tcPr>
          <w:p w14:paraId="5DB0F773"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w:t>
            </w:r>
          </w:p>
        </w:tc>
        <w:tc>
          <w:tcPr>
            <w:tcW w:w="1260" w:type="dxa"/>
            <w:shd w:val="clear" w:color="auto" w:fill="auto"/>
            <w:vAlign w:val="bottom"/>
          </w:tcPr>
          <w:p w14:paraId="5DB0F774"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10</w:t>
            </w:r>
          </w:p>
        </w:tc>
        <w:tc>
          <w:tcPr>
            <w:tcW w:w="1440" w:type="dxa"/>
            <w:shd w:val="clear" w:color="auto" w:fill="auto"/>
            <w:vAlign w:val="bottom"/>
          </w:tcPr>
          <w:p w14:paraId="5DB0F775"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1,340</w:t>
            </w:r>
          </w:p>
        </w:tc>
      </w:tr>
      <w:tr w:rsidR="00522A8C" w:rsidRPr="00150B08" w14:paraId="5DB0F77C" w14:textId="77777777" w:rsidTr="009F4060">
        <w:tc>
          <w:tcPr>
            <w:tcW w:w="4500" w:type="dxa"/>
            <w:shd w:val="clear" w:color="auto" w:fill="auto"/>
            <w:vAlign w:val="bottom"/>
          </w:tcPr>
          <w:p w14:paraId="5DB0F777" w14:textId="77777777" w:rsidR="00522A8C" w:rsidRPr="00150B08" w:rsidRDefault="00522A8C" w:rsidP="009F4060">
            <w:pPr>
              <w:widowControl w:val="0"/>
              <w:autoSpaceDE w:val="0"/>
              <w:autoSpaceDN w:val="0"/>
              <w:adjustRightInd w:val="0"/>
              <w:rPr>
                <w:sz w:val="22"/>
                <w:szCs w:val="22"/>
              </w:rPr>
            </w:pPr>
            <w:r w:rsidRPr="00150B08">
              <w:rPr>
                <w:sz w:val="22"/>
                <w:szCs w:val="22"/>
              </w:rPr>
              <w:t>Post Planning and System Impact Studies</w:t>
            </w:r>
          </w:p>
        </w:tc>
        <w:tc>
          <w:tcPr>
            <w:tcW w:w="1496" w:type="dxa"/>
            <w:shd w:val="clear" w:color="auto" w:fill="auto"/>
            <w:vAlign w:val="bottom"/>
          </w:tcPr>
          <w:p w14:paraId="5DB0F778"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134</w:t>
            </w:r>
          </w:p>
        </w:tc>
        <w:tc>
          <w:tcPr>
            <w:tcW w:w="1440" w:type="dxa"/>
            <w:shd w:val="clear" w:color="auto" w:fill="auto"/>
            <w:vAlign w:val="bottom"/>
          </w:tcPr>
          <w:p w14:paraId="5DB0F779"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w:t>
            </w:r>
          </w:p>
        </w:tc>
        <w:tc>
          <w:tcPr>
            <w:tcW w:w="1260" w:type="dxa"/>
            <w:shd w:val="clear" w:color="auto" w:fill="auto"/>
            <w:vAlign w:val="bottom"/>
          </w:tcPr>
          <w:p w14:paraId="5DB0F77A"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5</w:t>
            </w:r>
          </w:p>
        </w:tc>
        <w:tc>
          <w:tcPr>
            <w:tcW w:w="1440" w:type="dxa"/>
            <w:shd w:val="clear" w:color="auto" w:fill="auto"/>
            <w:vAlign w:val="bottom"/>
          </w:tcPr>
          <w:p w14:paraId="5DB0F77B"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670</w:t>
            </w:r>
          </w:p>
        </w:tc>
      </w:tr>
      <w:tr w:rsidR="00522A8C" w:rsidRPr="00150B08" w14:paraId="5DB0F782" w14:textId="77777777" w:rsidTr="009F4060">
        <w:tc>
          <w:tcPr>
            <w:tcW w:w="4500" w:type="dxa"/>
            <w:shd w:val="clear" w:color="auto" w:fill="auto"/>
            <w:vAlign w:val="bottom"/>
          </w:tcPr>
          <w:p w14:paraId="5DB0F77D" w14:textId="77777777" w:rsidR="00522A8C" w:rsidRPr="00150B08" w:rsidRDefault="00522A8C" w:rsidP="009F4060">
            <w:pPr>
              <w:widowControl w:val="0"/>
              <w:autoSpaceDE w:val="0"/>
              <w:autoSpaceDN w:val="0"/>
              <w:adjustRightInd w:val="0"/>
              <w:rPr>
                <w:sz w:val="22"/>
                <w:szCs w:val="22"/>
              </w:rPr>
            </w:pPr>
            <w:r w:rsidRPr="00150B08">
              <w:rPr>
                <w:sz w:val="22"/>
                <w:szCs w:val="22"/>
              </w:rPr>
              <w:t xml:space="preserve">Posting of metrics for System Impact Studies </w:t>
            </w:r>
          </w:p>
        </w:tc>
        <w:tc>
          <w:tcPr>
            <w:tcW w:w="1496" w:type="dxa"/>
            <w:shd w:val="clear" w:color="auto" w:fill="auto"/>
            <w:vAlign w:val="bottom"/>
          </w:tcPr>
          <w:p w14:paraId="5DB0F77E"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134</w:t>
            </w:r>
          </w:p>
        </w:tc>
        <w:tc>
          <w:tcPr>
            <w:tcW w:w="1440" w:type="dxa"/>
            <w:shd w:val="clear" w:color="auto" w:fill="auto"/>
            <w:vAlign w:val="bottom"/>
          </w:tcPr>
          <w:p w14:paraId="5DB0F77F"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w:t>
            </w:r>
          </w:p>
        </w:tc>
        <w:tc>
          <w:tcPr>
            <w:tcW w:w="1260" w:type="dxa"/>
            <w:shd w:val="clear" w:color="auto" w:fill="auto"/>
            <w:vAlign w:val="bottom"/>
          </w:tcPr>
          <w:p w14:paraId="5DB0F780"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100</w:t>
            </w:r>
          </w:p>
        </w:tc>
        <w:tc>
          <w:tcPr>
            <w:tcW w:w="1440" w:type="dxa"/>
            <w:shd w:val="clear" w:color="auto" w:fill="auto"/>
            <w:vAlign w:val="bottom"/>
          </w:tcPr>
          <w:p w14:paraId="5DB0F781"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13,400</w:t>
            </w:r>
          </w:p>
        </w:tc>
      </w:tr>
      <w:tr w:rsidR="00522A8C" w:rsidRPr="00150B08" w14:paraId="5DB0F788" w14:textId="77777777" w:rsidTr="009F4060">
        <w:tc>
          <w:tcPr>
            <w:tcW w:w="4500" w:type="dxa"/>
            <w:shd w:val="clear" w:color="auto" w:fill="auto"/>
            <w:vAlign w:val="bottom"/>
          </w:tcPr>
          <w:p w14:paraId="5DB0F783" w14:textId="77777777" w:rsidR="00522A8C" w:rsidRPr="00150B08" w:rsidRDefault="00522A8C" w:rsidP="009F4060">
            <w:pPr>
              <w:widowControl w:val="0"/>
              <w:autoSpaceDE w:val="0"/>
              <w:autoSpaceDN w:val="0"/>
              <w:adjustRightInd w:val="0"/>
              <w:rPr>
                <w:sz w:val="22"/>
                <w:szCs w:val="22"/>
              </w:rPr>
            </w:pPr>
            <w:r w:rsidRPr="00150B08">
              <w:rPr>
                <w:sz w:val="22"/>
                <w:szCs w:val="22"/>
              </w:rPr>
              <w:t xml:space="preserve">Post all rules to OASIS </w:t>
            </w:r>
          </w:p>
        </w:tc>
        <w:tc>
          <w:tcPr>
            <w:tcW w:w="1496" w:type="dxa"/>
            <w:shd w:val="clear" w:color="auto" w:fill="auto"/>
            <w:vAlign w:val="bottom"/>
          </w:tcPr>
          <w:p w14:paraId="5DB0F784"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134</w:t>
            </w:r>
          </w:p>
        </w:tc>
        <w:tc>
          <w:tcPr>
            <w:tcW w:w="1440" w:type="dxa"/>
            <w:shd w:val="clear" w:color="auto" w:fill="auto"/>
            <w:vAlign w:val="bottom"/>
          </w:tcPr>
          <w:p w14:paraId="5DB0F785"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w:t>
            </w:r>
          </w:p>
        </w:tc>
        <w:tc>
          <w:tcPr>
            <w:tcW w:w="1260" w:type="dxa"/>
            <w:shd w:val="clear" w:color="auto" w:fill="auto"/>
            <w:vAlign w:val="bottom"/>
          </w:tcPr>
          <w:p w14:paraId="5DB0F786"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5</w:t>
            </w:r>
          </w:p>
        </w:tc>
        <w:tc>
          <w:tcPr>
            <w:tcW w:w="1440" w:type="dxa"/>
            <w:shd w:val="clear" w:color="auto" w:fill="auto"/>
            <w:vAlign w:val="bottom"/>
          </w:tcPr>
          <w:p w14:paraId="5DB0F787"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670</w:t>
            </w:r>
          </w:p>
        </w:tc>
      </w:tr>
      <w:tr w:rsidR="00522A8C" w:rsidRPr="00150B08" w14:paraId="5DB0F78E" w14:textId="77777777" w:rsidTr="009F4060">
        <w:tc>
          <w:tcPr>
            <w:tcW w:w="4500" w:type="dxa"/>
            <w:shd w:val="clear" w:color="auto" w:fill="auto"/>
            <w:vAlign w:val="bottom"/>
          </w:tcPr>
          <w:p w14:paraId="5DB0F789" w14:textId="77777777" w:rsidR="00522A8C" w:rsidRPr="00150B08" w:rsidRDefault="00522A8C" w:rsidP="009F4060">
            <w:pPr>
              <w:widowControl w:val="0"/>
              <w:autoSpaceDE w:val="0"/>
              <w:autoSpaceDN w:val="0"/>
              <w:adjustRightInd w:val="0"/>
              <w:rPr>
                <w:sz w:val="22"/>
                <w:szCs w:val="22"/>
              </w:rPr>
            </w:pPr>
            <w:r w:rsidRPr="00150B08">
              <w:rPr>
                <w:b/>
                <w:sz w:val="22"/>
                <w:szCs w:val="22"/>
              </w:rPr>
              <w:t>FERC-918 -- Recordkeeping Requirements</w:t>
            </w:r>
          </w:p>
        </w:tc>
        <w:tc>
          <w:tcPr>
            <w:tcW w:w="1496" w:type="dxa"/>
            <w:shd w:val="clear" w:color="auto" w:fill="auto"/>
            <w:vAlign w:val="bottom"/>
          </w:tcPr>
          <w:p w14:paraId="5DB0F78A"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134</w:t>
            </w:r>
          </w:p>
        </w:tc>
        <w:tc>
          <w:tcPr>
            <w:tcW w:w="1440" w:type="dxa"/>
            <w:shd w:val="clear" w:color="auto" w:fill="auto"/>
            <w:vAlign w:val="bottom"/>
          </w:tcPr>
          <w:p w14:paraId="5DB0F78B"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1</w:t>
            </w:r>
          </w:p>
        </w:tc>
        <w:tc>
          <w:tcPr>
            <w:tcW w:w="1260" w:type="dxa"/>
            <w:shd w:val="clear" w:color="auto" w:fill="auto"/>
            <w:vAlign w:val="bottom"/>
          </w:tcPr>
          <w:p w14:paraId="5DB0F78C"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40</w:t>
            </w:r>
          </w:p>
        </w:tc>
        <w:tc>
          <w:tcPr>
            <w:tcW w:w="1440" w:type="dxa"/>
            <w:shd w:val="clear" w:color="auto" w:fill="auto"/>
            <w:vAlign w:val="bottom"/>
          </w:tcPr>
          <w:p w14:paraId="5DB0F78D"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5,360</w:t>
            </w:r>
          </w:p>
        </w:tc>
      </w:tr>
      <w:tr w:rsidR="00522A8C" w:rsidRPr="00150B08" w14:paraId="5DB0F794" w14:textId="77777777" w:rsidTr="009F4060">
        <w:tc>
          <w:tcPr>
            <w:tcW w:w="4500" w:type="dxa"/>
            <w:shd w:val="clear" w:color="auto" w:fill="auto"/>
            <w:vAlign w:val="bottom"/>
          </w:tcPr>
          <w:p w14:paraId="5DB0F78F" w14:textId="77777777" w:rsidR="00522A8C" w:rsidRPr="00150B08" w:rsidRDefault="00522A8C" w:rsidP="009F4060">
            <w:pPr>
              <w:widowControl w:val="0"/>
              <w:autoSpaceDE w:val="0"/>
              <w:autoSpaceDN w:val="0"/>
              <w:adjustRightInd w:val="0"/>
              <w:jc w:val="right"/>
              <w:rPr>
                <w:b/>
                <w:sz w:val="22"/>
                <w:szCs w:val="22"/>
              </w:rPr>
            </w:pPr>
            <w:r w:rsidRPr="00150B08">
              <w:rPr>
                <w:b/>
                <w:sz w:val="22"/>
                <w:szCs w:val="22"/>
              </w:rPr>
              <w:t>FERC-918 -Sub Total of Part 37 Reporting Requirements</w:t>
            </w:r>
          </w:p>
        </w:tc>
        <w:tc>
          <w:tcPr>
            <w:tcW w:w="1496" w:type="dxa"/>
            <w:shd w:val="clear" w:color="auto" w:fill="auto"/>
            <w:vAlign w:val="bottom"/>
          </w:tcPr>
          <w:p w14:paraId="5DB0F790"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w:t>
            </w:r>
          </w:p>
        </w:tc>
        <w:tc>
          <w:tcPr>
            <w:tcW w:w="1440" w:type="dxa"/>
            <w:shd w:val="clear" w:color="auto" w:fill="auto"/>
            <w:vAlign w:val="bottom"/>
          </w:tcPr>
          <w:p w14:paraId="5DB0F791"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w:t>
            </w:r>
          </w:p>
        </w:tc>
        <w:tc>
          <w:tcPr>
            <w:tcW w:w="1260" w:type="dxa"/>
            <w:shd w:val="clear" w:color="auto" w:fill="auto"/>
            <w:vAlign w:val="bottom"/>
          </w:tcPr>
          <w:p w14:paraId="5DB0F792"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w:t>
            </w:r>
          </w:p>
        </w:tc>
        <w:tc>
          <w:tcPr>
            <w:tcW w:w="1440" w:type="dxa"/>
            <w:shd w:val="clear" w:color="auto" w:fill="auto"/>
            <w:vAlign w:val="bottom"/>
          </w:tcPr>
          <w:p w14:paraId="5DB0F793" w14:textId="77777777" w:rsidR="00522A8C" w:rsidRPr="00150B08" w:rsidRDefault="00522A8C" w:rsidP="009F4060">
            <w:pPr>
              <w:widowControl w:val="0"/>
              <w:autoSpaceDE w:val="0"/>
              <w:autoSpaceDN w:val="0"/>
              <w:adjustRightInd w:val="0"/>
              <w:jc w:val="right"/>
              <w:rPr>
                <w:b/>
                <w:sz w:val="22"/>
                <w:szCs w:val="22"/>
              </w:rPr>
            </w:pPr>
            <w:r w:rsidRPr="00150B08">
              <w:rPr>
                <w:b/>
                <w:sz w:val="22"/>
                <w:szCs w:val="22"/>
              </w:rPr>
              <w:t>57,620</w:t>
            </w:r>
          </w:p>
        </w:tc>
      </w:tr>
      <w:tr w:rsidR="00522A8C" w:rsidRPr="00150B08" w14:paraId="5DB0F79A" w14:textId="77777777" w:rsidTr="009F4060">
        <w:tc>
          <w:tcPr>
            <w:tcW w:w="4500" w:type="dxa"/>
            <w:shd w:val="clear" w:color="auto" w:fill="auto"/>
            <w:vAlign w:val="bottom"/>
          </w:tcPr>
          <w:p w14:paraId="5DB0F795" w14:textId="77777777" w:rsidR="00522A8C" w:rsidRPr="00150B08" w:rsidRDefault="00522A8C" w:rsidP="009F4060">
            <w:pPr>
              <w:widowControl w:val="0"/>
              <w:autoSpaceDE w:val="0"/>
              <w:autoSpaceDN w:val="0"/>
              <w:adjustRightInd w:val="0"/>
              <w:jc w:val="right"/>
              <w:rPr>
                <w:b/>
                <w:sz w:val="22"/>
                <w:szCs w:val="22"/>
              </w:rPr>
            </w:pPr>
            <w:r w:rsidRPr="00150B08">
              <w:rPr>
                <w:b/>
                <w:sz w:val="22"/>
                <w:szCs w:val="22"/>
              </w:rPr>
              <w:t>FERC-918 -- Sub Total of Reporting and Recordkeeping Requirements</w:t>
            </w:r>
          </w:p>
        </w:tc>
        <w:tc>
          <w:tcPr>
            <w:tcW w:w="1496" w:type="dxa"/>
            <w:shd w:val="clear" w:color="auto" w:fill="auto"/>
            <w:vAlign w:val="bottom"/>
          </w:tcPr>
          <w:p w14:paraId="5DB0F796"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w:t>
            </w:r>
          </w:p>
        </w:tc>
        <w:tc>
          <w:tcPr>
            <w:tcW w:w="1440" w:type="dxa"/>
            <w:shd w:val="clear" w:color="auto" w:fill="auto"/>
            <w:vAlign w:val="bottom"/>
          </w:tcPr>
          <w:p w14:paraId="5DB0F797"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w:t>
            </w:r>
          </w:p>
        </w:tc>
        <w:tc>
          <w:tcPr>
            <w:tcW w:w="1260" w:type="dxa"/>
            <w:shd w:val="clear" w:color="auto" w:fill="auto"/>
            <w:vAlign w:val="bottom"/>
          </w:tcPr>
          <w:p w14:paraId="5DB0F798"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w:t>
            </w:r>
          </w:p>
        </w:tc>
        <w:tc>
          <w:tcPr>
            <w:tcW w:w="1440" w:type="dxa"/>
            <w:shd w:val="clear" w:color="auto" w:fill="auto"/>
            <w:vAlign w:val="bottom"/>
          </w:tcPr>
          <w:p w14:paraId="5DB0F799" w14:textId="77777777" w:rsidR="00522A8C" w:rsidRPr="00150B08" w:rsidRDefault="00522A8C" w:rsidP="009F4060">
            <w:pPr>
              <w:widowControl w:val="0"/>
              <w:autoSpaceDE w:val="0"/>
              <w:autoSpaceDN w:val="0"/>
              <w:adjustRightInd w:val="0"/>
              <w:jc w:val="right"/>
              <w:rPr>
                <w:b/>
                <w:sz w:val="22"/>
                <w:szCs w:val="22"/>
              </w:rPr>
            </w:pPr>
            <w:r w:rsidRPr="00150B08">
              <w:rPr>
                <w:b/>
                <w:sz w:val="22"/>
                <w:szCs w:val="22"/>
              </w:rPr>
              <w:t>62,980</w:t>
            </w:r>
          </w:p>
        </w:tc>
      </w:tr>
      <w:tr w:rsidR="00522A8C" w:rsidRPr="00150B08" w14:paraId="5DB0F7A0" w14:textId="77777777" w:rsidTr="009F4060">
        <w:trPr>
          <w:trHeight w:val="908"/>
        </w:trPr>
        <w:tc>
          <w:tcPr>
            <w:tcW w:w="4500" w:type="dxa"/>
            <w:shd w:val="clear" w:color="auto" w:fill="auto"/>
            <w:vAlign w:val="bottom"/>
          </w:tcPr>
          <w:p w14:paraId="5DB0F79B" w14:textId="77777777" w:rsidR="00522A8C" w:rsidRPr="00150B08" w:rsidRDefault="00522A8C" w:rsidP="009F4060">
            <w:pPr>
              <w:widowControl w:val="0"/>
              <w:autoSpaceDE w:val="0"/>
              <w:autoSpaceDN w:val="0"/>
              <w:adjustRightInd w:val="0"/>
              <w:jc w:val="right"/>
              <w:rPr>
                <w:b/>
                <w:sz w:val="22"/>
                <w:szCs w:val="22"/>
              </w:rPr>
            </w:pPr>
            <w:r w:rsidRPr="00150B08">
              <w:rPr>
                <w:b/>
                <w:sz w:val="22"/>
                <w:szCs w:val="22"/>
              </w:rPr>
              <w:t>Total FERC-917 and FERC-918 (Part 35 + Part 37, Reporting and Recordkeeping Requirements)</w:t>
            </w:r>
          </w:p>
        </w:tc>
        <w:tc>
          <w:tcPr>
            <w:tcW w:w="1496" w:type="dxa"/>
            <w:shd w:val="clear" w:color="auto" w:fill="auto"/>
            <w:vAlign w:val="bottom"/>
          </w:tcPr>
          <w:p w14:paraId="5DB0F79C"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w:t>
            </w:r>
          </w:p>
        </w:tc>
        <w:tc>
          <w:tcPr>
            <w:tcW w:w="1440" w:type="dxa"/>
            <w:shd w:val="clear" w:color="auto" w:fill="auto"/>
            <w:vAlign w:val="bottom"/>
          </w:tcPr>
          <w:p w14:paraId="5DB0F79D"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w:t>
            </w:r>
          </w:p>
        </w:tc>
        <w:tc>
          <w:tcPr>
            <w:tcW w:w="1260" w:type="dxa"/>
            <w:shd w:val="clear" w:color="auto" w:fill="auto"/>
            <w:vAlign w:val="bottom"/>
          </w:tcPr>
          <w:p w14:paraId="5DB0F79E" w14:textId="77777777" w:rsidR="00522A8C" w:rsidRPr="00150B08" w:rsidRDefault="00522A8C" w:rsidP="009F4060">
            <w:pPr>
              <w:widowControl w:val="0"/>
              <w:autoSpaceDE w:val="0"/>
              <w:autoSpaceDN w:val="0"/>
              <w:adjustRightInd w:val="0"/>
              <w:jc w:val="right"/>
              <w:rPr>
                <w:sz w:val="22"/>
                <w:szCs w:val="22"/>
              </w:rPr>
            </w:pPr>
            <w:r w:rsidRPr="00150B08">
              <w:rPr>
                <w:sz w:val="22"/>
                <w:szCs w:val="22"/>
              </w:rPr>
              <w:t>-</w:t>
            </w:r>
          </w:p>
        </w:tc>
        <w:tc>
          <w:tcPr>
            <w:tcW w:w="1440" w:type="dxa"/>
            <w:shd w:val="clear" w:color="auto" w:fill="auto"/>
            <w:vAlign w:val="bottom"/>
          </w:tcPr>
          <w:p w14:paraId="5DB0F79F" w14:textId="77777777" w:rsidR="00522A8C" w:rsidRPr="00150B08" w:rsidRDefault="00522A8C" w:rsidP="009F4060">
            <w:pPr>
              <w:widowControl w:val="0"/>
              <w:autoSpaceDE w:val="0"/>
              <w:autoSpaceDN w:val="0"/>
              <w:adjustRightInd w:val="0"/>
              <w:jc w:val="right"/>
              <w:rPr>
                <w:b/>
                <w:sz w:val="22"/>
                <w:szCs w:val="22"/>
              </w:rPr>
            </w:pPr>
            <w:r w:rsidRPr="00150B08">
              <w:rPr>
                <w:b/>
                <w:sz w:val="22"/>
                <w:szCs w:val="22"/>
              </w:rPr>
              <w:t>131,454</w:t>
            </w:r>
          </w:p>
        </w:tc>
      </w:tr>
    </w:tbl>
    <w:p w14:paraId="5DB0F7A1" w14:textId="77777777" w:rsidR="005535D4" w:rsidRDefault="005535D4" w:rsidP="002E3314">
      <w:pPr>
        <w:spacing w:line="480" w:lineRule="auto"/>
        <w:ind w:firstLine="720"/>
      </w:pPr>
    </w:p>
    <w:p w14:paraId="5DB0F7A2" w14:textId="77777777" w:rsidR="001C75B2" w:rsidRDefault="003820D6" w:rsidP="00D225FB">
      <w:pPr>
        <w:spacing w:line="480" w:lineRule="auto"/>
      </w:pPr>
      <w:r>
        <w:rPr>
          <w:i/>
        </w:rPr>
        <w:t xml:space="preserve">Comments:  </w:t>
      </w:r>
      <w:r>
        <w:t>Comments are invited on:  (1) whether the collection of information is necessary for the proper performance of the functions of the Commission, including whether the information will have practical utility; (2) the accuracy of the agency's estimate of the burden</w:t>
      </w:r>
      <w:r w:rsidR="00D225FB">
        <w:t xml:space="preserve"> and cost</w:t>
      </w:r>
      <w:r>
        <w:t xml:space="preserve">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14:paraId="5DB0F7A7" w14:textId="59AC7925" w:rsidR="0078241C" w:rsidRDefault="0078241C" w:rsidP="00211E79"/>
    <w:p w14:paraId="48B077E0" w14:textId="683EFF19" w:rsidR="00211E79" w:rsidRDefault="00211E79" w:rsidP="00211E79"/>
    <w:p w14:paraId="53CD4A3B" w14:textId="39739DF0" w:rsidR="00211E79" w:rsidRDefault="00211E79" w:rsidP="00211E79"/>
    <w:p w14:paraId="237EDDDA" w14:textId="460A45B7" w:rsidR="00211E79" w:rsidRDefault="00211E79" w:rsidP="00211E79"/>
    <w:p w14:paraId="13214ACF" w14:textId="66DFF43C" w:rsidR="00211E79" w:rsidRPr="00211E79" w:rsidRDefault="00211E79" w:rsidP="00211E79">
      <w:pPr>
        <w:ind w:firstLine="2174"/>
        <w:jc w:val="center"/>
      </w:pPr>
      <w:r w:rsidRPr="00211E79">
        <w:t>Kimberly D. Bose,</w:t>
      </w:r>
    </w:p>
    <w:p w14:paraId="12B6359C" w14:textId="38A999D5" w:rsidR="00211E79" w:rsidRPr="00211E79" w:rsidRDefault="00211E79" w:rsidP="00211E79">
      <w:pPr>
        <w:ind w:firstLine="2174"/>
        <w:jc w:val="center"/>
      </w:pPr>
      <w:r w:rsidRPr="00211E79">
        <w:t>Secretary.</w:t>
      </w:r>
    </w:p>
    <w:p w14:paraId="236E9980" w14:textId="77777777" w:rsidR="00211E79" w:rsidRDefault="00211E79" w:rsidP="00211E79"/>
    <w:sectPr w:rsidR="00211E79" w:rsidSect="00190EB5">
      <w:headerReference w:type="even" r:id="rId18"/>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7CA6B" w14:textId="77777777" w:rsidR="006C4628" w:rsidRDefault="006C4628">
      <w:r>
        <w:separator/>
      </w:r>
    </w:p>
  </w:endnote>
  <w:endnote w:type="continuationSeparator" w:id="0">
    <w:p w14:paraId="7F166D69" w14:textId="77777777" w:rsidR="006C4628" w:rsidRDefault="006C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1E9D3" w14:textId="77777777" w:rsidR="006C4628" w:rsidRDefault="006C4628">
      <w:r>
        <w:separator/>
      </w:r>
    </w:p>
  </w:footnote>
  <w:footnote w:type="continuationSeparator" w:id="0">
    <w:p w14:paraId="3DCD3534" w14:textId="77777777" w:rsidR="006C4628" w:rsidRDefault="006C4628">
      <w:r>
        <w:continuationSeparator/>
      </w:r>
    </w:p>
  </w:footnote>
  <w:footnote w:id="1">
    <w:p w14:paraId="5DB0F7B0" w14:textId="66D94572" w:rsidR="00162E79" w:rsidRDefault="00162E79" w:rsidP="00211E79">
      <w:pPr>
        <w:pStyle w:val="FootnoteText"/>
        <w:ind w:firstLine="720"/>
        <w:rPr>
          <w:sz w:val="26"/>
          <w:szCs w:val="26"/>
        </w:rPr>
      </w:pPr>
      <w:r w:rsidRPr="00211E79">
        <w:rPr>
          <w:rStyle w:val="FootnoteReference"/>
        </w:rPr>
        <w:footnoteRef/>
      </w:r>
      <w:r w:rsidRPr="00211E79">
        <w:rPr>
          <w:sz w:val="26"/>
          <w:szCs w:val="26"/>
        </w:rPr>
        <w:t xml:space="preserve"> </w:t>
      </w:r>
      <w:r w:rsidR="00211E79" w:rsidRPr="00211E79">
        <w:rPr>
          <w:sz w:val="26"/>
          <w:szCs w:val="26"/>
        </w:rPr>
        <w:t xml:space="preserve"> </w:t>
      </w:r>
      <w:r w:rsidRPr="00211E79">
        <w:rPr>
          <w:sz w:val="26"/>
          <w:szCs w:val="26"/>
        </w:rPr>
        <w:t>Final Rule in Docket Nos. RM05-17-000 and RM05-25-000, issued 2/16/2007</w:t>
      </w:r>
      <w:r w:rsidR="00211E79">
        <w:rPr>
          <w:sz w:val="26"/>
          <w:szCs w:val="26"/>
        </w:rPr>
        <w:t>.</w:t>
      </w:r>
    </w:p>
    <w:p w14:paraId="3F70D647" w14:textId="77777777" w:rsidR="00211E79" w:rsidRPr="00211E79" w:rsidRDefault="00211E79" w:rsidP="00211E79">
      <w:pPr>
        <w:pStyle w:val="FootnoteText"/>
        <w:ind w:firstLine="720"/>
        <w:rPr>
          <w:sz w:val="26"/>
          <w:szCs w:val="26"/>
        </w:rPr>
      </w:pPr>
    </w:p>
  </w:footnote>
  <w:footnote w:id="2">
    <w:p w14:paraId="5DB0F7B1" w14:textId="5A20B593" w:rsidR="00162E79" w:rsidRPr="00211E79" w:rsidRDefault="00162E79" w:rsidP="00211E79">
      <w:pPr>
        <w:pStyle w:val="FootnoteText"/>
        <w:ind w:firstLine="720"/>
        <w:rPr>
          <w:sz w:val="26"/>
          <w:szCs w:val="26"/>
        </w:rPr>
      </w:pPr>
      <w:r w:rsidRPr="00211E79">
        <w:rPr>
          <w:rStyle w:val="FootnoteReference"/>
        </w:rPr>
        <w:footnoteRef/>
      </w:r>
      <w:r w:rsidRPr="00211E79">
        <w:rPr>
          <w:sz w:val="26"/>
          <w:szCs w:val="26"/>
        </w:rPr>
        <w:t xml:space="preserve"> </w:t>
      </w:r>
      <w:r w:rsidR="00211E79" w:rsidRPr="00211E79">
        <w:rPr>
          <w:sz w:val="26"/>
          <w:szCs w:val="26"/>
        </w:rPr>
        <w:t xml:space="preserve"> </w:t>
      </w:r>
      <w:r w:rsidRPr="00211E79">
        <w:rPr>
          <w:sz w:val="26"/>
          <w:szCs w:val="26"/>
        </w:rPr>
        <w:t>Promoting Wholesale Competition Through Open Access Non-discriminatory Transmission Services by Public Utilities; Recovery of Stranded Costs by Public Utilities and Transmitting Utilities, Order No. 888, 61 FR 21540 (May 10, 1996), FERC Stats. &amp; Regs. ¶ 31,036 (1996), order on reh’g, Order No. 888-A, 62 FR 12274 (Mar. 14, 1997), FERC Stats. &amp; Regs. ¶ 31,048 (1997), order on reh’g, Order No. 888-B, 81 FERC ¶ 61,248 (1997), order on reh’g, Order No. 888-C, 82 FERC ¶ 61,046 (1998), aff’d in relevant part sub nom. Transmission Access Policy Study Group v. FERC, 225 F.3d 667 (D.C. Cir. 2000), aff’d sub nom. New York v. FERC, 535 U.S. 1 (2002).</w:t>
      </w:r>
    </w:p>
  </w:footnote>
  <w:footnote w:id="3">
    <w:p w14:paraId="5DB0F7B2" w14:textId="77777777" w:rsidR="00162E79" w:rsidRPr="00211E79" w:rsidRDefault="00162E79" w:rsidP="00211E79">
      <w:pPr>
        <w:pStyle w:val="FootnoteText"/>
        <w:ind w:firstLine="720"/>
        <w:rPr>
          <w:sz w:val="26"/>
          <w:szCs w:val="26"/>
        </w:rPr>
      </w:pPr>
      <w:r w:rsidRPr="00211E79">
        <w:rPr>
          <w:rStyle w:val="FootnoteReference"/>
        </w:rPr>
        <w:footnoteRef/>
      </w:r>
      <w:r w:rsidRPr="00211E79">
        <w:rPr>
          <w:sz w:val="26"/>
          <w:szCs w:val="26"/>
        </w:rPr>
        <w:t xml:space="preserve"> NAESB is the North American Energy Standards Board.</w:t>
      </w:r>
    </w:p>
  </w:footnote>
  <w:footnote w:id="4">
    <w:p w14:paraId="5DB0F7B3" w14:textId="4A5F273B" w:rsidR="005535D4" w:rsidRPr="00211E79" w:rsidRDefault="005535D4" w:rsidP="00211E79">
      <w:pPr>
        <w:pStyle w:val="FootnoteText"/>
        <w:ind w:firstLine="720"/>
        <w:rPr>
          <w:sz w:val="26"/>
          <w:szCs w:val="26"/>
        </w:rPr>
      </w:pPr>
      <w:r w:rsidRPr="00211E79">
        <w:rPr>
          <w:rStyle w:val="FootnoteReference"/>
        </w:rPr>
        <w:footnoteRef/>
      </w:r>
      <w:r w:rsidRPr="00211E79">
        <w:rPr>
          <w:sz w:val="26"/>
          <w:szCs w:val="26"/>
        </w:rPr>
        <w:t xml:space="preserve"> </w:t>
      </w:r>
      <w:r w:rsidR="00211E79" w:rsidRPr="00211E79">
        <w:rPr>
          <w:sz w:val="26"/>
          <w:szCs w:val="26"/>
        </w:rPr>
        <w:t xml:space="preserve"> </w:t>
      </w:r>
      <w:r w:rsidRPr="00211E79">
        <w:rPr>
          <w:sz w:val="26"/>
          <w:szCs w:val="26"/>
        </w:rPr>
        <w:t>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5">
    <w:p w14:paraId="5DB0F7B4" w14:textId="7D950053" w:rsidR="00522A8C" w:rsidRPr="00211E79" w:rsidRDefault="00522A8C" w:rsidP="00211E79">
      <w:pPr>
        <w:pStyle w:val="FootnoteText"/>
        <w:ind w:firstLine="720"/>
        <w:rPr>
          <w:sz w:val="26"/>
          <w:szCs w:val="26"/>
        </w:rPr>
      </w:pPr>
      <w:r w:rsidRPr="00211E79">
        <w:rPr>
          <w:rStyle w:val="FootnoteReference"/>
        </w:rPr>
        <w:footnoteRef/>
      </w:r>
      <w:r w:rsidRPr="00211E79">
        <w:rPr>
          <w:sz w:val="26"/>
          <w:szCs w:val="26"/>
        </w:rPr>
        <w:t xml:space="preserve"> </w:t>
      </w:r>
      <w:r w:rsidR="00211E79" w:rsidRPr="00211E79">
        <w:rPr>
          <w:sz w:val="26"/>
          <w:szCs w:val="26"/>
        </w:rPr>
        <w:t xml:space="preserve"> </w:t>
      </w:r>
      <w:r w:rsidRPr="00211E79">
        <w:rPr>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0F7AC"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1E79">
      <w:rPr>
        <w:rStyle w:val="PageNumber"/>
        <w:noProof/>
      </w:rPr>
      <w:t>8</w:t>
    </w:r>
    <w:r>
      <w:rPr>
        <w:rStyle w:val="PageNumber"/>
      </w:rPr>
      <w:fldChar w:fldCharType="end"/>
    </w:r>
  </w:p>
  <w:p w14:paraId="5DB0F7AD" w14:textId="77777777" w:rsidR="009A6D11" w:rsidRDefault="009A6D11" w:rsidP="0096632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0F7AE"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5D04">
      <w:rPr>
        <w:rStyle w:val="PageNumber"/>
        <w:noProof/>
      </w:rPr>
      <w:t>2</w:t>
    </w:r>
    <w:r>
      <w:rPr>
        <w:rStyle w:val="PageNumber"/>
      </w:rPr>
      <w:fldChar w:fldCharType="end"/>
    </w:r>
  </w:p>
  <w:p w14:paraId="5DB0F7AF" w14:textId="77777777" w:rsidR="009A6D11" w:rsidRDefault="009A6D11" w:rsidP="0096632C">
    <w:pPr>
      <w:pStyle w:val="Header"/>
      <w:ind w:right="360"/>
    </w:pPr>
    <w:r w:rsidRPr="00F47F38">
      <w:t xml:space="preserve">Docket No. </w:t>
    </w:r>
    <w:r w:rsidR="00F47F38" w:rsidRPr="00F47F38">
      <w:t>IC18-5</w:t>
    </w:r>
    <w:r w:rsidRPr="00F47F38">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1F364D8"/>
    <w:multiLevelType w:val="hybridMultilevel"/>
    <w:tmpl w:val="EFD42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nsid w:val="432C2F39"/>
    <w:multiLevelType w:val="hybridMultilevel"/>
    <w:tmpl w:val="B5EC8C58"/>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8C52184"/>
    <w:multiLevelType w:val="hybridMultilevel"/>
    <w:tmpl w:val="F26A6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D14DD5"/>
    <w:multiLevelType w:val="hybridMultilevel"/>
    <w:tmpl w:val="315AC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B2"/>
    <w:rsid w:val="0000007C"/>
    <w:rsid w:val="0000305D"/>
    <w:rsid w:val="00004D97"/>
    <w:rsid w:val="00011BBD"/>
    <w:rsid w:val="00014E36"/>
    <w:rsid w:val="000253DB"/>
    <w:rsid w:val="000324CD"/>
    <w:rsid w:val="00036FEC"/>
    <w:rsid w:val="00041471"/>
    <w:rsid w:val="00043468"/>
    <w:rsid w:val="000436E9"/>
    <w:rsid w:val="0006335A"/>
    <w:rsid w:val="00072256"/>
    <w:rsid w:val="00072448"/>
    <w:rsid w:val="00080D5F"/>
    <w:rsid w:val="000838BE"/>
    <w:rsid w:val="000854B7"/>
    <w:rsid w:val="00093E92"/>
    <w:rsid w:val="00095258"/>
    <w:rsid w:val="000A27CA"/>
    <w:rsid w:val="000A5308"/>
    <w:rsid w:val="000A5D04"/>
    <w:rsid w:val="000B723A"/>
    <w:rsid w:val="000C56A4"/>
    <w:rsid w:val="000D3639"/>
    <w:rsid w:val="000D5216"/>
    <w:rsid w:val="000F0729"/>
    <w:rsid w:val="000F3E00"/>
    <w:rsid w:val="00103D50"/>
    <w:rsid w:val="00114B14"/>
    <w:rsid w:val="00121C3B"/>
    <w:rsid w:val="001240FD"/>
    <w:rsid w:val="00125F00"/>
    <w:rsid w:val="00141742"/>
    <w:rsid w:val="00146422"/>
    <w:rsid w:val="00146600"/>
    <w:rsid w:val="00146B5E"/>
    <w:rsid w:val="001470C0"/>
    <w:rsid w:val="00150CA6"/>
    <w:rsid w:val="00157960"/>
    <w:rsid w:val="00162E79"/>
    <w:rsid w:val="00172C34"/>
    <w:rsid w:val="00176D66"/>
    <w:rsid w:val="00181F00"/>
    <w:rsid w:val="00190EB5"/>
    <w:rsid w:val="0019407A"/>
    <w:rsid w:val="0019691F"/>
    <w:rsid w:val="00197F14"/>
    <w:rsid w:val="001A29CA"/>
    <w:rsid w:val="001A4577"/>
    <w:rsid w:val="001A5E0A"/>
    <w:rsid w:val="001B40FA"/>
    <w:rsid w:val="001B49BD"/>
    <w:rsid w:val="001C3324"/>
    <w:rsid w:val="001C4D3A"/>
    <w:rsid w:val="001C5D46"/>
    <w:rsid w:val="001C75B2"/>
    <w:rsid w:val="001E3ECE"/>
    <w:rsid w:val="001E69DB"/>
    <w:rsid w:val="001F0B06"/>
    <w:rsid w:val="001F0E50"/>
    <w:rsid w:val="001F2664"/>
    <w:rsid w:val="001F47CB"/>
    <w:rsid w:val="00204D0F"/>
    <w:rsid w:val="00211E79"/>
    <w:rsid w:val="00226146"/>
    <w:rsid w:val="002265E9"/>
    <w:rsid w:val="00252CD0"/>
    <w:rsid w:val="002677D6"/>
    <w:rsid w:val="00285E62"/>
    <w:rsid w:val="0028677A"/>
    <w:rsid w:val="0029476E"/>
    <w:rsid w:val="00296592"/>
    <w:rsid w:val="002A6174"/>
    <w:rsid w:val="002B62A0"/>
    <w:rsid w:val="002C0ECB"/>
    <w:rsid w:val="002C23E9"/>
    <w:rsid w:val="002E2667"/>
    <w:rsid w:val="002E3314"/>
    <w:rsid w:val="002F1283"/>
    <w:rsid w:val="002F5FB8"/>
    <w:rsid w:val="003178F3"/>
    <w:rsid w:val="00317A96"/>
    <w:rsid w:val="00321EB8"/>
    <w:rsid w:val="00323139"/>
    <w:rsid w:val="00335092"/>
    <w:rsid w:val="00341866"/>
    <w:rsid w:val="00356E26"/>
    <w:rsid w:val="003575F3"/>
    <w:rsid w:val="00366669"/>
    <w:rsid w:val="00370763"/>
    <w:rsid w:val="00374409"/>
    <w:rsid w:val="00381700"/>
    <w:rsid w:val="003820D6"/>
    <w:rsid w:val="00386BED"/>
    <w:rsid w:val="003A1D7A"/>
    <w:rsid w:val="003C1644"/>
    <w:rsid w:val="003C1F91"/>
    <w:rsid w:val="003D0480"/>
    <w:rsid w:val="003D6813"/>
    <w:rsid w:val="003F32A9"/>
    <w:rsid w:val="00414715"/>
    <w:rsid w:val="004230B0"/>
    <w:rsid w:val="00423C49"/>
    <w:rsid w:val="0042785C"/>
    <w:rsid w:val="00432C41"/>
    <w:rsid w:val="0044362C"/>
    <w:rsid w:val="00445DDF"/>
    <w:rsid w:val="00453F74"/>
    <w:rsid w:val="00455A33"/>
    <w:rsid w:val="00470106"/>
    <w:rsid w:val="004721F3"/>
    <w:rsid w:val="0047321C"/>
    <w:rsid w:val="004757BF"/>
    <w:rsid w:val="004855F2"/>
    <w:rsid w:val="00487256"/>
    <w:rsid w:val="00490E50"/>
    <w:rsid w:val="004A51DF"/>
    <w:rsid w:val="004A6E59"/>
    <w:rsid w:val="004B58B3"/>
    <w:rsid w:val="004C3BB0"/>
    <w:rsid w:val="004D1EE5"/>
    <w:rsid w:val="004D4CD3"/>
    <w:rsid w:val="004D53C3"/>
    <w:rsid w:val="004D778A"/>
    <w:rsid w:val="004E0D59"/>
    <w:rsid w:val="004F3E67"/>
    <w:rsid w:val="0050437A"/>
    <w:rsid w:val="00515CA5"/>
    <w:rsid w:val="00517B18"/>
    <w:rsid w:val="00522A8C"/>
    <w:rsid w:val="00524B22"/>
    <w:rsid w:val="0053019B"/>
    <w:rsid w:val="00530BB4"/>
    <w:rsid w:val="005320C7"/>
    <w:rsid w:val="00534B97"/>
    <w:rsid w:val="0054477B"/>
    <w:rsid w:val="00551B13"/>
    <w:rsid w:val="005521E7"/>
    <w:rsid w:val="005535D4"/>
    <w:rsid w:val="00556AC8"/>
    <w:rsid w:val="005665D1"/>
    <w:rsid w:val="0058734A"/>
    <w:rsid w:val="005916D2"/>
    <w:rsid w:val="00592AD7"/>
    <w:rsid w:val="00594550"/>
    <w:rsid w:val="005953A4"/>
    <w:rsid w:val="005A02C5"/>
    <w:rsid w:val="005A6D8E"/>
    <w:rsid w:val="005B0E46"/>
    <w:rsid w:val="005B788B"/>
    <w:rsid w:val="005C7047"/>
    <w:rsid w:val="005D0272"/>
    <w:rsid w:val="005E6B6B"/>
    <w:rsid w:val="005F533D"/>
    <w:rsid w:val="006070B9"/>
    <w:rsid w:val="00617E46"/>
    <w:rsid w:val="0062025E"/>
    <w:rsid w:val="00625882"/>
    <w:rsid w:val="006276C9"/>
    <w:rsid w:val="006400D4"/>
    <w:rsid w:val="00644093"/>
    <w:rsid w:val="0065768D"/>
    <w:rsid w:val="006615E1"/>
    <w:rsid w:val="0068483B"/>
    <w:rsid w:val="0069142C"/>
    <w:rsid w:val="00695504"/>
    <w:rsid w:val="006A2074"/>
    <w:rsid w:val="006A2801"/>
    <w:rsid w:val="006A4D89"/>
    <w:rsid w:val="006B4821"/>
    <w:rsid w:val="006C4628"/>
    <w:rsid w:val="006C57B1"/>
    <w:rsid w:val="006D4F8F"/>
    <w:rsid w:val="006D549E"/>
    <w:rsid w:val="006E6000"/>
    <w:rsid w:val="006E7FB0"/>
    <w:rsid w:val="006F4A80"/>
    <w:rsid w:val="006F53CD"/>
    <w:rsid w:val="006F77BE"/>
    <w:rsid w:val="0070048D"/>
    <w:rsid w:val="00703DFC"/>
    <w:rsid w:val="0070558B"/>
    <w:rsid w:val="007105E7"/>
    <w:rsid w:val="00710A04"/>
    <w:rsid w:val="0071251E"/>
    <w:rsid w:val="00720B54"/>
    <w:rsid w:val="00720E07"/>
    <w:rsid w:val="00725908"/>
    <w:rsid w:val="0072643A"/>
    <w:rsid w:val="00746D53"/>
    <w:rsid w:val="00764A91"/>
    <w:rsid w:val="0076589D"/>
    <w:rsid w:val="00766823"/>
    <w:rsid w:val="007726D7"/>
    <w:rsid w:val="00773856"/>
    <w:rsid w:val="00775D65"/>
    <w:rsid w:val="0078241C"/>
    <w:rsid w:val="007957B9"/>
    <w:rsid w:val="007A46B4"/>
    <w:rsid w:val="007A5C4A"/>
    <w:rsid w:val="007B03E0"/>
    <w:rsid w:val="007D2400"/>
    <w:rsid w:val="007D4A4A"/>
    <w:rsid w:val="007E52AC"/>
    <w:rsid w:val="007E6973"/>
    <w:rsid w:val="007E699A"/>
    <w:rsid w:val="007E7573"/>
    <w:rsid w:val="007F4F94"/>
    <w:rsid w:val="007F7E3C"/>
    <w:rsid w:val="008004A4"/>
    <w:rsid w:val="008024B2"/>
    <w:rsid w:val="00804E53"/>
    <w:rsid w:val="00822C8E"/>
    <w:rsid w:val="00827DA2"/>
    <w:rsid w:val="0083270A"/>
    <w:rsid w:val="00834B9E"/>
    <w:rsid w:val="00841CCE"/>
    <w:rsid w:val="00852671"/>
    <w:rsid w:val="00855434"/>
    <w:rsid w:val="0085560E"/>
    <w:rsid w:val="008647BA"/>
    <w:rsid w:val="00865E72"/>
    <w:rsid w:val="0087254C"/>
    <w:rsid w:val="008814F7"/>
    <w:rsid w:val="00891E91"/>
    <w:rsid w:val="00893FB3"/>
    <w:rsid w:val="008956A4"/>
    <w:rsid w:val="008B5814"/>
    <w:rsid w:val="008D7DF2"/>
    <w:rsid w:val="008E4CB7"/>
    <w:rsid w:val="008F5806"/>
    <w:rsid w:val="009060B1"/>
    <w:rsid w:val="00906BFB"/>
    <w:rsid w:val="00911C95"/>
    <w:rsid w:val="009124A0"/>
    <w:rsid w:val="009131BC"/>
    <w:rsid w:val="0091686D"/>
    <w:rsid w:val="00924B80"/>
    <w:rsid w:val="00937BCD"/>
    <w:rsid w:val="00944ACD"/>
    <w:rsid w:val="00956FF9"/>
    <w:rsid w:val="009606D1"/>
    <w:rsid w:val="00961DAE"/>
    <w:rsid w:val="0096632C"/>
    <w:rsid w:val="00967943"/>
    <w:rsid w:val="0097434D"/>
    <w:rsid w:val="00977E05"/>
    <w:rsid w:val="00991D87"/>
    <w:rsid w:val="00994B38"/>
    <w:rsid w:val="009A61E8"/>
    <w:rsid w:val="009A6D11"/>
    <w:rsid w:val="009B7DFA"/>
    <w:rsid w:val="009E030D"/>
    <w:rsid w:val="009E1DA1"/>
    <w:rsid w:val="009F4060"/>
    <w:rsid w:val="009F4AB4"/>
    <w:rsid w:val="009F71DC"/>
    <w:rsid w:val="00A0763E"/>
    <w:rsid w:val="00A15BF1"/>
    <w:rsid w:val="00A34319"/>
    <w:rsid w:val="00A34518"/>
    <w:rsid w:val="00A35158"/>
    <w:rsid w:val="00A4355D"/>
    <w:rsid w:val="00A43DCA"/>
    <w:rsid w:val="00A51FCA"/>
    <w:rsid w:val="00A536DA"/>
    <w:rsid w:val="00A56980"/>
    <w:rsid w:val="00A60681"/>
    <w:rsid w:val="00A72F11"/>
    <w:rsid w:val="00A96311"/>
    <w:rsid w:val="00A9631E"/>
    <w:rsid w:val="00AA7819"/>
    <w:rsid w:val="00AB0A99"/>
    <w:rsid w:val="00AB20D8"/>
    <w:rsid w:val="00AB58C3"/>
    <w:rsid w:val="00AC4CC5"/>
    <w:rsid w:val="00AC7480"/>
    <w:rsid w:val="00AE0995"/>
    <w:rsid w:val="00AF06CA"/>
    <w:rsid w:val="00AF4F93"/>
    <w:rsid w:val="00B018B9"/>
    <w:rsid w:val="00B2244D"/>
    <w:rsid w:val="00B3254F"/>
    <w:rsid w:val="00B33628"/>
    <w:rsid w:val="00B337D1"/>
    <w:rsid w:val="00B4431A"/>
    <w:rsid w:val="00B460AF"/>
    <w:rsid w:val="00B62B35"/>
    <w:rsid w:val="00B710EA"/>
    <w:rsid w:val="00B75595"/>
    <w:rsid w:val="00B806DB"/>
    <w:rsid w:val="00B81BC5"/>
    <w:rsid w:val="00B835C5"/>
    <w:rsid w:val="00B87F46"/>
    <w:rsid w:val="00B97BC8"/>
    <w:rsid w:val="00BB1C54"/>
    <w:rsid w:val="00BC1B93"/>
    <w:rsid w:val="00BD0A6B"/>
    <w:rsid w:val="00BD15D4"/>
    <w:rsid w:val="00BF144D"/>
    <w:rsid w:val="00BF7982"/>
    <w:rsid w:val="00C01B8E"/>
    <w:rsid w:val="00C0217E"/>
    <w:rsid w:val="00C0487E"/>
    <w:rsid w:val="00C1080B"/>
    <w:rsid w:val="00C14CA1"/>
    <w:rsid w:val="00C209EA"/>
    <w:rsid w:val="00C20BA6"/>
    <w:rsid w:val="00C211B3"/>
    <w:rsid w:val="00C3310F"/>
    <w:rsid w:val="00C33BBC"/>
    <w:rsid w:val="00C41350"/>
    <w:rsid w:val="00C446C7"/>
    <w:rsid w:val="00C4788A"/>
    <w:rsid w:val="00C63FEE"/>
    <w:rsid w:val="00C70D6C"/>
    <w:rsid w:val="00C71F08"/>
    <w:rsid w:val="00C856C1"/>
    <w:rsid w:val="00C921DC"/>
    <w:rsid w:val="00C936A0"/>
    <w:rsid w:val="00C950B8"/>
    <w:rsid w:val="00C9728E"/>
    <w:rsid w:val="00CA5395"/>
    <w:rsid w:val="00CA582B"/>
    <w:rsid w:val="00CA5D25"/>
    <w:rsid w:val="00CB10EF"/>
    <w:rsid w:val="00CC084C"/>
    <w:rsid w:val="00CC2DF1"/>
    <w:rsid w:val="00CC312A"/>
    <w:rsid w:val="00CC5DDE"/>
    <w:rsid w:val="00CC74B4"/>
    <w:rsid w:val="00CD31E5"/>
    <w:rsid w:val="00CD538C"/>
    <w:rsid w:val="00CE0EF2"/>
    <w:rsid w:val="00CF0A7E"/>
    <w:rsid w:val="00CF5B9A"/>
    <w:rsid w:val="00D02D61"/>
    <w:rsid w:val="00D225FB"/>
    <w:rsid w:val="00D23599"/>
    <w:rsid w:val="00D33436"/>
    <w:rsid w:val="00D43998"/>
    <w:rsid w:val="00D47828"/>
    <w:rsid w:val="00D579BC"/>
    <w:rsid w:val="00D63C82"/>
    <w:rsid w:val="00D67693"/>
    <w:rsid w:val="00D70310"/>
    <w:rsid w:val="00D76C1B"/>
    <w:rsid w:val="00D77890"/>
    <w:rsid w:val="00D87C24"/>
    <w:rsid w:val="00D90CBF"/>
    <w:rsid w:val="00D90F48"/>
    <w:rsid w:val="00D9166B"/>
    <w:rsid w:val="00D92CB4"/>
    <w:rsid w:val="00D93E95"/>
    <w:rsid w:val="00D94313"/>
    <w:rsid w:val="00DA6F3C"/>
    <w:rsid w:val="00DB44CE"/>
    <w:rsid w:val="00DC09DD"/>
    <w:rsid w:val="00DC0CCD"/>
    <w:rsid w:val="00DC2ABA"/>
    <w:rsid w:val="00DD02E8"/>
    <w:rsid w:val="00DD3E84"/>
    <w:rsid w:val="00DF281F"/>
    <w:rsid w:val="00DF3DC8"/>
    <w:rsid w:val="00DF57D1"/>
    <w:rsid w:val="00E027CE"/>
    <w:rsid w:val="00E0745C"/>
    <w:rsid w:val="00E102DA"/>
    <w:rsid w:val="00E2091C"/>
    <w:rsid w:val="00E310B1"/>
    <w:rsid w:val="00E35ECB"/>
    <w:rsid w:val="00E4230F"/>
    <w:rsid w:val="00E436DC"/>
    <w:rsid w:val="00E43FF3"/>
    <w:rsid w:val="00E50D73"/>
    <w:rsid w:val="00E52021"/>
    <w:rsid w:val="00E521EB"/>
    <w:rsid w:val="00E57F5B"/>
    <w:rsid w:val="00E57FC8"/>
    <w:rsid w:val="00E60318"/>
    <w:rsid w:val="00E6445A"/>
    <w:rsid w:val="00E6573E"/>
    <w:rsid w:val="00E81A67"/>
    <w:rsid w:val="00E92ACF"/>
    <w:rsid w:val="00E94542"/>
    <w:rsid w:val="00E9701C"/>
    <w:rsid w:val="00EA07A3"/>
    <w:rsid w:val="00EA26F9"/>
    <w:rsid w:val="00EA3F0A"/>
    <w:rsid w:val="00EA4BD0"/>
    <w:rsid w:val="00EA5739"/>
    <w:rsid w:val="00EB6628"/>
    <w:rsid w:val="00EB6AC3"/>
    <w:rsid w:val="00EB6EE6"/>
    <w:rsid w:val="00EC4610"/>
    <w:rsid w:val="00EC7372"/>
    <w:rsid w:val="00EE4F64"/>
    <w:rsid w:val="00EE5F32"/>
    <w:rsid w:val="00F02B46"/>
    <w:rsid w:val="00F04867"/>
    <w:rsid w:val="00F04F4C"/>
    <w:rsid w:val="00F04F98"/>
    <w:rsid w:val="00F05061"/>
    <w:rsid w:val="00F11C7D"/>
    <w:rsid w:val="00F133AE"/>
    <w:rsid w:val="00F137D5"/>
    <w:rsid w:val="00F15EB8"/>
    <w:rsid w:val="00F168B6"/>
    <w:rsid w:val="00F17D46"/>
    <w:rsid w:val="00F2283B"/>
    <w:rsid w:val="00F239CB"/>
    <w:rsid w:val="00F252DC"/>
    <w:rsid w:val="00F31331"/>
    <w:rsid w:val="00F33CC9"/>
    <w:rsid w:val="00F34211"/>
    <w:rsid w:val="00F4212C"/>
    <w:rsid w:val="00F47F38"/>
    <w:rsid w:val="00F500B7"/>
    <w:rsid w:val="00F567F0"/>
    <w:rsid w:val="00F619B0"/>
    <w:rsid w:val="00F62C6E"/>
    <w:rsid w:val="00F63C6E"/>
    <w:rsid w:val="00F72A15"/>
    <w:rsid w:val="00F730F8"/>
    <w:rsid w:val="00F75289"/>
    <w:rsid w:val="00F80272"/>
    <w:rsid w:val="00F86DF6"/>
    <w:rsid w:val="00FA1560"/>
    <w:rsid w:val="00FA2A52"/>
    <w:rsid w:val="00FB1597"/>
    <w:rsid w:val="00FB5088"/>
    <w:rsid w:val="00FC5E3E"/>
    <w:rsid w:val="00FD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DB0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rsid w:val="00487256"/>
    <w:pPr>
      <w:numPr>
        <w:numId w:val="1"/>
      </w:numPr>
    </w:pPr>
  </w:style>
  <w:style w:type="character" w:styleId="FootnoteReference">
    <w:name w:val="footnote reference"/>
    <w:aliases w:val="o,fr,Style 13,Style 12,Style 15,Style 17,Style 9,o1,fr1,o2,fr2,o3,fr3,Style 18,(NECG) Footnote Reference,Style 20,Style 7"/>
    <w:rsid w:val="0048725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
    <w:basedOn w:val="Normal"/>
    <w:link w:val="FootnoteTextChar"/>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aliases w:val="fn Char1,Footnote Text Char1 Char2,Footnote Text Char Char Char2,Footnote Text Char1 Char Char1,Footnote Text Char Char Char Char1, Char Char1,Footnote Text Char Char1 Char1,Char Char1,Footnote Text Char1 Char Char Char1 Char1"/>
    <w:link w:val="FootnoteText"/>
    <w:rsid w:val="009A6D11"/>
    <w:rPr>
      <w:sz w:val="22"/>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Char Char,Footnote Text Char1 Char Char Char1 Char,ft Char Char"/>
    <w:rsid w:val="00162E79"/>
    <w:rPr>
      <w:rFonts w:ascii="Times New Roman" w:eastAsia="Times New Roman" w:hAnsi="Times New Roman" w:cs="Times New Roman"/>
      <w:sz w:val="26"/>
      <w:szCs w:val="20"/>
    </w:rPr>
  </w:style>
  <w:style w:type="character" w:customStyle="1" w:styleId="FERCparanumberChar">
    <w:name w:val="FERC paranumber Char"/>
    <w:link w:val="FERCparanumber"/>
    <w:rsid w:val="00162E79"/>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rsid w:val="00487256"/>
    <w:pPr>
      <w:numPr>
        <w:numId w:val="1"/>
      </w:numPr>
    </w:pPr>
  </w:style>
  <w:style w:type="character" w:styleId="FootnoteReference">
    <w:name w:val="footnote reference"/>
    <w:aliases w:val="o,fr,Style 13,Style 12,Style 15,Style 17,Style 9,o1,fr1,o2,fr2,o3,fr3,Style 18,(NECG) Footnote Reference,Style 20,Style 7"/>
    <w:rsid w:val="0048725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
    <w:basedOn w:val="Normal"/>
    <w:link w:val="FootnoteTextChar"/>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aliases w:val="fn Char1,Footnote Text Char1 Char2,Footnote Text Char Char Char2,Footnote Text Char1 Char Char1,Footnote Text Char Char Char Char1, Char Char1,Footnote Text Char Char1 Char1,Char Char1,Footnote Text Char1 Char Char Char1 Char1"/>
    <w:link w:val="FootnoteText"/>
    <w:rsid w:val="009A6D11"/>
    <w:rPr>
      <w:sz w:val="22"/>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Char Char,Footnote Text Char1 Char Char Char1 Char,ft Char Char"/>
    <w:rsid w:val="00162E79"/>
    <w:rPr>
      <w:rFonts w:ascii="Times New Roman" w:eastAsia="Times New Roman" w:hAnsi="Times New Roman" w:cs="Times New Roman"/>
      <w:sz w:val="26"/>
      <w:szCs w:val="20"/>
    </w:rPr>
  </w:style>
  <w:style w:type="character" w:customStyle="1" w:styleId="FERCparanumberChar">
    <w:name w:val="FERC paranumber Char"/>
    <w:link w:val="FERCparanumber"/>
    <w:rsid w:val="00162E79"/>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9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ira_submission@omb.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ECC9C-5298-465B-B716-8AA447EEB3D3}">
  <ds:schemaRefs>
    <ds:schemaRef ds:uri="Microsoft.SharePoint.Taxonomy.ContentTypeSync"/>
  </ds:schemaRefs>
</ds:datastoreItem>
</file>

<file path=customXml/itemProps2.xml><?xml version="1.0" encoding="utf-8"?>
<ds:datastoreItem xmlns:ds="http://schemas.openxmlformats.org/officeDocument/2006/customXml" ds:itemID="{F32C4F68-9A30-4CD8-94A8-9986F6BF1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6B452E-F0FB-4934-8680-9084575B1751}">
  <ds:schemaRefs>
    <ds:schemaRef ds:uri="http://schemas.microsoft.com/sharepoint/v3/contenttype/forms"/>
  </ds:schemaRefs>
</ds:datastoreItem>
</file>

<file path=customXml/itemProps4.xml><?xml version="1.0" encoding="utf-8"?>
<ds:datastoreItem xmlns:ds="http://schemas.openxmlformats.org/officeDocument/2006/customXml" ds:itemID="{3F774515-1FC0-4816-B2FE-723AC2A83AEC}">
  <ds:schemaRefs>
    <ds:schemaRef ds:uri="http://schemas.microsoft.com/office/2006/metadata/properties"/>
    <ds:schemaRef ds:uri="http://schemas.microsoft.com/office/infopath/2007/PartnerControls"/>
    <ds:schemaRef ds:uri="5e8733a2-e908-454b-85cf-c9d17e1d0943"/>
  </ds:schemaRefs>
</ds:datastoreItem>
</file>

<file path=customXml/itemProps5.xml><?xml version="1.0" encoding="utf-8"?>
<ds:datastoreItem xmlns:ds="http://schemas.openxmlformats.org/officeDocument/2006/customXml" ds:itemID="{E58FD4D0-8115-448D-8623-AF9A066D1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10563</CharactersWithSpaces>
  <SharedDoc>false</SharedDoc>
  <HyperlinkBase/>
  <HLinks>
    <vt:vector size="30" baseType="variant">
      <vt:variant>
        <vt:i4>5767268</vt:i4>
      </vt:variant>
      <vt:variant>
        <vt:i4>12</vt:i4>
      </vt:variant>
      <vt:variant>
        <vt:i4>0</vt:i4>
      </vt:variant>
      <vt:variant>
        <vt:i4>5</vt:i4>
      </vt:variant>
      <vt:variant>
        <vt:lpwstr>mailto:DataClearance@FERC.gov</vt:lpwstr>
      </vt:variant>
      <vt:variant>
        <vt:lpwstr/>
      </vt:variant>
      <vt:variant>
        <vt:i4>2293798</vt:i4>
      </vt:variant>
      <vt:variant>
        <vt:i4>9</vt:i4>
      </vt:variant>
      <vt:variant>
        <vt:i4>0</vt:i4>
      </vt:variant>
      <vt:variant>
        <vt:i4>5</vt:i4>
      </vt:variant>
      <vt:variant>
        <vt:lpwstr>http://www.ferc.gov/docs-filing/docs-filing.asp</vt:lpwstr>
      </vt:variant>
      <vt:variant>
        <vt:lpwstr/>
      </vt:variant>
      <vt:variant>
        <vt:i4>4259850</vt:i4>
      </vt:variant>
      <vt:variant>
        <vt:i4>6</vt:i4>
      </vt:variant>
      <vt:variant>
        <vt:i4>0</vt:i4>
      </vt:variant>
      <vt:variant>
        <vt:i4>5</vt:i4>
      </vt:variant>
      <vt:variant>
        <vt:lpwstr>http://www.ferc.gov/help/submission-guide.asp</vt:lpwstr>
      </vt:variant>
      <vt:variant>
        <vt:lpwstr/>
      </vt:variant>
      <vt:variant>
        <vt:i4>4128873</vt:i4>
      </vt:variant>
      <vt:variant>
        <vt:i4>3</vt:i4>
      </vt:variant>
      <vt:variant>
        <vt:i4>0</vt:i4>
      </vt:variant>
      <vt:variant>
        <vt:i4>5</vt:i4>
      </vt:variant>
      <vt:variant>
        <vt:lpwstr>http://www.ferc.gov/docs-filing/efiling.asp</vt:lpwstr>
      </vt:variant>
      <vt:variant>
        <vt:lpwstr/>
      </vt:variant>
      <vt:variant>
        <vt:i4>5242954</vt:i4>
      </vt:variant>
      <vt:variant>
        <vt:i4>0</vt:i4>
      </vt:variant>
      <vt:variant>
        <vt:i4>0</vt:i4>
      </vt:variant>
      <vt:variant>
        <vt:i4>5</vt:i4>
      </vt:variant>
      <vt:variant>
        <vt:lpwstr>mailto:oira_submission@omb.gov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cp:lastPrinted>2018-05-03T18:26:00Z</cp:lastPrinted>
  <dcterms:created xsi:type="dcterms:W3CDTF">2018-05-16T18:17:00Z</dcterms:created>
  <dcterms:modified xsi:type="dcterms:W3CDTF">2018-05-16T18:17:00Z</dcterms:modified>
  <cp:category/>
  <dc:identifier/>
  <cp:contentStatus/>
  <cp:version/>
</cp:coreProperties>
</file>