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78479" w14:textId="77777777" w:rsidR="001C75B2" w:rsidRDefault="001C75B2" w:rsidP="008647BA">
      <w:pPr>
        <w:jc w:val="center"/>
      </w:pPr>
      <w:bookmarkStart w:id="0" w:name="_GoBack"/>
      <w:bookmarkEnd w:id="0"/>
      <w:smartTag w:uri="urn:schemas-microsoft-com:office:smarttags" w:element="country-region">
        <w:smartTag w:uri="urn:schemas-microsoft-com:office:smarttags" w:element="place">
          <w:r>
            <w:t>UNITED STATES OF AMERICA</w:t>
          </w:r>
        </w:smartTag>
      </w:smartTag>
    </w:p>
    <w:p w14:paraId="4811EF1F" w14:textId="77777777" w:rsidR="001C75B2" w:rsidRDefault="001C75B2" w:rsidP="008647BA">
      <w:pPr>
        <w:jc w:val="center"/>
      </w:pPr>
      <w:r>
        <w:t>FEDERAL ENERGY REGULATORY COMMISSION</w:t>
      </w:r>
    </w:p>
    <w:p w14:paraId="730F57F1" w14:textId="77777777" w:rsidR="001C75B2" w:rsidRDefault="001C75B2" w:rsidP="001C75B2"/>
    <w:p w14:paraId="2EADB708" w14:textId="77777777" w:rsidR="001C75B2" w:rsidRDefault="001C75B2" w:rsidP="008647BA">
      <w:pPr>
        <w:jc w:val="center"/>
      </w:pPr>
      <w:r w:rsidRPr="007F6E5B">
        <w:t xml:space="preserve">[Docket No. </w:t>
      </w:r>
      <w:r w:rsidR="007F6E5B" w:rsidRPr="007F6E5B">
        <w:t>RD17</w:t>
      </w:r>
      <w:r w:rsidRPr="007F6E5B">
        <w:t>-</w:t>
      </w:r>
      <w:r w:rsidR="007F6E5B" w:rsidRPr="007F6E5B">
        <w:t>8</w:t>
      </w:r>
      <w:r w:rsidRPr="007F6E5B">
        <w:t>-00</w:t>
      </w:r>
      <w:r w:rsidR="00172C34" w:rsidRPr="007F6E5B">
        <w:t>0</w:t>
      </w:r>
      <w:r w:rsidRPr="007F6E5B">
        <w:t>]</w:t>
      </w:r>
    </w:p>
    <w:p w14:paraId="595378C2" w14:textId="77777777" w:rsidR="001C75B2" w:rsidRDefault="001C75B2" w:rsidP="001C75B2"/>
    <w:p w14:paraId="724C95EC" w14:textId="77777777" w:rsidR="001C75B2" w:rsidRPr="007F6E5B" w:rsidRDefault="001C75B2" w:rsidP="008024B2">
      <w:pPr>
        <w:jc w:val="center"/>
      </w:pPr>
      <w:r w:rsidRPr="007F6E5B">
        <w:t>COMMISSION INFORMATION COLLECTION ACTIVITIES (FERC</w:t>
      </w:r>
      <w:r w:rsidR="007F6E5B" w:rsidRPr="007F6E5B">
        <w:t>-725HH</w:t>
      </w:r>
      <w:r w:rsidR="008024B2" w:rsidRPr="007F6E5B">
        <w:t>);</w:t>
      </w:r>
      <w:r w:rsidRPr="007F6E5B">
        <w:t xml:space="preserve"> COMMENT REQUEST</w:t>
      </w:r>
      <w:r w:rsidR="00B2244D" w:rsidRPr="007F6E5B">
        <w:t xml:space="preserve">  </w:t>
      </w:r>
    </w:p>
    <w:p w14:paraId="7F206AB4" w14:textId="77777777" w:rsidR="001C75B2" w:rsidRPr="007F6E5B" w:rsidRDefault="001C75B2" w:rsidP="001C75B2"/>
    <w:p w14:paraId="19AA71DB" w14:textId="78EF70AD" w:rsidR="001C75B2" w:rsidRDefault="00DC5963" w:rsidP="008024B2">
      <w:pPr>
        <w:jc w:val="center"/>
      </w:pPr>
      <w:r>
        <w:t>(February 1, 2018)</w:t>
      </w:r>
    </w:p>
    <w:p w14:paraId="3ADE98C7" w14:textId="77777777" w:rsidR="001C75B2" w:rsidRDefault="001C75B2" w:rsidP="001C75B2"/>
    <w:p w14:paraId="0897E94E" w14:textId="77777777" w:rsidR="001C75B2" w:rsidRDefault="008024B2" w:rsidP="00C0217E">
      <w:pPr>
        <w:spacing w:line="480" w:lineRule="auto"/>
      </w:pPr>
      <w:r w:rsidRPr="00C0217E">
        <w:rPr>
          <w:b/>
        </w:rPr>
        <w:t>AGENCY:</w:t>
      </w:r>
      <w:r>
        <w:t xml:space="preserve">  </w:t>
      </w:r>
      <w:r w:rsidR="001C75B2">
        <w:t>Federal Energy Regulatory Commission.</w:t>
      </w:r>
    </w:p>
    <w:p w14:paraId="46DE151A" w14:textId="77777777" w:rsidR="001C75B2" w:rsidRDefault="008024B2" w:rsidP="00C0217E">
      <w:pPr>
        <w:spacing w:line="480" w:lineRule="auto"/>
      </w:pPr>
      <w:r w:rsidRPr="00C0217E">
        <w:rPr>
          <w:b/>
        </w:rPr>
        <w:t>ACTION:</w:t>
      </w:r>
      <w:r>
        <w:t xml:space="preserve">  </w:t>
      </w:r>
      <w:r w:rsidR="00B87F46">
        <w:t>C</w:t>
      </w:r>
      <w:r w:rsidR="00E94542">
        <w:t>omment request.</w:t>
      </w:r>
    </w:p>
    <w:p w14:paraId="50DC5006" w14:textId="77777777" w:rsidR="001C75B2" w:rsidRDefault="001C75B2" w:rsidP="00C0217E">
      <w:pPr>
        <w:spacing w:line="480" w:lineRule="auto"/>
      </w:pPr>
      <w:r w:rsidRPr="00C0217E">
        <w:rPr>
          <w:b/>
        </w:rPr>
        <w:t>SUMMARY:</w:t>
      </w:r>
      <w:r>
        <w:t xml:space="preserve">  In compliance with the requirements</w:t>
      </w:r>
      <w:r w:rsidR="00B87F46">
        <w:t xml:space="preserve"> of</w:t>
      </w:r>
      <w:r>
        <w:t xml:space="preserve"> the Paperwork Reduction Act of 1995</w:t>
      </w:r>
      <w:r w:rsidR="000253DB">
        <w:t>,</w:t>
      </w:r>
      <w:r w:rsidR="000253DB" w:rsidRPr="000253DB">
        <w:rPr>
          <w:szCs w:val="26"/>
        </w:rPr>
        <w:t xml:space="preserve"> </w:t>
      </w:r>
      <w:r w:rsidR="001F0E50">
        <w:t>44 U</w:t>
      </w:r>
      <w:r w:rsidR="000253DB" w:rsidRPr="000253DB">
        <w:t>SC 3507</w:t>
      </w:r>
      <w:r w:rsidR="006F53CD">
        <w:t>(a)(1)(D)</w:t>
      </w:r>
      <w:r w:rsidR="00172C34">
        <w:t>,</w:t>
      </w:r>
      <w:r>
        <w:t xml:space="preserve"> the Federal Energy Regulatory Commission (Commission or FERC) </w:t>
      </w:r>
      <w:r w:rsidR="00172C34">
        <w:t>is</w:t>
      </w:r>
      <w:r>
        <w:t xml:space="preserve"> submitt</w:t>
      </w:r>
      <w:r w:rsidR="00172C34">
        <w:t>ing</w:t>
      </w:r>
      <w:r>
        <w:t xml:space="preserve"> </w:t>
      </w:r>
      <w:r w:rsidR="001F0E50">
        <w:t>its</w:t>
      </w:r>
      <w:r>
        <w:t xml:space="preserve"> information collection</w:t>
      </w:r>
      <w:r w:rsidR="00CC2DF1">
        <w:t xml:space="preserve"> </w:t>
      </w:r>
      <w:r w:rsidR="007F6E5B">
        <w:rPr>
          <w:szCs w:val="26"/>
        </w:rPr>
        <w:t>FERC-</w:t>
      </w:r>
      <w:r w:rsidR="007F6E5B" w:rsidRPr="008A5E80">
        <w:rPr>
          <w:szCs w:val="26"/>
        </w:rPr>
        <w:t>725H</w:t>
      </w:r>
      <w:r w:rsidR="007F6E5B">
        <w:rPr>
          <w:szCs w:val="26"/>
        </w:rPr>
        <w:t>H</w:t>
      </w:r>
      <w:r w:rsidR="007F6E5B" w:rsidRPr="008A5E80">
        <w:rPr>
          <w:szCs w:val="26"/>
        </w:rPr>
        <w:t xml:space="preserve"> (</w:t>
      </w:r>
      <w:r w:rsidR="007F6E5B">
        <w:rPr>
          <w:szCs w:val="26"/>
        </w:rPr>
        <w:t>RF</w:t>
      </w:r>
      <w:r w:rsidR="007F6E5B" w:rsidRPr="008A5E80">
        <w:rPr>
          <w:szCs w:val="26"/>
        </w:rPr>
        <w:t xml:space="preserve"> Reliability Standards)</w:t>
      </w:r>
      <w:r>
        <w:t xml:space="preserve"> to the Office of Management and Budget (OMB) for review of the information collection requirements.  Any interested person may file comments directly with OMB and should address a copy of those comments </w:t>
      </w:r>
      <w:r w:rsidRPr="007F6E5B">
        <w:t xml:space="preserve">to the Commission as explained below.  The Commission </w:t>
      </w:r>
      <w:r w:rsidR="001F0E50" w:rsidRPr="007F6E5B">
        <w:t xml:space="preserve">previously </w:t>
      </w:r>
      <w:r w:rsidRPr="007F6E5B">
        <w:t>issued a Notice in the Federal Register (</w:t>
      </w:r>
      <w:r w:rsidR="007F6E5B" w:rsidRPr="007F6E5B">
        <w:t>82</w:t>
      </w:r>
      <w:r w:rsidR="00CC2DF1" w:rsidRPr="007F6E5B">
        <w:t xml:space="preserve"> </w:t>
      </w:r>
      <w:r w:rsidRPr="007F6E5B">
        <w:t xml:space="preserve">FR </w:t>
      </w:r>
      <w:r w:rsidR="007F6E5B" w:rsidRPr="007F6E5B">
        <w:t>53489</w:t>
      </w:r>
      <w:r w:rsidRPr="007F6E5B">
        <w:t xml:space="preserve">, </w:t>
      </w:r>
      <w:r w:rsidR="007F6E5B" w:rsidRPr="007F6E5B">
        <w:t>11/16/2017</w:t>
      </w:r>
      <w:r w:rsidRPr="007F6E5B">
        <w:t xml:space="preserve">) requesting public comments.  </w:t>
      </w:r>
      <w:r w:rsidR="001F0E50" w:rsidRPr="007F6E5B">
        <w:t>The Commission</w:t>
      </w:r>
      <w:r w:rsidRPr="007F6E5B">
        <w:t xml:space="preserve"> received no comments on the FERC</w:t>
      </w:r>
      <w:r w:rsidR="006D5749">
        <w:t>-725HH information collection</w:t>
      </w:r>
      <w:r w:rsidRPr="007F6E5B">
        <w:t xml:space="preserve"> and </w:t>
      </w:r>
      <w:r w:rsidR="00172C34" w:rsidRPr="007F6E5B">
        <w:t>is making</w:t>
      </w:r>
      <w:r w:rsidR="00B2244D" w:rsidRPr="007F6E5B">
        <w:t xml:space="preserve"> this notation in its submittal</w:t>
      </w:r>
      <w:r w:rsidRPr="007F6E5B">
        <w:t xml:space="preserve"> to OMB</w:t>
      </w:r>
      <w:r w:rsidR="00F137D5" w:rsidRPr="007F6E5B">
        <w:t xml:space="preserve"> </w:t>
      </w:r>
      <w:r w:rsidR="007F6E5B" w:rsidRPr="007F6E5B">
        <w:t>.</w:t>
      </w:r>
    </w:p>
    <w:p w14:paraId="2EF6DE42" w14:textId="0773A0EE" w:rsidR="001C75B2" w:rsidRDefault="001C75B2" w:rsidP="00C0217E">
      <w:pPr>
        <w:spacing w:line="480" w:lineRule="auto"/>
      </w:pPr>
      <w:r w:rsidRPr="00F04F4C">
        <w:rPr>
          <w:b/>
        </w:rPr>
        <w:t>DATES:</w:t>
      </w:r>
      <w:r w:rsidR="00EA3F0A">
        <w:rPr>
          <w:b/>
        </w:rPr>
        <w:t xml:space="preserve"> </w:t>
      </w:r>
      <w:r>
        <w:t xml:space="preserve"> Comments on the collection of information are due by [</w:t>
      </w:r>
      <w:r w:rsidR="00DC5963" w:rsidRPr="00DC5963">
        <w:rPr>
          <w:b/>
        </w:rPr>
        <w:t xml:space="preserve">Insert date that is </w:t>
      </w:r>
      <w:r w:rsidRPr="006D5749">
        <w:rPr>
          <w:b/>
        </w:rPr>
        <w:t>30 days after publication of this Notice in the Federal Register</w:t>
      </w:r>
      <w:r>
        <w:t xml:space="preserve">].   </w:t>
      </w:r>
    </w:p>
    <w:p w14:paraId="4FB948EA" w14:textId="77777777" w:rsidR="00121C3B" w:rsidRDefault="001C75B2" w:rsidP="00B2244D">
      <w:pPr>
        <w:spacing w:line="480" w:lineRule="auto"/>
      </w:pPr>
      <w:r w:rsidRPr="00F04F4C">
        <w:rPr>
          <w:b/>
        </w:rPr>
        <w:t>ADDRESSES:</w:t>
      </w:r>
      <w:r>
        <w:t xml:space="preserve"> </w:t>
      </w:r>
      <w:r w:rsidR="00EA3F0A">
        <w:t xml:space="preserve"> </w:t>
      </w:r>
      <w:r w:rsidR="00EA4BD0">
        <w:t xml:space="preserve">Comments </w:t>
      </w:r>
      <w:r w:rsidR="00121C3B">
        <w:t>filed with OMB</w:t>
      </w:r>
      <w:r w:rsidR="00EA4BD0">
        <w:t xml:space="preserve">, </w:t>
      </w:r>
      <w:r w:rsidR="00121C3B">
        <w:t xml:space="preserve">identified by the OMB Control </w:t>
      </w:r>
      <w:r w:rsidR="00121C3B" w:rsidRPr="007F6E5B">
        <w:t xml:space="preserve">No. </w:t>
      </w:r>
      <w:r w:rsidR="007F6E5B" w:rsidRPr="007F6E5B">
        <w:t>1902-0256</w:t>
      </w:r>
      <w:r w:rsidR="00EA4BD0" w:rsidRPr="007F6E5B">
        <w:t>,</w:t>
      </w:r>
      <w:r w:rsidR="00121C3B" w:rsidRPr="007F6E5B">
        <w:t xml:space="preserve"> </w:t>
      </w:r>
      <w:r w:rsidR="00157960" w:rsidRPr="007F6E5B">
        <w:t>should</w:t>
      </w:r>
      <w:r w:rsidR="00EA4BD0" w:rsidRPr="007F6E5B">
        <w:t xml:space="preserve"> be sent via email</w:t>
      </w:r>
      <w:r w:rsidR="00644093" w:rsidRPr="007F6E5B">
        <w:t xml:space="preserve"> to the Office of Information and Regulatory Affairs</w:t>
      </w:r>
      <w:r w:rsidR="006615E1" w:rsidRPr="007F6E5B">
        <w:t>:</w:t>
      </w:r>
      <w:r w:rsidR="006615E1">
        <w:t xml:space="preserve"> </w:t>
      </w:r>
      <w:hyperlink r:id="rId13" w:history="1">
        <w:r w:rsidR="006615E1" w:rsidRPr="00866BB4">
          <w:rPr>
            <w:rStyle w:val="Hyperlink"/>
          </w:rPr>
          <w:t>oira_submission@omb.gov</w:t>
        </w:r>
      </w:hyperlink>
      <w:r w:rsidR="006615E1">
        <w:t>.  Attention: Federal Energy Regulatory Commission Desk Officer.</w:t>
      </w:r>
      <w:r w:rsidR="00775D65">
        <w:t xml:space="preserve">  The Desk Officer may also be reached via telephone a</w:t>
      </w:r>
      <w:r w:rsidR="008F5806">
        <w:t>t 202-395-0710</w:t>
      </w:r>
      <w:r w:rsidR="00B2244D">
        <w:t>.</w:t>
      </w:r>
    </w:p>
    <w:p w14:paraId="122F2907" w14:textId="77777777" w:rsidR="00775D65" w:rsidRDefault="00095258" w:rsidP="00775D65">
      <w:pPr>
        <w:spacing w:line="480" w:lineRule="auto"/>
        <w:ind w:firstLine="720"/>
      </w:pPr>
      <w:r>
        <w:t>A copy of the comments should also be sent to the Commission</w:t>
      </w:r>
      <w:r w:rsidR="003178F3">
        <w:t xml:space="preserve">, </w:t>
      </w:r>
      <w:r w:rsidR="001F0E50">
        <w:t>in</w:t>
      </w:r>
      <w:r w:rsidR="003178F3">
        <w:t xml:space="preserve"> </w:t>
      </w:r>
      <w:r w:rsidR="00172C34">
        <w:t>D</w:t>
      </w:r>
      <w:r w:rsidR="003178F3">
        <w:t xml:space="preserve">ocket </w:t>
      </w:r>
      <w:r w:rsidR="00172C34">
        <w:t>N</w:t>
      </w:r>
      <w:r w:rsidR="003178F3">
        <w:t xml:space="preserve">o. </w:t>
      </w:r>
      <w:r w:rsidR="007F6E5B" w:rsidRPr="007F6E5B">
        <w:t>RD17-8</w:t>
      </w:r>
      <w:r w:rsidR="003178F3" w:rsidRPr="007F6E5B">
        <w:t>-00</w:t>
      </w:r>
      <w:r w:rsidR="00172C34" w:rsidRPr="007F6E5B">
        <w:t>0</w:t>
      </w:r>
      <w:r w:rsidR="003178F3" w:rsidRPr="007F6E5B">
        <w:t>,</w:t>
      </w:r>
      <w:r w:rsidRPr="007F6E5B">
        <w:t xml:space="preserve"> </w:t>
      </w:r>
      <w:r w:rsidR="00775D65" w:rsidRPr="007F6E5B">
        <w:t>by either</w:t>
      </w:r>
      <w:r w:rsidR="00775D65">
        <w:t xml:space="preserve"> of the following methods:</w:t>
      </w:r>
    </w:p>
    <w:p w14:paraId="3645BA39" w14:textId="77777777" w:rsidR="00775D65" w:rsidRDefault="00775D65" w:rsidP="00775D65">
      <w:pPr>
        <w:numPr>
          <w:ilvl w:val="0"/>
          <w:numId w:val="3"/>
        </w:numPr>
        <w:tabs>
          <w:tab w:val="clear" w:pos="1500"/>
          <w:tab w:val="num" w:pos="1080"/>
        </w:tabs>
        <w:spacing w:line="480" w:lineRule="auto"/>
        <w:ind w:left="720" w:firstLine="0"/>
      </w:pPr>
      <w:r>
        <w:t xml:space="preserve">eFiling at Commission’s Web Site: </w:t>
      </w:r>
      <w:hyperlink r:id="rId14" w:history="1">
        <w:r w:rsidRPr="0057675D">
          <w:rPr>
            <w:rStyle w:val="Hyperlink"/>
          </w:rPr>
          <w:t>http://www.ferc.gov/docs-filing/efiling.asp</w:t>
        </w:r>
      </w:hyperlink>
      <w:r>
        <w:t xml:space="preserve">.  </w:t>
      </w:r>
    </w:p>
    <w:p w14:paraId="2C05FDE4" w14:textId="77777777" w:rsidR="00775D65" w:rsidRDefault="00775D65" w:rsidP="00775D65">
      <w:pPr>
        <w:numPr>
          <w:ilvl w:val="0"/>
          <w:numId w:val="3"/>
        </w:numPr>
        <w:tabs>
          <w:tab w:val="clear" w:pos="1500"/>
          <w:tab w:val="num" w:pos="1080"/>
        </w:tabs>
        <w:spacing w:line="480" w:lineRule="auto"/>
        <w:ind w:left="1080"/>
      </w:pPr>
      <w:r>
        <w:t xml:space="preserve">Mail/Hand Delivery/Courier: Federal Energy Regulatory Commission, Secretary of the Commission, </w:t>
      </w:r>
      <w:smartTag w:uri="urn:schemas-microsoft-com:office:smarttags" w:element="address">
        <w:smartTag w:uri="urn:schemas-microsoft-com:office:smarttags" w:element="Street">
          <w:r>
            <w:t>888 First Street, NE</w:t>
          </w:r>
        </w:smartTag>
        <w:r>
          <w:t xml:space="preserve">, </w:t>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20426</w:t>
          </w:r>
        </w:smartTag>
      </w:smartTag>
      <w:r>
        <w:t>.</w:t>
      </w:r>
    </w:p>
    <w:p w14:paraId="7CE9DDDB" w14:textId="77777777" w:rsidR="00775D65" w:rsidRDefault="00775D65" w:rsidP="00775D65">
      <w:pPr>
        <w:spacing w:line="480" w:lineRule="auto"/>
      </w:pPr>
      <w:r>
        <w:rPr>
          <w:i/>
        </w:rPr>
        <w:t xml:space="preserve">Instructions: </w:t>
      </w:r>
      <w:r>
        <w:t xml:space="preserve">All submissions must be formatted and filed in accordance with submission guidelines at: </w:t>
      </w:r>
      <w:hyperlink r:id="rId15" w:history="1">
        <w:r w:rsidRPr="00866BB4">
          <w:rPr>
            <w:rStyle w:val="Hyperlink"/>
          </w:rPr>
          <w:t>http://www.ferc.gov/help/submission-guide.asp</w:t>
        </w:r>
      </w:hyperlink>
      <w:r>
        <w:t>.  For user assistance contact FERC Online Support by e-mail at ferconlinesupport@ferc.gov, or by phone at:  (866) 208-3676 (toll-free), or (202) 502-8659 for TTY.</w:t>
      </w:r>
    </w:p>
    <w:p w14:paraId="32F10615" w14:textId="77777777" w:rsidR="00775D65" w:rsidRDefault="00775D65" w:rsidP="00775D65">
      <w:pPr>
        <w:spacing w:line="480" w:lineRule="auto"/>
      </w:pPr>
      <w:r>
        <w:rPr>
          <w:i/>
        </w:rPr>
        <w:t>Docket:</w:t>
      </w:r>
      <w:r>
        <w:t xml:space="preserve"> Users interested in receiving automatic notification of activity in this docket or in viewing/downloading comments and issuances in this docket may do so at </w:t>
      </w:r>
      <w:hyperlink r:id="rId16" w:history="1">
        <w:r w:rsidRPr="0057675D">
          <w:rPr>
            <w:rStyle w:val="Hyperlink"/>
          </w:rPr>
          <w:t>http://www.ferc.gov/docs-filing/docs-filing.asp</w:t>
        </w:r>
      </w:hyperlink>
      <w:r>
        <w:t xml:space="preserve">. </w:t>
      </w:r>
      <w:r w:rsidR="00095258">
        <w:t xml:space="preserve"> </w:t>
      </w:r>
    </w:p>
    <w:p w14:paraId="63832047" w14:textId="77777777" w:rsidR="001C75B2" w:rsidRDefault="001C75B2" w:rsidP="00C0217E">
      <w:pPr>
        <w:spacing w:line="480" w:lineRule="auto"/>
      </w:pPr>
      <w:r w:rsidRPr="00F04F4C">
        <w:rPr>
          <w:b/>
        </w:rPr>
        <w:t xml:space="preserve">FOR FURTHER </w:t>
      </w:r>
      <w:r w:rsidRPr="007F6E5B">
        <w:rPr>
          <w:b/>
        </w:rPr>
        <w:t>INFORMATION:</w:t>
      </w:r>
      <w:r w:rsidRPr="007F6E5B">
        <w:t xml:space="preserve">   </w:t>
      </w:r>
      <w:smartTag w:uri="urn:schemas-microsoft-com:office:smarttags" w:element="PersonName">
        <w:r w:rsidRPr="007F6E5B">
          <w:t>Ellen Brown</w:t>
        </w:r>
      </w:smartTag>
      <w:r w:rsidRPr="007F6E5B">
        <w:t xml:space="preserve"> may be reached by e-mail at </w:t>
      </w:r>
      <w:hyperlink r:id="rId17" w:history="1">
        <w:r w:rsidR="00822C8E" w:rsidRPr="007F6E5B">
          <w:rPr>
            <w:rStyle w:val="Hyperlink"/>
          </w:rPr>
          <w:t>DataClearance@FERC.gov</w:t>
        </w:r>
      </w:hyperlink>
      <w:r w:rsidRPr="007F6E5B">
        <w:t>, by telephone at (202) 502-8663, and by fax at (202) 273-0873.</w:t>
      </w:r>
      <w:r>
        <w:t xml:space="preserve"> </w:t>
      </w:r>
    </w:p>
    <w:p w14:paraId="387A3D07" w14:textId="77777777" w:rsidR="003820D6" w:rsidRDefault="003820D6" w:rsidP="003820D6">
      <w:pPr>
        <w:spacing w:line="480" w:lineRule="auto"/>
      </w:pPr>
      <w:r w:rsidRPr="001C3703">
        <w:rPr>
          <w:b/>
        </w:rPr>
        <w:t>SUPPLEMENTARY INFORMATION:</w:t>
      </w:r>
      <w:r>
        <w:t xml:space="preserve">  </w:t>
      </w:r>
    </w:p>
    <w:p w14:paraId="44840B56" w14:textId="77777777" w:rsidR="007F6E5B" w:rsidRPr="008A5E80" w:rsidRDefault="007F6E5B" w:rsidP="007F6E5B">
      <w:pPr>
        <w:spacing w:line="480" w:lineRule="auto"/>
        <w:rPr>
          <w:szCs w:val="26"/>
        </w:rPr>
      </w:pPr>
      <w:r w:rsidRPr="000027F9">
        <w:rPr>
          <w:i/>
          <w:szCs w:val="26"/>
        </w:rPr>
        <w:t xml:space="preserve">Title: </w:t>
      </w:r>
      <w:r w:rsidRPr="000027F9">
        <w:rPr>
          <w:szCs w:val="26"/>
        </w:rPr>
        <w:t>FERC-</w:t>
      </w:r>
      <w:r w:rsidRPr="008A5E80">
        <w:rPr>
          <w:szCs w:val="26"/>
        </w:rPr>
        <w:t>725H</w:t>
      </w:r>
      <w:r>
        <w:rPr>
          <w:szCs w:val="26"/>
        </w:rPr>
        <w:t>H</w:t>
      </w:r>
      <w:r w:rsidRPr="008A5E80">
        <w:rPr>
          <w:szCs w:val="26"/>
        </w:rPr>
        <w:t xml:space="preserve">, </w:t>
      </w:r>
      <w:r>
        <w:rPr>
          <w:szCs w:val="26"/>
        </w:rPr>
        <w:t>RF</w:t>
      </w:r>
      <w:r w:rsidRPr="008A5E80">
        <w:rPr>
          <w:szCs w:val="26"/>
        </w:rPr>
        <w:t xml:space="preserve"> Reliability Standards</w:t>
      </w:r>
    </w:p>
    <w:p w14:paraId="18B3BB42" w14:textId="77777777" w:rsidR="007F6E5B" w:rsidRDefault="007F6E5B" w:rsidP="007F6E5B">
      <w:pPr>
        <w:tabs>
          <w:tab w:val="center" w:pos="4680"/>
        </w:tabs>
        <w:spacing w:line="480" w:lineRule="auto"/>
        <w:rPr>
          <w:szCs w:val="26"/>
        </w:rPr>
      </w:pPr>
      <w:r w:rsidRPr="008A5E80">
        <w:rPr>
          <w:i/>
          <w:szCs w:val="26"/>
        </w:rPr>
        <w:t xml:space="preserve">OMB Control No.: </w:t>
      </w:r>
      <w:r w:rsidRPr="008A5E80">
        <w:rPr>
          <w:szCs w:val="26"/>
        </w:rPr>
        <w:t>1902-0256</w:t>
      </w:r>
    </w:p>
    <w:p w14:paraId="4223A4B9" w14:textId="77777777" w:rsidR="007F6E5B" w:rsidRPr="008A5E80" w:rsidRDefault="007F6E5B" w:rsidP="007F6E5B">
      <w:pPr>
        <w:tabs>
          <w:tab w:val="center" w:pos="4680"/>
        </w:tabs>
        <w:spacing w:line="480" w:lineRule="auto"/>
        <w:rPr>
          <w:szCs w:val="26"/>
        </w:rPr>
      </w:pPr>
      <w:r>
        <w:rPr>
          <w:i/>
          <w:szCs w:val="26"/>
        </w:rPr>
        <w:t xml:space="preserve">Type of Request: </w:t>
      </w:r>
      <w:r>
        <w:rPr>
          <w:szCs w:val="26"/>
        </w:rPr>
        <w:t xml:space="preserve">Three-year approval of the </w:t>
      </w:r>
      <w:r w:rsidRPr="008A5E80">
        <w:rPr>
          <w:szCs w:val="26"/>
        </w:rPr>
        <w:t>FERC-725H</w:t>
      </w:r>
      <w:r>
        <w:rPr>
          <w:szCs w:val="26"/>
        </w:rPr>
        <w:t>H</w:t>
      </w:r>
      <w:r w:rsidRPr="008A5E80">
        <w:rPr>
          <w:szCs w:val="26"/>
        </w:rPr>
        <w:t xml:space="preserve"> information collection requirements, as modified by Docket No. RD17-8-000.</w:t>
      </w:r>
    </w:p>
    <w:p w14:paraId="6C732D90" w14:textId="77777777" w:rsidR="007F6E5B" w:rsidRPr="00DA3ECE" w:rsidRDefault="007F6E5B" w:rsidP="007F6E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8A5E80">
        <w:rPr>
          <w:i/>
          <w:szCs w:val="26"/>
        </w:rPr>
        <w:lastRenderedPageBreak/>
        <w:t xml:space="preserve">Abstract: </w:t>
      </w:r>
      <w:r w:rsidRPr="008A5E80">
        <w:rPr>
          <w:szCs w:val="26"/>
        </w:rPr>
        <w:t>The information collected by the FERC-725H</w:t>
      </w:r>
      <w:r>
        <w:rPr>
          <w:szCs w:val="26"/>
        </w:rPr>
        <w:t>H</w:t>
      </w:r>
      <w:r w:rsidRPr="008A5E80">
        <w:rPr>
          <w:szCs w:val="26"/>
        </w:rPr>
        <w:t xml:space="preserve"> is required</w:t>
      </w:r>
      <w:r w:rsidRPr="00DA3ECE">
        <w:rPr>
          <w:szCs w:val="26"/>
        </w:rPr>
        <w:t xml:space="preserve"> to implement the statutory provisions of section 215 of the Federal Power Act (FPA) (16 U.S.C. 824o).  Section 215 of the FPA buttresses the Commission’s efforts to strengthen the reliability of the interstate grid through the grant of new authority by providing for a system of mandatory Reliability Standards developed by the Electric Reliability Organization (ERO).</w:t>
      </w:r>
      <w:r>
        <w:rPr>
          <w:szCs w:val="26"/>
        </w:rPr>
        <w:t xml:space="preserve">  </w:t>
      </w:r>
      <w:r w:rsidRPr="009544DB">
        <w:rPr>
          <w:szCs w:val="26"/>
        </w:rPr>
        <w:t xml:space="preserve">In July 2006, the Commission certified </w:t>
      </w:r>
      <w:r>
        <w:rPr>
          <w:szCs w:val="26"/>
        </w:rPr>
        <w:t>the North American Electric Reliability Corporation (</w:t>
      </w:r>
      <w:r w:rsidRPr="009544DB">
        <w:rPr>
          <w:szCs w:val="26"/>
        </w:rPr>
        <w:t>NERC</w:t>
      </w:r>
      <w:r>
        <w:rPr>
          <w:szCs w:val="26"/>
        </w:rPr>
        <w:t>)</w:t>
      </w:r>
      <w:r w:rsidRPr="009544DB">
        <w:rPr>
          <w:szCs w:val="26"/>
        </w:rPr>
        <w:t xml:space="preserve"> as the ERO</w:t>
      </w:r>
      <w:r>
        <w:rPr>
          <w:szCs w:val="26"/>
        </w:rPr>
        <w:t>.</w:t>
      </w:r>
      <w:r>
        <w:rPr>
          <w:rStyle w:val="FootnoteReference"/>
        </w:rPr>
        <w:footnoteReference w:id="1"/>
      </w:r>
      <w:r w:rsidRPr="00DA3ECE">
        <w:rPr>
          <w:szCs w:val="26"/>
        </w:rPr>
        <w:t xml:space="preserve">  Reliability Standards that the ERO proposes to the Commission may include Reliability Standards that are proposed to the ERO by a Regional Entity.</w:t>
      </w:r>
      <w:r w:rsidRPr="00DA3ECE">
        <w:rPr>
          <w:b/>
          <w:szCs w:val="26"/>
          <w:vertAlign w:val="superscript"/>
        </w:rPr>
        <w:footnoteReference w:id="2"/>
      </w:r>
      <w:r w:rsidRPr="00DA3ECE">
        <w:rPr>
          <w:szCs w:val="26"/>
        </w:rPr>
        <w:t xml:space="preserve">  A Regional Entity is an entity that has been approved by the Commission to enforce Reliability Standards under delegated authority from the ERO.</w:t>
      </w:r>
      <w:r w:rsidRPr="00DA3ECE">
        <w:rPr>
          <w:b/>
          <w:szCs w:val="26"/>
          <w:vertAlign w:val="superscript"/>
        </w:rPr>
        <w:footnoteReference w:id="3"/>
      </w:r>
      <w:r w:rsidRPr="00DA3ECE">
        <w:rPr>
          <w:szCs w:val="26"/>
        </w:rPr>
        <w:t xml:space="preserve">  On </w:t>
      </w:r>
      <w:r>
        <w:rPr>
          <w:szCs w:val="26"/>
        </w:rPr>
        <w:t>March 17, 2011</w:t>
      </w:r>
      <w:r w:rsidRPr="00DA3ECE">
        <w:rPr>
          <w:szCs w:val="26"/>
        </w:rPr>
        <w:t xml:space="preserve">, the Commission approved </w:t>
      </w:r>
      <w:r>
        <w:rPr>
          <w:szCs w:val="26"/>
        </w:rPr>
        <w:t xml:space="preserve">a </w:t>
      </w:r>
      <w:r w:rsidRPr="00DA3ECE">
        <w:rPr>
          <w:szCs w:val="26"/>
        </w:rPr>
        <w:t xml:space="preserve">regional Reliability Standard submitted by the ERO that </w:t>
      </w:r>
      <w:r>
        <w:rPr>
          <w:szCs w:val="26"/>
        </w:rPr>
        <w:t>was</w:t>
      </w:r>
      <w:r w:rsidRPr="00DA3ECE">
        <w:rPr>
          <w:szCs w:val="26"/>
        </w:rPr>
        <w:t xml:space="preserve"> </w:t>
      </w:r>
      <w:r>
        <w:rPr>
          <w:szCs w:val="26"/>
        </w:rPr>
        <w:t>developed</w:t>
      </w:r>
      <w:r w:rsidRPr="00DA3ECE">
        <w:rPr>
          <w:szCs w:val="26"/>
        </w:rPr>
        <w:t xml:space="preserve"> by the </w:t>
      </w:r>
      <w:r>
        <w:rPr>
          <w:szCs w:val="26"/>
        </w:rPr>
        <w:t>ReliabilityFirst Corporation</w:t>
      </w:r>
      <w:r w:rsidRPr="00DA3ECE">
        <w:rPr>
          <w:szCs w:val="26"/>
        </w:rPr>
        <w:t xml:space="preserve"> (</w:t>
      </w:r>
      <w:r>
        <w:rPr>
          <w:szCs w:val="26"/>
        </w:rPr>
        <w:t>RF</w:t>
      </w:r>
      <w:r w:rsidRPr="00DA3ECE">
        <w:rPr>
          <w:szCs w:val="26"/>
        </w:rPr>
        <w:t>).</w:t>
      </w:r>
      <w:r w:rsidRPr="00DA3ECE">
        <w:rPr>
          <w:b/>
          <w:szCs w:val="26"/>
          <w:vertAlign w:val="superscript"/>
        </w:rPr>
        <w:footnoteReference w:id="4"/>
      </w:r>
    </w:p>
    <w:p w14:paraId="19A7DDC8" w14:textId="77777777" w:rsidR="007F6E5B" w:rsidRPr="004476E2" w:rsidRDefault="007F6E5B" w:rsidP="007F6E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4476E2">
        <w:rPr>
          <w:szCs w:val="26"/>
        </w:rPr>
        <w:tab/>
      </w:r>
      <w:r>
        <w:rPr>
          <w:szCs w:val="26"/>
        </w:rPr>
        <w:t>RF</w:t>
      </w:r>
      <w:r w:rsidRPr="004476E2">
        <w:rPr>
          <w:szCs w:val="26"/>
        </w:rPr>
        <w:t xml:space="preserve"> promotes bulk electric system reliability in the </w:t>
      </w:r>
      <w:r>
        <w:rPr>
          <w:szCs w:val="26"/>
        </w:rPr>
        <w:t>Eastern</w:t>
      </w:r>
      <w:r w:rsidRPr="004476E2">
        <w:rPr>
          <w:szCs w:val="26"/>
        </w:rPr>
        <w:t xml:space="preserve"> Interconnection. </w:t>
      </w:r>
      <w:r>
        <w:rPr>
          <w:szCs w:val="26"/>
        </w:rPr>
        <w:t>RF</w:t>
      </w:r>
      <w:r w:rsidRPr="004476E2">
        <w:rPr>
          <w:szCs w:val="26"/>
        </w:rPr>
        <w:t xml:space="preserve"> is the Regional Entity responsible for compliance monitoring and enforcement</w:t>
      </w:r>
      <w:r>
        <w:rPr>
          <w:szCs w:val="26"/>
        </w:rPr>
        <w:t xml:space="preserve"> in the RF region</w:t>
      </w:r>
      <w:r w:rsidRPr="004476E2">
        <w:rPr>
          <w:szCs w:val="26"/>
        </w:rPr>
        <w:t xml:space="preserve">.  In addition, </w:t>
      </w:r>
      <w:r>
        <w:rPr>
          <w:szCs w:val="26"/>
        </w:rPr>
        <w:t>RF</w:t>
      </w:r>
      <w:r w:rsidRPr="004476E2">
        <w:rPr>
          <w:szCs w:val="26"/>
        </w:rPr>
        <w:t xml:space="preserve"> provides an environment for the development of Reliability Standards and the coordination of the operating and planning activities of its members as set forth in the </w:t>
      </w:r>
      <w:r>
        <w:rPr>
          <w:szCs w:val="26"/>
        </w:rPr>
        <w:t>RF b</w:t>
      </w:r>
      <w:r w:rsidRPr="004476E2">
        <w:rPr>
          <w:szCs w:val="26"/>
        </w:rPr>
        <w:t xml:space="preserve">ylaws. </w:t>
      </w:r>
    </w:p>
    <w:p w14:paraId="57F40DDB" w14:textId="77777777" w:rsidR="007F6E5B" w:rsidRPr="00E46B49" w:rsidRDefault="007F6E5B" w:rsidP="007F6E5B">
      <w:pPr>
        <w:autoSpaceDE w:val="0"/>
        <w:autoSpaceDN w:val="0"/>
        <w:adjustRightInd w:val="0"/>
        <w:spacing w:line="480" w:lineRule="auto"/>
        <w:ind w:firstLine="720"/>
        <w:rPr>
          <w:szCs w:val="26"/>
        </w:rPr>
      </w:pPr>
      <w:r w:rsidRPr="00E46B49">
        <w:rPr>
          <w:szCs w:val="26"/>
        </w:rPr>
        <w:t xml:space="preserve">There </w:t>
      </w:r>
      <w:r>
        <w:rPr>
          <w:szCs w:val="26"/>
        </w:rPr>
        <w:t>is one</w:t>
      </w:r>
      <w:r w:rsidRPr="00E46B49">
        <w:rPr>
          <w:szCs w:val="26"/>
        </w:rPr>
        <w:t xml:space="preserve"> regional Reliability Standard in the </w:t>
      </w:r>
      <w:r>
        <w:rPr>
          <w:szCs w:val="26"/>
        </w:rPr>
        <w:t xml:space="preserve">RF region.  </w:t>
      </w:r>
      <w:r w:rsidRPr="0058026F">
        <w:rPr>
          <w:szCs w:val="26"/>
        </w:rPr>
        <w:t>The regional Reliability Standard requires planning coordinators within the RF geographical footprint to analyze, assess and document resource adequacy for load in the RF footprint annually, to utilize a “one day in ten years” loss of load criterion, and to document and post load and resource capability in each area or transmission-constrained sub-area identified.</w:t>
      </w:r>
    </w:p>
    <w:p w14:paraId="48C48058" w14:textId="77777777" w:rsidR="007F6E5B" w:rsidRPr="0044716B" w:rsidRDefault="007F6E5B" w:rsidP="007F6E5B">
      <w:pPr>
        <w:numPr>
          <w:ilvl w:val="0"/>
          <w:numId w:val="5"/>
        </w:numPr>
        <w:autoSpaceDE w:val="0"/>
        <w:autoSpaceDN w:val="0"/>
        <w:adjustRightInd w:val="0"/>
        <w:spacing w:line="480" w:lineRule="auto"/>
        <w:rPr>
          <w:szCs w:val="26"/>
        </w:rPr>
      </w:pPr>
      <w:r w:rsidRPr="0044716B">
        <w:rPr>
          <w:szCs w:val="26"/>
        </w:rPr>
        <w:t>BAL-502-RFC-02</w:t>
      </w:r>
      <w:r w:rsidRPr="0044716B" w:rsidDel="004F3B23">
        <w:rPr>
          <w:rStyle w:val="FootnoteReference"/>
        </w:rPr>
        <w:t xml:space="preserve"> </w:t>
      </w:r>
      <w:r w:rsidRPr="0044716B">
        <w:rPr>
          <w:szCs w:val="26"/>
        </w:rPr>
        <w:t>(Planning Resource Adequacy Analysis, Assessment and Documentation)</w:t>
      </w:r>
      <w:r w:rsidRPr="00E46B49">
        <w:rPr>
          <w:rStyle w:val="FootnoteReference"/>
        </w:rPr>
        <w:footnoteReference w:id="5"/>
      </w:r>
      <w:r w:rsidRPr="0044716B">
        <w:rPr>
          <w:szCs w:val="26"/>
        </w:rPr>
        <w:t xml:space="preserve"> establishes common criteria, based on “one day in ten year” loss of </w:t>
      </w:r>
      <w:r>
        <w:rPr>
          <w:szCs w:val="26"/>
        </w:rPr>
        <w:t>l</w:t>
      </w:r>
      <w:r w:rsidRPr="0044716B">
        <w:rPr>
          <w:szCs w:val="26"/>
        </w:rPr>
        <w:t>oad expectation principles, for the analysis, assessment,</w:t>
      </w:r>
      <w:r>
        <w:rPr>
          <w:szCs w:val="26"/>
        </w:rPr>
        <w:t xml:space="preserve"> </w:t>
      </w:r>
      <w:r w:rsidRPr="0044716B">
        <w:rPr>
          <w:szCs w:val="26"/>
        </w:rPr>
        <w:t xml:space="preserve">and documentation of </w:t>
      </w:r>
      <w:r>
        <w:rPr>
          <w:szCs w:val="26"/>
        </w:rPr>
        <w:t>r</w:t>
      </w:r>
      <w:r w:rsidRPr="0044716B">
        <w:rPr>
          <w:szCs w:val="26"/>
        </w:rPr>
        <w:t xml:space="preserve">esource </w:t>
      </w:r>
      <w:r>
        <w:rPr>
          <w:szCs w:val="26"/>
        </w:rPr>
        <w:t>a</w:t>
      </w:r>
      <w:r w:rsidRPr="0044716B">
        <w:rPr>
          <w:szCs w:val="26"/>
        </w:rPr>
        <w:t xml:space="preserve">dequacy for </w:t>
      </w:r>
      <w:r>
        <w:rPr>
          <w:szCs w:val="26"/>
        </w:rPr>
        <w:t>l</w:t>
      </w:r>
      <w:r w:rsidRPr="0044716B">
        <w:rPr>
          <w:szCs w:val="26"/>
        </w:rPr>
        <w:t xml:space="preserve">oad in the </w:t>
      </w:r>
      <w:r>
        <w:rPr>
          <w:szCs w:val="26"/>
        </w:rPr>
        <w:t>RF</w:t>
      </w:r>
      <w:r w:rsidRPr="0044716B">
        <w:rPr>
          <w:szCs w:val="26"/>
        </w:rPr>
        <w:t xml:space="preserve"> region.    </w:t>
      </w:r>
    </w:p>
    <w:p w14:paraId="357C9E7D" w14:textId="77777777" w:rsidR="007F6E5B" w:rsidRPr="00AA4C33" w:rsidRDefault="007F6E5B" w:rsidP="007F6E5B">
      <w:pPr>
        <w:autoSpaceDE w:val="0"/>
        <w:autoSpaceDN w:val="0"/>
        <w:adjustRightInd w:val="0"/>
        <w:spacing w:line="480" w:lineRule="auto"/>
        <w:ind w:firstLine="720"/>
        <w:rPr>
          <w:szCs w:val="26"/>
        </w:rPr>
      </w:pPr>
      <w:r w:rsidRPr="00AA4C33">
        <w:rPr>
          <w:szCs w:val="26"/>
        </w:rPr>
        <w:t>The Commission’s request to OMB reflect</w:t>
      </w:r>
      <w:r>
        <w:rPr>
          <w:szCs w:val="26"/>
        </w:rPr>
        <w:t>s</w:t>
      </w:r>
      <w:r w:rsidRPr="00AA4C33">
        <w:rPr>
          <w:szCs w:val="26"/>
        </w:rPr>
        <w:t xml:space="preserve"> the following:</w:t>
      </w:r>
    </w:p>
    <w:p w14:paraId="08D8F82E" w14:textId="77777777" w:rsidR="007F6E5B" w:rsidRPr="00D601A9" w:rsidRDefault="007F6E5B" w:rsidP="007F6E5B">
      <w:pPr>
        <w:pStyle w:val="ListParagraph"/>
        <w:numPr>
          <w:ilvl w:val="0"/>
          <w:numId w:val="7"/>
        </w:numPr>
        <w:tabs>
          <w:tab w:val="left" w:pos="1440"/>
        </w:tabs>
        <w:autoSpaceDE w:val="0"/>
        <w:autoSpaceDN w:val="0"/>
        <w:adjustRightInd w:val="0"/>
        <w:spacing w:after="0" w:line="480" w:lineRule="auto"/>
        <w:ind w:left="1440"/>
        <w:rPr>
          <w:rFonts w:ascii="Times New Roman" w:eastAsia="Times New Roman" w:hAnsi="Times New Roman" w:cs="Times New Roman"/>
          <w:sz w:val="26"/>
          <w:szCs w:val="26"/>
        </w:rPr>
      </w:pPr>
      <w:r w:rsidRPr="00D601A9">
        <w:rPr>
          <w:rFonts w:ascii="Times New Roman" w:hAnsi="Times New Roman" w:cs="Times New Roman"/>
          <w:sz w:val="26"/>
          <w:szCs w:val="26"/>
        </w:rPr>
        <w:t xml:space="preserve">implementing </w:t>
      </w:r>
      <w:r w:rsidRPr="00D601A9">
        <w:rPr>
          <w:rFonts w:ascii="Times New Roman" w:eastAsia="Times New Roman" w:hAnsi="Times New Roman" w:cs="Times New Roman"/>
          <w:sz w:val="26"/>
          <w:szCs w:val="26"/>
        </w:rPr>
        <w:t xml:space="preserve">the regional Reliability Standard </w:t>
      </w:r>
      <w:r w:rsidRPr="0044716B">
        <w:rPr>
          <w:rFonts w:ascii="Times New Roman" w:eastAsia="Times New Roman" w:hAnsi="Times New Roman" w:cs="Times New Roman"/>
          <w:sz w:val="26"/>
          <w:szCs w:val="26"/>
        </w:rPr>
        <w:t>BAL-502-RF-0</w:t>
      </w:r>
      <w:r>
        <w:rPr>
          <w:rFonts w:ascii="Times New Roman" w:eastAsia="Times New Roman" w:hAnsi="Times New Roman" w:cs="Times New Roman"/>
          <w:sz w:val="26"/>
          <w:szCs w:val="26"/>
        </w:rPr>
        <w:t>3 and</w:t>
      </w:r>
      <w:r w:rsidRPr="00D601A9">
        <w:rPr>
          <w:rFonts w:ascii="Times New Roman" w:eastAsia="Times New Roman" w:hAnsi="Times New Roman" w:cs="Times New Roman"/>
          <w:sz w:val="26"/>
          <w:szCs w:val="26"/>
        </w:rPr>
        <w:t xml:space="preserve"> the retirement of regional Reliability Standard </w:t>
      </w:r>
      <w:r w:rsidRPr="0044716B">
        <w:rPr>
          <w:rFonts w:ascii="Times New Roman" w:eastAsia="Times New Roman" w:hAnsi="Times New Roman" w:cs="Times New Roman"/>
          <w:sz w:val="26"/>
          <w:szCs w:val="26"/>
        </w:rPr>
        <w:t>BAL-502-RFC-02</w:t>
      </w:r>
      <w:bookmarkStart w:id="1" w:name="_Ref497991290"/>
      <w:r>
        <w:rPr>
          <w:rStyle w:val="FootnoteReference"/>
          <w:rFonts w:eastAsia="Times New Roman" w:cs="Times New Roman"/>
        </w:rPr>
        <w:footnoteReference w:id="6"/>
      </w:r>
      <w:bookmarkEnd w:id="1"/>
      <w:r w:rsidRPr="00D601A9">
        <w:rPr>
          <w:rFonts w:ascii="Times New Roman" w:hAnsi="Times New Roman" w:cs="Times New Roman"/>
          <w:sz w:val="26"/>
          <w:szCs w:val="26"/>
        </w:rPr>
        <w:t xml:space="preserve"> </w:t>
      </w:r>
      <w:r>
        <w:rPr>
          <w:rFonts w:ascii="Times New Roman" w:eastAsia="Times New Roman" w:hAnsi="Times New Roman" w:cs="Times New Roman"/>
          <w:sz w:val="26"/>
          <w:szCs w:val="26"/>
        </w:rPr>
        <w:t xml:space="preserve">which is </w:t>
      </w:r>
      <w:r w:rsidRPr="00D601A9">
        <w:rPr>
          <w:rFonts w:ascii="Times New Roman" w:eastAsia="Times New Roman" w:hAnsi="Times New Roman" w:cs="Times New Roman"/>
          <w:sz w:val="26"/>
          <w:szCs w:val="26"/>
        </w:rPr>
        <w:t>discussed</w:t>
      </w:r>
      <w:r>
        <w:rPr>
          <w:rFonts w:ascii="Times New Roman" w:eastAsia="Times New Roman" w:hAnsi="Times New Roman" w:cs="Times New Roman"/>
          <w:sz w:val="26"/>
          <w:szCs w:val="26"/>
        </w:rPr>
        <w:t xml:space="preserve"> below</w:t>
      </w:r>
      <w:r w:rsidRPr="00D601A9">
        <w:rPr>
          <w:rFonts w:ascii="Times New Roman" w:eastAsia="Times New Roman" w:hAnsi="Times New Roman" w:cs="Times New Roman"/>
          <w:sz w:val="26"/>
          <w:szCs w:val="26"/>
        </w:rPr>
        <w:t>.</w:t>
      </w:r>
    </w:p>
    <w:p w14:paraId="06B5BD3A" w14:textId="77777777" w:rsidR="007F6E5B" w:rsidRPr="000027F9" w:rsidRDefault="007F6E5B" w:rsidP="007F6E5B">
      <w:pPr>
        <w:autoSpaceDE w:val="0"/>
        <w:autoSpaceDN w:val="0"/>
        <w:adjustRightInd w:val="0"/>
        <w:spacing w:line="480" w:lineRule="auto"/>
        <w:ind w:firstLine="720"/>
        <w:rPr>
          <w:szCs w:val="26"/>
        </w:rPr>
      </w:pPr>
      <w:r w:rsidRPr="00E16779">
        <w:rPr>
          <w:szCs w:val="26"/>
        </w:rPr>
        <w:t xml:space="preserve">On </w:t>
      </w:r>
      <w:r>
        <w:rPr>
          <w:szCs w:val="26"/>
        </w:rPr>
        <w:t>September 7</w:t>
      </w:r>
      <w:r w:rsidRPr="00E16779">
        <w:rPr>
          <w:szCs w:val="26"/>
        </w:rPr>
        <w:t xml:space="preserve">, 2017, NERC and </w:t>
      </w:r>
      <w:r>
        <w:rPr>
          <w:szCs w:val="26"/>
        </w:rPr>
        <w:t>RF</w:t>
      </w:r>
      <w:r w:rsidRPr="00E16779">
        <w:rPr>
          <w:szCs w:val="26"/>
        </w:rPr>
        <w:t xml:space="preserve"> filed a joint petition in Docket No. RD17-</w:t>
      </w:r>
      <w:r>
        <w:rPr>
          <w:szCs w:val="26"/>
        </w:rPr>
        <w:t>8</w:t>
      </w:r>
      <w:r w:rsidRPr="00E16779">
        <w:rPr>
          <w:szCs w:val="26"/>
        </w:rPr>
        <w:t>-000</w:t>
      </w:r>
      <w:r w:rsidRPr="00E16779">
        <w:rPr>
          <w:rStyle w:val="FootnoteReference"/>
        </w:rPr>
        <w:footnoteReference w:id="7"/>
      </w:r>
      <w:r w:rsidRPr="00E16779">
        <w:rPr>
          <w:szCs w:val="26"/>
        </w:rPr>
        <w:t xml:space="preserve"> requesting Commission approval of:  (a) regional Reliability Standard </w:t>
      </w:r>
      <w:r w:rsidRPr="002631E2">
        <w:rPr>
          <w:szCs w:val="26"/>
        </w:rPr>
        <w:t>BAL-502-RF-03</w:t>
      </w:r>
      <w:r w:rsidRPr="00E16779">
        <w:rPr>
          <w:szCs w:val="26"/>
        </w:rPr>
        <w:t xml:space="preserve"> (</w:t>
      </w:r>
      <w:r w:rsidRPr="0044716B">
        <w:rPr>
          <w:szCs w:val="26"/>
        </w:rPr>
        <w:t>Planning Resource Adequacy Analysis, Assessment and Documentation</w:t>
      </w:r>
      <w:r w:rsidRPr="00E16779">
        <w:rPr>
          <w:szCs w:val="26"/>
        </w:rPr>
        <w:t xml:space="preserve">), and (b) the retirement of regional Reliability Standard </w:t>
      </w:r>
      <w:r w:rsidRPr="0044716B">
        <w:rPr>
          <w:szCs w:val="26"/>
        </w:rPr>
        <w:t>BAL-502-RFC-02</w:t>
      </w:r>
      <w:r w:rsidRPr="00086CF0">
        <w:rPr>
          <w:szCs w:val="26"/>
          <w:vertAlign w:val="superscript"/>
        </w:rPr>
        <w:fldChar w:fldCharType="begin"/>
      </w:r>
      <w:r w:rsidRPr="00086CF0">
        <w:rPr>
          <w:szCs w:val="26"/>
          <w:vertAlign w:val="superscript"/>
        </w:rPr>
        <w:instrText xml:space="preserve"> NOTEREF _Ref497991290 \h </w:instrText>
      </w:r>
      <w:r>
        <w:rPr>
          <w:szCs w:val="26"/>
          <w:vertAlign w:val="superscript"/>
        </w:rPr>
        <w:instrText xml:space="preserve"> \* MERGEFORMAT </w:instrText>
      </w:r>
      <w:r w:rsidRPr="00086CF0">
        <w:rPr>
          <w:szCs w:val="26"/>
          <w:vertAlign w:val="superscript"/>
        </w:rPr>
      </w:r>
      <w:r w:rsidRPr="00086CF0">
        <w:rPr>
          <w:szCs w:val="26"/>
          <w:vertAlign w:val="superscript"/>
        </w:rPr>
        <w:fldChar w:fldCharType="separate"/>
      </w:r>
      <w:r w:rsidRPr="00086CF0">
        <w:rPr>
          <w:szCs w:val="26"/>
          <w:vertAlign w:val="superscript"/>
        </w:rPr>
        <w:t>6</w:t>
      </w:r>
      <w:r w:rsidRPr="00086CF0">
        <w:rPr>
          <w:szCs w:val="26"/>
          <w:vertAlign w:val="superscript"/>
        </w:rPr>
        <w:fldChar w:fldCharType="end"/>
      </w:r>
      <w:r w:rsidRPr="00E16779">
        <w:rPr>
          <w:szCs w:val="26"/>
        </w:rPr>
        <w:t>.  The petition states:  “</w:t>
      </w:r>
      <w:r>
        <w:rPr>
          <w:szCs w:val="26"/>
        </w:rPr>
        <w:t>Proposed r</w:t>
      </w:r>
      <w:r w:rsidRPr="00A819A9">
        <w:rPr>
          <w:szCs w:val="26"/>
        </w:rPr>
        <w:t>egional Reliability Standard BAL-502-RF-03 establishes common criteria,</w:t>
      </w:r>
      <w:r>
        <w:rPr>
          <w:szCs w:val="26"/>
        </w:rPr>
        <w:t xml:space="preserve"> </w:t>
      </w:r>
      <w:r w:rsidRPr="00A819A9">
        <w:rPr>
          <w:szCs w:val="26"/>
        </w:rPr>
        <w:t>based on “one day in ten year” loss of Load expectation principles, for the analysis, assessment,</w:t>
      </w:r>
      <w:r>
        <w:rPr>
          <w:szCs w:val="26"/>
        </w:rPr>
        <w:t xml:space="preserve"> </w:t>
      </w:r>
      <w:r w:rsidRPr="00A819A9">
        <w:rPr>
          <w:szCs w:val="26"/>
        </w:rPr>
        <w:t>and documentation of Resource Adequacy for Load in the ReliabilityFirst region.</w:t>
      </w:r>
      <w:r w:rsidRPr="00E16779">
        <w:rPr>
          <w:szCs w:val="26"/>
        </w:rPr>
        <w:t xml:space="preserve">”  </w:t>
      </w:r>
      <w:r w:rsidRPr="007C5A2E">
        <w:rPr>
          <w:szCs w:val="26"/>
        </w:rPr>
        <w:t xml:space="preserve">NERC’s and </w:t>
      </w:r>
      <w:r>
        <w:rPr>
          <w:szCs w:val="26"/>
        </w:rPr>
        <w:t>RF</w:t>
      </w:r>
      <w:r w:rsidRPr="007C5A2E">
        <w:rPr>
          <w:szCs w:val="26"/>
        </w:rPr>
        <w:t xml:space="preserve">’s joint filing was noticed on </w:t>
      </w:r>
      <w:r>
        <w:rPr>
          <w:szCs w:val="26"/>
        </w:rPr>
        <w:t>September 8</w:t>
      </w:r>
      <w:r w:rsidRPr="007C5A2E">
        <w:rPr>
          <w:szCs w:val="26"/>
        </w:rPr>
        <w:t xml:space="preserve">, 2017, with interventions, comments and protests due on or before </w:t>
      </w:r>
      <w:r>
        <w:rPr>
          <w:szCs w:val="26"/>
        </w:rPr>
        <w:t>October 10</w:t>
      </w:r>
      <w:r w:rsidRPr="007C5A2E">
        <w:rPr>
          <w:szCs w:val="26"/>
        </w:rPr>
        <w:t>, 2017.</w:t>
      </w:r>
      <w:r w:rsidRPr="00E16779">
        <w:rPr>
          <w:szCs w:val="26"/>
        </w:rPr>
        <w:t xml:space="preserve">  In this document, we provide estimates of the burden and cost related to those revisions to FERC-725</w:t>
      </w:r>
      <w:r>
        <w:rPr>
          <w:szCs w:val="26"/>
        </w:rPr>
        <w:t>HH</w:t>
      </w:r>
      <w:r w:rsidRPr="00E16779">
        <w:rPr>
          <w:szCs w:val="26"/>
        </w:rPr>
        <w:t>.</w:t>
      </w:r>
    </w:p>
    <w:p w14:paraId="05291C9C" w14:textId="77777777" w:rsidR="007F6E5B" w:rsidRDefault="007F6E5B" w:rsidP="007F6E5B">
      <w:pPr>
        <w:spacing w:line="480" w:lineRule="auto"/>
        <w:rPr>
          <w:szCs w:val="26"/>
        </w:rPr>
      </w:pPr>
      <w:r w:rsidRPr="000027F9">
        <w:rPr>
          <w:i/>
          <w:szCs w:val="26"/>
        </w:rPr>
        <w:t xml:space="preserve">Type of Respondents: </w:t>
      </w:r>
      <w:r>
        <w:rPr>
          <w:szCs w:val="26"/>
        </w:rPr>
        <w:t>Planning coordinators.</w:t>
      </w:r>
    </w:p>
    <w:p w14:paraId="153B4B8A" w14:textId="77777777" w:rsidR="007F6E5B" w:rsidRDefault="007F6E5B" w:rsidP="007F6E5B">
      <w:pPr>
        <w:spacing w:line="480" w:lineRule="auto"/>
      </w:pPr>
      <w:r w:rsidRPr="00894E41">
        <w:rPr>
          <w:i/>
        </w:rPr>
        <w:t>Estimate of Annual Burden</w:t>
      </w:r>
      <w:r w:rsidRPr="00894E41">
        <w:rPr>
          <w:b/>
          <w:i/>
          <w:szCs w:val="26"/>
          <w:vertAlign w:val="superscript"/>
        </w:rPr>
        <w:footnoteReference w:id="8"/>
      </w:r>
      <w:r w:rsidRPr="00894E41">
        <w:rPr>
          <w:i/>
        </w:rPr>
        <w:t xml:space="preserve">: </w:t>
      </w:r>
      <w:r w:rsidRPr="00E35BD4">
        <w:t xml:space="preserve">Details follow </w:t>
      </w:r>
      <w:r>
        <w:t>on the changes related to Docket No. RD17-8-000.</w:t>
      </w:r>
    </w:p>
    <w:p w14:paraId="1ECDAFD2" w14:textId="77777777" w:rsidR="007F6E5B" w:rsidRPr="008F6F02" w:rsidRDefault="007F6E5B" w:rsidP="007F6E5B">
      <w:pPr>
        <w:spacing w:line="480" w:lineRule="auto"/>
      </w:pPr>
      <w:r w:rsidRPr="00B27F62">
        <w:rPr>
          <w:i/>
        </w:rPr>
        <w:t>Estimate of Changes to Burden Due to Docket No. RD17-</w:t>
      </w:r>
      <w:r>
        <w:rPr>
          <w:i/>
        </w:rPr>
        <w:t>8</w:t>
      </w:r>
      <w:r w:rsidRPr="00B27F62">
        <w:rPr>
          <w:i/>
        </w:rPr>
        <w:t>:</w:t>
      </w:r>
      <w:r w:rsidRPr="00B27F62">
        <w:t xml:space="preserve">  The joint petition requested Commission approval of regional Reliability Standard </w:t>
      </w:r>
      <w:r>
        <w:t>BAL-502-RF-03</w:t>
      </w:r>
      <w:r w:rsidRPr="00B27F62">
        <w:t xml:space="preserve"> and retirement of regional Reliability Standard </w:t>
      </w:r>
      <w:r>
        <w:t>BAL-502-RFC-02</w:t>
      </w:r>
      <w:r w:rsidRPr="00B27F62">
        <w:t>.  The estimated effects on burden and cost</w:t>
      </w:r>
      <w:r>
        <w:rPr>
          <w:rStyle w:val="FootnoteReference"/>
        </w:rPr>
        <w:footnoteReference w:id="9"/>
      </w:r>
      <w:r w:rsidRPr="00B27F62">
        <w:t xml:space="preserve"> are as follow</w:t>
      </w:r>
      <w:r>
        <w:t>s</w:t>
      </w:r>
      <w:r w:rsidRPr="00B27F62">
        <w:t>:</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1710"/>
        <w:gridCol w:w="1440"/>
        <w:gridCol w:w="1260"/>
        <w:gridCol w:w="1260"/>
        <w:gridCol w:w="1530"/>
        <w:gridCol w:w="1445"/>
      </w:tblGrid>
      <w:tr w:rsidR="007F6E5B" w:rsidRPr="008F6F02" w14:paraId="63C2D7CF" w14:textId="77777777" w:rsidTr="002C0A0E">
        <w:trPr>
          <w:trHeight w:val="288"/>
        </w:trPr>
        <w:tc>
          <w:tcPr>
            <w:tcW w:w="10080" w:type="dxa"/>
            <w:gridSpan w:val="7"/>
            <w:shd w:val="clear" w:color="auto" w:fill="D9D9D9"/>
          </w:tcPr>
          <w:p w14:paraId="53DED817" w14:textId="77777777" w:rsidR="007F6E5B" w:rsidRPr="008F6F02" w:rsidRDefault="007F6E5B" w:rsidP="002C0A0E">
            <w:pPr>
              <w:jc w:val="center"/>
              <w:rPr>
                <w:rFonts w:eastAsia="Calibri"/>
                <w:b/>
                <w:sz w:val="20"/>
                <w:szCs w:val="20"/>
              </w:rPr>
            </w:pPr>
            <w:r>
              <w:rPr>
                <w:rFonts w:eastAsia="Calibri"/>
                <w:b/>
                <w:sz w:val="20"/>
                <w:szCs w:val="20"/>
              </w:rPr>
              <w:t>FERC-725HH</w:t>
            </w:r>
            <w:r w:rsidRPr="008F6F02">
              <w:rPr>
                <w:rFonts w:eastAsia="Calibri"/>
                <w:b/>
                <w:sz w:val="20"/>
                <w:szCs w:val="20"/>
              </w:rPr>
              <w:t xml:space="preserve">, </w:t>
            </w:r>
            <w:r>
              <w:rPr>
                <w:rFonts w:eastAsia="Calibri"/>
                <w:b/>
                <w:sz w:val="20"/>
                <w:szCs w:val="20"/>
              </w:rPr>
              <w:t>RF Reliability Standards</w:t>
            </w:r>
            <w:r w:rsidRPr="008F6F02">
              <w:rPr>
                <w:rFonts w:eastAsia="Calibri"/>
                <w:b/>
                <w:sz w:val="20"/>
                <w:szCs w:val="20"/>
              </w:rPr>
              <w:t>,</w:t>
            </w:r>
          </w:p>
          <w:p w14:paraId="2714CB2A" w14:textId="77777777" w:rsidR="007F6E5B" w:rsidRPr="008F6F02" w:rsidRDefault="007F6E5B" w:rsidP="002C0A0E">
            <w:pPr>
              <w:jc w:val="center"/>
              <w:rPr>
                <w:rFonts w:eastAsia="Calibri"/>
                <w:b/>
                <w:sz w:val="20"/>
                <w:szCs w:val="20"/>
              </w:rPr>
            </w:pPr>
            <w:r>
              <w:rPr>
                <w:rFonts w:eastAsia="Calibri"/>
                <w:b/>
                <w:sz w:val="20"/>
                <w:szCs w:val="20"/>
              </w:rPr>
              <w:t>Changes in Docket No. RD17-8</w:t>
            </w:r>
            <w:r w:rsidRPr="008F6F02">
              <w:rPr>
                <w:rFonts w:eastAsia="Calibri"/>
                <w:b/>
                <w:sz w:val="20"/>
                <w:szCs w:val="20"/>
              </w:rPr>
              <w:t>-000</w:t>
            </w:r>
          </w:p>
        </w:tc>
      </w:tr>
      <w:tr w:rsidR="007F6E5B" w:rsidRPr="008F6F02" w14:paraId="6CEDA6F7" w14:textId="77777777" w:rsidTr="002C0A0E">
        <w:trPr>
          <w:trHeight w:val="744"/>
        </w:trPr>
        <w:tc>
          <w:tcPr>
            <w:tcW w:w="1435" w:type="dxa"/>
            <w:shd w:val="clear" w:color="auto" w:fill="D9D9D9"/>
            <w:vAlign w:val="bottom"/>
          </w:tcPr>
          <w:p w14:paraId="44DDF9F7" w14:textId="77777777" w:rsidR="007F6E5B" w:rsidRPr="008F6F02" w:rsidRDefault="007F6E5B" w:rsidP="002C0A0E">
            <w:pPr>
              <w:jc w:val="center"/>
              <w:rPr>
                <w:rFonts w:eastAsia="Calibri"/>
                <w:b/>
                <w:sz w:val="20"/>
                <w:szCs w:val="20"/>
              </w:rPr>
            </w:pPr>
            <w:r w:rsidRPr="008F6F02">
              <w:rPr>
                <w:rFonts w:eastAsia="Calibri"/>
                <w:b/>
                <w:sz w:val="20"/>
                <w:szCs w:val="20"/>
              </w:rPr>
              <w:t xml:space="preserve">Entity </w:t>
            </w:r>
          </w:p>
        </w:tc>
        <w:tc>
          <w:tcPr>
            <w:tcW w:w="1710" w:type="dxa"/>
            <w:shd w:val="clear" w:color="auto" w:fill="D9D9D9"/>
            <w:vAlign w:val="bottom"/>
          </w:tcPr>
          <w:p w14:paraId="12CB4370" w14:textId="77777777" w:rsidR="007F6E5B" w:rsidRPr="008F6F02" w:rsidRDefault="007F6E5B" w:rsidP="002C0A0E">
            <w:pPr>
              <w:jc w:val="center"/>
              <w:rPr>
                <w:rFonts w:eastAsia="Calibri"/>
                <w:sz w:val="20"/>
                <w:szCs w:val="20"/>
                <w:vertAlign w:val="superscript"/>
              </w:rPr>
            </w:pPr>
            <w:r w:rsidRPr="008F6F02">
              <w:rPr>
                <w:rFonts w:eastAsia="Calibri"/>
                <w:b/>
                <w:sz w:val="20"/>
                <w:szCs w:val="20"/>
              </w:rPr>
              <w:t>No. of Respondents</w:t>
            </w:r>
            <w:r w:rsidRPr="008F6F02">
              <w:rPr>
                <w:rStyle w:val="FootnoteReference"/>
                <w:rFonts w:eastAsia="Calibri"/>
                <w:sz w:val="20"/>
                <w:szCs w:val="20"/>
              </w:rPr>
              <w:footnoteReference w:id="10"/>
            </w:r>
          </w:p>
          <w:p w14:paraId="1AE6D6D6" w14:textId="77777777" w:rsidR="007F6E5B" w:rsidRPr="008F6F02" w:rsidRDefault="007F6E5B" w:rsidP="002C0A0E">
            <w:pPr>
              <w:jc w:val="center"/>
              <w:rPr>
                <w:rFonts w:eastAsia="Calibri"/>
                <w:b/>
                <w:sz w:val="20"/>
                <w:szCs w:val="20"/>
              </w:rPr>
            </w:pPr>
            <w:r w:rsidRPr="008F6F02">
              <w:rPr>
                <w:rFonts w:eastAsia="Calibri"/>
                <w:b/>
                <w:sz w:val="20"/>
                <w:szCs w:val="20"/>
              </w:rPr>
              <w:t>(1)</w:t>
            </w:r>
          </w:p>
        </w:tc>
        <w:tc>
          <w:tcPr>
            <w:tcW w:w="1440" w:type="dxa"/>
            <w:shd w:val="clear" w:color="auto" w:fill="D9D9D9"/>
            <w:vAlign w:val="bottom"/>
          </w:tcPr>
          <w:p w14:paraId="24CC9D98" w14:textId="77777777" w:rsidR="007F6E5B" w:rsidRPr="008F6F02" w:rsidRDefault="007F6E5B" w:rsidP="002C0A0E">
            <w:pPr>
              <w:jc w:val="center"/>
              <w:rPr>
                <w:rFonts w:eastAsia="Calibri"/>
                <w:b/>
                <w:sz w:val="20"/>
                <w:szCs w:val="20"/>
              </w:rPr>
            </w:pPr>
            <w:r w:rsidRPr="008F6F02">
              <w:rPr>
                <w:rFonts w:eastAsia="Calibri"/>
                <w:b/>
                <w:sz w:val="20"/>
                <w:szCs w:val="20"/>
              </w:rPr>
              <w:t>Annual No. of Responses per Respondent</w:t>
            </w:r>
          </w:p>
          <w:p w14:paraId="58C69F7E" w14:textId="77777777" w:rsidR="007F6E5B" w:rsidRPr="008F6F02" w:rsidRDefault="007F6E5B" w:rsidP="002C0A0E">
            <w:pPr>
              <w:jc w:val="center"/>
              <w:rPr>
                <w:rFonts w:eastAsia="Calibri"/>
                <w:b/>
                <w:sz w:val="20"/>
                <w:szCs w:val="20"/>
              </w:rPr>
            </w:pPr>
            <w:r w:rsidRPr="008F6F02">
              <w:rPr>
                <w:rFonts w:eastAsia="Calibri"/>
                <w:b/>
                <w:sz w:val="20"/>
                <w:szCs w:val="20"/>
              </w:rPr>
              <w:t>(2)</w:t>
            </w:r>
          </w:p>
        </w:tc>
        <w:tc>
          <w:tcPr>
            <w:tcW w:w="1260" w:type="dxa"/>
            <w:shd w:val="clear" w:color="auto" w:fill="D9D9D9"/>
            <w:vAlign w:val="bottom"/>
          </w:tcPr>
          <w:p w14:paraId="56E1855B" w14:textId="77777777" w:rsidR="007F6E5B" w:rsidRPr="008F6F02" w:rsidRDefault="007F6E5B" w:rsidP="002C0A0E">
            <w:pPr>
              <w:jc w:val="center"/>
              <w:rPr>
                <w:rFonts w:eastAsia="Calibri"/>
                <w:b/>
                <w:sz w:val="20"/>
                <w:szCs w:val="20"/>
              </w:rPr>
            </w:pPr>
            <w:r w:rsidRPr="008F6F02">
              <w:rPr>
                <w:rFonts w:eastAsia="Calibri"/>
                <w:b/>
                <w:sz w:val="20"/>
                <w:szCs w:val="20"/>
              </w:rPr>
              <w:t>Annual No. of Responses</w:t>
            </w:r>
          </w:p>
          <w:p w14:paraId="24C5D312" w14:textId="77777777" w:rsidR="007F6E5B" w:rsidRPr="008F6F02" w:rsidRDefault="007F6E5B" w:rsidP="002C0A0E">
            <w:pPr>
              <w:jc w:val="center"/>
              <w:rPr>
                <w:rFonts w:eastAsia="Calibri"/>
                <w:b/>
                <w:sz w:val="20"/>
                <w:szCs w:val="20"/>
              </w:rPr>
            </w:pPr>
            <w:r w:rsidRPr="008F6F02">
              <w:rPr>
                <w:rFonts w:eastAsia="Calibri"/>
                <w:b/>
                <w:sz w:val="20"/>
                <w:szCs w:val="20"/>
              </w:rPr>
              <w:t>(1)*(2)=(3)</w:t>
            </w:r>
          </w:p>
        </w:tc>
        <w:tc>
          <w:tcPr>
            <w:tcW w:w="1260" w:type="dxa"/>
            <w:shd w:val="clear" w:color="auto" w:fill="D9D9D9"/>
            <w:vAlign w:val="bottom"/>
          </w:tcPr>
          <w:p w14:paraId="543F194D" w14:textId="77777777" w:rsidR="007F6E5B" w:rsidRPr="008F6F02" w:rsidRDefault="007F6E5B" w:rsidP="002C0A0E">
            <w:pPr>
              <w:jc w:val="center"/>
              <w:rPr>
                <w:rFonts w:eastAsia="Calibri"/>
                <w:b/>
                <w:sz w:val="20"/>
                <w:szCs w:val="20"/>
              </w:rPr>
            </w:pPr>
            <w:r w:rsidRPr="008F6F02">
              <w:rPr>
                <w:rFonts w:eastAsia="Calibri"/>
                <w:b/>
                <w:sz w:val="20"/>
                <w:szCs w:val="20"/>
              </w:rPr>
              <w:t>Average Burden Hrs. &amp; Cost Per Response ($)</w:t>
            </w:r>
          </w:p>
          <w:p w14:paraId="13BA8EEB" w14:textId="77777777" w:rsidR="007F6E5B" w:rsidRPr="008F6F02" w:rsidRDefault="007F6E5B" w:rsidP="002C0A0E">
            <w:pPr>
              <w:jc w:val="center"/>
              <w:rPr>
                <w:rFonts w:eastAsia="Calibri"/>
                <w:b/>
                <w:sz w:val="20"/>
                <w:szCs w:val="20"/>
              </w:rPr>
            </w:pPr>
            <w:r w:rsidRPr="008F6F02">
              <w:rPr>
                <w:rFonts w:eastAsia="Calibri"/>
                <w:b/>
                <w:sz w:val="20"/>
                <w:szCs w:val="20"/>
              </w:rPr>
              <w:t>(4)</w:t>
            </w:r>
          </w:p>
        </w:tc>
        <w:tc>
          <w:tcPr>
            <w:tcW w:w="1530" w:type="dxa"/>
            <w:shd w:val="clear" w:color="auto" w:fill="D9D9D9"/>
            <w:vAlign w:val="bottom"/>
          </w:tcPr>
          <w:p w14:paraId="77098F15" w14:textId="77777777" w:rsidR="007F6E5B" w:rsidRPr="008F6F02" w:rsidRDefault="007F6E5B" w:rsidP="002C0A0E">
            <w:pPr>
              <w:jc w:val="center"/>
              <w:rPr>
                <w:rFonts w:eastAsia="Calibri"/>
                <w:b/>
                <w:sz w:val="20"/>
                <w:szCs w:val="20"/>
              </w:rPr>
            </w:pPr>
            <w:r w:rsidRPr="008F6F02">
              <w:rPr>
                <w:rFonts w:eastAsia="Calibri"/>
                <w:b/>
                <w:sz w:val="20"/>
                <w:szCs w:val="20"/>
              </w:rPr>
              <w:t>Total Annual Burden Hours &amp; Total Annual Cost ($)</w:t>
            </w:r>
          </w:p>
          <w:p w14:paraId="44C2FDEF" w14:textId="77777777" w:rsidR="007F6E5B" w:rsidRPr="008F6F02" w:rsidRDefault="007F6E5B" w:rsidP="002C0A0E">
            <w:pPr>
              <w:jc w:val="center"/>
              <w:rPr>
                <w:rFonts w:eastAsia="Calibri"/>
                <w:b/>
                <w:sz w:val="20"/>
                <w:szCs w:val="20"/>
              </w:rPr>
            </w:pPr>
            <w:r w:rsidRPr="008F6F02">
              <w:rPr>
                <w:rFonts w:eastAsia="Calibri"/>
                <w:b/>
                <w:sz w:val="20"/>
                <w:szCs w:val="20"/>
              </w:rPr>
              <w:t>(3)*(4)=(5)</w:t>
            </w:r>
          </w:p>
        </w:tc>
        <w:tc>
          <w:tcPr>
            <w:tcW w:w="1445" w:type="dxa"/>
            <w:shd w:val="clear" w:color="auto" w:fill="D9D9D9"/>
            <w:vAlign w:val="bottom"/>
          </w:tcPr>
          <w:p w14:paraId="0794837C" w14:textId="77777777" w:rsidR="007F6E5B" w:rsidRPr="008F6F02" w:rsidRDefault="007F6E5B" w:rsidP="002C0A0E">
            <w:pPr>
              <w:jc w:val="center"/>
              <w:rPr>
                <w:rFonts w:eastAsia="Calibri"/>
                <w:b/>
                <w:sz w:val="20"/>
                <w:szCs w:val="20"/>
              </w:rPr>
            </w:pPr>
            <w:r w:rsidRPr="008F6F02">
              <w:rPr>
                <w:rFonts w:eastAsia="Calibri"/>
                <w:b/>
                <w:sz w:val="20"/>
                <w:szCs w:val="20"/>
              </w:rPr>
              <w:t>Cost per Respondent ($)</w:t>
            </w:r>
          </w:p>
          <w:p w14:paraId="6784CE5D" w14:textId="77777777" w:rsidR="007F6E5B" w:rsidRPr="008F6F02" w:rsidRDefault="007F6E5B" w:rsidP="002C0A0E">
            <w:pPr>
              <w:jc w:val="center"/>
              <w:rPr>
                <w:rFonts w:eastAsia="Calibri"/>
                <w:b/>
                <w:sz w:val="20"/>
                <w:szCs w:val="20"/>
              </w:rPr>
            </w:pPr>
            <w:r w:rsidRPr="008F6F02">
              <w:rPr>
                <w:rFonts w:eastAsia="Calibri"/>
                <w:b/>
                <w:sz w:val="20"/>
                <w:szCs w:val="20"/>
              </w:rPr>
              <w:t>(5)÷(1)=(6)</w:t>
            </w:r>
          </w:p>
        </w:tc>
      </w:tr>
      <w:tr w:rsidR="007F6E5B" w:rsidRPr="008F6F02" w14:paraId="3A948AC9" w14:textId="77777777" w:rsidTr="002C0A0E">
        <w:trPr>
          <w:trHeight w:val="299"/>
        </w:trPr>
        <w:tc>
          <w:tcPr>
            <w:tcW w:w="10080" w:type="dxa"/>
            <w:gridSpan w:val="7"/>
            <w:shd w:val="clear" w:color="auto" w:fill="D9D9D9"/>
            <w:vAlign w:val="center"/>
          </w:tcPr>
          <w:p w14:paraId="742B421F" w14:textId="77777777" w:rsidR="007F6E5B" w:rsidRPr="00FB68A3" w:rsidRDefault="007F6E5B" w:rsidP="002C0A0E">
            <w:pPr>
              <w:jc w:val="center"/>
              <w:rPr>
                <w:rFonts w:eastAsia="Calibri"/>
                <w:b/>
                <w:sz w:val="20"/>
                <w:szCs w:val="20"/>
              </w:rPr>
            </w:pPr>
            <w:r>
              <w:rPr>
                <w:rFonts w:eastAsia="Calibri"/>
                <w:b/>
                <w:sz w:val="20"/>
                <w:szCs w:val="20"/>
              </w:rPr>
              <w:t>Proposed Regional Reliability Standard BAL-502-RF-03</w:t>
            </w:r>
          </w:p>
        </w:tc>
      </w:tr>
      <w:tr w:rsidR="007F6E5B" w:rsidRPr="008F6F02" w14:paraId="7759B2B3" w14:textId="77777777" w:rsidTr="002C0A0E">
        <w:trPr>
          <w:trHeight w:val="299"/>
        </w:trPr>
        <w:tc>
          <w:tcPr>
            <w:tcW w:w="1435" w:type="dxa"/>
            <w:vAlign w:val="bottom"/>
          </w:tcPr>
          <w:p w14:paraId="6F9D0DAB" w14:textId="77777777" w:rsidR="007F6E5B" w:rsidRPr="00D91539" w:rsidRDefault="007F6E5B" w:rsidP="002C0A0E">
            <w:pPr>
              <w:rPr>
                <w:sz w:val="20"/>
                <w:szCs w:val="20"/>
              </w:rPr>
            </w:pPr>
            <w:r w:rsidRPr="00D91539">
              <w:rPr>
                <w:sz w:val="20"/>
                <w:szCs w:val="20"/>
              </w:rPr>
              <w:t>Planning Coordinators</w:t>
            </w:r>
          </w:p>
        </w:tc>
        <w:tc>
          <w:tcPr>
            <w:tcW w:w="1710" w:type="dxa"/>
            <w:vAlign w:val="bottom"/>
          </w:tcPr>
          <w:p w14:paraId="7722525A" w14:textId="77777777" w:rsidR="007F6E5B" w:rsidRPr="008F6F02" w:rsidRDefault="007F6E5B" w:rsidP="002C0A0E">
            <w:pPr>
              <w:jc w:val="right"/>
              <w:rPr>
                <w:rFonts w:eastAsia="Calibri"/>
                <w:sz w:val="20"/>
                <w:szCs w:val="20"/>
              </w:rPr>
            </w:pPr>
            <w:r>
              <w:rPr>
                <w:rFonts w:eastAsia="Calibri"/>
                <w:sz w:val="20"/>
                <w:szCs w:val="20"/>
              </w:rPr>
              <w:t>2</w:t>
            </w:r>
          </w:p>
        </w:tc>
        <w:tc>
          <w:tcPr>
            <w:tcW w:w="1440" w:type="dxa"/>
            <w:vAlign w:val="bottom"/>
          </w:tcPr>
          <w:p w14:paraId="7ABE4300" w14:textId="77777777" w:rsidR="007F6E5B" w:rsidRPr="008F6F02" w:rsidRDefault="007F6E5B" w:rsidP="002C0A0E">
            <w:pPr>
              <w:jc w:val="right"/>
              <w:rPr>
                <w:rFonts w:eastAsia="Calibri"/>
                <w:sz w:val="20"/>
                <w:szCs w:val="20"/>
              </w:rPr>
            </w:pPr>
            <w:r>
              <w:rPr>
                <w:rFonts w:eastAsia="Calibri"/>
                <w:sz w:val="20"/>
                <w:szCs w:val="20"/>
              </w:rPr>
              <w:t>1</w:t>
            </w:r>
          </w:p>
        </w:tc>
        <w:tc>
          <w:tcPr>
            <w:tcW w:w="1260" w:type="dxa"/>
            <w:vAlign w:val="bottom"/>
          </w:tcPr>
          <w:p w14:paraId="701D3E06" w14:textId="77777777" w:rsidR="007F6E5B" w:rsidRPr="008F6F02" w:rsidRDefault="007F6E5B" w:rsidP="002C0A0E">
            <w:pPr>
              <w:jc w:val="right"/>
              <w:rPr>
                <w:rFonts w:eastAsia="Calibri"/>
                <w:sz w:val="20"/>
                <w:szCs w:val="20"/>
              </w:rPr>
            </w:pPr>
            <w:r>
              <w:rPr>
                <w:rFonts w:eastAsia="Calibri"/>
                <w:sz w:val="20"/>
                <w:szCs w:val="20"/>
              </w:rPr>
              <w:t>2</w:t>
            </w:r>
          </w:p>
        </w:tc>
        <w:tc>
          <w:tcPr>
            <w:tcW w:w="1260" w:type="dxa"/>
            <w:vAlign w:val="bottom"/>
          </w:tcPr>
          <w:p w14:paraId="2CE16318" w14:textId="77777777" w:rsidR="007F6E5B" w:rsidRDefault="007F6E5B" w:rsidP="002C0A0E">
            <w:pPr>
              <w:jc w:val="right"/>
              <w:rPr>
                <w:rFonts w:eastAsia="Calibri"/>
                <w:sz w:val="20"/>
                <w:szCs w:val="20"/>
              </w:rPr>
            </w:pPr>
            <w:r>
              <w:rPr>
                <w:rFonts w:eastAsia="Calibri"/>
                <w:sz w:val="20"/>
                <w:szCs w:val="20"/>
              </w:rPr>
              <w:t>16 hrs.;</w:t>
            </w:r>
          </w:p>
          <w:p w14:paraId="5DA34D62" w14:textId="77777777" w:rsidR="007F6E5B" w:rsidRPr="008F6F02" w:rsidRDefault="007F6E5B" w:rsidP="002C0A0E">
            <w:pPr>
              <w:jc w:val="right"/>
              <w:rPr>
                <w:rFonts w:eastAsia="Calibri"/>
                <w:sz w:val="20"/>
                <w:szCs w:val="20"/>
              </w:rPr>
            </w:pPr>
            <w:r>
              <w:rPr>
                <w:rFonts w:eastAsia="Calibri"/>
                <w:sz w:val="20"/>
                <w:szCs w:val="20"/>
              </w:rPr>
              <w:t>$973</w:t>
            </w:r>
          </w:p>
        </w:tc>
        <w:tc>
          <w:tcPr>
            <w:tcW w:w="1530" w:type="dxa"/>
            <w:vAlign w:val="bottom"/>
          </w:tcPr>
          <w:p w14:paraId="5CDC953F" w14:textId="77777777" w:rsidR="007F6E5B" w:rsidRPr="00244F65" w:rsidRDefault="007F6E5B" w:rsidP="002C0A0E">
            <w:pPr>
              <w:jc w:val="right"/>
              <w:rPr>
                <w:rFonts w:eastAsia="Calibri"/>
                <w:sz w:val="20"/>
                <w:szCs w:val="20"/>
              </w:rPr>
            </w:pPr>
            <w:r>
              <w:rPr>
                <w:rFonts w:eastAsia="Calibri"/>
                <w:sz w:val="20"/>
                <w:szCs w:val="20"/>
              </w:rPr>
              <w:t>32 hrs.</w:t>
            </w:r>
            <w:r w:rsidRPr="00244F65">
              <w:rPr>
                <w:rFonts w:eastAsia="Calibri"/>
                <w:sz w:val="20"/>
                <w:szCs w:val="20"/>
              </w:rPr>
              <w:t>;</w:t>
            </w:r>
          </w:p>
          <w:p w14:paraId="15567A44" w14:textId="77777777" w:rsidR="007F6E5B" w:rsidRPr="008F6F02" w:rsidRDefault="007F6E5B" w:rsidP="002C0A0E">
            <w:pPr>
              <w:jc w:val="right"/>
              <w:rPr>
                <w:rFonts w:eastAsia="Calibri"/>
                <w:b/>
                <w:sz w:val="20"/>
                <w:szCs w:val="20"/>
              </w:rPr>
            </w:pPr>
            <w:r w:rsidRPr="00244F65">
              <w:rPr>
                <w:rFonts w:eastAsia="Calibri"/>
                <w:sz w:val="20"/>
                <w:szCs w:val="20"/>
              </w:rPr>
              <w:t>$</w:t>
            </w:r>
            <w:r>
              <w:rPr>
                <w:rFonts w:eastAsia="Calibri"/>
                <w:sz w:val="20"/>
                <w:szCs w:val="20"/>
              </w:rPr>
              <w:t>1,945</w:t>
            </w:r>
          </w:p>
        </w:tc>
        <w:tc>
          <w:tcPr>
            <w:tcW w:w="1445" w:type="dxa"/>
            <w:vAlign w:val="bottom"/>
          </w:tcPr>
          <w:p w14:paraId="319D3727" w14:textId="77777777" w:rsidR="007F6E5B" w:rsidRPr="008F6F02" w:rsidRDefault="007F6E5B" w:rsidP="002C0A0E">
            <w:pPr>
              <w:jc w:val="right"/>
              <w:rPr>
                <w:rFonts w:eastAsia="Calibri"/>
                <w:sz w:val="20"/>
                <w:szCs w:val="20"/>
              </w:rPr>
            </w:pPr>
            <w:r>
              <w:rPr>
                <w:rFonts w:eastAsia="Calibri"/>
                <w:sz w:val="20"/>
                <w:szCs w:val="20"/>
              </w:rPr>
              <w:t>$973</w:t>
            </w:r>
          </w:p>
        </w:tc>
      </w:tr>
    </w:tbl>
    <w:p w14:paraId="47296D92" w14:textId="77777777" w:rsidR="005535D4" w:rsidRDefault="005535D4" w:rsidP="002E3314">
      <w:pPr>
        <w:spacing w:line="480" w:lineRule="auto"/>
        <w:ind w:firstLine="720"/>
      </w:pPr>
    </w:p>
    <w:p w14:paraId="1B5D4D49" w14:textId="77777777" w:rsidR="001C75B2" w:rsidRDefault="003820D6" w:rsidP="00D225FB">
      <w:pPr>
        <w:spacing w:line="480" w:lineRule="auto"/>
      </w:pPr>
      <w:r>
        <w:rPr>
          <w:i/>
        </w:rPr>
        <w:t xml:space="preserve">Comments:  </w:t>
      </w:r>
      <w:r>
        <w:t>Comments are invited on:  (1) whether the collection of information is necessary for the proper performance of the functions of the Commission, including whether the information will have practical utility; (2) the accuracy of the agency's estimate of the burden</w:t>
      </w:r>
      <w:r w:rsidR="00D225FB">
        <w:t xml:space="preserve"> and cost</w:t>
      </w:r>
      <w:r>
        <w:t xml:space="preserve">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w:t>
      </w:r>
    </w:p>
    <w:p w14:paraId="7C25529F" w14:textId="25CB187C" w:rsidR="00DC5963" w:rsidRDefault="00DC5963" w:rsidP="00DC5963"/>
    <w:p w14:paraId="764A68F6" w14:textId="3B19FB29" w:rsidR="00DC5963" w:rsidRDefault="00DC5963" w:rsidP="00DC5963"/>
    <w:p w14:paraId="6EC5189A" w14:textId="44E90B53" w:rsidR="00DC5963" w:rsidRPr="00DC5963" w:rsidRDefault="00DC5963" w:rsidP="00DC5963">
      <w:pPr>
        <w:ind w:firstLine="2174"/>
        <w:jc w:val="center"/>
      </w:pPr>
      <w:r w:rsidRPr="00DC5963">
        <w:t>Kimberly D. Bose,</w:t>
      </w:r>
    </w:p>
    <w:p w14:paraId="301073EC" w14:textId="3B644BD7" w:rsidR="00DC5963" w:rsidRPr="00DC5963" w:rsidRDefault="00DC5963" w:rsidP="00DC5963">
      <w:pPr>
        <w:ind w:firstLine="2174"/>
        <w:jc w:val="center"/>
      </w:pPr>
      <w:r w:rsidRPr="00DC5963">
        <w:t>Secretary.</w:t>
      </w:r>
    </w:p>
    <w:p w14:paraId="710BBA51" w14:textId="77777777" w:rsidR="00DC5963" w:rsidRDefault="00DC5963" w:rsidP="00DC5963"/>
    <w:sectPr w:rsidR="00DC5963" w:rsidSect="00190EB5">
      <w:headerReference w:type="even" r:id="rId18"/>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D7B66" w14:textId="77777777" w:rsidR="00B5273C" w:rsidRDefault="00B5273C">
      <w:r>
        <w:separator/>
      </w:r>
    </w:p>
  </w:endnote>
  <w:endnote w:type="continuationSeparator" w:id="0">
    <w:p w14:paraId="14544C0B" w14:textId="77777777" w:rsidR="00B5273C" w:rsidRDefault="00B5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F3E96" w14:textId="77777777" w:rsidR="00B5273C" w:rsidRDefault="00B5273C">
      <w:r>
        <w:separator/>
      </w:r>
    </w:p>
  </w:footnote>
  <w:footnote w:type="continuationSeparator" w:id="0">
    <w:p w14:paraId="5AC6FCDC" w14:textId="77777777" w:rsidR="00B5273C" w:rsidRDefault="00B5273C">
      <w:r>
        <w:continuationSeparator/>
      </w:r>
    </w:p>
  </w:footnote>
  <w:footnote w:id="1">
    <w:p w14:paraId="4F5F77C2" w14:textId="77777777" w:rsidR="007F6E5B" w:rsidRPr="005C1E6A" w:rsidRDefault="007F6E5B" w:rsidP="007F6E5B">
      <w:pPr>
        <w:pStyle w:val="FootnoteText"/>
        <w:rPr>
          <w:sz w:val="26"/>
          <w:szCs w:val="26"/>
        </w:rPr>
      </w:pPr>
      <w:r w:rsidRPr="005C1E6A">
        <w:rPr>
          <w:rStyle w:val="FootnoteReference"/>
        </w:rPr>
        <w:footnoteRef/>
      </w:r>
      <w:r w:rsidRPr="005C1E6A">
        <w:rPr>
          <w:sz w:val="26"/>
          <w:szCs w:val="26"/>
        </w:rPr>
        <w:t xml:space="preserve"> </w:t>
      </w:r>
      <w:r w:rsidRPr="005C1E6A">
        <w:rPr>
          <w:i/>
          <w:sz w:val="26"/>
          <w:szCs w:val="26"/>
        </w:rPr>
        <w:t>North American Electric Reliability Corp.</w:t>
      </w:r>
      <w:r w:rsidRPr="005C1E6A">
        <w:rPr>
          <w:sz w:val="26"/>
          <w:szCs w:val="26"/>
        </w:rPr>
        <w:t xml:space="preserve">, 116 FERC ¶ 61,062 (ERO Certification Order), </w:t>
      </w:r>
      <w:r w:rsidRPr="005C1E6A">
        <w:rPr>
          <w:i/>
          <w:sz w:val="26"/>
          <w:szCs w:val="26"/>
        </w:rPr>
        <w:t>order on reh’g &amp; compliance</w:t>
      </w:r>
      <w:r w:rsidRPr="005C1E6A">
        <w:rPr>
          <w:sz w:val="26"/>
          <w:szCs w:val="26"/>
        </w:rPr>
        <w:t xml:space="preserve">, 117 FERC ¶ 61,126 (2006), </w:t>
      </w:r>
      <w:r w:rsidRPr="005C1E6A">
        <w:rPr>
          <w:i/>
          <w:sz w:val="26"/>
          <w:szCs w:val="26"/>
        </w:rPr>
        <w:t>aff’d sub nom. Alcoa, Inc. v. FERC</w:t>
      </w:r>
      <w:r w:rsidRPr="005C1E6A">
        <w:rPr>
          <w:sz w:val="26"/>
          <w:szCs w:val="26"/>
        </w:rPr>
        <w:t>, 564 F.3d 1342 (D.C. Cir. 2009).</w:t>
      </w:r>
    </w:p>
  </w:footnote>
  <w:footnote w:id="2">
    <w:p w14:paraId="1C8239C0" w14:textId="77777777" w:rsidR="007F6E5B" w:rsidRPr="005C1E6A" w:rsidRDefault="007F6E5B" w:rsidP="007F6E5B">
      <w:pPr>
        <w:pStyle w:val="FootnoteText"/>
        <w:rPr>
          <w:sz w:val="26"/>
          <w:szCs w:val="26"/>
        </w:rPr>
      </w:pPr>
      <w:r w:rsidRPr="005C1E6A">
        <w:rPr>
          <w:rStyle w:val="FootnoteReference"/>
        </w:rPr>
        <w:footnoteRef/>
      </w:r>
      <w:r w:rsidRPr="005C1E6A">
        <w:rPr>
          <w:sz w:val="26"/>
          <w:szCs w:val="26"/>
        </w:rPr>
        <w:t xml:space="preserve"> 16 U.S.C. 824o(e)(4). </w:t>
      </w:r>
    </w:p>
  </w:footnote>
  <w:footnote w:id="3">
    <w:p w14:paraId="4AEE4048" w14:textId="77777777" w:rsidR="007F6E5B" w:rsidRPr="005C1E6A" w:rsidRDefault="007F6E5B" w:rsidP="007F6E5B">
      <w:pPr>
        <w:pStyle w:val="FootnoteText"/>
        <w:rPr>
          <w:sz w:val="26"/>
          <w:szCs w:val="26"/>
        </w:rPr>
      </w:pPr>
      <w:r w:rsidRPr="005C1E6A">
        <w:rPr>
          <w:rStyle w:val="FootnoteReference"/>
        </w:rPr>
        <w:footnoteRef/>
      </w:r>
      <w:r w:rsidRPr="005C1E6A">
        <w:rPr>
          <w:sz w:val="26"/>
          <w:szCs w:val="26"/>
        </w:rPr>
        <w:t xml:space="preserve">  16 U.S.C. 824o(a)(7) and (e)(4). </w:t>
      </w:r>
    </w:p>
  </w:footnote>
  <w:footnote w:id="4">
    <w:p w14:paraId="3124F993" w14:textId="77777777" w:rsidR="007F6E5B" w:rsidRPr="005C1E6A" w:rsidRDefault="007F6E5B" w:rsidP="007F6E5B">
      <w:pPr>
        <w:pStyle w:val="FootnoteText"/>
        <w:rPr>
          <w:sz w:val="26"/>
          <w:szCs w:val="26"/>
        </w:rPr>
      </w:pPr>
      <w:r w:rsidRPr="005C1E6A">
        <w:rPr>
          <w:rStyle w:val="FootnoteReference"/>
        </w:rPr>
        <w:footnoteRef/>
      </w:r>
      <w:r w:rsidRPr="005C1E6A">
        <w:rPr>
          <w:sz w:val="26"/>
          <w:szCs w:val="26"/>
        </w:rPr>
        <w:t xml:space="preserve">  </w:t>
      </w:r>
      <w:r w:rsidRPr="005C1E6A">
        <w:rPr>
          <w:i/>
          <w:sz w:val="26"/>
          <w:szCs w:val="26"/>
        </w:rPr>
        <w:t>Planning Resource Adequacy Assessment Reliability Standard</w:t>
      </w:r>
      <w:r w:rsidRPr="005C1E6A">
        <w:rPr>
          <w:sz w:val="26"/>
          <w:szCs w:val="26"/>
        </w:rPr>
        <w:t>, Order No. 747, 134 FERC ¶ 61,212 (2011).</w:t>
      </w:r>
    </w:p>
  </w:footnote>
  <w:footnote w:id="5">
    <w:p w14:paraId="72875A0F" w14:textId="77777777" w:rsidR="007F6E5B" w:rsidRPr="005C1E6A" w:rsidRDefault="007F6E5B" w:rsidP="007F6E5B">
      <w:pPr>
        <w:pStyle w:val="FootnoteText"/>
        <w:rPr>
          <w:sz w:val="26"/>
          <w:szCs w:val="26"/>
        </w:rPr>
      </w:pPr>
      <w:r w:rsidRPr="005C1E6A">
        <w:rPr>
          <w:rStyle w:val="FootnoteReference"/>
        </w:rPr>
        <w:footnoteRef/>
      </w:r>
      <w:r w:rsidRPr="005C1E6A">
        <w:rPr>
          <w:sz w:val="26"/>
          <w:szCs w:val="26"/>
        </w:rPr>
        <w:t xml:space="preserve"> BAL-502-RFC-02 is included in the OMB-approved inventory for FERC-725H.  </w:t>
      </w:r>
    </w:p>
  </w:footnote>
  <w:footnote w:id="6">
    <w:p w14:paraId="4D96F399" w14:textId="77777777" w:rsidR="007F6E5B" w:rsidRPr="005C1E6A" w:rsidRDefault="007F6E5B" w:rsidP="007F6E5B">
      <w:pPr>
        <w:pStyle w:val="FootnoteText"/>
        <w:rPr>
          <w:sz w:val="26"/>
          <w:szCs w:val="26"/>
        </w:rPr>
      </w:pPr>
      <w:r w:rsidRPr="005C1E6A">
        <w:rPr>
          <w:rStyle w:val="FootnoteReference"/>
        </w:rPr>
        <w:footnoteRef/>
      </w:r>
      <w:r w:rsidRPr="005C1E6A">
        <w:rPr>
          <w:sz w:val="26"/>
          <w:szCs w:val="26"/>
        </w:rPr>
        <w:t xml:space="preserve"> Burden associated with BAL-502-RF-02 Reliability Standard was once contained in FERC-725H information collection (OMB Control No. 1902-0256).  FERC-725H was discontinued on 3/6/2014.  However, the requirements of BAL-502-RF-02 were still imposed on NERC entities.  Those requirements are now being retired with no removal of burden (any associated burden was removed concurrent with the discontinuance).</w:t>
      </w:r>
    </w:p>
  </w:footnote>
  <w:footnote w:id="7">
    <w:p w14:paraId="330C220E" w14:textId="77777777" w:rsidR="007F6E5B" w:rsidRPr="005C1E6A" w:rsidRDefault="007F6E5B" w:rsidP="007F6E5B">
      <w:pPr>
        <w:pStyle w:val="FootnoteText"/>
        <w:rPr>
          <w:sz w:val="26"/>
          <w:szCs w:val="26"/>
        </w:rPr>
      </w:pPr>
      <w:r w:rsidRPr="005C1E6A">
        <w:rPr>
          <w:rStyle w:val="FootnoteReference"/>
        </w:rPr>
        <w:footnoteRef/>
      </w:r>
      <w:r w:rsidRPr="005C1E6A">
        <w:rPr>
          <w:sz w:val="26"/>
          <w:szCs w:val="26"/>
        </w:rPr>
        <w:t xml:space="preserve"> The joint petition and exhibits are posted in the Commission’s eLibrary system in Docket No. RD17-8-000.</w:t>
      </w:r>
    </w:p>
  </w:footnote>
  <w:footnote w:id="8">
    <w:p w14:paraId="73833505" w14:textId="77777777" w:rsidR="007F6E5B" w:rsidRPr="005C1E6A" w:rsidRDefault="007F6E5B" w:rsidP="007F6E5B">
      <w:pPr>
        <w:pStyle w:val="FootnoteText"/>
        <w:rPr>
          <w:sz w:val="26"/>
          <w:szCs w:val="26"/>
        </w:rPr>
      </w:pPr>
      <w:r w:rsidRPr="005C1E6A">
        <w:rPr>
          <w:rStyle w:val="FootnoteReference"/>
        </w:rPr>
        <w:footnoteRef/>
      </w:r>
      <w:r w:rsidRPr="005C1E6A">
        <w:rPr>
          <w:sz w:val="26"/>
          <w:szCs w:val="26"/>
        </w:rPr>
        <w:t xml:space="preserve"> Burden is defined as the total time, effort, or financial resources expended by persons to generate, maintain, retain, or disclose or provide information to or for a Federal agency. For further explanation of what is included in the information collection burden, refer to 5 Code of Federal Regulations 1320.3.</w:t>
      </w:r>
    </w:p>
  </w:footnote>
  <w:footnote w:id="9">
    <w:p w14:paraId="0B95FB07" w14:textId="77777777" w:rsidR="007F6E5B" w:rsidRPr="005C1E6A" w:rsidRDefault="007F6E5B" w:rsidP="007F6E5B">
      <w:pPr>
        <w:pStyle w:val="FootnoteText"/>
        <w:rPr>
          <w:sz w:val="26"/>
          <w:szCs w:val="26"/>
        </w:rPr>
      </w:pPr>
      <w:r w:rsidRPr="005C1E6A">
        <w:rPr>
          <w:rStyle w:val="FootnoteReference"/>
        </w:rPr>
        <w:footnoteRef/>
      </w:r>
      <w:r w:rsidRPr="005C1E6A">
        <w:rPr>
          <w:sz w:val="26"/>
          <w:szCs w:val="26"/>
        </w:rPr>
        <w:t xml:space="preserve"> For BAL-502-RF-03, the hourly cost (for salary plus benefits) uses the figures from the Bureau of Labor Statistics for three positions involved in the reporting and recordkeeping requirements.  These figures include salary (</w:t>
      </w:r>
      <w:hyperlink r:id="rId1" w:history="1">
        <w:r w:rsidRPr="005C1E6A">
          <w:rPr>
            <w:rStyle w:val="Hyperlink"/>
            <w:sz w:val="26"/>
            <w:szCs w:val="26"/>
          </w:rPr>
          <w:t>http://bls.gov/oes/current/naics2_22.htm</w:t>
        </w:r>
      </w:hyperlink>
      <w:r w:rsidRPr="005C1E6A">
        <w:rPr>
          <w:sz w:val="26"/>
          <w:szCs w:val="26"/>
        </w:rPr>
        <w:t>) and benefits (</w:t>
      </w:r>
      <w:hyperlink r:id="rId2" w:history="1">
        <w:r w:rsidRPr="005C1E6A">
          <w:rPr>
            <w:rStyle w:val="Hyperlink"/>
            <w:sz w:val="26"/>
            <w:szCs w:val="26"/>
          </w:rPr>
          <w:t>http://www.bls.gov/news.release/ecec.nr0.htm</w:t>
        </w:r>
      </w:hyperlink>
      <w:r w:rsidRPr="005C1E6A">
        <w:rPr>
          <w:sz w:val="26"/>
          <w:szCs w:val="26"/>
        </w:rPr>
        <w:t>) and are:</w:t>
      </w:r>
    </w:p>
    <w:p w14:paraId="13CBF8EA" w14:textId="77777777" w:rsidR="007F6E5B" w:rsidRPr="005C1E6A" w:rsidRDefault="007F6E5B" w:rsidP="007F6E5B">
      <w:pPr>
        <w:pStyle w:val="FootnoteText"/>
        <w:numPr>
          <w:ilvl w:val="0"/>
          <w:numId w:val="6"/>
        </w:numPr>
        <w:ind w:left="0" w:firstLine="0"/>
        <w:rPr>
          <w:sz w:val="26"/>
          <w:szCs w:val="26"/>
        </w:rPr>
      </w:pPr>
      <w:r w:rsidRPr="005C1E6A">
        <w:rPr>
          <w:sz w:val="26"/>
          <w:szCs w:val="26"/>
        </w:rPr>
        <w:t>Manager (Occupation Code 11-0000): $81.52/hour</w:t>
      </w:r>
    </w:p>
    <w:p w14:paraId="1318D36C" w14:textId="77777777" w:rsidR="007F6E5B" w:rsidRPr="005C1E6A" w:rsidRDefault="007F6E5B" w:rsidP="007F6E5B">
      <w:pPr>
        <w:pStyle w:val="FootnoteText"/>
        <w:numPr>
          <w:ilvl w:val="0"/>
          <w:numId w:val="6"/>
        </w:numPr>
        <w:ind w:left="0" w:firstLine="0"/>
        <w:rPr>
          <w:sz w:val="26"/>
          <w:szCs w:val="26"/>
        </w:rPr>
      </w:pPr>
      <w:r w:rsidRPr="005C1E6A">
        <w:rPr>
          <w:sz w:val="26"/>
          <w:szCs w:val="26"/>
        </w:rPr>
        <w:t>Engineer (Occupation Code 17-2071): $68.12/hour</w:t>
      </w:r>
    </w:p>
    <w:p w14:paraId="3A73825E" w14:textId="77777777" w:rsidR="007F6E5B" w:rsidRPr="005C1E6A" w:rsidRDefault="007F6E5B" w:rsidP="007F6E5B">
      <w:pPr>
        <w:pStyle w:val="FootnoteText"/>
        <w:numPr>
          <w:ilvl w:val="0"/>
          <w:numId w:val="6"/>
        </w:numPr>
        <w:ind w:left="0" w:firstLine="0"/>
        <w:rPr>
          <w:sz w:val="26"/>
          <w:szCs w:val="26"/>
        </w:rPr>
      </w:pPr>
      <w:r w:rsidRPr="005C1E6A">
        <w:rPr>
          <w:sz w:val="26"/>
          <w:szCs w:val="26"/>
        </w:rPr>
        <w:t>File Clerk (Occupation Code 43-4071): $32.74/hour</w:t>
      </w:r>
    </w:p>
    <w:p w14:paraId="7C5D2976" w14:textId="77777777" w:rsidR="007F6E5B" w:rsidRPr="005C1E6A" w:rsidRDefault="007F6E5B" w:rsidP="007F6E5B">
      <w:pPr>
        <w:pStyle w:val="FootnoteText"/>
        <w:rPr>
          <w:sz w:val="26"/>
          <w:szCs w:val="26"/>
        </w:rPr>
      </w:pPr>
      <w:r w:rsidRPr="005C1E6A">
        <w:rPr>
          <w:sz w:val="26"/>
          <w:szCs w:val="26"/>
        </w:rPr>
        <w:t>The hourly cost for the reporting requirements ($60.79) is an average of the cost of a manager, an engineer, and a file clerk.</w:t>
      </w:r>
    </w:p>
  </w:footnote>
  <w:footnote w:id="10">
    <w:p w14:paraId="1D0C817D" w14:textId="77777777" w:rsidR="007F6E5B" w:rsidRPr="005C1E6A" w:rsidRDefault="007F6E5B" w:rsidP="007F6E5B">
      <w:pPr>
        <w:pStyle w:val="FootnoteText"/>
        <w:rPr>
          <w:sz w:val="26"/>
          <w:szCs w:val="26"/>
          <w:highlight w:val="yellow"/>
        </w:rPr>
      </w:pPr>
      <w:r w:rsidRPr="005C1E6A">
        <w:rPr>
          <w:rStyle w:val="FootnoteReference"/>
        </w:rPr>
        <w:footnoteRef/>
      </w:r>
      <w:r w:rsidRPr="005C1E6A">
        <w:rPr>
          <w:sz w:val="26"/>
          <w:szCs w:val="26"/>
        </w:rPr>
        <w:t xml:space="preserve"> The number of respondents is derived from the NERC Compliance Registry as of October 2, 2017 for the burden associated with the proposed regional Reliability Standard BAL-502-RF-03.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FE51B" w14:textId="77777777" w:rsidR="009A6D11" w:rsidRDefault="009A6D11" w:rsidP="00AB58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7540C2" w14:textId="77777777" w:rsidR="009A6D11" w:rsidRDefault="009A6D11" w:rsidP="0096632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7E5B8" w14:textId="77777777" w:rsidR="009A6D11" w:rsidRDefault="009A6D11" w:rsidP="00AB58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2713">
      <w:rPr>
        <w:rStyle w:val="PageNumber"/>
        <w:noProof/>
      </w:rPr>
      <w:t>2</w:t>
    </w:r>
    <w:r>
      <w:rPr>
        <w:rStyle w:val="PageNumber"/>
      </w:rPr>
      <w:fldChar w:fldCharType="end"/>
    </w:r>
  </w:p>
  <w:p w14:paraId="27248BDA" w14:textId="77777777" w:rsidR="009A6D11" w:rsidRDefault="009A6D11" w:rsidP="0096632C">
    <w:pPr>
      <w:pStyle w:val="Header"/>
      <w:ind w:right="360"/>
    </w:pPr>
    <w:r>
      <w:t>Docket No</w:t>
    </w:r>
    <w:r w:rsidRPr="007F6E5B">
      <w:t xml:space="preserve">. </w:t>
    </w:r>
    <w:r w:rsidR="007F6E5B" w:rsidRPr="007F6E5B">
      <w:t>RD17-8</w:t>
    </w:r>
    <w:r w:rsidRPr="007F6E5B">
      <w:t>-000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32E068CE"/>
    <w:multiLevelType w:val="hybridMultilevel"/>
    <w:tmpl w:val="02E0B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432C2F39"/>
    <w:multiLevelType w:val="hybridMultilevel"/>
    <w:tmpl w:val="B5EC8C58"/>
    <w:lvl w:ilvl="0" w:tplc="DE32E33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3C6417"/>
    <w:multiLevelType w:val="hybridMultilevel"/>
    <w:tmpl w:val="B8B21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DB56EA1"/>
    <w:multiLevelType w:val="hybridMultilevel"/>
    <w:tmpl w:val="DF985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5B2"/>
    <w:rsid w:val="0000007C"/>
    <w:rsid w:val="0000305D"/>
    <w:rsid w:val="00004D97"/>
    <w:rsid w:val="00011BBD"/>
    <w:rsid w:val="00012C57"/>
    <w:rsid w:val="00014E36"/>
    <w:rsid w:val="000253DB"/>
    <w:rsid w:val="00036FEC"/>
    <w:rsid w:val="00041471"/>
    <w:rsid w:val="00043468"/>
    <w:rsid w:val="000436E9"/>
    <w:rsid w:val="0006335A"/>
    <w:rsid w:val="00072256"/>
    <w:rsid w:val="00072448"/>
    <w:rsid w:val="00080D5F"/>
    <w:rsid w:val="000838BE"/>
    <w:rsid w:val="000854B7"/>
    <w:rsid w:val="00093E92"/>
    <w:rsid w:val="00095258"/>
    <w:rsid w:val="000A27CA"/>
    <w:rsid w:val="000A5308"/>
    <w:rsid w:val="000B723A"/>
    <w:rsid w:val="000C56A4"/>
    <w:rsid w:val="000D3639"/>
    <w:rsid w:val="000D5216"/>
    <w:rsid w:val="000F3E00"/>
    <w:rsid w:val="00103D50"/>
    <w:rsid w:val="00114B14"/>
    <w:rsid w:val="00121C3B"/>
    <w:rsid w:val="001240FD"/>
    <w:rsid w:val="00125F00"/>
    <w:rsid w:val="00141742"/>
    <w:rsid w:val="00146422"/>
    <w:rsid w:val="00146600"/>
    <w:rsid w:val="00146B5E"/>
    <w:rsid w:val="001470C0"/>
    <w:rsid w:val="00150CA6"/>
    <w:rsid w:val="00157960"/>
    <w:rsid w:val="00172C34"/>
    <w:rsid w:val="00176D66"/>
    <w:rsid w:val="00181F00"/>
    <w:rsid w:val="00190EB5"/>
    <w:rsid w:val="0019407A"/>
    <w:rsid w:val="0019691F"/>
    <w:rsid w:val="00197F14"/>
    <w:rsid w:val="001A29CA"/>
    <w:rsid w:val="001A4577"/>
    <w:rsid w:val="001A5E0A"/>
    <w:rsid w:val="001B40FA"/>
    <w:rsid w:val="001B49BD"/>
    <w:rsid w:val="001C3324"/>
    <w:rsid w:val="001C4D3A"/>
    <w:rsid w:val="001C5D46"/>
    <w:rsid w:val="001C75B2"/>
    <w:rsid w:val="001E0982"/>
    <w:rsid w:val="001E3ECE"/>
    <w:rsid w:val="001E69DB"/>
    <w:rsid w:val="001F0B06"/>
    <w:rsid w:val="001F0E50"/>
    <w:rsid w:val="001F2664"/>
    <w:rsid w:val="001F47CB"/>
    <w:rsid w:val="00204D0F"/>
    <w:rsid w:val="002265E9"/>
    <w:rsid w:val="00252CD0"/>
    <w:rsid w:val="002677D6"/>
    <w:rsid w:val="00285E62"/>
    <w:rsid w:val="0028677A"/>
    <w:rsid w:val="0029476E"/>
    <w:rsid w:val="00296592"/>
    <w:rsid w:val="002A6174"/>
    <w:rsid w:val="002B62A0"/>
    <w:rsid w:val="002C0ECB"/>
    <w:rsid w:val="002C23E9"/>
    <w:rsid w:val="002E2667"/>
    <w:rsid w:val="002E3314"/>
    <w:rsid w:val="002F1283"/>
    <w:rsid w:val="002F5FB8"/>
    <w:rsid w:val="003178F3"/>
    <w:rsid w:val="00317A96"/>
    <w:rsid w:val="00321EB8"/>
    <w:rsid w:val="00323139"/>
    <w:rsid w:val="00335092"/>
    <w:rsid w:val="00341866"/>
    <w:rsid w:val="00356E26"/>
    <w:rsid w:val="003575F3"/>
    <w:rsid w:val="00366669"/>
    <w:rsid w:val="00370763"/>
    <w:rsid w:val="00374409"/>
    <w:rsid w:val="00381700"/>
    <w:rsid w:val="003820D6"/>
    <w:rsid w:val="00386BED"/>
    <w:rsid w:val="003A1D7A"/>
    <w:rsid w:val="003C1644"/>
    <w:rsid w:val="003C1F91"/>
    <w:rsid w:val="003D0480"/>
    <w:rsid w:val="003D6813"/>
    <w:rsid w:val="003F32A9"/>
    <w:rsid w:val="00414715"/>
    <w:rsid w:val="004230B0"/>
    <w:rsid w:val="00423C49"/>
    <w:rsid w:val="0042785C"/>
    <w:rsid w:val="00432C41"/>
    <w:rsid w:val="0044362C"/>
    <w:rsid w:val="00445DDF"/>
    <w:rsid w:val="00453F74"/>
    <w:rsid w:val="00455A33"/>
    <w:rsid w:val="00470106"/>
    <w:rsid w:val="004721F3"/>
    <w:rsid w:val="0047321C"/>
    <w:rsid w:val="00474FDA"/>
    <w:rsid w:val="004757BF"/>
    <w:rsid w:val="004855F2"/>
    <w:rsid w:val="00487256"/>
    <w:rsid w:val="00490E50"/>
    <w:rsid w:val="004A51DF"/>
    <w:rsid w:val="004A6E59"/>
    <w:rsid w:val="004B58B3"/>
    <w:rsid w:val="004C3BB0"/>
    <w:rsid w:val="004D1EE5"/>
    <w:rsid w:val="004D4CD3"/>
    <w:rsid w:val="004D53C3"/>
    <w:rsid w:val="004D778A"/>
    <w:rsid w:val="004F3E67"/>
    <w:rsid w:val="0050437A"/>
    <w:rsid w:val="00515CA5"/>
    <w:rsid w:val="00517B18"/>
    <w:rsid w:val="00524B22"/>
    <w:rsid w:val="0053019B"/>
    <w:rsid w:val="00530BB4"/>
    <w:rsid w:val="005320C7"/>
    <w:rsid w:val="00534B97"/>
    <w:rsid w:val="0054477B"/>
    <w:rsid w:val="00551B13"/>
    <w:rsid w:val="005521E7"/>
    <w:rsid w:val="005535D4"/>
    <w:rsid w:val="00556AC8"/>
    <w:rsid w:val="005665D1"/>
    <w:rsid w:val="0058734A"/>
    <w:rsid w:val="005916D2"/>
    <w:rsid w:val="00592AD7"/>
    <w:rsid w:val="00594550"/>
    <w:rsid w:val="005953A4"/>
    <w:rsid w:val="005A02C5"/>
    <w:rsid w:val="005A6D8E"/>
    <w:rsid w:val="005B0E46"/>
    <w:rsid w:val="005C7047"/>
    <w:rsid w:val="005D0272"/>
    <w:rsid w:val="005E6B6B"/>
    <w:rsid w:val="005F533D"/>
    <w:rsid w:val="006070B9"/>
    <w:rsid w:val="00617E46"/>
    <w:rsid w:val="0062025E"/>
    <w:rsid w:val="00625882"/>
    <w:rsid w:val="006276C9"/>
    <w:rsid w:val="006400D4"/>
    <w:rsid w:val="00644093"/>
    <w:rsid w:val="0065768D"/>
    <w:rsid w:val="006615E1"/>
    <w:rsid w:val="0068483B"/>
    <w:rsid w:val="0069142C"/>
    <w:rsid w:val="00695504"/>
    <w:rsid w:val="006A2074"/>
    <w:rsid w:val="006A4D89"/>
    <w:rsid w:val="006B4821"/>
    <w:rsid w:val="006C57B1"/>
    <w:rsid w:val="006D4F8F"/>
    <w:rsid w:val="006D549E"/>
    <w:rsid w:val="006D5749"/>
    <w:rsid w:val="006E6000"/>
    <w:rsid w:val="006E7FB0"/>
    <w:rsid w:val="006F4A80"/>
    <w:rsid w:val="006F53CD"/>
    <w:rsid w:val="006F77BE"/>
    <w:rsid w:val="0070048D"/>
    <w:rsid w:val="00703DFC"/>
    <w:rsid w:val="0070558B"/>
    <w:rsid w:val="00710A04"/>
    <w:rsid w:val="0071251E"/>
    <w:rsid w:val="00720B54"/>
    <w:rsid w:val="00720E07"/>
    <w:rsid w:val="00725908"/>
    <w:rsid w:val="0072643A"/>
    <w:rsid w:val="00764A91"/>
    <w:rsid w:val="0076589D"/>
    <w:rsid w:val="00766823"/>
    <w:rsid w:val="007726D7"/>
    <w:rsid w:val="00773856"/>
    <w:rsid w:val="00775D65"/>
    <w:rsid w:val="0078241C"/>
    <w:rsid w:val="007957B9"/>
    <w:rsid w:val="007A46B4"/>
    <w:rsid w:val="007A5C4A"/>
    <w:rsid w:val="007B03E0"/>
    <w:rsid w:val="007D2400"/>
    <w:rsid w:val="007D4A4A"/>
    <w:rsid w:val="007E52AC"/>
    <w:rsid w:val="007E6973"/>
    <w:rsid w:val="007E699A"/>
    <w:rsid w:val="007E7573"/>
    <w:rsid w:val="007F4F94"/>
    <w:rsid w:val="007F6E5B"/>
    <w:rsid w:val="007F7E3C"/>
    <w:rsid w:val="008024B2"/>
    <w:rsid w:val="00804E53"/>
    <w:rsid w:val="00822C8E"/>
    <w:rsid w:val="00827DA2"/>
    <w:rsid w:val="0083270A"/>
    <w:rsid w:val="00834B9E"/>
    <w:rsid w:val="00841CCE"/>
    <w:rsid w:val="00852671"/>
    <w:rsid w:val="00855434"/>
    <w:rsid w:val="0085560E"/>
    <w:rsid w:val="008647BA"/>
    <w:rsid w:val="00865E72"/>
    <w:rsid w:val="0087254C"/>
    <w:rsid w:val="008814F7"/>
    <w:rsid w:val="00891E91"/>
    <w:rsid w:val="00893FB3"/>
    <w:rsid w:val="008956A4"/>
    <w:rsid w:val="008B5814"/>
    <w:rsid w:val="008C1823"/>
    <w:rsid w:val="008D7DF2"/>
    <w:rsid w:val="008E4CB7"/>
    <w:rsid w:val="008F5806"/>
    <w:rsid w:val="00906BFB"/>
    <w:rsid w:val="009124A0"/>
    <w:rsid w:val="009131BC"/>
    <w:rsid w:val="0091686D"/>
    <w:rsid w:val="00924B80"/>
    <w:rsid w:val="00937BCD"/>
    <w:rsid w:val="00944ACD"/>
    <w:rsid w:val="00956FF9"/>
    <w:rsid w:val="00961DAE"/>
    <w:rsid w:val="0096632C"/>
    <w:rsid w:val="00967943"/>
    <w:rsid w:val="0097434D"/>
    <w:rsid w:val="00977E05"/>
    <w:rsid w:val="00991D87"/>
    <w:rsid w:val="00994B38"/>
    <w:rsid w:val="009A61E8"/>
    <w:rsid w:val="009A6D11"/>
    <w:rsid w:val="009B7DFA"/>
    <w:rsid w:val="009E030D"/>
    <w:rsid w:val="009E1DA1"/>
    <w:rsid w:val="009F4AB4"/>
    <w:rsid w:val="009F71DC"/>
    <w:rsid w:val="00A0763E"/>
    <w:rsid w:val="00A15BF1"/>
    <w:rsid w:val="00A34319"/>
    <w:rsid w:val="00A34518"/>
    <w:rsid w:val="00A35158"/>
    <w:rsid w:val="00A4355D"/>
    <w:rsid w:val="00A43DCA"/>
    <w:rsid w:val="00A51FCA"/>
    <w:rsid w:val="00A536DA"/>
    <w:rsid w:val="00A56980"/>
    <w:rsid w:val="00A60681"/>
    <w:rsid w:val="00A72F11"/>
    <w:rsid w:val="00A96311"/>
    <w:rsid w:val="00A9631E"/>
    <w:rsid w:val="00AA7819"/>
    <w:rsid w:val="00AB0A99"/>
    <w:rsid w:val="00AB20D8"/>
    <w:rsid w:val="00AB58C3"/>
    <w:rsid w:val="00AC4CC5"/>
    <w:rsid w:val="00AC7480"/>
    <w:rsid w:val="00AE0995"/>
    <w:rsid w:val="00AF06CA"/>
    <w:rsid w:val="00AF4F93"/>
    <w:rsid w:val="00B018B9"/>
    <w:rsid w:val="00B2244D"/>
    <w:rsid w:val="00B3254F"/>
    <w:rsid w:val="00B33628"/>
    <w:rsid w:val="00B337D1"/>
    <w:rsid w:val="00B4431A"/>
    <w:rsid w:val="00B460AF"/>
    <w:rsid w:val="00B521BC"/>
    <w:rsid w:val="00B5273C"/>
    <w:rsid w:val="00B53E8E"/>
    <w:rsid w:val="00B62B35"/>
    <w:rsid w:val="00B710EA"/>
    <w:rsid w:val="00B75595"/>
    <w:rsid w:val="00B806DB"/>
    <w:rsid w:val="00B81BC5"/>
    <w:rsid w:val="00B835C5"/>
    <w:rsid w:val="00B87F46"/>
    <w:rsid w:val="00B97BC8"/>
    <w:rsid w:val="00BB1C54"/>
    <w:rsid w:val="00BC1B93"/>
    <w:rsid w:val="00BD0A6B"/>
    <w:rsid w:val="00BD15D4"/>
    <w:rsid w:val="00BF144D"/>
    <w:rsid w:val="00BF7982"/>
    <w:rsid w:val="00C01B8E"/>
    <w:rsid w:val="00C0217E"/>
    <w:rsid w:val="00C0487E"/>
    <w:rsid w:val="00C1080B"/>
    <w:rsid w:val="00C14CA1"/>
    <w:rsid w:val="00C209EA"/>
    <w:rsid w:val="00C20BA6"/>
    <w:rsid w:val="00C211B3"/>
    <w:rsid w:val="00C3310F"/>
    <w:rsid w:val="00C33BBC"/>
    <w:rsid w:val="00C41350"/>
    <w:rsid w:val="00C446C7"/>
    <w:rsid w:val="00C4788A"/>
    <w:rsid w:val="00C63FEE"/>
    <w:rsid w:val="00C70D6C"/>
    <w:rsid w:val="00C71F08"/>
    <w:rsid w:val="00C83DC4"/>
    <w:rsid w:val="00C856C1"/>
    <w:rsid w:val="00C936A0"/>
    <w:rsid w:val="00C950B8"/>
    <w:rsid w:val="00C9728E"/>
    <w:rsid w:val="00CA5395"/>
    <w:rsid w:val="00CA582B"/>
    <w:rsid w:val="00CA5D25"/>
    <w:rsid w:val="00CB10EF"/>
    <w:rsid w:val="00CC084C"/>
    <w:rsid w:val="00CC2DF1"/>
    <w:rsid w:val="00CC312A"/>
    <w:rsid w:val="00CC5DDE"/>
    <w:rsid w:val="00CC74B4"/>
    <w:rsid w:val="00CD31E5"/>
    <w:rsid w:val="00CE0EF2"/>
    <w:rsid w:val="00CF0A7E"/>
    <w:rsid w:val="00CF5B9A"/>
    <w:rsid w:val="00D02D61"/>
    <w:rsid w:val="00D225FB"/>
    <w:rsid w:val="00D23599"/>
    <w:rsid w:val="00D33436"/>
    <w:rsid w:val="00D43998"/>
    <w:rsid w:val="00D47828"/>
    <w:rsid w:val="00D579BC"/>
    <w:rsid w:val="00D63C82"/>
    <w:rsid w:val="00D67693"/>
    <w:rsid w:val="00D70310"/>
    <w:rsid w:val="00D77890"/>
    <w:rsid w:val="00D87C24"/>
    <w:rsid w:val="00D90CBF"/>
    <w:rsid w:val="00D90F48"/>
    <w:rsid w:val="00D9166B"/>
    <w:rsid w:val="00D92CB4"/>
    <w:rsid w:val="00D93E95"/>
    <w:rsid w:val="00D94313"/>
    <w:rsid w:val="00DA6F3C"/>
    <w:rsid w:val="00DB44CE"/>
    <w:rsid w:val="00DC09DD"/>
    <w:rsid w:val="00DC0CCD"/>
    <w:rsid w:val="00DC5963"/>
    <w:rsid w:val="00DD02E8"/>
    <w:rsid w:val="00DD3E84"/>
    <w:rsid w:val="00DF281F"/>
    <w:rsid w:val="00DF3DC8"/>
    <w:rsid w:val="00DF57D1"/>
    <w:rsid w:val="00E027CE"/>
    <w:rsid w:val="00E0745C"/>
    <w:rsid w:val="00E102DA"/>
    <w:rsid w:val="00E2091C"/>
    <w:rsid w:val="00E310B1"/>
    <w:rsid w:val="00E35ECB"/>
    <w:rsid w:val="00E4230F"/>
    <w:rsid w:val="00E436DC"/>
    <w:rsid w:val="00E43FF3"/>
    <w:rsid w:val="00E52021"/>
    <w:rsid w:val="00E521EB"/>
    <w:rsid w:val="00E57F5B"/>
    <w:rsid w:val="00E57FC8"/>
    <w:rsid w:val="00E60318"/>
    <w:rsid w:val="00E6445A"/>
    <w:rsid w:val="00E6573E"/>
    <w:rsid w:val="00E92ACF"/>
    <w:rsid w:val="00E94542"/>
    <w:rsid w:val="00E9701C"/>
    <w:rsid w:val="00EA07A3"/>
    <w:rsid w:val="00EA26F9"/>
    <w:rsid w:val="00EA3F0A"/>
    <w:rsid w:val="00EA4BD0"/>
    <w:rsid w:val="00EA5739"/>
    <w:rsid w:val="00EB6628"/>
    <w:rsid w:val="00EB6EE6"/>
    <w:rsid w:val="00EC4610"/>
    <w:rsid w:val="00EC7372"/>
    <w:rsid w:val="00EE4F64"/>
    <w:rsid w:val="00EE5F32"/>
    <w:rsid w:val="00F02B46"/>
    <w:rsid w:val="00F04F4C"/>
    <w:rsid w:val="00F04F98"/>
    <w:rsid w:val="00F05061"/>
    <w:rsid w:val="00F133AE"/>
    <w:rsid w:val="00F137D5"/>
    <w:rsid w:val="00F15EB8"/>
    <w:rsid w:val="00F168B6"/>
    <w:rsid w:val="00F17D46"/>
    <w:rsid w:val="00F2283B"/>
    <w:rsid w:val="00F239CB"/>
    <w:rsid w:val="00F252DC"/>
    <w:rsid w:val="00F31331"/>
    <w:rsid w:val="00F33CC9"/>
    <w:rsid w:val="00F34211"/>
    <w:rsid w:val="00F4212C"/>
    <w:rsid w:val="00F500B7"/>
    <w:rsid w:val="00F567F0"/>
    <w:rsid w:val="00F619B0"/>
    <w:rsid w:val="00F62C6E"/>
    <w:rsid w:val="00F63C6E"/>
    <w:rsid w:val="00F72A15"/>
    <w:rsid w:val="00F730F8"/>
    <w:rsid w:val="00F75289"/>
    <w:rsid w:val="00F80272"/>
    <w:rsid w:val="00FA1560"/>
    <w:rsid w:val="00FA2A52"/>
    <w:rsid w:val="00FB1597"/>
    <w:rsid w:val="00FB5088"/>
    <w:rsid w:val="00FC5E3E"/>
    <w:rsid w:val="00FD3E49"/>
    <w:rsid w:val="00FF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A48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rsid w:val="00487256"/>
    <w:rPr>
      <w:rFonts w:ascii="Times New Roman" w:hAnsi="Times New Roman"/>
      <w:b/>
      <w:sz w:val="26"/>
      <w:szCs w:val="26"/>
      <w:vertAlign w:val="superscript"/>
    </w:rPr>
  </w:style>
  <w:style w:type="paragraph" w:styleId="FootnoteText">
    <w:name w:val="footnote text"/>
    <w:aliases w:val="fn,Footnote Text Char1,Footnote Text Char Char,Footnote Text Char1 Char,Footnote Text Char Char Char, Char,Footnote Text Char Char1,Char,Footnote Text Char1 Char Char Char1,Footnote Text Char Char Char Char Char1,ft Char"/>
    <w:basedOn w:val="Normal"/>
    <w:link w:val="FootnoteTextChar"/>
    <w:rsid w:val="00C0217E"/>
    <w:rPr>
      <w:sz w:val="22"/>
      <w:szCs w:val="20"/>
    </w:rPr>
  </w:style>
  <w:style w:type="paragraph" w:styleId="Header">
    <w:name w:val="header"/>
    <w:basedOn w:val="Normal"/>
    <w:rsid w:val="0096632C"/>
    <w:pPr>
      <w:tabs>
        <w:tab w:val="center" w:pos="4320"/>
        <w:tab w:val="right" w:pos="8640"/>
      </w:tabs>
    </w:pPr>
  </w:style>
  <w:style w:type="character" w:styleId="PageNumber">
    <w:name w:val="page number"/>
    <w:basedOn w:val="DefaultParagraphFont"/>
    <w:rsid w:val="0096632C"/>
  </w:style>
  <w:style w:type="paragraph" w:styleId="Footer">
    <w:name w:val="footer"/>
    <w:basedOn w:val="Normal"/>
    <w:rsid w:val="00E57FC8"/>
    <w:pPr>
      <w:tabs>
        <w:tab w:val="center" w:pos="4320"/>
        <w:tab w:val="right" w:pos="8640"/>
      </w:tabs>
    </w:pPr>
  </w:style>
  <w:style w:type="character" w:styleId="Hyperlink">
    <w:name w:val="Hyperlink"/>
    <w:rsid w:val="00822C8E"/>
    <w:rPr>
      <w:color w:val="0000FF"/>
      <w:u w:val="single"/>
    </w:rPr>
  </w:style>
  <w:style w:type="character" w:styleId="FollowedHyperlink">
    <w:name w:val="FollowedHyperlink"/>
    <w:rsid w:val="00FB1597"/>
    <w:rPr>
      <w:color w:val="800080"/>
      <w:u w:val="single"/>
    </w:rPr>
  </w:style>
  <w:style w:type="paragraph" w:styleId="BalloonText">
    <w:name w:val="Balloon Text"/>
    <w:basedOn w:val="Normal"/>
    <w:semiHidden/>
    <w:rsid w:val="00121C3B"/>
    <w:rPr>
      <w:rFonts w:ascii="Tahoma" w:hAnsi="Tahoma" w:cs="Tahoma"/>
      <w:sz w:val="16"/>
      <w:szCs w:val="16"/>
    </w:rPr>
  </w:style>
  <w:style w:type="character" w:styleId="CommentReference">
    <w:name w:val="annotation reference"/>
    <w:semiHidden/>
    <w:rsid w:val="00F168B6"/>
    <w:rPr>
      <w:sz w:val="16"/>
      <w:szCs w:val="16"/>
    </w:rPr>
  </w:style>
  <w:style w:type="paragraph" w:styleId="CommentText">
    <w:name w:val="annotation text"/>
    <w:basedOn w:val="Normal"/>
    <w:semiHidden/>
    <w:rsid w:val="00F168B6"/>
    <w:rPr>
      <w:sz w:val="20"/>
      <w:szCs w:val="20"/>
    </w:rPr>
  </w:style>
  <w:style w:type="paragraph" w:styleId="CommentSubject">
    <w:name w:val="annotation subject"/>
    <w:basedOn w:val="CommentText"/>
    <w:next w:val="CommentText"/>
    <w:semiHidden/>
    <w:rsid w:val="00F168B6"/>
    <w:rPr>
      <w:b/>
      <w:bCs/>
    </w:rPr>
  </w:style>
  <w:style w:type="table" w:styleId="TableGrid">
    <w:name w:val="Table Grid"/>
    <w:basedOn w:val="TableNormal"/>
    <w:rsid w:val="004757B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unhideWhenUsed/>
    <w:rsid w:val="002E3314"/>
    <w:pPr>
      <w:numPr>
        <w:numId w:val="4"/>
      </w:numPr>
      <w:spacing w:after="120" w:line="480" w:lineRule="auto"/>
    </w:pPr>
  </w:style>
  <w:style w:type="paragraph" w:customStyle="1" w:styleId="LegalFormat">
    <w:name w:val="Legal Format"/>
    <w:basedOn w:val="ListContinue"/>
    <w:rsid w:val="002E3314"/>
    <w:pPr>
      <w:spacing w:after="0"/>
      <w:ind w:left="0"/>
    </w:pPr>
    <w:rPr>
      <w:u w:val="single"/>
    </w:rPr>
  </w:style>
  <w:style w:type="character" w:customStyle="1" w:styleId="FootnoteTextChar">
    <w:name w:val="Footnote Text Char"/>
    <w:aliases w:val="fn Char,Footnote Text Char1 Char1,Footnote Text Char Char Char1,Footnote Text Char1 Char Char,Footnote Text Char Char Char Char, Char Char,Footnote Text Char Char1 Char,Char Char,Footnote Text Char1 Char Char Char1 Char,ft Char Char"/>
    <w:link w:val="FootnoteText"/>
    <w:rsid w:val="009A6D11"/>
    <w:rPr>
      <w:sz w:val="22"/>
    </w:rPr>
  </w:style>
  <w:style w:type="paragraph" w:styleId="ListParagraph">
    <w:name w:val="List Paragraph"/>
    <w:basedOn w:val="Normal"/>
    <w:uiPriority w:val="34"/>
    <w:qFormat/>
    <w:rsid w:val="007F6E5B"/>
    <w:pPr>
      <w:spacing w:after="160" w:line="259"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rsid w:val="00487256"/>
    <w:rPr>
      <w:rFonts w:ascii="Times New Roman" w:hAnsi="Times New Roman"/>
      <w:b/>
      <w:sz w:val="26"/>
      <w:szCs w:val="26"/>
      <w:vertAlign w:val="superscript"/>
    </w:rPr>
  </w:style>
  <w:style w:type="paragraph" w:styleId="FootnoteText">
    <w:name w:val="footnote text"/>
    <w:aliases w:val="fn,Footnote Text Char1,Footnote Text Char Char,Footnote Text Char1 Char,Footnote Text Char Char Char, Char,Footnote Text Char Char1,Char,Footnote Text Char1 Char Char Char1,Footnote Text Char Char Char Char Char1,ft Char"/>
    <w:basedOn w:val="Normal"/>
    <w:link w:val="FootnoteTextChar"/>
    <w:rsid w:val="00C0217E"/>
    <w:rPr>
      <w:sz w:val="22"/>
      <w:szCs w:val="20"/>
    </w:rPr>
  </w:style>
  <w:style w:type="paragraph" w:styleId="Header">
    <w:name w:val="header"/>
    <w:basedOn w:val="Normal"/>
    <w:rsid w:val="0096632C"/>
    <w:pPr>
      <w:tabs>
        <w:tab w:val="center" w:pos="4320"/>
        <w:tab w:val="right" w:pos="8640"/>
      </w:tabs>
    </w:pPr>
  </w:style>
  <w:style w:type="character" w:styleId="PageNumber">
    <w:name w:val="page number"/>
    <w:basedOn w:val="DefaultParagraphFont"/>
    <w:rsid w:val="0096632C"/>
  </w:style>
  <w:style w:type="paragraph" w:styleId="Footer">
    <w:name w:val="footer"/>
    <w:basedOn w:val="Normal"/>
    <w:rsid w:val="00E57FC8"/>
    <w:pPr>
      <w:tabs>
        <w:tab w:val="center" w:pos="4320"/>
        <w:tab w:val="right" w:pos="8640"/>
      </w:tabs>
    </w:pPr>
  </w:style>
  <w:style w:type="character" w:styleId="Hyperlink">
    <w:name w:val="Hyperlink"/>
    <w:rsid w:val="00822C8E"/>
    <w:rPr>
      <w:color w:val="0000FF"/>
      <w:u w:val="single"/>
    </w:rPr>
  </w:style>
  <w:style w:type="character" w:styleId="FollowedHyperlink">
    <w:name w:val="FollowedHyperlink"/>
    <w:rsid w:val="00FB1597"/>
    <w:rPr>
      <w:color w:val="800080"/>
      <w:u w:val="single"/>
    </w:rPr>
  </w:style>
  <w:style w:type="paragraph" w:styleId="BalloonText">
    <w:name w:val="Balloon Text"/>
    <w:basedOn w:val="Normal"/>
    <w:semiHidden/>
    <w:rsid w:val="00121C3B"/>
    <w:rPr>
      <w:rFonts w:ascii="Tahoma" w:hAnsi="Tahoma" w:cs="Tahoma"/>
      <w:sz w:val="16"/>
      <w:szCs w:val="16"/>
    </w:rPr>
  </w:style>
  <w:style w:type="character" w:styleId="CommentReference">
    <w:name w:val="annotation reference"/>
    <w:semiHidden/>
    <w:rsid w:val="00F168B6"/>
    <w:rPr>
      <w:sz w:val="16"/>
      <w:szCs w:val="16"/>
    </w:rPr>
  </w:style>
  <w:style w:type="paragraph" w:styleId="CommentText">
    <w:name w:val="annotation text"/>
    <w:basedOn w:val="Normal"/>
    <w:semiHidden/>
    <w:rsid w:val="00F168B6"/>
    <w:rPr>
      <w:sz w:val="20"/>
      <w:szCs w:val="20"/>
    </w:rPr>
  </w:style>
  <w:style w:type="paragraph" w:styleId="CommentSubject">
    <w:name w:val="annotation subject"/>
    <w:basedOn w:val="CommentText"/>
    <w:next w:val="CommentText"/>
    <w:semiHidden/>
    <w:rsid w:val="00F168B6"/>
    <w:rPr>
      <w:b/>
      <w:bCs/>
    </w:rPr>
  </w:style>
  <w:style w:type="table" w:styleId="TableGrid">
    <w:name w:val="Table Grid"/>
    <w:basedOn w:val="TableNormal"/>
    <w:rsid w:val="004757B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unhideWhenUsed/>
    <w:rsid w:val="002E3314"/>
    <w:pPr>
      <w:numPr>
        <w:numId w:val="4"/>
      </w:numPr>
      <w:spacing w:after="120" w:line="480" w:lineRule="auto"/>
    </w:pPr>
  </w:style>
  <w:style w:type="paragraph" w:customStyle="1" w:styleId="LegalFormat">
    <w:name w:val="Legal Format"/>
    <w:basedOn w:val="ListContinue"/>
    <w:rsid w:val="002E3314"/>
    <w:pPr>
      <w:spacing w:after="0"/>
      <w:ind w:left="0"/>
    </w:pPr>
    <w:rPr>
      <w:u w:val="single"/>
    </w:rPr>
  </w:style>
  <w:style w:type="character" w:customStyle="1" w:styleId="FootnoteTextChar">
    <w:name w:val="Footnote Text Char"/>
    <w:aliases w:val="fn Char,Footnote Text Char1 Char1,Footnote Text Char Char Char1,Footnote Text Char1 Char Char,Footnote Text Char Char Char Char, Char Char,Footnote Text Char Char1 Char,Char Char,Footnote Text Char1 Char Char Char1 Char,ft Char Char"/>
    <w:link w:val="FootnoteText"/>
    <w:rsid w:val="009A6D11"/>
    <w:rPr>
      <w:sz w:val="22"/>
    </w:rPr>
  </w:style>
  <w:style w:type="paragraph" w:styleId="ListParagraph">
    <w:name w:val="List Paragraph"/>
    <w:basedOn w:val="Normal"/>
    <w:uiPriority w:val="34"/>
    <w:qFormat/>
    <w:rsid w:val="007F6E5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93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oira_submission@omb.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DataClearance@FERC.gov" TargetMode="External"/><Relationship Id="rId2" Type="http://schemas.openxmlformats.org/officeDocument/2006/relationships/customXml" Target="../customXml/item2.xml"/><Relationship Id="rId16" Type="http://schemas.openxmlformats.org/officeDocument/2006/relationships/hyperlink" Target="http://www.ferc.gov/docs-filing/docs-filing.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erc.gov/help/submission-guide.asp"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docs-filing/efiling.as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ls.gov/news.release/ecec.nr0.htm" TargetMode="External"/><Relationship Id="rId1" Type="http://schemas.openxmlformats.org/officeDocument/2006/relationships/hyperlink" Target="http://bls.gov/oes/current/naics2_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30-Day Notice</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725HH</_x0031__x002e__x0020_Collection_x0020_Number>
    <Date xmlns="d6eefc7d-9817-4fa6-84d5-3bc009be21b8">2018-02-08T00:00:00-05:00</Date>
    <Status xmlns="d6eefc7d-9817-4fa6-84d5-3bc009be21b8">Issued</Status>
    <_x0032__x002e__x0020_Docket_x0020_Number xmlns="d6eefc7d-9817-4fa6-84d5-3bc009be21b8" xsi:nil="true"/>
    <_x0032__x002e__x0020_Collection_x0020_Number xmlns="d6eefc7d-9817-4fa6-84d5-3bc009be21b8" xsi:nil="true"/>
    <_x0031__x002e__x0020_Docket_x0020_Number xmlns="d6eefc7d-9817-4fa6-84d5-3bc009be21b8">RD17-8</_x0031__x002e__x0020_Docket_x0020_Number>
    <_x0033__x002e__x0020_Collection_x0020_Number xmlns="d6eefc7d-9817-4fa6-84d5-3bc009be21b8" xsi:nil="true"/>
  </documentManagement>
</p:properties>
</file>

<file path=customXml/item4.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90A9D-A59A-4EEB-8B08-5CEC1C76B9C7}">
  <ds:schemaRefs>
    <ds:schemaRef ds:uri="http://schemas.microsoft.com/sharepoint/v3/contenttype/forms"/>
  </ds:schemaRefs>
</ds:datastoreItem>
</file>

<file path=customXml/itemProps2.xml><?xml version="1.0" encoding="utf-8"?>
<ds:datastoreItem xmlns:ds="http://schemas.openxmlformats.org/officeDocument/2006/customXml" ds:itemID="{9FB9F760-19B9-4E41-99A8-A1312892E96A}">
  <ds:schemaRefs>
    <ds:schemaRef ds:uri="Microsoft.SharePoint.Taxonomy.ContentTypeSync"/>
  </ds:schemaRefs>
</ds:datastoreItem>
</file>

<file path=customXml/itemProps3.xml><?xml version="1.0" encoding="utf-8"?>
<ds:datastoreItem xmlns:ds="http://schemas.openxmlformats.org/officeDocument/2006/customXml" ds:itemID="{89768FB7-90D6-49F7-8722-63F06B1B3EAC}">
  <ds:schemaRefs>
    <ds:schemaRef ds:uri="d6eefc7d-9817-4fa6-84d5-3bc009be21b8"/>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86986AC8-72CE-49D6-9AE6-AF5AD703CED1}">
  <ds:schemaRefs>
    <ds:schemaRef ds:uri="http://schemas.microsoft.com/office/2006/metadata/customXsn"/>
  </ds:schemaRefs>
</ds:datastoreItem>
</file>

<file path=customXml/itemProps5.xml><?xml version="1.0" encoding="utf-8"?>
<ds:datastoreItem xmlns:ds="http://schemas.openxmlformats.org/officeDocument/2006/customXml" ds:itemID="{79878910-6B10-408D-A0B3-50CF8B71E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7722</CharactersWithSpaces>
  <SharedDoc>false</SharedDoc>
  <HyperlinkBase/>
  <HLinks>
    <vt:vector size="30" baseType="variant">
      <vt:variant>
        <vt:i4>5767268</vt:i4>
      </vt:variant>
      <vt:variant>
        <vt:i4>12</vt:i4>
      </vt:variant>
      <vt:variant>
        <vt:i4>0</vt:i4>
      </vt:variant>
      <vt:variant>
        <vt:i4>5</vt:i4>
      </vt:variant>
      <vt:variant>
        <vt:lpwstr>mailto:DataClearance@FERC.gov</vt:lpwstr>
      </vt:variant>
      <vt:variant>
        <vt:lpwstr/>
      </vt:variant>
      <vt:variant>
        <vt:i4>2293798</vt:i4>
      </vt:variant>
      <vt:variant>
        <vt:i4>9</vt:i4>
      </vt:variant>
      <vt:variant>
        <vt:i4>0</vt:i4>
      </vt:variant>
      <vt:variant>
        <vt:i4>5</vt:i4>
      </vt:variant>
      <vt:variant>
        <vt:lpwstr>http://www.ferc.gov/docs-filing/docs-filing.asp</vt:lpwstr>
      </vt:variant>
      <vt:variant>
        <vt:lpwstr/>
      </vt:variant>
      <vt:variant>
        <vt:i4>4259850</vt:i4>
      </vt:variant>
      <vt:variant>
        <vt:i4>6</vt:i4>
      </vt:variant>
      <vt:variant>
        <vt:i4>0</vt:i4>
      </vt:variant>
      <vt:variant>
        <vt:i4>5</vt:i4>
      </vt:variant>
      <vt:variant>
        <vt:lpwstr>http://www.ferc.gov/help/submission-guide.asp</vt:lpwstr>
      </vt:variant>
      <vt:variant>
        <vt:lpwstr/>
      </vt:variant>
      <vt:variant>
        <vt:i4>4128873</vt:i4>
      </vt:variant>
      <vt:variant>
        <vt:i4>3</vt:i4>
      </vt:variant>
      <vt:variant>
        <vt:i4>0</vt:i4>
      </vt:variant>
      <vt:variant>
        <vt:i4>5</vt:i4>
      </vt:variant>
      <vt:variant>
        <vt:lpwstr>http://www.ferc.gov/docs-filing/efiling.asp</vt:lpwstr>
      </vt:variant>
      <vt:variant>
        <vt:lpwstr/>
      </vt:variant>
      <vt:variant>
        <vt:i4>5242954</vt:i4>
      </vt:variant>
      <vt:variant>
        <vt:i4>0</vt:i4>
      </vt:variant>
      <vt:variant>
        <vt:i4>0</vt:i4>
      </vt:variant>
      <vt:variant>
        <vt:i4>5</vt:i4>
      </vt:variant>
      <vt:variant>
        <vt:lpwstr>mailto:oira_submission@omb.gov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RD17-8-000 30-day notice</dc:title>
  <dc:subject/>
  <dc:creator>Anthony May</dc:creator>
  <cp:keywords/>
  <dc:description/>
  <cp:lastModifiedBy>SYSTEM</cp:lastModifiedBy>
  <cp:revision>2</cp:revision>
  <dcterms:created xsi:type="dcterms:W3CDTF">2018-02-08T17:33:00Z</dcterms:created>
  <dcterms:modified xsi:type="dcterms:W3CDTF">2018-02-08T17:33:00Z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