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CE081" w14:textId="77777777" w:rsidR="00E14C63" w:rsidRPr="00B51BB8" w:rsidRDefault="00D350A8" w:rsidP="002A4142">
      <w:pPr>
        <w:tabs>
          <w:tab w:val="left" w:pos="3320"/>
        </w:tabs>
        <w:spacing w:after="0" w:line="240" w:lineRule="auto"/>
        <w:jc w:val="center"/>
        <w:rPr>
          <w:rFonts w:ascii="Times New Roman" w:hAnsi="Times New Roman" w:cs="Times New Roman"/>
          <w:sz w:val="24"/>
          <w:szCs w:val="24"/>
        </w:rPr>
      </w:pPr>
      <w:bookmarkStart w:id="0" w:name="_GoBack"/>
      <w:bookmarkEnd w:id="0"/>
      <w:r w:rsidRPr="00B51BB8">
        <w:rPr>
          <w:rFonts w:ascii="Times New Roman" w:hAnsi="Times New Roman" w:cs="Times New Roman"/>
          <w:sz w:val="24"/>
          <w:szCs w:val="24"/>
        </w:rPr>
        <w:t>Supporting Statement for</w:t>
      </w:r>
    </w:p>
    <w:p w14:paraId="632D9B37" w14:textId="0C8532DF" w:rsidR="00797852" w:rsidRDefault="003D6E36" w:rsidP="002A4142">
      <w:pPr>
        <w:spacing w:after="0" w:line="240" w:lineRule="auto"/>
        <w:ind w:right="-180"/>
        <w:jc w:val="center"/>
        <w:rPr>
          <w:rFonts w:ascii="Times New Roman" w:hAnsi="Times New Roman" w:cs="Times New Roman"/>
          <w:b/>
          <w:sz w:val="24"/>
          <w:szCs w:val="24"/>
        </w:rPr>
      </w:pPr>
      <w:r>
        <w:rPr>
          <w:rFonts w:ascii="Times New Roman" w:hAnsi="Times New Roman" w:cs="Times New Roman"/>
          <w:b/>
          <w:sz w:val="24"/>
          <w:szCs w:val="24"/>
        </w:rPr>
        <w:t>FERC-725HH</w:t>
      </w:r>
      <w:r w:rsidR="00FA0F7B" w:rsidRPr="00B51BB8">
        <w:rPr>
          <w:rFonts w:ascii="Times New Roman" w:hAnsi="Times New Roman" w:cs="Times New Roman"/>
          <w:b/>
          <w:sz w:val="24"/>
          <w:szCs w:val="24"/>
        </w:rPr>
        <w:t xml:space="preserve"> </w:t>
      </w:r>
      <w:r w:rsidR="00A70D34" w:rsidRPr="00B51BB8">
        <w:rPr>
          <w:rFonts w:ascii="Times New Roman" w:hAnsi="Times New Roman" w:cs="Times New Roman"/>
          <w:b/>
          <w:sz w:val="24"/>
          <w:szCs w:val="24"/>
        </w:rPr>
        <w:t>(</w:t>
      </w:r>
      <w:r>
        <w:rPr>
          <w:rFonts w:ascii="Times New Roman" w:hAnsi="Times New Roman" w:cs="Times New Roman"/>
          <w:b/>
          <w:sz w:val="24"/>
          <w:szCs w:val="24"/>
        </w:rPr>
        <w:t>RF Reliability Standards</w:t>
      </w:r>
      <w:r w:rsidR="00A70D34" w:rsidRPr="00B51BB8">
        <w:rPr>
          <w:rFonts w:ascii="Times New Roman" w:hAnsi="Times New Roman" w:cs="Times New Roman"/>
          <w:b/>
          <w:sz w:val="24"/>
          <w:szCs w:val="24"/>
        </w:rPr>
        <w:t>)</w:t>
      </w:r>
    </w:p>
    <w:p w14:paraId="67A86B77" w14:textId="1278B77F" w:rsidR="00D350A8" w:rsidRPr="00B51BB8" w:rsidRDefault="00717A1C" w:rsidP="002A4142">
      <w:pPr>
        <w:spacing w:after="0" w:line="240" w:lineRule="auto"/>
        <w:ind w:right="-180"/>
        <w:jc w:val="center"/>
        <w:rPr>
          <w:rFonts w:ascii="Times New Roman" w:hAnsi="Times New Roman" w:cs="Times New Roman"/>
          <w:b/>
          <w:sz w:val="24"/>
          <w:szCs w:val="24"/>
        </w:rPr>
      </w:pPr>
      <w:r w:rsidRPr="00B51BB8">
        <w:rPr>
          <w:rFonts w:ascii="Times New Roman" w:hAnsi="Times New Roman" w:cs="Times New Roman"/>
          <w:b/>
          <w:sz w:val="24"/>
          <w:szCs w:val="24"/>
        </w:rPr>
        <w:t xml:space="preserve">as </w:t>
      </w:r>
      <w:r w:rsidR="000A1388">
        <w:rPr>
          <w:rFonts w:ascii="Times New Roman" w:hAnsi="Times New Roman" w:cs="Times New Roman"/>
          <w:b/>
          <w:sz w:val="24"/>
          <w:szCs w:val="24"/>
        </w:rPr>
        <w:t>establish</w:t>
      </w:r>
      <w:r w:rsidR="008B5E47" w:rsidRPr="00B51BB8">
        <w:rPr>
          <w:rFonts w:ascii="Times New Roman" w:hAnsi="Times New Roman" w:cs="Times New Roman"/>
          <w:b/>
          <w:sz w:val="24"/>
          <w:szCs w:val="24"/>
        </w:rPr>
        <w:t xml:space="preserve">ed </w:t>
      </w:r>
      <w:r w:rsidRPr="00B51BB8">
        <w:rPr>
          <w:rFonts w:ascii="Times New Roman" w:hAnsi="Times New Roman" w:cs="Times New Roman"/>
          <w:b/>
          <w:sz w:val="24"/>
          <w:szCs w:val="24"/>
        </w:rPr>
        <w:t xml:space="preserve">by </w:t>
      </w:r>
      <w:r w:rsidR="003D6E36">
        <w:rPr>
          <w:rFonts w:ascii="Times New Roman" w:hAnsi="Times New Roman" w:cs="Times New Roman"/>
          <w:b/>
          <w:sz w:val="24"/>
          <w:szCs w:val="24"/>
        </w:rPr>
        <w:t>the Order in Docket RD17-8-000</w:t>
      </w:r>
    </w:p>
    <w:p w14:paraId="432F8FF1" w14:textId="77777777" w:rsidR="002A4142" w:rsidRPr="00B51BB8" w:rsidRDefault="002A4142" w:rsidP="002A4142">
      <w:pPr>
        <w:spacing w:after="0" w:line="240" w:lineRule="auto"/>
        <w:ind w:right="-180"/>
        <w:jc w:val="center"/>
        <w:rPr>
          <w:rFonts w:ascii="Times New Roman" w:hAnsi="Times New Roman" w:cs="Times New Roman"/>
          <w:b/>
          <w:sz w:val="24"/>
          <w:szCs w:val="24"/>
        </w:rPr>
      </w:pPr>
    </w:p>
    <w:p w14:paraId="12B1F6FB" w14:textId="33BD9AEB" w:rsidR="00C4205B" w:rsidRDefault="00D350A8"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 Federal Energy Regulatory Commission (Commission or FERC) requests that the Office of Management and Budget (OMB) review and approve</w:t>
      </w:r>
      <w:r w:rsidR="00376367">
        <w:rPr>
          <w:rFonts w:ascii="Times New Roman" w:hAnsi="Times New Roman" w:cs="Times New Roman"/>
          <w:sz w:val="24"/>
          <w:szCs w:val="24"/>
        </w:rPr>
        <w:t xml:space="preserve"> the</w:t>
      </w:r>
      <w:r w:rsidRPr="00B51BB8">
        <w:rPr>
          <w:rFonts w:ascii="Times New Roman" w:hAnsi="Times New Roman" w:cs="Times New Roman"/>
          <w:sz w:val="24"/>
          <w:szCs w:val="24"/>
        </w:rPr>
        <w:t xml:space="preserve"> </w:t>
      </w:r>
      <w:r w:rsidR="003D6E36">
        <w:rPr>
          <w:rFonts w:ascii="Times New Roman" w:hAnsi="Times New Roman" w:cs="Times New Roman"/>
          <w:sz w:val="24"/>
          <w:szCs w:val="24"/>
        </w:rPr>
        <w:t>FERC-725HH</w:t>
      </w:r>
      <w:r w:rsidR="00612E67" w:rsidRPr="00AD1139">
        <w:rPr>
          <w:rFonts w:ascii="Times New Roman" w:hAnsi="Times New Roman" w:cs="Times New Roman"/>
          <w:sz w:val="24"/>
          <w:szCs w:val="24"/>
          <w:vertAlign w:val="superscript"/>
        </w:rPr>
        <w:t xml:space="preserve"> </w:t>
      </w:r>
      <w:r w:rsidR="00376367">
        <w:rPr>
          <w:rFonts w:ascii="Times New Roman" w:hAnsi="Times New Roman" w:cs="Times New Roman"/>
          <w:sz w:val="24"/>
          <w:szCs w:val="24"/>
        </w:rPr>
        <w:t xml:space="preserve">information collection </w:t>
      </w:r>
      <w:r w:rsidR="00612E67" w:rsidRPr="00B51BB8">
        <w:rPr>
          <w:rFonts w:ascii="Times New Roman" w:hAnsi="Times New Roman" w:cs="Times New Roman"/>
          <w:sz w:val="24"/>
          <w:szCs w:val="24"/>
        </w:rPr>
        <w:t>(</w:t>
      </w:r>
      <w:r w:rsidR="003D6E36">
        <w:rPr>
          <w:rFonts w:ascii="Times New Roman" w:hAnsi="Times New Roman" w:cs="Times New Roman"/>
          <w:sz w:val="24"/>
          <w:szCs w:val="24"/>
        </w:rPr>
        <w:t>RF Reliability Standards</w:t>
      </w:r>
      <w:r w:rsidR="000B4143">
        <w:rPr>
          <w:rFonts w:ascii="Times New Roman" w:hAnsi="Times New Roman" w:cs="Times New Roman"/>
          <w:sz w:val="24"/>
          <w:szCs w:val="24"/>
        </w:rPr>
        <w:t>)</w:t>
      </w:r>
      <w:r w:rsidR="00B50C45">
        <w:rPr>
          <w:rFonts w:ascii="Times New Roman" w:hAnsi="Times New Roman" w:cs="Times New Roman"/>
          <w:sz w:val="24"/>
          <w:szCs w:val="24"/>
        </w:rPr>
        <w:t xml:space="preserve"> </w:t>
      </w:r>
      <w:r w:rsidR="00606999" w:rsidRPr="00B51BB8">
        <w:rPr>
          <w:rFonts w:ascii="Times New Roman" w:hAnsi="Times New Roman" w:cs="Times New Roman"/>
          <w:sz w:val="24"/>
          <w:szCs w:val="24"/>
        </w:rPr>
        <w:t xml:space="preserve">as </w:t>
      </w:r>
      <w:r w:rsidR="000A1388">
        <w:rPr>
          <w:rFonts w:ascii="Times New Roman" w:hAnsi="Times New Roman" w:cs="Times New Roman"/>
          <w:sz w:val="24"/>
          <w:szCs w:val="24"/>
        </w:rPr>
        <w:t>establish</w:t>
      </w:r>
      <w:r w:rsidR="008B5E47" w:rsidRPr="00B51BB8">
        <w:rPr>
          <w:rFonts w:ascii="Times New Roman" w:hAnsi="Times New Roman" w:cs="Times New Roman"/>
          <w:sz w:val="24"/>
          <w:szCs w:val="24"/>
        </w:rPr>
        <w:t xml:space="preserve">ed </w:t>
      </w:r>
      <w:r w:rsidR="00606999" w:rsidRPr="00B51BB8">
        <w:rPr>
          <w:rFonts w:ascii="Times New Roman" w:hAnsi="Times New Roman" w:cs="Times New Roman"/>
          <w:sz w:val="24"/>
          <w:szCs w:val="24"/>
        </w:rPr>
        <w:t xml:space="preserve">by the </w:t>
      </w:r>
      <w:r w:rsidR="003D6E36">
        <w:rPr>
          <w:rFonts w:ascii="Times New Roman" w:hAnsi="Times New Roman" w:cs="Times New Roman"/>
          <w:sz w:val="24"/>
          <w:szCs w:val="24"/>
        </w:rPr>
        <w:t>Order</w:t>
      </w:r>
      <w:r w:rsidR="008C747F" w:rsidRPr="00B51BB8">
        <w:rPr>
          <w:rFonts w:ascii="Times New Roman" w:hAnsi="Times New Roman" w:cs="Times New Roman"/>
          <w:sz w:val="24"/>
          <w:szCs w:val="24"/>
        </w:rPr>
        <w:t xml:space="preserve"> </w:t>
      </w:r>
      <w:r w:rsidR="00612E67" w:rsidRPr="00B51BB8">
        <w:rPr>
          <w:rFonts w:ascii="Times New Roman" w:hAnsi="Times New Roman" w:cs="Times New Roman"/>
          <w:sz w:val="24"/>
          <w:szCs w:val="24"/>
        </w:rPr>
        <w:t xml:space="preserve">in </w:t>
      </w:r>
      <w:r w:rsidR="003D6E36">
        <w:rPr>
          <w:rFonts w:ascii="Times New Roman" w:hAnsi="Times New Roman" w:cs="Times New Roman"/>
          <w:sz w:val="24"/>
          <w:szCs w:val="24"/>
        </w:rPr>
        <w:t>RD17-8-000</w:t>
      </w:r>
      <w:r w:rsidR="00606999" w:rsidRPr="00B51BB8">
        <w:rPr>
          <w:rStyle w:val="FootnoteReference"/>
          <w:rFonts w:ascii="Times New Roman" w:hAnsi="Times New Roman" w:cs="Times New Roman"/>
          <w:sz w:val="24"/>
          <w:szCs w:val="24"/>
          <w:vertAlign w:val="superscript"/>
        </w:rPr>
        <w:footnoteReference w:id="2"/>
      </w:r>
      <w:r w:rsidR="00774B70">
        <w:rPr>
          <w:rFonts w:ascii="Times New Roman" w:hAnsi="Times New Roman" w:cs="Times New Roman"/>
          <w:sz w:val="24"/>
          <w:szCs w:val="24"/>
        </w:rPr>
        <w:t>.</w:t>
      </w:r>
    </w:p>
    <w:p w14:paraId="505CBA46" w14:textId="77777777" w:rsidR="002A4142" w:rsidRPr="00B51BB8" w:rsidRDefault="002A4142" w:rsidP="002A4142">
      <w:pPr>
        <w:spacing w:after="0" w:line="240" w:lineRule="auto"/>
        <w:rPr>
          <w:rFonts w:ascii="Times New Roman" w:hAnsi="Times New Roman" w:cs="Times New Roman"/>
          <w:b/>
          <w:sz w:val="24"/>
          <w:szCs w:val="24"/>
        </w:rPr>
      </w:pPr>
    </w:p>
    <w:p w14:paraId="1062E706"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b/>
          <w:bCs/>
          <w:sz w:val="24"/>
          <w:szCs w:val="24"/>
        </w:rPr>
      </w:pPr>
      <w:r w:rsidRPr="00B51BB8">
        <w:rPr>
          <w:rFonts w:ascii="Times New Roman" w:hAnsi="Times New Roman" w:cs="Times New Roman"/>
          <w:b/>
          <w:bCs/>
          <w:sz w:val="24"/>
          <w:szCs w:val="24"/>
        </w:rPr>
        <w:t>CIRCUMSTANCES THAT MAKE THE COLLECTION OF INFORMATION NECESSARY</w:t>
      </w:r>
    </w:p>
    <w:p w14:paraId="3D45919E" w14:textId="77777777" w:rsidR="00C4205B" w:rsidRPr="00B51BB8" w:rsidRDefault="00C4205B"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0B474BDE" w14:textId="28D3CE66" w:rsidR="00DF1C8D" w:rsidRDefault="008B0895"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On August 8, 2005, The Electricity Modernization Act of 2005, which is Title XII of the Energy Policy Act of 2005 (EPAct 2005), was enacted into law.  EPAct 2005 added a new Section 215</w:t>
      </w:r>
      <w:r w:rsidRPr="0082752D">
        <w:rPr>
          <w:rFonts w:ascii="Times New Roman" w:hAnsi="Times New Roman" w:cs="Times New Roman"/>
          <w:b/>
          <w:sz w:val="24"/>
          <w:szCs w:val="24"/>
          <w:vertAlign w:val="superscript"/>
        </w:rPr>
        <w:footnoteReference w:id="3"/>
      </w:r>
      <w:r>
        <w:rPr>
          <w:rFonts w:ascii="Times New Roman" w:hAnsi="Times New Roman" w:cs="Times New Roman"/>
          <w:sz w:val="24"/>
          <w:szCs w:val="24"/>
        </w:rPr>
        <w:t xml:space="preserve">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Pr>
          <w:rStyle w:val="FootnoteReference"/>
          <w:rFonts w:ascii="Times New Roman" w:hAnsi="Times New Roman" w:cs="Times New Roman"/>
          <w:sz w:val="24"/>
          <w:szCs w:val="24"/>
          <w:vertAlign w:val="superscript"/>
        </w:rPr>
        <w:footnoteReference w:id="4"/>
      </w:r>
      <w:r w:rsidR="00300774">
        <w:rPr>
          <w:rFonts w:ascii="Times New Roman" w:hAnsi="Times New Roman" w:cs="Times New Roman"/>
          <w:sz w:val="24"/>
          <w:szCs w:val="24"/>
        </w:rPr>
        <w:t xml:space="preserve">  Reliability Standards that the ERO proposes to the Commission may include Reliability Standards that are proposed to the ERO by a Regional Entity</w:t>
      </w:r>
      <w:r w:rsidR="00300774" w:rsidRPr="00300774">
        <w:rPr>
          <w:rStyle w:val="FootnoteReference"/>
          <w:rFonts w:ascii="Times New Roman" w:hAnsi="Times New Roman" w:cs="Times New Roman"/>
          <w:sz w:val="24"/>
          <w:szCs w:val="24"/>
          <w:vertAlign w:val="superscript"/>
        </w:rPr>
        <w:footnoteReference w:id="5"/>
      </w:r>
      <w:r w:rsidR="00300774">
        <w:rPr>
          <w:rFonts w:ascii="Times New Roman" w:hAnsi="Times New Roman" w:cs="Times New Roman"/>
          <w:sz w:val="24"/>
          <w:szCs w:val="24"/>
        </w:rPr>
        <w:t>.  A Regional Entity is an entity that has been approved by the Commission to enforce Reliability Standards under delegated authority from the ERO.  On 3/17/2011, the Commission approved a regional Reliability Standard submitted by the ERO that was developed by ReliabilityFirst Corporation (RF).</w:t>
      </w:r>
    </w:p>
    <w:p w14:paraId="091AA76D" w14:textId="77777777" w:rsidR="00E60F34" w:rsidRDefault="00E60F34" w:rsidP="002A4142">
      <w:pPr>
        <w:spacing w:after="0" w:line="240" w:lineRule="auto"/>
        <w:rPr>
          <w:rFonts w:ascii="Times New Roman" w:hAnsi="Times New Roman" w:cs="Times New Roman"/>
          <w:sz w:val="24"/>
          <w:szCs w:val="24"/>
        </w:rPr>
      </w:pPr>
    </w:p>
    <w:p w14:paraId="125123B3" w14:textId="3A73F762" w:rsidR="009B4A0D" w:rsidRDefault="009B4A0D" w:rsidP="00E60F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was</w:t>
      </w:r>
      <w:r w:rsidR="00E60F34">
        <w:rPr>
          <w:rFonts w:ascii="Times New Roman" w:hAnsi="Times New Roman" w:cs="Times New Roman"/>
          <w:sz w:val="24"/>
          <w:szCs w:val="24"/>
        </w:rPr>
        <w:t xml:space="preserve"> only one Reliability Standard in the RF region, namely BAL-502-RFC-02 (Planning Resource Adequacy Analysis, Assessment, and Documentati</w:t>
      </w:r>
      <w:r>
        <w:rPr>
          <w:rFonts w:ascii="Times New Roman" w:hAnsi="Times New Roman" w:cs="Times New Roman"/>
          <w:sz w:val="24"/>
          <w:szCs w:val="24"/>
        </w:rPr>
        <w:t>on).  BAL-502-RFC-02 established</w:t>
      </w:r>
      <w:r w:rsidR="00E60F34">
        <w:rPr>
          <w:rFonts w:ascii="Times New Roman" w:hAnsi="Times New Roman" w:cs="Times New Roman"/>
          <w:sz w:val="24"/>
          <w:szCs w:val="24"/>
        </w:rPr>
        <w:t xml:space="preserve"> common criteria (based on “one day in ten year</w:t>
      </w:r>
      <w:r w:rsidR="00477A1C">
        <w:rPr>
          <w:rFonts w:ascii="Times New Roman" w:hAnsi="Times New Roman" w:cs="Times New Roman"/>
          <w:sz w:val="24"/>
          <w:szCs w:val="24"/>
        </w:rPr>
        <w:t>”</w:t>
      </w:r>
      <w:r w:rsidR="00E60F34">
        <w:rPr>
          <w:rFonts w:ascii="Times New Roman" w:hAnsi="Times New Roman" w:cs="Times New Roman"/>
          <w:sz w:val="24"/>
          <w:szCs w:val="24"/>
        </w:rPr>
        <w:t>) load loss expectation principles, for the analysis, assessment, and documentation of resource adequacy for load in the RF region.</w:t>
      </w:r>
    </w:p>
    <w:p w14:paraId="52C94A99" w14:textId="77777777" w:rsidR="00E60F34" w:rsidRDefault="00E60F34" w:rsidP="00E60F34">
      <w:pPr>
        <w:autoSpaceDE w:val="0"/>
        <w:autoSpaceDN w:val="0"/>
        <w:adjustRightInd w:val="0"/>
        <w:spacing w:after="0" w:line="240" w:lineRule="auto"/>
        <w:rPr>
          <w:rFonts w:ascii="Times New Roman" w:hAnsi="Times New Roman" w:cs="Times New Roman"/>
          <w:sz w:val="24"/>
          <w:szCs w:val="24"/>
        </w:rPr>
      </w:pPr>
    </w:p>
    <w:p w14:paraId="741B4DD4" w14:textId="3A217212" w:rsidR="009070DA" w:rsidRDefault="00F71527" w:rsidP="00E60F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F71527">
        <w:rPr>
          <w:rFonts w:ascii="Times New Roman" w:hAnsi="Times New Roman" w:cs="Times New Roman"/>
          <w:sz w:val="24"/>
          <w:szCs w:val="24"/>
        </w:rPr>
        <w:t>urden associated with BAL-502-RF-02 Reliability Standard was once contained in FERC-725H information collection (OMB Control No. 1902-0256)</w:t>
      </w:r>
      <w:r w:rsidR="009070DA">
        <w:rPr>
          <w:rFonts w:ascii="Times New Roman" w:hAnsi="Times New Roman" w:cs="Times New Roman"/>
          <w:sz w:val="24"/>
          <w:szCs w:val="24"/>
        </w:rPr>
        <w:t xml:space="preserve"> as approved by Order No. 747</w:t>
      </w:r>
      <w:r w:rsidR="00B60700" w:rsidRPr="00B60700">
        <w:rPr>
          <w:rStyle w:val="FootnoteReference"/>
          <w:rFonts w:ascii="Times New Roman" w:hAnsi="Times New Roman" w:cs="Times New Roman"/>
          <w:sz w:val="24"/>
          <w:szCs w:val="24"/>
          <w:vertAlign w:val="superscript"/>
        </w:rPr>
        <w:footnoteReference w:id="6"/>
      </w:r>
      <w:r w:rsidRPr="00F71527">
        <w:rPr>
          <w:rFonts w:ascii="Times New Roman" w:hAnsi="Times New Roman" w:cs="Times New Roman"/>
          <w:sz w:val="24"/>
          <w:szCs w:val="24"/>
        </w:rPr>
        <w:t>.  FERC-725H was discontinued on 3/6/2014</w:t>
      </w:r>
      <w:r w:rsidR="009070DA" w:rsidRPr="009070DA">
        <w:rPr>
          <w:rStyle w:val="FootnoteReference"/>
          <w:rFonts w:ascii="Times New Roman" w:hAnsi="Times New Roman" w:cs="Times New Roman"/>
          <w:sz w:val="24"/>
          <w:szCs w:val="24"/>
          <w:vertAlign w:val="superscript"/>
        </w:rPr>
        <w:footnoteReference w:id="7"/>
      </w:r>
      <w:r w:rsidRPr="00F71527">
        <w:rPr>
          <w:rFonts w:ascii="Times New Roman" w:hAnsi="Times New Roman" w:cs="Times New Roman"/>
          <w:sz w:val="24"/>
          <w:szCs w:val="24"/>
        </w:rPr>
        <w:t xml:space="preserve">.  However, the </w:t>
      </w:r>
      <w:r w:rsidR="009070DA">
        <w:rPr>
          <w:rFonts w:ascii="Times New Roman" w:hAnsi="Times New Roman" w:cs="Times New Roman"/>
          <w:sz w:val="24"/>
          <w:szCs w:val="24"/>
        </w:rPr>
        <w:t xml:space="preserve">reporting </w:t>
      </w:r>
      <w:r w:rsidRPr="00F71527">
        <w:rPr>
          <w:rFonts w:ascii="Times New Roman" w:hAnsi="Times New Roman" w:cs="Times New Roman"/>
          <w:sz w:val="24"/>
          <w:szCs w:val="24"/>
        </w:rPr>
        <w:t xml:space="preserve">requirements of BAL-502-RF-02 </w:t>
      </w:r>
      <w:r w:rsidR="00B60700">
        <w:rPr>
          <w:rFonts w:ascii="Times New Roman" w:hAnsi="Times New Roman" w:cs="Times New Roman"/>
          <w:sz w:val="24"/>
          <w:szCs w:val="24"/>
        </w:rPr>
        <w:t>remained imposed on NERC entities after d</w:t>
      </w:r>
      <w:r w:rsidR="009070DA">
        <w:rPr>
          <w:rFonts w:ascii="Times New Roman" w:hAnsi="Times New Roman" w:cs="Times New Roman"/>
          <w:sz w:val="24"/>
          <w:szCs w:val="24"/>
        </w:rPr>
        <w:t xml:space="preserve">iscontinuance as they had been imposed before Order No. 747 was approved. Based on the findings of Order No. 747, burden associated with BAL-502-RF-02 was not substantive, but Commission staff sought approval anyway using a minimal amount of burden.  </w:t>
      </w:r>
    </w:p>
    <w:p w14:paraId="610ADCAE" w14:textId="77777777" w:rsidR="009070DA" w:rsidRDefault="009070DA" w:rsidP="00E60F34">
      <w:pPr>
        <w:autoSpaceDE w:val="0"/>
        <w:autoSpaceDN w:val="0"/>
        <w:adjustRightInd w:val="0"/>
        <w:spacing w:after="0" w:line="240" w:lineRule="auto"/>
        <w:rPr>
          <w:rFonts w:ascii="Times New Roman" w:hAnsi="Times New Roman" w:cs="Times New Roman"/>
          <w:sz w:val="24"/>
          <w:szCs w:val="24"/>
        </w:rPr>
      </w:pPr>
    </w:p>
    <w:p w14:paraId="0DE645B8" w14:textId="1DBCDFA6" w:rsidR="00F71527" w:rsidRDefault="009070DA" w:rsidP="00E60F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2014, Commission staff no longer </w:t>
      </w:r>
      <w:r w:rsidRPr="009070DA">
        <w:rPr>
          <w:rFonts w:ascii="Times New Roman" w:hAnsi="Times New Roman" w:cs="Times New Roman"/>
          <w:sz w:val="24"/>
          <w:szCs w:val="24"/>
        </w:rPr>
        <w:t>consider</w:t>
      </w:r>
      <w:r>
        <w:rPr>
          <w:rFonts w:ascii="Times New Roman" w:hAnsi="Times New Roman" w:cs="Times New Roman"/>
          <w:sz w:val="24"/>
          <w:szCs w:val="24"/>
        </w:rPr>
        <w:t>ed</w:t>
      </w:r>
      <w:r w:rsidRPr="009070DA">
        <w:rPr>
          <w:rFonts w:ascii="Times New Roman" w:hAnsi="Times New Roman" w:cs="Times New Roman"/>
          <w:sz w:val="24"/>
          <w:szCs w:val="24"/>
        </w:rPr>
        <w:t xml:space="preserve"> renewing this collection as a</w:t>
      </w:r>
      <w:r>
        <w:rPr>
          <w:rFonts w:ascii="Times New Roman" w:hAnsi="Times New Roman" w:cs="Times New Roman"/>
          <w:sz w:val="24"/>
          <w:szCs w:val="24"/>
        </w:rPr>
        <w:t>n effective use of time for Commission staff, OMB, or the public since it did</w:t>
      </w:r>
      <w:r w:rsidRPr="009070DA">
        <w:rPr>
          <w:rFonts w:ascii="Times New Roman" w:hAnsi="Times New Roman" w:cs="Times New Roman"/>
          <w:sz w:val="24"/>
          <w:szCs w:val="24"/>
        </w:rPr>
        <w:t xml:space="preserve"> not qualify as an “information collection” under</w:t>
      </w:r>
      <w:r>
        <w:rPr>
          <w:rFonts w:ascii="Times New Roman" w:hAnsi="Times New Roman" w:cs="Times New Roman"/>
          <w:sz w:val="24"/>
          <w:szCs w:val="24"/>
        </w:rPr>
        <w:t xml:space="preserve"> the Paperwork Reduction Act. Commission staff</w:t>
      </w:r>
      <w:r w:rsidRPr="009070DA">
        <w:rPr>
          <w:rFonts w:ascii="Times New Roman" w:hAnsi="Times New Roman" w:cs="Times New Roman"/>
          <w:sz w:val="24"/>
          <w:szCs w:val="24"/>
        </w:rPr>
        <w:t xml:space="preserve"> have verified that the </w:t>
      </w:r>
      <w:r>
        <w:rPr>
          <w:rFonts w:ascii="Times New Roman" w:hAnsi="Times New Roman" w:cs="Times New Roman"/>
          <w:sz w:val="24"/>
          <w:szCs w:val="24"/>
        </w:rPr>
        <w:t>ReliabilityFirst Corporation</w:t>
      </w:r>
      <w:r w:rsidRPr="009070DA">
        <w:rPr>
          <w:rFonts w:ascii="Times New Roman" w:hAnsi="Times New Roman" w:cs="Times New Roman"/>
          <w:sz w:val="24"/>
          <w:szCs w:val="24"/>
        </w:rPr>
        <w:t xml:space="preserve"> Terms of Membe</w:t>
      </w:r>
      <w:r w:rsidR="000579B2">
        <w:rPr>
          <w:rFonts w:ascii="Times New Roman" w:hAnsi="Times New Roman" w:cs="Times New Roman"/>
          <w:sz w:val="24"/>
          <w:szCs w:val="24"/>
        </w:rPr>
        <w:t>rship did</w:t>
      </w:r>
      <w:r w:rsidRPr="009070DA">
        <w:rPr>
          <w:rFonts w:ascii="Times New Roman" w:hAnsi="Times New Roman" w:cs="Times New Roman"/>
          <w:sz w:val="24"/>
          <w:szCs w:val="24"/>
        </w:rPr>
        <w:t xml:space="preserve"> require members to comply with the standard regardless of whether FERC has approved it and</w:t>
      </w:r>
      <w:r>
        <w:rPr>
          <w:rFonts w:ascii="Times New Roman" w:hAnsi="Times New Roman" w:cs="Times New Roman"/>
          <w:sz w:val="24"/>
          <w:szCs w:val="24"/>
        </w:rPr>
        <w:t>, as stated earlier,</w:t>
      </w:r>
      <w:r w:rsidRPr="009070DA">
        <w:rPr>
          <w:rFonts w:ascii="Times New Roman" w:hAnsi="Times New Roman" w:cs="Times New Roman"/>
          <w:sz w:val="24"/>
          <w:szCs w:val="24"/>
        </w:rPr>
        <w:t xml:space="preserve"> this was</w:t>
      </w:r>
      <w:r>
        <w:rPr>
          <w:rFonts w:ascii="Times New Roman" w:hAnsi="Times New Roman" w:cs="Times New Roman"/>
          <w:sz w:val="24"/>
          <w:szCs w:val="24"/>
        </w:rPr>
        <w:t xml:space="preserve"> the Standard’s</w:t>
      </w:r>
      <w:r w:rsidRPr="009070DA">
        <w:rPr>
          <w:rFonts w:ascii="Times New Roman" w:hAnsi="Times New Roman" w:cs="Times New Roman"/>
          <w:sz w:val="24"/>
          <w:szCs w:val="24"/>
        </w:rPr>
        <w:t xml:space="preserve"> status prior to FERC approving the standard in 2011</w:t>
      </w:r>
      <w:r w:rsidR="00F71527" w:rsidRPr="00F71527">
        <w:rPr>
          <w:rFonts w:ascii="Times New Roman" w:hAnsi="Times New Roman" w:cs="Times New Roman"/>
          <w:sz w:val="24"/>
          <w:szCs w:val="24"/>
        </w:rPr>
        <w:t>.  Those requirements</w:t>
      </w:r>
      <w:r w:rsidR="000579B2">
        <w:rPr>
          <w:rFonts w:ascii="Times New Roman" w:hAnsi="Times New Roman" w:cs="Times New Roman"/>
          <w:sz w:val="24"/>
          <w:szCs w:val="24"/>
        </w:rPr>
        <w:t xml:space="preserve"> in BAL-502-RF-02</w:t>
      </w:r>
      <w:r w:rsidR="00F71527" w:rsidRPr="00F71527">
        <w:rPr>
          <w:rFonts w:ascii="Times New Roman" w:hAnsi="Times New Roman" w:cs="Times New Roman"/>
          <w:sz w:val="24"/>
          <w:szCs w:val="24"/>
        </w:rPr>
        <w:t xml:space="preserve"> are now being retired with no removal of burden (any associated burden was removed conc</w:t>
      </w:r>
      <w:r>
        <w:rPr>
          <w:rFonts w:ascii="Times New Roman" w:hAnsi="Times New Roman" w:cs="Times New Roman"/>
          <w:sz w:val="24"/>
          <w:szCs w:val="24"/>
        </w:rPr>
        <w:t>urrent with the discontinuance</w:t>
      </w:r>
      <w:r w:rsidR="000579B2">
        <w:rPr>
          <w:rFonts w:ascii="Times New Roman" w:hAnsi="Times New Roman" w:cs="Times New Roman"/>
          <w:sz w:val="24"/>
          <w:szCs w:val="24"/>
        </w:rPr>
        <w:t xml:space="preserve"> of FERC-725H</w:t>
      </w:r>
      <w:r>
        <w:rPr>
          <w:rFonts w:ascii="Times New Roman" w:hAnsi="Times New Roman" w:cs="Times New Roman"/>
          <w:sz w:val="24"/>
          <w:szCs w:val="24"/>
        </w:rPr>
        <w:t xml:space="preserve"> in 2014).</w:t>
      </w:r>
    </w:p>
    <w:p w14:paraId="6E592D40" w14:textId="77777777" w:rsidR="00F71527" w:rsidRDefault="00F71527" w:rsidP="00E60F34">
      <w:pPr>
        <w:autoSpaceDE w:val="0"/>
        <w:autoSpaceDN w:val="0"/>
        <w:adjustRightInd w:val="0"/>
        <w:spacing w:after="0" w:line="240" w:lineRule="auto"/>
        <w:rPr>
          <w:rFonts w:ascii="Times New Roman" w:hAnsi="Times New Roman" w:cs="Times New Roman"/>
          <w:sz w:val="24"/>
          <w:szCs w:val="24"/>
        </w:rPr>
      </w:pPr>
    </w:p>
    <w:p w14:paraId="3E27402B" w14:textId="77777777" w:rsidR="00433F6B" w:rsidRDefault="00E60F34" w:rsidP="00972E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9/7/2017, NERC and RF filed a joint petition</w:t>
      </w:r>
      <w:r w:rsidR="00433F6B">
        <w:rPr>
          <w:rFonts w:ascii="Times New Roman" w:hAnsi="Times New Roman" w:cs="Times New Roman"/>
          <w:sz w:val="24"/>
          <w:szCs w:val="24"/>
        </w:rPr>
        <w:t xml:space="preserve"> in Docket No. RD17-8-000 requesting Commission approval of:</w:t>
      </w:r>
    </w:p>
    <w:p w14:paraId="56C6CEDB" w14:textId="6F08C94A" w:rsidR="00433F6B" w:rsidRDefault="00433F6B" w:rsidP="00433F6B">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Regional Reliability Standard BAL-502-RF-03;</w:t>
      </w:r>
    </w:p>
    <w:p w14:paraId="07FF7A70" w14:textId="41EC9456" w:rsidR="00433F6B" w:rsidRPr="00433F6B" w:rsidRDefault="00433F6B" w:rsidP="00433F6B">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retirement of regional Reliability Standard BAL-502-RF-02</w:t>
      </w:r>
      <w:r w:rsidRPr="00433F6B">
        <w:rPr>
          <w:rStyle w:val="FootnoteReference"/>
          <w:rFonts w:ascii="Times New Roman" w:hAnsi="Times New Roman" w:cs="Times New Roman"/>
          <w:sz w:val="24"/>
          <w:szCs w:val="24"/>
          <w:vertAlign w:val="superscript"/>
        </w:rPr>
        <w:footnoteReference w:id="8"/>
      </w:r>
      <w:r>
        <w:rPr>
          <w:rFonts w:ascii="Times New Roman" w:hAnsi="Times New Roman" w:cs="Times New Roman"/>
          <w:sz w:val="24"/>
          <w:szCs w:val="24"/>
        </w:rPr>
        <w:t>.</w:t>
      </w:r>
    </w:p>
    <w:p w14:paraId="0BE03D1C" w14:textId="77777777" w:rsidR="00675A46" w:rsidRPr="00675A46" w:rsidRDefault="00675A46" w:rsidP="00675A46">
      <w:pPr>
        <w:spacing w:after="0" w:line="240" w:lineRule="auto"/>
        <w:rPr>
          <w:rFonts w:ascii="Times New Roman" w:hAnsi="Times New Roman" w:cs="Times New Roman"/>
          <w:sz w:val="24"/>
          <w:szCs w:val="24"/>
        </w:rPr>
      </w:pPr>
    </w:p>
    <w:p w14:paraId="349508F4"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b/>
          <w:bCs/>
          <w:sz w:val="24"/>
          <w:szCs w:val="24"/>
        </w:rPr>
      </w:pPr>
      <w:r w:rsidRPr="00B51BB8">
        <w:rPr>
          <w:rFonts w:ascii="Times New Roman" w:hAnsi="Times New Roman" w:cs="Times New Roman"/>
          <w:b/>
          <w:bCs/>
          <w:sz w:val="24"/>
          <w:szCs w:val="24"/>
        </w:rPr>
        <w:t>HOW, BY WHOM, AND FOR WHAT PURPOSE THE INFORMATION IS TO BE USED AND THE CONSEQUENCES OF NOT COLLECTING THE INFORMATION</w:t>
      </w:r>
    </w:p>
    <w:p w14:paraId="548551CE" w14:textId="77777777" w:rsidR="004A1428" w:rsidRPr="00B51BB8" w:rsidRDefault="004A1428"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60A1D899" w14:textId="201B6565" w:rsidR="00300774" w:rsidRDefault="00300774" w:rsidP="008275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ReliabilityFirst Corporation promotes bulk electric system reliability in the Eastern Connection.  RF is the regional entity responsible for compliance monitoring and enforcement in the RF region.</w:t>
      </w:r>
      <w:r w:rsidR="00F275EF">
        <w:rPr>
          <w:rFonts w:ascii="Times New Roman" w:hAnsi="Times New Roman" w:cs="Times New Roman"/>
          <w:sz w:val="24"/>
          <w:szCs w:val="24"/>
        </w:rPr>
        <w:t xml:space="preserve">  RF</w:t>
      </w:r>
      <w:r>
        <w:rPr>
          <w:rFonts w:ascii="Times New Roman" w:hAnsi="Times New Roman" w:cs="Times New Roman"/>
          <w:sz w:val="24"/>
          <w:szCs w:val="24"/>
        </w:rPr>
        <w:t xml:space="preserve"> fosters an environment for the development of Reliability Standards and the coordination of the operation and planning activities of its members as set forth in the RF bylaws.</w:t>
      </w:r>
    </w:p>
    <w:p w14:paraId="560D91A8" w14:textId="77777777" w:rsidR="00F275EF" w:rsidRDefault="00F275EF" w:rsidP="0082752D">
      <w:pPr>
        <w:autoSpaceDE w:val="0"/>
        <w:autoSpaceDN w:val="0"/>
        <w:adjustRightInd w:val="0"/>
        <w:spacing w:after="0" w:line="240" w:lineRule="auto"/>
        <w:rPr>
          <w:rFonts w:ascii="Times New Roman" w:hAnsi="Times New Roman" w:cs="Times New Roman"/>
          <w:sz w:val="24"/>
          <w:szCs w:val="24"/>
        </w:rPr>
      </w:pPr>
    </w:p>
    <w:p w14:paraId="6199BC30" w14:textId="53972FCC" w:rsidR="00F275EF" w:rsidRDefault="006F7D47" w:rsidP="008275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275EF">
        <w:rPr>
          <w:rFonts w:ascii="Times New Roman" w:hAnsi="Times New Roman" w:cs="Times New Roman"/>
          <w:sz w:val="24"/>
          <w:szCs w:val="24"/>
        </w:rPr>
        <w:t>BAL-502-RF-03</w:t>
      </w:r>
      <w:r>
        <w:rPr>
          <w:rFonts w:ascii="Times New Roman" w:hAnsi="Times New Roman" w:cs="Times New Roman"/>
          <w:sz w:val="24"/>
          <w:szCs w:val="24"/>
        </w:rPr>
        <w:t xml:space="preserve"> Reliability Standard, similar to the previous version (BAL-502-RF-02), establishes common criteria (based on “one day in ten year</w:t>
      </w:r>
      <w:r w:rsidR="00477A1C">
        <w:rPr>
          <w:rFonts w:ascii="Times New Roman" w:hAnsi="Times New Roman" w:cs="Times New Roman"/>
          <w:sz w:val="24"/>
          <w:szCs w:val="24"/>
        </w:rPr>
        <w:t>”</w:t>
      </w:r>
      <w:r>
        <w:rPr>
          <w:rFonts w:ascii="Times New Roman" w:hAnsi="Times New Roman" w:cs="Times New Roman"/>
          <w:sz w:val="24"/>
          <w:szCs w:val="24"/>
        </w:rPr>
        <w:t>) load loss expectation principles, for the analysis, assessment, and documentation of resource adequacy for load in the RF region.</w:t>
      </w:r>
    </w:p>
    <w:p w14:paraId="086AEFF5" w14:textId="77777777" w:rsidR="00690A6F" w:rsidRDefault="00690A6F" w:rsidP="0082752D">
      <w:pPr>
        <w:autoSpaceDE w:val="0"/>
        <w:autoSpaceDN w:val="0"/>
        <w:adjustRightInd w:val="0"/>
        <w:spacing w:after="0" w:line="240" w:lineRule="auto"/>
        <w:rPr>
          <w:rFonts w:ascii="Times New Roman" w:hAnsi="Times New Roman" w:cs="Times New Roman"/>
          <w:sz w:val="24"/>
          <w:szCs w:val="24"/>
        </w:rPr>
      </w:pPr>
    </w:p>
    <w:p w14:paraId="0984388A" w14:textId="77777777" w:rsidR="00690A6F" w:rsidRDefault="00690A6F" w:rsidP="00690A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provisions of the proposed regional Reliability Standard provide requirements for Planning Coordinators in the ReliabilityFirst region regarding resource adequacy assessment, which is not currently addressed in NERC’s continent-wide Reliability Standards. In approving BAL-502-FC-02, the Commission stated that, “like other planning standards, BAL-502-RFC-2 provides for the reliable operation of the Bulk-Power System as it will help identify areas of concern that, if left unresolved, could result in future instability, uncontrolled separation, or cascading failures of the Bulk-Power System.”</w:t>
      </w:r>
      <w:r w:rsidRPr="00B37604">
        <w:rPr>
          <w:rStyle w:val="FootnoteReference"/>
          <w:rFonts w:ascii="Times New Roman" w:hAnsi="Times New Roman" w:cs="Times New Roman"/>
          <w:sz w:val="24"/>
          <w:szCs w:val="24"/>
          <w:vertAlign w:val="superscript"/>
        </w:rPr>
        <w:footnoteReference w:id="9"/>
      </w:r>
      <w:r>
        <w:rPr>
          <w:rFonts w:ascii="Times New Roman" w:hAnsi="Times New Roman" w:cs="Times New Roman"/>
          <w:sz w:val="16"/>
          <w:szCs w:val="16"/>
        </w:rPr>
        <w:t xml:space="preserve"> </w:t>
      </w:r>
      <w:r>
        <w:rPr>
          <w:rFonts w:ascii="Times New Roman" w:hAnsi="Times New Roman" w:cs="Times New Roman"/>
          <w:sz w:val="24"/>
          <w:szCs w:val="24"/>
        </w:rPr>
        <w:t>Proposed BAL-502-RF-03 provides this same benefit with additional proposed enhancements. Therefore, the proposed regional Reliability Standard meets a reliability need for the ReliabilityFirst region and the proposed modifications provide additional support for the reliable operation of the Bulk-Power System.</w:t>
      </w:r>
    </w:p>
    <w:p w14:paraId="4D10C2CC" w14:textId="77777777" w:rsidR="00300774" w:rsidRDefault="00300774" w:rsidP="0082752D">
      <w:pPr>
        <w:autoSpaceDE w:val="0"/>
        <w:autoSpaceDN w:val="0"/>
        <w:adjustRightInd w:val="0"/>
        <w:spacing w:after="0" w:line="240" w:lineRule="auto"/>
        <w:rPr>
          <w:rFonts w:ascii="Times New Roman" w:hAnsi="Times New Roman" w:cs="Times New Roman"/>
          <w:sz w:val="24"/>
          <w:szCs w:val="24"/>
        </w:rPr>
      </w:pPr>
    </w:p>
    <w:p w14:paraId="7FDD9319" w14:textId="77777777" w:rsidR="0086089D" w:rsidRPr="00B51BB8" w:rsidRDefault="0086089D" w:rsidP="002A4142">
      <w:pPr>
        <w:spacing w:after="0" w:line="240" w:lineRule="auto"/>
        <w:rPr>
          <w:rFonts w:ascii="Times New Roman" w:hAnsi="Times New Roman" w:cs="Times New Roman"/>
          <w:sz w:val="24"/>
          <w:szCs w:val="24"/>
        </w:rPr>
      </w:pPr>
    </w:p>
    <w:p w14:paraId="726125D5"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b/>
          <w:bCs/>
          <w:sz w:val="24"/>
          <w:szCs w:val="24"/>
        </w:rPr>
      </w:pPr>
      <w:r w:rsidRPr="00B51BB8">
        <w:rPr>
          <w:rFonts w:ascii="Times New Roman" w:hAnsi="Times New Roman" w:cs="Times New Roman"/>
          <w:b/>
          <w:bCs/>
          <w:sz w:val="24"/>
          <w:szCs w:val="24"/>
        </w:rPr>
        <w:t>DESCRIBE ANY CONSIDERATION OF THE USE OF IMPROVED TECHNOLOGY TO REDUCE BURDEN AND TECHNICAL OR LEGAL OBSTACLES TO REDUCING BURDEN.</w:t>
      </w:r>
    </w:p>
    <w:p w14:paraId="13F5510C" w14:textId="77777777" w:rsidR="004A1428" w:rsidRPr="00B51BB8" w:rsidRDefault="004A1428" w:rsidP="005E2448">
      <w:pPr>
        <w:widowControl w:val="0"/>
        <w:autoSpaceDE w:val="0"/>
        <w:autoSpaceDN w:val="0"/>
        <w:adjustRightInd w:val="0"/>
        <w:spacing w:after="0" w:line="240" w:lineRule="auto"/>
        <w:ind w:left="360"/>
        <w:rPr>
          <w:rFonts w:ascii="Times New Roman" w:hAnsi="Times New Roman" w:cs="Times New Roman"/>
          <w:b/>
          <w:bCs/>
          <w:sz w:val="24"/>
          <w:szCs w:val="24"/>
        </w:rPr>
      </w:pPr>
    </w:p>
    <w:p w14:paraId="4532E5CB" w14:textId="599299EF" w:rsidR="00055683" w:rsidRPr="00B51BB8" w:rsidRDefault="00DF1C8D" w:rsidP="002A4142">
      <w:pPr>
        <w:spacing w:after="0" w:line="240" w:lineRule="auto"/>
        <w:rPr>
          <w:rFonts w:ascii="Times New Roman" w:hAnsi="Times New Roman" w:cs="Times New Roman"/>
          <w:sz w:val="24"/>
          <w:szCs w:val="24"/>
        </w:rPr>
      </w:pPr>
      <w:r w:rsidRPr="00DF1C8D">
        <w:rPr>
          <w:rFonts w:ascii="Times New Roman" w:hAnsi="Times New Roman" w:cs="Times New Roman"/>
          <w:sz w:val="24"/>
          <w:szCs w:val="24"/>
        </w:rPr>
        <w:t>The use of current or improved technology and the medium are not covered in Reliability Standards, and are therefore left to the discretion of each respondent. We think that nearly all of the respondents are likely to make and keep related records in an electronic format.  The compliance portals allow documents developed by the registered entities to be attached and uploaded to the Regional Entity’s portal.  Compliance data can also be submitted by filling out data forms on the portals.  These portals are accessible through an internet browser pa</w:t>
      </w:r>
      <w:r>
        <w:rPr>
          <w:rFonts w:ascii="Times New Roman" w:hAnsi="Times New Roman" w:cs="Times New Roman"/>
          <w:sz w:val="24"/>
          <w:szCs w:val="24"/>
        </w:rPr>
        <w:t>ssword-protected user interface</w:t>
      </w:r>
      <w:r w:rsidR="0012731F" w:rsidRPr="00B51BB8">
        <w:rPr>
          <w:rFonts w:ascii="Times New Roman" w:hAnsi="Times New Roman" w:cs="Times New Roman"/>
          <w:sz w:val="24"/>
          <w:szCs w:val="24"/>
        </w:rPr>
        <w:t xml:space="preserve">.  </w:t>
      </w:r>
    </w:p>
    <w:p w14:paraId="4CA66B92" w14:textId="77777777" w:rsidR="00042D80" w:rsidRPr="00B51BB8" w:rsidRDefault="00042D80" w:rsidP="002A4142">
      <w:pPr>
        <w:spacing w:after="0" w:line="240" w:lineRule="auto"/>
        <w:rPr>
          <w:rFonts w:ascii="Times New Roman" w:hAnsi="Times New Roman" w:cs="Times New Roman"/>
          <w:b/>
          <w:bCs/>
          <w:sz w:val="24"/>
          <w:szCs w:val="24"/>
        </w:rPr>
      </w:pPr>
    </w:p>
    <w:p w14:paraId="27799D2D"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DESCRIBE EFFORTS TO IDENTIFY DUPLICATION AND SHOW SPECIFICALLY WHY ANY SIMILAR INFORMATION ALREADY AVAILABLE CANNOT BE USED OR MODIFIED FOR USE FOR THE PURPOSE(S) DESCRIBED IN INSTRUCTION NO. 2</w:t>
      </w:r>
    </w:p>
    <w:p w14:paraId="7F8F98B7" w14:textId="77777777" w:rsidR="00C4205B" w:rsidRPr="00B51BB8" w:rsidRDefault="00C4205B" w:rsidP="002A4142">
      <w:pPr>
        <w:spacing w:after="0" w:line="240" w:lineRule="auto"/>
        <w:rPr>
          <w:rFonts w:ascii="Times New Roman" w:hAnsi="Times New Roman" w:cs="Times New Roman"/>
          <w:sz w:val="24"/>
          <w:szCs w:val="24"/>
        </w:rPr>
      </w:pPr>
    </w:p>
    <w:p w14:paraId="42E2AEB9" w14:textId="77777777" w:rsidR="00DF1C8D" w:rsidRPr="00DF1C8D" w:rsidRDefault="00DF1C8D" w:rsidP="00DF1C8D">
      <w:pPr>
        <w:spacing w:after="0" w:line="240" w:lineRule="auto"/>
        <w:rPr>
          <w:rFonts w:ascii="Times New Roman" w:hAnsi="Times New Roman" w:cs="Times New Roman"/>
          <w:sz w:val="24"/>
          <w:szCs w:val="24"/>
        </w:rPr>
      </w:pPr>
      <w:r w:rsidRPr="00DF1C8D">
        <w:rPr>
          <w:rFonts w:ascii="Times New Roman" w:hAnsi="Times New Roman" w:cs="Times New Roman"/>
          <w:sz w:val="24"/>
          <w:szCs w:val="24"/>
        </w:rPr>
        <w:t>Filing requirements are periodically reviewed as OMB review dates arise or as the Commission may deem necessary in carrying out its regulatory responsibilities under the FPA in order to eliminate duplication and ensure that filing burden is minimized. There are no similar sources for information available that can be used or modified for these reporting purposes.</w:t>
      </w:r>
    </w:p>
    <w:p w14:paraId="0D55CDFF" w14:textId="77777777" w:rsidR="00F64A6F" w:rsidRPr="00B51BB8" w:rsidRDefault="00F64A6F" w:rsidP="002A4142">
      <w:pPr>
        <w:spacing w:after="0" w:line="240" w:lineRule="auto"/>
        <w:rPr>
          <w:rFonts w:ascii="Times New Roman" w:hAnsi="Times New Roman" w:cs="Times New Roman"/>
          <w:sz w:val="24"/>
          <w:szCs w:val="24"/>
        </w:rPr>
      </w:pPr>
    </w:p>
    <w:p w14:paraId="2FCC5A7F"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METHODS USED TO MINIMIZE BURDEN IN COLLECTION OF INFORMATION INVOLVING SMALL ENTITIES</w:t>
      </w:r>
    </w:p>
    <w:p w14:paraId="0438CBDA" w14:textId="77777777" w:rsidR="0044319A" w:rsidRDefault="0044319A" w:rsidP="0086089D">
      <w:pPr>
        <w:spacing w:after="0" w:line="240" w:lineRule="auto"/>
        <w:rPr>
          <w:rFonts w:ascii="Times New Roman" w:hAnsi="Times New Roman" w:cs="Times New Roman"/>
          <w:bCs/>
          <w:sz w:val="24"/>
          <w:szCs w:val="24"/>
        </w:rPr>
      </w:pPr>
    </w:p>
    <w:p w14:paraId="11F124F1" w14:textId="7BDA5E53" w:rsidR="0044319A" w:rsidRDefault="0044319A" w:rsidP="0086089D">
      <w:pPr>
        <w:spacing w:after="0" w:line="240" w:lineRule="auto"/>
        <w:rPr>
          <w:rFonts w:ascii="Times New Roman" w:hAnsi="Times New Roman" w:cs="Times New Roman"/>
          <w:bCs/>
          <w:sz w:val="24"/>
          <w:szCs w:val="24"/>
        </w:rPr>
      </w:pPr>
      <w:r w:rsidRPr="0044319A">
        <w:rPr>
          <w:rFonts w:ascii="Times New Roman" w:hAnsi="Times New Roman" w:cs="Times New Roman"/>
          <w:bCs/>
          <w:sz w:val="24"/>
          <w:szCs w:val="24"/>
        </w:rPr>
        <w:t>Th</w:t>
      </w:r>
      <w:r w:rsidR="00135CDF">
        <w:rPr>
          <w:rFonts w:ascii="Times New Roman" w:hAnsi="Times New Roman" w:cs="Times New Roman"/>
          <w:bCs/>
          <w:sz w:val="24"/>
          <w:szCs w:val="24"/>
        </w:rPr>
        <w:t>e</w:t>
      </w:r>
      <w:r w:rsidRPr="0044319A">
        <w:rPr>
          <w:rFonts w:ascii="Times New Roman" w:hAnsi="Times New Roman" w:cs="Times New Roman"/>
          <w:bCs/>
          <w:sz w:val="24"/>
          <w:szCs w:val="24"/>
        </w:rPr>
        <w:t xml:space="preserve"> Reliability Standard</w:t>
      </w:r>
      <w:r w:rsidR="00135CDF">
        <w:rPr>
          <w:rFonts w:ascii="Times New Roman" w:hAnsi="Times New Roman" w:cs="Times New Roman"/>
          <w:bCs/>
          <w:sz w:val="24"/>
          <w:szCs w:val="24"/>
        </w:rPr>
        <w:t>s</w:t>
      </w:r>
      <w:r w:rsidRPr="0044319A">
        <w:rPr>
          <w:rFonts w:ascii="Times New Roman" w:hAnsi="Times New Roman" w:cs="Times New Roman"/>
          <w:bCs/>
          <w:sz w:val="24"/>
          <w:szCs w:val="24"/>
        </w:rPr>
        <w:t xml:space="preserve"> do not contain provisions for minimizing the burden of the collection for small entities.  All the requirements in the Reliability Standard</w:t>
      </w:r>
      <w:r w:rsidR="00135CDF">
        <w:rPr>
          <w:rFonts w:ascii="Times New Roman" w:hAnsi="Times New Roman" w:cs="Times New Roman"/>
          <w:bCs/>
          <w:sz w:val="24"/>
          <w:szCs w:val="24"/>
        </w:rPr>
        <w:t>s</w:t>
      </w:r>
      <w:r w:rsidR="006F7D47">
        <w:rPr>
          <w:rFonts w:ascii="Times New Roman" w:hAnsi="Times New Roman" w:cs="Times New Roman"/>
          <w:bCs/>
          <w:sz w:val="24"/>
          <w:szCs w:val="24"/>
        </w:rPr>
        <w:t xml:space="preserve"> apply to affected planning coordinators</w:t>
      </w:r>
      <w:r w:rsidRPr="0044319A">
        <w:rPr>
          <w:rFonts w:ascii="Times New Roman" w:hAnsi="Times New Roman" w:cs="Times New Roman"/>
          <w:bCs/>
          <w:sz w:val="24"/>
          <w:szCs w:val="24"/>
        </w:rPr>
        <w:t xml:space="preserve">. However, </w:t>
      </w:r>
      <w:r w:rsidR="00CD5A26">
        <w:rPr>
          <w:rFonts w:ascii="Times New Roman" w:hAnsi="Times New Roman" w:cs="Times New Roman"/>
          <w:bCs/>
          <w:sz w:val="24"/>
          <w:szCs w:val="24"/>
        </w:rPr>
        <w:t>s</w:t>
      </w:r>
      <w:r w:rsidRPr="0044319A">
        <w:rPr>
          <w:rFonts w:ascii="Times New Roman" w:hAnsi="Times New Roman" w:cs="Times New Roman"/>
          <w:bCs/>
          <w:sz w:val="24"/>
          <w:szCs w:val="24"/>
        </w:rPr>
        <w:t>mall entities generally can reduce their burden by taking part in a joint registration organization or a coordinated function registration.  These options allow an entity the ability to share its compliance burden with other similar entities.  Detailed information regarding these options is available in NERC’s Rules of Procedure at Section 1502, Paragraph 2, available at NERCs website</w:t>
      </w:r>
      <w:r>
        <w:rPr>
          <w:rFonts w:ascii="Times New Roman" w:hAnsi="Times New Roman" w:cs="Times New Roman"/>
          <w:bCs/>
          <w:sz w:val="24"/>
          <w:szCs w:val="24"/>
        </w:rPr>
        <w:t>.</w:t>
      </w:r>
    </w:p>
    <w:p w14:paraId="6B22F49C" w14:textId="77777777" w:rsidR="00DF1C8D" w:rsidRPr="00B51BB8" w:rsidRDefault="00DF1C8D" w:rsidP="00DF1C8D">
      <w:pPr>
        <w:spacing w:after="0" w:line="240" w:lineRule="auto"/>
        <w:rPr>
          <w:rFonts w:ascii="Times New Roman" w:hAnsi="Times New Roman" w:cs="Times New Roman"/>
          <w:bCs/>
          <w:sz w:val="24"/>
          <w:szCs w:val="24"/>
        </w:rPr>
      </w:pPr>
    </w:p>
    <w:p w14:paraId="370EF451"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sz w:val="24"/>
          <w:szCs w:val="24"/>
        </w:rPr>
        <w:t>CONSEQUENCE TO FEDERAL PROGRAM IF COLLECTION WERE CONDUCTED LESS FREQUENTLY</w:t>
      </w:r>
    </w:p>
    <w:p w14:paraId="53BF93C7" w14:textId="77777777" w:rsidR="00C4205B" w:rsidRPr="00B51BB8" w:rsidRDefault="00C4205B" w:rsidP="005E2448">
      <w:pPr>
        <w:pStyle w:val="FERCparanumber"/>
        <w:widowControl/>
        <w:numPr>
          <w:ilvl w:val="0"/>
          <w:numId w:val="0"/>
        </w:numPr>
        <w:tabs>
          <w:tab w:val="left" w:pos="720"/>
        </w:tabs>
        <w:rPr>
          <w:rFonts w:ascii="Times New Roman" w:hAnsi="Times New Roman" w:cs="Times New Roman"/>
        </w:rPr>
      </w:pPr>
    </w:p>
    <w:p w14:paraId="06C98FB1" w14:textId="5BC0E22A" w:rsidR="00AB3A07" w:rsidRPr="0082752D" w:rsidRDefault="00AB3A07" w:rsidP="005D708E">
      <w:pPr>
        <w:autoSpaceDE w:val="0"/>
        <w:autoSpaceDN w:val="0"/>
        <w:adjustRightInd w:val="0"/>
        <w:spacing w:after="0" w:line="240" w:lineRule="auto"/>
        <w:rPr>
          <w:rFonts w:ascii="Times New Roman" w:hAnsi="Times New Roman" w:cs="Times New Roman"/>
          <w:sz w:val="24"/>
          <w:szCs w:val="24"/>
        </w:rPr>
      </w:pPr>
      <w:r w:rsidRPr="0082752D">
        <w:rPr>
          <w:rFonts w:ascii="Times New Roman" w:hAnsi="Times New Roman" w:cs="Times New Roman"/>
          <w:sz w:val="24"/>
          <w:szCs w:val="24"/>
        </w:rPr>
        <w:t xml:space="preserve">The consequences </w:t>
      </w:r>
      <w:r w:rsidR="00673A39">
        <w:rPr>
          <w:rFonts w:ascii="Times New Roman" w:hAnsi="Times New Roman" w:cs="Times New Roman"/>
          <w:sz w:val="24"/>
          <w:szCs w:val="24"/>
        </w:rPr>
        <w:t>of not collecting the data associated with these Reliability Standards</w:t>
      </w:r>
      <w:r w:rsidR="00723415">
        <w:rPr>
          <w:rFonts w:ascii="Times New Roman" w:hAnsi="Times New Roman" w:cs="Times New Roman"/>
          <w:sz w:val="24"/>
          <w:szCs w:val="24"/>
        </w:rPr>
        <w:t xml:space="preserve"> </w:t>
      </w:r>
      <w:r w:rsidR="00DE52D2">
        <w:rPr>
          <w:rFonts w:ascii="Times New Roman" w:hAnsi="Times New Roman" w:cs="Times New Roman"/>
          <w:sz w:val="24"/>
          <w:szCs w:val="24"/>
        </w:rPr>
        <w:t xml:space="preserve">could </w:t>
      </w:r>
      <w:r w:rsidR="00723415">
        <w:rPr>
          <w:rFonts w:ascii="Times New Roman" w:hAnsi="Times New Roman" w:cs="Times New Roman"/>
          <w:sz w:val="24"/>
          <w:szCs w:val="24"/>
        </w:rPr>
        <w:t xml:space="preserve">result </w:t>
      </w:r>
      <w:r w:rsidR="0011241C" w:rsidRPr="00F15DCC">
        <w:rPr>
          <w:rFonts w:ascii="Times New Roman" w:hAnsi="Times New Roman" w:cs="Times New Roman"/>
          <w:sz w:val="24"/>
          <w:szCs w:val="24"/>
        </w:rPr>
        <w:t xml:space="preserve">in </w:t>
      </w:r>
      <w:r w:rsidR="00DE52D2">
        <w:rPr>
          <w:rFonts w:ascii="Times New Roman" w:hAnsi="Times New Roman" w:cs="Times New Roman"/>
          <w:sz w:val="24"/>
          <w:szCs w:val="24"/>
        </w:rPr>
        <w:t>future instability, uncontrolled separation, or cascading failures of the Bulk-Power System.</w:t>
      </w:r>
    </w:p>
    <w:p w14:paraId="7D9A3C49" w14:textId="77777777" w:rsidR="006C0F0B" w:rsidRPr="00B51BB8" w:rsidRDefault="00AB3A07"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107A532"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EXPLAIN ANY SPECIAL CIRCUMSTANCES RELATING TO THE INFORMATION COLLECTION</w:t>
      </w:r>
    </w:p>
    <w:p w14:paraId="3D593F90" w14:textId="77777777" w:rsidR="00C4205B" w:rsidRPr="00B51BB8" w:rsidRDefault="00C4205B" w:rsidP="002A4142">
      <w:pPr>
        <w:spacing w:after="0" w:line="240" w:lineRule="auto"/>
        <w:rPr>
          <w:rFonts w:ascii="Times New Roman" w:hAnsi="Times New Roman" w:cs="Times New Roman"/>
          <w:b/>
          <w:bCs/>
          <w:sz w:val="24"/>
          <w:szCs w:val="24"/>
        </w:rPr>
      </w:pPr>
    </w:p>
    <w:p w14:paraId="23E84D55" w14:textId="7FE218D6" w:rsidR="00115F24" w:rsidRDefault="006F7D47" w:rsidP="002A41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FERC-725HH</w:t>
      </w:r>
      <w:r w:rsidR="0044319A">
        <w:rPr>
          <w:rFonts w:ascii="Times New Roman" w:eastAsia="Calibri" w:hAnsi="Times New Roman" w:cs="Times New Roman"/>
          <w:sz w:val="24"/>
          <w:szCs w:val="24"/>
        </w:rPr>
        <w:t xml:space="preserve"> information collection</w:t>
      </w:r>
      <w:r w:rsidR="0044319A" w:rsidRPr="0044319A">
        <w:rPr>
          <w:rFonts w:ascii="Times New Roman" w:eastAsia="Calibri" w:hAnsi="Times New Roman" w:cs="Times New Roman"/>
          <w:sz w:val="24"/>
          <w:szCs w:val="24"/>
        </w:rPr>
        <w:t xml:space="preserve"> has</w:t>
      </w:r>
      <w:r w:rsidR="00CB0831" w:rsidRPr="00CB0831">
        <w:rPr>
          <w:rFonts w:ascii="Times New Roman" w:eastAsia="Calibri" w:hAnsi="Times New Roman" w:cs="Times New Roman"/>
          <w:sz w:val="24"/>
          <w:szCs w:val="24"/>
        </w:rPr>
        <w:t xml:space="preserve"> no special circumstances.  </w:t>
      </w:r>
    </w:p>
    <w:p w14:paraId="21EB7D70" w14:textId="77777777" w:rsidR="006C0F0B" w:rsidRPr="00B51BB8" w:rsidRDefault="006C0F0B" w:rsidP="002A4142">
      <w:pPr>
        <w:spacing w:after="0" w:line="240" w:lineRule="auto"/>
        <w:rPr>
          <w:rFonts w:ascii="Times New Roman" w:hAnsi="Times New Roman" w:cs="Times New Roman"/>
          <w:sz w:val="24"/>
          <w:szCs w:val="24"/>
        </w:rPr>
      </w:pPr>
    </w:p>
    <w:p w14:paraId="6237F712"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DESCRIBE EFFORTS TO CONSULT OUTSIDE THE AGENCY: SUMMARIZE PUBLIC COMMENTS AND THE AGENCY'S RESPONSE TO THESE COMMENTS</w:t>
      </w:r>
    </w:p>
    <w:p w14:paraId="180E4F06" w14:textId="77777777" w:rsidR="00C4205B" w:rsidRPr="00B51BB8" w:rsidRDefault="00C4205B" w:rsidP="002A4142">
      <w:pPr>
        <w:spacing w:after="0" w:line="240" w:lineRule="auto"/>
        <w:rPr>
          <w:rFonts w:ascii="Times New Roman" w:hAnsi="Times New Roman" w:cs="Times New Roman"/>
          <w:b/>
          <w:bCs/>
          <w:sz w:val="24"/>
          <w:szCs w:val="24"/>
        </w:rPr>
      </w:pPr>
    </w:p>
    <w:p w14:paraId="77FA58B7" w14:textId="77777777" w:rsidR="00B63F5D" w:rsidRDefault="00CB0831" w:rsidP="002A4142">
      <w:pPr>
        <w:spacing w:after="0" w:line="240" w:lineRule="auto"/>
        <w:rPr>
          <w:rFonts w:ascii="Times New Roman" w:hAnsi="Times New Roman" w:cs="Times New Roman"/>
          <w:bCs/>
          <w:sz w:val="24"/>
          <w:szCs w:val="24"/>
        </w:rPr>
      </w:pPr>
      <w:r w:rsidRPr="00CB0831">
        <w:rPr>
          <w:rFonts w:ascii="Times New Roman" w:hAnsi="Times New Roman" w:cs="Times New Roman"/>
          <w:bCs/>
          <w:sz w:val="24"/>
          <w:szCs w:val="24"/>
        </w:rPr>
        <w:t>Each FERC rulemaking (both proposed and final rules) is published in the Federal Register thereby providing public utilities and licensees, state commissions, Federal agencies, and other interested parties an opportunity to submit data, views, comments or suggestions concerning the proposed</w:t>
      </w:r>
      <w:r w:rsidR="001755B4">
        <w:rPr>
          <w:rFonts w:ascii="Times New Roman" w:hAnsi="Times New Roman" w:cs="Times New Roman"/>
          <w:bCs/>
          <w:sz w:val="24"/>
          <w:szCs w:val="24"/>
        </w:rPr>
        <w:t xml:space="preserve"> collections of data.</w:t>
      </w:r>
    </w:p>
    <w:p w14:paraId="695ACE80" w14:textId="77777777" w:rsidR="0074262F" w:rsidRDefault="0074262F" w:rsidP="002A4142">
      <w:pPr>
        <w:spacing w:after="0" w:line="240" w:lineRule="auto"/>
        <w:rPr>
          <w:rFonts w:ascii="Times New Roman" w:hAnsi="Times New Roman" w:cs="Times New Roman"/>
          <w:bCs/>
          <w:sz w:val="24"/>
          <w:szCs w:val="24"/>
        </w:rPr>
      </w:pPr>
    </w:p>
    <w:p w14:paraId="5A2A65E1" w14:textId="4C6C0FEA" w:rsidR="00543FCE" w:rsidRPr="0074262F" w:rsidRDefault="0074262F" w:rsidP="0074262F">
      <w:pPr>
        <w:rPr>
          <w:rFonts w:ascii="Times New Roman" w:hAnsi="Times New Roman"/>
          <w:sz w:val="24"/>
          <w:szCs w:val="24"/>
        </w:rPr>
      </w:pPr>
      <w:r>
        <w:rPr>
          <w:rFonts w:ascii="Times New Roman" w:hAnsi="Times New Roman"/>
          <w:sz w:val="24"/>
          <w:szCs w:val="24"/>
        </w:rPr>
        <w:t>In accordance with OMB requirements, the Commission published a 60-day notice</w:t>
      </w:r>
      <w:r>
        <w:rPr>
          <w:rFonts w:ascii="Times New Roman" w:hAnsi="Times New Roman"/>
          <w:sz w:val="24"/>
          <w:szCs w:val="24"/>
          <w:vertAlign w:val="superscript"/>
        </w:rPr>
        <w:footnoteReference w:id="10"/>
      </w:r>
      <w:r>
        <w:rPr>
          <w:rFonts w:ascii="Times New Roman" w:hAnsi="Times New Roman"/>
          <w:sz w:val="24"/>
          <w:szCs w:val="24"/>
        </w:rPr>
        <w:t xml:space="preserve"> and a 30-day notice</w:t>
      </w:r>
      <w:r>
        <w:rPr>
          <w:rFonts w:ascii="Times New Roman" w:hAnsi="Times New Roman"/>
          <w:sz w:val="24"/>
          <w:szCs w:val="24"/>
          <w:vertAlign w:val="superscript"/>
        </w:rPr>
        <w:footnoteReference w:id="11"/>
      </w:r>
      <w:r>
        <w:rPr>
          <w:rFonts w:ascii="Times New Roman" w:hAnsi="Times New Roman"/>
          <w:sz w:val="24"/>
          <w:szCs w:val="24"/>
        </w:rPr>
        <w:t xml:space="preserve"> to the public regarding this information collection on 11/16/2017 and 2/7/2018 respectively.  Within the public notices, the Commission noted that it would be requesting a three-year extension of the public reporting burden.  </w:t>
      </w:r>
    </w:p>
    <w:p w14:paraId="27935D41" w14:textId="6A612598" w:rsidR="00543FCE" w:rsidRPr="00B51BB8" w:rsidRDefault="006F7D47"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The Order in Docket RD17-8-000</w:t>
      </w:r>
      <w:r w:rsidR="00543FCE" w:rsidRPr="00B51BB8">
        <w:rPr>
          <w:rFonts w:ascii="Times New Roman" w:hAnsi="Times New Roman" w:cs="Times New Roman"/>
          <w:sz w:val="24"/>
          <w:szCs w:val="24"/>
        </w:rPr>
        <w:t xml:space="preserve"> </w:t>
      </w:r>
      <w:r w:rsidR="00732818">
        <w:rPr>
          <w:rFonts w:ascii="Times New Roman" w:hAnsi="Times New Roman" w:cs="Times New Roman"/>
          <w:sz w:val="24"/>
          <w:szCs w:val="24"/>
        </w:rPr>
        <w:t xml:space="preserve">was </w:t>
      </w:r>
      <w:r>
        <w:rPr>
          <w:rFonts w:ascii="Times New Roman" w:hAnsi="Times New Roman" w:cs="Times New Roman"/>
          <w:sz w:val="24"/>
          <w:szCs w:val="24"/>
        </w:rPr>
        <w:t>issued</w:t>
      </w:r>
      <w:r w:rsidR="00115F24">
        <w:rPr>
          <w:rFonts w:ascii="Times New Roman" w:hAnsi="Times New Roman" w:cs="Times New Roman"/>
          <w:sz w:val="24"/>
          <w:szCs w:val="24"/>
        </w:rPr>
        <w:t xml:space="preserve"> </w:t>
      </w:r>
      <w:r w:rsidR="0076490D">
        <w:rPr>
          <w:rFonts w:ascii="Times New Roman" w:hAnsi="Times New Roman" w:cs="Times New Roman"/>
          <w:sz w:val="24"/>
          <w:szCs w:val="24"/>
        </w:rPr>
        <w:t xml:space="preserve">and posted </w:t>
      </w:r>
      <w:r w:rsidR="0044319A" w:rsidRPr="00675A46">
        <w:rPr>
          <w:rFonts w:ascii="Times New Roman" w:hAnsi="Times New Roman" w:cs="Times New Roman"/>
          <w:sz w:val="24"/>
          <w:szCs w:val="24"/>
        </w:rPr>
        <w:t xml:space="preserve">on </w:t>
      </w:r>
      <w:r w:rsidR="0076490D">
        <w:rPr>
          <w:rFonts w:ascii="Times New Roman" w:hAnsi="Times New Roman" w:cs="Times New Roman"/>
          <w:sz w:val="24"/>
          <w:szCs w:val="24"/>
        </w:rPr>
        <w:t xml:space="preserve">FERC’s eLibrary on </w:t>
      </w:r>
      <w:r w:rsidR="0044319A" w:rsidRPr="00675A46">
        <w:rPr>
          <w:rFonts w:ascii="Times New Roman" w:hAnsi="Times New Roman" w:cs="Times New Roman"/>
          <w:sz w:val="24"/>
          <w:szCs w:val="24"/>
        </w:rPr>
        <w:t>1</w:t>
      </w:r>
      <w:r>
        <w:rPr>
          <w:rFonts w:ascii="Times New Roman" w:hAnsi="Times New Roman" w:cs="Times New Roman"/>
          <w:sz w:val="24"/>
          <w:szCs w:val="24"/>
        </w:rPr>
        <w:t>0/16</w:t>
      </w:r>
      <w:r w:rsidR="00CB0831" w:rsidRPr="00675A46">
        <w:rPr>
          <w:rFonts w:ascii="Times New Roman" w:hAnsi="Times New Roman" w:cs="Times New Roman"/>
          <w:sz w:val="24"/>
          <w:szCs w:val="24"/>
        </w:rPr>
        <w:t>/201</w:t>
      </w:r>
      <w:r>
        <w:rPr>
          <w:rFonts w:ascii="Times New Roman" w:hAnsi="Times New Roman" w:cs="Times New Roman"/>
          <w:sz w:val="24"/>
          <w:szCs w:val="24"/>
        </w:rPr>
        <w:t>7</w:t>
      </w:r>
      <w:r w:rsidR="0076490D" w:rsidRPr="00675A46">
        <w:rPr>
          <w:rStyle w:val="FootnoteReference"/>
          <w:rFonts w:ascii="Times New Roman" w:hAnsi="Times New Roman" w:cs="Times New Roman"/>
          <w:sz w:val="24"/>
          <w:szCs w:val="24"/>
          <w:vertAlign w:val="superscript"/>
        </w:rPr>
        <w:footnoteReference w:id="12"/>
      </w:r>
      <w:r w:rsidR="00543FCE" w:rsidRPr="00675A46">
        <w:rPr>
          <w:rFonts w:ascii="Times New Roman" w:hAnsi="Times New Roman" w:cs="Times New Roman"/>
          <w:sz w:val="24"/>
          <w:szCs w:val="24"/>
        </w:rPr>
        <w:t>.</w:t>
      </w:r>
      <w:r>
        <w:rPr>
          <w:rFonts w:ascii="Times New Roman" w:hAnsi="Times New Roman" w:cs="Times New Roman"/>
          <w:sz w:val="24"/>
          <w:szCs w:val="24"/>
        </w:rPr>
        <w:t xml:space="preserve"> Unlike FERC rulemakings, this Order will not be published in the Federal Register.</w:t>
      </w:r>
    </w:p>
    <w:p w14:paraId="5B6D4B65" w14:textId="77777777" w:rsidR="006C0F0B" w:rsidRPr="00B51BB8" w:rsidRDefault="006C0F0B" w:rsidP="002A4142">
      <w:pPr>
        <w:spacing w:after="0" w:line="240" w:lineRule="auto"/>
        <w:ind w:firstLine="360"/>
        <w:rPr>
          <w:rFonts w:ascii="Times New Roman" w:hAnsi="Times New Roman" w:cs="Times New Roman"/>
          <w:sz w:val="24"/>
          <w:szCs w:val="24"/>
        </w:rPr>
      </w:pPr>
    </w:p>
    <w:p w14:paraId="0AF25828" w14:textId="77777777" w:rsidR="00C4205B" w:rsidRPr="00B51BB8" w:rsidRDefault="00C4205B" w:rsidP="00F64A6F">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EXPLAIN ANY PAYMENT OR GIFTS TO RESPONDENTS</w:t>
      </w:r>
    </w:p>
    <w:p w14:paraId="0E2CB0AE" w14:textId="77777777" w:rsidR="00C4205B" w:rsidRPr="00B51BB8" w:rsidRDefault="00C4205B" w:rsidP="00F26A37">
      <w:pPr>
        <w:spacing w:after="0" w:line="240" w:lineRule="auto"/>
        <w:rPr>
          <w:rFonts w:ascii="Times New Roman" w:hAnsi="Times New Roman" w:cs="Times New Roman"/>
          <w:b/>
          <w:bCs/>
          <w:sz w:val="24"/>
          <w:szCs w:val="24"/>
        </w:rPr>
      </w:pPr>
    </w:p>
    <w:p w14:paraId="6382B4E3" w14:textId="77777777" w:rsidR="00C4205B" w:rsidRPr="00B51BB8" w:rsidRDefault="00C4205B" w:rsidP="00F26A3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No payments or gifts have been made to respondents.</w:t>
      </w:r>
    </w:p>
    <w:p w14:paraId="286252B7" w14:textId="77777777" w:rsidR="00391060" w:rsidRPr="00B51BB8" w:rsidRDefault="00391060" w:rsidP="00F26A37">
      <w:pPr>
        <w:spacing w:after="0" w:line="240" w:lineRule="auto"/>
        <w:rPr>
          <w:rFonts w:ascii="Times New Roman" w:hAnsi="Times New Roman" w:cs="Times New Roman"/>
          <w:sz w:val="24"/>
          <w:szCs w:val="24"/>
        </w:rPr>
      </w:pPr>
    </w:p>
    <w:p w14:paraId="5F0BFFAF"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DESCRIBE ANY ASSURANCE OF CONFIDENTIALITY PROVIDED TO RESPONDENTS</w:t>
      </w:r>
    </w:p>
    <w:p w14:paraId="6A5CC82B" w14:textId="77777777" w:rsidR="00C4205B" w:rsidRPr="00B51BB8" w:rsidRDefault="00C4205B" w:rsidP="00F26A37">
      <w:pPr>
        <w:spacing w:after="0" w:line="240" w:lineRule="auto"/>
        <w:rPr>
          <w:rFonts w:ascii="Times New Roman" w:hAnsi="Times New Roman" w:cs="Times New Roman"/>
          <w:b/>
          <w:bCs/>
          <w:sz w:val="24"/>
          <w:szCs w:val="24"/>
        </w:rPr>
      </w:pPr>
    </w:p>
    <w:p w14:paraId="04781389" w14:textId="77777777" w:rsidR="00F14924" w:rsidRPr="00B51BB8" w:rsidRDefault="00F14924" w:rsidP="002A4142">
      <w:pPr>
        <w:spacing w:line="240" w:lineRule="auto"/>
        <w:rPr>
          <w:rFonts w:ascii="Times New Roman" w:hAnsi="Times New Roman" w:cs="Times New Roman"/>
          <w:bCs/>
          <w:sz w:val="24"/>
          <w:szCs w:val="24"/>
        </w:rPr>
      </w:pPr>
      <w:r w:rsidRPr="00B51BB8">
        <w:rPr>
          <w:rFonts w:ascii="Times New Roman" w:hAnsi="Times New Roman" w:cs="Times New Roman"/>
          <w:bCs/>
          <w:sz w:val="24"/>
          <w:szCs w:val="24"/>
        </w:rPr>
        <w:t>According to the NERC Rules of Procedure</w:t>
      </w:r>
      <w:r w:rsidRPr="00B51BB8">
        <w:rPr>
          <w:rFonts w:ascii="Times New Roman" w:hAnsi="Times New Roman" w:cs="Times New Roman"/>
          <w:bCs/>
          <w:sz w:val="24"/>
          <w:szCs w:val="24"/>
          <w:vertAlign w:val="superscript"/>
        </w:rPr>
        <w:footnoteReference w:id="13"/>
      </w:r>
      <w:r w:rsidRPr="00B51BB8">
        <w:rPr>
          <w:rFonts w:ascii="Times New Roman" w:hAnsi="Times New Roman" w:cs="Times New Roman"/>
          <w:bCs/>
          <w:sz w:val="24"/>
          <w:szCs w:val="24"/>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0D921031" w14:textId="77777777" w:rsidR="00F14924" w:rsidRPr="00B51BB8" w:rsidRDefault="00F14924" w:rsidP="002A4142">
      <w:pPr>
        <w:spacing w:after="0" w:line="240" w:lineRule="auto"/>
        <w:rPr>
          <w:rFonts w:ascii="Times New Roman" w:hAnsi="Times New Roman" w:cs="Times New Roman"/>
          <w:bCs/>
          <w:sz w:val="24"/>
          <w:szCs w:val="24"/>
        </w:rPr>
      </w:pPr>
      <w:r w:rsidRPr="00B51BB8">
        <w:rPr>
          <w:rFonts w:ascii="Times New Roman" w:hAnsi="Times New Roman" w:cs="Times New Roman"/>
          <w:bCs/>
          <w:sz w:val="24"/>
          <w:szCs w:val="24"/>
        </w:rPr>
        <w:t>Responding entities do not submit the information collected due to the Reliability Standards to FERC.  Rather, they submit the information to NERC, the region</w:t>
      </w:r>
      <w:r w:rsidR="00522521" w:rsidRPr="00B51BB8">
        <w:rPr>
          <w:rFonts w:ascii="Times New Roman" w:hAnsi="Times New Roman" w:cs="Times New Roman"/>
          <w:bCs/>
          <w:sz w:val="24"/>
          <w:szCs w:val="24"/>
        </w:rPr>
        <w:t>al entitie</w:t>
      </w:r>
      <w:r w:rsidRPr="00B51BB8">
        <w:rPr>
          <w:rFonts w:ascii="Times New Roman" w:hAnsi="Times New Roman" w:cs="Times New Roman"/>
          <w:bCs/>
          <w:sz w:val="24"/>
          <w:szCs w:val="24"/>
        </w:rPr>
        <w:t>s, or maintain it internally.  Since there are no submissions made to FERC, FERC provides no specific provisions in ord</w:t>
      </w:r>
      <w:r w:rsidR="00115F24">
        <w:rPr>
          <w:rFonts w:ascii="Times New Roman" w:hAnsi="Times New Roman" w:cs="Times New Roman"/>
          <w:bCs/>
          <w:sz w:val="24"/>
          <w:szCs w:val="24"/>
        </w:rPr>
        <w:t>er to protect confidentiality.</w:t>
      </w:r>
    </w:p>
    <w:p w14:paraId="3783DBBA" w14:textId="77777777" w:rsidR="00C4205B" w:rsidRPr="00B51BB8" w:rsidRDefault="00C4205B" w:rsidP="002A4142">
      <w:pPr>
        <w:spacing w:after="0" w:line="240" w:lineRule="auto"/>
        <w:ind w:firstLine="720"/>
        <w:rPr>
          <w:rFonts w:ascii="Times New Roman" w:hAnsi="Times New Roman" w:cs="Times New Roman"/>
          <w:sz w:val="24"/>
          <w:szCs w:val="24"/>
        </w:rPr>
      </w:pPr>
    </w:p>
    <w:p w14:paraId="589143B0" w14:textId="77777777" w:rsidR="00C4205B" w:rsidRDefault="00C4205B" w:rsidP="002A4142">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PROVIDE ADDITIONAL JUSTIFICATION FOR ANY QUESTIONS OF A SENSITIVE NATURE</w:t>
      </w:r>
      <w:r w:rsidR="00E0001D" w:rsidRPr="00B51BB8">
        <w:rPr>
          <w:rFonts w:ascii="Times New Roman" w:hAnsi="Times New Roman" w:cs="Times New Roman"/>
          <w:b/>
          <w:bCs/>
          <w:sz w:val="24"/>
          <w:szCs w:val="24"/>
        </w:rPr>
        <w:t>, SUCH AS SEXUAL BEHAVIOR AND ATTITUDES, RELIGIOUS BELIEFS, AND OTHER MATTERS THAT ARE COMMONLY CONSIDERED PRIVATE</w:t>
      </w:r>
    </w:p>
    <w:p w14:paraId="57DE9DF6" w14:textId="77777777" w:rsidR="00115F24" w:rsidRPr="00115F24" w:rsidRDefault="00115F24" w:rsidP="00115F24">
      <w:pPr>
        <w:widowControl w:val="0"/>
        <w:autoSpaceDE w:val="0"/>
        <w:autoSpaceDN w:val="0"/>
        <w:adjustRightInd w:val="0"/>
        <w:spacing w:after="0" w:line="240" w:lineRule="auto"/>
        <w:ind w:left="360"/>
        <w:rPr>
          <w:rFonts w:ascii="Times New Roman" w:hAnsi="Times New Roman" w:cs="Times New Roman"/>
          <w:sz w:val="24"/>
          <w:szCs w:val="24"/>
        </w:rPr>
      </w:pPr>
    </w:p>
    <w:p w14:paraId="125EDD35" w14:textId="48C3EE71" w:rsidR="003C19D0" w:rsidRPr="00115F24" w:rsidRDefault="00BC7A8C" w:rsidP="002A4142">
      <w:pPr>
        <w:spacing w:line="240" w:lineRule="auto"/>
        <w:rPr>
          <w:rFonts w:ascii="Times New Roman" w:hAnsi="Times New Roman" w:cs="Times New Roman"/>
          <w:sz w:val="24"/>
          <w:szCs w:val="24"/>
        </w:rPr>
      </w:pPr>
      <w:r>
        <w:rPr>
          <w:rFonts w:ascii="Times New Roman" w:hAnsi="Times New Roman" w:cs="Times New Roman"/>
          <w:sz w:val="24"/>
          <w:szCs w:val="24"/>
        </w:rPr>
        <w:t>This</w:t>
      </w:r>
      <w:r w:rsidRPr="00B51BB8">
        <w:rPr>
          <w:rFonts w:ascii="Times New Roman" w:hAnsi="Times New Roman" w:cs="Times New Roman"/>
          <w:sz w:val="24"/>
          <w:szCs w:val="24"/>
        </w:rPr>
        <w:t xml:space="preserve"> </w:t>
      </w:r>
      <w:r w:rsidR="00F14924" w:rsidRPr="00B51BB8">
        <w:rPr>
          <w:rFonts w:ascii="Times New Roman" w:hAnsi="Times New Roman" w:cs="Times New Roman"/>
          <w:sz w:val="24"/>
          <w:szCs w:val="24"/>
        </w:rPr>
        <w:t>collection do</w:t>
      </w:r>
      <w:r>
        <w:rPr>
          <w:rFonts w:ascii="Times New Roman" w:hAnsi="Times New Roman" w:cs="Times New Roman"/>
          <w:sz w:val="24"/>
          <w:szCs w:val="24"/>
        </w:rPr>
        <w:t>es</w:t>
      </w:r>
      <w:r w:rsidR="00F14924" w:rsidRPr="00B51BB8">
        <w:rPr>
          <w:rFonts w:ascii="Times New Roman" w:hAnsi="Times New Roman" w:cs="Times New Roman"/>
          <w:sz w:val="24"/>
          <w:szCs w:val="24"/>
        </w:rPr>
        <w:t xml:space="preserve"> not contain any qu</w:t>
      </w:r>
      <w:r w:rsidR="00115F24">
        <w:rPr>
          <w:rFonts w:ascii="Times New Roman" w:hAnsi="Times New Roman" w:cs="Times New Roman"/>
          <w:sz w:val="24"/>
          <w:szCs w:val="24"/>
        </w:rPr>
        <w:t>estions of a sensitive nature.</w:t>
      </w:r>
    </w:p>
    <w:p w14:paraId="5C58F0E0"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ESTIMATED BURDEN OF COLLECTION OF INFORMATION</w:t>
      </w:r>
    </w:p>
    <w:p w14:paraId="5B1DAB2C" w14:textId="77777777" w:rsidR="00FC11BA" w:rsidRPr="00B51BB8" w:rsidRDefault="00FC11BA" w:rsidP="005E2448">
      <w:pPr>
        <w:widowControl w:val="0"/>
        <w:autoSpaceDE w:val="0"/>
        <w:autoSpaceDN w:val="0"/>
        <w:adjustRightInd w:val="0"/>
        <w:spacing w:after="0" w:line="240" w:lineRule="auto"/>
        <w:ind w:left="360"/>
        <w:rPr>
          <w:rFonts w:ascii="Times New Roman" w:hAnsi="Times New Roman" w:cs="Times New Roman"/>
          <w:sz w:val="24"/>
          <w:szCs w:val="24"/>
        </w:rPr>
      </w:pPr>
    </w:p>
    <w:p w14:paraId="1C3CA31C" w14:textId="4DBB9E17" w:rsidR="00CB0831" w:rsidRPr="00CB0831" w:rsidRDefault="00CB0831" w:rsidP="00CB08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NERC’s</w:t>
      </w:r>
      <w:r w:rsidRPr="00CB0831">
        <w:rPr>
          <w:rFonts w:ascii="Times New Roman" w:hAnsi="Times New Roman" w:cs="Times New Roman"/>
          <w:sz w:val="24"/>
          <w:szCs w:val="24"/>
        </w:rPr>
        <w:t xml:space="preserve"> </w:t>
      </w:r>
      <w:r w:rsidR="00236FF2">
        <w:rPr>
          <w:rFonts w:ascii="Times New Roman" w:hAnsi="Times New Roman" w:cs="Times New Roman"/>
          <w:sz w:val="24"/>
          <w:szCs w:val="24"/>
        </w:rPr>
        <w:t xml:space="preserve">proposed </w:t>
      </w:r>
      <w:r w:rsidR="0076490D">
        <w:rPr>
          <w:rFonts w:ascii="Times New Roman" w:hAnsi="Times New Roman" w:cs="Times New Roman"/>
          <w:sz w:val="24"/>
          <w:szCs w:val="24"/>
        </w:rPr>
        <w:t xml:space="preserve">regional </w:t>
      </w:r>
      <w:r w:rsidR="00236FF2">
        <w:rPr>
          <w:rFonts w:ascii="Times New Roman" w:hAnsi="Times New Roman" w:cs="Times New Roman"/>
          <w:sz w:val="24"/>
          <w:szCs w:val="24"/>
        </w:rPr>
        <w:t>Reliability Standard</w:t>
      </w:r>
      <w:r w:rsidRPr="00CB0831">
        <w:rPr>
          <w:rFonts w:ascii="Times New Roman" w:hAnsi="Times New Roman" w:cs="Times New Roman"/>
          <w:sz w:val="24"/>
          <w:szCs w:val="24"/>
        </w:rPr>
        <w:t xml:space="preserve"> </w:t>
      </w:r>
      <w:r w:rsidR="0076490D">
        <w:rPr>
          <w:rFonts w:ascii="Times New Roman" w:hAnsi="Times New Roman" w:cs="Times New Roman"/>
          <w:sz w:val="24"/>
          <w:szCs w:val="24"/>
        </w:rPr>
        <w:t>BAL-502-RF-03</w:t>
      </w:r>
      <w:r w:rsidR="00236FF2">
        <w:rPr>
          <w:rFonts w:ascii="Times New Roman" w:hAnsi="Times New Roman" w:cs="Times New Roman"/>
          <w:sz w:val="24"/>
          <w:szCs w:val="24"/>
        </w:rPr>
        <w:t xml:space="preserve"> will result </w:t>
      </w:r>
      <w:r w:rsidR="00141F3F">
        <w:rPr>
          <w:rFonts w:ascii="Times New Roman" w:hAnsi="Times New Roman" w:cs="Times New Roman"/>
          <w:sz w:val="24"/>
          <w:szCs w:val="24"/>
        </w:rPr>
        <w:t xml:space="preserve">in an </w:t>
      </w:r>
      <w:r w:rsidRPr="00CB0831">
        <w:rPr>
          <w:rFonts w:ascii="Times New Roman" w:hAnsi="Times New Roman" w:cs="Times New Roman"/>
          <w:sz w:val="24"/>
          <w:szCs w:val="24"/>
        </w:rPr>
        <w:t>ongoing increase</w:t>
      </w:r>
      <w:r w:rsidR="00236FF2">
        <w:rPr>
          <w:rFonts w:ascii="Times New Roman" w:hAnsi="Times New Roman" w:cs="Times New Roman"/>
          <w:sz w:val="24"/>
          <w:szCs w:val="24"/>
        </w:rPr>
        <w:t xml:space="preserve"> to burden</w:t>
      </w:r>
      <w:r w:rsidRPr="00CB0831">
        <w:rPr>
          <w:rFonts w:ascii="Times New Roman" w:hAnsi="Times New Roman" w:cs="Times New Roman"/>
          <w:sz w:val="24"/>
          <w:szCs w:val="24"/>
        </w:rPr>
        <w:t xml:space="preserve"> in the rep</w:t>
      </w:r>
      <w:r w:rsidR="00236FF2">
        <w:rPr>
          <w:rFonts w:ascii="Times New Roman" w:hAnsi="Times New Roman" w:cs="Times New Roman"/>
          <w:sz w:val="24"/>
          <w:szCs w:val="24"/>
        </w:rPr>
        <w:t>orting</w:t>
      </w:r>
      <w:r w:rsidR="00141F3F">
        <w:rPr>
          <w:rFonts w:ascii="Times New Roman" w:hAnsi="Times New Roman" w:cs="Times New Roman"/>
          <w:sz w:val="24"/>
          <w:szCs w:val="24"/>
        </w:rPr>
        <w:t xml:space="preserve"> and recordkeeping</w:t>
      </w:r>
      <w:r w:rsidR="00141F3F">
        <w:rPr>
          <w:rStyle w:val="FootnoteReference"/>
          <w:rFonts w:ascii="Times New Roman" w:hAnsi="Times New Roman" w:cs="Times New Roman"/>
          <w:sz w:val="24"/>
          <w:szCs w:val="24"/>
        </w:rPr>
        <w:footnoteReference w:id="14"/>
      </w:r>
      <w:r w:rsidR="00236FF2">
        <w:rPr>
          <w:rFonts w:ascii="Times New Roman" w:hAnsi="Times New Roman" w:cs="Times New Roman"/>
          <w:sz w:val="24"/>
          <w:szCs w:val="24"/>
        </w:rPr>
        <w:t xml:space="preserve"> requirements imposed on</w:t>
      </w:r>
      <w:r w:rsidR="00236FF2">
        <w:rPr>
          <w:rFonts w:ascii="Times New Roman" w:hAnsi="Times New Roman" w:cs="Times New Roman"/>
          <w:bCs/>
          <w:sz w:val="24"/>
          <w:szCs w:val="24"/>
        </w:rPr>
        <w:t xml:space="preserve"> </w:t>
      </w:r>
      <w:r w:rsidR="0076490D">
        <w:rPr>
          <w:rFonts w:ascii="Times New Roman" w:hAnsi="Times New Roman" w:cs="Times New Roman"/>
          <w:bCs/>
          <w:sz w:val="24"/>
          <w:szCs w:val="24"/>
        </w:rPr>
        <w:t>planning coordinators</w:t>
      </w:r>
      <w:r w:rsidR="009864F8">
        <w:rPr>
          <w:rFonts w:ascii="Times New Roman" w:hAnsi="Times New Roman" w:cs="Times New Roman"/>
          <w:bCs/>
          <w:sz w:val="24"/>
          <w:szCs w:val="24"/>
        </w:rPr>
        <w:t>.</w:t>
      </w:r>
    </w:p>
    <w:p w14:paraId="5D4A20C4" w14:textId="77777777" w:rsidR="00CB0831" w:rsidRPr="00CB0831" w:rsidRDefault="00CB0831" w:rsidP="00CB0831">
      <w:pPr>
        <w:widowControl w:val="0"/>
        <w:autoSpaceDE w:val="0"/>
        <w:autoSpaceDN w:val="0"/>
        <w:adjustRightInd w:val="0"/>
        <w:spacing w:after="0" w:line="240" w:lineRule="auto"/>
        <w:rPr>
          <w:rFonts w:ascii="Times New Roman" w:hAnsi="Times New Roman" w:cs="Times New Roman"/>
          <w:sz w:val="24"/>
          <w:szCs w:val="24"/>
        </w:rPr>
      </w:pPr>
    </w:p>
    <w:p w14:paraId="7FD7F6DC" w14:textId="31E56E5E" w:rsidR="00503BD5" w:rsidRDefault="00872AB5" w:rsidP="00CB0831">
      <w:pPr>
        <w:pStyle w:val="FERCparanumber"/>
        <w:numPr>
          <w:ilvl w:val="0"/>
          <w:numId w:val="0"/>
        </w:numPr>
        <w:tabs>
          <w:tab w:val="left" w:pos="720"/>
        </w:tabs>
        <w:rPr>
          <w:rFonts w:ascii="Times New Roman" w:hAnsi="Times New Roman" w:cs="Times New Roman"/>
        </w:rPr>
      </w:pPr>
      <w:r w:rsidRPr="00872AB5">
        <w:rPr>
          <w:rFonts w:ascii="Times New Roman" w:hAnsi="Times New Roman" w:cs="Times New Roman"/>
        </w:rPr>
        <w:t>Burden associated with BAL-502-RF-02 Reliability Standard</w:t>
      </w:r>
      <w:r>
        <w:rPr>
          <w:rFonts w:ascii="Times New Roman" w:hAnsi="Times New Roman" w:cs="Times New Roman"/>
        </w:rPr>
        <w:t xml:space="preserve"> (</w:t>
      </w:r>
      <w:r w:rsidR="00F34C98">
        <w:rPr>
          <w:rFonts w:ascii="Times New Roman" w:hAnsi="Times New Roman" w:cs="Times New Roman"/>
        </w:rPr>
        <w:t xml:space="preserve">the </w:t>
      </w:r>
      <w:r>
        <w:rPr>
          <w:rFonts w:ascii="Times New Roman" w:hAnsi="Times New Roman" w:cs="Times New Roman"/>
        </w:rPr>
        <w:t>previous version of BAL-502-RF-02)</w:t>
      </w:r>
      <w:r w:rsidR="0076490D">
        <w:rPr>
          <w:rFonts w:ascii="Times New Roman" w:hAnsi="Times New Roman" w:cs="Times New Roman"/>
        </w:rPr>
        <w:t xml:space="preserve"> was once </w:t>
      </w:r>
      <w:r w:rsidRPr="00872AB5">
        <w:rPr>
          <w:rFonts w:ascii="Times New Roman" w:hAnsi="Times New Roman" w:cs="Times New Roman"/>
        </w:rPr>
        <w:t>contained in</w:t>
      </w:r>
      <w:r w:rsidR="0076490D">
        <w:rPr>
          <w:rFonts w:ascii="Times New Roman" w:hAnsi="Times New Roman" w:cs="Times New Roman"/>
        </w:rPr>
        <w:t xml:space="preserve"> FERC-725H </w:t>
      </w:r>
      <w:r w:rsidRPr="00872AB5">
        <w:rPr>
          <w:rFonts w:ascii="Times New Roman" w:hAnsi="Times New Roman" w:cs="Times New Roman"/>
        </w:rPr>
        <w:t xml:space="preserve">information collection </w:t>
      </w:r>
      <w:r w:rsidR="0076490D">
        <w:rPr>
          <w:rFonts w:ascii="Times New Roman" w:hAnsi="Times New Roman" w:cs="Times New Roman"/>
        </w:rPr>
        <w:t>(OMB Control No. 1902-</w:t>
      </w:r>
      <w:r w:rsidRPr="00872AB5">
        <w:rPr>
          <w:rFonts w:ascii="Times New Roman" w:hAnsi="Times New Roman" w:cs="Times New Roman"/>
        </w:rPr>
        <w:t>0256).  FERC-725H</w:t>
      </w:r>
      <w:r w:rsidR="0076490D">
        <w:rPr>
          <w:rFonts w:ascii="Times New Roman" w:hAnsi="Times New Roman" w:cs="Times New Roman"/>
        </w:rPr>
        <w:t xml:space="preserve"> was discontinued on</w:t>
      </w:r>
      <w:r w:rsidRPr="00872AB5">
        <w:rPr>
          <w:rFonts w:ascii="Times New Roman" w:hAnsi="Times New Roman" w:cs="Times New Roman"/>
        </w:rPr>
        <w:t xml:space="preserve"> 3/6/2014.  However, the requirements of BAL-502-RF-02 were still imposed on NERC entities.  Those requirements are now being retired with no removal of burden (any associated burden was removed concurrent with the discontinuance).</w:t>
      </w:r>
      <w:r>
        <w:rPr>
          <w:rFonts w:ascii="Times New Roman" w:hAnsi="Times New Roman" w:cs="Times New Roman"/>
        </w:rPr>
        <w:t xml:space="preserve"> </w:t>
      </w:r>
      <w:r w:rsidR="0076490D">
        <w:rPr>
          <w:rFonts w:ascii="Times New Roman" w:hAnsi="Times New Roman" w:cs="Times New Roman"/>
        </w:rPr>
        <w:t xml:space="preserve"> </w:t>
      </w:r>
      <w:r w:rsidR="00F34C98">
        <w:rPr>
          <w:rFonts w:ascii="Times New Roman" w:hAnsi="Times New Roman" w:cs="Times New Roman"/>
        </w:rPr>
        <w:t>The new proposed version</w:t>
      </w:r>
      <w:r w:rsidR="0076490D">
        <w:rPr>
          <w:rFonts w:ascii="Times New Roman" w:hAnsi="Times New Roman" w:cs="Times New Roman"/>
        </w:rPr>
        <w:t xml:space="preserve"> of the standard in FERC-725HH will reestablish a burden associated with Reliability Standard BAL-502-RF-03</w:t>
      </w:r>
      <w:r w:rsidR="00F34C98">
        <w:rPr>
          <w:rFonts w:ascii="Times New Roman" w:hAnsi="Times New Roman" w:cs="Times New Roman"/>
        </w:rPr>
        <w:t xml:space="preserve">.  </w:t>
      </w:r>
      <w:r w:rsidR="00CB0831" w:rsidRPr="00CB0831">
        <w:rPr>
          <w:rFonts w:ascii="Times New Roman" w:hAnsi="Times New Roman" w:cs="Times New Roman"/>
        </w:rPr>
        <w:t>The estimated burden and cost</w:t>
      </w:r>
      <w:r w:rsidR="00141F3F" w:rsidRPr="00141F3F">
        <w:rPr>
          <w:rStyle w:val="FootnoteReference"/>
          <w:rFonts w:ascii="Times New Roman" w:eastAsia="Times New Roman" w:hAnsi="Times New Roman" w:cs="Times New Roman"/>
          <w:vertAlign w:val="superscript"/>
        </w:rPr>
        <w:footnoteReference w:id="15"/>
      </w:r>
      <w:r w:rsidR="00CB0831" w:rsidRPr="00CB0831">
        <w:rPr>
          <w:rFonts w:ascii="Times New Roman" w:hAnsi="Times New Roman" w:cs="Times New Roman"/>
        </w:rPr>
        <w:t xml:space="preserve"> for FERC-725</w:t>
      </w:r>
      <w:r w:rsidR="0076490D">
        <w:rPr>
          <w:rFonts w:ascii="Times New Roman" w:hAnsi="Times New Roman" w:cs="Times New Roman"/>
        </w:rPr>
        <w:t>HH</w:t>
      </w:r>
      <w:r w:rsidR="00FA717D">
        <w:rPr>
          <w:rFonts w:ascii="Times New Roman" w:hAnsi="Times New Roman" w:cs="Times New Roman"/>
        </w:rPr>
        <w:t xml:space="preserve"> </w:t>
      </w:r>
      <w:r w:rsidR="00CB0831">
        <w:rPr>
          <w:rFonts w:ascii="Times New Roman" w:hAnsi="Times New Roman" w:cs="Times New Roman"/>
        </w:rPr>
        <w:t>due to the</w:t>
      </w:r>
      <w:r w:rsidR="0076490D">
        <w:rPr>
          <w:rFonts w:ascii="Times New Roman" w:hAnsi="Times New Roman" w:cs="Times New Roman"/>
        </w:rPr>
        <w:t xml:space="preserve"> regional</w:t>
      </w:r>
      <w:r w:rsidR="00FA717D">
        <w:rPr>
          <w:rFonts w:ascii="Times New Roman" w:hAnsi="Times New Roman" w:cs="Times New Roman"/>
        </w:rPr>
        <w:t xml:space="preserve"> </w:t>
      </w:r>
      <w:r w:rsidR="0076490D">
        <w:rPr>
          <w:rFonts w:ascii="Times New Roman" w:hAnsi="Times New Roman" w:cs="Times New Roman"/>
        </w:rPr>
        <w:t>standard approved in the RD17-8-000 Order</w:t>
      </w:r>
      <w:r w:rsidR="00CB0831" w:rsidRPr="00CB0831">
        <w:rPr>
          <w:rFonts w:ascii="Times New Roman" w:hAnsi="Times New Roman" w:cs="Times New Roman"/>
        </w:rPr>
        <w:t xml:space="preserve"> follow</w:t>
      </w:r>
      <w:r w:rsidR="00503BD5">
        <w:rPr>
          <w:rFonts w:ascii="Times New Roman" w:hAnsi="Times New Roman" w:cs="Times New Roman"/>
        </w:rPr>
        <w:t>:</w:t>
      </w:r>
    </w:p>
    <w:p w14:paraId="1B265933" w14:textId="77777777" w:rsidR="00FC11BA" w:rsidRDefault="00FC11BA" w:rsidP="00CB0831">
      <w:pPr>
        <w:spacing w:line="240" w:lineRule="auto"/>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710"/>
        <w:gridCol w:w="1440"/>
        <w:gridCol w:w="1260"/>
        <w:gridCol w:w="1260"/>
        <w:gridCol w:w="1530"/>
        <w:gridCol w:w="1445"/>
      </w:tblGrid>
      <w:tr w:rsidR="0076490D" w:rsidRPr="008F6F02" w14:paraId="67AEA360" w14:textId="77777777" w:rsidTr="009725C7">
        <w:trPr>
          <w:trHeight w:val="288"/>
        </w:trPr>
        <w:tc>
          <w:tcPr>
            <w:tcW w:w="10080" w:type="dxa"/>
            <w:gridSpan w:val="7"/>
            <w:shd w:val="clear" w:color="auto" w:fill="D9D9D9"/>
          </w:tcPr>
          <w:p w14:paraId="63BD13D4" w14:textId="0C17B4C3" w:rsidR="0076490D" w:rsidRPr="008F6F02" w:rsidRDefault="0076490D" w:rsidP="005F7FD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FERC-725HH</w:t>
            </w:r>
            <w:r w:rsidRPr="008F6F02">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RF Reliability Standards</w:t>
            </w:r>
          </w:p>
        </w:tc>
      </w:tr>
      <w:tr w:rsidR="0076490D" w:rsidRPr="008F6F02" w14:paraId="1A662190" w14:textId="77777777" w:rsidTr="009725C7">
        <w:trPr>
          <w:trHeight w:val="744"/>
        </w:trPr>
        <w:tc>
          <w:tcPr>
            <w:tcW w:w="1435" w:type="dxa"/>
            <w:shd w:val="clear" w:color="auto" w:fill="D9D9D9"/>
            <w:vAlign w:val="bottom"/>
          </w:tcPr>
          <w:p w14:paraId="31BE8147"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 xml:space="preserve">Entity </w:t>
            </w:r>
          </w:p>
        </w:tc>
        <w:tc>
          <w:tcPr>
            <w:tcW w:w="1710" w:type="dxa"/>
            <w:shd w:val="clear" w:color="auto" w:fill="D9D9D9"/>
            <w:vAlign w:val="bottom"/>
          </w:tcPr>
          <w:p w14:paraId="74724DBE" w14:textId="77777777" w:rsidR="0076490D" w:rsidRPr="005F7FD1" w:rsidRDefault="0076490D" w:rsidP="009725C7">
            <w:pPr>
              <w:spacing w:after="0" w:line="240" w:lineRule="auto"/>
              <w:jc w:val="center"/>
              <w:rPr>
                <w:rFonts w:ascii="Times New Roman" w:eastAsia="Calibri" w:hAnsi="Times New Roman" w:cs="Times New Roman"/>
                <w:sz w:val="20"/>
                <w:szCs w:val="20"/>
                <w:vertAlign w:val="superscript"/>
              </w:rPr>
            </w:pPr>
            <w:r w:rsidRPr="005F7FD1">
              <w:rPr>
                <w:rFonts w:ascii="Times New Roman" w:eastAsia="Calibri" w:hAnsi="Times New Roman" w:cs="Times New Roman"/>
                <w:b/>
                <w:sz w:val="20"/>
                <w:szCs w:val="20"/>
              </w:rPr>
              <w:t>No. of Respondents</w:t>
            </w:r>
            <w:r w:rsidRPr="005F7FD1">
              <w:rPr>
                <w:rStyle w:val="FootnoteReference"/>
                <w:rFonts w:ascii="Times New Roman" w:eastAsia="Calibri" w:hAnsi="Times New Roman" w:cs="Times New Roman"/>
                <w:b/>
                <w:sz w:val="20"/>
                <w:szCs w:val="20"/>
                <w:vertAlign w:val="superscript"/>
              </w:rPr>
              <w:footnoteReference w:id="16"/>
            </w:r>
          </w:p>
          <w:p w14:paraId="601D60C4"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(1)</w:t>
            </w:r>
          </w:p>
        </w:tc>
        <w:tc>
          <w:tcPr>
            <w:tcW w:w="1440" w:type="dxa"/>
            <w:shd w:val="clear" w:color="auto" w:fill="D9D9D9"/>
            <w:vAlign w:val="bottom"/>
          </w:tcPr>
          <w:p w14:paraId="62162B06"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Annual No. of Responses per Respondent</w:t>
            </w:r>
          </w:p>
          <w:p w14:paraId="077D6DA2"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(2)</w:t>
            </w:r>
          </w:p>
        </w:tc>
        <w:tc>
          <w:tcPr>
            <w:tcW w:w="1260" w:type="dxa"/>
            <w:shd w:val="clear" w:color="auto" w:fill="D9D9D9"/>
            <w:vAlign w:val="bottom"/>
          </w:tcPr>
          <w:p w14:paraId="71E39B44"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Annual No. of Responses</w:t>
            </w:r>
          </w:p>
          <w:p w14:paraId="43C8817B"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(1)*(2)=(3)</w:t>
            </w:r>
          </w:p>
        </w:tc>
        <w:tc>
          <w:tcPr>
            <w:tcW w:w="1260" w:type="dxa"/>
            <w:shd w:val="clear" w:color="auto" w:fill="D9D9D9"/>
            <w:vAlign w:val="bottom"/>
          </w:tcPr>
          <w:p w14:paraId="7E1C163C"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Average Burden Hrs. &amp; Cost Per Response ($)</w:t>
            </w:r>
          </w:p>
          <w:p w14:paraId="168DF1BD"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(4)</w:t>
            </w:r>
          </w:p>
        </w:tc>
        <w:tc>
          <w:tcPr>
            <w:tcW w:w="1530" w:type="dxa"/>
            <w:shd w:val="clear" w:color="auto" w:fill="D9D9D9"/>
            <w:vAlign w:val="bottom"/>
          </w:tcPr>
          <w:p w14:paraId="5E7F8F8A"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Total Annual Burden Hours &amp; Total Annual Cost ($)</w:t>
            </w:r>
          </w:p>
          <w:p w14:paraId="5EB27D98"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(3)*(4)=(5)</w:t>
            </w:r>
          </w:p>
        </w:tc>
        <w:tc>
          <w:tcPr>
            <w:tcW w:w="1445" w:type="dxa"/>
            <w:shd w:val="clear" w:color="auto" w:fill="D9D9D9"/>
            <w:vAlign w:val="bottom"/>
          </w:tcPr>
          <w:p w14:paraId="00890F9B"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Cost per Respondent ($)</w:t>
            </w:r>
          </w:p>
          <w:p w14:paraId="2528698E" w14:textId="77777777" w:rsidR="0076490D" w:rsidRPr="008F6F02" w:rsidRDefault="0076490D" w:rsidP="009725C7">
            <w:pPr>
              <w:spacing w:after="0" w:line="240" w:lineRule="auto"/>
              <w:jc w:val="center"/>
              <w:rPr>
                <w:rFonts w:ascii="Times New Roman" w:eastAsia="Calibri" w:hAnsi="Times New Roman" w:cs="Times New Roman"/>
                <w:b/>
                <w:sz w:val="20"/>
                <w:szCs w:val="20"/>
              </w:rPr>
            </w:pPr>
            <w:r w:rsidRPr="008F6F02">
              <w:rPr>
                <w:rFonts w:ascii="Times New Roman" w:eastAsia="Calibri" w:hAnsi="Times New Roman" w:cs="Times New Roman"/>
                <w:b/>
                <w:sz w:val="20"/>
                <w:szCs w:val="20"/>
              </w:rPr>
              <w:t>(5)÷(1)=(6)</w:t>
            </w:r>
          </w:p>
        </w:tc>
      </w:tr>
      <w:tr w:rsidR="0076490D" w:rsidRPr="008F6F02" w14:paraId="50D90B66" w14:textId="77777777" w:rsidTr="009725C7">
        <w:trPr>
          <w:trHeight w:val="299"/>
        </w:trPr>
        <w:tc>
          <w:tcPr>
            <w:tcW w:w="10080" w:type="dxa"/>
            <w:gridSpan w:val="7"/>
            <w:shd w:val="clear" w:color="auto" w:fill="D9D9D9"/>
            <w:vAlign w:val="center"/>
          </w:tcPr>
          <w:p w14:paraId="5B226066" w14:textId="77777777" w:rsidR="0076490D" w:rsidRPr="00FB68A3" w:rsidRDefault="0076490D" w:rsidP="009725C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Proposed Regional Reliability Standard BAL-502-RF-03</w:t>
            </w:r>
          </w:p>
        </w:tc>
      </w:tr>
      <w:tr w:rsidR="0076490D" w:rsidRPr="008F6F02" w14:paraId="17AF6DA8" w14:textId="77777777" w:rsidTr="009725C7">
        <w:trPr>
          <w:trHeight w:val="299"/>
        </w:trPr>
        <w:tc>
          <w:tcPr>
            <w:tcW w:w="1435" w:type="dxa"/>
            <w:vAlign w:val="bottom"/>
          </w:tcPr>
          <w:p w14:paraId="31971E39" w14:textId="77777777" w:rsidR="0076490D" w:rsidRPr="00D91539" w:rsidRDefault="0076490D" w:rsidP="009725C7">
            <w:pPr>
              <w:spacing w:after="0" w:line="240" w:lineRule="auto"/>
              <w:rPr>
                <w:rFonts w:ascii="Times New Roman" w:hAnsi="Times New Roman" w:cs="Times New Roman"/>
                <w:sz w:val="20"/>
                <w:szCs w:val="20"/>
              </w:rPr>
            </w:pPr>
            <w:r w:rsidRPr="00D91539">
              <w:rPr>
                <w:rFonts w:ascii="Times New Roman" w:hAnsi="Times New Roman" w:cs="Times New Roman"/>
                <w:sz w:val="20"/>
                <w:szCs w:val="20"/>
              </w:rPr>
              <w:t>Planning Coordinators</w:t>
            </w:r>
          </w:p>
        </w:tc>
        <w:tc>
          <w:tcPr>
            <w:tcW w:w="1710" w:type="dxa"/>
            <w:vAlign w:val="bottom"/>
          </w:tcPr>
          <w:p w14:paraId="0D6F4634" w14:textId="77777777" w:rsidR="0076490D" w:rsidRPr="008F6F02" w:rsidRDefault="0076490D" w:rsidP="009725C7">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440" w:type="dxa"/>
            <w:vAlign w:val="bottom"/>
          </w:tcPr>
          <w:p w14:paraId="00E4F609" w14:textId="77777777" w:rsidR="0076490D" w:rsidRPr="008F6F02" w:rsidRDefault="0076490D" w:rsidP="009725C7">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60" w:type="dxa"/>
            <w:vAlign w:val="bottom"/>
          </w:tcPr>
          <w:p w14:paraId="6ABF7323" w14:textId="77777777" w:rsidR="0076490D" w:rsidRPr="008F6F02" w:rsidRDefault="0076490D" w:rsidP="009725C7">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260" w:type="dxa"/>
            <w:vAlign w:val="bottom"/>
          </w:tcPr>
          <w:p w14:paraId="4DB0E493" w14:textId="77777777" w:rsidR="0076490D" w:rsidRDefault="0076490D" w:rsidP="009725C7">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16 hrs.;</w:t>
            </w:r>
          </w:p>
          <w:p w14:paraId="163DBF0F" w14:textId="77777777" w:rsidR="0076490D" w:rsidRPr="008F6F02" w:rsidRDefault="0076490D" w:rsidP="009725C7">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$973</w:t>
            </w:r>
          </w:p>
        </w:tc>
        <w:tc>
          <w:tcPr>
            <w:tcW w:w="1530" w:type="dxa"/>
            <w:vAlign w:val="bottom"/>
          </w:tcPr>
          <w:p w14:paraId="59D76C41" w14:textId="77777777" w:rsidR="0076490D" w:rsidRPr="00244F65" w:rsidRDefault="0076490D" w:rsidP="009725C7">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32 hrs.</w:t>
            </w:r>
            <w:r w:rsidRPr="00244F65">
              <w:rPr>
                <w:rFonts w:ascii="Times New Roman" w:eastAsia="Calibri" w:hAnsi="Times New Roman" w:cs="Times New Roman"/>
                <w:sz w:val="20"/>
                <w:szCs w:val="20"/>
              </w:rPr>
              <w:t>;</w:t>
            </w:r>
          </w:p>
          <w:p w14:paraId="3860D03B" w14:textId="77777777" w:rsidR="0076490D" w:rsidRPr="008F6F02" w:rsidRDefault="0076490D" w:rsidP="009725C7">
            <w:pPr>
              <w:spacing w:after="0" w:line="240" w:lineRule="auto"/>
              <w:jc w:val="right"/>
              <w:rPr>
                <w:rFonts w:ascii="Times New Roman" w:eastAsia="Calibri" w:hAnsi="Times New Roman" w:cs="Times New Roman"/>
                <w:b/>
                <w:sz w:val="20"/>
                <w:szCs w:val="20"/>
              </w:rPr>
            </w:pPr>
            <w:r w:rsidRPr="00244F65">
              <w:rPr>
                <w:rFonts w:ascii="Times New Roman" w:eastAsia="Calibri" w:hAnsi="Times New Roman" w:cs="Times New Roman"/>
                <w:sz w:val="20"/>
                <w:szCs w:val="20"/>
              </w:rPr>
              <w:t>$</w:t>
            </w:r>
            <w:r>
              <w:rPr>
                <w:rFonts w:ascii="Times New Roman" w:eastAsia="Calibri" w:hAnsi="Times New Roman" w:cs="Times New Roman"/>
                <w:sz w:val="20"/>
                <w:szCs w:val="20"/>
              </w:rPr>
              <w:t>1,945</w:t>
            </w:r>
          </w:p>
        </w:tc>
        <w:tc>
          <w:tcPr>
            <w:tcW w:w="1445" w:type="dxa"/>
            <w:vAlign w:val="bottom"/>
          </w:tcPr>
          <w:p w14:paraId="7521405F" w14:textId="77777777" w:rsidR="0076490D" w:rsidRPr="008F6F02" w:rsidRDefault="0076490D" w:rsidP="009725C7">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$973</w:t>
            </w:r>
          </w:p>
        </w:tc>
      </w:tr>
    </w:tbl>
    <w:p w14:paraId="2AF93B66" w14:textId="77777777" w:rsidR="00E2173D" w:rsidRPr="004320D5" w:rsidRDefault="00E2173D" w:rsidP="00E2173D">
      <w:pPr>
        <w:spacing w:after="0"/>
        <w:rPr>
          <w:rFonts w:ascii="Times New Roman" w:eastAsia="Times New Roman" w:hAnsi="Times New Roman" w:cs="Times New Roman"/>
          <w:sz w:val="24"/>
          <w:szCs w:val="24"/>
        </w:rPr>
      </w:pPr>
    </w:p>
    <w:p w14:paraId="0936A624" w14:textId="6FADB45E" w:rsidR="0015264C" w:rsidRPr="009864F8" w:rsidRDefault="009864F8" w:rsidP="004320D5">
      <w:pPr>
        <w:pStyle w:val="FERCparanumber"/>
        <w:widowControl/>
        <w:numPr>
          <w:ilvl w:val="0"/>
          <w:numId w:val="0"/>
        </w:numPr>
        <w:tabs>
          <w:tab w:val="left" w:pos="720"/>
        </w:tabs>
        <w:spacing w:line="276" w:lineRule="auto"/>
        <w:rPr>
          <w:rFonts w:ascii="Times New Roman" w:hAnsi="Times New Roman" w:cs="Times New Roman"/>
        </w:rPr>
      </w:pPr>
      <w:r w:rsidRPr="004320D5">
        <w:rPr>
          <w:rFonts w:ascii="Times New Roman" w:eastAsia="Times New Roman" w:hAnsi="Times New Roman" w:cs="Times New Roman"/>
        </w:rPr>
        <w:t>The paperwork burden estimate includes costs associated with the initial development of a policy to address requirements relating to:  (1) developing the supply chain risk management plan; (2) updating the procedures related to remote access requirements</w:t>
      </w:r>
      <w:r w:rsidR="005255E2">
        <w:rPr>
          <w:rFonts w:ascii="Times New Roman" w:eastAsia="Times New Roman" w:hAnsi="Times New Roman" w:cs="Times New Roman"/>
        </w:rPr>
        <w:t>;</w:t>
      </w:r>
      <w:r w:rsidRPr="004320D5">
        <w:rPr>
          <w:rFonts w:ascii="Times New Roman" w:eastAsia="Times New Roman" w:hAnsi="Times New Roman" w:cs="Times New Roman"/>
        </w:rPr>
        <w:t xml:space="preserve"> (3) developing the procedures related to software integrity and authenticity.  Further, the estimate reflects the assumption that costs incurred in year 1 will pertain to plan and procedure development, while costs in years 2 and 3 will reflect the burden associated with maintaining the </w:t>
      </w:r>
      <w:r w:rsidR="00F34A7A">
        <w:rPr>
          <w:rFonts w:ascii="Times New Roman" w:eastAsia="Times New Roman" w:hAnsi="Times New Roman" w:cs="Times New Roman"/>
        </w:rPr>
        <w:t>Supply Chain Risk Management (</w:t>
      </w:r>
      <w:r w:rsidRPr="004320D5">
        <w:rPr>
          <w:rFonts w:ascii="Times New Roman" w:eastAsia="Times New Roman" w:hAnsi="Times New Roman" w:cs="Times New Roman"/>
        </w:rPr>
        <w:t>SCRM</w:t>
      </w:r>
      <w:r w:rsidR="00F34A7A">
        <w:rPr>
          <w:rFonts w:ascii="Times New Roman" w:eastAsia="Times New Roman" w:hAnsi="Times New Roman" w:cs="Times New Roman"/>
        </w:rPr>
        <w:t>)</w:t>
      </w:r>
      <w:r w:rsidRPr="004320D5">
        <w:rPr>
          <w:rFonts w:ascii="Times New Roman" w:eastAsia="Times New Roman" w:hAnsi="Times New Roman" w:cs="Times New Roman"/>
        </w:rPr>
        <w:t xml:space="preserve"> plan and modifying it as necessary on a 15 month basis</w:t>
      </w:r>
      <w:r w:rsidR="00F34A7A" w:rsidRPr="00D23C0A">
        <w:rPr>
          <w:rStyle w:val="FootnoteReference"/>
          <w:rFonts w:ascii="Times New Roman" w:eastAsia="Times New Roman" w:hAnsi="Times New Roman" w:cs="Times New Roman"/>
          <w:vertAlign w:val="superscript"/>
        </w:rPr>
        <w:footnoteReference w:id="17"/>
      </w:r>
      <w:r w:rsidRPr="009864F8">
        <w:rPr>
          <w:rFonts w:ascii="Times New Roman" w:hAnsi="Times New Roman" w:cs="Times New Roman"/>
        </w:rPr>
        <w:t>.</w:t>
      </w:r>
    </w:p>
    <w:p w14:paraId="109064C2" w14:textId="77777777" w:rsidR="00800420" w:rsidRDefault="00800420" w:rsidP="00A83705">
      <w:pPr>
        <w:pStyle w:val="FERCparanumber"/>
        <w:widowControl/>
        <w:numPr>
          <w:ilvl w:val="0"/>
          <w:numId w:val="0"/>
        </w:numPr>
        <w:tabs>
          <w:tab w:val="left" w:pos="720"/>
        </w:tabs>
        <w:rPr>
          <w:rFonts w:ascii="Times New Roman" w:hAnsi="Times New Roman" w:cs="Times New Roman"/>
        </w:rPr>
      </w:pPr>
    </w:p>
    <w:p w14:paraId="0E762A5D" w14:textId="77777777" w:rsidR="00800420" w:rsidRPr="00B51BB8" w:rsidRDefault="00800420" w:rsidP="00A83705">
      <w:pPr>
        <w:pStyle w:val="FERCparanumber"/>
        <w:widowControl/>
        <w:numPr>
          <w:ilvl w:val="0"/>
          <w:numId w:val="0"/>
        </w:numPr>
        <w:tabs>
          <w:tab w:val="left" w:pos="720"/>
        </w:tabs>
        <w:rPr>
          <w:rFonts w:ascii="Times New Roman" w:hAnsi="Times New Roman" w:cs="Times New Roman"/>
        </w:rPr>
      </w:pPr>
    </w:p>
    <w:p w14:paraId="6643FAFD" w14:textId="77777777" w:rsidR="00C4205B" w:rsidRPr="00B51BB8" w:rsidRDefault="00C4205B" w:rsidP="005E2448">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ESTIMATE OF THE TOTAL ANNUAL COST BURDEN TO RESPONDENTS</w:t>
      </w:r>
    </w:p>
    <w:p w14:paraId="5900A782" w14:textId="77777777" w:rsidR="002359F6" w:rsidRPr="00B51BB8" w:rsidRDefault="002359F6" w:rsidP="002A4142">
      <w:pPr>
        <w:spacing w:after="0" w:line="240" w:lineRule="auto"/>
        <w:rPr>
          <w:rFonts w:ascii="Times New Roman" w:hAnsi="Times New Roman" w:cs="Times New Roman"/>
          <w:sz w:val="24"/>
          <w:szCs w:val="24"/>
        </w:rPr>
      </w:pPr>
    </w:p>
    <w:p w14:paraId="0926F9C6" w14:textId="77777777" w:rsidR="002359F6" w:rsidRPr="00B51BB8" w:rsidRDefault="002359F6" w:rsidP="002A4142">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There are no start-up or other non-labor costs.</w:t>
      </w:r>
    </w:p>
    <w:p w14:paraId="3748E8B6" w14:textId="77777777" w:rsidR="002359F6" w:rsidRPr="00B51BB8" w:rsidRDefault="002359F6" w:rsidP="002A4142">
      <w:pPr>
        <w:spacing w:after="0" w:line="240" w:lineRule="auto"/>
        <w:rPr>
          <w:rFonts w:ascii="Times New Roman" w:hAnsi="Times New Roman" w:cs="Times New Roman"/>
          <w:sz w:val="24"/>
          <w:szCs w:val="24"/>
        </w:rPr>
      </w:pPr>
    </w:p>
    <w:p w14:paraId="03146869" w14:textId="77777777" w:rsidR="002359F6" w:rsidRPr="00B51BB8" w:rsidRDefault="002359F6" w:rsidP="002A4142">
      <w:pPr>
        <w:spacing w:after="0" w:line="240" w:lineRule="auto"/>
        <w:ind w:firstLine="720"/>
        <w:rPr>
          <w:rFonts w:ascii="Times New Roman" w:hAnsi="Times New Roman" w:cs="Times New Roman"/>
          <w:sz w:val="24"/>
          <w:szCs w:val="24"/>
        </w:rPr>
      </w:pPr>
      <w:r w:rsidRPr="00B51BB8">
        <w:rPr>
          <w:rFonts w:ascii="Times New Roman" w:hAnsi="Times New Roman" w:cs="Times New Roman"/>
          <w:sz w:val="24"/>
          <w:szCs w:val="24"/>
        </w:rPr>
        <w:t>Total Capital and Start-up cost: $0</w:t>
      </w:r>
    </w:p>
    <w:p w14:paraId="40F632E6" w14:textId="77777777" w:rsidR="002359F6" w:rsidRPr="00B51BB8" w:rsidRDefault="002359F6" w:rsidP="002A4142">
      <w:pPr>
        <w:spacing w:after="0" w:line="240" w:lineRule="auto"/>
        <w:ind w:left="720"/>
        <w:rPr>
          <w:rFonts w:ascii="Times New Roman" w:hAnsi="Times New Roman" w:cs="Times New Roman"/>
          <w:sz w:val="24"/>
          <w:szCs w:val="24"/>
        </w:rPr>
      </w:pPr>
      <w:r w:rsidRPr="00B51BB8">
        <w:rPr>
          <w:rFonts w:ascii="Times New Roman" w:hAnsi="Times New Roman" w:cs="Times New Roman"/>
          <w:sz w:val="24"/>
          <w:szCs w:val="24"/>
        </w:rPr>
        <w:t>Total Operation, Maintenance, and Purchase of Services: $0</w:t>
      </w:r>
    </w:p>
    <w:p w14:paraId="400B8895" w14:textId="77777777" w:rsidR="002359F6" w:rsidRPr="00B51BB8" w:rsidRDefault="002359F6" w:rsidP="002A4142">
      <w:pPr>
        <w:spacing w:after="0" w:line="240" w:lineRule="auto"/>
        <w:rPr>
          <w:rFonts w:ascii="Times New Roman" w:hAnsi="Times New Roman" w:cs="Times New Roman"/>
          <w:sz w:val="24"/>
          <w:szCs w:val="24"/>
        </w:rPr>
      </w:pPr>
    </w:p>
    <w:p w14:paraId="1583A39C" w14:textId="29B16B01" w:rsidR="002359F6" w:rsidRPr="00B51BB8" w:rsidRDefault="008830C5" w:rsidP="002A4142">
      <w:pPr>
        <w:spacing w:after="0" w:line="240" w:lineRule="auto"/>
        <w:rPr>
          <w:rFonts w:ascii="Times New Roman" w:hAnsi="Times New Roman" w:cs="Times New Roman"/>
          <w:sz w:val="24"/>
          <w:szCs w:val="24"/>
        </w:rPr>
      </w:pPr>
      <w:r>
        <w:rPr>
          <w:rFonts w:ascii="Times New Roman" w:hAnsi="Times New Roman" w:cs="Times New Roman"/>
          <w:sz w:val="24"/>
          <w:szCs w:val="24"/>
        </w:rPr>
        <w:t>All of the costs in the Order</w:t>
      </w:r>
      <w:r w:rsidR="002359F6" w:rsidRPr="00B51BB8">
        <w:rPr>
          <w:rFonts w:ascii="Times New Roman" w:hAnsi="Times New Roman" w:cs="Times New Roman"/>
          <w:sz w:val="24"/>
          <w:szCs w:val="24"/>
        </w:rPr>
        <w:t xml:space="preserve"> are associated with burden hours (labor) and described in Questions #12 and #15 in this supporting statement. </w:t>
      </w:r>
    </w:p>
    <w:p w14:paraId="7628453A" w14:textId="77777777" w:rsidR="003C19D0" w:rsidRPr="00B51BB8" w:rsidRDefault="003C19D0" w:rsidP="002A4142">
      <w:pPr>
        <w:spacing w:line="240" w:lineRule="auto"/>
        <w:rPr>
          <w:rFonts w:ascii="Times New Roman" w:hAnsi="Times New Roman" w:cs="Times New Roman"/>
          <w:sz w:val="24"/>
          <w:szCs w:val="24"/>
        </w:rPr>
      </w:pPr>
    </w:p>
    <w:p w14:paraId="01F4ACB3"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ESTIMATED ANNUALIZED COST TO FEDERAL GOVERNMENT</w:t>
      </w:r>
    </w:p>
    <w:p w14:paraId="2291EE6D" w14:textId="77777777" w:rsidR="00C4205B" w:rsidRPr="00B51BB8" w:rsidRDefault="00C4205B" w:rsidP="0007783F">
      <w:pPr>
        <w:spacing w:after="0" w:line="240" w:lineRule="auto"/>
        <w:rPr>
          <w:rFonts w:ascii="Times New Roman" w:hAnsi="Times New Roman" w:cs="Times New Roman"/>
          <w:b/>
          <w:bCs/>
          <w:sz w:val="24"/>
          <w:szCs w:val="24"/>
        </w:rPr>
      </w:pPr>
    </w:p>
    <w:p w14:paraId="53748332" w14:textId="77777777" w:rsidR="009922B2" w:rsidRDefault="009922B2" w:rsidP="0007783F">
      <w:pPr>
        <w:spacing w:after="0" w:line="240" w:lineRule="auto"/>
        <w:rPr>
          <w:rFonts w:ascii="Times New Roman" w:hAnsi="Times New Roman" w:cs="Times New Roman"/>
          <w:sz w:val="24"/>
          <w:szCs w:val="24"/>
        </w:rPr>
      </w:pPr>
      <w:r w:rsidRPr="009922B2">
        <w:rPr>
          <w:rFonts w:ascii="Times New Roman" w:hAnsi="Times New Roman" w:cs="Times New Roman"/>
          <w:sz w:val="24"/>
          <w:szCs w:val="24"/>
        </w:rPr>
        <w:t>Any involvement by the Commission is covered under the FERC-725 (OMB Control No. 1902-0255).  The d</w:t>
      </w:r>
      <w:r w:rsidR="00797852">
        <w:rPr>
          <w:rFonts w:ascii="Times New Roman" w:hAnsi="Times New Roman" w:cs="Times New Roman"/>
          <w:sz w:val="24"/>
          <w:szCs w:val="24"/>
        </w:rPr>
        <w:t>ata are not submitted to FERC.</w:t>
      </w:r>
    </w:p>
    <w:p w14:paraId="37D9FD77" w14:textId="77777777" w:rsidR="009922B2" w:rsidRPr="009922B2" w:rsidRDefault="009922B2" w:rsidP="0007783F">
      <w:pPr>
        <w:spacing w:after="0" w:line="240" w:lineRule="auto"/>
        <w:rPr>
          <w:rFonts w:ascii="Times New Roman" w:hAnsi="Times New Roman" w:cs="Times New Roman"/>
          <w:sz w:val="24"/>
          <w:szCs w:val="24"/>
        </w:rPr>
      </w:pPr>
    </w:p>
    <w:p w14:paraId="40DD9213" w14:textId="08466980" w:rsidR="002359F6" w:rsidRDefault="00BC3F97" w:rsidP="0007783F">
      <w:pPr>
        <w:spacing w:after="0" w:line="240" w:lineRule="auto"/>
        <w:rPr>
          <w:rFonts w:ascii="Times New Roman" w:hAnsi="Times New Roman" w:cs="Times New Roman"/>
          <w:sz w:val="24"/>
          <w:szCs w:val="24"/>
        </w:rPr>
      </w:pPr>
      <w:r w:rsidRPr="00BC3F97">
        <w:rPr>
          <w:rFonts w:ascii="Times New Roman" w:hAnsi="Times New Roman" w:cs="Times New Roman"/>
          <w:sz w:val="24"/>
          <w:szCs w:val="24"/>
        </w:rPr>
        <w:t>The Commission does incur the costs associated with obtai</w:t>
      </w:r>
      <w:r w:rsidR="005A3911">
        <w:rPr>
          <w:rFonts w:ascii="Times New Roman" w:hAnsi="Times New Roman" w:cs="Times New Roman"/>
          <w:sz w:val="24"/>
          <w:szCs w:val="24"/>
        </w:rPr>
        <w:t>ning OMB clearance for FERC-725HH</w:t>
      </w:r>
      <w:r w:rsidRPr="00BC3F97">
        <w:rPr>
          <w:rFonts w:ascii="Times New Roman" w:hAnsi="Times New Roman" w:cs="Times New Roman"/>
          <w:sz w:val="24"/>
          <w:szCs w:val="24"/>
        </w:rPr>
        <w:t xml:space="preserve"> collection under the Paperwork Reduction Act (PRA). The PRA Administrative Cost is a Federal Cost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rulemakings and orders, other changes to the collection, and associated publications in the Federal Register. FERC estimates the annual cost for this effort to be $5,723.00</w:t>
      </w:r>
      <w:r>
        <w:rPr>
          <w:rFonts w:ascii="Times New Roman" w:hAnsi="Times New Roman" w:cs="Times New Roman"/>
          <w:sz w:val="24"/>
          <w:szCs w:val="24"/>
        </w:rPr>
        <w:t>.</w:t>
      </w:r>
    </w:p>
    <w:p w14:paraId="0F39C68F" w14:textId="77777777" w:rsidR="00BC3F97" w:rsidRPr="00B51BB8" w:rsidRDefault="00BC3F97" w:rsidP="0007783F">
      <w:pPr>
        <w:spacing w:after="0" w:line="240" w:lineRule="auto"/>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2359F6" w:rsidRPr="00B51BB8" w14:paraId="74760D27" w14:textId="77777777" w:rsidTr="002359F6">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368325C1" w14:textId="2C512D85" w:rsidR="002359F6" w:rsidRPr="00B51BB8" w:rsidRDefault="005A3911" w:rsidP="007C39D3">
            <w:pPr>
              <w:spacing w:after="0" w:line="240" w:lineRule="auto"/>
              <w:rPr>
                <w:rFonts w:ascii="Times New Roman" w:hAnsi="Times New Roman" w:cs="Times New Roman"/>
                <w:b/>
                <w:sz w:val="24"/>
                <w:szCs w:val="24"/>
              </w:rPr>
            </w:pPr>
            <w:r>
              <w:rPr>
                <w:rFonts w:ascii="Times New Roman" w:hAnsi="Times New Roman" w:cs="Times New Roman"/>
                <w:b/>
                <w:sz w:val="24"/>
                <w:szCs w:val="24"/>
              </w:rPr>
              <w:t>FERC-725HH</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604C33BB" w14:textId="77777777" w:rsidR="002359F6" w:rsidRPr="00B51BB8" w:rsidRDefault="002359F6" w:rsidP="005E2448">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666965DF" w14:textId="77777777" w:rsidR="002359F6" w:rsidRPr="00B51BB8" w:rsidRDefault="002359F6" w:rsidP="002A4142">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Estimated Annual Federal Cost</w:t>
            </w:r>
          </w:p>
        </w:tc>
      </w:tr>
      <w:tr w:rsidR="002359F6" w:rsidRPr="00B51BB8" w14:paraId="3E7BA932"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FE375A5" w14:textId="77777777" w:rsidR="002359F6" w:rsidRPr="00B51BB8" w:rsidRDefault="002359F6" w:rsidP="00E66667">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Analysis </w:t>
            </w:r>
            <w:r w:rsidR="00E66667">
              <w:rPr>
                <w:rFonts w:ascii="Times New Roman" w:hAnsi="Times New Roman" w:cs="Times New Roman"/>
                <w:sz w:val="24"/>
                <w:szCs w:val="24"/>
              </w:rPr>
              <w:t>of F</w:t>
            </w:r>
            <w:r w:rsidRPr="00B51BB8">
              <w:rPr>
                <w:rFonts w:ascii="Times New Roman" w:hAnsi="Times New Roman" w:cs="Times New Roman"/>
                <w:sz w:val="24"/>
                <w:szCs w:val="24"/>
              </w:rPr>
              <w:t>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04252B1D" w14:textId="77777777" w:rsidR="002359F6" w:rsidRPr="00B51BB8" w:rsidRDefault="002359F6" w:rsidP="005E2448">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20F3A7DE" w14:textId="77777777" w:rsidR="002359F6" w:rsidRPr="00B51BB8" w:rsidRDefault="002359F6" w:rsidP="002A4142">
            <w:pPr>
              <w:spacing w:after="0" w:line="240" w:lineRule="auto"/>
              <w:jc w:val="right"/>
              <w:rPr>
                <w:rFonts w:ascii="Times New Roman" w:hAnsi="Times New Roman" w:cs="Times New Roman"/>
                <w:sz w:val="24"/>
                <w:szCs w:val="24"/>
              </w:rPr>
            </w:pPr>
            <w:r w:rsidRPr="00B51BB8">
              <w:rPr>
                <w:rFonts w:ascii="Times New Roman" w:hAnsi="Times New Roman" w:cs="Times New Roman"/>
                <w:sz w:val="24"/>
                <w:szCs w:val="24"/>
              </w:rPr>
              <w:t>$0</w:t>
            </w:r>
          </w:p>
        </w:tc>
      </w:tr>
      <w:tr w:rsidR="00E66667" w:rsidRPr="00B51BB8" w14:paraId="6ECA80B5" w14:textId="77777777" w:rsidTr="002359F6">
        <w:tc>
          <w:tcPr>
            <w:tcW w:w="3182" w:type="dxa"/>
            <w:tcBorders>
              <w:top w:val="single" w:sz="4" w:space="0" w:color="auto"/>
              <w:left w:val="single" w:sz="4" w:space="0" w:color="auto"/>
              <w:bottom w:val="single" w:sz="4" w:space="0" w:color="auto"/>
              <w:right w:val="single" w:sz="4" w:space="0" w:color="auto"/>
            </w:tcBorders>
          </w:tcPr>
          <w:p w14:paraId="2916A9D3" w14:textId="77777777" w:rsidR="00E66667" w:rsidRPr="00B51BB8" w:rsidRDefault="00E66667" w:rsidP="007C39D3">
            <w:pPr>
              <w:spacing w:after="0" w:line="240" w:lineRule="auto"/>
              <w:rPr>
                <w:rFonts w:ascii="Times New Roman" w:hAnsi="Times New Roman" w:cs="Times New Roman"/>
                <w:sz w:val="24"/>
                <w:szCs w:val="24"/>
              </w:rPr>
            </w:pPr>
            <w:r>
              <w:rPr>
                <w:rFonts w:ascii="Times New Roman" w:hAnsi="Times New Roman" w:cs="Times New Roman"/>
                <w:sz w:val="24"/>
                <w:szCs w:val="24"/>
              </w:rPr>
              <w:t>Processing of Filings</w:t>
            </w:r>
          </w:p>
        </w:tc>
        <w:tc>
          <w:tcPr>
            <w:tcW w:w="3201" w:type="dxa"/>
            <w:tcBorders>
              <w:top w:val="single" w:sz="4" w:space="0" w:color="auto"/>
              <w:left w:val="single" w:sz="4" w:space="0" w:color="auto"/>
              <w:bottom w:val="single" w:sz="4" w:space="0" w:color="auto"/>
              <w:right w:val="single" w:sz="4" w:space="0" w:color="auto"/>
            </w:tcBorders>
            <w:vAlign w:val="center"/>
          </w:tcPr>
          <w:p w14:paraId="657DC224" w14:textId="77777777" w:rsidR="00E66667" w:rsidRPr="00B51BB8" w:rsidRDefault="00E66667" w:rsidP="005E24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center"/>
          </w:tcPr>
          <w:p w14:paraId="248DCBA7" w14:textId="77777777" w:rsidR="00E66667" w:rsidRPr="00B51BB8" w:rsidRDefault="00E66667"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2359F6" w:rsidRPr="00B51BB8" w14:paraId="453A7B37"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9B8A50D" w14:textId="01302C64" w:rsidR="002359F6" w:rsidRPr="00B51BB8" w:rsidRDefault="002359F6" w:rsidP="0099517B">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Paperwork Reduction Act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0C2F4"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116405AD" w14:textId="77777777"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r w:rsidR="002359F6" w:rsidRPr="00B51BB8" w14:paraId="2F75250A" w14:textId="77777777" w:rsidTr="002359F6">
        <w:tc>
          <w:tcPr>
            <w:tcW w:w="3182" w:type="dxa"/>
            <w:tcBorders>
              <w:top w:val="single" w:sz="4" w:space="0" w:color="auto"/>
              <w:left w:val="single" w:sz="4" w:space="0" w:color="auto"/>
              <w:bottom w:val="single" w:sz="4" w:space="0" w:color="auto"/>
              <w:right w:val="single" w:sz="4" w:space="0" w:color="auto"/>
            </w:tcBorders>
            <w:hideMark/>
          </w:tcPr>
          <w:p w14:paraId="6F95BDC0" w14:textId="77777777" w:rsidR="002359F6" w:rsidRPr="00B51BB8" w:rsidRDefault="002359F6" w:rsidP="007C39D3">
            <w:pPr>
              <w:spacing w:after="0" w:line="240" w:lineRule="auto"/>
              <w:rPr>
                <w:rFonts w:ascii="Times New Roman" w:hAnsi="Times New Roman" w:cs="Times New Roman"/>
                <w:b/>
                <w:sz w:val="24"/>
                <w:szCs w:val="24"/>
              </w:rPr>
            </w:pPr>
            <w:r w:rsidRPr="00B51BB8">
              <w:rPr>
                <w:rFonts w:ascii="Times New Roman" w:hAnsi="Times New Roman" w:cs="Times New Roman"/>
                <w:b/>
                <w:sz w:val="24"/>
                <w:szCs w:val="24"/>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679C" w14:textId="77777777" w:rsidR="002359F6" w:rsidRPr="00B51BB8" w:rsidRDefault="002359F6" w:rsidP="005E2448">
            <w:pPr>
              <w:spacing w:after="0" w:line="240" w:lineRule="auto"/>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579CA50F" w14:textId="77777777" w:rsidR="002359F6" w:rsidRPr="00B51BB8" w:rsidRDefault="00EF4E3E" w:rsidP="002A41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bl>
    <w:p w14:paraId="3C1ABC63" w14:textId="77777777" w:rsidR="009922B2" w:rsidRPr="00B51BB8" w:rsidRDefault="009922B2" w:rsidP="002A4142">
      <w:pPr>
        <w:spacing w:line="240" w:lineRule="auto"/>
        <w:rPr>
          <w:rFonts w:ascii="Times New Roman" w:hAnsi="Times New Roman" w:cs="Times New Roman"/>
          <w:sz w:val="24"/>
          <w:szCs w:val="24"/>
        </w:rPr>
      </w:pPr>
    </w:p>
    <w:p w14:paraId="68B9EDF1" w14:textId="77777777" w:rsidR="00C4205B" w:rsidRPr="009922B2"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REASONS FOR CHANGES IN BURDEN INCLUDING THE NEED FOR ANY INCREASE</w:t>
      </w:r>
    </w:p>
    <w:p w14:paraId="3FEA176F" w14:textId="77777777" w:rsidR="009922B2" w:rsidRPr="00B51BB8" w:rsidRDefault="009922B2" w:rsidP="009922B2">
      <w:pPr>
        <w:widowControl w:val="0"/>
        <w:autoSpaceDE w:val="0"/>
        <w:autoSpaceDN w:val="0"/>
        <w:adjustRightInd w:val="0"/>
        <w:spacing w:after="0" w:line="240" w:lineRule="auto"/>
        <w:rPr>
          <w:rFonts w:ascii="Times New Roman" w:hAnsi="Times New Roman" w:cs="Times New Roman"/>
          <w:sz w:val="24"/>
          <w:szCs w:val="24"/>
        </w:rPr>
      </w:pPr>
    </w:p>
    <w:p w14:paraId="2D9BDAA4" w14:textId="77777777" w:rsidR="00141F3F" w:rsidRDefault="00141F3F" w:rsidP="00B376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3/17/2011, the Commission approved</w:t>
      </w:r>
      <w:r w:rsidR="002468F9">
        <w:rPr>
          <w:rFonts w:ascii="Times New Roman" w:hAnsi="Times New Roman" w:cs="Times New Roman"/>
          <w:sz w:val="24"/>
          <w:szCs w:val="24"/>
        </w:rPr>
        <w:t xml:space="preserve"> regional Reliability Standard BAL-502-RFC-02</w:t>
      </w:r>
      <w:r w:rsidR="00872AB5" w:rsidRPr="00141F3F">
        <w:rPr>
          <w:rStyle w:val="FootnoteReference"/>
          <w:rFonts w:ascii="Times New Roman" w:hAnsi="Times New Roman" w:cs="Times New Roman"/>
          <w:sz w:val="24"/>
          <w:szCs w:val="24"/>
          <w:vertAlign w:val="superscript"/>
        </w:rPr>
        <w:footnoteReference w:id="18"/>
      </w:r>
      <w:r w:rsidR="002468F9">
        <w:rPr>
          <w:rFonts w:ascii="Times New Roman" w:hAnsi="Times New Roman" w:cs="Times New Roman"/>
          <w:sz w:val="24"/>
          <w:szCs w:val="24"/>
        </w:rPr>
        <w:t xml:space="preserve"> in Order No. 747</w:t>
      </w:r>
      <w:r w:rsidRPr="00141F3F">
        <w:rPr>
          <w:rStyle w:val="FootnoteReference"/>
          <w:rFonts w:ascii="Times New Roman" w:hAnsi="Times New Roman" w:cs="Times New Roman"/>
          <w:sz w:val="24"/>
          <w:szCs w:val="24"/>
          <w:vertAlign w:val="superscript"/>
        </w:rPr>
        <w:footnoteReference w:id="19"/>
      </w:r>
      <w:r>
        <w:rPr>
          <w:rFonts w:ascii="Times New Roman" w:hAnsi="Times New Roman" w:cs="Times New Roman"/>
          <w:sz w:val="24"/>
          <w:szCs w:val="24"/>
        </w:rPr>
        <w:t xml:space="preserve"> while</w:t>
      </w:r>
      <w:r w:rsidR="002468F9">
        <w:rPr>
          <w:rFonts w:ascii="Times New Roman" w:hAnsi="Times New Roman" w:cs="Times New Roman"/>
          <w:sz w:val="24"/>
          <w:szCs w:val="24"/>
        </w:rPr>
        <w:t xml:space="preserve"> also di</w:t>
      </w:r>
      <w:r>
        <w:rPr>
          <w:rFonts w:ascii="Times New Roman" w:hAnsi="Times New Roman" w:cs="Times New Roman"/>
          <w:sz w:val="24"/>
          <w:szCs w:val="24"/>
        </w:rPr>
        <w:t>recting ReliabilityFirst to:</w:t>
      </w:r>
    </w:p>
    <w:p w14:paraId="4F1F9F6B" w14:textId="77777777" w:rsidR="00141F3F" w:rsidRDefault="002468F9" w:rsidP="00141F3F">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141F3F">
        <w:rPr>
          <w:rFonts w:ascii="Times New Roman" w:hAnsi="Times New Roman" w:cs="Times New Roman"/>
          <w:sz w:val="24"/>
          <w:szCs w:val="24"/>
        </w:rPr>
        <w:t xml:space="preserve">add time horizons to the two main requirements, and </w:t>
      </w:r>
    </w:p>
    <w:p w14:paraId="0B339D8C" w14:textId="77777777" w:rsidR="00141F3F" w:rsidRDefault="002468F9" w:rsidP="00141F3F">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141F3F">
        <w:rPr>
          <w:rFonts w:ascii="Times New Roman" w:hAnsi="Times New Roman" w:cs="Times New Roman"/>
          <w:sz w:val="24"/>
          <w:szCs w:val="24"/>
        </w:rPr>
        <w:t>consider including a requirement that the Planning Coordinators identify any gap between the needed amount of planning reserves determined in Requirement R1, Part 1.1 and the planning reserves documented in Requirement R2 as determined from the Resource Adequacy analysis.</w:t>
      </w:r>
      <w:r w:rsidRPr="00B37604">
        <w:rPr>
          <w:rStyle w:val="FootnoteReference"/>
          <w:rFonts w:ascii="Times New Roman" w:hAnsi="Times New Roman" w:cs="Times New Roman"/>
          <w:sz w:val="24"/>
          <w:szCs w:val="24"/>
          <w:vertAlign w:val="superscript"/>
        </w:rPr>
        <w:footnoteReference w:id="20"/>
      </w:r>
    </w:p>
    <w:p w14:paraId="562FB6E2" w14:textId="77777777" w:rsidR="00141F3F" w:rsidRDefault="00141F3F" w:rsidP="00141F3F">
      <w:pPr>
        <w:autoSpaceDE w:val="0"/>
        <w:autoSpaceDN w:val="0"/>
        <w:adjustRightInd w:val="0"/>
        <w:spacing w:after="0" w:line="240" w:lineRule="auto"/>
        <w:rPr>
          <w:rFonts w:ascii="Times New Roman" w:hAnsi="Times New Roman" w:cs="Times New Roman"/>
          <w:sz w:val="24"/>
          <w:szCs w:val="24"/>
        </w:rPr>
      </w:pPr>
    </w:p>
    <w:p w14:paraId="7F87F0B0" w14:textId="77777777" w:rsidR="006957D6" w:rsidRPr="00141F3F" w:rsidRDefault="002468F9" w:rsidP="00141F3F">
      <w:pPr>
        <w:autoSpaceDE w:val="0"/>
        <w:autoSpaceDN w:val="0"/>
        <w:adjustRightInd w:val="0"/>
        <w:spacing w:after="0" w:line="240" w:lineRule="auto"/>
        <w:rPr>
          <w:rFonts w:ascii="Times New Roman" w:hAnsi="Times New Roman" w:cs="Times New Roman"/>
          <w:sz w:val="24"/>
          <w:szCs w:val="24"/>
        </w:rPr>
      </w:pPr>
      <w:r w:rsidRPr="00141F3F">
        <w:rPr>
          <w:rFonts w:ascii="Times New Roman" w:hAnsi="Times New Roman" w:cs="Times New Roman"/>
          <w:sz w:val="24"/>
          <w:szCs w:val="24"/>
        </w:rPr>
        <w:t>The Commission directed ReliabilityFirst to address these directives during its scheduled five-year review of BAL-502-RFC-02.</w:t>
      </w:r>
    </w:p>
    <w:p w14:paraId="1D29820E" w14:textId="77777777" w:rsidR="006957D6" w:rsidRDefault="006957D6" w:rsidP="00B37604">
      <w:pPr>
        <w:autoSpaceDE w:val="0"/>
        <w:autoSpaceDN w:val="0"/>
        <w:adjustRightInd w:val="0"/>
        <w:spacing w:after="0" w:line="240" w:lineRule="auto"/>
        <w:rPr>
          <w:rFonts w:ascii="Times New Roman" w:hAnsi="Times New Roman" w:cs="Times New Roman"/>
          <w:sz w:val="24"/>
          <w:szCs w:val="24"/>
        </w:rPr>
      </w:pPr>
    </w:p>
    <w:p w14:paraId="5C6F1F23" w14:textId="77777777" w:rsidR="006957D6" w:rsidRDefault="006957D6" w:rsidP="00B376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revisions</w:t>
      </w:r>
      <w:r w:rsidR="00872AB5">
        <w:rPr>
          <w:rFonts w:ascii="Times New Roman" w:hAnsi="Times New Roman" w:cs="Times New Roman"/>
          <w:sz w:val="24"/>
          <w:szCs w:val="24"/>
        </w:rPr>
        <w:t xml:space="preserve"> within BAL-502-RF-03</w:t>
      </w:r>
      <w:r>
        <w:rPr>
          <w:rFonts w:ascii="Times New Roman" w:hAnsi="Times New Roman" w:cs="Times New Roman"/>
          <w:sz w:val="24"/>
          <w:szCs w:val="24"/>
        </w:rPr>
        <w:t xml:space="preserve"> add in time horizons to Requirements R1 and R2; add Requirement R3 to identify any gaps between the needed amount of planning reserves defined in Requirement R1, Part 1.1 and the projected planning reserves document in Requirement R2; and add other corresponding changes to the measures.</w:t>
      </w:r>
    </w:p>
    <w:p w14:paraId="2E0A6991" w14:textId="77777777" w:rsidR="00872AB5" w:rsidRDefault="00872AB5" w:rsidP="00B37604">
      <w:pPr>
        <w:autoSpaceDE w:val="0"/>
        <w:autoSpaceDN w:val="0"/>
        <w:adjustRightInd w:val="0"/>
        <w:spacing w:after="0" w:line="240" w:lineRule="auto"/>
        <w:rPr>
          <w:rFonts w:ascii="Times New Roman" w:hAnsi="Times New Roman" w:cs="Times New Roman"/>
          <w:sz w:val="24"/>
          <w:szCs w:val="24"/>
        </w:rPr>
      </w:pPr>
    </w:p>
    <w:p w14:paraId="53971EE3" w14:textId="1009FF5E" w:rsidR="00C4205B" w:rsidRPr="002025A8" w:rsidRDefault="00AF12C4" w:rsidP="007A560D">
      <w:pPr>
        <w:rPr>
          <w:rFonts w:ascii="Times New Roman" w:hAnsi="Times New Roman" w:cs="Times New Roman"/>
          <w:bCs/>
          <w:sz w:val="24"/>
          <w:szCs w:val="24"/>
        </w:rPr>
      </w:pPr>
      <w:r>
        <w:rPr>
          <w:rFonts w:ascii="Times New Roman" w:hAnsi="Times New Roman" w:cs="Times New Roman"/>
          <w:bCs/>
          <w:sz w:val="24"/>
          <w:szCs w:val="24"/>
        </w:rPr>
        <w:t>A summary of the burden</w:t>
      </w:r>
      <w:r w:rsidR="0082752D">
        <w:rPr>
          <w:rFonts w:ascii="Times New Roman" w:hAnsi="Times New Roman" w:cs="Times New Roman"/>
          <w:bCs/>
          <w:sz w:val="24"/>
          <w:szCs w:val="24"/>
        </w:rPr>
        <w:t xml:space="preserve"> </w:t>
      </w:r>
      <w:r w:rsidR="005A3911">
        <w:rPr>
          <w:rFonts w:ascii="Times New Roman" w:hAnsi="Times New Roman" w:cs="Times New Roman"/>
          <w:bCs/>
          <w:sz w:val="24"/>
          <w:szCs w:val="24"/>
        </w:rPr>
        <w:t>established</w:t>
      </w:r>
      <w:r>
        <w:rPr>
          <w:rFonts w:ascii="Times New Roman" w:hAnsi="Times New Roman" w:cs="Times New Roman"/>
          <w:bCs/>
          <w:sz w:val="24"/>
          <w:szCs w:val="24"/>
        </w:rPr>
        <w:t xml:space="preserve"> </w:t>
      </w:r>
      <w:r w:rsidR="005A3911">
        <w:rPr>
          <w:rFonts w:ascii="Times New Roman" w:hAnsi="Times New Roman" w:cs="Times New Roman"/>
          <w:bCs/>
          <w:sz w:val="24"/>
          <w:szCs w:val="24"/>
        </w:rPr>
        <w:t>in the FERC-725HH</w:t>
      </w:r>
      <w:r w:rsidR="0082752D">
        <w:rPr>
          <w:rFonts w:ascii="Times New Roman" w:hAnsi="Times New Roman" w:cs="Times New Roman"/>
          <w:bCs/>
          <w:sz w:val="24"/>
          <w:szCs w:val="24"/>
        </w:rPr>
        <w:t xml:space="preserve"> information collection </w:t>
      </w:r>
      <w:r w:rsidR="005A3911">
        <w:rPr>
          <w:rFonts w:ascii="Times New Roman" w:hAnsi="Times New Roman" w:cs="Times New Roman"/>
          <w:bCs/>
          <w:sz w:val="24"/>
          <w:szCs w:val="24"/>
        </w:rPr>
        <w:t>due to the Order in RD17-8</w:t>
      </w:r>
      <w:r w:rsidR="0082752D">
        <w:rPr>
          <w:rFonts w:ascii="Times New Roman" w:hAnsi="Times New Roman" w:cs="Times New Roman"/>
          <w:bCs/>
          <w:sz w:val="24"/>
          <w:szCs w:val="24"/>
        </w:rPr>
        <w:t xml:space="preserve"> follows: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2025A8" w:rsidRPr="002025A8" w14:paraId="29A4FB99" w14:textId="77777777" w:rsidTr="00A41279">
        <w:trPr>
          <w:trHeight w:val="1205"/>
        </w:trPr>
        <w:tc>
          <w:tcPr>
            <w:tcW w:w="2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788D336" w14:textId="5360AAE3" w:rsidR="002025A8" w:rsidRPr="002025A8" w:rsidRDefault="008D4025" w:rsidP="00847F1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w:t>
            </w:r>
            <w:r w:rsidR="005A3911">
              <w:rPr>
                <w:rFonts w:ascii="Times New Roman" w:eastAsia="Calibri" w:hAnsi="Times New Roman" w:cs="Times New Roman"/>
                <w:b/>
                <w:bCs/>
                <w:sz w:val="24"/>
                <w:szCs w:val="24"/>
              </w:rPr>
              <w:t>ERC-725HH</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71BBC47"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E12945C"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9D2597A"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BF5ECF" w14:textId="77777777" w:rsidR="002025A8" w:rsidRPr="002025A8" w:rsidRDefault="002025A8" w:rsidP="00847F18">
            <w:pPr>
              <w:spacing w:after="0" w:line="240" w:lineRule="auto"/>
              <w:jc w:val="center"/>
              <w:rPr>
                <w:rFonts w:ascii="Times New Roman" w:eastAsia="Calibri" w:hAnsi="Times New Roman" w:cs="Times New Roman"/>
                <w:b/>
                <w:bCs/>
                <w:sz w:val="24"/>
                <w:szCs w:val="24"/>
              </w:rPr>
            </w:pPr>
            <w:r w:rsidRPr="002025A8">
              <w:rPr>
                <w:rFonts w:ascii="Times New Roman" w:eastAsia="Calibri" w:hAnsi="Times New Roman" w:cs="Times New Roman"/>
                <w:b/>
                <w:bCs/>
                <w:sz w:val="24"/>
                <w:szCs w:val="24"/>
              </w:rPr>
              <w:t>Change Due to Agency Discretion</w:t>
            </w:r>
          </w:p>
        </w:tc>
      </w:tr>
      <w:tr w:rsidR="002025A8" w:rsidRPr="002025A8" w14:paraId="530412C2" w14:textId="77777777" w:rsidTr="00A41279">
        <w:trPr>
          <w:trHeight w:val="591"/>
        </w:trPr>
        <w:tc>
          <w:tcPr>
            <w:tcW w:w="2679" w:type="dxa"/>
            <w:tcBorders>
              <w:top w:val="single" w:sz="4" w:space="0" w:color="auto"/>
              <w:left w:val="single" w:sz="4" w:space="0" w:color="auto"/>
              <w:bottom w:val="single" w:sz="4" w:space="0" w:color="auto"/>
              <w:right w:val="single" w:sz="4" w:space="0" w:color="auto"/>
            </w:tcBorders>
            <w:hideMark/>
          </w:tcPr>
          <w:p w14:paraId="3954F29A" w14:textId="77777777" w:rsidR="002025A8" w:rsidRPr="002025A8" w:rsidRDefault="002025A8" w:rsidP="001301E0">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Number of Responses</w:t>
            </w:r>
          </w:p>
        </w:tc>
        <w:tc>
          <w:tcPr>
            <w:tcW w:w="1461" w:type="dxa"/>
            <w:tcBorders>
              <w:top w:val="single" w:sz="4" w:space="0" w:color="auto"/>
              <w:left w:val="single" w:sz="4" w:space="0" w:color="auto"/>
              <w:bottom w:val="single" w:sz="4" w:space="0" w:color="auto"/>
              <w:right w:val="single" w:sz="4" w:space="0" w:color="auto"/>
            </w:tcBorders>
            <w:vAlign w:val="bottom"/>
          </w:tcPr>
          <w:p w14:paraId="0AEBC581" w14:textId="2CED6357" w:rsidR="002025A8" w:rsidRPr="002025A8" w:rsidRDefault="0049317C"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620" w:type="dxa"/>
            <w:tcBorders>
              <w:top w:val="single" w:sz="4" w:space="0" w:color="auto"/>
              <w:left w:val="single" w:sz="4" w:space="0" w:color="auto"/>
              <w:bottom w:val="single" w:sz="4" w:space="0" w:color="auto"/>
              <w:right w:val="single" w:sz="4" w:space="0" w:color="auto"/>
            </w:tcBorders>
            <w:vAlign w:val="bottom"/>
          </w:tcPr>
          <w:p w14:paraId="1204AB40" w14:textId="547F1DAA" w:rsidR="002025A8" w:rsidRPr="002025A8" w:rsidRDefault="0037636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582A715E"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6F4C090C" w14:textId="30E4D6C2" w:rsidR="002025A8" w:rsidRPr="002025A8" w:rsidRDefault="0049317C"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2025A8" w:rsidRPr="002025A8" w14:paraId="6F0004C2" w14:textId="77777777" w:rsidTr="00A41279">
        <w:trPr>
          <w:trHeight w:val="107"/>
        </w:trPr>
        <w:tc>
          <w:tcPr>
            <w:tcW w:w="2679" w:type="dxa"/>
            <w:tcBorders>
              <w:top w:val="single" w:sz="4" w:space="0" w:color="auto"/>
              <w:left w:val="single" w:sz="4" w:space="0" w:color="auto"/>
              <w:bottom w:val="single" w:sz="4" w:space="0" w:color="auto"/>
              <w:right w:val="single" w:sz="4" w:space="0" w:color="auto"/>
            </w:tcBorders>
            <w:hideMark/>
          </w:tcPr>
          <w:p w14:paraId="5E5090FD" w14:textId="77777777" w:rsidR="002025A8" w:rsidRPr="002025A8" w:rsidRDefault="00847F18" w:rsidP="001301E0">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Annual Time Burden</w:t>
            </w:r>
            <w:bookmarkStart w:id="1" w:name="_Ref493840875"/>
            <w:r w:rsidRPr="001301E0">
              <w:rPr>
                <w:rStyle w:val="FootnoteReference"/>
                <w:rFonts w:ascii="Times New Roman" w:eastAsia="Calibri" w:hAnsi="Times New Roman" w:cs="Times New Roman"/>
                <w:bCs/>
                <w:sz w:val="24"/>
                <w:szCs w:val="24"/>
                <w:vertAlign w:val="superscript"/>
              </w:rPr>
              <w:footnoteReference w:id="21"/>
            </w:r>
            <w:bookmarkEnd w:id="1"/>
          </w:p>
        </w:tc>
        <w:tc>
          <w:tcPr>
            <w:tcW w:w="1461" w:type="dxa"/>
            <w:tcBorders>
              <w:top w:val="single" w:sz="4" w:space="0" w:color="auto"/>
              <w:left w:val="single" w:sz="4" w:space="0" w:color="auto"/>
              <w:bottom w:val="single" w:sz="4" w:space="0" w:color="auto"/>
              <w:right w:val="single" w:sz="4" w:space="0" w:color="auto"/>
            </w:tcBorders>
            <w:vAlign w:val="bottom"/>
          </w:tcPr>
          <w:p w14:paraId="53D7250F" w14:textId="4C167EA1" w:rsidR="002025A8" w:rsidRPr="002025A8" w:rsidRDefault="0049317C"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32</w:t>
            </w:r>
          </w:p>
        </w:tc>
        <w:tc>
          <w:tcPr>
            <w:tcW w:w="1620" w:type="dxa"/>
            <w:tcBorders>
              <w:top w:val="single" w:sz="4" w:space="0" w:color="auto"/>
              <w:left w:val="single" w:sz="4" w:space="0" w:color="auto"/>
              <w:bottom w:val="single" w:sz="4" w:space="0" w:color="auto"/>
              <w:right w:val="single" w:sz="4" w:space="0" w:color="auto"/>
            </w:tcBorders>
            <w:vAlign w:val="bottom"/>
          </w:tcPr>
          <w:p w14:paraId="7FB5808B" w14:textId="26B607E8" w:rsidR="002025A8" w:rsidRPr="002025A8" w:rsidRDefault="00376367"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71115B5D"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41EAFD30" w14:textId="0A17CEC2" w:rsidR="002025A8" w:rsidRPr="002025A8" w:rsidRDefault="0049317C" w:rsidP="009508FC">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32</w:t>
            </w:r>
          </w:p>
        </w:tc>
      </w:tr>
      <w:tr w:rsidR="002025A8" w:rsidRPr="002025A8" w14:paraId="4C9773D7" w14:textId="77777777" w:rsidTr="00A41279">
        <w:trPr>
          <w:trHeight w:val="295"/>
        </w:trPr>
        <w:tc>
          <w:tcPr>
            <w:tcW w:w="2679" w:type="dxa"/>
            <w:tcBorders>
              <w:top w:val="single" w:sz="4" w:space="0" w:color="auto"/>
              <w:left w:val="single" w:sz="4" w:space="0" w:color="auto"/>
              <w:bottom w:val="single" w:sz="4" w:space="0" w:color="auto"/>
              <w:right w:val="single" w:sz="4" w:space="0" w:color="auto"/>
            </w:tcBorders>
            <w:hideMark/>
          </w:tcPr>
          <w:p w14:paraId="6EC37D03" w14:textId="77777777" w:rsidR="002025A8" w:rsidRPr="002025A8" w:rsidRDefault="002025A8" w:rsidP="001301E0">
            <w:pPr>
              <w:spacing w:after="0"/>
              <w:jc w:val="center"/>
              <w:rPr>
                <w:rFonts w:ascii="Times New Roman" w:eastAsia="Calibri" w:hAnsi="Times New Roman" w:cs="Times New Roman"/>
                <w:bCs/>
                <w:sz w:val="24"/>
                <w:szCs w:val="24"/>
              </w:rPr>
            </w:pPr>
            <w:r w:rsidRPr="002025A8">
              <w:rPr>
                <w:rFonts w:ascii="Times New Roman" w:eastAsia="Calibri" w:hAnsi="Times New Roman" w:cs="Times New Roman"/>
                <w:bCs/>
                <w:sz w:val="24"/>
                <w:szCs w:val="24"/>
              </w:rPr>
              <w:t>Annual Cost Burden ($)</w:t>
            </w:r>
          </w:p>
        </w:tc>
        <w:tc>
          <w:tcPr>
            <w:tcW w:w="1461" w:type="dxa"/>
            <w:tcBorders>
              <w:top w:val="single" w:sz="4" w:space="0" w:color="auto"/>
              <w:left w:val="single" w:sz="4" w:space="0" w:color="auto"/>
              <w:bottom w:val="single" w:sz="4" w:space="0" w:color="auto"/>
              <w:right w:val="single" w:sz="4" w:space="0" w:color="auto"/>
            </w:tcBorders>
            <w:vAlign w:val="bottom"/>
          </w:tcPr>
          <w:p w14:paraId="5C9FC3B7" w14:textId="0B952F54" w:rsidR="002025A8" w:rsidRPr="002025A8" w:rsidRDefault="0047703B"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620" w:type="dxa"/>
            <w:tcBorders>
              <w:top w:val="single" w:sz="4" w:space="0" w:color="auto"/>
              <w:left w:val="single" w:sz="4" w:space="0" w:color="auto"/>
              <w:bottom w:val="single" w:sz="4" w:space="0" w:color="auto"/>
              <w:right w:val="single" w:sz="4" w:space="0" w:color="auto"/>
            </w:tcBorders>
            <w:vAlign w:val="bottom"/>
          </w:tcPr>
          <w:p w14:paraId="78242569" w14:textId="7F1084D5" w:rsidR="002025A8" w:rsidRPr="002025A8" w:rsidRDefault="0047703B"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1DBC167F" w14:textId="77777777" w:rsidR="002025A8" w:rsidRPr="002025A8" w:rsidRDefault="00847F18"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$0</w:t>
            </w:r>
          </w:p>
        </w:tc>
        <w:tc>
          <w:tcPr>
            <w:tcW w:w="1800" w:type="dxa"/>
            <w:tcBorders>
              <w:top w:val="single" w:sz="4" w:space="0" w:color="auto"/>
              <w:left w:val="single" w:sz="4" w:space="0" w:color="auto"/>
              <w:bottom w:val="single" w:sz="4" w:space="0" w:color="auto"/>
              <w:right w:val="single" w:sz="4" w:space="0" w:color="auto"/>
            </w:tcBorders>
            <w:vAlign w:val="bottom"/>
          </w:tcPr>
          <w:p w14:paraId="53B7C899" w14:textId="77777777" w:rsidR="002025A8" w:rsidRPr="002025A8" w:rsidRDefault="007A560D" w:rsidP="00847F18">
            <w:pPr>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E616F0">
              <w:rPr>
                <w:rFonts w:ascii="Times New Roman" w:eastAsia="Calibri" w:hAnsi="Times New Roman" w:cs="Times New Roman"/>
                <w:bCs/>
                <w:sz w:val="24"/>
                <w:szCs w:val="24"/>
              </w:rPr>
              <w:t>0</w:t>
            </w:r>
          </w:p>
        </w:tc>
      </w:tr>
    </w:tbl>
    <w:p w14:paraId="6943EC46" w14:textId="77777777" w:rsidR="00275760" w:rsidRPr="00B51BB8" w:rsidRDefault="00275760" w:rsidP="002A4142">
      <w:pPr>
        <w:spacing w:line="240" w:lineRule="auto"/>
        <w:rPr>
          <w:rFonts w:ascii="Times New Roman" w:hAnsi="Times New Roman" w:cs="Times New Roman"/>
          <w:sz w:val="24"/>
          <w:szCs w:val="24"/>
        </w:rPr>
      </w:pPr>
    </w:p>
    <w:p w14:paraId="6DCC2C38"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TIME SCHEDULE FOR THE PUBLICATION OF DATA</w:t>
      </w:r>
    </w:p>
    <w:p w14:paraId="4CC944AC" w14:textId="77777777" w:rsidR="00C4205B" w:rsidRPr="00B51BB8" w:rsidRDefault="00C4205B" w:rsidP="00485D08">
      <w:pPr>
        <w:spacing w:after="0" w:line="240" w:lineRule="auto"/>
        <w:rPr>
          <w:rFonts w:ascii="Times New Roman" w:hAnsi="Times New Roman" w:cs="Times New Roman"/>
          <w:b/>
          <w:bCs/>
          <w:sz w:val="24"/>
          <w:szCs w:val="24"/>
        </w:rPr>
      </w:pPr>
    </w:p>
    <w:p w14:paraId="605C5CB7" w14:textId="77777777" w:rsidR="00042D80" w:rsidRPr="00B51BB8" w:rsidRDefault="004F3F84" w:rsidP="005768DB">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There are no tabulating, statistical or tabulating analysis or publication plans for the collection of information. </w:t>
      </w:r>
    </w:p>
    <w:p w14:paraId="525DB757" w14:textId="77777777" w:rsidR="00C4205B" w:rsidRPr="00B51BB8" w:rsidRDefault="00C4205B" w:rsidP="002A4142">
      <w:pPr>
        <w:spacing w:after="0" w:line="240" w:lineRule="auto"/>
        <w:rPr>
          <w:rFonts w:ascii="Times New Roman" w:hAnsi="Times New Roman" w:cs="Times New Roman"/>
          <w:sz w:val="24"/>
          <w:szCs w:val="24"/>
        </w:rPr>
      </w:pPr>
    </w:p>
    <w:p w14:paraId="704F5CCB"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DISPLAY OF THE EXPIRATION DATE</w:t>
      </w:r>
    </w:p>
    <w:p w14:paraId="2FA7CFEF" w14:textId="77777777" w:rsidR="00C4205B" w:rsidRPr="00B51BB8" w:rsidRDefault="00C4205B" w:rsidP="00485D08">
      <w:pPr>
        <w:spacing w:after="0" w:line="240" w:lineRule="auto"/>
        <w:rPr>
          <w:rFonts w:ascii="Times New Roman" w:hAnsi="Times New Roman" w:cs="Times New Roman"/>
          <w:b/>
          <w:bCs/>
          <w:sz w:val="24"/>
          <w:szCs w:val="24"/>
        </w:rPr>
      </w:pPr>
    </w:p>
    <w:p w14:paraId="53E0C4C9" w14:textId="77777777" w:rsidR="00C4205B" w:rsidRDefault="008D20D4" w:rsidP="00485D08">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 xml:space="preserve">The expiration date is displayed in a table posted on ferc.gov at </w:t>
      </w:r>
      <w:hyperlink r:id="rId14" w:history="1">
        <w:r w:rsidRPr="00B51BB8">
          <w:rPr>
            <w:rStyle w:val="Hyperlink"/>
            <w:rFonts w:ascii="Times New Roman" w:hAnsi="Times New Roman" w:cs="Times New Roman"/>
            <w:sz w:val="24"/>
            <w:szCs w:val="24"/>
          </w:rPr>
          <w:t>http://www.ferc.gov/docs-filing/info-collections.asp</w:t>
        </w:r>
      </w:hyperlink>
      <w:r w:rsidRPr="00B51BB8">
        <w:rPr>
          <w:rFonts w:ascii="Times New Roman" w:hAnsi="Times New Roman" w:cs="Times New Roman"/>
          <w:sz w:val="24"/>
          <w:szCs w:val="24"/>
        </w:rPr>
        <w:t>.</w:t>
      </w:r>
    </w:p>
    <w:p w14:paraId="70EA3F5D" w14:textId="77777777" w:rsidR="00774B70" w:rsidRPr="00B51BB8" w:rsidRDefault="00774B70" w:rsidP="00485D08">
      <w:pPr>
        <w:spacing w:after="0" w:line="240" w:lineRule="auto"/>
        <w:rPr>
          <w:rFonts w:ascii="Times New Roman" w:hAnsi="Times New Roman" w:cs="Times New Roman"/>
          <w:sz w:val="24"/>
          <w:szCs w:val="24"/>
        </w:rPr>
      </w:pPr>
    </w:p>
    <w:p w14:paraId="658DC5A6" w14:textId="77777777" w:rsidR="00C4205B" w:rsidRPr="00B51BB8" w:rsidRDefault="00C4205B" w:rsidP="007C39D3">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sidRPr="00B51BB8">
        <w:rPr>
          <w:rFonts w:ascii="Times New Roman" w:hAnsi="Times New Roman" w:cs="Times New Roman"/>
          <w:b/>
          <w:bCs/>
          <w:sz w:val="24"/>
          <w:szCs w:val="24"/>
        </w:rPr>
        <w:t>EXCEPTIONS TO THE CERTIFICATION STATEMENT</w:t>
      </w:r>
    </w:p>
    <w:p w14:paraId="0AE45CAE" w14:textId="77777777" w:rsidR="00C4205B" w:rsidRPr="00B51BB8" w:rsidRDefault="00C4205B" w:rsidP="00485D08">
      <w:pPr>
        <w:spacing w:after="0" w:line="240" w:lineRule="auto"/>
        <w:rPr>
          <w:rFonts w:ascii="Times New Roman" w:hAnsi="Times New Roman" w:cs="Times New Roman"/>
          <w:sz w:val="24"/>
          <w:szCs w:val="24"/>
        </w:rPr>
      </w:pPr>
    </w:p>
    <w:p w14:paraId="75C43DD9" w14:textId="77777777" w:rsidR="00D350A8" w:rsidRPr="007A560D" w:rsidRDefault="004F3F84" w:rsidP="007A560D">
      <w:pPr>
        <w:spacing w:after="0" w:line="240" w:lineRule="auto"/>
        <w:rPr>
          <w:rFonts w:ascii="Times New Roman" w:hAnsi="Times New Roman" w:cs="Times New Roman"/>
          <w:sz w:val="24"/>
          <w:szCs w:val="24"/>
        </w:rPr>
      </w:pPr>
      <w:r w:rsidRPr="00B51BB8">
        <w:rPr>
          <w:rFonts w:ascii="Times New Roman" w:hAnsi="Times New Roman" w:cs="Times New Roman"/>
          <w:sz w:val="24"/>
          <w:szCs w:val="24"/>
        </w:rPr>
        <w:t>The</w:t>
      </w:r>
      <w:r w:rsidR="009766A2" w:rsidRPr="00B51BB8">
        <w:rPr>
          <w:rFonts w:ascii="Times New Roman" w:hAnsi="Times New Roman" w:cs="Times New Roman"/>
          <w:sz w:val="24"/>
          <w:szCs w:val="24"/>
        </w:rPr>
        <w:t>re are no exceptions.</w:t>
      </w:r>
    </w:p>
    <w:sectPr w:rsidR="00D350A8" w:rsidRPr="007A560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B6876" w14:textId="77777777" w:rsidR="00CC366A" w:rsidRDefault="00CC366A" w:rsidP="00D350A8">
      <w:pPr>
        <w:spacing w:after="0" w:line="240" w:lineRule="auto"/>
      </w:pPr>
      <w:r>
        <w:separator/>
      </w:r>
    </w:p>
  </w:endnote>
  <w:endnote w:type="continuationSeparator" w:id="0">
    <w:p w14:paraId="3E07705B" w14:textId="77777777" w:rsidR="00CC366A" w:rsidRDefault="00CC366A" w:rsidP="00D350A8">
      <w:pPr>
        <w:spacing w:after="0" w:line="240" w:lineRule="auto"/>
      </w:pPr>
      <w:r>
        <w:continuationSeparator/>
      </w:r>
    </w:p>
  </w:endnote>
  <w:endnote w:type="continuationNotice" w:id="1">
    <w:p w14:paraId="22A391E7" w14:textId="77777777" w:rsidR="00CC366A" w:rsidRDefault="00CC3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793893"/>
      <w:docPartObj>
        <w:docPartGallery w:val="Page Numbers (Bottom of Page)"/>
        <w:docPartUnique/>
      </w:docPartObj>
    </w:sdtPr>
    <w:sdtEndPr>
      <w:rPr>
        <w:noProof/>
      </w:rPr>
    </w:sdtEndPr>
    <w:sdtContent>
      <w:p w14:paraId="07EB7F9D" w14:textId="77777777" w:rsidR="00C55457" w:rsidRDefault="00C55457">
        <w:pPr>
          <w:pStyle w:val="Footer"/>
          <w:jc w:val="right"/>
        </w:pPr>
        <w:r>
          <w:fldChar w:fldCharType="begin"/>
        </w:r>
        <w:r>
          <w:instrText xml:space="preserve"> PAGE   \* MERGEFORMAT </w:instrText>
        </w:r>
        <w:r>
          <w:fldChar w:fldCharType="separate"/>
        </w:r>
        <w:r w:rsidR="006D01FA">
          <w:rPr>
            <w:noProof/>
          </w:rPr>
          <w:t>1</w:t>
        </w:r>
        <w:r>
          <w:rPr>
            <w:noProof/>
          </w:rPr>
          <w:fldChar w:fldCharType="end"/>
        </w:r>
      </w:p>
    </w:sdtContent>
  </w:sdt>
  <w:p w14:paraId="708B6AC5" w14:textId="77777777" w:rsidR="00C55457" w:rsidRDefault="00C55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3DA61" w14:textId="77777777" w:rsidR="00CC366A" w:rsidRDefault="00CC366A" w:rsidP="00D350A8">
      <w:pPr>
        <w:spacing w:after="0" w:line="240" w:lineRule="auto"/>
      </w:pPr>
      <w:r>
        <w:separator/>
      </w:r>
    </w:p>
  </w:footnote>
  <w:footnote w:type="continuationSeparator" w:id="0">
    <w:p w14:paraId="3DFC2F18" w14:textId="77777777" w:rsidR="00CC366A" w:rsidRDefault="00CC366A" w:rsidP="00D350A8">
      <w:pPr>
        <w:spacing w:after="0" w:line="240" w:lineRule="auto"/>
      </w:pPr>
      <w:r>
        <w:continuationSeparator/>
      </w:r>
    </w:p>
  </w:footnote>
  <w:footnote w:type="continuationNotice" w:id="1">
    <w:p w14:paraId="4993A974" w14:textId="77777777" w:rsidR="00CC366A" w:rsidRDefault="00CC366A">
      <w:pPr>
        <w:spacing w:after="0" w:line="240" w:lineRule="auto"/>
      </w:pPr>
    </w:p>
  </w:footnote>
  <w:footnote w:id="2">
    <w:p w14:paraId="68B3BAEB" w14:textId="0FFEC132" w:rsidR="00C55457" w:rsidRPr="00755F95" w:rsidRDefault="00C55457">
      <w:pPr>
        <w:pStyle w:val="FootnoteText"/>
      </w:pPr>
      <w:r w:rsidRPr="00755F95">
        <w:rPr>
          <w:rStyle w:val="FootnoteReference"/>
        </w:rPr>
        <w:footnoteRef/>
      </w:r>
      <w:r w:rsidRPr="00755F95">
        <w:t xml:space="preserve"> </w:t>
      </w:r>
      <w:r w:rsidR="003D6E36" w:rsidRPr="00755F95">
        <w:t>The order (issued 10/16/2017</w:t>
      </w:r>
      <w:r w:rsidRPr="00755F95">
        <w:t xml:space="preserve">) is available in FERC’s eLibrary system at </w:t>
      </w:r>
      <w:hyperlink r:id="rId1" w:history="1">
        <w:r w:rsidR="003D6E36" w:rsidRPr="00755F95">
          <w:rPr>
            <w:rStyle w:val="Hyperlink"/>
          </w:rPr>
          <w:t>https://elibrary-backup.ferc.gov/idmws/common/OpenNat.asp?fileID=14711316</w:t>
        </w:r>
      </w:hyperlink>
      <w:r w:rsidRPr="00755F95">
        <w:t>.</w:t>
      </w:r>
    </w:p>
  </w:footnote>
  <w:footnote w:id="3">
    <w:p w14:paraId="0FA86408" w14:textId="77777777" w:rsidR="008B0895" w:rsidRPr="00755F95" w:rsidRDefault="008B0895" w:rsidP="008B0895">
      <w:pPr>
        <w:pStyle w:val="FootnoteText"/>
      </w:pPr>
      <w:r w:rsidRPr="00755F95">
        <w:rPr>
          <w:rStyle w:val="FootnoteReference"/>
        </w:rPr>
        <w:footnoteRef/>
      </w:r>
      <w:r w:rsidRPr="00755F95">
        <w:t xml:space="preserve"> 16 U.S.C. 824o. </w:t>
      </w:r>
    </w:p>
  </w:footnote>
  <w:footnote w:id="4">
    <w:p w14:paraId="52040536" w14:textId="77777777" w:rsidR="008B0895" w:rsidRPr="00755F95" w:rsidRDefault="008B0895" w:rsidP="008B0895">
      <w:pPr>
        <w:pStyle w:val="FootnoteText"/>
      </w:pPr>
      <w:r w:rsidRPr="00755F95">
        <w:rPr>
          <w:rStyle w:val="FootnoteReference"/>
        </w:rPr>
        <w:footnoteRef/>
      </w:r>
      <w:r w:rsidRPr="00755F95">
        <w:t xml:space="preserve"> </w:t>
      </w:r>
      <w:r w:rsidRPr="00755F95">
        <w:rPr>
          <w:i/>
          <w:iCs/>
        </w:rPr>
        <w:t>North American Electric Reliability Corp.</w:t>
      </w:r>
      <w:r w:rsidRPr="00755F95">
        <w:t xml:space="preserve">, 116 FERC ¶ 61,062, </w:t>
      </w:r>
      <w:r w:rsidRPr="00755F95">
        <w:rPr>
          <w:i/>
          <w:iCs/>
        </w:rPr>
        <w:t>order on reh’g &amp; compliance</w:t>
      </w:r>
      <w:r w:rsidRPr="00755F95">
        <w:t xml:space="preserve">, 117 FERC ¶ 61,126 (2006), </w:t>
      </w:r>
      <w:r w:rsidRPr="00755F95">
        <w:rPr>
          <w:i/>
        </w:rPr>
        <w:t xml:space="preserve">aff’d </w:t>
      </w:r>
      <w:r w:rsidRPr="00755F95">
        <w:rPr>
          <w:i/>
          <w:iCs/>
        </w:rPr>
        <w:t>sub nom. Alcoa, Inc. v. FERC</w:t>
      </w:r>
      <w:r w:rsidRPr="00755F95">
        <w:t xml:space="preserve">, 564 F.3d 1342 (D.C. Cir. 2009).  </w:t>
      </w:r>
    </w:p>
  </w:footnote>
  <w:footnote w:id="5">
    <w:p w14:paraId="41428B50" w14:textId="666B7C40" w:rsidR="00300774" w:rsidRPr="00755F95" w:rsidRDefault="00300774">
      <w:pPr>
        <w:pStyle w:val="FootnoteText"/>
      </w:pPr>
      <w:r w:rsidRPr="00755F95">
        <w:rPr>
          <w:rStyle w:val="FootnoteReference"/>
        </w:rPr>
        <w:footnoteRef/>
      </w:r>
      <w:r w:rsidRPr="00755F95">
        <w:t xml:space="preserve"> 16 USC 824o(e)(4)</w:t>
      </w:r>
    </w:p>
  </w:footnote>
  <w:footnote w:id="6">
    <w:p w14:paraId="015A34FB" w14:textId="17912117" w:rsidR="00B60700" w:rsidRDefault="00B60700">
      <w:pPr>
        <w:pStyle w:val="FootnoteText"/>
      </w:pPr>
      <w:r>
        <w:rPr>
          <w:rStyle w:val="FootnoteReference"/>
        </w:rPr>
        <w:footnoteRef/>
      </w:r>
      <w:r>
        <w:t xml:space="preserve"> This reporting burden was approved by FERC Order No. 747 (Docket No. RM10-10, issued 3/17/2017).</w:t>
      </w:r>
    </w:p>
  </w:footnote>
  <w:footnote w:id="7">
    <w:p w14:paraId="06137977" w14:textId="45396DBB" w:rsidR="009070DA" w:rsidRDefault="009070DA">
      <w:pPr>
        <w:pStyle w:val="FootnoteText"/>
      </w:pPr>
      <w:r>
        <w:rPr>
          <w:rStyle w:val="FootnoteReference"/>
        </w:rPr>
        <w:footnoteRef/>
      </w:r>
      <w:r>
        <w:t xml:space="preserve"> ICR No. 201103-1902-003.</w:t>
      </w:r>
    </w:p>
  </w:footnote>
  <w:footnote w:id="8">
    <w:p w14:paraId="2C038893" w14:textId="58509FE5" w:rsidR="00433F6B" w:rsidRPr="00755F95" w:rsidRDefault="00433F6B">
      <w:pPr>
        <w:pStyle w:val="FootnoteText"/>
      </w:pPr>
      <w:r w:rsidRPr="00755F95">
        <w:rPr>
          <w:rStyle w:val="FootnoteReference"/>
        </w:rPr>
        <w:footnoteRef/>
      </w:r>
      <w:r w:rsidRPr="00755F95">
        <w:t xml:space="preserve"> </w:t>
      </w:r>
      <w:r w:rsidR="000579B2">
        <w:t>As mentioned in the previous paragraph, b</w:t>
      </w:r>
      <w:r w:rsidRPr="00755F95">
        <w:t>urden associated with BAL-502-RF-02 Reliability Standard was once contained in FERC-725H information collection (OMB Control No. 1902-0256).  FERC-725H was discontinued on 3/6/2014.  However, the requirements of BAL-502-RF-02 were still imposed on NERC entities.  Those requirements are now being retired with no removal of burden (any associated burden was removed concurrent with the discontinuance).</w:t>
      </w:r>
    </w:p>
  </w:footnote>
  <w:footnote w:id="9">
    <w:p w14:paraId="3079B1E4" w14:textId="77777777" w:rsidR="00A47768" w:rsidRPr="00755F95" w:rsidRDefault="00690A6F" w:rsidP="00A47768">
      <w:pPr>
        <w:autoSpaceDE w:val="0"/>
        <w:autoSpaceDN w:val="0"/>
        <w:adjustRightInd w:val="0"/>
        <w:spacing w:after="0" w:line="240" w:lineRule="auto"/>
        <w:rPr>
          <w:rFonts w:ascii="Times New Roman" w:hAnsi="Times New Roman" w:cs="Times New Roman"/>
          <w:sz w:val="20"/>
          <w:szCs w:val="20"/>
        </w:rPr>
      </w:pPr>
      <w:r w:rsidRPr="00755F95">
        <w:rPr>
          <w:rStyle w:val="FootnoteReference"/>
          <w:rFonts w:ascii="Times New Roman" w:hAnsi="Times New Roman" w:cs="Times New Roman"/>
          <w:sz w:val="20"/>
          <w:szCs w:val="20"/>
        </w:rPr>
        <w:footnoteRef/>
      </w:r>
      <w:r w:rsidRPr="00755F95">
        <w:rPr>
          <w:rFonts w:ascii="Times New Roman" w:hAnsi="Times New Roman" w:cs="Times New Roman"/>
          <w:sz w:val="20"/>
          <w:szCs w:val="20"/>
        </w:rPr>
        <w:t xml:space="preserve"> </w:t>
      </w:r>
      <w:r w:rsidR="00A47768" w:rsidRPr="00755F95">
        <w:rPr>
          <w:rFonts w:ascii="Times New Roman" w:hAnsi="Times New Roman" w:cs="Times New Roman"/>
          <w:sz w:val="20"/>
          <w:szCs w:val="20"/>
        </w:rPr>
        <w:t xml:space="preserve">Order No. 747, </w:t>
      </w:r>
      <w:r w:rsidR="00A47768" w:rsidRPr="00755F95">
        <w:rPr>
          <w:rFonts w:ascii="Times New Roman" w:hAnsi="Times New Roman" w:cs="Times New Roman"/>
          <w:i/>
          <w:iCs/>
          <w:sz w:val="20"/>
          <w:szCs w:val="20"/>
        </w:rPr>
        <w:t>Planning Resource Adequacy Assessment Reliability Standard</w:t>
      </w:r>
      <w:r w:rsidR="00A47768" w:rsidRPr="00755F95">
        <w:rPr>
          <w:rFonts w:ascii="Times New Roman" w:hAnsi="Times New Roman" w:cs="Times New Roman"/>
          <w:sz w:val="20"/>
          <w:szCs w:val="20"/>
        </w:rPr>
        <w:t>, 134 FERC ¶ 61,212, at P 25</w:t>
      </w:r>
    </w:p>
    <w:p w14:paraId="47AA54AA" w14:textId="77777777" w:rsidR="00690A6F" w:rsidRPr="00755F95" w:rsidRDefault="00A47768" w:rsidP="00A47768">
      <w:pPr>
        <w:pStyle w:val="FootnoteText"/>
      </w:pPr>
      <w:r w:rsidRPr="00755F95">
        <w:t xml:space="preserve"> (2011) (“Order No. 747”).</w:t>
      </w:r>
    </w:p>
  </w:footnote>
  <w:footnote w:id="10">
    <w:p w14:paraId="54101E84" w14:textId="36A71AC3" w:rsidR="0074262F" w:rsidRPr="00755F95" w:rsidRDefault="0074262F" w:rsidP="0074262F">
      <w:pPr>
        <w:pStyle w:val="FootnoteText"/>
      </w:pPr>
      <w:r w:rsidRPr="00755F95">
        <w:rPr>
          <w:rStyle w:val="FootnoteReference"/>
        </w:rPr>
        <w:footnoteRef/>
      </w:r>
      <w:r w:rsidRPr="00755F95">
        <w:t xml:space="preserve"> 82 FR 53489</w:t>
      </w:r>
    </w:p>
  </w:footnote>
  <w:footnote w:id="11">
    <w:p w14:paraId="096F888C" w14:textId="13F0CD90" w:rsidR="0074262F" w:rsidRPr="00755F95" w:rsidRDefault="0074262F" w:rsidP="0074262F">
      <w:pPr>
        <w:pStyle w:val="FootnoteText"/>
      </w:pPr>
      <w:r w:rsidRPr="00755F95">
        <w:rPr>
          <w:rStyle w:val="FootnoteReference"/>
        </w:rPr>
        <w:footnoteRef/>
      </w:r>
      <w:r w:rsidRPr="00755F95">
        <w:t xml:space="preserve"> 83 FR 5420</w:t>
      </w:r>
    </w:p>
  </w:footnote>
  <w:footnote w:id="12">
    <w:p w14:paraId="2BEC247E" w14:textId="1ED9EABF" w:rsidR="0076490D" w:rsidRPr="00755F95" w:rsidRDefault="0076490D" w:rsidP="0076490D">
      <w:pPr>
        <w:pStyle w:val="FootnoteText"/>
      </w:pPr>
      <w:r w:rsidRPr="00755F95">
        <w:rPr>
          <w:rStyle w:val="FootnoteReference"/>
        </w:rPr>
        <w:footnoteRef/>
      </w:r>
      <w:r w:rsidRPr="00755F95">
        <w:t xml:space="preserve"> The issued order can be found </w:t>
      </w:r>
      <w:r w:rsidR="00872AB5" w:rsidRPr="00755F95">
        <w:t>at the following hyperlink</w:t>
      </w:r>
      <w:r w:rsidRPr="00755F95">
        <w:t xml:space="preserve">: </w:t>
      </w:r>
      <w:hyperlink r:id="rId2" w:history="1">
        <w:r w:rsidRPr="00755F95">
          <w:rPr>
            <w:rStyle w:val="Hyperlink"/>
          </w:rPr>
          <w:t>https://elibrary-backup.ferc.gov/idmws/common/OpenNat.asp?fileID=14711316</w:t>
        </w:r>
      </w:hyperlink>
      <w:r w:rsidRPr="00755F95">
        <w:t>.</w:t>
      </w:r>
    </w:p>
  </w:footnote>
  <w:footnote w:id="13">
    <w:p w14:paraId="7F71BE54" w14:textId="77777777" w:rsidR="00C55457" w:rsidRPr="00755F95" w:rsidRDefault="00C55457" w:rsidP="00F14924">
      <w:pPr>
        <w:pStyle w:val="FootnoteText"/>
      </w:pPr>
      <w:r w:rsidRPr="00755F95">
        <w:rPr>
          <w:rStyle w:val="FootnoteReference"/>
        </w:rPr>
        <w:footnoteRef/>
      </w:r>
      <w:r w:rsidRPr="00755F95">
        <w:t xml:space="preserve"> Section 1502, Paragraph 2, available at NERCs website</w:t>
      </w:r>
    </w:p>
  </w:footnote>
  <w:footnote w:id="14">
    <w:p w14:paraId="757E0275" w14:textId="77777777" w:rsidR="00141F3F" w:rsidRPr="00755F95" w:rsidRDefault="00141F3F">
      <w:pPr>
        <w:pStyle w:val="FootnoteText"/>
      </w:pPr>
      <w:r w:rsidRPr="00755F95">
        <w:rPr>
          <w:rStyle w:val="FootnoteReference"/>
        </w:rPr>
        <w:footnoteRef/>
      </w:r>
      <w:r w:rsidRPr="00755F95">
        <w:t xml:space="preserve"> The burden associated with recordkeeping as imposed by BAL-502-RF-03 is </w:t>
      </w:r>
      <w:r w:rsidR="00C339E0" w:rsidRPr="00755F95">
        <w:t>minimal and is included in the reporting burden estimate.</w:t>
      </w:r>
    </w:p>
  </w:footnote>
  <w:footnote w:id="15">
    <w:p w14:paraId="7B37EDC6" w14:textId="77777777" w:rsidR="00141F3F" w:rsidRPr="00755F95" w:rsidRDefault="00141F3F" w:rsidP="00141F3F">
      <w:pPr>
        <w:pStyle w:val="FootnoteText"/>
      </w:pPr>
      <w:r w:rsidRPr="00755F95">
        <w:rPr>
          <w:rStyle w:val="FootnoteReference"/>
        </w:rPr>
        <w:footnoteRef/>
      </w:r>
      <w:r w:rsidRPr="00755F95">
        <w:t xml:space="preserve"> For BAL-502-RF-03, the hourly cost (for salary plus benefits) uses the figures from the Bureau of Labor Statistics for three positions involved in the reporting and recordkeeping requirements.  These figures include salary (</w:t>
      </w:r>
      <w:hyperlink r:id="rId3" w:history="1">
        <w:r w:rsidRPr="00755F95">
          <w:rPr>
            <w:rStyle w:val="Hyperlink"/>
          </w:rPr>
          <w:t>http://bls.gov/oes/current/naics2_22.htm</w:t>
        </w:r>
      </w:hyperlink>
      <w:r w:rsidRPr="00755F95">
        <w:t>) and benefits (</w:t>
      </w:r>
      <w:hyperlink r:id="rId4" w:history="1">
        <w:r w:rsidRPr="00755F95">
          <w:rPr>
            <w:rStyle w:val="Hyperlink"/>
          </w:rPr>
          <w:t>http://www.bls.gov/news.release/ecec.nr0.htm</w:t>
        </w:r>
      </w:hyperlink>
      <w:r w:rsidRPr="00755F95">
        <w:t>) and are:</w:t>
      </w:r>
    </w:p>
    <w:p w14:paraId="2BA9BCF7" w14:textId="77777777" w:rsidR="00141F3F" w:rsidRPr="00755F95" w:rsidRDefault="00141F3F" w:rsidP="00141F3F">
      <w:pPr>
        <w:pStyle w:val="FootnoteText"/>
        <w:widowControl/>
        <w:numPr>
          <w:ilvl w:val="0"/>
          <w:numId w:val="8"/>
        </w:numPr>
        <w:autoSpaceDE/>
        <w:autoSpaceDN/>
        <w:adjustRightInd/>
        <w:ind w:left="0" w:firstLine="0"/>
      </w:pPr>
      <w:r w:rsidRPr="00755F95">
        <w:t>Manager (Occupation Code 11-0000): $81.52/hour</w:t>
      </w:r>
    </w:p>
    <w:p w14:paraId="29C32945" w14:textId="77777777" w:rsidR="00141F3F" w:rsidRPr="00755F95" w:rsidRDefault="00141F3F" w:rsidP="00141F3F">
      <w:pPr>
        <w:pStyle w:val="FootnoteText"/>
        <w:widowControl/>
        <w:numPr>
          <w:ilvl w:val="0"/>
          <w:numId w:val="8"/>
        </w:numPr>
        <w:autoSpaceDE/>
        <w:autoSpaceDN/>
        <w:adjustRightInd/>
        <w:ind w:left="0" w:firstLine="0"/>
      </w:pPr>
      <w:r w:rsidRPr="00755F95">
        <w:t>Engineer (Occupation Code 17-2071): $68.12/hour</w:t>
      </w:r>
    </w:p>
    <w:p w14:paraId="3F13183B" w14:textId="77777777" w:rsidR="00141F3F" w:rsidRPr="00755F95" w:rsidRDefault="00141F3F" w:rsidP="00141F3F">
      <w:pPr>
        <w:pStyle w:val="FootnoteText"/>
        <w:widowControl/>
        <w:numPr>
          <w:ilvl w:val="0"/>
          <w:numId w:val="8"/>
        </w:numPr>
        <w:autoSpaceDE/>
        <w:autoSpaceDN/>
        <w:adjustRightInd/>
        <w:ind w:left="0" w:firstLine="0"/>
      </w:pPr>
      <w:r w:rsidRPr="00755F95">
        <w:t>File Clerk (Occupation Code 43-4071): $32.74/hour</w:t>
      </w:r>
    </w:p>
    <w:p w14:paraId="5A9552F1" w14:textId="77777777" w:rsidR="00141F3F" w:rsidRPr="00755F95" w:rsidRDefault="00141F3F" w:rsidP="00141F3F">
      <w:pPr>
        <w:pStyle w:val="FootnoteText"/>
      </w:pPr>
      <w:r w:rsidRPr="00755F95">
        <w:t>The hourly cost for the reporting requirements ($60.79) is an average of the cost of a manager, an engineer, and a file clerk.</w:t>
      </w:r>
    </w:p>
  </w:footnote>
  <w:footnote w:id="16">
    <w:p w14:paraId="400E844C" w14:textId="77777777" w:rsidR="0076490D" w:rsidRPr="00755F95" w:rsidRDefault="0076490D" w:rsidP="0076490D">
      <w:pPr>
        <w:pStyle w:val="FootnoteText"/>
      </w:pPr>
      <w:r w:rsidRPr="00755F95">
        <w:rPr>
          <w:rStyle w:val="FootnoteReference"/>
        </w:rPr>
        <w:footnoteRef/>
      </w:r>
      <w:r w:rsidRPr="00755F95">
        <w:t xml:space="preserve"> The number of respondents is derived from the NERC Compliance Registry as of October 2, 2017 for the burden associated with the proposed regional Reliability Standard BAL-502-RF-03.</w:t>
      </w:r>
    </w:p>
  </w:footnote>
  <w:footnote w:id="17">
    <w:p w14:paraId="75ED5F73" w14:textId="2AF0E45A" w:rsidR="00F34A7A" w:rsidRPr="00755F95" w:rsidRDefault="00F34A7A">
      <w:pPr>
        <w:pStyle w:val="FootnoteText"/>
      </w:pPr>
      <w:r w:rsidRPr="00755F95">
        <w:rPr>
          <w:rStyle w:val="FootnoteReference"/>
        </w:rPr>
        <w:footnoteRef/>
      </w:r>
      <w:r w:rsidRPr="00755F95">
        <w:t xml:space="preserve"> The SCRM, per Reliability Standard CIP-013-1, must be updated once per 15 months.  For OMB submission purposes, </w:t>
      </w:r>
      <w:r w:rsidR="0075669D" w:rsidRPr="00755F95">
        <w:t xml:space="preserve">FERC staff is using </w:t>
      </w:r>
      <w:r w:rsidRPr="00755F95">
        <w:t>the update frequency on a</w:t>
      </w:r>
      <w:r w:rsidR="0099517B" w:rsidRPr="00755F95">
        <w:t>n annual (i.e. 12-month) basis.</w:t>
      </w:r>
    </w:p>
  </w:footnote>
  <w:footnote w:id="18">
    <w:p w14:paraId="6080B012" w14:textId="77777777" w:rsidR="00872AB5" w:rsidRPr="00755F95" w:rsidRDefault="00872AB5">
      <w:pPr>
        <w:pStyle w:val="FootnoteText"/>
      </w:pPr>
      <w:r w:rsidRPr="00755F95">
        <w:rPr>
          <w:rStyle w:val="FootnoteReference"/>
        </w:rPr>
        <w:footnoteRef/>
      </w:r>
      <w:r w:rsidRPr="00755F95">
        <w:t xml:space="preserve"> </w:t>
      </w:r>
      <w:r w:rsidR="00141F3F" w:rsidRPr="00755F95">
        <w:t>Inactive as of</w:t>
      </w:r>
      <w:r w:rsidRPr="00755F95">
        <w:t xml:space="preserve"> 12/31/2017.</w:t>
      </w:r>
    </w:p>
  </w:footnote>
  <w:footnote w:id="19">
    <w:p w14:paraId="43EF9EEC" w14:textId="77777777" w:rsidR="00141F3F" w:rsidRPr="00755F95" w:rsidRDefault="00141F3F">
      <w:pPr>
        <w:pStyle w:val="FootnoteText"/>
      </w:pPr>
      <w:r w:rsidRPr="00755F95">
        <w:rPr>
          <w:rStyle w:val="FootnoteReference"/>
        </w:rPr>
        <w:footnoteRef/>
      </w:r>
      <w:r w:rsidRPr="00755F95">
        <w:t xml:space="preserve"> Final Rule issued on 3/17/2011 (</w:t>
      </w:r>
      <w:hyperlink r:id="rId5" w:history="1">
        <w:r w:rsidRPr="00755F95">
          <w:rPr>
            <w:rStyle w:val="Hyperlink"/>
          </w:rPr>
          <w:t>https://elibrary-backup.ferc.gov/idmws/common/OpenNat.asp?fileID=12589954</w:t>
        </w:r>
      </w:hyperlink>
      <w:r w:rsidRPr="00755F95">
        <w:t>).</w:t>
      </w:r>
    </w:p>
  </w:footnote>
  <w:footnote w:id="20">
    <w:p w14:paraId="5AB08B4A" w14:textId="77777777" w:rsidR="002468F9" w:rsidRPr="00755F95" w:rsidRDefault="002468F9" w:rsidP="005E0F8E">
      <w:pPr>
        <w:autoSpaceDE w:val="0"/>
        <w:autoSpaceDN w:val="0"/>
        <w:adjustRightInd w:val="0"/>
        <w:spacing w:after="0" w:line="240" w:lineRule="auto"/>
        <w:rPr>
          <w:rFonts w:ascii="Times New Roman" w:hAnsi="Times New Roman" w:cs="Times New Roman"/>
          <w:sz w:val="20"/>
          <w:szCs w:val="20"/>
        </w:rPr>
      </w:pPr>
      <w:r w:rsidRPr="00755F95">
        <w:rPr>
          <w:rStyle w:val="FootnoteReference"/>
          <w:rFonts w:ascii="Times New Roman" w:hAnsi="Times New Roman" w:cs="Times New Roman"/>
          <w:sz w:val="20"/>
          <w:szCs w:val="20"/>
        </w:rPr>
        <w:footnoteRef/>
      </w:r>
      <w:r w:rsidRPr="00755F95">
        <w:rPr>
          <w:rFonts w:ascii="Times New Roman" w:hAnsi="Times New Roman" w:cs="Times New Roman"/>
          <w:sz w:val="20"/>
          <w:szCs w:val="20"/>
        </w:rPr>
        <w:t xml:space="preserve"> Order No. 747</w:t>
      </w:r>
      <w:r w:rsidR="00D13526" w:rsidRPr="00755F95">
        <w:rPr>
          <w:rFonts w:ascii="Times New Roman" w:hAnsi="Times New Roman" w:cs="Times New Roman"/>
          <w:sz w:val="20"/>
          <w:szCs w:val="20"/>
        </w:rPr>
        <w:t xml:space="preserve"> </w:t>
      </w:r>
      <w:r w:rsidRPr="00755F95">
        <w:rPr>
          <w:rFonts w:ascii="Times New Roman" w:hAnsi="Times New Roman" w:cs="Times New Roman"/>
          <w:sz w:val="20"/>
          <w:szCs w:val="20"/>
        </w:rPr>
        <w:t xml:space="preserve">at </w:t>
      </w:r>
      <w:r w:rsidR="00F15DCC" w:rsidRPr="00755F95">
        <w:rPr>
          <w:rFonts w:ascii="Times New Roman" w:hAnsi="Times New Roman" w:cs="Times New Roman"/>
          <w:sz w:val="20"/>
          <w:szCs w:val="20"/>
        </w:rPr>
        <w:t>pages</w:t>
      </w:r>
      <w:r w:rsidR="00D13526" w:rsidRPr="00755F95">
        <w:rPr>
          <w:rFonts w:ascii="Times New Roman" w:hAnsi="Times New Roman" w:cs="Times New Roman"/>
          <w:sz w:val="20"/>
          <w:szCs w:val="20"/>
        </w:rPr>
        <w:t xml:space="preserve"> </w:t>
      </w:r>
      <w:r w:rsidRPr="00755F95">
        <w:rPr>
          <w:rFonts w:ascii="Times New Roman" w:hAnsi="Times New Roman" w:cs="Times New Roman"/>
          <w:sz w:val="20"/>
          <w:szCs w:val="20"/>
        </w:rPr>
        <w:t>53, 65</w:t>
      </w:r>
      <w:r w:rsidR="00D13526" w:rsidRPr="00755F95">
        <w:rPr>
          <w:rFonts w:ascii="Times New Roman" w:hAnsi="Times New Roman" w:cs="Times New Roman"/>
          <w:sz w:val="20"/>
          <w:szCs w:val="20"/>
        </w:rPr>
        <w:t>.</w:t>
      </w:r>
    </w:p>
  </w:footnote>
  <w:footnote w:id="21">
    <w:p w14:paraId="1396EFF4" w14:textId="77777777" w:rsidR="00C55457" w:rsidRPr="006D68D9" w:rsidRDefault="00C55457">
      <w:pPr>
        <w:pStyle w:val="FootnoteText"/>
      </w:pPr>
      <w:r w:rsidRPr="00755F95">
        <w:rPr>
          <w:rStyle w:val="FootnoteReference"/>
        </w:rPr>
        <w:footnoteRef/>
      </w:r>
      <w:r w:rsidRPr="00755F95">
        <w:t xml:space="preserve"> The units of measurement applied to “annual time burden” are hours.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C44C" w14:textId="0708C046" w:rsidR="00C55457" w:rsidRPr="00B51BB8" w:rsidRDefault="00E775D1" w:rsidP="002A4142">
    <w:pPr>
      <w:tabs>
        <w:tab w:val="right" w:pos="10080"/>
      </w:tabs>
      <w:spacing w:after="0" w:line="240" w:lineRule="auto"/>
      <w:rPr>
        <w:rFonts w:ascii="Times New Roman" w:hAnsi="Times New Roman" w:cs="Times New Roman"/>
        <w:sz w:val="24"/>
        <w:szCs w:val="24"/>
      </w:rPr>
    </w:pPr>
    <w:r>
      <w:rPr>
        <w:rFonts w:ascii="Times New Roman" w:hAnsi="Times New Roman" w:cs="Times New Roman"/>
        <w:sz w:val="24"/>
        <w:szCs w:val="24"/>
      </w:rPr>
      <w:t>FERC-725HH</w:t>
    </w:r>
    <w:r w:rsidR="00376367">
      <w:rPr>
        <w:rFonts w:ascii="Times New Roman" w:hAnsi="Times New Roman" w:cs="Times New Roman"/>
        <w:sz w:val="24"/>
        <w:szCs w:val="24"/>
      </w:rPr>
      <w:t xml:space="preserve"> (OMB Control No. TBD</w:t>
    </w:r>
    <w:r w:rsidR="00C55457" w:rsidRPr="00B51BB8">
      <w:rPr>
        <w:rFonts w:ascii="Times New Roman" w:hAnsi="Times New Roman" w:cs="Times New Roman"/>
        <w:sz w:val="24"/>
        <w:szCs w:val="24"/>
      </w:rPr>
      <w:t xml:space="preserve">) </w:t>
    </w:r>
  </w:p>
  <w:p w14:paraId="0A74E067" w14:textId="1F9CA220" w:rsidR="00C55457" w:rsidRDefault="003D6E36" w:rsidP="002A4142">
    <w:pPr>
      <w:pStyle w:val="Header"/>
      <w:rPr>
        <w:rFonts w:ascii="Times New Roman" w:hAnsi="Times New Roman" w:cs="Times New Roman"/>
        <w:bCs/>
        <w:sz w:val="24"/>
        <w:szCs w:val="24"/>
      </w:rPr>
    </w:pPr>
    <w:r>
      <w:rPr>
        <w:rFonts w:ascii="Times New Roman" w:hAnsi="Times New Roman" w:cs="Times New Roman"/>
        <w:bCs/>
        <w:sz w:val="24"/>
        <w:szCs w:val="24"/>
      </w:rPr>
      <w:t>Order</w:t>
    </w:r>
    <w:r w:rsidR="00B50C45">
      <w:rPr>
        <w:rFonts w:ascii="Times New Roman" w:hAnsi="Times New Roman" w:cs="Times New Roman"/>
        <w:bCs/>
        <w:sz w:val="24"/>
        <w:szCs w:val="24"/>
      </w:rPr>
      <w:t xml:space="preserve"> (</w:t>
    </w:r>
    <w:r w:rsidR="00C55457" w:rsidRPr="00B51BB8">
      <w:rPr>
        <w:rFonts w:ascii="Times New Roman" w:hAnsi="Times New Roman" w:cs="Times New Roman"/>
        <w:bCs/>
        <w:sz w:val="24"/>
        <w:szCs w:val="24"/>
      </w:rPr>
      <w:t>iss</w:t>
    </w:r>
    <w:r>
      <w:rPr>
        <w:rFonts w:ascii="Times New Roman" w:hAnsi="Times New Roman" w:cs="Times New Roman"/>
        <w:bCs/>
        <w:sz w:val="24"/>
        <w:szCs w:val="24"/>
      </w:rPr>
      <w:t>ued 10/16/2017) in Docket RD17-8</w:t>
    </w:r>
    <w:r w:rsidR="00C55457">
      <w:rPr>
        <w:rFonts w:ascii="Times New Roman" w:hAnsi="Times New Roman" w:cs="Times New Roman"/>
        <w:bCs/>
        <w:sz w:val="24"/>
        <w:szCs w:val="24"/>
      </w:rPr>
      <w:t>-000</w:t>
    </w:r>
  </w:p>
  <w:p w14:paraId="40D18032" w14:textId="77777777" w:rsidR="00C55457" w:rsidRPr="00B51BB8" w:rsidRDefault="00C55457" w:rsidP="002A4142">
    <w:pPr>
      <w:pStyle w:val="Header"/>
      <w:rPr>
        <w:rFonts w:ascii="Times New Roman" w:hAnsi="Times New Roman" w:cs="Times New Roman"/>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578"/>
    <w:multiLevelType w:val="hybridMultilevel"/>
    <w:tmpl w:val="3D94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61F65"/>
    <w:multiLevelType w:val="hybridMultilevel"/>
    <w:tmpl w:val="57BE72F6"/>
    <w:lvl w:ilvl="0" w:tplc="D0FE2956">
      <w:start w:val="1"/>
      <w:numFmt w:val="decimal"/>
      <w:lvlText w:val="%1."/>
      <w:lvlJc w:val="left"/>
      <w:pPr>
        <w:tabs>
          <w:tab w:val="num" w:pos="360"/>
        </w:tabs>
        <w:ind w:left="360" w:hanging="360"/>
      </w:pPr>
      <w:rPr>
        <w:b w:val="0"/>
        <w:sz w:val="26"/>
        <w:szCs w:val="26"/>
      </w:rPr>
    </w:lvl>
    <w:lvl w:ilvl="1" w:tplc="04090001">
      <w:start w:val="1"/>
      <w:numFmt w:val="bullet"/>
      <w:lvlText w:val=""/>
      <w:lvlJc w:val="left"/>
      <w:pPr>
        <w:tabs>
          <w:tab w:val="num" w:pos="1080"/>
        </w:tabs>
        <w:ind w:left="1080" w:hanging="360"/>
      </w:pPr>
      <w:rPr>
        <w:rFonts w:ascii="Symbol" w:hAnsi="Symbol"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0738210B"/>
    <w:multiLevelType w:val="hybridMultilevel"/>
    <w:tmpl w:val="D8E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767A8"/>
    <w:multiLevelType w:val="hybridMultilevel"/>
    <w:tmpl w:val="39A03072"/>
    <w:lvl w:ilvl="0" w:tplc="5D8C2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72978"/>
    <w:multiLevelType w:val="hybridMultilevel"/>
    <w:tmpl w:val="1644A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C2180"/>
    <w:multiLevelType w:val="hybridMultilevel"/>
    <w:tmpl w:val="C80A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4764B"/>
    <w:multiLevelType w:val="hybridMultilevel"/>
    <w:tmpl w:val="BBE8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B6004"/>
    <w:multiLevelType w:val="hybridMultilevel"/>
    <w:tmpl w:val="7114AC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nsid w:val="3AB86776"/>
    <w:multiLevelType w:val="hybridMultilevel"/>
    <w:tmpl w:val="E744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92D3B"/>
    <w:multiLevelType w:val="hybridMultilevel"/>
    <w:tmpl w:val="B592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C6417"/>
    <w:multiLevelType w:val="hybridMultilevel"/>
    <w:tmpl w:val="0226C6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D405E6B"/>
    <w:multiLevelType w:val="hybridMultilevel"/>
    <w:tmpl w:val="FB20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01AF5"/>
    <w:multiLevelType w:val="hybridMultilevel"/>
    <w:tmpl w:val="5BDE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D2EE9"/>
    <w:multiLevelType w:val="hybridMultilevel"/>
    <w:tmpl w:val="A648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076510"/>
    <w:multiLevelType w:val="hybridMultilevel"/>
    <w:tmpl w:val="C63C7E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5D027005"/>
    <w:multiLevelType w:val="hybridMultilevel"/>
    <w:tmpl w:val="9348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F0C24AA"/>
    <w:multiLevelType w:val="hybridMultilevel"/>
    <w:tmpl w:val="89AE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553FAE"/>
    <w:multiLevelType w:val="hybridMultilevel"/>
    <w:tmpl w:val="8BE082EC"/>
    <w:lvl w:ilvl="0" w:tplc="AA949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F1972"/>
    <w:multiLevelType w:val="hybridMultilevel"/>
    <w:tmpl w:val="DFC6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E4DD3"/>
    <w:multiLevelType w:val="hybridMultilevel"/>
    <w:tmpl w:val="BC188756"/>
    <w:lvl w:ilvl="0" w:tplc="54D83ADA">
      <w:start w:val="1"/>
      <w:numFmt w:val="decimal"/>
      <w:lvlText w:val="%1."/>
      <w:lvlJc w:val="left"/>
      <w:pPr>
        <w:tabs>
          <w:tab w:val="num" w:pos="810"/>
        </w:tabs>
        <w:ind w:left="90" w:firstLine="0"/>
      </w:pPr>
      <w:rPr>
        <w:rFonts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
  </w:num>
  <w:num w:numId="6">
    <w:abstractNumId w:val="7"/>
  </w:num>
  <w:num w:numId="7">
    <w:abstractNumId w:val="20"/>
  </w:num>
  <w:num w:numId="8">
    <w:abstractNumId w:val="10"/>
  </w:num>
  <w:num w:numId="9">
    <w:abstractNumId w:val="8"/>
  </w:num>
  <w:num w:numId="10">
    <w:abstractNumId w:val="18"/>
  </w:num>
  <w:num w:numId="11">
    <w:abstractNumId w:val="9"/>
  </w:num>
  <w:num w:numId="12">
    <w:abstractNumId w:val="2"/>
  </w:num>
  <w:num w:numId="13">
    <w:abstractNumId w:val="5"/>
  </w:num>
  <w:num w:numId="14">
    <w:abstractNumId w:val="13"/>
  </w:num>
  <w:num w:numId="15">
    <w:abstractNumId w:val="19"/>
  </w:num>
  <w:num w:numId="16">
    <w:abstractNumId w:val="12"/>
  </w:num>
  <w:num w:numId="17">
    <w:abstractNumId w:val="6"/>
  </w:num>
  <w:num w:numId="18">
    <w:abstractNumId w:val="4"/>
  </w:num>
  <w:num w:numId="19">
    <w:abstractNumId w:val="3"/>
  </w:num>
  <w:num w:numId="20">
    <w:abstractNumId w:val="0"/>
  </w:num>
  <w:num w:numId="21">
    <w:abstractNumId w:val="1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A8"/>
    <w:rsid w:val="0000037F"/>
    <w:rsid w:val="000027B8"/>
    <w:rsid w:val="00005289"/>
    <w:rsid w:val="000151A0"/>
    <w:rsid w:val="00017D46"/>
    <w:rsid w:val="000302F1"/>
    <w:rsid w:val="000347AE"/>
    <w:rsid w:val="0004133D"/>
    <w:rsid w:val="000428A5"/>
    <w:rsid w:val="00042D80"/>
    <w:rsid w:val="00050740"/>
    <w:rsid w:val="00053805"/>
    <w:rsid w:val="00054FA4"/>
    <w:rsid w:val="00055683"/>
    <w:rsid w:val="000579B2"/>
    <w:rsid w:val="000723A8"/>
    <w:rsid w:val="000728C5"/>
    <w:rsid w:val="0007589B"/>
    <w:rsid w:val="0007783F"/>
    <w:rsid w:val="00087336"/>
    <w:rsid w:val="00094D36"/>
    <w:rsid w:val="000A1388"/>
    <w:rsid w:val="000A4EC9"/>
    <w:rsid w:val="000B4143"/>
    <w:rsid w:val="000C1EE9"/>
    <w:rsid w:val="000C408A"/>
    <w:rsid w:val="000E5E73"/>
    <w:rsid w:val="000F03BB"/>
    <w:rsid w:val="000F341C"/>
    <w:rsid w:val="000F73BF"/>
    <w:rsid w:val="00100229"/>
    <w:rsid w:val="00100D18"/>
    <w:rsid w:val="00102F1A"/>
    <w:rsid w:val="00105164"/>
    <w:rsid w:val="001062F8"/>
    <w:rsid w:val="0011241C"/>
    <w:rsid w:val="00115F24"/>
    <w:rsid w:val="0012731F"/>
    <w:rsid w:val="001301E0"/>
    <w:rsid w:val="00131470"/>
    <w:rsid w:val="00135CDF"/>
    <w:rsid w:val="00137551"/>
    <w:rsid w:val="00141F3F"/>
    <w:rsid w:val="0014705F"/>
    <w:rsid w:val="00150D8D"/>
    <w:rsid w:val="0015264C"/>
    <w:rsid w:val="00155323"/>
    <w:rsid w:val="0015640F"/>
    <w:rsid w:val="001647E7"/>
    <w:rsid w:val="00167C8E"/>
    <w:rsid w:val="001755B4"/>
    <w:rsid w:val="00181C6A"/>
    <w:rsid w:val="00185B93"/>
    <w:rsid w:val="00191849"/>
    <w:rsid w:val="00192353"/>
    <w:rsid w:val="001936B6"/>
    <w:rsid w:val="001967A9"/>
    <w:rsid w:val="001976E0"/>
    <w:rsid w:val="001A03C2"/>
    <w:rsid w:val="001A5842"/>
    <w:rsid w:val="001A76A3"/>
    <w:rsid w:val="001A786F"/>
    <w:rsid w:val="001D7EB6"/>
    <w:rsid w:val="001E11E7"/>
    <w:rsid w:val="001F1D83"/>
    <w:rsid w:val="002025A8"/>
    <w:rsid w:val="00213195"/>
    <w:rsid w:val="002329FB"/>
    <w:rsid w:val="002359F6"/>
    <w:rsid w:val="00235C09"/>
    <w:rsid w:val="00236FF2"/>
    <w:rsid w:val="002370E2"/>
    <w:rsid w:val="00240C3A"/>
    <w:rsid w:val="0024309E"/>
    <w:rsid w:val="002468F9"/>
    <w:rsid w:val="00257FBE"/>
    <w:rsid w:val="0026236C"/>
    <w:rsid w:val="00270184"/>
    <w:rsid w:val="00271EC6"/>
    <w:rsid w:val="00275760"/>
    <w:rsid w:val="0029048F"/>
    <w:rsid w:val="00290ACC"/>
    <w:rsid w:val="00291A94"/>
    <w:rsid w:val="002A4142"/>
    <w:rsid w:val="002A45D0"/>
    <w:rsid w:val="002A4B6B"/>
    <w:rsid w:val="002A5BA5"/>
    <w:rsid w:val="002A7EF0"/>
    <w:rsid w:val="002B0CC8"/>
    <w:rsid w:val="002B3B00"/>
    <w:rsid w:val="002C4849"/>
    <w:rsid w:val="002C70B7"/>
    <w:rsid w:val="002D4CD4"/>
    <w:rsid w:val="002D4FFD"/>
    <w:rsid w:val="002E0A22"/>
    <w:rsid w:val="002F1D52"/>
    <w:rsid w:val="002F3DB9"/>
    <w:rsid w:val="00300774"/>
    <w:rsid w:val="00314EBE"/>
    <w:rsid w:val="00315F04"/>
    <w:rsid w:val="0033288D"/>
    <w:rsid w:val="00332A43"/>
    <w:rsid w:val="00353418"/>
    <w:rsid w:val="003542F8"/>
    <w:rsid w:val="003542FD"/>
    <w:rsid w:val="0035608B"/>
    <w:rsid w:val="00360F81"/>
    <w:rsid w:val="00361094"/>
    <w:rsid w:val="00365AE5"/>
    <w:rsid w:val="003745F7"/>
    <w:rsid w:val="00375F53"/>
    <w:rsid w:val="00376367"/>
    <w:rsid w:val="003771D0"/>
    <w:rsid w:val="00391060"/>
    <w:rsid w:val="00392729"/>
    <w:rsid w:val="00394FC5"/>
    <w:rsid w:val="003976CA"/>
    <w:rsid w:val="003A536E"/>
    <w:rsid w:val="003B6534"/>
    <w:rsid w:val="003C19D0"/>
    <w:rsid w:val="003D09FB"/>
    <w:rsid w:val="003D6E36"/>
    <w:rsid w:val="003E599C"/>
    <w:rsid w:val="003F77BD"/>
    <w:rsid w:val="00401B62"/>
    <w:rsid w:val="0040637D"/>
    <w:rsid w:val="00410870"/>
    <w:rsid w:val="004137F1"/>
    <w:rsid w:val="00416DFC"/>
    <w:rsid w:val="0042304D"/>
    <w:rsid w:val="004270C2"/>
    <w:rsid w:val="004320D5"/>
    <w:rsid w:val="00433A3A"/>
    <w:rsid w:val="00433F6B"/>
    <w:rsid w:val="0044319A"/>
    <w:rsid w:val="00452265"/>
    <w:rsid w:val="00471C82"/>
    <w:rsid w:val="00471C95"/>
    <w:rsid w:val="0047703B"/>
    <w:rsid w:val="00477A1C"/>
    <w:rsid w:val="004845D0"/>
    <w:rsid w:val="00485D08"/>
    <w:rsid w:val="0049317C"/>
    <w:rsid w:val="004A1428"/>
    <w:rsid w:val="004B624E"/>
    <w:rsid w:val="004B6FC2"/>
    <w:rsid w:val="004C0226"/>
    <w:rsid w:val="004C0981"/>
    <w:rsid w:val="004C2BD7"/>
    <w:rsid w:val="004C334C"/>
    <w:rsid w:val="004C510E"/>
    <w:rsid w:val="004E6159"/>
    <w:rsid w:val="004F3F84"/>
    <w:rsid w:val="00501F21"/>
    <w:rsid w:val="00503BD5"/>
    <w:rsid w:val="00506164"/>
    <w:rsid w:val="00511A94"/>
    <w:rsid w:val="00516258"/>
    <w:rsid w:val="00522521"/>
    <w:rsid w:val="00524C44"/>
    <w:rsid w:val="005255E2"/>
    <w:rsid w:val="00526F2F"/>
    <w:rsid w:val="00527AE1"/>
    <w:rsid w:val="005368DE"/>
    <w:rsid w:val="00543FCE"/>
    <w:rsid w:val="00550405"/>
    <w:rsid w:val="00555094"/>
    <w:rsid w:val="005558F8"/>
    <w:rsid w:val="005575ED"/>
    <w:rsid w:val="00565F74"/>
    <w:rsid w:val="005768DB"/>
    <w:rsid w:val="005774B1"/>
    <w:rsid w:val="00581E3E"/>
    <w:rsid w:val="00582804"/>
    <w:rsid w:val="005853F1"/>
    <w:rsid w:val="005908AC"/>
    <w:rsid w:val="00597658"/>
    <w:rsid w:val="005A3911"/>
    <w:rsid w:val="005A465A"/>
    <w:rsid w:val="005A779D"/>
    <w:rsid w:val="005B07A1"/>
    <w:rsid w:val="005B253C"/>
    <w:rsid w:val="005B2D2D"/>
    <w:rsid w:val="005B3351"/>
    <w:rsid w:val="005C0FD7"/>
    <w:rsid w:val="005C28A8"/>
    <w:rsid w:val="005C297F"/>
    <w:rsid w:val="005C2C89"/>
    <w:rsid w:val="005D017F"/>
    <w:rsid w:val="005D054F"/>
    <w:rsid w:val="005D4423"/>
    <w:rsid w:val="005D4796"/>
    <w:rsid w:val="005D4947"/>
    <w:rsid w:val="005D6E4D"/>
    <w:rsid w:val="005D708E"/>
    <w:rsid w:val="005E0F8E"/>
    <w:rsid w:val="005E2448"/>
    <w:rsid w:val="005F447E"/>
    <w:rsid w:val="005F7FD1"/>
    <w:rsid w:val="0060187A"/>
    <w:rsid w:val="00602096"/>
    <w:rsid w:val="00604FC5"/>
    <w:rsid w:val="00606999"/>
    <w:rsid w:val="00612E67"/>
    <w:rsid w:val="006151D8"/>
    <w:rsid w:val="0061754A"/>
    <w:rsid w:val="0063704B"/>
    <w:rsid w:val="00637613"/>
    <w:rsid w:val="00642CE9"/>
    <w:rsid w:val="00642D33"/>
    <w:rsid w:val="006524CA"/>
    <w:rsid w:val="006564E7"/>
    <w:rsid w:val="0065657B"/>
    <w:rsid w:val="0067059B"/>
    <w:rsid w:val="006717E6"/>
    <w:rsid w:val="00673A39"/>
    <w:rsid w:val="00675A46"/>
    <w:rsid w:val="00675E52"/>
    <w:rsid w:val="00684FC0"/>
    <w:rsid w:val="00690A6F"/>
    <w:rsid w:val="00694503"/>
    <w:rsid w:val="006957D6"/>
    <w:rsid w:val="0069654D"/>
    <w:rsid w:val="006A32B8"/>
    <w:rsid w:val="006A7418"/>
    <w:rsid w:val="006A76FD"/>
    <w:rsid w:val="006B0E50"/>
    <w:rsid w:val="006B5EEB"/>
    <w:rsid w:val="006C0F0B"/>
    <w:rsid w:val="006D01FA"/>
    <w:rsid w:val="006D185D"/>
    <w:rsid w:val="006D68D9"/>
    <w:rsid w:val="006E46D9"/>
    <w:rsid w:val="006F04F8"/>
    <w:rsid w:val="006F199F"/>
    <w:rsid w:val="006F2091"/>
    <w:rsid w:val="006F7D47"/>
    <w:rsid w:val="00703213"/>
    <w:rsid w:val="0070345D"/>
    <w:rsid w:val="00707A85"/>
    <w:rsid w:val="00712E32"/>
    <w:rsid w:val="00717A1C"/>
    <w:rsid w:val="00723415"/>
    <w:rsid w:val="00732818"/>
    <w:rsid w:val="00734A9C"/>
    <w:rsid w:val="00737581"/>
    <w:rsid w:val="0074093F"/>
    <w:rsid w:val="0074262F"/>
    <w:rsid w:val="00755F95"/>
    <w:rsid w:val="0075669D"/>
    <w:rsid w:val="0076490D"/>
    <w:rsid w:val="00765358"/>
    <w:rsid w:val="00766152"/>
    <w:rsid w:val="00774B70"/>
    <w:rsid w:val="0077581C"/>
    <w:rsid w:val="0078329B"/>
    <w:rsid w:val="00793598"/>
    <w:rsid w:val="00794A5A"/>
    <w:rsid w:val="00797852"/>
    <w:rsid w:val="007A560D"/>
    <w:rsid w:val="007A5C2A"/>
    <w:rsid w:val="007A6365"/>
    <w:rsid w:val="007B7CCA"/>
    <w:rsid w:val="007C39D3"/>
    <w:rsid w:val="007D29A0"/>
    <w:rsid w:val="007D71CE"/>
    <w:rsid w:val="007E67E9"/>
    <w:rsid w:val="007E757F"/>
    <w:rsid w:val="007F1EC9"/>
    <w:rsid w:val="00800420"/>
    <w:rsid w:val="00800E3F"/>
    <w:rsid w:val="00803E7C"/>
    <w:rsid w:val="00810BF9"/>
    <w:rsid w:val="00812D76"/>
    <w:rsid w:val="00814779"/>
    <w:rsid w:val="00820929"/>
    <w:rsid w:val="00826CB4"/>
    <w:rsid w:val="0082752D"/>
    <w:rsid w:val="00835E0A"/>
    <w:rsid w:val="0084600F"/>
    <w:rsid w:val="00847F18"/>
    <w:rsid w:val="00854FF6"/>
    <w:rsid w:val="0086089D"/>
    <w:rsid w:val="00860A1F"/>
    <w:rsid w:val="00866048"/>
    <w:rsid w:val="0087017E"/>
    <w:rsid w:val="00870506"/>
    <w:rsid w:val="00872AB5"/>
    <w:rsid w:val="008738D6"/>
    <w:rsid w:val="008778CC"/>
    <w:rsid w:val="008815BC"/>
    <w:rsid w:val="008830C5"/>
    <w:rsid w:val="008932AA"/>
    <w:rsid w:val="008A1478"/>
    <w:rsid w:val="008A5C5C"/>
    <w:rsid w:val="008B0895"/>
    <w:rsid w:val="008B1F7E"/>
    <w:rsid w:val="008B5399"/>
    <w:rsid w:val="008B5C52"/>
    <w:rsid w:val="008B5E47"/>
    <w:rsid w:val="008C0EA4"/>
    <w:rsid w:val="008C255C"/>
    <w:rsid w:val="008C747F"/>
    <w:rsid w:val="008D20D4"/>
    <w:rsid w:val="008D4025"/>
    <w:rsid w:val="008D6AED"/>
    <w:rsid w:val="008E1DEE"/>
    <w:rsid w:val="008E2021"/>
    <w:rsid w:val="008E309A"/>
    <w:rsid w:val="008E605D"/>
    <w:rsid w:val="008E6B70"/>
    <w:rsid w:val="008F6579"/>
    <w:rsid w:val="008F76CB"/>
    <w:rsid w:val="00900C36"/>
    <w:rsid w:val="00905C29"/>
    <w:rsid w:val="009070DA"/>
    <w:rsid w:val="00907AB7"/>
    <w:rsid w:val="00912E58"/>
    <w:rsid w:val="00924C6E"/>
    <w:rsid w:val="009257C8"/>
    <w:rsid w:val="00930C74"/>
    <w:rsid w:val="00931AED"/>
    <w:rsid w:val="009329DB"/>
    <w:rsid w:val="0093400C"/>
    <w:rsid w:val="00944392"/>
    <w:rsid w:val="00950542"/>
    <w:rsid w:val="009508FC"/>
    <w:rsid w:val="00952695"/>
    <w:rsid w:val="00960411"/>
    <w:rsid w:val="00960BCF"/>
    <w:rsid w:val="00967D2F"/>
    <w:rsid w:val="00970428"/>
    <w:rsid w:val="00972EB7"/>
    <w:rsid w:val="009766A2"/>
    <w:rsid w:val="00976B33"/>
    <w:rsid w:val="00980815"/>
    <w:rsid w:val="009809EA"/>
    <w:rsid w:val="009864F8"/>
    <w:rsid w:val="009922B2"/>
    <w:rsid w:val="0099517B"/>
    <w:rsid w:val="00995A69"/>
    <w:rsid w:val="00995B75"/>
    <w:rsid w:val="009B04FD"/>
    <w:rsid w:val="009B4A0D"/>
    <w:rsid w:val="009B6A77"/>
    <w:rsid w:val="009C0D97"/>
    <w:rsid w:val="009C1020"/>
    <w:rsid w:val="009C2A3E"/>
    <w:rsid w:val="009E4A19"/>
    <w:rsid w:val="009F0908"/>
    <w:rsid w:val="009F0B95"/>
    <w:rsid w:val="00A11B5A"/>
    <w:rsid w:val="00A13DFB"/>
    <w:rsid w:val="00A14713"/>
    <w:rsid w:val="00A21CB4"/>
    <w:rsid w:val="00A2591A"/>
    <w:rsid w:val="00A25A61"/>
    <w:rsid w:val="00A301A2"/>
    <w:rsid w:val="00A41279"/>
    <w:rsid w:val="00A47768"/>
    <w:rsid w:val="00A52FD4"/>
    <w:rsid w:val="00A56ED0"/>
    <w:rsid w:val="00A7099E"/>
    <w:rsid w:val="00A70D34"/>
    <w:rsid w:val="00A7121F"/>
    <w:rsid w:val="00A7469A"/>
    <w:rsid w:val="00A74C35"/>
    <w:rsid w:val="00A83705"/>
    <w:rsid w:val="00A858C8"/>
    <w:rsid w:val="00A86E73"/>
    <w:rsid w:val="00A971CF"/>
    <w:rsid w:val="00AB3A07"/>
    <w:rsid w:val="00AD1139"/>
    <w:rsid w:val="00AD21A4"/>
    <w:rsid w:val="00AD7A4B"/>
    <w:rsid w:val="00AE3131"/>
    <w:rsid w:val="00AF12C4"/>
    <w:rsid w:val="00AF29FC"/>
    <w:rsid w:val="00B00671"/>
    <w:rsid w:val="00B065DF"/>
    <w:rsid w:val="00B123DB"/>
    <w:rsid w:val="00B231D4"/>
    <w:rsid w:val="00B26E4A"/>
    <w:rsid w:val="00B2778A"/>
    <w:rsid w:val="00B27B98"/>
    <w:rsid w:val="00B34A73"/>
    <w:rsid w:val="00B37604"/>
    <w:rsid w:val="00B404A4"/>
    <w:rsid w:val="00B46310"/>
    <w:rsid w:val="00B473F9"/>
    <w:rsid w:val="00B50C45"/>
    <w:rsid w:val="00B51BB8"/>
    <w:rsid w:val="00B52592"/>
    <w:rsid w:val="00B53FEB"/>
    <w:rsid w:val="00B60700"/>
    <w:rsid w:val="00B61FB5"/>
    <w:rsid w:val="00B6240F"/>
    <w:rsid w:val="00B63850"/>
    <w:rsid w:val="00B63F5D"/>
    <w:rsid w:val="00B7228F"/>
    <w:rsid w:val="00B75373"/>
    <w:rsid w:val="00B820C3"/>
    <w:rsid w:val="00B82C39"/>
    <w:rsid w:val="00B85D31"/>
    <w:rsid w:val="00B94978"/>
    <w:rsid w:val="00B9626B"/>
    <w:rsid w:val="00B962D6"/>
    <w:rsid w:val="00B96B00"/>
    <w:rsid w:val="00BB5287"/>
    <w:rsid w:val="00BB7093"/>
    <w:rsid w:val="00BC132D"/>
    <w:rsid w:val="00BC26CE"/>
    <w:rsid w:val="00BC3F97"/>
    <w:rsid w:val="00BC4817"/>
    <w:rsid w:val="00BC5463"/>
    <w:rsid w:val="00BC7A8C"/>
    <w:rsid w:val="00BD1C65"/>
    <w:rsid w:val="00BD4E24"/>
    <w:rsid w:val="00BE0F87"/>
    <w:rsid w:val="00C00BD5"/>
    <w:rsid w:val="00C00F67"/>
    <w:rsid w:val="00C02C35"/>
    <w:rsid w:val="00C04E2E"/>
    <w:rsid w:val="00C04E75"/>
    <w:rsid w:val="00C114F4"/>
    <w:rsid w:val="00C17928"/>
    <w:rsid w:val="00C315D8"/>
    <w:rsid w:val="00C339E0"/>
    <w:rsid w:val="00C360B7"/>
    <w:rsid w:val="00C41676"/>
    <w:rsid w:val="00C4205B"/>
    <w:rsid w:val="00C430BB"/>
    <w:rsid w:val="00C453FF"/>
    <w:rsid w:val="00C55457"/>
    <w:rsid w:val="00C677AE"/>
    <w:rsid w:val="00C80058"/>
    <w:rsid w:val="00C82332"/>
    <w:rsid w:val="00C858AB"/>
    <w:rsid w:val="00C85952"/>
    <w:rsid w:val="00C869E3"/>
    <w:rsid w:val="00CA6406"/>
    <w:rsid w:val="00CB0831"/>
    <w:rsid w:val="00CC1CAD"/>
    <w:rsid w:val="00CC2775"/>
    <w:rsid w:val="00CC366A"/>
    <w:rsid w:val="00CD5A26"/>
    <w:rsid w:val="00CF172C"/>
    <w:rsid w:val="00D1124F"/>
    <w:rsid w:val="00D12E12"/>
    <w:rsid w:val="00D13526"/>
    <w:rsid w:val="00D13727"/>
    <w:rsid w:val="00D1703C"/>
    <w:rsid w:val="00D17BB7"/>
    <w:rsid w:val="00D215A2"/>
    <w:rsid w:val="00D23C0A"/>
    <w:rsid w:val="00D26084"/>
    <w:rsid w:val="00D273EF"/>
    <w:rsid w:val="00D27D95"/>
    <w:rsid w:val="00D30BDF"/>
    <w:rsid w:val="00D31EFC"/>
    <w:rsid w:val="00D350A8"/>
    <w:rsid w:val="00D400ED"/>
    <w:rsid w:val="00D408BF"/>
    <w:rsid w:val="00D51DDF"/>
    <w:rsid w:val="00D6422E"/>
    <w:rsid w:val="00D7509C"/>
    <w:rsid w:val="00D83340"/>
    <w:rsid w:val="00D9225F"/>
    <w:rsid w:val="00DA12D2"/>
    <w:rsid w:val="00DA4D6E"/>
    <w:rsid w:val="00DA70EE"/>
    <w:rsid w:val="00DB3452"/>
    <w:rsid w:val="00DD30E8"/>
    <w:rsid w:val="00DD4144"/>
    <w:rsid w:val="00DD749B"/>
    <w:rsid w:val="00DE52D2"/>
    <w:rsid w:val="00DF0E06"/>
    <w:rsid w:val="00DF1C8D"/>
    <w:rsid w:val="00E0001D"/>
    <w:rsid w:val="00E11A60"/>
    <w:rsid w:val="00E14C63"/>
    <w:rsid w:val="00E14FDA"/>
    <w:rsid w:val="00E2173D"/>
    <w:rsid w:val="00E25814"/>
    <w:rsid w:val="00E33E65"/>
    <w:rsid w:val="00E454EA"/>
    <w:rsid w:val="00E505EA"/>
    <w:rsid w:val="00E50F0A"/>
    <w:rsid w:val="00E60F34"/>
    <w:rsid w:val="00E616F0"/>
    <w:rsid w:val="00E66667"/>
    <w:rsid w:val="00E775D1"/>
    <w:rsid w:val="00E90C61"/>
    <w:rsid w:val="00E92CDE"/>
    <w:rsid w:val="00E9729B"/>
    <w:rsid w:val="00EA3968"/>
    <w:rsid w:val="00EC7882"/>
    <w:rsid w:val="00ED3179"/>
    <w:rsid w:val="00ED6908"/>
    <w:rsid w:val="00EE076B"/>
    <w:rsid w:val="00EE1D2C"/>
    <w:rsid w:val="00EE22CC"/>
    <w:rsid w:val="00EE4195"/>
    <w:rsid w:val="00EF3586"/>
    <w:rsid w:val="00EF4AD6"/>
    <w:rsid w:val="00EF4E3E"/>
    <w:rsid w:val="00EF650C"/>
    <w:rsid w:val="00F11DCD"/>
    <w:rsid w:val="00F14924"/>
    <w:rsid w:val="00F15DCC"/>
    <w:rsid w:val="00F23E3F"/>
    <w:rsid w:val="00F26A37"/>
    <w:rsid w:val="00F275EF"/>
    <w:rsid w:val="00F34A7A"/>
    <w:rsid w:val="00F34C98"/>
    <w:rsid w:val="00F473FF"/>
    <w:rsid w:val="00F61FC9"/>
    <w:rsid w:val="00F62917"/>
    <w:rsid w:val="00F63E0D"/>
    <w:rsid w:val="00F64A6F"/>
    <w:rsid w:val="00F71527"/>
    <w:rsid w:val="00F72A8A"/>
    <w:rsid w:val="00F839F8"/>
    <w:rsid w:val="00F83E37"/>
    <w:rsid w:val="00F97E14"/>
    <w:rsid w:val="00FA0F7B"/>
    <w:rsid w:val="00FA26F3"/>
    <w:rsid w:val="00FA717D"/>
    <w:rsid w:val="00FB4A38"/>
    <w:rsid w:val="00FB6FC4"/>
    <w:rsid w:val="00FC11BA"/>
    <w:rsid w:val="00FC30A2"/>
    <w:rsid w:val="00FC3EE7"/>
    <w:rsid w:val="00FC6722"/>
    <w:rsid w:val="00FD349F"/>
    <w:rsid w:val="00FF36D8"/>
    <w:rsid w:val="00FF701F"/>
    <w:rsid w:val="00FF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9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paragraph" w:customStyle="1" w:styleId="StyleFERCparanumberLinespacingDouble">
    <w:name w:val="Style FERC paranumber + Line spacing:  Double"/>
    <w:basedOn w:val="FERCparanumber"/>
    <w:rsid w:val="009864F8"/>
    <w:pPr>
      <w:widowControl/>
      <w:tabs>
        <w:tab w:val="clear" w:pos="720"/>
        <w:tab w:val="num" w:pos="990"/>
      </w:tabs>
      <w:autoSpaceDE/>
      <w:autoSpaceDN/>
      <w:adjustRightInd/>
      <w:spacing w:line="480" w:lineRule="auto"/>
      <w:ind w:left="270"/>
    </w:pPr>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A8"/>
  </w:style>
  <w:style w:type="paragraph" w:styleId="Footer">
    <w:name w:val="footer"/>
    <w:basedOn w:val="Normal"/>
    <w:link w:val="FooterChar"/>
    <w:uiPriority w:val="99"/>
    <w:unhideWhenUsed/>
    <w:rsid w:val="00D3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A8"/>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D350A8"/>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qFormat/>
    <w:rsid w:val="00D350A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1 Char,Footnote Text Char2 Char Char1,Footnote Text Char Char1 Char Char1,Footnote Text Char1 Char Char Char Char1,Footnote Text Char Char Char Char Char Char1,Footnote Text Char1 Char Char Char Char Char Char Char Char1,ft Char1"/>
    <w:basedOn w:val="DefaultParagraphFont"/>
    <w:rsid w:val="00D350A8"/>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rsid w:val="00D350A8"/>
    <w:rPr>
      <w:rFonts w:ascii="Times New Roman" w:eastAsia="Times New Roman" w:hAnsi="Times New Roman" w:cs="Times New Roman"/>
      <w:sz w:val="20"/>
      <w:szCs w:val="20"/>
    </w:rPr>
  </w:style>
  <w:style w:type="character" w:styleId="Hyperlink">
    <w:name w:val="Hyperlink"/>
    <w:basedOn w:val="DefaultParagraphFont"/>
    <w:unhideWhenUsed/>
    <w:rsid w:val="00C4205B"/>
    <w:rPr>
      <w:color w:val="0000FF"/>
      <w:u w:val="single"/>
    </w:rPr>
  </w:style>
  <w:style w:type="character" w:customStyle="1" w:styleId="FERCparanumberChar1">
    <w:name w:val="FERC paranumber Char1"/>
    <w:basedOn w:val="DefaultParagraphFont"/>
    <w:link w:val="FERCparanumber"/>
    <w:locked/>
    <w:rsid w:val="00C4205B"/>
    <w:rPr>
      <w:sz w:val="24"/>
      <w:szCs w:val="24"/>
    </w:rPr>
  </w:style>
  <w:style w:type="paragraph" w:customStyle="1" w:styleId="FERCparanumber">
    <w:name w:val="FERC paranumber"/>
    <w:basedOn w:val="Normal"/>
    <w:link w:val="FERCparanumberChar1"/>
    <w:qFormat/>
    <w:rsid w:val="00C4205B"/>
    <w:pPr>
      <w:widowControl w:val="0"/>
      <w:numPr>
        <w:numId w:val="1"/>
      </w:numPr>
      <w:autoSpaceDE w:val="0"/>
      <w:autoSpaceDN w:val="0"/>
      <w:adjustRightInd w:val="0"/>
      <w:spacing w:after="0" w:line="240" w:lineRule="auto"/>
    </w:pPr>
    <w:rPr>
      <w:sz w:val="24"/>
      <w:szCs w:val="24"/>
    </w:rPr>
  </w:style>
  <w:style w:type="paragraph" w:customStyle="1" w:styleId="LegalFormat">
    <w:name w:val="Legal Format"/>
    <w:basedOn w:val="ListContinue"/>
    <w:rsid w:val="00C4205B"/>
    <w:pPr>
      <w:tabs>
        <w:tab w:val="num" w:pos="360"/>
      </w:tabs>
      <w:spacing w:after="240" w:line="240" w:lineRule="auto"/>
      <w:contextualSpacing w:val="0"/>
    </w:pPr>
    <w:rPr>
      <w:rFonts w:ascii="Times New Roman" w:eastAsia="Times New Roman" w:hAnsi="Times New Roman" w:cs="Times New Roman"/>
      <w:sz w:val="26"/>
      <w:szCs w:val="26"/>
    </w:rPr>
  </w:style>
  <w:style w:type="paragraph" w:customStyle="1" w:styleId="Default">
    <w:name w:val="Default"/>
    <w:rsid w:val="00C420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Continue">
    <w:name w:val="List Continue"/>
    <w:basedOn w:val="Normal"/>
    <w:uiPriority w:val="99"/>
    <w:semiHidden/>
    <w:unhideWhenUsed/>
    <w:rsid w:val="00C4205B"/>
    <w:pPr>
      <w:spacing w:after="120"/>
      <w:ind w:left="360"/>
      <w:contextualSpacing/>
    </w:pPr>
  </w:style>
  <w:style w:type="character" w:styleId="CommentReference">
    <w:name w:val="annotation reference"/>
    <w:basedOn w:val="DefaultParagraphFont"/>
    <w:uiPriority w:val="99"/>
    <w:semiHidden/>
    <w:unhideWhenUsed/>
    <w:rsid w:val="00B065DF"/>
    <w:rPr>
      <w:sz w:val="16"/>
      <w:szCs w:val="16"/>
    </w:rPr>
  </w:style>
  <w:style w:type="paragraph" w:styleId="CommentText">
    <w:name w:val="annotation text"/>
    <w:basedOn w:val="Normal"/>
    <w:link w:val="CommentTextChar"/>
    <w:uiPriority w:val="99"/>
    <w:unhideWhenUsed/>
    <w:rsid w:val="00B065DF"/>
    <w:pPr>
      <w:spacing w:line="240" w:lineRule="auto"/>
    </w:pPr>
    <w:rPr>
      <w:sz w:val="20"/>
      <w:szCs w:val="20"/>
    </w:rPr>
  </w:style>
  <w:style w:type="character" w:customStyle="1" w:styleId="CommentTextChar">
    <w:name w:val="Comment Text Char"/>
    <w:basedOn w:val="DefaultParagraphFont"/>
    <w:link w:val="CommentText"/>
    <w:uiPriority w:val="99"/>
    <w:rsid w:val="00B065DF"/>
    <w:rPr>
      <w:sz w:val="20"/>
      <w:szCs w:val="20"/>
    </w:rPr>
  </w:style>
  <w:style w:type="paragraph" w:styleId="CommentSubject">
    <w:name w:val="annotation subject"/>
    <w:basedOn w:val="CommentText"/>
    <w:next w:val="CommentText"/>
    <w:link w:val="CommentSubjectChar"/>
    <w:uiPriority w:val="99"/>
    <w:semiHidden/>
    <w:unhideWhenUsed/>
    <w:rsid w:val="00B065DF"/>
    <w:rPr>
      <w:b/>
      <w:bCs/>
    </w:rPr>
  </w:style>
  <w:style w:type="character" w:customStyle="1" w:styleId="CommentSubjectChar">
    <w:name w:val="Comment Subject Char"/>
    <w:basedOn w:val="CommentTextChar"/>
    <w:link w:val="CommentSubject"/>
    <w:uiPriority w:val="99"/>
    <w:semiHidden/>
    <w:rsid w:val="00B065DF"/>
    <w:rPr>
      <w:b/>
      <w:bCs/>
      <w:sz w:val="20"/>
      <w:szCs w:val="20"/>
    </w:rPr>
  </w:style>
  <w:style w:type="paragraph" w:styleId="BalloonText">
    <w:name w:val="Balloon Text"/>
    <w:basedOn w:val="Normal"/>
    <w:link w:val="BalloonTextChar"/>
    <w:uiPriority w:val="99"/>
    <w:semiHidden/>
    <w:unhideWhenUsed/>
    <w:rsid w:val="00B0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DF"/>
    <w:rPr>
      <w:rFonts w:ascii="Tahoma" w:hAnsi="Tahoma" w:cs="Tahoma"/>
      <w:sz w:val="16"/>
      <w:szCs w:val="16"/>
    </w:rPr>
  </w:style>
  <w:style w:type="paragraph" w:styleId="Revision">
    <w:name w:val="Revision"/>
    <w:hidden/>
    <w:uiPriority w:val="99"/>
    <w:semiHidden/>
    <w:rsid w:val="00055683"/>
    <w:pPr>
      <w:spacing w:after="0" w:line="240" w:lineRule="auto"/>
    </w:pPr>
  </w:style>
  <w:style w:type="paragraph" w:styleId="ListParagraph">
    <w:name w:val="List Paragraph"/>
    <w:basedOn w:val="Normal"/>
    <w:uiPriority w:val="34"/>
    <w:qFormat/>
    <w:rsid w:val="00FC11BA"/>
    <w:pPr>
      <w:ind w:left="720"/>
      <w:contextualSpacing/>
    </w:pPr>
  </w:style>
  <w:style w:type="paragraph" w:customStyle="1" w:styleId="StyleFERCparanumberLinespacingDouble">
    <w:name w:val="Style FERC paranumber + Line spacing:  Double"/>
    <w:basedOn w:val="FERCparanumber"/>
    <w:rsid w:val="009864F8"/>
    <w:pPr>
      <w:widowControl/>
      <w:tabs>
        <w:tab w:val="clear" w:pos="720"/>
        <w:tab w:val="num" w:pos="990"/>
      </w:tabs>
      <w:autoSpaceDE/>
      <w:autoSpaceDN/>
      <w:adjustRightInd/>
      <w:spacing w:line="480" w:lineRule="auto"/>
      <w:ind w:left="270"/>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334">
      <w:bodyDiv w:val="1"/>
      <w:marLeft w:val="0"/>
      <w:marRight w:val="0"/>
      <w:marTop w:val="0"/>
      <w:marBottom w:val="0"/>
      <w:divBdr>
        <w:top w:val="none" w:sz="0" w:space="0" w:color="auto"/>
        <w:left w:val="none" w:sz="0" w:space="0" w:color="auto"/>
        <w:bottom w:val="none" w:sz="0" w:space="0" w:color="auto"/>
        <w:right w:val="none" w:sz="0" w:space="0" w:color="auto"/>
      </w:divBdr>
    </w:div>
    <w:div w:id="357968119">
      <w:bodyDiv w:val="1"/>
      <w:marLeft w:val="0"/>
      <w:marRight w:val="0"/>
      <w:marTop w:val="0"/>
      <w:marBottom w:val="0"/>
      <w:divBdr>
        <w:top w:val="none" w:sz="0" w:space="0" w:color="auto"/>
        <w:left w:val="none" w:sz="0" w:space="0" w:color="auto"/>
        <w:bottom w:val="none" w:sz="0" w:space="0" w:color="auto"/>
        <w:right w:val="none" w:sz="0" w:space="0" w:color="auto"/>
      </w:divBdr>
    </w:div>
    <w:div w:id="358119964">
      <w:bodyDiv w:val="1"/>
      <w:marLeft w:val="0"/>
      <w:marRight w:val="0"/>
      <w:marTop w:val="0"/>
      <w:marBottom w:val="0"/>
      <w:divBdr>
        <w:top w:val="none" w:sz="0" w:space="0" w:color="auto"/>
        <w:left w:val="none" w:sz="0" w:space="0" w:color="auto"/>
        <w:bottom w:val="none" w:sz="0" w:space="0" w:color="auto"/>
        <w:right w:val="none" w:sz="0" w:space="0" w:color="auto"/>
      </w:divBdr>
      <w:divsChild>
        <w:div w:id="485585398">
          <w:marLeft w:val="0"/>
          <w:marRight w:val="0"/>
          <w:marTop w:val="0"/>
          <w:marBottom w:val="0"/>
          <w:divBdr>
            <w:top w:val="none" w:sz="0" w:space="0" w:color="auto"/>
            <w:left w:val="none" w:sz="0" w:space="0" w:color="auto"/>
            <w:bottom w:val="none" w:sz="0" w:space="0" w:color="auto"/>
            <w:right w:val="none" w:sz="0" w:space="0" w:color="auto"/>
          </w:divBdr>
          <w:divsChild>
            <w:div w:id="1971478485">
              <w:marLeft w:val="0"/>
              <w:marRight w:val="0"/>
              <w:marTop w:val="0"/>
              <w:marBottom w:val="0"/>
              <w:divBdr>
                <w:top w:val="single" w:sz="6" w:space="11" w:color="FCFCFC"/>
                <w:left w:val="single" w:sz="6" w:space="11" w:color="ECECEC"/>
                <w:bottom w:val="single" w:sz="6" w:space="4" w:color="ECECEC"/>
                <w:right w:val="single" w:sz="6" w:space="11" w:color="ECECEC"/>
              </w:divBdr>
              <w:divsChild>
                <w:div w:id="757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00498">
      <w:bodyDiv w:val="1"/>
      <w:marLeft w:val="0"/>
      <w:marRight w:val="0"/>
      <w:marTop w:val="0"/>
      <w:marBottom w:val="0"/>
      <w:divBdr>
        <w:top w:val="none" w:sz="0" w:space="0" w:color="auto"/>
        <w:left w:val="none" w:sz="0" w:space="0" w:color="auto"/>
        <w:bottom w:val="none" w:sz="0" w:space="0" w:color="auto"/>
        <w:right w:val="none" w:sz="0" w:space="0" w:color="auto"/>
      </w:divBdr>
    </w:div>
    <w:div w:id="430587294">
      <w:bodyDiv w:val="1"/>
      <w:marLeft w:val="0"/>
      <w:marRight w:val="0"/>
      <w:marTop w:val="0"/>
      <w:marBottom w:val="0"/>
      <w:divBdr>
        <w:top w:val="none" w:sz="0" w:space="0" w:color="auto"/>
        <w:left w:val="none" w:sz="0" w:space="0" w:color="auto"/>
        <w:bottom w:val="none" w:sz="0" w:space="0" w:color="auto"/>
        <w:right w:val="none" w:sz="0" w:space="0" w:color="auto"/>
      </w:divBdr>
    </w:div>
    <w:div w:id="472406364">
      <w:bodyDiv w:val="1"/>
      <w:marLeft w:val="0"/>
      <w:marRight w:val="0"/>
      <w:marTop w:val="0"/>
      <w:marBottom w:val="0"/>
      <w:divBdr>
        <w:top w:val="none" w:sz="0" w:space="0" w:color="auto"/>
        <w:left w:val="none" w:sz="0" w:space="0" w:color="auto"/>
        <w:bottom w:val="none" w:sz="0" w:space="0" w:color="auto"/>
        <w:right w:val="none" w:sz="0" w:space="0" w:color="auto"/>
      </w:divBdr>
    </w:div>
    <w:div w:id="875507410">
      <w:bodyDiv w:val="1"/>
      <w:marLeft w:val="0"/>
      <w:marRight w:val="0"/>
      <w:marTop w:val="0"/>
      <w:marBottom w:val="0"/>
      <w:divBdr>
        <w:top w:val="none" w:sz="0" w:space="0" w:color="auto"/>
        <w:left w:val="none" w:sz="0" w:space="0" w:color="auto"/>
        <w:bottom w:val="none" w:sz="0" w:space="0" w:color="auto"/>
        <w:right w:val="none" w:sz="0" w:space="0" w:color="auto"/>
      </w:divBdr>
    </w:div>
    <w:div w:id="930743077">
      <w:bodyDiv w:val="1"/>
      <w:marLeft w:val="0"/>
      <w:marRight w:val="0"/>
      <w:marTop w:val="0"/>
      <w:marBottom w:val="0"/>
      <w:divBdr>
        <w:top w:val="none" w:sz="0" w:space="0" w:color="auto"/>
        <w:left w:val="none" w:sz="0" w:space="0" w:color="auto"/>
        <w:bottom w:val="none" w:sz="0" w:space="0" w:color="auto"/>
        <w:right w:val="none" w:sz="0" w:space="0" w:color="auto"/>
      </w:divBdr>
    </w:div>
    <w:div w:id="1081029329">
      <w:bodyDiv w:val="1"/>
      <w:marLeft w:val="0"/>
      <w:marRight w:val="0"/>
      <w:marTop w:val="0"/>
      <w:marBottom w:val="0"/>
      <w:divBdr>
        <w:top w:val="none" w:sz="0" w:space="0" w:color="auto"/>
        <w:left w:val="none" w:sz="0" w:space="0" w:color="auto"/>
        <w:bottom w:val="none" w:sz="0" w:space="0" w:color="auto"/>
        <w:right w:val="none" w:sz="0" w:space="0" w:color="auto"/>
      </w:divBdr>
    </w:div>
    <w:div w:id="1172529137">
      <w:bodyDiv w:val="1"/>
      <w:marLeft w:val="0"/>
      <w:marRight w:val="0"/>
      <w:marTop w:val="0"/>
      <w:marBottom w:val="0"/>
      <w:divBdr>
        <w:top w:val="none" w:sz="0" w:space="0" w:color="auto"/>
        <w:left w:val="none" w:sz="0" w:space="0" w:color="auto"/>
        <w:bottom w:val="none" w:sz="0" w:space="0" w:color="auto"/>
        <w:right w:val="none" w:sz="0" w:space="0" w:color="auto"/>
      </w:divBdr>
    </w:div>
    <w:div w:id="1283077359">
      <w:bodyDiv w:val="1"/>
      <w:marLeft w:val="0"/>
      <w:marRight w:val="0"/>
      <w:marTop w:val="0"/>
      <w:marBottom w:val="0"/>
      <w:divBdr>
        <w:top w:val="none" w:sz="0" w:space="0" w:color="auto"/>
        <w:left w:val="none" w:sz="0" w:space="0" w:color="auto"/>
        <w:bottom w:val="none" w:sz="0" w:space="0" w:color="auto"/>
        <w:right w:val="none" w:sz="0" w:space="0" w:color="auto"/>
      </w:divBdr>
      <w:divsChild>
        <w:div w:id="1028872330">
          <w:marLeft w:val="0"/>
          <w:marRight w:val="0"/>
          <w:marTop w:val="0"/>
          <w:marBottom w:val="0"/>
          <w:divBdr>
            <w:top w:val="none" w:sz="0" w:space="0" w:color="auto"/>
            <w:left w:val="none" w:sz="0" w:space="0" w:color="auto"/>
            <w:bottom w:val="none" w:sz="0" w:space="0" w:color="auto"/>
            <w:right w:val="none" w:sz="0" w:space="0" w:color="auto"/>
          </w:divBdr>
          <w:divsChild>
            <w:div w:id="285283765">
              <w:marLeft w:val="0"/>
              <w:marRight w:val="0"/>
              <w:marTop w:val="0"/>
              <w:marBottom w:val="0"/>
              <w:divBdr>
                <w:top w:val="none" w:sz="0" w:space="0" w:color="auto"/>
                <w:left w:val="none" w:sz="0" w:space="0" w:color="auto"/>
                <w:bottom w:val="none" w:sz="0" w:space="0" w:color="auto"/>
                <w:right w:val="none" w:sz="0" w:space="0" w:color="auto"/>
              </w:divBdr>
              <w:divsChild>
                <w:div w:id="1117607128">
                  <w:marLeft w:val="0"/>
                  <w:marRight w:val="0"/>
                  <w:marTop w:val="0"/>
                  <w:marBottom w:val="0"/>
                  <w:divBdr>
                    <w:top w:val="none" w:sz="0" w:space="0" w:color="auto"/>
                    <w:left w:val="none" w:sz="0" w:space="0" w:color="auto"/>
                    <w:bottom w:val="none" w:sz="0" w:space="0" w:color="auto"/>
                    <w:right w:val="none" w:sz="0" w:space="0" w:color="auto"/>
                  </w:divBdr>
                  <w:divsChild>
                    <w:div w:id="1300454091">
                      <w:marLeft w:val="0"/>
                      <w:marRight w:val="0"/>
                      <w:marTop w:val="0"/>
                      <w:marBottom w:val="0"/>
                      <w:divBdr>
                        <w:top w:val="none" w:sz="0" w:space="0" w:color="auto"/>
                        <w:left w:val="none" w:sz="0" w:space="0" w:color="auto"/>
                        <w:bottom w:val="none" w:sz="0" w:space="0" w:color="auto"/>
                        <w:right w:val="none" w:sz="0" w:space="0" w:color="auto"/>
                      </w:divBdr>
                      <w:divsChild>
                        <w:div w:id="704061431">
                          <w:marLeft w:val="0"/>
                          <w:marRight w:val="0"/>
                          <w:marTop w:val="0"/>
                          <w:marBottom w:val="0"/>
                          <w:divBdr>
                            <w:top w:val="none" w:sz="0" w:space="0" w:color="auto"/>
                            <w:left w:val="none" w:sz="0" w:space="0" w:color="auto"/>
                            <w:bottom w:val="none" w:sz="0" w:space="0" w:color="auto"/>
                            <w:right w:val="none" w:sz="0" w:space="0" w:color="auto"/>
                          </w:divBdr>
                          <w:divsChild>
                            <w:div w:id="289945281">
                              <w:marLeft w:val="0"/>
                              <w:marRight w:val="0"/>
                              <w:marTop w:val="0"/>
                              <w:marBottom w:val="0"/>
                              <w:divBdr>
                                <w:top w:val="none" w:sz="0" w:space="0" w:color="auto"/>
                                <w:left w:val="none" w:sz="0" w:space="0" w:color="auto"/>
                                <w:bottom w:val="none" w:sz="0" w:space="0" w:color="auto"/>
                                <w:right w:val="none" w:sz="0" w:space="0" w:color="auto"/>
                              </w:divBdr>
                              <w:divsChild>
                                <w:div w:id="1297493489">
                                  <w:marLeft w:val="0"/>
                                  <w:marRight w:val="0"/>
                                  <w:marTop w:val="0"/>
                                  <w:marBottom w:val="0"/>
                                  <w:divBdr>
                                    <w:top w:val="none" w:sz="0" w:space="0" w:color="auto"/>
                                    <w:left w:val="none" w:sz="0" w:space="0" w:color="auto"/>
                                    <w:bottom w:val="none" w:sz="0" w:space="0" w:color="auto"/>
                                    <w:right w:val="none" w:sz="0" w:space="0" w:color="auto"/>
                                  </w:divBdr>
                                  <w:divsChild>
                                    <w:div w:id="1274903916">
                                      <w:marLeft w:val="0"/>
                                      <w:marRight w:val="0"/>
                                      <w:marTop w:val="0"/>
                                      <w:marBottom w:val="0"/>
                                      <w:divBdr>
                                        <w:top w:val="none" w:sz="0" w:space="0" w:color="auto"/>
                                        <w:left w:val="none" w:sz="0" w:space="0" w:color="auto"/>
                                        <w:bottom w:val="none" w:sz="0" w:space="0" w:color="auto"/>
                                        <w:right w:val="none" w:sz="0" w:space="0" w:color="auto"/>
                                      </w:divBdr>
                                      <w:divsChild>
                                        <w:div w:id="1245644185">
                                          <w:marLeft w:val="0"/>
                                          <w:marRight w:val="0"/>
                                          <w:marTop w:val="0"/>
                                          <w:marBottom w:val="0"/>
                                          <w:divBdr>
                                            <w:top w:val="none" w:sz="0" w:space="0" w:color="auto"/>
                                            <w:left w:val="none" w:sz="0" w:space="0" w:color="auto"/>
                                            <w:bottom w:val="none" w:sz="0" w:space="0" w:color="auto"/>
                                            <w:right w:val="none" w:sz="0" w:space="0" w:color="auto"/>
                                          </w:divBdr>
                                          <w:divsChild>
                                            <w:div w:id="1035278910">
                                              <w:marLeft w:val="0"/>
                                              <w:marRight w:val="0"/>
                                              <w:marTop w:val="0"/>
                                              <w:marBottom w:val="0"/>
                                              <w:divBdr>
                                                <w:top w:val="none" w:sz="0" w:space="0" w:color="auto"/>
                                                <w:left w:val="none" w:sz="0" w:space="0" w:color="auto"/>
                                                <w:bottom w:val="none" w:sz="0" w:space="0" w:color="auto"/>
                                                <w:right w:val="none" w:sz="0" w:space="0" w:color="auto"/>
                                              </w:divBdr>
                                              <w:divsChild>
                                                <w:div w:id="1749309738">
                                                  <w:marLeft w:val="0"/>
                                                  <w:marRight w:val="0"/>
                                                  <w:marTop w:val="0"/>
                                                  <w:marBottom w:val="0"/>
                                                  <w:divBdr>
                                                    <w:top w:val="none" w:sz="0" w:space="0" w:color="auto"/>
                                                    <w:left w:val="none" w:sz="0" w:space="0" w:color="auto"/>
                                                    <w:bottom w:val="none" w:sz="0" w:space="0" w:color="auto"/>
                                                    <w:right w:val="none" w:sz="0" w:space="0" w:color="auto"/>
                                                  </w:divBdr>
                                                  <w:divsChild>
                                                    <w:div w:id="153111119">
                                                      <w:marLeft w:val="0"/>
                                                      <w:marRight w:val="0"/>
                                                      <w:marTop w:val="0"/>
                                                      <w:marBottom w:val="0"/>
                                                      <w:divBdr>
                                                        <w:top w:val="none" w:sz="0" w:space="0" w:color="auto"/>
                                                        <w:left w:val="none" w:sz="0" w:space="0" w:color="auto"/>
                                                        <w:bottom w:val="none" w:sz="0" w:space="0" w:color="auto"/>
                                                        <w:right w:val="none" w:sz="0" w:space="0" w:color="auto"/>
                                                      </w:divBdr>
                                                      <w:divsChild>
                                                        <w:div w:id="1901209526">
                                                          <w:marLeft w:val="0"/>
                                                          <w:marRight w:val="0"/>
                                                          <w:marTop w:val="0"/>
                                                          <w:marBottom w:val="0"/>
                                                          <w:divBdr>
                                                            <w:top w:val="none" w:sz="0" w:space="0" w:color="auto"/>
                                                            <w:left w:val="none" w:sz="0" w:space="0" w:color="auto"/>
                                                            <w:bottom w:val="none" w:sz="0" w:space="0" w:color="auto"/>
                                                            <w:right w:val="none" w:sz="0" w:space="0" w:color="auto"/>
                                                          </w:divBdr>
                                                          <w:divsChild>
                                                            <w:div w:id="1086684545">
                                                              <w:marLeft w:val="0"/>
                                                              <w:marRight w:val="0"/>
                                                              <w:marTop w:val="0"/>
                                                              <w:marBottom w:val="0"/>
                                                              <w:divBdr>
                                                                <w:top w:val="none" w:sz="0" w:space="0" w:color="auto"/>
                                                                <w:left w:val="none" w:sz="0" w:space="0" w:color="auto"/>
                                                                <w:bottom w:val="none" w:sz="0" w:space="0" w:color="auto"/>
                                                                <w:right w:val="none" w:sz="0" w:space="0" w:color="auto"/>
                                                              </w:divBdr>
                                                              <w:divsChild>
                                                                <w:div w:id="651912160">
                                                                  <w:marLeft w:val="480"/>
                                                                  <w:marRight w:val="0"/>
                                                                  <w:marTop w:val="0"/>
                                                                  <w:marBottom w:val="0"/>
                                                                  <w:divBdr>
                                                                    <w:top w:val="none" w:sz="0" w:space="0" w:color="auto"/>
                                                                    <w:left w:val="none" w:sz="0" w:space="0" w:color="auto"/>
                                                                    <w:bottom w:val="none" w:sz="0" w:space="0" w:color="auto"/>
                                                                    <w:right w:val="none" w:sz="0" w:space="0" w:color="auto"/>
                                                                  </w:divBdr>
                                                                  <w:divsChild>
                                                                    <w:div w:id="1088041054">
                                                                      <w:marLeft w:val="0"/>
                                                                      <w:marRight w:val="0"/>
                                                                      <w:marTop w:val="0"/>
                                                                      <w:marBottom w:val="0"/>
                                                                      <w:divBdr>
                                                                        <w:top w:val="none" w:sz="0" w:space="0" w:color="auto"/>
                                                                        <w:left w:val="none" w:sz="0" w:space="0" w:color="auto"/>
                                                                        <w:bottom w:val="none" w:sz="0" w:space="0" w:color="auto"/>
                                                                        <w:right w:val="none" w:sz="0" w:space="0" w:color="auto"/>
                                                                      </w:divBdr>
                                                                      <w:divsChild>
                                                                        <w:div w:id="1440030253">
                                                                          <w:marLeft w:val="0"/>
                                                                          <w:marRight w:val="0"/>
                                                                          <w:marTop w:val="0"/>
                                                                          <w:marBottom w:val="0"/>
                                                                          <w:divBdr>
                                                                            <w:top w:val="none" w:sz="0" w:space="0" w:color="auto"/>
                                                                            <w:left w:val="none" w:sz="0" w:space="0" w:color="auto"/>
                                                                            <w:bottom w:val="none" w:sz="0" w:space="0" w:color="auto"/>
                                                                            <w:right w:val="none" w:sz="0" w:space="0" w:color="auto"/>
                                                                          </w:divBdr>
                                                                          <w:divsChild>
                                                                            <w:div w:id="1909266376">
                                                                              <w:marLeft w:val="0"/>
                                                                              <w:marRight w:val="0"/>
                                                                              <w:marTop w:val="0"/>
                                                                              <w:marBottom w:val="0"/>
                                                                              <w:divBdr>
                                                                                <w:top w:val="none" w:sz="0" w:space="0" w:color="auto"/>
                                                                                <w:left w:val="none" w:sz="0" w:space="0" w:color="auto"/>
                                                                                <w:bottom w:val="none" w:sz="0" w:space="0" w:color="auto"/>
                                                                                <w:right w:val="none" w:sz="0" w:space="0" w:color="auto"/>
                                                                              </w:divBdr>
                                                                              <w:divsChild>
                                                                                <w:div w:id="1843080528">
                                                                                  <w:marLeft w:val="0"/>
                                                                                  <w:marRight w:val="0"/>
                                                                                  <w:marTop w:val="0"/>
                                                                                  <w:marBottom w:val="0"/>
                                                                                  <w:divBdr>
                                                                                    <w:top w:val="none" w:sz="0" w:space="0" w:color="auto"/>
                                                                                    <w:left w:val="none" w:sz="0" w:space="0" w:color="auto"/>
                                                                                    <w:bottom w:val="none" w:sz="0" w:space="0" w:color="auto"/>
                                                                                    <w:right w:val="none" w:sz="0" w:space="0" w:color="auto"/>
                                                                                  </w:divBdr>
                                                                                  <w:divsChild>
                                                                                    <w:div w:id="808398100">
                                                                                      <w:marLeft w:val="0"/>
                                                                                      <w:marRight w:val="0"/>
                                                                                      <w:marTop w:val="0"/>
                                                                                      <w:marBottom w:val="0"/>
                                                                                      <w:divBdr>
                                                                                        <w:top w:val="none" w:sz="0" w:space="0" w:color="auto"/>
                                                                                        <w:left w:val="none" w:sz="0" w:space="0" w:color="auto"/>
                                                                                        <w:bottom w:val="none" w:sz="0" w:space="0" w:color="auto"/>
                                                                                        <w:right w:val="none" w:sz="0" w:space="0" w:color="auto"/>
                                                                                      </w:divBdr>
                                                                                      <w:divsChild>
                                                                                        <w:div w:id="1140533622">
                                                                                          <w:marLeft w:val="0"/>
                                                                                          <w:marRight w:val="0"/>
                                                                                          <w:marTop w:val="240"/>
                                                                                          <w:marBottom w:val="0"/>
                                                                                          <w:divBdr>
                                                                                            <w:top w:val="none" w:sz="0" w:space="0" w:color="auto"/>
                                                                                            <w:left w:val="none" w:sz="0" w:space="0" w:color="auto"/>
                                                                                            <w:bottom w:val="single" w:sz="6" w:space="23" w:color="auto"/>
                                                                                            <w:right w:val="none" w:sz="0" w:space="0" w:color="auto"/>
                                                                                          </w:divBdr>
                                                                                          <w:divsChild>
                                                                                            <w:div w:id="523059907">
                                                                                              <w:marLeft w:val="0"/>
                                                                                              <w:marRight w:val="0"/>
                                                                                              <w:marTop w:val="0"/>
                                                                                              <w:marBottom w:val="0"/>
                                                                                              <w:divBdr>
                                                                                                <w:top w:val="none" w:sz="0" w:space="0" w:color="auto"/>
                                                                                                <w:left w:val="none" w:sz="0" w:space="0" w:color="auto"/>
                                                                                                <w:bottom w:val="none" w:sz="0" w:space="0" w:color="auto"/>
                                                                                                <w:right w:val="none" w:sz="0" w:space="0" w:color="auto"/>
                                                                                              </w:divBdr>
                                                                                              <w:divsChild>
                                                                                                <w:div w:id="1843471220">
                                                                                                  <w:marLeft w:val="0"/>
                                                                                                  <w:marRight w:val="0"/>
                                                                                                  <w:marTop w:val="0"/>
                                                                                                  <w:marBottom w:val="0"/>
                                                                                                  <w:divBdr>
                                                                                                    <w:top w:val="none" w:sz="0" w:space="0" w:color="auto"/>
                                                                                                    <w:left w:val="none" w:sz="0" w:space="0" w:color="auto"/>
                                                                                                    <w:bottom w:val="none" w:sz="0" w:space="0" w:color="auto"/>
                                                                                                    <w:right w:val="none" w:sz="0" w:space="0" w:color="auto"/>
                                                                                                  </w:divBdr>
                                                                                                  <w:divsChild>
                                                                                                    <w:div w:id="1531646156">
                                                                                                      <w:marLeft w:val="0"/>
                                                                                                      <w:marRight w:val="0"/>
                                                                                                      <w:marTop w:val="0"/>
                                                                                                      <w:marBottom w:val="0"/>
                                                                                                      <w:divBdr>
                                                                                                        <w:top w:val="none" w:sz="0" w:space="0" w:color="auto"/>
                                                                                                        <w:left w:val="none" w:sz="0" w:space="0" w:color="auto"/>
                                                                                                        <w:bottom w:val="none" w:sz="0" w:space="0" w:color="auto"/>
                                                                                                        <w:right w:val="none" w:sz="0" w:space="0" w:color="auto"/>
                                                                                                      </w:divBdr>
                                                                                                      <w:divsChild>
                                                                                                        <w:div w:id="1991061379">
                                                                                                          <w:marLeft w:val="0"/>
                                                                                                          <w:marRight w:val="0"/>
                                                                                                          <w:marTop w:val="0"/>
                                                                                                          <w:marBottom w:val="0"/>
                                                                                                          <w:divBdr>
                                                                                                            <w:top w:val="none" w:sz="0" w:space="0" w:color="auto"/>
                                                                                                            <w:left w:val="none" w:sz="0" w:space="0" w:color="auto"/>
                                                                                                            <w:bottom w:val="none" w:sz="0" w:space="0" w:color="auto"/>
                                                                                                            <w:right w:val="none" w:sz="0" w:space="0" w:color="auto"/>
                                                                                                          </w:divBdr>
                                                                                                          <w:divsChild>
                                                                                                            <w:div w:id="603655776">
                                                                                                              <w:marLeft w:val="0"/>
                                                                                                              <w:marRight w:val="0"/>
                                                                                                              <w:marTop w:val="0"/>
                                                                                                              <w:marBottom w:val="0"/>
                                                                                                              <w:divBdr>
                                                                                                                <w:top w:val="none" w:sz="0" w:space="0" w:color="auto"/>
                                                                                                                <w:left w:val="none" w:sz="0" w:space="0" w:color="auto"/>
                                                                                                                <w:bottom w:val="none" w:sz="0" w:space="0" w:color="auto"/>
                                                                                                                <w:right w:val="none" w:sz="0" w:space="0" w:color="auto"/>
                                                                                                              </w:divBdr>
                                                                                                              <w:divsChild>
                                                                                                                <w:div w:id="1903369666">
                                                                                                                  <w:marLeft w:val="0"/>
                                                                                                                  <w:marRight w:val="0"/>
                                                                                                                  <w:marTop w:val="0"/>
                                                                                                                  <w:marBottom w:val="0"/>
                                                                                                                  <w:divBdr>
                                                                                                                    <w:top w:val="none" w:sz="0" w:space="0" w:color="auto"/>
                                                                                                                    <w:left w:val="none" w:sz="0" w:space="0" w:color="auto"/>
                                                                                                                    <w:bottom w:val="none" w:sz="0" w:space="0" w:color="auto"/>
                                                                                                                    <w:right w:val="none" w:sz="0" w:space="0" w:color="auto"/>
                                                                                                                  </w:divBdr>
                                                                                                                  <w:divsChild>
                                                                                                                    <w:div w:id="1794711767">
                                                                                                                      <w:marLeft w:val="0"/>
                                                                                                                      <w:marRight w:val="0"/>
                                                                                                                      <w:marTop w:val="0"/>
                                                                                                                      <w:marBottom w:val="0"/>
                                                                                                                      <w:divBdr>
                                                                                                                        <w:top w:val="none" w:sz="0" w:space="0" w:color="auto"/>
                                                                                                                        <w:left w:val="none" w:sz="0" w:space="0" w:color="auto"/>
                                                                                                                        <w:bottom w:val="none" w:sz="0" w:space="0" w:color="auto"/>
                                                                                                                        <w:right w:val="none" w:sz="0" w:space="0" w:color="auto"/>
                                                                                                                      </w:divBdr>
                                                                                                                      <w:divsChild>
                                                                                                                        <w:div w:id="54663301">
                                                                                                                          <w:marLeft w:val="0"/>
                                                                                                                          <w:marRight w:val="0"/>
                                                                                                                          <w:marTop w:val="0"/>
                                                                                                                          <w:marBottom w:val="0"/>
                                                                                                                          <w:divBdr>
                                                                                                                            <w:top w:val="none" w:sz="0" w:space="0" w:color="auto"/>
                                                                                                                            <w:left w:val="none" w:sz="0" w:space="0" w:color="auto"/>
                                                                                                                            <w:bottom w:val="none" w:sz="0" w:space="0" w:color="auto"/>
                                                                                                                            <w:right w:val="none" w:sz="0" w:space="0" w:color="auto"/>
                                                                                                                          </w:divBdr>
                                                                                                                        </w:div>
                                                                                                                        <w:div w:id="591165401">
                                                                                                                          <w:marLeft w:val="0"/>
                                                                                                                          <w:marRight w:val="0"/>
                                                                                                                          <w:marTop w:val="0"/>
                                                                                                                          <w:marBottom w:val="0"/>
                                                                                                                          <w:divBdr>
                                                                                                                            <w:top w:val="none" w:sz="0" w:space="0" w:color="auto"/>
                                                                                                                            <w:left w:val="none" w:sz="0" w:space="0" w:color="auto"/>
                                                                                                                            <w:bottom w:val="none" w:sz="0" w:space="0" w:color="auto"/>
                                                                                                                            <w:right w:val="none" w:sz="0" w:space="0" w:color="auto"/>
                                                                                                                          </w:divBdr>
                                                                                                                        </w:div>
                                                                                                                        <w:div w:id="787046579">
                                                                                                                          <w:marLeft w:val="0"/>
                                                                                                                          <w:marRight w:val="0"/>
                                                                                                                          <w:marTop w:val="0"/>
                                                                                                                          <w:marBottom w:val="0"/>
                                                                                                                          <w:divBdr>
                                                                                                                            <w:top w:val="none" w:sz="0" w:space="0" w:color="auto"/>
                                                                                                                            <w:left w:val="none" w:sz="0" w:space="0" w:color="auto"/>
                                                                                                                            <w:bottom w:val="none" w:sz="0" w:space="0" w:color="auto"/>
                                                                                                                            <w:right w:val="none" w:sz="0" w:space="0" w:color="auto"/>
                                                                                                                          </w:divBdr>
                                                                                                                        </w:div>
                                                                                                                        <w:div w:id="847521211">
                                                                                                                          <w:marLeft w:val="0"/>
                                                                                                                          <w:marRight w:val="0"/>
                                                                                                                          <w:marTop w:val="0"/>
                                                                                                                          <w:marBottom w:val="0"/>
                                                                                                                          <w:divBdr>
                                                                                                                            <w:top w:val="none" w:sz="0" w:space="0" w:color="auto"/>
                                                                                                                            <w:left w:val="none" w:sz="0" w:space="0" w:color="auto"/>
                                                                                                                            <w:bottom w:val="none" w:sz="0" w:space="0" w:color="auto"/>
                                                                                                                            <w:right w:val="none" w:sz="0" w:space="0" w:color="auto"/>
                                                                                                                          </w:divBdr>
                                                                                                                        </w:div>
                                                                                                                        <w:div w:id="1098670618">
                                                                                                                          <w:marLeft w:val="0"/>
                                                                                                                          <w:marRight w:val="0"/>
                                                                                                                          <w:marTop w:val="0"/>
                                                                                                                          <w:marBottom w:val="0"/>
                                                                                                                          <w:divBdr>
                                                                                                                            <w:top w:val="none" w:sz="0" w:space="0" w:color="auto"/>
                                                                                                                            <w:left w:val="none" w:sz="0" w:space="0" w:color="auto"/>
                                                                                                                            <w:bottom w:val="none" w:sz="0" w:space="0" w:color="auto"/>
                                                                                                                            <w:right w:val="none" w:sz="0" w:space="0" w:color="auto"/>
                                                                                                                          </w:divBdr>
                                                                                                                        </w:div>
                                                                                                                        <w:div w:id="1428848271">
                                                                                                                          <w:marLeft w:val="0"/>
                                                                                                                          <w:marRight w:val="0"/>
                                                                                                                          <w:marTop w:val="0"/>
                                                                                                                          <w:marBottom w:val="0"/>
                                                                                                                          <w:divBdr>
                                                                                                                            <w:top w:val="none" w:sz="0" w:space="0" w:color="auto"/>
                                                                                                                            <w:left w:val="none" w:sz="0" w:space="0" w:color="auto"/>
                                                                                                                            <w:bottom w:val="none" w:sz="0" w:space="0" w:color="auto"/>
                                                                                                                            <w:right w:val="none" w:sz="0" w:space="0" w:color="auto"/>
                                                                                                                          </w:divBdr>
                                                                                                                        </w:div>
                                                                                                                        <w:div w:id="1495343743">
                                                                                                                          <w:marLeft w:val="0"/>
                                                                                                                          <w:marRight w:val="0"/>
                                                                                                                          <w:marTop w:val="0"/>
                                                                                                                          <w:marBottom w:val="0"/>
                                                                                                                          <w:divBdr>
                                                                                                                            <w:top w:val="none" w:sz="0" w:space="0" w:color="auto"/>
                                                                                                                            <w:left w:val="none" w:sz="0" w:space="0" w:color="auto"/>
                                                                                                                            <w:bottom w:val="none" w:sz="0" w:space="0" w:color="auto"/>
                                                                                                                            <w:right w:val="none" w:sz="0" w:space="0" w:color="auto"/>
                                                                                                                          </w:divBdr>
                                                                                                                        </w:div>
                                                                                                                        <w:div w:id="1516261741">
                                                                                                                          <w:marLeft w:val="0"/>
                                                                                                                          <w:marRight w:val="0"/>
                                                                                                                          <w:marTop w:val="0"/>
                                                                                                                          <w:marBottom w:val="0"/>
                                                                                                                          <w:divBdr>
                                                                                                                            <w:top w:val="none" w:sz="0" w:space="0" w:color="auto"/>
                                                                                                                            <w:left w:val="none" w:sz="0" w:space="0" w:color="auto"/>
                                                                                                                            <w:bottom w:val="none" w:sz="0" w:space="0" w:color="auto"/>
                                                                                                                            <w:right w:val="none" w:sz="0" w:space="0" w:color="auto"/>
                                                                                                                          </w:divBdr>
                                                                                                                        </w:div>
                                                                                                                        <w:div w:id="1659109964">
                                                                                                                          <w:marLeft w:val="0"/>
                                                                                                                          <w:marRight w:val="0"/>
                                                                                                                          <w:marTop w:val="0"/>
                                                                                                                          <w:marBottom w:val="0"/>
                                                                                                                          <w:divBdr>
                                                                                                                            <w:top w:val="none" w:sz="0" w:space="0" w:color="auto"/>
                                                                                                                            <w:left w:val="none" w:sz="0" w:space="0" w:color="auto"/>
                                                                                                                            <w:bottom w:val="none" w:sz="0" w:space="0" w:color="auto"/>
                                                                                                                            <w:right w:val="none" w:sz="0" w:space="0" w:color="auto"/>
                                                                                                                          </w:divBdr>
                                                                                                                        </w:div>
                                                                                                                        <w:div w:id="1902784815">
                                                                                                                          <w:marLeft w:val="0"/>
                                                                                                                          <w:marRight w:val="0"/>
                                                                                                                          <w:marTop w:val="0"/>
                                                                                                                          <w:marBottom w:val="0"/>
                                                                                                                          <w:divBdr>
                                                                                                                            <w:top w:val="none" w:sz="0" w:space="0" w:color="auto"/>
                                                                                                                            <w:left w:val="none" w:sz="0" w:space="0" w:color="auto"/>
                                                                                                                            <w:bottom w:val="none" w:sz="0" w:space="0" w:color="auto"/>
                                                                                                                            <w:right w:val="none" w:sz="0" w:space="0" w:color="auto"/>
                                                                                                                          </w:divBdr>
                                                                                                                        </w:div>
                                                                                                                        <w:div w:id="2026665229">
                                                                                                                          <w:marLeft w:val="0"/>
                                                                                                                          <w:marRight w:val="0"/>
                                                                                                                          <w:marTop w:val="0"/>
                                                                                                                          <w:marBottom w:val="0"/>
                                                                                                                          <w:divBdr>
                                                                                                                            <w:top w:val="none" w:sz="0" w:space="0" w:color="auto"/>
                                                                                                                            <w:left w:val="none" w:sz="0" w:space="0" w:color="auto"/>
                                                                                                                            <w:bottom w:val="none" w:sz="0" w:space="0" w:color="auto"/>
                                                                                                                            <w:right w:val="none" w:sz="0" w:space="0" w:color="auto"/>
                                                                                                                          </w:divBdr>
                                                                                                                        </w:div>
                                                                                                                        <w:div w:id="2095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842357">
      <w:bodyDiv w:val="1"/>
      <w:marLeft w:val="0"/>
      <w:marRight w:val="0"/>
      <w:marTop w:val="0"/>
      <w:marBottom w:val="0"/>
      <w:divBdr>
        <w:top w:val="none" w:sz="0" w:space="0" w:color="auto"/>
        <w:left w:val="none" w:sz="0" w:space="0" w:color="auto"/>
        <w:bottom w:val="none" w:sz="0" w:space="0" w:color="auto"/>
        <w:right w:val="none" w:sz="0" w:space="0" w:color="auto"/>
      </w:divBdr>
    </w:div>
    <w:div w:id="17607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2_22.htm" TargetMode="External"/><Relationship Id="rId2" Type="http://schemas.openxmlformats.org/officeDocument/2006/relationships/hyperlink" Target="https://elibrary-backup.ferc.gov/idmws/common/OpenNat.asp?fileID=14711316" TargetMode="External"/><Relationship Id="rId1" Type="http://schemas.openxmlformats.org/officeDocument/2006/relationships/hyperlink" Target="https://elibrary-backup.ferc.gov/idmws/common/OpenNat.asp?fileID=14711316" TargetMode="External"/><Relationship Id="rId5" Type="http://schemas.openxmlformats.org/officeDocument/2006/relationships/hyperlink" Target="https://elibrary-backup.ferc.gov/idmws/common/OpenNat.asp?fileID=12589954" TargetMode="External"/><Relationship Id="rId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725HH</_x0031__x002e__x0020_Collection_x0020_Number>
    <Date xmlns="d6eefc7d-9817-4fa6-84d5-3bc009be21b8">2018-02-09T00:00:00-05:00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RD17-8</_x0031__x002e__x0020_Docket_x0020_Number>
    <_x0033__x002e__x0020_Collection_x0020_Number xmlns="d6eefc7d-9817-4fa6-84d5-3bc009be21b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E3BC-F762-4B72-A076-563524F1F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783F0-ACE0-4D7F-96AF-DBDF9F9A071F}">
  <ds:schemaRefs>
    <ds:schemaRef ds:uri="Microsoft.SharePoint.Taxonomy.ContentTypeSync"/>
  </ds:schemaRefs>
</ds:datastoreItem>
</file>

<file path=customXml/itemProps3.xml><?xml version="1.0" encoding="utf-8"?>
<ds:datastoreItem xmlns:ds="http://schemas.openxmlformats.org/officeDocument/2006/customXml" ds:itemID="{70FB0B40-BED7-468D-8DF6-FF4C5681C152}">
  <ds:schemaRefs>
    <ds:schemaRef ds:uri="http://schemas.microsoft.com/office/2006/metadata/customXsn"/>
  </ds:schemaRefs>
</ds:datastoreItem>
</file>

<file path=customXml/itemProps4.xml><?xml version="1.0" encoding="utf-8"?>
<ds:datastoreItem xmlns:ds="http://schemas.openxmlformats.org/officeDocument/2006/customXml" ds:itemID="{05E70F4A-87E6-4221-8D2C-3B3AA38C812D}">
  <ds:schemaRefs>
    <ds:schemaRef ds:uri="http://purl.org/dc/elements/1.1/"/>
    <ds:schemaRef ds:uri="http://schemas.microsoft.com/office/2006/documentManagement/types"/>
    <ds:schemaRef ds:uri="d6eefc7d-9817-4fa6-84d5-3bc009be21b8"/>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C78337A4-D1AD-43E3-AA03-90BBF8CE3E2E}">
  <ds:schemaRefs>
    <ds:schemaRef ds:uri="http://schemas.microsoft.com/sharepoint/v3/contenttype/forms"/>
  </ds:schemaRefs>
</ds:datastoreItem>
</file>

<file path=customXml/itemProps6.xml><?xml version="1.0" encoding="utf-8"?>
<ds:datastoreItem xmlns:ds="http://schemas.openxmlformats.org/officeDocument/2006/customXml" ds:itemID="{A0C85E3A-BAF3-48F8-825F-4DB4204C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RD17-8 supporting statement</vt:lpstr>
    </vt:vector>
  </TitlesOfParts>
  <Company>Federal Energy Regulatory Commission</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RD17-8 supporting statement</dc:title>
  <dc:subject/>
  <dc:creator>anthony.may@ferc.gov</dc:creator>
  <cp:keywords/>
  <cp:lastModifiedBy>SYSTEM</cp:lastModifiedBy>
  <cp:revision>2</cp:revision>
  <dcterms:created xsi:type="dcterms:W3CDTF">2018-02-09T18:44:00Z</dcterms:created>
  <dcterms:modified xsi:type="dcterms:W3CDTF">2018-02-09T18:44:00Z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