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20" w:rsidRDefault="003669C9" w:rsidP="008E676F">
      <w:pPr>
        <w:tabs>
          <w:tab w:val="left" w:pos="2530"/>
        </w:tabs>
        <w:suppressAutoHyphens/>
        <w:rPr>
          <w:rFonts w:ascii="Times New Roman" w:hAnsi="Times New Roman"/>
          <w:b/>
          <w:bCs/>
          <w:sz w:val="24"/>
        </w:rPr>
      </w:pPr>
      <w:bookmarkStart w:id="0" w:name="_GoBack"/>
      <w:bookmarkEnd w:id="0"/>
      <w:r>
        <w:rPr>
          <w:rFonts w:ascii="Times New Roman" w:hAnsi="Times New Roman"/>
          <w:b/>
          <w:bCs/>
          <w:sz w:val="24"/>
        </w:rPr>
        <w:tab/>
      </w:r>
    </w:p>
    <w:p w:rsidR="0017246D" w:rsidRDefault="0017246D">
      <w:pPr>
        <w:suppressAutoHyphens/>
        <w:jc w:val="center"/>
        <w:rPr>
          <w:rFonts w:ascii="Times New Roman" w:hAnsi="Times New Roman"/>
          <w:b/>
          <w:bCs/>
          <w:sz w:val="24"/>
        </w:rPr>
      </w:pPr>
    </w:p>
    <w:p w:rsidR="0008393C" w:rsidRPr="00473D6B" w:rsidRDefault="00DB5851">
      <w:pPr>
        <w:suppressAutoHyphens/>
        <w:jc w:val="center"/>
        <w:rPr>
          <w:rFonts w:ascii="Times New Roman" w:hAnsi="Times New Roman"/>
          <w:b/>
          <w:bCs/>
          <w:sz w:val="24"/>
        </w:rPr>
      </w:pPr>
      <w:r w:rsidRPr="00473D6B">
        <w:rPr>
          <w:rFonts w:ascii="Times New Roman" w:hAnsi="Times New Roman"/>
          <w:b/>
          <w:bCs/>
          <w:sz w:val="24"/>
        </w:rPr>
        <w:t>SUPPORTING STATEMENT</w:t>
      </w:r>
    </w:p>
    <w:p w:rsidR="0008393C" w:rsidRPr="00473D6B" w:rsidRDefault="0008393C">
      <w:pPr>
        <w:suppressAutoHyphens/>
        <w:jc w:val="center"/>
        <w:rPr>
          <w:rFonts w:ascii="Times New Roman" w:hAnsi="Times New Roman"/>
          <w:sz w:val="24"/>
        </w:rPr>
      </w:pPr>
    </w:p>
    <w:p w:rsidR="00DB5851" w:rsidRPr="00473D6B" w:rsidRDefault="0008393C" w:rsidP="0008393C">
      <w:pPr>
        <w:suppressAutoHyphens/>
        <w:rPr>
          <w:rFonts w:ascii="Times New Roman" w:hAnsi="Times New Roman"/>
          <w:sz w:val="24"/>
        </w:rPr>
      </w:pPr>
      <w:r w:rsidRPr="00473D6B">
        <w:rPr>
          <w:rFonts w:ascii="Times New Roman" w:hAnsi="Times New Roman"/>
          <w:b/>
          <w:sz w:val="24"/>
        </w:rPr>
        <w:t xml:space="preserve">A.  </w:t>
      </w:r>
      <w:r w:rsidRPr="00473D6B">
        <w:rPr>
          <w:rFonts w:ascii="Times New Roman" w:hAnsi="Times New Roman"/>
          <w:b/>
          <w:sz w:val="24"/>
          <w:u w:val="single"/>
        </w:rPr>
        <w:t>Justification:</w:t>
      </w:r>
      <w:r w:rsidR="00DB5851" w:rsidRPr="00473D6B">
        <w:rPr>
          <w:rFonts w:ascii="Times New Roman" w:hAnsi="Times New Roman"/>
          <w:sz w:val="24"/>
        </w:rPr>
        <w:fldChar w:fldCharType="begin"/>
      </w:r>
      <w:r w:rsidR="00DB5851" w:rsidRPr="00473D6B">
        <w:rPr>
          <w:rFonts w:ascii="Times New Roman" w:hAnsi="Times New Roman"/>
          <w:sz w:val="24"/>
        </w:rPr>
        <w:instrText xml:space="preserve">PRIVATE </w:instrText>
      </w:r>
      <w:r w:rsidR="00DB5851" w:rsidRPr="00473D6B">
        <w:rPr>
          <w:rFonts w:ascii="Times New Roman" w:hAnsi="Times New Roman"/>
          <w:sz w:val="24"/>
        </w:rPr>
        <w:fldChar w:fldCharType="end"/>
      </w:r>
    </w:p>
    <w:p w:rsidR="009619C1" w:rsidRPr="00473D6B" w:rsidRDefault="009619C1">
      <w:pPr>
        <w:suppressAutoHyphens/>
        <w:rPr>
          <w:rFonts w:ascii="Times New Roman" w:hAnsi="Times New Roman"/>
          <w:sz w:val="24"/>
        </w:rPr>
      </w:pPr>
    </w:p>
    <w:p w:rsidR="00B03EA0" w:rsidRPr="00C816C3" w:rsidRDefault="004645D0" w:rsidP="00C816C3">
      <w:pPr>
        <w:numPr>
          <w:ilvl w:val="0"/>
          <w:numId w:val="5"/>
        </w:numPr>
        <w:tabs>
          <w:tab w:val="left" w:pos="-720"/>
        </w:tabs>
        <w:suppressAutoHyphens/>
        <w:ind w:left="0" w:firstLine="0"/>
        <w:rPr>
          <w:rFonts w:ascii="Times New Roman" w:hAnsi="Times New Roman"/>
          <w:sz w:val="24"/>
        </w:rPr>
      </w:pPr>
      <w:r w:rsidRPr="00C816C3">
        <w:rPr>
          <w:rFonts w:ascii="Times New Roman" w:hAnsi="Times New Roman"/>
          <w:sz w:val="24"/>
        </w:rPr>
        <w:t xml:space="preserve">The Federal Communications Commission (“Commission”) is requesting that the Office of Management and Budget (OMB) </w:t>
      </w:r>
      <w:r w:rsidR="007E1DF9" w:rsidRPr="00C816C3">
        <w:rPr>
          <w:rFonts w:ascii="Times New Roman" w:hAnsi="Times New Roman"/>
          <w:sz w:val="24"/>
        </w:rPr>
        <w:t xml:space="preserve">approve </w:t>
      </w:r>
      <w:r w:rsidR="00742DE0" w:rsidRPr="00C816C3">
        <w:rPr>
          <w:rFonts w:ascii="Times New Roman" w:hAnsi="Times New Roman"/>
          <w:sz w:val="24"/>
        </w:rPr>
        <w:t xml:space="preserve">a </w:t>
      </w:r>
      <w:r w:rsidR="00E31936" w:rsidRPr="00C816C3">
        <w:rPr>
          <w:rFonts w:ascii="Times New Roman" w:hAnsi="Times New Roman"/>
          <w:sz w:val="24"/>
        </w:rPr>
        <w:t xml:space="preserve">revision </w:t>
      </w:r>
      <w:r w:rsidRPr="00C816C3">
        <w:rPr>
          <w:rFonts w:ascii="Times New Roman" w:hAnsi="Times New Roman"/>
          <w:sz w:val="24"/>
        </w:rPr>
        <w:t>of OMB Control No. 3060-0</w:t>
      </w:r>
      <w:r w:rsidR="00307B0D" w:rsidRPr="00C816C3">
        <w:rPr>
          <w:rFonts w:ascii="Times New Roman" w:hAnsi="Times New Roman"/>
          <w:sz w:val="24"/>
        </w:rPr>
        <w:t>686</w:t>
      </w:r>
      <w:r w:rsidR="007D661F" w:rsidRPr="00C816C3">
        <w:rPr>
          <w:rFonts w:ascii="Times New Roman" w:hAnsi="Times New Roman"/>
          <w:sz w:val="24"/>
        </w:rPr>
        <w:t xml:space="preserve"> </w:t>
      </w:r>
      <w:r w:rsidRPr="00C816C3">
        <w:rPr>
          <w:rFonts w:ascii="Times New Roman" w:hAnsi="Times New Roman"/>
          <w:sz w:val="24"/>
        </w:rPr>
        <w:t>titled, “</w:t>
      </w:r>
      <w:r w:rsidR="00307B0D" w:rsidRPr="00C816C3">
        <w:rPr>
          <w:rFonts w:ascii="Times New Roman" w:hAnsi="Times New Roman"/>
          <w:sz w:val="24"/>
        </w:rPr>
        <w:t>International Section 214 Authorization Process and Tariff Requirements</w:t>
      </w:r>
      <w:r w:rsidR="00A76EC3" w:rsidRPr="00C816C3">
        <w:rPr>
          <w:rFonts w:ascii="Times New Roman" w:hAnsi="Times New Roman"/>
          <w:sz w:val="24"/>
        </w:rPr>
        <w:t xml:space="preserve"> – </w:t>
      </w:r>
      <w:r w:rsidR="00986587" w:rsidRPr="00C816C3">
        <w:rPr>
          <w:rFonts w:ascii="Times New Roman" w:hAnsi="Times New Roman"/>
          <w:sz w:val="24"/>
        </w:rPr>
        <w:t xml:space="preserve">47 CFR </w:t>
      </w:r>
      <w:r w:rsidR="00A76EC3" w:rsidRPr="00C816C3">
        <w:rPr>
          <w:rFonts w:ascii="Times New Roman" w:hAnsi="Times New Roman"/>
          <w:sz w:val="24"/>
        </w:rPr>
        <w:t>Sections 63.10</w:t>
      </w:r>
      <w:r w:rsidR="00D41482" w:rsidRPr="00C816C3">
        <w:rPr>
          <w:rFonts w:ascii="Times New Roman" w:hAnsi="Times New Roman"/>
          <w:sz w:val="24"/>
        </w:rPr>
        <w:t>, 63.11, 63.13, 63.18, 63.19, 63.21, 63.24, 63.25</w:t>
      </w:r>
      <w:r w:rsidR="00B946B5" w:rsidRPr="00C816C3">
        <w:rPr>
          <w:rFonts w:ascii="Times New Roman" w:hAnsi="Times New Roman"/>
          <w:sz w:val="24"/>
        </w:rPr>
        <w:t xml:space="preserve"> and 1.1311</w:t>
      </w:r>
      <w:r w:rsidR="00FD6E9E" w:rsidRPr="00C816C3">
        <w:rPr>
          <w:rFonts w:ascii="Times New Roman" w:hAnsi="Times New Roman"/>
          <w:sz w:val="24"/>
        </w:rPr>
        <w:t>.</w:t>
      </w:r>
      <w:r w:rsidR="00307B0D" w:rsidRPr="00C816C3">
        <w:rPr>
          <w:rFonts w:ascii="Times New Roman" w:hAnsi="Times New Roman"/>
          <w:sz w:val="24"/>
        </w:rPr>
        <w:t>”</w:t>
      </w:r>
      <w:r w:rsidR="007D661F" w:rsidRPr="00C816C3">
        <w:rPr>
          <w:rFonts w:ascii="Times New Roman" w:hAnsi="Times New Roman"/>
          <w:sz w:val="24"/>
        </w:rPr>
        <w:t xml:space="preserve">  </w:t>
      </w:r>
      <w:r w:rsidR="00C816C3">
        <w:rPr>
          <w:rFonts w:ascii="Times New Roman" w:hAnsi="Times New Roman"/>
          <w:sz w:val="24"/>
        </w:rPr>
        <w:t xml:space="preserve">The purpose of this revision is to obtain OMB approval for the reporting requirements under newly adopted 47 CFR 63.22(h), which requires facilities-based international service providers </w:t>
      </w:r>
      <w:r w:rsidR="00E2120A">
        <w:rPr>
          <w:rFonts w:ascii="Times New Roman" w:hAnsi="Times New Roman"/>
          <w:sz w:val="24"/>
        </w:rPr>
        <w:t xml:space="preserve">electronically </w:t>
      </w:r>
      <w:r w:rsidR="00C816C3">
        <w:rPr>
          <w:rFonts w:ascii="Times New Roman" w:hAnsi="Times New Roman"/>
          <w:sz w:val="24"/>
        </w:rPr>
        <w:t>to submit, and maintain, a list of routes on which they have direct termination arrangements wit</w:t>
      </w:r>
      <w:r w:rsidR="00231439">
        <w:rPr>
          <w:rFonts w:ascii="Times New Roman" w:hAnsi="Times New Roman"/>
          <w:sz w:val="24"/>
        </w:rPr>
        <w:t xml:space="preserve">h a foreign carrier.  In addition, this list maybe used to initiate </w:t>
      </w:r>
      <w:r w:rsidR="00C816C3">
        <w:rPr>
          <w:rFonts w:ascii="Times New Roman" w:hAnsi="Times New Roman"/>
          <w:sz w:val="24"/>
        </w:rPr>
        <w:t>targeted data colle</w:t>
      </w:r>
      <w:r w:rsidR="00231439">
        <w:rPr>
          <w:rFonts w:ascii="Times New Roman" w:hAnsi="Times New Roman"/>
          <w:sz w:val="24"/>
        </w:rPr>
        <w:t xml:space="preserve">ctions regarding those routes.  Finally, we remove </w:t>
      </w:r>
      <w:r w:rsidR="00E2120A">
        <w:rPr>
          <w:rFonts w:ascii="Times New Roman" w:hAnsi="Times New Roman"/>
          <w:sz w:val="24"/>
        </w:rPr>
        <w:t xml:space="preserve">from this </w:t>
      </w:r>
      <w:r w:rsidR="00231439">
        <w:rPr>
          <w:rFonts w:ascii="Times New Roman" w:hAnsi="Times New Roman"/>
          <w:sz w:val="24"/>
        </w:rPr>
        <w:t xml:space="preserve">collection </w:t>
      </w:r>
      <w:r w:rsidR="00E2120A">
        <w:rPr>
          <w:rFonts w:ascii="Times New Roman" w:hAnsi="Times New Roman"/>
          <w:sz w:val="24"/>
        </w:rPr>
        <w:t xml:space="preserve">the </w:t>
      </w:r>
      <w:r w:rsidR="00231439">
        <w:rPr>
          <w:rFonts w:ascii="Times New Roman" w:hAnsi="Times New Roman"/>
          <w:sz w:val="24"/>
        </w:rPr>
        <w:t xml:space="preserve">requirements related to 47 U.S.C. 310(b) which are now </w:t>
      </w:r>
      <w:r w:rsidR="009E0D96">
        <w:rPr>
          <w:rFonts w:ascii="Times New Roman" w:hAnsi="Times New Roman"/>
          <w:sz w:val="24"/>
        </w:rPr>
        <w:t xml:space="preserve">included in the collection under </w:t>
      </w:r>
      <w:r w:rsidR="009E0D96" w:rsidRPr="00C816C3">
        <w:rPr>
          <w:rFonts w:ascii="Times New Roman" w:hAnsi="Times New Roman"/>
          <w:sz w:val="24"/>
        </w:rPr>
        <w:t>OMB Control No. 3060-</w:t>
      </w:r>
      <w:r w:rsidR="009E0D96">
        <w:rPr>
          <w:rFonts w:ascii="Times New Roman" w:hAnsi="Times New Roman"/>
          <w:sz w:val="24"/>
        </w:rPr>
        <w:t xml:space="preserve">1163.  </w:t>
      </w:r>
    </w:p>
    <w:p w:rsidR="00E31936" w:rsidRDefault="00E31936" w:rsidP="00B03EA0">
      <w:pPr>
        <w:tabs>
          <w:tab w:val="left" w:pos="-720"/>
        </w:tabs>
        <w:suppressAutoHyphens/>
        <w:rPr>
          <w:rFonts w:ascii="Times New Roman" w:hAnsi="Times New Roman"/>
          <w:sz w:val="24"/>
        </w:rPr>
      </w:pPr>
    </w:p>
    <w:p w:rsidR="00E31936" w:rsidRDefault="00651A36" w:rsidP="00B03EA0">
      <w:pPr>
        <w:tabs>
          <w:tab w:val="left" w:pos="-720"/>
        </w:tabs>
        <w:suppressAutoHyphens/>
        <w:rPr>
          <w:rFonts w:ascii="Times New Roman" w:hAnsi="Times New Roman"/>
          <w:sz w:val="24"/>
        </w:rPr>
      </w:pPr>
      <w:r>
        <w:rPr>
          <w:rFonts w:ascii="Times New Roman" w:hAnsi="Times New Roman"/>
          <w:sz w:val="24"/>
        </w:rPr>
        <w:t>The current title of OMB Control No. 3060-0686 is “</w:t>
      </w:r>
      <w:r w:rsidRPr="00651A36">
        <w:rPr>
          <w:rFonts w:ascii="Times New Roman" w:hAnsi="Times New Roman"/>
          <w:sz w:val="24"/>
        </w:rPr>
        <w:t>International Section 214 Process and Tariff Requirements – 47 CFR Sections 63.10, 63.11, 63.13, 63.18, 63.19, 63.21, 63.24, 63.25 and 1.1311</w:t>
      </w:r>
      <w:r>
        <w:rPr>
          <w:rFonts w:ascii="Times New Roman" w:hAnsi="Times New Roman"/>
          <w:sz w:val="24"/>
        </w:rPr>
        <w:t>”.  The Commission would like to change the title to “</w:t>
      </w:r>
      <w:r w:rsidRPr="00651A36">
        <w:rPr>
          <w:rFonts w:ascii="Times New Roman" w:hAnsi="Times New Roman"/>
          <w:sz w:val="24"/>
        </w:rPr>
        <w:t>International Section 214 Process and Tariff Requirements – 47 CFR Sections 63.10, 63.11, 63.13, 63.18, 63.19, 63.21, 63.22, 63.24, 63.25 and 1.1311</w:t>
      </w:r>
      <w:r>
        <w:rPr>
          <w:rFonts w:ascii="Times New Roman" w:hAnsi="Times New Roman"/>
          <w:sz w:val="24"/>
        </w:rPr>
        <w:t>” to reflect the addition of 47 CFR 63.22(h) to the information collection.</w:t>
      </w:r>
    </w:p>
    <w:p w:rsidR="004236C8" w:rsidRDefault="004236C8" w:rsidP="00B03EA0">
      <w:pPr>
        <w:tabs>
          <w:tab w:val="left" w:pos="-720"/>
        </w:tabs>
        <w:suppressAutoHyphens/>
        <w:rPr>
          <w:rFonts w:ascii="Times New Roman" w:hAnsi="Times New Roman"/>
          <w:sz w:val="24"/>
        </w:rPr>
      </w:pPr>
    </w:p>
    <w:p w:rsidR="00B35F6C" w:rsidRPr="00B35F6C" w:rsidRDefault="00B35F6C" w:rsidP="00B35F6C">
      <w:pPr>
        <w:tabs>
          <w:tab w:val="left" w:pos="-720"/>
        </w:tabs>
        <w:suppressAutoHyphens/>
        <w:rPr>
          <w:rFonts w:ascii="Times New Roman" w:hAnsi="Times New Roman"/>
          <w:b/>
          <w:sz w:val="24"/>
          <w:u w:val="single"/>
        </w:rPr>
      </w:pPr>
      <w:r w:rsidRPr="00B35F6C">
        <w:rPr>
          <w:rFonts w:ascii="Times New Roman" w:hAnsi="Times New Roman"/>
          <w:b/>
          <w:sz w:val="24"/>
          <w:u w:val="single"/>
        </w:rPr>
        <w:t>Background Information</w:t>
      </w:r>
    </w:p>
    <w:p w:rsidR="00B35F6C" w:rsidRPr="00B35F6C" w:rsidRDefault="00B35F6C" w:rsidP="00B35F6C">
      <w:pPr>
        <w:tabs>
          <w:tab w:val="left" w:pos="-720"/>
        </w:tabs>
        <w:suppressAutoHyphens/>
        <w:rPr>
          <w:rFonts w:ascii="Times New Roman" w:hAnsi="Times New Roman"/>
          <w:sz w:val="24"/>
        </w:rPr>
      </w:pPr>
    </w:p>
    <w:p w:rsidR="004236C8" w:rsidRDefault="00B35F6C" w:rsidP="00B35F6C">
      <w:pPr>
        <w:tabs>
          <w:tab w:val="left" w:pos="-720"/>
        </w:tabs>
        <w:suppressAutoHyphens/>
        <w:rPr>
          <w:rFonts w:ascii="Times New Roman" w:hAnsi="Times New Roman"/>
          <w:sz w:val="24"/>
        </w:rPr>
      </w:pPr>
      <w:r w:rsidRPr="00B35F6C">
        <w:rPr>
          <w:rFonts w:ascii="Times New Roman" w:hAnsi="Times New Roman"/>
          <w:sz w:val="24"/>
        </w:rPr>
        <w:t xml:space="preserve">On October 24, 2017, the Commission adopted the </w:t>
      </w:r>
      <w:r w:rsidRPr="00B35F6C">
        <w:rPr>
          <w:rFonts w:ascii="Times New Roman" w:hAnsi="Times New Roman"/>
          <w:i/>
          <w:sz w:val="24"/>
        </w:rPr>
        <w:t xml:space="preserve">Section 43.62 Reporting Requirements for U.S. Providers of International Services; 2016 Biennial Review of Telecommunications Regulations, </w:t>
      </w:r>
      <w:r w:rsidRPr="00B35F6C">
        <w:rPr>
          <w:rFonts w:ascii="Times New Roman" w:hAnsi="Times New Roman"/>
          <w:sz w:val="24"/>
        </w:rPr>
        <w:t>Report and Order, IB Docket Nos. 17-55, 16-131; FCC 17-136 (rel. Oct. 24, 2017) (</w:t>
      </w:r>
      <w:r w:rsidRPr="00B35F6C">
        <w:rPr>
          <w:rFonts w:ascii="Times New Roman" w:hAnsi="Times New Roman"/>
          <w:i/>
          <w:sz w:val="24"/>
        </w:rPr>
        <w:t>2017 Part 43 Report and Order</w:t>
      </w:r>
      <w:r w:rsidRPr="00B35F6C">
        <w:rPr>
          <w:rFonts w:ascii="Times New Roman" w:hAnsi="Times New Roman"/>
          <w:sz w:val="24"/>
        </w:rPr>
        <w:t>).  The Report and Order</w:t>
      </w:r>
      <w:r w:rsidRPr="00B35F6C">
        <w:rPr>
          <w:rFonts w:ascii="Times New Roman" w:hAnsi="Times New Roman"/>
          <w:i/>
          <w:sz w:val="24"/>
        </w:rPr>
        <w:t xml:space="preserve"> </w:t>
      </w:r>
      <w:r w:rsidRPr="00B35F6C">
        <w:rPr>
          <w:rFonts w:ascii="Times New Roman" w:hAnsi="Times New Roman"/>
          <w:sz w:val="24"/>
        </w:rPr>
        <w:t xml:space="preserve">eliminates the </w:t>
      </w:r>
      <w:r w:rsidR="004F3CB6">
        <w:rPr>
          <w:rFonts w:ascii="Times New Roman" w:hAnsi="Times New Roman"/>
          <w:sz w:val="24"/>
        </w:rPr>
        <w:t xml:space="preserve">requirement that U.S.-international service providers file </w:t>
      </w:r>
      <w:r w:rsidRPr="00B35F6C">
        <w:rPr>
          <w:rFonts w:ascii="Times New Roman" w:hAnsi="Times New Roman"/>
          <w:sz w:val="24"/>
        </w:rPr>
        <w:t xml:space="preserve">annual international traffic and revenue reports.  </w:t>
      </w:r>
      <w:r w:rsidR="00FA6C77">
        <w:rPr>
          <w:rFonts w:ascii="Times New Roman" w:hAnsi="Times New Roman"/>
          <w:sz w:val="24"/>
        </w:rPr>
        <w:t xml:space="preserve">(The information collection associated with the annual traffic and revenue report, previously set out in 47 CFR 43.62(b), is covered in OMB Control No. 3060-1156.)  </w:t>
      </w:r>
      <w:r w:rsidR="004F3CB6">
        <w:rPr>
          <w:rFonts w:ascii="Times New Roman" w:hAnsi="Times New Roman"/>
          <w:sz w:val="24"/>
        </w:rPr>
        <w:t xml:space="preserve">In its place the Commission will rely on </w:t>
      </w:r>
      <w:r w:rsidR="00783C53">
        <w:rPr>
          <w:rFonts w:ascii="Times New Roman" w:hAnsi="Times New Roman"/>
          <w:sz w:val="24"/>
        </w:rPr>
        <w:t xml:space="preserve">commercial </w:t>
      </w:r>
      <w:r w:rsidR="004F3CB6">
        <w:rPr>
          <w:rFonts w:ascii="Times New Roman" w:hAnsi="Times New Roman"/>
          <w:sz w:val="24"/>
        </w:rPr>
        <w:t xml:space="preserve">sources of information and targeted data requests.  To ensure that the process for the targeted data requests is efficient the Commission found that it needs </w:t>
      </w:r>
      <w:r w:rsidR="004E0210">
        <w:rPr>
          <w:rFonts w:ascii="Times New Roman" w:hAnsi="Times New Roman"/>
          <w:sz w:val="24"/>
        </w:rPr>
        <w:t xml:space="preserve">a list of which international </w:t>
      </w:r>
      <w:r w:rsidR="00E2120A">
        <w:rPr>
          <w:rFonts w:ascii="Times New Roman" w:hAnsi="Times New Roman"/>
          <w:sz w:val="24"/>
        </w:rPr>
        <w:t xml:space="preserve">service </w:t>
      </w:r>
      <w:r w:rsidR="004E0210">
        <w:rPr>
          <w:rFonts w:ascii="Times New Roman" w:hAnsi="Times New Roman"/>
          <w:sz w:val="24"/>
        </w:rPr>
        <w:t xml:space="preserve">providers have termination arrangements with a foreign carrier on a U.S.-international route so that it will know from which carriers to request data.  </w:t>
      </w:r>
      <w:r w:rsidR="00327D88">
        <w:rPr>
          <w:rFonts w:ascii="Times New Roman" w:hAnsi="Times New Roman"/>
          <w:sz w:val="24"/>
        </w:rPr>
        <w:t>Consequently, the Commission adopted 47 CFR 63.22(h) which will require international facilities-based service providers to submit and maintain a list of routes on which they have direct termination arrangements with a foreign carrier.  Th</w:t>
      </w:r>
      <w:r w:rsidR="00E2120A">
        <w:rPr>
          <w:rFonts w:ascii="Times New Roman" w:hAnsi="Times New Roman"/>
          <w:sz w:val="24"/>
        </w:rPr>
        <w:t xml:space="preserve">e lists are </w:t>
      </w:r>
      <w:r w:rsidR="00327D88">
        <w:rPr>
          <w:rFonts w:ascii="Times New Roman" w:hAnsi="Times New Roman"/>
          <w:sz w:val="24"/>
        </w:rPr>
        <w:t xml:space="preserve">to be filed electronically.  The Commission </w:t>
      </w:r>
      <w:r w:rsidR="00327D88">
        <w:rPr>
          <w:rFonts w:ascii="Times New Roman" w:hAnsi="Times New Roman"/>
          <w:sz w:val="24"/>
        </w:rPr>
        <w:lastRenderedPageBreak/>
        <w:t>will treat the list</w:t>
      </w:r>
      <w:r w:rsidR="00E2120A">
        <w:rPr>
          <w:rFonts w:ascii="Times New Roman" w:hAnsi="Times New Roman"/>
          <w:sz w:val="24"/>
        </w:rPr>
        <w:t>s</w:t>
      </w:r>
      <w:r w:rsidR="00327D88">
        <w:rPr>
          <w:rFonts w:ascii="Times New Roman" w:hAnsi="Times New Roman"/>
          <w:sz w:val="24"/>
        </w:rPr>
        <w:t xml:space="preserve"> as not routinely available for public inspection. </w:t>
      </w:r>
    </w:p>
    <w:p w:rsidR="00327D88" w:rsidRDefault="00327D88" w:rsidP="00B35F6C">
      <w:pPr>
        <w:tabs>
          <w:tab w:val="left" w:pos="-720"/>
        </w:tabs>
        <w:suppressAutoHyphens/>
        <w:rPr>
          <w:rFonts w:ascii="Times New Roman" w:hAnsi="Times New Roman"/>
          <w:sz w:val="24"/>
        </w:rPr>
      </w:pPr>
    </w:p>
    <w:p w:rsidR="00327D88" w:rsidRDefault="00BF222B" w:rsidP="00B35F6C">
      <w:pPr>
        <w:tabs>
          <w:tab w:val="left" w:pos="-720"/>
        </w:tabs>
        <w:suppressAutoHyphens/>
        <w:rPr>
          <w:rFonts w:ascii="Times New Roman" w:hAnsi="Times New Roman"/>
          <w:sz w:val="24"/>
        </w:rPr>
      </w:pPr>
      <w:r>
        <w:rPr>
          <w:rFonts w:ascii="Times New Roman" w:hAnsi="Times New Roman"/>
          <w:sz w:val="24"/>
        </w:rPr>
        <w:t xml:space="preserve">The Commission anticipates that </w:t>
      </w:r>
      <w:r w:rsidR="00E2120A">
        <w:rPr>
          <w:rFonts w:ascii="Times New Roman" w:hAnsi="Times New Roman"/>
          <w:sz w:val="24"/>
        </w:rPr>
        <w:t>that it can meet its statutory obligations using i</w:t>
      </w:r>
      <w:r>
        <w:rPr>
          <w:rFonts w:ascii="Times New Roman" w:hAnsi="Times New Roman"/>
          <w:sz w:val="24"/>
        </w:rPr>
        <w:t xml:space="preserve">nformation provided by applicants or petitioners along with commercially available data.  </w:t>
      </w:r>
      <w:r w:rsidR="00327D88">
        <w:rPr>
          <w:rFonts w:ascii="Times New Roman" w:hAnsi="Times New Roman"/>
          <w:sz w:val="24"/>
        </w:rPr>
        <w:t xml:space="preserve">In </w:t>
      </w:r>
      <w:r w:rsidR="00DD4F73">
        <w:rPr>
          <w:rFonts w:ascii="Times New Roman" w:hAnsi="Times New Roman"/>
          <w:sz w:val="24"/>
        </w:rPr>
        <w:t xml:space="preserve">those few </w:t>
      </w:r>
      <w:r w:rsidR="00327D88">
        <w:rPr>
          <w:rFonts w:ascii="Times New Roman" w:hAnsi="Times New Roman"/>
          <w:sz w:val="24"/>
        </w:rPr>
        <w:t xml:space="preserve">situations where the Commission needs </w:t>
      </w:r>
      <w:r>
        <w:rPr>
          <w:rFonts w:ascii="Times New Roman" w:hAnsi="Times New Roman"/>
          <w:sz w:val="24"/>
        </w:rPr>
        <w:t xml:space="preserve">additional </w:t>
      </w:r>
      <w:r w:rsidR="00327D88">
        <w:rPr>
          <w:rFonts w:ascii="Times New Roman" w:hAnsi="Times New Roman"/>
          <w:sz w:val="24"/>
        </w:rPr>
        <w:t xml:space="preserve">data </w:t>
      </w:r>
      <w:r>
        <w:rPr>
          <w:rFonts w:ascii="Times New Roman" w:hAnsi="Times New Roman"/>
          <w:sz w:val="24"/>
        </w:rPr>
        <w:t xml:space="preserve">for </w:t>
      </w:r>
      <w:r w:rsidR="00E2120A">
        <w:rPr>
          <w:rFonts w:ascii="Times New Roman" w:hAnsi="Times New Roman"/>
          <w:sz w:val="24"/>
        </w:rPr>
        <w:t xml:space="preserve">issues such as </w:t>
      </w:r>
      <w:r>
        <w:rPr>
          <w:rFonts w:ascii="Times New Roman" w:hAnsi="Times New Roman"/>
          <w:sz w:val="24"/>
        </w:rPr>
        <w:t xml:space="preserve">merger review analysis </w:t>
      </w:r>
      <w:r w:rsidR="00E2120A">
        <w:rPr>
          <w:rFonts w:ascii="Times New Roman" w:hAnsi="Times New Roman"/>
          <w:sz w:val="24"/>
        </w:rPr>
        <w:t xml:space="preserve">or </w:t>
      </w:r>
      <w:r>
        <w:rPr>
          <w:rFonts w:ascii="Times New Roman" w:hAnsi="Times New Roman"/>
          <w:sz w:val="24"/>
        </w:rPr>
        <w:t>monitoring and enforcement of its benchmarks settlement rate policy</w:t>
      </w:r>
      <w:r w:rsidR="00E2120A">
        <w:rPr>
          <w:rFonts w:ascii="Times New Roman" w:hAnsi="Times New Roman"/>
          <w:sz w:val="24"/>
        </w:rPr>
        <w:t>,</w:t>
      </w:r>
      <w:r>
        <w:rPr>
          <w:rFonts w:ascii="Times New Roman" w:hAnsi="Times New Roman"/>
          <w:sz w:val="24"/>
        </w:rPr>
        <w:t xml:space="preserve"> the Commission will use the list to determine which service providers from which to request </w:t>
      </w:r>
      <w:r w:rsidR="00AD11C5">
        <w:rPr>
          <w:rFonts w:ascii="Times New Roman" w:hAnsi="Times New Roman"/>
          <w:sz w:val="24"/>
        </w:rPr>
        <w:t xml:space="preserve">additional </w:t>
      </w:r>
      <w:r>
        <w:rPr>
          <w:rFonts w:ascii="Times New Roman" w:hAnsi="Times New Roman"/>
          <w:sz w:val="24"/>
        </w:rPr>
        <w:t xml:space="preserve">data.  </w:t>
      </w:r>
      <w:r w:rsidR="00DD4F73">
        <w:rPr>
          <w:rFonts w:ascii="Times New Roman" w:hAnsi="Times New Roman"/>
          <w:sz w:val="24"/>
        </w:rPr>
        <w:t>Such information requests will be targeted for specific situations and could include any information previously required by the annual traffic and revenue reposts, including minutes completed on foreign networks, settlement payouts for call completion of foreign networks, foreign-billed minutes, and foreign-billed settlement receipts.</w:t>
      </w:r>
      <w:r>
        <w:rPr>
          <w:rFonts w:ascii="Times New Roman" w:hAnsi="Times New Roman"/>
          <w:sz w:val="24"/>
        </w:rPr>
        <w:t xml:space="preserve"> </w:t>
      </w:r>
    </w:p>
    <w:p w:rsidR="005B0DDA" w:rsidRDefault="005B0DDA">
      <w:pPr>
        <w:widowControl/>
        <w:rPr>
          <w:rFonts w:ascii="Times New Roman" w:hAnsi="Times New Roman"/>
          <w:sz w:val="24"/>
        </w:rPr>
      </w:pPr>
    </w:p>
    <w:p w:rsidR="005B0DDA" w:rsidRPr="005B0DDA" w:rsidRDefault="005B0DDA" w:rsidP="005B0DDA">
      <w:pPr>
        <w:widowControl/>
        <w:rPr>
          <w:rFonts w:ascii="Times New Roman" w:hAnsi="Times New Roman"/>
          <w:sz w:val="24"/>
        </w:rPr>
      </w:pPr>
      <w:r w:rsidRPr="005B0DDA">
        <w:rPr>
          <w:rFonts w:ascii="Times New Roman" w:hAnsi="Times New Roman"/>
          <w:sz w:val="24"/>
        </w:rPr>
        <w:t>Section 63.22(h) reads as follows:</w:t>
      </w:r>
    </w:p>
    <w:p w:rsidR="005B0DDA" w:rsidRPr="005B0DDA" w:rsidRDefault="005B0DDA" w:rsidP="005B0DDA">
      <w:pPr>
        <w:widowControl/>
        <w:rPr>
          <w:rFonts w:ascii="Times New Roman" w:hAnsi="Times New Roman"/>
          <w:sz w:val="24"/>
        </w:rPr>
      </w:pPr>
    </w:p>
    <w:p w:rsidR="005B0DDA" w:rsidRDefault="005B0DDA" w:rsidP="00C929F4">
      <w:pPr>
        <w:widowControl/>
        <w:ind w:left="720"/>
        <w:rPr>
          <w:rFonts w:ascii="Times New Roman" w:hAnsi="Times New Roman"/>
          <w:sz w:val="24"/>
        </w:rPr>
      </w:pPr>
      <w:r w:rsidRPr="005B0DDA">
        <w:rPr>
          <w:rFonts w:ascii="Times New Roman" w:hAnsi="Times New Roman"/>
          <w:sz w:val="24"/>
        </w:rPr>
        <w:t>(h)  A carrier shall file with the Commission a list of U.S.-international routes for which it has an arrangement with a foreign carrier for direct termination in the foreign destination.  The carrier shall notify the Commission within 30 days after it adds a termination arrangement for a new foreign destination or discontinues arrangements with a previously listed destination.  The list shall be filed electronically in accordance with instructions from the International Bureau.</w:t>
      </w:r>
    </w:p>
    <w:p w:rsidR="00882429" w:rsidRDefault="00882429" w:rsidP="005B0DDA">
      <w:pPr>
        <w:widowControl/>
        <w:rPr>
          <w:rFonts w:ascii="Times New Roman" w:hAnsi="Times New Roman"/>
          <w:sz w:val="24"/>
        </w:rPr>
      </w:pPr>
    </w:p>
    <w:p w:rsidR="00882429" w:rsidRDefault="00882429" w:rsidP="005B0DDA">
      <w:pPr>
        <w:widowControl/>
        <w:rPr>
          <w:rFonts w:ascii="Times New Roman" w:hAnsi="Times New Roman"/>
          <w:sz w:val="24"/>
        </w:rPr>
      </w:pPr>
      <w:r>
        <w:rPr>
          <w:rFonts w:ascii="Times New Roman" w:hAnsi="Times New Roman"/>
          <w:sz w:val="24"/>
        </w:rPr>
        <w:t xml:space="preserve">The Commission also amended 47 CFR 63.10(c) to remove the reference to the annual traffic and revenue reporting requirements and the Filing Manual used for those reports.  In its place the Commission now lists in in 47 CFR 63.10(c) the specific data to be provided in the quarterly traffic and revenue data to be filed by carriers classified as dominant a U.S.-international route.  This </w:t>
      </w:r>
      <w:r w:rsidR="00E2120A">
        <w:rPr>
          <w:rFonts w:ascii="Times New Roman" w:hAnsi="Times New Roman"/>
          <w:sz w:val="24"/>
        </w:rPr>
        <w:t xml:space="preserve">amendment to the rule </w:t>
      </w:r>
      <w:r>
        <w:rPr>
          <w:rFonts w:ascii="Times New Roman" w:hAnsi="Times New Roman"/>
          <w:sz w:val="24"/>
        </w:rPr>
        <w:t xml:space="preserve">does not change the </w:t>
      </w:r>
      <w:r w:rsidR="00D12D70">
        <w:rPr>
          <w:rFonts w:ascii="Times New Roman" w:hAnsi="Times New Roman"/>
          <w:sz w:val="24"/>
        </w:rPr>
        <w:t xml:space="preserve">data that the carrier is required to file and thus the </w:t>
      </w:r>
      <w:r>
        <w:rPr>
          <w:rFonts w:ascii="Times New Roman" w:hAnsi="Times New Roman"/>
          <w:sz w:val="24"/>
        </w:rPr>
        <w:t>burden placed on the carrier in filing its quarterly traffic and revenue reports</w:t>
      </w:r>
      <w:r w:rsidR="00D12D70">
        <w:rPr>
          <w:rFonts w:ascii="Times New Roman" w:hAnsi="Times New Roman"/>
          <w:sz w:val="24"/>
        </w:rPr>
        <w:t xml:space="preserve"> has not changed</w:t>
      </w:r>
      <w:r>
        <w:rPr>
          <w:rFonts w:ascii="Times New Roman" w:hAnsi="Times New Roman"/>
          <w:sz w:val="24"/>
        </w:rPr>
        <w:t>.</w:t>
      </w:r>
    </w:p>
    <w:p w:rsidR="00AD11C5" w:rsidRDefault="00AD11C5" w:rsidP="005B0DDA">
      <w:pPr>
        <w:widowControl/>
        <w:rPr>
          <w:rFonts w:ascii="Times New Roman" w:hAnsi="Times New Roman"/>
          <w:sz w:val="24"/>
        </w:rPr>
      </w:pPr>
    </w:p>
    <w:p w:rsidR="00AD11C5" w:rsidRDefault="00AD11C5" w:rsidP="005B0DDA">
      <w:pPr>
        <w:widowControl/>
        <w:rPr>
          <w:rFonts w:ascii="Times New Roman" w:hAnsi="Times New Roman"/>
          <w:sz w:val="24"/>
        </w:rPr>
      </w:pPr>
      <w:r w:rsidRPr="005B0DDA">
        <w:rPr>
          <w:rFonts w:ascii="Times New Roman" w:hAnsi="Times New Roman"/>
          <w:sz w:val="24"/>
        </w:rPr>
        <w:t>Section 63.</w:t>
      </w:r>
      <w:r>
        <w:rPr>
          <w:rFonts w:ascii="Times New Roman" w:hAnsi="Times New Roman"/>
          <w:sz w:val="24"/>
        </w:rPr>
        <w:t>10(c)</w:t>
      </w:r>
      <w:r w:rsidRPr="005B0DDA">
        <w:rPr>
          <w:rFonts w:ascii="Times New Roman" w:hAnsi="Times New Roman"/>
          <w:sz w:val="24"/>
        </w:rPr>
        <w:t xml:space="preserve"> reads as follows:</w:t>
      </w:r>
    </w:p>
    <w:p w:rsidR="00B74202" w:rsidRDefault="00B74202" w:rsidP="005B0DDA">
      <w:pPr>
        <w:widowControl/>
        <w:rPr>
          <w:rFonts w:ascii="Times New Roman" w:hAnsi="Times New Roman"/>
          <w:sz w:val="24"/>
        </w:rPr>
      </w:pPr>
    </w:p>
    <w:p w:rsidR="00B74202" w:rsidRPr="00B74202" w:rsidRDefault="00B74202" w:rsidP="00B74202">
      <w:pPr>
        <w:widowControl/>
        <w:ind w:left="720"/>
        <w:rPr>
          <w:rFonts w:ascii="Times New Roman" w:hAnsi="Times New Roman"/>
          <w:sz w:val="24"/>
        </w:rPr>
      </w:pPr>
      <w:r w:rsidRPr="00B74202">
        <w:rPr>
          <w:rFonts w:ascii="Times New Roman" w:hAnsi="Times New Roman"/>
          <w:sz w:val="24"/>
        </w:rPr>
        <w:t xml:space="preserve">(2)  File quarterly reports on traffic and revenue within 90 days from the end of each calendar quarter.  Such reports shall include the minutes completed on foreign networks; settlement payouts for call completion on foreign networks; foreign-billed minutes; and foreign-billed settlement receipts. </w:t>
      </w:r>
    </w:p>
    <w:p w:rsidR="00B74202" w:rsidRPr="005B0DDA" w:rsidRDefault="00B74202" w:rsidP="005B0DDA">
      <w:pPr>
        <w:widowControl/>
        <w:rPr>
          <w:rFonts w:ascii="Times New Roman" w:hAnsi="Times New Roman"/>
          <w:sz w:val="24"/>
        </w:rPr>
      </w:pPr>
    </w:p>
    <w:p w:rsidR="005B0DDA" w:rsidRDefault="005B0DDA">
      <w:pPr>
        <w:widowControl/>
        <w:rPr>
          <w:rFonts w:ascii="Times New Roman" w:hAnsi="Times New Roman"/>
          <w:sz w:val="24"/>
        </w:rPr>
      </w:pPr>
    </w:p>
    <w:p w:rsidR="008E6F68" w:rsidRDefault="008E6F68">
      <w:pPr>
        <w:widowControl/>
        <w:rPr>
          <w:rFonts w:ascii="Times New Roman" w:hAnsi="Times New Roman"/>
          <w:b/>
          <w:sz w:val="24"/>
        </w:rPr>
      </w:pPr>
    </w:p>
    <w:p w:rsidR="008E6F68" w:rsidRDefault="008E6F68">
      <w:pPr>
        <w:widowControl/>
        <w:rPr>
          <w:rFonts w:ascii="Times New Roman" w:hAnsi="Times New Roman"/>
          <w:b/>
          <w:sz w:val="24"/>
        </w:rPr>
      </w:pPr>
    </w:p>
    <w:p w:rsidR="008E6F68" w:rsidRDefault="008E6F68">
      <w:pPr>
        <w:widowControl/>
        <w:rPr>
          <w:rFonts w:ascii="Times New Roman" w:hAnsi="Times New Roman"/>
          <w:b/>
          <w:sz w:val="24"/>
        </w:rPr>
      </w:pPr>
    </w:p>
    <w:p w:rsidR="008E6F68" w:rsidRDefault="008E6F68">
      <w:pPr>
        <w:widowControl/>
        <w:rPr>
          <w:rFonts w:ascii="Times New Roman" w:hAnsi="Times New Roman"/>
          <w:b/>
          <w:sz w:val="24"/>
        </w:rPr>
      </w:pPr>
    </w:p>
    <w:p w:rsidR="008E6F68" w:rsidRDefault="008E6F68">
      <w:pPr>
        <w:widowControl/>
        <w:rPr>
          <w:rFonts w:ascii="Times New Roman" w:hAnsi="Times New Roman"/>
          <w:b/>
          <w:sz w:val="24"/>
        </w:rPr>
      </w:pPr>
    </w:p>
    <w:p w:rsidR="007432E1" w:rsidRPr="00473D6B" w:rsidRDefault="007432E1" w:rsidP="007432E1">
      <w:pPr>
        <w:tabs>
          <w:tab w:val="left" w:pos="-720"/>
        </w:tabs>
        <w:suppressAutoHyphens/>
        <w:rPr>
          <w:rFonts w:ascii="Times New Roman" w:hAnsi="Times New Roman"/>
          <w:sz w:val="24"/>
          <w:u w:val="single"/>
        </w:rPr>
      </w:pPr>
      <w:r w:rsidRPr="00473D6B">
        <w:rPr>
          <w:rFonts w:ascii="Times New Roman" w:hAnsi="Times New Roman"/>
          <w:sz w:val="24"/>
          <w:u w:val="single"/>
        </w:rPr>
        <w:t>Section 214-Related Appli</w:t>
      </w:r>
      <w:r w:rsidR="00882570" w:rsidRPr="00473D6B">
        <w:rPr>
          <w:rFonts w:ascii="Times New Roman" w:hAnsi="Times New Roman"/>
          <w:sz w:val="24"/>
          <w:u w:val="single"/>
        </w:rPr>
        <w:t xml:space="preserve">cation Forms </w:t>
      </w:r>
      <w:r w:rsidR="00C918AC" w:rsidRPr="00473D6B">
        <w:rPr>
          <w:rFonts w:ascii="Times New Roman" w:hAnsi="Times New Roman"/>
          <w:sz w:val="24"/>
          <w:u w:val="single"/>
        </w:rPr>
        <w:t>Approved</w:t>
      </w:r>
      <w:r w:rsidR="00882570" w:rsidRPr="00473D6B">
        <w:rPr>
          <w:rFonts w:ascii="Times New Roman" w:hAnsi="Times New Roman"/>
          <w:sz w:val="24"/>
          <w:u w:val="single"/>
        </w:rPr>
        <w:t xml:space="preserve"> and Developed</w:t>
      </w:r>
      <w:r w:rsidR="007D7551" w:rsidRPr="00473D6B">
        <w:rPr>
          <w:rFonts w:ascii="Times New Roman" w:hAnsi="Times New Roman"/>
          <w:sz w:val="24"/>
          <w:u w:val="single"/>
        </w:rPr>
        <w:t xml:space="preserve"> by the Commission</w:t>
      </w:r>
    </w:p>
    <w:p w:rsidR="007432E1" w:rsidRPr="00473D6B" w:rsidRDefault="007432E1" w:rsidP="007432E1">
      <w:pPr>
        <w:tabs>
          <w:tab w:val="left" w:pos="-720"/>
        </w:tabs>
        <w:suppressAutoHyphens/>
        <w:rPr>
          <w:rFonts w:ascii="Times New Roman" w:hAnsi="Times New Roman"/>
          <w:sz w:val="24"/>
        </w:rPr>
      </w:pPr>
    </w:p>
    <w:p w:rsidR="007432E1" w:rsidRPr="00473D6B" w:rsidRDefault="00DA7435" w:rsidP="007432E1">
      <w:pPr>
        <w:tabs>
          <w:tab w:val="left" w:pos="-720"/>
        </w:tabs>
        <w:suppressAutoHyphens/>
        <w:rPr>
          <w:rFonts w:ascii="Times New Roman" w:hAnsi="Times New Roman"/>
          <w:sz w:val="24"/>
        </w:rPr>
      </w:pPr>
      <w:r w:rsidRPr="006A6787">
        <w:rPr>
          <w:rFonts w:ascii="Times New Roman" w:hAnsi="Times New Roman"/>
          <w:sz w:val="24"/>
        </w:rPr>
        <w:t xml:space="preserve">The Commission </w:t>
      </w:r>
      <w:r w:rsidR="009B3C91">
        <w:rPr>
          <w:rFonts w:ascii="Times New Roman" w:hAnsi="Times New Roman"/>
          <w:sz w:val="24"/>
        </w:rPr>
        <w:t xml:space="preserve">also </w:t>
      </w:r>
      <w:r w:rsidRPr="006A6787">
        <w:rPr>
          <w:rFonts w:ascii="Times New Roman" w:hAnsi="Times New Roman"/>
          <w:sz w:val="24"/>
        </w:rPr>
        <w:t xml:space="preserve">requests </w:t>
      </w:r>
      <w:r w:rsidR="008B7C87" w:rsidRPr="006A6787">
        <w:rPr>
          <w:rFonts w:ascii="Times New Roman" w:hAnsi="Times New Roman"/>
          <w:sz w:val="24"/>
        </w:rPr>
        <w:t xml:space="preserve">continued approval of </w:t>
      </w:r>
      <w:r w:rsidR="008B5AF2" w:rsidRPr="006A6787">
        <w:rPr>
          <w:rFonts w:ascii="Times New Roman" w:hAnsi="Times New Roman"/>
          <w:sz w:val="24"/>
        </w:rPr>
        <w:t xml:space="preserve">the following </w:t>
      </w:r>
      <w:r w:rsidRPr="006A6787">
        <w:rPr>
          <w:rFonts w:ascii="Times New Roman" w:hAnsi="Times New Roman"/>
          <w:sz w:val="24"/>
        </w:rPr>
        <w:t>Section 214-related f</w:t>
      </w:r>
      <w:r w:rsidR="008B7C87" w:rsidRPr="006A6787">
        <w:rPr>
          <w:rFonts w:ascii="Times New Roman" w:hAnsi="Times New Roman"/>
          <w:sz w:val="24"/>
        </w:rPr>
        <w:t>orms</w:t>
      </w:r>
      <w:r w:rsidR="008B5AF2" w:rsidRPr="006A6787">
        <w:rPr>
          <w:rFonts w:ascii="Times New Roman" w:hAnsi="Times New Roman"/>
          <w:sz w:val="24"/>
        </w:rPr>
        <w:t xml:space="preserve"> which have been developed</w:t>
      </w:r>
      <w:r w:rsidR="007432E1" w:rsidRPr="006A6787">
        <w:rPr>
          <w:rFonts w:ascii="Times New Roman" w:hAnsi="Times New Roman"/>
          <w:sz w:val="24"/>
        </w:rPr>
        <w:t>:</w:t>
      </w:r>
    </w:p>
    <w:p w:rsidR="00E45BE4" w:rsidRPr="00473D6B" w:rsidRDefault="00E45BE4" w:rsidP="007432E1">
      <w:pPr>
        <w:tabs>
          <w:tab w:val="left" w:pos="-720"/>
        </w:tabs>
        <w:suppressAutoHyphens/>
        <w:rPr>
          <w:rFonts w:ascii="Times New Roman" w:hAnsi="Times New Roman"/>
          <w:sz w:val="24"/>
        </w:rPr>
      </w:pPr>
    </w:p>
    <w:p w:rsidR="007432E1" w:rsidRPr="00473D6B" w:rsidRDefault="007432E1" w:rsidP="007432E1">
      <w:pPr>
        <w:tabs>
          <w:tab w:val="left" w:pos="-720"/>
        </w:tabs>
        <w:suppressAutoHyphens/>
        <w:rPr>
          <w:rFonts w:ascii="Times New Roman" w:hAnsi="Times New Roman"/>
          <w:sz w:val="24"/>
        </w:rPr>
      </w:pPr>
      <w:r w:rsidRPr="00473D6B">
        <w:rPr>
          <w:rFonts w:ascii="Times New Roman" w:hAnsi="Times New Roman"/>
          <w:sz w:val="24"/>
        </w:rPr>
        <w:t>1.</w:t>
      </w:r>
      <w:r w:rsidRPr="00473D6B">
        <w:rPr>
          <w:rFonts w:ascii="Times New Roman" w:hAnsi="Times New Roman"/>
          <w:sz w:val="24"/>
        </w:rPr>
        <w:tab/>
        <w:t>Inter</w:t>
      </w:r>
      <w:r w:rsidR="00BF5BBF" w:rsidRPr="00473D6B">
        <w:rPr>
          <w:rFonts w:ascii="Times New Roman" w:hAnsi="Times New Roman"/>
          <w:sz w:val="24"/>
        </w:rPr>
        <w:t>national Section 214</w:t>
      </w:r>
      <w:r w:rsidRPr="00473D6B">
        <w:rPr>
          <w:rFonts w:ascii="Times New Roman" w:hAnsi="Times New Roman"/>
          <w:sz w:val="24"/>
        </w:rPr>
        <w:t xml:space="preserve"> </w:t>
      </w:r>
      <w:r w:rsidR="00BF5BBF" w:rsidRPr="008B5AF2">
        <w:rPr>
          <w:rFonts w:ascii="Times New Roman" w:hAnsi="Times New Roman"/>
          <w:sz w:val="24"/>
        </w:rPr>
        <w:t>A</w:t>
      </w:r>
      <w:r w:rsidR="008B5AF2" w:rsidRPr="008B5AF2">
        <w:rPr>
          <w:rFonts w:ascii="Times New Roman" w:hAnsi="Times New Roman"/>
          <w:sz w:val="24"/>
        </w:rPr>
        <w:t>pplication</w:t>
      </w:r>
      <w:r w:rsidR="004C294A">
        <w:rPr>
          <w:rFonts w:ascii="Times New Roman" w:hAnsi="Times New Roman"/>
          <w:sz w:val="24"/>
        </w:rPr>
        <w:t xml:space="preserve"> (FCC Form 214)</w:t>
      </w:r>
      <w:r w:rsidR="00BF5BBF" w:rsidRPr="00473D6B">
        <w:rPr>
          <w:rFonts w:ascii="Times New Roman" w:hAnsi="Times New Roman"/>
          <w:sz w:val="24"/>
        </w:rPr>
        <w:t xml:space="preserve"> (</w:t>
      </w:r>
      <w:r w:rsidRPr="00473D6B">
        <w:rPr>
          <w:rFonts w:ascii="Times New Roman" w:hAnsi="Times New Roman"/>
          <w:sz w:val="24"/>
        </w:rPr>
        <w:t>47 CFR 63.18)</w:t>
      </w:r>
    </w:p>
    <w:p w:rsidR="007432E1" w:rsidRPr="00473D6B" w:rsidRDefault="007432E1" w:rsidP="007432E1">
      <w:pPr>
        <w:tabs>
          <w:tab w:val="left" w:pos="-720"/>
        </w:tabs>
        <w:suppressAutoHyphens/>
        <w:rPr>
          <w:rFonts w:ascii="Times New Roman" w:hAnsi="Times New Roman"/>
          <w:sz w:val="24"/>
        </w:rPr>
      </w:pPr>
    </w:p>
    <w:p w:rsidR="007432E1" w:rsidRPr="00473D6B" w:rsidRDefault="007432E1" w:rsidP="008B5AF2">
      <w:pPr>
        <w:tabs>
          <w:tab w:val="left" w:pos="-720"/>
        </w:tabs>
        <w:suppressAutoHyphens/>
        <w:ind w:left="720" w:hanging="720"/>
        <w:rPr>
          <w:rFonts w:ascii="Times New Roman" w:hAnsi="Times New Roman"/>
          <w:sz w:val="24"/>
        </w:rPr>
      </w:pPr>
      <w:r w:rsidRPr="00473D6B">
        <w:rPr>
          <w:rFonts w:ascii="Times New Roman" w:hAnsi="Times New Roman"/>
          <w:sz w:val="24"/>
        </w:rPr>
        <w:t>2.</w:t>
      </w:r>
      <w:r w:rsidRPr="00473D6B">
        <w:rPr>
          <w:rFonts w:ascii="Times New Roman" w:hAnsi="Times New Roman"/>
          <w:sz w:val="24"/>
        </w:rPr>
        <w:tab/>
        <w:t>Internat</w:t>
      </w:r>
      <w:r w:rsidR="00BF5BBF" w:rsidRPr="00473D6B">
        <w:rPr>
          <w:rFonts w:ascii="Times New Roman" w:hAnsi="Times New Roman"/>
          <w:sz w:val="24"/>
        </w:rPr>
        <w:t>ional Section 214 Authorization</w:t>
      </w:r>
      <w:r w:rsidR="008B5AF2">
        <w:rPr>
          <w:rFonts w:ascii="Times New Roman" w:hAnsi="Times New Roman"/>
          <w:sz w:val="24"/>
        </w:rPr>
        <w:t>s for</w:t>
      </w:r>
      <w:r w:rsidRPr="00473D6B">
        <w:rPr>
          <w:rFonts w:ascii="Times New Roman" w:hAnsi="Times New Roman"/>
          <w:sz w:val="24"/>
        </w:rPr>
        <w:t xml:space="preserve"> </w:t>
      </w:r>
      <w:r w:rsidR="008B5AF2">
        <w:rPr>
          <w:rFonts w:ascii="Times New Roman" w:hAnsi="Times New Roman"/>
          <w:sz w:val="24"/>
        </w:rPr>
        <w:t xml:space="preserve">Assignment or Transfer </w:t>
      </w:r>
      <w:r w:rsidRPr="00473D6B">
        <w:rPr>
          <w:rFonts w:ascii="Times New Roman" w:hAnsi="Times New Roman"/>
          <w:sz w:val="24"/>
        </w:rPr>
        <w:t>of Control</w:t>
      </w:r>
      <w:r w:rsidR="004C294A">
        <w:rPr>
          <w:rFonts w:ascii="Times New Roman" w:hAnsi="Times New Roman"/>
          <w:sz w:val="24"/>
        </w:rPr>
        <w:t xml:space="preserve"> (FCC Form 214TC)</w:t>
      </w:r>
      <w:r w:rsidR="00BF5BBF" w:rsidRPr="00473D6B">
        <w:rPr>
          <w:rFonts w:ascii="Times New Roman" w:hAnsi="Times New Roman"/>
          <w:sz w:val="24"/>
        </w:rPr>
        <w:t xml:space="preserve"> </w:t>
      </w:r>
      <w:r w:rsidR="00D44C88" w:rsidRPr="00473D6B">
        <w:rPr>
          <w:rFonts w:ascii="Times New Roman" w:hAnsi="Times New Roman"/>
          <w:sz w:val="24"/>
        </w:rPr>
        <w:t>(</w:t>
      </w:r>
      <w:r w:rsidR="004C294A">
        <w:rPr>
          <w:rFonts w:ascii="Times New Roman" w:hAnsi="Times New Roman"/>
          <w:sz w:val="24"/>
        </w:rPr>
        <w:t>47 CFR</w:t>
      </w:r>
      <w:r w:rsidR="008B5AF2">
        <w:rPr>
          <w:rFonts w:ascii="Times New Roman" w:hAnsi="Times New Roman"/>
          <w:sz w:val="24"/>
        </w:rPr>
        <w:t xml:space="preserve"> </w:t>
      </w:r>
      <w:r w:rsidR="00D44C88" w:rsidRPr="00473D6B">
        <w:rPr>
          <w:rFonts w:ascii="Times New Roman" w:hAnsi="Times New Roman"/>
          <w:sz w:val="24"/>
        </w:rPr>
        <w:t>63.24</w:t>
      </w:r>
      <w:r w:rsidR="008B5AF2">
        <w:rPr>
          <w:rFonts w:ascii="Times New Roman" w:hAnsi="Times New Roman"/>
          <w:sz w:val="24"/>
        </w:rPr>
        <w:t>)</w:t>
      </w:r>
      <w:r w:rsidR="00BF5BBF" w:rsidRPr="00473D6B">
        <w:rPr>
          <w:rFonts w:ascii="Times New Roman" w:hAnsi="Times New Roman"/>
          <w:sz w:val="24"/>
        </w:rPr>
        <w:t xml:space="preserve"> </w:t>
      </w:r>
      <w:r w:rsidRPr="00473D6B">
        <w:rPr>
          <w:rFonts w:ascii="Times New Roman" w:hAnsi="Times New Roman"/>
          <w:sz w:val="24"/>
        </w:rPr>
        <w:t xml:space="preserve"> </w:t>
      </w:r>
    </w:p>
    <w:p w:rsidR="0089023E" w:rsidRPr="00473D6B" w:rsidRDefault="0089023E" w:rsidP="0089023E">
      <w:pPr>
        <w:tabs>
          <w:tab w:val="left" w:pos="-720"/>
        </w:tabs>
        <w:suppressAutoHyphens/>
        <w:rPr>
          <w:rFonts w:ascii="Times New Roman" w:hAnsi="Times New Roman"/>
          <w:sz w:val="24"/>
        </w:rPr>
      </w:pPr>
    </w:p>
    <w:p w:rsidR="0089023E" w:rsidRPr="00473D6B" w:rsidRDefault="006E7B79" w:rsidP="004C294A">
      <w:pPr>
        <w:tabs>
          <w:tab w:val="left" w:pos="-720"/>
        </w:tabs>
        <w:suppressAutoHyphens/>
        <w:ind w:left="720" w:hanging="720"/>
        <w:rPr>
          <w:rFonts w:ascii="Times New Roman" w:hAnsi="Times New Roman"/>
          <w:sz w:val="24"/>
        </w:rPr>
      </w:pPr>
      <w:r w:rsidRPr="00473D6B">
        <w:rPr>
          <w:rFonts w:ascii="Times New Roman" w:hAnsi="Times New Roman"/>
          <w:sz w:val="24"/>
          <w:szCs w:val="24"/>
        </w:rPr>
        <w:t>3.</w:t>
      </w:r>
      <w:r w:rsidRPr="00473D6B">
        <w:rPr>
          <w:rFonts w:ascii="Times New Roman" w:hAnsi="Times New Roman"/>
          <w:sz w:val="24"/>
          <w:szCs w:val="24"/>
        </w:rPr>
        <w:tab/>
      </w:r>
      <w:r w:rsidR="0089023E" w:rsidRPr="00473D6B">
        <w:rPr>
          <w:rFonts w:ascii="Times New Roman" w:hAnsi="Times New Roman"/>
          <w:sz w:val="24"/>
          <w:szCs w:val="24"/>
        </w:rPr>
        <w:t>International</w:t>
      </w:r>
      <w:r w:rsidR="0089023E" w:rsidRPr="00473D6B">
        <w:rPr>
          <w:rFonts w:ascii="Times New Roman" w:hAnsi="Times New Roman"/>
          <w:sz w:val="24"/>
        </w:rPr>
        <w:t xml:space="preserve"> Section 214 Special Temporary Authority</w:t>
      </w:r>
      <w:r w:rsidR="0089023E" w:rsidRPr="00473D6B">
        <w:rPr>
          <w:rFonts w:ascii="Times New Roman" w:hAnsi="Times New Roman"/>
          <w:b/>
          <w:sz w:val="24"/>
        </w:rPr>
        <w:t xml:space="preserve"> </w:t>
      </w:r>
      <w:r w:rsidR="008B5AF2">
        <w:rPr>
          <w:rFonts w:ascii="Times New Roman" w:hAnsi="Times New Roman"/>
          <w:sz w:val="24"/>
        </w:rPr>
        <w:t xml:space="preserve">Application </w:t>
      </w:r>
      <w:r w:rsidR="004C294A">
        <w:rPr>
          <w:rFonts w:ascii="Times New Roman" w:hAnsi="Times New Roman"/>
          <w:sz w:val="24"/>
        </w:rPr>
        <w:t xml:space="preserve">(FCC Form 214STA)        </w:t>
      </w:r>
      <w:r w:rsidR="008B5AF2">
        <w:rPr>
          <w:rFonts w:ascii="Times New Roman" w:hAnsi="Times New Roman"/>
          <w:sz w:val="24"/>
        </w:rPr>
        <w:t>(47 CFR 63.25</w:t>
      </w:r>
      <w:r w:rsidR="0089023E" w:rsidRPr="00473D6B">
        <w:rPr>
          <w:rFonts w:ascii="Times New Roman" w:hAnsi="Times New Roman"/>
          <w:sz w:val="24"/>
        </w:rPr>
        <w:t>)</w:t>
      </w:r>
    </w:p>
    <w:p w:rsidR="00E45BE4" w:rsidRPr="00473D6B" w:rsidRDefault="00E45BE4">
      <w:pPr>
        <w:tabs>
          <w:tab w:val="left" w:pos="-720"/>
        </w:tabs>
        <w:suppressAutoHyphens/>
        <w:rPr>
          <w:rFonts w:ascii="Times New Roman" w:hAnsi="Times New Roman"/>
          <w:sz w:val="24"/>
        </w:rPr>
      </w:pPr>
    </w:p>
    <w:p w:rsidR="00E45BE4" w:rsidRPr="00473D6B" w:rsidRDefault="00E45BE4" w:rsidP="004C294A">
      <w:pPr>
        <w:tabs>
          <w:tab w:val="left" w:pos="-720"/>
        </w:tabs>
        <w:suppressAutoHyphens/>
        <w:ind w:left="720" w:hanging="720"/>
        <w:rPr>
          <w:rFonts w:ascii="Times New Roman" w:hAnsi="Times New Roman"/>
          <w:sz w:val="24"/>
        </w:rPr>
      </w:pPr>
      <w:r w:rsidRPr="00473D6B">
        <w:rPr>
          <w:rFonts w:ascii="Times New Roman" w:hAnsi="Times New Roman"/>
          <w:sz w:val="24"/>
        </w:rPr>
        <w:t>4.</w:t>
      </w:r>
      <w:r w:rsidRPr="00473D6B">
        <w:rPr>
          <w:rFonts w:ascii="Times New Roman" w:hAnsi="Times New Roman"/>
          <w:sz w:val="24"/>
        </w:rPr>
        <w:tab/>
      </w:r>
      <w:r w:rsidRPr="006A6787">
        <w:rPr>
          <w:rFonts w:ascii="Times New Roman" w:hAnsi="Times New Roman"/>
          <w:sz w:val="24"/>
          <w:szCs w:val="24"/>
        </w:rPr>
        <w:t>International Section 214 Foreign Carrier Affiliation</w:t>
      </w:r>
      <w:r w:rsidR="008B5AF2" w:rsidRPr="006A6787">
        <w:rPr>
          <w:rFonts w:ascii="Times New Roman" w:hAnsi="Times New Roman"/>
          <w:sz w:val="24"/>
          <w:szCs w:val="24"/>
        </w:rPr>
        <w:t xml:space="preserve">s Notification </w:t>
      </w:r>
      <w:r w:rsidR="004C294A" w:rsidRPr="006A6787">
        <w:rPr>
          <w:rFonts w:ascii="Times New Roman" w:hAnsi="Times New Roman"/>
          <w:sz w:val="24"/>
          <w:szCs w:val="24"/>
        </w:rPr>
        <w:t xml:space="preserve">(FCC Form 214FCN) </w:t>
      </w:r>
      <w:r w:rsidR="008B5AF2" w:rsidRPr="006A6787">
        <w:rPr>
          <w:rFonts w:ascii="Times New Roman" w:hAnsi="Times New Roman"/>
          <w:sz w:val="24"/>
          <w:szCs w:val="24"/>
        </w:rPr>
        <w:t>(47 CFR 63.11)</w:t>
      </w:r>
    </w:p>
    <w:p w:rsidR="0089023E" w:rsidRPr="00473D6B" w:rsidRDefault="0089023E" w:rsidP="0089023E">
      <w:pPr>
        <w:tabs>
          <w:tab w:val="left" w:pos="-720"/>
        </w:tabs>
        <w:suppressAutoHyphens/>
        <w:rPr>
          <w:rFonts w:ascii="Times New Roman" w:hAnsi="Times New Roman"/>
          <w:sz w:val="24"/>
        </w:rPr>
      </w:pPr>
    </w:p>
    <w:p w:rsidR="0089023E" w:rsidRPr="00473D6B" w:rsidRDefault="00882570" w:rsidP="0089023E">
      <w:pPr>
        <w:tabs>
          <w:tab w:val="left" w:pos="-720"/>
        </w:tabs>
        <w:suppressAutoHyphens/>
        <w:rPr>
          <w:rFonts w:ascii="Times New Roman" w:hAnsi="Times New Roman"/>
          <w:sz w:val="24"/>
        </w:rPr>
      </w:pPr>
      <w:r w:rsidRPr="00473D6B">
        <w:rPr>
          <w:rFonts w:ascii="Times New Roman" w:hAnsi="Times New Roman"/>
          <w:sz w:val="24"/>
          <w:u w:val="single"/>
        </w:rPr>
        <w:t>Section 214-Related Application Forms Approved and Pending Development</w:t>
      </w:r>
    </w:p>
    <w:p w:rsidR="007432E1" w:rsidRPr="00473D6B" w:rsidRDefault="007432E1" w:rsidP="007432E1">
      <w:pPr>
        <w:tabs>
          <w:tab w:val="left" w:pos="-720"/>
        </w:tabs>
        <w:suppressAutoHyphens/>
        <w:rPr>
          <w:rFonts w:ascii="Times New Roman" w:hAnsi="Times New Roman"/>
          <w:sz w:val="24"/>
        </w:rPr>
      </w:pPr>
    </w:p>
    <w:p w:rsidR="00294417" w:rsidRPr="00473D6B" w:rsidRDefault="00DA7435" w:rsidP="007432E1">
      <w:pPr>
        <w:pStyle w:val="ParaNum"/>
        <w:numPr>
          <w:ilvl w:val="0"/>
          <w:numId w:val="0"/>
        </w:numPr>
        <w:tabs>
          <w:tab w:val="clear" w:pos="1440"/>
          <w:tab w:val="left" w:pos="720"/>
        </w:tabs>
        <w:jc w:val="left"/>
        <w:rPr>
          <w:sz w:val="24"/>
        </w:rPr>
      </w:pPr>
      <w:r w:rsidRPr="007813D3">
        <w:rPr>
          <w:sz w:val="24"/>
        </w:rPr>
        <w:t xml:space="preserve">On January 28, 2014, the Office of Management and Budget approved the continuance of previous </w:t>
      </w:r>
      <w:r w:rsidR="009B3C91">
        <w:rPr>
          <w:sz w:val="24"/>
        </w:rPr>
        <w:t>terms of clearance of Section 2</w:t>
      </w:r>
      <w:r w:rsidRPr="007813D3">
        <w:rPr>
          <w:sz w:val="24"/>
        </w:rPr>
        <w:t>14</w:t>
      </w:r>
      <w:r w:rsidR="00E6468F">
        <w:rPr>
          <w:sz w:val="24"/>
        </w:rPr>
        <w:t xml:space="preserve">, 47 U.S.C. 214, </w:t>
      </w:r>
      <w:r w:rsidRPr="007813D3">
        <w:rPr>
          <w:sz w:val="24"/>
        </w:rPr>
        <w:t xml:space="preserve">related FCC Forms which are pending development.  See ICR Reference Number: 201311-3060-017.  </w:t>
      </w:r>
      <w:r w:rsidR="00BA1662" w:rsidRPr="007813D3">
        <w:rPr>
          <w:sz w:val="24"/>
        </w:rPr>
        <w:t>The Commi</w:t>
      </w:r>
      <w:r w:rsidR="00913E18" w:rsidRPr="007813D3">
        <w:rPr>
          <w:sz w:val="24"/>
        </w:rPr>
        <w:t xml:space="preserve">ssion plans to develop two </w:t>
      </w:r>
      <w:r w:rsidRPr="007813D3">
        <w:rPr>
          <w:sz w:val="24"/>
        </w:rPr>
        <w:t xml:space="preserve">such </w:t>
      </w:r>
      <w:r w:rsidR="00BA1662" w:rsidRPr="007813D3">
        <w:rPr>
          <w:sz w:val="24"/>
        </w:rPr>
        <w:t>forms that impact th</w:t>
      </w:r>
      <w:r w:rsidRPr="007813D3">
        <w:rPr>
          <w:sz w:val="24"/>
        </w:rPr>
        <w:t>is</w:t>
      </w:r>
      <w:r w:rsidR="00BA1662" w:rsidRPr="007813D3">
        <w:rPr>
          <w:sz w:val="24"/>
        </w:rPr>
        <w:t xml:space="preserve"> information collection.</w:t>
      </w:r>
      <w:r w:rsidR="00BA1662" w:rsidRPr="00473D6B">
        <w:rPr>
          <w:sz w:val="24"/>
        </w:rPr>
        <w:t xml:space="preserve">  We do not know the specific time frame for the development of each application form.  However, we estimate that the new projected completion date for both forms is December 30, 2018.  The development of application forms is contingent upon the availability of budget funds, human resources and other factors. </w:t>
      </w:r>
      <w:r>
        <w:rPr>
          <w:sz w:val="24"/>
        </w:rPr>
        <w:t xml:space="preserve"> </w:t>
      </w:r>
      <w:r w:rsidRPr="00473D6B">
        <w:rPr>
          <w:sz w:val="24"/>
        </w:rPr>
        <w:t xml:space="preserve">  </w:t>
      </w:r>
      <w:r w:rsidR="00BA1662" w:rsidRPr="00473D6B">
        <w:rPr>
          <w:sz w:val="24"/>
        </w:rPr>
        <w:t xml:space="preserve"> </w:t>
      </w:r>
    </w:p>
    <w:p w:rsidR="00F47290" w:rsidRPr="00473D6B" w:rsidRDefault="00F47290" w:rsidP="007432E1">
      <w:pPr>
        <w:pStyle w:val="ParaNum"/>
        <w:numPr>
          <w:ilvl w:val="0"/>
          <w:numId w:val="0"/>
        </w:numPr>
        <w:tabs>
          <w:tab w:val="clear" w:pos="1440"/>
          <w:tab w:val="left" w:pos="720"/>
        </w:tabs>
        <w:jc w:val="left"/>
        <w:rPr>
          <w:sz w:val="24"/>
        </w:rPr>
      </w:pPr>
      <w:r w:rsidRPr="00473D6B">
        <w:rPr>
          <w:sz w:val="24"/>
        </w:rPr>
        <w:t xml:space="preserve">In February, 2006, the Commission received blanket approval of the two application forms listed below with the following terms of clearance:  </w:t>
      </w:r>
      <w:r w:rsidR="00737CDE" w:rsidRPr="00473D6B">
        <w:rPr>
          <w:sz w:val="24"/>
        </w:rPr>
        <w:t>As applications contained within the supporting statement are developed, a change worksheet should be submitted to OMB at least 60 days prior to deployment to allow sufficient review time.  The change worksheets should include the specific information collection elements requested, as well as the associated burden hours.</w:t>
      </w:r>
    </w:p>
    <w:p w:rsidR="00294417" w:rsidRPr="00473D6B" w:rsidRDefault="00040107" w:rsidP="007432E1">
      <w:pPr>
        <w:pStyle w:val="ParaNum"/>
        <w:numPr>
          <w:ilvl w:val="0"/>
          <w:numId w:val="0"/>
        </w:numPr>
        <w:tabs>
          <w:tab w:val="clear" w:pos="1440"/>
          <w:tab w:val="left" w:pos="720"/>
        </w:tabs>
        <w:jc w:val="left"/>
        <w:rPr>
          <w:sz w:val="24"/>
        </w:rPr>
      </w:pPr>
      <w:r w:rsidRPr="00473D6B">
        <w:rPr>
          <w:sz w:val="24"/>
        </w:rPr>
        <w:t xml:space="preserve">“ITC-Other Filings” </w:t>
      </w:r>
      <w:r w:rsidR="00493121" w:rsidRPr="00473D6B">
        <w:rPr>
          <w:sz w:val="24"/>
        </w:rPr>
        <w:t xml:space="preserve">has been removed </w:t>
      </w:r>
      <w:r w:rsidRPr="00473D6B">
        <w:rPr>
          <w:sz w:val="24"/>
        </w:rPr>
        <w:t>from the pending development section in th</w:t>
      </w:r>
      <w:r w:rsidR="004D656A" w:rsidRPr="00473D6B">
        <w:rPr>
          <w:sz w:val="24"/>
        </w:rPr>
        <w:t>is information collection because the applicants/respondents notify the Commission of miscellaneous items such as name changes, etc., by letter filed electronically in the Commission’s IBFS system.  That is, there is a “Letter” form that can be accessed through IBFS quick search that serves as a general filing category, thereby eliminating the need for a duplicative category such as “Other Filings.”  Therefore, the Commission is no longer considering development of this form.</w:t>
      </w:r>
      <w:r w:rsidR="00587FB9" w:rsidRPr="00473D6B">
        <w:rPr>
          <w:sz w:val="24"/>
        </w:rPr>
        <w:t xml:space="preserve"> </w:t>
      </w:r>
    </w:p>
    <w:p w:rsidR="00882570" w:rsidRPr="00473D6B" w:rsidRDefault="004D656A" w:rsidP="007432E1">
      <w:pPr>
        <w:pStyle w:val="ParaNum"/>
        <w:numPr>
          <w:ilvl w:val="0"/>
          <w:numId w:val="0"/>
        </w:numPr>
        <w:tabs>
          <w:tab w:val="clear" w:pos="1440"/>
          <w:tab w:val="left" w:pos="720"/>
        </w:tabs>
        <w:jc w:val="left"/>
        <w:rPr>
          <w:sz w:val="24"/>
        </w:rPr>
      </w:pPr>
      <w:r w:rsidRPr="00473D6B">
        <w:rPr>
          <w:sz w:val="24"/>
        </w:rPr>
        <w:t xml:space="preserve">The </w:t>
      </w:r>
      <w:r w:rsidR="00882570" w:rsidRPr="00473D6B">
        <w:rPr>
          <w:sz w:val="24"/>
        </w:rPr>
        <w:t xml:space="preserve">following </w:t>
      </w:r>
      <w:r w:rsidR="00026335">
        <w:rPr>
          <w:sz w:val="24"/>
        </w:rPr>
        <w:t>S</w:t>
      </w:r>
      <w:r w:rsidR="00882570" w:rsidRPr="00473D6B">
        <w:rPr>
          <w:sz w:val="24"/>
        </w:rPr>
        <w:t>ection 214-related applications</w:t>
      </w:r>
      <w:r w:rsidRPr="00473D6B">
        <w:rPr>
          <w:sz w:val="24"/>
        </w:rPr>
        <w:t xml:space="preserve"> are pending development</w:t>
      </w:r>
      <w:r w:rsidR="00882570" w:rsidRPr="00473D6B">
        <w:rPr>
          <w:sz w:val="24"/>
        </w:rPr>
        <w:t>:</w:t>
      </w:r>
    </w:p>
    <w:p w:rsidR="00882570" w:rsidRPr="00473D6B" w:rsidRDefault="00882570" w:rsidP="007432E1">
      <w:pPr>
        <w:pStyle w:val="ParaNum"/>
        <w:numPr>
          <w:ilvl w:val="0"/>
          <w:numId w:val="0"/>
        </w:numPr>
        <w:tabs>
          <w:tab w:val="clear" w:pos="1440"/>
          <w:tab w:val="left" w:pos="720"/>
        </w:tabs>
        <w:jc w:val="left"/>
        <w:rPr>
          <w:sz w:val="24"/>
          <w:szCs w:val="24"/>
        </w:rPr>
      </w:pPr>
      <w:r w:rsidRPr="00473D6B">
        <w:rPr>
          <w:sz w:val="24"/>
        </w:rPr>
        <w:t>1.</w:t>
      </w:r>
      <w:r w:rsidRPr="00473D6B">
        <w:rPr>
          <w:sz w:val="24"/>
        </w:rPr>
        <w:tab/>
        <w:t>International Section 214 – Amendment (47 CFR 63.50)</w:t>
      </w:r>
    </w:p>
    <w:p w:rsidR="00E45BE4" w:rsidRPr="00473D6B" w:rsidRDefault="00882570" w:rsidP="002B5E90">
      <w:pPr>
        <w:pStyle w:val="ParaNum"/>
        <w:numPr>
          <w:ilvl w:val="0"/>
          <w:numId w:val="0"/>
        </w:numPr>
        <w:tabs>
          <w:tab w:val="clear" w:pos="1440"/>
          <w:tab w:val="left" w:pos="720"/>
        </w:tabs>
        <w:jc w:val="left"/>
        <w:rPr>
          <w:sz w:val="24"/>
          <w:szCs w:val="24"/>
        </w:rPr>
      </w:pPr>
      <w:r w:rsidRPr="00473D6B">
        <w:rPr>
          <w:sz w:val="24"/>
          <w:szCs w:val="24"/>
        </w:rPr>
        <w:t>2.</w:t>
      </w:r>
      <w:r w:rsidRPr="00473D6B">
        <w:rPr>
          <w:sz w:val="24"/>
          <w:szCs w:val="24"/>
        </w:rPr>
        <w:tab/>
        <w:t xml:space="preserve">International Section 214 – Modification </w:t>
      </w:r>
    </w:p>
    <w:p w:rsidR="007E1DF9" w:rsidRPr="00473D6B" w:rsidRDefault="002D29E7" w:rsidP="00BE0C30">
      <w:pPr>
        <w:tabs>
          <w:tab w:val="left" w:pos="-720"/>
        </w:tabs>
        <w:suppressAutoHyphens/>
        <w:rPr>
          <w:rFonts w:ascii="Times New Roman" w:hAnsi="Times New Roman"/>
          <w:sz w:val="24"/>
          <w:szCs w:val="24"/>
        </w:rPr>
      </w:pPr>
      <w:r w:rsidRPr="00473D6B">
        <w:rPr>
          <w:rFonts w:ascii="Times New Roman" w:hAnsi="Times New Roman"/>
          <w:sz w:val="24"/>
          <w:szCs w:val="24"/>
        </w:rPr>
        <w:t>This information collection does not affect individuals or households; thus, there are no impacts under the Privacy Act.</w:t>
      </w:r>
    </w:p>
    <w:p w:rsidR="00BE0C30" w:rsidRPr="00473D6B" w:rsidRDefault="00BE0C30" w:rsidP="007E1DF9">
      <w:pPr>
        <w:tabs>
          <w:tab w:val="left" w:pos="-720"/>
        </w:tabs>
        <w:suppressAutoHyphens/>
        <w:ind w:left="720"/>
        <w:rPr>
          <w:rFonts w:ascii="Times New Roman" w:hAnsi="Times New Roman"/>
          <w:sz w:val="24"/>
          <w:szCs w:val="24"/>
        </w:rPr>
      </w:pPr>
    </w:p>
    <w:p w:rsidR="008E6F68" w:rsidRDefault="00D30DBF" w:rsidP="008E6F68">
      <w:pPr>
        <w:widowControl/>
        <w:rPr>
          <w:rFonts w:ascii="Times New Roman" w:hAnsi="Times New Roman"/>
          <w:sz w:val="24"/>
        </w:rPr>
      </w:pPr>
      <w:r w:rsidRPr="00473D6B">
        <w:rPr>
          <w:rFonts w:ascii="Times New Roman" w:hAnsi="Times New Roman"/>
          <w:sz w:val="24"/>
        </w:rPr>
        <w:t xml:space="preserve">The statutory authority for this information collection is as follows:  </w:t>
      </w:r>
      <w:r w:rsidR="00026335">
        <w:rPr>
          <w:rFonts w:ascii="Times New Roman" w:hAnsi="Times New Roman"/>
          <w:sz w:val="24"/>
        </w:rPr>
        <w:t>S</w:t>
      </w:r>
      <w:r w:rsidR="00DB5851" w:rsidRPr="00473D6B">
        <w:rPr>
          <w:rFonts w:ascii="Times New Roman" w:hAnsi="Times New Roman"/>
          <w:sz w:val="24"/>
        </w:rPr>
        <w:t xml:space="preserve">ections </w:t>
      </w:r>
      <w:r w:rsidR="00860059" w:rsidRPr="00473D6B">
        <w:rPr>
          <w:rFonts w:ascii="Times New Roman" w:hAnsi="Times New Roman"/>
          <w:sz w:val="24"/>
          <w:szCs w:val="24"/>
        </w:rPr>
        <w:t xml:space="preserve">1, 4(i), </w:t>
      </w:r>
      <w:r w:rsidR="00860059" w:rsidRPr="00611AAC">
        <w:rPr>
          <w:rFonts w:ascii="Times New Roman" w:hAnsi="Times New Roman"/>
          <w:sz w:val="24"/>
          <w:szCs w:val="24"/>
        </w:rPr>
        <w:t>4(j),</w:t>
      </w:r>
      <w:r w:rsidR="00611AAC">
        <w:rPr>
          <w:rFonts w:ascii="Times New Roman" w:hAnsi="Times New Roman"/>
          <w:sz w:val="24"/>
          <w:szCs w:val="24"/>
        </w:rPr>
        <w:t xml:space="preserve"> </w:t>
      </w:r>
      <w:r w:rsidR="008E6F68">
        <w:rPr>
          <w:rFonts w:ascii="Times New Roman" w:hAnsi="Times New Roman"/>
          <w:sz w:val="24"/>
          <w:szCs w:val="24"/>
        </w:rPr>
        <w:t xml:space="preserve">10, </w:t>
      </w:r>
      <w:r w:rsidR="00611AAC" w:rsidRPr="00611AAC">
        <w:rPr>
          <w:rFonts w:ascii="Times New Roman" w:hAnsi="Times New Roman"/>
          <w:sz w:val="24"/>
          <w:szCs w:val="24"/>
        </w:rPr>
        <w:t>11,</w:t>
      </w:r>
      <w:r w:rsidR="00860059" w:rsidRPr="00473D6B">
        <w:rPr>
          <w:rFonts w:ascii="Times New Roman" w:hAnsi="Times New Roman"/>
          <w:sz w:val="24"/>
          <w:szCs w:val="24"/>
        </w:rPr>
        <w:t xml:space="preserve"> 201-205, </w:t>
      </w:r>
      <w:r w:rsidR="00045B0E" w:rsidRPr="00DA7435">
        <w:rPr>
          <w:rFonts w:ascii="Times New Roman" w:hAnsi="Times New Roman"/>
          <w:sz w:val="24"/>
          <w:szCs w:val="24"/>
        </w:rPr>
        <w:t>208</w:t>
      </w:r>
      <w:r w:rsidR="00045B0E">
        <w:rPr>
          <w:rFonts w:ascii="Times New Roman" w:hAnsi="Times New Roman"/>
          <w:sz w:val="24"/>
          <w:szCs w:val="24"/>
        </w:rPr>
        <w:t xml:space="preserve">, </w:t>
      </w:r>
      <w:r w:rsidR="00186ADB" w:rsidRPr="00473D6B">
        <w:rPr>
          <w:rFonts w:ascii="Times New Roman" w:hAnsi="Times New Roman"/>
          <w:sz w:val="24"/>
          <w:szCs w:val="24"/>
        </w:rPr>
        <w:t xml:space="preserve">211, </w:t>
      </w:r>
      <w:r w:rsidR="00257B15" w:rsidRPr="00473D6B">
        <w:rPr>
          <w:rFonts w:ascii="Times New Roman" w:hAnsi="Times New Roman"/>
          <w:sz w:val="24"/>
          <w:szCs w:val="24"/>
        </w:rPr>
        <w:t xml:space="preserve">214, </w:t>
      </w:r>
      <w:r w:rsidR="008E6F68">
        <w:rPr>
          <w:rFonts w:ascii="Times New Roman" w:hAnsi="Times New Roman"/>
          <w:sz w:val="24"/>
          <w:szCs w:val="24"/>
        </w:rPr>
        <w:t xml:space="preserve">218, </w:t>
      </w:r>
      <w:r w:rsidR="00045B0E" w:rsidRPr="00DA7435">
        <w:rPr>
          <w:rFonts w:ascii="Times New Roman" w:hAnsi="Times New Roman"/>
          <w:sz w:val="24"/>
          <w:szCs w:val="24"/>
        </w:rPr>
        <w:t>219, 220, 303(r), 309, 310</w:t>
      </w:r>
      <w:r w:rsidR="008E6F68">
        <w:rPr>
          <w:rFonts w:ascii="Times New Roman" w:hAnsi="Times New Roman"/>
          <w:sz w:val="24"/>
          <w:szCs w:val="24"/>
        </w:rPr>
        <w:t xml:space="preserve">, 403 and 571 </w:t>
      </w:r>
      <w:r w:rsidR="00860059" w:rsidRPr="00473D6B">
        <w:rPr>
          <w:rFonts w:ascii="Times New Roman" w:hAnsi="Times New Roman"/>
          <w:sz w:val="24"/>
          <w:szCs w:val="24"/>
        </w:rPr>
        <w:t xml:space="preserve">of the Communications Act of 1934, as amended, 47 U.S.C. §§ 151, 154(i), 154(j), </w:t>
      </w:r>
      <w:r w:rsidR="008E6F68">
        <w:rPr>
          <w:rFonts w:ascii="Times New Roman" w:hAnsi="Times New Roman"/>
          <w:sz w:val="24"/>
          <w:szCs w:val="24"/>
        </w:rPr>
        <w:t xml:space="preserve">154(j), 160, </w:t>
      </w:r>
      <w:r w:rsidR="00611AAC" w:rsidRPr="00611AAC">
        <w:rPr>
          <w:rFonts w:ascii="Times New Roman" w:hAnsi="Times New Roman"/>
          <w:sz w:val="24"/>
          <w:szCs w:val="24"/>
        </w:rPr>
        <w:t>161,</w:t>
      </w:r>
      <w:r w:rsidR="00611AAC">
        <w:rPr>
          <w:rFonts w:ascii="Times New Roman" w:hAnsi="Times New Roman"/>
          <w:sz w:val="24"/>
          <w:szCs w:val="24"/>
        </w:rPr>
        <w:t xml:space="preserve"> </w:t>
      </w:r>
      <w:r w:rsidR="00860059" w:rsidRPr="00473D6B">
        <w:rPr>
          <w:rFonts w:ascii="Times New Roman" w:hAnsi="Times New Roman"/>
          <w:sz w:val="24"/>
          <w:szCs w:val="24"/>
        </w:rPr>
        <w:t>201-205,</w:t>
      </w:r>
      <w:r w:rsidR="00186ADB" w:rsidRPr="00473D6B">
        <w:rPr>
          <w:rFonts w:ascii="Times New Roman" w:hAnsi="Times New Roman"/>
          <w:sz w:val="24"/>
          <w:szCs w:val="24"/>
        </w:rPr>
        <w:t xml:space="preserve"> </w:t>
      </w:r>
      <w:r w:rsidR="00045B0E" w:rsidRPr="00E176AB">
        <w:rPr>
          <w:rFonts w:ascii="Times New Roman" w:hAnsi="Times New Roman"/>
          <w:sz w:val="24"/>
          <w:szCs w:val="24"/>
        </w:rPr>
        <w:t>208,</w:t>
      </w:r>
      <w:r w:rsidR="00045B0E">
        <w:rPr>
          <w:rFonts w:ascii="Times New Roman" w:hAnsi="Times New Roman"/>
          <w:sz w:val="24"/>
          <w:szCs w:val="24"/>
        </w:rPr>
        <w:t xml:space="preserve"> </w:t>
      </w:r>
      <w:r w:rsidR="00186ADB" w:rsidRPr="00473D6B">
        <w:rPr>
          <w:rFonts w:ascii="Times New Roman" w:hAnsi="Times New Roman"/>
          <w:sz w:val="24"/>
          <w:szCs w:val="24"/>
        </w:rPr>
        <w:t>211,</w:t>
      </w:r>
      <w:r w:rsidR="00257B15" w:rsidRPr="00473D6B">
        <w:rPr>
          <w:rFonts w:ascii="Times New Roman" w:hAnsi="Times New Roman"/>
          <w:sz w:val="24"/>
          <w:szCs w:val="24"/>
        </w:rPr>
        <w:t xml:space="preserve"> 214, </w:t>
      </w:r>
      <w:r w:rsidR="00102FED">
        <w:rPr>
          <w:rFonts w:ascii="Times New Roman" w:hAnsi="Times New Roman"/>
          <w:sz w:val="24"/>
          <w:szCs w:val="24"/>
        </w:rPr>
        <w:t xml:space="preserve">218, </w:t>
      </w:r>
      <w:r w:rsidR="003A4E5A" w:rsidRPr="00E176AB">
        <w:rPr>
          <w:rFonts w:ascii="Times New Roman" w:hAnsi="Times New Roman"/>
          <w:sz w:val="24"/>
          <w:szCs w:val="24"/>
        </w:rPr>
        <w:t>219, 220, 303(r), 309, 310</w:t>
      </w:r>
      <w:r w:rsidR="008E6F68">
        <w:rPr>
          <w:rFonts w:ascii="Times New Roman" w:hAnsi="Times New Roman"/>
          <w:sz w:val="24"/>
          <w:szCs w:val="24"/>
        </w:rPr>
        <w:t xml:space="preserve">, </w:t>
      </w:r>
      <w:r w:rsidR="00860059" w:rsidRPr="00E176AB">
        <w:rPr>
          <w:rFonts w:ascii="Times New Roman" w:hAnsi="Times New Roman"/>
          <w:sz w:val="24"/>
          <w:szCs w:val="24"/>
        </w:rPr>
        <w:t>4</w:t>
      </w:r>
      <w:r w:rsidR="003A4E5A" w:rsidRPr="00E176AB">
        <w:rPr>
          <w:rFonts w:ascii="Times New Roman" w:hAnsi="Times New Roman"/>
          <w:sz w:val="24"/>
          <w:szCs w:val="24"/>
        </w:rPr>
        <w:t>03</w:t>
      </w:r>
      <w:r w:rsidR="008E6F68">
        <w:rPr>
          <w:rFonts w:ascii="Times New Roman" w:hAnsi="Times New Roman"/>
          <w:sz w:val="24"/>
          <w:szCs w:val="24"/>
        </w:rPr>
        <w:t xml:space="preserve"> and 571</w:t>
      </w:r>
      <w:r w:rsidR="006936EF" w:rsidRPr="00473D6B">
        <w:rPr>
          <w:rFonts w:ascii="Times New Roman" w:hAnsi="Times New Roman"/>
          <w:sz w:val="24"/>
          <w:szCs w:val="24"/>
        </w:rPr>
        <w:t>.</w:t>
      </w:r>
      <w:r w:rsidR="008E6F68">
        <w:rPr>
          <w:rFonts w:ascii="Times New Roman" w:hAnsi="Times New Roman"/>
          <w:sz w:val="24"/>
          <w:szCs w:val="24"/>
        </w:rPr>
        <w:t xml:space="preserve">  </w:t>
      </w:r>
    </w:p>
    <w:p w:rsidR="00B03EA0" w:rsidRPr="00473D6B" w:rsidRDefault="00B03EA0">
      <w:pPr>
        <w:suppressAutoHyphens/>
        <w:rPr>
          <w:rFonts w:ascii="Times New Roman" w:hAnsi="Times New Roman"/>
          <w:sz w:val="24"/>
        </w:rPr>
      </w:pPr>
    </w:p>
    <w:p w:rsidR="00DB5851" w:rsidRPr="00473D6B" w:rsidRDefault="006936EF">
      <w:pPr>
        <w:suppressAutoHyphens/>
        <w:rPr>
          <w:rFonts w:ascii="Times New Roman" w:hAnsi="Times New Roman"/>
          <w:sz w:val="24"/>
        </w:rPr>
      </w:pPr>
      <w:r w:rsidRPr="00473D6B">
        <w:rPr>
          <w:rFonts w:ascii="Times New Roman" w:hAnsi="Times New Roman"/>
          <w:sz w:val="24"/>
        </w:rPr>
        <w:t xml:space="preserve">2.      </w:t>
      </w:r>
      <w:r w:rsidR="00DB5851" w:rsidRPr="00473D6B">
        <w:rPr>
          <w:rFonts w:ascii="Times New Roman" w:hAnsi="Times New Roman"/>
          <w:sz w:val="24"/>
        </w:rPr>
        <w:t xml:space="preserve">The information </w:t>
      </w:r>
      <w:r w:rsidR="004E0ADF" w:rsidRPr="00473D6B">
        <w:rPr>
          <w:rFonts w:ascii="Times New Roman" w:hAnsi="Times New Roman"/>
          <w:sz w:val="24"/>
        </w:rPr>
        <w:t>will be</w:t>
      </w:r>
      <w:r w:rsidR="00DB5851" w:rsidRPr="00473D6B">
        <w:rPr>
          <w:rFonts w:ascii="Times New Roman" w:hAnsi="Times New Roman"/>
          <w:sz w:val="24"/>
        </w:rPr>
        <w:t xml:space="preserve"> used by the Commission staff in carrying out its duties under the Communications Act.  The information collections pertaining to Part 63 are necessary largely to determine </w:t>
      </w:r>
      <w:r w:rsidR="00DB5851" w:rsidRPr="00473D6B">
        <w:rPr>
          <w:rFonts w:ascii="Times New Roman" w:hAnsi="Times New Roman"/>
          <w:iCs/>
          <w:sz w:val="24"/>
          <w:szCs w:val="24"/>
        </w:rPr>
        <w:t>the</w:t>
      </w:r>
      <w:r w:rsidR="00DB5851" w:rsidRPr="00473D6B">
        <w:rPr>
          <w:rFonts w:ascii="Times New Roman" w:hAnsi="Times New Roman"/>
          <w:sz w:val="24"/>
        </w:rPr>
        <w:t xml:space="preserve"> qualifications of applicants to provide common carrier international telecommunications service</w:t>
      </w:r>
      <w:r w:rsidR="00A363CF">
        <w:rPr>
          <w:rFonts w:ascii="Times New Roman" w:hAnsi="Times New Roman"/>
          <w:sz w:val="24"/>
        </w:rPr>
        <w:t xml:space="preserve"> under Section 214 of the Communications Act, 47 U.S.C. 214</w:t>
      </w:r>
      <w:r w:rsidR="00DB5851" w:rsidRPr="00473D6B">
        <w:rPr>
          <w:rFonts w:ascii="Times New Roman" w:hAnsi="Times New Roman"/>
          <w:sz w:val="24"/>
        </w:rPr>
        <w:t>, including applicants that are</w:t>
      </w:r>
      <w:r w:rsidR="001D2110" w:rsidRPr="00473D6B">
        <w:rPr>
          <w:rFonts w:ascii="Times New Roman" w:hAnsi="Times New Roman"/>
          <w:sz w:val="24"/>
        </w:rPr>
        <w:t>, or are</w:t>
      </w:r>
      <w:r w:rsidR="00DB5851" w:rsidRPr="00473D6B">
        <w:rPr>
          <w:rFonts w:ascii="Times New Roman" w:hAnsi="Times New Roman"/>
          <w:sz w:val="24"/>
        </w:rPr>
        <w:t xml:space="preserve"> affiliated with</w:t>
      </w:r>
      <w:r w:rsidR="003C59E5" w:rsidRPr="00473D6B">
        <w:rPr>
          <w:rFonts w:ascii="Times New Roman" w:hAnsi="Times New Roman"/>
          <w:sz w:val="24"/>
        </w:rPr>
        <w:t>,</w:t>
      </w:r>
      <w:r w:rsidR="00DB5851" w:rsidRPr="00473D6B">
        <w:rPr>
          <w:rFonts w:ascii="Times New Roman" w:hAnsi="Times New Roman"/>
          <w:sz w:val="24"/>
        </w:rPr>
        <w:t xml:space="preserve"> foreign carriers, and to determine whether and under what conditions the authorizations are in the public interest, convenience, and necessity.</w:t>
      </w:r>
      <w:r w:rsidR="003C59E5" w:rsidRPr="00473D6B">
        <w:rPr>
          <w:rFonts w:ascii="Times New Roman" w:hAnsi="Times New Roman"/>
          <w:sz w:val="24"/>
        </w:rPr>
        <w:t xml:space="preserve">  The information collections are also necessary to maintain effective oversight</w:t>
      </w:r>
      <w:r w:rsidR="00DB5851" w:rsidRPr="00473D6B">
        <w:rPr>
          <w:rFonts w:ascii="Times New Roman" w:hAnsi="Times New Roman"/>
          <w:sz w:val="24"/>
        </w:rPr>
        <w:t xml:space="preserve"> </w:t>
      </w:r>
      <w:r w:rsidR="003C59E5" w:rsidRPr="00473D6B">
        <w:rPr>
          <w:rFonts w:ascii="Times New Roman" w:hAnsi="Times New Roman"/>
          <w:sz w:val="24"/>
        </w:rPr>
        <w:t>of U.S. international carriers generally.</w:t>
      </w:r>
    </w:p>
    <w:p w:rsidR="003E3950" w:rsidRPr="00473D6B" w:rsidRDefault="003E3950">
      <w:pPr>
        <w:suppressAutoHyphens/>
        <w:rPr>
          <w:rFonts w:ascii="Times New Roman" w:hAnsi="Times New Roman"/>
          <w:sz w:val="24"/>
        </w:rPr>
      </w:pPr>
    </w:p>
    <w:p w:rsidR="00E22E4C" w:rsidRPr="00473D6B" w:rsidRDefault="00EA5B2A">
      <w:pPr>
        <w:suppressAutoHyphens/>
        <w:rPr>
          <w:rFonts w:ascii="Times New Roman" w:hAnsi="Times New Roman"/>
          <w:sz w:val="24"/>
        </w:rPr>
      </w:pPr>
      <w:r w:rsidRPr="00473D6B">
        <w:rPr>
          <w:rFonts w:ascii="Times New Roman" w:hAnsi="Times New Roman"/>
          <w:sz w:val="24"/>
        </w:rPr>
        <w:t>3.</w:t>
      </w:r>
      <w:r w:rsidR="00190932" w:rsidRPr="00473D6B">
        <w:rPr>
          <w:rFonts w:ascii="Times New Roman" w:hAnsi="Times New Roman"/>
          <w:sz w:val="24"/>
        </w:rPr>
        <w:t xml:space="preserve">      </w:t>
      </w:r>
      <w:r w:rsidR="00447F4A" w:rsidRPr="00473D6B">
        <w:rPr>
          <w:rFonts w:ascii="Times New Roman" w:hAnsi="Times New Roman"/>
          <w:sz w:val="24"/>
        </w:rPr>
        <w:t xml:space="preserve">In December </w:t>
      </w:r>
      <w:r w:rsidR="00447F4A" w:rsidRPr="00473D6B">
        <w:rPr>
          <w:rFonts w:ascii="Times New Roman" w:hAnsi="Times New Roman"/>
          <w:iCs/>
          <w:sz w:val="24"/>
          <w:szCs w:val="24"/>
        </w:rPr>
        <w:t>200</w:t>
      </w:r>
      <w:r w:rsidR="00E5719D" w:rsidRPr="00473D6B">
        <w:rPr>
          <w:rFonts w:ascii="Times New Roman" w:hAnsi="Times New Roman"/>
          <w:iCs/>
          <w:sz w:val="24"/>
          <w:szCs w:val="24"/>
        </w:rPr>
        <w:t>6</w:t>
      </w:r>
      <w:r w:rsidR="00447F4A" w:rsidRPr="00473D6B">
        <w:rPr>
          <w:rFonts w:ascii="Times New Roman" w:hAnsi="Times New Roman"/>
          <w:iCs/>
          <w:sz w:val="24"/>
          <w:szCs w:val="24"/>
        </w:rPr>
        <w:t xml:space="preserve">, the Commission received OMB approval of mandatory electronic filing of all </w:t>
      </w:r>
      <w:r w:rsidR="00401536">
        <w:rPr>
          <w:rFonts w:ascii="Times New Roman" w:hAnsi="Times New Roman"/>
          <w:iCs/>
          <w:sz w:val="24"/>
          <w:szCs w:val="24"/>
        </w:rPr>
        <w:t>s</w:t>
      </w:r>
      <w:r w:rsidR="00447F4A" w:rsidRPr="00473D6B">
        <w:rPr>
          <w:rFonts w:ascii="Times New Roman" w:hAnsi="Times New Roman"/>
          <w:iCs/>
          <w:sz w:val="24"/>
          <w:szCs w:val="24"/>
        </w:rPr>
        <w:t xml:space="preserve">ection 214-related applications </w:t>
      </w:r>
      <w:r w:rsidR="00E22E4C" w:rsidRPr="00473D6B">
        <w:rPr>
          <w:rFonts w:ascii="Times New Roman" w:hAnsi="Times New Roman"/>
          <w:iCs/>
          <w:sz w:val="24"/>
          <w:szCs w:val="24"/>
        </w:rPr>
        <w:t xml:space="preserve">and notifications </w:t>
      </w:r>
      <w:r w:rsidR="008A359A" w:rsidRPr="00473D6B">
        <w:rPr>
          <w:rFonts w:ascii="Times New Roman" w:hAnsi="Times New Roman"/>
          <w:sz w:val="24"/>
        </w:rPr>
        <w:t>under OMB Control No. 3060-</w:t>
      </w:r>
      <w:r w:rsidR="00447F4A" w:rsidRPr="00473D6B">
        <w:rPr>
          <w:rFonts w:ascii="Times New Roman" w:hAnsi="Times New Roman"/>
          <w:sz w:val="24"/>
        </w:rPr>
        <w:t>0686</w:t>
      </w:r>
      <w:r w:rsidR="008A359A" w:rsidRPr="00473D6B">
        <w:rPr>
          <w:rFonts w:ascii="Times New Roman" w:hAnsi="Times New Roman"/>
          <w:sz w:val="24"/>
        </w:rPr>
        <w:t>.</w:t>
      </w:r>
      <w:r w:rsidR="00421242" w:rsidRPr="00473D6B">
        <w:rPr>
          <w:rStyle w:val="FootnoteReference"/>
          <w:rFonts w:ascii="Times New Roman" w:hAnsi="Times New Roman"/>
          <w:sz w:val="24"/>
        </w:rPr>
        <w:footnoteReference w:id="2"/>
      </w:r>
      <w:r w:rsidR="008A359A" w:rsidRPr="00473D6B">
        <w:rPr>
          <w:rFonts w:ascii="Times New Roman" w:hAnsi="Times New Roman"/>
          <w:sz w:val="24"/>
        </w:rPr>
        <w:t xml:space="preserve">  </w:t>
      </w:r>
    </w:p>
    <w:p w:rsidR="00D505A7" w:rsidRPr="00473D6B" w:rsidRDefault="008A359A">
      <w:pPr>
        <w:suppressAutoHyphens/>
        <w:rPr>
          <w:rFonts w:ascii="Times New Roman" w:hAnsi="Times New Roman"/>
          <w:sz w:val="24"/>
        </w:rPr>
      </w:pPr>
      <w:r w:rsidRPr="00473D6B">
        <w:rPr>
          <w:rFonts w:ascii="Times New Roman" w:hAnsi="Times New Roman"/>
          <w:sz w:val="24"/>
        </w:rPr>
        <w:t xml:space="preserve">A total of 100 percent of </w:t>
      </w:r>
      <w:r w:rsidR="0091292F" w:rsidRPr="00473D6B">
        <w:rPr>
          <w:rFonts w:ascii="Times New Roman" w:hAnsi="Times New Roman"/>
          <w:sz w:val="24"/>
        </w:rPr>
        <w:t xml:space="preserve">Section </w:t>
      </w:r>
      <w:r w:rsidRPr="00473D6B">
        <w:rPr>
          <w:rFonts w:ascii="Times New Roman" w:hAnsi="Times New Roman"/>
          <w:sz w:val="24"/>
        </w:rPr>
        <w:t>214 authorizations are filed electronically in the International Bureau Filing System (IBFS).</w:t>
      </w:r>
      <w:r w:rsidR="001D2110" w:rsidRPr="00473D6B">
        <w:rPr>
          <w:rFonts w:ascii="Times New Roman" w:hAnsi="Times New Roman"/>
          <w:sz w:val="24"/>
        </w:rPr>
        <w:t xml:space="preserve"> </w:t>
      </w:r>
    </w:p>
    <w:p w:rsidR="008A359A" w:rsidRPr="00473D6B" w:rsidRDefault="008A359A">
      <w:pPr>
        <w:suppressAutoHyphens/>
        <w:rPr>
          <w:rFonts w:ascii="Times New Roman" w:hAnsi="Times New Roman"/>
          <w:sz w:val="24"/>
        </w:rPr>
      </w:pPr>
    </w:p>
    <w:p w:rsidR="00DB5851" w:rsidRPr="00473D6B" w:rsidRDefault="005B1AF8">
      <w:pPr>
        <w:suppressAutoHyphens/>
        <w:rPr>
          <w:rFonts w:ascii="Times New Roman" w:hAnsi="Times New Roman"/>
          <w:sz w:val="24"/>
        </w:rPr>
      </w:pPr>
      <w:r>
        <w:rPr>
          <w:rFonts w:ascii="Times New Roman" w:hAnsi="Times New Roman"/>
          <w:sz w:val="24"/>
        </w:rPr>
        <w:t xml:space="preserve">4.     </w:t>
      </w:r>
      <w:r w:rsidR="003C59E5" w:rsidRPr="00473D6B">
        <w:rPr>
          <w:rFonts w:ascii="Times New Roman" w:hAnsi="Times New Roman"/>
          <w:sz w:val="24"/>
        </w:rPr>
        <w:t>The information that is collected under the rules is not available elsewhere.</w:t>
      </w:r>
      <w:r w:rsidR="00DB5851" w:rsidRPr="00473D6B">
        <w:rPr>
          <w:rFonts w:ascii="Times New Roman" w:hAnsi="Times New Roman"/>
          <w:sz w:val="24"/>
        </w:rPr>
        <w:t xml:space="preserve"> </w:t>
      </w:r>
    </w:p>
    <w:p w:rsidR="007A6E22" w:rsidRPr="00473D6B" w:rsidRDefault="007A6E22">
      <w:pPr>
        <w:suppressAutoHyphens/>
        <w:rPr>
          <w:rFonts w:ascii="Times New Roman" w:hAnsi="Times New Roman"/>
          <w:sz w:val="24"/>
        </w:rPr>
      </w:pPr>
    </w:p>
    <w:p w:rsidR="00783C53" w:rsidRDefault="00F907B4">
      <w:pPr>
        <w:suppressAutoHyphens/>
        <w:rPr>
          <w:rFonts w:ascii="Times New Roman" w:hAnsi="Times New Roman"/>
          <w:b/>
          <w:sz w:val="24"/>
        </w:rPr>
      </w:pPr>
      <w:r w:rsidRPr="00473D6B">
        <w:rPr>
          <w:rFonts w:ascii="Times New Roman" w:hAnsi="Times New Roman"/>
          <w:sz w:val="24"/>
        </w:rPr>
        <w:t>5</w:t>
      </w:r>
      <w:r w:rsidR="005B1AF8">
        <w:rPr>
          <w:rFonts w:ascii="Times New Roman" w:hAnsi="Times New Roman"/>
          <w:sz w:val="24"/>
        </w:rPr>
        <w:t xml:space="preserve">.      </w:t>
      </w:r>
      <w:r w:rsidR="00783C53" w:rsidRPr="00783C53">
        <w:rPr>
          <w:rFonts w:ascii="Times New Roman" w:hAnsi="Times New Roman"/>
          <w:snapToGrid/>
          <w:sz w:val="24"/>
          <w:szCs w:val="24"/>
        </w:rPr>
        <w:t xml:space="preserve">In order to reduce the costs and burdens on carriers, including small entities, </w:t>
      </w:r>
      <w:r w:rsidR="00783C53">
        <w:rPr>
          <w:rFonts w:ascii="Times New Roman" w:hAnsi="Times New Roman"/>
          <w:snapToGrid/>
          <w:sz w:val="24"/>
          <w:szCs w:val="24"/>
        </w:rPr>
        <w:t xml:space="preserve">in the </w:t>
      </w:r>
      <w:r w:rsidR="00783C53">
        <w:rPr>
          <w:rFonts w:ascii="Times New Roman" w:hAnsi="Times New Roman"/>
          <w:i/>
          <w:snapToGrid/>
          <w:sz w:val="24"/>
          <w:szCs w:val="24"/>
        </w:rPr>
        <w:t xml:space="preserve">2017 Part 43 Report and Order </w:t>
      </w:r>
      <w:r w:rsidR="00783C53">
        <w:rPr>
          <w:rFonts w:ascii="Times New Roman" w:hAnsi="Times New Roman"/>
          <w:snapToGrid/>
          <w:sz w:val="24"/>
          <w:szCs w:val="24"/>
        </w:rPr>
        <w:t>the Commission reformed its</w:t>
      </w:r>
      <w:r w:rsidR="00783C53" w:rsidRPr="00783C53">
        <w:rPr>
          <w:rFonts w:ascii="Times New Roman" w:hAnsi="Times New Roman"/>
          <w:snapToGrid/>
          <w:sz w:val="24"/>
          <w:szCs w:val="24"/>
        </w:rPr>
        <w:t xml:space="preserve"> international reporting requirements.  It </w:t>
      </w:r>
      <w:r w:rsidR="00783C53">
        <w:rPr>
          <w:rFonts w:ascii="Times New Roman" w:hAnsi="Times New Roman"/>
          <w:snapToGrid/>
          <w:sz w:val="24"/>
          <w:szCs w:val="24"/>
        </w:rPr>
        <w:t xml:space="preserve">eliminated </w:t>
      </w:r>
      <w:r w:rsidR="00783C53" w:rsidRPr="00783C53">
        <w:rPr>
          <w:rFonts w:ascii="Times New Roman" w:hAnsi="Times New Roman"/>
          <w:snapToGrid/>
          <w:sz w:val="24"/>
          <w:szCs w:val="24"/>
        </w:rPr>
        <w:t>the traffic and revenue r</w:t>
      </w:r>
      <w:r w:rsidR="00783C53">
        <w:rPr>
          <w:rFonts w:ascii="Times New Roman" w:hAnsi="Times New Roman"/>
          <w:snapToGrid/>
          <w:sz w:val="24"/>
          <w:szCs w:val="24"/>
        </w:rPr>
        <w:t xml:space="preserve">eports.  In its place the Commission will rely on commercial sources of information and targeted data requests.  </w:t>
      </w:r>
      <w:r w:rsidR="00783C53">
        <w:rPr>
          <w:rFonts w:ascii="Times New Roman" w:hAnsi="Times New Roman"/>
          <w:sz w:val="24"/>
        </w:rPr>
        <w:t xml:space="preserve">To ensure that the process for the targeted data requests is efficient the Commission found that it needs a list of which international service providers have termination arrangements with a foreign carrier on a U.S.-international route so that it will know from which carriers to request data.  Only facilities-based international service providers will be required to provide a list of routes.  </w:t>
      </w:r>
      <w:r w:rsidR="00783C53" w:rsidRPr="00783C53">
        <w:rPr>
          <w:rFonts w:ascii="Times New Roman" w:hAnsi="Times New Roman"/>
          <w:snapToGrid/>
          <w:sz w:val="24"/>
          <w:szCs w:val="24"/>
        </w:rPr>
        <w:t xml:space="preserve">Overall, with the adoption of these changes to the international reporting requirements the Commission will minimize the economic impact on carriers, including small entities, by eliminating unnecessary data collections and retaining </w:t>
      </w:r>
      <w:r w:rsidR="00783C53">
        <w:rPr>
          <w:rFonts w:ascii="Times New Roman" w:hAnsi="Times New Roman"/>
          <w:snapToGrid/>
          <w:sz w:val="24"/>
          <w:szCs w:val="24"/>
        </w:rPr>
        <w:t xml:space="preserve">information collection </w:t>
      </w:r>
      <w:r w:rsidR="00783C53" w:rsidRPr="00783C53">
        <w:rPr>
          <w:rFonts w:ascii="Times New Roman" w:hAnsi="Times New Roman"/>
          <w:snapToGrid/>
          <w:sz w:val="24"/>
          <w:szCs w:val="24"/>
        </w:rPr>
        <w:t>requirements for only th</w:t>
      </w:r>
      <w:r w:rsidR="00783C53">
        <w:rPr>
          <w:rFonts w:ascii="Times New Roman" w:hAnsi="Times New Roman"/>
          <w:snapToGrid/>
          <w:sz w:val="24"/>
          <w:szCs w:val="24"/>
        </w:rPr>
        <w:t xml:space="preserve">e data </w:t>
      </w:r>
      <w:r w:rsidR="00783C53" w:rsidRPr="00783C53">
        <w:rPr>
          <w:rFonts w:ascii="Times New Roman" w:hAnsi="Times New Roman"/>
          <w:snapToGrid/>
          <w:sz w:val="24"/>
          <w:szCs w:val="24"/>
        </w:rPr>
        <w:t>necessary to serve the public interest.</w:t>
      </w:r>
    </w:p>
    <w:p w:rsidR="00783C53" w:rsidRDefault="00783C53">
      <w:pPr>
        <w:suppressAutoHyphens/>
        <w:rPr>
          <w:rFonts w:ascii="Times New Roman" w:hAnsi="Times New Roman"/>
          <w:b/>
          <w:sz w:val="24"/>
        </w:rPr>
      </w:pPr>
    </w:p>
    <w:p w:rsidR="000D6216" w:rsidRPr="00473D6B" w:rsidRDefault="00377124" w:rsidP="000D6216">
      <w:pPr>
        <w:suppressAutoHyphens/>
        <w:rPr>
          <w:rFonts w:ascii="Times New Roman" w:hAnsi="Times New Roman"/>
          <w:sz w:val="24"/>
        </w:rPr>
      </w:pPr>
      <w:r w:rsidRPr="00473D6B">
        <w:rPr>
          <w:rFonts w:ascii="Times New Roman" w:hAnsi="Times New Roman"/>
          <w:sz w:val="24"/>
        </w:rPr>
        <w:t>6.</w:t>
      </w:r>
      <w:r w:rsidRPr="00473D6B">
        <w:rPr>
          <w:rFonts w:ascii="Times New Roman" w:hAnsi="Times New Roman"/>
          <w:sz w:val="24"/>
        </w:rPr>
        <w:tab/>
      </w:r>
      <w:r w:rsidR="00DB5851" w:rsidRPr="00473D6B">
        <w:rPr>
          <w:rFonts w:ascii="Times New Roman" w:hAnsi="Times New Roman"/>
          <w:sz w:val="24"/>
        </w:rPr>
        <w:t>The frequency of filing applications pursuant to Sections 214</w:t>
      </w:r>
      <w:r w:rsidR="0088090F" w:rsidRPr="00473D6B">
        <w:rPr>
          <w:rFonts w:ascii="Times New Roman" w:hAnsi="Times New Roman"/>
          <w:sz w:val="24"/>
        </w:rPr>
        <w:t xml:space="preserve"> </w:t>
      </w:r>
      <w:r w:rsidR="00E277F4">
        <w:rPr>
          <w:rFonts w:ascii="Times New Roman" w:hAnsi="Times New Roman"/>
          <w:sz w:val="24"/>
        </w:rPr>
        <w:t>w</w:t>
      </w:r>
      <w:r w:rsidR="00DB5851" w:rsidRPr="00473D6B">
        <w:rPr>
          <w:rFonts w:ascii="Times New Roman" w:hAnsi="Times New Roman"/>
          <w:sz w:val="24"/>
        </w:rPr>
        <w:t xml:space="preserve">ill be determined largely by the applicant seeking to provide </w:t>
      </w:r>
      <w:r w:rsidR="00F70368" w:rsidRPr="00473D6B">
        <w:rPr>
          <w:rFonts w:ascii="Times New Roman" w:hAnsi="Times New Roman"/>
          <w:sz w:val="24"/>
        </w:rPr>
        <w:t xml:space="preserve">U.S </w:t>
      </w:r>
      <w:r w:rsidR="00DB5851" w:rsidRPr="00473D6B">
        <w:rPr>
          <w:rFonts w:ascii="Times New Roman" w:hAnsi="Times New Roman"/>
          <w:sz w:val="24"/>
        </w:rPr>
        <w:t>intern</w:t>
      </w:r>
      <w:r w:rsidR="00A6305E" w:rsidRPr="00473D6B">
        <w:rPr>
          <w:rFonts w:ascii="Times New Roman" w:hAnsi="Times New Roman"/>
          <w:sz w:val="24"/>
        </w:rPr>
        <w:t>ational common carrier service</w:t>
      </w:r>
      <w:r w:rsidR="00F70368" w:rsidRPr="00473D6B">
        <w:rPr>
          <w:rFonts w:ascii="Times New Roman" w:hAnsi="Times New Roman"/>
          <w:sz w:val="24"/>
        </w:rPr>
        <w:t xml:space="preserve"> under Section 214</w:t>
      </w:r>
      <w:r w:rsidR="00E6468F">
        <w:rPr>
          <w:rFonts w:ascii="Times New Roman" w:hAnsi="Times New Roman"/>
          <w:sz w:val="24"/>
        </w:rPr>
        <w:t xml:space="preserve"> of the Communications Act, 47 U.S.C. 214</w:t>
      </w:r>
      <w:r w:rsidR="00DB5851" w:rsidRPr="00473D6B">
        <w:rPr>
          <w:rFonts w:ascii="Times New Roman" w:hAnsi="Times New Roman"/>
          <w:sz w:val="24"/>
        </w:rPr>
        <w:t xml:space="preserve">. </w:t>
      </w:r>
      <w:r w:rsidR="00F70368" w:rsidRPr="00473D6B">
        <w:rPr>
          <w:rFonts w:ascii="Times New Roman" w:hAnsi="Times New Roman"/>
          <w:sz w:val="24"/>
        </w:rPr>
        <w:t xml:space="preserve"> </w:t>
      </w:r>
      <w:r w:rsidR="00DB5851" w:rsidRPr="00473D6B">
        <w:rPr>
          <w:rFonts w:ascii="Times New Roman" w:hAnsi="Times New Roman"/>
          <w:sz w:val="24"/>
        </w:rPr>
        <w:t xml:space="preserve">Carriers will also determine largely the frequency of filing under </w:t>
      </w:r>
      <w:r w:rsidR="00A9146B" w:rsidRPr="00473D6B">
        <w:rPr>
          <w:rFonts w:ascii="Times New Roman" w:hAnsi="Times New Roman"/>
          <w:sz w:val="24"/>
        </w:rPr>
        <w:t xml:space="preserve">the other rules included in this collection, with the exception of the quarterly reports required of certain carriers under </w:t>
      </w:r>
      <w:r w:rsidR="00E277F4">
        <w:rPr>
          <w:rFonts w:ascii="Times New Roman" w:hAnsi="Times New Roman"/>
          <w:sz w:val="24"/>
        </w:rPr>
        <w:t>47 CFR</w:t>
      </w:r>
      <w:r w:rsidR="00DB5851" w:rsidRPr="00473D6B">
        <w:rPr>
          <w:rFonts w:ascii="Times New Roman" w:hAnsi="Times New Roman"/>
          <w:sz w:val="24"/>
        </w:rPr>
        <w:t xml:space="preserve"> 63.1</w:t>
      </w:r>
      <w:r w:rsidR="00A9146B" w:rsidRPr="00473D6B">
        <w:rPr>
          <w:rFonts w:ascii="Times New Roman" w:hAnsi="Times New Roman"/>
          <w:sz w:val="24"/>
        </w:rPr>
        <w:t>0</w:t>
      </w:r>
      <w:r w:rsidR="00DB5851" w:rsidRPr="00473D6B">
        <w:rPr>
          <w:rFonts w:ascii="Times New Roman" w:hAnsi="Times New Roman"/>
          <w:sz w:val="24"/>
        </w:rPr>
        <w:t>(c)</w:t>
      </w:r>
      <w:r w:rsidR="00E277F4">
        <w:rPr>
          <w:rFonts w:ascii="Times New Roman" w:hAnsi="Times New Roman"/>
          <w:sz w:val="24"/>
        </w:rPr>
        <w:t xml:space="preserve"> and the list of routes</w:t>
      </w:r>
      <w:r w:rsidR="007554A2">
        <w:rPr>
          <w:rFonts w:ascii="Times New Roman" w:hAnsi="Times New Roman"/>
          <w:sz w:val="24"/>
        </w:rPr>
        <w:t xml:space="preserve"> for which a facilities-based international service provider must make a one-time filing and update as necessary</w:t>
      </w:r>
      <w:r w:rsidR="007554A2" w:rsidRPr="007554A2">
        <w:rPr>
          <w:rFonts w:ascii="Times New Roman" w:hAnsi="Times New Roman"/>
          <w:sz w:val="24"/>
        </w:rPr>
        <w:t xml:space="preserve"> </w:t>
      </w:r>
      <w:r w:rsidR="007554A2">
        <w:rPr>
          <w:rFonts w:ascii="Times New Roman" w:hAnsi="Times New Roman"/>
          <w:sz w:val="24"/>
        </w:rPr>
        <w:t xml:space="preserve">under 47 CFR 63.22(h).  </w:t>
      </w:r>
      <w:r w:rsidR="00DB5851" w:rsidRPr="00473D6B">
        <w:rPr>
          <w:rFonts w:ascii="Times New Roman" w:hAnsi="Times New Roman"/>
          <w:sz w:val="24"/>
        </w:rPr>
        <w:t xml:space="preserve">If the collections are not conducted or are conducted less frequently, applicants will not obtain the authorizations necessary to provide telecommunications services, and the Commission will be unable to carry out its mandate under the Communications Act of 1934.  In addition, without the information collections, the United States would jeopardize its ability to fulfill the U.S. obligations as negotiated under the </w:t>
      </w:r>
      <w:r w:rsidR="00E6468F">
        <w:rPr>
          <w:rFonts w:ascii="Times New Roman" w:hAnsi="Times New Roman"/>
          <w:sz w:val="24"/>
        </w:rPr>
        <w:t>World Telecommunications Organization (</w:t>
      </w:r>
      <w:r w:rsidR="00DB5851" w:rsidRPr="00473D6B">
        <w:rPr>
          <w:rFonts w:ascii="Times New Roman" w:hAnsi="Times New Roman"/>
          <w:sz w:val="24"/>
        </w:rPr>
        <w:t>WTO</w:t>
      </w:r>
      <w:r w:rsidR="00E6468F">
        <w:rPr>
          <w:rFonts w:ascii="Times New Roman" w:hAnsi="Times New Roman"/>
          <w:sz w:val="24"/>
        </w:rPr>
        <w:t>)</w:t>
      </w:r>
      <w:r w:rsidR="00DB5851" w:rsidRPr="00473D6B">
        <w:rPr>
          <w:rFonts w:ascii="Times New Roman" w:hAnsi="Times New Roman"/>
          <w:sz w:val="24"/>
        </w:rPr>
        <w:t xml:space="preserve"> Basic Telecom Agreement because these collections are imperative to detecting and deterring anticompetitive conduct.  They are also necessary to preserve the Executive Branch agencies’ and the Commission's ability to review foreign investments for national security, law enforcement, foreign policy, and trade concerns.</w:t>
      </w:r>
      <w:r w:rsidR="000D6216" w:rsidRPr="00473D6B">
        <w:rPr>
          <w:rFonts w:ascii="Times New Roman" w:hAnsi="Times New Roman"/>
          <w:sz w:val="24"/>
        </w:rPr>
        <w:t xml:space="preserve">  Regarding </w:t>
      </w:r>
      <w:r w:rsidR="00E277F4">
        <w:rPr>
          <w:rFonts w:ascii="Times New Roman" w:hAnsi="Times New Roman"/>
          <w:sz w:val="24"/>
        </w:rPr>
        <w:t xml:space="preserve">47 CFR </w:t>
      </w:r>
      <w:r w:rsidR="000D6216" w:rsidRPr="00473D6B">
        <w:rPr>
          <w:rFonts w:ascii="Times New Roman" w:hAnsi="Times New Roman"/>
          <w:sz w:val="24"/>
        </w:rPr>
        <w:t xml:space="preserve">63.11, carriers determine largely when to notify the Commission of planned investments by or in foreign carriers.  If the information is not collected by the Commission, we will not be able to prevent carriers that control bottleneck facilities in foreign countries from using those bottlenecks to discriminate against unaffiliated U.S. carriers. </w:t>
      </w:r>
    </w:p>
    <w:p w:rsidR="00DB5851" w:rsidRPr="00473D6B" w:rsidRDefault="00DB5851" w:rsidP="000D6216">
      <w:pPr>
        <w:suppressAutoHyphens/>
        <w:rPr>
          <w:rFonts w:ascii="Times New Roman" w:hAnsi="Times New Roman"/>
          <w:sz w:val="24"/>
        </w:rPr>
      </w:pPr>
    </w:p>
    <w:p w:rsidR="00DB5851" w:rsidRPr="00473D6B" w:rsidRDefault="007D00BF">
      <w:pPr>
        <w:suppressAutoHyphens/>
        <w:rPr>
          <w:rFonts w:ascii="Times New Roman" w:hAnsi="Times New Roman"/>
          <w:sz w:val="24"/>
        </w:rPr>
      </w:pPr>
      <w:r w:rsidRPr="00473D6B">
        <w:rPr>
          <w:rFonts w:ascii="Times New Roman" w:hAnsi="Times New Roman"/>
          <w:sz w:val="24"/>
        </w:rPr>
        <w:t>7.</w:t>
      </w:r>
      <w:r w:rsidR="00CB67AC" w:rsidRPr="00473D6B">
        <w:rPr>
          <w:rFonts w:ascii="Times New Roman" w:hAnsi="Times New Roman"/>
          <w:sz w:val="24"/>
        </w:rPr>
        <w:t xml:space="preserve">       </w:t>
      </w:r>
      <w:r w:rsidR="005F62A8" w:rsidRPr="00473D6B">
        <w:rPr>
          <w:rFonts w:ascii="Times New Roman" w:hAnsi="Times New Roman"/>
          <w:sz w:val="24"/>
        </w:rPr>
        <w:t>There are no special circumstances associated with this collection of information</w:t>
      </w:r>
      <w:r w:rsidR="0020388B" w:rsidRPr="00473D6B">
        <w:rPr>
          <w:rFonts w:ascii="Times New Roman" w:hAnsi="Times New Roman"/>
          <w:sz w:val="24"/>
        </w:rPr>
        <w:t>.</w:t>
      </w:r>
      <w:r w:rsidR="00A9146B" w:rsidRPr="00473D6B">
        <w:rPr>
          <w:rFonts w:ascii="Times New Roman" w:hAnsi="Times New Roman"/>
          <w:sz w:val="24"/>
        </w:rPr>
        <w:t xml:space="preserve">   </w:t>
      </w:r>
      <w:r w:rsidR="00DB5851" w:rsidRPr="00473D6B">
        <w:rPr>
          <w:rFonts w:ascii="Times New Roman" w:hAnsi="Times New Roman"/>
          <w:sz w:val="24"/>
        </w:rPr>
        <w:t xml:space="preserve"> </w:t>
      </w:r>
    </w:p>
    <w:p w:rsidR="00DB5851" w:rsidRPr="00473D6B" w:rsidRDefault="00DB5851">
      <w:pPr>
        <w:suppressAutoHyphens/>
        <w:rPr>
          <w:rFonts w:ascii="Times New Roman" w:hAnsi="Times New Roman"/>
          <w:sz w:val="24"/>
        </w:rPr>
      </w:pPr>
    </w:p>
    <w:p w:rsidR="005F62A8" w:rsidRPr="00CD229C" w:rsidRDefault="00FB3686" w:rsidP="00FB3686">
      <w:pPr>
        <w:suppressAutoHyphens/>
        <w:rPr>
          <w:rFonts w:ascii="Times New Roman" w:hAnsi="Times New Roman"/>
          <w:sz w:val="24"/>
          <w:szCs w:val="24"/>
        </w:rPr>
      </w:pPr>
      <w:r w:rsidRPr="00473D6B">
        <w:rPr>
          <w:rFonts w:ascii="Times New Roman" w:hAnsi="Times New Roman"/>
          <w:sz w:val="24"/>
        </w:rPr>
        <w:t xml:space="preserve">8.     </w:t>
      </w:r>
      <w:r w:rsidR="00A05348" w:rsidRPr="00473D6B">
        <w:rPr>
          <w:rFonts w:ascii="Times New Roman" w:hAnsi="Times New Roman"/>
          <w:sz w:val="24"/>
        </w:rPr>
        <w:t xml:space="preserve">  </w:t>
      </w:r>
      <w:r w:rsidR="00F408EF" w:rsidRPr="00473D6B">
        <w:rPr>
          <w:rFonts w:ascii="Times New Roman" w:hAnsi="Times New Roman"/>
          <w:sz w:val="24"/>
        </w:rPr>
        <w:t>On</w:t>
      </w:r>
      <w:r w:rsidR="00AB4390">
        <w:rPr>
          <w:rFonts w:ascii="Times New Roman" w:hAnsi="Times New Roman"/>
          <w:sz w:val="24"/>
        </w:rPr>
        <w:t xml:space="preserve"> </w:t>
      </w:r>
      <w:r w:rsidR="00D75206">
        <w:rPr>
          <w:rFonts w:ascii="Times New Roman" w:hAnsi="Times New Roman"/>
          <w:sz w:val="24"/>
        </w:rPr>
        <w:t>December 12, 2017</w:t>
      </w:r>
      <w:r w:rsidR="00F408EF" w:rsidRPr="00CD0D92">
        <w:rPr>
          <w:rFonts w:ascii="Times New Roman" w:hAnsi="Times New Roman"/>
          <w:sz w:val="24"/>
        </w:rPr>
        <w:t>, t</w:t>
      </w:r>
      <w:r w:rsidR="00E62B43" w:rsidRPr="00CD0D92">
        <w:rPr>
          <w:rFonts w:ascii="Times New Roman" w:hAnsi="Times New Roman"/>
          <w:sz w:val="24"/>
          <w:szCs w:val="24"/>
        </w:rPr>
        <w:t>he Commission published a 60-day notice in the Federal Register (</w:t>
      </w:r>
      <w:r w:rsidR="00D75206">
        <w:rPr>
          <w:rFonts w:ascii="Times New Roman" w:hAnsi="Times New Roman"/>
          <w:sz w:val="24"/>
          <w:szCs w:val="24"/>
        </w:rPr>
        <w:t>82 FR 58394</w:t>
      </w:r>
      <w:r w:rsidR="00AB4390">
        <w:rPr>
          <w:rFonts w:ascii="Times New Roman" w:hAnsi="Times New Roman"/>
          <w:sz w:val="24"/>
          <w:szCs w:val="24"/>
        </w:rPr>
        <w:t>)</w:t>
      </w:r>
      <w:r w:rsidR="002D29E7" w:rsidRPr="00CD0D92">
        <w:rPr>
          <w:rFonts w:ascii="Times New Roman" w:hAnsi="Times New Roman"/>
          <w:sz w:val="24"/>
          <w:szCs w:val="24"/>
        </w:rPr>
        <w:t xml:space="preserve"> </w:t>
      </w:r>
      <w:r w:rsidR="00E62B43" w:rsidRPr="00CD0D92">
        <w:rPr>
          <w:rFonts w:ascii="Times New Roman" w:hAnsi="Times New Roman"/>
          <w:sz w:val="24"/>
          <w:szCs w:val="24"/>
        </w:rPr>
        <w:t>seeking</w:t>
      </w:r>
      <w:r w:rsidR="00E62B43" w:rsidRPr="00473D6B">
        <w:rPr>
          <w:rFonts w:ascii="Times New Roman" w:hAnsi="Times New Roman"/>
          <w:sz w:val="24"/>
          <w:szCs w:val="24"/>
        </w:rPr>
        <w:t xml:space="preserve"> comments on the information collection requirements contained in this </w:t>
      </w:r>
      <w:r w:rsidR="00AB4390">
        <w:rPr>
          <w:rFonts w:ascii="Times New Roman" w:hAnsi="Times New Roman"/>
          <w:sz w:val="24"/>
          <w:szCs w:val="24"/>
        </w:rPr>
        <w:t>S</w:t>
      </w:r>
      <w:r w:rsidR="00E62B43" w:rsidRPr="00473D6B">
        <w:rPr>
          <w:rFonts w:ascii="Times New Roman" w:hAnsi="Times New Roman"/>
          <w:sz w:val="24"/>
          <w:szCs w:val="24"/>
        </w:rPr>
        <w:t xml:space="preserve">upporting </w:t>
      </w:r>
      <w:r w:rsidR="00AB4390">
        <w:rPr>
          <w:rFonts w:ascii="Times New Roman" w:hAnsi="Times New Roman"/>
          <w:sz w:val="24"/>
          <w:szCs w:val="24"/>
        </w:rPr>
        <w:t>S</w:t>
      </w:r>
      <w:r w:rsidR="00E62B43" w:rsidRPr="00473D6B">
        <w:rPr>
          <w:rFonts w:ascii="Times New Roman" w:hAnsi="Times New Roman"/>
          <w:sz w:val="24"/>
          <w:szCs w:val="24"/>
        </w:rPr>
        <w:t>tatement.</w:t>
      </w:r>
      <w:r w:rsidR="0020388B" w:rsidRPr="00A90261">
        <w:rPr>
          <w:rFonts w:ascii="Times New Roman" w:hAnsi="Times New Roman"/>
          <w:sz w:val="24"/>
          <w:szCs w:val="24"/>
        </w:rPr>
        <w:t xml:space="preserve">  </w:t>
      </w:r>
      <w:r w:rsidR="00DB0746">
        <w:rPr>
          <w:rFonts w:ascii="Times New Roman" w:hAnsi="Times New Roman"/>
          <w:sz w:val="24"/>
          <w:szCs w:val="24"/>
        </w:rPr>
        <w:t xml:space="preserve">The comment period ended on </w:t>
      </w:r>
      <w:r w:rsidR="00D75206">
        <w:rPr>
          <w:rFonts w:ascii="Times New Roman" w:hAnsi="Times New Roman"/>
          <w:sz w:val="24"/>
          <w:szCs w:val="24"/>
        </w:rPr>
        <w:t>February 12, 2018</w:t>
      </w:r>
      <w:r w:rsidR="00DB0746">
        <w:rPr>
          <w:rFonts w:ascii="Times New Roman" w:hAnsi="Times New Roman"/>
          <w:sz w:val="24"/>
          <w:szCs w:val="24"/>
        </w:rPr>
        <w:t xml:space="preserve">.  </w:t>
      </w:r>
      <w:r w:rsidR="0020388B" w:rsidRPr="00A90261">
        <w:rPr>
          <w:rFonts w:ascii="Times New Roman" w:hAnsi="Times New Roman"/>
          <w:sz w:val="24"/>
          <w:szCs w:val="24"/>
        </w:rPr>
        <w:t>No comments were received from the public as a result of the published notice.</w:t>
      </w:r>
      <w:r w:rsidR="00E62B43" w:rsidRPr="00644F93">
        <w:rPr>
          <w:rFonts w:ascii="Times New Roman" w:hAnsi="Times New Roman"/>
          <w:sz w:val="24"/>
          <w:szCs w:val="24"/>
        </w:rPr>
        <w:t xml:space="preserve"> </w:t>
      </w:r>
    </w:p>
    <w:p w:rsidR="00B822C6" w:rsidRPr="004E152D" w:rsidRDefault="00B822C6" w:rsidP="00FB3686">
      <w:pPr>
        <w:suppressAutoHyphens/>
        <w:rPr>
          <w:rFonts w:ascii="Times New Roman" w:hAnsi="Times New Roman"/>
          <w:sz w:val="24"/>
        </w:rPr>
      </w:pPr>
    </w:p>
    <w:p w:rsidR="00DB5851" w:rsidRPr="004E152D" w:rsidRDefault="00675333">
      <w:pPr>
        <w:suppressAutoHyphens/>
        <w:rPr>
          <w:rFonts w:ascii="Times New Roman" w:hAnsi="Times New Roman"/>
          <w:sz w:val="24"/>
        </w:rPr>
      </w:pPr>
      <w:r w:rsidRPr="004E152D">
        <w:rPr>
          <w:rFonts w:ascii="Times New Roman" w:hAnsi="Times New Roman"/>
          <w:sz w:val="24"/>
        </w:rPr>
        <w:t>9.</w:t>
      </w:r>
      <w:r w:rsidR="001F66FD" w:rsidRPr="004E152D">
        <w:rPr>
          <w:rFonts w:ascii="Times New Roman" w:hAnsi="Times New Roman"/>
          <w:sz w:val="24"/>
        </w:rPr>
        <w:t xml:space="preserve">      </w:t>
      </w:r>
      <w:r w:rsidR="00DB5851" w:rsidRPr="004E152D">
        <w:rPr>
          <w:rFonts w:ascii="Times New Roman" w:hAnsi="Times New Roman"/>
          <w:sz w:val="24"/>
        </w:rPr>
        <w:t>The Commission does not provide any payment or gift to respondents.</w:t>
      </w:r>
    </w:p>
    <w:p w:rsidR="00DB5851" w:rsidRPr="004E152D" w:rsidRDefault="00DB5851">
      <w:pPr>
        <w:suppressAutoHyphens/>
        <w:rPr>
          <w:rFonts w:ascii="Times New Roman" w:hAnsi="Times New Roman"/>
          <w:sz w:val="24"/>
        </w:rPr>
      </w:pPr>
    </w:p>
    <w:p w:rsidR="00DB5851" w:rsidRPr="004E152D" w:rsidRDefault="00675333">
      <w:pPr>
        <w:suppressAutoHyphens/>
        <w:rPr>
          <w:rFonts w:ascii="Times New Roman" w:hAnsi="Times New Roman"/>
          <w:sz w:val="24"/>
        </w:rPr>
      </w:pPr>
      <w:r w:rsidRPr="004E152D">
        <w:rPr>
          <w:rFonts w:ascii="Times New Roman" w:hAnsi="Times New Roman"/>
          <w:sz w:val="24"/>
        </w:rPr>
        <w:t>10.</w:t>
      </w:r>
      <w:r w:rsidR="001F66FD" w:rsidRPr="004E152D">
        <w:rPr>
          <w:rFonts w:ascii="Times New Roman" w:hAnsi="Times New Roman"/>
          <w:sz w:val="24"/>
        </w:rPr>
        <w:t xml:space="preserve">    </w:t>
      </w:r>
      <w:r w:rsidR="00DB5851" w:rsidRPr="004E152D">
        <w:rPr>
          <w:rFonts w:ascii="Times New Roman" w:hAnsi="Times New Roman"/>
          <w:sz w:val="24"/>
        </w:rPr>
        <w:t>The Commission has not granted assurances of confidentiality to those parties submitting the information</w:t>
      </w:r>
      <w:r w:rsidR="00E277F4">
        <w:rPr>
          <w:rFonts w:ascii="Times New Roman" w:hAnsi="Times New Roman"/>
          <w:sz w:val="24"/>
        </w:rPr>
        <w:t xml:space="preserve">, except for the list </w:t>
      </w:r>
      <w:r w:rsidR="00694BED">
        <w:rPr>
          <w:rFonts w:ascii="Times New Roman" w:hAnsi="Times New Roman"/>
          <w:sz w:val="24"/>
        </w:rPr>
        <w:t>or routes required under 47 CFR 63.22(h) which the Commission will treat as not routinely available for public inspection</w:t>
      </w:r>
      <w:r w:rsidR="00DB5851" w:rsidRPr="004E152D">
        <w:rPr>
          <w:rFonts w:ascii="Times New Roman" w:hAnsi="Times New Roman"/>
          <w:sz w:val="24"/>
        </w:rPr>
        <w:t xml:space="preserve">.  In </w:t>
      </w:r>
      <w:r w:rsidR="00694BED">
        <w:rPr>
          <w:rFonts w:ascii="Times New Roman" w:hAnsi="Times New Roman"/>
          <w:sz w:val="24"/>
        </w:rPr>
        <w:t xml:space="preserve">all the other </w:t>
      </w:r>
      <w:r w:rsidR="00DB5851" w:rsidRPr="004E152D">
        <w:rPr>
          <w:rFonts w:ascii="Times New Roman" w:hAnsi="Times New Roman"/>
          <w:sz w:val="24"/>
        </w:rPr>
        <w:t xml:space="preserve">cases where a respondent believes information requires confidentiality, the respondent can request confidential treatment </w:t>
      </w:r>
      <w:r w:rsidR="0020388B" w:rsidRPr="004E152D">
        <w:rPr>
          <w:rFonts w:ascii="Times New Roman" w:hAnsi="Times New Roman"/>
          <w:sz w:val="24"/>
        </w:rPr>
        <w:t xml:space="preserve">under Section 0.459 of the Commission’s rules, 47 CFR 0.459.  </w:t>
      </w:r>
    </w:p>
    <w:p w:rsidR="00DB5851" w:rsidRPr="004E152D" w:rsidRDefault="00DB5851">
      <w:pPr>
        <w:suppressAutoHyphens/>
        <w:rPr>
          <w:rFonts w:ascii="Times New Roman" w:hAnsi="Times New Roman"/>
          <w:sz w:val="24"/>
        </w:rPr>
      </w:pPr>
    </w:p>
    <w:p w:rsidR="00DE57C0" w:rsidRPr="004E152D" w:rsidRDefault="00675333" w:rsidP="00675333">
      <w:pPr>
        <w:suppressAutoHyphens/>
        <w:rPr>
          <w:rFonts w:ascii="Times New Roman" w:hAnsi="Times New Roman"/>
          <w:sz w:val="24"/>
        </w:rPr>
      </w:pPr>
      <w:r w:rsidRPr="004E152D">
        <w:rPr>
          <w:rFonts w:ascii="Times New Roman" w:hAnsi="Times New Roman"/>
          <w:sz w:val="24"/>
        </w:rPr>
        <w:t>11.</w:t>
      </w:r>
      <w:r w:rsidRPr="004E152D">
        <w:rPr>
          <w:rFonts w:ascii="Times New Roman" w:hAnsi="Times New Roman"/>
          <w:sz w:val="24"/>
        </w:rPr>
        <w:tab/>
      </w:r>
      <w:r w:rsidR="00DB5851" w:rsidRPr="004E152D">
        <w:rPr>
          <w:rFonts w:ascii="Times New Roman" w:hAnsi="Times New Roman"/>
          <w:sz w:val="24"/>
        </w:rPr>
        <w:t>This collection does not include any questions of a sensitive nature.</w:t>
      </w:r>
    </w:p>
    <w:p w:rsidR="00DE57C0" w:rsidRPr="004E152D" w:rsidRDefault="00DE57C0" w:rsidP="00675333">
      <w:pPr>
        <w:suppressAutoHyphens/>
        <w:rPr>
          <w:rFonts w:ascii="Times New Roman" w:hAnsi="Times New Roman"/>
          <w:sz w:val="24"/>
        </w:rPr>
      </w:pPr>
    </w:p>
    <w:p w:rsidR="0045747E" w:rsidRPr="00473D6B" w:rsidRDefault="00DE57C0" w:rsidP="00617463">
      <w:pPr>
        <w:suppressAutoHyphens/>
        <w:rPr>
          <w:rFonts w:ascii="Times New Roman" w:hAnsi="Times New Roman"/>
          <w:sz w:val="24"/>
          <w:szCs w:val="24"/>
        </w:rPr>
      </w:pPr>
      <w:r w:rsidRPr="004E152D">
        <w:rPr>
          <w:rFonts w:ascii="Times New Roman" w:hAnsi="Times New Roman"/>
          <w:sz w:val="24"/>
          <w:szCs w:val="24"/>
        </w:rPr>
        <w:t>12.</w:t>
      </w:r>
      <w:r w:rsidRPr="004E152D">
        <w:rPr>
          <w:rFonts w:ascii="Times New Roman" w:hAnsi="Times New Roman"/>
          <w:sz w:val="24"/>
          <w:szCs w:val="24"/>
        </w:rPr>
        <w:tab/>
      </w:r>
      <w:r w:rsidR="00617463" w:rsidRPr="004E152D">
        <w:rPr>
          <w:rFonts w:ascii="Times New Roman" w:hAnsi="Times New Roman"/>
          <w:sz w:val="24"/>
          <w:szCs w:val="24"/>
        </w:rPr>
        <w:t xml:space="preserve">The information collection requirements are summarized in the chart below. </w:t>
      </w:r>
      <w:r w:rsidR="006B00E0" w:rsidRPr="004E152D">
        <w:rPr>
          <w:rFonts w:ascii="Times New Roman" w:hAnsi="Times New Roman"/>
          <w:sz w:val="24"/>
          <w:szCs w:val="24"/>
        </w:rPr>
        <w:t xml:space="preserve"> </w:t>
      </w:r>
      <w:r w:rsidR="00863F07">
        <w:rPr>
          <w:rFonts w:ascii="Times New Roman" w:hAnsi="Times New Roman"/>
          <w:sz w:val="24"/>
          <w:szCs w:val="24"/>
        </w:rPr>
        <w:t xml:space="preserve">Based on the average number of fillings for 2014, 2015 and 2016, and an estimation of </w:t>
      </w:r>
      <w:r w:rsidR="006F2623">
        <w:rPr>
          <w:rFonts w:ascii="Times New Roman" w:hAnsi="Times New Roman"/>
          <w:sz w:val="24"/>
          <w:szCs w:val="24"/>
        </w:rPr>
        <w:t xml:space="preserve">the </w:t>
      </w:r>
      <w:r w:rsidR="00863F07">
        <w:rPr>
          <w:rFonts w:ascii="Times New Roman" w:hAnsi="Times New Roman"/>
          <w:sz w:val="24"/>
          <w:szCs w:val="24"/>
        </w:rPr>
        <w:t>filings under the newly adopted 47 CFR 63.22(h), we estimate t</w:t>
      </w:r>
      <w:r w:rsidR="00617463" w:rsidRPr="004E152D">
        <w:rPr>
          <w:rFonts w:ascii="Times New Roman" w:hAnsi="Times New Roman"/>
          <w:sz w:val="24"/>
          <w:szCs w:val="24"/>
        </w:rPr>
        <w:t>he total number of respondents</w:t>
      </w:r>
      <w:r w:rsidR="000E6E58" w:rsidRPr="004E152D">
        <w:rPr>
          <w:rFonts w:ascii="Times New Roman" w:hAnsi="Times New Roman"/>
          <w:sz w:val="24"/>
          <w:szCs w:val="24"/>
        </w:rPr>
        <w:t>, on an annualized basis,</w:t>
      </w:r>
      <w:r w:rsidR="00617463" w:rsidRPr="004E152D">
        <w:rPr>
          <w:rFonts w:ascii="Times New Roman" w:hAnsi="Times New Roman"/>
          <w:sz w:val="24"/>
          <w:szCs w:val="24"/>
        </w:rPr>
        <w:t xml:space="preserve"> for this information collection is</w:t>
      </w:r>
      <w:r w:rsidRPr="004E152D">
        <w:rPr>
          <w:rFonts w:ascii="Times New Roman" w:hAnsi="Times New Roman"/>
          <w:sz w:val="24"/>
          <w:szCs w:val="24"/>
        </w:rPr>
        <w:t xml:space="preserve"> approximately</w:t>
      </w:r>
      <w:r w:rsidR="00617463" w:rsidRPr="004E152D">
        <w:rPr>
          <w:rFonts w:ascii="Times New Roman" w:hAnsi="Times New Roman"/>
          <w:sz w:val="24"/>
          <w:szCs w:val="24"/>
        </w:rPr>
        <w:t xml:space="preserve"> </w:t>
      </w:r>
      <w:r w:rsidR="006F2623">
        <w:rPr>
          <w:rFonts w:ascii="Times New Roman" w:hAnsi="Times New Roman"/>
          <w:sz w:val="24"/>
          <w:szCs w:val="24"/>
        </w:rPr>
        <w:t>528</w:t>
      </w:r>
      <w:r w:rsidR="00617463" w:rsidRPr="00473D6B">
        <w:rPr>
          <w:rFonts w:ascii="Times New Roman" w:hAnsi="Times New Roman"/>
          <w:sz w:val="24"/>
          <w:szCs w:val="24"/>
        </w:rPr>
        <w:t>.</w:t>
      </w:r>
      <w:r w:rsidR="00E44718" w:rsidRPr="004E152D">
        <w:rPr>
          <w:rStyle w:val="FootnoteReference"/>
          <w:rFonts w:ascii="Times New Roman" w:hAnsi="Times New Roman"/>
          <w:sz w:val="24"/>
          <w:szCs w:val="24"/>
        </w:rPr>
        <w:footnoteReference w:id="3"/>
      </w:r>
      <w:r w:rsidR="008E4848" w:rsidRPr="00473D6B">
        <w:rPr>
          <w:rFonts w:ascii="Times New Roman" w:hAnsi="Times New Roman"/>
          <w:sz w:val="24"/>
          <w:szCs w:val="24"/>
        </w:rPr>
        <w:t xml:space="preserve"> </w:t>
      </w:r>
      <w:r w:rsidR="0045747E" w:rsidRPr="00473D6B">
        <w:rPr>
          <w:rFonts w:ascii="Times New Roman" w:hAnsi="Times New Roman"/>
          <w:sz w:val="24"/>
          <w:szCs w:val="24"/>
        </w:rPr>
        <w:t xml:space="preserve"> </w:t>
      </w:r>
    </w:p>
    <w:p w:rsidR="00DE57C0" w:rsidRPr="00A90261" w:rsidRDefault="00DE57C0" w:rsidP="00617463">
      <w:pPr>
        <w:suppressAutoHyphens/>
        <w:rPr>
          <w:rFonts w:ascii="Times New Roman" w:hAnsi="Times New Roman"/>
          <w:sz w:val="24"/>
          <w:szCs w:val="24"/>
        </w:rPr>
      </w:pPr>
    </w:p>
    <w:p w:rsidR="00DE57C0" w:rsidRPr="00644F93" w:rsidRDefault="00DE57C0" w:rsidP="00617463">
      <w:pPr>
        <w:suppressAutoHyphens/>
        <w:rPr>
          <w:rFonts w:ascii="Times New Roman" w:hAnsi="Times New Roman"/>
          <w:sz w:val="24"/>
          <w:szCs w:val="24"/>
        </w:rPr>
      </w:pPr>
    </w:p>
    <w:tbl>
      <w:tblPr>
        <w:tblW w:w="9481" w:type="dxa"/>
        <w:tblInd w:w="241" w:type="dxa"/>
        <w:tblCellMar>
          <w:left w:w="115" w:type="dxa"/>
          <w:right w:w="115" w:type="dxa"/>
        </w:tblCellMar>
        <w:tblLook w:val="0000" w:firstRow="0" w:lastRow="0" w:firstColumn="0" w:lastColumn="0" w:noHBand="0" w:noVBand="0"/>
      </w:tblPr>
      <w:tblGrid>
        <w:gridCol w:w="3830"/>
        <w:gridCol w:w="1353"/>
        <w:gridCol w:w="230"/>
        <w:gridCol w:w="40"/>
        <w:gridCol w:w="182"/>
        <w:gridCol w:w="92"/>
        <w:gridCol w:w="1342"/>
        <w:gridCol w:w="1427"/>
        <w:gridCol w:w="985"/>
      </w:tblGrid>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Rule Section</w:t>
            </w:r>
          </w:p>
        </w:tc>
        <w:tc>
          <w:tcPr>
            <w:tcW w:w="1353"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p w:rsidR="007265E6" w:rsidRPr="004E152D" w:rsidRDefault="007265E6" w:rsidP="00617463">
            <w:pPr>
              <w:widowControl/>
              <w:jc w:val="center"/>
              <w:rPr>
                <w:rFonts w:ascii="Arial" w:hAnsi="Arial" w:cs="Arial"/>
                <w:b/>
                <w:bCs/>
                <w:snapToGrid/>
              </w:rPr>
            </w:pPr>
          </w:p>
          <w:p w:rsidR="007265E6" w:rsidRPr="004E152D" w:rsidRDefault="007265E6" w:rsidP="00617463">
            <w:pPr>
              <w:widowControl/>
              <w:jc w:val="center"/>
              <w:rPr>
                <w:rFonts w:ascii="Arial" w:hAnsi="Arial" w:cs="Arial"/>
                <w:b/>
                <w:bCs/>
                <w:snapToGrid/>
              </w:rPr>
            </w:pPr>
            <w:r w:rsidRPr="004E152D">
              <w:rPr>
                <w:rFonts w:ascii="Arial" w:hAnsi="Arial" w:cs="Arial"/>
                <w:b/>
                <w:bCs/>
                <w:snapToGrid/>
              </w:rPr>
              <w:t>Number of Responses </w:t>
            </w:r>
          </w:p>
        </w:tc>
        <w:tc>
          <w:tcPr>
            <w:tcW w:w="270" w:type="dxa"/>
            <w:gridSpan w:val="2"/>
            <w:tcBorders>
              <w:top w:val="single" w:sz="4" w:space="0" w:color="auto"/>
              <w:left w:val="nil"/>
              <w:bottom w:val="nil"/>
              <w:right w:val="nil"/>
            </w:tcBorders>
            <w:shd w:val="clear" w:color="auto" w:fill="C0C0C0"/>
          </w:tcPr>
          <w:p w:rsidR="007265E6" w:rsidRPr="004E152D" w:rsidRDefault="007265E6" w:rsidP="00617463">
            <w:pPr>
              <w:widowControl/>
              <w:jc w:val="center"/>
              <w:rPr>
                <w:rFonts w:ascii="Arial" w:hAnsi="Arial" w:cs="Arial"/>
                <w:b/>
                <w:bCs/>
                <w:snapToGrid/>
              </w:rPr>
            </w:pPr>
          </w:p>
        </w:tc>
        <w:tc>
          <w:tcPr>
            <w:tcW w:w="274" w:type="dxa"/>
            <w:gridSpan w:val="2"/>
            <w:tcBorders>
              <w:top w:val="single" w:sz="4" w:space="0" w:color="auto"/>
              <w:left w:val="nil"/>
              <w:bottom w:val="nil"/>
              <w:right w:val="nil"/>
            </w:tcBorders>
            <w:shd w:val="clear" w:color="auto" w:fill="C0C0C0"/>
          </w:tcPr>
          <w:p w:rsidR="007265E6" w:rsidRPr="004E152D" w:rsidRDefault="007265E6" w:rsidP="00617463">
            <w:pPr>
              <w:widowControl/>
              <w:jc w:val="center"/>
              <w:rPr>
                <w:rFonts w:ascii="Arial" w:hAnsi="Arial" w:cs="Arial"/>
                <w:b/>
                <w:bCs/>
                <w:snapToGrid/>
              </w:rPr>
            </w:pPr>
          </w:p>
        </w:tc>
        <w:tc>
          <w:tcPr>
            <w:tcW w:w="1342"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Frequency</w:t>
            </w:r>
          </w:p>
        </w:tc>
        <w:tc>
          <w:tcPr>
            <w:tcW w:w="1427"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c>
          <w:tcPr>
            <w:tcW w:w="985" w:type="dxa"/>
            <w:tcBorders>
              <w:top w:val="single" w:sz="4" w:space="0" w:color="auto"/>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C0C0C0"/>
            <w:noWrap/>
            <w:vAlign w:val="bottom"/>
          </w:tcPr>
          <w:p w:rsidR="007265E6" w:rsidRPr="004E152D" w:rsidRDefault="007265E6" w:rsidP="00007EF5">
            <w:pPr>
              <w:widowControl/>
              <w:jc w:val="center"/>
              <w:rPr>
                <w:rFonts w:ascii="Arial" w:hAnsi="Arial" w:cs="Arial"/>
                <w:b/>
                <w:bCs/>
                <w:snapToGrid/>
              </w:rPr>
            </w:pPr>
            <w:r w:rsidRPr="004E152D">
              <w:rPr>
                <w:rFonts w:ascii="Arial" w:hAnsi="Arial" w:cs="Arial"/>
                <w:b/>
                <w:bCs/>
                <w:snapToGrid/>
              </w:rPr>
              <w:t xml:space="preserve">and Explanation of </w:t>
            </w:r>
          </w:p>
          <w:p w:rsidR="007265E6" w:rsidRPr="00473D6B" w:rsidRDefault="007265E6" w:rsidP="00617463">
            <w:pPr>
              <w:widowControl/>
              <w:jc w:val="center"/>
              <w:rPr>
                <w:rFonts w:ascii="Arial" w:hAnsi="Arial" w:cs="Arial"/>
                <w:b/>
                <w:bCs/>
                <w:snapToGrid/>
              </w:rPr>
            </w:pPr>
            <w:r w:rsidRPr="004E152D">
              <w:rPr>
                <w:rFonts w:ascii="Arial" w:hAnsi="Arial" w:cs="Arial"/>
                <w:b/>
                <w:bCs/>
                <w:snapToGrid/>
              </w:rPr>
              <w:t>Burden Estimate</w:t>
            </w:r>
            <w:r w:rsidRPr="00473D6B">
              <w:rPr>
                <w:rFonts w:ascii="Arial" w:hAnsi="Arial" w:cs="Arial"/>
                <w:b/>
                <w:bCs/>
                <w:snapToGrid/>
                <w:vertAlign w:val="superscript"/>
              </w:rPr>
              <w:footnoteReference w:id="4"/>
            </w:r>
          </w:p>
        </w:tc>
        <w:tc>
          <w:tcPr>
            <w:tcW w:w="1353" w:type="dxa"/>
            <w:tcBorders>
              <w:top w:val="nil"/>
              <w:left w:val="nil"/>
              <w:bottom w:val="nil"/>
              <w:right w:val="single" w:sz="4" w:space="0" w:color="auto"/>
            </w:tcBorders>
            <w:shd w:val="clear" w:color="auto" w:fill="C0C0C0"/>
            <w:noWrap/>
            <w:vAlign w:val="bottom"/>
          </w:tcPr>
          <w:p w:rsidR="007265E6" w:rsidRPr="00A90261" w:rsidRDefault="007265E6" w:rsidP="00617463">
            <w:pPr>
              <w:widowControl/>
              <w:jc w:val="center"/>
              <w:rPr>
                <w:rFonts w:ascii="Arial" w:hAnsi="Arial" w:cs="Arial"/>
                <w:b/>
                <w:bCs/>
                <w:snapToGrid/>
              </w:rPr>
            </w:pPr>
          </w:p>
        </w:tc>
        <w:tc>
          <w:tcPr>
            <w:tcW w:w="270" w:type="dxa"/>
            <w:gridSpan w:val="2"/>
            <w:tcBorders>
              <w:top w:val="nil"/>
              <w:left w:val="nil"/>
              <w:bottom w:val="nil"/>
              <w:right w:val="nil"/>
            </w:tcBorders>
            <w:shd w:val="clear" w:color="auto" w:fill="C0C0C0"/>
          </w:tcPr>
          <w:p w:rsidR="007265E6" w:rsidRPr="00644F93" w:rsidRDefault="007265E6" w:rsidP="00617463">
            <w:pPr>
              <w:widowControl/>
              <w:jc w:val="center"/>
              <w:rPr>
                <w:rFonts w:ascii="Arial" w:hAnsi="Arial" w:cs="Arial"/>
                <w:b/>
                <w:bCs/>
                <w:snapToGrid/>
              </w:rPr>
            </w:pPr>
          </w:p>
        </w:tc>
        <w:tc>
          <w:tcPr>
            <w:tcW w:w="274" w:type="dxa"/>
            <w:gridSpan w:val="2"/>
            <w:tcBorders>
              <w:top w:val="nil"/>
              <w:left w:val="nil"/>
              <w:bottom w:val="nil"/>
              <w:right w:val="nil"/>
            </w:tcBorders>
            <w:shd w:val="clear" w:color="auto" w:fill="C0C0C0"/>
          </w:tcPr>
          <w:p w:rsidR="007265E6" w:rsidRPr="004E152D" w:rsidRDefault="007265E6" w:rsidP="00617463">
            <w:pPr>
              <w:widowControl/>
              <w:jc w:val="center"/>
              <w:rPr>
                <w:rFonts w:ascii="Arial" w:hAnsi="Arial" w:cs="Arial"/>
                <w:b/>
                <w:bCs/>
                <w:snapToGrid/>
              </w:rPr>
            </w:pPr>
          </w:p>
        </w:tc>
        <w:tc>
          <w:tcPr>
            <w:tcW w:w="1342" w:type="dxa"/>
            <w:tcBorders>
              <w:top w:val="nil"/>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of Response</w:t>
            </w:r>
          </w:p>
        </w:tc>
        <w:tc>
          <w:tcPr>
            <w:tcW w:w="1427" w:type="dxa"/>
            <w:tcBorders>
              <w:top w:val="nil"/>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Time</w:t>
            </w:r>
          </w:p>
        </w:tc>
        <w:tc>
          <w:tcPr>
            <w:tcW w:w="985" w:type="dxa"/>
            <w:tcBorders>
              <w:top w:val="nil"/>
              <w:left w:val="nil"/>
              <w:bottom w:val="nil"/>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Total</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tc>
        <w:tc>
          <w:tcPr>
            <w:tcW w:w="1353"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tc>
        <w:tc>
          <w:tcPr>
            <w:tcW w:w="270" w:type="dxa"/>
            <w:gridSpan w:val="2"/>
            <w:tcBorders>
              <w:top w:val="nil"/>
              <w:left w:val="nil"/>
              <w:bottom w:val="single" w:sz="4" w:space="0" w:color="auto"/>
              <w:right w:val="nil"/>
            </w:tcBorders>
            <w:shd w:val="clear" w:color="auto" w:fill="C0C0C0"/>
          </w:tcPr>
          <w:p w:rsidR="007265E6" w:rsidRPr="004E152D" w:rsidRDefault="007265E6" w:rsidP="00617463">
            <w:pPr>
              <w:widowControl/>
              <w:jc w:val="center"/>
              <w:rPr>
                <w:rFonts w:ascii="Arial" w:hAnsi="Arial" w:cs="Arial"/>
                <w:b/>
                <w:bCs/>
                <w:snapToGrid/>
              </w:rPr>
            </w:pPr>
          </w:p>
        </w:tc>
        <w:tc>
          <w:tcPr>
            <w:tcW w:w="274" w:type="dxa"/>
            <w:gridSpan w:val="2"/>
            <w:tcBorders>
              <w:top w:val="nil"/>
              <w:left w:val="nil"/>
              <w:bottom w:val="single" w:sz="4" w:space="0" w:color="auto"/>
              <w:right w:val="nil"/>
            </w:tcBorders>
            <w:shd w:val="clear" w:color="auto" w:fill="C0C0C0"/>
          </w:tcPr>
          <w:p w:rsidR="007265E6" w:rsidRPr="004E152D" w:rsidRDefault="007265E6" w:rsidP="00617463">
            <w:pPr>
              <w:widowControl/>
              <w:jc w:val="center"/>
              <w:rPr>
                <w:rFonts w:ascii="Arial" w:hAnsi="Arial" w:cs="Arial"/>
                <w:b/>
                <w:bCs/>
                <w:snapToGrid/>
              </w:rPr>
            </w:pPr>
          </w:p>
        </w:tc>
        <w:tc>
          <w:tcPr>
            <w:tcW w:w="1342"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p>
        </w:tc>
        <w:tc>
          <w:tcPr>
            <w:tcW w:w="1427"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Per Response (in hours)</w:t>
            </w:r>
          </w:p>
          <w:p w:rsidR="007265E6" w:rsidRPr="004E152D" w:rsidRDefault="007265E6" w:rsidP="00617463">
            <w:pPr>
              <w:widowControl/>
              <w:jc w:val="center"/>
              <w:rPr>
                <w:rFonts w:ascii="Arial" w:hAnsi="Arial" w:cs="Arial"/>
                <w:b/>
                <w:bCs/>
                <w:snapToGrid/>
              </w:rPr>
            </w:pPr>
          </w:p>
        </w:tc>
        <w:tc>
          <w:tcPr>
            <w:tcW w:w="985" w:type="dxa"/>
            <w:tcBorders>
              <w:top w:val="nil"/>
              <w:left w:val="nil"/>
              <w:bottom w:val="single" w:sz="4" w:space="0" w:color="auto"/>
              <w:right w:val="single" w:sz="4" w:space="0" w:color="auto"/>
            </w:tcBorders>
            <w:shd w:val="clear" w:color="auto" w:fill="C0C0C0"/>
            <w:noWrap/>
            <w:vAlign w:val="bottom"/>
          </w:tcPr>
          <w:p w:rsidR="007265E6" w:rsidRPr="004E152D" w:rsidRDefault="007265E6" w:rsidP="00617463">
            <w:pPr>
              <w:widowControl/>
              <w:jc w:val="center"/>
              <w:rPr>
                <w:rFonts w:ascii="Arial" w:hAnsi="Arial" w:cs="Arial"/>
                <w:b/>
                <w:bCs/>
                <w:snapToGrid/>
              </w:rPr>
            </w:pPr>
            <w:r w:rsidRPr="004E152D">
              <w:rPr>
                <w:rFonts w:ascii="Arial" w:hAnsi="Arial" w:cs="Arial"/>
                <w:b/>
                <w:bCs/>
                <w:snapToGrid/>
              </w:rPr>
              <w:t>Annual  Hour Burden</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63.10(a)(4)</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314CC6">
            <w:pPr>
              <w:widowControl/>
              <w:jc w:val="center"/>
              <w:rPr>
                <w:rFonts w:ascii="Arial" w:hAnsi="Arial" w:cs="Arial"/>
                <w:snapToGrid/>
              </w:rPr>
            </w:pPr>
            <w:r w:rsidRPr="004E152D">
              <w:rPr>
                <w:rFonts w:ascii="Arial" w:hAnsi="Arial" w:cs="Arial"/>
                <w:snapToGrid/>
              </w:rPr>
              <w:t>1</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21735A">
            <w:pPr>
              <w:widowControl/>
              <w:rPr>
                <w:rFonts w:ascii="Arial" w:hAnsi="Arial" w:cs="Arial"/>
                <w:snapToGrid/>
              </w:rPr>
            </w:pPr>
            <w:r w:rsidRPr="004E152D">
              <w:rPr>
                <w:rFonts w:ascii="Arial" w:hAnsi="Arial" w:cs="Arial"/>
                <w:snapToGrid/>
              </w:rPr>
              <w:t xml:space="preserve">Notification filed by a carrier classified as non-dominant under this provision of the initiation of services through the resale of an affiliated U.S. facilities-based carrier’s international switched services. </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tcPr>
          <w:p w:rsidR="007265E6" w:rsidRPr="004E152D" w:rsidRDefault="007265E6" w:rsidP="00F86E14">
            <w:pPr>
              <w:widowControl/>
              <w:rPr>
                <w:rFonts w:ascii="Arial" w:hAnsi="Arial" w:cs="Arial"/>
                <w:b/>
                <w:bCs/>
                <w:snapToGrid/>
              </w:rPr>
            </w:pPr>
            <w:r w:rsidRPr="004E152D">
              <w:rPr>
                <w:rFonts w:ascii="Arial" w:hAnsi="Arial" w:cs="Arial"/>
                <w:b/>
                <w:bCs/>
                <w:snapToGrid/>
              </w:rPr>
              <w:t xml:space="preserve">47 CFR 63.10(c) </w:t>
            </w:r>
          </w:p>
        </w:tc>
        <w:tc>
          <w:tcPr>
            <w:tcW w:w="1353" w:type="dxa"/>
            <w:tcBorders>
              <w:top w:val="nil"/>
              <w:left w:val="nil"/>
              <w:bottom w:val="nil"/>
              <w:right w:val="single" w:sz="4" w:space="0" w:color="auto"/>
            </w:tcBorders>
            <w:shd w:val="clear" w:color="auto" w:fill="auto"/>
            <w:noWrap/>
          </w:tcPr>
          <w:p w:rsidR="007265E6" w:rsidRPr="00473D6B" w:rsidRDefault="007265E6" w:rsidP="00EC3136">
            <w:pPr>
              <w:widowControl/>
              <w:jc w:val="center"/>
              <w:rPr>
                <w:rFonts w:ascii="Arial" w:hAnsi="Arial" w:cs="Arial"/>
                <w:snapToGrid/>
              </w:rPr>
            </w:pPr>
            <w:r w:rsidRPr="004E152D">
              <w:rPr>
                <w:rFonts w:ascii="Arial" w:hAnsi="Arial" w:cs="Arial"/>
                <w:snapToGrid/>
              </w:rPr>
              <w:t>240</w:t>
            </w:r>
            <w:r w:rsidRPr="00473D6B">
              <w:rPr>
                <w:rStyle w:val="FootnoteReference"/>
                <w:rFonts w:ascii="Arial" w:hAnsi="Arial" w:cs="Arial"/>
                <w:snapToGrid/>
              </w:rPr>
              <w:footnoteReference w:id="5"/>
            </w:r>
          </w:p>
        </w:tc>
        <w:tc>
          <w:tcPr>
            <w:tcW w:w="270" w:type="dxa"/>
            <w:gridSpan w:val="2"/>
            <w:tcBorders>
              <w:top w:val="nil"/>
              <w:left w:val="nil"/>
              <w:bottom w:val="nil"/>
              <w:right w:val="nil"/>
            </w:tcBorders>
          </w:tcPr>
          <w:p w:rsidR="007265E6" w:rsidRPr="00A90261" w:rsidRDefault="007265E6" w:rsidP="002557E5">
            <w:pPr>
              <w:widowControl/>
              <w:jc w:val="center"/>
              <w:rPr>
                <w:rFonts w:ascii="Arial" w:hAnsi="Arial" w:cs="Arial"/>
                <w:snapToGrid/>
              </w:rPr>
            </w:pPr>
          </w:p>
        </w:tc>
        <w:tc>
          <w:tcPr>
            <w:tcW w:w="274" w:type="dxa"/>
            <w:gridSpan w:val="2"/>
            <w:tcBorders>
              <w:top w:val="nil"/>
              <w:left w:val="nil"/>
              <w:bottom w:val="nil"/>
              <w:right w:val="nil"/>
            </w:tcBorders>
          </w:tcPr>
          <w:p w:rsidR="007265E6" w:rsidRPr="00644F93" w:rsidRDefault="007265E6" w:rsidP="002557E5">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tcPr>
          <w:p w:rsidR="007265E6" w:rsidRPr="004E152D" w:rsidRDefault="007265E6">
            <w:pPr>
              <w:widowControl/>
              <w:jc w:val="center"/>
              <w:rPr>
                <w:rFonts w:ascii="Arial" w:hAnsi="Arial" w:cs="Arial"/>
                <w:snapToGrid/>
              </w:rPr>
            </w:pPr>
            <w:r w:rsidRPr="004E152D">
              <w:rPr>
                <w:rFonts w:ascii="Arial" w:hAnsi="Arial" w:cs="Arial"/>
                <w:snapToGrid/>
              </w:rPr>
              <w:t>Quarterly</w:t>
            </w:r>
          </w:p>
        </w:tc>
        <w:tc>
          <w:tcPr>
            <w:tcW w:w="1427" w:type="dxa"/>
            <w:tcBorders>
              <w:top w:val="nil"/>
              <w:left w:val="nil"/>
              <w:bottom w:val="nil"/>
              <w:right w:val="single" w:sz="4" w:space="0" w:color="auto"/>
            </w:tcBorders>
            <w:shd w:val="clear" w:color="auto" w:fill="auto"/>
            <w:noWrap/>
          </w:tcPr>
          <w:p w:rsidR="007265E6" w:rsidRPr="004E152D" w:rsidRDefault="007265E6" w:rsidP="005658E7">
            <w:pPr>
              <w:widowControl/>
              <w:jc w:val="center"/>
              <w:rPr>
                <w:rFonts w:ascii="Arial" w:hAnsi="Arial" w:cs="Arial"/>
                <w:snapToGrid/>
              </w:rPr>
            </w:pPr>
            <w:r w:rsidRPr="004E152D">
              <w:rPr>
                <w:rFonts w:ascii="Arial" w:hAnsi="Arial" w:cs="Arial"/>
                <w:snapToGrid/>
              </w:rPr>
              <w:t xml:space="preserve">1 </w:t>
            </w:r>
          </w:p>
        </w:tc>
        <w:tc>
          <w:tcPr>
            <w:tcW w:w="985" w:type="dxa"/>
            <w:tcBorders>
              <w:top w:val="nil"/>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240</w:t>
            </w:r>
          </w:p>
        </w:tc>
      </w:tr>
      <w:tr w:rsidR="007265E6" w:rsidRPr="004E152D" w:rsidTr="00E20FF9">
        <w:trPr>
          <w:trHeight w:val="328"/>
        </w:trPr>
        <w:tc>
          <w:tcPr>
            <w:tcW w:w="3830" w:type="dxa"/>
            <w:tcBorders>
              <w:top w:val="nil"/>
              <w:left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Reports and other requirements of carriers classified as dominant.  Any carrier classified as dominant for the provision of services on a particular route is required to provide service through a separate affiliate and (1) file quarterly traffic and revenue reports pursuant to section 43.61, (2) file quarterly provisioning and maintenance reports of network facilities and services procured from its foreign carrier affiliate, and (3) file quarterly circuit status reports set out in the section 43.82 manual.</w:t>
            </w:r>
          </w:p>
        </w:tc>
        <w:tc>
          <w:tcPr>
            <w:tcW w:w="1353" w:type="dxa"/>
            <w:tcBorders>
              <w:top w:val="nil"/>
              <w:left w:val="nil"/>
              <w:right w:val="single" w:sz="4" w:space="0" w:color="auto"/>
            </w:tcBorders>
            <w:shd w:val="clear" w:color="auto" w:fill="auto"/>
            <w:noWrap/>
            <w:vAlign w:val="bottom"/>
          </w:tcPr>
          <w:p w:rsidR="007265E6" w:rsidRPr="004E152D" w:rsidRDefault="007265E6" w:rsidP="005B72A0">
            <w:pPr>
              <w:widowControl/>
              <w:rPr>
                <w:rFonts w:ascii="Arial" w:hAnsi="Arial" w:cs="Arial"/>
                <w:snapToGrid/>
              </w:rPr>
            </w:pPr>
            <w:r w:rsidRPr="004E152D">
              <w:rPr>
                <w:rFonts w:ascii="Arial" w:hAnsi="Arial" w:cs="Arial"/>
                <w:snapToGrid/>
              </w:rPr>
              <w:t> </w:t>
            </w:r>
          </w:p>
        </w:tc>
        <w:tc>
          <w:tcPr>
            <w:tcW w:w="270" w:type="dxa"/>
            <w:gridSpan w:val="2"/>
            <w:tcBorders>
              <w:top w:val="nil"/>
              <w:left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617463">
            <w:pPr>
              <w:widowControl/>
              <w:rPr>
                <w:rFonts w:ascii="Arial" w:hAnsi="Arial" w:cs="Arial"/>
                <w:snapToGrid/>
              </w:rPr>
            </w:pPr>
          </w:p>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vAlign w:val="bottom"/>
          </w:tcPr>
          <w:p w:rsidR="007265E6" w:rsidRPr="004E152D" w:rsidRDefault="007265E6" w:rsidP="00C86E73">
            <w:pPr>
              <w:widowControl/>
              <w:rPr>
                <w:rFonts w:ascii="Arial" w:hAnsi="Arial" w:cs="Arial"/>
                <w:b/>
                <w:bCs/>
                <w:snapToGrid/>
              </w:rPr>
            </w:pPr>
            <w:r w:rsidRPr="004E152D">
              <w:rPr>
                <w:rFonts w:ascii="Arial" w:hAnsi="Arial" w:cs="Arial"/>
                <w:b/>
                <w:bCs/>
                <w:snapToGrid/>
              </w:rPr>
              <w:t>47 CFR 63.11(a), (e)</w:t>
            </w:r>
          </w:p>
        </w:tc>
        <w:tc>
          <w:tcPr>
            <w:tcW w:w="1353"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270"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6</w:t>
            </w:r>
          </w:p>
        </w:tc>
        <w:tc>
          <w:tcPr>
            <w:tcW w:w="985"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6</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E22448">
            <w:pPr>
              <w:widowControl/>
              <w:rPr>
                <w:rFonts w:ascii="Arial" w:hAnsi="Arial" w:cs="Arial"/>
                <w:snapToGrid/>
              </w:rPr>
            </w:pPr>
            <w:r w:rsidRPr="004E152D">
              <w:rPr>
                <w:rFonts w:ascii="Arial" w:hAnsi="Arial" w:cs="Arial"/>
                <w:snapToGrid/>
              </w:rPr>
              <w:t xml:space="preserve">Foreign carrier affiliation notifications.  An authorized U.S. carrier must notify the Commission 45 days before consummation of (1) a transaction that results in the acquisition by the U.S. carrier, or certain of its affiliates as described in the rule, of a controlling interest in a foreign carrier that is authorized to operate in a market that the U.S. carrier is authorized to serve, or (2) a transaction that results in acquisition of greater than 25 percent of the capital stock, or of a controlling interest, in the authorized U.S. carrier by a foreign carrier that is authorized to operate in a market that the U.S. carrier is authorized to serve, unless the U.S. carrier is able to make one of the showings in paragraph (b) of this section.  The U.S. carrier must provide in its prior notification the information specified in 63.11(e) and certify that the contents of the notification are true.  </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63.11(b)-(c), (e)</w:t>
            </w:r>
          </w:p>
        </w:tc>
        <w:tc>
          <w:tcPr>
            <w:tcW w:w="1353" w:type="dxa"/>
            <w:tcBorders>
              <w:top w:val="nil"/>
              <w:left w:val="nil"/>
              <w:bottom w:val="nil"/>
              <w:right w:val="single" w:sz="4" w:space="0" w:color="auto"/>
            </w:tcBorders>
            <w:shd w:val="clear" w:color="auto" w:fill="auto"/>
            <w:noWrap/>
            <w:vAlign w:val="bottom"/>
          </w:tcPr>
          <w:p w:rsidR="007265E6" w:rsidRPr="004E152D" w:rsidRDefault="00BB2E1A" w:rsidP="00617463">
            <w:pPr>
              <w:widowControl/>
              <w:jc w:val="center"/>
              <w:rPr>
                <w:rFonts w:ascii="Arial" w:hAnsi="Arial" w:cs="Arial"/>
                <w:snapToGrid/>
              </w:rPr>
            </w:pPr>
            <w:r>
              <w:rPr>
                <w:rFonts w:ascii="Arial" w:hAnsi="Arial" w:cs="Arial"/>
                <w:snapToGrid/>
              </w:rPr>
              <w:t>10</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6</w:t>
            </w:r>
          </w:p>
        </w:tc>
        <w:tc>
          <w:tcPr>
            <w:tcW w:w="985" w:type="dxa"/>
            <w:tcBorders>
              <w:top w:val="nil"/>
              <w:left w:val="nil"/>
              <w:bottom w:val="nil"/>
              <w:right w:val="single" w:sz="4" w:space="0" w:color="auto"/>
            </w:tcBorders>
            <w:shd w:val="clear" w:color="auto" w:fill="auto"/>
            <w:noWrap/>
            <w:vAlign w:val="bottom"/>
          </w:tcPr>
          <w:p w:rsidR="007265E6" w:rsidRPr="004E152D" w:rsidRDefault="00BB2E1A" w:rsidP="00617463">
            <w:pPr>
              <w:widowControl/>
              <w:jc w:val="center"/>
              <w:rPr>
                <w:rFonts w:ascii="Arial" w:hAnsi="Arial" w:cs="Arial"/>
                <w:snapToGrid/>
              </w:rPr>
            </w:pPr>
            <w:r>
              <w:rPr>
                <w:rFonts w:ascii="Arial" w:hAnsi="Arial" w:cs="Arial"/>
                <w:snapToGrid/>
              </w:rPr>
              <w:t>60</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xml:space="preserve"> </w:t>
            </w:r>
          </w:p>
          <w:p w:rsidR="007265E6" w:rsidRPr="004E152D" w:rsidRDefault="007265E6" w:rsidP="00E22448">
            <w:pPr>
              <w:widowControl/>
              <w:rPr>
                <w:rFonts w:ascii="Arial" w:hAnsi="Arial" w:cs="Arial"/>
                <w:snapToGrid/>
              </w:rPr>
            </w:pPr>
            <w:r w:rsidRPr="004E152D">
              <w:rPr>
                <w:rFonts w:ascii="Arial" w:hAnsi="Arial" w:cs="Arial"/>
                <w:snapToGrid/>
              </w:rPr>
              <w:t xml:space="preserve">Foreign carrier affiliation notification after consummation of a transaction.  An authorized U.S. carrier that becomes affiliated </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right w:val="single" w:sz="4" w:space="0" w:color="auto"/>
            </w:tcBorders>
            <w:shd w:val="clear" w:color="auto" w:fill="auto"/>
            <w:noWrap/>
            <w:vAlign w:val="bottom"/>
          </w:tcPr>
          <w:p w:rsidR="007265E6" w:rsidRPr="004E152D" w:rsidRDefault="007265E6" w:rsidP="00EF5ECF">
            <w:pPr>
              <w:widowControl/>
              <w:rPr>
                <w:rFonts w:ascii="Arial" w:hAnsi="Arial" w:cs="Arial"/>
                <w:snapToGrid/>
              </w:rPr>
            </w:pPr>
            <w:r w:rsidRPr="004E152D">
              <w:rPr>
                <w:rFonts w:ascii="Arial" w:hAnsi="Arial" w:cs="Arial"/>
                <w:snapToGrid/>
              </w:rPr>
              <w:t>with a foreign carrier and has not previously notified the Commission shall notify the Commission within 30 days after consummation of the acquisition.  The U.S. carrier must provide the information specified in 63.11(e) and certify that the contents of the notification are true.</w:t>
            </w:r>
          </w:p>
          <w:p w:rsidR="007265E6" w:rsidRPr="004E152D" w:rsidRDefault="007265E6" w:rsidP="00EF5ECF">
            <w:pPr>
              <w:widowControl/>
              <w:rPr>
                <w:rFonts w:ascii="Arial" w:hAnsi="Arial" w:cs="Arial"/>
                <w:snapToGrid/>
              </w:rPr>
            </w:pPr>
          </w:p>
          <w:p w:rsidR="007265E6" w:rsidRPr="004E152D" w:rsidRDefault="007265E6" w:rsidP="00E22448">
            <w:pPr>
              <w:widowControl/>
              <w:rPr>
                <w:rFonts w:ascii="Arial" w:hAnsi="Arial" w:cs="Arial"/>
                <w:snapToGrid/>
              </w:rPr>
            </w:pPr>
          </w:p>
        </w:tc>
        <w:tc>
          <w:tcPr>
            <w:tcW w:w="1353"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right w:val="nil"/>
            </w:tcBorders>
          </w:tcPr>
          <w:p w:rsidR="007265E6" w:rsidRPr="004E152D" w:rsidRDefault="007265E6" w:rsidP="00617463">
            <w:pPr>
              <w:widowControl/>
              <w:rPr>
                <w:rFonts w:ascii="Arial" w:hAnsi="Arial" w:cs="Arial"/>
                <w:snapToGrid/>
              </w:rPr>
            </w:pPr>
          </w:p>
        </w:tc>
        <w:tc>
          <w:tcPr>
            <w:tcW w:w="1342"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63.11(f)</w:t>
            </w:r>
          </w:p>
          <w:p w:rsidR="007265E6" w:rsidRPr="004E152D" w:rsidRDefault="007265E6" w:rsidP="00617463">
            <w:pPr>
              <w:widowControl/>
              <w:tabs>
                <w:tab w:val="right" w:leader="dot" w:pos="9360"/>
              </w:tabs>
              <w:suppressAutoHyphens/>
              <w:ind w:left="3600" w:right="720" w:hanging="720"/>
              <w:rPr>
                <w:rFonts w:ascii="Arial" w:hAnsi="Arial" w:cs="Arial"/>
                <w:bCs/>
                <w:snapToGrid/>
              </w:rPr>
            </w:pPr>
          </w:p>
          <w:p w:rsidR="007265E6" w:rsidRPr="004E152D" w:rsidRDefault="007265E6" w:rsidP="00617463">
            <w:pPr>
              <w:widowControl/>
              <w:rPr>
                <w:rFonts w:ascii="Arial" w:hAnsi="Arial" w:cs="Arial"/>
                <w:bCs/>
                <w:snapToGrid/>
              </w:rPr>
            </w:pPr>
            <w:r w:rsidRPr="004E152D">
              <w:rPr>
                <w:rFonts w:ascii="Arial" w:hAnsi="Arial" w:cs="Arial"/>
                <w:bCs/>
                <w:snapToGrid/>
              </w:rPr>
              <w:t>In order to retain non-dominant status on a newly affiliated route, the U.S. carrier must include in its notification a showing of eligibility pursuant to the criteria described in 63.10.</w:t>
            </w:r>
          </w:p>
          <w:p w:rsidR="007265E6" w:rsidRPr="004E152D" w:rsidRDefault="007265E6" w:rsidP="00617463">
            <w:pPr>
              <w:widowControl/>
              <w:rPr>
                <w:rFonts w:ascii="Arial" w:hAnsi="Arial" w:cs="Arial"/>
                <w:b/>
                <w:bCs/>
                <w:snapToGrid/>
              </w:rPr>
            </w:pPr>
          </w:p>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tcPr>
          <w:p w:rsidR="007265E6" w:rsidRPr="004E152D" w:rsidRDefault="00BB2E1A" w:rsidP="006E7B79">
            <w:pPr>
              <w:widowControl/>
              <w:jc w:val="center"/>
              <w:rPr>
                <w:rFonts w:ascii="Arial" w:hAnsi="Arial" w:cs="Arial"/>
                <w:snapToGrid/>
              </w:rPr>
            </w:pPr>
            <w:r>
              <w:rPr>
                <w:rFonts w:ascii="Arial" w:hAnsi="Arial" w:cs="Arial"/>
                <w:snapToGrid/>
              </w:rPr>
              <w:t>10</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tcPr>
          <w:p w:rsidR="007265E6" w:rsidRPr="004E152D" w:rsidRDefault="007265E6" w:rsidP="006E7B79">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single" w:sz="4" w:space="0" w:color="auto"/>
              <w:right w:val="single" w:sz="4" w:space="0" w:color="auto"/>
            </w:tcBorders>
            <w:shd w:val="clear" w:color="auto" w:fill="auto"/>
            <w:noWrap/>
          </w:tcPr>
          <w:p w:rsidR="007265E6" w:rsidRPr="004E152D" w:rsidRDefault="007265E6" w:rsidP="006E7B79">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single" w:sz="4" w:space="0" w:color="auto"/>
              <w:right w:val="single" w:sz="4" w:space="0" w:color="auto"/>
            </w:tcBorders>
            <w:shd w:val="clear" w:color="auto" w:fill="auto"/>
            <w:noWrap/>
          </w:tcPr>
          <w:p w:rsidR="007265E6" w:rsidRPr="004E152D" w:rsidRDefault="00BB2E1A" w:rsidP="006E7B79">
            <w:pPr>
              <w:widowControl/>
              <w:jc w:val="center"/>
              <w:rPr>
                <w:rFonts w:ascii="Arial" w:hAnsi="Arial" w:cs="Arial"/>
                <w:snapToGrid/>
              </w:rPr>
            </w:pPr>
            <w:r>
              <w:rPr>
                <w:rFonts w:ascii="Arial" w:hAnsi="Arial" w:cs="Arial"/>
                <w:snapToGrid/>
              </w:rPr>
              <w:t>10</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F86E14">
            <w:pPr>
              <w:widowControl/>
              <w:rPr>
                <w:rFonts w:ascii="Arial" w:hAnsi="Arial" w:cs="Arial"/>
                <w:b/>
                <w:bCs/>
                <w:snapToGrid/>
              </w:rPr>
            </w:pPr>
            <w:r w:rsidRPr="004E152D">
              <w:rPr>
                <w:rFonts w:ascii="Arial" w:hAnsi="Arial" w:cs="Arial"/>
                <w:b/>
                <w:bCs/>
                <w:snapToGrid/>
              </w:rPr>
              <w:t xml:space="preserve">47 CFR 63.11(g)(2) </w:t>
            </w:r>
          </w:p>
        </w:tc>
        <w:tc>
          <w:tcPr>
            <w:tcW w:w="1353"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1</w:t>
            </w:r>
          </w:p>
        </w:tc>
        <w:tc>
          <w:tcPr>
            <w:tcW w:w="270" w:type="dxa"/>
            <w:gridSpan w:val="2"/>
            <w:tcBorders>
              <w:top w:val="single" w:sz="4" w:space="0" w:color="auto"/>
              <w:left w:val="nil"/>
              <w:bottom w:val="nil"/>
              <w:right w:val="nil"/>
            </w:tcBorders>
          </w:tcPr>
          <w:p w:rsidR="007265E6" w:rsidRPr="004E152D" w:rsidRDefault="007265E6" w:rsidP="00F86E14">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F86E14">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2 hours (if no</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8</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0B4722">
            <w:pPr>
              <w:widowControl/>
              <w:rPr>
                <w:rFonts w:ascii="Arial" w:hAnsi="Arial" w:cs="Arial"/>
                <w:snapToGrid/>
              </w:rPr>
            </w:pPr>
            <w:r w:rsidRPr="004E152D">
              <w:rPr>
                <w:rFonts w:ascii="Arial" w:hAnsi="Arial" w:cs="Arial"/>
                <w:snapToGrid/>
              </w:rPr>
              <w:t xml:space="preserve">In the case of a prior notification filed under </w:t>
            </w:r>
            <w:r w:rsidRPr="004E152D">
              <w:rPr>
                <w:rFonts w:ascii="Arial" w:hAnsi="Arial" w:cs="Arial"/>
              </w:rPr>
              <w:t>§</w:t>
            </w:r>
            <w:r w:rsidRPr="004E152D">
              <w:rPr>
                <w:rFonts w:ascii="Arial" w:hAnsi="Arial" w:cs="Arial"/>
                <w:snapToGrid/>
              </w:rPr>
              <w:t>63.11(a), the U.S. authorized carrier must demonstrate that it continues to serve the public interest for it to operate on the route for which it proposes to acquire an affiliation with the foreign carrier authorized to operate in the non-WTO country.  Such a showing shall include a demonstration as to whether the foreign carrier lacks market power in the non-WTO country with reference</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tcPr>
          <w:p w:rsidR="007265E6" w:rsidRPr="004E152D" w:rsidRDefault="007265E6" w:rsidP="00F86E14">
            <w:pPr>
              <w:widowControl/>
              <w:jc w:val="center"/>
              <w:rPr>
                <w:rFonts w:ascii="Arial" w:hAnsi="Arial" w:cs="Arial"/>
                <w:snapToGrid/>
              </w:rPr>
            </w:pPr>
            <w:r w:rsidRPr="004E152D">
              <w:rPr>
                <w:rFonts w:ascii="Arial" w:hAnsi="Arial" w:cs="Arial"/>
                <w:snapToGrid/>
              </w:rPr>
              <w:t xml:space="preserve">comments are </w:t>
            </w:r>
          </w:p>
          <w:p w:rsidR="007265E6" w:rsidRPr="004E152D" w:rsidRDefault="007265E6" w:rsidP="00F86E14">
            <w:pPr>
              <w:widowControl/>
              <w:jc w:val="center"/>
              <w:rPr>
                <w:rFonts w:ascii="Arial" w:hAnsi="Arial" w:cs="Arial"/>
                <w:snapToGrid/>
              </w:rPr>
            </w:pPr>
            <w:r w:rsidRPr="004E152D">
              <w:rPr>
                <w:rFonts w:ascii="Arial" w:hAnsi="Arial" w:cs="Arial"/>
                <w:snapToGrid/>
              </w:rPr>
              <w:t>filed)</w:t>
            </w:r>
          </w:p>
          <w:p w:rsidR="007265E6" w:rsidRPr="004E152D" w:rsidRDefault="007265E6" w:rsidP="00F86E14">
            <w:pPr>
              <w:widowControl/>
              <w:jc w:val="center"/>
              <w:rPr>
                <w:rFonts w:ascii="Arial" w:hAnsi="Arial" w:cs="Arial"/>
                <w:snapToGrid/>
              </w:rPr>
            </w:pPr>
            <w:r w:rsidRPr="004E152D">
              <w:rPr>
                <w:rFonts w:ascii="Arial" w:hAnsi="Arial" w:cs="Arial"/>
                <w:snapToGrid/>
              </w:rPr>
              <w:t>8 hours (if comments are filed).  This burden includes a possible, additional information request by Commission staff in the event concerns are raised.</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0B4722">
            <w:pPr>
              <w:rPr>
                <w:rFonts w:ascii="Arial" w:hAnsi="Arial" w:cs="Arial"/>
              </w:rPr>
            </w:pPr>
            <w:r w:rsidRPr="004E152D">
              <w:rPr>
                <w:rFonts w:ascii="Arial" w:hAnsi="Arial" w:cs="Arial"/>
              </w:rPr>
              <w:t xml:space="preserve">to the criteria in §63.10(a).  If the U.S. authorized carrier is unable to make the required showing in  §63.10(a), the U.S. authorized carrier shall agree to comply with the dominant carrier safeguards contained in section 63.10(c), effective upon the acquisition of the affiliation.  If the U.S. authorized carrier is notified by the Commission that the affiliation may otherwise harm the public interest pursuant to the Commission’s policies and rules, then the Commission may impose conditions necessary to address any public interest harms or may proceed to an immediate authorization revocation hearing.  </w:t>
            </w:r>
          </w:p>
          <w:p w:rsidR="007265E6" w:rsidRPr="004E152D" w:rsidRDefault="007265E6" w:rsidP="000B4722">
            <w:pPr>
              <w:rPr>
                <w:rFonts w:ascii="Arial" w:hAnsi="Arial" w:cs="Arial"/>
              </w:rPr>
            </w:pPr>
          </w:p>
          <w:p w:rsidR="007265E6" w:rsidRPr="004E152D" w:rsidRDefault="007265E6" w:rsidP="000B4722">
            <w:pPr>
              <w:rPr>
                <w:rFonts w:ascii="Arial" w:hAnsi="Arial" w:cs="Arial"/>
              </w:rPr>
            </w:pPr>
            <w:r w:rsidRPr="004E152D">
              <w:rPr>
                <w:rFonts w:ascii="Arial" w:hAnsi="Arial" w:cs="Arial"/>
              </w:rPr>
              <w:t xml:space="preserve"> </w:t>
            </w:r>
          </w:p>
          <w:p w:rsidR="007265E6" w:rsidRPr="004E152D" w:rsidRDefault="007265E6" w:rsidP="00CD732D">
            <w:pPr>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63.11(h)</w:t>
            </w:r>
          </w:p>
        </w:tc>
        <w:tc>
          <w:tcPr>
            <w:tcW w:w="1353" w:type="dxa"/>
            <w:tcBorders>
              <w:top w:val="single" w:sz="4" w:space="0" w:color="auto"/>
              <w:left w:val="nil"/>
              <w:bottom w:val="nil"/>
              <w:right w:val="single" w:sz="4" w:space="0" w:color="auto"/>
            </w:tcBorders>
            <w:shd w:val="clear" w:color="auto" w:fill="auto"/>
            <w:noWrap/>
            <w:vAlign w:val="bottom"/>
          </w:tcPr>
          <w:p w:rsidR="007265E6" w:rsidRPr="004E152D" w:rsidRDefault="00BB2E1A" w:rsidP="007E66F9">
            <w:pPr>
              <w:widowControl/>
              <w:jc w:val="center"/>
              <w:rPr>
                <w:rFonts w:ascii="Arial" w:hAnsi="Arial" w:cs="Arial"/>
                <w:snapToGrid/>
              </w:rPr>
            </w:pPr>
            <w:r>
              <w:rPr>
                <w:rFonts w:ascii="Arial" w:hAnsi="Arial" w:cs="Arial"/>
                <w:snapToGrid/>
              </w:rPr>
              <w:t>10</w:t>
            </w:r>
          </w:p>
        </w:tc>
        <w:tc>
          <w:tcPr>
            <w:tcW w:w="270"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single" w:sz="4" w:space="0" w:color="auto"/>
              <w:left w:val="nil"/>
              <w:bottom w:val="nil"/>
              <w:right w:val="single" w:sz="4" w:space="0" w:color="auto"/>
            </w:tcBorders>
            <w:shd w:val="clear" w:color="auto" w:fill="auto"/>
            <w:noWrap/>
            <w:vAlign w:val="bottom"/>
          </w:tcPr>
          <w:p w:rsidR="007265E6" w:rsidRPr="004E152D" w:rsidRDefault="00BB2E1A" w:rsidP="00617463">
            <w:pPr>
              <w:widowControl/>
              <w:jc w:val="center"/>
              <w:rPr>
                <w:rFonts w:ascii="Arial" w:hAnsi="Arial" w:cs="Arial"/>
                <w:snapToGrid/>
              </w:rPr>
            </w:pPr>
            <w:r>
              <w:rPr>
                <w:rFonts w:ascii="Arial" w:hAnsi="Arial" w:cs="Arial"/>
                <w:snapToGrid/>
              </w:rPr>
              <w:t>10</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7E66F9">
            <w:pPr>
              <w:widowControl/>
              <w:rPr>
                <w:rFonts w:ascii="Arial" w:hAnsi="Arial" w:cs="Arial"/>
                <w:snapToGrid/>
              </w:rPr>
            </w:pPr>
            <w:r w:rsidRPr="004E152D">
              <w:rPr>
                <w:rFonts w:ascii="Arial" w:hAnsi="Arial" w:cs="Arial"/>
                <w:snapToGrid/>
              </w:rPr>
              <w:t>Accuracy of contents of notification and certifications. All carriers are required to file corrected notification information within 45 days after filing, except that the carrier shall immediately notify the Commission of representations of certifications that are no longer true.</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tcPr>
          <w:p w:rsidR="007265E6" w:rsidRPr="004E152D" w:rsidRDefault="007265E6" w:rsidP="0043530F">
            <w:pPr>
              <w:widowControl/>
              <w:rPr>
                <w:rFonts w:ascii="Arial" w:hAnsi="Arial" w:cs="Arial"/>
                <w:b/>
                <w:bCs/>
                <w:snapToGrid/>
              </w:rPr>
            </w:pPr>
            <w:r w:rsidRPr="004E152D">
              <w:rPr>
                <w:rFonts w:ascii="Arial" w:hAnsi="Arial" w:cs="Arial"/>
                <w:b/>
                <w:bCs/>
                <w:snapToGrid/>
              </w:rPr>
              <w:t>47 CFR 63.13</w:t>
            </w:r>
          </w:p>
          <w:p w:rsidR="007265E6" w:rsidRPr="004E152D" w:rsidRDefault="007265E6" w:rsidP="0043530F">
            <w:pPr>
              <w:widowControl/>
              <w:rPr>
                <w:rFonts w:ascii="Arial" w:hAnsi="Arial" w:cs="Arial"/>
                <w:b/>
                <w:bCs/>
                <w:snapToGrid/>
              </w:rPr>
            </w:pPr>
          </w:p>
          <w:p w:rsidR="007265E6" w:rsidRPr="004E152D" w:rsidRDefault="007265E6" w:rsidP="0043530F">
            <w:pPr>
              <w:widowControl/>
              <w:rPr>
                <w:rFonts w:ascii="Arial" w:hAnsi="Arial" w:cs="Arial"/>
                <w:bCs/>
                <w:snapToGrid/>
              </w:rPr>
            </w:pPr>
            <w:r w:rsidRPr="004E152D">
              <w:rPr>
                <w:rFonts w:ascii="Arial" w:hAnsi="Arial" w:cs="Arial"/>
                <w:bCs/>
                <w:snapToGrid/>
              </w:rPr>
              <w:t>A U.S. international carrier modifying its regulatory status from dominant to non-dominant for the provision of services on a particular route must demonstrate in its application that it qualifies for non-dominant classification pursuant to section 63.10.</w:t>
            </w: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Cs/>
                <w:snapToGrid/>
              </w:rPr>
            </w:pPr>
          </w:p>
          <w:p w:rsidR="007265E6" w:rsidRPr="004E152D" w:rsidRDefault="007265E6" w:rsidP="0043530F">
            <w:pPr>
              <w:widowControl/>
              <w:rPr>
                <w:rFonts w:ascii="Arial" w:hAnsi="Arial" w:cs="Arial"/>
                <w:b/>
                <w:bCs/>
                <w:snapToGrid/>
              </w:rPr>
            </w:pPr>
          </w:p>
        </w:tc>
        <w:tc>
          <w:tcPr>
            <w:tcW w:w="1353" w:type="dxa"/>
            <w:tcBorders>
              <w:top w:val="nil"/>
              <w:left w:val="nil"/>
              <w:bottom w:val="single" w:sz="4" w:space="0" w:color="auto"/>
              <w:right w:val="single" w:sz="4" w:space="0" w:color="auto"/>
            </w:tcBorders>
            <w:shd w:val="clear" w:color="auto" w:fill="auto"/>
            <w:noWrap/>
          </w:tcPr>
          <w:p w:rsidR="007265E6" w:rsidRPr="004E152D" w:rsidRDefault="00BB2E1A" w:rsidP="00757CA9">
            <w:pPr>
              <w:widowControl/>
              <w:jc w:val="center"/>
              <w:rPr>
                <w:rFonts w:ascii="Arial" w:hAnsi="Arial" w:cs="Arial"/>
                <w:snapToGrid/>
              </w:rPr>
            </w:pPr>
            <w:r>
              <w:rPr>
                <w:rFonts w:ascii="Arial" w:hAnsi="Arial" w:cs="Arial"/>
                <w:snapToGrid/>
              </w:rPr>
              <w:t>5</w:t>
            </w:r>
          </w:p>
        </w:tc>
        <w:tc>
          <w:tcPr>
            <w:tcW w:w="270" w:type="dxa"/>
            <w:gridSpan w:val="2"/>
            <w:tcBorders>
              <w:top w:val="nil"/>
              <w:left w:val="nil"/>
              <w:bottom w:val="single" w:sz="4" w:space="0" w:color="auto"/>
              <w:right w:val="nil"/>
            </w:tcBorders>
          </w:tcPr>
          <w:p w:rsidR="007265E6" w:rsidRPr="004E152D" w:rsidRDefault="007265E6" w:rsidP="0043530F">
            <w:pPr>
              <w:widowControl/>
              <w:jc w:val="center"/>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43530F">
            <w:pPr>
              <w:widowControl/>
              <w:jc w:val="center"/>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single" w:sz="4" w:space="0" w:color="auto"/>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2</w:t>
            </w:r>
          </w:p>
        </w:tc>
        <w:tc>
          <w:tcPr>
            <w:tcW w:w="985" w:type="dxa"/>
            <w:tcBorders>
              <w:top w:val="nil"/>
              <w:left w:val="nil"/>
              <w:bottom w:val="single" w:sz="4" w:space="0" w:color="auto"/>
              <w:right w:val="single" w:sz="4" w:space="0" w:color="auto"/>
            </w:tcBorders>
            <w:shd w:val="clear" w:color="auto" w:fill="auto"/>
            <w:noWrap/>
          </w:tcPr>
          <w:p w:rsidR="007265E6" w:rsidRPr="004E152D" w:rsidRDefault="00BB2E1A" w:rsidP="0043530F">
            <w:pPr>
              <w:widowControl/>
              <w:jc w:val="center"/>
              <w:rPr>
                <w:rFonts w:ascii="Arial" w:hAnsi="Arial" w:cs="Arial"/>
                <w:snapToGrid/>
              </w:rPr>
            </w:pPr>
            <w:r>
              <w:rPr>
                <w:rFonts w:ascii="Arial" w:hAnsi="Arial" w:cs="Arial"/>
                <w:snapToGrid/>
              </w:rPr>
              <w:t>10</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43530F">
            <w:pPr>
              <w:widowControl/>
              <w:rPr>
                <w:rFonts w:ascii="Arial" w:hAnsi="Arial" w:cs="Arial"/>
                <w:b/>
                <w:bCs/>
                <w:snapToGrid/>
              </w:rPr>
            </w:pPr>
            <w:r w:rsidRPr="004E152D">
              <w:rPr>
                <w:rFonts w:ascii="Arial" w:hAnsi="Arial" w:cs="Arial"/>
                <w:b/>
                <w:bCs/>
                <w:snapToGrid/>
              </w:rPr>
              <w:t>47 CFR 63.18</w:t>
            </w:r>
          </w:p>
        </w:tc>
        <w:tc>
          <w:tcPr>
            <w:tcW w:w="1353" w:type="dxa"/>
            <w:tcBorders>
              <w:top w:val="single" w:sz="4" w:space="0" w:color="auto"/>
              <w:left w:val="nil"/>
              <w:bottom w:val="nil"/>
              <w:right w:val="single" w:sz="4" w:space="0" w:color="auto"/>
            </w:tcBorders>
            <w:shd w:val="clear" w:color="auto" w:fill="auto"/>
            <w:noWrap/>
          </w:tcPr>
          <w:p w:rsidR="007265E6" w:rsidRPr="004E152D" w:rsidRDefault="00BB2E1A" w:rsidP="00450ED4">
            <w:pPr>
              <w:widowControl/>
              <w:rPr>
                <w:rFonts w:ascii="Arial" w:hAnsi="Arial" w:cs="Arial"/>
                <w:snapToGrid/>
              </w:rPr>
            </w:pPr>
            <w:r>
              <w:rPr>
                <w:rFonts w:ascii="Arial" w:hAnsi="Arial" w:cs="Arial"/>
                <w:snapToGrid/>
              </w:rPr>
              <w:t xml:space="preserve">       14</w:t>
            </w:r>
            <w:r w:rsidR="007265E6" w:rsidRPr="004E152D">
              <w:rPr>
                <w:rFonts w:ascii="Arial" w:hAnsi="Arial" w:cs="Arial"/>
                <w:snapToGrid/>
              </w:rPr>
              <w:t xml:space="preserve">0 </w:t>
            </w:r>
          </w:p>
        </w:tc>
        <w:tc>
          <w:tcPr>
            <w:tcW w:w="270" w:type="dxa"/>
            <w:gridSpan w:val="2"/>
            <w:tcBorders>
              <w:top w:val="single" w:sz="4" w:space="0" w:color="auto"/>
              <w:left w:val="nil"/>
              <w:bottom w:val="nil"/>
              <w:right w:val="nil"/>
            </w:tcBorders>
          </w:tcPr>
          <w:p w:rsidR="007265E6" w:rsidRPr="004E152D" w:rsidRDefault="007265E6" w:rsidP="0043530F">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43530F">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43530F">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450ED4">
            <w:pPr>
              <w:widowControl/>
              <w:jc w:val="center"/>
              <w:rPr>
                <w:rFonts w:ascii="Arial" w:hAnsi="Arial" w:cs="Arial"/>
                <w:snapToGrid/>
              </w:rPr>
            </w:pPr>
            <w:r w:rsidRPr="004E152D">
              <w:rPr>
                <w:rFonts w:ascii="Arial" w:hAnsi="Arial" w:cs="Arial"/>
                <w:snapToGrid/>
              </w:rPr>
              <w:t>9</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BB2E1A">
            <w:pPr>
              <w:widowControl/>
              <w:jc w:val="center"/>
              <w:rPr>
                <w:rFonts w:ascii="Arial" w:hAnsi="Arial" w:cs="Arial"/>
                <w:snapToGrid/>
              </w:rPr>
            </w:pPr>
            <w:r w:rsidRPr="004E152D">
              <w:rPr>
                <w:rFonts w:ascii="Arial" w:hAnsi="Arial" w:cs="Arial"/>
                <w:snapToGrid/>
              </w:rPr>
              <w:t>1,</w:t>
            </w:r>
            <w:r w:rsidR="00BB2E1A">
              <w:rPr>
                <w:rFonts w:ascii="Arial" w:hAnsi="Arial" w:cs="Arial"/>
                <w:snapToGrid/>
              </w:rPr>
              <w:t>2</w:t>
            </w:r>
            <w:r w:rsidRPr="004E152D">
              <w:rPr>
                <w:rFonts w:ascii="Arial" w:hAnsi="Arial" w:cs="Arial"/>
                <w:snapToGrid/>
              </w:rPr>
              <w:t>60</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525D82">
            <w:pPr>
              <w:widowControl/>
              <w:rPr>
                <w:rFonts w:ascii="Arial" w:hAnsi="Arial" w:cs="Arial"/>
                <w:b/>
                <w:bCs/>
                <w:snapToGrid/>
              </w:rPr>
            </w:pPr>
          </w:p>
          <w:p w:rsidR="007265E6" w:rsidRPr="004E152D" w:rsidRDefault="007265E6" w:rsidP="00CC6F4A">
            <w:pPr>
              <w:widowControl/>
              <w:rPr>
                <w:rFonts w:ascii="Arial" w:hAnsi="Arial" w:cs="Arial"/>
                <w:b/>
                <w:bCs/>
                <w:snapToGrid/>
              </w:rPr>
            </w:pPr>
            <w:r w:rsidRPr="004E152D">
              <w:rPr>
                <w:rFonts w:ascii="Arial" w:hAnsi="Arial" w:cs="Arial"/>
                <w:b/>
                <w:bCs/>
                <w:snapToGrid/>
              </w:rPr>
              <w:t xml:space="preserve">Contents of applications for international common carriers for facilities-based (63.18(e)(1)) and/or resale authority (63.18(e)(2)) </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p>
          <w:p w:rsidR="007265E6" w:rsidRPr="004E152D" w:rsidRDefault="007265E6" w:rsidP="0085685D">
            <w:pPr>
              <w:widowControl/>
              <w:rPr>
                <w:rFonts w:ascii="Arial" w:hAnsi="Arial" w:cs="Arial"/>
                <w:bCs/>
                <w:snapToGrid/>
              </w:rPr>
            </w:pPr>
            <w:r w:rsidRPr="004E152D">
              <w:rPr>
                <w:rFonts w:ascii="Arial" w:hAnsi="Arial" w:cs="Arial"/>
                <w:bCs/>
                <w:snapToGrid/>
              </w:rPr>
              <w:t xml:space="preserve">Application (FCC Form 214) includes information demonstrating how grant of the application will serve the public interest, convenience and necessity pursuant to section 214 of the Communications Act of 1934. The specific information and certifications are included in sections 63.18(a) through (j), and sections 63.18(n) through (p). Applicants must also certify to comply with conditions in sections 63.21 and 63.22 of the rules.  </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right w:val="single" w:sz="4" w:space="0" w:color="auto"/>
            </w:tcBorders>
            <w:shd w:val="clear" w:color="auto" w:fill="auto"/>
            <w:noWrap/>
            <w:vAlign w:val="bottom"/>
          </w:tcPr>
          <w:p w:rsidR="007265E6" w:rsidRPr="004E152D" w:rsidRDefault="007265E6" w:rsidP="002271D4">
            <w:pPr>
              <w:widowControl/>
              <w:rPr>
                <w:rFonts w:ascii="Arial" w:hAnsi="Arial" w:cs="Arial"/>
                <w:snapToGrid/>
              </w:rPr>
            </w:pPr>
          </w:p>
        </w:tc>
        <w:tc>
          <w:tcPr>
            <w:tcW w:w="1353"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right w:val="nil"/>
            </w:tcBorders>
          </w:tcPr>
          <w:p w:rsidR="007265E6" w:rsidRPr="004E152D" w:rsidRDefault="007265E6" w:rsidP="00187D32">
            <w:pPr>
              <w:widowControl/>
              <w:jc w:val="center"/>
              <w:rPr>
                <w:rFonts w:ascii="Arial" w:hAnsi="Arial" w:cs="Arial"/>
                <w:snapToGrid/>
              </w:rPr>
            </w:pPr>
          </w:p>
        </w:tc>
        <w:tc>
          <w:tcPr>
            <w:tcW w:w="274" w:type="dxa"/>
            <w:gridSpan w:val="2"/>
            <w:tcBorders>
              <w:top w:val="nil"/>
              <w:left w:val="nil"/>
              <w:right w:val="nil"/>
            </w:tcBorders>
          </w:tcPr>
          <w:p w:rsidR="007265E6" w:rsidRPr="004E152D" w:rsidRDefault="007265E6" w:rsidP="00187D32">
            <w:pPr>
              <w:widowControl/>
              <w:jc w:val="center"/>
              <w:rPr>
                <w:rFonts w:ascii="Arial" w:hAnsi="Arial" w:cs="Arial"/>
                <w:snapToGrid/>
              </w:rPr>
            </w:pPr>
          </w:p>
        </w:tc>
        <w:tc>
          <w:tcPr>
            <w:tcW w:w="1342" w:type="dxa"/>
            <w:tcBorders>
              <w:top w:val="nil"/>
              <w:left w:val="nil"/>
              <w:right w:val="single" w:sz="4" w:space="0" w:color="auto"/>
            </w:tcBorders>
            <w:shd w:val="clear" w:color="auto" w:fill="auto"/>
            <w:noWrap/>
            <w:vAlign w:val="bottom"/>
          </w:tcPr>
          <w:p w:rsidR="007265E6" w:rsidRPr="004E152D" w:rsidRDefault="007265E6" w:rsidP="00187D32">
            <w:pPr>
              <w:widowControl/>
              <w:jc w:val="center"/>
              <w:rPr>
                <w:rFonts w:ascii="Arial" w:hAnsi="Arial" w:cs="Arial"/>
                <w:snapToGrid/>
              </w:rPr>
            </w:pPr>
          </w:p>
        </w:tc>
        <w:tc>
          <w:tcPr>
            <w:tcW w:w="1427"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7265E6" w:rsidRPr="004E152D" w:rsidRDefault="007265E6" w:rsidP="00187D32">
            <w:pPr>
              <w:widowControl/>
              <w:rPr>
                <w:rFonts w:ascii="Arial" w:hAnsi="Arial" w:cs="Arial"/>
                <w:b/>
                <w:bCs/>
                <w:snapToGrid/>
              </w:rPr>
            </w:pPr>
            <w:r w:rsidRPr="004E152D">
              <w:rPr>
                <w:rFonts w:ascii="Arial" w:hAnsi="Arial" w:cs="Arial"/>
                <w:b/>
                <w:bCs/>
                <w:snapToGrid/>
              </w:rPr>
              <w:t>47 CFR 63.18(e)(3)</w:t>
            </w:r>
          </w:p>
          <w:p w:rsidR="007265E6" w:rsidRPr="004E152D" w:rsidRDefault="007265E6" w:rsidP="00187D32">
            <w:pPr>
              <w:widowControl/>
              <w:rPr>
                <w:rFonts w:ascii="Arial" w:hAnsi="Arial" w:cs="Arial"/>
                <w:b/>
                <w:bCs/>
                <w:snapToGrid/>
              </w:rPr>
            </w:pPr>
          </w:p>
          <w:p w:rsidR="007265E6" w:rsidRPr="00644F93" w:rsidRDefault="007265E6" w:rsidP="00187D32">
            <w:pPr>
              <w:widowControl/>
              <w:rPr>
                <w:rFonts w:ascii="Arial" w:hAnsi="Arial" w:cs="Arial"/>
                <w:bCs/>
                <w:snapToGrid/>
              </w:rPr>
            </w:pPr>
            <w:r w:rsidRPr="004E152D">
              <w:rPr>
                <w:rFonts w:ascii="Arial" w:hAnsi="Arial" w:cs="Arial"/>
                <w:bCs/>
                <w:snapToGrid/>
              </w:rPr>
              <w:t xml:space="preserve">Section 214 based authority to provide services not covered by 63.18(e)(1) and 63.18(e)(2). See FCC’s exclusion list at </w:t>
            </w:r>
            <w:hyperlink r:id="rId9" w:history="1">
              <w:r w:rsidRPr="00473D6B">
                <w:rPr>
                  <w:rStyle w:val="Hyperlink"/>
                  <w:rFonts w:ascii="Arial" w:hAnsi="Arial" w:cs="Arial"/>
                  <w:bCs/>
                  <w:snapToGrid/>
                </w:rPr>
                <w:t>http://www.fcc.gov/ib</w:t>
              </w:r>
            </w:hyperlink>
            <w:r w:rsidRPr="00473D6B">
              <w:rPr>
                <w:rFonts w:ascii="Arial" w:hAnsi="Arial" w:cs="Arial"/>
                <w:bCs/>
                <w:snapToGrid/>
              </w:rPr>
              <w:t xml:space="preserve">.  Applicant must certify that it will comply with conditions in 63.21 and </w:t>
            </w:r>
            <w:r w:rsidRPr="00A90261">
              <w:rPr>
                <w:rFonts w:ascii="Arial" w:hAnsi="Arial" w:cs="Arial"/>
                <w:bCs/>
                <w:snapToGrid/>
              </w:rPr>
              <w:t>63.22. If applying for facilities-base</w:t>
            </w:r>
            <w:r w:rsidRPr="00644F93">
              <w:rPr>
                <w:rFonts w:ascii="Arial" w:hAnsi="Arial" w:cs="Arial"/>
                <w:bCs/>
                <w:snapToGrid/>
              </w:rPr>
              <w:t>d authorization, must also certify that environmental assessment is not required under 47 CFR 1.1306.  See 63.18(g).</w:t>
            </w:r>
          </w:p>
          <w:p w:rsidR="007265E6" w:rsidRPr="004E152D" w:rsidRDefault="007265E6" w:rsidP="00187D32">
            <w:pPr>
              <w:widowControl/>
              <w:rPr>
                <w:rFonts w:ascii="Arial" w:hAnsi="Arial" w:cs="Arial"/>
                <w:bCs/>
                <w:snapToGrid/>
              </w:rPr>
            </w:pPr>
          </w:p>
          <w:p w:rsidR="007265E6" w:rsidRPr="004E152D" w:rsidRDefault="007265E6" w:rsidP="00187D32">
            <w:pPr>
              <w:widowControl/>
              <w:rPr>
                <w:rFonts w:ascii="Arial" w:hAnsi="Arial" w:cs="Arial"/>
                <w:bCs/>
                <w:snapToGrid/>
              </w:rPr>
            </w:pPr>
          </w:p>
          <w:p w:rsidR="007265E6" w:rsidRPr="004E152D" w:rsidRDefault="007265E6" w:rsidP="00187D32">
            <w:pPr>
              <w:widowControl/>
              <w:rPr>
                <w:rFonts w:ascii="Arial" w:hAnsi="Arial" w:cs="Arial"/>
                <w:bCs/>
                <w:snapToGrid/>
              </w:rPr>
            </w:pPr>
          </w:p>
          <w:p w:rsidR="007265E6" w:rsidRPr="004E152D" w:rsidRDefault="007265E6" w:rsidP="00187D32">
            <w:pPr>
              <w:widowControl/>
              <w:rPr>
                <w:rFonts w:ascii="Arial" w:hAnsi="Arial" w:cs="Arial"/>
                <w:b/>
                <w:bCs/>
                <w:snapToGrid/>
              </w:rPr>
            </w:pPr>
          </w:p>
        </w:tc>
        <w:tc>
          <w:tcPr>
            <w:tcW w:w="1353"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270" w:type="dxa"/>
            <w:gridSpan w:val="2"/>
            <w:tcBorders>
              <w:top w:val="single" w:sz="4" w:space="0" w:color="auto"/>
              <w:left w:val="nil"/>
              <w:bottom w:val="single" w:sz="4" w:space="0" w:color="auto"/>
              <w:right w:val="nil"/>
            </w:tcBorders>
          </w:tcPr>
          <w:p w:rsidR="007265E6" w:rsidRPr="004E152D" w:rsidRDefault="007265E6" w:rsidP="00187D32">
            <w:pPr>
              <w:widowControl/>
              <w:jc w:val="center"/>
              <w:rPr>
                <w:rFonts w:ascii="Arial" w:hAnsi="Arial" w:cs="Arial"/>
                <w:snapToGrid/>
              </w:rPr>
            </w:pPr>
          </w:p>
        </w:tc>
        <w:tc>
          <w:tcPr>
            <w:tcW w:w="274" w:type="dxa"/>
            <w:gridSpan w:val="2"/>
            <w:tcBorders>
              <w:top w:val="single" w:sz="4" w:space="0" w:color="auto"/>
              <w:left w:val="nil"/>
              <w:bottom w:val="single" w:sz="4" w:space="0" w:color="auto"/>
              <w:right w:val="nil"/>
            </w:tcBorders>
          </w:tcPr>
          <w:p w:rsidR="007265E6" w:rsidRPr="004E152D" w:rsidRDefault="007265E6" w:rsidP="00187D32">
            <w:pPr>
              <w:widowControl/>
              <w:jc w:val="center"/>
              <w:rPr>
                <w:rFonts w:ascii="Arial" w:hAnsi="Arial" w:cs="Arial"/>
                <w:snapToGrid/>
              </w:rPr>
            </w:pPr>
          </w:p>
        </w:tc>
        <w:tc>
          <w:tcPr>
            <w:tcW w:w="1342"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9</w:t>
            </w:r>
          </w:p>
        </w:tc>
        <w:tc>
          <w:tcPr>
            <w:tcW w:w="985" w:type="dxa"/>
            <w:tcBorders>
              <w:top w:val="single" w:sz="4" w:space="0" w:color="auto"/>
              <w:left w:val="nil"/>
              <w:bottom w:val="single" w:sz="4" w:space="0" w:color="auto"/>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9</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187D32">
            <w:pPr>
              <w:widowControl/>
              <w:rPr>
                <w:rFonts w:ascii="Arial" w:hAnsi="Arial" w:cs="Arial"/>
                <w:b/>
                <w:bCs/>
                <w:snapToGrid/>
              </w:rPr>
            </w:pPr>
            <w:r w:rsidRPr="004E152D">
              <w:rPr>
                <w:rFonts w:ascii="Arial" w:hAnsi="Arial" w:cs="Arial"/>
                <w:b/>
                <w:bCs/>
                <w:snapToGrid/>
              </w:rPr>
              <w:t>47 CFR 63.18(k)</w:t>
            </w:r>
          </w:p>
        </w:tc>
        <w:tc>
          <w:tcPr>
            <w:tcW w:w="1353" w:type="dxa"/>
            <w:tcBorders>
              <w:top w:val="single" w:sz="4" w:space="0" w:color="auto"/>
              <w:left w:val="nil"/>
              <w:bottom w:val="nil"/>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270" w:type="dxa"/>
            <w:gridSpan w:val="2"/>
            <w:tcBorders>
              <w:top w:val="single" w:sz="4" w:space="0" w:color="auto"/>
              <w:left w:val="nil"/>
              <w:bottom w:val="nil"/>
              <w:right w:val="nil"/>
            </w:tcBorders>
          </w:tcPr>
          <w:p w:rsidR="007265E6" w:rsidRPr="004E152D" w:rsidRDefault="007265E6" w:rsidP="00187D32">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187D32">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 hours (if no comments filed)</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187D32">
            <w:pPr>
              <w:widowControl/>
              <w:jc w:val="center"/>
              <w:rPr>
                <w:rFonts w:ascii="Arial" w:hAnsi="Arial" w:cs="Arial"/>
                <w:snapToGrid/>
              </w:rPr>
            </w:pPr>
            <w:r w:rsidRPr="004E152D">
              <w:rPr>
                <w:rFonts w:ascii="Arial" w:hAnsi="Arial" w:cs="Arial"/>
                <w:snapToGrid/>
              </w:rPr>
              <w:t>8</w:t>
            </w:r>
          </w:p>
          <w:p w:rsidR="007265E6" w:rsidRPr="004E152D" w:rsidRDefault="007265E6" w:rsidP="00187D32">
            <w:pPr>
              <w:widowControl/>
              <w:jc w:val="center"/>
              <w:rPr>
                <w:rFonts w:ascii="Arial" w:hAnsi="Arial" w:cs="Arial"/>
                <w:snapToGrid/>
              </w:rPr>
            </w:pP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1556C4">
            <w:pPr>
              <w:widowControl/>
              <w:rPr>
                <w:rFonts w:ascii="Arial" w:hAnsi="Arial" w:cs="Arial"/>
                <w:snapToGrid/>
              </w:rPr>
            </w:pPr>
            <w:r w:rsidRPr="004E152D">
              <w:rPr>
                <w:rFonts w:ascii="Arial" w:hAnsi="Arial" w:cs="Arial"/>
                <w:snapToGrid/>
              </w:rPr>
              <w:t>For any country that the applicant has listed in response to 63.18(j) of this section that is not a Member of the World Trade Organization, the applicant shall make a demonstration as to whether the foreign carrier has market power, or lacks market power, with reference to the criteria in section 63.10(a) of this chapter.</w:t>
            </w:r>
          </w:p>
          <w:p w:rsidR="007265E6" w:rsidRPr="004E152D" w:rsidRDefault="007265E6" w:rsidP="001556C4">
            <w:pPr>
              <w:widowControl/>
              <w:rPr>
                <w:rFonts w:ascii="Arial" w:hAnsi="Arial" w:cs="Arial"/>
                <w:snapToGrid/>
              </w:rPr>
            </w:pPr>
          </w:p>
          <w:p w:rsidR="007265E6" w:rsidRPr="004E152D" w:rsidRDefault="007265E6" w:rsidP="001556C4">
            <w:pPr>
              <w:widowControl/>
              <w:rPr>
                <w:rFonts w:ascii="Arial" w:hAnsi="Arial" w:cs="Arial"/>
                <w:snapToGrid/>
              </w:rPr>
            </w:pP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tcPr>
          <w:p w:rsidR="007265E6" w:rsidRPr="004E152D" w:rsidRDefault="007265E6" w:rsidP="000069C1">
            <w:pPr>
              <w:widowControl/>
              <w:jc w:val="center"/>
              <w:rPr>
                <w:rFonts w:ascii="Arial" w:hAnsi="Arial" w:cs="Arial"/>
                <w:snapToGrid/>
              </w:rPr>
            </w:pPr>
            <w:r w:rsidRPr="004E152D">
              <w:rPr>
                <w:rFonts w:ascii="Arial" w:hAnsi="Arial" w:cs="Arial"/>
                <w:snapToGrid/>
              </w:rPr>
              <w:t>8 hours (if comments filed).  This burden includes a possible, additional information request by Commission staff in the event concerns are raised.</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5E50A2">
            <w:pPr>
              <w:widowControl/>
              <w:rPr>
                <w:rFonts w:ascii="Arial" w:hAnsi="Arial" w:cs="Arial"/>
                <w:snapToGrid/>
              </w:rPr>
            </w:pPr>
            <w:r w:rsidRPr="004E152D">
              <w:rPr>
                <w:rFonts w:ascii="Arial" w:hAnsi="Arial" w:cs="Arial"/>
                <w:snapToGrid/>
              </w:rPr>
              <w:t xml:space="preserve"> </w:t>
            </w:r>
          </w:p>
          <w:p w:rsidR="007265E6" w:rsidRPr="004E152D" w:rsidRDefault="007265E6" w:rsidP="005E50A2">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vAlign w:val="bottom"/>
          </w:tcPr>
          <w:p w:rsidR="007265E6" w:rsidRPr="004E152D" w:rsidRDefault="007265E6" w:rsidP="009E4B10">
            <w:pPr>
              <w:widowControl/>
              <w:rPr>
                <w:rFonts w:ascii="Arial" w:hAnsi="Arial" w:cs="Arial"/>
                <w:b/>
                <w:snapToGrid/>
              </w:rPr>
            </w:pPr>
            <w:r w:rsidRPr="004E152D">
              <w:rPr>
                <w:rFonts w:ascii="Arial" w:hAnsi="Arial" w:cs="Arial"/>
                <w:b/>
                <w:snapToGrid/>
              </w:rPr>
              <w:t>47 CFR 63.18(m)</w:t>
            </w:r>
          </w:p>
          <w:p w:rsidR="007265E6" w:rsidRPr="004E152D" w:rsidRDefault="007265E6" w:rsidP="005E50A2">
            <w:pPr>
              <w:widowControl/>
              <w:rPr>
                <w:rFonts w:ascii="Arial" w:hAnsi="Arial" w:cs="Arial"/>
                <w:b/>
                <w:bCs/>
                <w:snapToGrid/>
              </w:rPr>
            </w:pPr>
            <w:r w:rsidRPr="004E152D">
              <w:rPr>
                <w:rFonts w:ascii="Arial" w:hAnsi="Arial" w:cs="Arial"/>
                <w:snapToGrid/>
              </w:rPr>
              <w:t xml:space="preserve"> </w:t>
            </w:r>
          </w:p>
        </w:tc>
        <w:tc>
          <w:tcPr>
            <w:tcW w:w="1353" w:type="dxa"/>
            <w:tcBorders>
              <w:top w:val="single" w:sz="4" w:space="0" w:color="auto"/>
              <w:left w:val="nil"/>
              <w:bottom w:val="nil"/>
              <w:right w:val="single" w:sz="4" w:space="0" w:color="auto"/>
            </w:tcBorders>
            <w:shd w:val="clear" w:color="auto" w:fill="auto"/>
            <w:noWrap/>
          </w:tcPr>
          <w:p w:rsidR="007265E6" w:rsidRPr="004E152D" w:rsidRDefault="007265E6" w:rsidP="00BB2E1A">
            <w:pPr>
              <w:widowControl/>
              <w:jc w:val="center"/>
              <w:rPr>
                <w:rFonts w:ascii="Arial" w:hAnsi="Arial" w:cs="Arial"/>
                <w:snapToGrid/>
              </w:rPr>
            </w:pPr>
            <w:r w:rsidRPr="004E152D">
              <w:rPr>
                <w:rFonts w:ascii="Arial" w:hAnsi="Arial" w:cs="Arial"/>
                <w:snapToGrid/>
              </w:rPr>
              <w:t>1</w:t>
            </w:r>
            <w:r w:rsidR="00BB2E1A">
              <w:rPr>
                <w:rFonts w:ascii="Arial" w:hAnsi="Arial" w:cs="Arial"/>
                <w:snapToGrid/>
              </w:rPr>
              <w:t>0</w:t>
            </w:r>
          </w:p>
        </w:tc>
        <w:tc>
          <w:tcPr>
            <w:tcW w:w="270"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617463">
            <w:pPr>
              <w:widowControl/>
              <w:jc w:val="center"/>
              <w:rPr>
                <w:rFonts w:ascii="Arial" w:hAnsi="Arial" w:cs="Arial"/>
                <w:snapToGrid/>
              </w:rPr>
            </w:pPr>
            <w:r w:rsidRPr="004E152D">
              <w:rPr>
                <w:rFonts w:ascii="Arial" w:hAnsi="Arial" w:cs="Arial"/>
                <w:snapToGrid/>
              </w:rPr>
              <w:t>2</w:t>
            </w:r>
          </w:p>
        </w:tc>
        <w:tc>
          <w:tcPr>
            <w:tcW w:w="985" w:type="dxa"/>
            <w:tcBorders>
              <w:top w:val="single" w:sz="4" w:space="0" w:color="auto"/>
              <w:left w:val="nil"/>
              <w:bottom w:val="nil"/>
              <w:right w:val="single" w:sz="4" w:space="0" w:color="auto"/>
            </w:tcBorders>
            <w:shd w:val="clear" w:color="auto" w:fill="auto"/>
            <w:noWrap/>
          </w:tcPr>
          <w:p w:rsidR="007265E6" w:rsidRPr="004E152D" w:rsidRDefault="007265E6" w:rsidP="00BB2E1A">
            <w:pPr>
              <w:widowControl/>
              <w:jc w:val="center"/>
              <w:rPr>
                <w:rFonts w:ascii="Arial" w:hAnsi="Arial" w:cs="Arial"/>
                <w:snapToGrid/>
              </w:rPr>
            </w:pPr>
            <w:r w:rsidRPr="004E152D">
              <w:rPr>
                <w:rFonts w:ascii="Arial" w:hAnsi="Arial" w:cs="Arial"/>
                <w:snapToGrid/>
              </w:rPr>
              <w:t>2</w:t>
            </w:r>
            <w:r w:rsidR="00BB2E1A">
              <w:rPr>
                <w:rFonts w:ascii="Arial" w:hAnsi="Arial" w:cs="Arial"/>
                <w:snapToGrid/>
              </w:rPr>
              <w:t>0</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tcPr>
          <w:p w:rsidR="007265E6" w:rsidRPr="004E152D" w:rsidRDefault="007265E6" w:rsidP="007649BC">
            <w:pPr>
              <w:widowControl/>
              <w:rPr>
                <w:rFonts w:ascii="Arial" w:hAnsi="Arial" w:cs="Arial"/>
                <w:snapToGrid/>
              </w:rPr>
            </w:pPr>
            <w:r w:rsidRPr="004E152D">
              <w:rPr>
                <w:rFonts w:ascii="Arial" w:hAnsi="Arial" w:cs="Arial"/>
                <w:snapToGrid/>
              </w:rPr>
              <w:t>Carrier must provide information in its application to demonstrate that it qualifies for non-dominant classification pursuant to 63.10.</w:t>
            </w: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9E4B10">
            <w:pPr>
              <w:widowControl/>
              <w:rPr>
                <w:rFonts w:ascii="Arial" w:hAnsi="Arial" w:cs="Arial"/>
                <w:snapToGrid/>
              </w:rPr>
            </w:pPr>
            <w:r w:rsidRPr="004E152D">
              <w:rPr>
                <w:rFonts w:ascii="Arial" w:hAnsi="Arial" w:cs="Arial"/>
                <w:snapToGrid/>
              </w:rPr>
              <w:t> This burden includes a possible, additional information request by Commission staff in the event concerns are raised.</w:t>
            </w:r>
          </w:p>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4625"/>
        </w:trPr>
        <w:tc>
          <w:tcPr>
            <w:tcW w:w="3830" w:type="dxa"/>
            <w:tcBorders>
              <w:top w:val="single" w:sz="4" w:space="0" w:color="auto"/>
              <w:left w:val="single" w:sz="4" w:space="0" w:color="auto"/>
              <w:bottom w:val="nil"/>
              <w:right w:val="single" w:sz="4" w:space="0" w:color="auto"/>
            </w:tcBorders>
            <w:shd w:val="clear" w:color="auto" w:fill="auto"/>
            <w:noWrap/>
          </w:tcPr>
          <w:p w:rsidR="007265E6" w:rsidRPr="004E152D" w:rsidRDefault="007265E6" w:rsidP="00D20AEC">
            <w:pPr>
              <w:widowControl/>
              <w:rPr>
                <w:rFonts w:ascii="Arial" w:hAnsi="Arial" w:cs="Arial"/>
                <w:b/>
                <w:bCs/>
                <w:snapToGrid/>
              </w:rPr>
            </w:pPr>
            <w:r w:rsidRPr="004E152D">
              <w:rPr>
                <w:rFonts w:ascii="Arial" w:hAnsi="Arial" w:cs="Arial"/>
                <w:b/>
                <w:bCs/>
                <w:snapToGrid/>
              </w:rPr>
              <w:t xml:space="preserve">47 CFR 63.19(a)(1) and (a)(2) </w:t>
            </w:r>
          </w:p>
          <w:p w:rsidR="007265E6" w:rsidRPr="004E152D" w:rsidRDefault="007265E6" w:rsidP="00C86E73">
            <w:pPr>
              <w:widowControl/>
              <w:jc w:val="center"/>
              <w:rPr>
                <w:rFonts w:ascii="Arial" w:hAnsi="Arial" w:cs="Arial"/>
                <w:b/>
                <w:bCs/>
                <w:snapToGrid/>
              </w:rPr>
            </w:pPr>
          </w:p>
          <w:p w:rsidR="007265E6" w:rsidRPr="004E152D" w:rsidRDefault="007265E6" w:rsidP="00CD732D">
            <w:pPr>
              <w:widowControl/>
              <w:rPr>
                <w:rFonts w:ascii="Arial" w:hAnsi="Arial" w:cs="Arial"/>
                <w:snapToGrid/>
              </w:rPr>
            </w:pPr>
            <w:r w:rsidRPr="004E152D">
              <w:rPr>
                <w:rFonts w:ascii="Arial" w:hAnsi="Arial" w:cs="Arial"/>
                <w:bCs/>
                <w:snapToGrid/>
              </w:rPr>
              <w:t xml:space="preserve">Any international carrier that </w:t>
            </w:r>
            <w:r w:rsidRPr="004E152D">
              <w:rPr>
                <w:rFonts w:ascii="Arial" w:hAnsi="Arial" w:cs="Arial"/>
                <w:snapToGrid/>
              </w:rPr>
              <w:t>seeks</w:t>
            </w:r>
            <w:r w:rsidRPr="004E152D">
              <w:rPr>
                <w:rFonts w:ascii="Arial" w:hAnsi="Arial" w:cs="Arial"/>
                <w:bCs/>
                <w:snapToGrid/>
              </w:rPr>
              <w:t xml:space="preserve"> to discontinue, reduce or impair service, including the retiring of international facilities, dismantling, or removing of international trunk lines shall notify affected customers at least 30 days prior to planned action and file a copy of notification with the FCC.</w:t>
            </w:r>
          </w:p>
          <w:p w:rsidR="007265E6" w:rsidRPr="004E152D" w:rsidRDefault="007265E6" w:rsidP="00CD732D">
            <w:pPr>
              <w:rPr>
                <w:rFonts w:ascii="Arial" w:hAnsi="Arial" w:cs="Arial"/>
                <w:snapToGrid/>
              </w:rPr>
            </w:pPr>
          </w:p>
        </w:tc>
        <w:tc>
          <w:tcPr>
            <w:tcW w:w="1353" w:type="dxa"/>
            <w:tcBorders>
              <w:top w:val="single" w:sz="4" w:space="0" w:color="auto"/>
              <w:left w:val="nil"/>
              <w:bottom w:val="nil"/>
              <w:right w:val="single" w:sz="4" w:space="0" w:color="auto"/>
            </w:tcBorders>
            <w:shd w:val="clear" w:color="auto" w:fill="auto"/>
            <w:noWrap/>
          </w:tcPr>
          <w:p w:rsidR="007265E6" w:rsidRPr="004E152D" w:rsidRDefault="00BB2E1A" w:rsidP="00C86E73">
            <w:pPr>
              <w:widowControl/>
              <w:jc w:val="center"/>
              <w:rPr>
                <w:rFonts w:ascii="Arial" w:hAnsi="Arial" w:cs="Arial"/>
                <w:snapToGrid/>
              </w:rPr>
            </w:pPr>
            <w:r>
              <w:rPr>
                <w:rFonts w:ascii="Arial" w:hAnsi="Arial" w:cs="Arial"/>
                <w:snapToGrid/>
              </w:rPr>
              <w:t>20</w:t>
            </w:r>
          </w:p>
        </w:tc>
        <w:tc>
          <w:tcPr>
            <w:tcW w:w="270"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tcPr>
          <w:p w:rsidR="007265E6" w:rsidRPr="004E152D" w:rsidRDefault="007265E6">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tcPr>
          <w:p w:rsidR="007265E6" w:rsidRPr="004E152D" w:rsidRDefault="007265E6" w:rsidP="00C86E73">
            <w:pPr>
              <w:widowControl/>
              <w:jc w:val="center"/>
              <w:rPr>
                <w:rFonts w:ascii="Arial" w:hAnsi="Arial" w:cs="Arial"/>
                <w:snapToGrid/>
              </w:rPr>
            </w:pPr>
            <w:r w:rsidRPr="004E152D">
              <w:rPr>
                <w:rFonts w:ascii="Arial" w:hAnsi="Arial" w:cs="Arial"/>
                <w:snapToGrid/>
              </w:rPr>
              <w:t>2</w:t>
            </w:r>
          </w:p>
        </w:tc>
        <w:tc>
          <w:tcPr>
            <w:tcW w:w="985" w:type="dxa"/>
            <w:tcBorders>
              <w:top w:val="single" w:sz="4" w:space="0" w:color="auto"/>
              <w:left w:val="nil"/>
              <w:bottom w:val="nil"/>
              <w:right w:val="single" w:sz="4" w:space="0" w:color="auto"/>
            </w:tcBorders>
            <w:shd w:val="clear" w:color="auto" w:fill="auto"/>
            <w:noWrap/>
          </w:tcPr>
          <w:p w:rsidR="007265E6" w:rsidRPr="004E152D" w:rsidRDefault="00BB2E1A" w:rsidP="00C86E73">
            <w:pPr>
              <w:widowControl/>
              <w:jc w:val="center"/>
              <w:rPr>
                <w:rFonts w:ascii="Arial" w:hAnsi="Arial" w:cs="Arial"/>
                <w:snapToGrid/>
              </w:rPr>
            </w:pPr>
            <w:r>
              <w:rPr>
                <w:rFonts w:ascii="Arial" w:hAnsi="Arial" w:cs="Arial"/>
                <w:snapToGrid/>
              </w:rPr>
              <w:t>40</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b/>
                <w:bCs/>
                <w:snapToGrid/>
              </w:rPr>
              <w:t>47 CFR 63.19(b)</w:t>
            </w:r>
          </w:p>
        </w:tc>
        <w:tc>
          <w:tcPr>
            <w:tcW w:w="1353"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1</w:t>
            </w:r>
          </w:p>
        </w:tc>
        <w:tc>
          <w:tcPr>
            <w:tcW w:w="270"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4</w:t>
            </w:r>
          </w:p>
        </w:tc>
        <w:tc>
          <w:tcPr>
            <w:tcW w:w="985" w:type="dxa"/>
            <w:tcBorders>
              <w:top w:val="nil"/>
              <w:left w:val="nil"/>
              <w:bottom w:val="nil"/>
              <w:right w:val="single" w:sz="4" w:space="0" w:color="auto"/>
            </w:tcBorders>
            <w:shd w:val="clear" w:color="auto" w:fill="auto"/>
            <w:noWrap/>
          </w:tcPr>
          <w:p w:rsidR="007265E6" w:rsidRPr="004E152D" w:rsidRDefault="007265E6" w:rsidP="00EC3136">
            <w:pPr>
              <w:widowControl/>
              <w:jc w:val="center"/>
              <w:rPr>
                <w:rFonts w:ascii="Arial" w:hAnsi="Arial" w:cs="Arial"/>
                <w:snapToGrid/>
              </w:rPr>
            </w:pPr>
            <w:r w:rsidRPr="004E152D">
              <w:rPr>
                <w:rFonts w:ascii="Arial" w:hAnsi="Arial" w:cs="Arial"/>
                <w:snapToGrid/>
              </w:rPr>
              <w:t>4</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95214C">
            <w:pPr>
              <w:widowControl/>
              <w:rPr>
                <w:rFonts w:ascii="Arial" w:hAnsi="Arial" w:cs="Arial"/>
                <w:snapToGrid/>
              </w:rPr>
            </w:pPr>
          </w:p>
          <w:p w:rsidR="007265E6" w:rsidRPr="004E152D" w:rsidRDefault="007265E6" w:rsidP="00A05C2C">
            <w:pPr>
              <w:widowControl/>
              <w:rPr>
                <w:rFonts w:ascii="Arial" w:hAnsi="Arial" w:cs="Arial"/>
                <w:snapToGrid/>
              </w:rPr>
            </w:pPr>
            <w:r w:rsidRPr="004E152D">
              <w:rPr>
                <w:rFonts w:ascii="Arial" w:hAnsi="Arial" w:cs="Arial"/>
                <w:snapToGrid/>
              </w:rPr>
              <w:t>If a carrier classified as dominant discontinues, reduces or impairs the dominant service, or retires facilities that impair or reduce the service, the carrier shall file an application pursuant to sections 63.62 and 63.500.</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AE7E38">
            <w:pPr>
              <w:widowControl/>
              <w:rPr>
                <w:rFonts w:ascii="Arial" w:hAnsi="Arial" w:cs="Arial"/>
                <w:snapToGrid/>
              </w:rPr>
            </w:pPr>
          </w:p>
        </w:tc>
        <w:tc>
          <w:tcPr>
            <w:tcW w:w="274" w:type="dxa"/>
            <w:gridSpan w:val="2"/>
            <w:tcBorders>
              <w:top w:val="nil"/>
              <w:left w:val="nil"/>
              <w:bottom w:val="nil"/>
              <w:right w:val="nil"/>
            </w:tcBorders>
          </w:tcPr>
          <w:p w:rsidR="007265E6" w:rsidRPr="004E152D" w:rsidRDefault="007265E6" w:rsidP="00AE7E38">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AE7E38">
            <w:pPr>
              <w:widowControl/>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63.21(a)</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BB2E1A" w:rsidP="00617463">
            <w:pPr>
              <w:widowControl/>
              <w:jc w:val="center"/>
              <w:rPr>
                <w:rFonts w:ascii="Arial" w:hAnsi="Arial" w:cs="Arial"/>
                <w:snapToGrid/>
              </w:rPr>
            </w:pPr>
            <w:r>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BB2E1A" w:rsidP="00617463">
            <w:pPr>
              <w:widowControl/>
              <w:jc w:val="center"/>
              <w:rPr>
                <w:rFonts w:ascii="Arial" w:hAnsi="Arial" w:cs="Arial"/>
                <w:snapToGrid/>
              </w:rPr>
            </w:pPr>
            <w:r>
              <w:rPr>
                <w:rFonts w:ascii="Arial" w:hAnsi="Arial" w:cs="Arial"/>
                <w:snapToGrid/>
              </w:rPr>
              <w:t>1</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95214C">
            <w:pPr>
              <w:widowControl/>
              <w:rPr>
                <w:rFonts w:ascii="Arial" w:hAnsi="Arial" w:cs="Arial"/>
                <w:snapToGrid/>
              </w:rPr>
            </w:pPr>
            <w:r w:rsidRPr="004E152D">
              <w:rPr>
                <w:rFonts w:ascii="Arial" w:hAnsi="Arial" w:cs="Arial"/>
                <w:snapToGrid/>
              </w:rPr>
              <w:t>Conditions applicable to all common carriers. Each carrier is responsible for accuracy of certifications in its section 214 application.  Each carrier is responsible for filing a corrected certification within 30 days with a reference to the original FCC file number.  The information may be used by the Commission to determine whether a change in regulatory status is warranted under section 63.10.  See also section 63.11.</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63.21(e) and (f)</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p>
          <w:p w:rsidR="007265E6" w:rsidRPr="004E152D" w:rsidRDefault="007265E6" w:rsidP="00D83D23">
            <w:pPr>
              <w:widowControl/>
              <w:rPr>
                <w:rFonts w:ascii="Arial" w:hAnsi="Arial" w:cs="Arial"/>
                <w:snapToGrid/>
              </w:rPr>
            </w:pPr>
            <w:r w:rsidRPr="004E152D">
              <w:rPr>
                <w:rFonts w:ascii="Arial" w:hAnsi="Arial" w:cs="Arial"/>
                <w:bCs/>
                <w:snapToGrid/>
              </w:rPr>
              <w:t>Third party disclosure requirement.  A carrier may not access or use customer proprietary network information derived from a foreign network unless the carrier obtains approval from the customer.  Authorized carriers may not receive proprietary or confidential information pertaining to a competing U.S. carrier, obtained by the foreign carrier unless the competing U.S. carrier provides its permission in writing.</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b/>
                <w:bCs/>
                <w:snapToGrid/>
              </w:rPr>
            </w:pPr>
            <w:r w:rsidRPr="004E152D">
              <w:rPr>
                <w:rFonts w:ascii="Arial" w:hAnsi="Arial" w:cs="Arial"/>
                <w:b/>
                <w:bCs/>
                <w:snapToGrid/>
              </w:rPr>
              <w:t>47 CFR 63.21(h)</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20</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p w:rsidR="007265E6" w:rsidRPr="004E152D" w:rsidRDefault="007265E6" w:rsidP="004226FA">
            <w:pPr>
              <w:widowControl/>
              <w:rPr>
                <w:rFonts w:ascii="Arial" w:hAnsi="Arial" w:cs="Arial"/>
                <w:bCs/>
                <w:snapToGrid/>
              </w:rPr>
            </w:pPr>
            <w:r w:rsidRPr="004E152D">
              <w:rPr>
                <w:rFonts w:ascii="Arial" w:hAnsi="Arial" w:cs="Arial"/>
                <w:snapToGrid/>
              </w:rPr>
              <w:t>Provision of service through wholly-owned direct or indirect subsidiaries.  An authorized carrier must provide a notification to the Commission within 30 days after the subsidiary begins providing service.  The carrier must provide its FCC file number and identify the subsidiary’s name and place of legal organization.</w:t>
            </w: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Default="007265E6" w:rsidP="00617463">
            <w:pPr>
              <w:widowControl/>
              <w:rPr>
                <w:rFonts w:ascii="Arial" w:hAnsi="Arial" w:cs="Arial"/>
                <w:b/>
                <w:bCs/>
                <w:snapToGrid/>
              </w:rPr>
            </w:pPr>
            <w:r w:rsidRPr="004E152D">
              <w:rPr>
                <w:rFonts w:ascii="Arial" w:hAnsi="Arial" w:cs="Arial"/>
                <w:b/>
                <w:bCs/>
                <w:snapToGrid/>
              </w:rPr>
              <w:t>47 CFR 63.21(i)</w:t>
            </w:r>
          </w:p>
          <w:p w:rsidR="002F0B4B" w:rsidRPr="004E152D" w:rsidRDefault="002F0B4B" w:rsidP="00617463">
            <w:pPr>
              <w:widowControl/>
              <w:rPr>
                <w:rFonts w:ascii="Arial" w:hAnsi="Arial" w:cs="Arial"/>
                <w:b/>
                <w:bCs/>
                <w:snapToGrid/>
              </w:rPr>
            </w:pP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25</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25</w:t>
            </w:r>
          </w:p>
        </w:tc>
      </w:tr>
      <w:tr w:rsidR="007265E6"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7265E6" w:rsidRPr="004E152D" w:rsidRDefault="007265E6" w:rsidP="00561A0B">
            <w:pPr>
              <w:widowControl/>
              <w:rPr>
                <w:rFonts w:ascii="Arial" w:hAnsi="Arial" w:cs="Arial"/>
                <w:snapToGrid/>
              </w:rPr>
            </w:pPr>
            <w:r w:rsidRPr="004E152D">
              <w:rPr>
                <w:rFonts w:ascii="Arial" w:hAnsi="Arial" w:cs="Arial"/>
                <w:snapToGrid/>
              </w:rPr>
              <w:t xml:space="preserve">An authorized carrier or a subsidiary operating pursuant to 63.21(h) must notify the Commission within 30 days of a name change and reference FCC file numbers under which the carrier’s authorizations were granted. </w:t>
            </w:r>
          </w:p>
          <w:p w:rsidR="00824980" w:rsidRPr="004E152D" w:rsidRDefault="00824980" w:rsidP="00561A0B">
            <w:pPr>
              <w:widowControl/>
              <w:rPr>
                <w:rFonts w:ascii="Arial" w:hAnsi="Arial" w:cs="Arial"/>
                <w:snapToGrid/>
              </w:rPr>
            </w:pPr>
          </w:p>
          <w:p w:rsidR="00824980" w:rsidRPr="004E152D" w:rsidRDefault="00824980" w:rsidP="00561A0B">
            <w:pPr>
              <w:widowControl/>
              <w:rPr>
                <w:rFonts w:ascii="Arial" w:hAnsi="Arial" w:cs="Arial"/>
                <w:snapToGrid/>
              </w:rPr>
            </w:pPr>
          </w:p>
        </w:tc>
        <w:tc>
          <w:tcPr>
            <w:tcW w:w="1353"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nil"/>
              <w:left w:val="nil"/>
              <w:bottom w:val="nil"/>
              <w:right w:val="nil"/>
            </w:tcBorders>
          </w:tcPr>
          <w:p w:rsidR="007265E6" w:rsidRPr="004E152D" w:rsidRDefault="007265E6"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2F0B4B"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2F0B4B" w:rsidRDefault="002F0B4B" w:rsidP="002F0B4B">
            <w:pPr>
              <w:widowControl/>
              <w:rPr>
                <w:rFonts w:ascii="Arial" w:hAnsi="Arial" w:cs="Arial"/>
                <w:b/>
                <w:bCs/>
                <w:snapToGrid/>
              </w:rPr>
            </w:pPr>
            <w:r w:rsidRPr="004E152D">
              <w:rPr>
                <w:rFonts w:ascii="Arial" w:hAnsi="Arial" w:cs="Arial"/>
                <w:b/>
                <w:bCs/>
                <w:snapToGrid/>
              </w:rPr>
              <w:t>47 CFR 63.2</w:t>
            </w:r>
            <w:r>
              <w:rPr>
                <w:rFonts w:ascii="Arial" w:hAnsi="Arial" w:cs="Arial"/>
                <w:b/>
                <w:bCs/>
                <w:snapToGrid/>
              </w:rPr>
              <w:t>2(h</w:t>
            </w:r>
            <w:r w:rsidRPr="004E152D">
              <w:rPr>
                <w:rFonts w:ascii="Arial" w:hAnsi="Arial" w:cs="Arial"/>
                <w:b/>
                <w:bCs/>
                <w:snapToGrid/>
              </w:rPr>
              <w:t>)</w:t>
            </w:r>
          </w:p>
          <w:p w:rsidR="002F0B4B" w:rsidRPr="004E152D" w:rsidRDefault="002F0B4B" w:rsidP="002F0B4B">
            <w:pPr>
              <w:widowControl/>
              <w:rPr>
                <w:rFonts w:ascii="Arial" w:hAnsi="Arial" w:cs="Arial"/>
                <w:snapToGrid/>
              </w:rPr>
            </w:pPr>
            <w:r>
              <w:rPr>
                <w:rFonts w:ascii="Arial" w:hAnsi="Arial" w:cs="Arial"/>
                <w:bCs/>
                <w:snapToGrid/>
              </w:rPr>
              <w:t>A facilities-based carrier shall file and maintain a list of U.S.-international routes for which it has an arrangement with a foreign carrier for direct termination in the foreign destination</w:t>
            </w:r>
            <w:r w:rsidR="006F2623">
              <w:rPr>
                <w:rFonts w:ascii="Arial" w:hAnsi="Arial" w:cs="Arial"/>
                <w:bCs/>
                <w:snapToGrid/>
              </w:rPr>
              <w:t xml:space="preserve"> (A carrier will make a one-time filing and update as needed) </w:t>
            </w:r>
          </w:p>
        </w:tc>
        <w:tc>
          <w:tcPr>
            <w:tcW w:w="1353" w:type="dxa"/>
            <w:tcBorders>
              <w:top w:val="nil"/>
              <w:left w:val="nil"/>
              <w:bottom w:val="nil"/>
              <w:right w:val="single" w:sz="4" w:space="0" w:color="auto"/>
            </w:tcBorders>
            <w:shd w:val="clear" w:color="auto" w:fill="auto"/>
            <w:noWrap/>
            <w:vAlign w:val="bottom"/>
          </w:tcPr>
          <w:p w:rsidR="002F0B4B" w:rsidRPr="004E152D" w:rsidRDefault="006801CD" w:rsidP="00102FED">
            <w:pPr>
              <w:widowControl/>
              <w:jc w:val="center"/>
              <w:rPr>
                <w:rFonts w:ascii="Arial" w:hAnsi="Arial" w:cs="Arial"/>
                <w:snapToGrid/>
              </w:rPr>
            </w:pPr>
            <w:r>
              <w:rPr>
                <w:rFonts w:ascii="Arial" w:hAnsi="Arial" w:cs="Arial"/>
                <w:snapToGrid/>
              </w:rPr>
              <w:t>55</w:t>
            </w:r>
          </w:p>
        </w:tc>
        <w:tc>
          <w:tcPr>
            <w:tcW w:w="270" w:type="dxa"/>
            <w:gridSpan w:val="2"/>
            <w:tcBorders>
              <w:top w:val="nil"/>
              <w:left w:val="nil"/>
              <w:bottom w:val="nil"/>
              <w:right w:val="nil"/>
            </w:tcBorders>
          </w:tcPr>
          <w:p w:rsidR="002F0B4B" w:rsidRPr="004E152D" w:rsidRDefault="002F0B4B" w:rsidP="00617463">
            <w:pPr>
              <w:widowControl/>
              <w:jc w:val="center"/>
              <w:rPr>
                <w:rFonts w:ascii="Arial" w:hAnsi="Arial" w:cs="Arial"/>
                <w:snapToGrid/>
              </w:rPr>
            </w:pPr>
          </w:p>
        </w:tc>
        <w:tc>
          <w:tcPr>
            <w:tcW w:w="274" w:type="dxa"/>
            <w:gridSpan w:val="2"/>
            <w:tcBorders>
              <w:top w:val="nil"/>
              <w:left w:val="nil"/>
              <w:bottom w:val="nil"/>
              <w:right w:val="nil"/>
            </w:tcBorders>
          </w:tcPr>
          <w:p w:rsidR="002F0B4B" w:rsidRPr="004E152D" w:rsidRDefault="002F0B4B"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2F0B4B" w:rsidRPr="004E152D" w:rsidRDefault="006801CD" w:rsidP="00617463">
            <w:pPr>
              <w:widowControl/>
              <w:jc w:val="center"/>
              <w:rPr>
                <w:rFonts w:ascii="Arial" w:hAnsi="Arial" w:cs="Arial"/>
                <w:snapToGrid/>
              </w:rPr>
            </w:pPr>
            <w:r>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2F0B4B" w:rsidRPr="004E152D" w:rsidRDefault="006801CD" w:rsidP="00102FED">
            <w:pPr>
              <w:widowControl/>
              <w:jc w:val="center"/>
              <w:rPr>
                <w:rFonts w:ascii="Arial" w:hAnsi="Arial" w:cs="Arial"/>
                <w:snapToGrid/>
              </w:rPr>
            </w:pPr>
            <w:r>
              <w:rPr>
                <w:rFonts w:ascii="Arial" w:hAnsi="Arial" w:cs="Arial"/>
                <w:snapToGrid/>
              </w:rPr>
              <w:t>2</w:t>
            </w:r>
          </w:p>
        </w:tc>
        <w:tc>
          <w:tcPr>
            <w:tcW w:w="985" w:type="dxa"/>
            <w:tcBorders>
              <w:top w:val="nil"/>
              <w:left w:val="nil"/>
              <w:bottom w:val="nil"/>
              <w:right w:val="single" w:sz="4" w:space="0" w:color="auto"/>
            </w:tcBorders>
            <w:shd w:val="clear" w:color="auto" w:fill="auto"/>
            <w:noWrap/>
            <w:vAlign w:val="bottom"/>
          </w:tcPr>
          <w:p w:rsidR="002F0B4B" w:rsidRPr="004E152D" w:rsidRDefault="006801CD" w:rsidP="00102FED">
            <w:pPr>
              <w:widowControl/>
              <w:jc w:val="center"/>
              <w:rPr>
                <w:rFonts w:ascii="Arial" w:hAnsi="Arial" w:cs="Arial"/>
                <w:snapToGrid/>
              </w:rPr>
            </w:pPr>
            <w:r>
              <w:rPr>
                <w:rFonts w:ascii="Arial" w:hAnsi="Arial" w:cs="Arial"/>
                <w:snapToGrid/>
              </w:rPr>
              <w:t>110</w:t>
            </w:r>
          </w:p>
        </w:tc>
      </w:tr>
      <w:tr w:rsidR="00F23B3D"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F23B3D" w:rsidRDefault="00F23B3D" w:rsidP="00F23B3D">
            <w:pPr>
              <w:widowControl/>
              <w:rPr>
                <w:rFonts w:ascii="Arial" w:hAnsi="Arial" w:cs="Arial"/>
                <w:bCs/>
                <w:snapToGrid/>
              </w:rPr>
            </w:pPr>
            <w:r>
              <w:rPr>
                <w:rFonts w:ascii="Arial" w:hAnsi="Arial" w:cs="Arial"/>
                <w:bCs/>
                <w:snapToGrid/>
              </w:rPr>
              <w:t>.</w:t>
            </w:r>
          </w:p>
          <w:p w:rsidR="00F23B3D" w:rsidRDefault="00F23B3D" w:rsidP="00F23B3D">
            <w:pPr>
              <w:widowControl/>
              <w:rPr>
                <w:rFonts w:ascii="Arial" w:hAnsi="Arial" w:cs="Arial"/>
                <w:bCs/>
                <w:snapToGrid/>
              </w:rPr>
            </w:pPr>
          </w:p>
          <w:p w:rsidR="00F23B3D" w:rsidRDefault="00F23B3D" w:rsidP="00F23B3D">
            <w:pPr>
              <w:widowControl/>
              <w:rPr>
                <w:rFonts w:ascii="Arial" w:hAnsi="Arial" w:cs="Arial"/>
                <w:bCs/>
                <w:snapToGrid/>
              </w:rPr>
            </w:pPr>
          </w:p>
          <w:p w:rsidR="00F23B3D" w:rsidRPr="00F23B3D" w:rsidRDefault="00F23B3D" w:rsidP="00F23B3D">
            <w:pPr>
              <w:widowControl/>
              <w:rPr>
                <w:rFonts w:ascii="Arial" w:hAnsi="Arial" w:cs="Arial"/>
                <w:bCs/>
                <w:snapToGrid/>
              </w:rPr>
            </w:pPr>
            <w:r>
              <w:rPr>
                <w:rFonts w:ascii="Arial" w:hAnsi="Arial" w:cs="Arial"/>
                <w:bCs/>
                <w:snapToGrid/>
              </w:rPr>
              <w:t xml:space="preserve">The Commission may issue a targeted data request based on the list of routes filed by the facilities-based carriers. </w:t>
            </w:r>
          </w:p>
        </w:tc>
        <w:tc>
          <w:tcPr>
            <w:tcW w:w="1353" w:type="dxa"/>
            <w:tcBorders>
              <w:top w:val="nil"/>
              <w:left w:val="nil"/>
              <w:bottom w:val="nil"/>
              <w:right w:val="single" w:sz="4" w:space="0" w:color="auto"/>
            </w:tcBorders>
            <w:shd w:val="clear" w:color="auto" w:fill="auto"/>
            <w:noWrap/>
            <w:vAlign w:val="bottom"/>
          </w:tcPr>
          <w:p w:rsidR="00F23B3D" w:rsidRPr="004E152D" w:rsidRDefault="006801CD" w:rsidP="00102FED">
            <w:pPr>
              <w:widowControl/>
              <w:jc w:val="center"/>
              <w:rPr>
                <w:rFonts w:ascii="Arial" w:hAnsi="Arial" w:cs="Arial"/>
                <w:snapToGrid/>
              </w:rPr>
            </w:pPr>
            <w:r>
              <w:rPr>
                <w:rFonts w:ascii="Arial" w:hAnsi="Arial" w:cs="Arial"/>
                <w:snapToGrid/>
              </w:rPr>
              <w:t>10</w:t>
            </w:r>
          </w:p>
        </w:tc>
        <w:tc>
          <w:tcPr>
            <w:tcW w:w="270" w:type="dxa"/>
            <w:gridSpan w:val="2"/>
            <w:tcBorders>
              <w:top w:val="nil"/>
              <w:left w:val="nil"/>
              <w:bottom w:val="nil"/>
              <w:right w:val="nil"/>
            </w:tcBorders>
          </w:tcPr>
          <w:p w:rsidR="00F23B3D" w:rsidRPr="004E152D" w:rsidRDefault="00F23B3D" w:rsidP="00617463">
            <w:pPr>
              <w:widowControl/>
              <w:jc w:val="center"/>
              <w:rPr>
                <w:rFonts w:ascii="Arial" w:hAnsi="Arial" w:cs="Arial"/>
                <w:snapToGrid/>
              </w:rPr>
            </w:pPr>
          </w:p>
        </w:tc>
        <w:tc>
          <w:tcPr>
            <w:tcW w:w="274" w:type="dxa"/>
            <w:gridSpan w:val="2"/>
            <w:tcBorders>
              <w:top w:val="nil"/>
              <w:left w:val="nil"/>
              <w:bottom w:val="nil"/>
              <w:right w:val="nil"/>
            </w:tcBorders>
          </w:tcPr>
          <w:p w:rsidR="00F23B3D" w:rsidRPr="004E152D" w:rsidRDefault="00F23B3D" w:rsidP="00617463">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F23B3D" w:rsidRPr="004E152D" w:rsidRDefault="006801CD" w:rsidP="00617463">
            <w:pPr>
              <w:widowControl/>
              <w:jc w:val="center"/>
              <w:rPr>
                <w:rFonts w:ascii="Arial" w:hAnsi="Arial" w:cs="Arial"/>
                <w:snapToGrid/>
              </w:rPr>
            </w:pPr>
            <w:r>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F23B3D" w:rsidRPr="004E152D" w:rsidRDefault="006801CD" w:rsidP="00102FED">
            <w:pPr>
              <w:widowControl/>
              <w:jc w:val="center"/>
              <w:rPr>
                <w:rFonts w:ascii="Arial" w:hAnsi="Arial" w:cs="Arial"/>
                <w:snapToGrid/>
              </w:rPr>
            </w:pPr>
            <w:r>
              <w:rPr>
                <w:rFonts w:ascii="Arial" w:hAnsi="Arial" w:cs="Arial"/>
                <w:snapToGrid/>
              </w:rPr>
              <w:t>20</w:t>
            </w:r>
          </w:p>
        </w:tc>
        <w:tc>
          <w:tcPr>
            <w:tcW w:w="985" w:type="dxa"/>
            <w:tcBorders>
              <w:top w:val="nil"/>
              <w:left w:val="nil"/>
              <w:bottom w:val="nil"/>
              <w:right w:val="single" w:sz="4" w:space="0" w:color="auto"/>
            </w:tcBorders>
            <w:shd w:val="clear" w:color="auto" w:fill="auto"/>
            <w:noWrap/>
            <w:vAlign w:val="bottom"/>
          </w:tcPr>
          <w:p w:rsidR="00F23B3D" w:rsidRPr="004E152D" w:rsidRDefault="006801CD" w:rsidP="00102FED">
            <w:pPr>
              <w:widowControl/>
              <w:jc w:val="center"/>
              <w:rPr>
                <w:rFonts w:ascii="Arial" w:hAnsi="Arial" w:cs="Arial"/>
                <w:snapToGrid/>
              </w:rPr>
            </w:pPr>
            <w:r>
              <w:rPr>
                <w:rFonts w:ascii="Arial" w:hAnsi="Arial" w:cs="Arial"/>
                <w:snapToGrid/>
              </w:rPr>
              <w:t>200</w:t>
            </w:r>
          </w:p>
        </w:tc>
      </w:tr>
      <w:tr w:rsidR="007265E6" w:rsidRPr="004E152D" w:rsidTr="00E20FF9">
        <w:trPr>
          <w:trHeight w:val="328"/>
        </w:trPr>
        <w:tc>
          <w:tcPr>
            <w:tcW w:w="3830" w:type="dxa"/>
            <w:tcBorders>
              <w:top w:val="nil"/>
              <w:left w:val="single" w:sz="4" w:space="0" w:color="auto"/>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274" w:type="dxa"/>
            <w:gridSpan w:val="2"/>
            <w:tcBorders>
              <w:top w:val="nil"/>
              <w:left w:val="nil"/>
              <w:bottom w:val="single" w:sz="4" w:space="0" w:color="auto"/>
              <w:right w:val="nil"/>
            </w:tcBorders>
          </w:tcPr>
          <w:p w:rsidR="007265E6" w:rsidRPr="004E152D" w:rsidRDefault="007265E6" w:rsidP="00617463">
            <w:pPr>
              <w:widowControl/>
              <w:rPr>
                <w:rFonts w:ascii="Arial" w:hAnsi="Arial" w:cs="Arial"/>
                <w:snapToGrid/>
              </w:rPr>
            </w:pPr>
          </w:p>
        </w:tc>
        <w:tc>
          <w:tcPr>
            <w:tcW w:w="1342"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7265E6" w:rsidRPr="004E152D" w:rsidRDefault="007265E6" w:rsidP="00617463">
            <w:pPr>
              <w:widowControl/>
              <w:rPr>
                <w:rFonts w:ascii="Arial" w:hAnsi="Arial" w:cs="Arial"/>
                <w:snapToGrid/>
              </w:rPr>
            </w:pPr>
            <w:r w:rsidRPr="004E152D">
              <w:rPr>
                <w:rFonts w:ascii="Arial" w:hAnsi="Arial" w:cs="Arial"/>
                <w:snapToGrid/>
              </w:rPr>
              <w:t> </w:t>
            </w:r>
          </w:p>
        </w:tc>
      </w:tr>
      <w:tr w:rsidR="007265E6" w:rsidRPr="004E152D" w:rsidTr="00862A78">
        <w:trPr>
          <w:trHeight w:val="328"/>
        </w:trPr>
        <w:tc>
          <w:tcPr>
            <w:tcW w:w="3830" w:type="dxa"/>
            <w:tcBorders>
              <w:top w:val="single" w:sz="4" w:space="0" w:color="auto"/>
              <w:left w:val="single" w:sz="4" w:space="0" w:color="auto"/>
              <w:right w:val="single" w:sz="4" w:space="0" w:color="auto"/>
            </w:tcBorders>
            <w:shd w:val="clear" w:color="auto" w:fill="auto"/>
            <w:noWrap/>
            <w:vAlign w:val="bottom"/>
          </w:tcPr>
          <w:p w:rsidR="007265E6" w:rsidRPr="004E152D" w:rsidRDefault="007265E6" w:rsidP="004C45F8">
            <w:pPr>
              <w:widowControl/>
              <w:rPr>
                <w:rFonts w:ascii="Arial" w:hAnsi="Arial" w:cs="Arial"/>
                <w:b/>
                <w:bCs/>
                <w:snapToGrid/>
              </w:rPr>
            </w:pPr>
            <w:r w:rsidRPr="004E152D">
              <w:rPr>
                <w:rFonts w:ascii="Arial" w:hAnsi="Arial" w:cs="Arial"/>
                <w:b/>
                <w:snapToGrid/>
              </w:rPr>
              <w:t xml:space="preserve">47 CFR 63.24 (e)(1), (e)(2) </w:t>
            </w:r>
          </w:p>
        </w:tc>
        <w:tc>
          <w:tcPr>
            <w:tcW w:w="1353" w:type="dxa"/>
            <w:tcBorders>
              <w:top w:val="single" w:sz="4" w:space="0" w:color="auto"/>
              <w:left w:val="nil"/>
              <w:right w:val="single" w:sz="4" w:space="0" w:color="auto"/>
            </w:tcBorders>
            <w:shd w:val="clear" w:color="auto" w:fill="auto"/>
            <w:noWrap/>
            <w:vAlign w:val="bottom"/>
          </w:tcPr>
          <w:p w:rsidR="007265E6" w:rsidRPr="004E152D" w:rsidRDefault="00E6468F" w:rsidP="00617463">
            <w:pPr>
              <w:widowControl/>
              <w:jc w:val="center"/>
              <w:rPr>
                <w:rFonts w:ascii="Arial" w:hAnsi="Arial" w:cs="Arial"/>
                <w:snapToGrid/>
              </w:rPr>
            </w:pPr>
            <w:r>
              <w:rPr>
                <w:rFonts w:ascii="Arial" w:hAnsi="Arial" w:cs="Arial"/>
                <w:snapToGrid/>
              </w:rPr>
              <w:t>80</w:t>
            </w:r>
          </w:p>
        </w:tc>
        <w:tc>
          <w:tcPr>
            <w:tcW w:w="270" w:type="dxa"/>
            <w:gridSpan w:val="2"/>
            <w:tcBorders>
              <w:top w:val="single" w:sz="4" w:space="0" w:color="auto"/>
              <w:left w:val="nil"/>
              <w:right w:val="nil"/>
            </w:tcBorders>
          </w:tcPr>
          <w:p w:rsidR="007265E6" w:rsidRPr="004E152D" w:rsidRDefault="007265E6" w:rsidP="00617463">
            <w:pPr>
              <w:widowControl/>
              <w:jc w:val="center"/>
              <w:rPr>
                <w:rFonts w:ascii="Arial" w:hAnsi="Arial" w:cs="Arial"/>
                <w:snapToGrid/>
              </w:rPr>
            </w:pPr>
          </w:p>
        </w:tc>
        <w:tc>
          <w:tcPr>
            <w:tcW w:w="274" w:type="dxa"/>
            <w:gridSpan w:val="2"/>
            <w:tcBorders>
              <w:top w:val="single" w:sz="4" w:space="0" w:color="auto"/>
              <w:left w:val="nil"/>
              <w:right w:val="nil"/>
            </w:tcBorders>
          </w:tcPr>
          <w:p w:rsidR="007265E6" w:rsidRPr="004E152D" w:rsidRDefault="007265E6" w:rsidP="00617463">
            <w:pPr>
              <w:widowControl/>
              <w:jc w:val="center"/>
              <w:rPr>
                <w:rFonts w:ascii="Arial" w:hAnsi="Arial" w:cs="Arial"/>
                <w:snapToGrid/>
              </w:rPr>
            </w:pPr>
          </w:p>
        </w:tc>
        <w:tc>
          <w:tcPr>
            <w:tcW w:w="1342" w:type="dxa"/>
            <w:tcBorders>
              <w:top w:val="single" w:sz="4" w:space="0" w:color="auto"/>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right w:val="single" w:sz="4" w:space="0" w:color="auto"/>
            </w:tcBorders>
            <w:shd w:val="clear" w:color="auto" w:fill="auto"/>
            <w:noWrap/>
            <w:vAlign w:val="bottom"/>
          </w:tcPr>
          <w:p w:rsidR="007265E6" w:rsidRPr="004E152D" w:rsidRDefault="007265E6" w:rsidP="00617463">
            <w:pPr>
              <w:widowControl/>
              <w:jc w:val="center"/>
              <w:rPr>
                <w:rFonts w:ascii="Arial" w:hAnsi="Arial" w:cs="Arial"/>
                <w:snapToGrid/>
              </w:rPr>
            </w:pPr>
            <w:r w:rsidRPr="004E152D">
              <w:rPr>
                <w:rFonts w:ascii="Arial" w:hAnsi="Arial" w:cs="Arial"/>
                <w:snapToGrid/>
              </w:rPr>
              <w:t>9</w:t>
            </w:r>
          </w:p>
        </w:tc>
        <w:tc>
          <w:tcPr>
            <w:tcW w:w="985" w:type="dxa"/>
            <w:tcBorders>
              <w:top w:val="single" w:sz="4" w:space="0" w:color="auto"/>
              <w:left w:val="nil"/>
              <w:right w:val="single" w:sz="4" w:space="0" w:color="auto"/>
            </w:tcBorders>
            <w:shd w:val="clear" w:color="auto" w:fill="auto"/>
            <w:noWrap/>
            <w:vAlign w:val="bottom"/>
          </w:tcPr>
          <w:p w:rsidR="007265E6" w:rsidRPr="004E152D" w:rsidRDefault="00E6468F" w:rsidP="00617463">
            <w:pPr>
              <w:widowControl/>
              <w:jc w:val="center"/>
              <w:rPr>
                <w:rFonts w:ascii="Arial" w:hAnsi="Arial" w:cs="Arial"/>
                <w:snapToGrid/>
              </w:rPr>
            </w:pPr>
            <w:r>
              <w:rPr>
                <w:rFonts w:ascii="Arial" w:hAnsi="Arial" w:cs="Arial"/>
                <w:snapToGrid/>
              </w:rPr>
              <w:t>720</w:t>
            </w:r>
          </w:p>
        </w:tc>
      </w:tr>
      <w:tr w:rsidR="00862A78" w:rsidRPr="004E152D" w:rsidTr="00862A78">
        <w:trPr>
          <w:trHeight w:val="328"/>
        </w:trPr>
        <w:tc>
          <w:tcPr>
            <w:tcW w:w="3830" w:type="dxa"/>
            <w:tcBorders>
              <w:top w:val="nil"/>
              <w:left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snapToGrid/>
              </w:rPr>
            </w:pPr>
            <w:r w:rsidRPr="004E152D">
              <w:rPr>
                <w:rFonts w:ascii="Arial" w:hAnsi="Arial" w:cs="Arial"/>
                <w:snapToGrid/>
              </w:rPr>
              <w:t>Assignments and Transfers of Control for substantial transactions.</w:t>
            </w:r>
          </w:p>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snapToGrid/>
              </w:rPr>
            </w:pPr>
            <w:r w:rsidRPr="004E152D">
              <w:rPr>
                <w:rFonts w:ascii="Arial" w:hAnsi="Arial" w:cs="Arial"/>
                <w:snapToGrid/>
              </w:rPr>
              <w:t xml:space="preserve">Applications for substantial transactions.  Under 63.24(a), a carrier must apply to the Commission prior to assigning or transferring its international section 214 authorization to another party, whether voluntarily or involuntarily, directly or indirectly.   The application shall include a narrative of the proposed transfer or assignment and information contained in certain sections of 63.18, as specified in 63.24(e)(2).  The assignee or transferee must notify the Commission no later than 30 days after consummation of the proposed assignment or transfer of control.    </w:t>
            </w:r>
          </w:p>
        </w:tc>
        <w:tc>
          <w:tcPr>
            <w:tcW w:w="1353" w:type="dxa"/>
            <w:tcBorders>
              <w:top w:val="nil"/>
              <w:left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270" w:type="dxa"/>
            <w:gridSpan w:val="2"/>
            <w:tcBorders>
              <w:top w:val="nil"/>
              <w:left w:val="single" w:sz="4" w:space="0" w:color="auto"/>
            </w:tcBorders>
          </w:tcPr>
          <w:p w:rsidR="00862A78" w:rsidRPr="004E152D" w:rsidRDefault="00862A78" w:rsidP="00862A78">
            <w:pPr>
              <w:widowControl/>
              <w:jc w:val="center"/>
              <w:rPr>
                <w:rFonts w:ascii="Arial" w:hAnsi="Arial" w:cs="Arial"/>
                <w:snapToGrid/>
              </w:rPr>
            </w:pPr>
          </w:p>
        </w:tc>
        <w:tc>
          <w:tcPr>
            <w:tcW w:w="274" w:type="dxa"/>
            <w:gridSpan w:val="2"/>
            <w:tcBorders>
              <w:top w:val="nil"/>
            </w:tcBorders>
          </w:tcPr>
          <w:p w:rsidR="00862A78" w:rsidRPr="004E152D" w:rsidRDefault="00862A78" w:rsidP="00862A78">
            <w:pPr>
              <w:widowControl/>
              <w:jc w:val="center"/>
              <w:rPr>
                <w:rFonts w:ascii="Arial" w:hAnsi="Arial" w:cs="Arial"/>
                <w:snapToGrid/>
              </w:rPr>
            </w:pPr>
          </w:p>
        </w:tc>
        <w:tc>
          <w:tcPr>
            <w:tcW w:w="1342" w:type="dxa"/>
            <w:tcBorders>
              <w:top w:val="nil"/>
              <w:left w:val="nil"/>
              <w:right w:val="single" w:sz="4" w:space="0" w:color="auto"/>
            </w:tcBorders>
            <w:shd w:val="clear" w:color="auto" w:fill="auto"/>
            <w:noWrap/>
          </w:tcPr>
          <w:p w:rsidR="00862A78" w:rsidRPr="004E152D" w:rsidRDefault="00862A78" w:rsidP="00862A78">
            <w:pPr>
              <w:widowControl/>
              <w:jc w:val="center"/>
              <w:rPr>
                <w:rFonts w:ascii="Arial" w:hAnsi="Arial" w:cs="Arial"/>
                <w:snapToGrid/>
              </w:rPr>
            </w:pPr>
          </w:p>
        </w:tc>
        <w:tc>
          <w:tcPr>
            <w:tcW w:w="1427" w:type="dxa"/>
            <w:tcBorders>
              <w:top w:val="nil"/>
              <w:left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985" w:type="dxa"/>
            <w:tcBorders>
              <w:top w:val="nil"/>
              <w:left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r>
      <w:tr w:rsidR="00862A78" w:rsidRPr="004E152D" w:rsidTr="00E20FF9">
        <w:trPr>
          <w:trHeight w:val="328"/>
        </w:trPr>
        <w:tc>
          <w:tcPr>
            <w:tcW w:w="3830" w:type="dxa"/>
            <w:tcBorders>
              <w:left w:val="single" w:sz="4" w:space="0" w:color="auto"/>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1353" w:type="dxa"/>
            <w:tcBorders>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270" w:type="dxa"/>
            <w:gridSpan w:val="2"/>
            <w:tcBorders>
              <w:left w:val="nil"/>
              <w:bottom w:val="single" w:sz="4" w:space="0" w:color="auto"/>
              <w:right w:val="nil"/>
            </w:tcBorders>
          </w:tcPr>
          <w:p w:rsidR="00862A78" w:rsidRPr="004E152D" w:rsidRDefault="00862A78" w:rsidP="00862A78">
            <w:pPr>
              <w:widowControl/>
              <w:rPr>
                <w:rFonts w:ascii="Arial" w:hAnsi="Arial" w:cs="Arial"/>
                <w:snapToGrid/>
              </w:rPr>
            </w:pPr>
          </w:p>
        </w:tc>
        <w:tc>
          <w:tcPr>
            <w:tcW w:w="274" w:type="dxa"/>
            <w:gridSpan w:val="2"/>
            <w:tcBorders>
              <w:left w:val="nil"/>
              <w:bottom w:val="single" w:sz="4" w:space="0" w:color="auto"/>
              <w:right w:val="nil"/>
            </w:tcBorders>
          </w:tcPr>
          <w:p w:rsidR="00862A78" w:rsidRPr="004E152D" w:rsidRDefault="00862A78" w:rsidP="00862A78">
            <w:pPr>
              <w:widowControl/>
              <w:rPr>
                <w:rFonts w:ascii="Arial" w:hAnsi="Arial" w:cs="Arial"/>
                <w:snapToGrid/>
              </w:rPr>
            </w:pPr>
          </w:p>
        </w:tc>
        <w:tc>
          <w:tcPr>
            <w:tcW w:w="1342" w:type="dxa"/>
            <w:tcBorders>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1427" w:type="dxa"/>
            <w:tcBorders>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985" w:type="dxa"/>
            <w:tcBorders>
              <w:left w:val="nil"/>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r>
      <w:tr w:rsidR="00862A78"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snapToGrid/>
              </w:rPr>
            </w:pPr>
            <w:r w:rsidRPr="004E152D">
              <w:rPr>
                <w:rFonts w:ascii="Arial" w:hAnsi="Arial" w:cs="Arial"/>
                <w:b/>
                <w:bCs/>
                <w:snapToGrid/>
              </w:rPr>
              <w:t>47 CFR 63.24(f)(1), (f)(2)</w:t>
            </w:r>
          </w:p>
        </w:tc>
        <w:tc>
          <w:tcPr>
            <w:tcW w:w="1353" w:type="dxa"/>
            <w:tcBorders>
              <w:top w:val="nil"/>
              <w:left w:val="nil"/>
              <w:bottom w:val="nil"/>
              <w:right w:val="single" w:sz="4" w:space="0" w:color="auto"/>
            </w:tcBorders>
            <w:shd w:val="clear" w:color="auto" w:fill="auto"/>
            <w:noWrap/>
            <w:vAlign w:val="bottom"/>
          </w:tcPr>
          <w:p w:rsidR="00862A78" w:rsidRPr="004E152D" w:rsidRDefault="00E6468F" w:rsidP="00862A78">
            <w:pPr>
              <w:widowControl/>
              <w:jc w:val="center"/>
              <w:rPr>
                <w:rFonts w:ascii="Arial" w:hAnsi="Arial" w:cs="Arial"/>
                <w:snapToGrid/>
              </w:rPr>
            </w:pPr>
            <w:r>
              <w:rPr>
                <w:rFonts w:ascii="Arial" w:hAnsi="Arial" w:cs="Arial"/>
                <w:snapToGrid/>
              </w:rPr>
              <w:t>110</w:t>
            </w:r>
          </w:p>
        </w:tc>
        <w:tc>
          <w:tcPr>
            <w:tcW w:w="270"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74"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1</w:t>
            </w: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3</w:t>
            </w:r>
          </w:p>
        </w:tc>
        <w:tc>
          <w:tcPr>
            <w:tcW w:w="985" w:type="dxa"/>
            <w:tcBorders>
              <w:top w:val="nil"/>
              <w:left w:val="nil"/>
              <w:bottom w:val="nil"/>
              <w:right w:val="single" w:sz="4" w:space="0" w:color="auto"/>
            </w:tcBorders>
            <w:shd w:val="clear" w:color="auto" w:fill="auto"/>
            <w:noWrap/>
            <w:vAlign w:val="bottom"/>
          </w:tcPr>
          <w:p w:rsidR="00862A78" w:rsidRPr="004E152D" w:rsidRDefault="00E6468F" w:rsidP="00862A78">
            <w:pPr>
              <w:widowControl/>
              <w:jc w:val="center"/>
              <w:rPr>
                <w:rFonts w:ascii="Arial" w:hAnsi="Arial" w:cs="Arial"/>
                <w:snapToGrid/>
              </w:rPr>
            </w:pPr>
            <w:r>
              <w:rPr>
                <w:rFonts w:ascii="Arial" w:hAnsi="Arial" w:cs="Arial"/>
                <w:snapToGrid/>
              </w:rPr>
              <w:t>330</w:t>
            </w:r>
          </w:p>
        </w:tc>
      </w:tr>
      <w:tr w:rsidR="00862A78"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p>
          <w:p w:rsidR="00862A78" w:rsidRPr="004E152D" w:rsidRDefault="00862A78" w:rsidP="00862A78">
            <w:pPr>
              <w:widowControl/>
              <w:rPr>
                <w:rFonts w:ascii="Arial" w:hAnsi="Arial" w:cs="Arial"/>
                <w:snapToGrid/>
              </w:rPr>
            </w:pPr>
            <w:r w:rsidRPr="004E152D">
              <w:rPr>
                <w:rFonts w:ascii="Arial" w:hAnsi="Arial" w:cs="Arial"/>
                <w:bCs/>
                <w:snapToGrid/>
              </w:rPr>
              <w:t>Assignments and Transfers for non-substantial, or pro forma transactions.</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74"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r>
      <w:tr w:rsidR="00862A78"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p>
          <w:p w:rsidR="00862A78" w:rsidRPr="004E152D" w:rsidRDefault="00862A78" w:rsidP="00862A78">
            <w:pPr>
              <w:widowControl/>
              <w:rPr>
                <w:rFonts w:ascii="Arial" w:hAnsi="Arial" w:cs="Arial"/>
                <w:snapToGrid/>
              </w:rPr>
            </w:pPr>
            <w:r w:rsidRPr="004E152D">
              <w:rPr>
                <w:rFonts w:ascii="Arial" w:hAnsi="Arial" w:cs="Arial"/>
                <w:bCs/>
                <w:snapToGrid/>
              </w:rPr>
              <w:t>Notifications for pro forma transactions.  A carrier that is subject to a pro forma assignment or transfer of control is not required to seek prior Commission approval before assigning or transferring its section 214 authorization, but must file a notification with the Commission no later than 30 days after the assignment or transfer is completed.  The notification must include a certification that the transfer of control was pro forma and does not result in a change in the actual controlling party.  T</w:t>
            </w:r>
            <w:r w:rsidRPr="004E152D">
              <w:rPr>
                <w:rFonts w:ascii="Arial" w:hAnsi="Arial" w:cs="Arial"/>
                <w:snapToGrid/>
              </w:rPr>
              <w:t>he notification must also include information contained in certain sections of 63.18, as specified in 63.24(f)(2)(i).</w:t>
            </w:r>
          </w:p>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snapToGrid/>
              </w:rPr>
            </w:pPr>
            <w:r w:rsidRPr="004E152D">
              <w:rPr>
                <w:rFonts w:ascii="Arial" w:hAnsi="Arial" w:cs="Arial"/>
                <w:snapToGrid/>
              </w:rPr>
              <w:t xml:space="preserve">  </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862A78" w:rsidRPr="004E152D" w:rsidRDefault="00862A78" w:rsidP="00862A78">
            <w:pPr>
              <w:widowControl/>
              <w:rPr>
                <w:rFonts w:ascii="Arial" w:hAnsi="Arial" w:cs="Arial"/>
                <w:snapToGrid/>
              </w:rPr>
            </w:pPr>
          </w:p>
        </w:tc>
        <w:tc>
          <w:tcPr>
            <w:tcW w:w="274" w:type="dxa"/>
            <w:gridSpan w:val="2"/>
            <w:tcBorders>
              <w:top w:val="nil"/>
              <w:left w:val="nil"/>
              <w:bottom w:val="nil"/>
              <w:right w:val="nil"/>
            </w:tcBorders>
          </w:tcPr>
          <w:p w:rsidR="00862A78" w:rsidRPr="004E152D" w:rsidRDefault="00862A78" w:rsidP="00862A78">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r>
      <w:tr w:rsidR="00862A78" w:rsidRPr="004E152D" w:rsidTr="00E20FF9">
        <w:trPr>
          <w:trHeight w:val="328"/>
        </w:trPr>
        <w:tc>
          <w:tcPr>
            <w:tcW w:w="3830" w:type="dxa"/>
            <w:tcBorders>
              <w:top w:val="single" w:sz="4" w:space="0" w:color="auto"/>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r w:rsidRPr="004E152D">
              <w:rPr>
                <w:rFonts w:ascii="Arial" w:hAnsi="Arial" w:cs="Arial"/>
                <w:b/>
                <w:bCs/>
                <w:snapToGrid/>
              </w:rPr>
              <w:t>47 CFR 63.25</w:t>
            </w:r>
          </w:p>
        </w:tc>
        <w:tc>
          <w:tcPr>
            <w:tcW w:w="1353" w:type="dxa"/>
            <w:tcBorders>
              <w:top w:val="single" w:sz="4" w:space="0" w:color="auto"/>
              <w:left w:val="nil"/>
              <w:bottom w:val="nil"/>
              <w:right w:val="single" w:sz="4" w:space="0" w:color="auto"/>
            </w:tcBorders>
            <w:shd w:val="clear" w:color="auto" w:fill="auto"/>
            <w:noWrap/>
            <w:vAlign w:val="bottom"/>
          </w:tcPr>
          <w:p w:rsidR="00862A78" w:rsidRPr="004E152D" w:rsidRDefault="00BB2E1A" w:rsidP="00862A78">
            <w:pPr>
              <w:widowControl/>
              <w:jc w:val="center"/>
              <w:rPr>
                <w:rFonts w:ascii="Arial" w:hAnsi="Arial" w:cs="Arial"/>
                <w:snapToGrid/>
              </w:rPr>
            </w:pPr>
            <w:r>
              <w:rPr>
                <w:rFonts w:ascii="Arial" w:hAnsi="Arial" w:cs="Arial"/>
                <w:snapToGrid/>
              </w:rPr>
              <w:t>20</w:t>
            </w:r>
          </w:p>
        </w:tc>
        <w:tc>
          <w:tcPr>
            <w:tcW w:w="270" w:type="dxa"/>
            <w:gridSpan w:val="2"/>
            <w:tcBorders>
              <w:top w:val="single" w:sz="4" w:space="0" w:color="auto"/>
              <w:left w:val="nil"/>
              <w:bottom w:val="nil"/>
              <w:right w:val="nil"/>
            </w:tcBorders>
          </w:tcPr>
          <w:p w:rsidR="00862A78" w:rsidRPr="004E152D" w:rsidRDefault="00862A78" w:rsidP="00862A78">
            <w:pPr>
              <w:widowControl/>
              <w:jc w:val="center"/>
              <w:rPr>
                <w:rFonts w:ascii="Arial" w:hAnsi="Arial" w:cs="Arial"/>
                <w:snapToGrid/>
              </w:rPr>
            </w:pPr>
          </w:p>
        </w:tc>
        <w:tc>
          <w:tcPr>
            <w:tcW w:w="274" w:type="dxa"/>
            <w:gridSpan w:val="2"/>
            <w:tcBorders>
              <w:top w:val="single" w:sz="4" w:space="0" w:color="auto"/>
              <w:left w:val="nil"/>
              <w:bottom w:val="nil"/>
              <w:right w:val="nil"/>
            </w:tcBorders>
          </w:tcPr>
          <w:p w:rsidR="00862A78" w:rsidRPr="004E152D" w:rsidRDefault="00862A78" w:rsidP="00862A78">
            <w:pPr>
              <w:widowControl/>
              <w:jc w:val="center"/>
              <w:rPr>
                <w:rFonts w:ascii="Arial" w:hAnsi="Arial" w:cs="Arial"/>
                <w:snapToGrid/>
              </w:rPr>
            </w:pPr>
          </w:p>
        </w:tc>
        <w:tc>
          <w:tcPr>
            <w:tcW w:w="1342" w:type="dxa"/>
            <w:tcBorders>
              <w:top w:val="single" w:sz="4" w:space="0" w:color="auto"/>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1</w:t>
            </w:r>
          </w:p>
        </w:tc>
        <w:tc>
          <w:tcPr>
            <w:tcW w:w="1427" w:type="dxa"/>
            <w:tcBorders>
              <w:top w:val="single" w:sz="4" w:space="0" w:color="auto"/>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2</w:t>
            </w:r>
          </w:p>
        </w:tc>
        <w:tc>
          <w:tcPr>
            <w:tcW w:w="985" w:type="dxa"/>
            <w:tcBorders>
              <w:top w:val="single" w:sz="4" w:space="0" w:color="auto"/>
              <w:left w:val="nil"/>
              <w:bottom w:val="nil"/>
              <w:right w:val="single" w:sz="4" w:space="0" w:color="auto"/>
            </w:tcBorders>
            <w:shd w:val="clear" w:color="auto" w:fill="auto"/>
            <w:noWrap/>
            <w:vAlign w:val="bottom"/>
          </w:tcPr>
          <w:p w:rsidR="00862A78" w:rsidRPr="004E152D" w:rsidRDefault="00BB2E1A" w:rsidP="00862A78">
            <w:pPr>
              <w:widowControl/>
              <w:jc w:val="center"/>
              <w:rPr>
                <w:rFonts w:ascii="Arial" w:hAnsi="Arial" w:cs="Arial"/>
                <w:snapToGrid/>
              </w:rPr>
            </w:pPr>
            <w:r>
              <w:rPr>
                <w:rFonts w:ascii="Arial" w:hAnsi="Arial" w:cs="Arial"/>
                <w:snapToGrid/>
              </w:rPr>
              <w:t>40</w:t>
            </w:r>
          </w:p>
        </w:tc>
      </w:tr>
      <w:tr w:rsidR="00862A78"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p>
          <w:p w:rsidR="00862A78" w:rsidRPr="004E152D" w:rsidRDefault="00862A78" w:rsidP="00862A78">
            <w:pPr>
              <w:widowControl/>
              <w:rPr>
                <w:rFonts w:ascii="Arial" w:hAnsi="Arial" w:cs="Arial"/>
                <w:bCs/>
                <w:snapToGrid/>
              </w:rPr>
            </w:pPr>
            <w:r w:rsidRPr="004E152D">
              <w:rPr>
                <w:rFonts w:ascii="Arial" w:hAnsi="Arial" w:cs="Arial"/>
                <w:bCs/>
                <w:snapToGrid/>
              </w:rPr>
              <w:t xml:space="preserve">Request for special temporary authority or emergency service.  </w:t>
            </w:r>
          </w:p>
          <w:p w:rsidR="00862A78" w:rsidRPr="004E152D" w:rsidRDefault="00862A78" w:rsidP="00862A78">
            <w:pPr>
              <w:widowControl/>
              <w:rPr>
                <w:rFonts w:ascii="Arial" w:hAnsi="Arial" w:cs="Arial"/>
                <w:bCs/>
                <w:snapToGrid/>
              </w:rPr>
            </w:pPr>
          </w:p>
          <w:p w:rsidR="00862A78" w:rsidRPr="004E152D" w:rsidRDefault="00862A78" w:rsidP="00862A78">
            <w:pPr>
              <w:widowControl/>
              <w:rPr>
                <w:rFonts w:ascii="Arial" w:hAnsi="Arial" w:cs="Arial"/>
                <w:bCs/>
                <w:snapToGrid/>
              </w:rPr>
            </w:pPr>
            <w:r w:rsidRPr="004E152D">
              <w:rPr>
                <w:rFonts w:ascii="Arial" w:hAnsi="Arial" w:cs="Arial"/>
                <w:bCs/>
                <w:snapToGrid/>
              </w:rPr>
              <w:t>Applicants must file a request with the Commission stating why temporary authority or emergency service is required, along with the type of facilities proposed to be used, and the services to be provided.  Temporary service shall mean service for a period not exceeding 6 months.</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74"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r>
      <w:tr w:rsidR="00862A78" w:rsidRPr="004E152D" w:rsidTr="00E20FF9">
        <w:trPr>
          <w:trHeight w:val="328"/>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p w:rsidR="00862A78" w:rsidRPr="004E152D" w:rsidRDefault="00862A78" w:rsidP="00862A78">
            <w:pPr>
              <w:widowControl/>
              <w:rPr>
                <w:rFonts w:ascii="Arial" w:hAnsi="Arial" w:cs="Arial"/>
                <w:bCs/>
                <w:snapToGrid/>
              </w:rPr>
            </w:pPr>
            <w:r w:rsidRPr="004E152D">
              <w:rPr>
                <w:rFonts w:ascii="Arial" w:hAnsi="Arial" w:cs="Arial"/>
                <w:snapToGrid/>
              </w:rPr>
              <w:t>A carrier may request continuing authority to provide temporary or emergency service by the construction or installation of facilities where the costs do not exceed $35,000 or an annual rental of not more than $7,000.  If granted, the carrier shall, not later than the 30</w:t>
            </w:r>
            <w:r w:rsidRPr="004E152D">
              <w:rPr>
                <w:rFonts w:ascii="Arial" w:hAnsi="Arial" w:cs="Arial"/>
                <w:snapToGrid/>
                <w:vertAlign w:val="superscript"/>
              </w:rPr>
              <w:t>th</w:t>
            </w:r>
            <w:r w:rsidRPr="004E152D">
              <w:rPr>
                <w:rFonts w:ascii="Arial" w:hAnsi="Arial" w:cs="Arial"/>
                <w:snapToGrid/>
              </w:rPr>
              <w:t xml:space="preserve"> day following the end of each 6-month period covered by such authority, file a statement setting forth the type of facility, the cost and the dates of commencement of the project.</w:t>
            </w: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270" w:type="dxa"/>
            <w:gridSpan w:val="2"/>
            <w:tcBorders>
              <w:top w:val="nil"/>
              <w:left w:val="nil"/>
              <w:bottom w:val="nil"/>
              <w:right w:val="nil"/>
            </w:tcBorders>
          </w:tcPr>
          <w:p w:rsidR="00862A78" w:rsidRPr="004E152D" w:rsidRDefault="00862A78" w:rsidP="00862A78">
            <w:pPr>
              <w:widowControl/>
              <w:rPr>
                <w:rFonts w:ascii="Arial" w:hAnsi="Arial" w:cs="Arial"/>
                <w:snapToGrid/>
              </w:rPr>
            </w:pPr>
          </w:p>
        </w:tc>
        <w:tc>
          <w:tcPr>
            <w:tcW w:w="274" w:type="dxa"/>
            <w:gridSpan w:val="2"/>
            <w:tcBorders>
              <w:top w:val="nil"/>
              <w:left w:val="nil"/>
              <w:bottom w:val="nil"/>
              <w:right w:val="nil"/>
            </w:tcBorders>
          </w:tcPr>
          <w:p w:rsidR="00862A78" w:rsidRPr="004E152D" w:rsidRDefault="00862A78" w:rsidP="00862A78">
            <w:pPr>
              <w:widowControl/>
              <w:rPr>
                <w:rFonts w:ascii="Arial" w:hAnsi="Arial" w:cs="Arial"/>
                <w:snapToGrid/>
              </w:rPr>
            </w:pPr>
          </w:p>
        </w:tc>
        <w:tc>
          <w:tcPr>
            <w:tcW w:w="1342"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r w:rsidRPr="004E152D">
              <w:rPr>
                <w:rFonts w:ascii="Arial" w:hAnsi="Arial" w:cs="Arial"/>
                <w:snapToGrid/>
              </w:rPr>
              <w:t> </w:t>
            </w:r>
          </w:p>
        </w:tc>
      </w:tr>
      <w:tr w:rsidR="00862A78" w:rsidRPr="004E152D" w:rsidTr="00E20FF9">
        <w:tblPrEx>
          <w:tblCellMar>
            <w:left w:w="108" w:type="dxa"/>
            <w:right w:w="108" w:type="dxa"/>
          </w:tblCellMar>
        </w:tblPrEx>
        <w:trPr>
          <w:trHeight w:val="179"/>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230" w:type="dxa"/>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22"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r>
      <w:tr w:rsidR="00862A78" w:rsidRPr="004E152D" w:rsidTr="00E20FF9">
        <w:tblPrEx>
          <w:tblCellMar>
            <w:left w:w="108" w:type="dxa"/>
            <w:right w:w="108" w:type="dxa"/>
          </w:tblCellMar>
        </w:tblPrEx>
        <w:trPr>
          <w:trHeight w:val="255"/>
        </w:trPr>
        <w:tc>
          <w:tcPr>
            <w:tcW w:w="3830" w:type="dxa"/>
            <w:tcBorders>
              <w:top w:val="nil"/>
              <w:left w:val="single" w:sz="4" w:space="0" w:color="auto"/>
              <w:bottom w:val="nil"/>
              <w:right w:val="single" w:sz="4" w:space="0" w:color="auto"/>
            </w:tcBorders>
            <w:shd w:val="clear" w:color="auto" w:fill="auto"/>
            <w:noWrap/>
            <w:vAlign w:val="bottom"/>
          </w:tcPr>
          <w:p w:rsidR="00862A78" w:rsidRPr="004E152D" w:rsidRDefault="00862A78" w:rsidP="00862A78">
            <w:pPr>
              <w:widowControl/>
              <w:rPr>
                <w:rFonts w:ascii="Arial" w:hAnsi="Arial" w:cs="Arial"/>
                <w:b/>
                <w:bCs/>
                <w:snapToGrid/>
              </w:rPr>
            </w:pPr>
          </w:p>
        </w:tc>
        <w:tc>
          <w:tcPr>
            <w:tcW w:w="1353"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230" w:type="dxa"/>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222" w:type="dxa"/>
            <w:gridSpan w:val="2"/>
            <w:tcBorders>
              <w:top w:val="nil"/>
              <w:left w:val="nil"/>
              <w:bottom w:val="nil"/>
              <w:right w:val="nil"/>
            </w:tcBorders>
          </w:tcPr>
          <w:p w:rsidR="00862A78" w:rsidRPr="004E152D" w:rsidRDefault="00862A78" w:rsidP="00862A78">
            <w:pPr>
              <w:widowControl/>
              <w:jc w:val="center"/>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985" w:type="dxa"/>
            <w:tcBorders>
              <w:top w:val="nil"/>
              <w:left w:val="nil"/>
              <w:bottom w:val="nil"/>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r>
      <w:tr w:rsidR="00862A78" w:rsidRPr="004E152D" w:rsidTr="00E20FF9">
        <w:tblPrEx>
          <w:tblCellMar>
            <w:left w:w="108" w:type="dxa"/>
            <w:right w:w="108" w:type="dxa"/>
          </w:tblCellMar>
        </w:tblPrEx>
        <w:trPr>
          <w:trHeight w:val="255"/>
        </w:trPr>
        <w:tc>
          <w:tcPr>
            <w:tcW w:w="3830" w:type="dxa"/>
            <w:tcBorders>
              <w:top w:val="nil"/>
              <w:left w:val="single" w:sz="4" w:space="0" w:color="auto"/>
              <w:bottom w:val="single" w:sz="4" w:space="0" w:color="auto"/>
              <w:right w:val="single" w:sz="4" w:space="0" w:color="auto"/>
            </w:tcBorders>
            <w:shd w:val="clear" w:color="auto" w:fill="auto"/>
            <w:noWrap/>
            <w:vAlign w:val="bottom"/>
          </w:tcPr>
          <w:p w:rsidR="00862A78" w:rsidRPr="004E152D" w:rsidRDefault="00862A78" w:rsidP="00862A78">
            <w:pPr>
              <w:widowControl/>
              <w:rPr>
                <w:rFonts w:ascii="Arial" w:hAnsi="Arial" w:cs="Arial"/>
                <w:snapToGrid/>
              </w:rPr>
            </w:pPr>
          </w:p>
        </w:tc>
        <w:tc>
          <w:tcPr>
            <w:tcW w:w="1353" w:type="dxa"/>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230" w:type="dxa"/>
            <w:tcBorders>
              <w:top w:val="nil"/>
              <w:left w:val="nil"/>
              <w:bottom w:val="single" w:sz="4" w:space="0" w:color="auto"/>
              <w:right w:val="nil"/>
            </w:tcBorders>
          </w:tcPr>
          <w:p w:rsidR="00862A78" w:rsidRPr="004E152D" w:rsidRDefault="00862A78" w:rsidP="00862A78">
            <w:pPr>
              <w:widowControl/>
              <w:jc w:val="center"/>
              <w:rPr>
                <w:rFonts w:ascii="Arial" w:hAnsi="Arial" w:cs="Arial"/>
                <w:snapToGrid/>
              </w:rPr>
            </w:pPr>
          </w:p>
        </w:tc>
        <w:tc>
          <w:tcPr>
            <w:tcW w:w="222" w:type="dxa"/>
            <w:gridSpan w:val="2"/>
            <w:tcBorders>
              <w:top w:val="nil"/>
              <w:left w:val="nil"/>
              <w:bottom w:val="single" w:sz="4" w:space="0" w:color="auto"/>
              <w:right w:val="nil"/>
            </w:tcBorders>
          </w:tcPr>
          <w:p w:rsidR="00862A78" w:rsidRPr="004E152D" w:rsidRDefault="00862A78" w:rsidP="00862A78">
            <w:pPr>
              <w:widowControl/>
              <w:jc w:val="center"/>
              <w:rPr>
                <w:rFonts w:ascii="Arial" w:hAnsi="Arial" w:cs="Arial"/>
                <w:snapToGrid/>
              </w:rPr>
            </w:pPr>
          </w:p>
        </w:tc>
        <w:tc>
          <w:tcPr>
            <w:tcW w:w="1434" w:type="dxa"/>
            <w:gridSpan w:val="2"/>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1427" w:type="dxa"/>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c>
          <w:tcPr>
            <w:tcW w:w="985" w:type="dxa"/>
            <w:tcBorders>
              <w:top w:val="nil"/>
              <w:left w:val="nil"/>
              <w:bottom w:val="single" w:sz="4" w:space="0" w:color="auto"/>
              <w:right w:val="single" w:sz="4" w:space="0" w:color="auto"/>
            </w:tcBorders>
            <w:shd w:val="clear" w:color="auto" w:fill="auto"/>
            <w:noWrap/>
            <w:vAlign w:val="bottom"/>
          </w:tcPr>
          <w:p w:rsidR="00862A78" w:rsidRPr="004E152D" w:rsidRDefault="00862A78" w:rsidP="00862A78">
            <w:pPr>
              <w:widowControl/>
              <w:jc w:val="center"/>
              <w:rPr>
                <w:rFonts w:ascii="Arial" w:hAnsi="Arial" w:cs="Arial"/>
                <w:snapToGrid/>
              </w:rPr>
            </w:pPr>
            <w:r w:rsidRPr="004E152D">
              <w:rPr>
                <w:rFonts w:ascii="Arial" w:hAnsi="Arial" w:cs="Arial"/>
                <w:snapToGrid/>
              </w:rPr>
              <w:t> </w:t>
            </w:r>
          </w:p>
        </w:tc>
      </w:tr>
      <w:tr w:rsidR="00102FED" w:rsidRPr="004E152D" w:rsidTr="00E20FF9">
        <w:tblPrEx>
          <w:tblCellMar>
            <w:left w:w="108" w:type="dxa"/>
            <w:right w:w="108" w:type="dxa"/>
          </w:tblCellMar>
        </w:tblPrEx>
        <w:trPr>
          <w:trHeight w:val="255"/>
        </w:trPr>
        <w:tc>
          <w:tcPr>
            <w:tcW w:w="3830" w:type="dxa"/>
            <w:tcBorders>
              <w:top w:val="nil"/>
              <w:left w:val="single" w:sz="4" w:space="0" w:color="auto"/>
              <w:bottom w:val="nil"/>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r w:rsidRPr="004E152D">
              <w:rPr>
                <w:rFonts w:ascii="Arial" w:hAnsi="Arial" w:cs="Arial"/>
                <w:b/>
                <w:bCs/>
                <w:snapToGrid/>
              </w:rPr>
              <w:t>Totals:</w:t>
            </w:r>
          </w:p>
        </w:tc>
        <w:tc>
          <w:tcPr>
            <w:tcW w:w="1353" w:type="dxa"/>
            <w:tcBorders>
              <w:top w:val="nil"/>
              <w:left w:val="nil"/>
              <w:bottom w:val="nil"/>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r w:rsidRPr="00253A77">
              <w:rPr>
                <w:rFonts w:ascii="Arial" w:hAnsi="Arial" w:cs="Arial"/>
                <w:b/>
                <w:bCs/>
                <w:snapToGrid/>
              </w:rPr>
              <w:t>792</w:t>
            </w:r>
            <w:r w:rsidRPr="004E152D">
              <w:rPr>
                <w:rFonts w:ascii="Arial" w:hAnsi="Arial" w:cs="Arial"/>
                <w:b/>
                <w:bCs/>
                <w:snapToGrid/>
              </w:rPr>
              <w:t xml:space="preserve"> Number of Responses</w:t>
            </w:r>
          </w:p>
        </w:tc>
        <w:tc>
          <w:tcPr>
            <w:tcW w:w="230" w:type="dxa"/>
            <w:tcBorders>
              <w:top w:val="nil"/>
              <w:left w:val="nil"/>
              <w:bottom w:val="nil"/>
              <w:right w:val="nil"/>
            </w:tcBorders>
          </w:tcPr>
          <w:p w:rsidR="00102FED" w:rsidRPr="004E152D" w:rsidRDefault="00102FED" w:rsidP="00102FED">
            <w:pPr>
              <w:widowControl/>
              <w:jc w:val="center"/>
              <w:rPr>
                <w:rFonts w:ascii="Arial" w:hAnsi="Arial" w:cs="Arial"/>
                <w:snapToGrid/>
              </w:rPr>
            </w:pPr>
          </w:p>
        </w:tc>
        <w:tc>
          <w:tcPr>
            <w:tcW w:w="222" w:type="dxa"/>
            <w:gridSpan w:val="2"/>
            <w:tcBorders>
              <w:top w:val="nil"/>
              <w:left w:val="nil"/>
              <w:bottom w:val="nil"/>
              <w:right w:val="nil"/>
            </w:tcBorders>
          </w:tcPr>
          <w:p w:rsidR="00102FED" w:rsidRPr="004E152D" w:rsidRDefault="00102FED" w:rsidP="00102FED">
            <w:pPr>
              <w:widowControl/>
              <w:jc w:val="center"/>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102FED" w:rsidRPr="004E152D" w:rsidRDefault="00102FED" w:rsidP="00102FED">
            <w:pPr>
              <w:widowControl/>
              <w:jc w:val="center"/>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102FED" w:rsidRDefault="00102FED" w:rsidP="00102FED">
            <w:pPr>
              <w:widowControl/>
              <w:rPr>
                <w:rFonts w:ascii="Arial" w:hAnsi="Arial" w:cs="Arial"/>
                <w:b/>
                <w:bCs/>
                <w:snapToGrid/>
              </w:rPr>
            </w:pPr>
          </w:p>
          <w:p w:rsidR="00102FED" w:rsidRPr="004E152D" w:rsidRDefault="00102FED" w:rsidP="00102FED">
            <w:pPr>
              <w:widowControl/>
              <w:rPr>
                <w:rFonts w:ascii="Arial" w:hAnsi="Arial" w:cs="Arial"/>
                <w:b/>
                <w:bCs/>
                <w:snapToGrid/>
              </w:rPr>
            </w:pPr>
            <w:r>
              <w:rPr>
                <w:rFonts w:ascii="Arial" w:hAnsi="Arial" w:cs="Arial"/>
                <w:b/>
                <w:bCs/>
                <w:snapToGrid/>
              </w:rPr>
              <w:t>1</w:t>
            </w:r>
            <w:r w:rsidRPr="004E152D">
              <w:rPr>
                <w:rFonts w:ascii="Arial" w:hAnsi="Arial" w:cs="Arial"/>
                <w:b/>
                <w:bCs/>
                <w:snapToGrid/>
              </w:rPr>
              <w:t xml:space="preserve"> –</w:t>
            </w:r>
            <w:r>
              <w:rPr>
                <w:rFonts w:ascii="Arial" w:hAnsi="Arial" w:cs="Arial"/>
                <w:b/>
                <w:bCs/>
                <w:snapToGrid/>
              </w:rPr>
              <w:t xml:space="preserve"> 20</w:t>
            </w:r>
          </w:p>
          <w:p w:rsidR="00102FED" w:rsidRPr="004E152D" w:rsidRDefault="00102FED" w:rsidP="00102FED">
            <w:pPr>
              <w:widowControl/>
              <w:rPr>
                <w:rFonts w:ascii="Arial" w:hAnsi="Arial" w:cs="Arial"/>
                <w:snapToGrid/>
              </w:rPr>
            </w:pPr>
            <w:r w:rsidRPr="004E152D">
              <w:rPr>
                <w:rFonts w:ascii="Arial" w:hAnsi="Arial" w:cs="Arial"/>
                <w:b/>
                <w:bCs/>
                <w:snapToGrid/>
              </w:rPr>
              <w:t>hours Per Response</w:t>
            </w:r>
          </w:p>
        </w:tc>
        <w:tc>
          <w:tcPr>
            <w:tcW w:w="985" w:type="dxa"/>
            <w:tcBorders>
              <w:top w:val="nil"/>
              <w:left w:val="nil"/>
              <w:bottom w:val="nil"/>
              <w:right w:val="single" w:sz="4" w:space="0" w:color="auto"/>
            </w:tcBorders>
            <w:shd w:val="clear" w:color="auto" w:fill="auto"/>
            <w:noWrap/>
            <w:vAlign w:val="bottom"/>
          </w:tcPr>
          <w:p w:rsidR="00102FED" w:rsidRPr="00473D6B" w:rsidRDefault="00102FED" w:rsidP="00102FED">
            <w:pPr>
              <w:widowControl/>
              <w:rPr>
                <w:rFonts w:ascii="Arial" w:hAnsi="Arial" w:cs="Arial"/>
                <w:snapToGrid/>
              </w:rPr>
            </w:pPr>
            <w:r>
              <w:rPr>
                <w:rFonts w:ascii="Arial" w:hAnsi="Arial" w:cs="Arial"/>
                <w:b/>
                <w:bCs/>
                <w:snapToGrid/>
              </w:rPr>
              <w:t>3,152</w:t>
            </w:r>
          </w:p>
        </w:tc>
      </w:tr>
      <w:tr w:rsidR="00102FED" w:rsidRPr="004E152D" w:rsidTr="00E20FF9">
        <w:tblPrEx>
          <w:tblCellMar>
            <w:left w:w="108" w:type="dxa"/>
            <w:right w:w="108" w:type="dxa"/>
          </w:tblCellMar>
        </w:tblPrEx>
        <w:trPr>
          <w:trHeight w:val="255"/>
        </w:trPr>
        <w:tc>
          <w:tcPr>
            <w:tcW w:w="3830" w:type="dxa"/>
            <w:tcBorders>
              <w:top w:val="nil"/>
              <w:left w:val="single" w:sz="4" w:space="0" w:color="auto"/>
              <w:bottom w:val="nil"/>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r w:rsidRPr="004E152D">
              <w:rPr>
                <w:rFonts w:ascii="Arial" w:hAnsi="Arial" w:cs="Arial"/>
                <w:b/>
                <w:snapToGrid/>
              </w:rPr>
              <w:t> </w:t>
            </w:r>
          </w:p>
        </w:tc>
        <w:tc>
          <w:tcPr>
            <w:tcW w:w="1353" w:type="dxa"/>
            <w:tcBorders>
              <w:top w:val="nil"/>
              <w:left w:val="nil"/>
              <w:bottom w:val="nil"/>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p>
        </w:tc>
        <w:tc>
          <w:tcPr>
            <w:tcW w:w="230" w:type="dxa"/>
            <w:tcBorders>
              <w:top w:val="nil"/>
              <w:left w:val="nil"/>
              <w:bottom w:val="nil"/>
              <w:right w:val="nil"/>
            </w:tcBorders>
          </w:tcPr>
          <w:p w:rsidR="00102FED" w:rsidRPr="004E152D" w:rsidRDefault="00102FED" w:rsidP="00102FED">
            <w:pPr>
              <w:widowControl/>
              <w:rPr>
                <w:rFonts w:ascii="Arial" w:hAnsi="Arial" w:cs="Arial"/>
                <w:snapToGrid/>
              </w:rPr>
            </w:pPr>
          </w:p>
        </w:tc>
        <w:tc>
          <w:tcPr>
            <w:tcW w:w="222" w:type="dxa"/>
            <w:gridSpan w:val="2"/>
            <w:tcBorders>
              <w:top w:val="nil"/>
              <w:left w:val="nil"/>
              <w:bottom w:val="nil"/>
              <w:right w:val="nil"/>
            </w:tcBorders>
          </w:tcPr>
          <w:p w:rsidR="00102FED" w:rsidRPr="004E152D" w:rsidRDefault="00102FED" w:rsidP="00102FED">
            <w:pPr>
              <w:widowControl/>
              <w:rPr>
                <w:rFonts w:ascii="Arial" w:hAnsi="Arial" w:cs="Arial"/>
                <w:snapToGrid/>
              </w:rPr>
            </w:pPr>
          </w:p>
        </w:tc>
        <w:tc>
          <w:tcPr>
            <w:tcW w:w="1434" w:type="dxa"/>
            <w:gridSpan w:val="2"/>
            <w:tcBorders>
              <w:top w:val="nil"/>
              <w:left w:val="nil"/>
              <w:bottom w:val="nil"/>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p>
        </w:tc>
        <w:tc>
          <w:tcPr>
            <w:tcW w:w="1427" w:type="dxa"/>
            <w:tcBorders>
              <w:top w:val="nil"/>
              <w:left w:val="nil"/>
              <w:bottom w:val="nil"/>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p>
        </w:tc>
        <w:tc>
          <w:tcPr>
            <w:tcW w:w="985" w:type="dxa"/>
            <w:tcBorders>
              <w:top w:val="nil"/>
              <w:left w:val="nil"/>
              <w:bottom w:val="nil"/>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r w:rsidRPr="004E152D">
              <w:rPr>
                <w:rFonts w:ascii="Arial" w:hAnsi="Arial" w:cs="Arial"/>
                <w:b/>
                <w:bCs/>
                <w:snapToGrid/>
              </w:rPr>
              <w:t>Total</w:t>
            </w:r>
          </w:p>
        </w:tc>
      </w:tr>
      <w:tr w:rsidR="00102FED" w:rsidRPr="004E152D" w:rsidTr="00E20FF9">
        <w:tblPrEx>
          <w:tblCellMar>
            <w:left w:w="108" w:type="dxa"/>
            <w:right w:w="108" w:type="dxa"/>
          </w:tblCellMar>
        </w:tblPrEx>
        <w:trPr>
          <w:trHeight w:val="255"/>
        </w:trPr>
        <w:tc>
          <w:tcPr>
            <w:tcW w:w="3830" w:type="dxa"/>
            <w:tcBorders>
              <w:top w:val="nil"/>
              <w:left w:val="single" w:sz="4" w:space="0" w:color="auto"/>
              <w:bottom w:val="single" w:sz="4" w:space="0" w:color="auto"/>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r w:rsidRPr="004E152D">
              <w:rPr>
                <w:rFonts w:ascii="Arial" w:hAnsi="Arial" w:cs="Arial"/>
                <w:b/>
                <w:snapToGrid/>
              </w:rPr>
              <w:t xml:space="preserve">                </w:t>
            </w:r>
          </w:p>
        </w:tc>
        <w:tc>
          <w:tcPr>
            <w:tcW w:w="1353" w:type="dxa"/>
            <w:tcBorders>
              <w:top w:val="nil"/>
              <w:left w:val="nil"/>
              <w:bottom w:val="single" w:sz="4" w:space="0" w:color="auto"/>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p>
        </w:tc>
        <w:tc>
          <w:tcPr>
            <w:tcW w:w="230" w:type="dxa"/>
            <w:tcBorders>
              <w:top w:val="nil"/>
              <w:left w:val="nil"/>
              <w:bottom w:val="single" w:sz="4" w:space="0" w:color="auto"/>
              <w:right w:val="nil"/>
            </w:tcBorders>
          </w:tcPr>
          <w:p w:rsidR="00102FED" w:rsidRPr="004E152D" w:rsidRDefault="00102FED" w:rsidP="00102FED">
            <w:pPr>
              <w:widowControl/>
              <w:rPr>
                <w:rFonts w:ascii="Arial" w:hAnsi="Arial" w:cs="Arial"/>
                <w:snapToGrid/>
              </w:rPr>
            </w:pPr>
          </w:p>
        </w:tc>
        <w:tc>
          <w:tcPr>
            <w:tcW w:w="222" w:type="dxa"/>
            <w:gridSpan w:val="2"/>
            <w:tcBorders>
              <w:top w:val="nil"/>
              <w:left w:val="nil"/>
              <w:bottom w:val="single" w:sz="4" w:space="0" w:color="auto"/>
              <w:right w:val="nil"/>
            </w:tcBorders>
          </w:tcPr>
          <w:p w:rsidR="00102FED" w:rsidRPr="004E152D" w:rsidRDefault="00102FED" w:rsidP="00102FED">
            <w:pPr>
              <w:widowControl/>
              <w:rPr>
                <w:rFonts w:ascii="Arial" w:hAnsi="Arial" w:cs="Arial"/>
                <w:snapToGrid/>
              </w:rPr>
            </w:pPr>
          </w:p>
        </w:tc>
        <w:tc>
          <w:tcPr>
            <w:tcW w:w="1434" w:type="dxa"/>
            <w:gridSpan w:val="2"/>
            <w:tcBorders>
              <w:top w:val="nil"/>
              <w:left w:val="nil"/>
              <w:bottom w:val="single" w:sz="4" w:space="0" w:color="auto"/>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p>
        </w:tc>
        <w:tc>
          <w:tcPr>
            <w:tcW w:w="1427" w:type="dxa"/>
            <w:tcBorders>
              <w:top w:val="nil"/>
              <w:left w:val="nil"/>
              <w:bottom w:val="single" w:sz="4" w:space="0" w:color="auto"/>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p>
        </w:tc>
        <w:tc>
          <w:tcPr>
            <w:tcW w:w="985" w:type="dxa"/>
            <w:tcBorders>
              <w:top w:val="nil"/>
              <w:left w:val="nil"/>
              <w:bottom w:val="single" w:sz="4" w:space="0" w:color="auto"/>
              <w:right w:val="single" w:sz="4" w:space="0" w:color="auto"/>
            </w:tcBorders>
            <w:shd w:val="clear" w:color="auto" w:fill="auto"/>
            <w:noWrap/>
            <w:vAlign w:val="bottom"/>
          </w:tcPr>
          <w:p w:rsidR="00102FED" w:rsidRPr="004E152D" w:rsidRDefault="00102FED" w:rsidP="00102FED">
            <w:pPr>
              <w:widowControl/>
              <w:rPr>
                <w:rFonts w:ascii="Arial" w:hAnsi="Arial" w:cs="Arial"/>
                <w:snapToGrid/>
              </w:rPr>
            </w:pPr>
            <w:r w:rsidRPr="004E152D">
              <w:rPr>
                <w:rFonts w:ascii="Arial" w:hAnsi="Arial" w:cs="Arial"/>
                <w:b/>
                <w:bCs/>
                <w:snapToGrid/>
              </w:rPr>
              <w:t>Annual Burden Hours</w:t>
            </w:r>
          </w:p>
        </w:tc>
      </w:tr>
      <w:tr w:rsidR="00102FED" w:rsidRPr="004E152D" w:rsidTr="00E20FF9">
        <w:tblPrEx>
          <w:tblCellMar>
            <w:left w:w="108" w:type="dxa"/>
            <w:right w:w="108" w:type="dxa"/>
          </w:tblCellMar>
        </w:tblPrEx>
        <w:trPr>
          <w:trHeight w:val="255"/>
        </w:trPr>
        <w:tc>
          <w:tcPr>
            <w:tcW w:w="3830" w:type="dxa"/>
            <w:tcBorders>
              <w:top w:val="nil"/>
              <w:left w:val="nil"/>
              <w:bottom w:val="nil"/>
              <w:right w:val="nil"/>
            </w:tcBorders>
            <w:shd w:val="clear" w:color="auto" w:fill="auto"/>
            <w:noWrap/>
            <w:vAlign w:val="bottom"/>
          </w:tcPr>
          <w:p w:rsidR="00102FED" w:rsidRPr="004E152D" w:rsidRDefault="00102FED" w:rsidP="00102FED">
            <w:pPr>
              <w:widowControl/>
              <w:ind w:left="-18"/>
              <w:jc w:val="right"/>
              <w:rPr>
                <w:rFonts w:ascii="Arial" w:hAnsi="Arial" w:cs="Arial"/>
                <w:b/>
                <w:bCs/>
                <w:snapToGrid/>
              </w:rPr>
            </w:pPr>
          </w:p>
        </w:tc>
        <w:tc>
          <w:tcPr>
            <w:tcW w:w="1353" w:type="dxa"/>
            <w:tcBorders>
              <w:top w:val="nil"/>
              <w:left w:val="nil"/>
              <w:bottom w:val="nil"/>
              <w:right w:val="nil"/>
            </w:tcBorders>
            <w:shd w:val="clear" w:color="auto" w:fill="auto"/>
            <w:noWrap/>
            <w:vAlign w:val="bottom"/>
          </w:tcPr>
          <w:p w:rsidR="00102FED" w:rsidRPr="004E152D" w:rsidRDefault="00102FED" w:rsidP="00102FED">
            <w:pPr>
              <w:widowControl/>
              <w:jc w:val="center"/>
              <w:rPr>
                <w:rFonts w:ascii="Arial" w:hAnsi="Arial" w:cs="Arial"/>
                <w:b/>
                <w:bCs/>
                <w:snapToGrid/>
              </w:rPr>
            </w:pPr>
          </w:p>
        </w:tc>
        <w:tc>
          <w:tcPr>
            <w:tcW w:w="230" w:type="dxa"/>
            <w:tcBorders>
              <w:top w:val="nil"/>
              <w:left w:val="nil"/>
              <w:bottom w:val="nil"/>
              <w:right w:val="nil"/>
            </w:tcBorders>
          </w:tcPr>
          <w:p w:rsidR="00102FED" w:rsidRPr="004E152D" w:rsidRDefault="00102FED" w:rsidP="00102FED">
            <w:pPr>
              <w:widowControl/>
              <w:jc w:val="center"/>
              <w:rPr>
                <w:rFonts w:ascii="Arial" w:hAnsi="Arial" w:cs="Arial"/>
                <w:b/>
                <w:bCs/>
                <w:snapToGrid/>
              </w:rPr>
            </w:pPr>
          </w:p>
        </w:tc>
        <w:tc>
          <w:tcPr>
            <w:tcW w:w="222" w:type="dxa"/>
            <w:gridSpan w:val="2"/>
            <w:tcBorders>
              <w:top w:val="nil"/>
              <w:left w:val="nil"/>
              <w:bottom w:val="nil"/>
              <w:right w:val="nil"/>
            </w:tcBorders>
          </w:tcPr>
          <w:p w:rsidR="00102FED" w:rsidRPr="004E152D" w:rsidRDefault="00102FED" w:rsidP="00102FED">
            <w:pPr>
              <w:widowControl/>
              <w:jc w:val="center"/>
              <w:rPr>
                <w:rFonts w:ascii="Arial" w:hAnsi="Arial" w:cs="Arial"/>
                <w:b/>
                <w:bCs/>
                <w:snapToGrid/>
              </w:rPr>
            </w:pPr>
          </w:p>
        </w:tc>
        <w:tc>
          <w:tcPr>
            <w:tcW w:w="1434" w:type="dxa"/>
            <w:gridSpan w:val="2"/>
            <w:tcBorders>
              <w:top w:val="nil"/>
              <w:left w:val="nil"/>
              <w:bottom w:val="nil"/>
              <w:right w:val="nil"/>
            </w:tcBorders>
            <w:shd w:val="clear" w:color="auto" w:fill="auto"/>
            <w:noWrap/>
            <w:vAlign w:val="bottom"/>
          </w:tcPr>
          <w:p w:rsidR="00102FED" w:rsidRPr="004E152D" w:rsidRDefault="00102FED" w:rsidP="00102FED">
            <w:pPr>
              <w:widowControl/>
              <w:jc w:val="center"/>
              <w:rPr>
                <w:rFonts w:ascii="Arial" w:hAnsi="Arial" w:cs="Arial"/>
                <w:b/>
                <w:bCs/>
                <w:snapToGrid/>
              </w:rPr>
            </w:pPr>
          </w:p>
        </w:tc>
        <w:tc>
          <w:tcPr>
            <w:tcW w:w="1427" w:type="dxa"/>
            <w:tcBorders>
              <w:top w:val="nil"/>
              <w:left w:val="nil"/>
              <w:bottom w:val="nil"/>
              <w:right w:val="nil"/>
            </w:tcBorders>
            <w:shd w:val="clear" w:color="auto" w:fill="auto"/>
            <w:noWrap/>
            <w:vAlign w:val="bottom"/>
          </w:tcPr>
          <w:p w:rsidR="00102FED" w:rsidRPr="004E152D" w:rsidRDefault="00102FED" w:rsidP="00102FED">
            <w:pPr>
              <w:widowControl/>
              <w:jc w:val="center"/>
              <w:rPr>
                <w:rFonts w:ascii="Arial" w:hAnsi="Arial" w:cs="Arial"/>
                <w:b/>
                <w:bCs/>
                <w:snapToGrid/>
              </w:rPr>
            </w:pPr>
          </w:p>
        </w:tc>
        <w:tc>
          <w:tcPr>
            <w:tcW w:w="985" w:type="dxa"/>
            <w:tcBorders>
              <w:top w:val="nil"/>
              <w:left w:val="nil"/>
              <w:bottom w:val="nil"/>
              <w:right w:val="nil"/>
            </w:tcBorders>
            <w:shd w:val="clear" w:color="auto" w:fill="auto"/>
            <w:noWrap/>
            <w:vAlign w:val="bottom"/>
          </w:tcPr>
          <w:p w:rsidR="00102FED" w:rsidRPr="004E152D" w:rsidRDefault="00102FED" w:rsidP="00102FED">
            <w:pPr>
              <w:widowControl/>
              <w:jc w:val="center"/>
              <w:rPr>
                <w:rFonts w:ascii="Arial" w:hAnsi="Arial" w:cs="Arial"/>
                <w:b/>
                <w:bCs/>
                <w:snapToGrid/>
              </w:rPr>
            </w:pPr>
          </w:p>
        </w:tc>
      </w:tr>
      <w:tr w:rsidR="00102FED" w:rsidRPr="004E152D" w:rsidTr="00E20FF9">
        <w:tblPrEx>
          <w:tblCellMar>
            <w:left w:w="108" w:type="dxa"/>
            <w:right w:w="108" w:type="dxa"/>
          </w:tblCellMar>
        </w:tblPrEx>
        <w:trPr>
          <w:trHeight w:val="255"/>
        </w:trPr>
        <w:tc>
          <w:tcPr>
            <w:tcW w:w="3830" w:type="dxa"/>
            <w:tcBorders>
              <w:top w:val="nil"/>
              <w:left w:val="nil"/>
              <w:bottom w:val="nil"/>
              <w:right w:val="nil"/>
            </w:tcBorders>
            <w:shd w:val="clear" w:color="auto" w:fill="auto"/>
            <w:noWrap/>
            <w:vAlign w:val="bottom"/>
          </w:tcPr>
          <w:p w:rsidR="00102FED" w:rsidRPr="004E152D" w:rsidRDefault="00102FED" w:rsidP="00102FED">
            <w:pPr>
              <w:widowControl/>
              <w:rPr>
                <w:rFonts w:ascii="Arial" w:hAnsi="Arial" w:cs="Arial"/>
                <w:snapToGrid/>
              </w:rPr>
            </w:pPr>
          </w:p>
        </w:tc>
        <w:tc>
          <w:tcPr>
            <w:tcW w:w="1353" w:type="dxa"/>
            <w:tcBorders>
              <w:top w:val="nil"/>
              <w:left w:val="nil"/>
              <w:bottom w:val="nil"/>
              <w:right w:val="nil"/>
            </w:tcBorders>
            <w:shd w:val="clear" w:color="auto" w:fill="auto"/>
            <w:noWrap/>
            <w:vAlign w:val="bottom"/>
          </w:tcPr>
          <w:p w:rsidR="00102FED" w:rsidRPr="004E152D" w:rsidRDefault="00102FED" w:rsidP="00102FED">
            <w:pPr>
              <w:widowControl/>
              <w:rPr>
                <w:rFonts w:ascii="Arial" w:hAnsi="Arial" w:cs="Arial"/>
                <w:snapToGrid/>
              </w:rPr>
            </w:pPr>
          </w:p>
        </w:tc>
        <w:tc>
          <w:tcPr>
            <w:tcW w:w="230" w:type="dxa"/>
            <w:tcBorders>
              <w:top w:val="nil"/>
              <w:left w:val="nil"/>
              <w:bottom w:val="nil"/>
              <w:right w:val="nil"/>
            </w:tcBorders>
          </w:tcPr>
          <w:p w:rsidR="00102FED" w:rsidRPr="004E152D" w:rsidRDefault="00102FED" w:rsidP="00102FED">
            <w:pPr>
              <w:widowControl/>
              <w:rPr>
                <w:rFonts w:ascii="Arial" w:hAnsi="Arial" w:cs="Arial"/>
                <w:snapToGrid/>
              </w:rPr>
            </w:pPr>
          </w:p>
        </w:tc>
        <w:tc>
          <w:tcPr>
            <w:tcW w:w="222" w:type="dxa"/>
            <w:gridSpan w:val="2"/>
            <w:tcBorders>
              <w:top w:val="nil"/>
              <w:left w:val="nil"/>
              <w:bottom w:val="nil"/>
              <w:right w:val="nil"/>
            </w:tcBorders>
          </w:tcPr>
          <w:p w:rsidR="00102FED" w:rsidRPr="004E152D" w:rsidRDefault="00102FED" w:rsidP="00102FED">
            <w:pPr>
              <w:widowControl/>
              <w:rPr>
                <w:rFonts w:ascii="Arial" w:hAnsi="Arial" w:cs="Arial"/>
                <w:snapToGrid/>
              </w:rPr>
            </w:pPr>
          </w:p>
        </w:tc>
        <w:tc>
          <w:tcPr>
            <w:tcW w:w="1434" w:type="dxa"/>
            <w:gridSpan w:val="2"/>
            <w:tcBorders>
              <w:top w:val="nil"/>
              <w:left w:val="nil"/>
              <w:bottom w:val="nil"/>
              <w:right w:val="nil"/>
            </w:tcBorders>
            <w:shd w:val="clear" w:color="auto" w:fill="auto"/>
            <w:noWrap/>
            <w:vAlign w:val="bottom"/>
          </w:tcPr>
          <w:p w:rsidR="00102FED" w:rsidRPr="004E152D" w:rsidRDefault="00102FED" w:rsidP="00102FED">
            <w:pPr>
              <w:widowControl/>
              <w:rPr>
                <w:rFonts w:ascii="Arial" w:hAnsi="Arial" w:cs="Arial"/>
                <w:snapToGrid/>
              </w:rPr>
            </w:pPr>
          </w:p>
        </w:tc>
        <w:tc>
          <w:tcPr>
            <w:tcW w:w="1427" w:type="dxa"/>
            <w:tcBorders>
              <w:top w:val="nil"/>
              <w:left w:val="nil"/>
              <w:bottom w:val="nil"/>
              <w:right w:val="nil"/>
            </w:tcBorders>
            <w:shd w:val="clear" w:color="auto" w:fill="auto"/>
            <w:noWrap/>
            <w:vAlign w:val="bottom"/>
          </w:tcPr>
          <w:p w:rsidR="00102FED" w:rsidRPr="004E152D" w:rsidRDefault="00102FED" w:rsidP="00102FED">
            <w:pPr>
              <w:widowControl/>
              <w:rPr>
                <w:rFonts w:ascii="Arial" w:hAnsi="Arial" w:cs="Arial"/>
                <w:snapToGrid/>
              </w:rPr>
            </w:pPr>
          </w:p>
        </w:tc>
        <w:tc>
          <w:tcPr>
            <w:tcW w:w="985" w:type="dxa"/>
            <w:tcBorders>
              <w:top w:val="nil"/>
              <w:left w:val="nil"/>
              <w:bottom w:val="nil"/>
              <w:right w:val="nil"/>
            </w:tcBorders>
            <w:shd w:val="clear" w:color="auto" w:fill="auto"/>
            <w:noWrap/>
            <w:vAlign w:val="bottom"/>
          </w:tcPr>
          <w:p w:rsidR="00102FED" w:rsidRPr="004E152D" w:rsidRDefault="00102FED" w:rsidP="00102FED">
            <w:pPr>
              <w:widowControl/>
              <w:rPr>
                <w:rFonts w:ascii="Arial" w:hAnsi="Arial" w:cs="Arial"/>
                <w:b/>
                <w:snapToGrid/>
              </w:rPr>
            </w:pPr>
          </w:p>
        </w:tc>
      </w:tr>
    </w:tbl>
    <w:p w:rsidR="00075EB1" w:rsidRPr="004E152D" w:rsidRDefault="00075EB1" w:rsidP="000E6E58"/>
    <w:p w:rsidR="00AF6328" w:rsidRPr="004E152D" w:rsidRDefault="00AF6328" w:rsidP="00AF6328">
      <w:pPr>
        <w:tabs>
          <w:tab w:val="left" w:pos="0"/>
        </w:tabs>
        <w:suppressAutoHyphens/>
        <w:rPr>
          <w:rFonts w:ascii="Times New Roman" w:hAnsi="Times New Roman"/>
          <w:sz w:val="24"/>
        </w:rPr>
      </w:pPr>
      <w:r w:rsidRPr="004E152D">
        <w:rPr>
          <w:rFonts w:ascii="Times New Roman" w:hAnsi="Times New Roman"/>
          <w:b/>
          <w:sz w:val="24"/>
          <w:u w:val="single"/>
        </w:rPr>
        <w:t>In-House Cost to Respondents</w:t>
      </w:r>
      <w:r w:rsidRPr="004E152D">
        <w:rPr>
          <w:rFonts w:ascii="Times New Roman" w:hAnsi="Times New Roman"/>
          <w:sz w:val="24"/>
        </w:rPr>
        <w:t xml:space="preserve">:  We estimate that in-house staff </w:t>
      </w:r>
      <w:r w:rsidR="003E3F0F" w:rsidRPr="004E152D">
        <w:rPr>
          <w:rFonts w:ascii="Times New Roman" w:hAnsi="Times New Roman"/>
          <w:sz w:val="24"/>
        </w:rPr>
        <w:t xml:space="preserve">is paid </w:t>
      </w:r>
      <w:r w:rsidR="00007DDF" w:rsidRPr="004E152D">
        <w:rPr>
          <w:rFonts w:ascii="Times New Roman" w:hAnsi="Times New Roman"/>
          <w:sz w:val="24"/>
        </w:rPr>
        <w:t xml:space="preserve">at </w:t>
      </w:r>
      <w:r w:rsidR="003E3F0F" w:rsidRPr="004E152D">
        <w:rPr>
          <w:rFonts w:ascii="Times New Roman" w:hAnsi="Times New Roman"/>
          <w:sz w:val="24"/>
        </w:rPr>
        <w:t xml:space="preserve">an </w:t>
      </w:r>
      <w:r w:rsidR="00E6468F">
        <w:rPr>
          <w:rFonts w:ascii="Times New Roman" w:hAnsi="Times New Roman"/>
          <w:sz w:val="24"/>
        </w:rPr>
        <w:t>estimated rate of $35</w:t>
      </w:r>
      <w:r w:rsidRPr="004E152D">
        <w:rPr>
          <w:rFonts w:ascii="Times New Roman" w:hAnsi="Times New Roman"/>
          <w:sz w:val="24"/>
        </w:rPr>
        <w:t xml:space="preserve"> per hour.</w:t>
      </w:r>
    </w:p>
    <w:p w:rsidR="00AF6328" w:rsidRPr="004E152D" w:rsidRDefault="00AF6328" w:rsidP="00AF6328">
      <w:pPr>
        <w:tabs>
          <w:tab w:val="left" w:pos="0"/>
        </w:tabs>
        <w:suppressAutoHyphens/>
        <w:rPr>
          <w:rFonts w:ascii="Times New Roman" w:hAnsi="Times New Roman"/>
          <w:sz w:val="24"/>
        </w:rPr>
      </w:pPr>
    </w:p>
    <w:p w:rsidR="00AF6328" w:rsidRPr="00CD229C" w:rsidRDefault="00227A7A" w:rsidP="00AF6328">
      <w:pPr>
        <w:tabs>
          <w:tab w:val="left" w:pos="0"/>
        </w:tabs>
        <w:suppressAutoHyphens/>
        <w:jc w:val="center"/>
        <w:rPr>
          <w:rFonts w:ascii="Times New Roman" w:hAnsi="Times New Roman"/>
          <w:sz w:val="24"/>
        </w:rPr>
      </w:pPr>
      <w:r w:rsidRPr="00253A77">
        <w:rPr>
          <w:rFonts w:ascii="Times New Roman" w:hAnsi="Times New Roman"/>
          <w:sz w:val="24"/>
          <w:szCs w:val="24"/>
        </w:rPr>
        <w:t>3,</w:t>
      </w:r>
      <w:r w:rsidR="00E6468F">
        <w:rPr>
          <w:rFonts w:ascii="Times New Roman" w:hAnsi="Times New Roman"/>
          <w:sz w:val="24"/>
          <w:szCs w:val="24"/>
        </w:rPr>
        <w:t>152</w:t>
      </w:r>
      <w:r w:rsidR="0015036D" w:rsidRPr="004E152D">
        <w:rPr>
          <w:rFonts w:ascii="Times New Roman" w:hAnsi="Times New Roman"/>
          <w:sz w:val="24"/>
          <w:szCs w:val="24"/>
        </w:rPr>
        <w:t xml:space="preserve"> </w:t>
      </w:r>
      <w:r w:rsidR="00AF6328" w:rsidRPr="004E152D">
        <w:rPr>
          <w:rFonts w:ascii="Times New Roman" w:hAnsi="Times New Roman"/>
          <w:sz w:val="24"/>
          <w:szCs w:val="24"/>
        </w:rPr>
        <w:t>hours</w:t>
      </w:r>
      <w:r w:rsidR="00AF6328" w:rsidRPr="004E152D">
        <w:rPr>
          <w:rFonts w:ascii="Times New Roman" w:hAnsi="Times New Roman"/>
          <w:sz w:val="24"/>
        </w:rPr>
        <w:t xml:space="preserve"> X $</w:t>
      </w:r>
      <w:r w:rsidR="00BB2E1A">
        <w:rPr>
          <w:rFonts w:ascii="Times New Roman" w:hAnsi="Times New Roman"/>
          <w:sz w:val="24"/>
        </w:rPr>
        <w:t>35</w:t>
      </w:r>
      <w:r w:rsidR="00AF6328" w:rsidRPr="004E152D">
        <w:rPr>
          <w:rFonts w:ascii="Times New Roman" w:hAnsi="Times New Roman"/>
          <w:sz w:val="24"/>
        </w:rPr>
        <w:t xml:space="preserve"> per hour = </w:t>
      </w:r>
      <w:r w:rsidR="00AF6328" w:rsidRPr="004E152D">
        <w:rPr>
          <w:rFonts w:ascii="Times New Roman" w:hAnsi="Times New Roman"/>
          <w:b/>
          <w:sz w:val="24"/>
        </w:rPr>
        <w:t>$</w:t>
      </w:r>
      <w:r w:rsidRPr="00253A77">
        <w:rPr>
          <w:rFonts w:ascii="Times New Roman" w:hAnsi="Times New Roman"/>
          <w:b/>
          <w:sz w:val="24"/>
        </w:rPr>
        <w:t>1</w:t>
      </w:r>
      <w:r w:rsidR="00253A77" w:rsidRPr="00253A77">
        <w:rPr>
          <w:rFonts w:ascii="Times New Roman" w:hAnsi="Times New Roman"/>
          <w:b/>
          <w:sz w:val="24"/>
        </w:rPr>
        <w:t>1</w:t>
      </w:r>
      <w:r w:rsidR="00E6468F">
        <w:rPr>
          <w:rFonts w:ascii="Times New Roman" w:hAnsi="Times New Roman"/>
          <w:b/>
          <w:sz w:val="24"/>
        </w:rPr>
        <w:t>0,</w:t>
      </w:r>
      <w:r w:rsidR="00902E72" w:rsidRPr="00253A77">
        <w:rPr>
          <w:rFonts w:ascii="Times New Roman" w:hAnsi="Times New Roman"/>
          <w:b/>
          <w:sz w:val="24"/>
        </w:rPr>
        <w:t>3</w:t>
      </w:r>
      <w:r w:rsidR="00E6468F">
        <w:rPr>
          <w:rFonts w:ascii="Times New Roman" w:hAnsi="Times New Roman"/>
          <w:b/>
          <w:sz w:val="24"/>
        </w:rPr>
        <w:t>2</w:t>
      </w:r>
      <w:r w:rsidR="00F418CA" w:rsidRPr="00253A77">
        <w:rPr>
          <w:rFonts w:ascii="Times New Roman" w:hAnsi="Times New Roman"/>
          <w:b/>
          <w:sz w:val="24"/>
        </w:rPr>
        <w:t>0</w:t>
      </w:r>
      <w:r w:rsidR="0015036D" w:rsidRPr="00473D6B">
        <w:rPr>
          <w:rFonts w:ascii="Times New Roman" w:hAnsi="Times New Roman"/>
          <w:b/>
          <w:sz w:val="24"/>
        </w:rPr>
        <w:t xml:space="preserve"> </w:t>
      </w:r>
      <w:r w:rsidR="00AF6328" w:rsidRPr="00473D6B">
        <w:rPr>
          <w:rFonts w:ascii="Times New Roman" w:hAnsi="Times New Roman"/>
          <w:b/>
          <w:sz w:val="24"/>
        </w:rPr>
        <w:t xml:space="preserve">Total In-House </w:t>
      </w:r>
      <w:r w:rsidR="00AF6328" w:rsidRPr="00473D6B">
        <w:rPr>
          <w:rFonts w:ascii="Times New Roman" w:hAnsi="Times New Roman"/>
          <w:b/>
          <w:sz w:val="24"/>
        </w:rPr>
        <w:tab/>
      </w:r>
      <w:r w:rsidR="00AF6328" w:rsidRPr="00473D6B">
        <w:rPr>
          <w:rFonts w:ascii="Times New Roman" w:hAnsi="Times New Roman"/>
          <w:b/>
          <w:sz w:val="24"/>
        </w:rPr>
        <w:tab/>
      </w:r>
      <w:r w:rsidR="00AF6328" w:rsidRPr="00473D6B">
        <w:rPr>
          <w:rFonts w:ascii="Times New Roman" w:hAnsi="Times New Roman"/>
          <w:b/>
          <w:sz w:val="24"/>
        </w:rPr>
        <w:tab/>
        <w:t xml:space="preserve">                              </w:t>
      </w:r>
      <w:r w:rsidR="00BB7E46" w:rsidRPr="00A90261">
        <w:rPr>
          <w:rFonts w:ascii="Times New Roman" w:hAnsi="Times New Roman"/>
          <w:b/>
          <w:sz w:val="24"/>
        </w:rPr>
        <w:t xml:space="preserve"> </w:t>
      </w:r>
      <w:r w:rsidR="00AF6328" w:rsidRPr="00A90261">
        <w:rPr>
          <w:rFonts w:ascii="Times New Roman" w:hAnsi="Times New Roman"/>
          <w:b/>
          <w:sz w:val="24"/>
        </w:rPr>
        <w:t xml:space="preserve">            </w:t>
      </w:r>
      <w:r w:rsidR="003E3F0F" w:rsidRPr="00401536">
        <w:rPr>
          <w:rFonts w:ascii="Times New Roman" w:hAnsi="Times New Roman"/>
          <w:b/>
          <w:sz w:val="24"/>
        </w:rPr>
        <w:t xml:space="preserve"> </w:t>
      </w:r>
      <w:r w:rsidR="00F418CA" w:rsidRPr="00644F93">
        <w:rPr>
          <w:rFonts w:ascii="Times New Roman" w:hAnsi="Times New Roman"/>
          <w:b/>
          <w:sz w:val="24"/>
        </w:rPr>
        <w:tab/>
      </w:r>
      <w:r w:rsidR="00AF6328" w:rsidRPr="00CD229C">
        <w:rPr>
          <w:rFonts w:ascii="Times New Roman" w:hAnsi="Times New Roman"/>
          <w:b/>
          <w:sz w:val="24"/>
        </w:rPr>
        <w:t>Costs to Respondents</w:t>
      </w:r>
    </w:p>
    <w:p w:rsidR="00AF6328" w:rsidRDefault="00AF6328">
      <w:pPr>
        <w:tabs>
          <w:tab w:val="left" w:pos="0"/>
        </w:tabs>
        <w:suppressAutoHyphens/>
        <w:rPr>
          <w:rFonts w:ascii="Times New Roman" w:hAnsi="Times New Roman"/>
          <w:sz w:val="24"/>
        </w:rPr>
      </w:pPr>
    </w:p>
    <w:p w:rsidR="00864D77" w:rsidRPr="004E152D" w:rsidRDefault="0004474E">
      <w:pPr>
        <w:tabs>
          <w:tab w:val="left" w:pos="0"/>
        </w:tabs>
        <w:suppressAutoHyphens/>
        <w:rPr>
          <w:rFonts w:ascii="Times New Roman" w:hAnsi="Times New Roman"/>
          <w:sz w:val="24"/>
        </w:rPr>
      </w:pPr>
      <w:r w:rsidRPr="004E152D">
        <w:rPr>
          <w:rFonts w:ascii="Times New Roman" w:hAnsi="Times New Roman"/>
          <w:sz w:val="24"/>
        </w:rPr>
        <w:t>1</w:t>
      </w:r>
      <w:r w:rsidR="00F224E0" w:rsidRPr="004E152D">
        <w:rPr>
          <w:rFonts w:ascii="Times New Roman" w:hAnsi="Times New Roman"/>
          <w:sz w:val="24"/>
        </w:rPr>
        <w:t>3</w:t>
      </w:r>
      <w:r w:rsidR="00864D77" w:rsidRPr="004E152D">
        <w:rPr>
          <w:rFonts w:ascii="Times New Roman" w:hAnsi="Times New Roman"/>
          <w:sz w:val="24"/>
        </w:rPr>
        <w:t xml:space="preserve">. </w:t>
      </w:r>
      <w:r w:rsidR="00864D77" w:rsidRPr="004E152D">
        <w:rPr>
          <w:rFonts w:ascii="Times New Roman" w:hAnsi="Times New Roman"/>
          <w:sz w:val="24"/>
        </w:rPr>
        <w:tab/>
        <w:t xml:space="preserve"> </w:t>
      </w:r>
      <w:r w:rsidR="00864D77" w:rsidRPr="004E152D">
        <w:rPr>
          <w:rFonts w:ascii="Times New Roman" w:hAnsi="Times New Roman"/>
          <w:b/>
          <w:sz w:val="24"/>
        </w:rPr>
        <w:t>Annual Burden Cost:</w:t>
      </w:r>
      <w:r w:rsidR="00864D77" w:rsidRPr="004E152D">
        <w:rPr>
          <w:rFonts w:ascii="Times New Roman" w:hAnsi="Times New Roman"/>
          <w:sz w:val="24"/>
        </w:rPr>
        <w:t xml:space="preserve"> </w:t>
      </w:r>
    </w:p>
    <w:p w:rsidR="00864D77" w:rsidRPr="004E152D" w:rsidRDefault="00864D77">
      <w:pPr>
        <w:tabs>
          <w:tab w:val="left" w:pos="0"/>
        </w:tabs>
        <w:suppressAutoHyphens/>
        <w:rPr>
          <w:rFonts w:ascii="Times New Roman" w:hAnsi="Times New Roman"/>
          <w:sz w:val="24"/>
        </w:rPr>
      </w:pPr>
    </w:p>
    <w:p w:rsidR="0088301D" w:rsidRPr="004E152D" w:rsidRDefault="00864D77">
      <w:pPr>
        <w:tabs>
          <w:tab w:val="left" w:pos="0"/>
        </w:tabs>
        <w:suppressAutoHyphens/>
        <w:rPr>
          <w:rFonts w:ascii="Times New Roman" w:hAnsi="Times New Roman"/>
          <w:sz w:val="24"/>
        </w:rPr>
      </w:pPr>
      <w:r w:rsidRPr="004E152D">
        <w:rPr>
          <w:rFonts w:ascii="Times New Roman" w:hAnsi="Times New Roman"/>
          <w:sz w:val="24"/>
        </w:rPr>
        <w:tab/>
      </w:r>
      <w:r w:rsidR="0088301D" w:rsidRPr="004E152D">
        <w:rPr>
          <w:rFonts w:ascii="Times New Roman" w:hAnsi="Times New Roman"/>
          <w:sz w:val="24"/>
        </w:rPr>
        <w:t>(a)</w:t>
      </w:r>
      <w:r w:rsidR="00F224E0" w:rsidRPr="004E152D">
        <w:rPr>
          <w:rFonts w:ascii="Times New Roman" w:hAnsi="Times New Roman"/>
          <w:sz w:val="24"/>
        </w:rPr>
        <w:t>.</w:t>
      </w:r>
      <w:r w:rsidR="00784877" w:rsidRPr="004E152D">
        <w:rPr>
          <w:rFonts w:ascii="Times New Roman" w:hAnsi="Times New Roman"/>
          <w:sz w:val="24"/>
        </w:rPr>
        <w:tab/>
      </w:r>
      <w:r w:rsidR="0088301D" w:rsidRPr="004E152D">
        <w:rPr>
          <w:rFonts w:ascii="Times New Roman" w:hAnsi="Times New Roman"/>
          <w:b/>
          <w:sz w:val="24"/>
          <w:u w:val="single"/>
        </w:rPr>
        <w:t>Capital</w:t>
      </w:r>
      <w:r w:rsidR="00D9418F" w:rsidRPr="004E152D">
        <w:rPr>
          <w:rFonts w:ascii="Times New Roman" w:hAnsi="Times New Roman"/>
          <w:b/>
          <w:sz w:val="24"/>
          <w:u w:val="single"/>
        </w:rPr>
        <w:t xml:space="preserve"> and </w:t>
      </w:r>
      <w:r w:rsidR="0088301D" w:rsidRPr="004E152D">
        <w:rPr>
          <w:rFonts w:ascii="Times New Roman" w:hAnsi="Times New Roman"/>
          <w:b/>
          <w:sz w:val="24"/>
          <w:u w:val="single"/>
        </w:rPr>
        <w:t>Start-Up Costs</w:t>
      </w:r>
      <w:r w:rsidR="00AF6328" w:rsidRPr="004E152D">
        <w:rPr>
          <w:rFonts w:ascii="Times New Roman" w:hAnsi="Times New Roman"/>
          <w:b/>
          <w:sz w:val="24"/>
        </w:rPr>
        <w:t>:  0</w:t>
      </w:r>
    </w:p>
    <w:p w:rsidR="0088301D" w:rsidRPr="004E152D" w:rsidRDefault="0088301D">
      <w:pPr>
        <w:tabs>
          <w:tab w:val="left" w:pos="0"/>
        </w:tabs>
        <w:suppressAutoHyphens/>
        <w:rPr>
          <w:rFonts w:ascii="Times New Roman" w:hAnsi="Times New Roman"/>
          <w:sz w:val="24"/>
        </w:rPr>
      </w:pPr>
    </w:p>
    <w:p w:rsidR="0073604D" w:rsidRPr="004E152D" w:rsidRDefault="0073604D">
      <w:pPr>
        <w:tabs>
          <w:tab w:val="left" w:pos="0"/>
        </w:tabs>
        <w:suppressAutoHyphens/>
        <w:rPr>
          <w:rFonts w:ascii="Times New Roman" w:hAnsi="Times New Roman"/>
          <w:b/>
          <w:sz w:val="24"/>
          <w:u w:val="single"/>
        </w:rPr>
      </w:pPr>
    </w:p>
    <w:p w:rsidR="009A0614" w:rsidRPr="004E152D" w:rsidRDefault="00864D77">
      <w:pPr>
        <w:tabs>
          <w:tab w:val="left" w:pos="0"/>
        </w:tabs>
        <w:suppressAutoHyphens/>
        <w:rPr>
          <w:rFonts w:ascii="Times New Roman" w:hAnsi="Times New Roman"/>
          <w:sz w:val="24"/>
          <w:u w:val="single"/>
        </w:rPr>
      </w:pPr>
      <w:r w:rsidRPr="004E152D">
        <w:rPr>
          <w:rFonts w:ascii="Times New Roman" w:hAnsi="Times New Roman"/>
          <w:sz w:val="24"/>
        </w:rPr>
        <w:tab/>
        <w:t>(</w:t>
      </w:r>
      <w:r w:rsidR="009A0614" w:rsidRPr="004E152D">
        <w:rPr>
          <w:rFonts w:ascii="Times New Roman" w:hAnsi="Times New Roman"/>
          <w:sz w:val="24"/>
        </w:rPr>
        <w:t xml:space="preserve">b).   </w:t>
      </w:r>
      <w:r w:rsidR="009A0614" w:rsidRPr="004E152D">
        <w:rPr>
          <w:rFonts w:ascii="Times New Roman" w:hAnsi="Times New Roman"/>
          <w:b/>
          <w:sz w:val="24"/>
          <w:u w:val="single"/>
        </w:rPr>
        <w:t>Operations and Maintenance Costs</w:t>
      </w:r>
    </w:p>
    <w:p w:rsidR="009A0614" w:rsidRPr="004E152D" w:rsidRDefault="009A0614">
      <w:pPr>
        <w:tabs>
          <w:tab w:val="left" w:pos="0"/>
        </w:tabs>
        <w:suppressAutoHyphens/>
        <w:rPr>
          <w:rFonts w:ascii="Times New Roman" w:hAnsi="Times New Roman"/>
          <w:sz w:val="24"/>
          <w:u w:val="single"/>
        </w:rPr>
      </w:pPr>
    </w:p>
    <w:p w:rsidR="00864D77" w:rsidRPr="00253A77" w:rsidRDefault="00864D77" w:rsidP="00CD732D">
      <w:pPr>
        <w:tabs>
          <w:tab w:val="left" w:pos="-720"/>
          <w:tab w:val="left" w:pos="0"/>
        </w:tabs>
        <w:suppressAutoHyphens/>
        <w:ind w:right="720"/>
        <w:rPr>
          <w:rFonts w:ascii="Times New Roman" w:hAnsi="Times New Roman"/>
          <w:sz w:val="24"/>
        </w:rPr>
      </w:pPr>
      <w:r w:rsidRPr="004E152D">
        <w:rPr>
          <w:rFonts w:ascii="Times New Roman" w:hAnsi="Times New Roman"/>
          <w:sz w:val="24"/>
        </w:rPr>
        <w:tab/>
      </w:r>
      <w:r w:rsidRPr="004E152D">
        <w:rPr>
          <w:rFonts w:ascii="Times New Roman" w:hAnsi="Times New Roman"/>
          <w:sz w:val="24"/>
          <w:u w:val="single"/>
        </w:rPr>
        <w:t>Outside Legal Assistance</w:t>
      </w:r>
      <w:r w:rsidRPr="004E152D">
        <w:rPr>
          <w:rFonts w:ascii="Times New Roman" w:hAnsi="Times New Roman"/>
          <w:sz w:val="24"/>
        </w:rPr>
        <w:t xml:space="preserve">:  We estimate that the respondent will require outside legal </w:t>
      </w:r>
      <w:r w:rsidRPr="004E152D">
        <w:rPr>
          <w:rFonts w:ascii="Times New Roman" w:hAnsi="Times New Roman"/>
          <w:spacing w:val="-3"/>
          <w:sz w:val="24"/>
          <w:szCs w:val="24"/>
        </w:rPr>
        <w:t>assistance</w:t>
      </w:r>
      <w:r w:rsidRPr="004E152D">
        <w:rPr>
          <w:rFonts w:ascii="Times New Roman" w:hAnsi="Times New Roman"/>
          <w:sz w:val="24"/>
        </w:rPr>
        <w:t xml:space="preserve"> </w:t>
      </w:r>
      <w:r w:rsidRPr="00253A77">
        <w:rPr>
          <w:rFonts w:ascii="Times New Roman" w:hAnsi="Times New Roman"/>
          <w:sz w:val="24"/>
        </w:rPr>
        <w:t xml:space="preserve">for 50% </w:t>
      </w:r>
      <w:r w:rsidR="003D4B88" w:rsidRPr="00253A77">
        <w:rPr>
          <w:rFonts w:ascii="Times New Roman" w:hAnsi="Times New Roman"/>
          <w:sz w:val="24"/>
        </w:rPr>
        <w:t>(</w:t>
      </w:r>
      <w:r w:rsidR="00253A77" w:rsidRPr="00253A77">
        <w:rPr>
          <w:rFonts w:ascii="Times New Roman" w:hAnsi="Times New Roman"/>
          <w:sz w:val="24"/>
        </w:rPr>
        <w:t>396</w:t>
      </w:r>
      <w:r w:rsidR="003D4B88" w:rsidRPr="00253A77">
        <w:rPr>
          <w:rFonts w:ascii="Times New Roman" w:hAnsi="Times New Roman"/>
          <w:sz w:val="24"/>
        </w:rPr>
        <w:t xml:space="preserve">) </w:t>
      </w:r>
      <w:r w:rsidR="000721D3" w:rsidRPr="00253A77">
        <w:rPr>
          <w:rFonts w:ascii="Times New Roman" w:hAnsi="Times New Roman"/>
          <w:sz w:val="24"/>
        </w:rPr>
        <w:t xml:space="preserve">of the </w:t>
      </w:r>
      <w:r w:rsidR="003452EB" w:rsidRPr="00253A77">
        <w:rPr>
          <w:rFonts w:ascii="Times New Roman" w:hAnsi="Times New Roman"/>
          <w:sz w:val="24"/>
        </w:rPr>
        <w:t>total number of responses</w:t>
      </w:r>
      <w:r w:rsidRPr="00253A77">
        <w:rPr>
          <w:rFonts w:ascii="Times New Roman" w:hAnsi="Times New Roman"/>
          <w:sz w:val="24"/>
        </w:rPr>
        <w:t>.</w:t>
      </w:r>
      <w:r w:rsidR="00BB7E46" w:rsidRPr="00253A77">
        <w:rPr>
          <w:rStyle w:val="FootnoteReference"/>
          <w:rFonts w:ascii="Times New Roman" w:hAnsi="Times New Roman"/>
          <w:sz w:val="24"/>
        </w:rPr>
        <w:footnoteReference w:id="6"/>
      </w:r>
      <w:r w:rsidRPr="00253A77">
        <w:rPr>
          <w:rFonts w:ascii="Times New Roman" w:hAnsi="Times New Roman"/>
          <w:sz w:val="24"/>
        </w:rPr>
        <w:t xml:space="preserve">  The cost of outside legal</w:t>
      </w:r>
      <w:r w:rsidR="00BB7E46" w:rsidRPr="00253A77">
        <w:rPr>
          <w:rFonts w:ascii="Times New Roman" w:hAnsi="Times New Roman"/>
          <w:sz w:val="24"/>
        </w:rPr>
        <w:t xml:space="preserve"> </w:t>
      </w:r>
      <w:r w:rsidRPr="00253A77">
        <w:rPr>
          <w:rFonts w:ascii="Times New Roman" w:hAnsi="Times New Roman"/>
          <w:sz w:val="24"/>
        </w:rPr>
        <w:t>assistance is estimated at</w:t>
      </w:r>
      <w:r w:rsidR="003D4B88" w:rsidRPr="00253A77">
        <w:rPr>
          <w:rFonts w:ascii="Times New Roman" w:hAnsi="Times New Roman"/>
          <w:sz w:val="24"/>
        </w:rPr>
        <w:t xml:space="preserve"> </w:t>
      </w:r>
      <w:r w:rsidRPr="00253A77">
        <w:rPr>
          <w:rFonts w:ascii="Times New Roman" w:hAnsi="Times New Roman"/>
          <w:sz w:val="24"/>
        </w:rPr>
        <w:t>$</w:t>
      </w:r>
      <w:r w:rsidR="00306F7A" w:rsidRPr="00253A77">
        <w:rPr>
          <w:rFonts w:ascii="Times New Roman" w:hAnsi="Times New Roman"/>
          <w:sz w:val="24"/>
        </w:rPr>
        <w:t>3</w:t>
      </w:r>
      <w:r w:rsidRPr="00253A77">
        <w:rPr>
          <w:rFonts w:ascii="Times New Roman" w:hAnsi="Times New Roman"/>
          <w:sz w:val="24"/>
        </w:rPr>
        <w:t>00 per hour.  This figure is based on a small survey of local firms in the D.C. area and</w:t>
      </w:r>
      <w:r w:rsidR="00BB7E46" w:rsidRPr="00253A77">
        <w:rPr>
          <w:rFonts w:ascii="Times New Roman" w:hAnsi="Times New Roman"/>
          <w:sz w:val="24"/>
        </w:rPr>
        <w:t xml:space="preserve"> </w:t>
      </w:r>
      <w:r w:rsidRPr="00253A77">
        <w:rPr>
          <w:rFonts w:ascii="Times New Roman" w:hAnsi="Times New Roman"/>
          <w:sz w:val="24"/>
        </w:rPr>
        <w:t>is considered a conservative estimate.</w:t>
      </w:r>
    </w:p>
    <w:p w:rsidR="00DB5851" w:rsidRPr="00253A77" w:rsidRDefault="00DB5851">
      <w:pPr>
        <w:tabs>
          <w:tab w:val="left" w:pos="0"/>
        </w:tabs>
        <w:suppressAutoHyphens/>
        <w:rPr>
          <w:rFonts w:ascii="Times New Roman" w:hAnsi="Times New Roman"/>
          <w:b/>
          <w:sz w:val="24"/>
        </w:rPr>
      </w:pPr>
    </w:p>
    <w:p w:rsidR="00864D77" w:rsidRPr="004E152D" w:rsidRDefault="00864D77" w:rsidP="00864D77">
      <w:pPr>
        <w:tabs>
          <w:tab w:val="left" w:pos="0"/>
        </w:tabs>
        <w:suppressAutoHyphens/>
        <w:jc w:val="center"/>
        <w:rPr>
          <w:rFonts w:ascii="Times New Roman" w:hAnsi="Times New Roman"/>
          <w:b/>
          <w:sz w:val="24"/>
        </w:rPr>
      </w:pPr>
      <w:r w:rsidRPr="00253A77">
        <w:rPr>
          <w:rFonts w:ascii="Times New Roman" w:hAnsi="Times New Roman"/>
          <w:sz w:val="24"/>
        </w:rPr>
        <w:tab/>
      </w:r>
      <w:r w:rsidR="00CA7E6F" w:rsidRPr="00253A77">
        <w:rPr>
          <w:rFonts w:ascii="Times New Roman" w:hAnsi="Times New Roman"/>
          <w:sz w:val="24"/>
        </w:rPr>
        <w:t>3</w:t>
      </w:r>
      <w:r w:rsidR="00253A77" w:rsidRPr="00253A77">
        <w:rPr>
          <w:rFonts w:ascii="Times New Roman" w:hAnsi="Times New Roman"/>
          <w:sz w:val="24"/>
        </w:rPr>
        <w:t>96</w:t>
      </w:r>
      <w:r w:rsidR="000721D3" w:rsidRPr="00253A77">
        <w:rPr>
          <w:rFonts w:ascii="Times New Roman" w:hAnsi="Times New Roman"/>
          <w:sz w:val="24"/>
        </w:rPr>
        <w:t xml:space="preserve"> </w:t>
      </w:r>
      <w:r w:rsidR="00CA7E6F" w:rsidRPr="00253A77">
        <w:rPr>
          <w:rFonts w:ascii="Times New Roman" w:hAnsi="Times New Roman"/>
          <w:sz w:val="24"/>
        </w:rPr>
        <w:t>responses</w:t>
      </w:r>
      <w:r w:rsidR="000721D3" w:rsidRPr="00253A77">
        <w:rPr>
          <w:rFonts w:ascii="Times New Roman" w:hAnsi="Times New Roman"/>
          <w:sz w:val="24"/>
        </w:rPr>
        <w:t xml:space="preserve"> x</w:t>
      </w:r>
      <w:r w:rsidRPr="00253A77">
        <w:rPr>
          <w:rFonts w:ascii="Times New Roman" w:hAnsi="Times New Roman"/>
          <w:sz w:val="24"/>
        </w:rPr>
        <w:t xml:space="preserve"> $</w:t>
      </w:r>
      <w:r w:rsidR="00833408" w:rsidRPr="00253A77">
        <w:rPr>
          <w:rFonts w:ascii="Times New Roman" w:hAnsi="Times New Roman"/>
          <w:sz w:val="24"/>
        </w:rPr>
        <w:t>3</w:t>
      </w:r>
      <w:r w:rsidRPr="00253A77">
        <w:rPr>
          <w:rFonts w:ascii="Times New Roman" w:hAnsi="Times New Roman"/>
          <w:sz w:val="24"/>
        </w:rPr>
        <w:t>00 p</w:t>
      </w:r>
      <w:r w:rsidR="000721D3" w:rsidRPr="00253A77">
        <w:rPr>
          <w:rFonts w:ascii="Times New Roman" w:hAnsi="Times New Roman"/>
          <w:sz w:val="24"/>
        </w:rPr>
        <w:t xml:space="preserve">er </w:t>
      </w:r>
      <w:r w:rsidR="009D32BA" w:rsidRPr="00253A77">
        <w:rPr>
          <w:rFonts w:ascii="Times New Roman" w:hAnsi="Times New Roman"/>
          <w:sz w:val="24"/>
        </w:rPr>
        <w:t>hour x 4 hours per response</w:t>
      </w:r>
      <w:r w:rsidRPr="00253A77">
        <w:rPr>
          <w:rFonts w:ascii="Times New Roman" w:hAnsi="Times New Roman"/>
          <w:sz w:val="24"/>
        </w:rPr>
        <w:t xml:space="preserve"> = </w:t>
      </w:r>
      <w:r w:rsidRPr="00253A77">
        <w:rPr>
          <w:rFonts w:ascii="Times New Roman" w:hAnsi="Times New Roman"/>
          <w:b/>
          <w:sz w:val="24"/>
        </w:rPr>
        <w:t>$</w:t>
      </w:r>
      <w:r w:rsidR="000721D3" w:rsidRPr="00253A77">
        <w:rPr>
          <w:rFonts w:ascii="Times New Roman" w:hAnsi="Times New Roman"/>
          <w:b/>
          <w:sz w:val="24"/>
        </w:rPr>
        <w:t>4</w:t>
      </w:r>
      <w:r w:rsidR="00253A77" w:rsidRPr="00253A77">
        <w:rPr>
          <w:rFonts w:ascii="Times New Roman" w:hAnsi="Times New Roman"/>
          <w:b/>
          <w:sz w:val="24"/>
        </w:rPr>
        <w:t>75,2</w:t>
      </w:r>
      <w:r w:rsidR="000721D3" w:rsidRPr="00253A77">
        <w:rPr>
          <w:rFonts w:ascii="Times New Roman" w:hAnsi="Times New Roman"/>
          <w:b/>
          <w:sz w:val="24"/>
        </w:rPr>
        <w:t>00</w:t>
      </w:r>
      <w:r w:rsidRPr="00253A77">
        <w:rPr>
          <w:rFonts w:ascii="Times New Roman" w:hAnsi="Times New Roman"/>
          <w:b/>
          <w:sz w:val="24"/>
        </w:rPr>
        <w:t xml:space="preserve"> Total</w:t>
      </w:r>
      <w:r w:rsidRPr="004E152D">
        <w:rPr>
          <w:rFonts w:ascii="Times New Roman" w:hAnsi="Times New Roman"/>
          <w:b/>
          <w:sz w:val="24"/>
        </w:rPr>
        <w:t xml:space="preserve"> Outside </w:t>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007DDF" w:rsidRPr="004E152D">
        <w:rPr>
          <w:rFonts w:ascii="Times New Roman" w:hAnsi="Times New Roman"/>
          <w:b/>
          <w:sz w:val="24"/>
        </w:rPr>
        <w:tab/>
      </w:r>
      <w:r w:rsidR="00102FED">
        <w:rPr>
          <w:rFonts w:ascii="Times New Roman" w:hAnsi="Times New Roman"/>
          <w:b/>
          <w:sz w:val="24"/>
        </w:rPr>
        <w:t xml:space="preserve">     </w:t>
      </w:r>
      <w:r w:rsidRPr="004E152D">
        <w:rPr>
          <w:rFonts w:ascii="Times New Roman" w:hAnsi="Times New Roman"/>
          <w:b/>
          <w:sz w:val="24"/>
        </w:rPr>
        <w:t>Legal Costs</w:t>
      </w:r>
    </w:p>
    <w:p w:rsidR="00864D77" w:rsidRDefault="00864D77">
      <w:pPr>
        <w:tabs>
          <w:tab w:val="left" w:pos="0"/>
        </w:tabs>
        <w:suppressAutoHyphens/>
        <w:rPr>
          <w:rFonts w:ascii="Times New Roman" w:hAnsi="Times New Roman"/>
          <w:b/>
          <w:sz w:val="24"/>
        </w:rPr>
      </w:pPr>
    </w:p>
    <w:p w:rsidR="00102FED" w:rsidRDefault="00102FED">
      <w:pPr>
        <w:tabs>
          <w:tab w:val="left" w:pos="0"/>
        </w:tabs>
        <w:suppressAutoHyphens/>
        <w:rPr>
          <w:rFonts w:ascii="Times New Roman" w:hAnsi="Times New Roman"/>
          <w:b/>
          <w:sz w:val="24"/>
        </w:rPr>
      </w:pPr>
    </w:p>
    <w:p w:rsidR="00102FED" w:rsidRPr="004E152D" w:rsidRDefault="00102FED">
      <w:pPr>
        <w:tabs>
          <w:tab w:val="left" w:pos="0"/>
        </w:tabs>
        <w:suppressAutoHyphens/>
        <w:rPr>
          <w:rFonts w:ascii="Times New Roman" w:hAnsi="Times New Roman"/>
          <w:b/>
          <w:sz w:val="24"/>
        </w:rPr>
      </w:pPr>
    </w:p>
    <w:p w:rsidR="00AD7D20" w:rsidRPr="004E152D" w:rsidRDefault="00240C36" w:rsidP="00AD7D20">
      <w:pPr>
        <w:tabs>
          <w:tab w:val="left" w:pos="-720"/>
          <w:tab w:val="left" w:pos="0"/>
        </w:tabs>
        <w:suppressAutoHyphens/>
        <w:ind w:right="720"/>
        <w:rPr>
          <w:rFonts w:ascii="Times New Roman" w:hAnsi="Times New Roman"/>
          <w:spacing w:val="-3"/>
          <w:sz w:val="24"/>
          <w:szCs w:val="24"/>
        </w:rPr>
      </w:pPr>
      <w:r w:rsidRPr="004E152D">
        <w:rPr>
          <w:rFonts w:ascii="Times New Roman" w:hAnsi="Times New Roman"/>
          <w:spacing w:val="-3"/>
          <w:sz w:val="24"/>
          <w:szCs w:val="24"/>
        </w:rPr>
        <w:tab/>
      </w:r>
      <w:r w:rsidR="00322B68" w:rsidRPr="004E152D">
        <w:rPr>
          <w:rFonts w:ascii="Times New Roman" w:hAnsi="Times New Roman"/>
          <w:spacing w:val="-3"/>
          <w:sz w:val="24"/>
          <w:szCs w:val="24"/>
          <w:u w:val="single"/>
        </w:rPr>
        <w:t>Application Filing Fees</w:t>
      </w:r>
      <w:r w:rsidR="00322B68" w:rsidRPr="004E152D">
        <w:rPr>
          <w:rFonts w:ascii="Times New Roman" w:hAnsi="Times New Roman"/>
          <w:b/>
          <w:spacing w:val="-3"/>
          <w:sz w:val="24"/>
          <w:szCs w:val="24"/>
          <w:u w:val="single"/>
        </w:rPr>
        <w:t>:</w:t>
      </w:r>
      <w:r w:rsidR="00322B68" w:rsidRPr="004E152D">
        <w:rPr>
          <w:rFonts w:ascii="Times New Roman" w:hAnsi="Times New Roman"/>
          <w:b/>
          <w:spacing w:val="-3"/>
          <w:sz w:val="24"/>
          <w:szCs w:val="24"/>
        </w:rPr>
        <w:t xml:space="preserve">   </w:t>
      </w:r>
      <w:r w:rsidR="00322B68" w:rsidRPr="004E152D">
        <w:rPr>
          <w:rFonts w:ascii="Times New Roman" w:hAnsi="Times New Roman"/>
          <w:spacing w:val="-3"/>
          <w:sz w:val="24"/>
          <w:szCs w:val="24"/>
        </w:rPr>
        <w:t xml:space="preserve">Part 214-related application </w:t>
      </w:r>
      <w:r w:rsidR="000721D3" w:rsidRPr="004E152D">
        <w:rPr>
          <w:rFonts w:ascii="Times New Roman" w:hAnsi="Times New Roman"/>
          <w:spacing w:val="-3"/>
          <w:sz w:val="24"/>
          <w:szCs w:val="24"/>
        </w:rPr>
        <w:t xml:space="preserve">fees are </w:t>
      </w:r>
      <w:r w:rsidR="000721D3" w:rsidRPr="009D32BA">
        <w:rPr>
          <w:rFonts w:ascii="Times New Roman" w:hAnsi="Times New Roman"/>
          <w:spacing w:val="-3"/>
          <w:sz w:val="24"/>
          <w:szCs w:val="24"/>
        </w:rPr>
        <w:t>$1,</w:t>
      </w:r>
      <w:r w:rsidR="009D32BA" w:rsidRPr="009D32BA">
        <w:rPr>
          <w:rFonts w:ascii="Times New Roman" w:hAnsi="Times New Roman"/>
          <w:spacing w:val="-3"/>
          <w:sz w:val="24"/>
          <w:szCs w:val="24"/>
        </w:rPr>
        <w:t>155</w:t>
      </w:r>
      <w:r w:rsidR="00322B68" w:rsidRPr="004E152D">
        <w:rPr>
          <w:rFonts w:ascii="Times New Roman" w:hAnsi="Times New Roman"/>
          <w:spacing w:val="-3"/>
          <w:sz w:val="24"/>
          <w:szCs w:val="24"/>
        </w:rPr>
        <w:t xml:space="preserve">.  </w:t>
      </w:r>
      <w:r w:rsidR="00AD7D20" w:rsidRPr="004E152D">
        <w:rPr>
          <w:rFonts w:ascii="Times New Roman" w:hAnsi="Times New Roman"/>
          <w:spacing w:val="-3"/>
          <w:sz w:val="24"/>
          <w:szCs w:val="24"/>
        </w:rPr>
        <w:t>The</w:t>
      </w:r>
      <w:r w:rsidR="00C610CB" w:rsidRPr="004E152D">
        <w:rPr>
          <w:rFonts w:ascii="Times New Roman" w:hAnsi="Times New Roman"/>
          <w:spacing w:val="-3"/>
          <w:sz w:val="24"/>
          <w:szCs w:val="24"/>
        </w:rPr>
        <w:t xml:space="preserve"> annualized application fees collected by the FCC</w:t>
      </w:r>
      <w:r w:rsidR="00BB2E1A">
        <w:rPr>
          <w:rFonts w:ascii="Times New Roman" w:hAnsi="Times New Roman"/>
          <w:spacing w:val="-3"/>
          <w:sz w:val="24"/>
          <w:szCs w:val="24"/>
        </w:rPr>
        <w:t xml:space="preserve">, based on the average number of applications filed in 2014, 2105 and </w:t>
      </w:r>
      <w:r w:rsidR="00C610CB" w:rsidRPr="004E152D">
        <w:rPr>
          <w:rFonts w:ascii="Times New Roman" w:hAnsi="Times New Roman"/>
          <w:spacing w:val="-3"/>
          <w:sz w:val="24"/>
          <w:szCs w:val="24"/>
        </w:rPr>
        <w:t>201</w:t>
      </w:r>
      <w:r w:rsidR="00BB2E1A">
        <w:rPr>
          <w:rFonts w:ascii="Times New Roman" w:hAnsi="Times New Roman"/>
          <w:spacing w:val="-3"/>
          <w:sz w:val="24"/>
          <w:szCs w:val="24"/>
        </w:rPr>
        <w:t>6,</w:t>
      </w:r>
      <w:r w:rsidR="00C610CB" w:rsidRPr="004E152D">
        <w:rPr>
          <w:rFonts w:ascii="Times New Roman" w:hAnsi="Times New Roman"/>
          <w:spacing w:val="-3"/>
          <w:sz w:val="24"/>
          <w:szCs w:val="24"/>
        </w:rPr>
        <w:t xml:space="preserve"> are the following:</w:t>
      </w:r>
      <w:r w:rsidR="005A5FF1" w:rsidRPr="004E152D">
        <w:rPr>
          <w:rFonts w:ascii="Times New Roman" w:hAnsi="Times New Roman"/>
          <w:spacing w:val="-3"/>
          <w:sz w:val="24"/>
          <w:szCs w:val="24"/>
        </w:rPr>
        <w:t xml:space="preserve"> 1</w:t>
      </w:r>
      <w:r w:rsidR="00BB2E1A">
        <w:rPr>
          <w:rFonts w:ascii="Times New Roman" w:hAnsi="Times New Roman"/>
          <w:spacing w:val="-3"/>
          <w:sz w:val="24"/>
          <w:szCs w:val="24"/>
        </w:rPr>
        <w:t>40</w:t>
      </w:r>
      <w:r w:rsidR="00AD7D20" w:rsidRPr="004E152D">
        <w:rPr>
          <w:rFonts w:ascii="Times New Roman" w:hAnsi="Times New Roman"/>
          <w:spacing w:val="-3"/>
          <w:sz w:val="24"/>
          <w:szCs w:val="24"/>
        </w:rPr>
        <w:t xml:space="preserve"> </w:t>
      </w:r>
      <w:r w:rsidR="00974013" w:rsidRPr="004E152D">
        <w:rPr>
          <w:rFonts w:ascii="Times New Roman" w:hAnsi="Times New Roman"/>
          <w:spacing w:val="-3"/>
          <w:sz w:val="24"/>
          <w:szCs w:val="24"/>
        </w:rPr>
        <w:t>respons</w:t>
      </w:r>
      <w:r w:rsidR="004278A4" w:rsidRPr="004E152D">
        <w:rPr>
          <w:rFonts w:ascii="Times New Roman" w:hAnsi="Times New Roman"/>
          <w:spacing w:val="-3"/>
          <w:sz w:val="24"/>
          <w:szCs w:val="24"/>
        </w:rPr>
        <w:t>es</w:t>
      </w:r>
      <w:r w:rsidR="00974013" w:rsidRPr="004E152D">
        <w:rPr>
          <w:rFonts w:ascii="Times New Roman" w:hAnsi="Times New Roman"/>
          <w:spacing w:val="-3"/>
          <w:sz w:val="24"/>
          <w:szCs w:val="24"/>
        </w:rPr>
        <w:t xml:space="preserve"> </w:t>
      </w:r>
      <w:r w:rsidR="00AD7D20" w:rsidRPr="004E152D">
        <w:rPr>
          <w:rFonts w:ascii="Times New Roman" w:hAnsi="Times New Roman"/>
          <w:spacing w:val="-3"/>
          <w:sz w:val="24"/>
          <w:szCs w:val="24"/>
        </w:rPr>
        <w:t>(Section 214 applica</w:t>
      </w:r>
      <w:r w:rsidR="004278A4" w:rsidRPr="004E152D">
        <w:rPr>
          <w:rFonts w:ascii="Times New Roman" w:hAnsi="Times New Roman"/>
          <w:spacing w:val="-3"/>
          <w:sz w:val="24"/>
          <w:szCs w:val="24"/>
        </w:rPr>
        <w:t>tions</w:t>
      </w:r>
      <w:r w:rsidR="005A5FF1" w:rsidRPr="004E152D">
        <w:rPr>
          <w:rFonts w:ascii="Times New Roman" w:hAnsi="Times New Roman"/>
          <w:spacing w:val="-3"/>
          <w:sz w:val="24"/>
          <w:szCs w:val="24"/>
        </w:rPr>
        <w:t xml:space="preserve">) + </w:t>
      </w:r>
      <w:r w:rsidR="00E6468F">
        <w:rPr>
          <w:rFonts w:ascii="Times New Roman" w:hAnsi="Times New Roman"/>
          <w:spacing w:val="-3"/>
          <w:sz w:val="24"/>
          <w:szCs w:val="24"/>
        </w:rPr>
        <w:t>80</w:t>
      </w:r>
      <w:r w:rsidR="00AD7D20" w:rsidRPr="004E152D">
        <w:rPr>
          <w:rFonts w:ascii="Times New Roman" w:hAnsi="Times New Roman"/>
          <w:spacing w:val="-3"/>
          <w:sz w:val="24"/>
          <w:szCs w:val="24"/>
        </w:rPr>
        <w:t xml:space="preserve"> </w:t>
      </w:r>
      <w:r w:rsidR="00974013" w:rsidRPr="004E152D">
        <w:rPr>
          <w:rFonts w:ascii="Times New Roman" w:hAnsi="Times New Roman"/>
          <w:spacing w:val="-3"/>
          <w:sz w:val="24"/>
          <w:szCs w:val="24"/>
        </w:rPr>
        <w:t>respons</w:t>
      </w:r>
      <w:r w:rsidR="004278A4" w:rsidRPr="004E152D">
        <w:rPr>
          <w:rFonts w:ascii="Times New Roman" w:hAnsi="Times New Roman"/>
          <w:spacing w:val="-3"/>
          <w:sz w:val="24"/>
          <w:szCs w:val="24"/>
        </w:rPr>
        <w:t>es</w:t>
      </w:r>
      <w:r w:rsidR="00974013" w:rsidRPr="004E152D">
        <w:rPr>
          <w:rFonts w:ascii="Times New Roman" w:hAnsi="Times New Roman"/>
          <w:spacing w:val="-3"/>
          <w:sz w:val="24"/>
          <w:szCs w:val="24"/>
        </w:rPr>
        <w:t xml:space="preserve"> </w:t>
      </w:r>
      <w:r w:rsidR="00AD7D20" w:rsidRPr="004E152D">
        <w:rPr>
          <w:rFonts w:ascii="Times New Roman" w:hAnsi="Times New Roman"/>
          <w:spacing w:val="-3"/>
          <w:sz w:val="24"/>
          <w:szCs w:val="24"/>
        </w:rPr>
        <w:t>(</w:t>
      </w:r>
      <w:r w:rsidR="005A5FF1" w:rsidRPr="004E152D">
        <w:rPr>
          <w:rFonts w:ascii="Times New Roman" w:hAnsi="Times New Roman"/>
          <w:spacing w:val="-3"/>
          <w:sz w:val="24"/>
          <w:szCs w:val="24"/>
        </w:rPr>
        <w:t xml:space="preserve">substantial assignments and </w:t>
      </w:r>
      <w:r w:rsidR="00AD7D20" w:rsidRPr="004E152D">
        <w:rPr>
          <w:rFonts w:ascii="Times New Roman" w:hAnsi="Times New Roman"/>
          <w:spacing w:val="-3"/>
          <w:sz w:val="24"/>
          <w:szCs w:val="24"/>
        </w:rPr>
        <w:t>transfers of control</w:t>
      </w:r>
      <w:r w:rsidR="004278A4" w:rsidRPr="004E152D">
        <w:rPr>
          <w:rFonts w:ascii="Times New Roman" w:hAnsi="Times New Roman"/>
          <w:spacing w:val="-3"/>
          <w:sz w:val="24"/>
          <w:szCs w:val="24"/>
        </w:rPr>
        <w:t xml:space="preserve"> applications</w:t>
      </w:r>
      <w:r w:rsidR="00AD7D20" w:rsidRPr="004E152D">
        <w:rPr>
          <w:rFonts w:ascii="Times New Roman" w:hAnsi="Times New Roman"/>
          <w:spacing w:val="-3"/>
          <w:sz w:val="24"/>
          <w:szCs w:val="24"/>
        </w:rPr>
        <w:t>)</w:t>
      </w:r>
      <w:r w:rsidR="00BB2E1A">
        <w:rPr>
          <w:rFonts w:ascii="Times New Roman" w:hAnsi="Times New Roman"/>
          <w:spacing w:val="-3"/>
          <w:sz w:val="24"/>
          <w:szCs w:val="24"/>
        </w:rPr>
        <w:t xml:space="preserve"> + 20</w:t>
      </w:r>
      <w:r w:rsidR="006605E7" w:rsidRPr="004E152D">
        <w:rPr>
          <w:rFonts w:ascii="Times New Roman" w:hAnsi="Times New Roman"/>
          <w:spacing w:val="-3"/>
          <w:sz w:val="24"/>
          <w:szCs w:val="24"/>
        </w:rPr>
        <w:t xml:space="preserve"> responses (request for special temporary </w:t>
      </w:r>
      <w:r w:rsidR="006605E7" w:rsidRPr="00CD229C">
        <w:rPr>
          <w:rFonts w:ascii="Times New Roman" w:hAnsi="Times New Roman"/>
          <w:spacing w:val="-3"/>
          <w:sz w:val="24"/>
          <w:szCs w:val="24"/>
        </w:rPr>
        <w:t>authority applications)</w:t>
      </w:r>
      <w:r w:rsidR="005A5FF1" w:rsidRPr="004E152D">
        <w:rPr>
          <w:rFonts w:ascii="Times New Roman" w:hAnsi="Times New Roman"/>
          <w:spacing w:val="-3"/>
          <w:sz w:val="24"/>
          <w:szCs w:val="24"/>
        </w:rPr>
        <w:t xml:space="preserve"> = 2</w:t>
      </w:r>
      <w:r w:rsidR="00E6468F">
        <w:rPr>
          <w:rFonts w:ascii="Times New Roman" w:hAnsi="Times New Roman"/>
          <w:spacing w:val="-3"/>
          <w:sz w:val="24"/>
          <w:szCs w:val="24"/>
        </w:rPr>
        <w:t>40</w:t>
      </w:r>
      <w:r w:rsidR="00AD7D20" w:rsidRPr="004E152D">
        <w:rPr>
          <w:rFonts w:ascii="Times New Roman" w:hAnsi="Times New Roman"/>
          <w:spacing w:val="-3"/>
          <w:sz w:val="24"/>
          <w:szCs w:val="24"/>
        </w:rPr>
        <w:t xml:space="preserve"> applicants.</w:t>
      </w:r>
    </w:p>
    <w:p w:rsidR="00AD7D20" w:rsidRPr="004E152D" w:rsidRDefault="00AD7D20" w:rsidP="00AD7D20">
      <w:pPr>
        <w:tabs>
          <w:tab w:val="left" w:pos="-720"/>
          <w:tab w:val="left" w:pos="0"/>
        </w:tabs>
        <w:suppressAutoHyphens/>
        <w:ind w:right="720"/>
        <w:rPr>
          <w:rFonts w:ascii="Times New Roman" w:hAnsi="Times New Roman"/>
          <w:spacing w:val="-3"/>
          <w:sz w:val="24"/>
          <w:szCs w:val="24"/>
        </w:rPr>
      </w:pPr>
    </w:p>
    <w:p w:rsidR="005A0F06" w:rsidRPr="004E152D" w:rsidRDefault="000926DE" w:rsidP="00AD7D20">
      <w:pPr>
        <w:tabs>
          <w:tab w:val="left" w:pos="-720"/>
          <w:tab w:val="left" w:pos="0"/>
        </w:tabs>
        <w:suppressAutoHyphens/>
        <w:ind w:right="720"/>
        <w:rPr>
          <w:rFonts w:ascii="Times New Roman" w:hAnsi="Times New Roman"/>
          <w:b/>
          <w:spacing w:val="-3"/>
          <w:sz w:val="24"/>
          <w:szCs w:val="24"/>
        </w:rPr>
      </w:pPr>
      <w:r w:rsidRPr="004E152D">
        <w:rPr>
          <w:rFonts w:ascii="Times New Roman" w:hAnsi="Times New Roman"/>
          <w:spacing w:val="-3"/>
          <w:sz w:val="24"/>
          <w:szCs w:val="24"/>
        </w:rPr>
        <w:tab/>
      </w:r>
      <w:r w:rsidR="00AD7D20" w:rsidRPr="004E152D">
        <w:rPr>
          <w:rFonts w:ascii="Times New Roman" w:hAnsi="Times New Roman"/>
          <w:spacing w:val="-3"/>
          <w:sz w:val="24"/>
          <w:szCs w:val="24"/>
        </w:rPr>
        <w:t xml:space="preserve">A total of </w:t>
      </w:r>
      <w:r w:rsidR="005A5FF1" w:rsidRPr="004E152D">
        <w:rPr>
          <w:rFonts w:ascii="Times New Roman" w:hAnsi="Times New Roman"/>
          <w:spacing w:val="-3"/>
          <w:sz w:val="24"/>
          <w:szCs w:val="24"/>
        </w:rPr>
        <w:t>2</w:t>
      </w:r>
      <w:r w:rsidR="00E6468F">
        <w:rPr>
          <w:rFonts w:ascii="Times New Roman" w:hAnsi="Times New Roman"/>
          <w:spacing w:val="-3"/>
          <w:sz w:val="24"/>
          <w:szCs w:val="24"/>
        </w:rPr>
        <w:t>40</w:t>
      </w:r>
      <w:r w:rsidR="00974013" w:rsidRPr="004E152D">
        <w:rPr>
          <w:rFonts w:ascii="Times New Roman" w:hAnsi="Times New Roman"/>
          <w:spacing w:val="-3"/>
          <w:sz w:val="24"/>
          <w:szCs w:val="24"/>
        </w:rPr>
        <w:t xml:space="preserve"> </w:t>
      </w:r>
      <w:r w:rsidR="00CC5F17" w:rsidRPr="004E152D">
        <w:rPr>
          <w:rFonts w:ascii="Times New Roman" w:hAnsi="Times New Roman"/>
          <w:spacing w:val="-3"/>
          <w:sz w:val="24"/>
          <w:szCs w:val="24"/>
        </w:rPr>
        <w:t>respon</w:t>
      </w:r>
      <w:r w:rsidR="005D5728" w:rsidRPr="004E152D">
        <w:rPr>
          <w:rFonts w:ascii="Times New Roman" w:hAnsi="Times New Roman"/>
          <w:spacing w:val="-3"/>
          <w:sz w:val="24"/>
          <w:szCs w:val="24"/>
        </w:rPr>
        <w:t>dents</w:t>
      </w:r>
      <w:r w:rsidR="004278A4" w:rsidRPr="004E152D">
        <w:rPr>
          <w:rFonts w:ascii="Times New Roman" w:hAnsi="Times New Roman"/>
          <w:spacing w:val="-3"/>
          <w:sz w:val="24"/>
          <w:szCs w:val="24"/>
        </w:rPr>
        <w:t>/applica</w:t>
      </w:r>
      <w:r w:rsidR="005D5728" w:rsidRPr="004E152D">
        <w:rPr>
          <w:rFonts w:ascii="Times New Roman" w:hAnsi="Times New Roman"/>
          <w:spacing w:val="-3"/>
          <w:sz w:val="24"/>
          <w:szCs w:val="24"/>
        </w:rPr>
        <w:t>nts</w:t>
      </w:r>
      <w:r w:rsidR="005A5FF1" w:rsidRPr="004E152D">
        <w:rPr>
          <w:rFonts w:ascii="Times New Roman" w:hAnsi="Times New Roman"/>
          <w:spacing w:val="-3"/>
          <w:sz w:val="24"/>
          <w:szCs w:val="24"/>
        </w:rPr>
        <w:t xml:space="preserve"> x </w:t>
      </w:r>
      <w:r w:rsidR="005A5FF1" w:rsidRPr="009D32BA">
        <w:rPr>
          <w:rFonts w:ascii="Times New Roman" w:hAnsi="Times New Roman"/>
          <w:spacing w:val="-3"/>
          <w:sz w:val="24"/>
          <w:szCs w:val="24"/>
        </w:rPr>
        <w:t>$1,</w:t>
      </w:r>
      <w:r w:rsidR="009D32BA" w:rsidRPr="009D32BA">
        <w:rPr>
          <w:rFonts w:ascii="Times New Roman" w:hAnsi="Times New Roman"/>
          <w:spacing w:val="-3"/>
          <w:sz w:val="24"/>
          <w:szCs w:val="24"/>
        </w:rPr>
        <w:t>15</w:t>
      </w:r>
      <w:r w:rsidR="005A5FF1" w:rsidRPr="009D32BA">
        <w:rPr>
          <w:rFonts w:ascii="Times New Roman" w:hAnsi="Times New Roman"/>
          <w:spacing w:val="-3"/>
          <w:sz w:val="24"/>
          <w:szCs w:val="24"/>
        </w:rPr>
        <w:t>5</w:t>
      </w:r>
      <w:r w:rsidR="005A5FF1" w:rsidRPr="004E152D">
        <w:rPr>
          <w:rFonts w:ascii="Times New Roman" w:hAnsi="Times New Roman"/>
          <w:spacing w:val="-3"/>
          <w:sz w:val="24"/>
          <w:szCs w:val="24"/>
        </w:rPr>
        <w:t>/application</w:t>
      </w:r>
      <w:r w:rsidR="00AD7D20" w:rsidRPr="004E152D">
        <w:rPr>
          <w:rFonts w:ascii="Times New Roman" w:hAnsi="Times New Roman"/>
          <w:spacing w:val="-3"/>
          <w:sz w:val="24"/>
          <w:szCs w:val="24"/>
        </w:rPr>
        <w:t xml:space="preserve"> </w:t>
      </w:r>
      <w:r w:rsidR="00CC5F17" w:rsidRPr="004E152D">
        <w:rPr>
          <w:rFonts w:ascii="Times New Roman" w:hAnsi="Times New Roman"/>
          <w:spacing w:val="-3"/>
          <w:sz w:val="24"/>
          <w:szCs w:val="24"/>
        </w:rPr>
        <w:t xml:space="preserve">= </w:t>
      </w:r>
      <w:r w:rsidR="00CC5F17" w:rsidRPr="00722F19">
        <w:rPr>
          <w:rFonts w:ascii="Times New Roman" w:hAnsi="Times New Roman"/>
          <w:b/>
          <w:spacing w:val="-3"/>
          <w:sz w:val="24"/>
          <w:szCs w:val="24"/>
        </w:rPr>
        <w:t>$</w:t>
      </w:r>
      <w:r w:rsidR="00722F19" w:rsidRPr="00722F19">
        <w:rPr>
          <w:rFonts w:ascii="Times New Roman" w:hAnsi="Times New Roman"/>
          <w:b/>
          <w:spacing w:val="-3"/>
          <w:sz w:val="24"/>
          <w:szCs w:val="24"/>
        </w:rPr>
        <w:t>2</w:t>
      </w:r>
      <w:r w:rsidR="00E6468F">
        <w:rPr>
          <w:rFonts w:ascii="Times New Roman" w:hAnsi="Times New Roman"/>
          <w:b/>
          <w:spacing w:val="-3"/>
          <w:sz w:val="24"/>
          <w:szCs w:val="24"/>
        </w:rPr>
        <w:t>77,</w:t>
      </w:r>
      <w:r w:rsidR="00722F19" w:rsidRPr="00722F19">
        <w:rPr>
          <w:rFonts w:ascii="Times New Roman" w:hAnsi="Times New Roman"/>
          <w:b/>
          <w:spacing w:val="-3"/>
          <w:sz w:val="24"/>
          <w:szCs w:val="24"/>
        </w:rPr>
        <w:t>2</w:t>
      </w:r>
      <w:r w:rsidR="00E6468F">
        <w:rPr>
          <w:rFonts w:ascii="Times New Roman" w:hAnsi="Times New Roman"/>
          <w:b/>
          <w:spacing w:val="-3"/>
          <w:sz w:val="24"/>
          <w:szCs w:val="24"/>
        </w:rPr>
        <w:t>00</w:t>
      </w:r>
      <w:r w:rsidR="007A37CC" w:rsidRPr="004E152D">
        <w:rPr>
          <w:rFonts w:ascii="Times New Roman" w:hAnsi="Times New Roman"/>
          <w:b/>
          <w:spacing w:val="-3"/>
          <w:sz w:val="24"/>
          <w:szCs w:val="24"/>
        </w:rPr>
        <w:t xml:space="preserve"> Total </w:t>
      </w:r>
      <w:r w:rsidR="004278A4" w:rsidRPr="004E152D">
        <w:rPr>
          <w:rFonts w:ascii="Times New Roman" w:hAnsi="Times New Roman"/>
          <w:b/>
          <w:spacing w:val="-3"/>
          <w:sz w:val="24"/>
          <w:szCs w:val="24"/>
        </w:rPr>
        <w:tab/>
      </w:r>
    </w:p>
    <w:p w:rsidR="000E6E58" w:rsidRPr="004E152D" w:rsidRDefault="004278A4" w:rsidP="00AD7D20">
      <w:pPr>
        <w:tabs>
          <w:tab w:val="left" w:pos="-720"/>
          <w:tab w:val="left" w:pos="0"/>
        </w:tabs>
        <w:suppressAutoHyphens/>
        <w:ind w:right="720"/>
        <w:rPr>
          <w:rFonts w:ascii="Times New Roman" w:hAnsi="Times New Roman"/>
          <w:bCs/>
          <w:spacing w:val="-3"/>
          <w:sz w:val="24"/>
          <w:szCs w:val="24"/>
          <w:u w:val="single"/>
        </w:rPr>
      </w:pP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r>
      <w:r w:rsidRPr="004E152D">
        <w:rPr>
          <w:rFonts w:ascii="Times New Roman" w:hAnsi="Times New Roman"/>
          <w:b/>
          <w:spacing w:val="-3"/>
          <w:sz w:val="24"/>
          <w:szCs w:val="24"/>
        </w:rPr>
        <w:tab/>
        <w:t xml:space="preserve">         </w:t>
      </w:r>
      <w:r w:rsidR="007A37CC" w:rsidRPr="004E152D">
        <w:rPr>
          <w:rFonts w:ascii="Times New Roman" w:hAnsi="Times New Roman"/>
          <w:b/>
          <w:spacing w:val="-3"/>
          <w:sz w:val="24"/>
          <w:szCs w:val="24"/>
        </w:rPr>
        <w:t>Application Fees</w:t>
      </w:r>
    </w:p>
    <w:p w:rsidR="00A36F9E" w:rsidRDefault="003D4B88" w:rsidP="00AD7D20">
      <w:pPr>
        <w:tabs>
          <w:tab w:val="left" w:pos="-720"/>
          <w:tab w:val="left" w:pos="0"/>
        </w:tabs>
        <w:suppressAutoHyphens/>
        <w:ind w:right="720"/>
        <w:rPr>
          <w:rFonts w:ascii="Times New Roman" w:hAnsi="Times New Roman"/>
          <w:b/>
          <w:bCs/>
          <w:spacing w:val="-3"/>
          <w:sz w:val="24"/>
          <w:szCs w:val="24"/>
        </w:rPr>
      </w:pPr>
      <w:r w:rsidRPr="004E152D">
        <w:rPr>
          <w:rFonts w:ascii="Times New Roman" w:hAnsi="Times New Roman"/>
          <w:b/>
          <w:bCs/>
          <w:spacing w:val="-3"/>
          <w:sz w:val="24"/>
          <w:szCs w:val="24"/>
        </w:rPr>
        <w:tab/>
      </w:r>
    </w:p>
    <w:p w:rsidR="00A36F9E" w:rsidRDefault="00A36F9E">
      <w:pPr>
        <w:widowControl/>
        <w:rPr>
          <w:rFonts w:ascii="Times New Roman" w:hAnsi="Times New Roman"/>
          <w:b/>
          <w:bCs/>
          <w:spacing w:val="-3"/>
          <w:sz w:val="24"/>
          <w:szCs w:val="24"/>
        </w:rPr>
      </w:pPr>
    </w:p>
    <w:p w:rsidR="00AD7D20" w:rsidRPr="004E152D" w:rsidRDefault="000926DE" w:rsidP="00AD7D20">
      <w:pPr>
        <w:tabs>
          <w:tab w:val="left" w:pos="-720"/>
          <w:tab w:val="left" w:pos="0"/>
        </w:tabs>
        <w:suppressAutoHyphens/>
        <w:ind w:right="720"/>
        <w:rPr>
          <w:rFonts w:ascii="Times New Roman" w:hAnsi="Times New Roman"/>
          <w:b/>
          <w:bCs/>
          <w:spacing w:val="-3"/>
          <w:sz w:val="24"/>
          <w:szCs w:val="24"/>
        </w:rPr>
      </w:pPr>
      <w:r w:rsidRPr="004E152D">
        <w:rPr>
          <w:rFonts w:ascii="Times New Roman" w:hAnsi="Times New Roman"/>
          <w:bCs/>
          <w:spacing w:val="-3"/>
          <w:sz w:val="24"/>
          <w:szCs w:val="24"/>
        </w:rPr>
        <w:t>(c).</w:t>
      </w:r>
      <w:r w:rsidR="007E4536">
        <w:rPr>
          <w:rFonts w:ascii="Times New Roman" w:hAnsi="Times New Roman"/>
          <w:b/>
          <w:bCs/>
          <w:spacing w:val="-3"/>
          <w:sz w:val="24"/>
          <w:szCs w:val="24"/>
        </w:rPr>
        <w:t xml:space="preserve"> </w:t>
      </w:r>
      <w:r w:rsidRPr="004E152D">
        <w:rPr>
          <w:rFonts w:ascii="Times New Roman" w:hAnsi="Times New Roman"/>
          <w:b/>
          <w:bCs/>
          <w:spacing w:val="-3"/>
          <w:sz w:val="24"/>
          <w:szCs w:val="24"/>
        </w:rPr>
        <w:t>Total Annual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D7D20" w:rsidRPr="004E152D" w:rsidTr="003D1859">
        <w:tc>
          <w:tcPr>
            <w:tcW w:w="4788" w:type="dxa"/>
            <w:shd w:val="clear" w:color="auto" w:fill="C0C0C0"/>
          </w:tcPr>
          <w:p w:rsidR="001F1E6B" w:rsidRPr="004E152D" w:rsidRDefault="001F1E6B" w:rsidP="003D1859">
            <w:pPr>
              <w:tabs>
                <w:tab w:val="left" w:pos="-720"/>
                <w:tab w:val="left" w:pos="0"/>
              </w:tabs>
              <w:suppressAutoHyphens/>
              <w:ind w:right="720"/>
              <w:jc w:val="center"/>
              <w:rPr>
                <w:rFonts w:ascii="Times New Roman" w:hAnsi="Times New Roman"/>
                <w:b/>
                <w:spacing w:val="-3"/>
                <w:sz w:val="24"/>
                <w:szCs w:val="24"/>
              </w:rPr>
            </w:pPr>
          </w:p>
          <w:p w:rsidR="005F3971" w:rsidRPr="004E152D" w:rsidRDefault="005F3971"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 xml:space="preserve">Description of </w:t>
            </w:r>
            <w:r w:rsidR="00D74A63" w:rsidRPr="004E152D">
              <w:rPr>
                <w:rFonts w:ascii="Times New Roman" w:hAnsi="Times New Roman"/>
                <w:b/>
                <w:spacing w:val="-3"/>
                <w:sz w:val="24"/>
                <w:szCs w:val="24"/>
              </w:rPr>
              <w:t xml:space="preserve">Estimated Costs </w:t>
            </w:r>
          </w:p>
          <w:p w:rsidR="00AD7D20" w:rsidRPr="004E152D" w:rsidRDefault="00D74A63"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to Respondents</w:t>
            </w:r>
          </w:p>
        </w:tc>
        <w:tc>
          <w:tcPr>
            <w:tcW w:w="4788" w:type="dxa"/>
            <w:shd w:val="clear" w:color="auto" w:fill="C0C0C0"/>
          </w:tcPr>
          <w:p w:rsidR="001F1E6B" w:rsidRPr="004E152D" w:rsidRDefault="001F1E6B" w:rsidP="003D1859">
            <w:pPr>
              <w:tabs>
                <w:tab w:val="left" w:pos="-720"/>
                <w:tab w:val="left" w:pos="0"/>
              </w:tabs>
              <w:suppressAutoHyphens/>
              <w:ind w:right="720"/>
              <w:jc w:val="center"/>
              <w:rPr>
                <w:rFonts w:ascii="Times New Roman" w:hAnsi="Times New Roman"/>
                <w:b/>
                <w:spacing w:val="-3"/>
                <w:sz w:val="24"/>
                <w:szCs w:val="24"/>
              </w:rPr>
            </w:pPr>
          </w:p>
          <w:p w:rsidR="00AD7D20" w:rsidRPr="004E152D" w:rsidRDefault="00AD7D20"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Total</w:t>
            </w:r>
            <w:r w:rsidR="001F1E6B" w:rsidRPr="004E152D">
              <w:rPr>
                <w:rFonts w:ascii="Times New Roman" w:hAnsi="Times New Roman"/>
                <w:b/>
                <w:spacing w:val="-3"/>
                <w:sz w:val="24"/>
                <w:szCs w:val="24"/>
              </w:rPr>
              <w:t xml:space="preserve"> Costs</w:t>
            </w:r>
          </w:p>
        </w:tc>
      </w:tr>
      <w:tr w:rsidR="00DC006E" w:rsidRPr="004E152D" w:rsidTr="003D1859">
        <w:tc>
          <w:tcPr>
            <w:tcW w:w="4788" w:type="dxa"/>
            <w:shd w:val="clear" w:color="auto" w:fill="auto"/>
          </w:tcPr>
          <w:p w:rsidR="00DC006E" w:rsidRPr="004E152D" w:rsidRDefault="00DC006E" w:rsidP="003D1859">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00DC006E" w:rsidRPr="004E152D" w:rsidRDefault="00DC006E" w:rsidP="003D1859">
            <w:pPr>
              <w:tabs>
                <w:tab w:val="left" w:pos="-720"/>
                <w:tab w:val="left" w:pos="0"/>
              </w:tabs>
              <w:suppressAutoHyphens/>
              <w:ind w:right="720"/>
              <w:jc w:val="center"/>
              <w:rPr>
                <w:rFonts w:ascii="Times New Roman" w:hAnsi="Times New Roman"/>
                <w:sz w:val="24"/>
              </w:rPr>
            </w:pPr>
          </w:p>
        </w:tc>
      </w:tr>
      <w:tr w:rsidR="00AD7D20" w:rsidRPr="004E152D" w:rsidTr="003D1859">
        <w:tc>
          <w:tcPr>
            <w:tcW w:w="4788" w:type="dxa"/>
            <w:shd w:val="clear" w:color="auto" w:fill="auto"/>
          </w:tcPr>
          <w:p w:rsidR="00AD7D20" w:rsidRPr="004E152D" w:rsidRDefault="00AD7D20" w:rsidP="003D1859">
            <w:pPr>
              <w:tabs>
                <w:tab w:val="left" w:pos="-720"/>
                <w:tab w:val="left" w:pos="0"/>
              </w:tabs>
              <w:suppressAutoHyphens/>
              <w:ind w:right="720"/>
              <w:jc w:val="center"/>
              <w:rPr>
                <w:rFonts w:ascii="Times New Roman" w:hAnsi="Times New Roman"/>
                <w:spacing w:val="-3"/>
                <w:sz w:val="24"/>
                <w:szCs w:val="24"/>
              </w:rPr>
            </w:pPr>
            <w:r w:rsidRPr="004E152D">
              <w:rPr>
                <w:rFonts w:ascii="Times New Roman" w:hAnsi="Times New Roman"/>
                <w:spacing w:val="-3"/>
                <w:sz w:val="24"/>
                <w:szCs w:val="24"/>
              </w:rPr>
              <w:t>Outside Legal</w:t>
            </w:r>
            <w:r w:rsidR="008C1564" w:rsidRPr="004E152D">
              <w:rPr>
                <w:rFonts w:ascii="Times New Roman" w:hAnsi="Times New Roman"/>
                <w:spacing w:val="-3"/>
                <w:sz w:val="24"/>
                <w:szCs w:val="24"/>
              </w:rPr>
              <w:t xml:space="preserve"> </w:t>
            </w:r>
            <w:r w:rsidRPr="004E152D">
              <w:rPr>
                <w:rFonts w:ascii="Times New Roman" w:hAnsi="Times New Roman"/>
                <w:spacing w:val="-3"/>
                <w:sz w:val="24"/>
                <w:szCs w:val="24"/>
              </w:rPr>
              <w:t>Assistance</w:t>
            </w:r>
          </w:p>
          <w:p w:rsidR="00AD7D20" w:rsidRPr="004E152D" w:rsidRDefault="00AD7D20" w:rsidP="003D1859">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00AD7D20" w:rsidRPr="00253A77" w:rsidRDefault="00D74A63" w:rsidP="00253A77">
            <w:pPr>
              <w:tabs>
                <w:tab w:val="left" w:pos="-720"/>
                <w:tab w:val="left" w:pos="0"/>
              </w:tabs>
              <w:suppressAutoHyphens/>
              <w:ind w:right="720"/>
              <w:jc w:val="center"/>
              <w:rPr>
                <w:rFonts w:ascii="Times New Roman" w:hAnsi="Times New Roman"/>
                <w:b/>
                <w:spacing w:val="-3"/>
                <w:sz w:val="24"/>
                <w:szCs w:val="24"/>
              </w:rPr>
            </w:pPr>
            <w:r w:rsidRPr="00253A77">
              <w:rPr>
                <w:rFonts w:ascii="Times New Roman" w:hAnsi="Times New Roman"/>
                <w:sz w:val="24"/>
              </w:rPr>
              <w:t>$</w:t>
            </w:r>
            <w:r w:rsidR="002250FF" w:rsidRPr="00253A77">
              <w:rPr>
                <w:rFonts w:ascii="Times New Roman" w:hAnsi="Times New Roman"/>
                <w:sz w:val="24"/>
              </w:rPr>
              <w:t>4</w:t>
            </w:r>
            <w:r w:rsidR="00253A77" w:rsidRPr="00253A77">
              <w:rPr>
                <w:rFonts w:ascii="Times New Roman" w:hAnsi="Times New Roman"/>
                <w:sz w:val="24"/>
              </w:rPr>
              <w:t>75,2</w:t>
            </w:r>
            <w:r w:rsidR="005A5FF1" w:rsidRPr="00253A77">
              <w:rPr>
                <w:rFonts w:ascii="Times New Roman" w:hAnsi="Times New Roman"/>
                <w:sz w:val="24"/>
              </w:rPr>
              <w:t>00</w:t>
            </w:r>
          </w:p>
        </w:tc>
      </w:tr>
      <w:tr w:rsidR="00D74A63" w:rsidRPr="004E152D" w:rsidTr="003D1859">
        <w:tc>
          <w:tcPr>
            <w:tcW w:w="4788" w:type="dxa"/>
            <w:shd w:val="clear" w:color="auto" w:fill="auto"/>
          </w:tcPr>
          <w:p w:rsidR="00D74A63" w:rsidRPr="004E152D" w:rsidRDefault="00D74A63" w:rsidP="003D1859">
            <w:pPr>
              <w:tabs>
                <w:tab w:val="left" w:pos="-720"/>
                <w:tab w:val="left" w:pos="0"/>
              </w:tabs>
              <w:suppressAutoHyphens/>
              <w:ind w:right="720"/>
              <w:jc w:val="center"/>
              <w:rPr>
                <w:rFonts w:ascii="Times New Roman" w:hAnsi="Times New Roman"/>
                <w:spacing w:val="-3"/>
                <w:sz w:val="24"/>
                <w:szCs w:val="24"/>
              </w:rPr>
            </w:pPr>
            <w:r w:rsidRPr="004E152D">
              <w:rPr>
                <w:rFonts w:ascii="Times New Roman" w:hAnsi="Times New Roman"/>
                <w:spacing w:val="-3"/>
                <w:sz w:val="24"/>
                <w:szCs w:val="24"/>
              </w:rPr>
              <w:t xml:space="preserve">Application Filing Fees </w:t>
            </w:r>
          </w:p>
          <w:p w:rsidR="00D74A63" w:rsidRPr="004E152D" w:rsidRDefault="00D74A63" w:rsidP="003D1859">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00D74A63" w:rsidRPr="00E6468F" w:rsidRDefault="00722F19" w:rsidP="00E6468F">
            <w:pPr>
              <w:tabs>
                <w:tab w:val="left" w:pos="-720"/>
                <w:tab w:val="left" w:pos="0"/>
              </w:tabs>
              <w:suppressAutoHyphens/>
              <w:ind w:right="720"/>
              <w:jc w:val="center"/>
              <w:rPr>
                <w:rFonts w:ascii="Times New Roman" w:hAnsi="Times New Roman"/>
                <w:spacing w:val="-3"/>
                <w:sz w:val="24"/>
                <w:szCs w:val="24"/>
              </w:rPr>
            </w:pPr>
            <w:r w:rsidRPr="00E6468F">
              <w:rPr>
                <w:rFonts w:ascii="Times New Roman" w:hAnsi="Times New Roman"/>
                <w:spacing w:val="-3"/>
                <w:sz w:val="24"/>
                <w:szCs w:val="24"/>
              </w:rPr>
              <w:t>$</w:t>
            </w:r>
            <w:r w:rsidR="00E6468F" w:rsidRPr="00E6468F">
              <w:rPr>
                <w:rFonts w:ascii="Times New Roman" w:hAnsi="Times New Roman"/>
                <w:spacing w:val="-3"/>
                <w:sz w:val="24"/>
                <w:szCs w:val="24"/>
              </w:rPr>
              <w:t>277,200</w:t>
            </w:r>
          </w:p>
        </w:tc>
      </w:tr>
      <w:tr w:rsidR="00D74A63" w:rsidRPr="004E152D" w:rsidTr="003D1859">
        <w:tc>
          <w:tcPr>
            <w:tcW w:w="4788" w:type="dxa"/>
            <w:shd w:val="clear" w:color="auto" w:fill="auto"/>
          </w:tcPr>
          <w:p w:rsidR="00D74A63" w:rsidRPr="004E152D" w:rsidRDefault="00D74A63" w:rsidP="003D1859">
            <w:pPr>
              <w:tabs>
                <w:tab w:val="left" w:pos="-720"/>
                <w:tab w:val="left" w:pos="0"/>
              </w:tabs>
              <w:suppressAutoHyphens/>
              <w:ind w:right="720"/>
              <w:jc w:val="center"/>
              <w:rPr>
                <w:rFonts w:ascii="Times New Roman" w:hAnsi="Times New Roman"/>
                <w:b/>
                <w:spacing w:val="-3"/>
                <w:sz w:val="24"/>
                <w:szCs w:val="24"/>
              </w:rPr>
            </w:pPr>
            <w:r w:rsidRPr="004E152D">
              <w:rPr>
                <w:rFonts w:ascii="Times New Roman" w:hAnsi="Times New Roman"/>
                <w:b/>
                <w:spacing w:val="-3"/>
                <w:sz w:val="24"/>
                <w:szCs w:val="24"/>
              </w:rPr>
              <w:t>Total Cost to Respondents</w:t>
            </w:r>
          </w:p>
          <w:p w:rsidR="00D74A63" w:rsidRPr="004E152D" w:rsidRDefault="00D74A63" w:rsidP="003D1859">
            <w:pPr>
              <w:tabs>
                <w:tab w:val="left" w:pos="-720"/>
                <w:tab w:val="left" w:pos="0"/>
              </w:tabs>
              <w:suppressAutoHyphens/>
              <w:ind w:right="720"/>
              <w:jc w:val="center"/>
              <w:rPr>
                <w:rFonts w:ascii="Times New Roman" w:hAnsi="Times New Roman"/>
                <w:b/>
                <w:spacing w:val="-3"/>
                <w:sz w:val="24"/>
                <w:szCs w:val="24"/>
              </w:rPr>
            </w:pPr>
          </w:p>
        </w:tc>
        <w:tc>
          <w:tcPr>
            <w:tcW w:w="4788" w:type="dxa"/>
            <w:shd w:val="clear" w:color="auto" w:fill="auto"/>
          </w:tcPr>
          <w:p w:rsidR="00D74A63" w:rsidRPr="00253A77" w:rsidRDefault="00081607" w:rsidP="003D1859">
            <w:pPr>
              <w:tabs>
                <w:tab w:val="left" w:pos="-720"/>
                <w:tab w:val="left" w:pos="0"/>
              </w:tabs>
              <w:suppressAutoHyphens/>
              <w:ind w:right="720"/>
              <w:jc w:val="center"/>
              <w:rPr>
                <w:rFonts w:ascii="Times New Roman" w:hAnsi="Times New Roman"/>
                <w:b/>
                <w:spacing w:val="-3"/>
                <w:sz w:val="24"/>
                <w:szCs w:val="24"/>
              </w:rPr>
            </w:pPr>
            <w:r w:rsidRPr="00253A77">
              <w:rPr>
                <w:rFonts w:ascii="Times New Roman" w:hAnsi="Times New Roman"/>
                <w:b/>
                <w:spacing w:val="-3"/>
                <w:sz w:val="24"/>
                <w:szCs w:val="24"/>
              </w:rPr>
              <w:t>$</w:t>
            </w:r>
            <w:r w:rsidR="00227A7A" w:rsidRPr="00253A77">
              <w:rPr>
                <w:rFonts w:ascii="Times New Roman" w:hAnsi="Times New Roman"/>
                <w:b/>
                <w:spacing w:val="-3"/>
                <w:sz w:val="24"/>
                <w:szCs w:val="24"/>
              </w:rPr>
              <w:t>7</w:t>
            </w:r>
            <w:r w:rsidR="00E6468F">
              <w:rPr>
                <w:rFonts w:ascii="Times New Roman" w:hAnsi="Times New Roman"/>
                <w:b/>
                <w:spacing w:val="-3"/>
                <w:sz w:val="24"/>
                <w:szCs w:val="24"/>
              </w:rPr>
              <w:t>52,400</w:t>
            </w:r>
          </w:p>
          <w:p w:rsidR="00D74A63" w:rsidRPr="00253A77" w:rsidRDefault="00D74A63" w:rsidP="003D1859">
            <w:pPr>
              <w:tabs>
                <w:tab w:val="left" w:pos="-720"/>
                <w:tab w:val="left" w:pos="0"/>
              </w:tabs>
              <w:suppressAutoHyphens/>
              <w:ind w:right="720"/>
              <w:jc w:val="center"/>
              <w:rPr>
                <w:rFonts w:ascii="Times New Roman" w:hAnsi="Times New Roman"/>
                <w:b/>
                <w:spacing w:val="-3"/>
                <w:sz w:val="24"/>
                <w:szCs w:val="24"/>
              </w:rPr>
            </w:pPr>
          </w:p>
        </w:tc>
      </w:tr>
    </w:tbl>
    <w:p w:rsidR="00BA0AFA" w:rsidRPr="004E152D" w:rsidRDefault="00BA0AFA" w:rsidP="00BA0AFA">
      <w:pPr>
        <w:tabs>
          <w:tab w:val="left" w:pos="-720"/>
          <w:tab w:val="left" w:pos="0"/>
        </w:tabs>
        <w:suppressAutoHyphens/>
        <w:ind w:left="182" w:hanging="182"/>
      </w:pPr>
    </w:p>
    <w:p w:rsidR="00F418CA" w:rsidRPr="004E152D" w:rsidRDefault="00F418CA" w:rsidP="00BA0AFA">
      <w:pPr>
        <w:tabs>
          <w:tab w:val="left" w:pos="-720"/>
          <w:tab w:val="left" w:pos="0"/>
        </w:tabs>
        <w:suppressAutoHyphens/>
        <w:ind w:left="182" w:hanging="182"/>
        <w:rPr>
          <w:rFonts w:ascii="Times New Roman" w:hAnsi="Times New Roman"/>
          <w:sz w:val="24"/>
          <w:szCs w:val="24"/>
        </w:rPr>
      </w:pPr>
    </w:p>
    <w:p w:rsidR="00BA0AFA" w:rsidRPr="004E152D" w:rsidRDefault="00BA0AFA" w:rsidP="00BA0AFA">
      <w:pPr>
        <w:tabs>
          <w:tab w:val="left" w:pos="-720"/>
          <w:tab w:val="left" w:pos="0"/>
        </w:tabs>
        <w:suppressAutoHyphens/>
        <w:ind w:left="182" w:hanging="182"/>
        <w:rPr>
          <w:rFonts w:ascii="Times New Roman" w:hAnsi="Times New Roman"/>
          <w:sz w:val="24"/>
          <w:szCs w:val="24"/>
        </w:rPr>
      </w:pPr>
      <w:r w:rsidRPr="004E152D">
        <w:rPr>
          <w:rFonts w:ascii="Times New Roman" w:hAnsi="Times New Roman"/>
          <w:sz w:val="24"/>
          <w:szCs w:val="24"/>
        </w:rPr>
        <w:t>14.   Estimates of Annualized Cost to the Federal Government:</w:t>
      </w:r>
    </w:p>
    <w:p w:rsidR="00BA0AFA" w:rsidRPr="004E152D" w:rsidRDefault="00BA0AFA" w:rsidP="00BA0AFA">
      <w:pPr>
        <w:tabs>
          <w:tab w:val="left" w:pos="-720"/>
        </w:tabs>
        <w:suppressAutoHyphens/>
        <w:rPr>
          <w:rFonts w:ascii="Times New Roman" w:hAnsi="Times New Roman"/>
          <w:sz w:val="24"/>
          <w:szCs w:val="24"/>
        </w:rPr>
      </w:pPr>
    </w:p>
    <w:p w:rsidR="00BA0AFA" w:rsidRPr="00473D6B" w:rsidRDefault="00322B68" w:rsidP="00BA0AFA">
      <w:pPr>
        <w:tabs>
          <w:tab w:val="left" w:pos="-720"/>
        </w:tabs>
        <w:suppressAutoHyphens/>
        <w:rPr>
          <w:rFonts w:ascii="Times New Roman" w:hAnsi="Times New Roman"/>
          <w:sz w:val="24"/>
          <w:szCs w:val="24"/>
        </w:rPr>
      </w:pPr>
      <w:r w:rsidRPr="004E152D">
        <w:rPr>
          <w:rFonts w:ascii="Times New Roman" w:hAnsi="Times New Roman"/>
          <w:sz w:val="24"/>
          <w:szCs w:val="24"/>
        </w:rPr>
        <w:t xml:space="preserve">The estimates of annualized cost to the Federal government are summarized in the chart below.  </w:t>
      </w:r>
      <w:r w:rsidR="00BA0AFA" w:rsidRPr="004E152D">
        <w:rPr>
          <w:rFonts w:ascii="Times New Roman" w:hAnsi="Times New Roman"/>
          <w:sz w:val="24"/>
          <w:szCs w:val="24"/>
        </w:rPr>
        <w:t xml:space="preserve">As shown in the chart, the annualized costs to the Federal government are </w:t>
      </w:r>
      <w:r w:rsidR="00BA0AFA" w:rsidRPr="004E152D">
        <w:rPr>
          <w:rFonts w:ascii="Times New Roman" w:hAnsi="Times New Roman"/>
          <w:sz w:val="24"/>
          <w:szCs w:val="24"/>
          <w:u w:val="single"/>
        </w:rPr>
        <w:t>$</w:t>
      </w:r>
      <w:r w:rsidR="00053591">
        <w:rPr>
          <w:rFonts w:ascii="Times New Roman" w:hAnsi="Times New Roman"/>
          <w:sz w:val="24"/>
          <w:szCs w:val="24"/>
          <w:u w:val="single"/>
        </w:rPr>
        <w:t>2</w:t>
      </w:r>
      <w:r w:rsidR="00AE3067">
        <w:rPr>
          <w:rFonts w:ascii="Times New Roman" w:hAnsi="Times New Roman"/>
          <w:sz w:val="24"/>
          <w:szCs w:val="24"/>
          <w:u w:val="single"/>
        </w:rPr>
        <w:t>67,750</w:t>
      </w:r>
      <w:r w:rsidR="006B4ACF" w:rsidRPr="004E152D">
        <w:rPr>
          <w:rFonts w:ascii="Times New Roman" w:hAnsi="Times New Roman"/>
          <w:sz w:val="24"/>
          <w:szCs w:val="24"/>
          <w:u w:val="single"/>
        </w:rPr>
        <w:t>.</w:t>
      </w:r>
    </w:p>
    <w:p w:rsidR="00437399" w:rsidRPr="00A90261" w:rsidRDefault="00437399" w:rsidP="00BA0AFA">
      <w:pPr>
        <w:tabs>
          <w:tab w:val="left" w:pos="-720"/>
        </w:tabs>
        <w:suppressAutoHyphens/>
        <w:rPr>
          <w:rFonts w:ascii="Times New Roman" w:hAnsi="Times New Roman"/>
          <w:sz w:val="24"/>
          <w:szCs w:val="24"/>
        </w:rPr>
      </w:pPr>
    </w:p>
    <w:tbl>
      <w:tblPr>
        <w:tblW w:w="7910" w:type="dxa"/>
        <w:tblInd w:w="93" w:type="dxa"/>
        <w:tblLook w:val="0000" w:firstRow="0" w:lastRow="0" w:firstColumn="0" w:lastColumn="0" w:noHBand="0" w:noVBand="0"/>
      </w:tblPr>
      <w:tblGrid>
        <w:gridCol w:w="2350"/>
        <w:gridCol w:w="1500"/>
        <w:gridCol w:w="1380"/>
        <w:gridCol w:w="1160"/>
        <w:gridCol w:w="1520"/>
      </w:tblGrid>
      <w:tr w:rsidR="00437399" w:rsidRPr="004E152D">
        <w:trPr>
          <w:trHeight w:val="315"/>
        </w:trPr>
        <w:tc>
          <w:tcPr>
            <w:tcW w:w="2350" w:type="dxa"/>
            <w:tcBorders>
              <w:top w:val="nil"/>
              <w:left w:val="nil"/>
              <w:bottom w:val="nil"/>
              <w:right w:val="nil"/>
            </w:tcBorders>
            <w:shd w:val="clear" w:color="auto" w:fill="auto"/>
            <w:noWrap/>
            <w:vAlign w:val="bottom"/>
          </w:tcPr>
          <w:p w:rsidR="00437399" w:rsidRPr="00644F93" w:rsidRDefault="00437399" w:rsidP="00437399">
            <w:pPr>
              <w:widowControl/>
              <w:rPr>
                <w:rFonts w:ascii="Arial" w:hAnsi="Arial" w:cs="Arial"/>
                <w:snapToGrid/>
              </w:rPr>
            </w:pPr>
          </w:p>
        </w:tc>
        <w:tc>
          <w:tcPr>
            <w:tcW w:w="1500" w:type="dxa"/>
            <w:tcBorders>
              <w:top w:val="nil"/>
              <w:left w:val="nil"/>
              <w:bottom w:val="nil"/>
              <w:right w:val="nil"/>
            </w:tcBorders>
            <w:shd w:val="clear" w:color="auto" w:fill="auto"/>
            <w:noWrap/>
            <w:vAlign w:val="bottom"/>
          </w:tcPr>
          <w:p w:rsidR="00437399" w:rsidRPr="004E152D" w:rsidRDefault="00437399" w:rsidP="00437399">
            <w:pPr>
              <w:widowControl/>
              <w:rPr>
                <w:rFonts w:ascii="Arial" w:hAnsi="Arial" w:cs="Arial"/>
                <w:snapToGrid/>
              </w:rPr>
            </w:pPr>
          </w:p>
        </w:tc>
        <w:tc>
          <w:tcPr>
            <w:tcW w:w="1380" w:type="dxa"/>
            <w:tcBorders>
              <w:top w:val="nil"/>
              <w:left w:val="nil"/>
              <w:bottom w:val="nil"/>
              <w:right w:val="nil"/>
            </w:tcBorders>
            <w:shd w:val="clear" w:color="auto" w:fill="auto"/>
            <w:noWrap/>
            <w:vAlign w:val="bottom"/>
          </w:tcPr>
          <w:p w:rsidR="00437399" w:rsidRPr="004E152D" w:rsidRDefault="00437399" w:rsidP="00437399">
            <w:pPr>
              <w:widowControl/>
              <w:rPr>
                <w:rFonts w:ascii="Arial" w:hAnsi="Arial" w:cs="Arial"/>
                <w:snapToGrid/>
              </w:rPr>
            </w:pPr>
          </w:p>
        </w:tc>
        <w:tc>
          <w:tcPr>
            <w:tcW w:w="116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Annual</w:t>
            </w:r>
          </w:p>
        </w:tc>
        <w:tc>
          <w:tcPr>
            <w:tcW w:w="1520" w:type="dxa"/>
            <w:tcBorders>
              <w:top w:val="nil"/>
              <w:left w:val="nil"/>
              <w:bottom w:val="nil"/>
              <w:right w:val="nil"/>
            </w:tcBorders>
            <w:shd w:val="clear" w:color="auto" w:fill="auto"/>
            <w:noWrap/>
            <w:vAlign w:val="bottom"/>
          </w:tcPr>
          <w:p w:rsidR="00437399" w:rsidRPr="004E152D" w:rsidRDefault="00437399" w:rsidP="00437399">
            <w:pPr>
              <w:widowControl/>
              <w:rPr>
                <w:rFonts w:ascii="Arial" w:hAnsi="Arial" w:cs="Arial"/>
                <w:snapToGrid/>
              </w:rPr>
            </w:pPr>
          </w:p>
        </w:tc>
      </w:tr>
      <w:tr w:rsidR="00437399" w:rsidRPr="004E152D">
        <w:trPr>
          <w:trHeight w:val="315"/>
        </w:trPr>
        <w:tc>
          <w:tcPr>
            <w:tcW w:w="235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Federal Government</w:t>
            </w:r>
          </w:p>
        </w:tc>
        <w:tc>
          <w:tcPr>
            <w:tcW w:w="150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Number</w:t>
            </w:r>
          </w:p>
        </w:tc>
        <w:tc>
          <w:tcPr>
            <w:tcW w:w="138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Salary</w:t>
            </w:r>
          </w:p>
        </w:tc>
        <w:tc>
          <w:tcPr>
            <w:tcW w:w="116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Burden</w:t>
            </w:r>
          </w:p>
        </w:tc>
        <w:tc>
          <w:tcPr>
            <w:tcW w:w="152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Annualized</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Staff</w:t>
            </w:r>
          </w:p>
        </w:tc>
        <w:tc>
          <w:tcPr>
            <w:tcW w:w="150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of Staff</w:t>
            </w:r>
          </w:p>
        </w:tc>
        <w:tc>
          <w:tcPr>
            <w:tcW w:w="138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Per Hour</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Hours</w:t>
            </w:r>
          </w:p>
        </w:tc>
        <w:tc>
          <w:tcPr>
            <w:tcW w:w="152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r w:rsidRPr="004E152D">
              <w:rPr>
                <w:rFonts w:ascii="Times New Roman" w:hAnsi="Times New Roman"/>
                <w:b/>
                <w:bCs/>
                <w:snapToGrid/>
                <w:sz w:val="24"/>
                <w:szCs w:val="24"/>
              </w:rPr>
              <w:t>Costs</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r w:rsidRPr="004E152D">
              <w:rPr>
                <w:rFonts w:ascii="Times New Roman" w:hAnsi="Times New Roman"/>
                <w:snapToGrid/>
                <w:sz w:val="24"/>
                <w:szCs w:val="24"/>
              </w:rPr>
              <w:t>GS-15/Step 5 Attorney</w:t>
            </w:r>
          </w:p>
        </w:tc>
        <w:tc>
          <w:tcPr>
            <w:tcW w:w="1500" w:type="dxa"/>
            <w:tcBorders>
              <w:top w:val="nil"/>
              <w:left w:val="nil"/>
              <w:bottom w:val="single" w:sz="8" w:space="0" w:color="auto"/>
              <w:right w:val="nil"/>
            </w:tcBorders>
            <w:shd w:val="clear" w:color="auto" w:fill="auto"/>
            <w:noWrap/>
            <w:vAlign w:val="bottom"/>
          </w:tcPr>
          <w:p w:rsidR="00437399" w:rsidRPr="004E152D" w:rsidRDefault="00615A6B" w:rsidP="00437399">
            <w:pPr>
              <w:widowControl/>
              <w:jc w:val="center"/>
              <w:rPr>
                <w:rFonts w:ascii="Times New Roman" w:hAnsi="Times New Roman"/>
                <w:snapToGrid/>
                <w:sz w:val="24"/>
                <w:szCs w:val="24"/>
              </w:rPr>
            </w:pPr>
            <w:r>
              <w:rPr>
                <w:rFonts w:ascii="Times New Roman" w:hAnsi="Times New Roman"/>
                <w:snapToGrid/>
                <w:sz w:val="24"/>
                <w:szCs w:val="24"/>
              </w:rPr>
              <w:t>2</w:t>
            </w:r>
          </w:p>
        </w:tc>
        <w:tc>
          <w:tcPr>
            <w:tcW w:w="1380" w:type="dxa"/>
            <w:tcBorders>
              <w:top w:val="nil"/>
              <w:left w:val="nil"/>
              <w:bottom w:val="single" w:sz="8" w:space="0" w:color="auto"/>
              <w:right w:val="nil"/>
            </w:tcBorders>
            <w:shd w:val="clear" w:color="auto" w:fill="auto"/>
            <w:noWrap/>
            <w:vAlign w:val="bottom"/>
          </w:tcPr>
          <w:p w:rsidR="00437399" w:rsidRPr="004E152D" w:rsidRDefault="00592AEB" w:rsidP="00227A7A">
            <w:pPr>
              <w:widowControl/>
              <w:jc w:val="center"/>
              <w:rPr>
                <w:rFonts w:ascii="Times New Roman" w:hAnsi="Times New Roman"/>
                <w:snapToGrid/>
                <w:sz w:val="24"/>
                <w:szCs w:val="24"/>
              </w:rPr>
            </w:pPr>
            <w:r>
              <w:rPr>
                <w:rFonts w:ascii="Times New Roman" w:hAnsi="Times New Roman"/>
                <w:snapToGrid/>
                <w:sz w:val="24"/>
                <w:szCs w:val="24"/>
              </w:rPr>
              <w:t>$73.20</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w:t>
            </w:r>
            <w:r w:rsidR="005B1AF8">
              <w:rPr>
                <w:rFonts w:ascii="Times New Roman" w:hAnsi="Times New Roman"/>
                <w:snapToGrid/>
                <w:sz w:val="24"/>
                <w:szCs w:val="24"/>
              </w:rPr>
              <w:t>,</w:t>
            </w:r>
            <w:r w:rsidRPr="004E152D">
              <w:rPr>
                <w:rFonts w:ascii="Times New Roman" w:hAnsi="Times New Roman"/>
                <w:snapToGrid/>
                <w:sz w:val="24"/>
                <w:szCs w:val="24"/>
              </w:rPr>
              <w:t>000</w:t>
            </w:r>
            <w:r w:rsidR="00615A6B">
              <w:rPr>
                <w:rFonts w:ascii="Times New Roman" w:hAnsi="Times New Roman"/>
                <w:snapToGrid/>
                <w:sz w:val="24"/>
                <w:szCs w:val="24"/>
              </w:rPr>
              <w:t xml:space="preserve"> each</w:t>
            </w:r>
          </w:p>
        </w:tc>
        <w:tc>
          <w:tcPr>
            <w:tcW w:w="1520" w:type="dxa"/>
            <w:tcBorders>
              <w:top w:val="nil"/>
              <w:left w:val="nil"/>
              <w:bottom w:val="single" w:sz="8" w:space="0" w:color="auto"/>
              <w:right w:val="nil"/>
            </w:tcBorders>
            <w:shd w:val="clear" w:color="auto" w:fill="auto"/>
            <w:noWrap/>
            <w:vAlign w:val="bottom"/>
          </w:tcPr>
          <w:p w:rsidR="00437399" w:rsidRPr="004E152D" w:rsidRDefault="009D43F1" w:rsidP="00615A6B">
            <w:pPr>
              <w:widowControl/>
              <w:jc w:val="right"/>
              <w:rPr>
                <w:rFonts w:ascii="Times New Roman" w:hAnsi="Times New Roman"/>
                <w:snapToGrid/>
                <w:sz w:val="24"/>
                <w:szCs w:val="24"/>
              </w:rPr>
            </w:pPr>
            <w:r w:rsidRPr="004E152D">
              <w:rPr>
                <w:rFonts w:ascii="Times New Roman" w:hAnsi="Times New Roman"/>
                <w:snapToGrid/>
                <w:sz w:val="24"/>
                <w:szCs w:val="24"/>
              </w:rPr>
              <w:t>$</w:t>
            </w:r>
            <w:r w:rsidR="00592AEB">
              <w:rPr>
                <w:rFonts w:ascii="Times New Roman" w:hAnsi="Times New Roman"/>
                <w:snapToGrid/>
                <w:sz w:val="24"/>
                <w:szCs w:val="24"/>
              </w:rPr>
              <w:t>146,400</w:t>
            </w:r>
            <w:r w:rsidR="00437399" w:rsidRPr="004E152D">
              <w:rPr>
                <w:rFonts w:ascii="Times New Roman" w:hAnsi="Times New Roman"/>
                <w:snapToGrid/>
                <w:sz w:val="24"/>
                <w:szCs w:val="24"/>
              </w:rPr>
              <w:t xml:space="preserve"> </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r w:rsidRPr="004E152D">
              <w:rPr>
                <w:rFonts w:ascii="Times New Roman" w:hAnsi="Times New Roman"/>
                <w:snapToGrid/>
                <w:sz w:val="24"/>
                <w:szCs w:val="24"/>
              </w:rPr>
              <w:t>GS-14/Step 5 Attorney</w:t>
            </w:r>
          </w:p>
        </w:tc>
        <w:tc>
          <w:tcPr>
            <w:tcW w:w="1500" w:type="dxa"/>
            <w:tcBorders>
              <w:top w:val="nil"/>
              <w:left w:val="nil"/>
              <w:bottom w:val="single" w:sz="8" w:space="0" w:color="auto"/>
              <w:right w:val="nil"/>
            </w:tcBorders>
            <w:shd w:val="clear" w:color="auto" w:fill="auto"/>
            <w:noWrap/>
            <w:vAlign w:val="bottom"/>
          </w:tcPr>
          <w:p w:rsidR="00437399" w:rsidRPr="004E152D" w:rsidRDefault="00615A6B" w:rsidP="00437399">
            <w:pPr>
              <w:widowControl/>
              <w:jc w:val="center"/>
              <w:rPr>
                <w:rFonts w:ascii="Times New Roman" w:hAnsi="Times New Roman"/>
                <w:snapToGrid/>
                <w:sz w:val="24"/>
                <w:szCs w:val="24"/>
              </w:rPr>
            </w:pPr>
            <w:r>
              <w:rPr>
                <w:rFonts w:ascii="Times New Roman" w:hAnsi="Times New Roman"/>
                <w:snapToGrid/>
                <w:sz w:val="24"/>
                <w:szCs w:val="24"/>
              </w:rPr>
              <w:t>1</w:t>
            </w:r>
          </w:p>
        </w:tc>
        <w:tc>
          <w:tcPr>
            <w:tcW w:w="1380" w:type="dxa"/>
            <w:tcBorders>
              <w:top w:val="nil"/>
              <w:left w:val="nil"/>
              <w:bottom w:val="single" w:sz="8" w:space="0" w:color="auto"/>
              <w:right w:val="nil"/>
            </w:tcBorders>
            <w:shd w:val="clear" w:color="auto" w:fill="auto"/>
            <w:noWrap/>
            <w:vAlign w:val="bottom"/>
          </w:tcPr>
          <w:p w:rsidR="00437399" w:rsidRPr="004E152D" w:rsidRDefault="00592AEB" w:rsidP="00227A7A">
            <w:pPr>
              <w:widowControl/>
              <w:jc w:val="center"/>
              <w:rPr>
                <w:rFonts w:ascii="Times New Roman" w:hAnsi="Times New Roman"/>
                <w:snapToGrid/>
                <w:sz w:val="24"/>
                <w:szCs w:val="24"/>
              </w:rPr>
            </w:pPr>
            <w:r>
              <w:rPr>
                <w:rFonts w:ascii="Times New Roman" w:hAnsi="Times New Roman"/>
                <w:snapToGrid/>
                <w:sz w:val="24"/>
                <w:szCs w:val="24"/>
              </w:rPr>
              <w:t>$62.23</w:t>
            </w:r>
          </w:p>
        </w:tc>
        <w:tc>
          <w:tcPr>
            <w:tcW w:w="116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w:t>
            </w:r>
            <w:r w:rsidR="005B1AF8">
              <w:rPr>
                <w:rFonts w:ascii="Times New Roman" w:hAnsi="Times New Roman"/>
                <w:snapToGrid/>
                <w:sz w:val="24"/>
                <w:szCs w:val="24"/>
              </w:rPr>
              <w:t>,</w:t>
            </w:r>
            <w:r w:rsidRPr="004E152D">
              <w:rPr>
                <w:rFonts w:ascii="Times New Roman" w:hAnsi="Times New Roman"/>
                <w:snapToGrid/>
                <w:sz w:val="24"/>
                <w:szCs w:val="24"/>
              </w:rPr>
              <w:t>000</w:t>
            </w:r>
          </w:p>
        </w:tc>
        <w:tc>
          <w:tcPr>
            <w:tcW w:w="1520" w:type="dxa"/>
            <w:tcBorders>
              <w:top w:val="nil"/>
              <w:left w:val="nil"/>
              <w:bottom w:val="single" w:sz="8" w:space="0" w:color="auto"/>
              <w:right w:val="nil"/>
            </w:tcBorders>
            <w:shd w:val="clear" w:color="auto" w:fill="auto"/>
            <w:noWrap/>
            <w:vAlign w:val="bottom"/>
          </w:tcPr>
          <w:p w:rsidR="00437399" w:rsidRPr="004E152D" w:rsidRDefault="009F7CE8" w:rsidP="00615A6B">
            <w:pPr>
              <w:widowControl/>
              <w:jc w:val="right"/>
              <w:rPr>
                <w:rFonts w:ascii="Times New Roman" w:hAnsi="Times New Roman"/>
                <w:snapToGrid/>
                <w:sz w:val="24"/>
                <w:szCs w:val="24"/>
              </w:rPr>
            </w:pPr>
            <w:r w:rsidRPr="004E152D">
              <w:rPr>
                <w:rFonts w:ascii="Times New Roman" w:hAnsi="Times New Roman"/>
                <w:snapToGrid/>
                <w:sz w:val="24"/>
                <w:szCs w:val="24"/>
              </w:rPr>
              <w:t>$</w:t>
            </w:r>
            <w:r w:rsidR="005004C1">
              <w:rPr>
                <w:rFonts w:ascii="Times New Roman" w:hAnsi="Times New Roman"/>
                <w:snapToGrid/>
                <w:sz w:val="24"/>
                <w:szCs w:val="24"/>
              </w:rPr>
              <w:t>62,230</w:t>
            </w:r>
          </w:p>
        </w:tc>
      </w:tr>
      <w:tr w:rsidR="00437399" w:rsidRPr="004E152D">
        <w:trPr>
          <w:trHeight w:val="330"/>
        </w:trPr>
        <w:tc>
          <w:tcPr>
            <w:tcW w:w="2350" w:type="dxa"/>
            <w:tcBorders>
              <w:top w:val="nil"/>
              <w:left w:val="nil"/>
              <w:bottom w:val="single" w:sz="8" w:space="0" w:color="auto"/>
              <w:right w:val="nil"/>
            </w:tcBorders>
            <w:shd w:val="clear" w:color="auto" w:fill="auto"/>
            <w:noWrap/>
            <w:vAlign w:val="bottom"/>
          </w:tcPr>
          <w:p w:rsidR="00437399" w:rsidRPr="004E152D" w:rsidRDefault="009F7CE8" w:rsidP="00437399">
            <w:pPr>
              <w:widowControl/>
              <w:rPr>
                <w:rFonts w:ascii="Times New Roman" w:hAnsi="Times New Roman"/>
                <w:snapToGrid/>
                <w:sz w:val="24"/>
                <w:szCs w:val="24"/>
              </w:rPr>
            </w:pPr>
            <w:r w:rsidRPr="004E152D">
              <w:rPr>
                <w:rFonts w:ascii="Times New Roman" w:hAnsi="Times New Roman"/>
                <w:snapToGrid/>
                <w:sz w:val="24"/>
                <w:szCs w:val="24"/>
              </w:rPr>
              <w:t>GS-11/Step 5 Administrative Support</w:t>
            </w:r>
          </w:p>
        </w:tc>
        <w:tc>
          <w:tcPr>
            <w:tcW w:w="1500" w:type="dxa"/>
            <w:tcBorders>
              <w:top w:val="nil"/>
              <w:left w:val="nil"/>
              <w:bottom w:val="single" w:sz="8" w:space="0" w:color="auto"/>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r w:rsidRPr="004E152D">
              <w:rPr>
                <w:rFonts w:ascii="Times New Roman" w:hAnsi="Times New Roman"/>
                <w:snapToGrid/>
                <w:sz w:val="24"/>
                <w:szCs w:val="24"/>
              </w:rPr>
              <w:t>1</w:t>
            </w:r>
          </w:p>
        </w:tc>
        <w:tc>
          <w:tcPr>
            <w:tcW w:w="1380" w:type="dxa"/>
            <w:tcBorders>
              <w:top w:val="nil"/>
              <w:left w:val="nil"/>
              <w:bottom w:val="single" w:sz="8" w:space="0" w:color="auto"/>
              <w:right w:val="nil"/>
            </w:tcBorders>
            <w:shd w:val="clear" w:color="auto" w:fill="auto"/>
            <w:noWrap/>
            <w:vAlign w:val="bottom"/>
          </w:tcPr>
          <w:p w:rsidR="00437399" w:rsidRPr="00473D6B" w:rsidRDefault="00833408" w:rsidP="00F418CA">
            <w:pPr>
              <w:widowControl/>
              <w:jc w:val="center"/>
              <w:rPr>
                <w:rFonts w:ascii="Times New Roman" w:hAnsi="Times New Roman"/>
                <w:snapToGrid/>
                <w:sz w:val="24"/>
                <w:szCs w:val="24"/>
              </w:rPr>
            </w:pPr>
            <w:r w:rsidRPr="004E152D">
              <w:rPr>
                <w:rFonts w:ascii="Times New Roman" w:hAnsi="Times New Roman"/>
                <w:snapToGrid/>
                <w:sz w:val="24"/>
                <w:szCs w:val="24"/>
              </w:rPr>
              <w:t>$</w:t>
            </w:r>
            <w:r w:rsidR="00592AEB">
              <w:rPr>
                <w:rFonts w:ascii="Times New Roman" w:hAnsi="Times New Roman"/>
                <w:snapToGrid/>
                <w:sz w:val="24"/>
                <w:szCs w:val="24"/>
              </w:rPr>
              <w:t>36.95</w:t>
            </w:r>
          </w:p>
        </w:tc>
        <w:tc>
          <w:tcPr>
            <w:tcW w:w="1160" w:type="dxa"/>
            <w:tcBorders>
              <w:top w:val="nil"/>
              <w:left w:val="nil"/>
              <w:bottom w:val="single" w:sz="8" w:space="0" w:color="auto"/>
              <w:right w:val="nil"/>
            </w:tcBorders>
            <w:shd w:val="clear" w:color="auto" w:fill="auto"/>
            <w:noWrap/>
            <w:vAlign w:val="bottom"/>
          </w:tcPr>
          <w:p w:rsidR="00437399" w:rsidRPr="00A90261" w:rsidRDefault="009F7CE8" w:rsidP="00437399">
            <w:pPr>
              <w:widowControl/>
              <w:jc w:val="center"/>
              <w:rPr>
                <w:rFonts w:ascii="Times New Roman" w:hAnsi="Times New Roman"/>
                <w:snapToGrid/>
                <w:sz w:val="24"/>
                <w:szCs w:val="24"/>
              </w:rPr>
            </w:pPr>
            <w:r w:rsidRPr="00A90261">
              <w:rPr>
                <w:rFonts w:ascii="Times New Roman" w:hAnsi="Times New Roman"/>
                <w:snapToGrid/>
                <w:sz w:val="24"/>
                <w:szCs w:val="24"/>
              </w:rPr>
              <w:t>1,600</w:t>
            </w:r>
          </w:p>
        </w:tc>
        <w:tc>
          <w:tcPr>
            <w:tcW w:w="1520" w:type="dxa"/>
            <w:tcBorders>
              <w:top w:val="nil"/>
              <w:left w:val="nil"/>
              <w:bottom w:val="single" w:sz="8" w:space="0" w:color="auto"/>
              <w:right w:val="nil"/>
            </w:tcBorders>
            <w:shd w:val="clear" w:color="auto" w:fill="auto"/>
            <w:noWrap/>
            <w:vAlign w:val="bottom"/>
          </w:tcPr>
          <w:p w:rsidR="00437399" w:rsidRPr="004E152D" w:rsidRDefault="00833408" w:rsidP="00F418CA">
            <w:pPr>
              <w:widowControl/>
              <w:jc w:val="right"/>
              <w:rPr>
                <w:rFonts w:ascii="Times New Roman" w:hAnsi="Times New Roman"/>
                <w:snapToGrid/>
                <w:sz w:val="24"/>
                <w:szCs w:val="24"/>
              </w:rPr>
            </w:pPr>
            <w:r w:rsidRPr="004E152D">
              <w:rPr>
                <w:rFonts w:ascii="Times New Roman" w:hAnsi="Times New Roman"/>
                <w:snapToGrid/>
                <w:sz w:val="24"/>
                <w:szCs w:val="24"/>
              </w:rPr>
              <w:t>$</w:t>
            </w:r>
            <w:r w:rsidR="00AE3067">
              <w:rPr>
                <w:rFonts w:ascii="Times New Roman" w:hAnsi="Times New Roman"/>
                <w:snapToGrid/>
                <w:sz w:val="24"/>
                <w:szCs w:val="24"/>
              </w:rPr>
              <w:t>59,120</w:t>
            </w:r>
            <w:r w:rsidR="00437399" w:rsidRPr="004E152D">
              <w:rPr>
                <w:rFonts w:ascii="Times New Roman" w:hAnsi="Times New Roman"/>
                <w:snapToGrid/>
                <w:sz w:val="24"/>
                <w:szCs w:val="24"/>
              </w:rPr>
              <w:t xml:space="preserve"> </w:t>
            </w:r>
          </w:p>
        </w:tc>
      </w:tr>
      <w:tr w:rsidR="00437399" w:rsidRPr="004E152D" w:rsidTr="00426948">
        <w:trPr>
          <w:trHeight w:val="315"/>
        </w:trPr>
        <w:tc>
          <w:tcPr>
            <w:tcW w:w="2350" w:type="dxa"/>
            <w:tcBorders>
              <w:top w:val="nil"/>
              <w:left w:val="nil"/>
              <w:bottom w:val="nil"/>
              <w:right w:val="nil"/>
            </w:tcBorders>
            <w:shd w:val="clear" w:color="auto" w:fill="auto"/>
            <w:noWrap/>
            <w:vAlign w:val="bottom"/>
          </w:tcPr>
          <w:p w:rsidR="00437399" w:rsidRPr="004E152D" w:rsidRDefault="00437399" w:rsidP="00437399">
            <w:pPr>
              <w:widowControl/>
              <w:rPr>
                <w:rFonts w:ascii="Times New Roman" w:hAnsi="Times New Roman"/>
                <w:snapToGrid/>
                <w:sz w:val="24"/>
                <w:szCs w:val="24"/>
              </w:rPr>
            </w:pPr>
          </w:p>
        </w:tc>
        <w:tc>
          <w:tcPr>
            <w:tcW w:w="1500" w:type="dxa"/>
            <w:tcBorders>
              <w:top w:val="nil"/>
              <w:left w:val="nil"/>
              <w:bottom w:val="nil"/>
              <w:right w:val="nil"/>
            </w:tcBorders>
            <w:shd w:val="clear" w:color="auto" w:fill="auto"/>
            <w:noWrap/>
          </w:tcPr>
          <w:p w:rsidR="00437399" w:rsidRPr="004E152D" w:rsidRDefault="00BB7BCF" w:rsidP="00426948">
            <w:pPr>
              <w:widowControl/>
              <w:jc w:val="center"/>
              <w:rPr>
                <w:rFonts w:ascii="Times New Roman" w:hAnsi="Times New Roman"/>
                <w:b/>
                <w:bCs/>
                <w:snapToGrid/>
                <w:sz w:val="24"/>
                <w:szCs w:val="24"/>
              </w:rPr>
            </w:pPr>
            <w:r>
              <w:rPr>
                <w:rFonts w:ascii="Times New Roman" w:hAnsi="Times New Roman"/>
                <w:b/>
                <w:bCs/>
                <w:snapToGrid/>
                <w:sz w:val="24"/>
                <w:szCs w:val="24"/>
              </w:rPr>
              <w:t>4</w:t>
            </w:r>
          </w:p>
        </w:tc>
        <w:tc>
          <w:tcPr>
            <w:tcW w:w="138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snapToGrid/>
                <w:sz w:val="24"/>
                <w:szCs w:val="24"/>
              </w:rPr>
            </w:pPr>
          </w:p>
        </w:tc>
        <w:tc>
          <w:tcPr>
            <w:tcW w:w="1160" w:type="dxa"/>
            <w:tcBorders>
              <w:top w:val="nil"/>
              <w:left w:val="nil"/>
              <w:bottom w:val="nil"/>
              <w:right w:val="nil"/>
            </w:tcBorders>
            <w:shd w:val="clear" w:color="auto" w:fill="auto"/>
            <w:noWrap/>
            <w:vAlign w:val="bottom"/>
          </w:tcPr>
          <w:p w:rsidR="00437399" w:rsidRPr="004E152D" w:rsidRDefault="00437399" w:rsidP="00437399">
            <w:pPr>
              <w:widowControl/>
              <w:jc w:val="center"/>
              <w:rPr>
                <w:rFonts w:ascii="Times New Roman" w:hAnsi="Times New Roman"/>
                <w:b/>
                <w:bCs/>
                <w:snapToGrid/>
                <w:sz w:val="24"/>
                <w:szCs w:val="24"/>
              </w:rPr>
            </w:pPr>
          </w:p>
        </w:tc>
        <w:tc>
          <w:tcPr>
            <w:tcW w:w="1520" w:type="dxa"/>
            <w:tcBorders>
              <w:top w:val="nil"/>
              <w:left w:val="nil"/>
              <w:bottom w:val="nil"/>
              <w:right w:val="nil"/>
            </w:tcBorders>
            <w:shd w:val="clear" w:color="auto" w:fill="auto"/>
            <w:noWrap/>
            <w:vAlign w:val="bottom"/>
          </w:tcPr>
          <w:p w:rsidR="00437399" w:rsidRPr="004E152D" w:rsidRDefault="005B1AF8" w:rsidP="00615A6B">
            <w:pPr>
              <w:widowControl/>
              <w:jc w:val="right"/>
              <w:rPr>
                <w:rFonts w:ascii="Times New Roman" w:hAnsi="Times New Roman"/>
                <w:b/>
                <w:bCs/>
                <w:snapToGrid/>
                <w:sz w:val="24"/>
                <w:szCs w:val="24"/>
              </w:rPr>
            </w:pPr>
            <w:r>
              <w:rPr>
                <w:rFonts w:ascii="Times New Roman" w:hAnsi="Times New Roman"/>
                <w:b/>
                <w:bCs/>
                <w:snapToGrid/>
                <w:sz w:val="24"/>
                <w:szCs w:val="24"/>
              </w:rPr>
              <w:t xml:space="preserve">    </w:t>
            </w:r>
            <w:r w:rsidR="00DC006E" w:rsidRPr="004E152D">
              <w:rPr>
                <w:rFonts w:ascii="Times New Roman" w:hAnsi="Times New Roman"/>
                <w:b/>
                <w:bCs/>
                <w:snapToGrid/>
                <w:sz w:val="24"/>
                <w:szCs w:val="24"/>
              </w:rPr>
              <w:t>$</w:t>
            </w:r>
            <w:r w:rsidR="00AE3067">
              <w:rPr>
                <w:rFonts w:ascii="Times New Roman" w:hAnsi="Times New Roman"/>
                <w:b/>
                <w:bCs/>
                <w:snapToGrid/>
                <w:sz w:val="24"/>
                <w:szCs w:val="24"/>
              </w:rPr>
              <w:t>267,750</w:t>
            </w:r>
            <w:r w:rsidR="00DC006E" w:rsidRPr="004E152D">
              <w:rPr>
                <w:rFonts w:ascii="Times New Roman" w:hAnsi="Times New Roman"/>
                <w:b/>
                <w:bCs/>
                <w:snapToGrid/>
                <w:sz w:val="24"/>
                <w:szCs w:val="24"/>
              </w:rPr>
              <w:t xml:space="preserve"> </w:t>
            </w:r>
          </w:p>
        </w:tc>
      </w:tr>
    </w:tbl>
    <w:p w:rsidR="00DB5851" w:rsidRPr="004E152D" w:rsidRDefault="00DB5851">
      <w:pPr>
        <w:tabs>
          <w:tab w:val="left" w:pos="0"/>
        </w:tabs>
        <w:suppressAutoHyphens/>
        <w:rPr>
          <w:rFonts w:ascii="Times New Roman" w:hAnsi="Times New Roman"/>
          <w:sz w:val="24"/>
        </w:rPr>
      </w:pPr>
    </w:p>
    <w:p w:rsidR="00EE613A" w:rsidRDefault="0046427A" w:rsidP="00EE613A">
      <w:pPr>
        <w:rPr>
          <w:rFonts w:ascii="Times New Roman" w:hAnsi="Times New Roman"/>
          <w:sz w:val="24"/>
          <w:szCs w:val="24"/>
        </w:rPr>
      </w:pPr>
      <w:r w:rsidRPr="00B706AE">
        <w:rPr>
          <w:rFonts w:ascii="Times New Roman" w:hAnsi="Times New Roman"/>
          <w:sz w:val="24"/>
          <w:szCs w:val="24"/>
        </w:rPr>
        <w:t xml:space="preserve">15.  </w:t>
      </w:r>
      <w:r w:rsidR="00EE613A" w:rsidRPr="00B706AE">
        <w:rPr>
          <w:rFonts w:ascii="Times New Roman" w:hAnsi="Times New Roman"/>
          <w:sz w:val="24"/>
          <w:szCs w:val="24"/>
        </w:rPr>
        <w:t xml:space="preserve">   The</w:t>
      </w:r>
      <w:r w:rsidR="005641A6" w:rsidRPr="00B706AE">
        <w:rPr>
          <w:rFonts w:ascii="Times New Roman" w:hAnsi="Times New Roman"/>
          <w:sz w:val="24"/>
          <w:szCs w:val="24"/>
        </w:rPr>
        <w:t xml:space="preserve"> Commission has the following program changes which are due to the information collection requirements adopted in FCC 17-136</w:t>
      </w:r>
      <w:r w:rsidR="00997928" w:rsidRPr="00B706AE">
        <w:rPr>
          <w:rFonts w:ascii="Times New Roman" w:hAnsi="Times New Roman"/>
          <w:sz w:val="24"/>
          <w:szCs w:val="24"/>
        </w:rPr>
        <w:t xml:space="preserve"> and the removal of the burdens and cost associated with </w:t>
      </w:r>
      <w:r w:rsidR="00997928" w:rsidRPr="00B706AE">
        <w:rPr>
          <w:rFonts w:ascii="Times New Roman" w:hAnsi="Times New Roman"/>
          <w:sz w:val="24"/>
        </w:rPr>
        <w:t>47 U.S.C. 310(b)</w:t>
      </w:r>
      <w:r w:rsidR="00997928" w:rsidRPr="00B706AE">
        <w:rPr>
          <w:rFonts w:ascii="Times New Roman" w:hAnsi="Times New Roman"/>
          <w:sz w:val="24"/>
          <w:szCs w:val="24"/>
        </w:rPr>
        <w:t>:  +33 to the number of respondents (from</w:t>
      </w:r>
      <w:r w:rsidR="00300C3D" w:rsidRPr="00B706AE">
        <w:rPr>
          <w:rFonts w:ascii="Times New Roman" w:hAnsi="Times New Roman"/>
          <w:sz w:val="24"/>
          <w:szCs w:val="24"/>
        </w:rPr>
        <w:t xml:space="preserve"> 495 respondents</w:t>
      </w:r>
      <w:r w:rsidR="005641A6" w:rsidRPr="00B706AE">
        <w:rPr>
          <w:rFonts w:ascii="Times New Roman" w:hAnsi="Times New Roman"/>
          <w:sz w:val="24"/>
          <w:szCs w:val="24"/>
        </w:rPr>
        <w:t xml:space="preserve"> to 528</w:t>
      </w:r>
      <w:r w:rsidR="00997928" w:rsidRPr="00B706AE">
        <w:rPr>
          <w:rFonts w:ascii="Times New Roman" w:hAnsi="Times New Roman"/>
          <w:sz w:val="24"/>
          <w:szCs w:val="24"/>
        </w:rPr>
        <w:t xml:space="preserve"> respondents)</w:t>
      </w:r>
      <w:r w:rsidR="00300C3D" w:rsidRPr="00B706AE">
        <w:rPr>
          <w:rFonts w:ascii="Times New Roman" w:hAnsi="Times New Roman"/>
          <w:sz w:val="24"/>
          <w:szCs w:val="24"/>
        </w:rPr>
        <w:t xml:space="preserve">, </w:t>
      </w:r>
      <w:r w:rsidR="00997928" w:rsidRPr="00B706AE">
        <w:rPr>
          <w:rFonts w:ascii="Times New Roman" w:hAnsi="Times New Roman"/>
          <w:sz w:val="24"/>
          <w:szCs w:val="24"/>
        </w:rPr>
        <w:t xml:space="preserve">+44 responses (from </w:t>
      </w:r>
      <w:r w:rsidR="00300C3D" w:rsidRPr="00B706AE">
        <w:rPr>
          <w:rFonts w:ascii="Times New Roman" w:hAnsi="Times New Roman"/>
          <w:sz w:val="24"/>
          <w:szCs w:val="24"/>
        </w:rPr>
        <w:t>748 responses to 792</w:t>
      </w:r>
      <w:r w:rsidR="00997928" w:rsidRPr="00B706AE">
        <w:rPr>
          <w:rFonts w:ascii="Times New Roman" w:hAnsi="Times New Roman"/>
          <w:sz w:val="24"/>
          <w:szCs w:val="24"/>
        </w:rPr>
        <w:t xml:space="preserve"> responses)</w:t>
      </w:r>
      <w:r w:rsidR="00300C3D" w:rsidRPr="00B706AE">
        <w:rPr>
          <w:rFonts w:ascii="Times New Roman" w:hAnsi="Times New Roman"/>
          <w:sz w:val="24"/>
          <w:szCs w:val="24"/>
        </w:rPr>
        <w:t xml:space="preserve">, </w:t>
      </w:r>
      <w:r w:rsidR="00997928" w:rsidRPr="00B706AE">
        <w:rPr>
          <w:rFonts w:ascii="Times New Roman" w:hAnsi="Times New Roman"/>
          <w:sz w:val="24"/>
          <w:szCs w:val="24"/>
        </w:rPr>
        <w:t>-134 burden hours (from 3</w:t>
      </w:r>
      <w:r w:rsidR="00300C3D" w:rsidRPr="00B706AE">
        <w:rPr>
          <w:rFonts w:ascii="Times New Roman" w:hAnsi="Times New Roman"/>
          <w:sz w:val="24"/>
          <w:szCs w:val="24"/>
        </w:rPr>
        <w:t>,286 hours to 3,152</w:t>
      </w:r>
      <w:r w:rsidR="005641A6" w:rsidRPr="00B706AE">
        <w:rPr>
          <w:rFonts w:ascii="Times New Roman" w:hAnsi="Times New Roman"/>
          <w:sz w:val="24"/>
          <w:szCs w:val="24"/>
        </w:rPr>
        <w:t>)</w:t>
      </w:r>
      <w:r w:rsidR="00300C3D" w:rsidRPr="00B706AE">
        <w:rPr>
          <w:rFonts w:ascii="Times New Roman" w:hAnsi="Times New Roman"/>
          <w:sz w:val="24"/>
          <w:szCs w:val="24"/>
        </w:rPr>
        <w:t xml:space="preserve">, </w:t>
      </w:r>
      <w:r w:rsidR="00997928" w:rsidRPr="00B706AE">
        <w:rPr>
          <w:rFonts w:ascii="Times New Roman" w:hAnsi="Times New Roman"/>
          <w:sz w:val="24"/>
          <w:szCs w:val="24"/>
        </w:rPr>
        <w:t xml:space="preserve">-$3,000 (from </w:t>
      </w:r>
      <w:r w:rsidR="00300C3D" w:rsidRPr="00B706AE">
        <w:rPr>
          <w:rFonts w:ascii="Times New Roman" w:hAnsi="Times New Roman"/>
          <w:sz w:val="24"/>
          <w:szCs w:val="24"/>
        </w:rPr>
        <w:t>$755,400 to $752,400</w:t>
      </w:r>
      <w:r w:rsidR="005641A6" w:rsidRPr="00B706AE">
        <w:rPr>
          <w:rFonts w:ascii="Times New Roman" w:hAnsi="Times New Roman"/>
          <w:sz w:val="24"/>
          <w:szCs w:val="24"/>
        </w:rPr>
        <w:t>).</w:t>
      </w:r>
    </w:p>
    <w:p w:rsidR="005641A6" w:rsidRDefault="005641A6" w:rsidP="00EE613A">
      <w:pPr>
        <w:rPr>
          <w:rFonts w:ascii="Times New Roman" w:hAnsi="Times New Roman"/>
          <w:sz w:val="24"/>
          <w:szCs w:val="24"/>
        </w:rPr>
      </w:pPr>
    </w:p>
    <w:p w:rsidR="005641A6" w:rsidRPr="00401536" w:rsidRDefault="005641A6" w:rsidP="00EE613A">
      <w:pPr>
        <w:rPr>
          <w:rFonts w:ascii="Times New Roman" w:hAnsi="Times New Roman"/>
          <w:sz w:val="24"/>
          <w:szCs w:val="24"/>
        </w:rPr>
      </w:pPr>
      <w:r>
        <w:rPr>
          <w:rFonts w:ascii="Times New Roman" w:hAnsi="Times New Roman"/>
          <w:sz w:val="24"/>
          <w:szCs w:val="24"/>
        </w:rPr>
        <w:t>There are no adjustments to this collection.</w:t>
      </w:r>
    </w:p>
    <w:p w:rsidR="0046427A" w:rsidRPr="004E152D" w:rsidRDefault="0046427A" w:rsidP="0046427A">
      <w:pPr>
        <w:rPr>
          <w:rFonts w:ascii="Times New Roman" w:hAnsi="Times New Roman"/>
          <w:sz w:val="24"/>
          <w:szCs w:val="24"/>
        </w:rPr>
      </w:pPr>
    </w:p>
    <w:p w:rsidR="00DB5851" w:rsidRPr="004E152D" w:rsidRDefault="00AD7EC1">
      <w:pPr>
        <w:tabs>
          <w:tab w:val="left" w:pos="0"/>
        </w:tabs>
        <w:suppressAutoHyphens/>
        <w:rPr>
          <w:rFonts w:ascii="Times New Roman" w:hAnsi="Times New Roman"/>
          <w:sz w:val="24"/>
        </w:rPr>
      </w:pPr>
      <w:r w:rsidRPr="004E152D">
        <w:rPr>
          <w:rFonts w:ascii="Times New Roman" w:hAnsi="Times New Roman"/>
          <w:sz w:val="24"/>
        </w:rPr>
        <w:t>16.</w:t>
      </w:r>
      <w:r w:rsidR="00F32DF2" w:rsidRPr="004E152D">
        <w:rPr>
          <w:rFonts w:ascii="Times New Roman" w:hAnsi="Times New Roman"/>
          <w:sz w:val="24"/>
        </w:rPr>
        <w:t xml:space="preserve">     </w:t>
      </w:r>
      <w:r w:rsidR="00CD732D" w:rsidRPr="004E152D">
        <w:rPr>
          <w:rFonts w:ascii="Times New Roman" w:hAnsi="Times New Roman"/>
          <w:sz w:val="24"/>
        </w:rPr>
        <w:t xml:space="preserve"> </w:t>
      </w:r>
      <w:r w:rsidR="00DB5851" w:rsidRPr="004E152D">
        <w:rPr>
          <w:rFonts w:ascii="Times New Roman" w:hAnsi="Times New Roman"/>
          <w:sz w:val="24"/>
        </w:rPr>
        <w:t xml:space="preserve">The Commission does not plan to publish the information for statistical use. </w:t>
      </w:r>
    </w:p>
    <w:p w:rsidR="00DB5851" w:rsidRPr="004E152D" w:rsidRDefault="00DB5851">
      <w:pPr>
        <w:tabs>
          <w:tab w:val="left" w:pos="0"/>
        </w:tabs>
        <w:suppressAutoHyphens/>
        <w:rPr>
          <w:rFonts w:ascii="Times New Roman" w:hAnsi="Times New Roman"/>
          <w:sz w:val="24"/>
        </w:rPr>
      </w:pPr>
    </w:p>
    <w:p w:rsidR="00DB5851" w:rsidRPr="004E152D" w:rsidRDefault="00AD7EC1">
      <w:pPr>
        <w:tabs>
          <w:tab w:val="left" w:pos="0"/>
        </w:tabs>
        <w:suppressAutoHyphens/>
        <w:rPr>
          <w:rFonts w:ascii="Times New Roman" w:hAnsi="Times New Roman"/>
          <w:sz w:val="24"/>
        </w:rPr>
      </w:pPr>
      <w:r w:rsidRPr="004E152D">
        <w:rPr>
          <w:rFonts w:ascii="Times New Roman" w:hAnsi="Times New Roman"/>
          <w:sz w:val="24"/>
        </w:rPr>
        <w:t>17.</w:t>
      </w:r>
      <w:r w:rsidR="00F32DF2" w:rsidRPr="004E152D">
        <w:rPr>
          <w:rFonts w:ascii="Times New Roman" w:hAnsi="Times New Roman"/>
          <w:sz w:val="24"/>
        </w:rPr>
        <w:t xml:space="preserve"> </w:t>
      </w:r>
      <w:r w:rsidR="00CD732D" w:rsidRPr="004E152D">
        <w:rPr>
          <w:rFonts w:ascii="Times New Roman" w:hAnsi="Times New Roman"/>
          <w:sz w:val="24"/>
        </w:rPr>
        <w:tab/>
      </w:r>
      <w:r w:rsidR="006A297B" w:rsidRPr="004E152D">
        <w:rPr>
          <w:rFonts w:ascii="Times New Roman" w:hAnsi="Times New Roman"/>
          <w:sz w:val="24"/>
        </w:rPr>
        <w:t>No waiver of the OMB expiration date is necessary.</w:t>
      </w:r>
    </w:p>
    <w:p w:rsidR="00DB5851" w:rsidRPr="004E152D" w:rsidRDefault="00DB5851">
      <w:pPr>
        <w:tabs>
          <w:tab w:val="left" w:pos="0"/>
        </w:tabs>
        <w:suppressAutoHyphens/>
        <w:rPr>
          <w:rFonts w:ascii="Times New Roman" w:hAnsi="Times New Roman"/>
          <w:sz w:val="24"/>
        </w:rPr>
      </w:pPr>
    </w:p>
    <w:p w:rsidR="00966364" w:rsidRPr="004E152D" w:rsidRDefault="00F32DF2" w:rsidP="00966364">
      <w:pPr>
        <w:suppressAutoHyphens/>
        <w:rPr>
          <w:rFonts w:ascii="Times New Roman" w:hAnsi="Times New Roman"/>
          <w:sz w:val="24"/>
          <w:szCs w:val="24"/>
        </w:rPr>
      </w:pPr>
      <w:r w:rsidRPr="004E152D">
        <w:rPr>
          <w:rFonts w:ascii="Times New Roman" w:hAnsi="Times New Roman"/>
          <w:sz w:val="24"/>
          <w:szCs w:val="24"/>
        </w:rPr>
        <w:t xml:space="preserve">18.    </w:t>
      </w:r>
      <w:r w:rsidR="003F7A38" w:rsidRPr="004E152D">
        <w:rPr>
          <w:rFonts w:ascii="Times New Roman" w:hAnsi="Times New Roman"/>
          <w:sz w:val="24"/>
          <w:szCs w:val="24"/>
        </w:rPr>
        <w:t xml:space="preserve"> </w:t>
      </w:r>
      <w:r w:rsidR="00CD732D" w:rsidRPr="004E152D">
        <w:rPr>
          <w:rFonts w:ascii="Times New Roman" w:hAnsi="Times New Roman"/>
          <w:sz w:val="24"/>
          <w:szCs w:val="24"/>
        </w:rPr>
        <w:t xml:space="preserve"> </w:t>
      </w:r>
      <w:r w:rsidR="00E44A09" w:rsidRPr="004E152D">
        <w:rPr>
          <w:rFonts w:ascii="Times New Roman" w:hAnsi="Times New Roman"/>
          <w:sz w:val="24"/>
          <w:szCs w:val="24"/>
        </w:rPr>
        <w:t>There are no exceptions to the certification statement.</w:t>
      </w:r>
    </w:p>
    <w:p w:rsidR="0096123A" w:rsidRPr="004E152D" w:rsidRDefault="0096123A" w:rsidP="00966364">
      <w:pPr>
        <w:suppressAutoHyphens/>
        <w:rPr>
          <w:rFonts w:ascii="Times New Roman" w:hAnsi="Times New Roman"/>
          <w:sz w:val="24"/>
        </w:rPr>
      </w:pPr>
    </w:p>
    <w:p w:rsidR="00DB5851" w:rsidRPr="004E152D" w:rsidRDefault="00DB5851">
      <w:pPr>
        <w:tabs>
          <w:tab w:val="left" w:pos="0"/>
        </w:tabs>
        <w:suppressAutoHyphens/>
        <w:rPr>
          <w:rFonts w:ascii="Times New Roman" w:hAnsi="Times New Roman"/>
          <w:sz w:val="24"/>
          <w:u w:val="single"/>
        </w:rPr>
      </w:pPr>
      <w:r w:rsidRPr="004E152D">
        <w:rPr>
          <w:rFonts w:ascii="Times New Roman" w:hAnsi="Times New Roman"/>
          <w:b/>
          <w:sz w:val="24"/>
          <w:u w:val="single"/>
        </w:rPr>
        <w:t>B.  Collections of Information Employing Statistical Methods</w:t>
      </w:r>
      <w:r w:rsidR="0008393C" w:rsidRPr="004E152D">
        <w:rPr>
          <w:rFonts w:ascii="Times New Roman" w:hAnsi="Times New Roman"/>
          <w:b/>
          <w:sz w:val="24"/>
          <w:u w:val="single"/>
        </w:rPr>
        <w:t>:</w:t>
      </w:r>
    </w:p>
    <w:p w:rsidR="00DB5851" w:rsidRPr="004E152D" w:rsidRDefault="00DB5851">
      <w:pPr>
        <w:tabs>
          <w:tab w:val="left" w:pos="0"/>
        </w:tabs>
        <w:suppressAutoHyphens/>
        <w:rPr>
          <w:rFonts w:ascii="Times New Roman" w:hAnsi="Times New Roman"/>
          <w:sz w:val="24"/>
        </w:rPr>
      </w:pPr>
    </w:p>
    <w:p w:rsidR="00DB5851" w:rsidRDefault="00DB5851">
      <w:pPr>
        <w:tabs>
          <w:tab w:val="left" w:pos="0"/>
        </w:tabs>
        <w:suppressAutoHyphens/>
        <w:rPr>
          <w:rFonts w:ascii="Times New Roman" w:hAnsi="Times New Roman"/>
          <w:sz w:val="24"/>
        </w:rPr>
      </w:pPr>
      <w:r w:rsidRPr="004E152D">
        <w:rPr>
          <w:rFonts w:ascii="Times New Roman" w:hAnsi="Times New Roman"/>
          <w:sz w:val="24"/>
        </w:rPr>
        <w:t>This information collection does not employ statistical sampling.</w:t>
      </w:r>
    </w:p>
    <w:p w:rsidR="0075371B" w:rsidRDefault="0075371B">
      <w:pPr>
        <w:tabs>
          <w:tab w:val="left" w:pos="0"/>
        </w:tabs>
        <w:suppressAutoHyphens/>
        <w:rPr>
          <w:rFonts w:ascii="Times New Roman" w:hAnsi="Times New Roman"/>
          <w:sz w:val="24"/>
        </w:rPr>
      </w:pPr>
    </w:p>
    <w:sectPr w:rsidR="0075371B" w:rsidSect="003816AF">
      <w:headerReference w:type="default" r:id="rId10"/>
      <w:footerReference w:type="default" r:id="rId11"/>
      <w:endnotePr>
        <w:numFmt w:val="decimal"/>
      </w:endnotePr>
      <w:pgSz w:w="12240" w:h="15840"/>
      <w:pgMar w:top="72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AEB" w:rsidRDefault="00592AEB">
      <w:pPr>
        <w:spacing w:line="20" w:lineRule="exact"/>
        <w:rPr>
          <w:sz w:val="24"/>
        </w:rPr>
      </w:pPr>
    </w:p>
  </w:endnote>
  <w:endnote w:type="continuationSeparator" w:id="0">
    <w:p w:rsidR="00592AEB" w:rsidRDefault="00592AEB">
      <w:r>
        <w:rPr>
          <w:sz w:val="24"/>
        </w:rPr>
        <w:t xml:space="preserve"> </w:t>
      </w:r>
    </w:p>
  </w:endnote>
  <w:endnote w:type="continuationNotice" w:id="1">
    <w:p w:rsidR="00592AEB" w:rsidRDefault="00592A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AEB" w:rsidRDefault="00592AEB">
    <w:pPr>
      <w:spacing w:before="140" w:line="100" w:lineRule="exact"/>
      <w:rPr>
        <w:sz w:val="10"/>
      </w:rPr>
    </w:pPr>
  </w:p>
  <w:p w:rsidR="00592AEB" w:rsidRDefault="00592AEB">
    <w:pPr>
      <w:tabs>
        <w:tab w:val="left" w:pos="-720"/>
      </w:tabs>
      <w:suppressAutoHyphens/>
      <w:jc w:val="center"/>
      <w:rPr>
        <w:sz w:val="24"/>
      </w:rPr>
    </w:pPr>
  </w:p>
  <w:p w:rsidR="00592AEB" w:rsidRDefault="00592AE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6CBDC04" wp14:editId="55C42CD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92AEB" w:rsidRPr="00D22B32" w:rsidRDefault="00592AEB">
                          <w:pPr>
                            <w:tabs>
                              <w:tab w:val="center" w:pos="4650"/>
                            </w:tabs>
                            <w:suppressAutoHyphens/>
                            <w:jc w:val="both"/>
                            <w:rPr>
                              <w:rFonts w:ascii="Times New Roman" w:hAnsi="Times New Roman"/>
                              <w:sz w:val="24"/>
                              <w:szCs w:val="24"/>
                            </w:rPr>
                          </w:pPr>
                          <w:r>
                            <w:rPr>
                              <w:sz w:val="24"/>
                            </w:rPr>
                            <w:tab/>
                          </w:r>
                          <w:r w:rsidRPr="00D22B32">
                            <w:rPr>
                              <w:rFonts w:ascii="Times New Roman" w:hAnsi="Times New Roman"/>
                              <w:sz w:val="24"/>
                              <w:szCs w:val="24"/>
                            </w:rPr>
                            <w:fldChar w:fldCharType="begin"/>
                          </w:r>
                          <w:r w:rsidRPr="00D22B32">
                            <w:rPr>
                              <w:rFonts w:ascii="Times New Roman" w:hAnsi="Times New Roman"/>
                              <w:sz w:val="24"/>
                              <w:szCs w:val="24"/>
                            </w:rPr>
                            <w:instrText>page \* arabic</w:instrText>
                          </w:r>
                          <w:r w:rsidRPr="00D22B32">
                            <w:rPr>
                              <w:rFonts w:ascii="Times New Roman" w:hAnsi="Times New Roman"/>
                              <w:sz w:val="24"/>
                              <w:szCs w:val="24"/>
                            </w:rPr>
                            <w:fldChar w:fldCharType="separate"/>
                          </w:r>
                          <w:r w:rsidR="009B5EE1">
                            <w:rPr>
                              <w:rFonts w:ascii="Times New Roman" w:hAnsi="Times New Roman"/>
                              <w:noProof/>
                              <w:sz w:val="24"/>
                              <w:szCs w:val="24"/>
                            </w:rPr>
                            <w:t>1</w:t>
                          </w:r>
                          <w:r w:rsidRPr="00D22B32">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592AEB" w:rsidRPr="00D22B32" w:rsidRDefault="00592AEB">
                    <w:pPr>
                      <w:tabs>
                        <w:tab w:val="center" w:pos="4650"/>
                      </w:tabs>
                      <w:suppressAutoHyphens/>
                      <w:jc w:val="both"/>
                      <w:rPr>
                        <w:rFonts w:ascii="Times New Roman" w:hAnsi="Times New Roman"/>
                        <w:sz w:val="24"/>
                        <w:szCs w:val="24"/>
                      </w:rPr>
                    </w:pPr>
                    <w:r>
                      <w:rPr>
                        <w:sz w:val="24"/>
                      </w:rPr>
                      <w:tab/>
                    </w:r>
                    <w:r w:rsidRPr="00D22B32">
                      <w:rPr>
                        <w:rFonts w:ascii="Times New Roman" w:hAnsi="Times New Roman"/>
                        <w:sz w:val="24"/>
                        <w:szCs w:val="24"/>
                      </w:rPr>
                      <w:fldChar w:fldCharType="begin"/>
                    </w:r>
                    <w:r w:rsidRPr="00D22B32">
                      <w:rPr>
                        <w:rFonts w:ascii="Times New Roman" w:hAnsi="Times New Roman"/>
                        <w:sz w:val="24"/>
                        <w:szCs w:val="24"/>
                      </w:rPr>
                      <w:instrText>page \* arabic</w:instrText>
                    </w:r>
                    <w:r w:rsidRPr="00D22B32">
                      <w:rPr>
                        <w:rFonts w:ascii="Times New Roman" w:hAnsi="Times New Roman"/>
                        <w:sz w:val="24"/>
                        <w:szCs w:val="24"/>
                      </w:rPr>
                      <w:fldChar w:fldCharType="separate"/>
                    </w:r>
                    <w:r w:rsidR="009B5EE1">
                      <w:rPr>
                        <w:rFonts w:ascii="Times New Roman" w:hAnsi="Times New Roman"/>
                        <w:noProof/>
                        <w:sz w:val="24"/>
                        <w:szCs w:val="24"/>
                      </w:rPr>
                      <w:t>1</w:t>
                    </w:r>
                    <w:r w:rsidRPr="00D22B32">
                      <w:rPr>
                        <w:rFonts w:ascii="Times New Roman" w:hAnsi="Times New Roman"/>
                        <w:sz w:val="24"/>
                        <w:szCs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AEB" w:rsidRDefault="00592AEB">
      <w:r>
        <w:rPr>
          <w:sz w:val="24"/>
        </w:rPr>
        <w:separator/>
      </w:r>
    </w:p>
  </w:footnote>
  <w:footnote w:type="continuationSeparator" w:id="0">
    <w:p w:rsidR="00592AEB" w:rsidRPr="00F46ADC" w:rsidRDefault="00592AEB" w:rsidP="00F46ADC">
      <w:pPr>
        <w:spacing w:before="120"/>
        <w:rPr>
          <w:rFonts w:ascii="Times New Roman" w:hAnsi="Times New Roman"/>
          <w:kern w:val="28"/>
        </w:rPr>
      </w:pPr>
      <w:r w:rsidRPr="00F46ADC">
        <w:rPr>
          <w:rFonts w:ascii="Times New Roman" w:hAnsi="Times New Roman"/>
          <w:kern w:val="28"/>
        </w:rPr>
        <w:t xml:space="preserve">(Continued from previous page)  </w:t>
      </w:r>
      <w:r w:rsidRPr="00F46ADC">
        <w:rPr>
          <w:rFonts w:ascii="Times New Roman" w:hAnsi="Times New Roman"/>
          <w:kern w:val="28"/>
        </w:rPr>
        <w:separator/>
      </w:r>
    </w:p>
    <w:p w:rsidR="00592AEB" w:rsidRDefault="00592AEB"/>
  </w:footnote>
  <w:footnote w:type="continuationNotice" w:id="1">
    <w:p w:rsidR="00592AEB" w:rsidRPr="005A6147" w:rsidRDefault="00592AEB" w:rsidP="005A6147">
      <w:pPr>
        <w:jc w:val="right"/>
        <w:rPr>
          <w:rFonts w:ascii="Times New Roman" w:hAnsi="Times New Roman"/>
          <w:kern w:val="28"/>
        </w:rPr>
      </w:pPr>
      <w:r w:rsidRPr="005A6147">
        <w:rPr>
          <w:rFonts w:ascii="Times New Roman" w:hAnsi="Times New Roman"/>
          <w:kern w:val="28"/>
        </w:rPr>
        <w:t>(continued….)</w:t>
      </w:r>
    </w:p>
    <w:p w:rsidR="00592AEB" w:rsidRDefault="00592AEB"/>
  </w:footnote>
  <w:footnote w:id="2">
    <w:p w:rsidR="00592AEB" w:rsidRPr="007C3032" w:rsidRDefault="00592AEB" w:rsidP="0045540B">
      <w:pPr>
        <w:suppressAutoHyphens/>
        <w:rPr>
          <w:rFonts w:ascii="Times New Roman" w:hAnsi="Times New Roman"/>
          <w:u w:val="single"/>
        </w:rPr>
      </w:pPr>
      <w:r>
        <w:rPr>
          <w:rStyle w:val="FootnoteReference"/>
        </w:rPr>
        <w:footnoteRef/>
      </w:r>
      <w:r>
        <w:t xml:space="preserve"> </w:t>
      </w:r>
      <w:r w:rsidRPr="007C3032">
        <w:rPr>
          <w:rFonts w:ascii="Times New Roman" w:hAnsi="Times New Roman"/>
        </w:rPr>
        <w:t xml:space="preserve">The International E-Filing R&amp;O (FCC 05-91) eliminated paper filings by requiring applicants to file electronically all applications and other filings related to international telecommunications services via the user-friendly, Internet-based electronic filing system called the International Bureau Filing System (IBFS).  </w:t>
      </w:r>
      <w:r w:rsidRPr="00E34B43">
        <w:rPr>
          <w:rFonts w:ascii="Times New Roman" w:hAnsi="Times New Roman"/>
        </w:rPr>
        <w:t xml:space="preserve">We would like to maintain OMB approval for mandatory electronic filing of all Section 214-related applications and filings </w:t>
      </w:r>
      <w:r w:rsidRPr="00E34B43">
        <w:rPr>
          <w:rFonts w:ascii="Times New Roman" w:hAnsi="Times New Roman"/>
          <w:iCs/>
        </w:rPr>
        <w:t>pursuant to 47 CFR Sections 1.1000 through 1.0018, 63.11(j), 63.18(q), 63.19(d), 63.20, 63.21(j) and 63.53</w:t>
      </w:r>
      <w:r w:rsidRPr="00E34B43">
        <w:rPr>
          <w:rFonts w:ascii="Times New Roman" w:hAnsi="Times New Roman"/>
        </w:rPr>
        <w:t xml:space="preserve">, including currently existing applications and applications </w:t>
      </w:r>
      <w:r>
        <w:rPr>
          <w:rFonts w:ascii="Times New Roman" w:hAnsi="Times New Roman"/>
        </w:rPr>
        <w:t xml:space="preserve">that are </w:t>
      </w:r>
      <w:r w:rsidRPr="00E34B43">
        <w:rPr>
          <w:rFonts w:ascii="Times New Roman" w:hAnsi="Times New Roman"/>
        </w:rPr>
        <w:t>pending development by the Commission.</w:t>
      </w:r>
      <w:r w:rsidRPr="007C3032">
        <w:rPr>
          <w:rFonts w:ascii="Times New Roman" w:hAnsi="Times New Roman"/>
        </w:rPr>
        <w:t xml:space="preserve">  </w:t>
      </w:r>
    </w:p>
    <w:p w:rsidR="00592AEB" w:rsidRPr="007C3032" w:rsidRDefault="00592AEB">
      <w:pPr>
        <w:pStyle w:val="FootnoteText"/>
        <w:rPr>
          <w:rFonts w:ascii="Times New Roman" w:hAnsi="Times New Roman"/>
          <w:sz w:val="20"/>
        </w:rPr>
      </w:pPr>
    </w:p>
  </w:footnote>
  <w:footnote w:id="3">
    <w:p w:rsidR="00592AEB" w:rsidRPr="00C86E73" w:rsidRDefault="00592AEB">
      <w:pPr>
        <w:pStyle w:val="FootnoteText"/>
        <w:rPr>
          <w:rFonts w:ascii="Times New Roman" w:hAnsi="Times New Roman"/>
          <w:sz w:val="20"/>
        </w:rPr>
      </w:pPr>
      <w:r>
        <w:rPr>
          <w:rStyle w:val="FootnoteReference"/>
        </w:rPr>
        <w:footnoteRef/>
      </w:r>
      <w:r>
        <w:rPr>
          <w:rFonts w:ascii="Times New Roman" w:hAnsi="Times New Roman"/>
          <w:sz w:val="20"/>
        </w:rPr>
        <w:t xml:space="preserve">  </w:t>
      </w:r>
      <w:r w:rsidRPr="0003762F">
        <w:rPr>
          <w:rFonts w:ascii="Times New Roman" w:hAnsi="Times New Roman"/>
          <w:sz w:val="20"/>
        </w:rPr>
        <w:t>Of the following rule categories and respondents within those categories, over 50 percent of the total respondents are either filing for an initial section 214 authorization or for a transfer of control or assignment of a section 214 authorization:   Section 63.10(a)(4) notifications (1); Section 63.10(c) reports (20)</w:t>
      </w:r>
      <w:r>
        <w:rPr>
          <w:rFonts w:ascii="Times New Roman" w:hAnsi="Times New Roman"/>
          <w:sz w:val="20"/>
        </w:rPr>
        <w:t>; Section 63.11 notifications (10); Section 63.13 requests (5</w:t>
      </w:r>
      <w:r w:rsidRPr="0003762F">
        <w:rPr>
          <w:rFonts w:ascii="Times New Roman" w:hAnsi="Times New Roman"/>
          <w:sz w:val="20"/>
        </w:rPr>
        <w:t>); Section 63.18 applications for facilities-based, res</w:t>
      </w:r>
      <w:r>
        <w:rPr>
          <w:rFonts w:ascii="Times New Roman" w:hAnsi="Times New Roman"/>
          <w:sz w:val="20"/>
        </w:rPr>
        <w:t>ale and other 214 authority) (14</w:t>
      </w:r>
      <w:r w:rsidRPr="0003762F">
        <w:rPr>
          <w:rFonts w:ascii="Times New Roman" w:hAnsi="Times New Roman"/>
          <w:sz w:val="20"/>
        </w:rPr>
        <w:t>0); Sec</w:t>
      </w:r>
      <w:r>
        <w:rPr>
          <w:rFonts w:ascii="Times New Roman" w:hAnsi="Times New Roman"/>
          <w:sz w:val="20"/>
        </w:rPr>
        <w:t>tion 63.19 notifications (21</w:t>
      </w:r>
      <w:r w:rsidRPr="0003762F">
        <w:rPr>
          <w:rFonts w:ascii="Times New Roman" w:hAnsi="Times New Roman"/>
          <w:sz w:val="20"/>
        </w:rPr>
        <w:t xml:space="preserve">); Section 63.21(a) notifications (1); Section 63.21(e), (f) third party disclosures (20); Section 63.21(h) subsidiary notifications (20); Section 63.21(i) name change notifications (25); </w:t>
      </w:r>
      <w:r>
        <w:rPr>
          <w:rFonts w:ascii="Times New Roman" w:hAnsi="Times New Roman"/>
          <w:sz w:val="20"/>
        </w:rPr>
        <w:t xml:space="preserve">Section 63.22(h) list or routes (55);  </w:t>
      </w:r>
      <w:r w:rsidRPr="0003762F">
        <w:rPr>
          <w:rFonts w:ascii="Times New Roman" w:hAnsi="Times New Roman"/>
          <w:sz w:val="20"/>
        </w:rPr>
        <w:t>Section 63.24(e)(1), (e)(2) substantial transfers of control and assignments (8</w:t>
      </w:r>
      <w:r>
        <w:rPr>
          <w:rFonts w:ascii="Times New Roman" w:hAnsi="Times New Roman"/>
          <w:sz w:val="20"/>
        </w:rPr>
        <w:t>0</w:t>
      </w:r>
      <w:r w:rsidRPr="0003762F">
        <w:rPr>
          <w:rFonts w:ascii="Times New Roman" w:hAnsi="Times New Roman"/>
          <w:sz w:val="20"/>
        </w:rPr>
        <w:t>); Section 63.24(f)(2) pro forma transfers of control and assignments (</w:t>
      </w:r>
      <w:r>
        <w:rPr>
          <w:rFonts w:ascii="Times New Roman" w:hAnsi="Times New Roman"/>
          <w:sz w:val="20"/>
        </w:rPr>
        <w:t>110</w:t>
      </w:r>
      <w:r w:rsidRPr="0003762F">
        <w:rPr>
          <w:rFonts w:ascii="Times New Roman" w:hAnsi="Times New Roman"/>
          <w:sz w:val="20"/>
        </w:rPr>
        <w:t>); and Section 63.25 requests for temporary authority (2</w:t>
      </w:r>
      <w:r>
        <w:rPr>
          <w:rFonts w:ascii="Times New Roman" w:hAnsi="Times New Roman"/>
          <w:sz w:val="20"/>
        </w:rPr>
        <w:t>0</w:t>
      </w:r>
      <w:r w:rsidRPr="0003762F">
        <w:rPr>
          <w:rFonts w:ascii="Times New Roman" w:hAnsi="Times New Roman"/>
          <w:sz w:val="20"/>
        </w:rPr>
        <w:t xml:space="preserve">). </w:t>
      </w:r>
      <w:r>
        <w:rPr>
          <w:rFonts w:ascii="Times New Roman" w:hAnsi="Times New Roman"/>
          <w:sz w:val="20"/>
        </w:rPr>
        <w:t xml:space="preserve"> </w:t>
      </w:r>
    </w:p>
  </w:footnote>
  <w:footnote w:id="4">
    <w:p w:rsidR="00592AEB" w:rsidRPr="00DA3A16" w:rsidRDefault="00592AEB" w:rsidP="00505819">
      <w:pPr>
        <w:pStyle w:val="FootnoteText"/>
        <w:rPr>
          <w:rFonts w:ascii="Times New Roman" w:hAnsi="Times New Roman"/>
          <w:sz w:val="20"/>
        </w:rPr>
      </w:pPr>
      <w:r w:rsidRPr="00DA3A16">
        <w:rPr>
          <w:rStyle w:val="FootnoteReference"/>
          <w:rFonts w:ascii="Times New Roman" w:hAnsi="Times New Roman"/>
          <w:sz w:val="20"/>
        </w:rPr>
        <w:footnoteRef/>
      </w:r>
      <w:r w:rsidRPr="00DA3A16">
        <w:rPr>
          <w:rFonts w:ascii="Times New Roman" w:hAnsi="Times New Roman"/>
          <w:sz w:val="20"/>
        </w:rPr>
        <w:t xml:space="preserve"> For all applications, records must be maintained by respondents</w:t>
      </w:r>
      <w:r>
        <w:rPr>
          <w:rFonts w:ascii="Times New Roman" w:hAnsi="Times New Roman"/>
          <w:sz w:val="20"/>
        </w:rPr>
        <w:t xml:space="preserve"> and the time for maintaining these records are included in the estimated time per response</w:t>
      </w:r>
      <w:r w:rsidRPr="00DA3A16">
        <w:rPr>
          <w:rFonts w:ascii="Times New Roman" w:hAnsi="Times New Roman"/>
          <w:sz w:val="20"/>
        </w:rPr>
        <w:t>.</w:t>
      </w:r>
    </w:p>
  </w:footnote>
  <w:footnote w:id="5">
    <w:p w:rsidR="00592AEB" w:rsidRPr="008E676F" w:rsidRDefault="00592AEB">
      <w:pPr>
        <w:pStyle w:val="FootnoteText"/>
        <w:rPr>
          <w:rFonts w:ascii="Times New Roman" w:hAnsi="Times New Roman"/>
          <w:sz w:val="20"/>
        </w:rPr>
      </w:pPr>
      <w:r w:rsidRPr="008E676F">
        <w:rPr>
          <w:rStyle w:val="FootnoteReference"/>
          <w:rFonts w:ascii="Times New Roman" w:hAnsi="Times New Roman"/>
          <w:sz w:val="20"/>
        </w:rPr>
        <w:footnoteRef/>
      </w:r>
      <w:r w:rsidRPr="008E676F">
        <w:rPr>
          <w:rFonts w:ascii="Times New Roman" w:hAnsi="Times New Roman"/>
          <w:sz w:val="20"/>
        </w:rPr>
        <w:t xml:space="preserve"> The Commission arrived at the </w:t>
      </w:r>
      <w:r>
        <w:rPr>
          <w:rFonts w:ascii="Times New Roman" w:hAnsi="Times New Roman"/>
          <w:sz w:val="20"/>
        </w:rPr>
        <w:t xml:space="preserve">annual </w:t>
      </w:r>
      <w:r w:rsidRPr="008E676F">
        <w:rPr>
          <w:rFonts w:ascii="Times New Roman" w:hAnsi="Times New Roman"/>
          <w:sz w:val="20"/>
        </w:rPr>
        <w:t>number of responses of 240 based on the following calculation:  20 respondents x 12 responses (3 responses per quarter x 4 quarters)</w:t>
      </w:r>
      <w:r>
        <w:rPr>
          <w:rFonts w:ascii="Times New Roman" w:hAnsi="Times New Roman"/>
          <w:sz w:val="20"/>
        </w:rPr>
        <w:t>.</w:t>
      </w:r>
    </w:p>
  </w:footnote>
  <w:footnote w:id="6">
    <w:p w:rsidR="00592AEB" w:rsidRPr="00BB7E46" w:rsidRDefault="00592AEB" w:rsidP="00BB7E46">
      <w:pPr>
        <w:pStyle w:val="FootnoteText"/>
        <w:rPr>
          <w:rFonts w:ascii="Times New Roman" w:hAnsi="Times New Roman"/>
          <w:sz w:val="20"/>
        </w:rPr>
      </w:pPr>
      <w:r w:rsidRPr="00BB7E46">
        <w:rPr>
          <w:rStyle w:val="FootnoteReference"/>
          <w:rFonts w:ascii="Times New Roman" w:hAnsi="Times New Roman"/>
          <w:sz w:val="20"/>
        </w:rPr>
        <w:footnoteRef/>
      </w:r>
      <w:r w:rsidRPr="00BB7E46">
        <w:rPr>
          <w:rFonts w:ascii="Times New Roman" w:hAnsi="Times New Roman"/>
          <w:sz w:val="20"/>
        </w:rPr>
        <w:t xml:space="preserve"> </w:t>
      </w:r>
      <w:r>
        <w:rPr>
          <w:rFonts w:ascii="Times New Roman" w:hAnsi="Times New Roman"/>
          <w:sz w:val="20"/>
        </w:rPr>
        <w:t>The rules and requirements in this collection will not require respondents to maintain any special equipment.</w:t>
      </w:r>
      <w:r w:rsidRPr="00240C36">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AEB" w:rsidRDefault="00592AEB" w:rsidP="00137820">
    <w:pPr>
      <w:tabs>
        <w:tab w:val="left" w:pos="-720"/>
      </w:tabs>
      <w:suppressAutoHyphens/>
      <w:rPr>
        <w:rFonts w:ascii="Times New Roman" w:hAnsi="Times New Roman"/>
        <w:b/>
        <w:sz w:val="24"/>
      </w:rPr>
    </w:pPr>
    <w:r>
      <w:rPr>
        <w:rFonts w:ascii="Times New Roman" w:hAnsi="Times New Roman"/>
        <w:b/>
        <w:sz w:val="24"/>
      </w:rPr>
      <w:t>International Section 214 Process and Tariff</w:t>
    </w:r>
    <w:r>
      <w:rPr>
        <w:rFonts w:ascii="Times New Roman" w:hAnsi="Times New Roman"/>
        <w:b/>
        <w:sz w:val="24"/>
      </w:rPr>
      <w:tab/>
    </w:r>
    <w:r>
      <w:rPr>
        <w:rFonts w:ascii="Times New Roman" w:hAnsi="Times New Roman"/>
        <w:b/>
        <w:sz w:val="24"/>
      </w:rPr>
      <w:tab/>
      <w:t xml:space="preserve">          </w:t>
    </w:r>
    <w:r w:rsidRPr="001130D9">
      <w:rPr>
        <w:rFonts w:ascii="Times New Roman" w:hAnsi="Times New Roman"/>
        <w:b/>
        <w:sz w:val="24"/>
      </w:rPr>
      <w:t>OMB Control No. 3060-0686</w:t>
    </w:r>
    <w:r>
      <w:rPr>
        <w:rFonts w:ascii="Times New Roman" w:hAnsi="Times New Roman"/>
        <w:b/>
        <w:sz w:val="24"/>
      </w:rPr>
      <w:t xml:space="preserve"> Requirements – 47 CFR Sections 63.10, 63.11, 63.13,  </w:t>
    </w:r>
    <w:r w:rsidRPr="001130D9">
      <w:rPr>
        <w:rFonts w:ascii="Times New Roman" w:hAnsi="Times New Roman"/>
        <w:b/>
        <w:sz w:val="24"/>
      </w:rPr>
      <w:tab/>
    </w:r>
    <w:r>
      <w:rPr>
        <w:rFonts w:ascii="Times New Roman" w:hAnsi="Times New Roman"/>
        <w:b/>
        <w:sz w:val="24"/>
      </w:rPr>
      <w:t xml:space="preserve">          February 2018</w:t>
    </w:r>
  </w:p>
  <w:p w:rsidR="00592AEB" w:rsidRDefault="00592AEB" w:rsidP="00137820">
    <w:pPr>
      <w:tabs>
        <w:tab w:val="left" w:pos="-720"/>
      </w:tabs>
      <w:suppressAutoHyphens/>
      <w:rPr>
        <w:rFonts w:ascii="Times New Roman" w:hAnsi="Times New Roman"/>
        <w:sz w:val="24"/>
      </w:rPr>
    </w:pPr>
    <w:r>
      <w:rPr>
        <w:rFonts w:ascii="Times New Roman" w:hAnsi="Times New Roman"/>
        <w:b/>
        <w:sz w:val="24"/>
      </w:rPr>
      <w:t>63.18, 63.19, 63.21, 63.22, 63.24, 63.25 and 1.1311</w:t>
    </w:r>
  </w:p>
  <w:p w:rsidR="00592AEB" w:rsidRDefault="00592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FC2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B35E4B"/>
    <w:multiLevelType w:val="hybridMultilevel"/>
    <w:tmpl w:val="CC72C9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A5A51"/>
    <w:multiLevelType w:val="hybridMultilevel"/>
    <w:tmpl w:val="C9CE6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9154DE"/>
    <w:multiLevelType w:val="hybridMultilevel"/>
    <w:tmpl w:val="B65C9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275DD"/>
    <w:multiLevelType w:val="singleLevel"/>
    <w:tmpl w:val="E13AE812"/>
    <w:lvl w:ilvl="0">
      <w:start w:val="12"/>
      <w:numFmt w:val="decimal"/>
      <w:lvlText w:val="%1"/>
      <w:lvlJc w:val="left"/>
      <w:pPr>
        <w:tabs>
          <w:tab w:val="num" w:pos="720"/>
        </w:tabs>
        <w:ind w:left="720" w:hanging="720"/>
      </w:pPr>
      <w:rPr>
        <w:rFonts w:hint="default"/>
      </w:rPr>
    </w:lvl>
  </w:abstractNum>
  <w:abstractNum w:abstractNumId="5">
    <w:nsid w:val="356C41A1"/>
    <w:multiLevelType w:val="hybridMultilevel"/>
    <w:tmpl w:val="B62A21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9529F"/>
    <w:multiLevelType w:val="singleLevel"/>
    <w:tmpl w:val="0409000F"/>
    <w:lvl w:ilvl="0">
      <w:start w:val="15"/>
      <w:numFmt w:val="decimal"/>
      <w:lvlText w:val="%1."/>
      <w:lvlJc w:val="left"/>
      <w:pPr>
        <w:tabs>
          <w:tab w:val="num" w:pos="360"/>
        </w:tabs>
        <w:ind w:left="360" w:hanging="360"/>
      </w:pPr>
      <w:rPr>
        <w:rFonts w:hint="default"/>
        <w:b w:val="0"/>
      </w:rPr>
    </w:lvl>
  </w:abstractNum>
  <w:abstractNum w:abstractNumId="7">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5D6B15E1"/>
    <w:multiLevelType w:val="singleLevel"/>
    <w:tmpl w:val="3C9EEA1A"/>
    <w:lvl w:ilvl="0">
      <w:start w:val="15"/>
      <w:numFmt w:val="decimal"/>
      <w:lvlText w:val="%1."/>
      <w:lvlJc w:val="left"/>
      <w:pPr>
        <w:tabs>
          <w:tab w:val="num" w:pos="1140"/>
        </w:tabs>
        <w:ind w:left="1140" w:hanging="420"/>
      </w:pPr>
      <w:rPr>
        <w:rFonts w:hint="default"/>
      </w:rPr>
    </w:lvl>
  </w:abstractNum>
  <w:abstractNum w:abstractNumId="9">
    <w:nsid w:val="67685309"/>
    <w:multiLevelType w:val="hybridMultilevel"/>
    <w:tmpl w:val="0D0E0D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14C32"/>
    <w:multiLevelType w:val="hybridMultilevel"/>
    <w:tmpl w:val="CC2EA6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7"/>
  </w:num>
  <w:num w:numId="5">
    <w:abstractNumId w:val="2"/>
  </w:num>
  <w:num w:numId="6">
    <w:abstractNumId w:val="0"/>
  </w:num>
  <w:num w:numId="7">
    <w:abstractNumId w:val="10"/>
  </w:num>
  <w:num w:numId="8">
    <w:abstractNumId w:val="3"/>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19"/>
    <w:rsid w:val="00000376"/>
    <w:rsid w:val="0000228A"/>
    <w:rsid w:val="00005941"/>
    <w:rsid w:val="000069C1"/>
    <w:rsid w:val="00007DDF"/>
    <w:rsid w:val="00007EF5"/>
    <w:rsid w:val="00011FBF"/>
    <w:rsid w:val="0001306B"/>
    <w:rsid w:val="00016D94"/>
    <w:rsid w:val="00020D6C"/>
    <w:rsid w:val="00024F83"/>
    <w:rsid w:val="00025661"/>
    <w:rsid w:val="00025B8A"/>
    <w:rsid w:val="00026335"/>
    <w:rsid w:val="00026C80"/>
    <w:rsid w:val="000306DD"/>
    <w:rsid w:val="00030AE2"/>
    <w:rsid w:val="00031B92"/>
    <w:rsid w:val="000334B1"/>
    <w:rsid w:val="00036B31"/>
    <w:rsid w:val="0003762F"/>
    <w:rsid w:val="00040107"/>
    <w:rsid w:val="00040740"/>
    <w:rsid w:val="000413A9"/>
    <w:rsid w:val="00044719"/>
    <w:rsid w:val="0004474E"/>
    <w:rsid w:val="000454C0"/>
    <w:rsid w:val="00045B0E"/>
    <w:rsid w:val="0004631D"/>
    <w:rsid w:val="00051364"/>
    <w:rsid w:val="00051AAC"/>
    <w:rsid w:val="00053401"/>
    <w:rsid w:val="00053591"/>
    <w:rsid w:val="00054AF0"/>
    <w:rsid w:val="00055FC0"/>
    <w:rsid w:val="0006255D"/>
    <w:rsid w:val="00063CDD"/>
    <w:rsid w:val="00064B32"/>
    <w:rsid w:val="000651E2"/>
    <w:rsid w:val="000651F5"/>
    <w:rsid w:val="000653D4"/>
    <w:rsid w:val="00065C76"/>
    <w:rsid w:val="00070814"/>
    <w:rsid w:val="00070F71"/>
    <w:rsid w:val="000721D3"/>
    <w:rsid w:val="00073A68"/>
    <w:rsid w:val="00075EB1"/>
    <w:rsid w:val="00081607"/>
    <w:rsid w:val="00081B8F"/>
    <w:rsid w:val="00082D3E"/>
    <w:rsid w:val="0008393C"/>
    <w:rsid w:val="00083EF9"/>
    <w:rsid w:val="00084CFC"/>
    <w:rsid w:val="0008597E"/>
    <w:rsid w:val="00087819"/>
    <w:rsid w:val="000904E5"/>
    <w:rsid w:val="00090CA0"/>
    <w:rsid w:val="000926DE"/>
    <w:rsid w:val="00095961"/>
    <w:rsid w:val="000A1754"/>
    <w:rsid w:val="000A1A3E"/>
    <w:rsid w:val="000A457F"/>
    <w:rsid w:val="000A5265"/>
    <w:rsid w:val="000A6A94"/>
    <w:rsid w:val="000A7A64"/>
    <w:rsid w:val="000B0567"/>
    <w:rsid w:val="000B27D6"/>
    <w:rsid w:val="000B3871"/>
    <w:rsid w:val="000B4124"/>
    <w:rsid w:val="000B4722"/>
    <w:rsid w:val="000B6725"/>
    <w:rsid w:val="000B6957"/>
    <w:rsid w:val="000B72BA"/>
    <w:rsid w:val="000C114E"/>
    <w:rsid w:val="000C361A"/>
    <w:rsid w:val="000C370F"/>
    <w:rsid w:val="000C6173"/>
    <w:rsid w:val="000C6707"/>
    <w:rsid w:val="000D107C"/>
    <w:rsid w:val="000D27EB"/>
    <w:rsid w:val="000D2B19"/>
    <w:rsid w:val="000D4A14"/>
    <w:rsid w:val="000D509A"/>
    <w:rsid w:val="000D6216"/>
    <w:rsid w:val="000D69B7"/>
    <w:rsid w:val="000E00B8"/>
    <w:rsid w:val="000E6E58"/>
    <w:rsid w:val="000E7D63"/>
    <w:rsid w:val="000F1AE5"/>
    <w:rsid w:val="000F636A"/>
    <w:rsid w:val="00100B72"/>
    <w:rsid w:val="00102FED"/>
    <w:rsid w:val="00104E5D"/>
    <w:rsid w:val="00112AD6"/>
    <w:rsid w:val="001130D9"/>
    <w:rsid w:val="0011433D"/>
    <w:rsid w:val="00115C97"/>
    <w:rsid w:val="0012162A"/>
    <w:rsid w:val="001216BE"/>
    <w:rsid w:val="001247BE"/>
    <w:rsid w:val="001250BF"/>
    <w:rsid w:val="0012635B"/>
    <w:rsid w:val="00126632"/>
    <w:rsid w:val="00126E7E"/>
    <w:rsid w:val="001302F0"/>
    <w:rsid w:val="00130813"/>
    <w:rsid w:val="001317DD"/>
    <w:rsid w:val="00134A71"/>
    <w:rsid w:val="00135756"/>
    <w:rsid w:val="00136077"/>
    <w:rsid w:val="00137820"/>
    <w:rsid w:val="00140A19"/>
    <w:rsid w:val="00146D8C"/>
    <w:rsid w:val="00147ED3"/>
    <w:rsid w:val="001502F8"/>
    <w:rsid w:val="0015036D"/>
    <w:rsid w:val="00150E46"/>
    <w:rsid w:val="00153DBB"/>
    <w:rsid w:val="001556C4"/>
    <w:rsid w:val="00161D80"/>
    <w:rsid w:val="00162927"/>
    <w:rsid w:val="00163DCE"/>
    <w:rsid w:val="001648B1"/>
    <w:rsid w:val="00166C02"/>
    <w:rsid w:val="001708F2"/>
    <w:rsid w:val="0017246D"/>
    <w:rsid w:val="00175464"/>
    <w:rsid w:val="001769C8"/>
    <w:rsid w:val="00176A63"/>
    <w:rsid w:val="001776EE"/>
    <w:rsid w:val="001801FF"/>
    <w:rsid w:val="00180F5F"/>
    <w:rsid w:val="0018301E"/>
    <w:rsid w:val="00186ADB"/>
    <w:rsid w:val="00186D38"/>
    <w:rsid w:val="00187D32"/>
    <w:rsid w:val="00190932"/>
    <w:rsid w:val="001909B3"/>
    <w:rsid w:val="00192045"/>
    <w:rsid w:val="00195B33"/>
    <w:rsid w:val="00196FBB"/>
    <w:rsid w:val="001A0F4C"/>
    <w:rsid w:val="001A1653"/>
    <w:rsid w:val="001A4C24"/>
    <w:rsid w:val="001A4D3C"/>
    <w:rsid w:val="001A7064"/>
    <w:rsid w:val="001B1BA7"/>
    <w:rsid w:val="001B45E8"/>
    <w:rsid w:val="001B5D35"/>
    <w:rsid w:val="001C2021"/>
    <w:rsid w:val="001C4592"/>
    <w:rsid w:val="001C4F60"/>
    <w:rsid w:val="001C6D86"/>
    <w:rsid w:val="001C7370"/>
    <w:rsid w:val="001D2110"/>
    <w:rsid w:val="001D3F84"/>
    <w:rsid w:val="001D4963"/>
    <w:rsid w:val="001D5F91"/>
    <w:rsid w:val="001E196A"/>
    <w:rsid w:val="001E3EA4"/>
    <w:rsid w:val="001E59CB"/>
    <w:rsid w:val="001E6F0B"/>
    <w:rsid w:val="001E732B"/>
    <w:rsid w:val="001F1E6B"/>
    <w:rsid w:val="001F2E54"/>
    <w:rsid w:val="001F3CBF"/>
    <w:rsid w:val="001F415F"/>
    <w:rsid w:val="001F4AE7"/>
    <w:rsid w:val="001F62B2"/>
    <w:rsid w:val="001F66FD"/>
    <w:rsid w:val="002005BD"/>
    <w:rsid w:val="00200D8B"/>
    <w:rsid w:val="0020273C"/>
    <w:rsid w:val="00202E8E"/>
    <w:rsid w:val="0020388B"/>
    <w:rsid w:val="00210933"/>
    <w:rsid w:val="00212BF8"/>
    <w:rsid w:val="00213687"/>
    <w:rsid w:val="0021735A"/>
    <w:rsid w:val="00220B4C"/>
    <w:rsid w:val="00224310"/>
    <w:rsid w:val="002250FF"/>
    <w:rsid w:val="00226DA4"/>
    <w:rsid w:val="002271D4"/>
    <w:rsid w:val="002279CE"/>
    <w:rsid w:val="00227A7A"/>
    <w:rsid w:val="00231439"/>
    <w:rsid w:val="00236142"/>
    <w:rsid w:val="0023619C"/>
    <w:rsid w:val="00240C36"/>
    <w:rsid w:val="00241C10"/>
    <w:rsid w:val="00245548"/>
    <w:rsid w:val="002459E8"/>
    <w:rsid w:val="00247449"/>
    <w:rsid w:val="00251218"/>
    <w:rsid w:val="00252080"/>
    <w:rsid w:val="00253756"/>
    <w:rsid w:val="00253A77"/>
    <w:rsid w:val="002557E5"/>
    <w:rsid w:val="00255DB2"/>
    <w:rsid w:val="00257B15"/>
    <w:rsid w:val="00257C28"/>
    <w:rsid w:val="00257C8A"/>
    <w:rsid w:val="00257FFB"/>
    <w:rsid w:val="00262809"/>
    <w:rsid w:val="00264259"/>
    <w:rsid w:val="0026458D"/>
    <w:rsid w:val="00265154"/>
    <w:rsid w:val="0026618E"/>
    <w:rsid w:val="00267A52"/>
    <w:rsid w:val="00267FFC"/>
    <w:rsid w:val="00271D56"/>
    <w:rsid w:val="00272C23"/>
    <w:rsid w:val="0028082C"/>
    <w:rsid w:val="002822DD"/>
    <w:rsid w:val="00283320"/>
    <w:rsid w:val="00290F89"/>
    <w:rsid w:val="00291146"/>
    <w:rsid w:val="00291E8E"/>
    <w:rsid w:val="00294417"/>
    <w:rsid w:val="002951F0"/>
    <w:rsid w:val="002A0702"/>
    <w:rsid w:val="002A3626"/>
    <w:rsid w:val="002A397B"/>
    <w:rsid w:val="002A3E68"/>
    <w:rsid w:val="002A3F51"/>
    <w:rsid w:val="002A43BC"/>
    <w:rsid w:val="002A772A"/>
    <w:rsid w:val="002B44EA"/>
    <w:rsid w:val="002B5248"/>
    <w:rsid w:val="002B5716"/>
    <w:rsid w:val="002B5C12"/>
    <w:rsid w:val="002B5C84"/>
    <w:rsid w:val="002B5E90"/>
    <w:rsid w:val="002B5EB6"/>
    <w:rsid w:val="002B5F48"/>
    <w:rsid w:val="002B65FF"/>
    <w:rsid w:val="002B6F7E"/>
    <w:rsid w:val="002C2E98"/>
    <w:rsid w:val="002C4CFA"/>
    <w:rsid w:val="002C4E40"/>
    <w:rsid w:val="002D29E7"/>
    <w:rsid w:val="002D5090"/>
    <w:rsid w:val="002D626A"/>
    <w:rsid w:val="002E1084"/>
    <w:rsid w:val="002E2A41"/>
    <w:rsid w:val="002E36D5"/>
    <w:rsid w:val="002E3ACB"/>
    <w:rsid w:val="002E3BF1"/>
    <w:rsid w:val="002E5D9C"/>
    <w:rsid w:val="002E79FD"/>
    <w:rsid w:val="002F0B4B"/>
    <w:rsid w:val="002F184D"/>
    <w:rsid w:val="002F2702"/>
    <w:rsid w:val="002F4387"/>
    <w:rsid w:val="002F5FF6"/>
    <w:rsid w:val="00300C3D"/>
    <w:rsid w:val="0030345C"/>
    <w:rsid w:val="00304DBB"/>
    <w:rsid w:val="003059F1"/>
    <w:rsid w:val="00306F7A"/>
    <w:rsid w:val="00307B0D"/>
    <w:rsid w:val="00310BD1"/>
    <w:rsid w:val="0031152B"/>
    <w:rsid w:val="00311E27"/>
    <w:rsid w:val="00314CC6"/>
    <w:rsid w:val="00314CF2"/>
    <w:rsid w:val="003159CB"/>
    <w:rsid w:val="00315E95"/>
    <w:rsid w:val="00316BA2"/>
    <w:rsid w:val="003202D2"/>
    <w:rsid w:val="00322B68"/>
    <w:rsid w:val="00323C56"/>
    <w:rsid w:val="0032665C"/>
    <w:rsid w:val="00327D88"/>
    <w:rsid w:val="0033018B"/>
    <w:rsid w:val="003304CE"/>
    <w:rsid w:val="00330EA3"/>
    <w:rsid w:val="00332BBE"/>
    <w:rsid w:val="00333418"/>
    <w:rsid w:val="003344E1"/>
    <w:rsid w:val="00335551"/>
    <w:rsid w:val="00337E48"/>
    <w:rsid w:val="00343670"/>
    <w:rsid w:val="0034485E"/>
    <w:rsid w:val="003452EB"/>
    <w:rsid w:val="00347146"/>
    <w:rsid w:val="00351EB7"/>
    <w:rsid w:val="003566CB"/>
    <w:rsid w:val="00356969"/>
    <w:rsid w:val="0036130A"/>
    <w:rsid w:val="00361CFF"/>
    <w:rsid w:val="003633DA"/>
    <w:rsid w:val="00363F18"/>
    <w:rsid w:val="003653A2"/>
    <w:rsid w:val="003669C9"/>
    <w:rsid w:val="003703C0"/>
    <w:rsid w:val="00374DE4"/>
    <w:rsid w:val="00375723"/>
    <w:rsid w:val="00376E9A"/>
    <w:rsid w:val="00377124"/>
    <w:rsid w:val="003814FB"/>
    <w:rsid w:val="003816AF"/>
    <w:rsid w:val="003818EA"/>
    <w:rsid w:val="00381C3A"/>
    <w:rsid w:val="00383D11"/>
    <w:rsid w:val="0038524C"/>
    <w:rsid w:val="0038576B"/>
    <w:rsid w:val="00387A20"/>
    <w:rsid w:val="00391BB3"/>
    <w:rsid w:val="00397047"/>
    <w:rsid w:val="00397676"/>
    <w:rsid w:val="00397F3B"/>
    <w:rsid w:val="003A1088"/>
    <w:rsid w:val="003A1A30"/>
    <w:rsid w:val="003A21E2"/>
    <w:rsid w:val="003A320D"/>
    <w:rsid w:val="003A4657"/>
    <w:rsid w:val="003A4E5A"/>
    <w:rsid w:val="003A4F35"/>
    <w:rsid w:val="003A5C06"/>
    <w:rsid w:val="003B3C3A"/>
    <w:rsid w:val="003B4889"/>
    <w:rsid w:val="003C30DA"/>
    <w:rsid w:val="003C4AA8"/>
    <w:rsid w:val="003C59E5"/>
    <w:rsid w:val="003C5A4D"/>
    <w:rsid w:val="003D0527"/>
    <w:rsid w:val="003D1859"/>
    <w:rsid w:val="003D1E82"/>
    <w:rsid w:val="003D4B88"/>
    <w:rsid w:val="003D5768"/>
    <w:rsid w:val="003E010C"/>
    <w:rsid w:val="003E223E"/>
    <w:rsid w:val="003E3950"/>
    <w:rsid w:val="003E3F0F"/>
    <w:rsid w:val="003F1C3F"/>
    <w:rsid w:val="003F4445"/>
    <w:rsid w:val="003F6DDF"/>
    <w:rsid w:val="003F7836"/>
    <w:rsid w:val="003F798D"/>
    <w:rsid w:val="003F7A38"/>
    <w:rsid w:val="00400A56"/>
    <w:rsid w:val="00401536"/>
    <w:rsid w:val="004050A0"/>
    <w:rsid w:val="00405794"/>
    <w:rsid w:val="00405EC0"/>
    <w:rsid w:val="00406C1C"/>
    <w:rsid w:val="004079AE"/>
    <w:rsid w:val="00407EAF"/>
    <w:rsid w:val="0041019F"/>
    <w:rsid w:val="00410F8A"/>
    <w:rsid w:val="00412AEF"/>
    <w:rsid w:val="0041312A"/>
    <w:rsid w:val="004151E8"/>
    <w:rsid w:val="00421242"/>
    <w:rsid w:val="004226FA"/>
    <w:rsid w:val="004228AF"/>
    <w:rsid w:val="00422BB9"/>
    <w:rsid w:val="004236C8"/>
    <w:rsid w:val="00426948"/>
    <w:rsid w:val="00426DDA"/>
    <w:rsid w:val="00427574"/>
    <w:rsid w:val="004278A4"/>
    <w:rsid w:val="0043011F"/>
    <w:rsid w:val="004307A0"/>
    <w:rsid w:val="00431741"/>
    <w:rsid w:val="0043336A"/>
    <w:rsid w:val="0043530F"/>
    <w:rsid w:val="00437164"/>
    <w:rsid w:val="00437399"/>
    <w:rsid w:val="00437F27"/>
    <w:rsid w:val="00440729"/>
    <w:rsid w:val="0044072A"/>
    <w:rsid w:val="00441844"/>
    <w:rsid w:val="00443D17"/>
    <w:rsid w:val="00443F08"/>
    <w:rsid w:val="00443F73"/>
    <w:rsid w:val="004446F2"/>
    <w:rsid w:val="004460DA"/>
    <w:rsid w:val="00447F4A"/>
    <w:rsid w:val="00450ED4"/>
    <w:rsid w:val="00451DE2"/>
    <w:rsid w:val="00452788"/>
    <w:rsid w:val="00453D1B"/>
    <w:rsid w:val="004544ED"/>
    <w:rsid w:val="0045540B"/>
    <w:rsid w:val="00456077"/>
    <w:rsid w:val="00456B37"/>
    <w:rsid w:val="0045747E"/>
    <w:rsid w:val="004579C6"/>
    <w:rsid w:val="004626D6"/>
    <w:rsid w:val="0046323B"/>
    <w:rsid w:val="0046427A"/>
    <w:rsid w:val="004645D0"/>
    <w:rsid w:val="00473D6B"/>
    <w:rsid w:val="004755A0"/>
    <w:rsid w:val="00476EC2"/>
    <w:rsid w:val="00477709"/>
    <w:rsid w:val="004777C9"/>
    <w:rsid w:val="00480A4A"/>
    <w:rsid w:val="00485B8E"/>
    <w:rsid w:val="00485D04"/>
    <w:rsid w:val="00487E3C"/>
    <w:rsid w:val="00493121"/>
    <w:rsid w:val="0049383E"/>
    <w:rsid w:val="00497E26"/>
    <w:rsid w:val="004A14AB"/>
    <w:rsid w:val="004A23A3"/>
    <w:rsid w:val="004A3447"/>
    <w:rsid w:val="004A7EC7"/>
    <w:rsid w:val="004B0B18"/>
    <w:rsid w:val="004B4667"/>
    <w:rsid w:val="004B4CB0"/>
    <w:rsid w:val="004B7129"/>
    <w:rsid w:val="004B74A4"/>
    <w:rsid w:val="004C1372"/>
    <w:rsid w:val="004C1912"/>
    <w:rsid w:val="004C294A"/>
    <w:rsid w:val="004C45F8"/>
    <w:rsid w:val="004D07E5"/>
    <w:rsid w:val="004D1911"/>
    <w:rsid w:val="004D656A"/>
    <w:rsid w:val="004D7DCE"/>
    <w:rsid w:val="004E0210"/>
    <w:rsid w:val="004E0ADF"/>
    <w:rsid w:val="004E152D"/>
    <w:rsid w:val="004E3D3F"/>
    <w:rsid w:val="004E5ECA"/>
    <w:rsid w:val="004F22FF"/>
    <w:rsid w:val="004F3CB6"/>
    <w:rsid w:val="004F5627"/>
    <w:rsid w:val="004F620C"/>
    <w:rsid w:val="004F6878"/>
    <w:rsid w:val="004F7F2F"/>
    <w:rsid w:val="005004C1"/>
    <w:rsid w:val="005020CD"/>
    <w:rsid w:val="00503CF2"/>
    <w:rsid w:val="00505819"/>
    <w:rsid w:val="005076C3"/>
    <w:rsid w:val="0051010A"/>
    <w:rsid w:val="0051185E"/>
    <w:rsid w:val="00512D31"/>
    <w:rsid w:val="005135FE"/>
    <w:rsid w:val="0051421F"/>
    <w:rsid w:val="00514F5B"/>
    <w:rsid w:val="00515FE4"/>
    <w:rsid w:val="00517B93"/>
    <w:rsid w:val="005202EB"/>
    <w:rsid w:val="005202FC"/>
    <w:rsid w:val="00520787"/>
    <w:rsid w:val="00520F7B"/>
    <w:rsid w:val="0052210E"/>
    <w:rsid w:val="00522F5E"/>
    <w:rsid w:val="005239CA"/>
    <w:rsid w:val="00524BDB"/>
    <w:rsid w:val="005254C2"/>
    <w:rsid w:val="00525D82"/>
    <w:rsid w:val="005344A7"/>
    <w:rsid w:val="00534F51"/>
    <w:rsid w:val="00535097"/>
    <w:rsid w:val="00536AC2"/>
    <w:rsid w:val="0054221B"/>
    <w:rsid w:val="00544464"/>
    <w:rsid w:val="00544C39"/>
    <w:rsid w:val="00544EB2"/>
    <w:rsid w:val="00545B62"/>
    <w:rsid w:val="00551681"/>
    <w:rsid w:val="005528EA"/>
    <w:rsid w:val="005534B0"/>
    <w:rsid w:val="00555A97"/>
    <w:rsid w:val="005565A2"/>
    <w:rsid w:val="00557295"/>
    <w:rsid w:val="00557D52"/>
    <w:rsid w:val="00557ECD"/>
    <w:rsid w:val="00561A0B"/>
    <w:rsid w:val="00561E75"/>
    <w:rsid w:val="00562314"/>
    <w:rsid w:val="005641A6"/>
    <w:rsid w:val="005649E5"/>
    <w:rsid w:val="005658E7"/>
    <w:rsid w:val="00565BE7"/>
    <w:rsid w:val="005671B3"/>
    <w:rsid w:val="00570150"/>
    <w:rsid w:val="005702D8"/>
    <w:rsid w:val="005802D9"/>
    <w:rsid w:val="00581C56"/>
    <w:rsid w:val="00582EF0"/>
    <w:rsid w:val="00587FB9"/>
    <w:rsid w:val="005919A0"/>
    <w:rsid w:val="00591B60"/>
    <w:rsid w:val="00592AEB"/>
    <w:rsid w:val="00594CD3"/>
    <w:rsid w:val="00595422"/>
    <w:rsid w:val="00597879"/>
    <w:rsid w:val="005A0F06"/>
    <w:rsid w:val="005A32B7"/>
    <w:rsid w:val="005A4336"/>
    <w:rsid w:val="005A5FF1"/>
    <w:rsid w:val="005A6147"/>
    <w:rsid w:val="005A7DE7"/>
    <w:rsid w:val="005B0DDA"/>
    <w:rsid w:val="005B1603"/>
    <w:rsid w:val="005B1742"/>
    <w:rsid w:val="005B1AF8"/>
    <w:rsid w:val="005B72A0"/>
    <w:rsid w:val="005B7BB2"/>
    <w:rsid w:val="005C057A"/>
    <w:rsid w:val="005C103E"/>
    <w:rsid w:val="005C2ABA"/>
    <w:rsid w:val="005C345F"/>
    <w:rsid w:val="005C4F83"/>
    <w:rsid w:val="005D0A24"/>
    <w:rsid w:val="005D145B"/>
    <w:rsid w:val="005D1B8E"/>
    <w:rsid w:val="005D289A"/>
    <w:rsid w:val="005D2A98"/>
    <w:rsid w:val="005D512A"/>
    <w:rsid w:val="005D5728"/>
    <w:rsid w:val="005D662A"/>
    <w:rsid w:val="005E4464"/>
    <w:rsid w:val="005E44F1"/>
    <w:rsid w:val="005E4B42"/>
    <w:rsid w:val="005E50A2"/>
    <w:rsid w:val="005F0604"/>
    <w:rsid w:val="005F3971"/>
    <w:rsid w:val="005F4639"/>
    <w:rsid w:val="005F62A8"/>
    <w:rsid w:val="005F6DD8"/>
    <w:rsid w:val="00600BFD"/>
    <w:rsid w:val="00602D5B"/>
    <w:rsid w:val="006035E5"/>
    <w:rsid w:val="00603988"/>
    <w:rsid w:val="00605A69"/>
    <w:rsid w:val="00610A6D"/>
    <w:rsid w:val="006118F3"/>
    <w:rsid w:val="00611AAC"/>
    <w:rsid w:val="00611ACF"/>
    <w:rsid w:val="006145B9"/>
    <w:rsid w:val="00614A1E"/>
    <w:rsid w:val="006153E4"/>
    <w:rsid w:val="00615A6B"/>
    <w:rsid w:val="00617463"/>
    <w:rsid w:val="00621EB9"/>
    <w:rsid w:val="00622FF6"/>
    <w:rsid w:val="00625C27"/>
    <w:rsid w:val="006323A7"/>
    <w:rsid w:val="006323A9"/>
    <w:rsid w:val="00632ABE"/>
    <w:rsid w:val="00632B9C"/>
    <w:rsid w:val="006358BE"/>
    <w:rsid w:val="006414F8"/>
    <w:rsid w:val="00641F89"/>
    <w:rsid w:val="006441A6"/>
    <w:rsid w:val="00644DE7"/>
    <w:rsid w:val="00644F93"/>
    <w:rsid w:val="00645F84"/>
    <w:rsid w:val="006470FF"/>
    <w:rsid w:val="00651386"/>
    <w:rsid w:val="00651A36"/>
    <w:rsid w:val="00652D0C"/>
    <w:rsid w:val="00653138"/>
    <w:rsid w:val="00653179"/>
    <w:rsid w:val="00654443"/>
    <w:rsid w:val="006563BC"/>
    <w:rsid w:val="006605E7"/>
    <w:rsid w:val="00673A10"/>
    <w:rsid w:val="00674C4F"/>
    <w:rsid w:val="00675333"/>
    <w:rsid w:val="00676A14"/>
    <w:rsid w:val="00677783"/>
    <w:rsid w:val="006801CD"/>
    <w:rsid w:val="00680D06"/>
    <w:rsid w:val="00682D8A"/>
    <w:rsid w:val="006833E4"/>
    <w:rsid w:val="006841C0"/>
    <w:rsid w:val="00685792"/>
    <w:rsid w:val="006857EF"/>
    <w:rsid w:val="006860C0"/>
    <w:rsid w:val="006863D2"/>
    <w:rsid w:val="00690B89"/>
    <w:rsid w:val="006915B0"/>
    <w:rsid w:val="00691A10"/>
    <w:rsid w:val="00692EA7"/>
    <w:rsid w:val="006936EF"/>
    <w:rsid w:val="00694BED"/>
    <w:rsid w:val="006A0AF0"/>
    <w:rsid w:val="006A2489"/>
    <w:rsid w:val="006A297B"/>
    <w:rsid w:val="006A3461"/>
    <w:rsid w:val="006A3F32"/>
    <w:rsid w:val="006A60DC"/>
    <w:rsid w:val="006A6787"/>
    <w:rsid w:val="006B00E0"/>
    <w:rsid w:val="006B02DA"/>
    <w:rsid w:val="006B246C"/>
    <w:rsid w:val="006B32EF"/>
    <w:rsid w:val="006B4ACF"/>
    <w:rsid w:val="006B704D"/>
    <w:rsid w:val="006C0B52"/>
    <w:rsid w:val="006C0F5F"/>
    <w:rsid w:val="006C7951"/>
    <w:rsid w:val="006D1DD0"/>
    <w:rsid w:val="006D3D5E"/>
    <w:rsid w:val="006D46F5"/>
    <w:rsid w:val="006D67FE"/>
    <w:rsid w:val="006D6FAC"/>
    <w:rsid w:val="006D7E2F"/>
    <w:rsid w:val="006E012A"/>
    <w:rsid w:val="006E2971"/>
    <w:rsid w:val="006E7B79"/>
    <w:rsid w:val="006F14D2"/>
    <w:rsid w:val="006F1582"/>
    <w:rsid w:val="006F2623"/>
    <w:rsid w:val="006F67C8"/>
    <w:rsid w:val="006F6A81"/>
    <w:rsid w:val="00700565"/>
    <w:rsid w:val="00702399"/>
    <w:rsid w:val="00703AEE"/>
    <w:rsid w:val="0070522F"/>
    <w:rsid w:val="00706718"/>
    <w:rsid w:val="0071033C"/>
    <w:rsid w:val="00713875"/>
    <w:rsid w:val="00714AA5"/>
    <w:rsid w:val="0071505E"/>
    <w:rsid w:val="00715984"/>
    <w:rsid w:val="00721C01"/>
    <w:rsid w:val="00722F19"/>
    <w:rsid w:val="007256CF"/>
    <w:rsid w:val="007265E6"/>
    <w:rsid w:val="00731CC1"/>
    <w:rsid w:val="00732134"/>
    <w:rsid w:val="00735B9F"/>
    <w:rsid w:val="0073604D"/>
    <w:rsid w:val="00737CDE"/>
    <w:rsid w:val="007418B8"/>
    <w:rsid w:val="00742B33"/>
    <w:rsid w:val="00742DE0"/>
    <w:rsid w:val="007432E1"/>
    <w:rsid w:val="00745210"/>
    <w:rsid w:val="007475D8"/>
    <w:rsid w:val="00750AAA"/>
    <w:rsid w:val="00750C42"/>
    <w:rsid w:val="007516F0"/>
    <w:rsid w:val="0075371B"/>
    <w:rsid w:val="007554A2"/>
    <w:rsid w:val="007554D9"/>
    <w:rsid w:val="00757CA9"/>
    <w:rsid w:val="007649BC"/>
    <w:rsid w:val="00766CD9"/>
    <w:rsid w:val="00767EDE"/>
    <w:rsid w:val="0077186B"/>
    <w:rsid w:val="00774BEC"/>
    <w:rsid w:val="007813D3"/>
    <w:rsid w:val="00783C53"/>
    <w:rsid w:val="00784877"/>
    <w:rsid w:val="00787148"/>
    <w:rsid w:val="007909CF"/>
    <w:rsid w:val="00791064"/>
    <w:rsid w:val="00792B53"/>
    <w:rsid w:val="007942E0"/>
    <w:rsid w:val="007955F7"/>
    <w:rsid w:val="007A0014"/>
    <w:rsid w:val="007A37CC"/>
    <w:rsid w:val="007A4A27"/>
    <w:rsid w:val="007A5479"/>
    <w:rsid w:val="007A6E22"/>
    <w:rsid w:val="007A7D25"/>
    <w:rsid w:val="007B79A8"/>
    <w:rsid w:val="007C23B4"/>
    <w:rsid w:val="007C3032"/>
    <w:rsid w:val="007C5207"/>
    <w:rsid w:val="007C7BF9"/>
    <w:rsid w:val="007D00BF"/>
    <w:rsid w:val="007D1410"/>
    <w:rsid w:val="007D2DEF"/>
    <w:rsid w:val="007D561D"/>
    <w:rsid w:val="007D661F"/>
    <w:rsid w:val="007D7551"/>
    <w:rsid w:val="007E045B"/>
    <w:rsid w:val="007E074B"/>
    <w:rsid w:val="007E1DF9"/>
    <w:rsid w:val="007E4536"/>
    <w:rsid w:val="007E5045"/>
    <w:rsid w:val="007E505E"/>
    <w:rsid w:val="007E66F9"/>
    <w:rsid w:val="007E6FB3"/>
    <w:rsid w:val="007F0910"/>
    <w:rsid w:val="007F0E22"/>
    <w:rsid w:val="007F2BBB"/>
    <w:rsid w:val="007F347B"/>
    <w:rsid w:val="007F60AB"/>
    <w:rsid w:val="007F7626"/>
    <w:rsid w:val="007F7F6B"/>
    <w:rsid w:val="0080109E"/>
    <w:rsid w:val="00805621"/>
    <w:rsid w:val="0080642B"/>
    <w:rsid w:val="00806FD8"/>
    <w:rsid w:val="00810EE3"/>
    <w:rsid w:val="008123FF"/>
    <w:rsid w:val="008130D4"/>
    <w:rsid w:val="00813176"/>
    <w:rsid w:val="008150D2"/>
    <w:rsid w:val="008157EA"/>
    <w:rsid w:val="00815951"/>
    <w:rsid w:val="00816625"/>
    <w:rsid w:val="008173C9"/>
    <w:rsid w:val="008174BA"/>
    <w:rsid w:val="008174E4"/>
    <w:rsid w:val="00817C38"/>
    <w:rsid w:val="00824980"/>
    <w:rsid w:val="00826CF1"/>
    <w:rsid w:val="00826E8C"/>
    <w:rsid w:val="00827E02"/>
    <w:rsid w:val="00830BCE"/>
    <w:rsid w:val="00831680"/>
    <w:rsid w:val="00832A0F"/>
    <w:rsid w:val="00833408"/>
    <w:rsid w:val="00834B23"/>
    <w:rsid w:val="0084002C"/>
    <w:rsid w:val="0084065E"/>
    <w:rsid w:val="00841714"/>
    <w:rsid w:val="00843072"/>
    <w:rsid w:val="00845BC9"/>
    <w:rsid w:val="00845DEC"/>
    <w:rsid w:val="00846672"/>
    <w:rsid w:val="00846A30"/>
    <w:rsid w:val="00847AB7"/>
    <w:rsid w:val="008502BC"/>
    <w:rsid w:val="00851CE8"/>
    <w:rsid w:val="00853561"/>
    <w:rsid w:val="00853B8A"/>
    <w:rsid w:val="0085580E"/>
    <w:rsid w:val="0085685D"/>
    <w:rsid w:val="008579B1"/>
    <w:rsid w:val="00860059"/>
    <w:rsid w:val="0086008D"/>
    <w:rsid w:val="0086080B"/>
    <w:rsid w:val="00860E65"/>
    <w:rsid w:val="00862A78"/>
    <w:rsid w:val="0086350B"/>
    <w:rsid w:val="00863F07"/>
    <w:rsid w:val="008646AB"/>
    <w:rsid w:val="00864D77"/>
    <w:rsid w:val="00864EAF"/>
    <w:rsid w:val="00865FE5"/>
    <w:rsid w:val="00866AF5"/>
    <w:rsid w:val="00867BD6"/>
    <w:rsid w:val="0087132F"/>
    <w:rsid w:val="008728E3"/>
    <w:rsid w:val="00874246"/>
    <w:rsid w:val="00875322"/>
    <w:rsid w:val="0088090F"/>
    <w:rsid w:val="00880BD3"/>
    <w:rsid w:val="00881895"/>
    <w:rsid w:val="00881B6E"/>
    <w:rsid w:val="00882429"/>
    <w:rsid w:val="00882570"/>
    <w:rsid w:val="0088301D"/>
    <w:rsid w:val="0088482F"/>
    <w:rsid w:val="008857D6"/>
    <w:rsid w:val="00886506"/>
    <w:rsid w:val="0088676A"/>
    <w:rsid w:val="00886C24"/>
    <w:rsid w:val="00886D6B"/>
    <w:rsid w:val="00886E2C"/>
    <w:rsid w:val="0089023E"/>
    <w:rsid w:val="00891076"/>
    <w:rsid w:val="00891682"/>
    <w:rsid w:val="0089199F"/>
    <w:rsid w:val="00891A60"/>
    <w:rsid w:val="008A314F"/>
    <w:rsid w:val="008A359A"/>
    <w:rsid w:val="008A674E"/>
    <w:rsid w:val="008A795E"/>
    <w:rsid w:val="008B1763"/>
    <w:rsid w:val="008B2C14"/>
    <w:rsid w:val="008B390E"/>
    <w:rsid w:val="008B47BD"/>
    <w:rsid w:val="008B5AF2"/>
    <w:rsid w:val="008B66D7"/>
    <w:rsid w:val="008B7C87"/>
    <w:rsid w:val="008C1564"/>
    <w:rsid w:val="008C17FC"/>
    <w:rsid w:val="008C1A18"/>
    <w:rsid w:val="008C294C"/>
    <w:rsid w:val="008C7310"/>
    <w:rsid w:val="008C7D38"/>
    <w:rsid w:val="008D09FE"/>
    <w:rsid w:val="008D0F13"/>
    <w:rsid w:val="008D2294"/>
    <w:rsid w:val="008D266A"/>
    <w:rsid w:val="008D2B7B"/>
    <w:rsid w:val="008D3B18"/>
    <w:rsid w:val="008D3B81"/>
    <w:rsid w:val="008D4E2A"/>
    <w:rsid w:val="008D6E29"/>
    <w:rsid w:val="008D7B21"/>
    <w:rsid w:val="008E2BEF"/>
    <w:rsid w:val="008E2C92"/>
    <w:rsid w:val="008E4848"/>
    <w:rsid w:val="008E676F"/>
    <w:rsid w:val="008E6F68"/>
    <w:rsid w:val="008F0EFA"/>
    <w:rsid w:val="008F5CAF"/>
    <w:rsid w:val="0090039E"/>
    <w:rsid w:val="00902E72"/>
    <w:rsid w:val="0090374F"/>
    <w:rsid w:val="00904524"/>
    <w:rsid w:val="00905252"/>
    <w:rsid w:val="00907642"/>
    <w:rsid w:val="0091292F"/>
    <w:rsid w:val="00913E18"/>
    <w:rsid w:val="00920C72"/>
    <w:rsid w:val="00920FAC"/>
    <w:rsid w:val="0092248C"/>
    <w:rsid w:val="00923408"/>
    <w:rsid w:val="00923BCD"/>
    <w:rsid w:val="0092418E"/>
    <w:rsid w:val="009248D7"/>
    <w:rsid w:val="009254DF"/>
    <w:rsid w:val="00926A10"/>
    <w:rsid w:val="00927091"/>
    <w:rsid w:val="00930142"/>
    <w:rsid w:val="00930BD7"/>
    <w:rsid w:val="0093214D"/>
    <w:rsid w:val="00935345"/>
    <w:rsid w:val="00935B56"/>
    <w:rsid w:val="00935CF5"/>
    <w:rsid w:val="009362DE"/>
    <w:rsid w:val="0093654D"/>
    <w:rsid w:val="00941FC7"/>
    <w:rsid w:val="00943052"/>
    <w:rsid w:val="0094328B"/>
    <w:rsid w:val="009454E6"/>
    <w:rsid w:val="00947264"/>
    <w:rsid w:val="0095214C"/>
    <w:rsid w:val="00952757"/>
    <w:rsid w:val="00952A97"/>
    <w:rsid w:val="00956E50"/>
    <w:rsid w:val="00960A79"/>
    <w:rsid w:val="00960E94"/>
    <w:rsid w:val="0096123A"/>
    <w:rsid w:val="00961487"/>
    <w:rsid w:val="009619C1"/>
    <w:rsid w:val="00966364"/>
    <w:rsid w:val="00967BE5"/>
    <w:rsid w:val="009716D7"/>
    <w:rsid w:val="00973EC3"/>
    <w:rsid w:val="00974013"/>
    <w:rsid w:val="00975CF3"/>
    <w:rsid w:val="00986372"/>
    <w:rsid w:val="00986587"/>
    <w:rsid w:val="009866D2"/>
    <w:rsid w:val="00993AEB"/>
    <w:rsid w:val="00994843"/>
    <w:rsid w:val="00995D06"/>
    <w:rsid w:val="009967E4"/>
    <w:rsid w:val="0099741D"/>
    <w:rsid w:val="00997928"/>
    <w:rsid w:val="009A04B1"/>
    <w:rsid w:val="009A0614"/>
    <w:rsid w:val="009A41AE"/>
    <w:rsid w:val="009A446F"/>
    <w:rsid w:val="009A45CC"/>
    <w:rsid w:val="009A58B4"/>
    <w:rsid w:val="009B0535"/>
    <w:rsid w:val="009B1248"/>
    <w:rsid w:val="009B15AF"/>
    <w:rsid w:val="009B3AF0"/>
    <w:rsid w:val="009B3C91"/>
    <w:rsid w:val="009B4D50"/>
    <w:rsid w:val="009B503F"/>
    <w:rsid w:val="009B5480"/>
    <w:rsid w:val="009B5EE1"/>
    <w:rsid w:val="009B71EB"/>
    <w:rsid w:val="009C01B8"/>
    <w:rsid w:val="009C0C4E"/>
    <w:rsid w:val="009C1711"/>
    <w:rsid w:val="009C334E"/>
    <w:rsid w:val="009C38C6"/>
    <w:rsid w:val="009C38D7"/>
    <w:rsid w:val="009C5428"/>
    <w:rsid w:val="009D0F52"/>
    <w:rsid w:val="009D0FA9"/>
    <w:rsid w:val="009D12D9"/>
    <w:rsid w:val="009D32BA"/>
    <w:rsid w:val="009D43F1"/>
    <w:rsid w:val="009E0D96"/>
    <w:rsid w:val="009E4B10"/>
    <w:rsid w:val="009F01AC"/>
    <w:rsid w:val="009F7CE8"/>
    <w:rsid w:val="00A0322E"/>
    <w:rsid w:val="00A05348"/>
    <w:rsid w:val="00A058C4"/>
    <w:rsid w:val="00A05C2C"/>
    <w:rsid w:val="00A06BFD"/>
    <w:rsid w:val="00A11E83"/>
    <w:rsid w:val="00A134C6"/>
    <w:rsid w:val="00A14CA7"/>
    <w:rsid w:val="00A1548A"/>
    <w:rsid w:val="00A2211B"/>
    <w:rsid w:val="00A252C3"/>
    <w:rsid w:val="00A25C1A"/>
    <w:rsid w:val="00A2698F"/>
    <w:rsid w:val="00A27977"/>
    <w:rsid w:val="00A32286"/>
    <w:rsid w:val="00A34CD0"/>
    <w:rsid w:val="00A34E6F"/>
    <w:rsid w:val="00A3555E"/>
    <w:rsid w:val="00A363CF"/>
    <w:rsid w:val="00A36F9E"/>
    <w:rsid w:val="00A37EC2"/>
    <w:rsid w:val="00A4229C"/>
    <w:rsid w:val="00A43451"/>
    <w:rsid w:val="00A50DF2"/>
    <w:rsid w:val="00A50E82"/>
    <w:rsid w:val="00A513CA"/>
    <w:rsid w:val="00A51569"/>
    <w:rsid w:val="00A51664"/>
    <w:rsid w:val="00A53E10"/>
    <w:rsid w:val="00A60671"/>
    <w:rsid w:val="00A6305E"/>
    <w:rsid w:val="00A71639"/>
    <w:rsid w:val="00A71A15"/>
    <w:rsid w:val="00A7306D"/>
    <w:rsid w:val="00A74955"/>
    <w:rsid w:val="00A7563C"/>
    <w:rsid w:val="00A75DA1"/>
    <w:rsid w:val="00A7605C"/>
    <w:rsid w:val="00A76EC3"/>
    <w:rsid w:val="00A80C59"/>
    <w:rsid w:val="00A81B21"/>
    <w:rsid w:val="00A82DC6"/>
    <w:rsid w:val="00A837C0"/>
    <w:rsid w:val="00A862EE"/>
    <w:rsid w:val="00A86C72"/>
    <w:rsid w:val="00A90261"/>
    <w:rsid w:val="00A910D7"/>
    <w:rsid w:val="00A9146B"/>
    <w:rsid w:val="00A92D41"/>
    <w:rsid w:val="00A9314E"/>
    <w:rsid w:val="00A9486F"/>
    <w:rsid w:val="00A94C3F"/>
    <w:rsid w:val="00AA0137"/>
    <w:rsid w:val="00AA11AC"/>
    <w:rsid w:val="00AA614E"/>
    <w:rsid w:val="00AA739B"/>
    <w:rsid w:val="00AB094E"/>
    <w:rsid w:val="00AB1ACB"/>
    <w:rsid w:val="00AB25E8"/>
    <w:rsid w:val="00AB2C56"/>
    <w:rsid w:val="00AB2CA9"/>
    <w:rsid w:val="00AB374C"/>
    <w:rsid w:val="00AB4390"/>
    <w:rsid w:val="00AB50ED"/>
    <w:rsid w:val="00AB5776"/>
    <w:rsid w:val="00AC4271"/>
    <w:rsid w:val="00AC4B60"/>
    <w:rsid w:val="00AC4DEB"/>
    <w:rsid w:val="00AC7151"/>
    <w:rsid w:val="00AD098E"/>
    <w:rsid w:val="00AD0EE3"/>
    <w:rsid w:val="00AD11C5"/>
    <w:rsid w:val="00AD1530"/>
    <w:rsid w:val="00AD221B"/>
    <w:rsid w:val="00AD3066"/>
    <w:rsid w:val="00AD41E3"/>
    <w:rsid w:val="00AD7D16"/>
    <w:rsid w:val="00AD7D20"/>
    <w:rsid w:val="00AD7EC1"/>
    <w:rsid w:val="00AD7F33"/>
    <w:rsid w:val="00AE0C83"/>
    <w:rsid w:val="00AE2BBE"/>
    <w:rsid w:val="00AE3067"/>
    <w:rsid w:val="00AE3166"/>
    <w:rsid w:val="00AE32BC"/>
    <w:rsid w:val="00AE651B"/>
    <w:rsid w:val="00AE7E38"/>
    <w:rsid w:val="00AF119B"/>
    <w:rsid w:val="00AF1718"/>
    <w:rsid w:val="00AF3A13"/>
    <w:rsid w:val="00AF466C"/>
    <w:rsid w:val="00AF6328"/>
    <w:rsid w:val="00AF70B7"/>
    <w:rsid w:val="00B03EA0"/>
    <w:rsid w:val="00B04535"/>
    <w:rsid w:val="00B04AB1"/>
    <w:rsid w:val="00B06BAB"/>
    <w:rsid w:val="00B100FA"/>
    <w:rsid w:val="00B12664"/>
    <w:rsid w:val="00B13579"/>
    <w:rsid w:val="00B14A9C"/>
    <w:rsid w:val="00B16BDA"/>
    <w:rsid w:val="00B2180C"/>
    <w:rsid w:val="00B22A0F"/>
    <w:rsid w:val="00B24884"/>
    <w:rsid w:val="00B24D55"/>
    <w:rsid w:val="00B303D7"/>
    <w:rsid w:val="00B33B1A"/>
    <w:rsid w:val="00B344E6"/>
    <w:rsid w:val="00B35F6C"/>
    <w:rsid w:val="00B42DBB"/>
    <w:rsid w:val="00B46B25"/>
    <w:rsid w:val="00B472B8"/>
    <w:rsid w:val="00B47EB8"/>
    <w:rsid w:val="00B50E47"/>
    <w:rsid w:val="00B50F5A"/>
    <w:rsid w:val="00B5189A"/>
    <w:rsid w:val="00B54E22"/>
    <w:rsid w:val="00B56BE5"/>
    <w:rsid w:val="00B57685"/>
    <w:rsid w:val="00B6040B"/>
    <w:rsid w:val="00B60D6B"/>
    <w:rsid w:val="00B63ABC"/>
    <w:rsid w:val="00B64DA8"/>
    <w:rsid w:val="00B660D0"/>
    <w:rsid w:val="00B66AB6"/>
    <w:rsid w:val="00B7062E"/>
    <w:rsid w:val="00B706AE"/>
    <w:rsid w:val="00B74202"/>
    <w:rsid w:val="00B74797"/>
    <w:rsid w:val="00B761DD"/>
    <w:rsid w:val="00B765A5"/>
    <w:rsid w:val="00B822C6"/>
    <w:rsid w:val="00B82D31"/>
    <w:rsid w:val="00B87BBC"/>
    <w:rsid w:val="00B90556"/>
    <w:rsid w:val="00B918AD"/>
    <w:rsid w:val="00B91A8F"/>
    <w:rsid w:val="00B92A79"/>
    <w:rsid w:val="00B92F5F"/>
    <w:rsid w:val="00B93051"/>
    <w:rsid w:val="00B946B5"/>
    <w:rsid w:val="00B97982"/>
    <w:rsid w:val="00BA0AFA"/>
    <w:rsid w:val="00BA1662"/>
    <w:rsid w:val="00BA1E01"/>
    <w:rsid w:val="00BA26ED"/>
    <w:rsid w:val="00BA4606"/>
    <w:rsid w:val="00BA4788"/>
    <w:rsid w:val="00BA781A"/>
    <w:rsid w:val="00BB01C6"/>
    <w:rsid w:val="00BB1518"/>
    <w:rsid w:val="00BB2E1A"/>
    <w:rsid w:val="00BB4BB3"/>
    <w:rsid w:val="00BB5471"/>
    <w:rsid w:val="00BB701F"/>
    <w:rsid w:val="00BB7BCF"/>
    <w:rsid w:val="00BB7E46"/>
    <w:rsid w:val="00BC0274"/>
    <w:rsid w:val="00BC097C"/>
    <w:rsid w:val="00BC2341"/>
    <w:rsid w:val="00BC7E19"/>
    <w:rsid w:val="00BD12FA"/>
    <w:rsid w:val="00BD586E"/>
    <w:rsid w:val="00BD5EBC"/>
    <w:rsid w:val="00BD7E58"/>
    <w:rsid w:val="00BE0B1A"/>
    <w:rsid w:val="00BE0C30"/>
    <w:rsid w:val="00BE0E12"/>
    <w:rsid w:val="00BE4EA8"/>
    <w:rsid w:val="00BE7323"/>
    <w:rsid w:val="00BF00E7"/>
    <w:rsid w:val="00BF0582"/>
    <w:rsid w:val="00BF1257"/>
    <w:rsid w:val="00BF222B"/>
    <w:rsid w:val="00BF282A"/>
    <w:rsid w:val="00BF4CC6"/>
    <w:rsid w:val="00BF4E9C"/>
    <w:rsid w:val="00BF5BBF"/>
    <w:rsid w:val="00BF5C6F"/>
    <w:rsid w:val="00BF5EC4"/>
    <w:rsid w:val="00BF7BDD"/>
    <w:rsid w:val="00BF7D4B"/>
    <w:rsid w:val="00C0525D"/>
    <w:rsid w:val="00C076EE"/>
    <w:rsid w:val="00C141F8"/>
    <w:rsid w:val="00C143F7"/>
    <w:rsid w:val="00C16B76"/>
    <w:rsid w:val="00C2132D"/>
    <w:rsid w:val="00C233BA"/>
    <w:rsid w:val="00C25BCE"/>
    <w:rsid w:val="00C26BDF"/>
    <w:rsid w:val="00C302A3"/>
    <w:rsid w:val="00C32E4B"/>
    <w:rsid w:val="00C4172A"/>
    <w:rsid w:val="00C46BDD"/>
    <w:rsid w:val="00C470D5"/>
    <w:rsid w:val="00C478EC"/>
    <w:rsid w:val="00C553B5"/>
    <w:rsid w:val="00C6000D"/>
    <w:rsid w:val="00C610CB"/>
    <w:rsid w:val="00C64B74"/>
    <w:rsid w:val="00C65447"/>
    <w:rsid w:val="00C67244"/>
    <w:rsid w:val="00C67D14"/>
    <w:rsid w:val="00C75796"/>
    <w:rsid w:val="00C7733C"/>
    <w:rsid w:val="00C80E0C"/>
    <w:rsid w:val="00C816C3"/>
    <w:rsid w:val="00C84200"/>
    <w:rsid w:val="00C856EE"/>
    <w:rsid w:val="00C86E73"/>
    <w:rsid w:val="00C87431"/>
    <w:rsid w:val="00C918AC"/>
    <w:rsid w:val="00C929F4"/>
    <w:rsid w:val="00C967E9"/>
    <w:rsid w:val="00C97095"/>
    <w:rsid w:val="00C97B75"/>
    <w:rsid w:val="00CA172E"/>
    <w:rsid w:val="00CA2B65"/>
    <w:rsid w:val="00CA4A9C"/>
    <w:rsid w:val="00CA4AE9"/>
    <w:rsid w:val="00CA4D11"/>
    <w:rsid w:val="00CA6684"/>
    <w:rsid w:val="00CA6952"/>
    <w:rsid w:val="00CA7E6F"/>
    <w:rsid w:val="00CB1405"/>
    <w:rsid w:val="00CB31F9"/>
    <w:rsid w:val="00CB3C03"/>
    <w:rsid w:val="00CB561D"/>
    <w:rsid w:val="00CB67AC"/>
    <w:rsid w:val="00CC1598"/>
    <w:rsid w:val="00CC5F17"/>
    <w:rsid w:val="00CC6C02"/>
    <w:rsid w:val="00CC6F4A"/>
    <w:rsid w:val="00CD0D92"/>
    <w:rsid w:val="00CD1167"/>
    <w:rsid w:val="00CD229C"/>
    <w:rsid w:val="00CD331C"/>
    <w:rsid w:val="00CD430B"/>
    <w:rsid w:val="00CD534A"/>
    <w:rsid w:val="00CD732D"/>
    <w:rsid w:val="00CE1398"/>
    <w:rsid w:val="00CE26EC"/>
    <w:rsid w:val="00CE3F4F"/>
    <w:rsid w:val="00CE3F5E"/>
    <w:rsid w:val="00CE433B"/>
    <w:rsid w:val="00CE4A14"/>
    <w:rsid w:val="00CF042F"/>
    <w:rsid w:val="00CF549A"/>
    <w:rsid w:val="00D06336"/>
    <w:rsid w:val="00D122FA"/>
    <w:rsid w:val="00D12D70"/>
    <w:rsid w:val="00D16193"/>
    <w:rsid w:val="00D17FB8"/>
    <w:rsid w:val="00D20672"/>
    <w:rsid w:val="00D20AEC"/>
    <w:rsid w:val="00D22B32"/>
    <w:rsid w:val="00D2324D"/>
    <w:rsid w:val="00D30779"/>
    <w:rsid w:val="00D30DBF"/>
    <w:rsid w:val="00D32C4E"/>
    <w:rsid w:val="00D362D2"/>
    <w:rsid w:val="00D369FC"/>
    <w:rsid w:val="00D379CF"/>
    <w:rsid w:val="00D4080B"/>
    <w:rsid w:val="00D41482"/>
    <w:rsid w:val="00D4330B"/>
    <w:rsid w:val="00D43535"/>
    <w:rsid w:val="00D44C88"/>
    <w:rsid w:val="00D45691"/>
    <w:rsid w:val="00D46302"/>
    <w:rsid w:val="00D47283"/>
    <w:rsid w:val="00D505A7"/>
    <w:rsid w:val="00D54D8C"/>
    <w:rsid w:val="00D56BD2"/>
    <w:rsid w:val="00D56D16"/>
    <w:rsid w:val="00D6305F"/>
    <w:rsid w:val="00D63B86"/>
    <w:rsid w:val="00D649D9"/>
    <w:rsid w:val="00D64C16"/>
    <w:rsid w:val="00D70B52"/>
    <w:rsid w:val="00D70CB9"/>
    <w:rsid w:val="00D74A38"/>
    <w:rsid w:val="00D74A63"/>
    <w:rsid w:val="00D75206"/>
    <w:rsid w:val="00D778D0"/>
    <w:rsid w:val="00D82589"/>
    <w:rsid w:val="00D82EB3"/>
    <w:rsid w:val="00D83D23"/>
    <w:rsid w:val="00D84F0D"/>
    <w:rsid w:val="00D8721E"/>
    <w:rsid w:val="00D9000E"/>
    <w:rsid w:val="00D91D5E"/>
    <w:rsid w:val="00D93745"/>
    <w:rsid w:val="00D9418F"/>
    <w:rsid w:val="00D945DE"/>
    <w:rsid w:val="00D94A75"/>
    <w:rsid w:val="00D972E9"/>
    <w:rsid w:val="00D97BC2"/>
    <w:rsid w:val="00DA1675"/>
    <w:rsid w:val="00DA175E"/>
    <w:rsid w:val="00DA3A16"/>
    <w:rsid w:val="00DA5BEB"/>
    <w:rsid w:val="00DA7435"/>
    <w:rsid w:val="00DB0746"/>
    <w:rsid w:val="00DB07BB"/>
    <w:rsid w:val="00DB5851"/>
    <w:rsid w:val="00DB6ECF"/>
    <w:rsid w:val="00DB716B"/>
    <w:rsid w:val="00DC006E"/>
    <w:rsid w:val="00DC037C"/>
    <w:rsid w:val="00DC0554"/>
    <w:rsid w:val="00DC3B69"/>
    <w:rsid w:val="00DC5E7B"/>
    <w:rsid w:val="00DD0734"/>
    <w:rsid w:val="00DD3002"/>
    <w:rsid w:val="00DD39EF"/>
    <w:rsid w:val="00DD4F73"/>
    <w:rsid w:val="00DD5468"/>
    <w:rsid w:val="00DD5CE7"/>
    <w:rsid w:val="00DD616A"/>
    <w:rsid w:val="00DE28E8"/>
    <w:rsid w:val="00DE2ABC"/>
    <w:rsid w:val="00DE4ACB"/>
    <w:rsid w:val="00DE57C0"/>
    <w:rsid w:val="00DF0EA6"/>
    <w:rsid w:val="00DF3D9A"/>
    <w:rsid w:val="00DF5317"/>
    <w:rsid w:val="00DF53AE"/>
    <w:rsid w:val="00DF5C7D"/>
    <w:rsid w:val="00DF629E"/>
    <w:rsid w:val="00E03350"/>
    <w:rsid w:val="00E037F2"/>
    <w:rsid w:val="00E03AA1"/>
    <w:rsid w:val="00E0592F"/>
    <w:rsid w:val="00E114EA"/>
    <w:rsid w:val="00E12521"/>
    <w:rsid w:val="00E14843"/>
    <w:rsid w:val="00E16C48"/>
    <w:rsid w:val="00E176AB"/>
    <w:rsid w:val="00E20FF9"/>
    <w:rsid w:val="00E2120A"/>
    <w:rsid w:val="00E22448"/>
    <w:rsid w:val="00E22E4C"/>
    <w:rsid w:val="00E27300"/>
    <w:rsid w:val="00E277F4"/>
    <w:rsid w:val="00E31936"/>
    <w:rsid w:val="00E319A6"/>
    <w:rsid w:val="00E32FA1"/>
    <w:rsid w:val="00E33892"/>
    <w:rsid w:val="00E341E8"/>
    <w:rsid w:val="00E34B43"/>
    <w:rsid w:val="00E37635"/>
    <w:rsid w:val="00E37BA9"/>
    <w:rsid w:val="00E37F4D"/>
    <w:rsid w:val="00E40891"/>
    <w:rsid w:val="00E430C0"/>
    <w:rsid w:val="00E44718"/>
    <w:rsid w:val="00E447E9"/>
    <w:rsid w:val="00E44A09"/>
    <w:rsid w:val="00E44BA2"/>
    <w:rsid w:val="00E45BE4"/>
    <w:rsid w:val="00E46393"/>
    <w:rsid w:val="00E5149D"/>
    <w:rsid w:val="00E51C4F"/>
    <w:rsid w:val="00E51F8B"/>
    <w:rsid w:val="00E520C7"/>
    <w:rsid w:val="00E548F2"/>
    <w:rsid w:val="00E55034"/>
    <w:rsid w:val="00E55E62"/>
    <w:rsid w:val="00E5719D"/>
    <w:rsid w:val="00E574B2"/>
    <w:rsid w:val="00E578D9"/>
    <w:rsid w:val="00E609FD"/>
    <w:rsid w:val="00E616C8"/>
    <w:rsid w:val="00E62B43"/>
    <w:rsid w:val="00E6421B"/>
    <w:rsid w:val="00E6468F"/>
    <w:rsid w:val="00E65219"/>
    <w:rsid w:val="00E66F30"/>
    <w:rsid w:val="00E6771D"/>
    <w:rsid w:val="00E70D02"/>
    <w:rsid w:val="00E70E41"/>
    <w:rsid w:val="00E71158"/>
    <w:rsid w:val="00E715B2"/>
    <w:rsid w:val="00E735B7"/>
    <w:rsid w:val="00E75F09"/>
    <w:rsid w:val="00E7690C"/>
    <w:rsid w:val="00E77D90"/>
    <w:rsid w:val="00E800C4"/>
    <w:rsid w:val="00E800F6"/>
    <w:rsid w:val="00E8190A"/>
    <w:rsid w:val="00E82CE9"/>
    <w:rsid w:val="00E839F7"/>
    <w:rsid w:val="00E85756"/>
    <w:rsid w:val="00E91024"/>
    <w:rsid w:val="00E91279"/>
    <w:rsid w:val="00E928C4"/>
    <w:rsid w:val="00E93308"/>
    <w:rsid w:val="00E93627"/>
    <w:rsid w:val="00E93646"/>
    <w:rsid w:val="00E97221"/>
    <w:rsid w:val="00E9799E"/>
    <w:rsid w:val="00EA0C4F"/>
    <w:rsid w:val="00EA114F"/>
    <w:rsid w:val="00EA462E"/>
    <w:rsid w:val="00EA5B2A"/>
    <w:rsid w:val="00EB152B"/>
    <w:rsid w:val="00EB5A61"/>
    <w:rsid w:val="00EB6B03"/>
    <w:rsid w:val="00EC1C66"/>
    <w:rsid w:val="00EC2135"/>
    <w:rsid w:val="00EC269A"/>
    <w:rsid w:val="00EC2D20"/>
    <w:rsid w:val="00EC3136"/>
    <w:rsid w:val="00EC5660"/>
    <w:rsid w:val="00EC6B38"/>
    <w:rsid w:val="00ED2FAD"/>
    <w:rsid w:val="00ED33B5"/>
    <w:rsid w:val="00ED6938"/>
    <w:rsid w:val="00ED7D2D"/>
    <w:rsid w:val="00EE0404"/>
    <w:rsid w:val="00EE0D52"/>
    <w:rsid w:val="00EE1252"/>
    <w:rsid w:val="00EE3057"/>
    <w:rsid w:val="00EE3D3A"/>
    <w:rsid w:val="00EE5839"/>
    <w:rsid w:val="00EE613A"/>
    <w:rsid w:val="00EF25A3"/>
    <w:rsid w:val="00EF4DB8"/>
    <w:rsid w:val="00EF5400"/>
    <w:rsid w:val="00EF5ECF"/>
    <w:rsid w:val="00F051BF"/>
    <w:rsid w:val="00F05803"/>
    <w:rsid w:val="00F07EC6"/>
    <w:rsid w:val="00F10345"/>
    <w:rsid w:val="00F10403"/>
    <w:rsid w:val="00F1423C"/>
    <w:rsid w:val="00F14248"/>
    <w:rsid w:val="00F15155"/>
    <w:rsid w:val="00F16645"/>
    <w:rsid w:val="00F21712"/>
    <w:rsid w:val="00F2215B"/>
    <w:rsid w:val="00F224E0"/>
    <w:rsid w:val="00F2313B"/>
    <w:rsid w:val="00F23B3D"/>
    <w:rsid w:val="00F23BC8"/>
    <w:rsid w:val="00F25EB1"/>
    <w:rsid w:val="00F32DF2"/>
    <w:rsid w:val="00F34112"/>
    <w:rsid w:val="00F34754"/>
    <w:rsid w:val="00F36A34"/>
    <w:rsid w:val="00F36D71"/>
    <w:rsid w:val="00F408EF"/>
    <w:rsid w:val="00F40BF9"/>
    <w:rsid w:val="00F418CA"/>
    <w:rsid w:val="00F42B57"/>
    <w:rsid w:val="00F44353"/>
    <w:rsid w:val="00F45D3F"/>
    <w:rsid w:val="00F46ADC"/>
    <w:rsid w:val="00F47290"/>
    <w:rsid w:val="00F47B18"/>
    <w:rsid w:val="00F500DC"/>
    <w:rsid w:val="00F50640"/>
    <w:rsid w:val="00F50A50"/>
    <w:rsid w:val="00F51081"/>
    <w:rsid w:val="00F516FA"/>
    <w:rsid w:val="00F54AC2"/>
    <w:rsid w:val="00F55876"/>
    <w:rsid w:val="00F57A2D"/>
    <w:rsid w:val="00F60576"/>
    <w:rsid w:val="00F606BD"/>
    <w:rsid w:val="00F60DF0"/>
    <w:rsid w:val="00F61EFA"/>
    <w:rsid w:val="00F64874"/>
    <w:rsid w:val="00F64E68"/>
    <w:rsid w:val="00F66AA8"/>
    <w:rsid w:val="00F70368"/>
    <w:rsid w:val="00F70F07"/>
    <w:rsid w:val="00F75117"/>
    <w:rsid w:val="00F76B61"/>
    <w:rsid w:val="00F854AD"/>
    <w:rsid w:val="00F86E14"/>
    <w:rsid w:val="00F907B4"/>
    <w:rsid w:val="00F9153D"/>
    <w:rsid w:val="00F91F45"/>
    <w:rsid w:val="00F9486A"/>
    <w:rsid w:val="00F97BD9"/>
    <w:rsid w:val="00FA0601"/>
    <w:rsid w:val="00FA3F88"/>
    <w:rsid w:val="00FA6C77"/>
    <w:rsid w:val="00FA7E2F"/>
    <w:rsid w:val="00FB1CC3"/>
    <w:rsid w:val="00FB3416"/>
    <w:rsid w:val="00FB3686"/>
    <w:rsid w:val="00FB6E8E"/>
    <w:rsid w:val="00FC0CB1"/>
    <w:rsid w:val="00FC2AD1"/>
    <w:rsid w:val="00FC2AD8"/>
    <w:rsid w:val="00FC2DF1"/>
    <w:rsid w:val="00FC2E2F"/>
    <w:rsid w:val="00FC6D17"/>
    <w:rsid w:val="00FC726A"/>
    <w:rsid w:val="00FC7E2E"/>
    <w:rsid w:val="00FD0CEF"/>
    <w:rsid w:val="00FD0D6E"/>
    <w:rsid w:val="00FD24E4"/>
    <w:rsid w:val="00FD2E32"/>
    <w:rsid w:val="00FD3663"/>
    <w:rsid w:val="00FD466B"/>
    <w:rsid w:val="00FD5505"/>
    <w:rsid w:val="00FD5AC7"/>
    <w:rsid w:val="00FD6163"/>
    <w:rsid w:val="00FD6E9E"/>
    <w:rsid w:val="00FE090B"/>
    <w:rsid w:val="00FE105C"/>
    <w:rsid w:val="00FE4331"/>
    <w:rsid w:val="00FE4DCA"/>
    <w:rsid w:val="00FE67F6"/>
    <w:rsid w:val="00FE6AA6"/>
    <w:rsid w:val="00FE7B7D"/>
    <w:rsid w:val="00FF3594"/>
    <w:rsid w:val="00FF4979"/>
    <w:rsid w:val="00FF6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630"/>
    </w:pPr>
    <w:rPr>
      <w:rFonts w:ascii="Times New Roman" w:hAnsi="Times New Roman"/>
      <w:sz w:val="24"/>
    </w:rPr>
  </w:style>
  <w:style w:type="paragraph" w:styleId="BodyTextIndent2">
    <w:name w:val="Body Text Indent 2"/>
    <w:basedOn w:val="Normal"/>
    <w:pPr>
      <w:ind w:firstLine="720"/>
    </w:pPr>
    <w:rPr>
      <w:rFonts w:ascii="Times New Roman" w:hAnsi="Times New Roman"/>
      <w:sz w:val="24"/>
    </w:rPr>
  </w:style>
  <w:style w:type="paragraph" w:styleId="BodyText">
    <w:name w:val="Body Text"/>
    <w:basedOn w:val="Normal"/>
    <w:pPr>
      <w:suppressAutoHyphens/>
    </w:pPr>
    <w:rPr>
      <w:rFonts w:ascii="Times New Roman" w:hAnsi="Times New Roman"/>
      <w:sz w:val="24"/>
    </w:rPr>
  </w:style>
  <w:style w:type="paragraph" w:styleId="BodyText2">
    <w:name w:val="Body Text 2"/>
    <w:basedOn w:val="Normal"/>
    <w:pPr>
      <w:tabs>
        <w:tab w:val="left" w:pos="0"/>
      </w:tabs>
      <w:suppressAutoHyphens/>
    </w:pPr>
    <w:rPr>
      <w:rFonts w:ascii="Times New Roman" w:hAnsi="Times New Roman"/>
      <w:b/>
      <w:sz w:val="24"/>
    </w:rPr>
  </w:style>
  <w:style w:type="paragraph" w:customStyle="1" w:styleId="ParaNum">
    <w:name w:val="ParaNum"/>
    <w:basedOn w:val="Normal"/>
    <w:rsid w:val="00B24884"/>
    <w:pPr>
      <w:numPr>
        <w:numId w:val="4"/>
      </w:numPr>
      <w:tabs>
        <w:tab w:val="clear" w:pos="1080"/>
        <w:tab w:val="left" w:pos="1440"/>
      </w:tabs>
      <w:spacing w:after="220"/>
      <w:jc w:val="both"/>
    </w:pPr>
    <w:rPr>
      <w:rFonts w:ascii="Times New Roman" w:hAnsi="Times New Roman"/>
      <w:snapToGrid/>
      <w:sz w:val="22"/>
    </w:rPr>
  </w:style>
  <w:style w:type="table" w:styleId="TableGrid">
    <w:name w:val="Table Grid"/>
    <w:basedOn w:val="TableNormal"/>
    <w:rsid w:val="00BC02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1F8"/>
    <w:rPr>
      <w:rFonts w:ascii="Tahoma" w:hAnsi="Tahoma"/>
      <w:sz w:val="16"/>
      <w:szCs w:val="16"/>
    </w:r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link w:val="FootnoteText"/>
    <w:rsid w:val="00DC3B69"/>
    <w:rPr>
      <w:rFonts w:ascii="Courier" w:hAnsi="Courier"/>
      <w:snapToGrid w:val="0"/>
      <w:sz w:val="24"/>
      <w:lang w:val="en-US" w:eastAsia="en-US" w:bidi="ar-SA"/>
    </w:rPr>
  </w:style>
  <w:style w:type="paragraph" w:styleId="NormalWeb">
    <w:name w:val="Normal (Web)"/>
    <w:basedOn w:val="Normal"/>
    <w:rsid w:val="00787148"/>
    <w:pPr>
      <w:spacing w:before="100" w:beforeAutospacing="1" w:after="100" w:afterAutospacing="1"/>
    </w:pPr>
    <w:rPr>
      <w:rFonts w:ascii="Times New Roman" w:hAnsi="Times New Roman"/>
      <w:kern w:val="28"/>
      <w:sz w:val="24"/>
      <w:szCs w:val="24"/>
    </w:rPr>
  </w:style>
  <w:style w:type="character" w:styleId="Hyperlink">
    <w:name w:val="Hyperlink"/>
    <w:rsid w:val="004B4CB0"/>
    <w:rPr>
      <w:color w:val="0000FF"/>
      <w:u w:val="single"/>
    </w:rPr>
  </w:style>
  <w:style w:type="paragraph" w:styleId="ListParagraph">
    <w:name w:val="List Paragraph"/>
    <w:basedOn w:val="Normal"/>
    <w:uiPriority w:val="34"/>
    <w:qFormat/>
    <w:rsid w:val="00E45BE4"/>
    <w:pPr>
      <w:ind w:left="720"/>
      <w:contextualSpacing/>
    </w:pPr>
  </w:style>
  <w:style w:type="character" w:styleId="CommentReference">
    <w:name w:val="annotation reference"/>
    <w:basedOn w:val="DefaultParagraphFont"/>
    <w:semiHidden/>
    <w:unhideWhenUsed/>
    <w:rsid w:val="00E22448"/>
    <w:rPr>
      <w:sz w:val="16"/>
      <w:szCs w:val="16"/>
    </w:rPr>
  </w:style>
  <w:style w:type="paragraph" w:styleId="CommentText">
    <w:name w:val="annotation text"/>
    <w:basedOn w:val="Normal"/>
    <w:link w:val="CommentTextChar"/>
    <w:semiHidden/>
    <w:unhideWhenUsed/>
    <w:rsid w:val="00E22448"/>
  </w:style>
  <w:style w:type="character" w:customStyle="1" w:styleId="CommentTextChar">
    <w:name w:val="Comment Text Char"/>
    <w:basedOn w:val="DefaultParagraphFont"/>
    <w:link w:val="CommentText"/>
    <w:semiHidden/>
    <w:rsid w:val="00E22448"/>
    <w:rPr>
      <w:rFonts w:ascii="Courier" w:hAnsi="Courier"/>
      <w:snapToGrid w:val="0"/>
    </w:rPr>
  </w:style>
  <w:style w:type="paragraph" w:styleId="CommentSubject">
    <w:name w:val="annotation subject"/>
    <w:basedOn w:val="CommentText"/>
    <w:next w:val="CommentText"/>
    <w:link w:val="CommentSubjectChar"/>
    <w:semiHidden/>
    <w:unhideWhenUsed/>
    <w:rsid w:val="00E22448"/>
    <w:rPr>
      <w:b/>
      <w:bCs/>
    </w:rPr>
  </w:style>
  <w:style w:type="character" w:customStyle="1" w:styleId="CommentSubjectChar">
    <w:name w:val="Comment Subject Char"/>
    <w:basedOn w:val="CommentTextChar"/>
    <w:link w:val="CommentSubject"/>
    <w:semiHidden/>
    <w:rsid w:val="00E22448"/>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caption" w:qFormat="1"/>
    <w:lsdException w:name="footnote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630"/>
    </w:pPr>
    <w:rPr>
      <w:rFonts w:ascii="Times New Roman" w:hAnsi="Times New Roman"/>
      <w:sz w:val="24"/>
    </w:rPr>
  </w:style>
  <w:style w:type="paragraph" w:styleId="BodyTextIndent2">
    <w:name w:val="Body Text Indent 2"/>
    <w:basedOn w:val="Normal"/>
    <w:pPr>
      <w:ind w:firstLine="720"/>
    </w:pPr>
    <w:rPr>
      <w:rFonts w:ascii="Times New Roman" w:hAnsi="Times New Roman"/>
      <w:sz w:val="24"/>
    </w:rPr>
  </w:style>
  <w:style w:type="paragraph" w:styleId="BodyText">
    <w:name w:val="Body Text"/>
    <w:basedOn w:val="Normal"/>
    <w:pPr>
      <w:suppressAutoHyphens/>
    </w:pPr>
    <w:rPr>
      <w:rFonts w:ascii="Times New Roman" w:hAnsi="Times New Roman"/>
      <w:sz w:val="24"/>
    </w:rPr>
  </w:style>
  <w:style w:type="paragraph" w:styleId="BodyText2">
    <w:name w:val="Body Text 2"/>
    <w:basedOn w:val="Normal"/>
    <w:pPr>
      <w:tabs>
        <w:tab w:val="left" w:pos="0"/>
      </w:tabs>
      <w:suppressAutoHyphens/>
    </w:pPr>
    <w:rPr>
      <w:rFonts w:ascii="Times New Roman" w:hAnsi="Times New Roman"/>
      <w:b/>
      <w:sz w:val="24"/>
    </w:rPr>
  </w:style>
  <w:style w:type="paragraph" w:customStyle="1" w:styleId="ParaNum">
    <w:name w:val="ParaNum"/>
    <w:basedOn w:val="Normal"/>
    <w:rsid w:val="00B24884"/>
    <w:pPr>
      <w:numPr>
        <w:numId w:val="4"/>
      </w:numPr>
      <w:tabs>
        <w:tab w:val="clear" w:pos="1080"/>
        <w:tab w:val="left" w:pos="1440"/>
      </w:tabs>
      <w:spacing w:after="220"/>
      <w:jc w:val="both"/>
    </w:pPr>
    <w:rPr>
      <w:rFonts w:ascii="Times New Roman" w:hAnsi="Times New Roman"/>
      <w:snapToGrid/>
      <w:sz w:val="22"/>
    </w:rPr>
  </w:style>
  <w:style w:type="table" w:styleId="TableGrid">
    <w:name w:val="Table Grid"/>
    <w:basedOn w:val="TableNormal"/>
    <w:rsid w:val="00BC02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1F8"/>
    <w:rPr>
      <w:rFonts w:ascii="Tahoma" w:hAnsi="Tahoma"/>
      <w:sz w:val="16"/>
      <w:szCs w:val="16"/>
    </w:r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link w:val="FootnoteText"/>
    <w:rsid w:val="00DC3B69"/>
    <w:rPr>
      <w:rFonts w:ascii="Courier" w:hAnsi="Courier"/>
      <w:snapToGrid w:val="0"/>
      <w:sz w:val="24"/>
      <w:lang w:val="en-US" w:eastAsia="en-US" w:bidi="ar-SA"/>
    </w:rPr>
  </w:style>
  <w:style w:type="paragraph" w:styleId="NormalWeb">
    <w:name w:val="Normal (Web)"/>
    <w:basedOn w:val="Normal"/>
    <w:rsid w:val="00787148"/>
    <w:pPr>
      <w:spacing w:before="100" w:beforeAutospacing="1" w:after="100" w:afterAutospacing="1"/>
    </w:pPr>
    <w:rPr>
      <w:rFonts w:ascii="Times New Roman" w:hAnsi="Times New Roman"/>
      <w:kern w:val="28"/>
      <w:sz w:val="24"/>
      <w:szCs w:val="24"/>
    </w:rPr>
  </w:style>
  <w:style w:type="character" w:styleId="Hyperlink">
    <w:name w:val="Hyperlink"/>
    <w:rsid w:val="004B4CB0"/>
    <w:rPr>
      <w:color w:val="0000FF"/>
      <w:u w:val="single"/>
    </w:rPr>
  </w:style>
  <w:style w:type="paragraph" w:styleId="ListParagraph">
    <w:name w:val="List Paragraph"/>
    <w:basedOn w:val="Normal"/>
    <w:uiPriority w:val="34"/>
    <w:qFormat/>
    <w:rsid w:val="00E45BE4"/>
    <w:pPr>
      <w:ind w:left="720"/>
      <w:contextualSpacing/>
    </w:pPr>
  </w:style>
  <w:style w:type="character" w:styleId="CommentReference">
    <w:name w:val="annotation reference"/>
    <w:basedOn w:val="DefaultParagraphFont"/>
    <w:semiHidden/>
    <w:unhideWhenUsed/>
    <w:rsid w:val="00E22448"/>
    <w:rPr>
      <w:sz w:val="16"/>
      <w:szCs w:val="16"/>
    </w:rPr>
  </w:style>
  <w:style w:type="paragraph" w:styleId="CommentText">
    <w:name w:val="annotation text"/>
    <w:basedOn w:val="Normal"/>
    <w:link w:val="CommentTextChar"/>
    <w:semiHidden/>
    <w:unhideWhenUsed/>
    <w:rsid w:val="00E22448"/>
  </w:style>
  <w:style w:type="character" w:customStyle="1" w:styleId="CommentTextChar">
    <w:name w:val="Comment Text Char"/>
    <w:basedOn w:val="DefaultParagraphFont"/>
    <w:link w:val="CommentText"/>
    <w:semiHidden/>
    <w:rsid w:val="00E22448"/>
    <w:rPr>
      <w:rFonts w:ascii="Courier" w:hAnsi="Courier"/>
      <w:snapToGrid w:val="0"/>
    </w:rPr>
  </w:style>
  <w:style w:type="paragraph" w:styleId="CommentSubject">
    <w:name w:val="annotation subject"/>
    <w:basedOn w:val="CommentText"/>
    <w:next w:val="CommentText"/>
    <w:link w:val="CommentSubjectChar"/>
    <w:semiHidden/>
    <w:unhideWhenUsed/>
    <w:rsid w:val="00E22448"/>
    <w:rPr>
      <w:b/>
      <w:bCs/>
    </w:rPr>
  </w:style>
  <w:style w:type="character" w:customStyle="1" w:styleId="CommentSubjectChar">
    <w:name w:val="Comment Subject Char"/>
    <w:basedOn w:val="CommentTextChar"/>
    <w:link w:val="CommentSubject"/>
    <w:semiHidden/>
    <w:rsid w:val="00E22448"/>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79251">
      <w:bodyDiv w:val="1"/>
      <w:marLeft w:val="0"/>
      <w:marRight w:val="0"/>
      <w:marTop w:val="0"/>
      <w:marBottom w:val="0"/>
      <w:divBdr>
        <w:top w:val="none" w:sz="0" w:space="0" w:color="auto"/>
        <w:left w:val="none" w:sz="0" w:space="0" w:color="auto"/>
        <w:bottom w:val="none" w:sz="0" w:space="0" w:color="auto"/>
        <w:right w:val="none" w:sz="0" w:space="0" w:color="auto"/>
      </w:divBdr>
    </w:div>
    <w:div w:id="793522142">
      <w:bodyDiv w:val="1"/>
      <w:marLeft w:val="0"/>
      <w:marRight w:val="0"/>
      <w:marTop w:val="0"/>
      <w:marBottom w:val="0"/>
      <w:divBdr>
        <w:top w:val="none" w:sz="0" w:space="0" w:color="auto"/>
        <w:left w:val="none" w:sz="0" w:space="0" w:color="auto"/>
        <w:bottom w:val="none" w:sz="0" w:space="0" w:color="auto"/>
        <w:right w:val="none" w:sz="0" w:space="0" w:color="auto"/>
      </w:divBdr>
    </w:div>
    <w:div w:id="886798019">
      <w:bodyDiv w:val="1"/>
      <w:marLeft w:val="0"/>
      <w:marRight w:val="0"/>
      <w:marTop w:val="0"/>
      <w:marBottom w:val="0"/>
      <w:divBdr>
        <w:top w:val="none" w:sz="0" w:space="0" w:color="auto"/>
        <w:left w:val="none" w:sz="0" w:space="0" w:color="auto"/>
        <w:bottom w:val="none" w:sz="0" w:space="0" w:color="auto"/>
        <w:right w:val="none" w:sz="0" w:space="0" w:color="auto"/>
      </w:divBdr>
    </w:div>
    <w:div w:id="13338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cc.gov/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B94B3-E5DF-44D5-812B-8082AA89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27845</CharactersWithSpaces>
  <SharedDoc>false</SharedDoc>
  <HLinks>
    <vt:vector size="6" baseType="variant">
      <vt:variant>
        <vt:i4>5636189</vt:i4>
      </vt:variant>
      <vt:variant>
        <vt:i4>0</vt:i4>
      </vt:variant>
      <vt:variant>
        <vt:i4>0</vt:i4>
      </vt:variant>
      <vt:variant>
        <vt:i4>5</vt:i4>
      </vt:variant>
      <vt:variant>
        <vt:lpwstr>http://www.fcc.gov/ib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DAKLEIN</dc:creator>
  <cp:lastModifiedBy>SYSTEM</cp:lastModifiedBy>
  <cp:revision>2</cp:revision>
  <cp:lastPrinted>2017-11-30T15:32:00Z</cp:lastPrinted>
  <dcterms:created xsi:type="dcterms:W3CDTF">2018-02-22T17:44:00Z</dcterms:created>
  <dcterms:modified xsi:type="dcterms:W3CDTF">2018-02-22T17:44:00Z</dcterms:modified>
</cp:coreProperties>
</file>