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EAB78" w14:textId="77777777" w:rsidR="00763C00" w:rsidRDefault="00763C00" w:rsidP="00763C00">
      <w:pPr>
        <w:jc w:val="center"/>
        <w:rPr>
          <w:rFonts w:cs="Arial"/>
          <w:b/>
          <w:sz w:val="40"/>
          <w:szCs w:val="28"/>
        </w:rPr>
      </w:pPr>
      <w:bookmarkStart w:id="0" w:name="_GoBack"/>
      <w:bookmarkEnd w:id="0"/>
    </w:p>
    <w:p w14:paraId="1C24C036" w14:textId="77777777" w:rsidR="00763C00" w:rsidRDefault="00763C00" w:rsidP="00763C00">
      <w:pPr>
        <w:jc w:val="center"/>
        <w:rPr>
          <w:rFonts w:cs="Arial"/>
          <w:b/>
          <w:sz w:val="40"/>
          <w:szCs w:val="28"/>
        </w:rPr>
      </w:pPr>
    </w:p>
    <w:p w14:paraId="58AABFCC" w14:textId="77777777" w:rsidR="00763C00" w:rsidRPr="00E43E9D" w:rsidRDefault="00763C00" w:rsidP="00763C00">
      <w:pPr>
        <w:jc w:val="center"/>
        <w:rPr>
          <w:rFonts w:cs="Arial"/>
          <w:b/>
          <w:sz w:val="40"/>
          <w:szCs w:val="28"/>
        </w:rPr>
      </w:pPr>
      <w:r w:rsidRPr="00E43E9D">
        <w:rPr>
          <w:rFonts w:cs="Arial"/>
          <w:b/>
          <w:sz w:val="40"/>
          <w:szCs w:val="28"/>
        </w:rPr>
        <w:t>OMB Control Number: 0990-0281</w:t>
      </w:r>
    </w:p>
    <w:p w14:paraId="298CD58B" w14:textId="7129C87E" w:rsidR="00763C00" w:rsidRPr="00BC17E2" w:rsidRDefault="00763C00" w:rsidP="00763C00">
      <w:pPr>
        <w:pStyle w:val="Title1"/>
        <w:rPr>
          <w:sz w:val="40"/>
        </w:rPr>
      </w:pPr>
      <w:r w:rsidRPr="00BC17E2">
        <w:rPr>
          <w:sz w:val="40"/>
        </w:rPr>
        <w:t xml:space="preserve">ODPHP Generic Information Collection Request: Prevention Communication and </w:t>
      </w:r>
      <w:r w:rsidR="00D41DA9">
        <w:rPr>
          <w:sz w:val="40"/>
        </w:rPr>
        <w:t>Formative</w:t>
      </w:r>
      <w:r w:rsidRPr="00BC17E2">
        <w:rPr>
          <w:sz w:val="40"/>
        </w:rPr>
        <w:t xml:space="preserve"> Research</w:t>
      </w:r>
    </w:p>
    <w:p w14:paraId="48EE9223" w14:textId="77777777" w:rsidR="00763C00" w:rsidRDefault="00763C00" w:rsidP="00763C00">
      <w:pPr>
        <w:pStyle w:val="Title1"/>
        <w:rPr>
          <w:sz w:val="40"/>
        </w:rPr>
      </w:pPr>
    </w:p>
    <w:p w14:paraId="401FB031" w14:textId="6911A1B5" w:rsidR="00763C00" w:rsidRDefault="006374DF" w:rsidP="00763C00">
      <w:pPr>
        <w:pStyle w:val="Title1"/>
        <w:rPr>
          <w:sz w:val="40"/>
        </w:rPr>
      </w:pPr>
      <w:r>
        <w:rPr>
          <w:sz w:val="40"/>
        </w:rPr>
        <w:t>Active Duty and Veteran Women</w:t>
      </w:r>
    </w:p>
    <w:p w14:paraId="64758E32" w14:textId="62C818CA" w:rsidR="006374DF" w:rsidRPr="00BC17E2" w:rsidRDefault="006374DF" w:rsidP="00763C00">
      <w:pPr>
        <w:pStyle w:val="Title1"/>
        <w:rPr>
          <w:sz w:val="40"/>
        </w:rPr>
      </w:pPr>
      <w:r>
        <w:rPr>
          <w:sz w:val="40"/>
        </w:rPr>
        <w:t>Women’s Health Research</w:t>
      </w:r>
    </w:p>
    <w:p w14:paraId="7605D4BC" w14:textId="77777777" w:rsidR="00763C00" w:rsidRDefault="00763C00" w:rsidP="00763C00">
      <w:pPr>
        <w:pStyle w:val="Title1"/>
        <w:rPr>
          <w:sz w:val="40"/>
          <w:highlight w:val="yellow"/>
        </w:rPr>
      </w:pPr>
    </w:p>
    <w:p w14:paraId="58BF2290" w14:textId="77777777" w:rsidR="00763C00" w:rsidRPr="001429C1" w:rsidRDefault="00763C00" w:rsidP="00763C00">
      <w:pPr>
        <w:pStyle w:val="Title1"/>
        <w:rPr>
          <w:sz w:val="40"/>
        </w:rPr>
      </w:pPr>
    </w:p>
    <w:p w14:paraId="1A19BB92" w14:textId="267D76C6" w:rsidR="00763C00" w:rsidRPr="00BC17E2" w:rsidRDefault="00763C00" w:rsidP="00763C00">
      <w:pPr>
        <w:pStyle w:val="Title1"/>
        <w:rPr>
          <w:sz w:val="40"/>
        </w:rPr>
      </w:pPr>
      <w:r w:rsidRPr="001429C1">
        <w:rPr>
          <w:sz w:val="40"/>
        </w:rPr>
        <w:t>Supporting Statement — Section B</w:t>
      </w:r>
    </w:p>
    <w:p w14:paraId="379DC84D" w14:textId="77777777" w:rsidR="00763C00" w:rsidRDefault="00763C00" w:rsidP="00763C00">
      <w:pPr>
        <w:jc w:val="center"/>
        <w:rPr>
          <w:rFonts w:cs="Arial"/>
          <w:sz w:val="32"/>
        </w:rPr>
      </w:pPr>
    </w:p>
    <w:p w14:paraId="1DA2D155" w14:textId="25366EED" w:rsidR="00763C00" w:rsidRPr="00942005" w:rsidRDefault="00526B68" w:rsidP="00763C00">
      <w:pPr>
        <w:jc w:val="center"/>
        <w:rPr>
          <w:rFonts w:cs="Arial"/>
          <w:b/>
          <w:bCs/>
          <w:sz w:val="48"/>
          <w:szCs w:val="36"/>
        </w:rPr>
      </w:pPr>
      <w:r>
        <w:rPr>
          <w:rFonts w:cs="Arial"/>
          <w:sz w:val="32"/>
        </w:rPr>
        <w:t>March 28, 2019</w:t>
      </w:r>
    </w:p>
    <w:p w14:paraId="0A455D0F" w14:textId="77777777" w:rsidR="00763C00" w:rsidRPr="000667FD" w:rsidRDefault="00763C00" w:rsidP="00763C00">
      <w:pPr>
        <w:spacing w:line="276" w:lineRule="auto"/>
        <w:jc w:val="center"/>
        <w:rPr>
          <w:rFonts w:asciiTheme="minorHAnsi" w:hAnsiTheme="minorHAnsi" w:cstheme="minorHAnsi"/>
          <w:highlight w:val="yellow"/>
        </w:rPr>
      </w:pPr>
    </w:p>
    <w:p w14:paraId="220FBE40" w14:textId="77777777" w:rsidR="00763C00" w:rsidRPr="000667FD" w:rsidRDefault="00763C00" w:rsidP="00763C00">
      <w:pPr>
        <w:spacing w:line="276" w:lineRule="auto"/>
        <w:rPr>
          <w:rFonts w:asciiTheme="minorHAnsi" w:hAnsiTheme="minorHAnsi" w:cstheme="minorHAnsi"/>
          <w:highlight w:val="yellow"/>
        </w:rPr>
      </w:pPr>
    </w:p>
    <w:p w14:paraId="510260C2" w14:textId="77777777" w:rsidR="00763C00" w:rsidRDefault="00763C00" w:rsidP="00763C00">
      <w:pPr>
        <w:spacing w:line="276" w:lineRule="auto"/>
        <w:rPr>
          <w:rFonts w:asciiTheme="minorHAnsi" w:hAnsiTheme="minorHAnsi" w:cstheme="minorHAnsi"/>
        </w:rPr>
      </w:pPr>
    </w:p>
    <w:p w14:paraId="6346E591" w14:textId="77777777" w:rsidR="00763C00" w:rsidRDefault="00763C00" w:rsidP="00763C00">
      <w:pPr>
        <w:spacing w:line="276" w:lineRule="auto"/>
        <w:rPr>
          <w:rFonts w:asciiTheme="minorHAnsi" w:hAnsiTheme="minorHAnsi" w:cstheme="minorHAnsi"/>
        </w:rPr>
      </w:pPr>
    </w:p>
    <w:p w14:paraId="31E1C584" w14:textId="77777777" w:rsidR="00763C00" w:rsidRDefault="00763C00" w:rsidP="00763C00">
      <w:pPr>
        <w:spacing w:line="276" w:lineRule="auto"/>
        <w:rPr>
          <w:rFonts w:asciiTheme="minorHAnsi" w:hAnsiTheme="minorHAnsi" w:cstheme="minorHAnsi"/>
        </w:rPr>
      </w:pPr>
    </w:p>
    <w:p w14:paraId="3D632AA0" w14:textId="77777777" w:rsidR="00763C00" w:rsidRDefault="00763C00" w:rsidP="00763C00">
      <w:pPr>
        <w:spacing w:line="276" w:lineRule="auto"/>
        <w:rPr>
          <w:rFonts w:asciiTheme="minorHAnsi" w:hAnsiTheme="minorHAnsi" w:cstheme="minorHAnsi"/>
        </w:rPr>
      </w:pPr>
    </w:p>
    <w:p w14:paraId="20671584" w14:textId="77777777" w:rsidR="00763C00" w:rsidRDefault="00763C00" w:rsidP="00763C00">
      <w:pPr>
        <w:spacing w:line="276" w:lineRule="auto"/>
        <w:rPr>
          <w:rFonts w:asciiTheme="minorHAnsi" w:hAnsiTheme="minorHAnsi" w:cstheme="minorHAnsi"/>
        </w:rPr>
      </w:pPr>
    </w:p>
    <w:p w14:paraId="2DB1372E" w14:textId="77777777" w:rsidR="00763C00" w:rsidRPr="00E2702B" w:rsidRDefault="00763C00" w:rsidP="00763C00">
      <w:pPr>
        <w:spacing w:line="276" w:lineRule="auto"/>
        <w:rPr>
          <w:rFonts w:asciiTheme="minorHAnsi" w:hAnsiTheme="minorHAnsi" w:cstheme="minorHAnsi"/>
        </w:rPr>
      </w:pPr>
    </w:p>
    <w:p w14:paraId="08B7B535"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 xml:space="preserve">Submitted to: </w:t>
      </w:r>
    </w:p>
    <w:p w14:paraId="0AAF74F2"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Sherrette Funn</w:t>
      </w:r>
    </w:p>
    <w:p w14:paraId="08260E5B"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the Chief Information Officer</w:t>
      </w:r>
    </w:p>
    <w:p w14:paraId="37017381"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DB8E96A" w14:textId="77777777" w:rsidR="00B678DC" w:rsidRPr="00E1441E" w:rsidRDefault="00B678DC" w:rsidP="00B678DC">
      <w:pPr>
        <w:spacing w:line="276" w:lineRule="auto"/>
        <w:rPr>
          <w:rFonts w:asciiTheme="minorHAnsi" w:hAnsiTheme="minorHAnsi" w:cstheme="minorHAnsi"/>
        </w:rPr>
      </w:pPr>
    </w:p>
    <w:p w14:paraId="49DF6146"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Submitted by:</w:t>
      </w:r>
    </w:p>
    <w:p w14:paraId="19A38523" w14:textId="29BDFEA1" w:rsidR="00B678DC" w:rsidRPr="00E1441E" w:rsidRDefault="00AA04C0" w:rsidP="00B678DC">
      <w:pPr>
        <w:spacing w:line="276" w:lineRule="auto"/>
        <w:rPr>
          <w:rFonts w:asciiTheme="minorHAnsi" w:hAnsiTheme="minorHAnsi" w:cstheme="minorHAnsi"/>
        </w:rPr>
      </w:pPr>
      <w:r>
        <w:rPr>
          <w:rFonts w:asciiTheme="minorHAnsi" w:hAnsiTheme="minorHAnsi" w:cstheme="minorHAnsi"/>
        </w:rPr>
        <w:t>Candace</w:t>
      </w:r>
      <w:r w:rsidR="00533697">
        <w:rPr>
          <w:rFonts w:asciiTheme="minorHAnsi" w:hAnsiTheme="minorHAnsi" w:cstheme="minorHAnsi"/>
        </w:rPr>
        <w:t xml:space="preserve"> Marshall</w:t>
      </w:r>
    </w:p>
    <w:p w14:paraId="313746DD" w14:textId="5635603F"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Health Communications Specialist </w:t>
      </w:r>
    </w:p>
    <w:p w14:paraId="30A65A23" w14:textId="67D61DDD" w:rsidR="00B678DC" w:rsidRPr="00E1441E" w:rsidRDefault="00AA04C0" w:rsidP="00B678DC">
      <w:pPr>
        <w:spacing w:line="276" w:lineRule="auto"/>
        <w:rPr>
          <w:rFonts w:asciiTheme="minorHAnsi" w:hAnsiTheme="minorHAnsi" w:cstheme="minorHAnsi"/>
        </w:rPr>
      </w:pPr>
      <w:r>
        <w:rPr>
          <w:rFonts w:asciiTheme="minorHAnsi" w:hAnsiTheme="minorHAnsi" w:cstheme="minorHAnsi"/>
        </w:rPr>
        <w:t xml:space="preserve">Office on Women’s Health </w:t>
      </w:r>
    </w:p>
    <w:p w14:paraId="78DCBFFC" w14:textId="77777777" w:rsidR="00B678DC" w:rsidRPr="000667FD"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40138EF" w14:textId="5EAAA882" w:rsidR="0099582C" w:rsidRDefault="0099582C" w:rsidP="001429C1">
      <w:pPr>
        <w:pStyle w:val="Heading1"/>
      </w:pPr>
      <w:r>
        <w:lastRenderedPageBreak/>
        <w:t>Section B — Data Collection Procedures</w:t>
      </w:r>
    </w:p>
    <w:p w14:paraId="7DF21192" w14:textId="77777777" w:rsidR="0099582C" w:rsidRPr="009A6116" w:rsidRDefault="0099582C" w:rsidP="0099582C">
      <w:pPr>
        <w:pStyle w:val="Heading2"/>
        <w:numPr>
          <w:ilvl w:val="0"/>
          <w:numId w:val="6"/>
        </w:numPr>
      </w:pPr>
      <w:r w:rsidRPr="009A6116">
        <w:t>Respondent Universe and Sampling Methods</w:t>
      </w:r>
    </w:p>
    <w:p w14:paraId="28B670BC" w14:textId="77777777" w:rsidR="00F01101" w:rsidRDefault="00F01101" w:rsidP="00D016F3"/>
    <w:p w14:paraId="49CDA57C" w14:textId="0792E060" w:rsidR="00D016F3" w:rsidRPr="00DE3003" w:rsidRDefault="00D016F3" w:rsidP="00D016F3">
      <w:r>
        <w:t>We will conduct</w:t>
      </w:r>
      <w:r w:rsidRPr="00DE3003">
        <w:t xml:space="preserve"> 16 focus groups among active duty and veteran women:</w:t>
      </w:r>
    </w:p>
    <w:p w14:paraId="71526B92" w14:textId="77777777" w:rsidR="00D016F3" w:rsidRPr="00DE3003" w:rsidRDefault="00D016F3" w:rsidP="00D016F3">
      <w:pPr>
        <w:pStyle w:val="ListParagraph"/>
        <w:numPr>
          <w:ilvl w:val="0"/>
          <w:numId w:val="18"/>
        </w:numPr>
        <w:spacing w:line="276" w:lineRule="auto"/>
      </w:pPr>
      <w:r w:rsidRPr="00DE3003">
        <w:t>Active duty women (4 groups of 8 participants each, n = 32)</w:t>
      </w:r>
    </w:p>
    <w:p w14:paraId="01F5C4F7" w14:textId="77777777" w:rsidR="00D016F3" w:rsidRPr="00DE3003" w:rsidRDefault="00D016F3" w:rsidP="00D016F3">
      <w:pPr>
        <w:pStyle w:val="ListParagraph"/>
        <w:numPr>
          <w:ilvl w:val="0"/>
          <w:numId w:val="18"/>
        </w:numPr>
        <w:spacing w:line="276" w:lineRule="auto"/>
      </w:pPr>
      <w:r w:rsidRPr="00DE3003">
        <w:t>Veteran women (12 groups of 8 participants each, n = 96)</w:t>
      </w:r>
    </w:p>
    <w:p w14:paraId="16521269" w14:textId="7A0F9610" w:rsidR="00D016F3" w:rsidRPr="00DE3003" w:rsidRDefault="00D016F3" w:rsidP="00D016F3"/>
    <w:p w14:paraId="6599145E" w14:textId="77777777" w:rsidR="00D016F3" w:rsidRPr="00DE3003" w:rsidRDefault="00D016F3" w:rsidP="00D016F3">
      <w:r w:rsidRPr="00DE3003">
        <w:t>The focus groups will have the following objectives:</w:t>
      </w:r>
    </w:p>
    <w:p w14:paraId="3CAF4C44" w14:textId="77777777" w:rsidR="00D016F3" w:rsidRPr="00DE3003" w:rsidRDefault="00D016F3" w:rsidP="00D016F3">
      <w:pPr>
        <w:pStyle w:val="ListParagraph"/>
        <w:numPr>
          <w:ilvl w:val="0"/>
          <w:numId w:val="17"/>
        </w:numPr>
        <w:spacing w:line="276" w:lineRule="auto"/>
      </w:pPr>
      <w:r w:rsidRPr="00DE3003">
        <w:t xml:space="preserve">Understand </w:t>
      </w:r>
      <w:bookmarkStart w:id="1" w:name="_Hlk534311095"/>
      <w:r w:rsidRPr="00DE3003">
        <w:t>veteran and active duty women’s experiences, facilitators for, and barriers to receiving health care</w:t>
      </w:r>
      <w:bookmarkEnd w:id="1"/>
      <w:r w:rsidRPr="00DE3003">
        <w:t xml:space="preserve"> from providers outside of VHA/MHS.</w:t>
      </w:r>
    </w:p>
    <w:p w14:paraId="2C0D98AF" w14:textId="77777777" w:rsidR="00D016F3" w:rsidRPr="00DE3003" w:rsidRDefault="00D016F3" w:rsidP="00D016F3">
      <w:pPr>
        <w:pStyle w:val="ListParagraph"/>
        <w:numPr>
          <w:ilvl w:val="0"/>
          <w:numId w:val="17"/>
        </w:numPr>
        <w:spacing w:line="276" w:lineRule="auto"/>
      </w:pPr>
      <w:r w:rsidRPr="00DE3003">
        <w:t>Determine the health information, online tools, and resources that are most needed to support the physical and mental health of active duty and veteran women.</w:t>
      </w:r>
    </w:p>
    <w:p w14:paraId="20A72C18" w14:textId="77777777" w:rsidR="00D016F3" w:rsidRPr="00DE3003" w:rsidRDefault="00D016F3" w:rsidP="00D016F3"/>
    <w:p w14:paraId="3F77E705" w14:textId="4056FDC1" w:rsidR="0099582C" w:rsidRDefault="0099582C" w:rsidP="0099582C">
      <w:pPr>
        <w:pStyle w:val="Heading2"/>
        <w:numPr>
          <w:ilvl w:val="0"/>
          <w:numId w:val="6"/>
        </w:numPr>
      </w:pPr>
      <w:r>
        <w:t>Procedures for the Collection of Information</w:t>
      </w:r>
    </w:p>
    <w:p w14:paraId="0540239D" w14:textId="77777777" w:rsidR="00E51663" w:rsidRPr="00DE3003" w:rsidRDefault="00E51663" w:rsidP="00E51663">
      <w:pPr>
        <w:pStyle w:val="Heading3"/>
      </w:pPr>
      <w:r w:rsidRPr="00DE3003">
        <w:t xml:space="preserve">Recruitment </w:t>
      </w:r>
    </w:p>
    <w:p w14:paraId="08A2F184" w14:textId="77777777" w:rsidR="00E51663" w:rsidRPr="00DE3003" w:rsidRDefault="00E51663" w:rsidP="00E51663">
      <w:r w:rsidRPr="00DE3003">
        <w:t>All focus group participants will meet the following eligibility criteria (further defined in the focus group screener):</w:t>
      </w:r>
    </w:p>
    <w:p w14:paraId="6E180042" w14:textId="77777777" w:rsidR="00E51663" w:rsidRPr="00DE3003" w:rsidRDefault="00E51663" w:rsidP="00E51663">
      <w:pPr>
        <w:numPr>
          <w:ilvl w:val="0"/>
          <w:numId w:val="17"/>
        </w:numPr>
        <w:spacing w:line="276" w:lineRule="auto"/>
        <w:contextualSpacing/>
      </w:pPr>
      <w:r w:rsidRPr="00DE3003">
        <w:t xml:space="preserve">Classify as active duty or veteran women </w:t>
      </w:r>
    </w:p>
    <w:p w14:paraId="29CEE3BB" w14:textId="77777777" w:rsidR="00E51663" w:rsidRDefault="00E51663" w:rsidP="00E51663">
      <w:pPr>
        <w:numPr>
          <w:ilvl w:val="0"/>
          <w:numId w:val="17"/>
        </w:numPr>
        <w:spacing w:line="276" w:lineRule="auto"/>
        <w:contextualSpacing/>
      </w:pPr>
      <w:r w:rsidRPr="00DE3003">
        <w:t xml:space="preserve">Between the ages 18–64 </w:t>
      </w:r>
    </w:p>
    <w:p w14:paraId="01034B3D" w14:textId="77777777" w:rsidR="00E51663" w:rsidRPr="00DE3003" w:rsidRDefault="00E51663" w:rsidP="00E51663">
      <w:pPr>
        <w:numPr>
          <w:ilvl w:val="1"/>
          <w:numId w:val="17"/>
        </w:numPr>
        <w:spacing w:line="276" w:lineRule="auto"/>
        <w:contextualSpacing/>
      </w:pPr>
      <w:r>
        <w:t>Active duty women ages 41–64 are included to ensure representation from careered women in the military.</w:t>
      </w:r>
    </w:p>
    <w:p w14:paraId="766A0F84" w14:textId="77777777" w:rsidR="00E51663" w:rsidRPr="00DE3003" w:rsidRDefault="00E51663" w:rsidP="00E51663">
      <w:pPr>
        <w:numPr>
          <w:ilvl w:val="0"/>
          <w:numId w:val="17"/>
        </w:numPr>
        <w:spacing w:line="276" w:lineRule="auto"/>
        <w:contextualSpacing/>
      </w:pPr>
      <w:r w:rsidRPr="00DE3003">
        <w:t>Seek health care outside of VHA/MHS</w:t>
      </w:r>
    </w:p>
    <w:p w14:paraId="5DE2292C" w14:textId="77777777" w:rsidR="00E51663" w:rsidRPr="00DE3003" w:rsidRDefault="00E51663" w:rsidP="00E51663">
      <w:pPr>
        <w:numPr>
          <w:ilvl w:val="0"/>
          <w:numId w:val="17"/>
        </w:numPr>
        <w:spacing w:line="276" w:lineRule="auto"/>
        <w:contextualSpacing/>
      </w:pPr>
      <w:r w:rsidRPr="00DE3003">
        <w:t>Mix of education levels</w:t>
      </w:r>
    </w:p>
    <w:p w14:paraId="485269DB" w14:textId="77777777" w:rsidR="00E51663" w:rsidRPr="00DE3003" w:rsidRDefault="00E51663" w:rsidP="00E51663">
      <w:pPr>
        <w:numPr>
          <w:ilvl w:val="0"/>
          <w:numId w:val="17"/>
        </w:numPr>
        <w:spacing w:line="276" w:lineRule="auto"/>
        <w:contextualSpacing/>
      </w:pPr>
      <w:r w:rsidRPr="00DE3003">
        <w:t>Mix of income levels</w:t>
      </w:r>
    </w:p>
    <w:p w14:paraId="38DE8FC5" w14:textId="77777777" w:rsidR="00E51663" w:rsidRPr="00DE3003" w:rsidRDefault="00E51663" w:rsidP="00E51663">
      <w:pPr>
        <w:ind w:left="720"/>
        <w:contextualSpacing/>
      </w:pPr>
    </w:p>
    <w:p w14:paraId="4D3E5939" w14:textId="589C4667" w:rsidR="00E51663" w:rsidRPr="003D43DB" w:rsidRDefault="00E51663" w:rsidP="00E51663">
      <w:pPr>
        <w:rPr>
          <w:b/>
          <w:iCs/>
          <w:color w:val="000000" w:themeColor="text1"/>
        </w:rPr>
      </w:pPr>
      <w:r w:rsidRPr="00DE3003">
        <w:rPr>
          <w:iCs/>
          <w:color w:val="000000" w:themeColor="text1"/>
        </w:rPr>
        <w:t>We will work with focus group facilities in each of the proposed locations to recruit for groups based on the segments below. Focus group facility staff will contact active duty and veteran women from their databases to look for respondents who meet the eligibility criteria. A recruitment screener will be administered to ensure that those contacted through databases meet eligibility criteria.</w:t>
      </w:r>
      <w:r>
        <w:rPr>
          <w:iCs/>
          <w:color w:val="000000" w:themeColor="text1"/>
        </w:rPr>
        <w:t xml:space="preserve"> (</w:t>
      </w:r>
      <w:r w:rsidRPr="003D43DB">
        <w:rPr>
          <w:b/>
          <w:iCs/>
          <w:color w:val="000000" w:themeColor="text1"/>
        </w:rPr>
        <w:t>See Attachment B Screening Instrument</w:t>
      </w:r>
      <w:r w:rsidRPr="003D43DB">
        <w:rPr>
          <w:iCs/>
          <w:color w:val="000000" w:themeColor="text1"/>
        </w:rPr>
        <w:t>)</w:t>
      </w:r>
    </w:p>
    <w:p w14:paraId="6BF1C5AF" w14:textId="77777777" w:rsidR="00E51663" w:rsidRPr="00DE3003" w:rsidRDefault="00E51663" w:rsidP="00E51663">
      <w:pPr>
        <w:rPr>
          <w:iCs/>
          <w:color w:val="000000" w:themeColor="text1"/>
        </w:rPr>
      </w:pPr>
    </w:p>
    <w:tbl>
      <w:tblPr>
        <w:tblStyle w:val="GridTable4Accent4"/>
        <w:tblW w:w="9535" w:type="dxa"/>
        <w:tblLook w:val="04A0" w:firstRow="1" w:lastRow="0" w:firstColumn="1" w:lastColumn="0" w:noHBand="0" w:noVBand="1"/>
      </w:tblPr>
      <w:tblGrid>
        <w:gridCol w:w="2425"/>
        <w:gridCol w:w="1710"/>
        <w:gridCol w:w="2160"/>
        <w:gridCol w:w="3240"/>
      </w:tblGrid>
      <w:tr w:rsidR="00E51663" w:rsidRPr="00DE3003" w14:paraId="4A45EDEC" w14:textId="77777777" w:rsidTr="0009740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3539AC95" w14:textId="77777777" w:rsidR="00E51663" w:rsidRPr="00DE3003" w:rsidRDefault="00E51663" w:rsidP="0009740B">
            <w:bookmarkStart w:id="2" w:name="_Hlk534272051"/>
            <w:r w:rsidRPr="00DE3003">
              <w:t>Audience Segment</w:t>
            </w:r>
          </w:p>
        </w:tc>
        <w:tc>
          <w:tcPr>
            <w:tcW w:w="1710" w:type="dxa"/>
          </w:tcPr>
          <w:p w14:paraId="009E9A16" w14:textId="77777777" w:rsidR="00E51663" w:rsidRPr="00DE3003" w:rsidRDefault="00E51663" w:rsidP="0009740B">
            <w:pPr>
              <w:cnfStyle w:val="100000000000" w:firstRow="1" w:lastRow="0" w:firstColumn="0" w:lastColumn="0" w:oddVBand="0" w:evenVBand="0" w:oddHBand="0" w:evenHBand="0" w:firstRowFirstColumn="0" w:firstRowLastColumn="0" w:lastRowFirstColumn="0" w:lastRowLastColumn="0"/>
            </w:pPr>
            <w:r w:rsidRPr="00DE3003">
              <w:t>Age</w:t>
            </w:r>
          </w:p>
        </w:tc>
        <w:tc>
          <w:tcPr>
            <w:tcW w:w="2160" w:type="dxa"/>
          </w:tcPr>
          <w:p w14:paraId="5F89FC2E" w14:textId="77777777" w:rsidR="00E51663" w:rsidRPr="00DE3003" w:rsidRDefault="00E51663" w:rsidP="0009740B">
            <w:pPr>
              <w:cnfStyle w:val="100000000000" w:firstRow="1" w:lastRow="0" w:firstColumn="0" w:lastColumn="0" w:oddVBand="0" w:evenVBand="0" w:oddHBand="0" w:evenHBand="0" w:firstRowFirstColumn="0" w:firstRowLastColumn="0" w:lastRowFirstColumn="0" w:lastRowLastColumn="0"/>
            </w:pPr>
            <w:r>
              <w:t>No. of Groups</w:t>
            </w:r>
          </w:p>
        </w:tc>
        <w:tc>
          <w:tcPr>
            <w:tcW w:w="3240" w:type="dxa"/>
          </w:tcPr>
          <w:p w14:paraId="4B9C67C6" w14:textId="77777777" w:rsidR="00E51663" w:rsidRPr="00DE3003" w:rsidRDefault="00E51663" w:rsidP="0009740B">
            <w:pPr>
              <w:cnfStyle w:val="100000000000" w:firstRow="1" w:lastRow="0" w:firstColumn="0" w:lastColumn="0" w:oddVBand="0" w:evenVBand="0" w:oddHBand="0" w:evenHBand="0" w:firstRowFirstColumn="0" w:firstRowLastColumn="0" w:lastRowFirstColumn="0" w:lastRowLastColumn="0"/>
            </w:pPr>
            <w:bookmarkStart w:id="3" w:name="_Hlk535499686"/>
            <w:r w:rsidRPr="00DE3003">
              <w:t>Location</w:t>
            </w:r>
            <w:bookmarkEnd w:id="3"/>
          </w:p>
        </w:tc>
      </w:tr>
      <w:tr w:rsidR="00E51663" w:rsidRPr="00DE3003" w14:paraId="56EB02D4" w14:textId="77777777" w:rsidTr="00097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77C54C26" w14:textId="77777777" w:rsidR="00E51663" w:rsidRPr="00DE3003" w:rsidRDefault="00E51663" w:rsidP="0009740B">
            <w:pPr>
              <w:rPr>
                <w:b w:val="0"/>
                <w:color w:val="5F497A"/>
              </w:rPr>
            </w:pPr>
            <w:r w:rsidRPr="00DE3003">
              <w:rPr>
                <w:b w:val="0"/>
                <w:color w:val="5F497A"/>
              </w:rPr>
              <w:t>Active Duty Women</w:t>
            </w:r>
          </w:p>
        </w:tc>
        <w:tc>
          <w:tcPr>
            <w:tcW w:w="1710" w:type="dxa"/>
            <w:vMerge w:val="restart"/>
            <w:vAlign w:val="center"/>
          </w:tcPr>
          <w:p w14:paraId="670750B4"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1EAFEFD2"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5E900A61"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San Diego, CA</w:t>
            </w:r>
          </w:p>
        </w:tc>
      </w:tr>
      <w:tr w:rsidR="00E51663" w:rsidRPr="00DE3003" w14:paraId="78468153" w14:textId="77777777" w:rsidTr="0009740B">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10D865D2" w14:textId="77777777" w:rsidR="00E51663" w:rsidRPr="00DE3003" w:rsidRDefault="00E51663" w:rsidP="0009740B">
            <w:pPr>
              <w:rPr>
                <w:b w:val="0"/>
                <w:color w:val="5F497A"/>
              </w:rPr>
            </w:pPr>
          </w:p>
        </w:tc>
        <w:tc>
          <w:tcPr>
            <w:tcW w:w="1710" w:type="dxa"/>
            <w:vMerge/>
            <w:vAlign w:val="center"/>
          </w:tcPr>
          <w:p w14:paraId="58C6E4DB"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61468EE8"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6AE542F4"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Antonio, TX</w:t>
            </w:r>
          </w:p>
        </w:tc>
      </w:tr>
      <w:tr w:rsidR="00E51663" w:rsidRPr="00DE3003" w14:paraId="5407FDCC" w14:textId="77777777" w:rsidTr="00097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43DC4291" w14:textId="77777777" w:rsidR="00E51663" w:rsidRPr="00DE3003" w:rsidRDefault="00E51663" w:rsidP="0009740B">
            <w:pPr>
              <w:rPr>
                <w:b w:val="0"/>
                <w:color w:val="5F497A"/>
              </w:rPr>
            </w:pPr>
          </w:p>
        </w:tc>
        <w:tc>
          <w:tcPr>
            <w:tcW w:w="1710" w:type="dxa"/>
            <w:vMerge w:val="restart"/>
            <w:shd w:val="clear" w:color="auto" w:fill="auto"/>
            <w:vAlign w:val="center"/>
          </w:tcPr>
          <w:p w14:paraId="73F2806D"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3935C7F0"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1</w:t>
            </w:r>
          </w:p>
        </w:tc>
        <w:tc>
          <w:tcPr>
            <w:tcW w:w="3240" w:type="dxa"/>
          </w:tcPr>
          <w:p w14:paraId="5F442338"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E51663" w:rsidRPr="00DE3003" w14:paraId="1BAA83E9" w14:textId="77777777" w:rsidTr="0009740B">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51A06EDF" w14:textId="77777777" w:rsidR="00E51663" w:rsidRPr="00DE3003" w:rsidRDefault="00E51663" w:rsidP="0009740B">
            <w:pPr>
              <w:ind w:left="720"/>
              <w:rPr>
                <w:b w:val="0"/>
                <w:color w:val="5F497A"/>
              </w:rPr>
            </w:pPr>
          </w:p>
        </w:tc>
        <w:tc>
          <w:tcPr>
            <w:tcW w:w="1710" w:type="dxa"/>
            <w:vMerge/>
            <w:shd w:val="clear" w:color="auto" w:fill="auto"/>
            <w:vAlign w:val="center"/>
          </w:tcPr>
          <w:p w14:paraId="12CA5335"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76E6C4D5"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Pr>
                <w:color w:val="5F497A"/>
              </w:rPr>
              <w:t>1</w:t>
            </w:r>
          </w:p>
        </w:tc>
        <w:tc>
          <w:tcPr>
            <w:tcW w:w="3240" w:type="dxa"/>
          </w:tcPr>
          <w:p w14:paraId="0E1A2282"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tr w:rsidR="00E51663" w:rsidRPr="00DE3003" w14:paraId="29AE6387" w14:textId="77777777" w:rsidTr="00097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restart"/>
            <w:vAlign w:val="center"/>
          </w:tcPr>
          <w:p w14:paraId="77933B56" w14:textId="77777777" w:rsidR="00E51663" w:rsidRPr="00DE3003" w:rsidRDefault="00E51663" w:rsidP="0009740B">
            <w:pPr>
              <w:rPr>
                <w:b w:val="0"/>
                <w:color w:val="5F497A"/>
              </w:rPr>
            </w:pPr>
            <w:r w:rsidRPr="00DE3003">
              <w:rPr>
                <w:b w:val="0"/>
                <w:color w:val="5F497A"/>
              </w:rPr>
              <w:t xml:space="preserve">Veteran Women </w:t>
            </w:r>
          </w:p>
        </w:tc>
        <w:tc>
          <w:tcPr>
            <w:tcW w:w="1710" w:type="dxa"/>
            <w:vMerge w:val="restart"/>
            <w:vAlign w:val="center"/>
          </w:tcPr>
          <w:p w14:paraId="66584D33"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18</w:t>
            </w:r>
            <w:r w:rsidRPr="00DE3003">
              <w:t>–</w:t>
            </w:r>
            <w:r w:rsidRPr="00DE3003">
              <w:rPr>
                <w:color w:val="5F497A"/>
              </w:rPr>
              <w:t>40</w:t>
            </w:r>
          </w:p>
        </w:tc>
        <w:tc>
          <w:tcPr>
            <w:tcW w:w="2160" w:type="dxa"/>
          </w:tcPr>
          <w:p w14:paraId="64967A36"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7BDB5DE7"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Antonio, TX</w:t>
            </w:r>
          </w:p>
        </w:tc>
      </w:tr>
      <w:tr w:rsidR="00E51663" w:rsidRPr="00DE3003" w14:paraId="71127C90" w14:textId="77777777" w:rsidTr="0009740B">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222CE838" w14:textId="77777777" w:rsidR="00E51663" w:rsidRPr="00DE3003" w:rsidRDefault="00E51663" w:rsidP="0009740B">
            <w:pPr>
              <w:rPr>
                <w:color w:val="5F497A"/>
              </w:rPr>
            </w:pPr>
          </w:p>
        </w:tc>
        <w:tc>
          <w:tcPr>
            <w:tcW w:w="1710" w:type="dxa"/>
            <w:vMerge/>
            <w:vAlign w:val="center"/>
          </w:tcPr>
          <w:p w14:paraId="2FD56C55"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29A9D75D"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73B7E67F"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Virginia Beach, VA</w:t>
            </w:r>
          </w:p>
        </w:tc>
      </w:tr>
      <w:tr w:rsidR="00E51663" w:rsidRPr="00DE3003" w14:paraId="26E4B132" w14:textId="77777777" w:rsidTr="00097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6D4185D7" w14:textId="77777777" w:rsidR="00E51663" w:rsidRPr="00DE3003" w:rsidRDefault="00E51663" w:rsidP="0009740B">
            <w:pPr>
              <w:rPr>
                <w:color w:val="5F497A"/>
              </w:rPr>
            </w:pPr>
          </w:p>
        </w:tc>
        <w:tc>
          <w:tcPr>
            <w:tcW w:w="1710" w:type="dxa"/>
            <w:vMerge/>
            <w:vAlign w:val="center"/>
          </w:tcPr>
          <w:p w14:paraId="05B867BE"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p>
        </w:tc>
        <w:tc>
          <w:tcPr>
            <w:tcW w:w="2160" w:type="dxa"/>
          </w:tcPr>
          <w:p w14:paraId="0E70A763"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12D23FC2"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San Diego, CA</w:t>
            </w:r>
          </w:p>
        </w:tc>
      </w:tr>
      <w:tr w:rsidR="00E51663" w:rsidRPr="0098650F" w14:paraId="30E84E9B" w14:textId="77777777" w:rsidTr="0009740B">
        <w:trPr>
          <w:trHeight w:val="20"/>
        </w:trPr>
        <w:tc>
          <w:tcPr>
            <w:cnfStyle w:val="001000000000" w:firstRow="0" w:lastRow="0" w:firstColumn="1" w:lastColumn="0" w:oddVBand="0" w:evenVBand="0" w:oddHBand="0" w:evenHBand="0" w:firstRowFirstColumn="0" w:firstRowLastColumn="0" w:lastRowFirstColumn="0" w:lastRowLastColumn="0"/>
            <w:tcW w:w="2425" w:type="dxa"/>
            <w:vMerge/>
            <w:vAlign w:val="center"/>
          </w:tcPr>
          <w:p w14:paraId="2E6E9C17" w14:textId="77777777" w:rsidR="00E51663" w:rsidRPr="00DE3003" w:rsidRDefault="00E51663" w:rsidP="0009740B">
            <w:pPr>
              <w:rPr>
                <w:color w:val="5F497A"/>
              </w:rPr>
            </w:pPr>
          </w:p>
        </w:tc>
        <w:tc>
          <w:tcPr>
            <w:tcW w:w="1710" w:type="dxa"/>
            <w:vMerge w:val="restart"/>
            <w:vAlign w:val="center"/>
          </w:tcPr>
          <w:p w14:paraId="6466D86C"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41</w:t>
            </w:r>
            <w:r w:rsidRPr="00DE3003">
              <w:t>–</w:t>
            </w:r>
            <w:r w:rsidRPr="00DE3003">
              <w:rPr>
                <w:color w:val="5F497A"/>
              </w:rPr>
              <w:t>64</w:t>
            </w:r>
          </w:p>
        </w:tc>
        <w:tc>
          <w:tcPr>
            <w:tcW w:w="2160" w:type="dxa"/>
          </w:tcPr>
          <w:p w14:paraId="58899EAB" w14:textId="77777777" w:rsidR="00E51663" w:rsidRPr="0098650F" w:rsidRDefault="00E51663" w:rsidP="0009740B">
            <w:pPr>
              <w:cnfStyle w:val="000000000000" w:firstRow="0" w:lastRow="0" w:firstColumn="0" w:lastColumn="0" w:oddVBand="0" w:evenVBand="0" w:oddHBand="0" w:evenHBand="0" w:firstRowFirstColumn="0" w:firstRowLastColumn="0" w:lastRowFirstColumn="0" w:lastRowLastColumn="0"/>
              <w:rPr>
                <w:color w:val="5F497A"/>
                <w:lang w:val="es-ES"/>
              </w:rPr>
            </w:pPr>
            <w:r>
              <w:rPr>
                <w:color w:val="5F497A"/>
                <w:lang w:val="es-ES"/>
              </w:rPr>
              <w:t>2</w:t>
            </w:r>
          </w:p>
        </w:tc>
        <w:tc>
          <w:tcPr>
            <w:tcW w:w="3240" w:type="dxa"/>
          </w:tcPr>
          <w:p w14:paraId="3298F47E" w14:textId="77777777" w:rsidR="00E51663" w:rsidRPr="0098650F" w:rsidRDefault="00E51663" w:rsidP="0009740B">
            <w:pPr>
              <w:cnfStyle w:val="000000000000" w:firstRow="0" w:lastRow="0" w:firstColumn="0" w:lastColumn="0" w:oddVBand="0" w:evenVBand="0" w:oddHBand="0" w:evenHBand="0" w:firstRowFirstColumn="0" w:firstRowLastColumn="0" w:lastRowFirstColumn="0" w:lastRowLastColumn="0"/>
              <w:rPr>
                <w:color w:val="5F497A"/>
                <w:lang w:val="es-ES"/>
              </w:rPr>
            </w:pPr>
            <w:r w:rsidRPr="0098650F">
              <w:rPr>
                <w:color w:val="5F497A"/>
                <w:lang w:val="es-ES"/>
              </w:rPr>
              <w:t>San Antonio, TX</w:t>
            </w:r>
          </w:p>
        </w:tc>
      </w:tr>
      <w:tr w:rsidR="00E51663" w:rsidRPr="00DE3003" w14:paraId="71BC7196" w14:textId="77777777" w:rsidTr="000974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5B1C5910" w14:textId="77777777" w:rsidR="00E51663" w:rsidRPr="0098650F" w:rsidRDefault="00E51663" w:rsidP="0009740B">
            <w:pPr>
              <w:rPr>
                <w:color w:val="5F497A"/>
                <w:lang w:val="es-ES"/>
              </w:rPr>
            </w:pPr>
          </w:p>
        </w:tc>
        <w:tc>
          <w:tcPr>
            <w:tcW w:w="1710" w:type="dxa"/>
            <w:vMerge/>
          </w:tcPr>
          <w:p w14:paraId="6991A2F6" w14:textId="77777777" w:rsidR="00E51663" w:rsidRPr="0098650F" w:rsidRDefault="00E51663" w:rsidP="0009740B">
            <w:pPr>
              <w:cnfStyle w:val="000000100000" w:firstRow="0" w:lastRow="0" w:firstColumn="0" w:lastColumn="0" w:oddVBand="0" w:evenVBand="0" w:oddHBand="1" w:evenHBand="0" w:firstRowFirstColumn="0" w:firstRowLastColumn="0" w:lastRowFirstColumn="0" w:lastRowLastColumn="0"/>
              <w:rPr>
                <w:color w:val="5F497A"/>
                <w:lang w:val="es-ES"/>
              </w:rPr>
            </w:pPr>
          </w:p>
        </w:tc>
        <w:tc>
          <w:tcPr>
            <w:tcW w:w="2160" w:type="dxa"/>
          </w:tcPr>
          <w:p w14:paraId="1325A3A4"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Pr>
                <w:color w:val="5F497A"/>
              </w:rPr>
              <w:t>2</w:t>
            </w:r>
          </w:p>
        </w:tc>
        <w:tc>
          <w:tcPr>
            <w:tcW w:w="3240" w:type="dxa"/>
          </w:tcPr>
          <w:p w14:paraId="2603901D" w14:textId="77777777" w:rsidR="00E51663" w:rsidRPr="00DE3003" w:rsidRDefault="00E51663" w:rsidP="0009740B">
            <w:pPr>
              <w:cnfStyle w:val="000000100000" w:firstRow="0" w:lastRow="0" w:firstColumn="0" w:lastColumn="0" w:oddVBand="0" w:evenVBand="0" w:oddHBand="1" w:evenHBand="0" w:firstRowFirstColumn="0" w:firstRowLastColumn="0" w:lastRowFirstColumn="0" w:lastRowLastColumn="0"/>
              <w:rPr>
                <w:color w:val="5F497A"/>
              </w:rPr>
            </w:pPr>
            <w:r w:rsidRPr="00DE3003">
              <w:rPr>
                <w:color w:val="5F497A"/>
              </w:rPr>
              <w:t>Virginia Beach, VA</w:t>
            </w:r>
          </w:p>
        </w:tc>
      </w:tr>
      <w:tr w:rsidR="00E51663" w:rsidRPr="00DE3003" w14:paraId="4302FCFC" w14:textId="77777777" w:rsidTr="0009740B">
        <w:trPr>
          <w:trHeight w:val="20"/>
        </w:trPr>
        <w:tc>
          <w:tcPr>
            <w:cnfStyle w:val="001000000000" w:firstRow="0" w:lastRow="0" w:firstColumn="1" w:lastColumn="0" w:oddVBand="0" w:evenVBand="0" w:oddHBand="0" w:evenHBand="0" w:firstRowFirstColumn="0" w:firstRowLastColumn="0" w:lastRowFirstColumn="0" w:lastRowLastColumn="0"/>
            <w:tcW w:w="2425" w:type="dxa"/>
            <w:vMerge/>
          </w:tcPr>
          <w:p w14:paraId="655E8B84" w14:textId="77777777" w:rsidR="00E51663" w:rsidRPr="00DE3003" w:rsidRDefault="00E51663" w:rsidP="0009740B">
            <w:pPr>
              <w:rPr>
                <w:color w:val="5F497A"/>
              </w:rPr>
            </w:pPr>
          </w:p>
        </w:tc>
        <w:tc>
          <w:tcPr>
            <w:tcW w:w="1710" w:type="dxa"/>
            <w:vMerge/>
          </w:tcPr>
          <w:p w14:paraId="771B22E3"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p>
        </w:tc>
        <w:tc>
          <w:tcPr>
            <w:tcW w:w="2160" w:type="dxa"/>
          </w:tcPr>
          <w:p w14:paraId="671659CB"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Pr>
                <w:color w:val="5F497A"/>
              </w:rPr>
              <w:t>2</w:t>
            </w:r>
          </w:p>
        </w:tc>
        <w:tc>
          <w:tcPr>
            <w:tcW w:w="3240" w:type="dxa"/>
          </w:tcPr>
          <w:p w14:paraId="5F7FC059" w14:textId="77777777" w:rsidR="00E51663" w:rsidRPr="00DE3003" w:rsidRDefault="00E51663" w:rsidP="0009740B">
            <w:pPr>
              <w:cnfStyle w:val="000000000000" w:firstRow="0" w:lastRow="0" w:firstColumn="0" w:lastColumn="0" w:oddVBand="0" w:evenVBand="0" w:oddHBand="0" w:evenHBand="0" w:firstRowFirstColumn="0" w:firstRowLastColumn="0" w:lastRowFirstColumn="0" w:lastRowLastColumn="0"/>
              <w:rPr>
                <w:color w:val="5F497A"/>
              </w:rPr>
            </w:pPr>
            <w:r w:rsidRPr="00DE3003">
              <w:rPr>
                <w:color w:val="5F497A"/>
              </w:rPr>
              <w:t>San Diego, CA</w:t>
            </w:r>
          </w:p>
        </w:tc>
      </w:tr>
      <w:bookmarkEnd w:id="2"/>
    </w:tbl>
    <w:p w14:paraId="64B0238A" w14:textId="77777777" w:rsidR="00E51663" w:rsidRPr="00DE3003" w:rsidRDefault="00E51663" w:rsidP="00E51663">
      <w:pPr>
        <w:pStyle w:val="NoSpacing"/>
        <w:spacing w:line="276" w:lineRule="auto"/>
        <w:rPr>
          <w:rFonts w:ascii="Arial" w:hAnsi="Arial" w:cs="Arial"/>
          <w:sz w:val="20"/>
          <w:szCs w:val="20"/>
        </w:rPr>
      </w:pPr>
    </w:p>
    <w:p w14:paraId="545056B9" w14:textId="77777777" w:rsidR="00E51663" w:rsidRPr="00DE3003" w:rsidRDefault="00E51663" w:rsidP="00E51663">
      <w:pPr>
        <w:rPr>
          <w:iCs/>
          <w:color w:val="000000" w:themeColor="text1"/>
        </w:rPr>
      </w:pPr>
      <w:r w:rsidRPr="00DE3003">
        <w:t>Participants will be offered an honorarium of $75 for completing a 90-minute focus group to reimburse them for their time.</w:t>
      </w:r>
    </w:p>
    <w:p w14:paraId="291BDF22" w14:textId="77777777" w:rsidR="00E51663" w:rsidRPr="00DE3003" w:rsidRDefault="00E51663" w:rsidP="00E51663">
      <w:pPr>
        <w:pStyle w:val="NoSpacing"/>
        <w:spacing w:line="276" w:lineRule="auto"/>
        <w:rPr>
          <w:rFonts w:ascii="Arial" w:hAnsi="Arial" w:cs="Arial"/>
          <w:sz w:val="20"/>
          <w:szCs w:val="20"/>
        </w:rPr>
      </w:pPr>
    </w:p>
    <w:p w14:paraId="2D4BF2B8" w14:textId="77777777" w:rsidR="00E51663" w:rsidRPr="00DE3003" w:rsidRDefault="00E51663" w:rsidP="00E51663">
      <w:pPr>
        <w:rPr>
          <w:b/>
          <w:iCs/>
          <w:color w:val="000000" w:themeColor="text1"/>
        </w:rPr>
      </w:pPr>
      <w:r w:rsidRPr="00DE3003">
        <w:rPr>
          <w:b/>
          <w:iCs/>
          <w:color w:val="000000" w:themeColor="text1"/>
        </w:rPr>
        <w:t>Logistics</w:t>
      </w:r>
    </w:p>
    <w:p w14:paraId="55AB4EBD" w14:textId="77777777" w:rsidR="00E51663" w:rsidRPr="00DE3003" w:rsidRDefault="00E51663" w:rsidP="00E51663">
      <w:r w:rsidRPr="00DE3003">
        <w:t xml:space="preserve">Each focus group session </w:t>
      </w:r>
      <w:r>
        <w:t xml:space="preserve">will include 8–10 participants. </w:t>
      </w:r>
      <w:r w:rsidRPr="00DE3003">
        <w:t xml:space="preserve">During the focus groups, a moderator will use a guide to lead the participants through a discussion, and </w:t>
      </w:r>
      <w:r>
        <w:t>contract staff</w:t>
      </w:r>
      <w:r w:rsidRPr="00DE3003">
        <w:t xml:space="preserve"> will observe and take notes on the participants’ comments and suggestions. The session will also be video and audio recorded.</w:t>
      </w:r>
    </w:p>
    <w:p w14:paraId="27F896F5" w14:textId="77777777" w:rsidR="00E51663" w:rsidRPr="00DE3003" w:rsidRDefault="00E51663" w:rsidP="00E51663"/>
    <w:p w14:paraId="06C3F6DF" w14:textId="77777777" w:rsidR="00E51663" w:rsidRPr="00DE3003" w:rsidRDefault="00E51663" w:rsidP="00E51663">
      <w:pPr>
        <w:rPr>
          <w:b/>
          <w:iCs/>
          <w:color w:val="000000" w:themeColor="text1"/>
        </w:rPr>
      </w:pPr>
      <w:r w:rsidRPr="00DE3003">
        <w:rPr>
          <w:b/>
          <w:iCs/>
          <w:color w:val="000000" w:themeColor="text1"/>
        </w:rPr>
        <w:t>Analysis and Reporting</w:t>
      </w:r>
    </w:p>
    <w:p w14:paraId="26E26F87" w14:textId="77777777" w:rsidR="00E51663" w:rsidRPr="00DE3003" w:rsidRDefault="00E51663" w:rsidP="00E51663">
      <w:pPr>
        <w:rPr>
          <w:iCs/>
          <w:color w:val="000000" w:themeColor="text1"/>
        </w:rPr>
      </w:pPr>
      <w:r w:rsidRPr="00DE3003">
        <w:rPr>
          <w:iCs/>
          <w:color w:val="000000" w:themeColor="text1"/>
        </w:rPr>
        <w:t>Audio from the focus groups will be recorded and submitted to GMR for transcription. Transcripts will be labeled by participant category and date of the interview and will not contain any personally identifiable information.</w:t>
      </w:r>
      <w:r w:rsidRPr="00DE3003">
        <w:t xml:space="preserve"> The recordings will be destroyed after the report is made final.</w:t>
      </w:r>
    </w:p>
    <w:p w14:paraId="57DD4F74" w14:textId="77777777" w:rsidR="00E51663" w:rsidRPr="00DE3003" w:rsidRDefault="00E51663" w:rsidP="00E51663">
      <w:pPr>
        <w:rPr>
          <w:iCs/>
          <w:color w:val="000000" w:themeColor="text1"/>
        </w:rPr>
      </w:pPr>
    </w:p>
    <w:p w14:paraId="603E04EF" w14:textId="02E72A9A" w:rsidR="00E51663" w:rsidRDefault="00E51663" w:rsidP="00E51663">
      <w:r w:rsidRPr="00DE3003">
        <w:t>We will use the transcripts from the focus groups to code and analyze the data using Dedoose qualitative analysis software. Analysis of the groups will focus on specific themes that emerge most frequently from the focus groups. The final report will include an executive summary, overview, methodology, detailed findings with verbatim quotations, and recommendations.</w:t>
      </w:r>
    </w:p>
    <w:p w14:paraId="22E76B18" w14:textId="77777777" w:rsidR="00861AF6" w:rsidRDefault="00861AF6" w:rsidP="00990911">
      <w:pPr>
        <w:pStyle w:val="CommentText"/>
        <w:rPr>
          <w:rFonts w:asciiTheme="minorHAnsi" w:hAnsiTheme="minorHAnsi" w:cstheme="minorHAnsi"/>
          <w:sz w:val="24"/>
          <w:szCs w:val="24"/>
        </w:rPr>
      </w:pPr>
    </w:p>
    <w:p w14:paraId="2ED4E6F9" w14:textId="31C9B9BE" w:rsidR="00990911" w:rsidRPr="002D2E44" w:rsidRDefault="00990911" w:rsidP="00990911">
      <w:pPr>
        <w:pStyle w:val="CommentText"/>
        <w:rPr>
          <w:sz w:val="24"/>
          <w:szCs w:val="24"/>
        </w:rPr>
      </w:pPr>
      <w:r w:rsidRPr="002D2E44">
        <w:rPr>
          <w:rFonts w:asciiTheme="minorHAnsi" w:hAnsiTheme="minorHAnsi" w:cstheme="minorHAnsi"/>
          <w:sz w:val="24"/>
          <w:szCs w:val="24"/>
        </w:rPr>
        <w:t xml:space="preserve">The results of the research will be used for internal purposes only as research to inform the development of communication and educational tools for health professionals to improve care and treatment for active duty and veteran women. </w:t>
      </w:r>
      <w:r w:rsidRPr="002D2E44">
        <w:rPr>
          <w:rFonts w:asciiTheme="minorHAnsi" w:eastAsia="SimSun" w:hAnsiTheme="minorHAnsi" w:cstheme="minorHAnsi"/>
          <w:sz w:val="24"/>
          <w:szCs w:val="24"/>
        </w:rPr>
        <w:t xml:space="preserve">No names or other personal information will be reported in the summaries. </w:t>
      </w:r>
      <w:r w:rsidRPr="002D2E44">
        <w:rPr>
          <w:sz w:val="24"/>
          <w:szCs w:val="24"/>
        </w:rPr>
        <w:t>We will share the data with the VA and DoD as this data collection will be a pilot and will inform the planning of a larger data collection in the future. The future data collections will also involve collaborations with HRSA’s Bureau of Primary Care and the Office of the Surgeon General.</w:t>
      </w:r>
    </w:p>
    <w:p w14:paraId="67046649" w14:textId="77777777" w:rsidR="00990911" w:rsidRPr="00DE3003" w:rsidRDefault="00990911" w:rsidP="00E51663"/>
    <w:p w14:paraId="406322B0" w14:textId="77777777" w:rsidR="00281711" w:rsidRDefault="00281711" w:rsidP="00281711"/>
    <w:p w14:paraId="5D689035" w14:textId="77777777" w:rsidR="00281711" w:rsidRDefault="00281711" w:rsidP="00281711"/>
    <w:p w14:paraId="494B157B" w14:textId="77777777" w:rsidR="00281711" w:rsidRDefault="00281711" w:rsidP="00281711">
      <w:pPr>
        <w:rPr>
          <w:rFonts w:cs="Calibri"/>
        </w:rPr>
      </w:pPr>
    </w:p>
    <w:p w14:paraId="2EACAFA9" w14:textId="358A2DB6" w:rsidR="0099582C" w:rsidRPr="008E5CF4" w:rsidRDefault="0099582C" w:rsidP="00730E17">
      <w:pPr>
        <w:pStyle w:val="Heading2"/>
        <w:numPr>
          <w:ilvl w:val="0"/>
          <w:numId w:val="6"/>
        </w:numPr>
      </w:pPr>
      <w:r w:rsidRPr="008E5CF4">
        <w:t>Methods to Maximize Response Rates and Deal with Nonresponse</w:t>
      </w:r>
    </w:p>
    <w:p w14:paraId="11087F41" w14:textId="5811D845" w:rsidR="000B3DF0" w:rsidRPr="008E5CF4" w:rsidRDefault="00840B21" w:rsidP="008E5CF4">
      <w:pPr>
        <w:rPr>
          <w:highlight w:val="yellow"/>
        </w:rPr>
      </w:pPr>
      <w:r>
        <w:t>To maximize response rates, w</w:t>
      </w:r>
      <w:r w:rsidR="008E5CF4" w:rsidRPr="008E5CF4">
        <w:t xml:space="preserve">e will work with </w:t>
      </w:r>
      <w:r>
        <w:t xml:space="preserve">local </w:t>
      </w:r>
      <w:r w:rsidR="008E5CF4" w:rsidRPr="008E5CF4">
        <w:t>focus group facilities in each of the proposed locations to recruit for gro</w:t>
      </w:r>
      <w:r>
        <w:t xml:space="preserve">ups who have experience working with active duty/veteran communities. </w:t>
      </w:r>
      <w:r w:rsidR="008E5CF4" w:rsidRPr="008E5CF4">
        <w:t>Focus group facility staff will contact active duty and veteran women from their databases to look for respondents who meet the eligibility criteria.</w:t>
      </w:r>
    </w:p>
    <w:p w14:paraId="0B6E06C7" w14:textId="77777777" w:rsidR="00281711" w:rsidRPr="00490D02" w:rsidRDefault="00281711" w:rsidP="0099582C">
      <w:pPr>
        <w:rPr>
          <w:highlight w:val="yellow"/>
        </w:rPr>
      </w:pPr>
    </w:p>
    <w:p w14:paraId="7302542B" w14:textId="77777777" w:rsidR="0099582C" w:rsidRDefault="0099582C" w:rsidP="00730E17">
      <w:pPr>
        <w:pStyle w:val="Heading2"/>
        <w:numPr>
          <w:ilvl w:val="0"/>
          <w:numId w:val="6"/>
        </w:numPr>
      </w:pPr>
      <w:r>
        <w:t>Test of Procedures or Methods to be Undertaken</w:t>
      </w:r>
    </w:p>
    <w:p w14:paraId="3B63DE39" w14:textId="77777777" w:rsidR="0099582C" w:rsidRDefault="0099582C" w:rsidP="0099582C"/>
    <w:p w14:paraId="1A960AFC" w14:textId="4154AD77" w:rsidR="0099582C" w:rsidRDefault="00E51663" w:rsidP="0099582C">
      <w:r>
        <w:t>OWH, VA and DoD</w:t>
      </w:r>
      <w:r w:rsidR="0099582C">
        <w:t xml:space="preserve"> staff with subject matter expertise in </w:t>
      </w:r>
      <w:r>
        <w:t>active duty and veteran women’s health</w:t>
      </w:r>
      <w:r w:rsidR="0099582C">
        <w:t xml:space="preserve"> </w:t>
      </w:r>
      <w:r>
        <w:t xml:space="preserve">have reviewed and </w:t>
      </w:r>
      <w:r w:rsidR="00281711">
        <w:t xml:space="preserve">approved the </w:t>
      </w:r>
      <w:r w:rsidR="00A9724F">
        <w:t>documents</w:t>
      </w:r>
      <w:r w:rsidR="00281711">
        <w:t xml:space="preserve"> in this packet. </w:t>
      </w:r>
    </w:p>
    <w:p w14:paraId="688F8EBC" w14:textId="77777777" w:rsidR="00281255" w:rsidRDefault="00281255" w:rsidP="0099582C"/>
    <w:p w14:paraId="093030DB" w14:textId="77777777" w:rsidR="0099582C" w:rsidRPr="00167E04" w:rsidRDefault="0099582C" w:rsidP="00730E17">
      <w:pPr>
        <w:pStyle w:val="Heading2"/>
        <w:numPr>
          <w:ilvl w:val="0"/>
          <w:numId w:val="6"/>
        </w:numPr>
      </w:pPr>
      <w:r>
        <w:t>Individuals Consulted on Statistical Aspects and Individuals Collecting and/or Analyzing Data</w:t>
      </w:r>
    </w:p>
    <w:p w14:paraId="18CEEF3B" w14:textId="77777777" w:rsidR="0099582C" w:rsidRDefault="0099582C" w:rsidP="0099582C"/>
    <w:p w14:paraId="55BC65F7" w14:textId="339C857A" w:rsidR="0099582C" w:rsidRPr="00D12D16" w:rsidRDefault="00836056" w:rsidP="0099582C">
      <w:r w:rsidRPr="00836056">
        <w:t>Roshni Devchand, MPH, MCHES is Vice President, Strategic Planning, Research, &amp; Evaluation</w:t>
      </w:r>
      <w:r w:rsidR="00264BF1">
        <w:t xml:space="preserve"> at Hagar Sharp, </w:t>
      </w:r>
      <w:r w:rsidRPr="00836056">
        <w:t>OWH’</w:t>
      </w:r>
      <w:r w:rsidR="00264BF1">
        <w:t>s</w:t>
      </w:r>
      <w:r w:rsidR="0099582C" w:rsidRPr="00836056">
        <w:t xml:space="preserve"> communication </w:t>
      </w:r>
      <w:r w:rsidR="00264BF1">
        <w:t xml:space="preserve">and research </w:t>
      </w:r>
      <w:r w:rsidR="0099582C" w:rsidRPr="00836056">
        <w:t xml:space="preserve">contractor. </w:t>
      </w:r>
      <w:r w:rsidRPr="00836056">
        <w:t>Roshni has more than 10 years</w:t>
      </w:r>
      <w:r w:rsidR="0099582C" w:rsidRPr="00836056">
        <w:t xml:space="preserve"> of experience in formative</w:t>
      </w:r>
      <w:r w:rsidR="003A7DE5" w:rsidRPr="00836056">
        <w:t>, evaluative,</w:t>
      </w:r>
      <w:r w:rsidR="0099582C" w:rsidRPr="00836056">
        <w:t xml:space="preserve"> and usability research. </w:t>
      </w:r>
      <w:r w:rsidR="00264BF1">
        <w:t>Trish Taylor, Ph.D. is Executive Vice President of Health for Hagar Sharp</w:t>
      </w:r>
      <w:r w:rsidR="00B57D36">
        <w:t xml:space="preserve"> and has over 20 years of formative research focused on communications and usability testing for health providers. </w:t>
      </w:r>
      <w:r w:rsidR="0099582C" w:rsidRPr="00264BF1">
        <w:t xml:space="preserve">Together, </w:t>
      </w:r>
      <w:r w:rsidR="00490D02" w:rsidRPr="00264BF1">
        <w:t>Roshni and Trish</w:t>
      </w:r>
      <w:r w:rsidR="009451A1" w:rsidRPr="00264BF1">
        <w:t xml:space="preserve"> </w:t>
      </w:r>
      <w:r w:rsidR="0099582C" w:rsidRPr="00264BF1">
        <w:t>are overseeing all research protocol development, dat</w:t>
      </w:r>
      <w:r w:rsidR="00264BF1" w:rsidRPr="00264BF1">
        <w:t xml:space="preserve">a collection, and data analysis with support from additional contract staff. </w:t>
      </w:r>
    </w:p>
    <w:p w14:paraId="4E6905CB" w14:textId="5C2B38EB" w:rsidR="00E9357A" w:rsidRDefault="00E9357A" w:rsidP="00E9357A"/>
    <w:p w14:paraId="473521C4" w14:textId="77777777" w:rsidR="00281255" w:rsidRDefault="00281255" w:rsidP="00281255">
      <w:r>
        <w:t>In addition, the following research leads and fellows from the Department of Veterans Affairs will provide guidance in the collection and analysis of data.</w:t>
      </w:r>
    </w:p>
    <w:p w14:paraId="5C5D3930" w14:textId="77777777" w:rsidR="00281255" w:rsidRDefault="00281255" w:rsidP="00281255"/>
    <w:p w14:paraId="7F67D03C" w14:textId="77777777" w:rsidR="00281255" w:rsidRPr="00FA6A31" w:rsidRDefault="00281255" w:rsidP="00281255">
      <w:pPr>
        <w:pStyle w:val="ListParagraph"/>
        <w:numPr>
          <w:ilvl w:val="0"/>
          <w:numId w:val="19"/>
        </w:numPr>
        <w:rPr>
          <w:sz w:val="22"/>
          <w:szCs w:val="22"/>
        </w:rPr>
      </w:pPr>
      <w:r>
        <w:t>Joan Combellick, PhD, Research Fellow, Comprehensive Women’s Health</w:t>
      </w:r>
      <w:r w:rsidRPr="00FA6A31">
        <w:rPr>
          <w:sz w:val="22"/>
          <w:szCs w:val="22"/>
        </w:rPr>
        <w:t xml:space="preserve">, </w:t>
      </w:r>
      <w:r>
        <w:t>Women’s Health Services, Department of Veterans Affairs (VA)</w:t>
      </w:r>
    </w:p>
    <w:p w14:paraId="4CAC79EB" w14:textId="77777777" w:rsidR="00281255" w:rsidRDefault="00281255" w:rsidP="00281255"/>
    <w:p w14:paraId="0FCE0A69" w14:textId="77777777" w:rsidR="00281255" w:rsidRDefault="00281255" w:rsidP="00281255">
      <w:pPr>
        <w:pStyle w:val="ListParagraph"/>
        <w:numPr>
          <w:ilvl w:val="0"/>
          <w:numId w:val="19"/>
        </w:numPr>
      </w:pPr>
      <w:r>
        <w:t>Galina A. Portnoy,</w:t>
      </w:r>
      <w:r w:rsidRPr="00FA6A31">
        <w:t xml:space="preserve"> </w:t>
      </w:r>
      <w:r>
        <w:t>PhD, Research Fellow, Comprehensive Women’s Health</w:t>
      </w:r>
      <w:r w:rsidRPr="00FA6A31">
        <w:rPr>
          <w:sz w:val="22"/>
          <w:szCs w:val="22"/>
        </w:rPr>
        <w:t xml:space="preserve">, </w:t>
      </w:r>
      <w:r>
        <w:t xml:space="preserve">Women’s Health Services, Department of Veterans Affairs (VA) </w:t>
      </w:r>
    </w:p>
    <w:p w14:paraId="6E72100B" w14:textId="77777777" w:rsidR="00281255" w:rsidRDefault="00281255" w:rsidP="00281255"/>
    <w:p w14:paraId="28DE7527" w14:textId="77777777" w:rsidR="00281255" w:rsidRDefault="00281255" w:rsidP="00281255">
      <w:pPr>
        <w:pStyle w:val="ListParagraph"/>
        <w:numPr>
          <w:ilvl w:val="0"/>
          <w:numId w:val="19"/>
        </w:numPr>
      </w:pPr>
      <w:r w:rsidRPr="00264BF1">
        <w:t>Mary Driscoll,</w:t>
      </w:r>
      <w:r>
        <w:t xml:space="preserve"> PhD, Behavioral Researcher, </w:t>
      </w:r>
      <w:r w:rsidRPr="00733BB0">
        <w:t>Comprehensive Women’s Health, W</w:t>
      </w:r>
      <w:r>
        <w:t>omen’s Health Services, VA Connecticut Health System</w:t>
      </w:r>
    </w:p>
    <w:p w14:paraId="354965B7" w14:textId="16B9788F" w:rsidR="00730E17" w:rsidRDefault="00730E17" w:rsidP="00E9357A"/>
    <w:sectPr w:rsidR="00730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29E1F" w14:textId="77777777" w:rsidR="0036565E" w:rsidRDefault="0036565E" w:rsidP="0099582C">
      <w:r>
        <w:separator/>
      </w:r>
    </w:p>
  </w:endnote>
  <w:endnote w:type="continuationSeparator" w:id="0">
    <w:p w14:paraId="2CE7F69A" w14:textId="77777777" w:rsidR="0036565E" w:rsidRDefault="0036565E" w:rsidP="009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3CB4A" w14:textId="77777777" w:rsidR="0036565E" w:rsidRDefault="0036565E" w:rsidP="0099582C">
      <w:r>
        <w:separator/>
      </w:r>
    </w:p>
  </w:footnote>
  <w:footnote w:type="continuationSeparator" w:id="0">
    <w:p w14:paraId="24FAFDA3" w14:textId="77777777" w:rsidR="0036565E" w:rsidRDefault="0036565E" w:rsidP="00995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F2300"/>
    <w:multiLevelType w:val="hybridMultilevel"/>
    <w:tmpl w:val="C0FCF6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246AD"/>
    <w:multiLevelType w:val="hybridMultilevel"/>
    <w:tmpl w:val="2012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40C02"/>
    <w:multiLevelType w:val="hybridMultilevel"/>
    <w:tmpl w:val="C8D64C5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4724C"/>
    <w:multiLevelType w:val="hybridMultilevel"/>
    <w:tmpl w:val="2080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D76C8"/>
    <w:multiLevelType w:val="hybridMultilevel"/>
    <w:tmpl w:val="8676C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83876"/>
    <w:multiLevelType w:val="hybridMultilevel"/>
    <w:tmpl w:val="A89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CE4534"/>
    <w:multiLevelType w:val="hybridMultilevel"/>
    <w:tmpl w:val="598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F1199"/>
    <w:multiLevelType w:val="hybridMultilevel"/>
    <w:tmpl w:val="6CCA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4"/>
  </w:num>
  <w:num w:numId="5">
    <w:abstractNumId w:val="18"/>
  </w:num>
  <w:num w:numId="6">
    <w:abstractNumId w:val="12"/>
  </w:num>
  <w:num w:numId="7">
    <w:abstractNumId w:val="16"/>
  </w:num>
  <w:num w:numId="8">
    <w:abstractNumId w:val="15"/>
  </w:num>
  <w:num w:numId="9">
    <w:abstractNumId w:val="10"/>
  </w:num>
  <w:num w:numId="10">
    <w:abstractNumId w:val="1"/>
  </w:num>
  <w:num w:numId="11">
    <w:abstractNumId w:val="13"/>
  </w:num>
  <w:num w:numId="12">
    <w:abstractNumId w:val="11"/>
  </w:num>
  <w:num w:numId="13">
    <w:abstractNumId w:val="0"/>
  </w:num>
  <w:num w:numId="14">
    <w:abstractNumId w:val="17"/>
  </w:num>
  <w:num w:numId="15">
    <w:abstractNumId w:val="9"/>
  </w:num>
  <w:num w:numId="16">
    <w:abstractNumId w:val="2"/>
  </w:num>
  <w:num w:numId="17">
    <w:abstractNumId w:val="3"/>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C"/>
    <w:rsid w:val="00061FBA"/>
    <w:rsid w:val="000B381D"/>
    <w:rsid w:val="000B3DF0"/>
    <w:rsid w:val="001429C1"/>
    <w:rsid w:val="0016562E"/>
    <w:rsid w:val="0019405E"/>
    <w:rsid w:val="001F656E"/>
    <w:rsid w:val="0024022E"/>
    <w:rsid w:val="00264BF1"/>
    <w:rsid w:val="00281255"/>
    <w:rsid w:val="00281711"/>
    <w:rsid w:val="002C0DD1"/>
    <w:rsid w:val="002D4948"/>
    <w:rsid w:val="0030553A"/>
    <w:rsid w:val="0030580E"/>
    <w:rsid w:val="00320E17"/>
    <w:rsid w:val="0032602A"/>
    <w:rsid w:val="00350A15"/>
    <w:rsid w:val="0035581D"/>
    <w:rsid w:val="00362B0B"/>
    <w:rsid w:val="0036565E"/>
    <w:rsid w:val="003A4AB2"/>
    <w:rsid w:val="003A7DE5"/>
    <w:rsid w:val="003D3BA8"/>
    <w:rsid w:val="003D43DB"/>
    <w:rsid w:val="00490D02"/>
    <w:rsid w:val="004C4583"/>
    <w:rsid w:val="00526B68"/>
    <w:rsid w:val="00533697"/>
    <w:rsid w:val="005A72D9"/>
    <w:rsid w:val="005D227D"/>
    <w:rsid w:val="0060746C"/>
    <w:rsid w:val="006134D4"/>
    <w:rsid w:val="006374DF"/>
    <w:rsid w:val="006B65D0"/>
    <w:rsid w:val="00730E17"/>
    <w:rsid w:val="00733BB0"/>
    <w:rsid w:val="00763C00"/>
    <w:rsid w:val="007B740F"/>
    <w:rsid w:val="007D292F"/>
    <w:rsid w:val="00836056"/>
    <w:rsid w:val="00840B21"/>
    <w:rsid w:val="00861AF6"/>
    <w:rsid w:val="00884636"/>
    <w:rsid w:val="008E5CF4"/>
    <w:rsid w:val="009451A1"/>
    <w:rsid w:val="00950036"/>
    <w:rsid w:val="00990911"/>
    <w:rsid w:val="0099582C"/>
    <w:rsid w:val="00A9724F"/>
    <w:rsid w:val="00AA04C0"/>
    <w:rsid w:val="00AA1FEF"/>
    <w:rsid w:val="00AD648F"/>
    <w:rsid w:val="00B356F8"/>
    <w:rsid w:val="00B57D36"/>
    <w:rsid w:val="00B678DC"/>
    <w:rsid w:val="00BA5A8D"/>
    <w:rsid w:val="00BD59FB"/>
    <w:rsid w:val="00BE0BBE"/>
    <w:rsid w:val="00C235E0"/>
    <w:rsid w:val="00C42CF8"/>
    <w:rsid w:val="00C86816"/>
    <w:rsid w:val="00CE4839"/>
    <w:rsid w:val="00CF035E"/>
    <w:rsid w:val="00D016F3"/>
    <w:rsid w:val="00D31F05"/>
    <w:rsid w:val="00D41DA9"/>
    <w:rsid w:val="00D776DD"/>
    <w:rsid w:val="00D97779"/>
    <w:rsid w:val="00E1441E"/>
    <w:rsid w:val="00E41E54"/>
    <w:rsid w:val="00E51663"/>
    <w:rsid w:val="00E623AD"/>
    <w:rsid w:val="00E9357A"/>
    <w:rsid w:val="00E93660"/>
    <w:rsid w:val="00EA161D"/>
    <w:rsid w:val="00EB3728"/>
    <w:rsid w:val="00EE144B"/>
    <w:rsid w:val="00EF1967"/>
    <w:rsid w:val="00F01101"/>
    <w:rsid w:val="00FA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34"/>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 w:type="paragraph" w:styleId="NoSpacing">
    <w:name w:val="No Spacing"/>
    <w:uiPriority w:val="1"/>
    <w:qFormat/>
    <w:rsid w:val="00D016F3"/>
    <w:pPr>
      <w:spacing w:after="0" w:line="240" w:lineRule="auto"/>
    </w:pPr>
    <w:rPr>
      <w:rFonts w:ascii="Calibri" w:eastAsia="Calibri" w:hAnsi="Calibri" w:cs="Times New Roman"/>
    </w:rPr>
  </w:style>
  <w:style w:type="table" w:customStyle="1" w:styleId="GridTable4Accent4">
    <w:name w:val="Grid Table 4 Accent 4"/>
    <w:basedOn w:val="TableNormal"/>
    <w:uiPriority w:val="49"/>
    <w:rsid w:val="00D016F3"/>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6298">
      <w:bodyDiv w:val="1"/>
      <w:marLeft w:val="0"/>
      <w:marRight w:val="0"/>
      <w:marTop w:val="0"/>
      <w:marBottom w:val="0"/>
      <w:divBdr>
        <w:top w:val="none" w:sz="0" w:space="0" w:color="auto"/>
        <w:left w:val="none" w:sz="0" w:space="0" w:color="auto"/>
        <w:bottom w:val="none" w:sz="0" w:space="0" w:color="auto"/>
        <w:right w:val="none" w:sz="0" w:space="0" w:color="auto"/>
      </w:divBdr>
    </w:div>
    <w:div w:id="1072965040">
      <w:bodyDiv w:val="1"/>
      <w:marLeft w:val="0"/>
      <w:marRight w:val="0"/>
      <w:marTop w:val="0"/>
      <w:marBottom w:val="0"/>
      <w:divBdr>
        <w:top w:val="none" w:sz="0" w:space="0" w:color="auto"/>
        <w:left w:val="none" w:sz="0" w:space="0" w:color="auto"/>
        <w:bottom w:val="none" w:sz="0" w:space="0" w:color="auto"/>
        <w:right w:val="none" w:sz="0" w:space="0" w:color="auto"/>
      </w:divBdr>
    </w:div>
    <w:div w:id="1524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2019-06-07T15:04:00Z</dcterms:created>
  <dcterms:modified xsi:type="dcterms:W3CDTF">2019-06-07T15:04:00Z</dcterms:modified>
</cp:coreProperties>
</file>